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AB3AAB7" w14:textId="72FA9F8C" w:rsidR="00640EBD" w:rsidRPr="00386411" w:rsidRDefault="00640EBD" w:rsidP="007570E2">
      <w:pPr>
        <w:pStyle w:val="TOC9"/>
        <w:rPr>
          <w:b/>
        </w:rPr>
      </w:pPr>
    </w:p>
    <w:p w14:paraId="608AECA4" w14:textId="77777777" w:rsidR="007570E2" w:rsidRPr="00386411" w:rsidRDefault="007570E2" w:rsidP="007570E2">
      <w:pPr>
        <w:rPr>
          <w:b/>
        </w:rPr>
      </w:pPr>
    </w:p>
    <w:p w14:paraId="19A8F9A3" w14:textId="631BCBBA" w:rsidR="00640EBD" w:rsidRPr="00386411" w:rsidRDefault="00A65C00" w:rsidP="00E46014">
      <w:pPr>
        <w:pStyle w:val="PublicationTitle"/>
        <w:tabs>
          <w:tab w:val="right" w:pos="9072"/>
        </w:tabs>
        <w:ind w:right="0"/>
        <w:rPr>
          <w:szCs w:val="44"/>
        </w:rPr>
      </w:pPr>
      <w:r w:rsidRPr="00386411">
        <w:rPr>
          <w:szCs w:val="44"/>
        </w:rPr>
        <w:t>Immunoglobulin for acquired hypogammaglobulinaemia secondary to haematological ma</w:t>
      </w:r>
      <w:r w:rsidR="00501AB2" w:rsidRPr="00386411">
        <w:rPr>
          <w:szCs w:val="44"/>
        </w:rPr>
        <w:t>lignancies, or post-haemopoietic</w:t>
      </w:r>
      <w:r w:rsidRPr="00386411">
        <w:rPr>
          <w:szCs w:val="44"/>
        </w:rPr>
        <w:t xml:space="preserve"> stem cell transplantation (HSCT)</w:t>
      </w:r>
    </w:p>
    <w:p w14:paraId="027D9CD0" w14:textId="77777777" w:rsidR="00640EBD" w:rsidRPr="00386411" w:rsidRDefault="00640EBD" w:rsidP="00DF343F">
      <w:pPr>
        <w:rPr>
          <w:b/>
          <w:sz w:val="144"/>
          <w:szCs w:val="144"/>
        </w:rPr>
      </w:pPr>
    </w:p>
    <w:p w14:paraId="12230D77" w14:textId="24D193AD" w:rsidR="00640EBD" w:rsidRPr="00386411" w:rsidRDefault="001C011D" w:rsidP="001C011D">
      <w:pPr>
        <w:pStyle w:val="Date"/>
        <w:tabs>
          <w:tab w:val="right" w:pos="9027"/>
        </w:tabs>
        <w:ind w:right="-45"/>
        <w:jc w:val="both"/>
      </w:pPr>
      <w:r w:rsidRPr="00386411">
        <w:tab/>
      </w:r>
      <w:r w:rsidR="00006518">
        <w:t>August</w:t>
      </w:r>
      <w:r w:rsidR="00640EBD" w:rsidRPr="00386411">
        <w:t xml:space="preserve"> </w:t>
      </w:r>
      <w:r w:rsidR="00E46014" w:rsidRPr="00386411">
        <w:t>2019</w:t>
      </w:r>
    </w:p>
    <w:p w14:paraId="65C84A52" w14:textId="77777777" w:rsidR="00640EBD" w:rsidRPr="00386411" w:rsidRDefault="00640EBD" w:rsidP="00DF343F">
      <w:pPr>
        <w:pStyle w:val="Sub-title"/>
        <w:jc w:val="both"/>
        <w:rPr>
          <w:rFonts w:asciiTheme="minorHAnsi" w:hAnsiTheme="minorHAnsi"/>
          <w:sz w:val="144"/>
          <w:szCs w:val="144"/>
        </w:rPr>
      </w:pPr>
    </w:p>
    <w:p w14:paraId="4FD81F8D" w14:textId="318C55A9" w:rsidR="00640EBD" w:rsidRPr="00386411" w:rsidRDefault="001C011D" w:rsidP="001C011D">
      <w:pPr>
        <w:pStyle w:val="Sub-title"/>
        <w:tabs>
          <w:tab w:val="right" w:pos="9027"/>
        </w:tabs>
        <w:ind w:right="-45"/>
        <w:jc w:val="both"/>
      </w:pPr>
      <w:r w:rsidRPr="00386411">
        <w:tab/>
      </w:r>
      <w:r w:rsidR="00BB0145">
        <w:t>MSAC A</w:t>
      </w:r>
      <w:r w:rsidR="00640EBD" w:rsidRPr="00386411">
        <w:t xml:space="preserve">pplication no. </w:t>
      </w:r>
      <w:r w:rsidR="00E46014" w:rsidRPr="00386411">
        <w:t>1565</w:t>
      </w:r>
    </w:p>
    <w:p w14:paraId="313F566A" w14:textId="77777777" w:rsidR="00640EBD" w:rsidRPr="00386411" w:rsidRDefault="00640EBD" w:rsidP="00DF343F">
      <w:pPr>
        <w:pStyle w:val="Sub-title"/>
        <w:jc w:val="both"/>
      </w:pPr>
    </w:p>
    <w:p w14:paraId="65E2F374" w14:textId="77777777" w:rsidR="003A7C8F" w:rsidRPr="00386411" w:rsidRDefault="001C011D" w:rsidP="00E46014">
      <w:pPr>
        <w:pStyle w:val="Sub-title"/>
        <w:tabs>
          <w:tab w:val="right" w:pos="9027"/>
        </w:tabs>
        <w:ind w:right="-45"/>
        <w:jc w:val="both"/>
        <w:rPr>
          <w:szCs w:val="32"/>
        </w:rPr>
      </w:pPr>
      <w:r w:rsidRPr="00386411">
        <w:tab/>
      </w:r>
      <w:r w:rsidR="00640EBD" w:rsidRPr="00386411">
        <w:t>Assessment report</w:t>
      </w:r>
      <w:r w:rsidR="003A7C8F" w:rsidRPr="00386411">
        <w:br w:type="page"/>
      </w:r>
    </w:p>
    <w:p w14:paraId="6EE49102" w14:textId="592621EE" w:rsidR="00EB4DCD" w:rsidRPr="007D0AA8" w:rsidRDefault="00EB4DCD" w:rsidP="00EB4DCD">
      <w:pPr>
        <w:autoSpaceDE w:val="0"/>
        <w:autoSpaceDN w:val="0"/>
        <w:adjustRightInd w:val="0"/>
        <w:spacing w:after="0"/>
        <w:rPr>
          <w:bCs/>
          <w:color w:val="000000"/>
          <w:sz w:val="20"/>
          <w:szCs w:val="20"/>
          <w:lang w:eastAsia="zh-TW"/>
        </w:rPr>
      </w:pPr>
      <w:bookmarkStart w:id="0" w:name="_Toc192054741"/>
      <w:bookmarkStart w:id="1" w:name="_Toc206489930"/>
      <w:bookmarkStart w:id="2" w:name="_Toc206494639"/>
      <w:bookmarkStart w:id="3" w:name="_Toc214339152"/>
      <w:bookmarkStart w:id="4" w:name="_Toc237759553"/>
      <w:bookmarkStart w:id="5" w:name="_Toc356462688"/>
      <w:bookmarkStart w:id="6" w:name="_Toc356462742"/>
      <w:bookmarkStart w:id="7" w:name="_Toc356462997"/>
      <w:bookmarkStart w:id="8" w:name="_Ref360694627"/>
      <w:bookmarkStart w:id="9" w:name="_Toc379117342"/>
      <w:bookmarkStart w:id="10" w:name="_Toc379118055"/>
      <w:bookmarkStart w:id="11" w:name="_Toc379118243"/>
      <w:bookmarkStart w:id="12" w:name="_Toc381796424"/>
      <w:r w:rsidRPr="007D0AA8">
        <w:rPr>
          <w:bCs/>
          <w:color w:val="000000"/>
          <w:sz w:val="20"/>
          <w:szCs w:val="20"/>
          <w:lang w:eastAsia="zh-TW"/>
        </w:rPr>
        <w:lastRenderedPageBreak/>
        <w:t>© Commonwealth of Australia 201</w:t>
      </w:r>
      <w:r w:rsidR="00A65C00" w:rsidRPr="007D0AA8">
        <w:rPr>
          <w:bCs/>
          <w:color w:val="000000"/>
          <w:sz w:val="20"/>
          <w:szCs w:val="20"/>
          <w:lang w:eastAsia="zh-TW"/>
        </w:rPr>
        <w:t>9</w:t>
      </w:r>
    </w:p>
    <w:p w14:paraId="31C8B71B" w14:textId="77777777" w:rsidR="00EB4DCD" w:rsidRPr="007D0AA8" w:rsidRDefault="00EB4DCD" w:rsidP="00EB4DCD">
      <w:pPr>
        <w:autoSpaceDE w:val="0"/>
        <w:autoSpaceDN w:val="0"/>
        <w:adjustRightInd w:val="0"/>
        <w:spacing w:after="0" w:line="240" w:lineRule="auto"/>
        <w:rPr>
          <w:bCs/>
          <w:color w:val="000000"/>
          <w:sz w:val="20"/>
          <w:szCs w:val="20"/>
          <w:lang w:eastAsia="zh-TW"/>
        </w:rPr>
      </w:pPr>
    </w:p>
    <w:p w14:paraId="7C2549B7" w14:textId="77777777" w:rsidR="00EB4DCD" w:rsidRPr="007D0AA8" w:rsidRDefault="00EB4DCD" w:rsidP="00EB4DCD">
      <w:pPr>
        <w:autoSpaceDE w:val="0"/>
        <w:autoSpaceDN w:val="0"/>
        <w:adjustRightInd w:val="0"/>
        <w:spacing w:after="0" w:line="240" w:lineRule="auto"/>
        <w:rPr>
          <w:bCs/>
          <w:color w:val="000000"/>
          <w:sz w:val="20"/>
          <w:szCs w:val="20"/>
          <w:lang w:eastAsia="zh-TW"/>
        </w:rPr>
      </w:pPr>
      <w:r w:rsidRPr="007D0AA8">
        <w:rPr>
          <w:bCs/>
          <w:color w:val="000000"/>
          <w:sz w:val="20"/>
          <w:szCs w:val="20"/>
          <w:lang w:eastAsia="zh-TW"/>
        </w:rPr>
        <w:t>ISSN (Online) 1443-7139</w:t>
      </w:r>
    </w:p>
    <w:p w14:paraId="3D89F98D" w14:textId="77777777" w:rsidR="00EB4DCD" w:rsidRPr="007D0AA8" w:rsidRDefault="00EB4DCD" w:rsidP="00EB4DCD">
      <w:pPr>
        <w:autoSpaceDE w:val="0"/>
        <w:autoSpaceDN w:val="0"/>
        <w:adjustRightInd w:val="0"/>
        <w:spacing w:after="0" w:line="240" w:lineRule="auto"/>
        <w:rPr>
          <w:bCs/>
          <w:color w:val="000000"/>
          <w:sz w:val="20"/>
          <w:szCs w:val="20"/>
          <w:lang w:eastAsia="zh-TW"/>
        </w:rPr>
      </w:pPr>
    </w:p>
    <w:p w14:paraId="71376AAA" w14:textId="3C63946F" w:rsidR="00EB4DCD" w:rsidRPr="007D0AA8" w:rsidRDefault="00EB4DCD" w:rsidP="00EB4DCD">
      <w:pPr>
        <w:autoSpaceDE w:val="0"/>
        <w:autoSpaceDN w:val="0"/>
        <w:adjustRightInd w:val="0"/>
        <w:spacing w:after="0" w:line="240" w:lineRule="auto"/>
        <w:rPr>
          <w:bCs/>
          <w:color w:val="000000"/>
          <w:sz w:val="20"/>
          <w:szCs w:val="20"/>
          <w:lang w:eastAsia="zh-TW"/>
        </w:rPr>
      </w:pPr>
      <w:r w:rsidRPr="007D0AA8">
        <w:rPr>
          <w:bCs/>
          <w:color w:val="000000"/>
          <w:sz w:val="20"/>
          <w:szCs w:val="20"/>
          <w:lang w:eastAsia="zh-TW"/>
        </w:rPr>
        <w:t xml:space="preserve">Internet site </w:t>
      </w:r>
      <w:hyperlink r:id="rId9" w:tooltip="Link to the Medical Services Advisory Committee website." w:history="1">
        <w:r w:rsidRPr="007D0AA8">
          <w:rPr>
            <w:color w:val="0000FF"/>
            <w:sz w:val="20"/>
            <w:szCs w:val="20"/>
            <w:u w:val="single"/>
            <w:lang w:eastAsia="zh-TW"/>
          </w:rPr>
          <w:t>http://www.msac.gov.au/</w:t>
        </w:r>
      </w:hyperlink>
    </w:p>
    <w:p w14:paraId="7603F0CB" w14:textId="77777777" w:rsidR="00EB4DCD" w:rsidRPr="007D0AA8" w:rsidRDefault="00EB4DCD" w:rsidP="00EB4DCD">
      <w:pPr>
        <w:autoSpaceDE w:val="0"/>
        <w:autoSpaceDN w:val="0"/>
        <w:adjustRightInd w:val="0"/>
        <w:spacing w:after="0" w:line="240" w:lineRule="auto"/>
        <w:rPr>
          <w:bCs/>
          <w:color w:val="000000"/>
          <w:sz w:val="20"/>
          <w:szCs w:val="20"/>
          <w:lang w:eastAsia="zh-TW"/>
        </w:rPr>
      </w:pPr>
    </w:p>
    <w:p w14:paraId="10399176" w14:textId="53423573" w:rsidR="00EB4DCD" w:rsidRPr="007D0AA8" w:rsidRDefault="00EB4DCD" w:rsidP="00EB4DCD">
      <w:pPr>
        <w:autoSpaceDE w:val="0"/>
        <w:autoSpaceDN w:val="0"/>
        <w:adjustRightInd w:val="0"/>
        <w:spacing w:after="0" w:line="240" w:lineRule="auto"/>
        <w:rPr>
          <w:color w:val="000000"/>
          <w:sz w:val="20"/>
          <w:szCs w:val="20"/>
        </w:rPr>
      </w:pPr>
      <w:r w:rsidRPr="007D0AA8">
        <w:rPr>
          <w:color w:val="000000"/>
          <w:sz w:val="20"/>
          <w:szCs w:val="20"/>
        </w:rPr>
        <w:t xml:space="preserve">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inquiries concerning reproduction and rights should be addressed to Commonwealth Copyright Administration, Attorney-General's Department, Robert Garran Offices, National Circuit, Barton ACT 2600 or posted at </w:t>
      </w:r>
      <w:hyperlink r:id="rId10" w:tooltip="Link to the Australian Government's Attorney General's website." w:history="1">
        <w:r w:rsidRPr="007D0AA8">
          <w:rPr>
            <w:color w:val="0000FF"/>
            <w:sz w:val="20"/>
            <w:szCs w:val="20"/>
            <w:u w:val="single"/>
            <w:lang w:eastAsia="zh-TW"/>
          </w:rPr>
          <w:t>http://www.ag.gov.au/</w:t>
        </w:r>
      </w:hyperlink>
      <w:r w:rsidRPr="007D0AA8">
        <w:rPr>
          <w:color w:val="0000FF"/>
          <w:sz w:val="20"/>
          <w:szCs w:val="20"/>
          <w:lang w:eastAsia="zh-TW"/>
        </w:rPr>
        <w:t>.</w:t>
      </w:r>
    </w:p>
    <w:p w14:paraId="0B8E1D22" w14:textId="77777777" w:rsidR="00EB4DCD" w:rsidRPr="007D0AA8" w:rsidRDefault="00EB4DCD" w:rsidP="00EB4DCD">
      <w:pPr>
        <w:autoSpaceDE w:val="0"/>
        <w:autoSpaceDN w:val="0"/>
        <w:adjustRightInd w:val="0"/>
        <w:spacing w:after="0" w:line="240" w:lineRule="auto"/>
        <w:rPr>
          <w:color w:val="000000"/>
          <w:sz w:val="20"/>
          <w:szCs w:val="20"/>
        </w:rPr>
      </w:pPr>
    </w:p>
    <w:p w14:paraId="66005CD8" w14:textId="77777777" w:rsidR="00EB4DCD" w:rsidRPr="007D0AA8" w:rsidRDefault="00EB4DCD" w:rsidP="00EB4DCD">
      <w:pPr>
        <w:autoSpaceDE w:val="0"/>
        <w:autoSpaceDN w:val="0"/>
        <w:adjustRightInd w:val="0"/>
        <w:spacing w:after="0" w:line="240" w:lineRule="auto"/>
        <w:rPr>
          <w:color w:val="000000"/>
          <w:sz w:val="20"/>
          <w:szCs w:val="20"/>
          <w:lang w:eastAsia="zh-TW"/>
        </w:rPr>
      </w:pPr>
    </w:p>
    <w:p w14:paraId="36F6ACDA" w14:textId="2E094F6D" w:rsidR="00EB4DCD" w:rsidRPr="007D0AA8" w:rsidRDefault="00EB4DCD" w:rsidP="00EB4DCD">
      <w:pPr>
        <w:autoSpaceDE w:val="0"/>
        <w:autoSpaceDN w:val="0"/>
        <w:adjustRightInd w:val="0"/>
        <w:spacing w:after="0" w:line="240" w:lineRule="auto"/>
        <w:rPr>
          <w:color w:val="1B1B1B"/>
          <w:sz w:val="20"/>
          <w:szCs w:val="20"/>
        </w:rPr>
      </w:pPr>
      <w:r w:rsidRPr="007D0AA8">
        <w:rPr>
          <w:color w:val="000000"/>
          <w:sz w:val="20"/>
          <w:szCs w:val="20"/>
          <w:lang w:eastAsia="zh-TW"/>
        </w:rPr>
        <w:t>Electronic copies of the report can be obtained from the Medical Service Advisory Committee’s Internet site at</w:t>
      </w:r>
      <w:r w:rsidRPr="007D0AA8">
        <w:rPr>
          <w:sz w:val="20"/>
          <w:szCs w:val="20"/>
          <w:lang w:eastAsia="zh-TW"/>
        </w:rPr>
        <w:t xml:space="preserve"> </w:t>
      </w:r>
      <w:hyperlink r:id="rId11" w:tooltip="Link to the Medical Services Advisory Committee website." w:history="1">
        <w:r w:rsidRPr="007D0AA8">
          <w:rPr>
            <w:color w:val="0000FF"/>
            <w:sz w:val="20"/>
            <w:szCs w:val="20"/>
            <w:u w:val="single"/>
            <w:lang w:eastAsia="zh-TW"/>
          </w:rPr>
          <w:t>http://www.msac.gov.au/</w:t>
        </w:r>
      </w:hyperlink>
    </w:p>
    <w:p w14:paraId="3051EDA1" w14:textId="77777777" w:rsidR="00EB4DCD" w:rsidRPr="007D0AA8" w:rsidRDefault="00EB4DCD" w:rsidP="00EB4DCD">
      <w:pPr>
        <w:autoSpaceDE w:val="0"/>
        <w:autoSpaceDN w:val="0"/>
        <w:adjustRightInd w:val="0"/>
        <w:spacing w:after="0" w:line="240" w:lineRule="auto"/>
        <w:rPr>
          <w:color w:val="1B1B1B"/>
          <w:sz w:val="20"/>
          <w:szCs w:val="20"/>
          <w:lang w:eastAsia="zh-TW"/>
        </w:rPr>
      </w:pPr>
    </w:p>
    <w:p w14:paraId="52160970" w14:textId="3638C97D" w:rsidR="00EB4DCD" w:rsidRPr="007D0AA8" w:rsidRDefault="00EB4DCD" w:rsidP="00EB4DCD">
      <w:pPr>
        <w:autoSpaceDE w:val="0"/>
        <w:autoSpaceDN w:val="0"/>
        <w:adjustRightInd w:val="0"/>
        <w:spacing w:after="0" w:line="240" w:lineRule="auto"/>
        <w:rPr>
          <w:color w:val="000000"/>
          <w:sz w:val="20"/>
          <w:szCs w:val="20"/>
        </w:rPr>
      </w:pPr>
      <w:r w:rsidRPr="007D0AA8">
        <w:rPr>
          <w:color w:val="000000"/>
          <w:sz w:val="20"/>
          <w:szCs w:val="20"/>
        </w:rPr>
        <w:t xml:space="preserve">Enquiries about the content of the report should be emailed to </w:t>
      </w:r>
      <w:hyperlink r:id="rId12" w:history="1">
        <w:r w:rsidRPr="007D0AA8">
          <w:rPr>
            <w:color w:val="0000FF"/>
            <w:sz w:val="20"/>
            <w:szCs w:val="20"/>
            <w:u w:val="single"/>
          </w:rPr>
          <w:t>hta@health.gov.au</w:t>
        </w:r>
      </w:hyperlink>
      <w:r w:rsidRPr="007D0AA8">
        <w:rPr>
          <w:color w:val="000000"/>
          <w:sz w:val="20"/>
          <w:szCs w:val="20"/>
        </w:rPr>
        <w:t>.</w:t>
      </w:r>
    </w:p>
    <w:p w14:paraId="3274E042" w14:textId="77777777" w:rsidR="00EB4DCD" w:rsidRPr="007D0AA8" w:rsidRDefault="00EB4DCD" w:rsidP="00EB4DCD">
      <w:pPr>
        <w:autoSpaceDE w:val="0"/>
        <w:autoSpaceDN w:val="0"/>
        <w:adjustRightInd w:val="0"/>
        <w:spacing w:after="0" w:line="240" w:lineRule="auto"/>
        <w:rPr>
          <w:color w:val="1B1B1B"/>
          <w:sz w:val="20"/>
          <w:szCs w:val="20"/>
          <w:lang w:eastAsia="zh-TW"/>
        </w:rPr>
      </w:pPr>
    </w:p>
    <w:p w14:paraId="48CC2442" w14:textId="77777777" w:rsidR="00EB4DCD" w:rsidRPr="007D0AA8" w:rsidRDefault="00EB4DCD" w:rsidP="00EB4DCD">
      <w:pPr>
        <w:autoSpaceDE w:val="0"/>
        <w:autoSpaceDN w:val="0"/>
        <w:adjustRightInd w:val="0"/>
        <w:spacing w:after="0" w:line="240" w:lineRule="auto"/>
        <w:rPr>
          <w:color w:val="1B1B1B"/>
          <w:sz w:val="20"/>
          <w:szCs w:val="20"/>
          <w:lang w:eastAsia="zh-TW"/>
        </w:rPr>
      </w:pPr>
    </w:p>
    <w:p w14:paraId="5A97E179" w14:textId="77777777" w:rsidR="00EB4DCD" w:rsidRPr="007D0AA8" w:rsidRDefault="00EB4DCD" w:rsidP="00EB4DCD">
      <w:pPr>
        <w:autoSpaceDE w:val="0"/>
        <w:autoSpaceDN w:val="0"/>
        <w:adjustRightInd w:val="0"/>
        <w:spacing w:after="0" w:line="240" w:lineRule="auto"/>
        <w:rPr>
          <w:color w:val="000000"/>
          <w:sz w:val="20"/>
          <w:szCs w:val="20"/>
          <w:lang w:eastAsia="zh-TW"/>
        </w:rPr>
      </w:pPr>
      <w:r w:rsidRPr="007D0AA8">
        <w:rPr>
          <w:color w:val="000000"/>
          <w:sz w:val="20"/>
          <w:szCs w:val="20"/>
        </w:rPr>
        <w:t>The technical information in this document is used by the Medical Services Advisory Committee (MSAC) to inform its deliberations. MSAC is an independent committee which has been established to provide advice to the Minister for Health on the strength of evidence available on</w:t>
      </w:r>
      <w:r w:rsidRPr="007D0AA8">
        <w:rPr>
          <w:color w:val="000000"/>
          <w:sz w:val="20"/>
          <w:szCs w:val="20"/>
          <w:lang w:eastAsia="zh-TW"/>
        </w:rPr>
        <w:t xml:space="preserve"> new and existing medical technologies and procedures in terms of their safety, effectiveness and cost effectiveness. This advice will help to inform government decisions about which medical services should attract funding under Medicare.</w:t>
      </w:r>
    </w:p>
    <w:p w14:paraId="0FB1D592" w14:textId="77777777" w:rsidR="00EB4DCD" w:rsidRPr="007D0AA8" w:rsidRDefault="00EB4DCD" w:rsidP="00EB4DCD">
      <w:pPr>
        <w:autoSpaceDE w:val="0"/>
        <w:autoSpaceDN w:val="0"/>
        <w:adjustRightInd w:val="0"/>
        <w:spacing w:after="0" w:line="240" w:lineRule="auto"/>
        <w:rPr>
          <w:color w:val="000000"/>
          <w:sz w:val="20"/>
          <w:szCs w:val="20"/>
          <w:lang w:eastAsia="zh-TW"/>
        </w:rPr>
      </w:pPr>
    </w:p>
    <w:p w14:paraId="345B0A1F" w14:textId="77777777" w:rsidR="00EB4DCD" w:rsidRPr="007D0AA8" w:rsidRDefault="00EB4DCD" w:rsidP="00EB4DCD">
      <w:pPr>
        <w:autoSpaceDE w:val="0"/>
        <w:autoSpaceDN w:val="0"/>
        <w:adjustRightInd w:val="0"/>
        <w:spacing w:after="0" w:line="240" w:lineRule="auto"/>
        <w:rPr>
          <w:color w:val="000000"/>
          <w:sz w:val="20"/>
          <w:szCs w:val="20"/>
          <w:lang w:eastAsia="zh-TW"/>
        </w:rPr>
      </w:pPr>
    </w:p>
    <w:p w14:paraId="23A01710" w14:textId="77777777" w:rsidR="00EB4DCD" w:rsidRPr="007D0AA8" w:rsidRDefault="00EB4DCD" w:rsidP="00EB4DCD">
      <w:pPr>
        <w:autoSpaceDE w:val="0"/>
        <w:autoSpaceDN w:val="0"/>
        <w:adjustRightInd w:val="0"/>
        <w:spacing w:after="0" w:line="240" w:lineRule="auto"/>
        <w:rPr>
          <w:bCs/>
          <w:color w:val="000000"/>
          <w:sz w:val="20"/>
          <w:szCs w:val="20"/>
          <w:u w:val="single"/>
          <w:lang w:eastAsia="zh-TW"/>
        </w:rPr>
      </w:pPr>
      <w:r w:rsidRPr="007D0AA8">
        <w:rPr>
          <w:bCs/>
          <w:color w:val="000000"/>
          <w:sz w:val="20"/>
          <w:szCs w:val="20"/>
          <w:u w:val="single"/>
          <w:lang w:eastAsia="zh-TW"/>
        </w:rPr>
        <w:t>MSAC’s advice does not necessarily reflect the views of all individuals who participated in the MSAC evaluation.</w:t>
      </w:r>
    </w:p>
    <w:p w14:paraId="4FA18572" w14:textId="77777777" w:rsidR="00EB4DCD" w:rsidRPr="007D0AA8" w:rsidRDefault="00EB4DCD" w:rsidP="00EB4DCD">
      <w:pPr>
        <w:autoSpaceDE w:val="0"/>
        <w:autoSpaceDN w:val="0"/>
        <w:adjustRightInd w:val="0"/>
        <w:spacing w:after="0" w:line="240" w:lineRule="auto"/>
        <w:rPr>
          <w:color w:val="000000"/>
          <w:sz w:val="20"/>
          <w:szCs w:val="20"/>
          <w:lang w:eastAsia="zh-TW"/>
        </w:rPr>
      </w:pPr>
    </w:p>
    <w:p w14:paraId="02894EF1" w14:textId="77777777" w:rsidR="00EB4DCD" w:rsidRPr="007D0AA8" w:rsidRDefault="00EB4DCD" w:rsidP="00EB4DCD">
      <w:pPr>
        <w:autoSpaceDE w:val="0"/>
        <w:autoSpaceDN w:val="0"/>
        <w:adjustRightInd w:val="0"/>
        <w:spacing w:after="0" w:line="240" w:lineRule="auto"/>
        <w:rPr>
          <w:color w:val="000000"/>
          <w:sz w:val="20"/>
          <w:szCs w:val="20"/>
          <w:lang w:eastAsia="zh-TW"/>
        </w:rPr>
      </w:pPr>
    </w:p>
    <w:p w14:paraId="68A635EF" w14:textId="45DD60C4" w:rsidR="00EB4DCD" w:rsidRPr="007D0AA8" w:rsidRDefault="00EB4DCD" w:rsidP="00EB4DCD">
      <w:pPr>
        <w:autoSpaceDE w:val="0"/>
        <w:autoSpaceDN w:val="0"/>
        <w:adjustRightInd w:val="0"/>
        <w:spacing w:after="0" w:line="240" w:lineRule="auto"/>
        <w:rPr>
          <w:sz w:val="20"/>
          <w:szCs w:val="20"/>
        </w:rPr>
      </w:pPr>
      <w:r w:rsidRPr="007D0AA8">
        <w:rPr>
          <w:sz w:val="20"/>
          <w:szCs w:val="20"/>
        </w:rPr>
        <w:t xml:space="preserve">This report was prepared by </w:t>
      </w:r>
      <w:r w:rsidR="00A65C00" w:rsidRPr="007D0AA8">
        <w:rPr>
          <w:sz w:val="20"/>
          <w:szCs w:val="20"/>
        </w:rPr>
        <w:t>Allison Wyndham, Arlene Vogan, Skye Newton and Camille Schubert</w:t>
      </w:r>
      <w:r w:rsidRPr="007D0AA8">
        <w:rPr>
          <w:sz w:val="20"/>
          <w:szCs w:val="20"/>
        </w:rPr>
        <w:t xml:space="preserve"> from </w:t>
      </w:r>
      <w:r w:rsidR="00A65C00" w:rsidRPr="007D0AA8">
        <w:rPr>
          <w:sz w:val="20"/>
          <w:szCs w:val="20"/>
        </w:rPr>
        <w:t>Adelaide Health Technology Assessment (AHTA), the University of Adelaide.</w:t>
      </w:r>
      <w:r w:rsidRPr="007D0AA8">
        <w:rPr>
          <w:sz w:val="20"/>
          <w:szCs w:val="20"/>
        </w:rPr>
        <w:t xml:space="preserve"> Clinical advice was provided by </w:t>
      </w:r>
      <w:r w:rsidR="00A65C00" w:rsidRPr="007D0AA8">
        <w:rPr>
          <w:sz w:val="20"/>
          <w:szCs w:val="20"/>
        </w:rPr>
        <w:t>the Ig Review Reference Group</w:t>
      </w:r>
      <w:r w:rsidRPr="007D0AA8">
        <w:rPr>
          <w:sz w:val="20"/>
          <w:szCs w:val="20"/>
        </w:rPr>
        <w:t xml:space="preserve">. The report was commissioned by the Australian Government Department of Health. </w:t>
      </w:r>
    </w:p>
    <w:p w14:paraId="4B700F7B" w14:textId="77777777" w:rsidR="00EB4DCD" w:rsidRPr="007D0AA8" w:rsidRDefault="00EB4DCD" w:rsidP="00EB4DCD">
      <w:pPr>
        <w:autoSpaceDE w:val="0"/>
        <w:autoSpaceDN w:val="0"/>
        <w:adjustRightInd w:val="0"/>
        <w:spacing w:after="0" w:line="240" w:lineRule="auto"/>
        <w:rPr>
          <w:sz w:val="20"/>
          <w:szCs w:val="20"/>
        </w:rPr>
      </w:pPr>
    </w:p>
    <w:p w14:paraId="250EC39E" w14:textId="77777777" w:rsidR="00EB4DCD" w:rsidRPr="007D0AA8" w:rsidRDefault="00EB4DCD" w:rsidP="00EB4DCD">
      <w:pPr>
        <w:autoSpaceDE w:val="0"/>
        <w:autoSpaceDN w:val="0"/>
        <w:adjustRightInd w:val="0"/>
        <w:spacing w:after="0" w:line="240" w:lineRule="auto"/>
        <w:rPr>
          <w:rFonts w:cs="Humanist521BT-Roman"/>
          <w:color w:val="231F20"/>
          <w:sz w:val="20"/>
          <w:szCs w:val="20"/>
        </w:rPr>
      </w:pPr>
      <w:r w:rsidRPr="007D0AA8">
        <w:rPr>
          <w:rFonts w:cs="Humanist521BT-Roman"/>
          <w:color w:val="231F20"/>
          <w:sz w:val="20"/>
          <w:szCs w:val="20"/>
        </w:rPr>
        <w:t>The suggested citation for this document is:</w:t>
      </w:r>
    </w:p>
    <w:p w14:paraId="42734762" w14:textId="77777777" w:rsidR="00EB4DCD" w:rsidRPr="007D0AA8" w:rsidRDefault="00EB4DCD" w:rsidP="00EB4DCD">
      <w:pPr>
        <w:autoSpaceDE w:val="0"/>
        <w:autoSpaceDN w:val="0"/>
        <w:adjustRightInd w:val="0"/>
        <w:spacing w:after="0" w:line="240" w:lineRule="auto"/>
        <w:rPr>
          <w:rFonts w:cs="Humanist521BT-Roman"/>
          <w:color w:val="231F20"/>
          <w:sz w:val="20"/>
          <w:szCs w:val="20"/>
        </w:rPr>
      </w:pPr>
    </w:p>
    <w:p w14:paraId="5B866346" w14:textId="508AB27C" w:rsidR="00EB4DCD" w:rsidRPr="00C43B20" w:rsidRDefault="00A65C00" w:rsidP="00EB4DCD">
      <w:pPr>
        <w:autoSpaceDE w:val="0"/>
        <w:autoSpaceDN w:val="0"/>
        <w:adjustRightInd w:val="0"/>
        <w:spacing w:after="0" w:line="240" w:lineRule="auto"/>
        <w:rPr>
          <w:sz w:val="20"/>
          <w:szCs w:val="20"/>
        </w:rPr>
      </w:pPr>
      <w:r w:rsidRPr="00C43B20">
        <w:rPr>
          <w:sz w:val="20"/>
          <w:szCs w:val="20"/>
        </w:rPr>
        <w:t>Wyndham, A, Vogan, A, Newton, S, Schubert, C</w:t>
      </w:r>
      <w:r w:rsidR="00EB4DCD" w:rsidRPr="00C43B20">
        <w:rPr>
          <w:sz w:val="20"/>
          <w:szCs w:val="20"/>
        </w:rPr>
        <w:t>. (20</w:t>
      </w:r>
      <w:r w:rsidRPr="00C43B20">
        <w:rPr>
          <w:sz w:val="20"/>
          <w:szCs w:val="20"/>
        </w:rPr>
        <w:t>19</w:t>
      </w:r>
      <w:r w:rsidR="00EB4DCD" w:rsidRPr="00C43B20">
        <w:rPr>
          <w:sz w:val="20"/>
          <w:szCs w:val="20"/>
        </w:rPr>
        <w:t xml:space="preserve">). </w:t>
      </w:r>
      <w:r w:rsidR="00D40B27" w:rsidRPr="00C43B20">
        <w:rPr>
          <w:i/>
          <w:sz w:val="20"/>
          <w:szCs w:val="20"/>
        </w:rPr>
        <w:t>Immunoglobulin for a</w:t>
      </w:r>
      <w:r w:rsidRPr="00C43B20">
        <w:rPr>
          <w:i/>
          <w:sz w:val="20"/>
          <w:szCs w:val="20"/>
        </w:rPr>
        <w:t>cquired hypogammaglobulinaemia secondary to haematological malignancies, or post-haemopoietic stem cell transplantation (HSCT).</w:t>
      </w:r>
      <w:r w:rsidRPr="00C43B20">
        <w:rPr>
          <w:sz w:val="20"/>
          <w:szCs w:val="20"/>
        </w:rPr>
        <w:t xml:space="preserve"> </w:t>
      </w:r>
      <w:r w:rsidR="00EB4DCD" w:rsidRPr="00C43B20">
        <w:rPr>
          <w:sz w:val="20"/>
          <w:szCs w:val="20"/>
        </w:rPr>
        <w:t xml:space="preserve">MSAC Application </w:t>
      </w:r>
      <w:r w:rsidRPr="00C43B20">
        <w:rPr>
          <w:sz w:val="20"/>
          <w:szCs w:val="20"/>
        </w:rPr>
        <w:t>1565</w:t>
      </w:r>
      <w:r w:rsidR="00EB4DCD" w:rsidRPr="00C43B20">
        <w:rPr>
          <w:sz w:val="20"/>
          <w:szCs w:val="20"/>
        </w:rPr>
        <w:t>, Assessment Report. Commonwealth of Australia, Canberra, ACT.</w:t>
      </w:r>
    </w:p>
    <w:p w14:paraId="4D9B6B1E" w14:textId="77777777" w:rsidR="00EB4DCD" w:rsidRPr="007D0AA8" w:rsidRDefault="00EB4DCD" w:rsidP="00EB4DCD">
      <w:pPr>
        <w:autoSpaceDE w:val="0"/>
        <w:autoSpaceDN w:val="0"/>
        <w:adjustRightInd w:val="0"/>
        <w:spacing w:after="0" w:line="240" w:lineRule="auto"/>
        <w:rPr>
          <w:rFonts w:cs="Humanist521BT-Roman"/>
          <w:color w:val="231F20"/>
          <w:sz w:val="20"/>
          <w:szCs w:val="20"/>
        </w:rPr>
      </w:pPr>
    </w:p>
    <w:p w14:paraId="32CD1E19" w14:textId="4959AB15" w:rsidR="00816960" w:rsidRPr="00386411" w:rsidRDefault="00816960" w:rsidP="00816960">
      <w:pPr>
        <w:rPr>
          <w:b/>
          <w:noProof/>
          <w:vanish/>
          <w:color w:val="C00000"/>
          <w:sz w:val="20"/>
          <w:szCs w:val="20"/>
        </w:rPr>
        <w:sectPr w:rsidR="00816960" w:rsidRPr="00386411" w:rsidSect="0080059D">
          <w:headerReference w:type="default" r:id="rId13"/>
          <w:headerReference w:type="first" r:id="rId14"/>
          <w:type w:val="oddPage"/>
          <w:pgSz w:w="11907" w:h="16840" w:code="9"/>
          <w:pgMar w:top="1440" w:right="1440" w:bottom="1440" w:left="1440" w:header="578" w:footer="578" w:gutter="0"/>
          <w:pgNumType w:fmt="lowerRoman" w:start="1"/>
          <w:cols w:space="720"/>
          <w:noEndnote/>
          <w:titlePg/>
        </w:sectPr>
      </w:pPr>
    </w:p>
    <w:p w14:paraId="53A0DD18" w14:textId="77777777" w:rsidR="008F59A8" w:rsidRPr="00386411" w:rsidRDefault="008F59A8" w:rsidP="00DF343F">
      <w:pPr>
        <w:pStyle w:val="Heading1"/>
      </w:pPr>
      <w:bookmarkStart w:id="13" w:name="_Toc395200735"/>
      <w:bookmarkStart w:id="14" w:name="_Toc399247190"/>
      <w:bookmarkStart w:id="15" w:name="_Toc402884709"/>
      <w:bookmarkStart w:id="16" w:name="_Ref421189612"/>
      <w:bookmarkStart w:id="17" w:name="_Toc14431094"/>
      <w:bookmarkStart w:id="18" w:name="_Toc16856262"/>
      <w:r w:rsidRPr="00386411">
        <w:lastRenderedPageBreak/>
        <w:t>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C71381" w:rsidRPr="00386411">
        <w:tab/>
      </w:r>
    </w:p>
    <w:sdt>
      <w:sdtPr>
        <w:rPr>
          <w:b w:val="0"/>
          <w:noProof w:val="0"/>
        </w:rPr>
        <w:id w:val="-1664701443"/>
        <w:docPartObj>
          <w:docPartGallery w:val="Table of Contents"/>
          <w:docPartUnique/>
        </w:docPartObj>
      </w:sdtPr>
      <w:sdtEndPr>
        <w:rPr>
          <w:bCs/>
        </w:rPr>
      </w:sdtEndPr>
      <w:sdtContent>
        <w:p w14:paraId="32BED8C1" w14:textId="50389AE4" w:rsidR="0008579C" w:rsidRDefault="00F81651">
          <w:pPr>
            <w:pStyle w:val="TOC1"/>
            <w:rPr>
              <w:rFonts w:asciiTheme="minorHAnsi" w:eastAsiaTheme="minorEastAsia" w:hAnsiTheme="minorHAnsi" w:cstheme="minorBidi"/>
              <w:b w:val="0"/>
            </w:rPr>
          </w:pPr>
          <w:r w:rsidRPr="00386411">
            <w:fldChar w:fldCharType="begin"/>
          </w:r>
          <w:r w:rsidRPr="00386411">
            <w:instrText xml:space="preserve"> TOC \o "1-3" \h \z \u </w:instrText>
          </w:r>
          <w:r w:rsidRPr="00386411">
            <w:fldChar w:fldCharType="separate"/>
          </w:r>
          <w:hyperlink w:anchor="_Toc16856262" w:history="1">
            <w:r w:rsidR="0008579C" w:rsidRPr="008A7960">
              <w:rPr>
                <w:rStyle w:val="Hyperlink"/>
              </w:rPr>
              <w:t>Contents</w:t>
            </w:r>
            <w:r w:rsidR="0008579C">
              <w:rPr>
                <w:webHidden/>
              </w:rPr>
              <w:tab/>
            </w:r>
            <w:r w:rsidR="0008579C">
              <w:rPr>
                <w:webHidden/>
              </w:rPr>
              <w:fldChar w:fldCharType="begin"/>
            </w:r>
            <w:r w:rsidR="0008579C">
              <w:rPr>
                <w:webHidden/>
              </w:rPr>
              <w:instrText xml:space="preserve"> PAGEREF _Toc16856262 \h </w:instrText>
            </w:r>
            <w:r w:rsidR="0008579C">
              <w:rPr>
                <w:webHidden/>
              </w:rPr>
            </w:r>
            <w:r w:rsidR="0008579C">
              <w:rPr>
                <w:webHidden/>
              </w:rPr>
              <w:fldChar w:fldCharType="separate"/>
            </w:r>
            <w:r w:rsidR="0008579C">
              <w:rPr>
                <w:webHidden/>
              </w:rPr>
              <w:t>iii</w:t>
            </w:r>
            <w:r w:rsidR="0008579C">
              <w:rPr>
                <w:webHidden/>
              </w:rPr>
              <w:fldChar w:fldCharType="end"/>
            </w:r>
          </w:hyperlink>
        </w:p>
        <w:p w14:paraId="5E8E4212" w14:textId="66212D59" w:rsidR="0008579C" w:rsidRDefault="009F6E2C">
          <w:pPr>
            <w:pStyle w:val="TOC2"/>
            <w:rPr>
              <w:rFonts w:asciiTheme="minorHAnsi" w:eastAsiaTheme="minorEastAsia" w:hAnsiTheme="minorHAnsi" w:cstheme="minorBidi"/>
            </w:rPr>
          </w:pPr>
          <w:hyperlink w:anchor="_Toc16856263" w:history="1">
            <w:r w:rsidR="0008579C" w:rsidRPr="008A7960">
              <w:rPr>
                <w:rStyle w:val="Hyperlink"/>
              </w:rPr>
              <w:t>Tables</w:t>
            </w:r>
            <w:r w:rsidR="0008579C">
              <w:rPr>
                <w:webHidden/>
              </w:rPr>
              <w:tab/>
            </w:r>
            <w:r w:rsidR="0008579C">
              <w:rPr>
                <w:webHidden/>
              </w:rPr>
              <w:fldChar w:fldCharType="begin"/>
            </w:r>
            <w:r w:rsidR="0008579C">
              <w:rPr>
                <w:webHidden/>
              </w:rPr>
              <w:instrText xml:space="preserve"> PAGEREF _Toc16856263 \h </w:instrText>
            </w:r>
            <w:r w:rsidR="0008579C">
              <w:rPr>
                <w:webHidden/>
              </w:rPr>
            </w:r>
            <w:r w:rsidR="0008579C">
              <w:rPr>
                <w:webHidden/>
              </w:rPr>
              <w:fldChar w:fldCharType="separate"/>
            </w:r>
            <w:r w:rsidR="0008579C">
              <w:rPr>
                <w:webHidden/>
              </w:rPr>
              <w:t>vii</w:t>
            </w:r>
            <w:r w:rsidR="0008579C">
              <w:rPr>
                <w:webHidden/>
              </w:rPr>
              <w:fldChar w:fldCharType="end"/>
            </w:r>
          </w:hyperlink>
        </w:p>
        <w:p w14:paraId="1289A434" w14:textId="6669C3C8" w:rsidR="0008579C" w:rsidRDefault="009F6E2C">
          <w:pPr>
            <w:pStyle w:val="TOC2"/>
            <w:rPr>
              <w:rFonts w:asciiTheme="minorHAnsi" w:eastAsiaTheme="minorEastAsia" w:hAnsiTheme="minorHAnsi" w:cstheme="minorBidi"/>
            </w:rPr>
          </w:pPr>
          <w:hyperlink w:anchor="_Toc16856264" w:history="1">
            <w:r w:rsidR="0008579C" w:rsidRPr="008A7960">
              <w:rPr>
                <w:rStyle w:val="Hyperlink"/>
              </w:rPr>
              <w:t>Figures</w:t>
            </w:r>
            <w:r w:rsidR="0008579C">
              <w:rPr>
                <w:webHidden/>
              </w:rPr>
              <w:tab/>
            </w:r>
            <w:r w:rsidR="0008579C">
              <w:rPr>
                <w:webHidden/>
              </w:rPr>
              <w:fldChar w:fldCharType="begin"/>
            </w:r>
            <w:r w:rsidR="0008579C">
              <w:rPr>
                <w:webHidden/>
              </w:rPr>
              <w:instrText xml:space="preserve"> PAGEREF _Toc16856264 \h </w:instrText>
            </w:r>
            <w:r w:rsidR="0008579C">
              <w:rPr>
                <w:webHidden/>
              </w:rPr>
            </w:r>
            <w:r w:rsidR="0008579C">
              <w:rPr>
                <w:webHidden/>
              </w:rPr>
              <w:fldChar w:fldCharType="separate"/>
            </w:r>
            <w:r w:rsidR="0008579C">
              <w:rPr>
                <w:webHidden/>
              </w:rPr>
              <w:t>xi</w:t>
            </w:r>
            <w:r w:rsidR="0008579C">
              <w:rPr>
                <w:webHidden/>
              </w:rPr>
              <w:fldChar w:fldCharType="end"/>
            </w:r>
          </w:hyperlink>
        </w:p>
        <w:p w14:paraId="456D1570" w14:textId="7DDD8AF2" w:rsidR="0008579C" w:rsidRDefault="009F6E2C">
          <w:pPr>
            <w:pStyle w:val="TOC1"/>
            <w:rPr>
              <w:rFonts w:asciiTheme="minorHAnsi" w:eastAsiaTheme="minorEastAsia" w:hAnsiTheme="minorHAnsi" w:cstheme="minorBidi"/>
              <w:b w:val="0"/>
            </w:rPr>
          </w:pPr>
          <w:hyperlink w:anchor="_Toc16856265" w:history="1">
            <w:r w:rsidR="0008579C" w:rsidRPr="008A7960">
              <w:rPr>
                <w:rStyle w:val="Hyperlink"/>
              </w:rPr>
              <w:t>Executive Summary</w:t>
            </w:r>
            <w:r w:rsidR="0008579C">
              <w:rPr>
                <w:webHidden/>
              </w:rPr>
              <w:tab/>
            </w:r>
            <w:r w:rsidR="0008579C">
              <w:rPr>
                <w:webHidden/>
              </w:rPr>
              <w:fldChar w:fldCharType="begin"/>
            </w:r>
            <w:r w:rsidR="0008579C">
              <w:rPr>
                <w:webHidden/>
              </w:rPr>
              <w:instrText xml:space="preserve"> PAGEREF _Toc16856265 \h </w:instrText>
            </w:r>
            <w:r w:rsidR="0008579C">
              <w:rPr>
                <w:webHidden/>
              </w:rPr>
            </w:r>
            <w:r w:rsidR="0008579C">
              <w:rPr>
                <w:webHidden/>
              </w:rPr>
              <w:fldChar w:fldCharType="separate"/>
            </w:r>
            <w:r w:rsidR="0008579C">
              <w:rPr>
                <w:webHidden/>
              </w:rPr>
              <w:t>1</w:t>
            </w:r>
            <w:r w:rsidR="0008579C">
              <w:rPr>
                <w:webHidden/>
              </w:rPr>
              <w:fldChar w:fldCharType="end"/>
            </w:r>
          </w:hyperlink>
        </w:p>
        <w:p w14:paraId="04DC4C86" w14:textId="32A6483A" w:rsidR="0008579C" w:rsidRDefault="009F6E2C">
          <w:pPr>
            <w:pStyle w:val="TOC2"/>
            <w:rPr>
              <w:rFonts w:asciiTheme="minorHAnsi" w:eastAsiaTheme="minorEastAsia" w:hAnsiTheme="minorHAnsi" w:cstheme="minorBidi"/>
            </w:rPr>
          </w:pPr>
          <w:hyperlink w:anchor="_Toc16856266" w:history="1">
            <w:r w:rsidR="0008579C" w:rsidRPr="008A7960">
              <w:rPr>
                <w:rStyle w:val="Hyperlink"/>
              </w:rPr>
              <w:t>Immunoglobulin for acquired hypogammaglobulinaemia secondary to haematological malignancies, or post-haemopoietic stem cell transplantation (HSCT)</w:t>
            </w:r>
            <w:r w:rsidR="0008579C">
              <w:rPr>
                <w:webHidden/>
              </w:rPr>
              <w:tab/>
            </w:r>
            <w:r w:rsidR="0008579C">
              <w:rPr>
                <w:webHidden/>
              </w:rPr>
              <w:fldChar w:fldCharType="begin"/>
            </w:r>
            <w:r w:rsidR="0008579C">
              <w:rPr>
                <w:webHidden/>
              </w:rPr>
              <w:instrText xml:space="preserve"> PAGEREF _Toc16856266 \h </w:instrText>
            </w:r>
            <w:r w:rsidR="0008579C">
              <w:rPr>
                <w:webHidden/>
              </w:rPr>
            </w:r>
            <w:r w:rsidR="0008579C">
              <w:rPr>
                <w:webHidden/>
              </w:rPr>
              <w:fldChar w:fldCharType="separate"/>
            </w:r>
            <w:r w:rsidR="0008579C">
              <w:rPr>
                <w:webHidden/>
              </w:rPr>
              <w:t>1</w:t>
            </w:r>
            <w:r w:rsidR="0008579C">
              <w:rPr>
                <w:webHidden/>
              </w:rPr>
              <w:fldChar w:fldCharType="end"/>
            </w:r>
          </w:hyperlink>
        </w:p>
        <w:p w14:paraId="12705433" w14:textId="639BB877" w:rsidR="0008579C" w:rsidRDefault="009F6E2C">
          <w:pPr>
            <w:pStyle w:val="TOC3"/>
            <w:rPr>
              <w:rFonts w:asciiTheme="minorHAnsi" w:eastAsiaTheme="minorEastAsia" w:hAnsiTheme="minorHAnsi" w:cstheme="minorBidi"/>
            </w:rPr>
          </w:pPr>
          <w:hyperlink w:anchor="_Toc16856267" w:history="1">
            <w:r w:rsidR="0008579C" w:rsidRPr="008A7960">
              <w:rPr>
                <w:rStyle w:val="Hyperlink"/>
              </w:rPr>
              <w:t>Alignment with agreed PICO Confirmation</w:t>
            </w:r>
            <w:r w:rsidR="0008579C">
              <w:rPr>
                <w:webHidden/>
              </w:rPr>
              <w:tab/>
            </w:r>
            <w:r w:rsidR="0008579C">
              <w:rPr>
                <w:webHidden/>
              </w:rPr>
              <w:fldChar w:fldCharType="begin"/>
            </w:r>
            <w:r w:rsidR="0008579C">
              <w:rPr>
                <w:webHidden/>
              </w:rPr>
              <w:instrText xml:space="preserve"> PAGEREF _Toc16856267 \h </w:instrText>
            </w:r>
            <w:r w:rsidR="0008579C">
              <w:rPr>
                <w:webHidden/>
              </w:rPr>
            </w:r>
            <w:r w:rsidR="0008579C">
              <w:rPr>
                <w:webHidden/>
              </w:rPr>
              <w:fldChar w:fldCharType="separate"/>
            </w:r>
            <w:r w:rsidR="0008579C">
              <w:rPr>
                <w:webHidden/>
              </w:rPr>
              <w:t>2</w:t>
            </w:r>
            <w:r w:rsidR="0008579C">
              <w:rPr>
                <w:webHidden/>
              </w:rPr>
              <w:fldChar w:fldCharType="end"/>
            </w:r>
          </w:hyperlink>
        </w:p>
        <w:p w14:paraId="7A5ADFBF" w14:textId="59A2F059" w:rsidR="0008579C" w:rsidRDefault="009F6E2C">
          <w:pPr>
            <w:pStyle w:val="TOC3"/>
            <w:rPr>
              <w:rFonts w:asciiTheme="minorHAnsi" w:eastAsiaTheme="minorEastAsia" w:hAnsiTheme="minorHAnsi" w:cstheme="minorBidi"/>
            </w:rPr>
          </w:pPr>
          <w:hyperlink w:anchor="_Toc16856268" w:history="1">
            <w:r w:rsidR="0008579C" w:rsidRPr="008A7960">
              <w:rPr>
                <w:rStyle w:val="Hyperlink"/>
              </w:rPr>
              <w:t>Medical Service</w:t>
            </w:r>
            <w:r w:rsidR="0008579C">
              <w:rPr>
                <w:webHidden/>
              </w:rPr>
              <w:tab/>
            </w:r>
            <w:r w:rsidR="0008579C">
              <w:rPr>
                <w:webHidden/>
              </w:rPr>
              <w:fldChar w:fldCharType="begin"/>
            </w:r>
            <w:r w:rsidR="0008579C">
              <w:rPr>
                <w:webHidden/>
              </w:rPr>
              <w:instrText xml:space="preserve"> PAGEREF _Toc16856268 \h </w:instrText>
            </w:r>
            <w:r w:rsidR="0008579C">
              <w:rPr>
                <w:webHidden/>
              </w:rPr>
            </w:r>
            <w:r w:rsidR="0008579C">
              <w:rPr>
                <w:webHidden/>
              </w:rPr>
              <w:fldChar w:fldCharType="separate"/>
            </w:r>
            <w:r w:rsidR="0008579C">
              <w:rPr>
                <w:webHidden/>
              </w:rPr>
              <w:t>2</w:t>
            </w:r>
            <w:r w:rsidR="0008579C">
              <w:rPr>
                <w:webHidden/>
              </w:rPr>
              <w:fldChar w:fldCharType="end"/>
            </w:r>
          </w:hyperlink>
        </w:p>
        <w:p w14:paraId="0B469D93" w14:textId="6FF94F43" w:rsidR="0008579C" w:rsidRDefault="009F6E2C">
          <w:pPr>
            <w:pStyle w:val="TOC3"/>
            <w:rPr>
              <w:rFonts w:asciiTheme="minorHAnsi" w:eastAsiaTheme="minorEastAsia" w:hAnsiTheme="minorHAnsi" w:cstheme="minorBidi"/>
            </w:rPr>
          </w:pPr>
          <w:hyperlink w:anchor="_Toc16856269" w:history="1">
            <w:r w:rsidR="0008579C" w:rsidRPr="008A7960">
              <w:rPr>
                <w:rStyle w:val="Hyperlink"/>
              </w:rPr>
              <w:t>Public Funding</w:t>
            </w:r>
            <w:r w:rsidR="0008579C">
              <w:rPr>
                <w:webHidden/>
              </w:rPr>
              <w:tab/>
            </w:r>
            <w:r w:rsidR="0008579C">
              <w:rPr>
                <w:webHidden/>
              </w:rPr>
              <w:fldChar w:fldCharType="begin"/>
            </w:r>
            <w:r w:rsidR="0008579C">
              <w:rPr>
                <w:webHidden/>
              </w:rPr>
              <w:instrText xml:space="preserve"> PAGEREF _Toc16856269 \h </w:instrText>
            </w:r>
            <w:r w:rsidR="0008579C">
              <w:rPr>
                <w:webHidden/>
              </w:rPr>
            </w:r>
            <w:r w:rsidR="0008579C">
              <w:rPr>
                <w:webHidden/>
              </w:rPr>
              <w:fldChar w:fldCharType="separate"/>
            </w:r>
            <w:r w:rsidR="0008579C">
              <w:rPr>
                <w:webHidden/>
              </w:rPr>
              <w:t>3</w:t>
            </w:r>
            <w:r w:rsidR="0008579C">
              <w:rPr>
                <w:webHidden/>
              </w:rPr>
              <w:fldChar w:fldCharType="end"/>
            </w:r>
          </w:hyperlink>
        </w:p>
        <w:p w14:paraId="2F17B532" w14:textId="523424ED" w:rsidR="0008579C" w:rsidRDefault="009F6E2C">
          <w:pPr>
            <w:pStyle w:val="TOC3"/>
            <w:rPr>
              <w:rFonts w:asciiTheme="minorHAnsi" w:eastAsiaTheme="minorEastAsia" w:hAnsiTheme="minorHAnsi" w:cstheme="minorBidi"/>
            </w:rPr>
          </w:pPr>
          <w:hyperlink w:anchor="_Toc16856270" w:history="1">
            <w:r w:rsidR="0008579C" w:rsidRPr="008A7960">
              <w:rPr>
                <w:rStyle w:val="Hyperlink"/>
              </w:rPr>
              <w:t>Population</w:t>
            </w:r>
            <w:r w:rsidR="0008579C">
              <w:rPr>
                <w:webHidden/>
              </w:rPr>
              <w:tab/>
            </w:r>
            <w:r w:rsidR="0008579C">
              <w:rPr>
                <w:webHidden/>
              </w:rPr>
              <w:fldChar w:fldCharType="begin"/>
            </w:r>
            <w:r w:rsidR="0008579C">
              <w:rPr>
                <w:webHidden/>
              </w:rPr>
              <w:instrText xml:space="preserve"> PAGEREF _Toc16856270 \h </w:instrText>
            </w:r>
            <w:r w:rsidR="0008579C">
              <w:rPr>
                <w:webHidden/>
              </w:rPr>
            </w:r>
            <w:r w:rsidR="0008579C">
              <w:rPr>
                <w:webHidden/>
              </w:rPr>
              <w:fldChar w:fldCharType="separate"/>
            </w:r>
            <w:r w:rsidR="0008579C">
              <w:rPr>
                <w:webHidden/>
              </w:rPr>
              <w:t>3</w:t>
            </w:r>
            <w:r w:rsidR="0008579C">
              <w:rPr>
                <w:webHidden/>
              </w:rPr>
              <w:fldChar w:fldCharType="end"/>
            </w:r>
          </w:hyperlink>
        </w:p>
        <w:p w14:paraId="3B8EF9C2" w14:textId="272CBF7D" w:rsidR="0008579C" w:rsidRDefault="009F6E2C">
          <w:pPr>
            <w:pStyle w:val="TOC3"/>
            <w:rPr>
              <w:rFonts w:asciiTheme="minorHAnsi" w:eastAsiaTheme="minorEastAsia" w:hAnsiTheme="minorHAnsi" w:cstheme="minorBidi"/>
            </w:rPr>
          </w:pPr>
          <w:hyperlink w:anchor="_Toc16856271" w:history="1">
            <w:r w:rsidR="0008579C" w:rsidRPr="008A7960">
              <w:rPr>
                <w:rStyle w:val="Hyperlink"/>
              </w:rPr>
              <w:t>Comparator Details</w:t>
            </w:r>
            <w:r w:rsidR="0008579C">
              <w:rPr>
                <w:webHidden/>
              </w:rPr>
              <w:tab/>
            </w:r>
            <w:r w:rsidR="0008579C">
              <w:rPr>
                <w:webHidden/>
              </w:rPr>
              <w:fldChar w:fldCharType="begin"/>
            </w:r>
            <w:r w:rsidR="0008579C">
              <w:rPr>
                <w:webHidden/>
              </w:rPr>
              <w:instrText xml:space="preserve"> PAGEREF _Toc16856271 \h </w:instrText>
            </w:r>
            <w:r w:rsidR="0008579C">
              <w:rPr>
                <w:webHidden/>
              </w:rPr>
            </w:r>
            <w:r w:rsidR="0008579C">
              <w:rPr>
                <w:webHidden/>
              </w:rPr>
              <w:fldChar w:fldCharType="separate"/>
            </w:r>
            <w:r w:rsidR="0008579C">
              <w:rPr>
                <w:webHidden/>
              </w:rPr>
              <w:t>4</w:t>
            </w:r>
            <w:r w:rsidR="0008579C">
              <w:rPr>
                <w:webHidden/>
              </w:rPr>
              <w:fldChar w:fldCharType="end"/>
            </w:r>
          </w:hyperlink>
        </w:p>
        <w:p w14:paraId="771062F6" w14:textId="3E6503F8" w:rsidR="0008579C" w:rsidRDefault="009F6E2C">
          <w:pPr>
            <w:pStyle w:val="TOC3"/>
            <w:rPr>
              <w:rFonts w:asciiTheme="minorHAnsi" w:eastAsiaTheme="minorEastAsia" w:hAnsiTheme="minorHAnsi" w:cstheme="minorBidi"/>
            </w:rPr>
          </w:pPr>
          <w:hyperlink w:anchor="_Toc16856272" w:history="1">
            <w:r w:rsidR="0008579C" w:rsidRPr="008A7960">
              <w:rPr>
                <w:rStyle w:val="Hyperlink"/>
              </w:rPr>
              <w:t>Clinical management algorithm(s)</w:t>
            </w:r>
            <w:r w:rsidR="0008579C">
              <w:rPr>
                <w:webHidden/>
              </w:rPr>
              <w:tab/>
            </w:r>
            <w:r w:rsidR="0008579C">
              <w:rPr>
                <w:webHidden/>
              </w:rPr>
              <w:fldChar w:fldCharType="begin"/>
            </w:r>
            <w:r w:rsidR="0008579C">
              <w:rPr>
                <w:webHidden/>
              </w:rPr>
              <w:instrText xml:space="preserve"> PAGEREF _Toc16856272 \h </w:instrText>
            </w:r>
            <w:r w:rsidR="0008579C">
              <w:rPr>
                <w:webHidden/>
              </w:rPr>
            </w:r>
            <w:r w:rsidR="0008579C">
              <w:rPr>
                <w:webHidden/>
              </w:rPr>
              <w:fldChar w:fldCharType="separate"/>
            </w:r>
            <w:r w:rsidR="0008579C">
              <w:rPr>
                <w:webHidden/>
              </w:rPr>
              <w:t>5</w:t>
            </w:r>
            <w:r w:rsidR="0008579C">
              <w:rPr>
                <w:webHidden/>
              </w:rPr>
              <w:fldChar w:fldCharType="end"/>
            </w:r>
          </w:hyperlink>
        </w:p>
        <w:p w14:paraId="4AB16F41" w14:textId="066E0328" w:rsidR="0008579C" w:rsidRDefault="009F6E2C">
          <w:pPr>
            <w:pStyle w:val="TOC3"/>
            <w:rPr>
              <w:rFonts w:asciiTheme="minorHAnsi" w:eastAsiaTheme="minorEastAsia" w:hAnsiTheme="minorHAnsi" w:cstheme="minorBidi"/>
            </w:rPr>
          </w:pPr>
          <w:hyperlink w:anchor="_Toc16856273" w:history="1">
            <w:r w:rsidR="0008579C" w:rsidRPr="008A7960">
              <w:rPr>
                <w:rStyle w:val="Hyperlink"/>
              </w:rPr>
              <w:t>Key Differences in the Delivery of the Proposed Medical Service and the Main Comparator</w:t>
            </w:r>
            <w:r w:rsidR="0008579C">
              <w:rPr>
                <w:webHidden/>
              </w:rPr>
              <w:tab/>
            </w:r>
            <w:r w:rsidR="0008579C">
              <w:rPr>
                <w:webHidden/>
              </w:rPr>
              <w:fldChar w:fldCharType="begin"/>
            </w:r>
            <w:r w:rsidR="0008579C">
              <w:rPr>
                <w:webHidden/>
              </w:rPr>
              <w:instrText xml:space="preserve"> PAGEREF _Toc16856273 \h </w:instrText>
            </w:r>
            <w:r w:rsidR="0008579C">
              <w:rPr>
                <w:webHidden/>
              </w:rPr>
            </w:r>
            <w:r w:rsidR="0008579C">
              <w:rPr>
                <w:webHidden/>
              </w:rPr>
              <w:fldChar w:fldCharType="separate"/>
            </w:r>
            <w:r w:rsidR="0008579C">
              <w:rPr>
                <w:webHidden/>
              </w:rPr>
              <w:t>5</w:t>
            </w:r>
            <w:r w:rsidR="0008579C">
              <w:rPr>
                <w:webHidden/>
              </w:rPr>
              <w:fldChar w:fldCharType="end"/>
            </w:r>
          </w:hyperlink>
        </w:p>
        <w:p w14:paraId="1405DC12" w14:textId="2AB6C0C3" w:rsidR="0008579C" w:rsidRDefault="009F6E2C">
          <w:pPr>
            <w:pStyle w:val="TOC3"/>
            <w:rPr>
              <w:rFonts w:asciiTheme="minorHAnsi" w:eastAsiaTheme="minorEastAsia" w:hAnsiTheme="minorHAnsi" w:cstheme="minorBidi"/>
            </w:rPr>
          </w:pPr>
          <w:hyperlink w:anchor="_Toc16856274" w:history="1">
            <w:r w:rsidR="0008579C" w:rsidRPr="008A7960">
              <w:rPr>
                <w:rStyle w:val="Hyperlink"/>
              </w:rPr>
              <w:t>Clinical Claim</w:t>
            </w:r>
            <w:r w:rsidR="0008579C">
              <w:rPr>
                <w:webHidden/>
              </w:rPr>
              <w:tab/>
            </w:r>
            <w:r w:rsidR="0008579C">
              <w:rPr>
                <w:webHidden/>
              </w:rPr>
              <w:fldChar w:fldCharType="begin"/>
            </w:r>
            <w:r w:rsidR="0008579C">
              <w:rPr>
                <w:webHidden/>
              </w:rPr>
              <w:instrText xml:space="preserve"> PAGEREF _Toc16856274 \h </w:instrText>
            </w:r>
            <w:r w:rsidR="0008579C">
              <w:rPr>
                <w:webHidden/>
              </w:rPr>
            </w:r>
            <w:r w:rsidR="0008579C">
              <w:rPr>
                <w:webHidden/>
              </w:rPr>
              <w:fldChar w:fldCharType="separate"/>
            </w:r>
            <w:r w:rsidR="0008579C">
              <w:rPr>
                <w:webHidden/>
              </w:rPr>
              <w:t>5</w:t>
            </w:r>
            <w:r w:rsidR="0008579C">
              <w:rPr>
                <w:webHidden/>
              </w:rPr>
              <w:fldChar w:fldCharType="end"/>
            </w:r>
          </w:hyperlink>
        </w:p>
        <w:p w14:paraId="3FD84EA5" w14:textId="02E2302E" w:rsidR="0008579C" w:rsidRDefault="009F6E2C">
          <w:pPr>
            <w:pStyle w:val="TOC3"/>
            <w:rPr>
              <w:rFonts w:asciiTheme="minorHAnsi" w:eastAsiaTheme="minorEastAsia" w:hAnsiTheme="minorHAnsi" w:cstheme="minorBidi"/>
            </w:rPr>
          </w:pPr>
          <w:hyperlink w:anchor="_Toc16856275" w:history="1">
            <w:r w:rsidR="0008579C" w:rsidRPr="008A7960">
              <w:rPr>
                <w:rStyle w:val="Hyperlink"/>
              </w:rPr>
              <w:t>Approach Taken to the Evidence Assessment</w:t>
            </w:r>
            <w:r w:rsidR="0008579C">
              <w:rPr>
                <w:webHidden/>
              </w:rPr>
              <w:tab/>
            </w:r>
            <w:r w:rsidR="0008579C">
              <w:rPr>
                <w:webHidden/>
              </w:rPr>
              <w:fldChar w:fldCharType="begin"/>
            </w:r>
            <w:r w:rsidR="0008579C">
              <w:rPr>
                <w:webHidden/>
              </w:rPr>
              <w:instrText xml:space="preserve"> PAGEREF _Toc16856275 \h </w:instrText>
            </w:r>
            <w:r w:rsidR="0008579C">
              <w:rPr>
                <w:webHidden/>
              </w:rPr>
            </w:r>
            <w:r w:rsidR="0008579C">
              <w:rPr>
                <w:webHidden/>
              </w:rPr>
              <w:fldChar w:fldCharType="separate"/>
            </w:r>
            <w:r w:rsidR="0008579C">
              <w:rPr>
                <w:webHidden/>
              </w:rPr>
              <w:t>5</w:t>
            </w:r>
            <w:r w:rsidR="0008579C">
              <w:rPr>
                <w:webHidden/>
              </w:rPr>
              <w:fldChar w:fldCharType="end"/>
            </w:r>
          </w:hyperlink>
        </w:p>
        <w:p w14:paraId="684DDAF1" w14:textId="50023563" w:rsidR="0008579C" w:rsidRDefault="009F6E2C">
          <w:pPr>
            <w:pStyle w:val="TOC3"/>
            <w:rPr>
              <w:rFonts w:asciiTheme="minorHAnsi" w:eastAsiaTheme="minorEastAsia" w:hAnsiTheme="minorHAnsi" w:cstheme="minorBidi"/>
            </w:rPr>
          </w:pPr>
          <w:hyperlink w:anchor="_Toc16856276" w:history="1">
            <w:r w:rsidR="0008579C" w:rsidRPr="008A7960">
              <w:rPr>
                <w:rStyle w:val="Hyperlink"/>
              </w:rPr>
              <w:t>Characteristics of the Evidence Base</w:t>
            </w:r>
            <w:r w:rsidR="0008579C">
              <w:rPr>
                <w:webHidden/>
              </w:rPr>
              <w:tab/>
            </w:r>
            <w:r w:rsidR="0008579C">
              <w:rPr>
                <w:webHidden/>
              </w:rPr>
              <w:fldChar w:fldCharType="begin"/>
            </w:r>
            <w:r w:rsidR="0008579C">
              <w:rPr>
                <w:webHidden/>
              </w:rPr>
              <w:instrText xml:space="preserve"> PAGEREF _Toc16856276 \h </w:instrText>
            </w:r>
            <w:r w:rsidR="0008579C">
              <w:rPr>
                <w:webHidden/>
              </w:rPr>
            </w:r>
            <w:r w:rsidR="0008579C">
              <w:rPr>
                <w:webHidden/>
              </w:rPr>
              <w:fldChar w:fldCharType="separate"/>
            </w:r>
            <w:r w:rsidR="0008579C">
              <w:rPr>
                <w:webHidden/>
              </w:rPr>
              <w:t>6</w:t>
            </w:r>
            <w:r w:rsidR="0008579C">
              <w:rPr>
                <w:webHidden/>
              </w:rPr>
              <w:fldChar w:fldCharType="end"/>
            </w:r>
          </w:hyperlink>
        </w:p>
        <w:p w14:paraId="0DD548F0" w14:textId="3DB836C2" w:rsidR="0008579C" w:rsidRDefault="009F6E2C">
          <w:pPr>
            <w:pStyle w:val="TOC3"/>
            <w:rPr>
              <w:rFonts w:asciiTheme="minorHAnsi" w:eastAsiaTheme="minorEastAsia" w:hAnsiTheme="minorHAnsi" w:cstheme="minorBidi"/>
            </w:rPr>
          </w:pPr>
          <w:hyperlink w:anchor="_Toc16856277" w:history="1">
            <w:r w:rsidR="0008579C" w:rsidRPr="008A7960">
              <w:rPr>
                <w:rStyle w:val="Hyperlink"/>
              </w:rPr>
              <w:t>Results</w:t>
            </w:r>
            <w:r w:rsidR="0008579C">
              <w:rPr>
                <w:webHidden/>
              </w:rPr>
              <w:tab/>
            </w:r>
            <w:r w:rsidR="0008579C">
              <w:rPr>
                <w:webHidden/>
              </w:rPr>
              <w:fldChar w:fldCharType="begin"/>
            </w:r>
            <w:r w:rsidR="0008579C">
              <w:rPr>
                <w:webHidden/>
              </w:rPr>
              <w:instrText xml:space="preserve"> PAGEREF _Toc16856277 \h </w:instrText>
            </w:r>
            <w:r w:rsidR="0008579C">
              <w:rPr>
                <w:webHidden/>
              </w:rPr>
            </w:r>
            <w:r w:rsidR="0008579C">
              <w:rPr>
                <w:webHidden/>
              </w:rPr>
              <w:fldChar w:fldCharType="separate"/>
            </w:r>
            <w:r w:rsidR="0008579C">
              <w:rPr>
                <w:webHidden/>
              </w:rPr>
              <w:t>7</w:t>
            </w:r>
            <w:r w:rsidR="0008579C">
              <w:rPr>
                <w:webHidden/>
              </w:rPr>
              <w:fldChar w:fldCharType="end"/>
            </w:r>
          </w:hyperlink>
        </w:p>
        <w:p w14:paraId="4A5BDC8E" w14:textId="245B78E5" w:rsidR="0008579C" w:rsidRDefault="009F6E2C">
          <w:pPr>
            <w:pStyle w:val="TOC3"/>
            <w:rPr>
              <w:rFonts w:asciiTheme="minorHAnsi" w:eastAsiaTheme="minorEastAsia" w:hAnsiTheme="minorHAnsi" w:cstheme="minorBidi"/>
            </w:rPr>
          </w:pPr>
          <w:hyperlink w:anchor="_Toc16856278" w:history="1">
            <w:r w:rsidR="0008579C" w:rsidRPr="008A7960">
              <w:rPr>
                <w:rStyle w:val="Hyperlink"/>
              </w:rPr>
              <w:t>Translation Issues</w:t>
            </w:r>
            <w:r w:rsidR="0008579C">
              <w:rPr>
                <w:webHidden/>
              </w:rPr>
              <w:tab/>
            </w:r>
            <w:r w:rsidR="0008579C">
              <w:rPr>
                <w:webHidden/>
              </w:rPr>
              <w:fldChar w:fldCharType="begin"/>
            </w:r>
            <w:r w:rsidR="0008579C">
              <w:rPr>
                <w:webHidden/>
              </w:rPr>
              <w:instrText xml:space="preserve"> PAGEREF _Toc16856278 \h </w:instrText>
            </w:r>
            <w:r w:rsidR="0008579C">
              <w:rPr>
                <w:webHidden/>
              </w:rPr>
            </w:r>
            <w:r w:rsidR="0008579C">
              <w:rPr>
                <w:webHidden/>
              </w:rPr>
              <w:fldChar w:fldCharType="separate"/>
            </w:r>
            <w:r w:rsidR="0008579C">
              <w:rPr>
                <w:webHidden/>
              </w:rPr>
              <w:t>10</w:t>
            </w:r>
            <w:r w:rsidR="0008579C">
              <w:rPr>
                <w:webHidden/>
              </w:rPr>
              <w:fldChar w:fldCharType="end"/>
            </w:r>
          </w:hyperlink>
        </w:p>
        <w:p w14:paraId="4129045C" w14:textId="00F83D9F" w:rsidR="0008579C" w:rsidRDefault="009F6E2C">
          <w:pPr>
            <w:pStyle w:val="TOC3"/>
            <w:rPr>
              <w:rFonts w:asciiTheme="minorHAnsi" w:eastAsiaTheme="minorEastAsia" w:hAnsiTheme="minorHAnsi" w:cstheme="minorBidi"/>
            </w:rPr>
          </w:pPr>
          <w:hyperlink w:anchor="_Toc16856279" w:history="1">
            <w:r w:rsidR="0008579C" w:rsidRPr="008A7960">
              <w:rPr>
                <w:rStyle w:val="Hyperlink"/>
              </w:rPr>
              <w:t>Economic Evaluation</w:t>
            </w:r>
            <w:r w:rsidR="0008579C">
              <w:rPr>
                <w:webHidden/>
              </w:rPr>
              <w:tab/>
            </w:r>
            <w:r w:rsidR="0008579C">
              <w:rPr>
                <w:webHidden/>
              </w:rPr>
              <w:fldChar w:fldCharType="begin"/>
            </w:r>
            <w:r w:rsidR="0008579C">
              <w:rPr>
                <w:webHidden/>
              </w:rPr>
              <w:instrText xml:space="preserve"> PAGEREF _Toc16856279 \h </w:instrText>
            </w:r>
            <w:r w:rsidR="0008579C">
              <w:rPr>
                <w:webHidden/>
              </w:rPr>
            </w:r>
            <w:r w:rsidR="0008579C">
              <w:rPr>
                <w:webHidden/>
              </w:rPr>
              <w:fldChar w:fldCharType="separate"/>
            </w:r>
            <w:r w:rsidR="0008579C">
              <w:rPr>
                <w:webHidden/>
              </w:rPr>
              <w:t>12</w:t>
            </w:r>
            <w:r w:rsidR="0008579C">
              <w:rPr>
                <w:webHidden/>
              </w:rPr>
              <w:fldChar w:fldCharType="end"/>
            </w:r>
          </w:hyperlink>
        </w:p>
        <w:p w14:paraId="5D990FEB" w14:textId="067D425E" w:rsidR="0008579C" w:rsidRDefault="009F6E2C">
          <w:pPr>
            <w:pStyle w:val="TOC3"/>
            <w:rPr>
              <w:rFonts w:asciiTheme="minorHAnsi" w:eastAsiaTheme="minorEastAsia" w:hAnsiTheme="minorHAnsi" w:cstheme="minorBidi"/>
            </w:rPr>
          </w:pPr>
          <w:hyperlink w:anchor="_Toc16856280" w:history="1">
            <w:r w:rsidR="0008579C" w:rsidRPr="008A7960">
              <w:rPr>
                <w:rStyle w:val="Hyperlink"/>
              </w:rPr>
              <w:t>Estimated Extent of Use and Financial Implications</w:t>
            </w:r>
            <w:r w:rsidR="0008579C">
              <w:rPr>
                <w:webHidden/>
              </w:rPr>
              <w:tab/>
            </w:r>
            <w:r w:rsidR="0008579C">
              <w:rPr>
                <w:webHidden/>
              </w:rPr>
              <w:fldChar w:fldCharType="begin"/>
            </w:r>
            <w:r w:rsidR="0008579C">
              <w:rPr>
                <w:webHidden/>
              </w:rPr>
              <w:instrText xml:space="preserve"> PAGEREF _Toc16856280 \h </w:instrText>
            </w:r>
            <w:r w:rsidR="0008579C">
              <w:rPr>
                <w:webHidden/>
              </w:rPr>
            </w:r>
            <w:r w:rsidR="0008579C">
              <w:rPr>
                <w:webHidden/>
              </w:rPr>
              <w:fldChar w:fldCharType="separate"/>
            </w:r>
            <w:r w:rsidR="0008579C">
              <w:rPr>
                <w:webHidden/>
              </w:rPr>
              <w:t>14</w:t>
            </w:r>
            <w:r w:rsidR="0008579C">
              <w:rPr>
                <w:webHidden/>
              </w:rPr>
              <w:fldChar w:fldCharType="end"/>
            </w:r>
          </w:hyperlink>
        </w:p>
        <w:p w14:paraId="540483AF" w14:textId="6B5137B3" w:rsidR="0008579C" w:rsidRDefault="009F6E2C">
          <w:pPr>
            <w:pStyle w:val="TOC3"/>
            <w:rPr>
              <w:rFonts w:asciiTheme="minorHAnsi" w:eastAsiaTheme="minorEastAsia" w:hAnsiTheme="minorHAnsi" w:cstheme="minorBidi"/>
            </w:rPr>
          </w:pPr>
          <w:hyperlink w:anchor="_Toc16856281" w:history="1">
            <w:r w:rsidR="0008579C" w:rsidRPr="008A7960">
              <w:rPr>
                <w:rStyle w:val="Hyperlink"/>
              </w:rPr>
              <w:t>Consumer impact summary</w:t>
            </w:r>
            <w:r w:rsidR="0008579C">
              <w:rPr>
                <w:webHidden/>
              </w:rPr>
              <w:tab/>
            </w:r>
            <w:r w:rsidR="0008579C">
              <w:rPr>
                <w:webHidden/>
              </w:rPr>
              <w:fldChar w:fldCharType="begin"/>
            </w:r>
            <w:r w:rsidR="0008579C">
              <w:rPr>
                <w:webHidden/>
              </w:rPr>
              <w:instrText xml:space="preserve"> PAGEREF _Toc16856281 \h </w:instrText>
            </w:r>
            <w:r w:rsidR="0008579C">
              <w:rPr>
                <w:webHidden/>
              </w:rPr>
            </w:r>
            <w:r w:rsidR="0008579C">
              <w:rPr>
                <w:webHidden/>
              </w:rPr>
              <w:fldChar w:fldCharType="separate"/>
            </w:r>
            <w:r w:rsidR="0008579C">
              <w:rPr>
                <w:webHidden/>
              </w:rPr>
              <w:t>15</w:t>
            </w:r>
            <w:r w:rsidR="0008579C">
              <w:rPr>
                <w:webHidden/>
              </w:rPr>
              <w:fldChar w:fldCharType="end"/>
            </w:r>
          </w:hyperlink>
        </w:p>
        <w:p w14:paraId="4C3CBE32" w14:textId="669473B6" w:rsidR="0008579C" w:rsidRDefault="009F6E2C">
          <w:pPr>
            <w:pStyle w:val="TOC1"/>
            <w:rPr>
              <w:rFonts w:asciiTheme="minorHAnsi" w:eastAsiaTheme="minorEastAsia" w:hAnsiTheme="minorHAnsi" w:cstheme="minorBidi"/>
              <w:b w:val="0"/>
            </w:rPr>
          </w:pPr>
          <w:hyperlink w:anchor="_Toc16856282" w:history="1">
            <w:r w:rsidR="0008579C" w:rsidRPr="008A7960">
              <w:rPr>
                <w:rStyle w:val="Hyperlink"/>
              </w:rPr>
              <w:t>Acronyms and Abbreviations</w:t>
            </w:r>
            <w:r w:rsidR="0008579C">
              <w:rPr>
                <w:webHidden/>
              </w:rPr>
              <w:tab/>
            </w:r>
            <w:r w:rsidR="0008579C">
              <w:rPr>
                <w:webHidden/>
              </w:rPr>
              <w:fldChar w:fldCharType="begin"/>
            </w:r>
            <w:r w:rsidR="0008579C">
              <w:rPr>
                <w:webHidden/>
              </w:rPr>
              <w:instrText xml:space="preserve"> PAGEREF _Toc16856282 \h </w:instrText>
            </w:r>
            <w:r w:rsidR="0008579C">
              <w:rPr>
                <w:webHidden/>
              </w:rPr>
            </w:r>
            <w:r w:rsidR="0008579C">
              <w:rPr>
                <w:webHidden/>
              </w:rPr>
              <w:fldChar w:fldCharType="separate"/>
            </w:r>
            <w:r w:rsidR="0008579C">
              <w:rPr>
                <w:webHidden/>
              </w:rPr>
              <w:t>16</w:t>
            </w:r>
            <w:r w:rsidR="0008579C">
              <w:rPr>
                <w:webHidden/>
              </w:rPr>
              <w:fldChar w:fldCharType="end"/>
            </w:r>
          </w:hyperlink>
        </w:p>
        <w:p w14:paraId="51595409" w14:textId="408185E2" w:rsidR="0008579C" w:rsidRDefault="009F6E2C">
          <w:pPr>
            <w:pStyle w:val="TOC1"/>
            <w:rPr>
              <w:rFonts w:asciiTheme="minorHAnsi" w:eastAsiaTheme="minorEastAsia" w:hAnsiTheme="minorHAnsi" w:cstheme="minorBidi"/>
              <w:b w:val="0"/>
            </w:rPr>
          </w:pPr>
          <w:hyperlink w:anchor="_Toc16856283" w:history="1">
            <w:r w:rsidR="0008579C" w:rsidRPr="008A7960">
              <w:rPr>
                <w:rStyle w:val="Hyperlink"/>
              </w:rPr>
              <w:t>Section A</w:t>
            </w:r>
            <w:r w:rsidR="0008579C">
              <w:rPr>
                <w:rFonts w:asciiTheme="minorHAnsi" w:eastAsiaTheme="minorEastAsia" w:hAnsiTheme="minorHAnsi" w:cstheme="minorBidi"/>
                <w:b w:val="0"/>
              </w:rPr>
              <w:tab/>
            </w:r>
            <w:r w:rsidR="0008579C" w:rsidRPr="008A7960">
              <w:rPr>
                <w:rStyle w:val="Hyperlink"/>
              </w:rPr>
              <w:t>Context</w:t>
            </w:r>
            <w:r w:rsidR="0008579C">
              <w:rPr>
                <w:webHidden/>
              </w:rPr>
              <w:tab/>
            </w:r>
            <w:r w:rsidR="0008579C">
              <w:rPr>
                <w:webHidden/>
              </w:rPr>
              <w:fldChar w:fldCharType="begin"/>
            </w:r>
            <w:r w:rsidR="0008579C">
              <w:rPr>
                <w:webHidden/>
              </w:rPr>
              <w:instrText xml:space="preserve"> PAGEREF _Toc16856283 \h </w:instrText>
            </w:r>
            <w:r w:rsidR="0008579C">
              <w:rPr>
                <w:webHidden/>
              </w:rPr>
            </w:r>
            <w:r w:rsidR="0008579C">
              <w:rPr>
                <w:webHidden/>
              </w:rPr>
              <w:fldChar w:fldCharType="separate"/>
            </w:r>
            <w:r w:rsidR="0008579C">
              <w:rPr>
                <w:webHidden/>
              </w:rPr>
              <w:t>18</w:t>
            </w:r>
            <w:r w:rsidR="0008579C">
              <w:rPr>
                <w:webHidden/>
              </w:rPr>
              <w:fldChar w:fldCharType="end"/>
            </w:r>
          </w:hyperlink>
        </w:p>
        <w:p w14:paraId="6AF9CF3C" w14:textId="0FE749F1" w:rsidR="0008579C" w:rsidRDefault="009F6E2C">
          <w:pPr>
            <w:pStyle w:val="TOC2"/>
            <w:tabs>
              <w:tab w:val="left" w:pos="1540"/>
            </w:tabs>
            <w:rPr>
              <w:rFonts w:asciiTheme="minorHAnsi" w:eastAsiaTheme="minorEastAsia" w:hAnsiTheme="minorHAnsi" w:cstheme="minorBidi"/>
            </w:rPr>
          </w:pPr>
          <w:hyperlink w:anchor="_Toc16856284" w:history="1">
            <w:r w:rsidR="0008579C" w:rsidRPr="008A7960">
              <w:rPr>
                <w:rStyle w:val="Hyperlink"/>
              </w:rPr>
              <w:t>A.1.</w:t>
            </w:r>
            <w:r w:rsidR="0008579C">
              <w:rPr>
                <w:rFonts w:asciiTheme="minorHAnsi" w:eastAsiaTheme="minorEastAsia" w:hAnsiTheme="minorHAnsi" w:cstheme="minorBidi"/>
              </w:rPr>
              <w:tab/>
            </w:r>
            <w:r w:rsidR="0008579C" w:rsidRPr="008A7960">
              <w:rPr>
                <w:rStyle w:val="Hyperlink"/>
              </w:rPr>
              <w:t>Items in the agreed PICO Confirmation</w:t>
            </w:r>
            <w:r w:rsidR="0008579C">
              <w:rPr>
                <w:webHidden/>
              </w:rPr>
              <w:tab/>
            </w:r>
            <w:r w:rsidR="0008579C">
              <w:rPr>
                <w:webHidden/>
              </w:rPr>
              <w:fldChar w:fldCharType="begin"/>
            </w:r>
            <w:r w:rsidR="0008579C">
              <w:rPr>
                <w:webHidden/>
              </w:rPr>
              <w:instrText xml:space="preserve"> PAGEREF _Toc16856284 \h </w:instrText>
            </w:r>
            <w:r w:rsidR="0008579C">
              <w:rPr>
                <w:webHidden/>
              </w:rPr>
            </w:r>
            <w:r w:rsidR="0008579C">
              <w:rPr>
                <w:webHidden/>
              </w:rPr>
              <w:fldChar w:fldCharType="separate"/>
            </w:r>
            <w:r w:rsidR="0008579C">
              <w:rPr>
                <w:webHidden/>
              </w:rPr>
              <w:t>18</w:t>
            </w:r>
            <w:r w:rsidR="0008579C">
              <w:rPr>
                <w:webHidden/>
              </w:rPr>
              <w:fldChar w:fldCharType="end"/>
            </w:r>
          </w:hyperlink>
        </w:p>
        <w:p w14:paraId="0C901534" w14:textId="06A988E2" w:rsidR="0008579C" w:rsidRDefault="009F6E2C">
          <w:pPr>
            <w:pStyle w:val="TOC2"/>
            <w:tabs>
              <w:tab w:val="left" w:pos="1540"/>
            </w:tabs>
            <w:rPr>
              <w:rFonts w:asciiTheme="minorHAnsi" w:eastAsiaTheme="minorEastAsia" w:hAnsiTheme="minorHAnsi" w:cstheme="minorBidi"/>
            </w:rPr>
          </w:pPr>
          <w:hyperlink w:anchor="_Toc16856285" w:history="1">
            <w:r w:rsidR="0008579C" w:rsidRPr="008A7960">
              <w:rPr>
                <w:rStyle w:val="Hyperlink"/>
              </w:rPr>
              <w:t>A.2.</w:t>
            </w:r>
            <w:r w:rsidR="0008579C">
              <w:rPr>
                <w:rFonts w:asciiTheme="minorHAnsi" w:eastAsiaTheme="minorEastAsia" w:hAnsiTheme="minorHAnsi" w:cstheme="minorBidi"/>
              </w:rPr>
              <w:tab/>
            </w:r>
            <w:r w:rsidR="0008579C" w:rsidRPr="008A7960">
              <w:rPr>
                <w:rStyle w:val="Hyperlink"/>
              </w:rPr>
              <w:t>Medical Service Reviewed</w:t>
            </w:r>
            <w:r w:rsidR="0008579C">
              <w:rPr>
                <w:webHidden/>
              </w:rPr>
              <w:tab/>
            </w:r>
            <w:r w:rsidR="0008579C">
              <w:rPr>
                <w:webHidden/>
              </w:rPr>
              <w:fldChar w:fldCharType="begin"/>
            </w:r>
            <w:r w:rsidR="0008579C">
              <w:rPr>
                <w:webHidden/>
              </w:rPr>
              <w:instrText xml:space="preserve"> PAGEREF _Toc16856285 \h </w:instrText>
            </w:r>
            <w:r w:rsidR="0008579C">
              <w:rPr>
                <w:webHidden/>
              </w:rPr>
            </w:r>
            <w:r w:rsidR="0008579C">
              <w:rPr>
                <w:webHidden/>
              </w:rPr>
              <w:fldChar w:fldCharType="separate"/>
            </w:r>
            <w:r w:rsidR="0008579C">
              <w:rPr>
                <w:webHidden/>
              </w:rPr>
              <w:t>19</w:t>
            </w:r>
            <w:r w:rsidR="0008579C">
              <w:rPr>
                <w:webHidden/>
              </w:rPr>
              <w:fldChar w:fldCharType="end"/>
            </w:r>
          </w:hyperlink>
        </w:p>
        <w:p w14:paraId="0E8A2EA8" w14:textId="20F06731" w:rsidR="0008579C" w:rsidRDefault="009F6E2C">
          <w:pPr>
            <w:pStyle w:val="TOC3"/>
            <w:rPr>
              <w:rFonts w:asciiTheme="minorHAnsi" w:eastAsiaTheme="minorEastAsia" w:hAnsiTheme="minorHAnsi" w:cstheme="minorBidi"/>
            </w:rPr>
          </w:pPr>
          <w:hyperlink w:anchor="_Toc16856286" w:history="1">
            <w:r w:rsidR="0008579C" w:rsidRPr="008A7960">
              <w:rPr>
                <w:rStyle w:val="Hyperlink"/>
              </w:rPr>
              <w:t>Current funding arrangements</w:t>
            </w:r>
            <w:r w:rsidR="0008579C">
              <w:rPr>
                <w:webHidden/>
              </w:rPr>
              <w:tab/>
            </w:r>
            <w:r w:rsidR="0008579C">
              <w:rPr>
                <w:webHidden/>
              </w:rPr>
              <w:fldChar w:fldCharType="begin"/>
            </w:r>
            <w:r w:rsidR="0008579C">
              <w:rPr>
                <w:webHidden/>
              </w:rPr>
              <w:instrText xml:space="preserve"> PAGEREF _Toc16856286 \h </w:instrText>
            </w:r>
            <w:r w:rsidR="0008579C">
              <w:rPr>
                <w:webHidden/>
              </w:rPr>
            </w:r>
            <w:r w:rsidR="0008579C">
              <w:rPr>
                <w:webHidden/>
              </w:rPr>
              <w:fldChar w:fldCharType="separate"/>
            </w:r>
            <w:r w:rsidR="0008579C">
              <w:rPr>
                <w:webHidden/>
              </w:rPr>
              <w:t>19</w:t>
            </w:r>
            <w:r w:rsidR="0008579C">
              <w:rPr>
                <w:webHidden/>
              </w:rPr>
              <w:fldChar w:fldCharType="end"/>
            </w:r>
          </w:hyperlink>
        </w:p>
        <w:p w14:paraId="662C9070" w14:textId="0CCE6FAB" w:rsidR="0008579C" w:rsidRDefault="009F6E2C">
          <w:pPr>
            <w:pStyle w:val="TOC3"/>
            <w:rPr>
              <w:rFonts w:asciiTheme="minorHAnsi" w:eastAsiaTheme="minorEastAsia" w:hAnsiTheme="minorHAnsi" w:cstheme="minorBidi"/>
            </w:rPr>
          </w:pPr>
          <w:hyperlink w:anchor="_Toc16856287" w:history="1">
            <w:r w:rsidR="0008579C" w:rsidRPr="008A7960">
              <w:rPr>
                <w:rStyle w:val="Hyperlink"/>
              </w:rPr>
              <w:t>Marketing status of IgG products</w:t>
            </w:r>
            <w:r w:rsidR="0008579C">
              <w:rPr>
                <w:webHidden/>
              </w:rPr>
              <w:tab/>
            </w:r>
            <w:r w:rsidR="0008579C">
              <w:rPr>
                <w:webHidden/>
              </w:rPr>
              <w:fldChar w:fldCharType="begin"/>
            </w:r>
            <w:r w:rsidR="0008579C">
              <w:rPr>
                <w:webHidden/>
              </w:rPr>
              <w:instrText xml:space="preserve"> PAGEREF _Toc16856287 \h </w:instrText>
            </w:r>
            <w:r w:rsidR="0008579C">
              <w:rPr>
                <w:webHidden/>
              </w:rPr>
            </w:r>
            <w:r w:rsidR="0008579C">
              <w:rPr>
                <w:webHidden/>
              </w:rPr>
              <w:fldChar w:fldCharType="separate"/>
            </w:r>
            <w:r w:rsidR="0008579C">
              <w:rPr>
                <w:webHidden/>
              </w:rPr>
              <w:t>20</w:t>
            </w:r>
            <w:r w:rsidR="0008579C">
              <w:rPr>
                <w:webHidden/>
              </w:rPr>
              <w:fldChar w:fldCharType="end"/>
            </w:r>
          </w:hyperlink>
        </w:p>
        <w:p w14:paraId="56ADF55F" w14:textId="6A463D57" w:rsidR="0008579C" w:rsidRDefault="009F6E2C">
          <w:pPr>
            <w:pStyle w:val="TOC3"/>
            <w:rPr>
              <w:rFonts w:asciiTheme="minorHAnsi" w:eastAsiaTheme="minorEastAsia" w:hAnsiTheme="minorHAnsi" w:cstheme="minorBidi"/>
            </w:rPr>
          </w:pPr>
          <w:hyperlink w:anchor="_Toc16856288" w:history="1">
            <w:r w:rsidR="0008579C" w:rsidRPr="008A7960">
              <w:rPr>
                <w:rStyle w:val="Hyperlink"/>
              </w:rPr>
              <w:t>Current Clinical Practice</w:t>
            </w:r>
            <w:r w:rsidR="0008579C">
              <w:rPr>
                <w:webHidden/>
              </w:rPr>
              <w:tab/>
            </w:r>
            <w:r w:rsidR="0008579C">
              <w:rPr>
                <w:webHidden/>
              </w:rPr>
              <w:fldChar w:fldCharType="begin"/>
            </w:r>
            <w:r w:rsidR="0008579C">
              <w:rPr>
                <w:webHidden/>
              </w:rPr>
              <w:instrText xml:space="preserve"> PAGEREF _Toc16856288 \h </w:instrText>
            </w:r>
            <w:r w:rsidR="0008579C">
              <w:rPr>
                <w:webHidden/>
              </w:rPr>
            </w:r>
            <w:r w:rsidR="0008579C">
              <w:rPr>
                <w:webHidden/>
              </w:rPr>
              <w:fldChar w:fldCharType="separate"/>
            </w:r>
            <w:r w:rsidR="0008579C">
              <w:rPr>
                <w:webHidden/>
              </w:rPr>
              <w:t>21</w:t>
            </w:r>
            <w:r w:rsidR="0008579C">
              <w:rPr>
                <w:webHidden/>
              </w:rPr>
              <w:fldChar w:fldCharType="end"/>
            </w:r>
          </w:hyperlink>
        </w:p>
        <w:p w14:paraId="6AAB31CC" w14:textId="3EFCC16F" w:rsidR="0008579C" w:rsidRDefault="009F6E2C">
          <w:pPr>
            <w:pStyle w:val="TOC3"/>
            <w:rPr>
              <w:rFonts w:asciiTheme="minorHAnsi" w:eastAsiaTheme="minorEastAsia" w:hAnsiTheme="minorHAnsi" w:cstheme="minorBidi"/>
            </w:rPr>
          </w:pPr>
          <w:hyperlink w:anchor="_Toc16856289" w:history="1">
            <w:r w:rsidR="0008579C" w:rsidRPr="008A7960">
              <w:rPr>
                <w:rStyle w:val="Hyperlink"/>
              </w:rPr>
              <w:t>Other Indications</w:t>
            </w:r>
            <w:r w:rsidR="0008579C">
              <w:rPr>
                <w:webHidden/>
              </w:rPr>
              <w:tab/>
            </w:r>
            <w:r w:rsidR="0008579C">
              <w:rPr>
                <w:webHidden/>
              </w:rPr>
              <w:fldChar w:fldCharType="begin"/>
            </w:r>
            <w:r w:rsidR="0008579C">
              <w:rPr>
                <w:webHidden/>
              </w:rPr>
              <w:instrText xml:space="preserve"> PAGEREF _Toc16856289 \h </w:instrText>
            </w:r>
            <w:r w:rsidR="0008579C">
              <w:rPr>
                <w:webHidden/>
              </w:rPr>
            </w:r>
            <w:r w:rsidR="0008579C">
              <w:rPr>
                <w:webHidden/>
              </w:rPr>
              <w:fldChar w:fldCharType="separate"/>
            </w:r>
            <w:r w:rsidR="0008579C">
              <w:rPr>
                <w:webHidden/>
              </w:rPr>
              <w:t>23</w:t>
            </w:r>
            <w:r w:rsidR="0008579C">
              <w:rPr>
                <w:webHidden/>
              </w:rPr>
              <w:fldChar w:fldCharType="end"/>
            </w:r>
          </w:hyperlink>
        </w:p>
        <w:p w14:paraId="44A25BB7" w14:textId="01F270EB" w:rsidR="0008579C" w:rsidRDefault="009F6E2C">
          <w:pPr>
            <w:pStyle w:val="TOC2"/>
            <w:tabs>
              <w:tab w:val="left" w:pos="1540"/>
            </w:tabs>
            <w:rPr>
              <w:rFonts w:asciiTheme="minorHAnsi" w:eastAsiaTheme="minorEastAsia" w:hAnsiTheme="minorHAnsi" w:cstheme="minorBidi"/>
            </w:rPr>
          </w:pPr>
          <w:hyperlink w:anchor="_Toc16856290" w:history="1">
            <w:r w:rsidR="0008579C" w:rsidRPr="008A7960">
              <w:rPr>
                <w:rStyle w:val="Hyperlink"/>
              </w:rPr>
              <w:t>A.3.</w:t>
            </w:r>
            <w:r w:rsidR="0008579C">
              <w:rPr>
                <w:rFonts w:asciiTheme="minorHAnsi" w:eastAsiaTheme="minorEastAsia" w:hAnsiTheme="minorHAnsi" w:cstheme="minorBidi"/>
              </w:rPr>
              <w:tab/>
            </w:r>
            <w:r w:rsidR="0008579C" w:rsidRPr="008A7960">
              <w:rPr>
                <w:rStyle w:val="Hyperlink"/>
              </w:rPr>
              <w:t>Public Funding</w:t>
            </w:r>
            <w:r w:rsidR="0008579C">
              <w:rPr>
                <w:webHidden/>
              </w:rPr>
              <w:tab/>
            </w:r>
            <w:r w:rsidR="0008579C">
              <w:rPr>
                <w:webHidden/>
              </w:rPr>
              <w:fldChar w:fldCharType="begin"/>
            </w:r>
            <w:r w:rsidR="0008579C">
              <w:rPr>
                <w:webHidden/>
              </w:rPr>
              <w:instrText xml:space="preserve"> PAGEREF _Toc16856290 \h </w:instrText>
            </w:r>
            <w:r w:rsidR="0008579C">
              <w:rPr>
                <w:webHidden/>
              </w:rPr>
            </w:r>
            <w:r w:rsidR="0008579C">
              <w:rPr>
                <w:webHidden/>
              </w:rPr>
              <w:fldChar w:fldCharType="separate"/>
            </w:r>
            <w:r w:rsidR="0008579C">
              <w:rPr>
                <w:webHidden/>
              </w:rPr>
              <w:t>24</w:t>
            </w:r>
            <w:r w:rsidR="0008579C">
              <w:rPr>
                <w:webHidden/>
              </w:rPr>
              <w:fldChar w:fldCharType="end"/>
            </w:r>
          </w:hyperlink>
        </w:p>
        <w:p w14:paraId="23A557F2" w14:textId="26C9C43C" w:rsidR="0008579C" w:rsidRDefault="009F6E2C">
          <w:pPr>
            <w:pStyle w:val="TOC2"/>
            <w:tabs>
              <w:tab w:val="left" w:pos="1540"/>
            </w:tabs>
            <w:rPr>
              <w:rFonts w:asciiTheme="minorHAnsi" w:eastAsiaTheme="minorEastAsia" w:hAnsiTheme="minorHAnsi" w:cstheme="minorBidi"/>
            </w:rPr>
          </w:pPr>
          <w:hyperlink w:anchor="_Toc16856291" w:history="1">
            <w:r w:rsidR="0008579C" w:rsidRPr="008A7960">
              <w:rPr>
                <w:rStyle w:val="Hyperlink"/>
              </w:rPr>
              <w:t>A.4.</w:t>
            </w:r>
            <w:r w:rsidR="0008579C">
              <w:rPr>
                <w:rFonts w:asciiTheme="minorHAnsi" w:eastAsiaTheme="minorEastAsia" w:hAnsiTheme="minorHAnsi" w:cstheme="minorBidi"/>
              </w:rPr>
              <w:tab/>
            </w:r>
            <w:r w:rsidR="0008579C" w:rsidRPr="008A7960">
              <w:rPr>
                <w:rStyle w:val="Hyperlink"/>
              </w:rPr>
              <w:t>Population</w:t>
            </w:r>
            <w:r w:rsidR="0008579C">
              <w:rPr>
                <w:webHidden/>
              </w:rPr>
              <w:tab/>
            </w:r>
            <w:r w:rsidR="0008579C">
              <w:rPr>
                <w:webHidden/>
              </w:rPr>
              <w:fldChar w:fldCharType="begin"/>
            </w:r>
            <w:r w:rsidR="0008579C">
              <w:rPr>
                <w:webHidden/>
              </w:rPr>
              <w:instrText xml:space="preserve"> PAGEREF _Toc16856291 \h </w:instrText>
            </w:r>
            <w:r w:rsidR="0008579C">
              <w:rPr>
                <w:webHidden/>
              </w:rPr>
            </w:r>
            <w:r w:rsidR="0008579C">
              <w:rPr>
                <w:webHidden/>
              </w:rPr>
              <w:fldChar w:fldCharType="separate"/>
            </w:r>
            <w:r w:rsidR="0008579C">
              <w:rPr>
                <w:webHidden/>
              </w:rPr>
              <w:t>24</w:t>
            </w:r>
            <w:r w:rsidR="0008579C">
              <w:rPr>
                <w:webHidden/>
              </w:rPr>
              <w:fldChar w:fldCharType="end"/>
            </w:r>
          </w:hyperlink>
        </w:p>
        <w:p w14:paraId="192B97F0" w14:textId="59225ECB" w:rsidR="0008579C" w:rsidRDefault="009F6E2C">
          <w:pPr>
            <w:pStyle w:val="TOC2"/>
            <w:tabs>
              <w:tab w:val="left" w:pos="1540"/>
            </w:tabs>
            <w:rPr>
              <w:rFonts w:asciiTheme="minorHAnsi" w:eastAsiaTheme="minorEastAsia" w:hAnsiTheme="minorHAnsi" w:cstheme="minorBidi"/>
            </w:rPr>
          </w:pPr>
          <w:hyperlink w:anchor="_Toc16856292" w:history="1">
            <w:r w:rsidR="0008579C" w:rsidRPr="008A7960">
              <w:rPr>
                <w:rStyle w:val="Hyperlink"/>
              </w:rPr>
              <w:t>A.5.</w:t>
            </w:r>
            <w:r w:rsidR="0008579C">
              <w:rPr>
                <w:rFonts w:asciiTheme="minorHAnsi" w:eastAsiaTheme="minorEastAsia" w:hAnsiTheme="minorHAnsi" w:cstheme="minorBidi"/>
              </w:rPr>
              <w:tab/>
            </w:r>
            <w:r w:rsidR="0008579C" w:rsidRPr="008A7960">
              <w:rPr>
                <w:rStyle w:val="Hyperlink"/>
              </w:rPr>
              <w:t>Comparator Details</w:t>
            </w:r>
            <w:r w:rsidR="0008579C">
              <w:rPr>
                <w:webHidden/>
              </w:rPr>
              <w:tab/>
            </w:r>
            <w:r w:rsidR="0008579C">
              <w:rPr>
                <w:webHidden/>
              </w:rPr>
              <w:fldChar w:fldCharType="begin"/>
            </w:r>
            <w:r w:rsidR="0008579C">
              <w:rPr>
                <w:webHidden/>
              </w:rPr>
              <w:instrText xml:space="preserve"> PAGEREF _Toc16856292 \h </w:instrText>
            </w:r>
            <w:r w:rsidR="0008579C">
              <w:rPr>
                <w:webHidden/>
              </w:rPr>
            </w:r>
            <w:r w:rsidR="0008579C">
              <w:rPr>
                <w:webHidden/>
              </w:rPr>
              <w:fldChar w:fldCharType="separate"/>
            </w:r>
            <w:r w:rsidR="0008579C">
              <w:rPr>
                <w:webHidden/>
              </w:rPr>
              <w:t>26</w:t>
            </w:r>
            <w:r w:rsidR="0008579C">
              <w:rPr>
                <w:webHidden/>
              </w:rPr>
              <w:fldChar w:fldCharType="end"/>
            </w:r>
          </w:hyperlink>
        </w:p>
        <w:p w14:paraId="38708E6E" w14:textId="53D2B07E" w:rsidR="0008579C" w:rsidRDefault="009F6E2C">
          <w:pPr>
            <w:pStyle w:val="TOC2"/>
            <w:tabs>
              <w:tab w:val="left" w:pos="1540"/>
            </w:tabs>
            <w:rPr>
              <w:rFonts w:asciiTheme="minorHAnsi" w:eastAsiaTheme="minorEastAsia" w:hAnsiTheme="minorHAnsi" w:cstheme="minorBidi"/>
            </w:rPr>
          </w:pPr>
          <w:hyperlink w:anchor="_Toc16856293" w:history="1">
            <w:r w:rsidR="0008579C" w:rsidRPr="008A7960">
              <w:rPr>
                <w:rStyle w:val="Hyperlink"/>
              </w:rPr>
              <w:t>A.6.</w:t>
            </w:r>
            <w:r w:rsidR="0008579C">
              <w:rPr>
                <w:rFonts w:asciiTheme="minorHAnsi" w:eastAsiaTheme="minorEastAsia" w:hAnsiTheme="minorHAnsi" w:cstheme="minorBidi"/>
              </w:rPr>
              <w:tab/>
            </w:r>
            <w:r w:rsidR="0008579C" w:rsidRPr="008A7960">
              <w:rPr>
                <w:rStyle w:val="Hyperlink"/>
              </w:rPr>
              <w:t>Clinical management Algorithm(s)</w:t>
            </w:r>
            <w:r w:rsidR="0008579C">
              <w:rPr>
                <w:webHidden/>
              </w:rPr>
              <w:tab/>
            </w:r>
            <w:r w:rsidR="0008579C">
              <w:rPr>
                <w:webHidden/>
              </w:rPr>
              <w:fldChar w:fldCharType="begin"/>
            </w:r>
            <w:r w:rsidR="0008579C">
              <w:rPr>
                <w:webHidden/>
              </w:rPr>
              <w:instrText xml:space="preserve"> PAGEREF _Toc16856293 \h </w:instrText>
            </w:r>
            <w:r w:rsidR="0008579C">
              <w:rPr>
                <w:webHidden/>
              </w:rPr>
            </w:r>
            <w:r w:rsidR="0008579C">
              <w:rPr>
                <w:webHidden/>
              </w:rPr>
              <w:fldChar w:fldCharType="separate"/>
            </w:r>
            <w:r w:rsidR="0008579C">
              <w:rPr>
                <w:webHidden/>
              </w:rPr>
              <w:t>27</w:t>
            </w:r>
            <w:r w:rsidR="0008579C">
              <w:rPr>
                <w:webHidden/>
              </w:rPr>
              <w:fldChar w:fldCharType="end"/>
            </w:r>
          </w:hyperlink>
        </w:p>
        <w:p w14:paraId="5114ED4C" w14:textId="04FC0409" w:rsidR="0008579C" w:rsidRDefault="009F6E2C">
          <w:pPr>
            <w:pStyle w:val="TOC2"/>
            <w:tabs>
              <w:tab w:val="left" w:pos="1540"/>
            </w:tabs>
            <w:rPr>
              <w:rFonts w:asciiTheme="minorHAnsi" w:eastAsiaTheme="minorEastAsia" w:hAnsiTheme="minorHAnsi" w:cstheme="minorBidi"/>
            </w:rPr>
          </w:pPr>
          <w:hyperlink w:anchor="_Toc16856294" w:history="1">
            <w:r w:rsidR="0008579C" w:rsidRPr="008A7960">
              <w:rPr>
                <w:rStyle w:val="Hyperlink"/>
              </w:rPr>
              <w:t>A.7.</w:t>
            </w:r>
            <w:r w:rsidR="0008579C">
              <w:rPr>
                <w:rFonts w:asciiTheme="minorHAnsi" w:eastAsiaTheme="minorEastAsia" w:hAnsiTheme="minorHAnsi" w:cstheme="minorBidi"/>
              </w:rPr>
              <w:tab/>
            </w:r>
            <w:r w:rsidR="0008579C" w:rsidRPr="008A7960">
              <w:rPr>
                <w:rStyle w:val="Hyperlink"/>
              </w:rPr>
              <w:t>Key Differences in the Delivery of the Medical Service and the Main Comparator</w:t>
            </w:r>
            <w:r w:rsidR="0008579C">
              <w:rPr>
                <w:webHidden/>
              </w:rPr>
              <w:tab/>
            </w:r>
            <w:r w:rsidR="0008579C">
              <w:rPr>
                <w:webHidden/>
              </w:rPr>
              <w:fldChar w:fldCharType="begin"/>
            </w:r>
            <w:r w:rsidR="0008579C">
              <w:rPr>
                <w:webHidden/>
              </w:rPr>
              <w:instrText xml:space="preserve"> PAGEREF _Toc16856294 \h </w:instrText>
            </w:r>
            <w:r w:rsidR="0008579C">
              <w:rPr>
                <w:webHidden/>
              </w:rPr>
            </w:r>
            <w:r w:rsidR="0008579C">
              <w:rPr>
                <w:webHidden/>
              </w:rPr>
              <w:fldChar w:fldCharType="separate"/>
            </w:r>
            <w:r w:rsidR="0008579C">
              <w:rPr>
                <w:webHidden/>
              </w:rPr>
              <w:t>29</w:t>
            </w:r>
            <w:r w:rsidR="0008579C">
              <w:rPr>
                <w:webHidden/>
              </w:rPr>
              <w:fldChar w:fldCharType="end"/>
            </w:r>
          </w:hyperlink>
        </w:p>
        <w:p w14:paraId="2AE0668F" w14:textId="0CCFF3A3" w:rsidR="0008579C" w:rsidRDefault="009F6E2C">
          <w:pPr>
            <w:pStyle w:val="TOC2"/>
            <w:tabs>
              <w:tab w:val="left" w:pos="1540"/>
            </w:tabs>
            <w:rPr>
              <w:rFonts w:asciiTheme="minorHAnsi" w:eastAsiaTheme="minorEastAsia" w:hAnsiTheme="minorHAnsi" w:cstheme="minorBidi"/>
            </w:rPr>
          </w:pPr>
          <w:hyperlink w:anchor="_Toc16856295" w:history="1">
            <w:r w:rsidR="0008579C" w:rsidRPr="008A7960">
              <w:rPr>
                <w:rStyle w:val="Hyperlink"/>
              </w:rPr>
              <w:t>A.8.</w:t>
            </w:r>
            <w:r w:rsidR="0008579C">
              <w:rPr>
                <w:rFonts w:asciiTheme="minorHAnsi" w:eastAsiaTheme="minorEastAsia" w:hAnsiTheme="minorHAnsi" w:cstheme="minorBidi"/>
              </w:rPr>
              <w:tab/>
            </w:r>
            <w:r w:rsidR="0008579C" w:rsidRPr="008A7960">
              <w:rPr>
                <w:rStyle w:val="Hyperlink"/>
              </w:rPr>
              <w:t>Clinical Claim</w:t>
            </w:r>
            <w:r w:rsidR="0008579C">
              <w:rPr>
                <w:webHidden/>
              </w:rPr>
              <w:tab/>
            </w:r>
            <w:r w:rsidR="0008579C">
              <w:rPr>
                <w:webHidden/>
              </w:rPr>
              <w:fldChar w:fldCharType="begin"/>
            </w:r>
            <w:r w:rsidR="0008579C">
              <w:rPr>
                <w:webHidden/>
              </w:rPr>
              <w:instrText xml:space="preserve"> PAGEREF _Toc16856295 \h </w:instrText>
            </w:r>
            <w:r w:rsidR="0008579C">
              <w:rPr>
                <w:webHidden/>
              </w:rPr>
            </w:r>
            <w:r w:rsidR="0008579C">
              <w:rPr>
                <w:webHidden/>
              </w:rPr>
              <w:fldChar w:fldCharType="separate"/>
            </w:r>
            <w:r w:rsidR="0008579C">
              <w:rPr>
                <w:webHidden/>
              </w:rPr>
              <w:t>29</w:t>
            </w:r>
            <w:r w:rsidR="0008579C">
              <w:rPr>
                <w:webHidden/>
              </w:rPr>
              <w:fldChar w:fldCharType="end"/>
            </w:r>
          </w:hyperlink>
        </w:p>
        <w:p w14:paraId="7DCB4FA4" w14:textId="6C01767C" w:rsidR="0008579C" w:rsidRDefault="009F6E2C">
          <w:pPr>
            <w:pStyle w:val="TOC2"/>
            <w:tabs>
              <w:tab w:val="left" w:pos="1540"/>
            </w:tabs>
            <w:rPr>
              <w:rFonts w:asciiTheme="minorHAnsi" w:eastAsiaTheme="minorEastAsia" w:hAnsiTheme="minorHAnsi" w:cstheme="minorBidi"/>
            </w:rPr>
          </w:pPr>
          <w:hyperlink w:anchor="_Toc16856296" w:history="1">
            <w:r w:rsidR="0008579C" w:rsidRPr="008A7960">
              <w:rPr>
                <w:rStyle w:val="Hyperlink"/>
              </w:rPr>
              <w:t>A.9.</w:t>
            </w:r>
            <w:r w:rsidR="0008579C">
              <w:rPr>
                <w:rFonts w:asciiTheme="minorHAnsi" w:eastAsiaTheme="minorEastAsia" w:hAnsiTheme="minorHAnsi" w:cstheme="minorBidi"/>
              </w:rPr>
              <w:tab/>
            </w:r>
            <w:r w:rsidR="0008579C" w:rsidRPr="008A7960">
              <w:rPr>
                <w:rStyle w:val="Hyperlink"/>
              </w:rPr>
              <w:t>Summary of the PICO</w:t>
            </w:r>
            <w:r w:rsidR="0008579C">
              <w:rPr>
                <w:webHidden/>
              </w:rPr>
              <w:tab/>
            </w:r>
            <w:r w:rsidR="0008579C">
              <w:rPr>
                <w:webHidden/>
              </w:rPr>
              <w:fldChar w:fldCharType="begin"/>
            </w:r>
            <w:r w:rsidR="0008579C">
              <w:rPr>
                <w:webHidden/>
              </w:rPr>
              <w:instrText xml:space="preserve"> PAGEREF _Toc16856296 \h </w:instrText>
            </w:r>
            <w:r w:rsidR="0008579C">
              <w:rPr>
                <w:webHidden/>
              </w:rPr>
            </w:r>
            <w:r w:rsidR="0008579C">
              <w:rPr>
                <w:webHidden/>
              </w:rPr>
              <w:fldChar w:fldCharType="separate"/>
            </w:r>
            <w:r w:rsidR="0008579C">
              <w:rPr>
                <w:webHidden/>
              </w:rPr>
              <w:t>29</w:t>
            </w:r>
            <w:r w:rsidR="0008579C">
              <w:rPr>
                <w:webHidden/>
              </w:rPr>
              <w:fldChar w:fldCharType="end"/>
            </w:r>
          </w:hyperlink>
        </w:p>
        <w:p w14:paraId="7BBB42A8" w14:textId="4E786F9F" w:rsidR="0008579C" w:rsidRDefault="009F6E2C">
          <w:pPr>
            <w:pStyle w:val="TOC2"/>
            <w:tabs>
              <w:tab w:val="left" w:pos="1540"/>
            </w:tabs>
            <w:rPr>
              <w:rFonts w:asciiTheme="minorHAnsi" w:eastAsiaTheme="minorEastAsia" w:hAnsiTheme="minorHAnsi" w:cstheme="minorBidi"/>
            </w:rPr>
          </w:pPr>
          <w:hyperlink w:anchor="_Toc16856297" w:history="1">
            <w:r w:rsidR="0008579C" w:rsidRPr="008A7960">
              <w:rPr>
                <w:rStyle w:val="Hyperlink"/>
              </w:rPr>
              <w:t>A.10.</w:t>
            </w:r>
            <w:r w:rsidR="0008579C">
              <w:rPr>
                <w:rFonts w:asciiTheme="minorHAnsi" w:eastAsiaTheme="minorEastAsia" w:hAnsiTheme="minorHAnsi" w:cstheme="minorBidi"/>
              </w:rPr>
              <w:tab/>
            </w:r>
            <w:r w:rsidR="0008579C" w:rsidRPr="008A7960">
              <w:rPr>
                <w:rStyle w:val="Hyperlink"/>
              </w:rPr>
              <w:t>Consumer impact statement</w:t>
            </w:r>
            <w:r w:rsidR="0008579C">
              <w:rPr>
                <w:webHidden/>
              </w:rPr>
              <w:tab/>
            </w:r>
            <w:r w:rsidR="0008579C">
              <w:rPr>
                <w:webHidden/>
              </w:rPr>
              <w:fldChar w:fldCharType="begin"/>
            </w:r>
            <w:r w:rsidR="0008579C">
              <w:rPr>
                <w:webHidden/>
              </w:rPr>
              <w:instrText xml:space="preserve"> PAGEREF _Toc16856297 \h </w:instrText>
            </w:r>
            <w:r w:rsidR="0008579C">
              <w:rPr>
                <w:webHidden/>
              </w:rPr>
            </w:r>
            <w:r w:rsidR="0008579C">
              <w:rPr>
                <w:webHidden/>
              </w:rPr>
              <w:fldChar w:fldCharType="separate"/>
            </w:r>
            <w:r w:rsidR="0008579C">
              <w:rPr>
                <w:webHidden/>
              </w:rPr>
              <w:t>30</w:t>
            </w:r>
            <w:r w:rsidR="0008579C">
              <w:rPr>
                <w:webHidden/>
              </w:rPr>
              <w:fldChar w:fldCharType="end"/>
            </w:r>
          </w:hyperlink>
        </w:p>
        <w:p w14:paraId="59F91F71" w14:textId="12461496" w:rsidR="0008579C" w:rsidRDefault="009F6E2C">
          <w:pPr>
            <w:pStyle w:val="TOC1"/>
            <w:rPr>
              <w:rFonts w:asciiTheme="minorHAnsi" w:eastAsiaTheme="minorEastAsia" w:hAnsiTheme="minorHAnsi" w:cstheme="minorBidi"/>
              <w:b w:val="0"/>
            </w:rPr>
          </w:pPr>
          <w:hyperlink w:anchor="_Toc16856298" w:history="1">
            <w:r w:rsidR="0008579C" w:rsidRPr="008A7960">
              <w:rPr>
                <w:rStyle w:val="Hyperlink"/>
              </w:rPr>
              <w:t>Section B</w:t>
            </w:r>
            <w:r w:rsidR="0008579C">
              <w:rPr>
                <w:rFonts w:asciiTheme="minorHAnsi" w:eastAsiaTheme="minorEastAsia" w:hAnsiTheme="minorHAnsi" w:cstheme="minorBidi"/>
                <w:b w:val="0"/>
              </w:rPr>
              <w:tab/>
            </w:r>
            <w:r w:rsidR="0008579C" w:rsidRPr="008A7960">
              <w:rPr>
                <w:rStyle w:val="Hyperlink"/>
              </w:rPr>
              <w:t>Clinical Evaluation</w:t>
            </w:r>
            <w:r w:rsidR="0008579C">
              <w:rPr>
                <w:webHidden/>
              </w:rPr>
              <w:tab/>
            </w:r>
            <w:r w:rsidR="0008579C">
              <w:rPr>
                <w:webHidden/>
              </w:rPr>
              <w:fldChar w:fldCharType="begin"/>
            </w:r>
            <w:r w:rsidR="0008579C">
              <w:rPr>
                <w:webHidden/>
              </w:rPr>
              <w:instrText xml:space="preserve"> PAGEREF _Toc16856298 \h </w:instrText>
            </w:r>
            <w:r w:rsidR="0008579C">
              <w:rPr>
                <w:webHidden/>
              </w:rPr>
            </w:r>
            <w:r w:rsidR="0008579C">
              <w:rPr>
                <w:webHidden/>
              </w:rPr>
              <w:fldChar w:fldCharType="separate"/>
            </w:r>
            <w:r w:rsidR="0008579C">
              <w:rPr>
                <w:webHidden/>
              </w:rPr>
              <w:t>32</w:t>
            </w:r>
            <w:r w:rsidR="0008579C">
              <w:rPr>
                <w:webHidden/>
              </w:rPr>
              <w:fldChar w:fldCharType="end"/>
            </w:r>
          </w:hyperlink>
        </w:p>
        <w:p w14:paraId="453807FE" w14:textId="39657B3C" w:rsidR="0008579C" w:rsidRDefault="009F6E2C">
          <w:pPr>
            <w:pStyle w:val="TOC2"/>
            <w:tabs>
              <w:tab w:val="left" w:pos="1418"/>
            </w:tabs>
            <w:rPr>
              <w:rFonts w:asciiTheme="minorHAnsi" w:eastAsiaTheme="minorEastAsia" w:hAnsiTheme="minorHAnsi" w:cstheme="minorBidi"/>
            </w:rPr>
          </w:pPr>
          <w:hyperlink w:anchor="_Toc16856299" w:history="1">
            <w:r w:rsidR="0008579C" w:rsidRPr="008A7960">
              <w:rPr>
                <w:rStyle w:val="Hyperlink"/>
              </w:rPr>
              <w:t>B.1.</w:t>
            </w:r>
            <w:r w:rsidR="0008579C">
              <w:rPr>
                <w:rFonts w:asciiTheme="minorHAnsi" w:eastAsiaTheme="minorEastAsia" w:hAnsiTheme="minorHAnsi" w:cstheme="minorBidi"/>
              </w:rPr>
              <w:tab/>
            </w:r>
            <w:r w:rsidR="0008579C" w:rsidRPr="008A7960">
              <w:rPr>
                <w:rStyle w:val="Hyperlink"/>
              </w:rPr>
              <w:t>Literature Sources and Search Strategies</w:t>
            </w:r>
            <w:r w:rsidR="0008579C">
              <w:rPr>
                <w:webHidden/>
              </w:rPr>
              <w:tab/>
            </w:r>
            <w:r w:rsidR="0008579C">
              <w:rPr>
                <w:webHidden/>
              </w:rPr>
              <w:fldChar w:fldCharType="begin"/>
            </w:r>
            <w:r w:rsidR="0008579C">
              <w:rPr>
                <w:webHidden/>
              </w:rPr>
              <w:instrText xml:space="preserve"> PAGEREF _Toc16856299 \h </w:instrText>
            </w:r>
            <w:r w:rsidR="0008579C">
              <w:rPr>
                <w:webHidden/>
              </w:rPr>
            </w:r>
            <w:r w:rsidR="0008579C">
              <w:rPr>
                <w:webHidden/>
              </w:rPr>
              <w:fldChar w:fldCharType="separate"/>
            </w:r>
            <w:r w:rsidR="0008579C">
              <w:rPr>
                <w:webHidden/>
              </w:rPr>
              <w:t>32</w:t>
            </w:r>
            <w:r w:rsidR="0008579C">
              <w:rPr>
                <w:webHidden/>
              </w:rPr>
              <w:fldChar w:fldCharType="end"/>
            </w:r>
          </w:hyperlink>
        </w:p>
        <w:p w14:paraId="1197823A" w14:textId="3BF5F873" w:rsidR="0008579C" w:rsidRDefault="009F6E2C">
          <w:pPr>
            <w:pStyle w:val="TOC2"/>
            <w:tabs>
              <w:tab w:val="left" w:pos="1418"/>
            </w:tabs>
            <w:rPr>
              <w:rFonts w:asciiTheme="minorHAnsi" w:eastAsiaTheme="minorEastAsia" w:hAnsiTheme="minorHAnsi" w:cstheme="minorBidi"/>
            </w:rPr>
          </w:pPr>
          <w:hyperlink w:anchor="_Toc16856300" w:history="1">
            <w:r w:rsidR="0008579C" w:rsidRPr="008A7960">
              <w:rPr>
                <w:rStyle w:val="Hyperlink"/>
              </w:rPr>
              <w:t>B.2.</w:t>
            </w:r>
            <w:r w:rsidR="0008579C">
              <w:rPr>
                <w:rFonts w:asciiTheme="minorHAnsi" w:eastAsiaTheme="minorEastAsia" w:hAnsiTheme="minorHAnsi" w:cstheme="minorBidi"/>
              </w:rPr>
              <w:tab/>
            </w:r>
            <w:r w:rsidR="0008579C" w:rsidRPr="008A7960">
              <w:rPr>
                <w:rStyle w:val="Hyperlink"/>
              </w:rPr>
              <w:t>Results of Literature Search</w:t>
            </w:r>
            <w:r w:rsidR="0008579C">
              <w:rPr>
                <w:webHidden/>
              </w:rPr>
              <w:tab/>
            </w:r>
            <w:r w:rsidR="0008579C">
              <w:rPr>
                <w:webHidden/>
              </w:rPr>
              <w:fldChar w:fldCharType="begin"/>
            </w:r>
            <w:r w:rsidR="0008579C">
              <w:rPr>
                <w:webHidden/>
              </w:rPr>
              <w:instrText xml:space="preserve"> PAGEREF _Toc16856300 \h </w:instrText>
            </w:r>
            <w:r w:rsidR="0008579C">
              <w:rPr>
                <w:webHidden/>
              </w:rPr>
            </w:r>
            <w:r w:rsidR="0008579C">
              <w:rPr>
                <w:webHidden/>
              </w:rPr>
              <w:fldChar w:fldCharType="separate"/>
            </w:r>
            <w:r w:rsidR="0008579C">
              <w:rPr>
                <w:webHidden/>
              </w:rPr>
              <w:t>32</w:t>
            </w:r>
            <w:r w:rsidR="0008579C">
              <w:rPr>
                <w:webHidden/>
              </w:rPr>
              <w:fldChar w:fldCharType="end"/>
            </w:r>
          </w:hyperlink>
        </w:p>
        <w:p w14:paraId="7C6BB492" w14:textId="3F49A948" w:rsidR="0008579C" w:rsidRDefault="009F6E2C">
          <w:pPr>
            <w:pStyle w:val="TOC3"/>
            <w:rPr>
              <w:rFonts w:asciiTheme="minorHAnsi" w:eastAsiaTheme="minorEastAsia" w:hAnsiTheme="minorHAnsi" w:cstheme="minorBidi"/>
            </w:rPr>
          </w:pPr>
          <w:hyperlink w:anchor="_Toc16856301" w:history="1">
            <w:r w:rsidR="0008579C" w:rsidRPr="008A7960">
              <w:rPr>
                <w:rStyle w:val="Hyperlink"/>
              </w:rPr>
              <w:t>Appraisal of the evidence</w:t>
            </w:r>
            <w:r w:rsidR="0008579C">
              <w:rPr>
                <w:webHidden/>
              </w:rPr>
              <w:tab/>
            </w:r>
            <w:r w:rsidR="0008579C">
              <w:rPr>
                <w:webHidden/>
              </w:rPr>
              <w:fldChar w:fldCharType="begin"/>
            </w:r>
            <w:r w:rsidR="0008579C">
              <w:rPr>
                <w:webHidden/>
              </w:rPr>
              <w:instrText xml:space="preserve"> PAGEREF _Toc16856301 \h </w:instrText>
            </w:r>
            <w:r w:rsidR="0008579C">
              <w:rPr>
                <w:webHidden/>
              </w:rPr>
            </w:r>
            <w:r w:rsidR="0008579C">
              <w:rPr>
                <w:webHidden/>
              </w:rPr>
              <w:fldChar w:fldCharType="separate"/>
            </w:r>
            <w:r w:rsidR="0008579C">
              <w:rPr>
                <w:webHidden/>
              </w:rPr>
              <w:t>33</w:t>
            </w:r>
            <w:r w:rsidR="0008579C">
              <w:rPr>
                <w:webHidden/>
              </w:rPr>
              <w:fldChar w:fldCharType="end"/>
            </w:r>
          </w:hyperlink>
        </w:p>
        <w:p w14:paraId="4AFB4C82" w14:textId="5C4C1E7D" w:rsidR="0008579C" w:rsidRDefault="009F6E2C">
          <w:pPr>
            <w:pStyle w:val="TOC2"/>
            <w:tabs>
              <w:tab w:val="left" w:pos="1418"/>
            </w:tabs>
            <w:rPr>
              <w:rFonts w:asciiTheme="minorHAnsi" w:eastAsiaTheme="minorEastAsia" w:hAnsiTheme="minorHAnsi" w:cstheme="minorBidi"/>
            </w:rPr>
          </w:pPr>
          <w:hyperlink w:anchor="_Toc16856302" w:history="1">
            <w:r w:rsidR="0008579C" w:rsidRPr="008A7960">
              <w:rPr>
                <w:rStyle w:val="Hyperlink"/>
              </w:rPr>
              <w:t>B.3.</w:t>
            </w:r>
            <w:r w:rsidR="0008579C">
              <w:rPr>
                <w:rFonts w:asciiTheme="minorHAnsi" w:eastAsiaTheme="minorEastAsia" w:hAnsiTheme="minorHAnsi" w:cstheme="minorBidi"/>
              </w:rPr>
              <w:tab/>
            </w:r>
            <w:r w:rsidR="0008579C" w:rsidRPr="008A7960">
              <w:rPr>
                <w:rStyle w:val="Hyperlink"/>
              </w:rPr>
              <w:t>Risk of Bias Assessment</w:t>
            </w:r>
            <w:r w:rsidR="0008579C">
              <w:rPr>
                <w:webHidden/>
              </w:rPr>
              <w:tab/>
            </w:r>
            <w:r w:rsidR="0008579C">
              <w:rPr>
                <w:webHidden/>
              </w:rPr>
              <w:fldChar w:fldCharType="begin"/>
            </w:r>
            <w:r w:rsidR="0008579C">
              <w:rPr>
                <w:webHidden/>
              </w:rPr>
              <w:instrText xml:space="preserve"> PAGEREF _Toc16856302 \h </w:instrText>
            </w:r>
            <w:r w:rsidR="0008579C">
              <w:rPr>
                <w:webHidden/>
              </w:rPr>
            </w:r>
            <w:r w:rsidR="0008579C">
              <w:rPr>
                <w:webHidden/>
              </w:rPr>
              <w:fldChar w:fldCharType="separate"/>
            </w:r>
            <w:r w:rsidR="0008579C">
              <w:rPr>
                <w:webHidden/>
              </w:rPr>
              <w:t>33</w:t>
            </w:r>
            <w:r w:rsidR="0008579C">
              <w:rPr>
                <w:webHidden/>
              </w:rPr>
              <w:fldChar w:fldCharType="end"/>
            </w:r>
          </w:hyperlink>
        </w:p>
        <w:p w14:paraId="25B300A7" w14:textId="5B75751D" w:rsidR="0008579C" w:rsidRDefault="009F6E2C">
          <w:pPr>
            <w:pStyle w:val="TOC2"/>
            <w:tabs>
              <w:tab w:val="left" w:pos="1418"/>
            </w:tabs>
            <w:rPr>
              <w:rFonts w:asciiTheme="minorHAnsi" w:eastAsiaTheme="minorEastAsia" w:hAnsiTheme="minorHAnsi" w:cstheme="minorBidi"/>
            </w:rPr>
          </w:pPr>
          <w:hyperlink w:anchor="_Toc16856303" w:history="1">
            <w:r w:rsidR="0008579C" w:rsidRPr="008A7960">
              <w:rPr>
                <w:rStyle w:val="Hyperlink"/>
              </w:rPr>
              <w:t>B.4.</w:t>
            </w:r>
            <w:r w:rsidR="0008579C">
              <w:rPr>
                <w:rFonts w:asciiTheme="minorHAnsi" w:eastAsiaTheme="minorEastAsia" w:hAnsiTheme="minorHAnsi" w:cstheme="minorBidi"/>
              </w:rPr>
              <w:tab/>
            </w:r>
            <w:r w:rsidR="0008579C" w:rsidRPr="008A7960">
              <w:rPr>
                <w:rStyle w:val="Hyperlink"/>
              </w:rPr>
              <w:t>Characteristics of the Evidence Base</w:t>
            </w:r>
            <w:r w:rsidR="0008579C">
              <w:rPr>
                <w:webHidden/>
              </w:rPr>
              <w:tab/>
            </w:r>
            <w:r w:rsidR="0008579C">
              <w:rPr>
                <w:webHidden/>
              </w:rPr>
              <w:fldChar w:fldCharType="begin"/>
            </w:r>
            <w:r w:rsidR="0008579C">
              <w:rPr>
                <w:webHidden/>
              </w:rPr>
              <w:instrText xml:space="preserve"> PAGEREF _Toc16856303 \h </w:instrText>
            </w:r>
            <w:r w:rsidR="0008579C">
              <w:rPr>
                <w:webHidden/>
              </w:rPr>
            </w:r>
            <w:r w:rsidR="0008579C">
              <w:rPr>
                <w:webHidden/>
              </w:rPr>
              <w:fldChar w:fldCharType="separate"/>
            </w:r>
            <w:r w:rsidR="0008579C">
              <w:rPr>
                <w:webHidden/>
              </w:rPr>
              <w:t>34</w:t>
            </w:r>
            <w:r w:rsidR="0008579C">
              <w:rPr>
                <w:webHidden/>
              </w:rPr>
              <w:fldChar w:fldCharType="end"/>
            </w:r>
          </w:hyperlink>
        </w:p>
        <w:p w14:paraId="5F2CCFF2" w14:textId="2F40891A" w:rsidR="0008579C" w:rsidRDefault="009F6E2C">
          <w:pPr>
            <w:pStyle w:val="TOC2"/>
            <w:tabs>
              <w:tab w:val="left" w:pos="1418"/>
            </w:tabs>
            <w:rPr>
              <w:rFonts w:asciiTheme="minorHAnsi" w:eastAsiaTheme="minorEastAsia" w:hAnsiTheme="minorHAnsi" w:cstheme="minorBidi"/>
            </w:rPr>
          </w:pPr>
          <w:hyperlink w:anchor="_Toc16856304" w:history="1">
            <w:r w:rsidR="0008579C" w:rsidRPr="008A7960">
              <w:rPr>
                <w:rStyle w:val="Hyperlink"/>
              </w:rPr>
              <w:t>B.5.</w:t>
            </w:r>
            <w:r w:rsidR="0008579C">
              <w:rPr>
                <w:rFonts w:asciiTheme="minorHAnsi" w:eastAsiaTheme="minorEastAsia" w:hAnsiTheme="minorHAnsi" w:cstheme="minorBidi"/>
              </w:rPr>
              <w:tab/>
            </w:r>
            <w:r w:rsidR="0008579C" w:rsidRPr="008A7960">
              <w:rPr>
                <w:rStyle w:val="Hyperlink"/>
              </w:rPr>
              <w:t>Outcome Measures and Analysis</w:t>
            </w:r>
            <w:r w:rsidR="0008579C">
              <w:rPr>
                <w:webHidden/>
              </w:rPr>
              <w:tab/>
            </w:r>
            <w:r w:rsidR="0008579C">
              <w:rPr>
                <w:webHidden/>
              </w:rPr>
              <w:fldChar w:fldCharType="begin"/>
            </w:r>
            <w:r w:rsidR="0008579C">
              <w:rPr>
                <w:webHidden/>
              </w:rPr>
              <w:instrText xml:space="preserve"> PAGEREF _Toc16856304 \h </w:instrText>
            </w:r>
            <w:r w:rsidR="0008579C">
              <w:rPr>
                <w:webHidden/>
              </w:rPr>
            </w:r>
            <w:r w:rsidR="0008579C">
              <w:rPr>
                <w:webHidden/>
              </w:rPr>
              <w:fldChar w:fldCharType="separate"/>
            </w:r>
            <w:r w:rsidR="0008579C">
              <w:rPr>
                <w:webHidden/>
              </w:rPr>
              <w:t>41</w:t>
            </w:r>
            <w:r w:rsidR="0008579C">
              <w:rPr>
                <w:webHidden/>
              </w:rPr>
              <w:fldChar w:fldCharType="end"/>
            </w:r>
          </w:hyperlink>
        </w:p>
        <w:p w14:paraId="5532697A" w14:textId="26D0F5EA" w:rsidR="0008579C" w:rsidRDefault="009F6E2C">
          <w:pPr>
            <w:pStyle w:val="TOC2"/>
            <w:tabs>
              <w:tab w:val="left" w:pos="1418"/>
            </w:tabs>
            <w:rPr>
              <w:rFonts w:asciiTheme="minorHAnsi" w:eastAsiaTheme="minorEastAsia" w:hAnsiTheme="minorHAnsi" w:cstheme="minorBidi"/>
            </w:rPr>
          </w:pPr>
          <w:hyperlink w:anchor="_Toc16856305" w:history="1">
            <w:r w:rsidR="0008579C" w:rsidRPr="008A7960">
              <w:rPr>
                <w:rStyle w:val="Hyperlink"/>
              </w:rPr>
              <w:t>B.6.</w:t>
            </w:r>
            <w:r w:rsidR="0008579C">
              <w:rPr>
                <w:rFonts w:asciiTheme="minorHAnsi" w:eastAsiaTheme="minorEastAsia" w:hAnsiTheme="minorHAnsi" w:cstheme="minorBidi"/>
              </w:rPr>
              <w:tab/>
            </w:r>
            <w:r w:rsidR="0008579C" w:rsidRPr="008A7960">
              <w:rPr>
                <w:rStyle w:val="Hyperlink"/>
              </w:rPr>
              <w:t>Results of the Systematic Literature review</w:t>
            </w:r>
            <w:r w:rsidR="0008579C">
              <w:rPr>
                <w:webHidden/>
              </w:rPr>
              <w:tab/>
            </w:r>
            <w:r w:rsidR="0008579C">
              <w:rPr>
                <w:webHidden/>
              </w:rPr>
              <w:fldChar w:fldCharType="begin"/>
            </w:r>
            <w:r w:rsidR="0008579C">
              <w:rPr>
                <w:webHidden/>
              </w:rPr>
              <w:instrText xml:space="preserve"> PAGEREF _Toc16856305 \h </w:instrText>
            </w:r>
            <w:r w:rsidR="0008579C">
              <w:rPr>
                <w:webHidden/>
              </w:rPr>
            </w:r>
            <w:r w:rsidR="0008579C">
              <w:rPr>
                <w:webHidden/>
              </w:rPr>
              <w:fldChar w:fldCharType="separate"/>
            </w:r>
            <w:r w:rsidR="0008579C">
              <w:rPr>
                <w:webHidden/>
              </w:rPr>
              <w:t>42</w:t>
            </w:r>
            <w:r w:rsidR="0008579C">
              <w:rPr>
                <w:webHidden/>
              </w:rPr>
              <w:fldChar w:fldCharType="end"/>
            </w:r>
          </w:hyperlink>
        </w:p>
        <w:p w14:paraId="0A05631C" w14:textId="1C4E527E" w:rsidR="0008579C" w:rsidRDefault="009F6E2C">
          <w:pPr>
            <w:pStyle w:val="TOC2"/>
            <w:rPr>
              <w:rFonts w:asciiTheme="minorHAnsi" w:eastAsiaTheme="minorEastAsia" w:hAnsiTheme="minorHAnsi" w:cstheme="minorBidi"/>
            </w:rPr>
          </w:pPr>
          <w:hyperlink w:anchor="_Toc16856306" w:history="1">
            <w:r w:rsidR="0008579C" w:rsidRPr="008A7960">
              <w:rPr>
                <w:rStyle w:val="Hyperlink"/>
              </w:rPr>
              <w:t>Is it safe?</w:t>
            </w:r>
            <w:r w:rsidR="0008579C">
              <w:rPr>
                <w:webHidden/>
              </w:rPr>
              <w:tab/>
            </w:r>
            <w:r w:rsidR="0008579C">
              <w:rPr>
                <w:webHidden/>
              </w:rPr>
              <w:fldChar w:fldCharType="begin"/>
            </w:r>
            <w:r w:rsidR="0008579C">
              <w:rPr>
                <w:webHidden/>
              </w:rPr>
              <w:instrText xml:space="preserve"> PAGEREF _Toc16856306 \h </w:instrText>
            </w:r>
            <w:r w:rsidR="0008579C">
              <w:rPr>
                <w:webHidden/>
              </w:rPr>
            </w:r>
            <w:r w:rsidR="0008579C">
              <w:rPr>
                <w:webHidden/>
              </w:rPr>
              <w:fldChar w:fldCharType="separate"/>
            </w:r>
            <w:r w:rsidR="0008579C">
              <w:rPr>
                <w:webHidden/>
              </w:rPr>
              <w:t>42</w:t>
            </w:r>
            <w:r w:rsidR="0008579C">
              <w:rPr>
                <w:webHidden/>
              </w:rPr>
              <w:fldChar w:fldCharType="end"/>
            </w:r>
          </w:hyperlink>
        </w:p>
        <w:p w14:paraId="0BB7F155" w14:textId="0B6F8929" w:rsidR="0008579C" w:rsidRDefault="009F6E2C">
          <w:pPr>
            <w:pStyle w:val="TOC3"/>
            <w:rPr>
              <w:rFonts w:asciiTheme="minorHAnsi" w:eastAsiaTheme="minorEastAsia" w:hAnsiTheme="minorHAnsi" w:cstheme="minorBidi"/>
            </w:rPr>
          </w:pPr>
          <w:hyperlink w:anchor="_Toc16856307" w:history="1">
            <w:r w:rsidR="0008579C" w:rsidRPr="008A7960">
              <w:rPr>
                <w:rStyle w:val="Hyperlink"/>
              </w:rPr>
              <w:t>Systemic and other AEs including infusion reactions</w:t>
            </w:r>
            <w:r w:rsidR="0008579C">
              <w:rPr>
                <w:webHidden/>
              </w:rPr>
              <w:tab/>
            </w:r>
            <w:r w:rsidR="0008579C">
              <w:rPr>
                <w:webHidden/>
              </w:rPr>
              <w:fldChar w:fldCharType="begin"/>
            </w:r>
            <w:r w:rsidR="0008579C">
              <w:rPr>
                <w:webHidden/>
              </w:rPr>
              <w:instrText xml:space="preserve"> PAGEREF _Toc16856307 \h </w:instrText>
            </w:r>
            <w:r w:rsidR="0008579C">
              <w:rPr>
                <w:webHidden/>
              </w:rPr>
            </w:r>
            <w:r w:rsidR="0008579C">
              <w:rPr>
                <w:webHidden/>
              </w:rPr>
              <w:fldChar w:fldCharType="separate"/>
            </w:r>
            <w:r w:rsidR="0008579C">
              <w:rPr>
                <w:webHidden/>
              </w:rPr>
              <w:t>43</w:t>
            </w:r>
            <w:r w:rsidR="0008579C">
              <w:rPr>
                <w:webHidden/>
              </w:rPr>
              <w:fldChar w:fldCharType="end"/>
            </w:r>
          </w:hyperlink>
        </w:p>
        <w:p w14:paraId="2AB1FA49" w14:textId="0623B9CB" w:rsidR="0008579C" w:rsidRDefault="009F6E2C">
          <w:pPr>
            <w:pStyle w:val="TOC3"/>
            <w:rPr>
              <w:rFonts w:asciiTheme="minorHAnsi" w:eastAsiaTheme="minorEastAsia" w:hAnsiTheme="minorHAnsi" w:cstheme="minorBidi"/>
            </w:rPr>
          </w:pPr>
          <w:hyperlink w:anchor="_Toc16856308" w:history="1">
            <w:r w:rsidR="0008579C" w:rsidRPr="008A7960">
              <w:rPr>
                <w:rStyle w:val="Hyperlink"/>
              </w:rPr>
              <w:t>Thromboembolic events (TEEs)</w:t>
            </w:r>
            <w:r w:rsidR="0008579C">
              <w:rPr>
                <w:webHidden/>
              </w:rPr>
              <w:tab/>
            </w:r>
            <w:r w:rsidR="0008579C">
              <w:rPr>
                <w:webHidden/>
              </w:rPr>
              <w:fldChar w:fldCharType="begin"/>
            </w:r>
            <w:r w:rsidR="0008579C">
              <w:rPr>
                <w:webHidden/>
              </w:rPr>
              <w:instrText xml:space="preserve"> PAGEREF _Toc16856308 \h </w:instrText>
            </w:r>
            <w:r w:rsidR="0008579C">
              <w:rPr>
                <w:webHidden/>
              </w:rPr>
            </w:r>
            <w:r w:rsidR="0008579C">
              <w:rPr>
                <w:webHidden/>
              </w:rPr>
              <w:fldChar w:fldCharType="separate"/>
            </w:r>
            <w:r w:rsidR="0008579C">
              <w:rPr>
                <w:webHidden/>
              </w:rPr>
              <w:t>49</w:t>
            </w:r>
            <w:r w:rsidR="0008579C">
              <w:rPr>
                <w:webHidden/>
              </w:rPr>
              <w:fldChar w:fldCharType="end"/>
            </w:r>
          </w:hyperlink>
        </w:p>
        <w:p w14:paraId="08DB8309" w14:textId="6FAD0BB4" w:rsidR="0008579C" w:rsidRDefault="009F6E2C">
          <w:pPr>
            <w:pStyle w:val="TOC3"/>
            <w:rPr>
              <w:rFonts w:asciiTheme="minorHAnsi" w:eastAsiaTheme="minorEastAsia" w:hAnsiTheme="minorHAnsi" w:cstheme="minorBidi"/>
            </w:rPr>
          </w:pPr>
          <w:hyperlink w:anchor="_Toc16856309" w:history="1">
            <w:r w:rsidR="0008579C" w:rsidRPr="008A7960">
              <w:rPr>
                <w:rStyle w:val="Hyperlink"/>
              </w:rPr>
              <w:t>Studies presenting no safety data</w:t>
            </w:r>
            <w:r w:rsidR="0008579C">
              <w:rPr>
                <w:webHidden/>
              </w:rPr>
              <w:tab/>
            </w:r>
            <w:r w:rsidR="0008579C">
              <w:rPr>
                <w:webHidden/>
              </w:rPr>
              <w:fldChar w:fldCharType="begin"/>
            </w:r>
            <w:r w:rsidR="0008579C">
              <w:rPr>
                <w:webHidden/>
              </w:rPr>
              <w:instrText xml:space="preserve"> PAGEREF _Toc16856309 \h </w:instrText>
            </w:r>
            <w:r w:rsidR="0008579C">
              <w:rPr>
                <w:webHidden/>
              </w:rPr>
            </w:r>
            <w:r w:rsidR="0008579C">
              <w:rPr>
                <w:webHidden/>
              </w:rPr>
              <w:fldChar w:fldCharType="separate"/>
            </w:r>
            <w:r w:rsidR="0008579C">
              <w:rPr>
                <w:webHidden/>
              </w:rPr>
              <w:t>50</w:t>
            </w:r>
            <w:r w:rsidR="0008579C">
              <w:rPr>
                <w:webHidden/>
              </w:rPr>
              <w:fldChar w:fldCharType="end"/>
            </w:r>
          </w:hyperlink>
        </w:p>
        <w:p w14:paraId="683EB2CE" w14:textId="265871B6" w:rsidR="0008579C" w:rsidRDefault="009F6E2C">
          <w:pPr>
            <w:pStyle w:val="TOC2"/>
            <w:rPr>
              <w:rFonts w:asciiTheme="minorHAnsi" w:eastAsiaTheme="minorEastAsia" w:hAnsiTheme="minorHAnsi" w:cstheme="minorBidi"/>
            </w:rPr>
          </w:pPr>
          <w:hyperlink w:anchor="_Toc16856310" w:history="1">
            <w:r w:rsidR="0008579C" w:rsidRPr="008A7960">
              <w:rPr>
                <w:rStyle w:val="Hyperlink"/>
              </w:rPr>
              <w:t>Is it effective?</w:t>
            </w:r>
            <w:r w:rsidR="0008579C">
              <w:rPr>
                <w:webHidden/>
              </w:rPr>
              <w:tab/>
            </w:r>
            <w:r w:rsidR="0008579C">
              <w:rPr>
                <w:webHidden/>
              </w:rPr>
              <w:fldChar w:fldCharType="begin"/>
            </w:r>
            <w:r w:rsidR="0008579C">
              <w:rPr>
                <w:webHidden/>
              </w:rPr>
              <w:instrText xml:space="preserve"> PAGEREF _Toc16856310 \h </w:instrText>
            </w:r>
            <w:r w:rsidR="0008579C">
              <w:rPr>
                <w:webHidden/>
              </w:rPr>
            </w:r>
            <w:r w:rsidR="0008579C">
              <w:rPr>
                <w:webHidden/>
              </w:rPr>
              <w:fldChar w:fldCharType="separate"/>
            </w:r>
            <w:r w:rsidR="0008579C">
              <w:rPr>
                <w:webHidden/>
              </w:rPr>
              <w:t>51</w:t>
            </w:r>
            <w:r w:rsidR="0008579C">
              <w:rPr>
                <w:webHidden/>
              </w:rPr>
              <w:fldChar w:fldCharType="end"/>
            </w:r>
          </w:hyperlink>
        </w:p>
        <w:p w14:paraId="485E6E10" w14:textId="153C1B95" w:rsidR="0008579C" w:rsidRDefault="009F6E2C">
          <w:pPr>
            <w:pStyle w:val="TOC3"/>
            <w:rPr>
              <w:rFonts w:asciiTheme="minorHAnsi" w:eastAsiaTheme="minorEastAsia" w:hAnsiTheme="minorHAnsi" w:cstheme="minorBidi"/>
            </w:rPr>
          </w:pPr>
          <w:hyperlink w:anchor="_Toc16856311" w:history="1">
            <w:r w:rsidR="0008579C" w:rsidRPr="008A7960">
              <w:rPr>
                <w:rStyle w:val="Hyperlink"/>
              </w:rPr>
              <w:t>Infections</w:t>
            </w:r>
            <w:r w:rsidR="0008579C">
              <w:rPr>
                <w:webHidden/>
              </w:rPr>
              <w:tab/>
            </w:r>
            <w:r w:rsidR="0008579C">
              <w:rPr>
                <w:webHidden/>
              </w:rPr>
              <w:fldChar w:fldCharType="begin"/>
            </w:r>
            <w:r w:rsidR="0008579C">
              <w:rPr>
                <w:webHidden/>
              </w:rPr>
              <w:instrText xml:space="preserve"> PAGEREF _Toc16856311 \h </w:instrText>
            </w:r>
            <w:r w:rsidR="0008579C">
              <w:rPr>
                <w:webHidden/>
              </w:rPr>
            </w:r>
            <w:r w:rsidR="0008579C">
              <w:rPr>
                <w:webHidden/>
              </w:rPr>
              <w:fldChar w:fldCharType="separate"/>
            </w:r>
            <w:r w:rsidR="0008579C">
              <w:rPr>
                <w:webHidden/>
              </w:rPr>
              <w:t>58</w:t>
            </w:r>
            <w:r w:rsidR="0008579C">
              <w:rPr>
                <w:webHidden/>
              </w:rPr>
              <w:fldChar w:fldCharType="end"/>
            </w:r>
          </w:hyperlink>
        </w:p>
        <w:p w14:paraId="69B144DC" w14:textId="05FBD3C9" w:rsidR="0008579C" w:rsidRDefault="009F6E2C">
          <w:pPr>
            <w:pStyle w:val="TOC3"/>
            <w:rPr>
              <w:rFonts w:asciiTheme="minorHAnsi" w:eastAsiaTheme="minorEastAsia" w:hAnsiTheme="minorHAnsi" w:cstheme="minorBidi"/>
            </w:rPr>
          </w:pPr>
          <w:hyperlink w:anchor="_Toc16856312" w:history="1">
            <w:r w:rsidR="0008579C" w:rsidRPr="008A7960">
              <w:rPr>
                <w:rStyle w:val="Hyperlink"/>
              </w:rPr>
              <w:t>Resource Use Outcomes Presented as Infectious Complications</w:t>
            </w:r>
            <w:r w:rsidR="0008579C">
              <w:rPr>
                <w:webHidden/>
              </w:rPr>
              <w:tab/>
            </w:r>
            <w:r w:rsidR="0008579C">
              <w:rPr>
                <w:webHidden/>
              </w:rPr>
              <w:fldChar w:fldCharType="begin"/>
            </w:r>
            <w:r w:rsidR="0008579C">
              <w:rPr>
                <w:webHidden/>
              </w:rPr>
              <w:instrText xml:space="preserve"> PAGEREF _Toc16856312 \h </w:instrText>
            </w:r>
            <w:r w:rsidR="0008579C">
              <w:rPr>
                <w:webHidden/>
              </w:rPr>
            </w:r>
            <w:r w:rsidR="0008579C">
              <w:rPr>
                <w:webHidden/>
              </w:rPr>
              <w:fldChar w:fldCharType="separate"/>
            </w:r>
            <w:r w:rsidR="0008579C">
              <w:rPr>
                <w:webHidden/>
              </w:rPr>
              <w:t>67</w:t>
            </w:r>
            <w:r w:rsidR="0008579C">
              <w:rPr>
                <w:webHidden/>
              </w:rPr>
              <w:fldChar w:fldCharType="end"/>
            </w:r>
          </w:hyperlink>
        </w:p>
        <w:p w14:paraId="50AB9F16" w14:textId="66B0098E" w:rsidR="0008579C" w:rsidRDefault="009F6E2C">
          <w:pPr>
            <w:pStyle w:val="TOC3"/>
            <w:rPr>
              <w:rFonts w:asciiTheme="minorHAnsi" w:eastAsiaTheme="minorEastAsia" w:hAnsiTheme="minorHAnsi" w:cstheme="minorBidi"/>
            </w:rPr>
          </w:pPr>
          <w:hyperlink w:anchor="_Toc16856313" w:history="1">
            <w:r w:rsidR="0008579C" w:rsidRPr="008A7960">
              <w:rPr>
                <w:rStyle w:val="Hyperlink"/>
              </w:rPr>
              <w:t>Survival and/or Mortality</w:t>
            </w:r>
            <w:r w:rsidR="0008579C">
              <w:rPr>
                <w:webHidden/>
              </w:rPr>
              <w:tab/>
            </w:r>
            <w:r w:rsidR="0008579C">
              <w:rPr>
                <w:webHidden/>
              </w:rPr>
              <w:fldChar w:fldCharType="begin"/>
            </w:r>
            <w:r w:rsidR="0008579C">
              <w:rPr>
                <w:webHidden/>
              </w:rPr>
              <w:instrText xml:space="preserve"> PAGEREF _Toc16856313 \h </w:instrText>
            </w:r>
            <w:r w:rsidR="0008579C">
              <w:rPr>
                <w:webHidden/>
              </w:rPr>
            </w:r>
            <w:r w:rsidR="0008579C">
              <w:rPr>
                <w:webHidden/>
              </w:rPr>
              <w:fldChar w:fldCharType="separate"/>
            </w:r>
            <w:r w:rsidR="0008579C">
              <w:rPr>
                <w:webHidden/>
              </w:rPr>
              <w:t>71</w:t>
            </w:r>
            <w:r w:rsidR="0008579C">
              <w:rPr>
                <w:webHidden/>
              </w:rPr>
              <w:fldChar w:fldCharType="end"/>
            </w:r>
          </w:hyperlink>
        </w:p>
        <w:p w14:paraId="6302EFCC" w14:textId="44110E79" w:rsidR="0008579C" w:rsidRDefault="009F6E2C">
          <w:pPr>
            <w:pStyle w:val="TOC3"/>
            <w:rPr>
              <w:rFonts w:asciiTheme="minorHAnsi" w:eastAsiaTheme="minorEastAsia" w:hAnsiTheme="minorHAnsi" w:cstheme="minorBidi"/>
            </w:rPr>
          </w:pPr>
          <w:hyperlink w:anchor="_Toc16856314" w:history="1">
            <w:r w:rsidR="0008579C" w:rsidRPr="008A7960">
              <w:rPr>
                <w:rStyle w:val="Hyperlink"/>
              </w:rPr>
              <w:t>Transplant-related outcomes</w:t>
            </w:r>
            <w:r w:rsidR="0008579C">
              <w:rPr>
                <w:webHidden/>
              </w:rPr>
              <w:tab/>
            </w:r>
            <w:r w:rsidR="0008579C">
              <w:rPr>
                <w:webHidden/>
              </w:rPr>
              <w:fldChar w:fldCharType="begin"/>
            </w:r>
            <w:r w:rsidR="0008579C">
              <w:rPr>
                <w:webHidden/>
              </w:rPr>
              <w:instrText xml:space="preserve"> PAGEREF _Toc16856314 \h </w:instrText>
            </w:r>
            <w:r w:rsidR="0008579C">
              <w:rPr>
                <w:webHidden/>
              </w:rPr>
            </w:r>
            <w:r w:rsidR="0008579C">
              <w:rPr>
                <w:webHidden/>
              </w:rPr>
              <w:fldChar w:fldCharType="separate"/>
            </w:r>
            <w:r w:rsidR="0008579C">
              <w:rPr>
                <w:webHidden/>
              </w:rPr>
              <w:t>72</w:t>
            </w:r>
            <w:r w:rsidR="0008579C">
              <w:rPr>
                <w:webHidden/>
              </w:rPr>
              <w:fldChar w:fldCharType="end"/>
            </w:r>
          </w:hyperlink>
        </w:p>
        <w:p w14:paraId="02B65907" w14:textId="6136A1F2" w:rsidR="0008579C" w:rsidRDefault="009F6E2C">
          <w:pPr>
            <w:pStyle w:val="TOC3"/>
            <w:rPr>
              <w:rFonts w:asciiTheme="minorHAnsi" w:eastAsiaTheme="minorEastAsia" w:hAnsiTheme="minorHAnsi" w:cstheme="minorBidi"/>
            </w:rPr>
          </w:pPr>
          <w:hyperlink w:anchor="_Toc16856315" w:history="1">
            <w:r w:rsidR="0008579C" w:rsidRPr="008A7960">
              <w:rPr>
                <w:rStyle w:val="Hyperlink"/>
              </w:rPr>
              <w:t>Quality of Life</w:t>
            </w:r>
            <w:r w:rsidR="0008579C">
              <w:rPr>
                <w:webHidden/>
              </w:rPr>
              <w:tab/>
            </w:r>
            <w:r w:rsidR="0008579C">
              <w:rPr>
                <w:webHidden/>
              </w:rPr>
              <w:fldChar w:fldCharType="begin"/>
            </w:r>
            <w:r w:rsidR="0008579C">
              <w:rPr>
                <w:webHidden/>
              </w:rPr>
              <w:instrText xml:space="preserve"> PAGEREF _Toc16856315 \h </w:instrText>
            </w:r>
            <w:r w:rsidR="0008579C">
              <w:rPr>
                <w:webHidden/>
              </w:rPr>
            </w:r>
            <w:r w:rsidR="0008579C">
              <w:rPr>
                <w:webHidden/>
              </w:rPr>
              <w:fldChar w:fldCharType="separate"/>
            </w:r>
            <w:r w:rsidR="0008579C">
              <w:rPr>
                <w:webHidden/>
              </w:rPr>
              <w:t>74</w:t>
            </w:r>
            <w:r w:rsidR="0008579C">
              <w:rPr>
                <w:webHidden/>
              </w:rPr>
              <w:fldChar w:fldCharType="end"/>
            </w:r>
          </w:hyperlink>
        </w:p>
        <w:p w14:paraId="288214F2" w14:textId="1541ABFA" w:rsidR="0008579C" w:rsidRDefault="009F6E2C">
          <w:pPr>
            <w:pStyle w:val="TOC2"/>
            <w:tabs>
              <w:tab w:val="left" w:pos="1418"/>
            </w:tabs>
            <w:rPr>
              <w:rFonts w:asciiTheme="minorHAnsi" w:eastAsiaTheme="minorEastAsia" w:hAnsiTheme="minorHAnsi" w:cstheme="minorBidi"/>
            </w:rPr>
          </w:pPr>
          <w:hyperlink w:anchor="_Toc16856316" w:history="1">
            <w:r w:rsidR="0008579C" w:rsidRPr="008A7960">
              <w:rPr>
                <w:rStyle w:val="Hyperlink"/>
              </w:rPr>
              <w:t>B.7.</w:t>
            </w:r>
            <w:r w:rsidR="0008579C">
              <w:rPr>
                <w:rFonts w:asciiTheme="minorHAnsi" w:eastAsiaTheme="minorEastAsia" w:hAnsiTheme="minorHAnsi" w:cstheme="minorBidi"/>
              </w:rPr>
              <w:tab/>
            </w:r>
            <w:r w:rsidR="0008579C" w:rsidRPr="008A7960">
              <w:rPr>
                <w:rStyle w:val="Hyperlink"/>
              </w:rPr>
              <w:t>Extended Assessment of Harms</w:t>
            </w:r>
            <w:r w:rsidR="0008579C">
              <w:rPr>
                <w:webHidden/>
              </w:rPr>
              <w:tab/>
            </w:r>
            <w:r w:rsidR="0008579C">
              <w:rPr>
                <w:webHidden/>
              </w:rPr>
              <w:fldChar w:fldCharType="begin"/>
            </w:r>
            <w:r w:rsidR="0008579C">
              <w:rPr>
                <w:webHidden/>
              </w:rPr>
              <w:instrText xml:space="preserve"> PAGEREF _Toc16856316 \h </w:instrText>
            </w:r>
            <w:r w:rsidR="0008579C">
              <w:rPr>
                <w:webHidden/>
              </w:rPr>
            </w:r>
            <w:r w:rsidR="0008579C">
              <w:rPr>
                <w:webHidden/>
              </w:rPr>
              <w:fldChar w:fldCharType="separate"/>
            </w:r>
            <w:r w:rsidR="0008579C">
              <w:rPr>
                <w:webHidden/>
              </w:rPr>
              <w:t>75</w:t>
            </w:r>
            <w:r w:rsidR="0008579C">
              <w:rPr>
                <w:webHidden/>
              </w:rPr>
              <w:fldChar w:fldCharType="end"/>
            </w:r>
          </w:hyperlink>
        </w:p>
        <w:p w14:paraId="216A529F" w14:textId="30EE4892" w:rsidR="0008579C" w:rsidRDefault="009F6E2C">
          <w:pPr>
            <w:pStyle w:val="TOC2"/>
            <w:tabs>
              <w:tab w:val="left" w:pos="1418"/>
            </w:tabs>
            <w:rPr>
              <w:rFonts w:asciiTheme="minorHAnsi" w:eastAsiaTheme="minorEastAsia" w:hAnsiTheme="minorHAnsi" w:cstheme="minorBidi"/>
            </w:rPr>
          </w:pPr>
          <w:hyperlink w:anchor="_Toc16856317" w:history="1">
            <w:r w:rsidR="0008579C" w:rsidRPr="008A7960">
              <w:rPr>
                <w:rStyle w:val="Hyperlink"/>
              </w:rPr>
              <w:t>B.8.</w:t>
            </w:r>
            <w:r w:rsidR="0008579C">
              <w:rPr>
                <w:rFonts w:asciiTheme="minorHAnsi" w:eastAsiaTheme="minorEastAsia" w:hAnsiTheme="minorHAnsi" w:cstheme="minorBidi"/>
              </w:rPr>
              <w:tab/>
            </w:r>
            <w:r w:rsidR="0008579C" w:rsidRPr="008A7960">
              <w:rPr>
                <w:rStyle w:val="Hyperlink"/>
              </w:rPr>
              <w:t>Interpretation of the Clinical Evidence</w:t>
            </w:r>
            <w:r w:rsidR="0008579C">
              <w:rPr>
                <w:webHidden/>
              </w:rPr>
              <w:tab/>
            </w:r>
            <w:r w:rsidR="0008579C">
              <w:rPr>
                <w:webHidden/>
              </w:rPr>
              <w:fldChar w:fldCharType="begin"/>
            </w:r>
            <w:r w:rsidR="0008579C">
              <w:rPr>
                <w:webHidden/>
              </w:rPr>
              <w:instrText xml:space="preserve"> PAGEREF _Toc16856317 \h </w:instrText>
            </w:r>
            <w:r w:rsidR="0008579C">
              <w:rPr>
                <w:webHidden/>
              </w:rPr>
            </w:r>
            <w:r w:rsidR="0008579C">
              <w:rPr>
                <w:webHidden/>
              </w:rPr>
              <w:fldChar w:fldCharType="separate"/>
            </w:r>
            <w:r w:rsidR="0008579C">
              <w:rPr>
                <w:webHidden/>
              </w:rPr>
              <w:t>76</w:t>
            </w:r>
            <w:r w:rsidR="0008579C">
              <w:rPr>
                <w:webHidden/>
              </w:rPr>
              <w:fldChar w:fldCharType="end"/>
            </w:r>
          </w:hyperlink>
        </w:p>
        <w:p w14:paraId="06F06BEA" w14:textId="5C773FFF" w:rsidR="0008579C" w:rsidRDefault="009F6E2C">
          <w:pPr>
            <w:pStyle w:val="TOC1"/>
            <w:rPr>
              <w:rFonts w:asciiTheme="minorHAnsi" w:eastAsiaTheme="minorEastAsia" w:hAnsiTheme="minorHAnsi" w:cstheme="minorBidi"/>
              <w:b w:val="0"/>
            </w:rPr>
          </w:pPr>
          <w:hyperlink w:anchor="_Toc16856318" w:history="1">
            <w:r w:rsidR="0008579C" w:rsidRPr="008A7960">
              <w:rPr>
                <w:rStyle w:val="Hyperlink"/>
              </w:rPr>
              <w:t>Section C</w:t>
            </w:r>
            <w:r w:rsidR="0008579C">
              <w:rPr>
                <w:rFonts w:asciiTheme="minorHAnsi" w:eastAsiaTheme="minorEastAsia" w:hAnsiTheme="minorHAnsi" w:cstheme="minorBidi"/>
                <w:b w:val="0"/>
              </w:rPr>
              <w:tab/>
            </w:r>
            <w:r w:rsidR="0008579C" w:rsidRPr="008A7960">
              <w:rPr>
                <w:rStyle w:val="Hyperlink"/>
              </w:rPr>
              <w:t>Translation Issues</w:t>
            </w:r>
            <w:r w:rsidR="0008579C">
              <w:rPr>
                <w:webHidden/>
              </w:rPr>
              <w:tab/>
            </w:r>
            <w:r w:rsidR="0008579C">
              <w:rPr>
                <w:webHidden/>
              </w:rPr>
              <w:fldChar w:fldCharType="begin"/>
            </w:r>
            <w:r w:rsidR="0008579C">
              <w:rPr>
                <w:webHidden/>
              </w:rPr>
              <w:instrText xml:space="preserve"> PAGEREF _Toc16856318 \h </w:instrText>
            </w:r>
            <w:r w:rsidR="0008579C">
              <w:rPr>
                <w:webHidden/>
              </w:rPr>
            </w:r>
            <w:r w:rsidR="0008579C">
              <w:rPr>
                <w:webHidden/>
              </w:rPr>
              <w:fldChar w:fldCharType="separate"/>
            </w:r>
            <w:r w:rsidR="0008579C">
              <w:rPr>
                <w:webHidden/>
              </w:rPr>
              <w:t>80</w:t>
            </w:r>
            <w:r w:rsidR="0008579C">
              <w:rPr>
                <w:webHidden/>
              </w:rPr>
              <w:fldChar w:fldCharType="end"/>
            </w:r>
          </w:hyperlink>
        </w:p>
        <w:p w14:paraId="5068B4CB" w14:textId="600B8DFF" w:rsidR="0008579C" w:rsidRDefault="009F6E2C">
          <w:pPr>
            <w:pStyle w:val="TOC2"/>
            <w:tabs>
              <w:tab w:val="left" w:pos="1418"/>
            </w:tabs>
            <w:rPr>
              <w:rFonts w:asciiTheme="minorHAnsi" w:eastAsiaTheme="minorEastAsia" w:hAnsiTheme="minorHAnsi" w:cstheme="minorBidi"/>
            </w:rPr>
          </w:pPr>
          <w:hyperlink w:anchor="_Toc16856319" w:history="1">
            <w:r w:rsidR="0008579C" w:rsidRPr="008A7960">
              <w:rPr>
                <w:rStyle w:val="Hyperlink"/>
              </w:rPr>
              <w:t>C.1.</w:t>
            </w:r>
            <w:r w:rsidR="0008579C">
              <w:rPr>
                <w:rFonts w:asciiTheme="minorHAnsi" w:eastAsiaTheme="minorEastAsia" w:hAnsiTheme="minorHAnsi" w:cstheme="minorBidi"/>
              </w:rPr>
              <w:tab/>
            </w:r>
            <w:r w:rsidR="0008579C" w:rsidRPr="008A7960">
              <w:rPr>
                <w:rStyle w:val="Hyperlink"/>
              </w:rPr>
              <w:t>Overview</w:t>
            </w:r>
            <w:r w:rsidR="0008579C">
              <w:rPr>
                <w:webHidden/>
              </w:rPr>
              <w:tab/>
            </w:r>
            <w:r w:rsidR="0008579C">
              <w:rPr>
                <w:webHidden/>
              </w:rPr>
              <w:fldChar w:fldCharType="begin"/>
            </w:r>
            <w:r w:rsidR="0008579C">
              <w:rPr>
                <w:webHidden/>
              </w:rPr>
              <w:instrText xml:space="preserve"> PAGEREF _Toc16856319 \h </w:instrText>
            </w:r>
            <w:r w:rsidR="0008579C">
              <w:rPr>
                <w:webHidden/>
              </w:rPr>
            </w:r>
            <w:r w:rsidR="0008579C">
              <w:rPr>
                <w:webHidden/>
              </w:rPr>
              <w:fldChar w:fldCharType="separate"/>
            </w:r>
            <w:r w:rsidR="0008579C">
              <w:rPr>
                <w:webHidden/>
              </w:rPr>
              <w:t>80</w:t>
            </w:r>
            <w:r w:rsidR="0008579C">
              <w:rPr>
                <w:webHidden/>
              </w:rPr>
              <w:fldChar w:fldCharType="end"/>
            </w:r>
          </w:hyperlink>
        </w:p>
        <w:p w14:paraId="5BEC9FD8" w14:textId="0DDD45DF" w:rsidR="0008579C" w:rsidRDefault="009F6E2C">
          <w:pPr>
            <w:pStyle w:val="TOC2"/>
            <w:tabs>
              <w:tab w:val="left" w:pos="1418"/>
            </w:tabs>
            <w:rPr>
              <w:rFonts w:asciiTheme="minorHAnsi" w:eastAsiaTheme="minorEastAsia" w:hAnsiTheme="minorHAnsi" w:cstheme="minorBidi"/>
            </w:rPr>
          </w:pPr>
          <w:hyperlink w:anchor="_Toc16856320" w:history="1">
            <w:r w:rsidR="0008579C" w:rsidRPr="008A7960">
              <w:rPr>
                <w:rStyle w:val="Hyperlink"/>
              </w:rPr>
              <w:t>C.2.</w:t>
            </w:r>
            <w:r w:rsidR="0008579C">
              <w:rPr>
                <w:rFonts w:asciiTheme="minorHAnsi" w:eastAsiaTheme="minorEastAsia" w:hAnsiTheme="minorHAnsi" w:cstheme="minorBidi"/>
              </w:rPr>
              <w:tab/>
            </w:r>
            <w:r w:rsidR="0008579C" w:rsidRPr="008A7960">
              <w:rPr>
                <w:rStyle w:val="Hyperlink"/>
              </w:rPr>
              <w:t>Applicability translation issues</w:t>
            </w:r>
            <w:r w:rsidR="0008579C">
              <w:rPr>
                <w:webHidden/>
              </w:rPr>
              <w:tab/>
            </w:r>
            <w:r w:rsidR="0008579C">
              <w:rPr>
                <w:webHidden/>
              </w:rPr>
              <w:fldChar w:fldCharType="begin"/>
            </w:r>
            <w:r w:rsidR="0008579C">
              <w:rPr>
                <w:webHidden/>
              </w:rPr>
              <w:instrText xml:space="preserve"> PAGEREF _Toc16856320 \h </w:instrText>
            </w:r>
            <w:r w:rsidR="0008579C">
              <w:rPr>
                <w:webHidden/>
              </w:rPr>
            </w:r>
            <w:r w:rsidR="0008579C">
              <w:rPr>
                <w:webHidden/>
              </w:rPr>
              <w:fldChar w:fldCharType="separate"/>
            </w:r>
            <w:r w:rsidR="0008579C">
              <w:rPr>
                <w:webHidden/>
              </w:rPr>
              <w:t>80</w:t>
            </w:r>
            <w:r w:rsidR="0008579C">
              <w:rPr>
                <w:webHidden/>
              </w:rPr>
              <w:fldChar w:fldCharType="end"/>
            </w:r>
          </w:hyperlink>
        </w:p>
        <w:p w14:paraId="1FBD01FB" w14:textId="5D878460" w:rsidR="0008579C" w:rsidRDefault="009F6E2C">
          <w:pPr>
            <w:pStyle w:val="TOC3"/>
            <w:tabs>
              <w:tab w:val="left" w:pos="2145"/>
            </w:tabs>
            <w:rPr>
              <w:rFonts w:asciiTheme="minorHAnsi" w:eastAsiaTheme="minorEastAsia" w:hAnsiTheme="minorHAnsi" w:cstheme="minorBidi"/>
            </w:rPr>
          </w:pPr>
          <w:hyperlink w:anchor="_Toc16856321" w:history="1">
            <w:r w:rsidR="0008579C" w:rsidRPr="008A7960">
              <w:rPr>
                <w:rStyle w:val="Hyperlink"/>
              </w:rPr>
              <w:t>C.2.1.</w:t>
            </w:r>
            <w:r w:rsidR="0008579C">
              <w:rPr>
                <w:rFonts w:asciiTheme="minorHAnsi" w:eastAsiaTheme="minorEastAsia" w:hAnsiTheme="minorHAnsi" w:cstheme="minorBidi"/>
              </w:rPr>
              <w:tab/>
            </w:r>
            <w:r w:rsidR="0008579C" w:rsidRPr="008A7960">
              <w:rPr>
                <w:rStyle w:val="Hyperlink"/>
              </w:rPr>
              <w:t xml:space="preserve"> Patient demographics and settings</w:t>
            </w:r>
            <w:r w:rsidR="0008579C">
              <w:rPr>
                <w:webHidden/>
              </w:rPr>
              <w:tab/>
            </w:r>
            <w:r w:rsidR="0008579C">
              <w:rPr>
                <w:webHidden/>
              </w:rPr>
              <w:fldChar w:fldCharType="begin"/>
            </w:r>
            <w:r w:rsidR="0008579C">
              <w:rPr>
                <w:webHidden/>
              </w:rPr>
              <w:instrText xml:space="preserve"> PAGEREF _Toc16856321 \h </w:instrText>
            </w:r>
            <w:r w:rsidR="0008579C">
              <w:rPr>
                <w:webHidden/>
              </w:rPr>
            </w:r>
            <w:r w:rsidR="0008579C">
              <w:rPr>
                <w:webHidden/>
              </w:rPr>
              <w:fldChar w:fldCharType="separate"/>
            </w:r>
            <w:r w:rsidR="0008579C">
              <w:rPr>
                <w:webHidden/>
              </w:rPr>
              <w:t>80</w:t>
            </w:r>
            <w:r w:rsidR="0008579C">
              <w:rPr>
                <w:webHidden/>
              </w:rPr>
              <w:fldChar w:fldCharType="end"/>
            </w:r>
          </w:hyperlink>
        </w:p>
        <w:p w14:paraId="3101ABDD" w14:textId="59F424D0" w:rsidR="0008579C" w:rsidRDefault="009F6E2C">
          <w:pPr>
            <w:pStyle w:val="TOC3"/>
            <w:tabs>
              <w:tab w:val="left" w:pos="2145"/>
            </w:tabs>
            <w:rPr>
              <w:rFonts w:asciiTheme="minorHAnsi" w:eastAsiaTheme="minorEastAsia" w:hAnsiTheme="minorHAnsi" w:cstheme="minorBidi"/>
            </w:rPr>
          </w:pPr>
          <w:hyperlink w:anchor="_Toc16856322" w:history="1">
            <w:r w:rsidR="0008579C" w:rsidRPr="008A7960">
              <w:rPr>
                <w:rStyle w:val="Hyperlink"/>
              </w:rPr>
              <w:t>C.2.2.</w:t>
            </w:r>
            <w:r w:rsidR="0008579C">
              <w:rPr>
                <w:rFonts w:asciiTheme="minorHAnsi" w:eastAsiaTheme="minorEastAsia" w:hAnsiTheme="minorHAnsi" w:cstheme="minorBidi"/>
              </w:rPr>
              <w:tab/>
            </w:r>
            <w:r w:rsidR="0008579C" w:rsidRPr="008A7960">
              <w:rPr>
                <w:rStyle w:val="Hyperlink"/>
              </w:rPr>
              <w:t xml:space="preserve"> Antibiotic use in the absence of Ig</w:t>
            </w:r>
            <w:r w:rsidR="0008579C">
              <w:rPr>
                <w:webHidden/>
              </w:rPr>
              <w:tab/>
            </w:r>
            <w:r w:rsidR="0008579C">
              <w:rPr>
                <w:webHidden/>
              </w:rPr>
              <w:fldChar w:fldCharType="begin"/>
            </w:r>
            <w:r w:rsidR="0008579C">
              <w:rPr>
                <w:webHidden/>
              </w:rPr>
              <w:instrText xml:space="preserve"> PAGEREF _Toc16856322 \h </w:instrText>
            </w:r>
            <w:r w:rsidR="0008579C">
              <w:rPr>
                <w:webHidden/>
              </w:rPr>
            </w:r>
            <w:r w:rsidR="0008579C">
              <w:rPr>
                <w:webHidden/>
              </w:rPr>
              <w:fldChar w:fldCharType="separate"/>
            </w:r>
            <w:r w:rsidR="0008579C">
              <w:rPr>
                <w:webHidden/>
              </w:rPr>
              <w:t>82</w:t>
            </w:r>
            <w:r w:rsidR="0008579C">
              <w:rPr>
                <w:webHidden/>
              </w:rPr>
              <w:fldChar w:fldCharType="end"/>
            </w:r>
          </w:hyperlink>
        </w:p>
        <w:p w14:paraId="282B012C" w14:textId="36CB790C" w:rsidR="0008579C" w:rsidRDefault="009F6E2C">
          <w:pPr>
            <w:pStyle w:val="TOC3"/>
            <w:tabs>
              <w:tab w:val="left" w:pos="2145"/>
            </w:tabs>
            <w:rPr>
              <w:rFonts w:asciiTheme="minorHAnsi" w:eastAsiaTheme="minorEastAsia" w:hAnsiTheme="minorHAnsi" w:cstheme="minorBidi"/>
            </w:rPr>
          </w:pPr>
          <w:hyperlink w:anchor="_Toc16856323" w:history="1">
            <w:r w:rsidR="0008579C" w:rsidRPr="008A7960">
              <w:rPr>
                <w:rStyle w:val="Hyperlink"/>
              </w:rPr>
              <w:t>C.2.3.</w:t>
            </w:r>
            <w:r w:rsidR="0008579C">
              <w:rPr>
                <w:rFonts w:asciiTheme="minorHAnsi" w:eastAsiaTheme="minorEastAsia" w:hAnsiTheme="minorHAnsi" w:cstheme="minorBidi"/>
              </w:rPr>
              <w:tab/>
            </w:r>
            <w:r w:rsidR="0008579C" w:rsidRPr="008A7960">
              <w:rPr>
                <w:rStyle w:val="Hyperlink"/>
              </w:rPr>
              <w:t xml:space="preserve"> Dose of Ig</w:t>
            </w:r>
            <w:r w:rsidR="0008579C">
              <w:rPr>
                <w:webHidden/>
              </w:rPr>
              <w:tab/>
            </w:r>
            <w:r w:rsidR="0008579C">
              <w:rPr>
                <w:webHidden/>
              </w:rPr>
              <w:fldChar w:fldCharType="begin"/>
            </w:r>
            <w:r w:rsidR="0008579C">
              <w:rPr>
                <w:webHidden/>
              </w:rPr>
              <w:instrText xml:space="preserve"> PAGEREF _Toc16856323 \h </w:instrText>
            </w:r>
            <w:r w:rsidR="0008579C">
              <w:rPr>
                <w:webHidden/>
              </w:rPr>
            </w:r>
            <w:r w:rsidR="0008579C">
              <w:rPr>
                <w:webHidden/>
              </w:rPr>
              <w:fldChar w:fldCharType="separate"/>
            </w:r>
            <w:r w:rsidR="0008579C">
              <w:rPr>
                <w:webHidden/>
              </w:rPr>
              <w:t>83</w:t>
            </w:r>
            <w:r w:rsidR="0008579C">
              <w:rPr>
                <w:webHidden/>
              </w:rPr>
              <w:fldChar w:fldCharType="end"/>
            </w:r>
          </w:hyperlink>
        </w:p>
        <w:p w14:paraId="14D8BE31" w14:textId="4D356307" w:rsidR="0008579C" w:rsidRDefault="009F6E2C">
          <w:pPr>
            <w:pStyle w:val="TOC3"/>
            <w:tabs>
              <w:tab w:val="left" w:pos="2145"/>
            </w:tabs>
            <w:rPr>
              <w:rFonts w:asciiTheme="minorHAnsi" w:eastAsiaTheme="minorEastAsia" w:hAnsiTheme="minorHAnsi" w:cstheme="minorBidi"/>
            </w:rPr>
          </w:pPr>
          <w:hyperlink w:anchor="_Toc16856324" w:history="1">
            <w:r w:rsidR="0008579C" w:rsidRPr="008A7960">
              <w:rPr>
                <w:rStyle w:val="Hyperlink"/>
              </w:rPr>
              <w:t>C.2.4.</w:t>
            </w:r>
            <w:r w:rsidR="0008579C">
              <w:rPr>
                <w:rFonts w:asciiTheme="minorHAnsi" w:eastAsiaTheme="minorEastAsia" w:hAnsiTheme="minorHAnsi" w:cstheme="minorBidi"/>
              </w:rPr>
              <w:tab/>
            </w:r>
            <w:r w:rsidR="0008579C" w:rsidRPr="008A7960">
              <w:rPr>
                <w:rStyle w:val="Hyperlink"/>
              </w:rPr>
              <w:t xml:space="preserve"> Duration of Ig treatment</w:t>
            </w:r>
            <w:r w:rsidR="0008579C">
              <w:rPr>
                <w:webHidden/>
              </w:rPr>
              <w:tab/>
            </w:r>
            <w:r w:rsidR="0008579C">
              <w:rPr>
                <w:webHidden/>
              </w:rPr>
              <w:fldChar w:fldCharType="begin"/>
            </w:r>
            <w:r w:rsidR="0008579C">
              <w:rPr>
                <w:webHidden/>
              </w:rPr>
              <w:instrText xml:space="preserve"> PAGEREF _Toc16856324 \h </w:instrText>
            </w:r>
            <w:r w:rsidR="0008579C">
              <w:rPr>
                <w:webHidden/>
              </w:rPr>
            </w:r>
            <w:r w:rsidR="0008579C">
              <w:rPr>
                <w:webHidden/>
              </w:rPr>
              <w:fldChar w:fldCharType="separate"/>
            </w:r>
            <w:r w:rsidR="0008579C">
              <w:rPr>
                <w:webHidden/>
              </w:rPr>
              <w:t>85</w:t>
            </w:r>
            <w:r w:rsidR="0008579C">
              <w:rPr>
                <w:webHidden/>
              </w:rPr>
              <w:fldChar w:fldCharType="end"/>
            </w:r>
          </w:hyperlink>
        </w:p>
        <w:p w14:paraId="5A052309" w14:textId="7B605112" w:rsidR="0008579C" w:rsidRDefault="009F6E2C">
          <w:pPr>
            <w:pStyle w:val="TOC2"/>
            <w:tabs>
              <w:tab w:val="left" w:pos="1418"/>
            </w:tabs>
            <w:rPr>
              <w:rFonts w:asciiTheme="minorHAnsi" w:eastAsiaTheme="minorEastAsia" w:hAnsiTheme="minorHAnsi" w:cstheme="minorBidi"/>
            </w:rPr>
          </w:pPr>
          <w:hyperlink w:anchor="_Toc16856325" w:history="1">
            <w:r w:rsidR="0008579C" w:rsidRPr="008A7960">
              <w:rPr>
                <w:rStyle w:val="Hyperlink"/>
              </w:rPr>
              <w:t>C.3.</w:t>
            </w:r>
            <w:r w:rsidR="0008579C">
              <w:rPr>
                <w:rFonts w:asciiTheme="minorHAnsi" w:eastAsiaTheme="minorEastAsia" w:hAnsiTheme="minorHAnsi" w:cstheme="minorBidi"/>
              </w:rPr>
              <w:tab/>
            </w:r>
            <w:r w:rsidR="0008579C" w:rsidRPr="008A7960">
              <w:rPr>
                <w:rStyle w:val="Hyperlink"/>
              </w:rPr>
              <w:t>Extrapolation translation issues</w:t>
            </w:r>
            <w:r w:rsidR="0008579C">
              <w:rPr>
                <w:webHidden/>
              </w:rPr>
              <w:tab/>
            </w:r>
            <w:r w:rsidR="0008579C">
              <w:rPr>
                <w:webHidden/>
              </w:rPr>
              <w:fldChar w:fldCharType="begin"/>
            </w:r>
            <w:r w:rsidR="0008579C">
              <w:rPr>
                <w:webHidden/>
              </w:rPr>
              <w:instrText xml:space="preserve"> PAGEREF _Toc16856325 \h </w:instrText>
            </w:r>
            <w:r w:rsidR="0008579C">
              <w:rPr>
                <w:webHidden/>
              </w:rPr>
            </w:r>
            <w:r w:rsidR="0008579C">
              <w:rPr>
                <w:webHidden/>
              </w:rPr>
              <w:fldChar w:fldCharType="separate"/>
            </w:r>
            <w:r w:rsidR="0008579C">
              <w:rPr>
                <w:webHidden/>
              </w:rPr>
              <w:t>86</w:t>
            </w:r>
            <w:r w:rsidR="0008579C">
              <w:rPr>
                <w:webHidden/>
              </w:rPr>
              <w:fldChar w:fldCharType="end"/>
            </w:r>
          </w:hyperlink>
        </w:p>
        <w:p w14:paraId="121DE3D1" w14:textId="6D6EBA34" w:rsidR="0008579C" w:rsidRDefault="009F6E2C">
          <w:pPr>
            <w:pStyle w:val="TOC3"/>
            <w:tabs>
              <w:tab w:val="left" w:pos="2145"/>
            </w:tabs>
            <w:rPr>
              <w:rFonts w:asciiTheme="minorHAnsi" w:eastAsiaTheme="minorEastAsia" w:hAnsiTheme="minorHAnsi" w:cstheme="minorBidi"/>
            </w:rPr>
          </w:pPr>
          <w:hyperlink w:anchor="_Toc16856326" w:history="1">
            <w:r w:rsidR="0008579C" w:rsidRPr="008A7960">
              <w:rPr>
                <w:rStyle w:val="Hyperlink"/>
              </w:rPr>
              <w:t>C.3.1.</w:t>
            </w:r>
            <w:r w:rsidR="0008579C">
              <w:rPr>
                <w:rFonts w:asciiTheme="minorHAnsi" w:eastAsiaTheme="minorEastAsia" w:hAnsiTheme="minorHAnsi" w:cstheme="minorBidi"/>
              </w:rPr>
              <w:tab/>
            </w:r>
            <w:r w:rsidR="0008579C" w:rsidRPr="008A7960">
              <w:rPr>
                <w:rStyle w:val="Hyperlink"/>
              </w:rPr>
              <w:t>What is the duration of the treatment effect of Ig in patients with acquired hypogammaglobulinaemia?</w:t>
            </w:r>
            <w:r w:rsidR="0008579C">
              <w:rPr>
                <w:webHidden/>
              </w:rPr>
              <w:tab/>
            </w:r>
            <w:r w:rsidR="0008579C">
              <w:rPr>
                <w:webHidden/>
              </w:rPr>
              <w:fldChar w:fldCharType="begin"/>
            </w:r>
            <w:r w:rsidR="0008579C">
              <w:rPr>
                <w:webHidden/>
              </w:rPr>
              <w:instrText xml:space="preserve"> PAGEREF _Toc16856326 \h </w:instrText>
            </w:r>
            <w:r w:rsidR="0008579C">
              <w:rPr>
                <w:webHidden/>
              </w:rPr>
            </w:r>
            <w:r w:rsidR="0008579C">
              <w:rPr>
                <w:webHidden/>
              </w:rPr>
              <w:fldChar w:fldCharType="separate"/>
            </w:r>
            <w:r w:rsidR="0008579C">
              <w:rPr>
                <w:webHidden/>
              </w:rPr>
              <w:t>86</w:t>
            </w:r>
            <w:r w:rsidR="0008579C">
              <w:rPr>
                <w:webHidden/>
              </w:rPr>
              <w:fldChar w:fldCharType="end"/>
            </w:r>
          </w:hyperlink>
        </w:p>
        <w:p w14:paraId="1FB990B6" w14:textId="454C22FD" w:rsidR="0008579C" w:rsidRDefault="009F6E2C">
          <w:pPr>
            <w:pStyle w:val="TOC3"/>
            <w:tabs>
              <w:tab w:val="left" w:pos="2145"/>
            </w:tabs>
            <w:rPr>
              <w:rFonts w:asciiTheme="minorHAnsi" w:eastAsiaTheme="minorEastAsia" w:hAnsiTheme="minorHAnsi" w:cstheme="minorBidi"/>
            </w:rPr>
          </w:pPr>
          <w:hyperlink w:anchor="_Toc16856327" w:history="1">
            <w:r w:rsidR="0008579C" w:rsidRPr="008A7960">
              <w:rPr>
                <w:rStyle w:val="Hyperlink"/>
              </w:rPr>
              <w:t>C.3.2.</w:t>
            </w:r>
            <w:r w:rsidR="0008579C">
              <w:rPr>
                <w:rFonts w:asciiTheme="minorHAnsi" w:eastAsiaTheme="minorEastAsia" w:hAnsiTheme="minorHAnsi" w:cstheme="minorBidi"/>
              </w:rPr>
              <w:tab/>
            </w:r>
            <w:r w:rsidR="0008579C" w:rsidRPr="008A7960">
              <w:rPr>
                <w:rStyle w:val="Hyperlink"/>
              </w:rPr>
              <w:t xml:space="preserve"> What is the natural history of recurrent infections in patients with acquired hypogammaglobulinaemia?</w:t>
            </w:r>
            <w:r w:rsidR="0008579C">
              <w:rPr>
                <w:webHidden/>
              </w:rPr>
              <w:tab/>
            </w:r>
            <w:r w:rsidR="0008579C">
              <w:rPr>
                <w:webHidden/>
              </w:rPr>
              <w:fldChar w:fldCharType="begin"/>
            </w:r>
            <w:r w:rsidR="0008579C">
              <w:rPr>
                <w:webHidden/>
              </w:rPr>
              <w:instrText xml:space="preserve"> PAGEREF _Toc16856327 \h </w:instrText>
            </w:r>
            <w:r w:rsidR="0008579C">
              <w:rPr>
                <w:webHidden/>
              </w:rPr>
            </w:r>
            <w:r w:rsidR="0008579C">
              <w:rPr>
                <w:webHidden/>
              </w:rPr>
              <w:fldChar w:fldCharType="separate"/>
            </w:r>
            <w:r w:rsidR="0008579C">
              <w:rPr>
                <w:webHidden/>
              </w:rPr>
              <w:t>87</w:t>
            </w:r>
            <w:r w:rsidR="0008579C">
              <w:rPr>
                <w:webHidden/>
              </w:rPr>
              <w:fldChar w:fldCharType="end"/>
            </w:r>
          </w:hyperlink>
        </w:p>
        <w:p w14:paraId="2CF14A0B" w14:textId="7380339C" w:rsidR="0008579C" w:rsidRDefault="009F6E2C">
          <w:pPr>
            <w:pStyle w:val="TOC2"/>
            <w:tabs>
              <w:tab w:val="left" w:pos="1418"/>
            </w:tabs>
            <w:rPr>
              <w:rFonts w:asciiTheme="minorHAnsi" w:eastAsiaTheme="minorEastAsia" w:hAnsiTheme="minorHAnsi" w:cstheme="minorBidi"/>
            </w:rPr>
          </w:pPr>
          <w:hyperlink w:anchor="_Toc16856328" w:history="1">
            <w:r w:rsidR="0008579C" w:rsidRPr="008A7960">
              <w:rPr>
                <w:rStyle w:val="Hyperlink"/>
              </w:rPr>
              <w:t>C.4.</w:t>
            </w:r>
            <w:r w:rsidR="0008579C">
              <w:rPr>
                <w:rFonts w:asciiTheme="minorHAnsi" w:eastAsiaTheme="minorEastAsia" w:hAnsiTheme="minorHAnsi" w:cstheme="minorBidi"/>
              </w:rPr>
              <w:tab/>
            </w:r>
            <w:r w:rsidR="0008579C" w:rsidRPr="008A7960">
              <w:rPr>
                <w:rStyle w:val="Hyperlink"/>
              </w:rPr>
              <w:t>Transformation issues</w:t>
            </w:r>
            <w:r w:rsidR="0008579C">
              <w:rPr>
                <w:webHidden/>
              </w:rPr>
              <w:tab/>
            </w:r>
            <w:r w:rsidR="0008579C">
              <w:rPr>
                <w:webHidden/>
              </w:rPr>
              <w:fldChar w:fldCharType="begin"/>
            </w:r>
            <w:r w:rsidR="0008579C">
              <w:rPr>
                <w:webHidden/>
              </w:rPr>
              <w:instrText xml:space="preserve"> PAGEREF _Toc16856328 \h </w:instrText>
            </w:r>
            <w:r w:rsidR="0008579C">
              <w:rPr>
                <w:webHidden/>
              </w:rPr>
            </w:r>
            <w:r w:rsidR="0008579C">
              <w:rPr>
                <w:webHidden/>
              </w:rPr>
              <w:fldChar w:fldCharType="separate"/>
            </w:r>
            <w:r w:rsidR="0008579C">
              <w:rPr>
                <w:webHidden/>
              </w:rPr>
              <w:t>88</w:t>
            </w:r>
            <w:r w:rsidR="0008579C">
              <w:rPr>
                <w:webHidden/>
              </w:rPr>
              <w:fldChar w:fldCharType="end"/>
            </w:r>
          </w:hyperlink>
        </w:p>
        <w:p w14:paraId="3FB25D1D" w14:textId="0C8BF896" w:rsidR="0008579C" w:rsidRDefault="009F6E2C">
          <w:pPr>
            <w:pStyle w:val="TOC3"/>
            <w:tabs>
              <w:tab w:val="left" w:pos="2145"/>
            </w:tabs>
            <w:rPr>
              <w:rFonts w:asciiTheme="minorHAnsi" w:eastAsiaTheme="minorEastAsia" w:hAnsiTheme="minorHAnsi" w:cstheme="minorBidi"/>
            </w:rPr>
          </w:pPr>
          <w:hyperlink w:anchor="_Toc16856329" w:history="1">
            <w:r w:rsidR="0008579C" w:rsidRPr="008A7960">
              <w:rPr>
                <w:rStyle w:val="Hyperlink"/>
              </w:rPr>
              <w:t>C.4.1.</w:t>
            </w:r>
            <w:r w:rsidR="0008579C">
              <w:rPr>
                <w:rFonts w:asciiTheme="minorHAnsi" w:eastAsiaTheme="minorEastAsia" w:hAnsiTheme="minorHAnsi" w:cstheme="minorBidi"/>
              </w:rPr>
              <w:tab/>
            </w:r>
            <w:r w:rsidR="0008579C" w:rsidRPr="008A7960">
              <w:rPr>
                <w:rStyle w:val="Hyperlink"/>
              </w:rPr>
              <w:t xml:space="preserve"> Transformation of outcomes into a common, patient-relevant outcome</w:t>
            </w:r>
            <w:r w:rsidR="0008579C">
              <w:rPr>
                <w:webHidden/>
              </w:rPr>
              <w:tab/>
            </w:r>
            <w:r w:rsidR="0008579C">
              <w:rPr>
                <w:webHidden/>
              </w:rPr>
              <w:fldChar w:fldCharType="begin"/>
            </w:r>
            <w:r w:rsidR="0008579C">
              <w:rPr>
                <w:webHidden/>
              </w:rPr>
              <w:instrText xml:space="preserve"> PAGEREF _Toc16856329 \h </w:instrText>
            </w:r>
            <w:r w:rsidR="0008579C">
              <w:rPr>
                <w:webHidden/>
              </w:rPr>
            </w:r>
            <w:r w:rsidR="0008579C">
              <w:rPr>
                <w:webHidden/>
              </w:rPr>
              <w:fldChar w:fldCharType="separate"/>
            </w:r>
            <w:r w:rsidR="0008579C">
              <w:rPr>
                <w:webHidden/>
              </w:rPr>
              <w:t>88</w:t>
            </w:r>
            <w:r w:rsidR="0008579C">
              <w:rPr>
                <w:webHidden/>
              </w:rPr>
              <w:fldChar w:fldCharType="end"/>
            </w:r>
          </w:hyperlink>
        </w:p>
        <w:p w14:paraId="38AB0890" w14:textId="0267D5D9" w:rsidR="0008579C" w:rsidRDefault="009F6E2C">
          <w:pPr>
            <w:pStyle w:val="TOC2"/>
            <w:tabs>
              <w:tab w:val="left" w:pos="1418"/>
            </w:tabs>
            <w:rPr>
              <w:rFonts w:asciiTheme="minorHAnsi" w:eastAsiaTheme="minorEastAsia" w:hAnsiTheme="minorHAnsi" w:cstheme="minorBidi"/>
            </w:rPr>
          </w:pPr>
          <w:hyperlink w:anchor="_Toc16856330" w:history="1">
            <w:r w:rsidR="0008579C" w:rsidRPr="008A7960">
              <w:rPr>
                <w:rStyle w:val="Hyperlink"/>
              </w:rPr>
              <w:t>C.5.</w:t>
            </w:r>
            <w:r w:rsidR="0008579C">
              <w:rPr>
                <w:rFonts w:asciiTheme="minorHAnsi" w:eastAsiaTheme="minorEastAsia" w:hAnsiTheme="minorHAnsi" w:cstheme="minorBidi"/>
              </w:rPr>
              <w:tab/>
            </w:r>
            <w:r w:rsidR="0008579C" w:rsidRPr="008A7960">
              <w:rPr>
                <w:rStyle w:val="Hyperlink"/>
              </w:rPr>
              <w:t>Relationship of each Pre-Modelling Study to the Economic Evaluation</w:t>
            </w:r>
            <w:r w:rsidR="0008579C">
              <w:rPr>
                <w:webHidden/>
              </w:rPr>
              <w:tab/>
            </w:r>
            <w:r w:rsidR="0008579C">
              <w:rPr>
                <w:webHidden/>
              </w:rPr>
              <w:fldChar w:fldCharType="begin"/>
            </w:r>
            <w:r w:rsidR="0008579C">
              <w:rPr>
                <w:webHidden/>
              </w:rPr>
              <w:instrText xml:space="preserve"> PAGEREF _Toc16856330 \h </w:instrText>
            </w:r>
            <w:r w:rsidR="0008579C">
              <w:rPr>
                <w:webHidden/>
              </w:rPr>
            </w:r>
            <w:r w:rsidR="0008579C">
              <w:rPr>
                <w:webHidden/>
              </w:rPr>
              <w:fldChar w:fldCharType="separate"/>
            </w:r>
            <w:r w:rsidR="0008579C">
              <w:rPr>
                <w:webHidden/>
              </w:rPr>
              <w:t>91</w:t>
            </w:r>
            <w:r w:rsidR="0008579C">
              <w:rPr>
                <w:webHidden/>
              </w:rPr>
              <w:fldChar w:fldCharType="end"/>
            </w:r>
          </w:hyperlink>
        </w:p>
        <w:p w14:paraId="14744CCA" w14:textId="599B0C86" w:rsidR="0008579C" w:rsidRDefault="009F6E2C">
          <w:pPr>
            <w:pStyle w:val="TOC1"/>
            <w:rPr>
              <w:rFonts w:asciiTheme="minorHAnsi" w:eastAsiaTheme="minorEastAsia" w:hAnsiTheme="minorHAnsi" w:cstheme="minorBidi"/>
              <w:b w:val="0"/>
            </w:rPr>
          </w:pPr>
          <w:hyperlink w:anchor="_Toc16856331" w:history="1">
            <w:r w:rsidR="0008579C" w:rsidRPr="008A7960">
              <w:rPr>
                <w:rStyle w:val="Hyperlink"/>
              </w:rPr>
              <w:t>Section D</w:t>
            </w:r>
            <w:r w:rsidR="0008579C">
              <w:rPr>
                <w:rFonts w:asciiTheme="minorHAnsi" w:eastAsiaTheme="minorEastAsia" w:hAnsiTheme="minorHAnsi" w:cstheme="minorBidi"/>
                <w:b w:val="0"/>
              </w:rPr>
              <w:tab/>
            </w:r>
            <w:r w:rsidR="0008579C" w:rsidRPr="008A7960">
              <w:rPr>
                <w:rStyle w:val="Hyperlink"/>
              </w:rPr>
              <w:t>Economic Evaluation</w:t>
            </w:r>
            <w:r w:rsidR="0008579C">
              <w:rPr>
                <w:webHidden/>
              </w:rPr>
              <w:tab/>
            </w:r>
            <w:r w:rsidR="0008579C">
              <w:rPr>
                <w:webHidden/>
              </w:rPr>
              <w:fldChar w:fldCharType="begin"/>
            </w:r>
            <w:r w:rsidR="0008579C">
              <w:rPr>
                <w:webHidden/>
              </w:rPr>
              <w:instrText xml:space="preserve"> PAGEREF _Toc16856331 \h </w:instrText>
            </w:r>
            <w:r w:rsidR="0008579C">
              <w:rPr>
                <w:webHidden/>
              </w:rPr>
            </w:r>
            <w:r w:rsidR="0008579C">
              <w:rPr>
                <w:webHidden/>
              </w:rPr>
              <w:fldChar w:fldCharType="separate"/>
            </w:r>
            <w:r w:rsidR="0008579C">
              <w:rPr>
                <w:webHidden/>
              </w:rPr>
              <w:t>93</w:t>
            </w:r>
            <w:r w:rsidR="0008579C">
              <w:rPr>
                <w:webHidden/>
              </w:rPr>
              <w:fldChar w:fldCharType="end"/>
            </w:r>
          </w:hyperlink>
        </w:p>
        <w:p w14:paraId="4CB29801" w14:textId="6225FA48" w:rsidR="0008579C" w:rsidRDefault="009F6E2C">
          <w:pPr>
            <w:pStyle w:val="TOC2"/>
            <w:tabs>
              <w:tab w:val="left" w:pos="1540"/>
            </w:tabs>
            <w:rPr>
              <w:rFonts w:asciiTheme="minorHAnsi" w:eastAsiaTheme="minorEastAsia" w:hAnsiTheme="minorHAnsi" w:cstheme="minorBidi"/>
            </w:rPr>
          </w:pPr>
          <w:hyperlink w:anchor="_Toc16856332" w:history="1">
            <w:r w:rsidR="0008579C" w:rsidRPr="008A7960">
              <w:rPr>
                <w:rStyle w:val="Hyperlink"/>
              </w:rPr>
              <w:t>D.1.</w:t>
            </w:r>
            <w:r w:rsidR="0008579C">
              <w:rPr>
                <w:rFonts w:asciiTheme="minorHAnsi" w:eastAsiaTheme="minorEastAsia" w:hAnsiTheme="minorHAnsi" w:cstheme="minorBidi"/>
              </w:rPr>
              <w:tab/>
            </w:r>
            <w:r w:rsidR="0008579C" w:rsidRPr="008A7960">
              <w:rPr>
                <w:rStyle w:val="Hyperlink"/>
              </w:rPr>
              <w:t>Overview</w:t>
            </w:r>
            <w:r w:rsidR="0008579C">
              <w:rPr>
                <w:webHidden/>
              </w:rPr>
              <w:tab/>
            </w:r>
            <w:r w:rsidR="0008579C">
              <w:rPr>
                <w:webHidden/>
              </w:rPr>
              <w:fldChar w:fldCharType="begin"/>
            </w:r>
            <w:r w:rsidR="0008579C">
              <w:rPr>
                <w:webHidden/>
              </w:rPr>
              <w:instrText xml:space="preserve"> PAGEREF _Toc16856332 \h </w:instrText>
            </w:r>
            <w:r w:rsidR="0008579C">
              <w:rPr>
                <w:webHidden/>
              </w:rPr>
            </w:r>
            <w:r w:rsidR="0008579C">
              <w:rPr>
                <w:webHidden/>
              </w:rPr>
              <w:fldChar w:fldCharType="separate"/>
            </w:r>
            <w:r w:rsidR="0008579C">
              <w:rPr>
                <w:webHidden/>
              </w:rPr>
              <w:t>93</w:t>
            </w:r>
            <w:r w:rsidR="0008579C">
              <w:rPr>
                <w:webHidden/>
              </w:rPr>
              <w:fldChar w:fldCharType="end"/>
            </w:r>
          </w:hyperlink>
        </w:p>
        <w:p w14:paraId="7A7E4829" w14:textId="79D30CAA" w:rsidR="0008579C" w:rsidRDefault="009F6E2C">
          <w:pPr>
            <w:pStyle w:val="TOC2"/>
            <w:tabs>
              <w:tab w:val="left" w:pos="1540"/>
            </w:tabs>
            <w:rPr>
              <w:rFonts w:asciiTheme="minorHAnsi" w:eastAsiaTheme="minorEastAsia" w:hAnsiTheme="minorHAnsi" w:cstheme="minorBidi"/>
            </w:rPr>
          </w:pPr>
          <w:hyperlink w:anchor="_Toc16856333" w:history="1">
            <w:r w:rsidR="0008579C" w:rsidRPr="008A7960">
              <w:rPr>
                <w:rStyle w:val="Hyperlink"/>
              </w:rPr>
              <w:t>D.2.</w:t>
            </w:r>
            <w:r w:rsidR="0008579C">
              <w:rPr>
                <w:rFonts w:asciiTheme="minorHAnsi" w:eastAsiaTheme="minorEastAsia" w:hAnsiTheme="minorHAnsi" w:cstheme="minorBidi"/>
              </w:rPr>
              <w:tab/>
            </w:r>
            <w:r w:rsidR="0008579C" w:rsidRPr="008A7960">
              <w:rPr>
                <w:rStyle w:val="Hyperlink"/>
              </w:rPr>
              <w:t>Populations and settings</w:t>
            </w:r>
            <w:r w:rsidR="0008579C">
              <w:rPr>
                <w:webHidden/>
              </w:rPr>
              <w:tab/>
            </w:r>
            <w:r w:rsidR="0008579C">
              <w:rPr>
                <w:webHidden/>
              </w:rPr>
              <w:fldChar w:fldCharType="begin"/>
            </w:r>
            <w:r w:rsidR="0008579C">
              <w:rPr>
                <w:webHidden/>
              </w:rPr>
              <w:instrText xml:space="preserve"> PAGEREF _Toc16856333 \h </w:instrText>
            </w:r>
            <w:r w:rsidR="0008579C">
              <w:rPr>
                <w:webHidden/>
              </w:rPr>
            </w:r>
            <w:r w:rsidR="0008579C">
              <w:rPr>
                <w:webHidden/>
              </w:rPr>
              <w:fldChar w:fldCharType="separate"/>
            </w:r>
            <w:r w:rsidR="0008579C">
              <w:rPr>
                <w:webHidden/>
              </w:rPr>
              <w:t>93</w:t>
            </w:r>
            <w:r w:rsidR="0008579C">
              <w:rPr>
                <w:webHidden/>
              </w:rPr>
              <w:fldChar w:fldCharType="end"/>
            </w:r>
          </w:hyperlink>
        </w:p>
        <w:p w14:paraId="59A33904" w14:textId="666C8010" w:rsidR="0008579C" w:rsidRDefault="009F6E2C">
          <w:pPr>
            <w:pStyle w:val="TOC2"/>
            <w:tabs>
              <w:tab w:val="left" w:pos="1540"/>
            </w:tabs>
            <w:rPr>
              <w:rFonts w:asciiTheme="minorHAnsi" w:eastAsiaTheme="minorEastAsia" w:hAnsiTheme="minorHAnsi" w:cstheme="minorBidi"/>
            </w:rPr>
          </w:pPr>
          <w:hyperlink w:anchor="_Toc16856334" w:history="1">
            <w:r w:rsidR="0008579C" w:rsidRPr="008A7960">
              <w:rPr>
                <w:rStyle w:val="Hyperlink"/>
              </w:rPr>
              <w:t>D.3.</w:t>
            </w:r>
            <w:r w:rsidR="0008579C">
              <w:rPr>
                <w:rFonts w:asciiTheme="minorHAnsi" w:eastAsiaTheme="minorEastAsia" w:hAnsiTheme="minorHAnsi" w:cstheme="minorBidi"/>
              </w:rPr>
              <w:tab/>
            </w:r>
            <w:r w:rsidR="0008579C" w:rsidRPr="008A7960">
              <w:rPr>
                <w:rStyle w:val="Hyperlink"/>
              </w:rPr>
              <w:t>Structure and rationale of the economic evaluation</w:t>
            </w:r>
            <w:r w:rsidR="0008579C">
              <w:rPr>
                <w:webHidden/>
              </w:rPr>
              <w:tab/>
            </w:r>
            <w:r w:rsidR="0008579C">
              <w:rPr>
                <w:webHidden/>
              </w:rPr>
              <w:fldChar w:fldCharType="begin"/>
            </w:r>
            <w:r w:rsidR="0008579C">
              <w:rPr>
                <w:webHidden/>
              </w:rPr>
              <w:instrText xml:space="preserve"> PAGEREF _Toc16856334 \h </w:instrText>
            </w:r>
            <w:r w:rsidR="0008579C">
              <w:rPr>
                <w:webHidden/>
              </w:rPr>
            </w:r>
            <w:r w:rsidR="0008579C">
              <w:rPr>
                <w:webHidden/>
              </w:rPr>
              <w:fldChar w:fldCharType="separate"/>
            </w:r>
            <w:r w:rsidR="0008579C">
              <w:rPr>
                <w:webHidden/>
              </w:rPr>
              <w:t>95</w:t>
            </w:r>
            <w:r w:rsidR="0008579C">
              <w:rPr>
                <w:webHidden/>
              </w:rPr>
              <w:fldChar w:fldCharType="end"/>
            </w:r>
          </w:hyperlink>
        </w:p>
        <w:p w14:paraId="65CF2C7C" w14:textId="556B0C9F" w:rsidR="0008579C" w:rsidRDefault="009F6E2C">
          <w:pPr>
            <w:pStyle w:val="TOC3"/>
            <w:rPr>
              <w:rFonts w:asciiTheme="minorHAnsi" w:eastAsiaTheme="minorEastAsia" w:hAnsiTheme="minorHAnsi" w:cstheme="minorBidi"/>
            </w:rPr>
          </w:pPr>
          <w:hyperlink w:anchor="_Toc16856335" w:history="1">
            <w:r w:rsidR="0008579C" w:rsidRPr="008A7960">
              <w:rPr>
                <w:rStyle w:val="Hyperlink"/>
              </w:rPr>
              <w:t>Literature review</w:t>
            </w:r>
            <w:r w:rsidR="0008579C">
              <w:rPr>
                <w:webHidden/>
              </w:rPr>
              <w:tab/>
            </w:r>
            <w:r w:rsidR="0008579C">
              <w:rPr>
                <w:webHidden/>
              </w:rPr>
              <w:fldChar w:fldCharType="begin"/>
            </w:r>
            <w:r w:rsidR="0008579C">
              <w:rPr>
                <w:webHidden/>
              </w:rPr>
              <w:instrText xml:space="preserve"> PAGEREF _Toc16856335 \h </w:instrText>
            </w:r>
            <w:r w:rsidR="0008579C">
              <w:rPr>
                <w:webHidden/>
              </w:rPr>
            </w:r>
            <w:r w:rsidR="0008579C">
              <w:rPr>
                <w:webHidden/>
              </w:rPr>
              <w:fldChar w:fldCharType="separate"/>
            </w:r>
            <w:r w:rsidR="0008579C">
              <w:rPr>
                <w:webHidden/>
              </w:rPr>
              <w:t>95</w:t>
            </w:r>
            <w:r w:rsidR="0008579C">
              <w:rPr>
                <w:webHidden/>
              </w:rPr>
              <w:fldChar w:fldCharType="end"/>
            </w:r>
          </w:hyperlink>
        </w:p>
        <w:p w14:paraId="57EA8FAD" w14:textId="2785504D" w:rsidR="0008579C" w:rsidRDefault="009F6E2C">
          <w:pPr>
            <w:pStyle w:val="TOC3"/>
            <w:rPr>
              <w:rFonts w:asciiTheme="minorHAnsi" w:eastAsiaTheme="minorEastAsia" w:hAnsiTheme="minorHAnsi" w:cstheme="minorBidi"/>
            </w:rPr>
          </w:pPr>
          <w:hyperlink w:anchor="_Toc16856336" w:history="1">
            <w:r w:rsidR="0008579C" w:rsidRPr="008A7960">
              <w:rPr>
                <w:rStyle w:val="Hyperlink"/>
              </w:rPr>
              <w:t>Structure of the economic evaluation</w:t>
            </w:r>
            <w:r w:rsidR="0008579C">
              <w:rPr>
                <w:webHidden/>
              </w:rPr>
              <w:tab/>
            </w:r>
            <w:r w:rsidR="0008579C">
              <w:rPr>
                <w:webHidden/>
              </w:rPr>
              <w:fldChar w:fldCharType="begin"/>
            </w:r>
            <w:r w:rsidR="0008579C">
              <w:rPr>
                <w:webHidden/>
              </w:rPr>
              <w:instrText xml:space="preserve"> PAGEREF _Toc16856336 \h </w:instrText>
            </w:r>
            <w:r w:rsidR="0008579C">
              <w:rPr>
                <w:webHidden/>
              </w:rPr>
            </w:r>
            <w:r w:rsidR="0008579C">
              <w:rPr>
                <w:webHidden/>
              </w:rPr>
              <w:fldChar w:fldCharType="separate"/>
            </w:r>
            <w:r w:rsidR="0008579C">
              <w:rPr>
                <w:webHidden/>
              </w:rPr>
              <w:t>97</w:t>
            </w:r>
            <w:r w:rsidR="0008579C">
              <w:rPr>
                <w:webHidden/>
              </w:rPr>
              <w:fldChar w:fldCharType="end"/>
            </w:r>
          </w:hyperlink>
        </w:p>
        <w:p w14:paraId="5C96B8A3" w14:textId="257A1D18" w:rsidR="0008579C" w:rsidRDefault="009F6E2C">
          <w:pPr>
            <w:pStyle w:val="TOC2"/>
            <w:tabs>
              <w:tab w:val="left" w:pos="1540"/>
            </w:tabs>
            <w:rPr>
              <w:rFonts w:asciiTheme="minorHAnsi" w:eastAsiaTheme="minorEastAsia" w:hAnsiTheme="minorHAnsi" w:cstheme="minorBidi"/>
            </w:rPr>
          </w:pPr>
          <w:hyperlink w:anchor="_Toc16856337" w:history="1">
            <w:r w:rsidR="0008579C" w:rsidRPr="008A7960">
              <w:rPr>
                <w:rStyle w:val="Hyperlink"/>
              </w:rPr>
              <w:t>D.4.</w:t>
            </w:r>
            <w:r w:rsidR="0008579C">
              <w:rPr>
                <w:rFonts w:asciiTheme="minorHAnsi" w:eastAsiaTheme="minorEastAsia" w:hAnsiTheme="minorHAnsi" w:cstheme="minorBidi"/>
              </w:rPr>
              <w:tab/>
            </w:r>
            <w:r w:rsidR="0008579C" w:rsidRPr="008A7960">
              <w:rPr>
                <w:rStyle w:val="Hyperlink"/>
              </w:rPr>
              <w:t>Inputs to the economic evaluation</w:t>
            </w:r>
            <w:r w:rsidR="0008579C">
              <w:rPr>
                <w:webHidden/>
              </w:rPr>
              <w:tab/>
            </w:r>
            <w:r w:rsidR="0008579C">
              <w:rPr>
                <w:webHidden/>
              </w:rPr>
              <w:fldChar w:fldCharType="begin"/>
            </w:r>
            <w:r w:rsidR="0008579C">
              <w:rPr>
                <w:webHidden/>
              </w:rPr>
              <w:instrText xml:space="preserve"> PAGEREF _Toc16856337 \h </w:instrText>
            </w:r>
            <w:r w:rsidR="0008579C">
              <w:rPr>
                <w:webHidden/>
              </w:rPr>
            </w:r>
            <w:r w:rsidR="0008579C">
              <w:rPr>
                <w:webHidden/>
              </w:rPr>
              <w:fldChar w:fldCharType="separate"/>
            </w:r>
            <w:r w:rsidR="0008579C">
              <w:rPr>
                <w:webHidden/>
              </w:rPr>
              <w:t>99</w:t>
            </w:r>
            <w:r w:rsidR="0008579C">
              <w:rPr>
                <w:webHidden/>
              </w:rPr>
              <w:fldChar w:fldCharType="end"/>
            </w:r>
          </w:hyperlink>
        </w:p>
        <w:p w14:paraId="1D36286C" w14:textId="644C9BAA" w:rsidR="0008579C" w:rsidRDefault="009F6E2C">
          <w:pPr>
            <w:pStyle w:val="TOC3"/>
            <w:tabs>
              <w:tab w:val="left" w:pos="2163"/>
            </w:tabs>
            <w:rPr>
              <w:rFonts w:asciiTheme="minorHAnsi" w:eastAsiaTheme="minorEastAsia" w:hAnsiTheme="minorHAnsi" w:cstheme="minorBidi"/>
            </w:rPr>
          </w:pPr>
          <w:hyperlink w:anchor="_Toc16856338" w:history="1">
            <w:r w:rsidR="0008579C" w:rsidRPr="008A7960">
              <w:rPr>
                <w:rStyle w:val="Hyperlink"/>
              </w:rPr>
              <w:t>D.4.1.</w:t>
            </w:r>
            <w:r w:rsidR="0008579C">
              <w:rPr>
                <w:rFonts w:asciiTheme="minorHAnsi" w:eastAsiaTheme="minorEastAsia" w:hAnsiTheme="minorHAnsi" w:cstheme="minorBidi"/>
              </w:rPr>
              <w:tab/>
            </w:r>
            <w:r w:rsidR="0008579C" w:rsidRPr="008A7960">
              <w:rPr>
                <w:rStyle w:val="Hyperlink"/>
              </w:rPr>
              <w:t xml:space="preserve"> Transition probabilities</w:t>
            </w:r>
            <w:r w:rsidR="0008579C">
              <w:rPr>
                <w:webHidden/>
              </w:rPr>
              <w:tab/>
            </w:r>
            <w:r w:rsidR="0008579C">
              <w:rPr>
                <w:webHidden/>
              </w:rPr>
              <w:fldChar w:fldCharType="begin"/>
            </w:r>
            <w:r w:rsidR="0008579C">
              <w:rPr>
                <w:webHidden/>
              </w:rPr>
              <w:instrText xml:space="preserve"> PAGEREF _Toc16856338 \h </w:instrText>
            </w:r>
            <w:r w:rsidR="0008579C">
              <w:rPr>
                <w:webHidden/>
              </w:rPr>
            </w:r>
            <w:r w:rsidR="0008579C">
              <w:rPr>
                <w:webHidden/>
              </w:rPr>
              <w:fldChar w:fldCharType="separate"/>
            </w:r>
            <w:r w:rsidR="0008579C">
              <w:rPr>
                <w:webHidden/>
              </w:rPr>
              <w:t>99</w:t>
            </w:r>
            <w:r w:rsidR="0008579C">
              <w:rPr>
                <w:webHidden/>
              </w:rPr>
              <w:fldChar w:fldCharType="end"/>
            </w:r>
          </w:hyperlink>
        </w:p>
        <w:p w14:paraId="41B97D98" w14:textId="75874F94" w:rsidR="0008579C" w:rsidRDefault="009F6E2C">
          <w:pPr>
            <w:pStyle w:val="TOC3"/>
            <w:tabs>
              <w:tab w:val="left" w:pos="2163"/>
            </w:tabs>
            <w:rPr>
              <w:rFonts w:asciiTheme="minorHAnsi" w:eastAsiaTheme="minorEastAsia" w:hAnsiTheme="minorHAnsi" w:cstheme="minorBidi"/>
            </w:rPr>
          </w:pPr>
          <w:hyperlink w:anchor="_Toc16856339" w:history="1">
            <w:r w:rsidR="0008579C" w:rsidRPr="008A7960">
              <w:rPr>
                <w:rStyle w:val="Hyperlink"/>
              </w:rPr>
              <w:t>D.4.2.</w:t>
            </w:r>
            <w:r w:rsidR="0008579C">
              <w:rPr>
                <w:rFonts w:asciiTheme="minorHAnsi" w:eastAsiaTheme="minorEastAsia" w:hAnsiTheme="minorHAnsi" w:cstheme="minorBidi"/>
              </w:rPr>
              <w:tab/>
            </w:r>
            <w:r w:rsidR="0008579C" w:rsidRPr="008A7960">
              <w:rPr>
                <w:rStyle w:val="Hyperlink"/>
              </w:rPr>
              <w:t xml:space="preserve"> Resource use</w:t>
            </w:r>
            <w:r w:rsidR="0008579C">
              <w:rPr>
                <w:webHidden/>
              </w:rPr>
              <w:tab/>
            </w:r>
            <w:r w:rsidR="0008579C">
              <w:rPr>
                <w:webHidden/>
              </w:rPr>
              <w:fldChar w:fldCharType="begin"/>
            </w:r>
            <w:r w:rsidR="0008579C">
              <w:rPr>
                <w:webHidden/>
              </w:rPr>
              <w:instrText xml:space="preserve"> PAGEREF _Toc16856339 \h </w:instrText>
            </w:r>
            <w:r w:rsidR="0008579C">
              <w:rPr>
                <w:webHidden/>
              </w:rPr>
            </w:r>
            <w:r w:rsidR="0008579C">
              <w:rPr>
                <w:webHidden/>
              </w:rPr>
              <w:fldChar w:fldCharType="separate"/>
            </w:r>
            <w:r w:rsidR="0008579C">
              <w:rPr>
                <w:webHidden/>
              </w:rPr>
              <w:t>104</w:t>
            </w:r>
            <w:r w:rsidR="0008579C">
              <w:rPr>
                <w:webHidden/>
              </w:rPr>
              <w:fldChar w:fldCharType="end"/>
            </w:r>
          </w:hyperlink>
        </w:p>
        <w:p w14:paraId="0413F934" w14:textId="60D64F40" w:rsidR="0008579C" w:rsidRDefault="009F6E2C">
          <w:pPr>
            <w:pStyle w:val="TOC3"/>
            <w:tabs>
              <w:tab w:val="left" w:pos="2163"/>
            </w:tabs>
            <w:rPr>
              <w:rFonts w:asciiTheme="minorHAnsi" w:eastAsiaTheme="minorEastAsia" w:hAnsiTheme="minorHAnsi" w:cstheme="minorBidi"/>
            </w:rPr>
          </w:pPr>
          <w:hyperlink w:anchor="_Toc16856340" w:history="1">
            <w:r w:rsidR="0008579C" w:rsidRPr="008A7960">
              <w:rPr>
                <w:rStyle w:val="Hyperlink"/>
              </w:rPr>
              <w:t>D.4.3.</w:t>
            </w:r>
            <w:r w:rsidR="0008579C">
              <w:rPr>
                <w:rFonts w:asciiTheme="minorHAnsi" w:eastAsiaTheme="minorEastAsia" w:hAnsiTheme="minorHAnsi" w:cstheme="minorBidi"/>
              </w:rPr>
              <w:tab/>
            </w:r>
            <w:r w:rsidR="0008579C" w:rsidRPr="008A7960">
              <w:rPr>
                <w:rStyle w:val="Hyperlink"/>
              </w:rPr>
              <w:t xml:space="preserve"> Utility weights</w:t>
            </w:r>
            <w:r w:rsidR="0008579C">
              <w:rPr>
                <w:webHidden/>
              </w:rPr>
              <w:tab/>
            </w:r>
            <w:r w:rsidR="0008579C">
              <w:rPr>
                <w:webHidden/>
              </w:rPr>
              <w:fldChar w:fldCharType="begin"/>
            </w:r>
            <w:r w:rsidR="0008579C">
              <w:rPr>
                <w:webHidden/>
              </w:rPr>
              <w:instrText xml:space="preserve"> PAGEREF _Toc16856340 \h </w:instrText>
            </w:r>
            <w:r w:rsidR="0008579C">
              <w:rPr>
                <w:webHidden/>
              </w:rPr>
            </w:r>
            <w:r w:rsidR="0008579C">
              <w:rPr>
                <w:webHidden/>
              </w:rPr>
              <w:fldChar w:fldCharType="separate"/>
            </w:r>
            <w:r w:rsidR="0008579C">
              <w:rPr>
                <w:webHidden/>
              </w:rPr>
              <w:t>110</w:t>
            </w:r>
            <w:r w:rsidR="0008579C">
              <w:rPr>
                <w:webHidden/>
              </w:rPr>
              <w:fldChar w:fldCharType="end"/>
            </w:r>
          </w:hyperlink>
        </w:p>
        <w:p w14:paraId="0D4BF039" w14:textId="22B15914" w:rsidR="0008579C" w:rsidRDefault="009F6E2C">
          <w:pPr>
            <w:pStyle w:val="TOC2"/>
            <w:tabs>
              <w:tab w:val="left" w:pos="1540"/>
            </w:tabs>
            <w:rPr>
              <w:rFonts w:asciiTheme="minorHAnsi" w:eastAsiaTheme="minorEastAsia" w:hAnsiTheme="minorHAnsi" w:cstheme="minorBidi"/>
            </w:rPr>
          </w:pPr>
          <w:hyperlink w:anchor="_Toc16856341" w:history="1">
            <w:r w:rsidR="0008579C" w:rsidRPr="008A7960">
              <w:rPr>
                <w:rStyle w:val="Hyperlink"/>
              </w:rPr>
              <w:t>D.5.</w:t>
            </w:r>
            <w:r w:rsidR="0008579C">
              <w:rPr>
                <w:rFonts w:asciiTheme="minorHAnsi" w:eastAsiaTheme="minorEastAsia" w:hAnsiTheme="minorHAnsi" w:cstheme="minorBidi"/>
              </w:rPr>
              <w:tab/>
            </w:r>
            <w:r w:rsidR="0008579C" w:rsidRPr="008A7960">
              <w:rPr>
                <w:rStyle w:val="Hyperlink"/>
              </w:rPr>
              <w:t>Results of the economic evaluation</w:t>
            </w:r>
            <w:r w:rsidR="0008579C">
              <w:rPr>
                <w:webHidden/>
              </w:rPr>
              <w:tab/>
            </w:r>
            <w:r w:rsidR="0008579C">
              <w:rPr>
                <w:webHidden/>
              </w:rPr>
              <w:fldChar w:fldCharType="begin"/>
            </w:r>
            <w:r w:rsidR="0008579C">
              <w:rPr>
                <w:webHidden/>
              </w:rPr>
              <w:instrText xml:space="preserve"> PAGEREF _Toc16856341 \h </w:instrText>
            </w:r>
            <w:r w:rsidR="0008579C">
              <w:rPr>
                <w:webHidden/>
              </w:rPr>
            </w:r>
            <w:r w:rsidR="0008579C">
              <w:rPr>
                <w:webHidden/>
              </w:rPr>
              <w:fldChar w:fldCharType="separate"/>
            </w:r>
            <w:r w:rsidR="0008579C">
              <w:rPr>
                <w:webHidden/>
              </w:rPr>
              <w:t>111</w:t>
            </w:r>
            <w:r w:rsidR="0008579C">
              <w:rPr>
                <w:webHidden/>
              </w:rPr>
              <w:fldChar w:fldCharType="end"/>
            </w:r>
          </w:hyperlink>
        </w:p>
        <w:p w14:paraId="354B7441" w14:textId="38278976" w:rsidR="0008579C" w:rsidRDefault="009F6E2C">
          <w:pPr>
            <w:pStyle w:val="TOC3"/>
            <w:tabs>
              <w:tab w:val="left" w:pos="2163"/>
            </w:tabs>
            <w:rPr>
              <w:rFonts w:asciiTheme="minorHAnsi" w:eastAsiaTheme="minorEastAsia" w:hAnsiTheme="minorHAnsi" w:cstheme="minorBidi"/>
            </w:rPr>
          </w:pPr>
          <w:hyperlink w:anchor="_Toc16856342" w:history="1">
            <w:r w:rsidR="0008579C" w:rsidRPr="008A7960">
              <w:rPr>
                <w:rStyle w:val="Hyperlink"/>
              </w:rPr>
              <w:t>D.5.1.</w:t>
            </w:r>
            <w:r w:rsidR="0008579C">
              <w:rPr>
                <w:rFonts w:asciiTheme="minorHAnsi" w:eastAsiaTheme="minorEastAsia" w:hAnsiTheme="minorHAnsi" w:cstheme="minorBidi"/>
              </w:rPr>
              <w:tab/>
            </w:r>
            <w:r w:rsidR="0008579C" w:rsidRPr="008A7960">
              <w:rPr>
                <w:rStyle w:val="Hyperlink"/>
              </w:rPr>
              <w:t xml:space="preserve"> Stepped economic evaluation</w:t>
            </w:r>
            <w:r w:rsidR="0008579C">
              <w:rPr>
                <w:webHidden/>
              </w:rPr>
              <w:tab/>
            </w:r>
            <w:r w:rsidR="0008579C">
              <w:rPr>
                <w:webHidden/>
              </w:rPr>
              <w:fldChar w:fldCharType="begin"/>
            </w:r>
            <w:r w:rsidR="0008579C">
              <w:rPr>
                <w:webHidden/>
              </w:rPr>
              <w:instrText xml:space="preserve"> PAGEREF _Toc16856342 \h </w:instrText>
            </w:r>
            <w:r w:rsidR="0008579C">
              <w:rPr>
                <w:webHidden/>
              </w:rPr>
            </w:r>
            <w:r w:rsidR="0008579C">
              <w:rPr>
                <w:webHidden/>
              </w:rPr>
              <w:fldChar w:fldCharType="separate"/>
            </w:r>
            <w:r w:rsidR="0008579C">
              <w:rPr>
                <w:webHidden/>
              </w:rPr>
              <w:t>111</w:t>
            </w:r>
            <w:r w:rsidR="0008579C">
              <w:rPr>
                <w:webHidden/>
              </w:rPr>
              <w:fldChar w:fldCharType="end"/>
            </w:r>
          </w:hyperlink>
        </w:p>
        <w:p w14:paraId="2AB7A846" w14:textId="62D189C7" w:rsidR="0008579C" w:rsidRDefault="009F6E2C">
          <w:pPr>
            <w:pStyle w:val="TOC3"/>
            <w:tabs>
              <w:tab w:val="left" w:pos="2163"/>
            </w:tabs>
            <w:rPr>
              <w:rFonts w:asciiTheme="minorHAnsi" w:eastAsiaTheme="minorEastAsia" w:hAnsiTheme="minorHAnsi" w:cstheme="minorBidi"/>
            </w:rPr>
          </w:pPr>
          <w:hyperlink w:anchor="_Toc16856343" w:history="1">
            <w:r w:rsidR="0008579C" w:rsidRPr="008A7960">
              <w:rPr>
                <w:rStyle w:val="Hyperlink"/>
              </w:rPr>
              <w:t>D.5.2.</w:t>
            </w:r>
            <w:r w:rsidR="0008579C">
              <w:rPr>
                <w:rFonts w:asciiTheme="minorHAnsi" w:eastAsiaTheme="minorEastAsia" w:hAnsiTheme="minorHAnsi" w:cstheme="minorBidi"/>
              </w:rPr>
              <w:tab/>
            </w:r>
            <w:r w:rsidR="0008579C" w:rsidRPr="008A7960">
              <w:rPr>
                <w:rStyle w:val="Hyperlink"/>
              </w:rPr>
              <w:t xml:space="preserve"> Modelled base case analysis</w:t>
            </w:r>
            <w:r w:rsidR="0008579C">
              <w:rPr>
                <w:webHidden/>
              </w:rPr>
              <w:tab/>
            </w:r>
            <w:r w:rsidR="0008579C">
              <w:rPr>
                <w:webHidden/>
              </w:rPr>
              <w:fldChar w:fldCharType="begin"/>
            </w:r>
            <w:r w:rsidR="0008579C">
              <w:rPr>
                <w:webHidden/>
              </w:rPr>
              <w:instrText xml:space="preserve"> PAGEREF _Toc16856343 \h </w:instrText>
            </w:r>
            <w:r w:rsidR="0008579C">
              <w:rPr>
                <w:webHidden/>
              </w:rPr>
            </w:r>
            <w:r w:rsidR="0008579C">
              <w:rPr>
                <w:webHidden/>
              </w:rPr>
              <w:fldChar w:fldCharType="separate"/>
            </w:r>
            <w:r w:rsidR="0008579C">
              <w:rPr>
                <w:webHidden/>
              </w:rPr>
              <w:t>112</w:t>
            </w:r>
            <w:r w:rsidR="0008579C">
              <w:rPr>
                <w:webHidden/>
              </w:rPr>
              <w:fldChar w:fldCharType="end"/>
            </w:r>
          </w:hyperlink>
        </w:p>
        <w:p w14:paraId="62BF43EB" w14:textId="0600CC1D" w:rsidR="0008579C" w:rsidRDefault="009F6E2C">
          <w:pPr>
            <w:pStyle w:val="TOC2"/>
            <w:tabs>
              <w:tab w:val="left" w:pos="1540"/>
            </w:tabs>
            <w:rPr>
              <w:rFonts w:asciiTheme="minorHAnsi" w:eastAsiaTheme="minorEastAsia" w:hAnsiTheme="minorHAnsi" w:cstheme="minorBidi"/>
            </w:rPr>
          </w:pPr>
          <w:hyperlink w:anchor="_Toc16856344" w:history="1">
            <w:r w:rsidR="0008579C" w:rsidRPr="008A7960">
              <w:rPr>
                <w:rStyle w:val="Hyperlink"/>
              </w:rPr>
              <w:t>D.6.</w:t>
            </w:r>
            <w:r w:rsidR="0008579C">
              <w:rPr>
                <w:rFonts w:asciiTheme="minorHAnsi" w:eastAsiaTheme="minorEastAsia" w:hAnsiTheme="minorHAnsi" w:cstheme="minorBidi"/>
              </w:rPr>
              <w:tab/>
            </w:r>
            <w:r w:rsidR="0008579C" w:rsidRPr="008A7960">
              <w:rPr>
                <w:rStyle w:val="Hyperlink"/>
              </w:rPr>
              <w:t>Sensitivity analyses</w:t>
            </w:r>
            <w:r w:rsidR="0008579C">
              <w:rPr>
                <w:webHidden/>
              </w:rPr>
              <w:tab/>
            </w:r>
            <w:r w:rsidR="0008579C">
              <w:rPr>
                <w:webHidden/>
              </w:rPr>
              <w:fldChar w:fldCharType="begin"/>
            </w:r>
            <w:r w:rsidR="0008579C">
              <w:rPr>
                <w:webHidden/>
              </w:rPr>
              <w:instrText xml:space="preserve"> PAGEREF _Toc16856344 \h </w:instrText>
            </w:r>
            <w:r w:rsidR="0008579C">
              <w:rPr>
                <w:webHidden/>
              </w:rPr>
            </w:r>
            <w:r w:rsidR="0008579C">
              <w:rPr>
                <w:webHidden/>
              </w:rPr>
              <w:fldChar w:fldCharType="separate"/>
            </w:r>
            <w:r w:rsidR="0008579C">
              <w:rPr>
                <w:webHidden/>
              </w:rPr>
              <w:t>115</w:t>
            </w:r>
            <w:r w:rsidR="0008579C">
              <w:rPr>
                <w:webHidden/>
              </w:rPr>
              <w:fldChar w:fldCharType="end"/>
            </w:r>
          </w:hyperlink>
        </w:p>
        <w:p w14:paraId="5E9D7AF1" w14:textId="7E6DACC5" w:rsidR="0008579C" w:rsidRDefault="009F6E2C">
          <w:pPr>
            <w:pStyle w:val="TOC3"/>
            <w:tabs>
              <w:tab w:val="left" w:pos="2163"/>
            </w:tabs>
            <w:rPr>
              <w:rFonts w:asciiTheme="minorHAnsi" w:eastAsiaTheme="minorEastAsia" w:hAnsiTheme="minorHAnsi" w:cstheme="minorBidi"/>
            </w:rPr>
          </w:pPr>
          <w:hyperlink w:anchor="_Toc16856345" w:history="1">
            <w:r w:rsidR="0008579C" w:rsidRPr="008A7960">
              <w:rPr>
                <w:rStyle w:val="Hyperlink"/>
              </w:rPr>
              <w:t>D.6.1.</w:t>
            </w:r>
            <w:r w:rsidR="0008579C">
              <w:rPr>
                <w:rFonts w:asciiTheme="minorHAnsi" w:eastAsiaTheme="minorEastAsia" w:hAnsiTheme="minorHAnsi" w:cstheme="minorBidi"/>
              </w:rPr>
              <w:tab/>
            </w:r>
            <w:r w:rsidR="0008579C" w:rsidRPr="008A7960">
              <w:rPr>
                <w:rStyle w:val="Hyperlink"/>
              </w:rPr>
              <w:t xml:space="preserve"> Cost per gram of Ig</w:t>
            </w:r>
            <w:r w:rsidR="0008579C">
              <w:rPr>
                <w:webHidden/>
              </w:rPr>
              <w:tab/>
            </w:r>
            <w:r w:rsidR="0008579C">
              <w:rPr>
                <w:webHidden/>
              </w:rPr>
              <w:fldChar w:fldCharType="begin"/>
            </w:r>
            <w:r w:rsidR="0008579C">
              <w:rPr>
                <w:webHidden/>
              </w:rPr>
              <w:instrText xml:space="preserve"> PAGEREF _Toc16856345 \h </w:instrText>
            </w:r>
            <w:r w:rsidR="0008579C">
              <w:rPr>
                <w:webHidden/>
              </w:rPr>
            </w:r>
            <w:r w:rsidR="0008579C">
              <w:rPr>
                <w:webHidden/>
              </w:rPr>
              <w:fldChar w:fldCharType="separate"/>
            </w:r>
            <w:r w:rsidR="0008579C">
              <w:rPr>
                <w:webHidden/>
              </w:rPr>
              <w:t>115</w:t>
            </w:r>
            <w:r w:rsidR="0008579C">
              <w:rPr>
                <w:webHidden/>
              </w:rPr>
              <w:fldChar w:fldCharType="end"/>
            </w:r>
          </w:hyperlink>
        </w:p>
        <w:p w14:paraId="5A8250F5" w14:textId="65304FD0" w:rsidR="0008579C" w:rsidRDefault="009F6E2C">
          <w:pPr>
            <w:pStyle w:val="TOC3"/>
            <w:tabs>
              <w:tab w:val="left" w:pos="2163"/>
            </w:tabs>
            <w:rPr>
              <w:rFonts w:asciiTheme="minorHAnsi" w:eastAsiaTheme="minorEastAsia" w:hAnsiTheme="minorHAnsi" w:cstheme="minorBidi"/>
            </w:rPr>
          </w:pPr>
          <w:hyperlink w:anchor="_Toc16856346" w:history="1">
            <w:r w:rsidR="0008579C" w:rsidRPr="008A7960">
              <w:rPr>
                <w:rStyle w:val="Hyperlink"/>
              </w:rPr>
              <w:t>D.6.2.</w:t>
            </w:r>
            <w:r w:rsidR="0008579C">
              <w:rPr>
                <w:rFonts w:asciiTheme="minorHAnsi" w:eastAsiaTheme="minorEastAsia" w:hAnsiTheme="minorHAnsi" w:cstheme="minorBidi"/>
              </w:rPr>
              <w:tab/>
            </w:r>
            <w:r w:rsidR="0008579C" w:rsidRPr="008A7960">
              <w:rPr>
                <w:rStyle w:val="Hyperlink"/>
              </w:rPr>
              <w:t xml:space="preserve"> Scenario based on the study which included antibiotic prophylaxis</w:t>
            </w:r>
            <w:r w:rsidR="0008579C">
              <w:rPr>
                <w:webHidden/>
              </w:rPr>
              <w:tab/>
            </w:r>
            <w:r w:rsidR="0008579C">
              <w:rPr>
                <w:webHidden/>
              </w:rPr>
              <w:fldChar w:fldCharType="begin"/>
            </w:r>
            <w:r w:rsidR="0008579C">
              <w:rPr>
                <w:webHidden/>
              </w:rPr>
              <w:instrText xml:space="preserve"> PAGEREF _Toc16856346 \h </w:instrText>
            </w:r>
            <w:r w:rsidR="0008579C">
              <w:rPr>
                <w:webHidden/>
              </w:rPr>
            </w:r>
            <w:r w:rsidR="0008579C">
              <w:rPr>
                <w:webHidden/>
              </w:rPr>
              <w:fldChar w:fldCharType="separate"/>
            </w:r>
            <w:r w:rsidR="0008579C">
              <w:rPr>
                <w:webHidden/>
              </w:rPr>
              <w:t>115</w:t>
            </w:r>
            <w:r w:rsidR="0008579C">
              <w:rPr>
                <w:webHidden/>
              </w:rPr>
              <w:fldChar w:fldCharType="end"/>
            </w:r>
          </w:hyperlink>
        </w:p>
        <w:p w14:paraId="5468A5F0" w14:textId="4C007625" w:rsidR="0008579C" w:rsidRDefault="009F6E2C">
          <w:pPr>
            <w:pStyle w:val="TOC3"/>
            <w:tabs>
              <w:tab w:val="left" w:pos="2163"/>
            </w:tabs>
            <w:rPr>
              <w:rFonts w:asciiTheme="minorHAnsi" w:eastAsiaTheme="minorEastAsia" w:hAnsiTheme="minorHAnsi" w:cstheme="minorBidi"/>
            </w:rPr>
          </w:pPr>
          <w:hyperlink w:anchor="_Toc16856347" w:history="1">
            <w:r w:rsidR="0008579C" w:rsidRPr="008A7960">
              <w:rPr>
                <w:rStyle w:val="Hyperlink"/>
              </w:rPr>
              <w:t>D.6.3.</w:t>
            </w:r>
            <w:r w:rsidR="0008579C">
              <w:rPr>
                <w:rFonts w:asciiTheme="minorHAnsi" w:eastAsiaTheme="minorEastAsia" w:hAnsiTheme="minorHAnsi" w:cstheme="minorBidi"/>
              </w:rPr>
              <w:tab/>
            </w:r>
            <w:r w:rsidR="0008579C" w:rsidRPr="008A7960">
              <w:rPr>
                <w:rStyle w:val="Hyperlink"/>
              </w:rPr>
              <w:t xml:space="preserve"> Scenarios based on the best estimates of analysis for specific indications</w:t>
            </w:r>
            <w:r w:rsidR="0008579C">
              <w:rPr>
                <w:webHidden/>
              </w:rPr>
              <w:tab/>
            </w:r>
            <w:r w:rsidR="0008579C">
              <w:rPr>
                <w:webHidden/>
              </w:rPr>
              <w:fldChar w:fldCharType="begin"/>
            </w:r>
            <w:r w:rsidR="0008579C">
              <w:rPr>
                <w:webHidden/>
              </w:rPr>
              <w:instrText xml:space="preserve"> PAGEREF _Toc16856347 \h </w:instrText>
            </w:r>
            <w:r w:rsidR="0008579C">
              <w:rPr>
                <w:webHidden/>
              </w:rPr>
            </w:r>
            <w:r w:rsidR="0008579C">
              <w:rPr>
                <w:webHidden/>
              </w:rPr>
              <w:fldChar w:fldCharType="separate"/>
            </w:r>
            <w:r w:rsidR="0008579C">
              <w:rPr>
                <w:webHidden/>
              </w:rPr>
              <w:t>116</w:t>
            </w:r>
            <w:r w:rsidR="0008579C">
              <w:rPr>
                <w:webHidden/>
              </w:rPr>
              <w:fldChar w:fldCharType="end"/>
            </w:r>
          </w:hyperlink>
        </w:p>
        <w:p w14:paraId="4DB2C759" w14:textId="3313F827" w:rsidR="0008579C" w:rsidRDefault="009F6E2C">
          <w:pPr>
            <w:pStyle w:val="TOC3"/>
            <w:tabs>
              <w:tab w:val="left" w:pos="2163"/>
            </w:tabs>
            <w:rPr>
              <w:rFonts w:asciiTheme="minorHAnsi" w:eastAsiaTheme="minorEastAsia" w:hAnsiTheme="minorHAnsi" w:cstheme="minorBidi"/>
            </w:rPr>
          </w:pPr>
          <w:hyperlink w:anchor="_Toc16856348" w:history="1">
            <w:r w:rsidR="0008579C" w:rsidRPr="008A7960">
              <w:rPr>
                <w:rStyle w:val="Hyperlink"/>
              </w:rPr>
              <w:t>D.6.4.</w:t>
            </w:r>
            <w:r w:rsidR="0008579C">
              <w:rPr>
                <w:rFonts w:asciiTheme="minorHAnsi" w:eastAsiaTheme="minorEastAsia" w:hAnsiTheme="minorHAnsi" w:cstheme="minorBidi"/>
              </w:rPr>
              <w:tab/>
            </w:r>
            <w:r w:rsidR="0008579C" w:rsidRPr="008A7960">
              <w:rPr>
                <w:rStyle w:val="Hyperlink"/>
              </w:rPr>
              <w:t>Univariate sensitivity analyses</w:t>
            </w:r>
            <w:r w:rsidR="0008579C">
              <w:rPr>
                <w:webHidden/>
              </w:rPr>
              <w:tab/>
            </w:r>
            <w:r w:rsidR="0008579C">
              <w:rPr>
                <w:webHidden/>
              </w:rPr>
              <w:fldChar w:fldCharType="begin"/>
            </w:r>
            <w:r w:rsidR="0008579C">
              <w:rPr>
                <w:webHidden/>
              </w:rPr>
              <w:instrText xml:space="preserve"> PAGEREF _Toc16856348 \h </w:instrText>
            </w:r>
            <w:r w:rsidR="0008579C">
              <w:rPr>
                <w:webHidden/>
              </w:rPr>
            </w:r>
            <w:r w:rsidR="0008579C">
              <w:rPr>
                <w:webHidden/>
              </w:rPr>
              <w:fldChar w:fldCharType="separate"/>
            </w:r>
            <w:r w:rsidR="0008579C">
              <w:rPr>
                <w:webHidden/>
              </w:rPr>
              <w:t>120</w:t>
            </w:r>
            <w:r w:rsidR="0008579C">
              <w:rPr>
                <w:webHidden/>
              </w:rPr>
              <w:fldChar w:fldCharType="end"/>
            </w:r>
          </w:hyperlink>
        </w:p>
        <w:p w14:paraId="5E966F08" w14:textId="1C0AEE6D" w:rsidR="0008579C" w:rsidRDefault="009F6E2C">
          <w:pPr>
            <w:pStyle w:val="TOC1"/>
            <w:rPr>
              <w:rFonts w:asciiTheme="minorHAnsi" w:eastAsiaTheme="minorEastAsia" w:hAnsiTheme="minorHAnsi" w:cstheme="minorBidi"/>
              <w:b w:val="0"/>
            </w:rPr>
          </w:pPr>
          <w:hyperlink w:anchor="_Toc16856349" w:history="1">
            <w:r w:rsidR="0008579C" w:rsidRPr="008A7960">
              <w:rPr>
                <w:rStyle w:val="Hyperlink"/>
              </w:rPr>
              <w:t>Section E</w:t>
            </w:r>
            <w:r w:rsidR="0008579C">
              <w:rPr>
                <w:rFonts w:asciiTheme="minorHAnsi" w:eastAsiaTheme="minorEastAsia" w:hAnsiTheme="minorHAnsi" w:cstheme="minorBidi"/>
                <w:b w:val="0"/>
              </w:rPr>
              <w:tab/>
            </w:r>
            <w:r w:rsidR="0008579C" w:rsidRPr="008A7960">
              <w:rPr>
                <w:rStyle w:val="Hyperlink"/>
              </w:rPr>
              <w:t>Financial Implications</w:t>
            </w:r>
            <w:r w:rsidR="0008579C">
              <w:rPr>
                <w:webHidden/>
              </w:rPr>
              <w:tab/>
            </w:r>
            <w:r w:rsidR="0008579C">
              <w:rPr>
                <w:webHidden/>
              </w:rPr>
              <w:fldChar w:fldCharType="begin"/>
            </w:r>
            <w:r w:rsidR="0008579C">
              <w:rPr>
                <w:webHidden/>
              </w:rPr>
              <w:instrText xml:space="preserve"> PAGEREF _Toc16856349 \h </w:instrText>
            </w:r>
            <w:r w:rsidR="0008579C">
              <w:rPr>
                <w:webHidden/>
              </w:rPr>
            </w:r>
            <w:r w:rsidR="0008579C">
              <w:rPr>
                <w:webHidden/>
              </w:rPr>
              <w:fldChar w:fldCharType="separate"/>
            </w:r>
            <w:r w:rsidR="0008579C">
              <w:rPr>
                <w:webHidden/>
              </w:rPr>
              <w:t>122</w:t>
            </w:r>
            <w:r w:rsidR="0008579C">
              <w:rPr>
                <w:webHidden/>
              </w:rPr>
              <w:fldChar w:fldCharType="end"/>
            </w:r>
          </w:hyperlink>
        </w:p>
        <w:p w14:paraId="4C2E6D9B" w14:textId="26E95D8F" w:rsidR="0008579C" w:rsidRDefault="009F6E2C">
          <w:pPr>
            <w:pStyle w:val="TOC2"/>
            <w:tabs>
              <w:tab w:val="left" w:pos="1418"/>
            </w:tabs>
            <w:rPr>
              <w:rFonts w:asciiTheme="minorHAnsi" w:eastAsiaTheme="minorEastAsia" w:hAnsiTheme="minorHAnsi" w:cstheme="minorBidi"/>
            </w:rPr>
          </w:pPr>
          <w:hyperlink w:anchor="_Toc16856350" w:history="1">
            <w:r w:rsidR="0008579C" w:rsidRPr="008A7960">
              <w:rPr>
                <w:rStyle w:val="Hyperlink"/>
              </w:rPr>
              <w:t>E.1.</w:t>
            </w:r>
            <w:r w:rsidR="0008579C">
              <w:rPr>
                <w:rFonts w:asciiTheme="minorHAnsi" w:eastAsiaTheme="minorEastAsia" w:hAnsiTheme="minorHAnsi" w:cstheme="minorBidi"/>
              </w:rPr>
              <w:tab/>
            </w:r>
            <w:r w:rsidR="0008579C" w:rsidRPr="008A7960">
              <w:rPr>
                <w:rStyle w:val="Hyperlink"/>
              </w:rPr>
              <w:t>Justification of the selection of sources of data</w:t>
            </w:r>
            <w:r w:rsidR="0008579C">
              <w:rPr>
                <w:webHidden/>
              </w:rPr>
              <w:tab/>
            </w:r>
            <w:r w:rsidR="0008579C">
              <w:rPr>
                <w:webHidden/>
              </w:rPr>
              <w:fldChar w:fldCharType="begin"/>
            </w:r>
            <w:r w:rsidR="0008579C">
              <w:rPr>
                <w:webHidden/>
              </w:rPr>
              <w:instrText xml:space="preserve"> PAGEREF _Toc16856350 \h </w:instrText>
            </w:r>
            <w:r w:rsidR="0008579C">
              <w:rPr>
                <w:webHidden/>
              </w:rPr>
            </w:r>
            <w:r w:rsidR="0008579C">
              <w:rPr>
                <w:webHidden/>
              </w:rPr>
              <w:fldChar w:fldCharType="separate"/>
            </w:r>
            <w:r w:rsidR="0008579C">
              <w:rPr>
                <w:webHidden/>
              </w:rPr>
              <w:t>122</w:t>
            </w:r>
            <w:r w:rsidR="0008579C">
              <w:rPr>
                <w:webHidden/>
              </w:rPr>
              <w:fldChar w:fldCharType="end"/>
            </w:r>
          </w:hyperlink>
        </w:p>
        <w:p w14:paraId="2C2FBC23" w14:textId="296CFF97" w:rsidR="0008579C" w:rsidRDefault="009F6E2C">
          <w:pPr>
            <w:pStyle w:val="TOC2"/>
            <w:tabs>
              <w:tab w:val="left" w:pos="1418"/>
            </w:tabs>
            <w:rPr>
              <w:rFonts w:asciiTheme="minorHAnsi" w:eastAsiaTheme="minorEastAsia" w:hAnsiTheme="minorHAnsi" w:cstheme="minorBidi"/>
            </w:rPr>
          </w:pPr>
          <w:hyperlink w:anchor="_Toc16856351" w:history="1">
            <w:r w:rsidR="0008579C" w:rsidRPr="008A7960">
              <w:rPr>
                <w:rStyle w:val="Hyperlink"/>
              </w:rPr>
              <w:t>E.2.</w:t>
            </w:r>
            <w:r w:rsidR="0008579C">
              <w:rPr>
                <w:rFonts w:asciiTheme="minorHAnsi" w:eastAsiaTheme="minorEastAsia" w:hAnsiTheme="minorHAnsi" w:cstheme="minorBidi"/>
              </w:rPr>
              <w:tab/>
            </w:r>
            <w:r w:rsidR="0008579C" w:rsidRPr="008A7960">
              <w:rPr>
                <w:rStyle w:val="Hyperlink"/>
              </w:rPr>
              <w:t>Use and cost of Ig for acquired hypogammaglobulinaemia</w:t>
            </w:r>
            <w:r w:rsidR="0008579C">
              <w:rPr>
                <w:webHidden/>
              </w:rPr>
              <w:tab/>
            </w:r>
            <w:r w:rsidR="0008579C">
              <w:rPr>
                <w:webHidden/>
              </w:rPr>
              <w:fldChar w:fldCharType="begin"/>
            </w:r>
            <w:r w:rsidR="0008579C">
              <w:rPr>
                <w:webHidden/>
              </w:rPr>
              <w:instrText xml:space="preserve"> PAGEREF _Toc16856351 \h </w:instrText>
            </w:r>
            <w:r w:rsidR="0008579C">
              <w:rPr>
                <w:webHidden/>
              </w:rPr>
            </w:r>
            <w:r w:rsidR="0008579C">
              <w:rPr>
                <w:webHidden/>
              </w:rPr>
              <w:fldChar w:fldCharType="separate"/>
            </w:r>
            <w:r w:rsidR="0008579C">
              <w:rPr>
                <w:webHidden/>
              </w:rPr>
              <w:t>123</w:t>
            </w:r>
            <w:r w:rsidR="0008579C">
              <w:rPr>
                <w:webHidden/>
              </w:rPr>
              <w:fldChar w:fldCharType="end"/>
            </w:r>
          </w:hyperlink>
        </w:p>
        <w:p w14:paraId="3E51429D" w14:textId="5C7BA036" w:rsidR="0008579C" w:rsidRDefault="009F6E2C">
          <w:pPr>
            <w:pStyle w:val="TOC3"/>
            <w:rPr>
              <w:rFonts w:asciiTheme="minorHAnsi" w:eastAsiaTheme="minorEastAsia" w:hAnsiTheme="minorHAnsi" w:cstheme="minorBidi"/>
            </w:rPr>
          </w:pPr>
          <w:hyperlink w:anchor="_Toc16856352" w:history="1">
            <w:r w:rsidR="0008579C" w:rsidRPr="008A7960">
              <w:rPr>
                <w:rStyle w:val="Hyperlink"/>
              </w:rPr>
              <w:t>Estimated number of patients who receive Ig</w:t>
            </w:r>
            <w:r w:rsidR="0008579C">
              <w:rPr>
                <w:webHidden/>
              </w:rPr>
              <w:tab/>
            </w:r>
            <w:r w:rsidR="0008579C">
              <w:rPr>
                <w:webHidden/>
              </w:rPr>
              <w:fldChar w:fldCharType="begin"/>
            </w:r>
            <w:r w:rsidR="0008579C">
              <w:rPr>
                <w:webHidden/>
              </w:rPr>
              <w:instrText xml:space="preserve"> PAGEREF _Toc16856352 \h </w:instrText>
            </w:r>
            <w:r w:rsidR="0008579C">
              <w:rPr>
                <w:webHidden/>
              </w:rPr>
            </w:r>
            <w:r w:rsidR="0008579C">
              <w:rPr>
                <w:webHidden/>
              </w:rPr>
              <w:fldChar w:fldCharType="separate"/>
            </w:r>
            <w:r w:rsidR="0008579C">
              <w:rPr>
                <w:webHidden/>
              </w:rPr>
              <w:t>123</w:t>
            </w:r>
            <w:r w:rsidR="0008579C">
              <w:rPr>
                <w:webHidden/>
              </w:rPr>
              <w:fldChar w:fldCharType="end"/>
            </w:r>
          </w:hyperlink>
        </w:p>
        <w:p w14:paraId="4E7547D8" w14:textId="10540031" w:rsidR="0008579C" w:rsidRDefault="009F6E2C">
          <w:pPr>
            <w:pStyle w:val="TOC3"/>
            <w:rPr>
              <w:rFonts w:asciiTheme="minorHAnsi" w:eastAsiaTheme="minorEastAsia" w:hAnsiTheme="minorHAnsi" w:cstheme="minorBidi"/>
            </w:rPr>
          </w:pPr>
          <w:hyperlink w:anchor="_Toc16856353" w:history="1">
            <w:r w:rsidR="0008579C" w:rsidRPr="008A7960">
              <w:rPr>
                <w:rStyle w:val="Hyperlink"/>
              </w:rPr>
              <w:t>Estimated use and cost per patient who receives Ig</w:t>
            </w:r>
            <w:r w:rsidR="0008579C">
              <w:rPr>
                <w:webHidden/>
              </w:rPr>
              <w:tab/>
            </w:r>
            <w:r w:rsidR="0008579C">
              <w:rPr>
                <w:webHidden/>
              </w:rPr>
              <w:fldChar w:fldCharType="begin"/>
            </w:r>
            <w:r w:rsidR="0008579C">
              <w:rPr>
                <w:webHidden/>
              </w:rPr>
              <w:instrText xml:space="preserve"> PAGEREF _Toc16856353 \h </w:instrText>
            </w:r>
            <w:r w:rsidR="0008579C">
              <w:rPr>
                <w:webHidden/>
              </w:rPr>
            </w:r>
            <w:r w:rsidR="0008579C">
              <w:rPr>
                <w:webHidden/>
              </w:rPr>
              <w:fldChar w:fldCharType="separate"/>
            </w:r>
            <w:r w:rsidR="0008579C">
              <w:rPr>
                <w:webHidden/>
              </w:rPr>
              <w:t>124</w:t>
            </w:r>
            <w:r w:rsidR="0008579C">
              <w:rPr>
                <w:webHidden/>
              </w:rPr>
              <w:fldChar w:fldCharType="end"/>
            </w:r>
          </w:hyperlink>
        </w:p>
        <w:p w14:paraId="0451F5E6" w14:textId="5A66F4D2" w:rsidR="0008579C" w:rsidRDefault="009F6E2C">
          <w:pPr>
            <w:pStyle w:val="TOC2"/>
            <w:tabs>
              <w:tab w:val="left" w:pos="1418"/>
            </w:tabs>
            <w:rPr>
              <w:rFonts w:asciiTheme="minorHAnsi" w:eastAsiaTheme="minorEastAsia" w:hAnsiTheme="minorHAnsi" w:cstheme="minorBidi"/>
            </w:rPr>
          </w:pPr>
          <w:hyperlink w:anchor="_Toc16856354" w:history="1">
            <w:r w:rsidR="0008579C" w:rsidRPr="008A7960">
              <w:rPr>
                <w:rStyle w:val="Hyperlink"/>
              </w:rPr>
              <w:t>E.3.</w:t>
            </w:r>
            <w:r w:rsidR="0008579C">
              <w:rPr>
                <w:rFonts w:asciiTheme="minorHAnsi" w:eastAsiaTheme="minorEastAsia" w:hAnsiTheme="minorHAnsi" w:cstheme="minorBidi"/>
              </w:rPr>
              <w:tab/>
            </w:r>
            <w:r w:rsidR="0008579C" w:rsidRPr="008A7960">
              <w:rPr>
                <w:rStyle w:val="Hyperlink"/>
              </w:rPr>
              <w:t>Changes in use and cost of other medical services</w:t>
            </w:r>
            <w:r w:rsidR="0008579C">
              <w:rPr>
                <w:webHidden/>
              </w:rPr>
              <w:tab/>
            </w:r>
            <w:r w:rsidR="0008579C">
              <w:rPr>
                <w:webHidden/>
              </w:rPr>
              <w:fldChar w:fldCharType="begin"/>
            </w:r>
            <w:r w:rsidR="0008579C">
              <w:rPr>
                <w:webHidden/>
              </w:rPr>
              <w:instrText xml:space="preserve"> PAGEREF _Toc16856354 \h </w:instrText>
            </w:r>
            <w:r w:rsidR="0008579C">
              <w:rPr>
                <w:webHidden/>
              </w:rPr>
            </w:r>
            <w:r w:rsidR="0008579C">
              <w:rPr>
                <w:webHidden/>
              </w:rPr>
              <w:fldChar w:fldCharType="separate"/>
            </w:r>
            <w:r w:rsidR="0008579C">
              <w:rPr>
                <w:webHidden/>
              </w:rPr>
              <w:t>127</w:t>
            </w:r>
            <w:r w:rsidR="0008579C">
              <w:rPr>
                <w:webHidden/>
              </w:rPr>
              <w:fldChar w:fldCharType="end"/>
            </w:r>
          </w:hyperlink>
        </w:p>
        <w:p w14:paraId="57533685" w14:textId="3D30F4D0" w:rsidR="0008579C" w:rsidRDefault="009F6E2C">
          <w:pPr>
            <w:pStyle w:val="TOC2"/>
            <w:tabs>
              <w:tab w:val="left" w:pos="1418"/>
            </w:tabs>
            <w:rPr>
              <w:rFonts w:asciiTheme="minorHAnsi" w:eastAsiaTheme="minorEastAsia" w:hAnsiTheme="minorHAnsi" w:cstheme="minorBidi"/>
            </w:rPr>
          </w:pPr>
          <w:hyperlink w:anchor="_Toc16856355" w:history="1">
            <w:r w:rsidR="0008579C" w:rsidRPr="008A7960">
              <w:rPr>
                <w:rStyle w:val="Hyperlink"/>
              </w:rPr>
              <w:t>E.4.</w:t>
            </w:r>
            <w:r w:rsidR="0008579C">
              <w:rPr>
                <w:rFonts w:asciiTheme="minorHAnsi" w:eastAsiaTheme="minorEastAsia" w:hAnsiTheme="minorHAnsi" w:cstheme="minorBidi"/>
              </w:rPr>
              <w:tab/>
            </w:r>
            <w:r w:rsidR="0008579C" w:rsidRPr="008A7960">
              <w:rPr>
                <w:rStyle w:val="Hyperlink"/>
              </w:rPr>
              <w:t>Financial implications for government health budgets</w:t>
            </w:r>
            <w:r w:rsidR="0008579C">
              <w:rPr>
                <w:webHidden/>
              </w:rPr>
              <w:tab/>
            </w:r>
            <w:r w:rsidR="0008579C">
              <w:rPr>
                <w:webHidden/>
              </w:rPr>
              <w:fldChar w:fldCharType="begin"/>
            </w:r>
            <w:r w:rsidR="0008579C">
              <w:rPr>
                <w:webHidden/>
              </w:rPr>
              <w:instrText xml:space="preserve"> PAGEREF _Toc16856355 \h </w:instrText>
            </w:r>
            <w:r w:rsidR="0008579C">
              <w:rPr>
                <w:webHidden/>
              </w:rPr>
            </w:r>
            <w:r w:rsidR="0008579C">
              <w:rPr>
                <w:webHidden/>
              </w:rPr>
              <w:fldChar w:fldCharType="separate"/>
            </w:r>
            <w:r w:rsidR="0008579C">
              <w:rPr>
                <w:webHidden/>
              </w:rPr>
              <w:t>128</w:t>
            </w:r>
            <w:r w:rsidR="0008579C">
              <w:rPr>
                <w:webHidden/>
              </w:rPr>
              <w:fldChar w:fldCharType="end"/>
            </w:r>
          </w:hyperlink>
        </w:p>
        <w:p w14:paraId="2E5F6E79" w14:textId="4DFB8E69" w:rsidR="0008579C" w:rsidRDefault="009F6E2C">
          <w:pPr>
            <w:pStyle w:val="TOC2"/>
            <w:tabs>
              <w:tab w:val="left" w:pos="1418"/>
            </w:tabs>
            <w:rPr>
              <w:rFonts w:asciiTheme="minorHAnsi" w:eastAsiaTheme="minorEastAsia" w:hAnsiTheme="minorHAnsi" w:cstheme="minorBidi"/>
            </w:rPr>
          </w:pPr>
          <w:hyperlink w:anchor="_Toc16856356" w:history="1">
            <w:r w:rsidR="0008579C" w:rsidRPr="008A7960">
              <w:rPr>
                <w:rStyle w:val="Hyperlink"/>
              </w:rPr>
              <w:t>E.5.</w:t>
            </w:r>
            <w:r w:rsidR="0008579C">
              <w:rPr>
                <w:rFonts w:asciiTheme="minorHAnsi" w:eastAsiaTheme="minorEastAsia" w:hAnsiTheme="minorHAnsi" w:cstheme="minorBidi"/>
              </w:rPr>
              <w:tab/>
            </w:r>
            <w:r w:rsidR="0008579C" w:rsidRPr="008A7960">
              <w:rPr>
                <w:rStyle w:val="Hyperlink"/>
              </w:rPr>
              <w:t>Identification, estimation and reduction of uncertainty</w:t>
            </w:r>
            <w:r w:rsidR="0008579C">
              <w:rPr>
                <w:webHidden/>
              </w:rPr>
              <w:tab/>
            </w:r>
            <w:r w:rsidR="0008579C">
              <w:rPr>
                <w:webHidden/>
              </w:rPr>
              <w:fldChar w:fldCharType="begin"/>
            </w:r>
            <w:r w:rsidR="0008579C">
              <w:rPr>
                <w:webHidden/>
              </w:rPr>
              <w:instrText xml:space="preserve"> PAGEREF _Toc16856356 \h </w:instrText>
            </w:r>
            <w:r w:rsidR="0008579C">
              <w:rPr>
                <w:webHidden/>
              </w:rPr>
            </w:r>
            <w:r w:rsidR="0008579C">
              <w:rPr>
                <w:webHidden/>
              </w:rPr>
              <w:fldChar w:fldCharType="separate"/>
            </w:r>
            <w:r w:rsidR="0008579C">
              <w:rPr>
                <w:webHidden/>
              </w:rPr>
              <w:t>129</w:t>
            </w:r>
            <w:r w:rsidR="0008579C">
              <w:rPr>
                <w:webHidden/>
              </w:rPr>
              <w:fldChar w:fldCharType="end"/>
            </w:r>
          </w:hyperlink>
        </w:p>
        <w:p w14:paraId="1E1DEFDA" w14:textId="2CE4229A" w:rsidR="0008579C" w:rsidRDefault="009F6E2C">
          <w:pPr>
            <w:pStyle w:val="TOC1"/>
            <w:rPr>
              <w:rFonts w:asciiTheme="minorHAnsi" w:eastAsiaTheme="minorEastAsia" w:hAnsiTheme="minorHAnsi" w:cstheme="minorBidi"/>
              <w:b w:val="0"/>
            </w:rPr>
          </w:pPr>
          <w:hyperlink w:anchor="_Toc16856357" w:history="1">
            <w:r w:rsidR="0008579C" w:rsidRPr="008A7960">
              <w:rPr>
                <w:rStyle w:val="Hyperlink"/>
              </w:rPr>
              <w:t>Appendix A</w:t>
            </w:r>
            <w:r w:rsidR="0008579C">
              <w:rPr>
                <w:rFonts w:asciiTheme="minorHAnsi" w:eastAsiaTheme="minorEastAsia" w:hAnsiTheme="minorHAnsi" w:cstheme="minorBidi"/>
                <w:b w:val="0"/>
              </w:rPr>
              <w:tab/>
            </w:r>
            <w:r w:rsidR="0008579C" w:rsidRPr="008A7960">
              <w:rPr>
                <w:rStyle w:val="Hyperlink"/>
              </w:rPr>
              <w:t>Clinical Experts and Assessment Group</w:t>
            </w:r>
            <w:r w:rsidR="0008579C">
              <w:rPr>
                <w:webHidden/>
              </w:rPr>
              <w:tab/>
            </w:r>
            <w:r w:rsidR="0008579C">
              <w:rPr>
                <w:webHidden/>
              </w:rPr>
              <w:fldChar w:fldCharType="begin"/>
            </w:r>
            <w:r w:rsidR="0008579C">
              <w:rPr>
                <w:webHidden/>
              </w:rPr>
              <w:instrText xml:space="preserve"> PAGEREF _Toc16856357 \h </w:instrText>
            </w:r>
            <w:r w:rsidR="0008579C">
              <w:rPr>
                <w:webHidden/>
              </w:rPr>
            </w:r>
            <w:r w:rsidR="0008579C">
              <w:rPr>
                <w:webHidden/>
              </w:rPr>
              <w:fldChar w:fldCharType="separate"/>
            </w:r>
            <w:r w:rsidR="0008579C">
              <w:rPr>
                <w:webHidden/>
              </w:rPr>
              <w:t>131</w:t>
            </w:r>
            <w:r w:rsidR="0008579C">
              <w:rPr>
                <w:webHidden/>
              </w:rPr>
              <w:fldChar w:fldCharType="end"/>
            </w:r>
          </w:hyperlink>
        </w:p>
        <w:p w14:paraId="7D873424" w14:textId="03435EDD" w:rsidR="0008579C" w:rsidRDefault="009F6E2C">
          <w:pPr>
            <w:pStyle w:val="TOC2"/>
            <w:rPr>
              <w:rFonts w:asciiTheme="minorHAnsi" w:eastAsiaTheme="minorEastAsia" w:hAnsiTheme="minorHAnsi" w:cstheme="minorBidi"/>
            </w:rPr>
          </w:pPr>
          <w:hyperlink w:anchor="_Toc16856358" w:history="1">
            <w:r w:rsidR="0008579C" w:rsidRPr="008A7960">
              <w:rPr>
                <w:rStyle w:val="Hyperlink"/>
              </w:rPr>
              <w:t>Assessment group</w:t>
            </w:r>
            <w:r w:rsidR="0008579C">
              <w:rPr>
                <w:webHidden/>
              </w:rPr>
              <w:tab/>
            </w:r>
            <w:r w:rsidR="0008579C">
              <w:rPr>
                <w:webHidden/>
              </w:rPr>
              <w:fldChar w:fldCharType="begin"/>
            </w:r>
            <w:r w:rsidR="0008579C">
              <w:rPr>
                <w:webHidden/>
              </w:rPr>
              <w:instrText xml:space="preserve"> PAGEREF _Toc16856358 \h </w:instrText>
            </w:r>
            <w:r w:rsidR="0008579C">
              <w:rPr>
                <w:webHidden/>
              </w:rPr>
            </w:r>
            <w:r w:rsidR="0008579C">
              <w:rPr>
                <w:webHidden/>
              </w:rPr>
              <w:fldChar w:fldCharType="separate"/>
            </w:r>
            <w:r w:rsidR="0008579C">
              <w:rPr>
                <w:webHidden/>
              </w:rPr>
              <w:t>131</w:t>
            </w:r>
            <w:r w:rsidR="0008579C">
              <w:rPr>
                <w:webHidden/>
              </w:rPr>
              <w:fldChar w:fldCharType="end"/>
            </w:r>
          </w:hyperlink>
        </w:p>
        <w:p w14:paraId="46E840E3" w14:textId="3DD7678D" w:rsidR="0008579C" w:rsidRDefault="009F6E2C">
          <w:pPr>
            <w:pStyle w:val="TOC1"/>
            <w:rPr>
              <w:rFonts w:asciiTheme="minorHAnsi" w:eastAsiaTheme="minorEastAsia" w:hAnsiTheme="minorHAnsi" w:cstheme="minorBidi"/>
              <w:b w:val="0"/>
            </w:rPr>
          </w:pPr>
          <w:hyperlink w:anchor="_Toc16856359" w:history="1">
            <w:r w:rsidR="0008579C" w:rsidRPr="008A7960">
              <w:rPr>
                <w:rStyle w:val="Hyperlink"/>
              </w:rPr>
              <w:t>Appendix B</w:t>
            </w:r>
            <w:r w:rsidR="0008579C">
              <w:rPr>
                <w:rFonts w:asciiTheme="minorHAnsi" w:eastAsiaTheme="minorEastAsia" w:hAnsiTheme="minorHAnsi" w:cstheme="minorBidi"/>
                <w:b w:val="0"/>
              </w:rPr>
              <w:tab/>
            </w:r>
            <w:r w:rsidR="0008579C" w:rsidRPr="008A7960">
              <w:rPr>
                <w:rStyle w:val="Hyperlink"/>
              </w:rPr>
              <w:t>Search strategies</w:t>
            </w:r>
            <w:r w:rsidR="0008579C">
              <w:rPr>
                <w:webHidden/>
              </w:rPr>
              <w:tab/>
            </w:r>
            <w:r w:rsidR="0008579C">
              <w:rPr>
                <w:webHidden/>
              </w:rPr>
              <w:fldChar w:fldCharType="begin"/>
            </w:r>
            <w:r w:rsidR="0008579C">
              <w:rPr>
                <w:webHidden/>
              </w:rPr>
              <w:instrText xml:space="preserve"> PAGEREF _Toc16856359 \h </w:instrText>
            </w:r>
            <w:r w:rsidR="0008579C">
              <w:rPr>
                <w:webHidden/>
              </w:rPr>
            </w:r>
            <w:r w:rsidR="0008579C">
              <w:rPr>
                <w:webHidden/>
              </w:rPr>
              <w:fldChar w:fldCharType="separate"/>
            </w:r>
            <w:r w:rsidR="0008579C">
              <w:rPr>
                <w:webHidden/>
              </w:rPr>
              <w:t>132</w:t>
            </w:r>
            <w:r w:rsidR="0008579C">
              <w:rPr>
                <w:webHidden/>
              </w:rPr>
              <w:fldChar w:fldCharType="end"/>
            </w:r>
          </w:hyperlink>
        </w:p>
        <w:p w14:paraId="570E2F63" w14:textId="185D0913" w:rsidR="0008579C" w:rsidRDefault="009F6E2C">
          <w:pPr>
            <w:pStyle w:val="TOC3"/>
            <w:rPr>
              <w:rFonts w:asciiTheme="minorHAnsi" w:eastAsiaTheme="minorEastAsia" w:hAnsiTheme="minorHAnsi" w:cstheme="minorBidi"/>
            </w:rPr>
          </w:pPr>
          <w:hyperlink w:anchor="_Toc16856360" w:history="1">
            <w:r w:rsidR="0008579C" w:rsidRPr="008A7960">
              <w:rPr>
                <w:rStyle w:val="Hyperlink"/>
              </w:rPr>
              <w:t>Bibliographic databases</w:t>
            </w:r>
            <w:r w:rsidR="0008579C">
              <w:rPr>
                <w:webHidden/>
              </w:rPr>
              <w:tab/>
            </w:r>
            <w:r w:rsidR="0008579C">
              <w:rPr>
                <w:webHidden/>
              </w:rPr>
              <w:fldChar w:fldCharType="begin"/>
            </w:r>
            <w:r w:rsidR="0008579C">
              <w:rPr>
                <w:webHidden/>
              </w:rPr>
              <w:instrText xml:space="preserve"> PAGEREF _Toc16856360 \h </w:instrText>
            </w:r>
            <w:r w:rsidR="0008579C">
              <w:rPr>
                <w:webHidden/>
              </w:rPr>
            </w:r>
            <w:r w:rsidR="0008579C">
              <w:rPr>
                <w:webHidden/>
              </w:rPr>
              <w:fldChar w:fldCharType="separate"/>
            </w:r>
            <w:r w:rsidR="0008579C">
              <w:rPr>
                <w:webHidden/>
              </w:rPr>
              <w:t>132</w:t>
            </w:r>
            <w:r w:rsidR="0008579C">
              <w:rPr>
                <w:webHidden/>
              </w:rPr>
              <w:fldChar w:fldCharType="end"/>
            </w:r>
          </w:hyperlink>
        </w:p>
        <w:p w14:paraId="563CCA85" w14:textId="199AB88C" w:rsidR="0008579C" w:rsidRDefault="009F6E2C">
          <w:pPr>
            <w:pStyle w:val="TOC1"/>
            <w:rPr>
              <w:rFonts w:asciiTheme="minorHAnsi" w:eastAsiaTheme="minorEastAsia" w:hAnsiTheme="minorHAnsi" w:cstheme="minorBidi"/>
              <w:b w:val="0"/>
            </w:rPr>
          </w:pPr>
          <w:hyperlink w:anchor="_Toc16856361" w:history="1">
            <w:r w:rsidR="0008579C" w:rsidRPr="008A7960">
              <w:rPr>
                <w:rStyle w:val="Hyperlink"/>
              </w:rPr>
              <w:t>Appendix C</w:t>
            </w:r>
            <w:r w:rsidR="0008579C">
              <w:rPr>
                <w:rFonts w:asciiTheme="minorHAnsi" w:eastAsiaTheme="minorEastAsia" w:hAnsiTheme="minorHAnsi" w:cstheme="minorBidi"/>
                <w:b w:val="0"/>
              </w:rPr>
              <w:tab/>
            </w:r>
            <w:r w:rsidR="0008579C" w:rsidRPr="008A7960">
              <w:rPr>
                <w:rStyle w:val="Hyperlink"/>
              </w:rPr>
              <w:t>Studies included in the Systematic Review</w:t>
            </w:r>
            <w:r w:rsidR="0008579C">
              <w:rPr>
                <w:webHidden/>
              </w:rPr>
              <w:tab/>
            </w:r>
            <w:r w:rsidR="0008579C">
              <w:rPr>
                <w:webHidden/>
              </w:rPr>
              <w:fldChar w:fldCharType="begin"/>
            </w:r>
            <w:r w:rsidR="0008579C">
              <w:rPr>
                <w:webHidden/>
              </w:rPr>
              <w:instrText xml:space="preserve"> PAGEREF _Toc16856361 \h </w:instrText>
            </w:r>
            <w:r w:rsidR="0008579C">
              <w:rPr>
                <w:webHidden/>
              </w:rPr>
            </w:r>
            <w:r w:rsidR="0008579C">
              <w:rPr>
                <w:webHidden/>
              </w:rPr>
              <w:fldChar w:fldCharType="separate"/>
            </w:r>
            <w:r w:rsidR="0008579C">
              <w:rPr>
                <w:webHidden/>
              </w:rPr>
              <w:t>135</w:t>
            </w:r>
            <w:r w:rsidR="0008579C">
              <w:rPr>
                <w:webHidden/>
              </w:rPr>
              <w:fldChar w:fldCharType="end"/>
            </w:r>
          </w:hyperlink>
        </w:p>
        <w:p w14:paraId="75323D2F" w14:textId="10011389" w:rsidR="0008579C" w:rsidRDefault="009F6E2C">
          <w:pPr>
            <w:pStyle w:val="TOC1"/>
            <w:rPr>
              <w:rFonts w:asciiTheme="minorHAnsi" w:eastAsiaTheme="minorEastAsia" w:hAnsiTheme="minorHAnsi" w:cstheme="minorBidi"/>
              <w:b w:val="0"/>
            </w:rPr>
          </w:pPr>
          <w:hyperlink w:anchor="_Toc16856362" w:history="1">
            <w:r w:rsidR="0008579C" w:rsidRPr="008A7960">
              <w:rPr>
                <w:rStyle w:val="Hyperlink"/>
              </w:rPr>
              <w:t>Appendix D</w:t>
            </w:r>
            <w:r w:rsidR="0008579C">
              <w:rPr>
                <w:rFonts w:asciiTheme="minorHAnsi" w:eastAsiaTheme="minorEastAsia" w:hAnsiTheme="minorHAnsi" w:cstheme="minorBidi"/>
                <w:b w:val="0"/>
              </w:rPr>
              <w:tab/>
            </w:r>
            <w:r w:rsidR="0008579C" w:rsidRPr="008A7960">
              <w:rPr>
                <w:rStyle w:val="Hyperlink"/>
              </w:rPr>
              <w:t>Evidence Profile Tables</w:t>
            </w:r>
            <w:r w:rsidR="0008579C">
              <w:rPr>
                <w:webHidden/>
              </w:rPr>
              <w:tab/>
            </w:r>
            <w:r w:rsidR="0008579C">
              <w:rPr>
                <w:webHidden/>
              </w:rPr>
              <w:fldChar w:fldCharType="begin"/>
            </w:r>
            <w:r w:rsidR="0008579C">
              <w:rPr>
                <w:webHidden/>
              </w:rPr>
              <w:instrText xml:space="preserve"> PAGEREF _Toc16856362 \h </w:instrText>
            </w:r>
            <w:r w:rsidR="0008579C">
              <w:rPr>
                <w:webHidden/>
              </w:rPr>
            </w:r>
            <w:r w:rsidR="0008579C">
              <w:rPr>
                <w:webHidden/>
              </w:rPr>
              <w:fldChar w:fldCharType="separate"/>
            </w:r>
            <w:r w:rsidR="0008579C">
              <w:rPr>
                <w:webHidden/>
              </w:rPr>
              <w:t>138</w:t>
            </w:r>
            <w:r w:rsidR="0008579C">
              <w:rPr>
                <w:webHidden/>
              </w:rPr>
              <w:fldChar w:fldCharType="end"/>
            </w:r>
          </w:hyperlink>
        </w:p>
        <w:p w14:paraId="2362315B" w14:textId="52C84002" w:rsidR="0008579C" w:rsidRDefault="009F6E2C">
          <w:pPr>
            <w:pStyle w:val="TOC1"/>
            <w:rPr>
              <w:rFonts w:asciiTheme="minorHAnsi" w:eastAsiaTheme="minorEastAsia" w:hAnsiTheme="minorHAnsi" w:cstheme="minorBidi"/>
              <w:b w:val="0"/>
            </w:rPr>
          </w:pPr>
          <w:hyperlink w:anchor="_Toc16856363" w:history="1">
            <w:r w:rsidR="0008579C" w:rsidRPr="008A7960">
              <w:rPr>
                <w:rStyle w:val="Hyperlink"/>
              </w:rPr>
              <w:t>Appendix E</w:t>
            </w:r>
            <w:r w:rsidR="0008579C">
              <w:rPr>
                <w:rFonts w:asciiTheme="minorHAnsi" w:eastAsiaTheme="minorEastAsia" w:hAnsiTheme="minorHAnsi" w:cstheme="minorBidi"/>
                <w:b w:val="0"/>
              </w:rPr>
              <w:tab/>
            </w:r>
            <w:r w:rsidR="0008579C" w:rsidRPr="008A7960">
              <w:rPr>
                <w:rStyle w:val="Hyperlink"/>
              </w:rPr>
              <w:t>Excluded Studies</w:t>
            </w:r>
            <w:r w:rsidR="0008579C">
              <w:rPr>
                <w:webHidden/>
              </w:rPr>
              <w:tab/>
            </w:r>
            <w:r w:rsidR="0008579C">
              <w:rPr>
                <w:webHidden/>
              </w:rPr>
              <w:fldChar w:fldCharType="begin"/>
            </w:r>
            <w:r w:rsidR="0008579C">
              <w:rPr>
                <w:webHidden/>
              </w:rPr>
              <w:instrText xml:space="preserve"> PAGEREF _Toc16856363 \h </w:instrText>
            </w:r>
            <w:r w:rsidR="0008579C">
              <w:rPr>
                <w:webHidden/>
              </w:rPr>
            </w:r>
            <w:r w:rsidR="0008579C">
              <w:rPr>
                <w:webHidden/>
              </w:rPr>
              <w:fldChar w:fldCharType="separate"/>
            </w:r>
            <w:r w:rsidR="0008579C">
              <w:rPr>
                <w:webHidden/>
              </w:rPr>
              <w:t>153</w:t>
            </w:r>
            <w:r w:rsidR="0008579C">
              <w:rPr>
                <w:webHidden/>
              </w:rPr>
              <w:fldChar w:fldCharType="end"/>
            </w:r>
          </w:hyperlink>
        </w:p>
        <w:p w14:paraId="090C3E83" w14:textId="17AD823D" w:rsidR="0008579C" w:rsidRDefault="009F6E2C">
          <w:pPr>
            <w:pStyle w:val="TOC1"/>
            <w:rPr>
              <w:rFonts w:asciiTheme="minorHAnsi" w:eastAsiaTheme="minorEastAsia" w:hAnsiTheme="minorHAnsi" w:cstheme="minorBidi"/>
              <w:b w:val="0"/>
            </w:rPr>
          </w:pPr>
          <w:hyperlink w:anchor="_Toc16856364" w:history="1">
            <w:r w:rsidR="0008579C" w:rsidRPr="008A7960">
              <w:rPr>
                <w:rStyle w:val="Hyperlink"/>
              </w:rPr>
              <w:t>Appendix F</w:t>
            </w:r>
            <w:r w:rsidR="0008579C">
              <w:rPr>
                <w:rFonts w:asciiTheme="minorHAnsi" w:eastAsiaTheme="minorEastAsia" w:hAnsiTheme="minorHAnsi" w:cstheme="minorBidi"/>
                <w:b w:val="0"/>
              </w:rPr>
              <w:tab/>
            </w:r>
            <w:r w:rsidR="0008579C" w:rsidRPr="008A7960">
              <w:rPr>
                <w:rStyle w:val="Hyperlink"/>
              </w:rPr>
              <w:t>Supporting clinical data</w:t>
            </w:r>
            <w:r w:rsidR="0008579C">
              <w:rPr>
                <w:webHidden/>
              </w:rPr>
              <w:tab/>
            </w:r>
            <w:r w:rsidR="0008579C">
              <w:rPr>
                <w:webHidden/>
              </w:rPr>
              <w:fldChar w:fldCharType="begin"/>
            </w:r>
            <w:r w:rsidR="0008579C">
              <w:rPr>
                <w:webHidden/>
              </w:rPr>
              <w:instrText xml:space="preserve"> PAGEREF _Toc16856364 \h </w:instrText>
            </w:r>
            <w:r w:rsidR="0008579C">
              <w:rPr>
                <w:webHidden/>
              </w:rPr>
            </w:r>
            <w:r w:rsidR="0008579C">
              <w:rPr>
                <w:webHidden/>
              </w:rPr>
              <w:fldChar w:fldCharType="separate"/>
            </w:r>
            <w:r w:rsidR="0008579C">
              <w:rPr>
                <w:webHidden/>
              </w:rPr>
              <w:t>156</w:t>
            </w:r>
            <w:r w:rsidR="0008579C">
              <w:rPr>
                <w:webHidden/>
              </w:rPr>
              <w:fldChar w:fldCharType="end"/>
            </w:r>
          </w:hyperlink>
        </w:p>
        <w:p w14:paraId="35C6E1E3" w14:textId="21E36B2B" w:rsidR="0008579C" w:rsidRDefault="009F6E2C">
          <w:pPr>
            <w:pStyle w:val="TOC1"/>
            <w:rPr>
              <w:rFonts w:asciiTheme="minorHAnsi" w:eastAsiaTheme="minorEastAsia" w:hAnsiTheme="minorHAnsi" w:cstheme="minorBidi"/>
              <w:b w:val="0"/>
            </w:rPr>
          </w:pPr>
          <w:hyperlink w:anchor="_Toc16856365" w:history="1">
            <w:r w:rsidR="0008579C" w:rsidRPr="008A7960">
              <w:rPr>
                <w:rStyle w:val="Hyperlink"/>
              </w:rPr>
              <w:t>Appendix G</w:t>
            </w:r>
            <w:r w:rsidR="0008579C">
              <w:rPr>
                <w:rFonts w:asciiTheme="minorHAnsi" w:eastAsiaTheme="minorEastAsia" w:hAnsiTheme="minorHAnsi" w:cstheme="minorBidi"/>
                <w:b w:val="0"/>
              </w:rPr>
              <w:tab/>
            </w:r>
            <w:r w:rsidR="0008579C" w:rsidRPr="008A7960">
              <w:rPr>
                <w:rStyle w:val="Hyperlink"/>
              </w:rPr>
              <w:t>Economic analysis appendices</w:t>
            </w:r>
            <w:r w:rsidR="0008579C">
              <w:rPr>
                <w:webHidden/>
              </w:rPr>
              <w:tab/>
            </w:r>
            <w:r w:rsidR="0008579C">
              <w:rPr>
                <w:webHidden/>
              </w:rPr>
              <w:fldChar w:fldCharType="begin"/>
            </w:r>
            <w:r w:rsidR="0008579C">
              <w:rPr>
                <w:webHidden/>
              </w:rPr>
              <w:instrText xml:space="preserve"> PAGEREF _Toc16856365 \h </w:instrText>
            </w:r>
            <w:r w:rsidR="0008579C">
              <w:rPr>
                <w:webHidden/>
              </w:rPr>
            </w:r>
            <w:r w:rsidR="0008579C">
              <w:rPr>
                <w:webHidden/>
              </w:rPr>
              <w:fldChar w:fldCharType="separate"/>
            </w:r>
            <w:r w:rsidR="0008579C">
              <w:rPr>
                <w:webHidden/>
              </w:rPr>
              <w:t>168</w:t>
            </w:r>
            <w:r w:rsidR="0008579C">
              <w:rPr>
                <w:webHidden/>
              </w:rPr>
              <w:fldChar w:fldCharType="end"/>
            </w:r>
          </w:hyperlink>
        </w:p>
        <w:p w14:paraId="29D48115" w14:textId="69AD3CC8" w:rsidR="0008579C" w:rsidRDefault="009F6E2C">
          <w:pPr>
            <w:pStyle w:val="TOC2"/>
            <w:rPr>
              <w:rFonts w:asciiTheme="minorHAnsi" w:eastAsiaTheme="minorEastAsia" w:hAnsiTheme="minorHAnsi" w:cstheme="minorBidi"/>
            </w:rPr>
          </w:pPr>
          <w:hyperlink w:anchor="_Toc16856366" w:history="1">
            <w:r w:rsidR="0008579C" w:rsidRPr="008A7960">
              <w:rPr>
                <w:rStyle w:val="Hyperlink"/>
              </w:rPr>
              <w:t>Overview</w:t>
            </w:r>
            <w:r w:rsidR="0008579C">
              <w:rPr>
                <w:webHidden/>
              </w:rPr>
              <w:tab/>
            </w:r>
            <w:r w:rsidR="0008579C">
              <w:rPr>
                <w:webHidden/>
              </w:rPr>
              <w:fldChar w:fldCharType="begin"/>
            </w:r>
            <w:r w:rsidR="0008579C">
              <w:rPr>
                <w:webHidden/>
              </w:rPr>
              <w:instrText xml:space="preserve"> PAGEREF _Toc16856366 \h </w:instrText>
            </w:r>
            <w:r w:rsidR="0008579C">
              <w:rPr>
                <w:webHidden/>
              </w:rPr>
            </w:r>
            <w:r w:rsidR="0008579C">
              <w:rPr>
                <w:webHidden/>
              </w:rPr>
              <w:fldChar w:fldCharType="separate"/>
            </w:r>
            <w:r w:rsidR="0008579C">
              <w:rPr>
                <w:webHidden/>
              </w:rPr>
              <w:t>168</w:t>
            </w:r>
            <w:r w:rsidR="0008579C">
              <w:rPr>
                <w:webHidden/>
              </w:rPr>
              <w:fldChar w:fldCharType="end"/>
            </w:r>
          </w:hyperlink>
        </w:p>
        <w:p w14:paraId="5868BE45" w14:textId="675738DB" w:rsidR="0008579C" w:rsidRDefault="009F6E2C">
          <w:pPr>
            <w:pStyle w:val="TOC2"/>
            <w:rPr>
              <w:rFonts w:asciiTheme="minorHAnsi" w:eastAsiaTheme="minorEastAsia" w:hAnsiTheme="minorHAnsi" w:cstheme="minorBidi"/>
            </w:rPr>
          </w:pPr>
          <w:hyperlink w:anchor="_Toc16856367" w:history="1">
            <w:r w:rsidR="0008579C" w:rsidRPr="008A7960">
              <w:rPr>
                <w:rStyle w:val="Hyperlink"/>
              </w:rPr>
              <w:t>Structure and rationale of the economic evaluation</w:t>
            </w:r>
            <w:r w:rsidR="0008579C">
              <w:rPr>
                <w:webHidden/>
              </w:rPr>
              <w:tab/>
            </w:r>
            <w:r w:rsidR="0008579C">
              <w:rPr>
                <w:webHidden/>
              </w:rPr>
              <w:fldChar w:fldCharType="begin"/>
            </w:r>
            <w:r w:rsidR="0008579C">
              <w:rPr>
                <w:webHidden/>
              </w:rPr>
              <w:instrText xml:space="preserve"> PAGEREF _Toc16856367 \h </w:instrText>
            </w:r>
            <w:r w:rsidR="0008579C">
              <w:rPr>
                <w:webHidden/>
              </w:rPr>
            </w:r>
            <w:r w:rsidR="0008579C">
              <w:rPr>
                <w:webHidden/>
              </w:rPr>
              <w:fldChar w:fldCharType="separate"/>
            </w:r>
            <w:r w:rsidR="0008579C">
              <w:rPr>
                <w:webHidden/>
              </w:rPr>
              <w:t>168</w:t>
            </w:r>
            <w:r w:rsidR="0008579C">
              <w:rPr>
                <w:webHidden/>
              </w:rPr>
              <w:fldChar w:fldCharType="end"/>
            </w:r>
          </w:hyperlink>
        </w:p>
        <w:p w14:paraId="45584D62" w14:textId="2C47AEEF" w:rsidR="0008579C" w:rsidRDefault="009F6E2C">
          <w:pPr>
            <w:pStyle w:val="TOC2"/>
            <w:rPr>
              <w:rFonts w:asciiTheme="minorHAnsi" w:eastAsiaTheme="minorEastAsia" w:hAnsiTheme="minorHAnsi" w:cstheme="minorBidi"/>
            </w:rPr>
          </w:pPr>
          <w:hyperlink w:anchor="_Toc16856368" w:history="1">
            <w:r w:rsidR="0008579C" w:rsidRPr="008A7960">
              <w:rPr>
                <w:rStyle w:val="Hyperlink"/>
              </w:rPr>
              <w:t>Inputs to the economic evaluation</w:t>
            </w:r>
            <w:r w:rsidR="0008579C">
              <w:rPr>
                <w:webHidden/>
              </w:rPr>
              <w:tab/>
            </w:r>
            <w:r w:rsidR="0008579C">
              <w:rPr>
                <w:webHidden/>
              </w:rPr>
              <w:fldChar w:fldCharType="begin"/>
            </w:r>
            <w:r w:rsidR="0008579C">
              <w:rPr>
                <w:webHidden/>
              </w:rPr>
              <w:instrText xml:space="preserve"> PAGEREF _Toc16856368 \h </w:instrText>
            </w:r>
            <w:r w:rsidR="0008579C">
              <w:rPr>
                <w:webHidden/>
              </w:rPr>
            </w:r>
            <w:r w:rsidR="0008579C">
              <w:rPr>
                <w:webHidden/>
              </w:rPr>
              <w:fldChar w:fldCharType="separate"/>
            </w:r>
            <w:r w:rsidR="0008579C">
              <w:rPr>
                <w:webHidden/>
              </w:rPr>
              <w:t>170</w:t>
            </w:r>
            <w:r w:rsidR="0008579C">
              <w:rPr>
                <w:webHidden/>
              </w:rPr>
              <w:fldChar w:fldCharType="end"/>
            </w:r>
          </w:hyperlink>
        </w:p>
        <w:p w14:paraId="679D8D27" w14:textId="0D625C50" w:rsidR="0008579C" w:rsidRDefault="009F6E2C">
          <w:pPr>
            <w:pStyle w:val="TOC3"/>
            <w:rPr>
              <w:rFonts w:asciiTheme="minorHAnsi" w:eastAsiaTheme="minorEastAsia" w:hAnsiTheme="minorHAnsi" w:cstheme="minorBidi"/>
            </w:rPr>
          </w:pPr>
          <w:hyperlink w:anchor="_Toc16856369" w:history="1">
            <w:r w:rsidR="0008579C" w:rsidRPr="008A7960">
              <w:rPr>
                <w:rStyle w:val="Hyperlink"/>
              </w:rPr>
              <w:t>Resource use</w:t>
            </w:r>
            <w:r w:rsidR="0008579C">
              <w:rPr>
                <w:webHidden/>
              </w:rPr>
              <w:tab/>
            </w:r>
            <w:r w:rsidR="0008579C">
              <w:rPr>
                <w:webHidden/>
              </w:rPr>
              <w:fldChar w:fldCharType="begin"/>
            </w:r>
            <w:r w:rsidR="0008579C">
              <w:rPr>
                <w:webHidden/>
              </w:rPr>
              <w:instrText xml:space="preserve"> PAGEREF _Toc16856369 \h </w:instrText>
            </w:r>
            <w:r w:rsidR="0008579C">
              <w:rPr>
                <w:webHidden/>
              </w:rPr>
            </w:r>
            <w:r w:rsidR="0008579C">
              <w:rPr>
                <w:webHidden/>
              </w:rPr>
              <w:fldChar w:fldCharType="separate"/>
            </w:r>
            <w:r w:rsidR="0008579C">
              <w:rPr>
                <w:webHidden/>
              </w:rPr>
              <w:t>170</w:t>
            </w:r>
            <w:r w:rsidR="0008579C">
              <w:rPr>
                <w:webHidden/>
              </w:rPr>
              <w:fldChar w:fldCharType="end"/>
            </w:r>
          </w:hyperlink>
        </w:p>
        <w:p w14:paraId="223D083B" w14:textId="6D3F9BFE" w:rsidR="0008579C" w:rsidRDefault="009F6E2C">
          <w:pPr>
            <w:pStyle w:val="TOC2"/>
            <w:rPr>
              <w:rFonts w:asciiTheme="minorHAnsi" w:eastAsiaTheme="minorEastAsia" w:hAnsiTheme="minorHAnsi" w:cstheme="minorBidi"/>
            </w:rPr>
          </w:pPr>
          <w:hyperlink w:anchor="_Toc16856370" w:history="1">
            <w:r w:rsidR="0008579C" w:rsidRPr="008A7960">
              <w:rPr>
                <w:rStyle w:val="Hyperlink"/>
              </w:rPr>
              <w:t>Sensitivity analyses</w:t>
            </w:r>
            <w:r w:rsidR="0008579C">
              <w:rPr>
                <w:webHidden/>
              </w:rPr>
              <w:tab/>
            </w:r>
            <w:r w:rsidR="0008579C">
              <w:rPr>
                <w:webHidden/>
              </w:rPr>
              <w:fldChar w:fldCharType="begin"/>
            </w:r>
            <w:r w:rsidR="0008579C">
              <w:rPr>
                <w:webHidden/>
              </w:rPr>
              <w:instrText xml:space="preserve"> PAGEREF _Toc16856370 \h </w:instrText>
            </w:r>
            <w:r w:rsidR="0008579C">
              <w:rPr>
                <w:webHidden/>
              </w:rPr>
            </w:r>
            <w:r w:rsidR="0008579C">
              <w:rPr>
                <w:webHidden/>
              </w:rPr>
              <w:fldChar w:fldCharType="separate"/>
            </w:r>
            <w:r w:rsidR="0008579C">
              <w:rPr>
                <w:webHidden/>
              </w:rPr>
              <w:t>170</w:t>
            </w:r>
            <w:r w:rsidR="0008579C">
              <w:rPr>
                <w:webHidden/>
              </w:rPr>
              <w:fldChar w:fldCharType="end"/>
            </w:r>
          </w:hyperlink>
        </w:p>
        <w:p w14:paraId="1A718AF7" w14:textId="51D0844D" w:rsidR="0008579C" w:rsidRDefault="009F6E2C">
          <w:pPr>
            <w:pStyle w:val="TOC1"/>
            <w:rPr>
              <w:rFonts w:asciiTheme="minorHAnsi" w:eastAsiaTheme="minorEastAsia" w:hAnsiTheme="minorHAnsi" w:cstheme="minorBidi"/>
              <w:b w:val="0"/>
            </w:rPr>
          </w:pPr>
          <w:hyperlink w:anchor="_Toc16856371" w:history="1">
            <w:r w:rsidR="0008579C" w:rsidRPr="008A7960">
              <w:rPr>
                <w:rStyle w:val="Hyperlink"/>
              </w:rPr>
              <w:t>Appendix H</w:t>
            </w:r>
            <w:r w:rsidR="0008579C">
              <w:rPr>
                <w:rFonts w:asciiTheme="minorHAnsi" w:eastAsiaTheme="minorEastAsia" w:hAnsiTheme="minorHAnsi" w:cstheme="minorBidi"/>
                <w:b w:val="0"/>
              </w:rPr>
              <w:tab/>
            </w:r>
            <w:r w:rsidR="0008579C" w:rsidRPr="008A7960">
              <w:rPr>
                <w:rStyle w:val="Hyperlink"/>
              </w:rPr>
              <w:t>Financial implications appendix</w:t>
            </w:r>
            <w:r w:rsidR="0008579C">
              <w:rPr>
                <w:webHidden/>
              </w:rPr>
              <w:tab/>
            </w:r>
            <w:r w:rsidR="0008579C">
              <w:rPr>
                <w:webHidden/>
              </w:rPr>
              <w:fldChar w:fldCharType="begin"/>
            </w:r>
            <w:r w:rsidR="0008579C">
              <w:rPr>
                <w:webHidden/>
              </w:rPr>
              <w:instrText xml:space="preserve"> PAGEREF _Toc16856371 \h </w:instrText>
            </w:r>
            <w:r w:rsidR="0008579C">
              <w:rPr>
                <w:webHidden/>
              </w:rPr>
            </w:r>
            <w:r w:rsidR="0008579C">
              <w:rPr>
                <w:webHidden/>
              </w:rPr>
              <w:fldChar w:fldCharType="separate"/>
            </w:r>
            <w:r w:rsidR="0008579C">
              <w:rPr>
                <w:webHidden/>
              </w:rPr>
              <w:t>173</w:t>
            </w:r>
            <w:r w:rsidR="0008579C">
              <w:rPr>
                <w:webHidden/>
              </w:rPr>
              <w:fldChar w:fldCharType="end"/>
            </w:r>
          </w:hyperlink>
        </w:p>
        <w:p w14:paraId="10ECDCCE" w14:textId="161329A7" w:rsidR="0008579C" w:rsidRDefault="009F6E2C">
          <w:pPr>
            <w:pStyle w:val="TOC2"/>
            <w:rPr>
              <w:rFonts w:asciiTheme="minorHAnsi" w:eastAsiaTheme="minorEastAsia" w:hAnsiTheme="minorHAnsi" w:cstheme="minorBidi"/>
            </w:rPr>
          </w:pPr>
          <w:hyperlink w:anchor="_Toc16856372" w:history="1">
            <w:r w:rsidR="0008579C" w:rsidRPr="008A7960">
              <w:rPr>
                <w:rStyle w:val="Hyperlink"/>
              </w:rPr>
              <w:t>Identification, estimation and reduction of uncertainty</w:t>
            </w:r>
            <w:r w:rsidR="0008579C">
              <w:rPr>
                <w:webHidden/>
              </w:rPr>
              <w:tab/>
            </w:r>
            <w:r w:rsidR="0008579C">
              <w:rPr>
                <w:webHidden/>
              </w:rPr>
              <w:fldChar w:fldCharType="begin"/>
            </w:r>
            <w:r w:rsidR="0008579C">
              <w:rPr>
                <w:webHidden/>
              </w:rPr>
              <w:instrText xml:space="preserve"> PAGEREF _Toc16856372 \h </w:instrText>
            </w:r>
            <w:r w:rsidR="0008579C">
              <w:rPr>
                <w:webHidden/>
              </w:rPr>
            </w:r>
            <w:r w:rsidR="0008579C">
              <w:rPr>
                <w:webHidden/>
              </w:rPr>
              <w:fldChar w:fldCharType="separate"/>
            </w:r>
            <w:r w:rsidR="0008579C">
              <w:rPr>
                <w:webHidden/>
              </w:rPr>
              <w:t>173</w:t>
            </w:r>
            <w:r w:rsidR="0008579C">
              <w:rPr>
                <w:webHidden/>
              </w:rPr>
              <w:fldChar w:fldCharType="end"/>
            </w:r>
          </w:hyperlink>
        </w:p>
        <w:p w14:paraId="69DF91B7" w14:textId="0BD70BA8" w:rsidR="0008579C" w:rsidRDefault="009F6E2C">
          <w:pPr>
            <w:pStyle w:val="TOC1"/>
            <w:rPr>
              <w:rFonts w:asciiTheme="minorHAnsi" w:eastAsiaTheme="minorEastAsia" w:hAnsiTheme="minorHAnsi" w:cstheme="minorBidi"/>
              <w:b w:val="0"/>
            </w:rPr>
          </w:pPr>
          <w:hyperlink w:anchor="_Toc16856373" w:history="1">
            <w:r w:rsidR="0008579C" w:rsidRPr="008A7960">
              <w:rPr>
                <w:rStyle w:val="Hyperlink"/>
              </w:rPr>
              <w:t>Attachment 1</w:t>
            </w:r>
            <w:r w:rsidR="0008579C">
              <w:rPr>
                <w:webHidden/>
              </w:rPr>
              <w:tab/>
            </w:r>
            <w:r w:rsidR="0008579C">
              <w:rPr>
                <w:webHidden/>
              </w:rPr>
              <w:fldChar w:fldCharType="begin"/>
            </w:r>
            <w:r w:rsidR="0008579C">
              <w:rPr>
                <w:webHidden/>
              </w:rPr>
              <w:instrText xml:space="preserve"> PAGEREF _Toc16856373 \h </w:instrText>
            </w:r>
            <w:r w:rsidR="0008579C">
              <w:rPr>
                <w:webHidden/>
              </w:rPr>
            </w:r>
            <w:r w:rsidR="0008579C">
              <w:rPr>
                <w:webHidden/>
              </w:rPr>
              <w:fldChar w:fldCharType="separate"/>
            </w:r>
            <w:r w:rsidR="0008579C">
              <w:rPr>
                <w:webHidden/>
              </w:rPr>
              <w:t>174</w:t>
            </w:r>
            <w:r w:rsidR="0008579C">
              <w:rPr>
                <w:webHidden/>
              </w:rPr>
              <w:fldChar w:fldCharType="end"/>
            </w:r>
          </w:hyperlink>
        </w:p>
        <w:p w14:paraId="40E6133D" w14:textId="1D6736FB" w:rsidR="0008579C" w:rsidRDefault="009F6E2C">
          <w:pPr>
            <w:pStyle w:val="TOC1"/>
            <w:rPr>
              <w:rFonts w:asciiTheme="minorHAnsi" w:eastAsiaTheme="minorEastAsia" w:hAnsiTheme="minorHAnsi" w:cstheme="minorBidi"/>
              <w:b w:val="0"/>
            </w:rPr>
          </w:pPr>
          <w:hyperlink w:anchor="_Toc16856374" w:history="1">
            <w:r w:rsidR="0008579C" w:rsidRPr="008A7960">
              <w:rPr>
                <w:rStyle w:val="Hyperlink"/>
              </w:rPr>
              <w:t>References</w:t>
            </w:r>
            <w:r w:rsidR="0008579C">
              <w:rPr>
                <w:webHidden/>
              </w:rPr>
              <w:tab/>
            </w:r>
            <w:r w:rsidR="0008579C">
              <w:rPr>
                <w:webHidden/>
              </w:rPr>
              <w:fldChar w:fldCharType="begin"/>
            </w:r>
            <w:r w:rsidR="0008579C">
              <w:rPr>
                <w:webHidden/>
              </w:rPr>
              <w:instrText xml:space="preserve"> PAGEREF _Toc16856374 \h </w:instrText>
            </w:r>
            <w:r w:rsidR="0008579C">
              <w:rPr>
                <w:webHidden/>
              </w:rPr>
            </w:r>
            <w:r w:rsidR="0008579C">
              <w:rPr>
                <w:webHidden/>
              </w:rPr>
              <w:fldChar w:fldCharType="separate"/>
            </w:r>
            <w:r w:rsidR="0008579C">
              <w:rPr>
                <w:webHidden/>
              </w:rPr>
              <w:t>179</w:t>
            </w:r>
            <w:r w:rsidR="0008579C">
              <w:rPr>
                <w:webHidden/>
              </w:rPr>
              <w:fldChar w:fldCharType="end"/>
            </w:r>
          </w:hyperlink>
        </w:p>
        <w:p w14:paraId="2BDCDE61" w14:textId="77777777" w:rsidR="00F81651" w:rsidRPr="00386411" w:rsidRDefault="00F81651">
          <w:pPr>
            <w:rPr>
              <w:b/>
            </w:rPr>
          </w:pPr>
          <w:r w:rsidRPr="00386411">
            <w:rPr>
              <w:b/>
              <w:bCs/>
              <w:noProof/>
            </w:rPr>
            <w:fldChar w:fldCharType="end"/>
          </w:r>
        </w:p>
      </w:sdtContent>
    </w:sdt>
    <w:p w14:paraId="534C009C" w14:textId="77777777" w:rsidR="008F59A8" w:rsidRPr="00386411" w:rsidRDefault="008F59A8" w:rsidP="00DF343F">
      <w:pPr>
        <w:pStyle w:val="Heading2"/>
      </w:pPr>
      <w:r w:rsidRPr="00386411">
        <w:br w:type="page"/>
      </w:r>
      <w:bookmarkStart w:id="19" w:name="_Toc381796425"/>
      <w:bookmarkStart w:id="20" w:name="_Toc395200736"/>
      <w:bookmarkStart w:id="21" w:name="_Toc399247191"/>
      <w:bookmarkStart w:id="22" w:name="_Toc402884710"/>
      <w:bookmarkStart w:id="23" w:name="_Toc14431095"/>
      <w:bookmarkStart w:id="24" w:name="_Toc16856263"/>
      <w:r w:rsidRPr="00386411">
        <w:lastRenderedPageBreak/>
        <w:t>Tables</w:t>
      </w:r>
      <w:bookmarkEnd w:id="19"/>
      <w:bookmarkEnd w:id="20"/>
      <w:bookmarkEnd w:id="21"/>
      <w:bookmarkEnd w:id="22"/>
      <w:bookmarkEnd w:id="23"/>
      <w:bookmarkEnd w:id="24"/>
    </w:p>
    <w:bookmarkStart w:id="25" w:name="_Toc381796426"/>
    <w:bookmarkStart w:id="26" w:name="_Toc395200737"/>
    <w:p w14:paraId="324F35A8" w14:textId="77777777" w:rsidR="000A5622" w:rsidRDefault="00503C5B">
      <w:pPr>
        <w:pStyle w:val="TableofFigures"/>
        <w:rPr>
          <w:rFonts w:asciiTheme="minorHAnsi" w:eastAsiaTheme="minorEastAsia" w:hAnsiTheme="minorHAnsi" w:cstheme="minorBidi"/>
        </w:rPr>
      </w:pPr>
      <w:r w:rsidRPr="00386411">
        <w:rPr>
          <w:rFonts w:asciiTheme="minorHAnsi" w:eastAsiaTheme="minorEastAsia" w:hAnsiTheme="minorHAnsi" w:cstheme="minorBidi"/>
          <w:b/>
          <w:smallCaps/>
        </w:rPr>
        <w:fldChar w:fldCharType="begin"/>
      </w:r>
      <w:r w:rsidRPr="00386411">
        <w:rPr>
          <w:rFonts w:asciiTheme="minorHAnsi" w:eastAsiaTheme="minorEastAsia" w:hAnsiTheme="minorHAnsi" w:cstheme="minorBidi"/>
          <w:b/>
          <w:smallCaps/>
        </w:rPr>
        <w:instrText xml:space="preserve"> TOC \h \z \c "Table" </w:instrText>
      </w:r>
      <w:r w:rsidRPr="00386411">
        <w:rPr>
          <w:rFonts w:asciiTheme="minorHAnsi" w:eastAsiaTheme="minorEastAsia" w:hAnsiTheme="minorHAnsi" w:cstheme="minorBidi"/>
          <w:b/>
          <w:smallCaps/>
        </w:rPr>
        <w:fldChar w:fldCharType="separate"/>
      </w:r>
      <w:hyperlink w:anchor="_Toc16671599" w:history="1">
        <w:r w:rsidR="000A5622" w:rsidRPr="000F492C">
          <w:rPr>
            <w:rStyle w:val="Hyperlink"/>
            <w:lang w:val="en-GB" w:eastAsia="ja-JP"/>
          </w:rPr>
          <w:t>Table 1</w:t>
        </w:r>
        <w:r w:rsidR="000A5622">
          <w:rPr>
            <w:rFonts w:asciiTheme="minorHAnsi" w:eastAsiaTheme="minorEastAsia" w:hAnsiTheme="minorHAnsi" w:cstheme="minorBidi"/>
          </w:rPr>
          <w:tab/>
        </w:r>
        <w:r w:rsidR="000A5622" w:rsidRPr="000F492C">
          <w:rPr>
            <w:rStyle w:val="Hyperlink"/>
            <w:lang w:val="en-GB" w:eastAsia="ja-JP"/>
          </w:rPr>
          <w:t xml:space="preserve"> Ig products funded for this indication</w:t>
        </w:r>
        <w:r w:rsidR="000A5622">
          <w:rPr>
            <w:webHidden/>
          </w:rPr>
          <w:tab/>
        </w:r>
        <w:r w:rsidR="000A5622">
          <w:rPr>
            <w:webHidden/>
          </w:rPr>
          <w:fldChar w:fldCharType="begin"/>
        </w:r>
        <w:r w:rsidR="000A5622">
          <w:rPr>
            <w:webHidden/>
          </w:rPr>
          <w:instrText xml:space="preserve"> PAGEREF _Toc16671599 \h </w:instrText>
        </w:r>
        <w:r w:rsidR="000A5622">
          <w:rPr>
            <w:webHidden/>
          </w:rPr>
        </w:r>
        <w:r w:rsidR="000A5622">
          <w:rPr>
            <w:webHidden/>
          </w:rPr>
          <w:fldChar w:fldCharType="separate"/>
        </w:r>
        <w:r w:rsidR="00A7463B">
          <w:rPr>
            <w:webHidden/>
          </w:rPr>
          <w:t>15</w:t>
        </w:r>
        <w:r w:rsidR="000A5622">
          <w:rPr>
            <w:webHidden/>
          </w:rPr>
          <w:fldChar w:fldCharType="end"/>
        </w:r>
      </w:hyperlink>
    </w:p>
    <w:p w14:paraId="23CA2DDF" w14:textId="77777777" w:rsidR="000A5622" w:rsidRDefault="009F6E2C">
      <w:pPr>
        <w:pStyle w:val="TableofFigures"/>
        <w:rPr>
          <w:rFonts w:asciiTheme="minorHAnsi" w:eastAsiaTheme="minorEastAsia" w:hAnsiTheme="minorHAnsi" w:cstheme="minorBidi"/>
        </w:rPr>
      </w:pPr>
      <w:hyperlink w:anchor="_Toc16671600" w:history="1">
        <w:r w:rsidR="000A5622" w:rsidRPr="000F492C">
          <w:rPr>
            <w:rStyle w:val="Hyperlink"/>
            <w:lang w:val="en-GB" w:eastAsia="ja-JP"/>
          </w:rPr>
          <w:t>Table 2</w:t>
        </w:r>
        <w:r w:rsidR="000A5622">
          <w:rPr>
            <w:rFonts w:asciiTheme="minorHAnsi" w:eastAsiaTheme="minorEastAsia" w:hAnsiTheme="minorHAnsi" w:cstheme="minorBidi"/>
          </w:rPr>
          <w:tab/>
        </w:r>
        <w:r w:rsidR="000A5622" w:rsidRPr="000F492C">
          <w:rPr>
            <w:rStyle w:val="Hyperlink"/>
            <w:lang w:val="en-GB" w:eastAsia="ja-JP"/>
          </w:rPr>
          <w:t xml:space="preserve"> Relevant trimethoprim + sulfamethoxazole listings on the PBS</w:t>
        </w:r>
        <w:r w:rsidR="000A5622">
          <w:rPr>
            <w:webHidden/>
          </w:rPr>
          <w:tab/>
        </w:r>
        <w:r w:rsidR="000A5622">
          <w:rPr>
            <w:webHidden/>
          </w:rPr>
          <w:fldChar w:fldCharType="begin"/>
        </w:r>
        <w:r w:rsidR="000A5622">
          <w:rPr>
            <w:webHidden/>
          </w:rPr>
          <w:instrText xml:space="preserve"> PAGEREF _Toc16671600 \h </w:instrText>
        </w:r>
        <w:r w:rsidR="000A5622">
          <w:rPr>
            <w:webHidden/>
          </w:rPr>
        </w:r>
        <w:r w:rsidR="000A5622">
          <w:rPr>
            <w:webHidden/>
          </w:rPr>
          <w:fldChar w:fldCharType="separate"/>
        </w:r>
        <w:r w:rsidR="00A7463B">
          <w:rPr>
            <w:webHidden/>
          </w:rPr>
          <w:t>17</w:t>
        </w:r>
        <w:r w:rsidR="000A5622">
          <w:rPr>
            <w:webHidden/>
          </w:rPr>
          <w:fldChar w:fldCharType="end"/>
        </w:r>
      </w:hyperlink>
    </w:p>
    <w:p w14:paraId="1E4E9490" w14:textId="77777777" w:rsidR="000A5622" w:rsidRDefault="009F6E2C">
      <w:pPr>
        <w:pStyle w:val="TableofFigures"/>
        <w:rPr>
          <w:rFonts w:asciiTheme="minorHAnsi" w:eastAsiaTheme="minorEastAsia" w:hAnsiTheme="minorHAnsi" w:cstheme="minorBidi"/>
        </w:rPr>
      </w:pPr>
      <w:hyperlink w:anchor="_Toc16671601" w:history="1">
        <w:r w:rsidR="000A5622" w:rsidRPr="000F492C">
          <w:rPr>
            <w:rStyle w:val="Hyperlink"/>
          </w:rPr>
          <w:t>Table 3</w:t>
        </w:r>
        <w:r w:rsidR="000A5622">
          <w:rPr>
            <w:rFonts w:asciiTheme="minorHAnsi" w:eastAsiaTheme="minorEastAsia" w:hAnsiTheme="minorHAnsi" w:cstheme="minorBidi"/>
          </w:rPr>
          <w:tab/>
        </w:r>
        <w:r w:rsidR="000A5622" w:rsidRPr="000F492C">
          <w:rPr>
            <w:rStyle w:val="Hyperlink"/>
          </w:rPr>
          <w:t xml:space="preserve"> Population, Intervention and Comparator: Acquired Hypogammaglobulinaemia due to haematological conditions</w:t>
        </w:r>
        <w:r w:rsidR="000A5622">
          <w:rPr>
            <w:webHidden/>
          </w:rPr>
          <w:tab/>
        </w:r>
        <w:r w:rsidR="000A5622">
          <w:rPr>
            <w:webHidden/>
          </w:rPr>
          <w:fldChar w:fldCharType="begin"/>
        </w:r>
        <w:r w:rsidR="000A5622">
          <w:rPr>
            <w:webHidden/>
          </w:rPr>
          <w:instrText xml:space="preserve"> PAGEREF _Toc16671601 \h </w:instrText>
        </w:r>
        <w:r w:rsidR="000A5622">
          <w:rPr>
            <w:webHidden/>
          </w:rPr>
        </w:r>
        <w:r w:rsidR="000A5622">
          <w:rPr>
            <w:webHidden/>
          </w:rPr>
          <w:fldChar w:fldCharType="separate"/>
        </w:r>
        <w:r w:rsidR="00A7463B">
          <w:rPr>
            <w:webHidden/>
          </w:rPr>
          <w:t>17</w:t>
        </w:r>
        <w:r w:rsidR="000A5622">
          <w:rPr>
            <w:webHidden/>
          </w:rPr>
          <w:fldChar w:fldCharType="end"/>
        </w:r>
      </w:hyperlink>
    </w:p>
    <w:p w14:paraId="47A615E7" w14:textId="77777777" w:rsidR="000A5622" w:rsidRDefault="009F6E2C">
      <w:pPr>
        <w:pStyle w:val="TableofFigures"/>
        <w:rPr>
          <w:rFonts w:asciiTheme="minorHAnsi" w:eastAsiaTheme="minorEastAsia" w:hAnsiTheme="minorHAnsi" w:cstheme="minorBidi"/>
        </w:rPr>
      </w:pPr>
      <w:hyperlink w:anchor="_Toc16671602" w:history="1">
        <w:r w:rsidR="000A5622" w:rsidRPr="000F492C">
          <w:rPr>
            <w:rStyle w:val="Hyperlink"/>
          </w:rPr>
          <w:t>Table 4</w:t>
        </w:r>
        <w:r w:rsidR="000A5622">
          <w:rPr>
            <w:rFonts w:asciiTheme="minorHAnsi" w:eastAsiaTheme="minorEastAsia" w:hAnsiTheme="minorHAnsi" w:cstheme="minorBidi"/>
          </w:rPr>
          <w:tab/>
        </w:r>
        <w:r w:rsidR="000A5622" w:rsidRPr="000F492C">
          <w:rPr>
            <w:rStyle w:val="Hyperlink"/>
          </w:rPr>
          <w:t xml:space="preserve"> </w:t>
        </w:r>
        <w:r w:rsidR="000A5622" w:rsidRPr="000F492C">
          <w:rPr>
            <w:rStyle w:val="Hyperlink"/>
            <w:rFonts w:cs="Arial"/>
            <w:snapToGrid w:val="0"/>
            <w:lang w:eastAsia="en-US"/>
          </w:rPr>
          <w:t>Balance of clinical benefits and harms of IgG with antibiotics as required, relative to No IgG with antibiotics as required (GRADE assessment)</w:t>
        </w:r>
        <w:r w:rsidR="000A5622">
          <w:rPr>
            <w:webHidden/>
          </w:rPr>
          <w:tab/>
        </w:r>
        <w:r w:rsidR="000A5622">
          <w:rPr>
            <w:webHidden/>
          </w:rPr>
          <w:fldChar w:fldCharType="begin"/>
        </w:r>
        <w:r w:rsidR="000A5622">
          <w:rPr>
            <w:webHidden/>
          </w:rPr>
          <w:instrText xml:space="preserve"> PAGEREF _Toc16671602 \h </w:instrText>
        </w:r>
        <w:r w:rsidR="000A5622">
          <w:rPr>
            <w:webHidden/>
          </w:rPr>
        </w:r>
        <w:r w:rsidR="000A5622">
          <w:rPr>
            <w:webHidden/>
          </w:rPr>
          <w:fldChar w:fldCharType="separate"/>
        </w:r>
        <w:r w:rsidR="00A7463B">
          <w:rPr>
            <w:webHidden/>
          </w:rPr>
          <w:t>21</w:t>
        </w:r>
        <w:r w:rsidR="000A5622">
          <w:rPr>
            <w:webHidden/>
          </w:rPr>
          <w:fldChar w:fldCharType="end"/>
        </w:r>
      </w:hyperlink>
    </w:p>
    <w:p w14:paraId="49A32498" w14:textId="77777777" w:rsidR="000A5622" w:rsidRDefault="009F6E2C">
      <w:pPr>
        <w:pStyle w:val="TableofFigures"/>
        <w:rPr>
          <w:rFonts w:asciiTheme="minorHAnsi" w:eastAsiaTheme="minorEastAsia" w:hAnsiTheme="minorHAnsi" w:cstheme="minorBidi"/>
        </w:rPr>
      </w:pPr>
      <w:hyperlink w:anchor="_Toc16671603" w:history="1">
        <w:r w:rsidR="000A5622" w:rsidRPr="000F492C">
          <w:rPr>
            <w:rStyle w:val="Hyperlink"/>
          </w:rPr>
          <w:t>Table 5</w:t>
        </w:r>
        <w:r w:rsidR="000A5622">
          <w:rPr>
            <w:rFonts w:asciiTheme="minorHAnsi" w:eastAsiaTheme="minorEastAsia" w:hAnsiTheme="minorHAnsi" w:cstheme="minorBidi"/>
          </w:rPr>
          <w:tab/>
        </w:r>
        <w:r w:rsidR="000A5622" w:rsidRPr="000F492C">
          <w:rPr>
            <w:rStyle w:val="Hyperlink"/>
          </w:rPr>
          <w:t xml:space="preserve"> Summary of results of pre-modelling studies and their uses in the economic evaluation</w:t>
        </w:r>
        <w:r w:rsidR="000A5622">
          <w:rPr>
            <w:webHidden/>
          </w:rPr>
          <w:tab/>
        </w:r>
        <w:r w:rsidR="000A5622">
          <w:rPr>
            <w:webHidden/>
          </w:rPr>
          <w:fldChar w:fldCharType="begin"/>
        </w:r>
        <w:r w:rsidR="000A5622">
          <w:rPr>
            <w:webHidden/>
          </w:rPr>
          <w:instrText xml:space="preserve"> PAGEREF _Toc16671603 \h </w:instrText>
        </w:r>
        <w:r w:rsidR="000A5622">
          <w:rPr>
            <w:webHidden/>
          </w:rPr>
        </w:r>
        <w:r w:rsidR="000A5622">
          <w:rPr>
            <w:webHidden/>
          </w:rPr>
          <w:fldChar w:fldCharType="separate"/>
        </w:r>
        <w:r w:rsidR="00A7463B">
          <w:rPr>
            <w:webHidden/>
          </w:rPr>
          <w:t>22</w:t>
        </w:r>
        <w:r w:rsidR="000A5622">
          <w:rPr>
            <w:webHidden/>
          </w:rPr>
          <w:fldChar w:fldCharType="end"/>
        </w:r>
      </w:hyperlink>
    </w:p>
    <w:p w14:paraId="12BFC7B8" w14:textId="77777777" w:rsidR="000A5622" w:rsidRDefault="009F6E2C">
      <w:pPr>
        <w:pStyle w:val="TableofFigures"/>
        <w:rPr>
          <w:rFonts w:asciiTheme="minorHAnsi" w:eastAsiaTheme="minorEastAsia" w:hAnsiTheme="minorHAnsi" w:cstheme="minorBidi"/>
        </w:rPr>
      </w:pPr>
      <w:hyperlink w:anchor="_Toc16671604" w:history="1">
        <w:r w:rsidR="000A5622" w:rsidRPr="000F492C">
          <w:rPr>
            <w:rStyle w:val="Hyperlink"/>
          </w:rPr>
          <w:t>Table 6</w:t>
        </w:r>
        <w:r w:rsidR="000A5622">
          <w:rPr>
            <w:rFonts w:asciiTheme="minorHAnsi" w:eastAsiaTheme="minorEastAsia" w:hAnsiTheme="minorHAnsi" w:cstheme="minorBidi"/>
          </w:rPr>
          <w:tab/>
        </w:r>
        <w:r w:rsidR="000A5622" w:rsidRPr="000F492C">
          <w:rPr>
            <w:rStyle w:val="Hyperlink"/>
          </w:rPr>
          <w:t>Summary of the economic evaluation</w:t>
        </w:r>
        <w:r w:rsidR="000A5622">
          <w:rPr>
            <w:webHidden/>
          </w:rPr>
          <w:tab/>
        </w:r>
        <w:r w:rsidR="000A5622">
          <w:rPr>
            <w:webHidden/>
          </w:rPr>
          <w:fldChar w:fldCharType="begin"/>
        </w:r>
        <w:r w:rsidR="000A5622">
          <w:rPr>
            <w:webHidden/>
          </w:rPr>
          <w:instrText xml:space="preserve"> PAGEREF _Toc16671604 \h </w:instrText>
        </w:r>
        <w:r w:rsidR="000A5622">
          <w:rPr>
            <w:webHidden/>
          </w:rPr>
        </w:r>
        <w:r w:rsidR="000A5622">
          <w:rPr>
            <w:webHidden/>
          </w:rPr>
          <w:fldChar w:fldCharType="separate"/>
        </w:r>
        <w:r w:rsidR="00A7463B">
          <w:rPr>
            <w:webHidden/>
          </w:rPr>
          <w:t>24</w:t>
        </w:r>
        <w:r w:rsidR="000A5622">
          <w:rPr>
            <w:webHidden/>
          </w:rPr>
          <w:fldChar w:fldCharType="end"/>
        </w:r>
      </w:hyperlink>
    </w:p>
    <w:p w14:paraId="625D91EB" w14:textId="77777777" w:rsidR="000A5622" w:rsidRDefault="009F6E2C">
      <w:pPr>
        <w:pStyle w:val="TableofFigures"/>
        <w:rPr>
          <w:rFonts w:asciiTheme="minorHAnsi" w:eastAsiaTheme="minorEastAsia" w:hAnsiTheme="minorHAnsi" w:cstheme="minorBidi"/>
        </w:rPr>
      </w:pPr>
      <w:hyperlink w:anchor="_Toc16671605" w:history="1">
        <w:r w:rsidR="000A5622" w:rsidRPr="000F492C">
          <w:rPr>
            <w:rStyle w:val="Hyperlink"/>
          </w:rPr>
          <w:t xml:space="preserve">Table 7 </w:t>
        </w:r>
        <w:r w:rsidR="000A5622">
          <w:rPr>
            <w:rFonts w:asciiTheme="minorHAnsi" w:eastAsiaTheme="minorEastAsia" w:hAnsiTheme="minorHAnsi" w:cstheme="minorBidi"/>
          </w:rPr>
          <w:tab/>
        </w:r>
        <w:r w:rsidR="000A5622" w:rsidRPr="000F492C">
          <w:rPr>
            <w:rStyle w:val="Hyperlink"/>
          </w:rPr>
          <w:t>Results of the stepped economic analysis</w:t>
        </w:r>
        <w:r w:rsidR="000A5622">
          <w:rPr>
            <w:webHidden/>
          </w:rPr>
          <w:tab/>
        </w:r>
        <w:r w:rsidR="000A5622">
          <w:rPr>
            <w:webHidden/>
          </w:rPr>
          <w:fldChar w:fldCharType="begin"/>
        </w:r>
        <w:r w:rsidR="000A5622">
          <w:rPr>
            <w:webHidden/>
          </w:rPr>
          <w:instrText xml:space="preserve"> PAGEREF _Toc16671605 \h </w:instrText>
        </w:r>
        <w:r w:rsidR="000A5622">
          <w:rPr>
            <w:webHidden/>
          </w:rPr>
        </w:r>
        <w:r w:rsidR="000A5622">
          <w:rPr>
            <w:webHidden/>
          </w:rPr>
          <w:fldChar w:fldCharType="separate"/>
        </w:r>
        <w:r w:rsidR="00A7463B">
          <w:rPr>
            <w:webHidden/>
          </w:rPr>
          <w:t>25</w:t>
        </w:r>
        <w:r w:rsidR="000A5622">
          <w:rPr>
            <w:webHidden/>
          </w:rPr>
          <w:fldChar w:fldCharType="end"/>
        </w:r>
      </w:hyperlink>
    </w:p>
    <w:p w14:paraId="3AB3C76D" w14:textId="77777777" w:rsidR="000A5622" w:rsidRDefault="009F6E2C">
      <w:pPr>
        <w:pStyle w:val="TableofFigures"/>
        <w:rPr>
          <w:rFonts w:asciiTheme="minorHAnsi" w:eastAsiaTheme="minorEastAsia" w:hAnsiTheme="minorHAnsi" w:cstheme="minorBidi"/>
        </w:rPr>
      </w:pPr>
      <w:hyperlink w:anchor="_Toc16671606" w:history="1">
        <w:r w:rsidR="000A5622" w:rsidRPr="000F492C">
          <w:rPr>
            <w:rStyle w:val="Hyperlink"/>
          </w:rPr>
          <w:t>Table 8</w:t>
        </w:r>
        <w:r w:rsidR="000A5622">
          <w:rPr>
            <w:rFonts w:asciiTheme="minorHAnsi" w:eastAsiaTheme="minorEastAsia" w:hAnsiTheme="minorHAnsi" w:cstheme="minorBidi"/>
          </w:rPr>
          <w:tab/>
        </w:r>
        <w:r w:rsidR="000A5622" w:rsidRPr="000F492C">
          <w:rPr>
            <w:rStyle w:val="Hyperlink"/>
          </w:rPr>
          <w:t xml:space="preserve"> Key sensitivity analyses</w:t>
        </w:r>
        <w:r w:rsidR="000A5622">
          <w:rPr>
            <w:webHidden/>
          </w:rPr>
          <w:tab/>
        </w:r>
        <w:r w:rsidR="000A5622">
          <w:rPr>
            <w:webHidden/>
          </w:rPr>
          <w:fldChar w:fldCharType="begin"/>
        </w:r>
        <w:r w:rsidR="000A5622">
          <w:rPr>
            <w:webHidden/>
          </w:rPr>
          <w:instrText xml:space="preserve"> PAGEREF _Toc16671606 \h </w:instrText>
        </w:r>
        <w:r w:rsidR="000A5622">
          <w:rPr>
            <w:webHidden/>
          </w:rPr>
        </w:r>
        <w:r w:rsidR="000A5622">
          <w:rPr>
            <w:webHidden/>
          </w:rPr>
          <w:fldChar w:fldCharType="separate"/>
        </w:r>
        <w:r w:rsidR="00A7463B">
          <w:rPr>
            <w:webHidden/>
          </w:rPr>
          <w:t>26</w:t>
        </w:r>
        <w:r w:rsidR="000A5622">
          <w:rPr>
            <w:webHidden/>
          </w:rPr>
          <w:fldChar w:fldCharType="end"/>
        </w:r>
      </w:hyperlink>
    </w:p>
    <w:p w14:paraId="1DF67F62" w14:textId="77777777" w:rsidR="000A5622" w:rsidRDefault="009F6E2C">
      <w:pPr>
        <w:pStyle w:val="TableofFigures"/>
        <w:rPr>
          <w:rFonts w:asciiTheme="minorHAnsi" w:eastAsiaTheme="minorEastAsia" w:hAnsiTheme="minorHAnsi" w:cstheme="minorBidi"/>
        </w:rPr>
      </w:pPr>
      <w:hyperlink w:anchor="_Toc16671607" w:history="1">
        <w:r w:rsidR="000A5622" w:rsidRPr="000F492C">
          <w:rPr>
            <w:rStyle w:val="Hyperlink"/>
          </w:rPr>
          <w:t>Table 9</w:t>
        </w:r>
        <w:r w:rsidR="000A5622">
          <w:rPr>
            <w:rFonts w:asciiTheme="minorHAnsi" w:eastAsiaTheme="minorEastAsia" w:hAnsiTheme="minorHAnsi" w:cstheme="minorBidi"/>
          </w:rPr>
          <w:tab/>
        </w:r>
        <w:r w:rsidR="000A5622" w:rsidRPr="000F492C">
          <w:rPr>
            <w:rStyle w:val="Hyperlink"/>
          </w:rPr>
          <w:t xml:space="preserve"> Net financial implications to government associated with Ig for acquired hypogammaglobulinaemia</w:t>
        </w:r>
        <w:r w:rsidR="000A5622">
          <w:rPr>
            <w:webHidden/>
          </w:rPr>
          <w:tab/>
        </w:r>
        <w:r w:rsidR="000A5622">
          <w:rPr>
            <w:webHidden/>
          </w:rPr>
          <w:fldChar w:fldCharType="begin"/>
        </w:r>
        <w:r w:rsidR="000A5622">
          <w:rPr>
            <w:webHidden/>
          </w:rPr>
          <w:instrText xml:space="preserve"> PAGEREF _Toc16671607 \h </w:instrText>
        </w:r>
        <w:r w:rsidR="000A5622">
          <w:rPr>
            <w:webHidden/>
          </w:rPr>
        </w:r>
        <w:r w:rsidR="000A5622">
          <w:rPr>
            <w:webHidden/>
          </w:rPr>
          <w:fldChar w:fldCharType="separate"/>
        </w:r>
        <w:r w:rsidR="00A7463B">
          <w:rPr>
            <w:webHidden/>
          </w:rPr>
          <w:t>27</w:t>
        </w:r>
        <w:r w:rsidR="000A5622">
          <w:rPr>
            <w:webHidden/>
          </w:rPr>
          <w:fldChar w:fldCharType="end"/>
        </w:r>
      </w:hyperlink>
    </w:p>
    <w:p w14:paraId="1481A3D4" w14:textId="77777777" w:rsidR="000A5622" w:rsidRDefault="009F6E2C">
      <w:pPr>
        <w:pStyle w:val="TableofFigures"/>
        <w:rPr>
          <w:rFonts w:asciiTheme="minorHAnsi" w:eastAsiaTheme="minorEastAsia" w:hAnsiTheme="minorHAnsi" w:cstheme="minorBidi"/>
        </w:rPr>
      </w:pPr>
      <w:hyperlink w:anchor="_Toc16671608" w:history="1">
        <w:r w:rsidR="000A5622" w:rsidRPr="000F492C">
          <w:rPr>
            <w:rStyle w:val="Hyperlink"/>
            <w:lang w:val="en-GB" w:eastAsia="ja-JP"/>
          </w:rPr>
          <w:t>Table 10</w:t>
        </w:r>
        <w:r w:rsidR="000A5622">
          <w:rPr>
            <w:rFonts w:asciiTheme="minorHAnsi" w:eastAsiaTheme="minorEastAsia" w:hAnsiTheme="minorHAnsi" w:cstheme="minorBidi"/>
          </w:rPr>
          <w:tab/>
        </w:r>
        <w:r w:rsidR="000A5622" w:rsidRPr="000F492C">
          <w:rPr>
            <w:rStyle w:val="Hyperlink"/>
            <w:lang w:val="en-GB" w:eastAsia="ja-JP"/>
          </w:rPr>
          <w:t>IgG products registered on the ARTG for use in Australia</w:t>
        </w:r>
        <w:r w:rsidR="000A5622">
          <w:rPr>
            <w:webHidden/>
          </w:rPr>
          <w:tab/>
        </w:r>
        <w:r w:rsidR="000A5622">
          <w:rPr>
            <w:webHidden/>
          </w:rPr>
          <w:fldChar w:fldCharType="begin"/>
        </w:r>
        <w:r w:rsidR="000A5622">
          <w:rPr>
            <w:webHidden/>
          </w:rPr>
          <w:instrText xml:space="preserve"> PAGEREF _Toc16671608 \h </w:instrText>
        </w:r>
        <w:r w:rsidR="000A5622">
          <w:rPr>
            <w:webHidden/>
          </w:rPr>
        </w:r>
        <w:r w:rsidR="000A5622">
          <w:rPr>
            <w:webHidden/>
          </w:rPr>
          <w:fldChar w:fldCharType="separate"/>
        </w:r>
        <w:r w:rsidR="00A7463B">
          <w:rPr>
            <w:webHidden/>
          </w:rPr>
          <w:t>32</w:t>
        </w:r>
        <w:r w:rsidR="000A5622">
          <w:rPr>
            <w:webHidden/>
          </w:rPr>
          <w:fldChar w:fldCharType="end"/>
        </w:r>
      </w:hyperlink>
    </w:p>
    <w:p w14:paraId="4C76AB98" w14:textId="77777777" w:rsidR="000A5622" w:rsidRDefault="009F6E2C">
      <w:pPr>
        <w:pStyle w:val="TableofFigures"/>
        <w:rPr>
          <w:rFonts w:asciiTheme="minorHAnsi" w:eastAsiaTheme="minorEastAsia" w:hAnsiTheme="minorHAnsi" w:cstheme="minorBidi"/>
        </w:rPr>
      </w:pPr>
      <w:hyperlink w:anchor="_Toc16671609" w:history="1">
        <w:r w:rsidR="000A5622" w:rsidRPr="000F492C">
          <w:rPr>
            <w:rStyle w:val="Hyperlink"/>
            <w:lang w:val="en-GB" w:eastAsia="ja-JP"/>
          </w:rPr>
          <w:t>Table 11</w:t>
        </w:r>
        <w:r w:rsidR="000A5622">
          <w:rPr>
            <w:rFonts w:asciiTheme="minorHAnsi" w:eastAsiaTheme="minorEastAsia" w:hAnsiTheme="minorHAnsi" w:cstheme="minorBidi"/>
          </w:rPr>
          <w:tab/>
        </w:r>
        <w:r w:rsidR="000A5622" w:rsidRPr="000F492C">
          <w:rPr>
            <w:rStyle w:val="Hyperlink"/>
            <w:lang w:val="en-GB" w:eastAsia="ja-JP"/>
          </w:rPr>
          <w:t>Ig products funded for this indication</w:t>
        </w:r>
        <w:r w:rsidR="000A5622">
          <w:rPr>
            <w:webHidden/>
          </w:rPr>
          <w:tab/>
        </w:r>
        <w:r w:rsidR="000A5622">
          <w:rPr>
            <w:webHidden/>
          </w:rPr>
          <w:fldChar w:fldCharType="begin"/>
        </w:r>
        <w:r w:rsidR="000A5622">
          <w:rPr>
            <w:webHidden/>
          </w:rPr>
          <w:instrText xml:space="preserve"> PAGEREF _Toc16671609 \h </w:instrText>
        </w:r>
        <w:r w:rsidR="000A5622">
          <w:rPr>
            <w:webHidden/>
          </w:rPr>
        </w:r>
        <w:r w:rsidR="000A5622">
          <w:rPr>
            <w:webHidden/>
          </w:rPr>
          <w:fldChar w:fldCharType="separate"/>
        </w:r>
        <w:r w:rsidR="00A7463B">
          <w:rPr>
            <w:webHidden/>
          </w:rPr>
          <w:t>32</w:t>
        </w:r>
        <w:r w:rsidR="000A5622">
          <w:rPr>
            <w:webHidden/>
          </w:rPr>
          <w:fldChar w:fldCharType="end"/>
        </w:r>
      </w:hyperlink>
    </w:p>
    <w:p w14:paraId="7FA1CD2B" w14:textId="77777777" w:rsidR="000A5622" w:rsidRDefault="009F6E2C">
      <w:pPr>
        <w:pStyle w:val="TableofFigures"/>
        <w:rPr>
          <w:rFonts w:asciiTheme="minorHAnsi" w:eastAsiaTheme="minorEastAsia" w:hAnsiTheme="minorHAnsi" w:cstheme="minorBidi"/>
        </w:rPr>
      </w:pPr>
      <w:hyperlink w:anchor="_Toc16671610" w:history="1">
        <w:r w:rsidR="000A5622" w:rsidRPr="000F492C">
          <w:rPr>
            <w:rStyle w:val="Hyperlink"/>
          </w:rPr>
          <w:t>Table 12</w:t>
        </w:r>
        <w:r w:rsidR="000A5622">
          <w:rPr>
            <w:rFonts w:asciiTheme="minorHAnsi" w:eastAsiaTheme="minorEastAsia" w:hAnsiTheme="minorHAnsi" w:cstheme="minorBidi"/>
          </w:rPr>
          <w:tab/>
        </w:r>
        <w:r w:rsidR="000A5622" w:rsidRPr="000F492C">
          <w:rPr>
            <w:rStyle w:val="Hyperlink"/>
          </w:rPr>
          <w:t>Numbers of patients receiving funded IgG for this indication (2017-18)</w:t>
        </w:r>
        <w:r w:rsidR="000A5622">
          <w:rPr>
            <w:webHidden/>
          </w:rPr>
          <w:tab/>
        </w:r>
        <w:r w:rsidR="000A5622">
          <w:rPr>
            <w:webHidden/>
          </w:rPr>
          <w:fldChar w:fldCharType="begin"/>
        </w:r>
        <w:r w:rsidR="000A5622">
          <w:rPr>
            <w:webHidden/>
          </w:rPr>
          <w:instrText xml:space="preserve"> PAGEREF _Toc16671610 \h </w:instrText>
        </w:r>
        <w:r w:rsidR="000A5622">
          <w:rPr>
            <w:webHidden/>
          </w:rPr>
        </w:r>
        <w:r w:rsidR="000A5622">
          <w:rPr>
            <w:webHidden/>
          </w:rPr>
          <w:fldChar w:fldCharType="separate"/>
        </w:r>
        <w:r w:rsidR="00A7463B">
          <w:rPr>
            <w:webHidden/>
          </w:rPr>
          <w:t>38</w:t>
        </w:r>
        <w:r w:rsidR="000A5622">
          <w:rPr>
            <w:webHidden/>
          </w:rPr>
          <w:fldChar w:fldCharType="end"/>
        </w:r>
      </w:hyperlink>
    </w:p>
    <w:p w14:paraId="7D48DA7C" w14:textId="77777777" w:rsidR="000A5622" w:rsidRDefault="009F6E2C">
      <w:pPr>
        <w:pStyle w:val="TableofFigures"/>
        <w:rPr>
          <w:rFonts w:asciiTheme="minorHAnsi" w:eastAsiaTheme="minorEastAsia" w:hAnsiTheme="minorHAnsi" w:cstheme="minorBidi"/>
        </w:rPr>
      </w:pPr>
      <w:hyperlink w:anchor="_Toc16671611" w:history="1">
        <w:r w:rsidR="000A5622" w:rsidRPr="000F492C">
          <w:rPr>
            <w:rStyle w:val="Hyperlink"/>
          </w:rPr>
          <w:t>Table 13</w:t>
        </w:r>
        <w:r w:rsidR="000A5622">
          <w:rPr>
            <w:rFonts w:asciiTheme="minorHAnsi" w:eastAsiaTheme="minorEastAsia" w:hAnsiTheme="minorHAnsi" w:cstheme="minorBidi"/>
          </w:rPr>
          <w:tab/>
        </w:r>
        <w:r w:rsidR="000A5622" w:rsidRPr="000F492C">
          <w:rPr>
            <w:rStyle w:val="Hyperlink"/>
          </w:rPr>
          <w:t>Relevant trimethoprim + sulfamethoxazole listings on the PBS</w:t>
        </w:r>
        <w:r w:rsidR="000A5622">
          <w:rPr>
            <w:webHidden/>
          </w:rPr>
          <w:tab/>
        </w:r>
        <w:r w:rsidR="000A5622">
          <w:rPr>
            <w:webHidden/>
          </w:rPr>
          <w:fldChar w:fldCharType="begin"/>
        </w:r>
        <w:r w:rsidR="000A5622">
          <w:rPr>
            <w:webHidden/>
          </w:rPr>
          <w:instrText xml:space="preserve"> PAGEREF _Toc16671611 \h </w:instrText>
        </w:r>
        <w:r w:rsidR="000A5622">
          <w:rPr>
            <w:webHidden/>
          </w:rPr>
        </w:r>
        <w:r w:rsidR="000A5622">
          <w:rPr>
            <w:webHidden/>
          </w:rPr>
          <w:fldChar w:fldCharType="separate"/>
        </w:r>
        <w:r w:rsidR="00A7463B">
          <w:rPr>
            <w:webHidden/>
          </w:rPr>
          <w:t>38</w:t>
        </w:r>
        <w:r w:rsidR="000A5622">
          <w:rPr>
            <w:webHidden/>
          </w:rPr>
          <w:fldChar w:fldCharType="end"/>
        </w:r>
      </w:hyperlink>
    </w:p>
    <w:p w14:paraId="6EF2CE97" w14:textId="77777777" w:rsidR="000A5622" w:rsidRDefault="009F6E2C">
      <w:pPr>
        <w:pStyle w:val="TableofFigures"/>
        <w:tabs>
          <w:tab w:val="left" w:pos="2143"/>
        </w:tabs>
        <w:rPr>
          <w:rFonts w:asciiTheme="minorHAnsi" w:eastAsiaTheme="minorEastAsia" w:hAnsiTheme="minorHAnsi" w:cstheme="minorBidi"/>
        </w:rPr>
      </w:pPr>
      <w:hyperlink w:anchor="_Toc16671612" w:history="1">
        <w:r w:rsidR="000A5622" w:rsidRPr="000F492C">
          <w:rPr>
            <w:rStyle w:val="Hyperlink"/>
          </w:rPr>
          <w:t>Table 14</w:t>
        </w:r>
        <w:r w:rsidR="000A5622">
          <w:rPr>
            <w:rFonts w:asciiTheme="minorHAnsi" w:eastAsiaTheme="minorEastAsia" w:hAnsiTheme="minorHAnsi" w:cstheme="minorBidi"/>
          </w:rPr>
          <w:tab/>
        </w:r>
        <w:r w:rsidR="000A5622" w:rsidRPr="000F492C">
          <w:rPr>
            <w:rStyle w:val="Hyperlink"/>
          </w:rPr>
          <w:t>Population, Intervention and Comparator: Acquired Hypogammaglobulinaemia due to haematological conditions</w:t>
        </w:r>
        <w:r w:rsidR="000A5622">
          <w:rPr>
            <w:webHidden/>
          </w:rPr>
          <w:tab/>
        </w:r>
        <w:r w:rsidR="000A5622">
          <w:rPr>
            <w:webHidden/>
          </w:rPr>
          <w:fldChar w:fldCharType="begin"/>
        </w:r>
        <w:r w:rsidR="000A5622">
          <w:rPr>
            <w:webHidden/>
          </w:rPr>
          <w:instrText xml:space="preserve"> PAGEREF _Toc16671612 \h </w:instrText>
        </w:r>
        <w:r w:rsidR="000A5622">
          <w:rPr>
            <w:webHidden/>
          </w:rPr>
        </w:r>
        <w:r w:rsidR="000A5622">
          <w:rPr>
            <w:webHidden/>
          </w:rPr>
          <w:fldChar w:fldCharType="separate"/>
        </w:r>
        <w:r w:rsidR="00A7463B">
          <w:rPr>
            <w:webHidden/>
          </w:rPr>
          <w:t>42</w:t>
        </w:r>
        <w:r w:rsidR="000A5622">
          <w:rPr>
            <w:webHidden/>
          </w:rPr>
          <w:fldChar w:fldCharType="end"/>
        </w:r>
      </w:hyperlink>
    </w:p>
    <w:p w14:paraId="73EC6752" w14:textId="77777777" w:rsidR="000A5622" w:rsidRDefault="009F6E2C">
      <w:pPr>
        <w:pStyle w:val="TableofFigures"/>
        <w:rPr>
          <w:rFonts w:asciiTheme="minorHAnsi" w:eastAsiaTheme="minorEastAsia" w:hAnsiTheme="minorHAnsi" w:cstheme="minorBidi"/>
        </w:rPr>
      </w:pPr>
      <w:hyperlink w:anchor="_Toc16671613" w:history="1">
        <w:r w:rsidR="000A5622" w:rsidRPr="000F492C">
          <w:rPr>
            <w:rStyle w:val="Hyperlink"/>
          </w:rPr>
          <w:t>Table 15</w:t>
        </w:r>
        <w:r w:rsidR="000A5622">
          <w:rPr>
            <w:rFonts w:asciiTheme="minorHAnsi" w:eastAsiaTheme="minorEastAsia" w:hAnsiTheme="minorHAnsi" w:cstheme="minorBidi"/>
          </w:rPr>
          <w:tab/>
        </w:r>
        <w:r w:rsidR="000A5622" w:rsidRPr="000F492C">
          <w:rPr>
            <w:rStyle w:val="Hyperlink"/>
            <w:snapToGrid w:val="0"/>
            <w:lang w:eastAsia="en-US"/>
          </w:rPr>
          <w:t>Key features of the included studies</w:t>
        </w:r>
        <w:r w:rsidR="000A5622">
          <w:rPr>
            <w:webHidden/>
          </w:rPr>
          <w:tab/>
        </w:r>
        <w:r w:rsidR="000A5622">
          <w:rPr>
            <w:webHidden/>
          </w:rPr>
          <w:fldChar w:fldCharType="begin"/>
        </w:r>
        <w:r w:rsidR="000A5622">
          <w:rPr>
            <w:webHidden/>
          </w:rPr>
          <w:instrText xml:space="preserve"> PAGEREF _Toc16671613 \h </w:instrText>
        </w:r>
        <w:r w:rsidR="000A5622">
          <w:rPr>
            <w:webHidden/>
          </w:rPr>
        </w:r>
        <w:r w:rsidR="000A5622">
          <w:rPr>
            <w:webHidden/>
          </w:rPr>
          <w:fldChar w:fldCharType="separate"/>
        </w:r>
        <w:r w:rsidR="00A7463B">
          <w:rPr>
            <w:webHidden/>
          </w:rPr>
          <w:t>48</w:t>
        </w:r>
        <w:r w:rsidR="000A5622">
          <w:rPr>
            <w:webHidden/>
          </w:rPr>
          <w:fldChar w:fldCharType="end"/>
        </w:r>
      </w:hyperlink>
    </w:p>
    <w:p w14:paraId="4F44A75B" w14:textId="77777777" w:rsidR="000A5622" w:rsidRDefault="009F6E2C">
      <w:pPr>
        <w:pStyle w:val="TableofFigures"/>
        <w:rPr>
          <w:rFonts w:asciiTheme="minorHAnsi" w:eastAsiaTheme="minorEastAsia" w:hAnsiTheme="minorHAnsi" w:cstheme="minorBidi"/>
        </w:rPr>
      </w:pPr>
      <w:hyperlink w:anchor="_Toc16671614" w:history="1">
        <w:r w:rsidR="000A5622" w:rsidRPr="000F492C">
          <w:rPr>
            <w:rStyle w:val="Hyperlink"/>
          </w:rPr>
          <w:t>Table 16</w:t>
        </w:r>
        <w:r w:rsidR="000A5622">
          <w:rPr>
            <w:rFonts w:asciiTheme="minorHAnsi" w:eastAsiaTheme="minorEastAsia" w:hAnsiTheme="minorHAnsi" w:cstheme="minorBidi"/>
          </w:rPr>
          <w:tab/>
        </w:r>
        <w:r w:rsidR="000A5622" w:rsidRPr="000F492C">
          <w:rPr>
            <w:rStyle w:val="Hyperlink"/>
            <w:rFonts w:cs="Arial"/>
            <w:snapToGrid w:val="0"/>
            <w:lang w:eastAsia="en-US"/>
          </w:rPr>
          <w:t>Comparative studies presenting systemic AE outcomes – IVIg vs No IVIg</w:t>
        </w:r>
        <w:r w:rsidR="000A5622">
          <w:rPr>
            <w:webHidden/>
          </w:rPr>
          <w:tab/>
        </w:r>
        <w:r w:rsidR="000A5622">
          <w:rPr>
            <w:webHidden/>
          </w:rPr>
          <w:fldChar w:fldCharType="begin"/>
        </w:r>
        <w:r w:rsidR="000A5622">
          <w:rPr>
            <w:webHidden/>
          </w:rPr>
          <w:instrText xml:space="preserve"> PAGEREF _Toc16671614 \h </w:instrText>
        </w:r>
        <w:r w:rsidR="000A5622">
          <w:rPr>
            <w:webHidden/>
          </w:rPr>
        </w:r>
        <w:r w:rsidR="000A5622">
          <w:rPr>
            <w:webHidden/>
          </w:rPr>
          <w:fldChar w:fldCharType="separate"/>
        </w:r>
        <w:r w:rsidR="00A7463B">
          <w:rPr>
            <w:webHidden/>
          </w:rPr>
          <w:t>55</w:t>
        </w:r>
        <w:r w:rsidR="000A5622">
          <w:rPr>
            <w:webHidden/>
          </w:rPr>
          <w:fldChar w:fldCharType="end"/>
        </w:r>
      </w:hyperlink>
    </w:p>
    <w:p w14:paraId="17D51D8F" w14:textId="77777777" w:rsidR="000A5622" w:rsidRDefault="009F6E2C">
      <w:pPr>
        <w:pStyle w:val="TableofFigures"/>
        <w:rPr>
          <w:rFonts w:asciiTheme="minorHAnsi" w:eastAsiaTheme="minorEastAsia" w:hAnsiTheme="minorHAnsi" w:cstheme="minorBidi"/>
        </w:rPr>
      </w:pPr>
      <w:hyperlink w:anchor="_Toc16671615" w:history="1">
        <w:r w:rsidR="000A5622" w:rsidRPr="000F492C">
          <w:rPr>
            <w:rStyle w:val="Hyperlink"/>
          </w:rPr>
          <w:t>Table 17</w:t>
        </w:r>
        <w:r w:rsidR="000A5622">
          <w:rPr>
            <w:rFonts w:asciiTheme="minorHAnsi" w:eastAsiaTheme="minorEastAsia" w:hAnsiTheme="minorHAnsi" w:cstheme="minorBidi"/>
          </w:rPr>
          <w:tab/>
        </w:r>
        <w:r w:rsidR="000A5622" w:rsidRPr="000F492C">
          <w:rPr>
            <w:rStyle w:val="Hyperlink"/>
            <w:rFonts w:cs="Arial"/>
            <w:snapToGrid w:val="0"/>
            <w:lang w:eastAsia="en-US"/>
          </w:rPr>
          <w:t>Comparative studies presenting systemic and other AE outcomes – SCIg vs No SCIg</w:t>
        </w:r>
        <w:r w:rsidR="000A5622">
          <w:rPr>
            <w:webHidden/>
          </w:rPr>
          <w:tab/>
        </w:r>
        <w:r w:rsidR="000A5622">
          <w:rPr>
            <w:webHidden/>
          </w:rPr>
          <w:fldChar w:fldCharType="begin"/>
        </w:r>
        <w:r w:rsidR="000A5622">
          <w:rPr>
            <w:webHidden/>
          </w:rPr>
          <w:instrText xml:space="preserve"> PAGEREF _Toc16671615 \h </w:instrText>
        </w:r>
        <w:r w:rsidR="000A5622">
          <w:rPr>
            <w:webHidden/>
          </w:rPr>
        </w:r>
        <w:r w:rsidR="000A5622">
          <w:rPr>
            <w:webHidden/>
          </w:rPr>
          <w:fldChar w:fldCharType="separate"/>
        </w:r>
        <w:r w:rsidR="00A7463B">
          <w:rPr>
            <w:webHidden/>
          </w:rPr>
          <w:t>57</w:t>
        </w:r>
        <w:r w:rsidR="000A5622">
          <w:rPr>
            <w:webHidden/>
          </w:rPr>
          <w:fldChar w:fldCharType="end"/>
        </w:r>
      </w:hyperlink>
    </w:p>
    <w:p w14:paraId="65DBC612" w14:textId="77777777" w:rsidR="000A5622" w:rsidRDefault="009F6E2C">
      <w:pPr>
        <w:pStyle w:val="TableofFigures"/>
        <w:rPr>
          <w:rFonts w:asciiTheme="minorHAnsi" w:eastAsiaTheme="minorEastAsia" w:hAnsiTheme="minorHAnsi" w:cstheme="minorBidi"/>
        </w:rPr>
      </w:pPr>
      <w:hyperlink w:anchor="_Toc16671616" w:history="1">
        <w:r w:rsidR="000A5622" w:rsidRPr="000F492C">
          <w:rPr>
            <w:rStyle w:val="Hyperlink"/>
          </w:rPr>
          <w:t>Table 18</w:t>
        </w:r>
        <w:r w:rsidR="000A5622">
          <w:rPr>
            <w:rFonts w:asciiTheme="minorHAnsi" w:eastAsiaTheme="minorEastAsia" w:hAnsiTheme="minorHAnsi" w:cstheme="minorBidi"/>
          </w:rPr>
          <w:tab/>
        </w:r>
        <w:r w:rsidR="000A5622" w:rsidRPr="000F492C">
          <w:rPr>
            <w:rStyle w:val="Hyperlink"/>
            <w:rFonts w:cs="Arial"/>
            <w:snapToGrid w:val="0"/>
            <w:lang w:eastAsia="en-US"/>
          </w:rPr>
          <w:t>Studies presenting systemic and other AE outcomes for IgG case series</w:t>
        </w:r>
        <w:r w:rsidR="000A5622">
          <w:rPr>
            <w:webHidden/>
          </w:rPr>
          <w:tab/>
        </w:r>
        <w:r w:rsidR="000A5622">
          <w:rPr>
            <w:webHidden/>
          </w:rPr>
          <w:fldChar w:fldCharType="begin"/>
        </w:r>
        <w:r w:rsidR="000A5622">
          <w:rPr>
            <w:webHidden/>
          </w:rPr>
          <w:instrText xml:space="preserve"> PAGEREF _Toc16671616 \h </w:instrText>
        </w:r>
        <w:r w:rsidR="000A5622">
          <w:rPr>
            <w:webHidden/>
          </w:rPr>
        </w:r>
        <w:r w:rsidR="000A5622">
          <w:rPr>
            <w:webHidden/>
          </w:rPr>
          <w:fldChar w:fldCharType="separate"/>
        </w:r>
        <w:r w:rsidR="00A7463B">
          <w:rPr>
            <w:webHidden/>
          </w:rPr>
          <w:t>58</w:t>
        </w:r>
        <w:r w:rsidR="000A5622">
          <w:rPr>
            <w:webHidden/>
          </w:rPr>
          <w:fldChar w:fldCharType="end"/>
        </w:r>
      </w:hyperlink>
    </w:p>
    <w:p w14:paraId="3B4A998D" w14:textId="77777777" w:rsidR="000A5622" w:rsidRDefault="009F6E2C">
      <w:pPr>
        <w:pStyle w:val="TableofFigures"/>
        <w:rPr>
          <w:rFonts w:asciiTheme="minorHAnsi" w:eastAsiaTheme="minorEastAsia" w:hAnsiTheme="minorHAnsi" w:cstheme="minorBidi"/>
        </w:rPr>
      </w:pPr>
      <w:hyperlink w:anchor="_Toc16671617" w:history="1">
        <w:r w:rsidR="000A5622" w:rsidRPr="000F492C">
          <w:rPr>
            <w:rStyle w:val="Hyperlink"/>
          </w:rPr>
          <w:t>Table 19</w:t>
        </w:r>
        <w:r w:rsidR="000A5622">
          <w:rPr>
            <w:rFonts w:asciiTheme="minorHAnsi" w:eastAsiaTheme="minorEastAsia" w:hAnsiTheme="minorHAnsi" w:cstheme="minorBidi"/>
          </w:rPr>
          <w:tab/>
        </w:r>
        <w:r w:rsidR="000A5622" w:rsidRPr="000F492C">
          <w:rPr>
            <w:rStyle w:val="Hyperlink"/>
            <w:rFonts w:cs="Arial"/>
            <w:snapToGrid w:val="0"/>
            <w:lang w:eastAsia="en-US"/>
          </w:rPr>
          <w:t>Case series presenting systemic and other AE outcomes for more than one IgG group</w:t>
        </w:r>
        <w:r w:rsidR="000A5622">
          <w:rPr>
            <w:webHidden/>
          </w:rPr>
          <w:tab/>
        </w:r>
        <w:r w:rsidR="000A5622">
          <w:rPr>
            <w:webHidden/>
          </w:rPr>
          <w:fldChar w:fldCharType="begin"/>
        </w:r>
        <w:r w:rsidR="000A5622">
          <w:rPr>
            <w:webHidden/>
          </w:rPr>
          <w:instrText xml:space="preserve"> PAGEREF _Toc16671617 \h </w:instrText>
        </w:r>
        <w:r w:rsidR="000A5622">
          <w:rPr>
            <w:webHidden/>
          </w:rPr>
        </w:r>
        <w:r w:rsidR="000A5622">
          <w:rPr>
            <w:webHidden/>
          </w:rPr>
          <w:fldChar w:fldCharType="separate"/>
        </w:r>
        <w:r w:rsidR="00A7463B">
          <w:rPr>
            <w:webHidden/>
          </w:rPr>
          <w:t>60</w:t>
        </w:r>
        <w:r w:rsidR="000A5622">
          <w:rPr>
            <w:webHidden/>
          </w:rPr>
          <w:fldChar w:fldCharType="end"/>
        </w:r>
      </w:hyperlink>
    </w:p>
    <w:p w14:paraId="37F1771D" w14:textId="77777777" w:rsidR="000A5622" w:rsidRDefault="009F6E2C">
      <w:pPr>
        <w:pStyle w:val="TableofFigures"/>
        <w:rPr>
          <w:rFonts w:asciiTheme="minorHAnsi" w:eastAsiaTheme="minorEastAsia" w:hAnsiTheme="minorHAnsi" w:cstheme="minorBidi"/>
        </w:rPr>
      </w:pPr>
      <w:hyperlink w:anchor="_Toc16671618" w:history="1">
        <w:r w:rsidR="000A5622" w:rsidRPr="000F492C">
          <w:rPr>
            <w:rStyle w:val="Hyperlink"/>
          </w:rPr>
          <w:t>Table 20</w:t>
        </w:r>
        <w:r w:rsidR="000A5622">
          <w:rPr>
            <w:rFonts w:asciiTheme="minorHAnsi" w:eastAsiaTheme="minorEastAsia" w:hAnsiTheme="minorHAnsi" w:cstheme="minorBidi"/>
          </w:rPr>
          <w:tab/>
        </w:r>
        <w:r w:rsidR="000A5622" w:rsidRPr="000F492C">
          <w:rPr>
            <w:rStyle w:val="Hyperlink"/>
            <w:rFonts w:cs="Arial"/>
            <w:snapToGrid w:val="0"/>
            <w:lang w:eastAsia="en-US"/>
          </w:rPr>
          <w:t>Studies presenting TEE outcomes – Ammann et al., 2016</w:t>
        </w:r>
        <w:r w:rsidR="000A5622">
          <w:rPr>
            <w:webHidden/>
          </w:rPr>
          <w:tab/>
        </w:r>
        <w:r w:rsidR="000A5622">
          <w:rPr>
            <w:webHidden/>
          </w:rPr>
          <w:fldChar w:fldCharType="begin"/>
        </w:r>
        <w:r w:rsidR="000A5622">
          <w:rPr>
            <w:webHidden/>
          </w:rPr>
          <w:instrText xml:space="preserve"> PAGEREF _Toc16671618 \h </w:instrText>
        </w:r>
        <w:r w:rsidR="000A5622">
          <w:rPr>
            <w:webHidden/>
          </w:rPr>
        </w:r>
        <w:r w:rsidR="000A5622">
          <w:rPr>
            <w:webHidden/>
          </w:rPr>
          <w:fldChar w:fldCharType="separate"/>
        </w:r>
        <w:r w:rsidR="00A7463B">
          <w:rPr>
            <w:webHidden/>
          </w:rPr>
          <w:t>61</w:t>
        </w:r>
        <w:r w:rsidR="000A5622">
          <w:rPr>
            <w:webHidden/>
          </w:rPr>
          <w:fldChar w:fldCharType="end"/>
        </w:r>
      </w:hyperlink>
    </w:p>
    <w:p w14:paraId="4573528D" w14:textId="77777777" w:rsidR="000A5622" w:rsidRDefault="009F6E2C">
      <w:pPr>
        <w:pStyle w:val="TableofFigures"/>
        <w:rPr>
          <w:rFonts w:asciiTheme="minorHAnsi" w:eastAsiaTheme="minorEastAsia" w:hAnsiTheme="minorHAnsi" w:cstheme="minorBidi"/>
        </w:rPr>
      </w:pPr>
      <w:hyperlink w:anchor="_Toc16671619" w:history="1">
        <w:r w:rsidR="000A5622" w:rsidRPr="000F492C">
          <w:rPr>
            <w:rStyle w:val="Hyperlink"/>
          </w:rPr>
          <w:t>Table 21</w:t>
        </w:r>
        <w:r w:rsidR="000A5622">
          <w:rPr>
            <w:rFonts w:asciiTheme="minorHAnsi" w:eastAsiaTheme="minorEastAsia" w:hAnsiTheme="minorHAnsi" w:cstheme="minorBidi"/>
          </w:rPr>
          <w:tab/>
        </w:r>
        <w:r w:rsidR="000A5622" w:rsidRPr="000F492C">
          <w:rPr>
            <w:rStyle w:val="Hyperlink"/>
            <w:rFonts w:cs="Arial"/>
            <w:snapToGrid w:val="0"/>
            <w:lang w:eastAsia="en-US"/>
          </w:rPr>
          <w:t>Included studies presenting no AE data</w:t>
        </w:r>
        <w:r w:rsidR="000A5622">
          <w:rPr>
            <w:webHidden/>
          </w:rPr>
          <w:tab/>
        </w:r>
        <w:r w:rsidR="000A5622">
          <w:rPr>
            <w:webHidden/>
          </w:rPr>
          <w:fldChar w:fldCharType="begin"/>
        </w:r>
        <w:r w:rsidR="000A5622">
          <w:rPr>
            <w:webHidden/>
          </w:rPr>
          <w:instrText xml:space="preserve"> PAGEREF _Toc16671619 \h </w:instrText>
        </w:r>
        <w:r w:rsidR="000A5622">
          <w:rPr>
            <w:webHidden/>
          </w:rPr>
        </w:r>
        <w:r w:rsidR="000A5622">
          <w:rPr>
            <w:webHidden/>
          </w:rPr>
          <w:fldChar w:fldCharType="separate"/>
        </w:r>
        <w:r w:rsidR="00A7463B">
          <w:rPr>
            <w:webHidden/>
          </w:rPr>
          <w:t>62</w:t>
        </w:r>
        <w:r w:rsidR="000A5622">
          <w:rPr>
            <w:webHidden/>
          </w:rPr>
          <w:fldChar w:fldCharType="end"/>
        </w:r>
      </w:hyperlink>
    </w:p>
    <w:p w14:paraId="7432BBD8" w14:textId="77777777" w:rsidR="000A5622" w:rsidRDefault="009F6E2C">
      <w:pPr>
        <w:pStyle w:val="TableofFigures"/>
        <w:rPr>
          <w:rFonts w:asciiTheme="minorHAnsi" w:eastAsiaTheme="minorEastAsia" w:hAnsiTheme="minorHAnsi" w:cstheme="minorBidi"/>
        </w:rPr>
      </w:pPr>
      <w:hyperlink w:anchor="_Toc16671620" w:history="1">
        <w:r w:rsidR="000A5622" w:rsidRPr="000F492C">
          <w:rPr>
            <w:rStyle w:val="Hyperlink"/>
          </w:rPr>
          <w:t>Table 22</w:t>
        </w:r>
        <w:r w:rsidR="000A5622">
          <w:rPr>
            <w:rFonts w:asciiTheme="minorHAnsi" w:eastAsiaTheme="minorEastAsia" w:hAnsiTheme="minorHAnsi" w:cstheme="minorBidi"/>
          </w:rPr>
          <w:tab/>
        </w:r>
        <w:r w:rsidR="000A5622" w:rsidRPr="000F492C">
          <w:rPr>
            <w:rStyle w:val="Hyperlink"/>
          </w:rPr>
          <w:t>Baseline risk of infection in the included studies:</w:t>
        </w:r>
        <w:r w:rsidR="000A5622" w:rsidRPr="000F492C">
          <w:rPr>
            <w:rStyle w:val="Hyperlink"/>
            <w:snapToGrid w:val="0"/>
            <w:lang w:eastAsia="en-US"/>
          </w:rPr>
          <w:t xml:space="preserve"> serum IgG and history of infections</w:t>
        </w:r>
        <w:r w:rsidR="000A5622">
          <w:rPr>
            <w:webHidden/>
          </w:rPr>
          <w:tab/>
        </w:r>
        <w:r w:rsidR="000A5622">
          <w:rPr>
            <w:webHidden/>
          </w:rPr>
          <w:fldChar w:fldCharType="begin"/>
        </w:r>
        <w:r w:rsidR="000A5622">
          <w:rPr>
            <w:webHidden/>
          </w:rPr>
          <w:instrText xml:space="preserve"> PAGEREF _Toc16671620 \h </w:instrText>
        </w:r>
        <w:r w:rsidR="000A5622">
          <w:rPr>
            <w:webHidden/>
          </w:rPr>
        </w:r>
        <w:r w:rsidR="000A5622">
          <w:rPr>
            <w:webHidden/>
          </w:rPr>
          <w:fldChar w:fldCharType="separate"/>
        </w:r>
        <w:r w:rsidR="00A7463B">
          <w:rPr>
            <w:webHidden/>
          </w:rPr>
          <w:t>64</w:t>
        </w:r>
        <w:r w:rsidR="000A5622">
          <w:rPr>
            <w:webHidden/>
          </w:rPr>
          <w:fldChar w:fldCharType="end"/>
        </w:r>
      </w:hyperlink>
    </w:p>
    <w:p w14:paraId="595D3864" w14:textId="77777777" w:rsidR="000A5622" w:rsidRDefault="009F6E2C">
      <w:pPr>
        <w:pStyle w:val="TableofFigures"/>
        <w:rPr>
          <w:rFonts w:asciiTheme="minorHAnsi" w:eastAsiaTheme="minorEastAsia" w:hAnsiTheme="minorHAnsi" w:cstheme="minorBidi"/>
        </w:rPr>
      </w:pPr>
      <w:hyperlink w:anchor="_Toc16671621" w:history="1">
        <w:r w:rsidR="000A5622" w:rsidRPr="000F492C">
          <w:rPr>
            <w:rStyle w:val="Hyperlink"/>
          </w:rPr>
          <w:t>Table 23</w:t>
        </w:r>
        <w:r w:rsidR="000A5622">
          <w:rPr>
            <w:rFonts w:asciiTheme="minorHAnsi" w:eastAsiaTheme="minorEastAsia" w:hAnsiTheme="minorHAnsi" w:cstheme="minorBidi"/>
          </w:rPr>
          <w:tab/>
        </w:r>
        <w:r w:rsidR="000A5622" w:rsidRPr="000F492C">
          <w:rPr>
            <w:rStyle w:val="Hyperlink"/>
            <w:rFonts w:cs="Arial"/>
            <w:snapToGrid w:val="0"/>
            <w:lang w:eastAsia="en-US"/>
          </w:rPr>
          <w:t>Studies presenting resource use – comparative studies (RCTs and cohort studies)</w:t>
        </w:r>
        <w:r w:rsidR="000A5622">
          <w:rPr>
            <w:webHidden/>
          </w:rPr>
          <w:tab/>
        </w:r>
        <w:r w:rsidR="000A5622">
          <w:rPr>
            <w:webHidden/>
          </w:rPr>
          <w:fldChar w:fldCharType="begin"/>
        </w:r>
        <w:r w:rsidR="000A5622">
          <w:rPr>
            <w:webHidden/>
          </w:rPr>
          <w:instrText xml:space="preserve"> PAGEREF _Toc16671621 \h </w:instrText>
        </w:r>
        <w:r w:rsidR="000A5622">
          <w:rPr>
            <w:webHidden/>
          </w:rPr>
        </w:r>
        <w:r w:rsidR="000A5622">
          <w:rPr>
            <w:webHidden/>
          </w:rPr>
          <w:fldChar w:fldCharType="separate"/>
        </w:r>
        <w:r w:rsidR="00A7463B">
          <w:rPr>
            <w:webHidden/>
          </w:rPr>
          <w:t>79</w:t>
        </w:r>
        <w:r w:rsidR="000A5622">
          <w:rPr>
            <w:webHidden/>
          </w:rPr>
          <w:fldChar w:fldCharType="end"/>
        </w:r>
      </w:hyperlink>
    </w:p>
    <w:p w14:paraId="684935F5" w14:textId="77777777" w:rsidR="000A5622" w:rsidRDefault="009F6E2C">
      <w:pPr>
        <w:pStyle w:val="TableofFigures"/>
        <w:rPr>
          <w:rFonts w:asciiTheme="minorHAnsi" w:eastAsiaTheme="minorEastAsia" w:hAnsiTheme="minorHAnsi" w:cstheme="minorBidi"/>
        </w:rPr>
      </w:pPr>
      <w:hyperlink w:anchor="_Toc16671622" w:history="1">
        <w:r w:rsidR="000A5622" w:rsidRPr="000F492C">
          <w:rPr>
            <w:rStyle w:val="Hyperlink"/>
          </w:rPr>
          <w:t>Table 24</w:t>
        </w:r>
        <w:r w:rsidR="000A5622">
          <w:rPr>
            <w:rFonts w:asciiTheme="minorHAnsi" w:eastAsiaTheme="minorEastAsia" w:hAnsiTheme="minorHAnsi" w:cstheme="minorBidi"/>
          </w:rPr>
          <w:tab/>
        </w:r>
        <w:r w:rsidR="000A5622" w:rsidRPr="000F492C">
          <w:rPr>
            <w:rStyle w:val="Hyperlink"/>
            <w:rFonts w:cs="Arial"/>
            <w:snapToGrid w:val="0"/>
            <w:lang w:eastAsia="en-US"/>
          </w:rPr>
          <w:t>Studies presenting resource use – non-comparative studies</w:t>
        </w:r>
        <w:r w:rsidR="000A5622">
          <w:rPr>
            <w:webHidden/>
          </w:rPr>
          <w:tab/>
        </w:r>
        <w:r w:rsidR="000A5622">
          <w:rPr>
            <w:webHidden/>
          </w:rPr>
          <w:fldChar w:fldCharType="begin"/>
        </w:r>
        <w:r w:rsidR="000A5622">
          <w:rPr>
            <w:webHidden/>
          </w:rPr>
          <w:instrText xml:space="preserve"> PAGEREF _Toc16671622 \h </w:instrText>
        </w:r>
        <w:r w:rsidR="000A5622">
          <w:rPr>
            <w:webHidden/>
          </w:rPr>
        </w:r>
        <w:r w:rsidR="000A5622">
          <w:rPr>
            <w:webHidden/>
          </w:rPr>
          <w:fldChar w:fldCharType="separate"/>
        </w:r>
        <w:r w:rsidR="00A7463B">
          <w:rPr>
            <w:webHidden/>
          </w:rPr>
          <w:t>81</w:t>
        </w:r>
        <w:r w:rsidR="000A5622">
          <w:rPr>
            <w:webHidden/>
          </w:rPr>
          <w:fldChar w:fldCharType="end"/>
        </w:r>
      </w:hyperlink>
    </w:p>
    <w:p w14:paraId="5BA7EBD7" w14:textId="77777777" w:rsidR="000A5622" w:rsidRDefault="009F6E2C">
      <w:pPr>
        <w:pStyle w:val="TableofFigures"/>
        <w:rPr>
          <w:rFonts w:asciiTheme="minorHAnsi" w:eastAsiaTheme="minorEastAsia" w:hAnsiTheme="minorHAnsi" w:cstheme="minorBidi"/>
        </w:rPr>
      </w:pPr>
      <w:hyperlink w:anchor="_Toc16671623" w:history="1">
        <w:r w:rsidR="000A5622" w:rsidRPr="000F492C">
          <w:rPr>
            <w:rStyle w:val="Hyperlink"/>
          </w:rPr>
          <w:t>Table 25</w:t>
        </w:r>
        <w:r w:rsidR="000A5622">
          <w:rPr>
            <w:rFonts w:asciiTheme="minorHAnsi" w:eastAsiaTheme="minorEastAsia" w:hAnsiTheme="minorHAnsi" w:cstheme="minorBidi"/>
          </w:rPr>
          <w:tab/>
        </w:r>
        <w:r w:rsidR="000A5622" w:rsidRPr="000F492C">
          <w:rPr>
            <w:rStyle w:val="Hyperlink"/>
            <w:rFonts w:cs="Arial"/>
            <w:snapToGrid w:val="0"/>
            <w:lang w:eastAsia="en-US"/>
          </w:rPr>
          <w:t>Studies presenting survival and mortality</w:t>
        </w:r>
        <w:r w:rsidR="000A5622">
          <w:rPr>
            <w:webHidden/>
          </w:rPr>
          <w:tab/>
        </w:r>
        <w:r w:rsidR="000A5622">
          <w:rPr>
            <w:webHidden/>
          </w:rPr>
          <w:fldChar w:fldCharType="begin"/>
        </w:r>
        <w:r w:rsidR="000A5622">
          <w:rPr>
            <w:webHidden/>
          </w:rPr>
          <w:instrText xml:space="preserve"> PAGEREF _Toc16671623 \h </w:instrText>
        </w:r>
        <w:r w:rsidR="000A5622">
          <w:rPr>
            <w:webHidden/>
          </w:rPr>
        </w:r>
        <w:r w:rsidR="000A5622">
          <w:rPr>
            <w:webHidden/>
          </w:rPr>
          <w:fldChar w:fldCharType="separate"/>
        </w:r>
        <w:r w:rsidR="00A7463B">
          <w:rPr>
            <w:webHidden/>
          </w:rPr>
          <w:t>83</w:t>
        </w:r>
        <w:r w:rsidR="000A5622">
          <w:rPr>
            <w:webHidden/>
          </w:rPr>
          <w:fldChar w:fldCharType="end"/>
        </w:r>
      </w:hyperlink>
    </w:p>
    <w:p w14:paraId="540F9043" w14:textId="77777777" w:rsidR="000A5622" w:rsidRDefault="009F6E2C">
      <w:pPr>
        <w:pStyle w:val="TableofFigures"/>
        <w:rPr>
          <w:rFonts w:asciiTheme="minorHAnsi" w:eastAsiaTheme="minorEastAsia" w:hAnsiTheme="minorHAnsi" w:cstheme="minorBidi"/>
        </w:rPr>
      </w:pPr>
      <w:hyperlink w:anchor="_Toc16671624" w:history="1">
        <w:r w:rsidR="000A5622" w:rsidRPr="000F492C">
          <w:rPr>
            <w:rStyle w:val="Hyperlink"/>
          </w:rPr>
          <w:t>Table 26</w:t>
        </w:r>
        <w:r w:rsidR="000A5622">
          <w:rPr>
            <w:rFonts w:asciiTheme="minorHAnsi" w:eastAsiaTheme="minorEastAsia" w:hAnsiTheme="minorHAnsi" w:cstheme="minorBidi"/>
          </w:rPr>
          <w:tab/>
        </w:r>
        <w:r w:rsidR="000A5622" w:rsidRPr="000F492C">
          <w:rPr>
            <w:rStyle w:val="Hyperlink"/>
            <w:rFonts w:cs="Arial"/>
            <w:snapToGrid w:val="0"/>
            <w:lang w:eastAsia="en-US"/>
          </w:rPr>
          <w:t>Transplant-related outcomes – Sullivan et al., 1990 (IVIg vs No IVIg)</w:t>
        </w:r>
        <w:r w:rsidR="000A5622">
          <w:rPr>
            <w:webHidden/>
          </w:rPr>
          <w:tab/>
        </w:r>
        <w:r w:rsidR="000A5622">
          <w:rPr>
            <w:webHidden/>
          </w:rPr>
          <w:fldChar w:fldCharType="begin"/>
        </w:r>
        <w:r w:rsidR="000A5622">
          <w:rPr>
            <w:webHidden/>
          </w:rPr>
          <w:instrText xml:space="preserve"> PAGEREF _Toc16671624 \h </w:instrText>
        </w:r>
        <w:r w:rsidR="000A5622">
          <w:rPr>
            <w:webHidden/>
          </w:rPr>
        </w:r>
        <w:r w:rsidR="000A5622">
          <w:rPr>
            <w:webHidden/>
          </w:rPr>
          <w:fldChar w:fldCharType="separate"/>
        </w:r>
        <w:r w:rsidR="00A7463B">
          <w:rPr>
            <w:webHidden/>
          </w:rPr>
          <w:t>85</w:t>
        </w:r>
        <w:r w:rsidR="000A5622">
          <w:rPr>
            <w:webHidden/>
          </w:rPr>
          <w:fldChar w:fldCharType="end"/>
        </w:r>
      </w:hyperlink>
    </w:p>
    <w:p w14:paraId="741E4F86" w14:textId="77777777" w:rsidR="000A5622" w:rsidRDefault="009F6E2C">
      <w:pPr>
        <w:pStyle w:val="TableofFigures"/>
        <w:rPr>
          <w:rFonts w:asciiTheme="minorHAnsi" w:eastAsiaTheme="minorEastAsia" w:hAnsiTheme="minorHAnsi" w:cstheme="minorBidi"/>
        </w:rPr>
      </w:pPr>
      <w:hyperlink w:anchor="_Toc16671625" w:history="1">
        <w:r w:rsidR="000A5622" w:rsidRPr="000F492C">
          <w:rPr>
            <w:rStyle w:val="Hyperlink"/>
          </w:rPr>
          <w:t>Table 27</w:t>
        </w:r>
        <w:r w:rsidR="000A5622">
          <w:rPr>
            <w:rFonts w:asciiTheme="minorHAnsi" w:eastAsiaTheme="minorEastAsia" w:hAnsiTheme="minorHAnsi" w:cstheme="minorBidi"/>
          </w:rPr>
          <w:tab/>
        </w:r>
        <w:r w:rsidR="000A5622" w:rsidRPr="000F492C">
          <w:rPr>
            <w:rStyle w:val="Hyperlink"/>
            <w:rFonts w:cs="Arial"/>
            <w:snapToGrid w:val="0"/>
            <w:lang w:eastAsia="en-US"/>
          </w:rPr>
          <w:t>Transplant-related outcomes – Sundin et al., 2012 (IVIg vs SCIg)</w:t>
        </w:r>
        <w:r w:rsidR="000A5622">
          <w:rPr>
            <w:webHidden/>
          </w:rPr>
          <w:tab/>
        </w:r>
        <w:r w:rsidR="000A5622">
          <w:rPr>
            <w:webHidden/>
          </w:rPr>
          <w:fldChar w:fldCharType="begin"/>
        </w:r>
        <w:r w:rsidR="000A5622">
          <w:rPr>
            <w:webHidden/>
          </w:rPr>
          <w:instrText xml:space="preserve"> PAGEREF _Toc16671625 \h </w:instrText>
        </w:r>
        <w:r w:rsidR="000A5622">
          <w:rPr>
            <w:webHidden/>
          </w:rPr>
        </w:r>
        <w:r w:rsidR="000A5622">
          <w:rPr>
            <w:webHidden/>
          </w:rPr>
          <w:fldChar w:fldCharType="separate"/>
        </w:r>
        <w:r w:rsidR="00A7463B">
          <w:rPr>
            <w:webHidden/>
          </w:rPr>
          <w:t>86</w:t>
        </w:r>
        <w:r w:rsidR="000A5622">
          <w:rPr>
            <w:webHidden/>
          </w:rPr>
          <w:fldChar w:fldCharType="end"/>
        </w:r>
      </w:hyperlink>
    </w:p>
    <w:p w14:paraId="49DDCB2E" w14:textId="77777777" w:rsidR="000A5622" w:rsidRDefault="009F6E2C">
      <w:pPr>
        <w:pStyle w:val="TableofFigures"/>
        <w:rPr>
          <w:rFonts w:asciiTheme="minorHAnsi" w:eastAsiaTheme="minorEastAsia" w:hAnsiTheme="minorHAnsi" w:cstheme="minorBidi"/>
        </w:rPr>
      </w:pPr>
      <w:hyperlink w:anchor="_Toc16671626" w:history="1">
        <w:r w:rsidR="000A5622" w:rsidRPr="000F492C">
          <w:rPr>
            <w:rStyle w:val="Hyperlink"/>
          </w:rPr>
          <w:t>Table 28</w:t>
        </w:r>
        <w:r w:rsidR="000A5622">
          <w:rPr>
            <w:rFonts w:asciiTheme="minorHAnsi" w:eastAsiaTheme="minorEastAsia" w:hAnsiTheme="minorHAnsi" w:cstheme="minorBidi"/>
          </w:rPr>
          <w:tab/>
        </w:r>
        <w:r w:rsidR="000A5622" w:rsidRPr="000F492C">
          <w:rPr>
            <w:rStyle w:val="Hyperlink"/>
          </w:rPr>
          <w:t>Utility weights based on AQOL-6D survey</w:t>
        </w:r>
        <w:r w:rsidR="000A5622">
          <w:rPr>
            <w:webHidden/>
          </w:rPr>
          <w:tab/>
        </w:r>
        <w:r w:rsidR="000A5622">
          <w:rPr>
            <w:webHidden/>
          </w:rPr>
          <w:fldChar w:fldCharType="begin"/>
        </w:r>
        <w:r w:rsidR="000A5622">
          <w:rPr>
            <w:webHidden/>
          </w:rPr>
          <w:instrText xml:space="preserve"> PAGEREF _Toc16671626 \h </w:instrText>
        </w:r>
        <w:r w:rsidR="000A5622">
          <w:rPr>
            <w:webHidden/>
          </w:rPr>
        </w:r>
        <w:r w:rsidR="000A5622">
          <w:rPr>
            <w:webHidden/>
          </w:rPr>
          <w:fldChar w:fldCharType="separate"/>
        </w:r>
        <w:r w:rsidR="00A7463B">
          <w:rPr>
            <w:webHidden/>
          </w:rPr>
          <w:t>87</w:t>
        </w:r>
        <w:r w:rsidR="000A5622">
          <w:rPr>
            <w:webHidden/>
          </w:rPr>
          <w:fldChar w:fldCharType="end"/>
        </w:r>
      </w:hyperlink>
    </w:p>
    <w:p w14:paraId="5CC87528" w14:textId="77777777" w:rsidR="000A5622" w:rsidRDefault="009F6E2C">
      <w:pPr>
        <w:pStyle w:val="TableofFigures"/>
        <w:rPr>
          <w:rFonts w:asciiTheme="minorHAnsi" w:eastAsiaTheme="minorEastAsia" w:hAnsiTheme="minorHAnsi" w:cstheme="minorBidi"/>
        </w:rPr>
      </w:pPr>
      <w:hyperlink w:anchor="_Toc16671627" w:history="1">
        <w:r w:rsidR="000A5622" w:rsidRPr="000F492C">
          <w:rPr>
            <w:rStyle w:val="Hyperlink"/>
          </w:rPr>
          <w:t>Table 29</w:t>
        </w:r>
        <w:r w:rsidR="000A5622">
          <w:rPr>
            <w:rFonts w:asciiTheme="minorHAnsi" w:eastAsiaTheme="minorEastAsia" w:hAnsiTheme="minorHAnsi" w:cstheme="minorBidi"/>
          </w:rPr>
          <w:tab/>
        </w:r>
        <w:r w:rsidR="000A5622" w:rsidRPr="000F492C">
          <w:rPr>
            <w:rStyle w:val="Hyperlink"/>
            <w:rFonts w:cs="Arial"/>
            <w:snapToGrid w:val="0"/>
            <w:lang w:eastAsia="en-US"/>
          </w:rPr>
          <w:t>Balance of clinical benefits and harms of IgG with antibiotics as required, relative to No IgG with antibiotics as required (GRADE assessment)</w:t>
        </w:r>
        <w:r w:rsidR="000A5622">
          <w:rPr>
            <w:webHidden/>
          </w:rPr>
          <w:tab/>
        </w:r>
        <w:r w:rsidR="000A5622">
          <w:rPr>
            <w:webHidden/>
          </w:rPr>
          <w:fldChar w:fldCharType="begin"/>
        </w:r>
        <w:r w:rsidR="000A5622">
          <w:rPr>
            <w:webHidden/>
          </w:rPr>
          <w:instrText xml:space="preserve"> PAGEREF _Toc16671627 \h </w:instrText>
        </w:r>
        <w:r w:rsidR="000A5622">
          <w:rPr>
            <w:webHidden/>
          </w:rPr>
        </w:r>
        <w:r w:rsidR="000A5622">
          <w:rPr>
            <w:webHidden/>
          </w:rPr>
          <w:fldChar w:fldCharType="separate"/>
        </w:r>
        <w:r w:rsidR="00A7463B">
          <w:rPr>
            <w:webHidden/>
          </w:rPr>
          <w:t>91</w:t>
        </w:r>
        <w:r w:rsidR="000A5622">
          <w:rPr>
            <w:webHidden/>
          </w:rPr>
          <w:fldChar w:fldCharType="end"/>
        </w:r>
      </w:hyperlink>
    </w:p>
    <w:p w14:paraId="11436A62" w14:textId="77777777" w:rsidR="000A5622" w:rsidRDefault="009F6E2C">
      <w:pPr>
        <w:pStyle w:val="TableofFigures"/>
        <w:rPr>
          <w:rFonts w:asciiTheme="minorHAnsi" w:eastAsiaTheme="minorEastAsia" w:hAnsiTheme="minorHAnsi" w:cstheme="minorBidi"/>
        </w:rPr>
      </w:pPr>
      <w:hyperlink w:anchor="_Toc16671628" w:history="1">
        <w:r w:rsidR="000A5622" w:rsidRPr="000F492C">
          <w:rPr>
            <w:rStyle w:val="Hyperlink"/>
          </w:rPr>
          <w:t>Table 30</w:t>
        </w:r>
        <w:r w:rsidR="000A5622">
          <w:rPr>
            <w:rFonts w:asciiTheme="minorHAnsi" w:eastAsiaTheme="minorEastAsia" w:hAnsiTheme="minorHAnsi" w:cstheme="minorBidi"/>
          </w:rPr>
          <w:tab/>
        </w:r>
        <w:r w:rsidR="000A5622" w:rsidRPr="000F492C">
          <w:rPr>
            <w:rStyle w:val="Hyperlink"/>
          </w:rPr>
          <w:t>A comparison of the demographics of the Australian population that receives Ig for acquired hypogammaglobulinaemia to those in the clinical evidence</w:t>
        </w:r>
        <w:r w:rsidR="000A5622">
          <w:rPr>
            <w:webHidden/>
          </w:rPr>
          <w:tab/>
        </w:r>
        <w:r w:rsidR="000A5622">
          <w:rPr>
            <w:webHidden/>
          </w:rPr>
          <w:fldChar w:fldCharType="begin"/>
        </w:r>
        <w:r w:rsidR="000A5622">
          <w:rPr>
            <w:webHidden/>
          </w:rPr>
          <w:instrText xml:space="preserve"> PAGEREF _Toc16671628 \h </w:instrText>
        </w:r>
        <w:r w:rsidR="000A5622">
          <w:rPr>
            <w:webHidden/>
          </w:rPr>
        </w:r>
        <w:r w:rsidR="000A5622">
          <w:rPr>
            <w:webHidden/>
          </w:rPr>
          <w:fldChar w:fldCharType="separate"/>
        </w:r>
        <w:r w:rsidR="00A7463B">
          <w:rPr>
            <w:webHidden/>
          </w:rPr>
          <w:t>94</w:t>
        </w:r>
        <w:r w:rsidR="000A5622">
          <w:rPr>
            <w:webHidden/>
          </w:rPr>
          <w:fldChar w:fldCharType="end"/>
        </w:r>
      </w:hyperlink>
    </w:p>
    <w:p w14:paraId="6254E5D3" w14:textId="77777777" w:rsidR="000A5622" w:rsidRDefault="009F6E2C">
      <w:pPr>
        <w:pStyle w:val="TableofFigures"/>
        <w:rPr>
          <w:rFonts w:asciiTheme="minorHAnsi" w:eastAsiaTheme="minorEastAsia" w:hAnsiTheme="minorHAnsi" w:cstheme="minorBidi"/>
        </w:rPr>
      </w:pPr>
      <w:hyperlink w:anchor="_Toc16671629" w:history="1">
        <w:r w:rsidR="000A5622" w:rsidRPr="000F492C">
          <w:rPr>
            <w:rStyle w:val="Hyperlink"/>
          </w:rPr>
          <w:t>Table 31</w:t>
        </w:r>
        <w:r w:rsidR="000A5622">
          <w:rPr>
            <w:rFonts w:asciiTheme="minorHAnsi" w:eastAsiaTheme="minorEastAsia" w:hAnsiTheme="minorHAnsi" w:cstheme="minorBidi"/>
          </w:rPr>
          <w:tab/>
        </w:r>
        <w:r w:rsidR="000A5622" w:rsidRPr="000F492C">
          <w:rPr>
            <w:rStyle w:val="Hyperlink"/>
          </w:rPr>
          <w:t>Analysis of prophylactic antibiotic use and infection outcomes from Duraisingham et al. (2014)</w:t>
        </w:r>
        <w:r w:rsidR="000A5622">
          <w:rPr>
            <w:webHidden/>
          </w:rPr>
          <w:tab/>
        </w:r>
        <w:r w:rsidR="000A5622">
          <w:rPr>
            <w:webHidden/>
          </w:rPr>
          <w:fldChar w:fldCharType="begin"/>
        </w:r>
        <w:r w:rsidR="000A5622">
          <w:rPr>
            <w:webHidden/>
          </w:rPr>
          <w:instrText xml:space="preserve"> PAGEREF _Toc16671629 \h </w:instrText>
        </w:r>
        <w:r w:rsidR="000A5622">
          <w:rPr>
            <w:webHidden/>
          </w:rPr>
        </w:r>
        <w:r w:rsidR="000A5622">
          <w:rPr>
            <w:webHidden/>
          </w:rPr>
          <w:fldChar w:fldCharType="separate"/>
        </w:r>
        <w:r w:rsidR="00A7463B">
          <w:rPr>
            <w:webHidden/>
          </w:rPr>
          <w:t>96</w:t>
        </w:r>
        <w:r w:rsidR="000A5622">
          <w:rPr>
            <w:webHidden/>
          </w:rPr>
          <w:fldChar w:fldCharType="end"/>
        </w:r>
      </w:hyperlink>
    </w:p>
    <w:p w14:paraId="6E01C0A4" w14:textId="77777777" w:rsidR="000A5622" w:rsidRDefault="009F6E2C">
      <w:pPr>
        <w:pStyle w:val="TableofFigures"/>
        <w:rPr>
          <w:rFonts w:asciiTheme="minorHAnsi" w:eastAsiaTheme="minorEastAsia" w:hAnsiTheme="minorHAnsi" w:cstheme="minorBidi"/>
        </w:rPr>
      </w:pPr>
      <w:hyperlink w:anchor="_Toc16671630" w:history="1">
        <w:r w:rsidR="000A5622" w:rsidRPr="000F492C">
          <w:rPr>
            <w:rStyle w:val="Hyperlink"/>
          </w:rPr>
          <w:t>Table 32</w:t>
        </w:r>
        <w:r w:rsidR="000A5622">
          <w:rPr>
            <w:rFonts w:asciiTheme="minorHAnsi" w:eastAsiaTheme="minorEastAsia" w:hAnsiTheme="minorHAnsi" w:cstheme="minorBidi"/>
          </w:rPr>
          <w:tab/>
        </w:r>
        <w:r w:rsidR="000A5622" w:rsidRPr="000F492C">
          <w:rPr>
            <w:rStyle w:val="Hyperlink"/>
          </w:rPr>
          <w:t>A comparison of the doses dispensed in the Australian population that receives Ig for acquired hypogammaglobulinaemia to that used in the clinical evidence</w:t>
        </w:r>
        <w:r w:rsidR="000A5622">
          <w:rPr>
            <w:webHidden/>
          </w:rPr>
          <w:tab/>
        </w:r>
        <w:r w:rsidR="000A5622">
          <w:rPr>
            <w:webHidden/>
          </w:rPr>
          <w:fldChar w:fldCharType="begin"/>
        </w:r>
        <w:r w:rsidR="000A5622">
          <w:rPr>
            <w:webHidden/>
          </w:rPr>
          <w:instrText xml:space="preserve"> PAGEREF _Toc16671630 \h </w:instrText>
        </w:r>
        <w:r w:rsidR="000A5622">
          <w:rPr>
            <w:webHidden/>
          </w:rPr>
        </w:r>
        <w:r w:rsidR="000A5622">
          <w:rPr>
            <w:webHidden/>
          </w:rPr>
          <w:fldChar w:fldCharType="separate"/>
        </w:r>
        <w:r w:rsidR="00A7463B">
          <w:rPr>
            <w:webHidden/>
          </w:rPr>
          <w:t>97</w:t>
        </w:r>
        <w:r w:rsidR="000A5622">
          <w:rPr>
            <w:webHidden/>
          </w:rPr>
          <w:fldChar w:fldCharType="end"/>
        </w:r>
      </w:hyperlink>
    </w:p>
    <w:p w14:paraId="5448507C" w14:textId="77777777" w:rsidR="000A5622" w:rsidRDefault="009F6E2C">
      <w:pPr>
        <w:pStyle w:val="TableofFigures"/>
        <w:rPr>
          <w:rFonts w:asciiTheme="minorHAnsi" w:eastAsiaTheme="minorEastAsia" w:hAnsiTheme="minorHAnsi" w:cstheme="minorBidi"/>
        </w:rPr>
      </w:pPr>
      <w:hyperlink w:anchor="_Toc16671631" w:history="1">
        <w:r w:rsidR="000A5622" w:rsidRPr="000F492C">
          <w:rPr>
            <w:rStyle w:val="Hyperlink"/>
          </w:rPr>
          <w:t>Table 33</w:t>
        </w:r>
        <w:r w:rsidR="000A5622">
          <w:rPr>
            <w:rFonts w:asciiTheme="minorHAnsi" w:eastAsiaTheme="minorEastAsia" w:hAnsiTheme="minorHAnsi" w:cstheme="minorBidi"/>
          </w:rPr>
          <w:tab/>
        </w:r>
        <w:r w:rsidR="000A5622" w:rsidRPr="000F492C">
          <w:rPr>
            <w:rStyle w:val="Hyperlink"/>
          </w:rPr>
          <w:t>Utility weights used in the relevant economic literature</w:t>
        </w:r>
        <w:r w:rsidR="000A5622">
          <w:rPr>
            <w:webHidden/>
          </w:rPr>
          <w:tab/>
        </w:r>
        <w:r w:rsidR="000A5622">
          <w:rPr>
            <w:webHidden/>
          </w:rPr>
          <w:fldChar w:fldCharType="begin"/>
        </w:r>
        <w:r w:rsidR="000A5622">
          <w:rPr>
            <w:webHidden/>
          </w:rPr>
          <w:instrText xml:space="preserve"> PAGEREF _Toc16671631 \h </w:instrText>
        </w:r>
        <w:r w:rsidR="000A5622">
          <w:rPr>
            <w:webHidden/>
          </w:rPr>
        </w:r>
        <w:r w:rsidR="000A5622">
          <w:rPr>
            <w:webHidden/>
          </w:rPr>
          <w:fldChar w:fldCharType="separate"/>
        </w:r>
        <w:r w:rsidR="00A7463B">
          <w:rPr>
            <w:webHidden/>
          </w:rPr>
          <w:t>102</w:t>
        </w:r>
        <w:r w:rsidR="000A5622">
          <w:rPr>
            <w:webHidden/>
          </w:rPr>
          <w:fldChar w:fldCharType="end"/>
        </w:r>
      </w:hyperlink>
    </w:p>
    <w:p w14:paraId="75447717" w14:textId="77777777" w:rsidR="000A5622" w:rsidRDefault="009F6E2C">
      <w:pPr>
        <w:pStyle w:val="TableofFigures"/>
        <w:rPr>
          <w:rFonts w:asciiTheme="minorHAnsi" w:eastAsiaTheme="minorEastAsia" w:hAnsiTheme="minorHAnsi" w:cstheme="minorBidi"/>
        </w:rPr>
      </w:pPr>
      <w:hyperlink w:anchor="_Toc16671632" w:history="1">
        <w:r w:rsidR="000A5622" w:rsidRPr="000F492C">
          <w:rPr>
            <w:rStyle w:val="Hyperlink"/>
          </w:rPr>
          <w:t>Table 34</w:t>
        </w:r>
        <w:r w:rsidR="000A5622">
          <w:rPr>
            <w:rFonts w:asciiTheme="minorHAnsi" w:eastAsiaTheme="minorEastAsia" w:hAnsiTheme="minorHAnsi" w:cstheme="minorBidi"/>
          </w:rPr>
          <w:tab/>
        </w:r>
        <w:r w:rsidR="000A5622" w:rsidRPr="000F492C">
          <w:rPr>
            <w:rStyle w:val="Hyperlink"/>
          </w:rPr>
          <w:t>Utility weights used in the economic evaluation</w:t>
        </w:r>
        <w:r w:rsidR="000A5622">
          <w:rPr>
            <w:webHidden/>
          </w:rPr>
          <w:tab/>
        </w:r>
        <w:r w:rsidR="000A5622">
          <w:rPr>
            <w:webHidden/>
          </w:rPr>
          <w:fldChar w:fldCharType="begin"/>
        </w:r>
        <w:r w:rsidR="000A5622">
          <w:rPr>
            <w:webHidden/>
          </w:rPr>
          <w:instrText xml:space="preserve"> PAGEREF _Toc16671632 \h </w:instrText>
        </w:r>
        <w:r w:rsidR="000A5622">
          <w:rPr>
            <w:webHidden/>
          </w:rPr>
        </w:r>
        <w:r w:rsidR="000A5622">
          <w:rPr>
            <w:webHidden/>
          </w:rPr>
          <w:fldChar w:fldCharType="separate"/>
        </w:r>
        <w:r w:rsidR="00A7463B">
          <w:rPr>
            <w:webHidden/>
          </w:rPr>
          <w:t>103</w:t>
        </w:r>
        <w:r w:rsidR="000A5622">
          <w:rPr>
            <w:webHidden/>
          </w:rPr>
          <w:fldChar w:fldCharType="end"/>
        </w:r>
      </w:hyperlink>
    </w:p>
    <w:p w14:paraId="5E99A996" w14:textId="77777777" w:rsidR="000A5622" w:rsidRDefault="009F6E2C">
      <w:pPr>
        <w:pStyle w:val="TableofFigures"/>
        <w:rPr>
          <w:rFonts w:asciiTheme="minorHAnsi" w:eastAsiaTheme="minorEastAsia" w:hAnsiTheme="minorHAnsi" w:cstheme="minorBidi"/>
        </w:rPr>
      </w:pPr>
      <w:hyperlink w:anchor="_Toc16671633" w:history="1">
        <w:r w:rsidR="000A5622" w:rsidRPr="000F492C">
          <w:rPr>
            <w:rStyle w:val="Hyperlink"/>
          </w:rPr>
          <w:t>Table 35</w:t>
        </w:r>
        <w:r w:rsidR="000A5622">
          <w:rPr>
            <w:rFonts w:asciiTheme="minorHAnsi" w:eastAsiaTheme="minorEastAsia" w:hAnsiTheme="minorHAnsi" w:cstheme="minorBidi"/>
          </w:rPr>
          <w:tab/>
        </w:r>
        <w:r w:rsidR="000A5622" w:rsidRPr="000F492C">
          <w:rPr>
            <w:rStyle w:val="Hyperlink"/>
          </w:rPr>
          <w:t>Summary of results of pre-modelling studies and their uses in the economic evaluation</w:t>
        </w:r>
        <w:r w:rsidR="000A5622">
          <w:rPr>
            <w:webHidden/>
          </w:rPr>
          <w:tab/>
        </w:r>
        <w:r w:rsidR="000A5622">
          <w:rPr>
            <w:webHidden/>
          </w:rPr>
          <w:fldChar w:fldCharType="begin"/>
        </w:r>
        <w:r w:rsidR="000A5622">
          <w:rPr>
            <w:webHidden/>
          </w:rPr>
          <w:instrText xml:space="preserve"> PAGEREF _Toc16671633 \h </w:instrText>
        </w:r>
        <w:r w:rsidR="000A5622">
          <w:rPr>
            <w:webHidden/>
          </w:rPr>
        </w:r>
        <w:r w:rsidR="000A5622">
          <w:rPr>
            <w:webHidden/>
          </w:rPr>
          <w:fldChar w:fldCharType="separate"/>
        </w:r>
        <w:r w:rsidR="00A7463B">
          <w:rPr>
            <w:webHidden/>
          </w:rPr>
          <w:t>104</w:t>
        </w:r>
        <w:r w:rsidR="000A5622">
          <w:rPr>
            <w:webHidden/>
          </w:rPr>
          <w:fldChar w:fldCharType="end"/>
        </w:r>
      </w:hyperlink>
    </w:p>
    <w:p w14:paraId="480BBFA0" w14:textId="77777777" w:rsidR="000A5622" w:rsidRDefault="009F6E2C">
      <w:pPr>
        <w:pStyle w:val="TableofFigures"/>
        <w:rPr>
          <w:rFonts w:asciiTheme="minorHAnsi" w:eastAsiaTheme="minorEastAsia" w:hAnsiTheme="minorHAnsi" w:cstheme="minorBidi"/>
        </w:rPr>
      </w:pPr>
      <w:hyperlink w:anchor="_Toc16671634" w:history="1">
        <w:r w:rsidR="000A5622" w:rsidRPr="000F492C">
          <w:rPr>
            <w:rStyle w:val="Hyperlink"/>
          </w:rPr>
          <w:t>Table 36</w:t>
        </w:r>
        <w:r w:rsidR="000A5622">
          <w:rPr>
            <w:rFonts w:asciiTheme="minorHAnsi" w:eastAsiaTheme="minorEastAsia" w:hAnsiTheme="minorHAnsi" w:cstheme="minorBidi"/>
          </w:rPr>
          <w:tab/>
        </w:r>
        <w:r w:rsidR="000A5622" w:rsidRPr="000F492C">
          <w:rPr>
            <w:rStyle w:val="Hyperlink"/>
          </w:rPr>
          <w:t>Summary of the economic evaluation</w:t>
        </w:r>
        <w:r w:rsidR="000A5622">
          <w:rPr>
            <w:webHidden/>
          </w:rPr>
          <w:tab/>
        </w:r>
        <w:r w:rsidR="000A5622">
          <w:rPr>
            <w:webHidden/>
          </w:rPr>
          <w:fldChar w:fldCharType="begin"/>
        </w:r>
        <w:r w:rsidR="000A5622">
          <w:rPr>
            <w:webHidden/>
          </w:rPr>
          <w:instrText xml:space="preserve"> PAGEREF _Toc16671634 \h </w:instrText>
        </w:r>
        <w:r w:rsidR="000A5622">
          <w:rPr>
            <w:webHidden/>
          </w:rPr>
        </w:r>
        <w:r w:rsidR="000A5622">
          <w:rPr>
            <w:webHidden/>
          </w:rPr>
          <w:fldChar w:fldCharType="separate"/>
        </w:r>
        <w:r w:rsidR="00A7463B">
          <w:rPr>
            <w:webHidden/>
          </w:rPr>
          <w:t>108</w:t>
        </w:r>
        <w:r w:rsidR="000A5622">
          <w:rPr>
            <w:webHidden/>
          </w:rPr>
          <w:fldChar w:fldCharType="end"/>
        </w:r>
      </w:hyperlink>
    </w:p>
    <w:p w14:paraId="05C338B1" w14:textId="77777777" w:rsidR="000A5622" w:rsidRDefault="009F6E2C">
      <w:pPr>
        <w:pStyle w:val="TableofFigures"/>
        <w:rPr>
          <w:rFonts w:asciiTheme="minorHAnsi" w:eastAsiaTheme="minorEastAsia" w:hAnsiTheme="minorHAnsi" w:cstheme="minorBidi"/>
        </w:rPr>
      </w:pPr>
      <w:hyperlink w:anchor="_Toc16671635" w:history="1">
        <w:r w:rsidR="000A5622" w:rsidRPr="000F492C">
          <w:rPr>
            <w:rStyle w:val="Hyperlink"/>
          </w:rPr>
          <w:t>Table 37</w:t>
        </w:r>
        <w:r w:rsidR="000A5622">
          <w:rPr>
            <w:rFonts w:asciiTheme="minorHAnsi" w:eastAsiaTheme="minorEastAsia" w:hAnsiTheme="minorHAnsi" w:cstheme="minorBidi"/>
          </w:rPr>
          <w:tab/>
        </w:r>
        <w:r w:rsidR="000A5622" w:rsidRPr="000F492C">
          <w:rPr>
            <w:rStyle w:val="Hyperlink"/>
          </w:rPr>
          <w:t>Transition probability matrix used in Windegger et al. (2019)</w:t>
        </w:r>
        <w:r w:rsidR="000A5622">
          <w:rPr>
            <w:webHidden/>
          </w:rPr>
          <w:tab/>
        </w:r>
        <w:r w:rsidR="000A5622">
          <w:rPr>
            <w:webHidden/>
          </w:rPr>
          <w:fldChar w:fldCharType="begin"/>
        </w:r>
        <w:r w:rsidR="000A5622">
          <w:rPr>
            <w:webHidden/>
          </w:rPr>
          <w:instrText xml:space="preserve"> PAGEREF _Toc16671635 \h </w:instrText>
        </w:r>
        <w:r w:rsidR="000A5622">
          <w:rPr>
            <w:webHidden/>
          </w:rPr>
        </w:r>
        <w:r w:rsidR="000A5622">
          <w:rPr>
            <w:webHidden/>
          </w:rPr>
          <w:fldChar w:fldCharType="separate"/>
        </w:r>
        <w:r w:rsidR="00A7463B">
          <w:rPr>
            <w:webHidden/>
          </w:rPr>
          <w:t>110</w:t>
        </w:r>
        <w:r w:rsidR="000A5622">
          <w:rPr>
            <w:webHidden/>
          </w:rPr>
          <w:fldChar w:fldCharType="end"/>
        </w:r>
      </w:hyperlink>
    </w:p>
    <w:p w14:paraId="2D62906E" w14:textId="77777777" w:rsidR="000A5622" w:rsidRDefault="009F6E2C">
      <w:pPr>
        <w:pStyle w:val="TableofFigures"/>
        <w:rPr>
          <w:rFonts w:asciiTheme="minorHAnsi" w:eastAsiaTheme="minorEastAsia" w:hAnsiTheme="minorHAnsi" w:cstheme="minorBidi"/>
        </w:rPr>
      </w:pPr>
      <w:hyperlink w:anchor="_Toc16671636" w:history="1">
        <w:r w:rsidR="000A5622" w:rsidRPr="000F492C">
          <w:rPr>
            <w:rStyle w:val="Hyperlink"/>
          </w:rPr>
          <w:t>Table 38</w:t>
        </w:r>
        <w:r w:rsidR="000A5622">
          <w:rPr>
            <w:rFonts w:asciiTheme="minorHAnsi" w:eastAsiaTheme="minorEastAsia" w:hAnsiTheme="minorHAnsi" w:cstheme="minorBidi"/>
          </w:rPr>
          <w:tab/>
        </w:r>
        <w:r w:rsidR="000A5622" w:rsidRPr="000F492C">
          <w:rPr>
            <w:rStyle w:val="Hyperlink"/>
          </w:rPr>
          <w:t>Incidence of non-serious to serious infections</w:t>
        </w:r>
        <w:r w:rsidR="000A5622">
          <w:rPr>
            <w:webHidden/>
          </w:rPr>
          <w:tab/>
        </w:r>
        <w:r w:rsidR="000A5622">
          <w:rPr>
            <w:webHidden/>
          </w:rPr>
          <w:fldChar w:fldCharType="begin"/>
        </w:r>
        <w:r w:rsidR="000A5622">
          <w:rPr>
            <w:webHidden/>
          </w:rPr>
          <w:instrText xml:space="preserve"> PAGEREF _Toc16671636 \h </w:instrText>
        </w:r>
        <w:r w:rsidR="000A5622">
          <w:rPr>
            <w:webHidden/>
          </w:rPr>
        </w:r>
        <w:r w:rsidR="000A5622">
          <w:rPr>
            <w:webHidden/>
          </w:rPr>
          <w:fldChar w:fldCharType="separate"/>
        </w:r>
        <w:r w:rsidR="00A7463B">
          <w:rPr>
            <w:webHidden/>
          </w:rPr>
          <w:t>112</w:t>
        </w:r>
        <w:r w:rsidR="000A5622">
          <w:rPr>
            <w:webHidden/>
          </w:rPr>
          <w:fldChar w:fldCharType="end"/>
        </w:r>
      </w:hyperlink>
    </w:p>
    <w:p w14:paraId="394B934B" w14:textId="77777777" w:rsidR="000A5622" w:rsidRDefault="009F6E2C">
      <w:pPr>
        <w:pStyle w:val="TableofFigures"/>
        <w:rPr>
          <w:rFonts w:asciiTheme="minorHAnsi" w:eastAsiaTheme="minorEastAsia" w:hAnsiTheme="minorHAnsi" w:cstheme="minorBidi"/>
        </w:rPr>
      </w:pPr>
      <w:hyperlink w:anchor="_Toc16671637" w:history="1">
        <w:r w:rsidR="000A5622" w:rsidRPr="000F492C">
          <w:rPr>
            <w:rStyle w:val="Hyperlink"/>
          </w:rPr>
          <w:t>Table 39</w:t>
        </w:r>
        <w:r w:rsidR="000A5622">
          <w:rPr>
            <w:rFonts w:asciiTheme="minorHAnsi" w:eastAsiaTheme="minorEastAsia" w:hAnsiTheme="minorHAnsi" w:cstheme="minorBidi"/>
          </w:rPr>
          <w:tab/>
        </w:r>
        <w:r w:rsidR="000A5622" w:rsidRPr="000F492C">
          <w:rPr>
            <w:rStyle w:val="Hyperlink"/>
          </w:rPr>
          <w:t>Relative treatment effect of Ig</w:t>
        </w:r>
        <w:r w:rsidR="000A5622">
          <w:rPr>
            <w:webHidden/>
          </w:rPr>
          <w:tab/>
        </w:r>
        <w:r w:rsidR="000A5622">
          <w:rPr>
            <w:webHidden/>
          </w:rPr>
          <w:fldChar w:fldCharType="begin"/>
        </w:r>
        <w:r w:rsidR="000A5622">
          <w:rPr>
            <w:webHidden/>
          </w:rPr>
          <w:instrText xml:space="preserve"> PAGEREF _Toc16671637 \h </w:instrText>
        </w:r>
        <w:r w:rsidR="000A5622">
          <w:rPr>
            <w:webHidden/>
          </w:rPr>
        </w:r>
        <w:r w:rsidR="000A5622">
          <w:rPr>
            <w:webHidden/>
          </w:rPr>
          <w:fldChar w:fldCharType="separate"/>
        </w:r>
        <w:r w:rsidR="00A7463B">
          <w:rPr>
            <w:webHidden/>
          </w:rPr>
          <w:t>113</w:t>
        </w:r>
        <w:r w:rsidR="000A5622">
          <w:rPr>
            <w:webHidden/>
          </w:rPr>
          <w:fldChar w:fldCharType="end"/>
        </w:r>
      </w:hyperlink>
    </w:p>
    <w:p w14:paraId="235E7B17" w14:textId="77777777" w:rsidR="000A5622" w:rsidRDefault="009F6E2C">
      <w:pPr>
        <w:pStyle w:val="TableofFigures"/>
        <w:rPr>
          <w:rFonts w:asciiTheme="minorHAnsi" w:eastAsiaTheme="minorEastAsia" w:hAnsiTheme="minorHAnsi" w:cstheme="minorBidi"/>
        </w:rPr>
      </w:pPr>
      <w:hyperlink w:anchor="_Toc16671638" w:history="1">
        <w:r w:rsidR="000A5622" w:rsidRPr="000F492C">
          <w:rPr>
            <w:rStyle w:val="Hyperlink"/>
          </w:rPr>
          <w:t>Table 40</w:t>
        </w:r>
        <w:r w:rsidR="000A5622">
          <w:rPr>
            <w:rFonts w:asciiTheme="minorHAnsi" w:eastAsiaTheme="minorEastAsia" w:hAnsiTheme="minorHAnsi" w:cstheme="minorBidi"/>
          </w:rPr>
          <w:tab/>
        </w:r>
        <w:r w:rsidR="000A5622" w:rsidRPr="000F492C">
          <w:rPr>
            <w:rStyle w:val="Hyperlink"/>
          </w:rPr>
          <w:t>Average duration of infection by model arm</w:t>
        </w:r>
        <w:r w:rsidR="000A5622">
          <w:rPr>
            <w:webHidden/>
          </w:rPr>
          <w:tab/>
        </w:r>
        <w:r w:rsidR="000A5622">
          <w:rPr>
            <w:webHidden/>
          </w:rPr>
          <w:fldChar w:fldCharType="begin"/>
        </w:r>
        <w:r w:rsidR="000A5622">
          <w:rPr>
            <w:webHidden/>
          </w:rPr>
          <w:instrText xml:space="preserve"> PAGEREF _Toc16671638 \h </w:instrText>
        </w:r>
        <w:r w:rsidR="000A5622">
          <w:rPr>
            <w:webHidden/>
          </w:rPr>
        </w:r>
        <w:r w:rsidR="000A5622">
          <w:rPr>
            <w:webHidden/>
          </w:rPr>
          <w:fldChar w:fldCharType="separate"/>
        </w:r>
        <w:r w:rsidR="00A7463B">
          <w:rPr>
            <w:webHidden/>
          </w:rPr>
          <w:t>113</w:t>
        </w:r>
        <w:r w:rsidR="000A5622">
          <w:rPr>
            <w:webHidden/>
          </w:rPr>
          <w:fldChar w:fldCharType="end"/>
        </w:r>
      </w:hyperlink>
    </w:p>
    <w:p w14:paraId="7AA4E8D5" w14:textId="77777777" w:rsidR="000A5622" w:rsidRDefault="009F6E2C">
      <w:pPr>
        <w:pStyle w:val="TableofFigures"/>
        <w:rPr>
          <w:rFonts w:asciiTheme="minorHAnsi" w:eastAsiaTheme="minorEastAsia" w:hAnsiTheme="minorHAnsi" w:cstheme="minorBidi"/>
        </w:rPr>
      </w:pPr>
      <w:hyperlink w:anchor="_Toc16671639" w:history="1">
        <w:r w:rsidR="000A5622" w:rsidRPr="000F492C">
          <w:rPr>
            <w:rStyle w:val="Hyperlink"/>
          </w:rPr>
          <w:t>Table 41</w:t>
        </w:r>
        <w:r w:rsidR="000A5622">
          <w:rPr>
            <w:rFonts w:asciiTheme="minorHAnsi" w:eastAsiaTheme="minorEastAsia" w:hAnsiTheme="minorHAnsi" w:cstheme="minorBidi"/>
          </w:rPr>
          <w:tab/>
        </w:r>
        <w:r w:rsidR="000A5622" w:rsidRPr="000F492C">
          <w:rPr>
            <w:rStyle w:val="Hyperlink"/>
          </w:rPr>
          <w:t>Per cycle probability of infection resolution in patients who had not died or developed bronchiectasis</w:t>
        </w:r>
        <w:r w:rsidR="000A5622">
          <w:rPr>
            <w:webHidden/>
          </w:rPr>
          <w:tab/>
        </w:r>
        <w:r w:rsidR="000A5622">
          <w:rPr>
            <w:webHidden/>
          </w:rPr>
          <w:fldChar w:fldCharType="begin"/>
        </w:r>
        <w:r w:rsidR="000A5622">
          <w:rPr>
            <w:webHidden/>
          </w:rPr>
          <w:instrText xml:space="preserve"> PAGEREF _Toc16671639 \h </w:instrText>
        </w:r>
        <w:r w:rsidR="000A5622">
          <w:rPr>
            <w:webHidden/>
          </w:rPr>
        </w:r>
        <w:r w:rsidR="000A5622">
          <w:rPr>
            <w:webHidden/>
          </w:rPr>
          <w:fldChar w:fldCharType="separate"/>
        </w:r>
        <w:r w:rsidR="00A7463B">
          <w:rPr>
            <w:webHidden/>
          </w:rPr>
          <w:t>113</w:t>
        </w:r>
        <w:r w:rsidR="000A5622">
          <w:rPr>
            <w:webHidden/>
          </w:rPr>
          <w:fldChar w:fldCharType="end"/>
        </w:r>
      </w:hyperlink>
    </w:p>
    <w:p w14:paraId="23853E86" w14:textId="77777777" w:rsidR="000A5622" w:rsidRDefault="009F6E2C">
      <w:pPr>
        <w:pStyle w:val="TableofFigures"/>
        <w:rPr>
          <w:rFonts w:asciiTheme="minorHAnsi" w:eastAsiaTheme="minorEastAsia" w:hAnsiTheme="minorHAnsi" w:cstheme="minorBidi"/>
        </w:rPr>
      </w:pPr>
      <w:hyperlink w:anchor="_Toc16671640" w:history="1">
        <w:r w:rsidR="000A5622" w:rsidRPr="000F492C">
          <w:rPr>
            <w:rStyle w:val="Hyperlink"/>
          </w:rPr>
          <w:t>Table 42</w:t>
        </w:r>
        <w:r w:rsidR="000A5622">
          <w:rPr>
            <w:rFonts w:asciiTheme="minorHAnsi" w:eastAsiaTheme="minorEastAsia" w:hAnsiTheme="minorHAnsi" w:cstheme="minorBidi"/>
          </w:rPr>
          <w:tab/>
        </w:r>
        <w:r w:rsidR="000A5622" w:rsidRPr="000F492C">
          <w:rPr>
            <w:rStyle w:val="Hyperlink"/>
          </w:rPr>
          <w:t>Remaining transition probabilities from the infection health state</w:t>
        </w:r>
        <w:r w:rsidR="000A5622">
          <w:rPr>
            <w:webHidden/>
          </w:rPr>
          <w:tab/>
        </w:r>
        <w:r w:rsidR="000A5622">
          <w:rPr>
            <w:webHidden/>
          </w:rPr>
          <w:fldChar w:fldCharType="begin"/>
        </w:r>
        <w:r w:rsidR="000A5622">
          <w:rPr>
            <w:webHidden/>
          </w:rPr>
          <w:instrText xml:space="preserve"> PAGEREF _Toc16671640 \h </w:instrText>
        </w:r>
        <w:r w:rsidR="000A5622">
          <w:rPr>
            <w:webHidden/>
          </w:rPr>
        </w:r>
        <w:r w:rsidR="000A5622">
          <w:rPr>
            <w:webHidden/>
          </w:rPr>
          <w:fldChar w:fldCharType="separate"/>
        </w:r>
        <w:r w:rsidR="00A7463B">
          <w:rPr>
            <w:webHidden/>
          </w:rPr>
          <w:t>114</w:t>
        </w:r>
        <w:r w:rsidR="000A5622">
          <w:rPr>
            <w:webHidden/>
          </w:rPr>
          <w:fldChar w:fldCharType="end"/>
        </w:r>
      </w:hyperlink>
    </w:p>
    <w:p w14:paraId="49BC59FE" w14:textId="77777777" w:rsidR="000A5622" w:rsidRDefault="009F6E2C">
      <w:pPr>
        <w:pStyle w:val="TableofFigures"/>
        <w:rPr>
          <w:rFonts w:asciiTheme="minorHAnsi" w:eastAsiaTheme="minorEastAsia" w:hAnsiTheme="minorHAnsi" w:cstheme="minorBidi"/>
        </w:rPr>
      </w:pPr>
      <w:hyperlink w:anchor="_Toc16671641" w:history="1">
        <w:r w:rsidR="000A5622" w:rsidRPr="000F492C">
          <w:rPr>
            <w:rStyle w:val="Hyperlink"/>
          </w:rPr>
          <w:t>Table 43</w:t>
        </w:r>
        <w:r w:rsidR="000A5622">
          <w:rPr>
            <w:rFonts w:asciiTheme="minorHAnsi" w:eastAsiaTheme="minorEastAsia" w:hAnsiTheme="minorHAnsi" w:cstheme="minorBidi"/>
          </w:rPr>
          <w:tab/>
        </w:r>
        <w:r w:rsidR="000A5622" w:rsidRPr="000F492C">
          <w:rPr>
            <w:rStyle w:val="Hyperlink"/>
          </w:rPr>
          <w:t>Adjusted transition probabilities of developing infections in bronchiectasis</w:t>
        </w:r>
        <w:r w:rsidR="000A5622">
          <w:rPr>
            <w:webHidden/>
          </w:rPr>
          <w:tab/>
        </w:r>
        <w:r w:rsidR="000A5622">
          <w:rPr>
            <w:webHidden/>
          </w:rPr>
          <w:fldChar w:fldCharType="begin"/>
        </w:r>
        <w:r w:rsidR="000A5622">
          <w:rPr>
            <w:webHidden/>
          </w:rPr>
          <w:instrText xml:space="preserve"> PAGEREF _Toc16671641 \h </w:instrText>
        </w:r>
        <w:r w:rsidR="000A5622">
          <w:rPr>
            <w:webHidden/>
          </w:rPr>
        </w:r>
        <w:r w:rsidR="000A5622">
          <w:rPr>
            <w:webHidden/>
          </w:rPr>
          <w:fldChar w:fldCharType="separate"/>
        </w:r>
        <w:r w:rsidR="00A7463B">
          <w:rPr>
            <w:webHidden/>
          </w:rPr>
          <w:t>115</w:t>
        </w:r>
        <w:r w:rsidR="000A5622">
          <w:rPr>
            <w:webHidden/>
          </w:rPr>
          <w:fldChar w:fldCharType="end"/>
        </w:r>
      </w:hyperlink>
    </w:p>
    <w:p w14:paraId="59D551C5" w14:textId="77777777" w:rsidR="000A5622" w:rsidRDefault="009F6E2C">
      <w:pPr>
        <w:pStyle w:val="TableofFigures"/>
        <w:rPr>
          <w:rFonts w:asciiTheme="minorHAnsi" w:eastAsiaTheme="minorEastAsia" w:hAnsiTheme="minorHAnsi" w:cstheme="minorBidi"/>
        </w:rPr>
      </w:pPr>
      <w:hyperlink w:anchor="_Toc16671642" w:history="1">
        <w:r w:rsidR="000A5622" w:rsidRPr="000F492C">
          <w:rPr>
            <w:rStyle w:val="Hyperlink"/>
          </w:rPr>
          <w:t>Table 44</w:t>
        </w:r>
        <w:r w:rsidR="000A5622">
          <w:rPr>
            <w:rFonts w:asciiTheme="minorHAnsi" w:eastAsiaTheme="minorEastAsia" w:hAnsiTheme="minorHAnsi" w:cstheme="minorBidi"/>
          </w:rPr>
          <w:tab/>
        </w:r>
        <w:r w:rsidR="000A5622" w:rsidRPr="000F492C">
          <w:rPr>
            <w:rStyle w:val="Hyperlink"/>
          </w:rPr>
          <w:t>Transition probability matrix</w:t>
        </w:r>
        <w:r w:rsidR="000A5622">
          <w:rPr>
            <w:webHidden/>
          </w:rPr>
          <w:tab/>
        </w:r>
        <w:r w:rsidR="000A5622">
          <w:rPr>
            <w:webHidden/>
          </w:rPr>
          <w:fldChar w:fldCharType="begin"/>
        </w:r>
        <w:r w:rsidR="000A5622">
          <w:rPr>
            <w:webHidden/>
          </w:rPr>
          <w:instrText xml:space="preserve"> PAGEREF _Toc16671642 \h </w:instrText>
        </w:r>
        <w:r w:rsidR="000A5622">
          <w:rPr>
            <w:webHidden/>
          </w:rPr>
        </w:r>
        <w:r w:rsidR="000A5622">
          <w:rPr>
            <w:webHidden/>
          </w:rPr>
          <w:fldChar w:fldCharType="separate"/>
        </w:r>
        <w:r w:rsidR="00A7463B">
          <w:rPr>
            <w:webHidden/>
          </w:rPr>
          <w:t>117</w:t>
        </w:r>
        <w:r w:rsidR="000A5622">
          <w:rPr>
            <w:webHidden/>
          </w:rPr>
          <w:fldChar w:fldCharType="end"/>
        </w:r>
      </w:hyperlink>
    </w:p>
    <w:p w14:paraId="67AECD01" w14:textId="77777777" w:rsidR="000A5622" w:rsidRDefault="009F6E2C">
      <w:pPr>
        <w:pStyle w:val="TableofFigures"/>
        <w:rPr>
          <w:rFonts w:asciiTheme="minorHAnsi" w:eastAsiaTheme="minorEastAsia" w:hAnsiTheme="minorHAnsi" w:cstheme="minorBidi"/>
        </w:rPr>
      </w:pPr>
      <w:hyperlink w:anchor="_Toc16671643" w:history="1">
        <w:r w:rsidR="000A5622" w:rsidRPr="000F492C">
          <w:rPr>
            <w:rStyle w:val="Hyperlink"/>
          </w:rPr>
          <w:t>Table 45</w:t>
        </w:r>
        <w:r w:rsidR="000A5622">
          <w:rPr>
            <w:rFonts w:asciiTheme="minorHAnsi" w:eastAsiaTheme="minorEastAsia" w:hAnsiTheme="minorHAnsi" w:cstheme="minorBidi"/>
          </w:rPr>
          <w:tab/>
        </w:r>
        <w:r w:rsidR="000A5622" w:rsidRPr="000F492C">
          <w:rPr>
            <w:rStyle w:val="Hyperlink"/>
          </w:rPr>
          <w:t>Cost per cycle of Ig</w:t>
        </w:r>
        <w:r w:rsidR="000A5622">
          <w:rPr>
            <w:webHidden/>
          </w:rPr>
          <w:tab/>
        </w:r>
        <w:r w:rsidR="000A5622">
          <w:rPr>
            <w:webHidden/>
          </w:rPr>
          <w:fldChar w:fldCharType="begin"/>
        </w:r>
        <w:r w:rsidR="000A5622">
          <w:rPr>
            <w:webHidden/>
          </w:rPr>
          <w:instrText xml:space="preserve"> PAGEREF _Toc16671643 \h </w:instrText>
        </w:r>
        <w:r w:rsidR="000A5622">
          <w:rPr>
            <w:webHidden/>
          </w:rPr>
        </w:r>
        <w:r w:rsidR="000A5622">
          <w:rPr>
            <w:webHidden/>
          </w:rPr>
          <w:fldChar w:fldCharType="separate"/>
        </w:r>
        <w:r w:rsidR="00A7463B">
          <w:rPr>
            <w:webHidden/>
          </w:rPr>
          <w:t>118</w:t>
        </w:r>
        <w:r w:rsidR="000A5622">
          <w:rPr>
            <w:webHidden/>
          </w:rPr>
          <w:fldChar w:fldCharType="end"/>
        </w:r>
      </w:hyperlink>
    </w:p>
    <w:p w14:paraId="37FB826B" w14:textId="77777777" w:rsidR="000A5622" w:rsidRDefault="009F6E2C">
      <w:pPr>
        <w:pStyle w:val="TableofFigures"/>
        <w:rPr>
          <w:rFonts w:asciiTheme="minorHAnsi" w:eastAsiaTheme="minorEastAsia" w:hAnsiTheme="minorHAnsi" w:cstheme="minorBidi"/>
        </w:rPr>
      </w:pPr>
      <w:hyperlink w:anchor="_Toc16671644" w:history="1">
        <w:r w:rsidR="000A5622" w:rsidRPr="000F492C">
          <w:rPr>
            <w:rStyle w:val="Hyperlink"/>
          </w:rPr>
          <w:t>Table 46</w:t>
        </w:r>
        <w:r w:rsidR="000A5622">
          <w:rPr>
            <w:rFonts w:asciiTheme="minorHAnsi" w:eastAsiaTheme="minorEastAsia" w:hAnsiTheme="minorHAnsi" w:cstheme="minorBidi"/>
          </w:rPr>
          <w:tab/>
        </w:r>
        <w:r w:rsidR="000A5622" w:rsidRPr="000F492C">
          <w:rPr>
            <w:rStyle w:val="Hyperlink"/>
          </w:rPr>
          <w:t>Ongoing disease management costs included in the model</w:t>
        </w:r>
        <w:r w:rsidR="000A5622">
          <w:rPr>
            <w:webHidden/>
          </w:rPr>
          <w:tab/>
        </w:r>
        <w:r w:rsidR="000A5622">
          <w:rPr>
            <w:webHidden/>
          </w:rPr>
          <w:fldChar w:fldCharType="begin"/>
        </w:r>
        <w:r w:rsidR="000A5622">
          <w:rPr>
            <w:webHidden/>
          </w:rPr>
          <w:instrText xml:space="preserve"> PAGEREF _Toc16671644 \h </w:instrText>
        </w:r>
        <w:r w:rsidR="000A5622">
          <w:rPr>
            <w:webHidden/>
          </w:rPr>
        </w:r>
        <w:r w:rsidR="000A5622">
          <w:rPr>
            <w:webHidden/>
          </w:rPr>
          <w:fldChar w:fldCharType="separate"/>
        </w:r>
        <w:r w:rsidR="00A7463B">
          <w:rPr>
            <w:webHidden/>
          </w:rPr>
          <w:t>119</w:t>
        </w:r>
        <w:r w:rsidR="000A5622">
          <w:rPr>
            <w:webHidden/>
          </w:rPr>
          <w:fldChar w:fldCharType="end"/>
        </w:r>
      </w:hyperlink>
    </w:p>
    <w:p w14:paraId="46C721A8" w14:textId="77777777" w:rsidR="000A5622" w:rsidRDefault="009F6E2C">
      <w:pPr>
        <w:pStyle w:val="TableofFigures"/>
        <w:rPr>
          <w:rFonts w:asciiTheme="minorHAnsi" w:eastAsiaTheme="minorEastAsia" w:hAnsiTheme="minorHAnsi" w:cstheme="minorBidi"/>
        </w:rPr>
      </w:pPr>
      <w:hyperlink w:anchor="_Toc16671645" w:history="1">
        <w:r w:rsidR="000A5622" w:rsidRPr="000F492C">
          <w:rPr>
            <w:rStyle w:val="Hyperlink"/>
          </w:rPr>
          <w:t>Table 47</w:t>
        </w:r>
        <w:r w:rsidR="000A5622">
          <w:rPr>
            <w:rFonts w:asciiTheme="minorHAnsi" w:eastAsiaTheme="minorEastAsia" w:hAnsiTheme="minorHAnsi" w:cstheme="minorBidi"/>
          </w:rPr>
          <w:tab/>
        </w:r>
        <w:r w:rsidR="000A5622" w:rsidRPr="000F492C">
          <w:rPr>
            <w:rStyle w:val="Hyperlink"/>
          </w:rPr>
          <w:t>Average cost to treat a serious infection</w:t>
        </w:r>
        <w:r w:rsidR="000A5622">
          <w:rPr>
            <w:webHidden/>
          </w:rPr>
          <w:tab/>
        </w:r>
        <w:r w:rsidR="000A5622">
          <w:rPr>
            <w:webHidden/>
          </w:rPr>
          <w:fldChar w:fldCharType="begin"/>
        </w:r>
        <w:r w:rsidR="000A5622">
          <w:rPr>
            <w:webHidden/>
          </w:rPr>
          <w:instrText xml:space="preserve"> PAGEREF _Toc16671645 \h </w:instrText>
        </w:r>
        <w:r w:rsidR="000A5622">
          <w:rPr>
            <w:webHidden/>
          </w:rPr>
        </w:r>
        <w:r w:rsidR="000A5622">
          <w:rPr>
            <w:webHidden/>
          </w:rPr>
          <w:fldChar w:fldCharType="separate"/>
        </w:r>
        <w:r w:rsidR="00A7463B">
          <w:rPr>
            <w:webHidden/>
          </w:rPr>
          <w:t>120</w:t>
        </w:r>
        <w:r w:rsidR="000A5622">
          <w:rPr>
            <w:webHidden/>
          </w:rPr>
          <w:fldChar w:fldCharType="end"/>
        </w:r>
      </w:hyperlink>
    </w:p>
    <w:p w14:paraId="6062FB40" w14:textId="77777777" w:rsidR="000A5622" w:rsidRDefault="009F6E2C">
      <w:pPr>
        <w:pStyle w:val="TableofFigures"/>
        <w:rPr>
          <w:rFonts w:asciiTheme="minorHAnsi" w:eastAsiaTheme="minorEastAsia" w:hAnsiTheme="minorHAnsi" w:cstheme="minorBidi"/>
        </w:rPr>
      </w:pPr>
      <w:hyperlink w:anchor="_Toc16671646" w:history="1">
        <w:r w:rsidR="000A5622" w:rsidRPr="000F492C">
          <w:rPr>
            <w:rStyle w:val="Hyperlink"/>
          </w:rPr>
          <w:t>Table 48</w:t>
        </w:r>
        <w:r w:rsidR="000A5622">
          <w:rPr>
            <w:rFonts w:asciiTheme="minorHAnsi" w:eastAsiaTheme="minorEastAsia" w:hAnsiTheme="minorHAnsi" w:cstheme="minorBidi"/>
          </w:rPr>
          <w:tab/>
        </w:r>
        <w:r w:rsidR="000A5622" w:rsidRPr="000F492C">
          <w:rPr>
            <w:rStyle w:val="Hyperlink"/>
          </w:rPr>
          <w:t>Estimated cost of treating infections, by infection severity</w:t>
        </w:r>
        <w:r w:rsidR="000A5622">
          <w:rPr>
            <w:webHidden/>
          </w:rPr>
          <w:tab/>
        </w:r>
        <w:r w:rsidR="000A5622">
          <w:rPr>
            <w:webHidden/>
          </w:rPr>
          <w:fldChar w:fldCharType="begin"/>
        </w:r>
        <w:r w:rsidR="000A5622">
          <w:rPr>
            <w:webHidden/>
          </w:rPr>
          <w:instrText xml:space="preserve"> PAGEREF _Toc16671646 \h </w:instrText>
        </w:r>
        <w:r w:rsidR="000A5622">
          <w:rPr>
            <w:webHidden/>
          </w:rPr>
        </w:r>
        <w:r w:rsidR="000A5622">
          <w:rPr>
            <w:webHidden/>
          </w:rPr>
          <w:fldChar w:fldCharType="separate"/>
        </w:r>
        <w:r w:rsidR="00A7463B">
          <w:rPr>
            <w:webHidden/>
          </w:rPr>
          <w:t>120</w:t>
        </w:r>
        <w:r w:rsidR="000A5622">
          <w:rPr>
            <w:webHidden/>
          </w:rPr>
          <w:fldChar w:fldCharType="end"/>
        </w:r>
      </w:hyperlink>
    </w:p>
    <w:p w14:paraId="504DC28E" w14:textId="77777777" w:rsidR="000A5622" w:rsidRDefault="009F6E2C">
      <w:pPr>
        <w:pStyle w:val="TableofFigures"/>
        <w:rPr>
          <w:rFonts w:asciiTheme="minorHAnsi" w:eastAsiaTheme="minorEastAsia" w:hAnsiTheme="minorHAnsi" w:cstheme="minorBidi"/>
        </w:rPr>
      </w:pPr>
      <w:hyperlink w:anchor="_Toc16671647" w:history="1">
        <w:r w:rsidR="000A5622" w:rsidRPr="000F492C">
          <w:rPr>
            <w:rStyle w:val="Hyperlink"/>
          </w:rPr>
          <w:t>Table 49</w:t>
        </w:r>
        <w:r w:rsidR="000A5622">
          <w:rPr>
            <w:rFonts w:asciiTheme="minorHAnsi" w:eastAsiaTheme="minorEastAsia" w:hAnsiTheme="minorHAnsi" w:cstheme="minorBidi"/>
          </w:rPr>
          <w:tab/>
        </w:r>
        <w:r w:rsidR="000A5622" w:rsidRPr="000F492C">
          <w:rPr>
            <w:rStyle w:val="Hyperlink"/>
          </w:rPr>
          <w:t>Average cost of treating infections by model arm</w:t>
        </w:r>
        <w:r w:rsidR="000A5622">
          <w:rPr>
            <w:webHidden/>
          </w:rPr>
          <w:tab/>
        </w:r>
        <w:r w:rsidR="000A5622">
          <w:rPr>
            <w:webHidden/>
          </w:rPr>
          <w:fldChar w:fldCharType="begin"/>
        </w:r>
        <w:r w:rsidR="000A5622">
          <w:rPr>
            <w:webHidden/>
          </w:rPr>
          <w:instrText xml:space="preserve"> PAGEREF _Toc16671647 \h </w:instrText>
        </w:r>
        <w:r w:rsidR="000A5622">
          <w:rPr>
            <w:webHidden/>
          </w:rPr>
        </w:r>
        <w:r w:rsidR="000A5622">
          <w:rPr>
            <w:webHidden/>
          </w:rPr>
          <w:fldChar w:fldCharType="separate"/>
        </w:r>
        <w:r w:rsidR="00A7463B">
          <w:rPr>
            <w:webHidden/>
          </w:rPr>
          <w:t>121</w:t>
        </w:r>
        <w:r w:rsidR="000A5622">
          <w:rPr>
            <w:webHidden/>
          </w:rPr>
          <w:fldChar w:fldCharType="end"/>
        </w:r>
      </w:hyperlink>
    </w:p>
    <w:p w14:paraId="522DA889" w14:textId="77777777" w:rsidR="000A5622" w:rsidRDefault="009F6E2C">
      <w:pPr>
        <w:pStyle w:val="TableofFigures"/>
        <w:rPr>
          <w:rFonts w:asciiTheme="minorHAnsi" w:eastAsiaTheme="minorEastAsia" w:hAnsiTheme="minorHAnsi" w:cstheme="minorBidi"/>
        </w:rPr>
      </w:pPr>
      <w:hyperlink w:anchor="_Toc16671648" w:history="1">
        <w:r w:rsidR="000A5622" w:rsidRPr="000F492C">
          <w:rPr>
            <w:rStyle w:val="Hyperlink"/>
          </w:rPr>
          <w:t>Table 50</w:t>
        </w:r>
        <w:r w:rsidR="000A5622">
          <w:rPr>
            <w:rFonts w:asciiTheme="minorHAnsi" w:eastAsiaTheme="minorEastAsia" w:hAnsiTheme="minorHAnsi" w:cstheme="minorBidi"/>
          </w:rPr>
          <w:tab/>
        </w:r>
        <w:r w:rsidR="000A5622" w:rsidRPr="000F492C">
          <w:rPr>
            <w:rStyle w:val="Hyperlink"/>
          </w:rPr>
          <w:t>Cost associated with the management of bronchiectasis</w:t>
        </w:r>
        <w:r w:rsidR="000A5622">
          <w:rPr>
            <w:webHidden/>
          </w:rPr>
          <w:tab/>
        </w:r>
        <w:r w:rsidR="000A5622">
          <w:rPr>
            <w:webHidden/>
          </w:rPr>
          <w:fldChar w:fldCharType="begin"/>
        </w:r>
        <w:r w:rsidR="000A5622">
          <w:rPr>
            <w:webHidden/>
          </w:rPr>
          <w:instrText xml:space="preserve"> PAGEREF _Toc16671648 \h </w:instrText>
        </w:r>
        <w:r w:rsidR="000A5622">
          <w:rPr>
            <w:webHidden/>
          </w:rPr>
        </w:r>
        <w:r w:rsidR="000A5622">
          <w:rPr>
            <w:webHidden/>
          </w:rPr>
          <w:fldChar w:fldCharType="separate"/>
        </w:r>
        <w:r w:rsidR="00A7463B">
          <w:rPr>
            <w:webHidden/>
          </w:rPr>
          <w:t>121</w:t>
        </w:r>
        <w:r w:rsidR="000A5622">
          <w:rPr>
            <w:webHidden/>
          </w:rPr>
          <w:fldChar w:fldCharType="end"/>
        </w:r>
      </w:hyperlink>
    </w:p>
    <w:p w14:paraId="3CA77FA3" w14:textId="77777777" w:rsidR="000A5622" w:rsidRDefault="009F6E2C">
      <w:pPr>
        <w:pStyle w:val="TableofFigures"/>
        <w:rPr>
          <w:rFonts w:asciiTheme="minorHAnsi" w:eastAsiaTheme="minorEastAsia" w:hAnsiTheme="minorHAnsi" w:cstheme="minorBidi"/>
        </w:rPr>
      </w:pPr>
      <w:hyperlink w:anchor="_Toc16671649" w:history="1">
        <w:r w:rsidR="000A5622" w:rsidRPr="000F492C">
          <w:rPr>
            <w:rStyle w:val="Hyperlink"/>
          </w:rPr>
          <w:t>Table 51</w:t>
        </w:r>
        <w:r w:rsidR="000A5622">
          <w:rPr>
            <w:rFonts w:asciiTheme="minorHAnsi" w:eastAsiaTheme="minorEastAsia" w:hAnsiTheme="minorHAnsi" w:cstheme="minorBidi"/>
          </w:rPr>
          <w:tab/>
        </w:r>
        <w:r w:rsidR="000A5622" w:rsidRPr="000F492C">
          <w:rPr>
            <w:rStyle w:val="Hyperlink"/>
          </w:rPr>
          <w:t>Average cost of treating infections by model arm</w:t>
        </w:r>
        <w:r w:rsidR="000A5622">
          <w:rPr>
            <w:webHidden/>
          </w:rPr>
          <w:tab/>
        </w:r>
        <w:r w:rsidR="000A5622">
          <w:rPr>
            <w:webHidden/>
          </w:rPr>
          <w:fldChar w:fldCharType="begin"/>
        </w:r>
        <w:r w:rsidR="000A5622">
          <w:rPr>
            <w:webHidden/>
          </w:rPr>
          <w:instrText xml:space="preserve"> PAGEREF _Toc16671649 \h </w:instrText>
        </w:r>
        <w:r w:rsidR="000A5622">
          <w:rPr>
            <w:webHidden/>
          </w:rPr>
        </w:r>
        <w:r w:rsidR="000A5622">
          <w:rPr>
            <w:webHidden/>
          </w:rPr>
          <w:fldChar w:fldCharType="separate"/>
        </w:r>
        <w:r w:rsidR="00A7463B">
          <w:rPr>
            <w:webHidden/>
          </w:rPr>
          <w:t>122</w:t>
        </w:r>
        <w:r w:rsidR="000A5622">
          <w:rPr>
            <w:webHidden/>
          </w:rPr>
          <w:fldChar w:fldCharType="end"/>
        </w:r>
      </w:hyperlink>
    </w:p>
    <w:p w14:paraId="00D87153" w14:textId="77777777" w:rsidR="000A5622" w:rsidRDefault="009F6E2C">
      <w:pPr>
        <w:pStyle w:val="TableofFigures"/>
        <w:rPr>
          <w:rFonts w:asciiTheme="minorHAnsi" w:eastAsiaTheme="minorEastAsia" w:hAnsiTheme="minorHAnsi" w:cstheme="minorBidi"/>
        </w:rPr>
      </w:pPr>
      <w:hyperlink w:anchor="_Toc16671650" w:history="1">
        <w:r w:rsidR="000A5622" w:rsidRPr="000F492C">
          <w:rPr>
            <w:rStyle w:val="Hyperlink"/>
          </w:rPr>
          <w:t>Table 52</w:t>
        </w:r>
        <w:r w:rsidR="000A5622">
          <w:rPr>
            <w:rFonts w:asciiTheme="minorHAnsi" w:eastAsiaTheme="minorEastAsia" w:hAnsiTheme="minorHAnsi" w:cstheme="minorBidi"/>
          </w:rPr>
          <w:tab/>
        </w:r>
        <w:r w:rsidR="000A5622" w:rsidRPr="000F492C">
          <w:rPr>
            <w:rStyle w:val="Hyperlink"/>
          </w:rPr>
          <w:t xml:space="preserve">Cost per cycle in the chronic </w:t>
        </w:r>
        <w:r w:rsidR="000A5622" w:rsidRPr="000F492C">
          <w:rPr>
            <w:rStyle w:val="Hyperlink"/>
            <w:i/>
          </w:rPr>
          <w:t>P. aeruginosa</w:t>
        </w:r>
        <w:r w:rsidR="000A5622" w:rsidRPr="000F492C">
          <w:rPr>
            <w:rStyle w:val="Hyperlink"/>
          </w:rPr>
          <w:t xml:space="preserve"> infection health state</w:t>
        </w:r>
        <w:r w:rsidR="000A5622">
          <w:rPr>
            <w:webHidden/>
          </w:rPr>
          <w:tab/>
        </w:r>
        <w:r w:rsidR="000A5622">
          <w:rPr>
            <w:webHidden/>
          </w:rPr>
          <w:fldChar w:fldCharType="begin"/>
        </w:r>
        <w:r w:rsidR="000A5622">
          <w:rPr>
            <w:webHidden/>
          </w:rPr>
          <w:instrText xml:space="preserve"> PAGEREF _Toc16671650 \h </w:instrText>
        </w:r>
        <w:r w:rsidR="000A5622">
          <w:rPr>
            <w:webHidden/>
          </w:rPr>
        </w:r>
        <w:r w:rsidR="000A5622">
          <w:rPr>
            <w:webHidden/>
          </w:rPr>
          <w:fldChar w:fldCharType="separate"/>
        </w:r>
        <w:r w:rsidR="00A7463B">
          <w:rPr>
            <w:webHidden/>
          </w:rPr>
          <w:t>122</w:t>
        </w:r>
        <w:r w:rsidR="000A5622">
          <w:rPr>
            <w:webHidden/>
          </w:rPr>
          <w:fldChar w:fldCharType="end"/>
        </w:r>
      </w:hyperlink>
    </w:p>
    <w:p w14:paraId="0A804037" w14:textId="77777777" w:rsidR="000A5622" w:rsidRDefault="009F6E2C">
      <w:pPr>
        <w:pStyle w:val="TableofFigures"/>
        <w:rPr>
          <w:rFonts w:asciiTheme="minorHAnsi" w:eastAsiaTheme="minorEastAsia" w:hAnsiTheme="minorHAnsi" w:cstheme="minorBidi"/>
        </w:rPr>
      </w:pPr>
      <w:hyperlink w:anchor="_Toc16671651" w:history="1">
        <w:r w:rsidR="000A5622" w:rsidRPr="000F492C">
          <w:rPr>
            <w:rStyle w:val="Hyperlink"/>
          </w:rPr>
          <w:t>Table 53</w:t>
        </w:r>
        <w:r w:rsidR="000A5622">
          <w:rPr>
            <w:rFonts w:asciiTheme="minorHAnsi" w:eastAsiaTheme="minorEastAsia" w:hAnsiTheme="minorHAnsi" w:cstheme="minorBidi"/>
          </w:rPr>
          <w:tab/>
        </w:r>
        <w:r w:rsidR="000A5622" w:rsidRPr="000F492C">
          <w:rPr>
            <w:rStyle w:val="Hyperlink"/>
          </w:rPr>
          <w:t>Health state costs per cycle</w:t>
        </w:r>
        <w:r w:rsidR="000A5622">
          <w:rPr>
            <w:webHidden/>
          </w:rPr>
          <w:tab/>
        </w:r>
        <w:r w:rsidR="000A5622">
          <w:rPr>
            <w:webHidden/>
          </w:rPr>
          <w:fldChar w:fldCharType="begin"/>
        </w:r>
        <w:r w:rsidR="000A5622">
          <w:rPr>
            <w:webHidden/>
          </w:rPr>
          <w:instrText xml:space="preserve"> PAGEREF _Toc16671651 \h </w:instrText>
        </w:r>
        <w:r w:rsidR="000A5622">
          <w:rPr>
            <w:webHidden/>
          </w:rPr>
        </w:r>
        <w:r w:rsidR="000A5622">
          <w:rPr>
            <w:webHidden/>
          </w:rPr>
          <w:fldChar w:fldCharType="separate"/>
        </w:r>
        <w:r w:rsidR="00A7463B">
          <w:rPr>
            <w:webHidden/>
          </w:rPr>
          <w:t>123</w:t>
        </w:r>
        <w:r w:rsidR="000A5622">
          <w:rPr>
            <w:webHidden/>
          </w:rPr>
          <w:fldChar w:fldCharType="end"/>
        </w:r>
      </w:hyperlink>
    </w:p>
    <w:p w14:paraId="752C4742" w14:textId="77777777" w:rsidR="000A5622" w:rsidRDefault="009F6E2C">
      <w:pPr>
        <w:pStyle w:val="TableofFigures"/>
        <w:rPr>
          <w:rFonts w:asciiTheme="minorHAnsi" w:eastAsiaTheme="minorEastAsia" w:hAnsiTheme="minorHAnsi" w:cstheme="minorBidi"/>
        </w:rPr>
      </w:pPr>
      <w:hyperlink w:anchor="_Toc16671652" w:history="1">
        <w:r w:rsidR="000A5622" w:rsidRPr="000F492C">
          <w:rPr>
            <w:rStyle w:val="Hyperlink"/>
          </w:rPr>
          <w:t>Table 54</w:t>
        </w:r>
        <w:r w:rsidR="000A5622">
          <w:rPr>
            <w:rFonts w:asciiTheme="minorHAnsi" w:eastAsiaTheme="minorEastAsia" w:hAnsiTheme="minorHAnsi" w:cstheme="minorBidi"/>
          </w:rPr>
          <w:tab/>
        </w:r>
        <w:r w:rsidR="000A5622" w:rsidRPr="000F492C">
          <w:rPr>
            <w:rStyle w:val="Hyperlink"/>
          </w:rPr>
          <w:t>Utility weights used in the economic evaluation</w:t>
        </w:r>
        <w:r w:rsidR="000A5622">
          <w:rPr>
            <w:webHidden/>
          </w:rPr>
          <w:tab/>
        </w:r>
        <w:r w:rsidR="000A5622">
          <w:rPr>
            <w:webHidden/>
          </w:rPr>
          <w:fldChar w:fldCharType="begin"/>
        </w:r>
        <w:r w:rsidR="000A5622">
          <w:rPr>
            <w:webHidden/>
          </w:rPr>
          <w:instrText xml:space="preserve"> PAGEREF _Toc16671652 \h </w:instrText>
        </w:r>
        <w:r w:rsidR="000A5622">
          <w:rPr>
            <w:webHidden/>
          </w:rPr>
        </w:r>
        <w:r w:rsidR="000A5622">
          <w:rPr>
            <w:webHidden/>
          </w:rPr>
          <w:fldChar w:fldCharType="separate"/>
        </w:r>
        <w:r w:rsidR="00A7463B">
          <w:rPr>
            <w:webHidden/>
          </w:rPr>
          <w:t>123</w:t>
        </w:r>
        <w:r w:rsidR="000A5622">
          <w:rPr>
            <w:webHidden/>
          </w:rPr>
          <w:fldChar w:fldCharType="end"/>
        </w:r>
      </w:hyperlink>
    </w:p>
    <w:p w14:paraId="3EB6AD0B" w14:textId="77777777" w:rsidR="000A5622" w:rsidRDefault="009F6E2C">
      <w:pPr>
        <w:pStyle w:val="TableofFigures"/>
        <w:rPr>
          <w:rFonts w:asciiTheme="minorHAnsi" w:eastAsiaTheme="minorEastAsia" w:hAnsiTheme="minorHAnsi" w:cstheme="minorBidi"/>
        </w:rPr>
      </w:pPr>
      <w:hyperlink w:anchor="_Toc16671653" w:history="1">
        <w:r w:rsidR="000A5622" w:rsidRPr="000F492C">
          <w:rPr>
            <w:rStyle w:val="Hyperlink"/>
          </w:rPr>
          <w:t>Table 55</w:t>
        </w:r>
        <w:r w:rsidR="000A5622">
          <w:rPr>
            <w:rFonts w:asciiTheme="minorHAnsi" w:eastAsiaTheme="minorEastAsia" w:hAnsiTheme="minorHAnsi" w:cstheme="minorBidi"/>
          </w:rPr>
          <w:tab/>
        </w:r>
        <w:r w:rsidR="000A5622" w:rsidRPr="000F492C">
          <w:rPr>
            <w:rStyle w:val="Hyperlink"/>
          </w:rPr>
          <w:t>Results of the stepped economic analysis</w:t>
        </w:r>
        <w:r w:rsidR="000A5622">
          <w:rPr>
            <w:webHidden/>
          </w:rPr>
          <w:tab/>
        </w:r>
        <w:r w:rsidR="000A5622">
          <w:rPr>
            <w:webHidden/>
          </w:rPr>
          <w:fldChar w:fldCharType="begin"/>
        </w:r>
        <w:r w:rsidR="000A5622">
          <w:rPr>
            <w:webHidden/>
          </w:rPr>
          <w:instrText xml:space="preserve"> PAGEREF _Toc16671653 \h </w:instrText>
        </w:r>
        <w:r w:rsidR="000A5622">
          <w:rPr>
            <w:webHidden/>
          </w:rPr>
        </w:r>
        <w:r w:rsidR="000A5622">
          <w:rPr>
            <w:webHidden/>
          </w:rPr>
          <w:fldChar w:fldCharType="separate"/>
        </w:r>
        <w:r w:rsidR="00A7463B">
          <w:rPr>
            <w:webHidden/>
          </w:rPr>
          <w:t>124</w:t>
        </w:r>
        <w:r w:rsidR="000A5622">
          <w:rPr>
            <w:webHidden/>
          </w:rPr>
          <w:fldChar w:fldCharType="end"/>
        </w:r>
      </w:hyperlink>
    </w:p>
    <w:p w14:paraId="01195D2F" w14:textId="77777777" w:rsidR="000A5622" w:rsidRDefault="009F6E2C">
      <w:pPr>
        <w:pStyle w:val="TableofFigures"/>
        <w:rPr>
          <w:rFonts w:asciiTheme="minorHAnsi" w:eastAsiaTheme="minorEastAsia" w:hAnsiTheme="minorHAnsi" w:cstheme="minorBidi"/>
        </w:rPr>
      </w:pPr>
      <w:hyperlink w:anchor="_Toc16671654" w:history="1">
        <w:r w:rsidR="000A5622" w:rsidRPr="000F492C">
          <w:rPr>
            <w:rStyle w:val="Hyperlink"/>
          </w:rPr>
          <w:t>Table 56</w:t>
        </w:r>
        <w:r w:rsidR="000A5622">
          <w:rPr>
            <w:rFonts w:asciiTheme="minorHAnsi" w:eastAsiaTheme="minorEastAsia" w:hAnsiTheme="minorHAnsi" w:cstheme="minorBidi"/>
          </w:rPr>
          <w:tab/>
        </w:r>
        <w:r w:rsidR="000A5622" w:rsidRPr="000F492C">
          <w:rPr>
            <w:rStyle w:val="Hyperlink"/>
          </w:rPr>
          <w:t>Disaggregated costs</w:t>
        </w:r>
        <w:r w:rsidR="000A5622">
          <w:rPr>
            <w:webHidden/>
          </w:rPr>
          <w:tab/>
        </w:r>
        <w:r w:rsidR="000A5622">
          <w:rPr>
            <w:webHidden/>
          </w:rPr>
          <w:fldChar w:fldCharType="begin"/>
        </w:r>
        <w:r w:rsidR="000A5622">
          <w:rPr>
            <w:webHidden/>
          </w:rPr>
          <w:instrText xml:space="preserve"> PAGEREF _Toc16671654 \h </w:instrText>
        </w:r>
        <w:r w:rsidR="000A5622">
          <w:rPr>
            <w:webHidden/>
          </w:rPr>
        </w:r>
        <w:r w:rsidR="000A5622">
          <w:rPr>
            <w:webHidden/>
          </w:rPr>
          <w:fldChar w:fldCharType="separate"/>
        </w:r>
        <w:r w:rsidR="00A7463B">
          <w:rPr>
            <w:webHidden/>
          </w:rPr>
          <w:t>125</w:t>
        </w:r>
        <w:r w:rsidR="000A5622">
          <w:rPr>
            <w:webHidden/>
          </w:rPr>
          <w:fldChar w:fldCharType="end"/>
        </w:r>
      </w:hyperlink>
    </w:p>
    <w:p w14:paraId="451893EA" w14:textId="77777777" w:rsidR="000A5622" w:rsidRDefault="009F6E2C">
      <w:pPr>
        <w:pStyle w:val="TableofFigures"/>
        <w:rPr>
          <w:rFonts w:asciiTheme="minorHAnsi" w:eastAsiaTheme="minorEastAsia" w:hAnsiTheme="minorHAnsi" w:cstheme="minorBidi"/>
        </w:rPr>
      </w:pPr>
      <w:hyperlink w:anchor="_Toc16671655" w:history="1">
        <w:r w:rsidR="000A5622" w:rsidRPr="000F492C">
          <w:rPr>
            <w:rStyle w:val="Hyperlink"/>
          </w:rPr>
          <w:t>Table 57</w:t>
        </w:r>
        <w:r w:rsidR="000A5622">
          <w:rPr>
            <w:rFonts w:asciiTheme="minorHAnsi" w:eastAsiaTheme="minorEastAsia" w:hAnsiTheme="minorHAnsi" w:cstheme="minorBidi"/>
          </w:rPr>
          <w:tab/>
        </w:r>
        <w:r w:rsidR="000A5622" w:rsidRPr="000F492C">
          <w:rPr>
            <w:rStyle w:val="Hyperlink"/>
          </w:rPr>
          <w:t>Disaggregated LYs and QALYs</w:t>
        </w:r>
        <w:r w:rsidR="000A5622">
          <w:rPr>
            <w:webHidden/>
          </w:rPr>
          <w:tab/>
        </w:r>
        <w:r w:rsidR="000A5622">
          <w:rPr>
            <w:webHidden/>
          </w:rPr>
          <w:fldChar w:fldCharType="begin"/>
        </w:r>
        <w:r w:rsidR="000A5622">
          <w:rPr>
            <w:webHidden/>
          </w:rPr>
          <w:instrText xml:space="preserve"> PAGEREF _Toc16671655 \h </w:instrText>
        </w:r>
        <w:r w:rsidR="000A5622">
          <w:rPr>
            <w:webHidden/>
          </w:rPr>
        </w:r>
        <w:r w:rsidR="000A5622">
          <w:rPr>
            <w:webHidden/>
          </w:rPr>
          <w:fldChar w:fldCharType="separate"/>
        </w:r>
        <w:r w:rsidR="00A7463B">
          <w:rPr>
            <w:webHidden/>
          </w:rPr>
          <w:t>125</w:t>
        </w:r>
        <w:r w:rsidR="000A5622">
          <w:rPr>
            <w:webHidden/>
          </w:rPr>
          <w:fldChar w:fldCharType="end"/>
        </w:r>
      </w:hyperlink>
    </w:p>
    <w:p w14:paraId="5AEF488E" w14:textId="77777777" w:rsidR="000A5622" w:rsidRDefault="009F6E2C">
      <w:pPr>
        <w:pStyle w:val="TableofFigures"/>
        <w:rPr>
          <w:rFonts w:asciiTheme="minorHAnsi" w:eastAsiaTheme="minorEastAsia" w:hAnsiTheme="minorHAnsi" w:cstheme="minorBidi"/>
        </w:rPr>
      </w:pPr>
      <w:hyperlink w:anchor="_Toc16671656" w:history="1">
        <w:r w:rsidR="000A5622" w:rsidRPr="000F492C">
          <w:rPr>
            <w:rStyle w:val="Hyperlink"/>
          </w:rPr>
          <w:t>Table 58</w:t>
        </w:r>
        <w:r w:rsidR="000A5622">
          <w:rPr>
            <w:rFonts w:asciiTheme="minorHAnsi" w:eastAsiaTheme="minorEastAsia" w:hAnsiTheme="minorHAnsi" w:cstheme="minorBidi"/>
          </w:rPr>
          <w:tab/>
        </w:r>
        <w:r w:rsidR="000A5622" w:rsidRPr="000F492C">
          <w:rPr>
            <w:rStyle w:val="Hyperlink"/>
          </w:rPr>
          <w:t>Incremental cost-effectiveness ratios</w:t>
        </w:r>
        <w:r w:rsidR="000A5622">
          <w:rPr>
            <w:webHidden/>
          </w:rPr>
          <w:tab/>
        </w:r>
        <w:r w:rsidR="000A5622">
          <w:rPr>
            <w:webHidden/>
          </w:rPr>
          <w:fldChar w:fldCharType="begin"/>
        </w:r>
        <w:r w:rsidR="000A5622">
          <w:rPr>
            <w:webHidden/>
          </w:rPr>
          <w:instrText xml:space="preserve"> PAGEREF _Toc16671656 \h </w:instrText>
        </w:r>
        <w:r w:rsidR="000A5622">
          <w:rPr>
            <w:webHidden/>
          </w:rPr>
        </w:r>
        <w:r w:rsidR="000A5622">
          <w:rPr>
            <w:webHidden/>
          </w:rPr>
          <w:fldChar w:fldCharType="separate"/>
        </w:r>
        <w:r w:rsidR="00A7463B">
          <w:rPr>
            <w:webHidden/>
          </w:rPr>
          <w:t>128</w:t>
        </w:r>
        <w:r w:rsidR="000A5622">
          <w:rPr>
            <w:webHidden/>
          </w:rPr>
          <w:fldChar w:fldCharType="end"/>
        </w:r>
      </w:hyperlink>
    </w:p>
    <w:p w14:paraId="28BF5F02" w14:textId="77777777" w:rsidR="000A5622" w:rsidRDefault="009F6E2C">
      <w:pPr>
        <w:pStyle w:val="TableofFigures"/>
        <w:rPr>
          <w:rFonts w:asciiTheme="minorHAnsi" w:eastAsiaTheme="minorEastAsia" w:hAnsiTheme="minorHAnsi" w:cstheme="minorBidi"/>
        </w:rPr>
      </w:pPr>
      <w:hyperlink w:anchor="_Toc16671657" w:history="1">
        <w:r w:rsidR="000A5622" w:rsidRPr="000F492C">
          <w:rPr>
            <w:rStyle w:val="Hyperlink"/>
          </w:rPr>
          <w:t>Table 59</w:t>
        </w:r>
        <w:r w:rsidR="000A5622">
          <w:rPr>
            <w:rFonts w:asciiTheme="minorHAnsi" w:eastAsiaTheme="minorEastAsia" w:hAnsiTheme="minorHAnsi" w:cstheme="minorBidi"/>
          </w:rPr>
          <w:tab/>
        </w:r>
        <w:r w:rsidR="000A5622" w:rsidRPr="000F492C">
          <w:rPr>
            <w:rStyle w:val="Hyperlink"/>
          </w:rPr>
          <w:t>Scenario analyses regarding the cost of Ig</w:t>
        </w:r>
        <w:r w:rsidR="000A5622">
          <w:rPr>
            <w:webHidden/>
          </w:rPr>
          <w:tab/>
        </w:r>
        <w:r w:rsidR="000A5622">
          <w:rPr>
            <w:webHidden/>
          </w:rPr>
          <w:fldChar w:fldCharType="begin"/>
        </w:r>
        <w:r w:rsidR="000A5622">
          <w:rPr>
            <w:webHidden/>
          </w:rPr>
          <w:instrText xml:space="preserve"> PAGEREF _Toc16671657 \h </w:instrText>
        </w:r>
        <w:r w:rsidR="000A5622">
          <w:rPr>
            <w:webHidden/>
          </w:rPr>
        </w:r>
        <w:r w:rsidR="000A5622">
          <w:rPr>
            <w:webHidden/>
          </w:rPr>
          <w:fldChar w:fldCharType="separate"/>
        </w:r>
        <w:r w:rsidR="00A7463B">
          <w:rPr>
            <w:webHidden/>
          </w:rPr>
          <w:t>128</w:t>
        </w:r>
        <w:r w:rsidR="000A5622">
          <w:rPr>
            <w:webHidden/>
          </w:rPr>
          <w:fldChar w:fldCharType="end"/>
        </w:r>
      </w:hyperlink>
    </w:p>
    <w:p w14:paraId="50AC8706" w14:textId="77777777" w:rsidR="000A5622" w:rsidRDefault="009F6E2C">
      <w:pPr>
        <w:pStyle w:val="TableofFigures"/>
        <w:rPr>
          <w:rFonts w:asciiTheme="minorHAnsi" w:eastAsiaTheme="minorEastAsia" w:hAnsiTheme="minorHAnsi" w:cstheme="minorBidi"/>
        </w:rPr>
      </w:pPr>
      <w:hyperlink w:anchor="_Toc16671658" w:history="1">
        <w:r w:rsidR="000A5622" w:rsidRPr="000F492C">
          <w:rPr>
            <w:rStyle w:val="Hyperlink"/>
          </w:rPr>
          <w:t>Table 60</w:t>
        </w:r>
        <w:r w:rsidR="000A5622">
          <w:rPr>
            <w:rFonts w:asciiTheme="minorHAnsi" w:eastAsiaTheme="minorEastAsia" w:hAnsiTheme="minorHAnsi" w:cstheme="minorBidi"/>
          </w:rPr>
          <w:tab/>
        </w:r>
        <w:r w:rsidR="000A5622" w:rsidRPr="000F492C">
          <w:rPr>
            <w:rStyle w:val="Hyperlink"/>
          </w:rPr>
          <w:t>Scenario analyses based on the study which included antibiotic prophylaxis</w:t>
        </w:r>
        <w:r w:rsidR="000A5622">
          <w:rPr>
            <w:webHidden/>
          </w:rPr>
          <w:tab/>
        </w:r>
        <w:r w:rsidR="000A5622">
          <w:rPr>
            <w:webHidden/>
          </w:rPr>
          <w:fldChar w:fldCharType="begin"/>
        </w:r>
        <w:r w:rsidR="000A5622">
          <w:rPr>
            <w:webHidden/>
          </w:rPr>
          <w:instrText xml:space="preserve"> PAGEREF _Toc16671658 \h </w:instrText>
        </w:r>
        <w:r w:rsidR="000A5622">
          <w:rPr>
            <w:webHidden/>
          </w:rPr>
        </w:r>
        <w:r w:rsidR="000A5622">
          <w:rPr>
            <w:webHidden/>
          </w:rPr>
          <w:fldChar w:fldCharType="separate"/>
        </w:r>
        <w:r w:rsidR="00A7463B">
          <w:rPr>
            <w:webHidden/>
          </w:rPr>
          <w:t>128</w:t>
        </w:r>
        <w:r w:rsidR="000A5622">
          <w:rPr>
            <w:webHidden/>
          </w:rPr>
          <w:fldChar w:fldCharType="end"/>
        </w:r>
      </w:hyperlink>
    </w:p>
    <w:p w14:paraId="05C4CCF9" w14:textId="77777777" w:rsidR="000A5622" w:rsidRDefault="009F6E2C">
      <w:pPr>
        <w:pStyle w:val="TableofFigures"/>
        <w:rPr>
          <w:rFonts w:asciiTheme="minorHAnsi" w:eastAsiaTheme="minorEastAsia" w:hAnsiTheme="minorHAnsi" w:cstheme="minorBidi"/>
        </w:rPr>
      </w:pPr>
      <w:hyperlink w:anchor="_Toc16671659" w:history="1">
        <w:r w:rsidR="000A5622" w:rsidRPr="000F492C">
          <w:rPr>
            <w:rStyle w:val="Hyperlink"/>
          </w:rPr>
          <w:t>Table 61</w:t>
        </w:r>
        <w:r w:rsidR="000A5622">
          <w:rPr>
            <w:rFonts w:asciiTheme="minorHAnsi" w:eastAsiaTheme="minorEastAsia" w:hAnsiTheme="minorHAnsi" w:cstheme="minorBidi"/>
          </w:rPr>
          <w:tab/>
        </w:r>
        <w:r w:rsidR="000A5622" w:rsidRPr="000F492C">
          <w:rPr>
            <w:rStyle w:val="Hyperlink"/>
          </w:rPr>
          <w:t>Scenario analyses estimating indicative cost-effectiveness per indication</w:t>
        </w:r>
        <w:r w:rsidR="000A5622">
          <w:rPr>
            <w:webHidden/>
          </w:rPr>
          <w:tab/>
        </w:r>
        <w:r w:rsidR="000A5622">
          <w:rPr>
            <w:webHidden/>
          </w:rPr>
          <w:fldChar w:fldCharType="begin"/>
        </w:r>
        <w:r w:rsidR="000A5622">
          <w:rPr>
            <w:webHidden/>
          </w:rPr>
          <w:instrText xml:space="preserve"> PAGEREF _Toc16671659 \h </w:instrText>
        </w:r>
        <w:r w:rsidR="000A5622">
          <w:rPr>
            <w:webHidden/>
          </w:rPr>
        </w:r>
        <w:r w:rsidR="000A5622">
          <w:rPr>
            <w:webHidden/>
          </w:rPr>
          <w:fldChar w:fldCharType="separate"/>
        </w:r>
        <w:r w:rsidR="00A7463B">
          <w:rPr>
            <w:webHidden/>
          </w:rPr>
          <w:t>130</w:t>
        </w:r>
        <w:r w:rsidR="000A5622">
          <w:rPr>
            <w:webHidden/>
          </w:rPr>
          <w:fldChar w:fldCharType="end"/>
        </w:r>
      </w:hyperlink>
    </w:p>
    <w:p w14:paraId="69F80D20" w14:textId="77777777" w:rsidR="000A5622" w:rsidRDefault="009F6E2C">
      <w:pPr>
        <w:pStyle w:val="TableofFigures"/>
        <w:rPr>
          <w:rFonts w:asciiTheme="minorHAnsi" w:eastAsiaTheme="minorEastAsia" w:hAnsiTheme="minorHAnsi" w:cstheme="minorBidi"/>
        </w:rPr>
      </w:pPr>
      <w:hyperlink w:anchor="_Toc16671660" w:history="1">
        <w:r w:rsidR="000A5622" w:rsidRPr="000F492C">
          <w:rPr>
            <w:rStyle w:val="Hyperlink"/>
          </w:rPr>
          <w:t>Table 62</w:t>
        </w:r>
        <w:r w:rsidR="000A5622">
          <w:rPr>
            <w:rFonts w:asciiTheme="minorHAnsi" w:eastAsiaTheme="minorEastAsia" w:hAnsiTheme="minorHAnsi" w:cstheme="minorBidi"/>
          </w:rPr>
          <w:tab/>
        </w:r>
        <w:r w:rsidR="000A5622" w:rsidRPr="000F492C">
          <w:rPr>
            <w:rStyle w:val="Hyperlink"/>
          </w:rPr>
          <w:t>Disaggregated events estimated for each of the per-indication analyses</w:t>
        </w:r>
        <w:r w:rsidR="000A5622">
          <w:rPr>
            <w:webHidden/>
          </w:rPr>
          <w:tab/>
        </w:r>
        <w:r w:rsidR="000A5622">
          <w:rPr>
            <w:webHidden/>
          </w:rPr>
          <w:fldChar w:fldCharType="begin"/>
        </w:r>
        <w:r w:rsidR="000A5622">
          <w:rPr>
            <w:webHidden/>
          </w:rPr>
          <w:instrText xml:space="preserve"> PAGEREF _Toc16671660 \h </w:instrText>
        </w:r>
        <w:r w:rsidR="000A5622">
          <w:rPr>
            <w:webHidden/>
          </w:rPr>
        </w:r>
        <w:r w:rsidR="000A5622">
          <w:rPr>
            <w:webHidden/>
          </w:rPr>
          <w:fldChar w:fldCharType="separate"/>
        </w:r>
        <w:r w:rsidR="00A7463B">
          <w:rPr>
            <w:webHidden/>
          </w:rPr>
          <w:t>132</w:t>
        </w:r>
        <w:r w:rsidR="000A5622">
          <w:rPr>
            <w:webHidden/>
          </w:rPr>
          <w:fldChar w:fldCharType="end"/>
        </w:r>
      </w:hyperlink>
    </w:p>
    <w:p w14:paraId="6C1C65F4" w14:textId="77777777" w:rsidR="000A5622" w:rsidRDefault="009F6E2C">
      <w:pPr>
        <w:pStyle w:val="TableofFigures"/>
        <w:rPr>
          <w:rFonts w:asciiTheme="minorHAnsi" w:eastAsiaTheme="minorEastAsia" w:hAnsiTheme="minorHAnsi" w:cstheme="minorBidi"/>
        </w:rPr>
      </w:pPr>
      <w:hyperlink w:anchor="_Toc16671661" w:history="1">
        <w:r w:rsidR="000A5622" w:rsidRPr="000F492C">
          <w:rPr>
            <w:rStyle w:val="Hyperlink"/>
          </w:rPr>
          <w:t>Table 63</w:t>
        </w:r>
        <w:r w:rsidR="000A5622">
          <w:rPr>
            <w:rFonts w:asciiTheme="minorHAnsi" w:eastAsiaTheme="minorEastAsia" w:hAnsiTheme="minorHAnsi" w:cstheme="minorBidi"/>
          </w:rPr>
          <w:tab/>
        </w:r>
        <w:r w:rsidR="000A5622" w:rsidRPr="000F492C">
          <w:rPr>
            <w:rStyle w:val="Hyperlink"/>
          </w:rPr>
          <w:t>Key sensitivity analyses</w:t>
        </w:r>
        <w:r w:rsidR="000A5622">
          <w:rPr>
            <w:webHidden/>
          </w:rPr>
          <w:tab/>
        </w:r>
        <w:r w:rsidR="000A5622">
          <w:rPr>
            <w:webHidden/>
          </w:rPr>
          <w:fldChar w:fldCharType="begin"/>
        </w:r>
        <w:r w:rsidR="000A5622">
          <w:rPr>
            <w:webHidden/>
          </w:rPr>
          <w:instrText xml:space="preserve"> PAGEREF _Toc16671661 \h </w:instrText>
        </w:r>
        <w:r w:rsidR="000A5622">
          <w:rPr>
            <w:webHidden/>
          </w:rPr>
        </w:r>
        <w:r w:rsidR="000A5622">
          <w:rPr>
            <w:webHidden/>
          </w:rPr>
          <w:fldChar w:fldCharType="separate"/>
        </w:r>
        <w:r w:rsidR="00A7463B">
          <w:rPr>
            <w:webHidden/>
          </w:rPr>
          <w:t>133</w:t>
        </w:r>
        <w:r w:rsidR="000A5622">
          <w:rPr>
            <w:webHidden/>
          </w:rPr>
          <w:fldChar w:fldCharType="end"/>
        </w:r>
      </w:hyperlink>
    </w:p>
    <w:p w14:paraId="18803FF9" w14:textId="77777777" w:rsidR="000A5622" w:rsidRDefault="009F6E2C">
      <w:pPr>
        <w:pStyle w:val="TableofFigures"/>
        <w:rPr>
          <w:rFonts w:asciiTheme="minorHAnsi" w:eastAsiaTheme="minorEastAsia" w:hAnsiTheme="minorHAnsi" w:cstheme="minorBidi"/>
        </w:rPr>
      </w:pPr>
      <w:hyperlink w:anchor="_Toc16671662" w:history="1">
        <w:r w:rsidR="000A5622" w:rsidRPr="000F492C">
          <w:rPr>
            <w:rStyle w:val="Hyperlink"/>
          </w:rPr>
          <w:t>Table 64</w:t>
        </w:r>
        <w:r w:rsidR="000A5622">
          <w:rPr>
            <w:rFonts w:asciiTheme="minorHAnsi" w:eastAsiaTheme="minorEastAsia" w:hAnsiTheme="minorHAnsi" w:cstheme="minorBidi"/>
          </w:rPr>
          <w:tab/>
        </w:r>
        <w:r w:rsidR="000A5622" w:rsidRPr="000F492C">
          <w:rPr>
            <w:rStyle w:val="Hyperlink"/>
          </w:rPr>
          <w:t>Number of patients who received Ig by indication, 2011-12 to 2017-18</w:t>
        </w:r>
        <w:r w:rsidR="000A5622">
          <w:rPr>
            <w:webHidden/>
          </w:rPr>
          <w:tab/>
        </w:r>
        <w:r w:rsidR="000A5622">
          <w:rPr>
            <w:webHidden/>
          </w:rPr>
          <w:fldChar w:fldCharType="begin"/>
        </w:r>
        <w:r w:rsidR="000A5622">
          <w:rPr>
            <w:webHidden/>
          </w:rPr>
          <w:instrText xml:space="preserve"> PAGEREF _Toc16671662 \h </w:instrText>
        </w:r>
        <w:r w:rsidR="000A5622">
          <w:rPr>
            <w:webHidden/>
          </w:rPr>
        </w:r>
        <w:r w:rsidR="000A5622">
          <w:rPr>
            <w:webHidden/>
          </w:rPr>
          <w:fldChar w:fldCharType="separate"/>
        </w:r>
        <w:r w:rsidR="00A7463B">
          <w:rPr>
            <w:webHidden/>
          </w:rPr>
          <w:t>135</w:t>
        </w:r>
        <w:r w:rsidR="000A5622">
          <w:rPr>
            <w:webHidden/>
          </w:rPr>
          <w:fldChar w:fldCharType="end"/>
        </w:r>
      </w:hyperlink>
    </w:p>
    <w:p w14:paraId="0B22F087" w14:textId="77777777" w:rsidR="000A5622" w:rsidRDefault="009F6E2C">
      <w:pPr>
        <w:pStyle w:val="TableofFigures"/>
        <w:rPr>
          <w:rFonts w:asciiTheme="minorHAnsi" w:eastAsiaTheme="minorEastAsia" w:hAnsiTheme="minorHAnsi" w:cstheme="minorBidi"/>
        </w:rPr>
      </w:pPr>
      <w:hyperlink w:anchor="_Toc16671663" w:history="1">
        <w:r w:rsidR="000A5622" w:rsidRPr="000F492C">
          <w:rPr>
            <w:rStyle w:val="Hyperlink"/>
          </w:rPr>
          <w:t>Table 65</w:t>
        </w:r>
        <w:r w:rsidR="000A5622">
          <w:rPr>
            <w:rFonts w:asciiTheme="minorHAnsi" w:eastAsiaTheme="minorEastAsia" w:hAnsiTheme="minorHAnsi" w:cstheme="minorBidi"/>
          </w:rPr>
          <w:tab/>
        </w:r>
        <w:r w:rsidR="000A5622" w:rsidRPr="000F492C">
          <w:rPr>
            <w:rStyle w:val="Hyperlink"/>
          </w:rPr>
          <w:t>Ig grams issued by indication, 2011-12 to 2017-18</w:t>
        </w:r>
        <w:r w:rsidR="000A5622">
          <w:rPr>
            <w:webHidden/>
          </w:rPr>
          <w:tab/>
        </w:r>
        <w:r w:rsidR="000A5622">
          <w:rPr>
            <w:webHidden/>
          </w:rPr>
          <w:fldChar w:fldCharType="begin"/>
        </w:r>
        <w:r w:rsidR="000A5622">
          <w:rPr>
            <w:webHidden/>
          </w:rPr>
          <w:instrText xml:space="preserve"> PAGEREF _Toc16671663 \h </w:instrText>
        </w:r>
        <w:r w:rsidR="000A5622">
          <w:rPr>
            <w:webHidden/>
          </w:rPr>
        </w:r>
        <w:r w:rsidR="000A5622">
          <w:rPr>
            <w:webHidden/>
          </w:rPr>
          <w:fldChar w:fldCharType="separate"/>
        </w:r>
        <w:r w:rsidR="00A7463B">
          <w:rPr>
            <w:webHidden/>
          </w:rPr>
          <w:t>136</w:t>
        </w:r>
        <w:r w:rsidR="000A5622">
          <w:rPr>
            <w:webHidden/>
          </w:rPr>
          <w:fldChar w:fldCharType="end"/>
        </w:r>
      </w:hyperlink>
    </w:p>
    <w:p w14:paraId="56721FF1" w14:textId="77777777" w:rsidR="000A5622" w:rsidRDefault="009F6E2C">
      <w:pPr>
        <w:pStyle w:val="TableofFigures"/>
        <w:rPr>
          <w:rFonts w:asciiTheme="minorHAnsi" w:eastAsiaTheme="minorEastAsia" w:hAnsiTheme="minorHAnsi" w:cstheme="minorBidi"/>
        </w:rPr>
      </w:pPr>
      <w:hyperlink w:anchor="_Toc16671664" w:history="1">
        <w:r w:rsidR="000A5622" w:rsidRPr="000F492C">
          <w:rPr>
            <w:rStyle w:val="Hyperlink"/>
          </w:rPr>
          <w:t>Table 66</w:t>
        </w:r>
        <w:r w:rsidR="000A5622">
          <w:rPr>
            <w:rFonts w:asciiTheme="minorHAnsi" w:eastAsiaTheme="minorEastAsia" w:hAnsiTheme="minorHAnsi" w:cstheme="minorBidi"/>
          </w:rPr>
          <w:tab/>
        </w:r>
        <w:r w:rsidR="000A5622" w:rsidRPr="000F492C">
          <w:rPr>
            <w:rStyle w:val="Hyperlink"/>
          </w:rPr>
          <w:t>Number of patients projected to receive Ig by indication, 2019-20 to 2023-24</w:t>
        </w:r>
        <w:r w:rsidR="000A5622">
          <w:rPr>
            <w:webHidden/>
          </w:rPr>
          <w:tab/>
        </w:r>
        <w:r w:rsidR="000A5622">
          <w:rPr>
            <w:webHidden/>
          </w:rPr>
          <w:fldChar w:fldCharType="begin"/>
        </w:r>
        <w:r w:rsidR="000A5622">
          <w:rPr>
            <w:webHidden/>
          </w:rPr>
          <w:instrText xml:space="preserve"> PAGEREF _Toc16671664 \h </w:instrText>
        </w:r>
        <w:r w:rsidR="000A5622">
          <w:rPr>
            <w:webHidden/>
          </w:rPr>
        </w:r>
        <w:r w:rsidR="000A5622">
          <w:rPr>
            <w:webHidden/>
          </w:rPr>
          <w:fldChar w:fldCharType="separate"/>
        </w:r>
        <w:r w:rsidR="00A7463B">
          <w:rPr>
            <w:webHidden/>
          </w:rPr>
          <w:t>137</w:t>
        </w:r>
        <w:r w:rsidR="000A5622">
          <w:rPr>
            <w:webHidden/>
          </w:rPr>
          <w:fldChar w:fldCharType="end"/>
        </w:r>
      </w:hyperlink>
    </w:p>
    <w:p w14:paraId="73404387" w14:textId="77777777" w:rsidR="000A5622" w:rsidRDefault="009F6E2C">
      <w:pPr>
        <w:pStyle w:val="TableofFigures"/>
        <w:rPr>
          <w:rFonts w:asciiTheme="minorHAnsi" w:eastAsiaTheme="minorEastAsia" w:hAnsiTheme="minorHAnsi" w:cstheme="minorBidi"/>
        </w:rPr>
      </w:pPr>
      <w:hyperlink w:anchor="_Toc16671665" w:history="1">
        <w:r w:rsidR="000A5622" w:rsidRPr="000F492C">
          <w:rPr>
            <w:rStyle w:val="Hyperlink"/>
          </w:rPr>
          <w:t>Table 67</w:t>
        </w:r>
        <w:r w:rsidR="000A5622">
          <w:rPr>
            <w:rFonts w:asciiTheme="minorHAnsi" w:eastAsiaTheme="minorEastAsia" w:hAnsiTheme="minorHAnsi" w:cstheme="minorBidi"/>
          </w:rPr>
          <w:tab/>
        </w:r>
        <w:r w:rsidR="000A5622" w:rsidRPr="000F492C">
          <w:rPr>
            <w:rStyle w:val="Hyperlink"/>
          </w:rPr>
          <w:t>Number of Ig grams issued by indication, 2019-20 to 2023-24</w:t>
        </w:r>
        <w:r w:rsidR="000A5622">
          <w:rPr>
            <w:webHidden/>
          </w:rPr>
          <w:tab/>
        </w:r>
        <w:r w:rsidR="000A5622">
          <w:rPr>
            <w:webHidden/>
          </w:rPr>
          <w:fldChar w:fldCharType="begin"/>
        </w:r>
        <w:r w:rsidR="000A5622">
          <w:rPr>
            <w:webHidden/>
          </w:rPr>
          <w:instrText xml:space="preserve"> PAGEREF _Toc16671665 \h </w:instrText>
        </w:r>
        <w:r w:rsidR="000A5622">
          <w:rPr>
            <w:webHidden/>
          </w:rPr>
        </w:r>
        <w:r w:rsidR="000A5622">
          <w:rPr>
            <w:webHidden/>
          </w:rPr>
          <w:fldChar w:fldCharType="separate"/>
        </w:r>
        <w:r w:rsidR="00A7463B">
          <w:rPr>
            <w:webHidden/>
          </w:rPr>
          <w:t>138</w:t>
        </w:r>
        <w:r w:rsidR="000A5622">
          <w:rPr>
            <w:webHidden/>
          </w:rPr>
          <w:fldChar w:fldCharType="end"/>
        </w:r>
      </w:hyperlink>
    </w:p>
    <w:p w14:paraId="036B903A" w14:textId="77777777" w:rsidR="000A5622" w:rsidRDefault="009F6E2C">
      <w:pPr>
        <w:pStyle w:val="TableofFigures"/>
        <w:rPr>
          <w:rFonts w:asciiTheme="minorHAnsi" w:eastAsiaTheme="minorEastAsia" w:hAnsiTheme="minorHAnsi" w:cstheme="minorBidi"/>
        </w:rPr>
      </w:pPr>
      <w:hyperlink w:anchor="_Toc16671666" w:history="1">
        <w:r w:rsidR="000A5622" w:rsidRPr="000F492C">
          <w:rPr>
            <w:rStyle w:val="Hyperlink"/>
          </w:rPr>
          <w:t>Table 68</w:t>
        </w:r>
        <w:r w:rsidR="000A5622">
          <w:rPr>
            <w:rFonts w:asciiTheme="minorHAnsi" w:eastAsiaTheme="minorEastAsia" w:hAnsiTheme="minorHAnsi" w:cstheme="minorBidi"/>
          </w:rPr>
          <w:tab/>
        </w:r>
        <w:r w:rsidR="000A5622" w:rsidRPr="000F492C">
          <w:rPr>
            <w:rStyle w:val="Hyperlink"/>
          </w:rPr>
          <w:t>Average Ig use (g) per patient per year</w:t>
        </w:r>
        <w:r w:rsidR="000A5622">
          <w:rPr>
            <w:webHidden/>
          </w:rPr>
          <w:tab/>
        </w:r>
        <w:r w:rsidR="000A5622">
          <w:rPr>
            <w:webHidden/>
          </w:rPr>
          <w:fldChar w:fldCharType="begin"/>
        </w:r>
        <w:r w:rsidR="000A5622">
          <w:rPr>
            <w:webHidden/>
          </w:rPr>
          <w:instrText xml:space="preserve"> PAGEREF _Toc16671666 \h </w:instrText>
        </w:r>
        <w:r w:rsidR="000A5622">
          <w:rPr>
            <w:webHidden/>
          </w:rPr>
        </w:r>
        <w:r w:rsidR="000A5622">
          <w:rPr>
            <w:webHidden/>
          </w:rPr>
          <w:fldChar w:fldCharType="separate"/>
        </w:r>
        <w:r w:rsidR="00A7463B">
          <w:rPr>
            <w:webHidden/>
          </w:rPr>
          <w:t>138</w:t>
        </w:r>
        <w:r w:rsidR="000A5622">
          <w:rPr>
            <w:webHidden/>
          </w:rPr>
          <w:fldChar w:fldCharType="end"/>
        </w:r>
      </w:hyperlink>
    </w:p>
    <w:p w14:paraId="5088B00D" w14:textId="77777777" w:rsidR="000A5622" w:rsidRDefault="009F6E2C">
      <w:pPr>
        <w:pStyle w:val="TableofFigures"/>
        <w:rPr>
          <w:rFonts w:asciiTheme="minorHAnsi" w:eastAsiaTheme="minorEastAsia" w:hAnsiTheme="minorHAnsi" w:cstheme="minorBidi"/>
        </w:rPr>
      </w:pPr>
      <w:hyperlink w:anchor="_Toc16671667" w:history="1">
        <w:r w:rsidR="000A5622" w:rsidRPr="000F492C">
          <w:rPr>
            <w:rStyle w:val="Hyperlink"/>
          </w:rPr>
          <w:t>Table 69</w:t>
        </w:r>
        <w:r w:rsidR="000A5622">
          <w:rPr>
            <w:rFonts w:asciiTheme="minorHAnsi" w:eastAsiaTheme="minorEastAsia" w:hAnsiTheme="minorHAnsi" w:cstheme="minorBidi"/>
          </w:rPr>
          <w:tab/>
        </w:r>
        <w:r w:rsidR="000A5622" w:rsidRPr="000F492C">
          <w:rPr>
            <w:rStyle w:val="Hyperlink"/>
          </w:rPr>
          <w:t>Cost of Ig for acquired hypogammaglobulinaemia, 2019-20 to 2023-24</w:t>
        </w:r>
        <w:r w:rsidR="000A5622">
          <w:rPr>
            <w:webHidden/>
          </w:rPr>
          <w:tab/>
        </w:r>
        <w:r w:rsidR="000A5622">
          <w:rPr>
            <w:webHidden/>
          </w:rPr>
          <w:fldChar w:fldCharType="begin"/>
        </w:r>
        <w:r w:rsidR="000A5622">
          <w:rPr>
            <w:webHidden/>
          </w:rPr>
          <w:instrText xml:space="preserve"> PAGEREF _Toc16671667 \h </w:instrText>
        </w:r>
        <w:r w:rsidR="000A5622">
          <w:rPr>
            <w:webHidden/>
          </w:rPr>
        </w:r>
        <w:r w:rsidR="000A5622">
          <w:rPr>
            <w:webHidden/>
          </w:rPr>
          <w:fldChar w:fldCharType="separate"/>
        </w:r>
        <w:r w:rsidR="00A7463B">
          <w:rPr>
            <w:webHidden/>
          </w:rPr>
          <w:t>139</w:t>
        </w:r>
        <w:r w:rsidR="000A5622">
          <w:rPr>
            <w:webHidden/>
          </w:rPr>
          <w:fldChar w:fldCharType="end"/>
        </w:r>
      </w:hyperlink>
    </w:p>
    <w:p w14:paraId="26D6B84B" w14:textId="77777777" w:rsidR="000A5622" w:rsidRDefault="009F6E2C">
      <w:pPr>
        <w:pStyle w:val="TableofFigures"/>
        <w:rPr>
          <w:rFonts w:asciiTheme="minorHAnsi" w:eastAsiaTheme="minorEastAsia" w:hAnsiTheme="minorHAnsi" w:cstheme="minorBidi"/>
        </w:rPr>
      </w:pPr>
      <w:hyperlink w:anchor="_Toc16671668" w:history="1">
        <w:r w:rsidR="000A5622" w:rsidRPr="000F492C">
          <w:rPr>
            <w:rStyle w:val="Hyperlink"/>
          </w:rPr>
          <w:t>Table 70</w:t>
        </w:r>
        <w:r w:rsidR="000A5622">
          <w:rPr>
            <w:rFonts w:asciiTheme="minorHAnsi" w:eastAsiaTheme="minorEastAsia" w:hAnsiTheme="minorHAnsi" w:cstheme="minorBidi"/>
          </w:rPr>
          <w:tab/>
        </w:r>
        <w:r w:rsidR="000A5622" w:rsidRPr="000F492C">
          <w:rPr>
            <w:rStyle w:val="Hyperlink"/>
          </w:rPr>
          <w:t>Average number of treatment episodes per year</w:t>
        </w:r>
        <w:r w:rsidR="000A5622">
          <w:rPr>
            <w:webHidden/>
          </w:rPr>
          <w:tab/>
        </w:r>
        <w:r w:rsidR="000A5622">
          <w:rPr>
            <w:webHidden/>
          </w:rPr>
          <w:fldChar w:fldCharType="begin"/>
        </w:r>
        <w:r w:rsidR="000A5622">
          <w:rPr>
            <w:webHidden/>
          </w:rPr>
          <w:instrText xml:space="preserve"> PAGEREF _Toc16671668 \h </w:instrText>
        </w:r>
        <w:r w:rsidR="000A5622">
          <w:rPr>
            <w:webHidden/>
          </w:rPr>
        </w:r>
        <w:r w:rsidR="000A5622">
          <w:rPr>
            <w:webHidden/>
          </w:rPr>
          <w:fldChar w:fldCharType="separate"/>
        </w:r>
        <w:r w:rsidR="00A7463B">
          <w:rPr>
            <w:webHidden/>
          </w:rPr>
          <w:t>140</w:t>
        </w:r>
        <w:r w:rsidR="000A5622">
          <w:rPr>
            <w:webHidden/>
          </w:rPr>
          <w:fldChar w:fldCharType="end"/>
        </w:r>
      </w:hyperlink>
    </w:p>
    <w:p w14:paraId="1668D95C" w14:textId="77777777" w:rsidR="000A5622" w:rsidRDefault="009F6E2C">
      <w:pPr>
        <w:pStyle w:val="TableofFigures"/>
        <w:rPr>
          <w:rFonts w:asciiTheme="minorHAnsi" w:eastAsiaTheme="minorEastAsia" w:hAnsiTheme="minorHAnsi" w:cstheme="minorBidi"/>
        </w:rPr>
      </w:pPr>
      <w:hyperlink w:anchor="_Toc16671669" w:history="1">
        <w:r w:rsidR="000A5622" w:rsidRPr="000F492C">
          <w:rPr>
            <w:rStyle w:val="Hyperlink"/>
          </w:rPr>
          <w:t>Table 71</w:t>
        </w:r>
        <w:r w:rsidR="000A5622">
          <w:rPr>
            <w:rFonts w:asciiTheme="minorHAnsi" w:eastAsiaTheme="minorEastAsia" w:hAnsiTheme="minorHAnsi" w:cstheme="minorBidi"/>
          </w:rPr>
          <w:tab/>
        </w:r>
        <w:r w:rsidR="000A5622" w:rsidRPr="000F492C">
          <w:rPr>
            <w:rStyle w:val="Hyperlink"/>
          </w:rPr>
          <w:t>Additional costs due to Ig administration</w:t>
        </w:r>
        <w:r w:rsidR="000A5622">
          <w:rPr>
            <w:webHidden/>
          </w:rPr>
          <w:tab/>
        </w:r>
        <w:r w:rsidR="000A5622">
          <w:rPr>
            <w:webHidden/>
          </w:rPr>
          <w:fldChar w:fldCharType="begin"/>
        </w:r>
        <w:r w:rsidR="000A5622">
          <w:rPr>
            <w:webHidden/>
          </w:rPr>
          <w:instrText xml:space="preserve"> PAGEREF _Toc16671669 \h </w:instrText>
        </w:r>
        <w:r w:rsidR="000A5622">
          <w:rPr>
            <w:webHidden/>
          </w:rPr>
        </w:r>
        <w:r w:rsidR="000A5622">
          <w:rPr>
            <w:webHidden/>
          </w:rPr>
          <w:fldChar w:fldCharType="separate"/>
        </w:r>
        <w:r w:rsidR="00A7463B">
          <w:rPr>
            <w:webHidden/>
          </w:rPr>
          <w:t>140</w:t>
        </w:r>
        <w:r w:rsidR="000A5622">
          <w:rPr>
            <w:webHidden/>
          </w:rPr>
          <w:fldChar w:fldCharType="end"/>
        </w:r>
      </w:hyperlink>
    </w:p>
    <w:p w14:paraId="4F67562B" w14:textId="77777777" w:rsidR="000A5622" w:rsidRDefault="009F6E2C">
      <w:pPr>
        <w:pStyle w:val="TableofFigures"/>
        <w:rPr>
          <w:rFonts w:asciiTheme="minorHAnsi" w:eastAsiaTheme="minorEastAsia" w:hAnsiTheme="minorHAnsi" w:cstheme="minorBidi"/>
        </w:rPr>
      </w:pPr>
      <w:hyperlink w:anchor="_Toc16671670" w:history="1">
        <w:r w:rsidR="000A5622" w:rsidRPr="000F492C">
          <w:rPr>
            <w:rStyle w:val="Hyperlink"/>
          </w:rPr>
          <w:t>Table 72</w:t>
        </w:r>
        <w:r w:rsidR="000A5622">
          <w:rPr>
            <w:rFonts w:asciiTheme="minorHAnsi" w:eastAsiaTheme="minorEastAsia" w:hAnsiTheme="minorHAnsi" w:cstheme="minorBidi"/>
          </w:rPr>
          <w:tab/>
        </w:r>
        <w:r w:rsidR="000A5622" w:rsidRPr="000F492C">
          <w:rPr>
            <w:rStyle w:val="Hyperlink"/>
          </w:rPr>
          <w:t>Cost offsets associated with Ig use due to a reduction in infections</w:t>
        </w:r>
        <w:r w:rsidR="000A5622">
          <w:rPr>
            <w:webHidden/>
          </w:rPr>
          <w:tab/>
        </w:r>
        <w:r w:rsidR="000A5622">
          <w:rPr>
            <w:webHidden/>
          </w:rPr>
          <w:fldChar w:fldCharType="begin"/>
        </w:r>
        <w:r w:rsidR="000A5622">
          <w:rPr>
            <w:webHidden/>
          </w:rPr>
          <w:instrText xml:space="preserve"> PAGEREF _Toc16671670 \h </w:instrText>
        </w:r>
        <w:r w:rsidR="000A5622">
          <w:rPr>
            <w:webHidden/>
          </w:rPr>
        </w:r>
        <w:r w:rsidR="000A5622">
          <w:rPr>
            <w:webHidden/>
          </w:rPr>
          <w:fldChar w:fldCharType="separate"/>
        </w:r>
        <w:r w:rsidR="00A7463B">
          <w:rPr>
            <w:webHidden/>
          </w:rPr>
          <w:t>141</w:t>
        </w:r>
        <w:r w:rsidR="000A5622">
          <w:rPr>
            <w:webHidden/>
          </w:rPr>
          <w:fldChar w:fldCharType="end"/>
        </w:r>
      </w:hyperlink>
    </w:p>
    <w:p w14:paraId="4A618EDB" w14:textId="77777777" w:rsidR="000A5622" w:rsidRDefault="009F6E2C">
      <w:pPr>
        <w:pStyle w:val="TableofFigures"/>
        <w:rPr>
          <w:rFonts w:asciiTheme="minorHAnsi" w:eastAsiaTheme="minorEastAsia" w:hAnsiTheme="minorHAnsi" w:cstheme="minorBidi"/>
        </w:rPr>
      </w:pPr>
      <w:hyperlink w:anchor="_Toc16671671" w:history="1">
        <w:r w:rsidR="000A5622" w:rsidRPr="000F492C">
          <w:rPr>
            <w:rStyle w:val="Hyperlink"/>
          </w:rPr>
          <w:t>Table 73</w:t>
        </w:r>
        <w:r w:rsidR="000A5622">
          <w:rPr>
            <w:rFonts w:asciiTheme="minorHAnsi" w:eastAsiaTheme="minorEastAsia" w:hAnsiTheme="minorHAnsi" w:cstheme="minorBidi"/>
          </w:rPr>
          <w:tab/>
        </w:r>
        <w:r w:rsidR="000A5622" w:rsidRPr="000F492C">
          <w:rPr>
            <w:rStyle w:val="Hyperlink"/>
          </w:rPr>
          <w:t>Net financial implications to government associated with Ig for acquired hypogammaglobulinaemia</w:t>
        </w:r>
        <w:r w:rsidR="000A5622">
          <w:rPr>
            <w:webHidden/>
          </w:rPr>
          <w:tab/>
        </w:r>
        <w:r w:rsidR="000A5622">
          <w:rPr>
            <w:webHidden/>
          </w:rPr>
          <w:fldChar w:fldCharType="begin"/>
        </w:r>
        <w:r w:rsidR="000A5622">
          <w:rPr>
            <w:webHidden/>
          </w:rPr>
          <w:instrText xml:space="preserve"> PAGEREF _Toc16671671 \h </w:instrText>
        </w:r>
        <w:r w:rsidR="000A5622">
          <w:rPr>
            <w:webHidden/>
          </w:rPr>
        </w:r>
        <w:r w:rsidR="000A5622">
          <w:rPr>
            <w:webHidden/>
          </w:rPr>
          <w:fldChar w:fldCharType="separate"/>
        </w:r>
        <w:r w:rsidR="00A7463B">
          <w:rPr>
            <w:webHidden/>
          </w:rPr>
          <w:t>142</w:t>
        </w:r>
        <w:r w:rsidR="000A5622">
          <w:rPr>
            <w:webHidden/>
          </w:rPr>
          <w:fldChar w:fldCharType="end"/>
        </w:r>
      </w:hyperlink>
    </w:p>
    <w:p w14:paraId="1BB23C3B" w14:textId="77777777" w:rsidR="000A5622" w:rsidRDefault="009F6E2C">
      <w:pPr>
        <w:pStyle w:val="TableofFigures"/>
        <w:rPr>
          <w:rFonts w:asciiTheme="minorHAnsi" w:eastAsiaTheme="minorEastAsia" w:hAnsiTheme="minorHAnsi" w:cstheme="minorBidi"/>
        </w:rPr>
      </w:pPr>
      <w:hyperlink w:anchor="_Toc16671672" w:history="1">
        <w:r w:rsidR="000A5622" w:rsidRPr="000F492C">
          <w:rPr>
            <w:rStyle w:val="Hyperlink"/>
          </w:rPr>
          <w:t>Table 74</w:t>
        </w:r>
        <w:r w:rsidR="000A5622">
          <w:rPr>
            <w:rFonts w:asciiTheme="minorHAnsi" w:eastAsiaTheme="minorEastAsia" w:hAnsiTheme="minorHAnsi" w:cstheme="minorBidi"/>
          </w:rPr>
          <w:tab/>
        </w:r>
        <w:r w:rsidR="000A5622" w:rsidRPr="000F492C">
          <w:rPr>
            <w:rStyle w:val="Hyperlink"/>
          </w:rPr>
          <w:t>Sensitivity analyses around the financial implication estimates</w:t>
        </w:r>
        <w:r w:rsidR="000A5622">
          <w:rPr>
            <w:webHidden/>
          </w:rPr>
          <w:tab/>
        </w:r>
        <w:r w:rsidR="000A5622">
          <w:rPr>
            <w:webHidden/>
          </w:rPr>
          <w:fldChar w:fldCharType="begin"/>
        </w:r>
        <w:r w:rsidR="000A5622">
          <w:rPr>
            <w:webHidden/>
          </w:rPr>
          <w:instrText xml:space="preserve"> PAGEREF _Toc16671672 \h </w:instrText>
        </w:r>
        <w:r w:rsidR="000A5622">
          <w:rPr>
            <w:webHidden/>
          </w:rPr>
        </w:r>
        <w:r w:rsidR="000A5622">
          <w:rPr>
            <w:webHidden/>
          </w:rPr>
          <w:fldChar w:fldCharType="separate"/>
        </w:r>
        <w:r w:rsidR="00A7463B">
          <w:rPr>
            <w:webHidden/>
          </w:rPr>
          <w:t>142</w:t>
        </w:r>
        <w:r w:rsidR="000A5622">
          <w:rPr>
            <w:webHidden/>
          </w:rPr>
          <w:fldChar w:fldCharType="end"/>
        </w:r>
      </w:hyperlink>
    </w:p>
    <w:p w14:paraId="1FBD60A7" w14:textId="77777777" w:rsidR="000A5622" w:rsidRDefault="009F6E2C">
      <w:pPr>
        <w:pStyle w:val="TableofFigures"/>
        <w:rPr>
          <w:rFonts w:asciiTheme="minorHAnsi" w:eastAsiaTheme="minorEastAsia" w:hAnsiTheme="minorHAnsi" w:cstheme="minorBidi"/>
        </w:rPr>
      </w:pPr>
      <w:hyperlink w:anchor="_Toc16671673" w:history="1">
        <w:r w:rsidR="000A5622" w:rsidRPr="000F492C">
          <w:rPr>
            <w:rStyle w:val="Hyperlink"/>
          </w:rPr>
          <w:t>Table 75</w:t>
        </w:r>
        <w:r w:rsidR="000A5622">
          <w:rPr>
            <w:rFonts w:asciiTheme="minorHAnsi" w:eastAsiaTheme="minorEastAsia" w:hAnsiTheme="minorHAnsi" w:cstheme="minorBidi"/>
          </w:rPr>
          <w:tab/>
        </w:r>
        <w:r w:rsidR="000A5622" w:rsidRPr="000F492C">
          <w:rPr>
            <w:rStyle w:val="Hyperlink"/>
          </w:rPr>
          <w:t>Search terms for IgG replacement in patients with hypogammaglobulinaemia due to haematological malignancies (Pubmed)</w:t>
        </w:r>
        <w:r w:rsidR="000A5622">
          <w:rPr>
            <w:webHidden/>
          </w:rPr>
          <w:tab/>
        </w:r>
        <w:r w:rsidR="000A5622">
          <w:rPr>
            <w:webHidden/>
          </w:rPr>
          <w:fldChar w:fldCharType="begin"/>
        </w:r>
        <w:r w:rsidR="000A5622">
          <w:rPr>
            <w:webHidden/>
          </w:rPr>
          <w:instrText xml:space="preserve"> PAGEREF _Toc16671673 \h </w:instrText>
        </w:r>
        <w:r w:rsidR="000A5622">
          <w:rPr>
            <w:webHidden/>
          </w:rPr>
        </w:r>
        <w:r w:rsidR="000A5622">
          <w:rPr>
            <w:webHidden/>
          </w:rPr>
          <w:fldChar w:fldCharType="separate"/>
        </w:r>
        <w:r w:rsidR="00A7463B">
          <w:rPr>
            <w:webHidden/>
          </w:rPr>
          <w:t>146</w:t>
        </w:r>
        <w:r w:rsidR="000A5622">
          <w:rPr>
            <w:webHidden/>
          </w:rPr>
          <w:fldChar w:fldCharType="end"/>
        </w:r>
      </w:hyperlink>
    </w:p>
    <w:p w14:paraId="3F31A981" w14:textId="77777777" w:rsidR="000A5622" w:rsidRDefault="009F6E2C">
      <w:pPr>
        <w:pStyle w:val="TableofFigures"/>
        <w:rPr>
          <w:rFonts w:asciiTheme="minorHAnsi" w:eastAsiaTheme="minorEastAsia" w:hAnsiTheme="minorHAnsi" w:cstheme="minorBidi"/>
        </w:rPr>
      </w:pPr>
      <w:hyperlink w:anchor="_Toc16671674" w:history="1">
        <w:r w:rsidR="000A5622" w:rsidRPr="000F492C">
          <w:rPr>
            <w:rStyle w:val="Hyperlink"/>
          </w:rPr>
          <w:t>Table 76</w:t>
        </w:r>
        <w:r w:rsidR="000A5622">
          <w:rPr>
            <w:rFonts w:asciiTheme="minorHAnsi" w:eastAsiaTheme="minorEastAsia" w:hAnsiTheme="minorHAnsi" w:cstheme="minorBidi"/>
          </w:rPr>
          <w:tab/>
        </w:r>
        <w:r w:rsidR="000A5622" w:rsidRPr="000F492C">
          <w:rPr>
            <w:rStyle w:val="Hyperlink"/>
          </w:rPr>
          <w:t xml:space="preserve"> Further searches for bone marrow transplantation (Pubmed example)</w:t>
        </w:r>
        <w:r w:rsidR="000A5622">
          <w:rPr>
            <w:webHidden/>
          </w:rPr>
          <w:tab/>
        </w:r>
        <w:r w:rsidR="000A5622">
          <w:rPr>
            <w:webHidden/>
          </w:rPr>
          <w:fldChar w:fldCharType="begin"/>
        </w:r>
        <w:r w:rsidR="000A5622">
          <w:rPr>
            <w:webHidden/>
          </w:rPr>
          <w:instrText xml:space="preserve"> PAGEREF _Toc16671674 \h </w:instrText>
        </w:r>
        <w:r w:rsidR="000A5622">
          <w:rPr>
            <w:webHidden/>
          </w:rPr>
        </w:r>
        <w:r w:rsidR="000A5622">
          <w:rPr>
            <w:webHidden/>
          </w:rPr>
          <w:fldChar w:fldCharType="separate"/>
        </w:r>
        <w:r w:rsidR="00A7463B">
          <w:rPr>
            <w:webHidden/>
          </w:rPr>
          <w:t>147</w:t>
        </w:r>
        <w:r w:rsidR="000A5622">
          <w:rPr>
            <w:webHidden/>
          </w:rPr>
          <w:fldChar w:fldCharType="end"/>
        </w:r>
      </w:hyperlink>
    </w:p>
    <w:p w14:paraId="6F409499" w14:textId="77777777" w:rsidR="000A5622" w:rsidRDefault="009F6E2C">
      <w:pPr>
        <w:pStyle w:val="TableofFigures"/>
        <w:rPr>
          <w:rFonts w:asciiTheme="minorHAnsi" w:eastAsiaTheme="minorEastAsia" w:hAnsiTheme="minorHAnsi" w:cstheme="minorBidi"/>
        </w:rPr>
      </w:pPr>
      <w:hyperlink w:anchor="_Toc16671675" w:history="1">
        <w:r w:rsidR="000A5622" w:rsidRPr="000F492C">
          <w:rPr>
            <w:rStyle w:val="Hyperlink"/>
          </w:rPr>
          <w:t>Table 77</w:t>
        </w:r>
        <w:r w:rsidR="000A5622">
          <w:rPr>
            <w:rFonts w:asciiTheme="minorHAnsi" w:eastAsiaTheme="minorEastAsia" w:hAnsiTheme="minorHAnsi" w:cstheme="minorBidi"/>
          </w:rPr>
          <w:tab/>
        </w:r>
        <w:r w:rsidR="000A5622" w:rsidRPr="000F492C">
          <w:rPr>
            <w:rStyle w:val="Hyperlink"/>
            <w:snapToGrid w:val="0"/>
            <w:lang w:eastAsia="en-US"/>
          </w:rPr>
          <w:t>List of the included studies</w:t>
        </w:r>
        <w:r w:rsidR="000A5622">
          <w:rPr>
            <w:webHidden/>
          </w:rPr>
          <w:tab/>
        </w:r>
        <w:r w:rsidR="000A5622">
          <w:rPr>
            <w:webHidden/>
          </w:rPr>
          <w:fldChar w:fldCharType="begin"/>
        </w:r>
        <w:r w:rsidR="000A5622">
          <w:rPr>
            <w:webHidden/>
          </w:rPr>
          <w:instrText xml:space="preserve"> PAGEREF _Toc16671675 \h </w:instrText>
        </w:r>
        <w:r w:rsidR="000A5622">
          <w:rPr>
            <w:webHidden/>
          </w:rPr>
        </w:r>
        <w:r w:rsidR="000A5622">
          <w:rPr>
            <w:webHidden/>
          </w:rPr>
          <w:fldChar w:fldCharType="separate"/>
        </w:r>
        <w:r w:rsidR="00A7463B">
          <w:rPr>
            <w:webHidden/>
          </w:rPr>
          <w:t>149</w:t>
        </w:r>
        <w:r w:rsidR="000A5622">
          <w:rPr>
            <w:webHidden/>
          </w:rPr>
          <w:fldChar w:fldCharType="end"/>
        </w:r>
      </w:hyperlink>
    </w:p>
    <w:p w14:paraId="1B91B083" w14:textId="77777777" w:rsidR="000A5622" w:rsidRDefault="009F6E2C">
      <w:pPr>
        <w:pStyle w:val="TableofFigures"/>
        <w:rPr>
          <w:rFonts w:asciiTheme="minorHAnsi" w:eastAsiaTheme="minorEastAsia" w:hAnsiTheme="minorHAnsi" w:cstheme="minorBidi"/>
        </w:rPr>
      </w:pPr>
      <w:hyperlink w:anchor="_Toc16671676" w:history="1">
        <w:r w:rsidR="000A5622" w:rsidRPr="000F492C">
          <w:rPr>
            <w:rStyle w:val="Hyperlink"/>
          </w:rPr>
          <w:t>Table 78</w:t>
        </w:r>
        <w:r w:rsidR="000A5622">
          <w:rPr>
            <w:rFonts w:asciiTheme="minorHAnsi" w:eastAsiaTheme="minorEastAsia" w:hAnsiTheme="minorHAnsi" w:cstheme="minorBidi"/>
          </w:rPr>
          <w:tab/>
        </w:r>
        <w:r w:rsidR="000A5622" w:rsidRPr="000F492C">
          <w:rPr>
            <w:rStyle w:val="Hyperlink"/>
            <w:snapToGrid w:val="0"/>
            <w:lang w:eastAsia="en-US"/>
          </w:rPr>
          <w:t>List of the included studies as they apply to the NBA-funded conditions</w:t>
        </w:r>
        <w:r w:rsidR="000A5622">
          <w:rPr>
            <w:webHidden/>
          </w:rPr>
          <w:tab/>
        </w:r>
        <w:r w:rsidR="000A5622">
          <w:rPr>
            <w:webHidden/>
          </w:rPr>
          <w:fldChar w:fldCharType="begin"/>
        </w:r>
        <w:r w:rsidR="000A5622">
          <w:rPr>
            <w:webHidden/>
          </w:rPr>
          <w:instrText xml:space="preserve"> PAGEREF _Toc16671676 \h </w:instrText>
        </w:r>
        <w:r w:rsidR="000A5622">
          <w:rPr>
            <w:webHidden/>
          </w:rPr>
        </w:r>
        <w:r w:rsidR="000A5622">
          <w:rPr>
            <w:webHidden/>
          </w:rPr>
          <w:fldChar w:fldCharType="separate"/>
        </w:r>
        <w:r w:rsidR="00A7463B">
          <w:rPr>
            <w:webHidden/>
          </w:rPr>
          <w:t>150</w:t>
        </w:r>
        <w:r w:rsidR="000A5622">
          <w:rPr>
            <w:webHidden/>
          </w:rPr>
          <w:fldChar w:fldCharType="end"/>
        </w:r>
      </w:hyperlink>
    </w:p>
    <w:p w14:paraId="3F2D600A" w14:textId="77777777" w:rsidR="000A5622" w:rsidRDefault="009F6E2C">
      <w:pPr>
        <w:pStyle w:val="TableofFigures"/>
        <w:rPr>
          <w:rFonts w:asciiTheme="minorHAnsi" w:eastAsiaTheme="minorEastAsia" w:hAnsiTheme="minorHAnsi" w:cstheme="minorBidi"/>
        </w:rPr>
      </w:pPr>
      <w:hyperlink w:anchor="_Toc16671677" w:history="1">
        <w:r w:rsidR="000A5622" w:rsidRPr="000F492C">
          <w:rPr>
            <w:rStyle w:val="Hyperlink"/>
          </w:rPr>
          <w:t>Table 79</w:t>
        </w:r>
        <w:r w:rsidR="000A5622">
          <w:rPr>
            <w:rFonts w:asciiTheme="minorHAnsi" w:eastAsiaTheme="minorEastAsia" w:hAnsiTheme="minorHAnsi" w:cstheme="minorBidi"/>
          </w:rPr>
          <w:tab/>
        </w:r>
        <w:r w:rsidR="000A5622" w:rsidRPr="000F492C">
          <w:rPr>
            <w:rStyle w:val="Hyperlink"/>
            <w:snapToGrid w:val="0"/>
            <w:lang w:eastAsia="en-US"/>
          </w:rPr>
          <w:t>Included study profiles for safety and effectiveness – RCTs</w:t>
        </w:r>
        <w:r w:rsidR="000A5622">
          <w:rPr>
            <w:webHidden/>
          </w:rPr>
          <w:tab/>
        </w:r>
        <w:r w:rsidR="000A5622">
          <w:rPr>
            <w:webHidden/>
          </w:rPr>
          <w:fldChar w:fldCharType="begin"/>
        </w:r>
        <w:r w:rsidR="000A5622">
          <w:rPr>
            <w:webHidden/>
          </w:rPr>
          <w:instrText xml:space="preserve"> PAGEREF _Toc16671677 \h </w:instrText>
        </w:r>
        <w:r w:rsidR="000A5622">
          <w:rPr>
            <w:webHidden/>
          </w:rPr>
        </w:r>
        <w:r w:rsidR="000A5622">
          <w:rPr>
            <w:webHidden/>
          </w:rPr>
          <w:fldChar w:fldCharType="separate"/>
        </w:r>
        <w:r w:rsidR="00A7463B">
          <w:rPr>
            <w:webHidden/>
          </w:rPr>
          <w:t>152</w:t>
        </w:r>
        <w:r w:rsidR="000A5622">
          <w:rPr>
            <w:webHidden/>
          </w:rPr>
          <w:fldChar w:fldCharType="end"/>
        </w:r>
      </w:hyperlink>
    </w:p>
    <w:p w14:paraId="4ACA404A" w14:textId="77777777" w:rsidR="000A5622" w:rsidRDefault="009F6E2C">
      <w:pPr>
        <w:pStyle w:val="TableofFigures"/>
        <w:rPr>
          <w:rFonts w:asciiTheme="minorHAnsi" w:eastAsiaTheme="minorEastAsia" w:hAnsiTheme="minorHAnsi" w:cstheme="minorBidi"/>
        </w:rPr>
      </w:pPr>
      <w:hyperlink w:anchor="_Toc16671678" w:history="1">
        <w:r w:rsidR="000A5622" w:rsidRPr="000F492C">
          <w:rPr>
            <w:rStyle w:val="Hyperlink"/>
          </w:rPr>
          <w:t>Table 80</w:t>
        </w:r>
        <w:r w:rsidR="000A5622">
          <w:rPr>
            <w:rFonts w:asciiTheme="minorHAnsi" w:eastAsiaTheme="minorEastAsia" w:hAnsiTheme="minorHAnsi" w:cstheme="minorBidi"/>
          </w:rPr>
          <w:tab/>
        </w:r>
        <w:r w:rsidR="000A5622" w:rsidRPr="000F492C">
          <w:rPr>
            <w:rStyle w:val="Hyperlink"/>
            <w:snapToGrid w:val="0"/>
            <w:lang w:eastAsia="en-US"/>
          </w:rPr>
          <w:t>Included study profiles for safety and effectiveness – cohort studies</w:t>
        </w:r>
        <w:r w:rsidR="000A5622">
          <w:rPr>
            <w:webHidden/>
          </w:rPr>
          <w:tab/>
        </w:r>
        <w:r w:rsidR="000A5622">
          <w:rPr>
            <w:webHidden/>
          </w:rPr>
          <w:fldChar w:fldCharType="begin"/>
        </w:r>
        <w:r w:rsidR="000A5622">
          <w:rPr>
            <w:webHidden/>
          </w:rPr>
          <w:instrText xml:space="preserve"> PAGEREF _Toc16671678 \h </w:instrText>
        </w:r>
        <w:r w:rsidR="000A5622">
          <w:rPr>
            <w:webHidden/>
          </w:rPr>
        </w:r>
        <w:r w:rsidR="000A5622">
          <w:rPr>
            <w:webHidden/>
          </w:rPr>
          <w:fldChar w:fldCharType="separate"/>
        </w:r>
        <w:r w:rsidR="00A7463B">
          <w:rPr>
            <w:webHidden/>
          </w:rPr>
          <w:t>157</w:t>
        </w:r>
        <w:r w:rsidR="000A5622">
          <w:rPr>
            <w:webHidden/>
          </w:rPr>
          <w:fldChar w:fldCharType="end"/>
        </w:r>
      </w:hyperlink>
    </w:p>
    <w:p w14:paraId="4C113CDC" w14:textId="77777777" w:rsidR="000A5622" w:rsidRDefault="009F6E2C">
      <w:pPr>
        <w:pStyle w:val="TableofFigures"/>
        <w:rPr>
          <w:rFonts w:asciiTheme="minorHAnsi" w:eastAsiaTheme="minorEastAsia" w:hAnsiTheme="minorHAnsi" w:cstheme="minorBidi"/>
        </w:rPr>
      </w:pPr>
      <w:hyperlink w:anchor="_Toc16671679" w:history="1">
        <w:r w:rsidR="000A5622" w:rsidRPr="000F492C">
          <w:rPr>
            <w:rStyle w:val="Hyperlink"/>
          </w:rPr>
          <w:t>Table 81</w:t>
        </w:r>
        <w:r w:rsidR="000A5622">
          <w:rPr>
            <w:rFonts w:asciiTheme="minorHAnsi" w:eastAsiaTheme="minorEastAsia" w:hAnsiTheme="minorHAnsi" w:cstheme="minorBidi"/>
          </w:rPr>
          <w:tab/>
        </w:r>
        <w:r w:rsidR="000A5622" w:rsidRPr="000F492C">
          <w:rPr>
            <w:rStyle w:val="Hyperlink"/>
            <w:snapToGrid w:val="0"/>
            <w:lang w:eastAsia="en-US"/>
          </w:rPr>
          <w:t>Included study profiles for safety and effectiveness – case series</w:t>
        </w:r>
        <w:r w:rsidR="000A5622">
          <w:rPr>
            <w:webHidden/>
          </w:rPr>
          <w:tab/>
        </w:r>
        <w:r w:rsidR="000A5622">
          <w:rPr>
            <w:webHidden/>
          </w:rPr>
          <w:fldChar w:fldCharType="begin"/>
        </w:r>
        <w:r w:rsidR="000A5622">
          <w:rPr>
            <w:webHidden/>
          </w:rPr>
          <w:instrText xml:space="preserve"> PAGEREF _Toc16671679 \h </w:instrText>
        </w:r>
        <w:r w:rsidR="000A5622">
          <w:rPr>
            <w:webHidden/>
          </w:rPr>
        </w:r>
        <w:r w:rsidR="000A5622">
          <w:rPr>
            <w:webHidden/>
          </w:rPr>
          <w:fldChar w:fldCharType="separate"/>
        </w:r>
        <w:r w:rsidR="00A7463B">
          <w:rPr>
            <w:webHidden/>
          </w:rPr>
          <w:t>160</w:t>
        </w:r>
        <w:r w:rsidR="000A5622">
          <w:rPr>
            <w:webHidden/>
          </w:rPr>
          <w:fldChar w:fldCharType="end"/>
        </w:r>
      </w:hyperlink>
    </w:p>
    <w:p w14:paraId="4C58A5ED" w14:textId="77777777" w:rsidR="000A5622" w:rsidRDefault="009F6E2C">
      <w:pPr>
        <w:pStyle w:val="TableofFigures"/>
        <w:rPr>
          <w:rFonts w:asciiTheme="minorHAnsi" w:eastAsiaTheme="minorEastAsia" w:hAnsiTheme="minorHAnsi" w:cstheme="minorBidi"/>
        </w:rPr>
      </w:pPr>
      <w:hyperlink w:anchor="_Toc16671680" w:history="1">
        <w:r w:rsidR="000A5622" w:rsidRPr="000F492C">
          <w:rPr>
            <w:rStyle w:val="Hyperlink"/>
          </w:rPr>
          <w:t>Table 82</w:t>
        </w:r>
        <w:r w:rsidR="000A5622">
          <w:rPr>
            <w:rFonts w:asciiTheme="minorHAnsi" w:eastAsiaTheme="minorEastAsia" w:hAnsiTheme="minorHAnsi" w:cstheme="minorBidi"/>
          </w:rPr>
          <w:tab/>
        </w:r>
        <w:r w:rsidR="000A5622" w:rsidRPr="000F492C">
          <w:rPr>
            <w:rStyle w:val="Hyperlink"/>
            <w:snapToGrid w:val="0"/>
            <w:lang w:eastAsia="en-US"/>
          </w:rPr>
          <w:t>List of the excluded systematic reviews or meta-analyses</w:t>
        </w:r>
        <w:r w:rsidR="000A5622">
          <w:rPr>
            <w:webHidden/>
          </w:rPr>
          <w:tab/>
        </w:r>
        <w:r w:rsidR="000A5622">
          <w:rPr>
            <w:webHidden/>
          </w:rPr>
          <w:fldChar w:fldCharType="begin"/>
        </w:r>
        <w:r w:rsidR="000A5622">
          <w:rPr>
            <w:webHidden/>
          </w:rPr>
          <w:instrText xml:space="preserve"> PAGEREF _Toc16671680 \h </w:instrText>
        </w:r>
        <w:r w:rsidR="000A5622">
          <w:rPr>
            <w:webHidden/>
          </w:rPr>
        </w:r>
        <w:r w:rsidR="000A5622">
          <w:rPr>
            <w:webHidden/>
          </w:rPr>
          <w:fldChar w:fldCharType="separate"/>
        </w:r>
        <w:r w:rsidR="00A7463B">
          <w:rPr>
            <w:webHidden/>
          </w:rPr>
          <w:t>167</w:t>
        </w:r>
        <w:r w:rsidR="000A5622">
          <w:rPr>
            <w:webHidden/>
          </w:rPr>
          <w:fldChar w:fldCharType="end"/>
        </w:r>
      </w:hyperlink>
    </w:p>
    <w:p w14:paraId="7FE26569" w14:textId="77777777" w:rsidR="000A5622" w:rsidRDefault="009F6E2C">
      <w:pPr>
        <w:pStyle w:val="TableofFigures"/>
        <w:rPr>
          <w:rFonts w:asciiTheme="minorHAnsi" w:eastAsiaTheme="minorEastAsia" w:hAnsiTheme="minorHAnsi" w:cstheme="minorBidi"/>
        </w:rPr>
      </w:pPr>
      <w:hyperlink w:anchor="_Toc16671681" w:history="1">
        <w:r w:rsidR="000A5622" w:rsidRPr="000F492C">
          <w:rPr>
            <w:rStyle w:val="Hyperlink"/>
          </w:rPr>
          <w:t>Table 83</w:t>
        </w:r>
        <w:r w:rsidR="000A5622">
          <w:rPr>
            <w:rFonts w:asciiTheme="minorHAnsi" w:eastAsiaTheme="minorEastAsia" w:hAnsiTheme="minorHAnsi" w:cstheme="minorBidi"/>
          </w:rPr>
          <w:tab/>
        </w:r>
        <w:r w:rsidR="000A5622" w:rsidRPr="000F492C">
          <w:rPr>
            <w:rStyle w:val="Hyperlink"/>
            <w:snapToGrid w:val="0"/>
            <w:lang w:eastAsia="en-US"/>
          </w:rPr>
          <w:t>List of the excluded studies</w:t>
        </w:r>
        <w:r w:rsidR="000A5622">
          <w:rPr>
            <w:webHidden/>
          </w:rPr>
          <w:tab/>
        </w:r>
        <w:r w:rsidR="000A5622">
          <w:rPr>
            <w:webHidden/>
          </w:rPr>
          <w:fldChar w:fldCharType="begin"/>
        </w:r>
        <w:r w:rsidR="000A5622">
          <w:rPr>
            <w:webHidden/>
          </w:rPr>
          <w:instrText xml:space="preserve"> PAGEREF _Toc16671681 \h </w:instrText>
        </w:r>
        <w:r w:rsidR="000A5622">
          <w:rPr>
            <w:webHidden/>
          </w:rPr>
        </w:r>
        <w:r w:rsidR="000A5622">
          <w:rPr>
            <w:webHidden/>
          </w:rPr>
          <w:fldChar w:fldCharType="separate"/>
        </w:r>
        <w:r w:rsidR="00A7463B">
          <w:rPr>
            <w:webHidden/>
          </w:rPr>
          <w:t>167</w:t>
        </w:r>
        <w:r w:rsidR="000A5622">
          <w:rPr>
            <w:webHidden/>
          </w:rPr>
          <w:fldChar w:fldCharType="end"/>
        </w:r>
      </w:hyperlink>
    </w:p>
    <w:p w14:paraId="2B597810" w14:textId="77777777" w:rsidR="000A5622" w:rsidRDefault="009F6E2C">
      <w:pPr>
        <w:pStyle w:val="TableofFigures"/>
        <w:rPr>
          <w:rFonts w:asciiTheme="minorHAnsi" w:eastAsiaTheme="minorEastAsia" w:hAnsiTheme="minorHAnsi" w:cstheme="minorBidi"/>
        </w:rPr>
      </w:pPr>
      <w:hyperlink w:anchor="_Toc16671682" w:history="1">
        <w:r w:rsidR="000A5622" w:rsidRPr="000F492C">
          <w:rPr>
            <w:rStyle w:val="Hyperlink"/>
          </w:rPr>
          <w:t>Table 84</w:t>
        </w:r>
        <w:r w:rsidR="000A5622">
          <w:rPr>
            <w:rFonts w:asciiTheme="minorHAnsi" w:eastAsiaTheme="minorEastAsia" w:hAnsiTheme="minorHAnsi" w:cstheme="minorBidi"/>
          </w:rPr>
          <w:tab/>
        </w:r>
        <w:r w:rsidR="000A5622" w:rsidRPr="000F492C">
          <w:rPr>
            <w:rStyle w:val="Hyperlink"/>
            <w:snapToGrid w:val="0"/>
            <w:lang w:eastAsia="en-US"/>
          </w:rPr>
          <w:t>Antibiotic use and infection prophylaxis in the included studies</w:t>
        </w:r>
        <w:r w:rsidR="000A5622">
          <w:rPr>
            <w:webHidden/>
          </w:rPr>
          <w:tab/>
        </w:r>
        <w:r w:rsidR="000A5622">
          <w:rPr>
            <w:webHidden/>
          </w:rPr>
          <w:fldChar w:fldCharType="begin"/>
        </w:r>
        <w:r w:rsidR="000A5622">
          <w:rPr>
            <w:webHidden/>
          </w:rPr>
          <w:instrText xml:space="preserve"> PAGEREF _Toc16671682 \h </w:instrText>
        </w:r>
        <w:r w:rsidR="000A5622">
          <w:rPr>
            <w:webHidden/>
          </w:rPr>
        </w:r>
        <w:r w:rsidR="000A5622">
          <w:rPr>
            <w:webHidden/>
          </w:rPr>
          <w:fldChar w:fldCharType="separate"/>
        </w:r>
        <w:r w:rsidR="00A7463B">
          <w:rPr>
            <w:webHidden/>
          </w:rPr>
          <w:t>170</w:t>
        </w:r>
        <w:r w:rsidR="000A5622">
          <w:rPr>
            <w:webHidden/>
          </w:rPr>
          <w:fldChar w:fldCharType="end"/>
        </w:r>
      </w:hyperlink>
    </w:p>
    <w:p w14:paraId="225FCEAA" w14:textId="77777777" w:rsidR="000A5622" w:rsidRDefault="009F6E2C">
      <w:pPr>
        <w:pStyle w:val="TableofFigures"/>
        <w:rPr>
          <w:rFonts w:asciiTheme="minorHAnsi" w:eastAsiaTheme="minorEastAsia" w:hAnsiTheme="minorHAnsi" w:cstheme="minorBidi"/>
        </w:rPr>
      </w:pPr>
      <w:hyperlink w:anchor="_Toc16671683" w:history="1">
        <w:r w:rsidR="000A5622" w:rsidRPr="000F492C">
          <w:rPr>
            <w:rStyle w:val="Hyperlink"/>
          </w:rPr>
          <w:t>Table 85</w:t>
        </w:r>
        <w:r w:rsidR="000A5622">
          <w:rPr>
            <w:rFonts w:asciiTheme="minorHAnsi" w:eastAsiaTheme="minorEastAsia" w:hAnsiTheme="minorHAnsi" w:cstheme="minorBidi"/>
          </w:rPr>
          <w:tab/>
        </w:r>
        <w:r w:rsidR="000A5622" w:rsidRPr="000F492C">
          <w:rPr>
            <w:rStyle w:val="Hyperlink"/>
            <w:snapToGrid w:val="0"/>
            <w:lang w:eastAsia="en-US"/>
          </w:rPr>
          <w:t>Randomised studies presenting infections – IVIg vs no IVIg</w:t>
        </w:r>
        <w:r w:rsidR="000A5622">
          <w:rPr>
            <w:webHidden/>
          </w:rPr>
          <w:tab/>
        </w:r>
        <w:r w:rsidR="000A5622">
          <w:rPr>
            <w:webHidden/>
          </w:rPr>
          <w:fldChar w:fldCharType="begin"/>
        </w:r>
        <w:r w:rsidR="000A5622">
          <w:rPr>
            <w:webHidden/>
          </w:rPr>
          <w:instrText xml:space="preserve"> PAGEREF _Toc16671683 \h </w:instrText>
        </w:r>
        <w:r w:rsidR="000A5622">
          <w:rPr>
            <w:webHidden/>
          </w:rPr>
        </w:r>
        <w:r w:rsidR="000A5622">
          <w:rPr>
            <w:webHidden/>
          </w:rPr>
          <w:fldChar w:fldCharType="separate"/>
        </w:r>
        <w:r w:rsidR="00A7463B">
          <w:rPr>
            <w:webHidden/>
          </w:rPr>
          <w:t>172</w:t>
        </w:r>
        <w:r w:rsidR="000A5622">
          <w:rPr>
            <w:webHidden/>
          </w:rPr>
          <w:fldChar w:fldCharType="end"/>
        </w:r>
      </w:hyperlink>
    </w:p>
    <w:p w14:paraId="508802DC" w14:textId="77777777" w:rsidR="000A5622" w:rsidRDefault="009F6E2C">
      <w:pPr>
        <w:pStyle w:val="TableofFigures"/>
        <w:rPr>
          <w:rFonts w:asciiTheme="minorHAnsi" w:eastAsiaTheme="minorEastAsia" w:hAnsiTheme="minorHAnsi" w:cstheme="minorBidi"/>
        </w:rPr>
      </w:pPr>
      <w:hyperlink w:anchor="_Toc16671684" w:history="1">
        <w:r w:rsidR="000A5622" w:rsidRPr="000F492C">
          <w:rPr>
            <w:rStyle w:val="Hyperlink"/>
          </w:rPr>
          <w:t>Table 86</w:t>
        </w:r>
        <w:r w:rsidR="000A5622">
          <w:rPr>
            <w:rFonts w:asciiTheme="minorHAnsi" w:eastAsiaTheme="minorEastAsia" w:hAnsiTheme="minorHAnsi" w:cstheme="minorBidi"/>
          </w:rPr>
          <w:tab/>
        </w:r>
        <w:r w:rsidR="000A5622" w:rsidRPr="000F492C">
          <w:rPr>
            <w:rStyle w:val="Hyperlink"/>
            <w:rFonts w:cs="Arial"/>
            <w:snapToGrid w:val="0"/>
            <w:lang w:eastAsia="en-US"/>
          </w:rPr>
          <w:t>Randomised studies presenting infections – SCIg vs no SCIg</w:t>
        </w:r>
        <w:r w:rsidR="000A5622">
          <w:rPr>
            <w:webHidden/>
          </w:rPr>
          <w:tab/>
        </w:r>
        <w:r w:rsidR="000A5622">
          <w:rPr>
            <w:webHidden/>
          </w:rPr>
          <w:fldChar w:fldCharType="begin"/>
        </w:r>
        <w:r w:rsidR="000A5622">
          <w:rPr>
            <w:webHidden/>
          </w:rPr>
          <w:instrText xml:space="preserve"> PAGEREF _Toc16671684 \h </w:instrText>
        </w:r>
        <w:r w:rsidR="000A5622">
          <w:rPr>
            <w:webHidden/>
          </w:rPr>
        </w:r>
        <w:r w:rsidR="000A5622">
          <w:rPr>
            <w:webHidden/>
          </w:rPr>
          <w:fldChar w:fldCharType="separate"/>
        </w:r>
        <w:r w:rsidR="00A7463B">
          <w:rPr>
            <w:webHidden/>
          </w:rPr>
          <w:t>175</w:t>
        </w:r>
        <w:r w:rsidR="000A5622">
          <w:rPr>
            <w:webHidden/>
          </w:rPr>
          <w:fldChar w:fldCharType="end"/>
        </w:r>
      </w:hyperlink>
    </w:p>
    <w:p w14:paraId="0CE2871E" w14:textId="77777777" w:rsidR="000A5622" w:rsidRDefault="009F6E2C">
      <w:pPr>
        <w:pStyle w:val="TableofFigures"/>
        <w:rPr>
          <w:rFonts w:asciiTheme="minorHAnsi" w:eastAsiaTheme="minorEastAsia" w:hAnsiTheme="minorHAnsi" w:cstheme="minorBidi"/>
        </w:rPr>
      </w:pPr>
      <w:hyperlink w:anchor="_Toc16671685" w:history="1">
        <w:r w:rsidR="000A5622" w:rsidRPr="000F492C">
          <w:rPr>
            <w:rStyle w:val="Hyperlink"/>
          </w:rPr>
          <w:t>Table 87</w:t>
        </w:r>
        <w:r w:rsidR="000A5622">
          <w:rPr>
            <w:rFonts w:asciiTheme="minorHAnsi" w:eastAsiaTheme="minorEastAsia" w:hAnsiTheme="minorHAnsi" w:cstheme="minorBidi"/>
          </w:rPr>
          <w:tab/>
        </w:r>
        <w:r w:rsidR="000A5622" w:rsidRPr="000F492C">
          <w:rPr>
            <w:rStyle w:val="Hyperlink"/>
            <w:snapToGrid w:val="0"/>
            <w:lang w:eastAsia="en-US"/>
          </w:rPr>
          <w:t>Cohort studies presenting infections – IVIg vs no IVIg</w:t>
        </w:r>
        <w:r w:rsidR="000A5622">
          <w:rPr>
            <w:webHidden/>
          </w:rPr>
          <w:tab/>
        </w:r>
        <w:r w:rsidR="000A5622">
          <w:rPr>
            <w:webHidden/>
          </w:rPr>
          <w:fldChar w:fldCharType="begin"/>
        </w:r>
        <w:r w:rsidR="000A5622">
          <w:rPr>
            <w:webHidden/>
          </w:rPr>
          <w:instrText xml:space="preserve"> PAGEREF _Toc16671685 \h </w:instrText>
        </w:r>
        <w:r w:rsidR="000A5622">
          <w:rPr>
            <w:webHidden/>
          </w:rPr>
        </w:r>
        <w:r w:rsidR="000A5622">
          <w:rPr>
            <w:webHidden/>
          </w:rPr>
          <w:fldChar w:fldCharType="separate"/>
        </w:r>
        <w:r w:rsidR="00A7463B">
          <w:rPr>
            <w:webHidden/>
          </w:rPr>
          <w:t>175</w:t>
        </w:r>
        <w:r w:rsidR="000A5622">
          <w:rPr>
            <w:webHidden/>
          </w:rPr>
          <w:fldChar w:fldCharType="end"/>
        </w:r>
      </w:hyperlink>
    </w:p>
    <w:p w14:paraId="69665187" w14:textId="77777777" w:rsidR="000A5622" w:rsidRDefault="009F6E2C">
      <w:pPr>
        <w:pStyle w:val="TableofFigures"/>
        <w:rPr>
          <w:rFonts w:asciiTheme="minorHAnsi" w:eastAsiaTheme="minorEastAsia" w:hAnsiTheme="minorHAnsi" w:cstheme="minorBidi"/>
        </w:rPr>
      </w:pPr>
      <w:hyperlink w:anchor="_Toc16671686" w:history="1">
        <w:r w:rsidR="000A5622" w:rsidRPr="000F492C">
          <w:rPr>
            <w:rStyle w:val="Hyperlink"/>
          </w:rPr>
          <w:t>Table 88</w:t>
        </w:r>
        <w:r w:rsidR="000A5622">
          <w:rPr>
            <w:rFonts w:asciiTheme="minorHAnsi" w:eastAsiaTheme="minorEastAsia" w:hAnsiTheme="minorHAnsi" w:cstheme="minorBidi"/>
          </w:rPr>
          <w:tab/>
        </w:r>
        <w:r w:rsidR="000A5622" w:rsidRPr="000F492C">
          <w:rPr>
            <w:rStyle w:val="Hyperlink"/>
            <w:rFonts w:cs="Arial"/>
            <w:snapToGrid w:val="0"/>
            <w:lang w:eastAsia="en-US"/>
          </w:rPr>
          <w:t>Studies presenting infections within sub-groups – Blombery et al., 2011</w:t>
        </w:r>
        <w:r w:rsidR="000A5622">
          <w:rPr>
            <w:webHidden/>
          </w:rPr>
          <w:tab/>
        </w:r>
        <w:r w:rsidR="000A5622">
          <w:rPr>
            <w:webHidden/>
          </w:rPr>
          <w:fldChar w:fldCharType="begin"/>
        </w:r>
        <w:r w:rsidR="000A5622">
          <w:rPr>
            <w:webHidden/>
          </w:rPr>
          <w:instrText xml:space="preserve"> PAGEREF _Toc16671686 \h </w:instrText>
        </w:r>
        <w:r w:rsidR="000A5622">
          <w:rPr>
            <w:webHidden/>
          </w:rPr>
        </w:r>
        <w:r w:rsidR="000A5622">
          <w:rPr>
            <w:webHidden/>
          </w:rPr>
          <w:fldChar w:fldCharType="separate"/>
        </w:r>
        <w:r w:rsidR="00A7463B">
          <w:rPr>
            <w:webHidden/>
          </w:rPr>
          <w:t>176</w:t>
        </w:r>
        <w:r w:rsidR="000A5622">
          <w:rPr>
            <w:webHidden/>
          </w:rPr>
          <w:fldChar w:fldCharType="end"/>
        </w:r>
      </w:hyperlink>
    </w:p>
    <w:p w14:paraId="15529AC3" w14:textId="77777777" w:rsidR="000A5622" w:rsidRDefault="009F6E2C">
      <w:pPr>
        <w:pStyle w:val="TableofFigures"/>
        <w:rPr>
          <w:rFonts w:asciiTheme="minorHAnsi" w:eastAsiaTheme="minorEastAsia" w:hAnsiTheme="minorHAnsi" w:cstheme="minorBidi"/>
        </w:rPr>
      </w:pPr>
      <w:hyperlink w:anchor="_Toc16671687" w:history="1">
        <w:r w:rsidR="000A5622" w:rsidRPr="000F492C">
          <w:rPr>
            <w:rStyle w:val="Hyperlink"/>
          </w:rPr>
          <w:t>Table 89</w:t>
        </w:r>
        <w:r w:rsidR="000A5622">
          <w:rPr>
            <w:rFonts w:asciiTheme="minorHAnsi" w:eastAsiaTheme="minorEastAsia" w:hAnsiTheme="minorHAnsi" w:cstheme="minorBidi"/>
          </w:rPr>
          <w:tab/>
        </w:r>
        <w:r w:rsidR="000A5622" w:rsidRPr="000F492C">
          <w:rPr>
            <w:rStyle w:val="Hyperlink"/>
            <w:rFonts w:cs="Arial"/>
            <w:snapToGrid w:val="0"/>
            <w:lang w:eastAsia="en-US"/>
          </w:rPr>
          <w:t>Case series presenting within-patient (before/after) infections outcomes – IVIg</w:t>
        </w:r>
        <w:r w:rsidR="000A5622">
          <w:rPr>
            <w:webHidden/>
          </w:rPr>
          <w:tab/>
        </w:r>
        <w:r w:rsidR="000A5622">
          <w:rPr>
            <w:webHidden/>
          </w:rPr>
          <w:fldChar w:fldCharType="begin"/>
        </w:r>
        <w:r w:rsidR="000A5622">
          <w:rPr>
            <w:webHidden/>
          </w:rPr>
          <w:instrText xml:space="preserve"> PAGEREF _Toc16671687 \h </w:instrText>
        </w:r>
        <w:r w:rsidR="000A5622">
          <w:rPr>
            <w:webHidden/>
          </w:rPr>
        </w:r>
        <w:r w:rsidR="000A5622">
          <w:rPr>
            <w:webHidden/>
          </w:rPr>
          <w:fldChar w:fldCharType="separate"/>
        </w:r>
        <w:r w:rsidR="00A7463B">
          <w:rPr>
            <w:webHidden/>
          </w:rPr>
          <w:t>176</w:t>
        </w:r>
        <w:r w:rsidR="000A5622">
          <w:rPr>
            <w:webHidden/>
          </w:rPr>
          <w:fldChar w:fldCharType="end"/>
        </w:r>
      </w:hyperlink>
    </w:p>
    <w:p w14:paraId="1D07E1D7" w14:textId="77777777" w:rsidR="000A5622" w:rsidRDefault="009F6E2C">
      <w:pPr>
        <w:pStyle w:val="TableofFigures"/>
        <w:rPr>
          <w:rFonts w:asciiTheme="minorHAnsi" w:eastAsiaTheme="minorEastAsia" w:hAnsiTheme="minorHAnsi" w:cstheme="minorBidi"/>
        </w:rPr>
      </w:pPr>
      <w:hyperlink w:anchor="_Toc16671688" w:history="1">
        <w:r w:rsidR="000A5622" w:rsidRPr="000F492C">
          <w:rPr>
            <w:rStyle w:val="Hyperlink"/>
          </w:rPr>
          <w:t>Table 90</w:t>
        </w:r>
        <w:r w:rsidR="000A5622">
          <w:rPr>
            <w:rFonts w:asciiTheme="minorHAnsi" w:eastAsiaTheme="minorEastAsia" w:hAnsiTheme="minorHAnsi" w:cstheme="minorBidi"/>
          </w:rPr>
          <w:tab/>
        </w:r>
        <w:r w:rsidR="000A5622" w:rsidRPr="000F492C">
          <w:rPr>
            <w:rStyle w:val="Hyperlink"/>
            <w:rFonts w:cs="Arial"/>
            <w:snapToGrid w:val="0"/>
            <w:lang w:eastAsia="en-US"/>
          </w:rPr>
          <w:t>Non-comparative studies presenting within-patient (before/after) infections outcomes – SCIg</w:t>
        </w:r>
        <w:r w:rsidR="000A5622">
          <w:rPr>
            <w:webHidden/>
          </w:rPr>
          <w:tab/>
        </w:r>
        <w:r w:rsidR="000A5622">
          <w:rPr>
            <w:webHidden/>
          </w:rPr>
          <w:fldChar w:fldCharType="begin"/>
        </w:r>
        <w:r w:rsidR="000A5622">
          <w:rPr>
            <w:webHidden/>
          </w:rPr>
          <w:instrText xml:space="preserve"> PAGEREF _Toc16671688 \h </w:instrText>
        </w:r>
        <w:r w:rsidR="000A5622">
          <w:rPr>
            <w:webHidden/>
          </w:rPr>
        </w:r>
        <w:r w:rsidR="000A5622">
          <w:rPr>
            <w:webHidden/>
          </w:rPr>
          <w:fldChar w:fldCharType="separate"/>
        </w:r>
        <w:r w:rsidR="00A7463B">
          <w:rPr>
            <w:webHidden/>
          </w:rPr>
          <w:t>178</w:t>
        </w:r>
        <w:r w:rsidR="000A5622">
          <w:rPr>
            <w:webHidden/>
          </w:rPr>
          <w:fldChar w:fldCharType="end"/>
        </w:r>
      </w:hyperlink>
    </w:p>
    <w:p w14:paraId="526FB505" w14:textId="77777777" w:rsidR="000A5622" w:rsidRDefault="009F6E2C">
      <w:pPr>
        <w:pStyle w:val="TableofFigures"/>
        <w:rPr>
          <w:rFonts w:asciiTheme="minorHAnsi" w:eastAsiaTheme="minorEastAsia" w:hAnsiTheme="minorHAnsi" w:cstheme="minorBidi"/>
        </w:rPr>
      </w:pPr>
      <w:hyperlink w:anchor="_Toc16671689" w:history="1">
        <w:r w:rsidR="000A5622" w:rsidRPr="000F492C">
          <w:rPr>
            <w:rStyle w:val="Hyperlink"/>
          </w:rPr>
          <w:t>Table 91</w:t>
        </w:r>
        <w:r w:rsidR="000A5622">
          <w:rPr>
            <w:rFonts w:asciiTheme="minorHAnsi" w:eastAsiaTheme="minorEastAsia" w:hAnsiTheme="minorHAnsi" w:cstheme="minorBidi"/>
          </w:rPr>
          <w:tab/>
        </w:r>
        <w:r w:rsidR="000A5622" w:rsidRPr="000F492C">
          <w:rPr>
            <w:rStyle w:val="Hyperlink"/>
            <w:rFonts w:cs="Arial"/>
            <w:snapToGrid w:val="0"/>
            <w:lang w:eastAsia="en-US"/>
          </w:rPr>
          <w:t>IVIg+SCIg studies – infections outcomes as a single group</w:t>
        </w:r>
        <w:r w:rsidR="000A5622">
          <w:rPr>
            <w:webHidden/>
          </w:rPr>
          <w:tab/>
        </w:r>
        <w:r w:rsidR="000A5622">
          <w:rPr>
            <w:webHidden/>
          </w:rPr>
          <w:fldChar w:fldCharType="begin"/>
        </w:r>
        <w:r w:rsidR="000A5622">
          <w:rPr>
            <w:webHidden/>
          </w:rPr>
          <w:instrText xml:space="preserve"> PAGEREF _Toc16671689 \h </w:instrText>
        </w:r>
        <w:r w:rsidR="000A5622">
          <w:rPr>
            <w:webHidden/>
          </w:rPr>
        </w:r>
        <w:r w:rsidR="000A5622">
          <w:rPr>
            <w:webHidden/>
          </w:rPr>
          <w:fldChar w:fldCharType="separate"/>
        </w:r>
        <w:r w:rsidR="00A7463B">
          <w:rPr>
            <w:webHidden/>
          </w:rPr>
          <w:t>178</w:t>
        </w:r>
        <w:r w:rsidR="000A5622">
          <w:rPr>
            <w:webHidden/>
          </w:rPr>
          <w:fldChar w:fldCharType="end"/>
        </w:r>
      </w:hyperlink>
    </w:p>
    <w:p w14:paraId="22805856" w14:textId="77777777" w:rsidR="000A5622" w:rsidRDefault="009F6E2C">
      <w:pPr>
        <w:pStyle w:val="TableofFigures"/>
        <w:rPr>
          <w:rFonts w:asciiTheme="minorHAnsi" w:eastAsiaTheme="minorEastAsia" w:hAnsiTheme="minorHAnsi" w:cstheme="minorBidi"/>
        </w:rPr>
      </w:pPr>
      <w:hyperlink w:anchor="_Toc16671690" w:history="1">
        <w:r w:rsidR="000A5622" w:rsidRPr="000F492C">
          <w:rPr>
            <w:rStyle w:val="Hyperlink"/>
          </w:rPr>
          <w:t>Table 92</w:t>
        </w:r>
        <w:r w:rsidR="000A5622">
          <w:rPr>
            <w:rFonts w:asciiTheme="minorHAnsi" w:eastAsiaTheme="minorEastAsia" w:hAnsiTheme="minorHAnsi" w:cstheme="minorBidi"/>
          </w:rPr>
          <w:tab/>
        </w:r>
        <w:r w:rsidR="000A5622" w:rsidRPr="000F492C">
          <w:rPr>
            <w:rStyle w:val="Hyperlink"/>
            <w:rFonts w:cs="Arial"/>
            <w:snapToGrid w:val="0"/>
            <w:lang w:eastAsia="en-US"/>
          </w:rPr>
          <w:t>Studies comparing infections outcomes between routes of administration – IVIg vs SCIg</w:t>
        </w:r>
        <w:r w:rsidR="000A5622">
          <w:rPr>
            <w:webHidden/>
          </w:rPr>
          <w:tab/>
        </w:r>
        <w:r w:rsidR="000A5622">
          <w:rPr>
            <w:webHidden/>
          </w:rPr>
          <w:fldChar w:fldCharType="begin"/>
        </w:r>
        <w:r w:rsidR="000A5622">
          <w:rPr>
            <w:webHidden/>
          </w:rPr>
          <w:instrText xml:space="preserve"> PAGEREF _Toc16671690 \h </w:instrText>
        </w:r>
        <w:r w:rsidR="000A5622">
          <w:rPr>
            <w:webHidden/>
          </w:rPr>
        </w:r>
        <w:r w:rsidR="000A5622">
          <w:rPr>
            <w:webHidden/>
          </w:rPr>
          <w:fldChar w:fldCharType="separate"/>
        </w:r>
        <w:r w:rsidR="00A7463B">
          <w:rPr>
            <w:webHidden/>
          </w:rPr>
          <w:t>180</w:t>
        </w:r>
        <w:r w:rsidR="000A5622">
          <w:rPr>
            <w:webHidden/>
          </w:rPr>
          <w:fldChar w:fldCharType="end"/>
        </w:r>
      </w:hyperlink>
    </w:p>
    <w:p w14:paraId="30C994B7" w14:textId="77777777" w:rsidR="000A5622" w:rsidRDefault="009F6E2C">
      <w:pPr>
        <w:pStyle w:val="TableofFigures"/>
        <w:rPr>
          <w:rFonts w:asciiTheme="minorHAnsi" w:eastAsiaTheme="minorEastAsia" w:hAnsiTheme="minorHAnsi" w:cstheme="minorBidi"/>
        </w:rPr>
      </w:pPr>
      <w:hyperlink w:anchor="_Toc16671691" w:history="1">
        <w:r w:rsidR="000A5622" w:rsidRPr="000F492C">
          <w:rPr>
            <w:rStyle w:val="Hyperlink"/>
          </w:rPr>
          <w:t>Table 93</w:t>
        </w:r>
        <w:r w:rsidR="000A5622">
          <w:rPr>
            <w:rFonts w:asciiTheme="minorHAnsi" w:eastAsiaTheme="minorEastAsia" w:hAnsiTheme="minorHAnsi" w:cstheme="minorBidi"/>
          </w:rPr>
          <w:tab/>
        </w:r>
        <w:r w:rsidR="000A5622" w:rsidRPr="000F492C">
          <w:rPr>
            <w:rStyle w:val="Hyperlink"/>
            <w:rFonts w:cs="Arial"/>
            <w:snapToGrid w:val="0"/>
            <w:lang w:eastAsia="en-US"/>
          </w:rPr>
          <w:t>Supportive studies comparing infections outcomes between dose levels</w:t>
        </w:r>
        <w:r w:rsidR="000A5622">
          <w:rPr>
            <w:webHidden/>
          </w:rPr>
          <w:tab/>
        </w:r>
        <w:r w:rsidR="000A5622">
          <w:rPr>
            <w:webHidden/>
          </w:rPr>
          <w:fldChar w:fldCharType="begin"/>
        </w:r>
        <w:r w:rsidR="000A5622">
          <w:rPr>
            <w:webHidden/>
          </w:rPr>
          <w:instrText xml:space="preserve"> PAGEREF _Toc16671691 \h </w:instrText>
        </w:r>
        <w:r w:rsidR="000A5622">
          <w:rPr>
            <w:webHidden/>
          </w:rPr>
        </w:r>
        <w:r w:rsidR="000A5622">
          <w:rPr>
            <w:webHidden/>
          </w:rPr>
          <w:fldChar w:fldCharType="separate"/>
        </w:r>
        <w:r w:rsidR="00A7463B">
          <w:rPr>
            <w:webHidden/>
          </w:rPr>
          <w:t>181</w:t>
        </w:r>
        <w:r w:rsidR="000A5622">
          <w:rPr>
            <w:webHidden/>
          </w:rPr>
          <w:fldChar w:fldCharType="end"/>
        </w:r>
      </w:hyperlink>
    </w:p>
    <w:p w14:paraId="405AF02B" w14:textId="77777777" w:rsidR="000A5622" w:rsidRDefault="009F6E2C">
      <w:pPr>
        <w:pStyle w:val="TableofFigures"/>
        <w:rPr>
          <w:rFonts w:asciiTheme="minorHAnsi" w:eastAsiaTheme="minorEastAsia" w:hAnsiTheme="minorHAnsi" w:cstheme="minorBidi"/>
        </w:rPr>
      </w:pPr>
      <w:hyperlink w:anchor="_Toc16671692" w:history="1">
        <w:r w:rsidR="000A5622" w:rsidRPr="000F492C">
          <w:rPr>
            <w:rStyle w:val="Hyperlink"/>
          </w:rPr>
          <w:t>Table 94</w:t>
        </w:r>
        <w:r w:rsidR="000A5622">
          <w:rPr>
            <w:rFonts w:asciiTheme="minorHAnsi" w:eastAsiaTheme="minorEastAsia" w:hAnsiTheme="minorHAnsi" w:cstheme="minorBidi"/>
          </w:rPr>
          <w:tab/>
        </w:r>
        <w:r w:rsidR="000A5622" w:rsidRPr="000F492C">
          <w:rPr>
            <w:rStyle w:val="Hyperlink"/>
          </w:rPr>
          <w:t>Decision algorithm for undertaking an economic evaluation in the setting of the Ig Review</w:t>
        </w:r>
        <w:r w:rsidR="000A5622">
          <w:rPr>
            <w:webHidden/>
          </w:rPr>
          <w:tab/>
        </w:r>
        <w:r w:rsidR="000A5622">
          <w:rPr>
            <w:webHidden/>
          </w:rPr>
          <w:fldChar w:fldCharType="begin"/>
        </w:r>
        <w:r w:rsidR="000A5622">
          <w:rPr>
            <w:webHidden/>
          </w:rPr>
          <w:instrText xml:space="preserve"> PAGEREF _Toc16671692 \h </w:instrText>
        </w:r>
        <w:r w:rsidR="000A5622">
          <w:rPr>
            <w:webHidden/>
          </w:rPr>
        </w:r>
        <w:r w:rsidR="000A5622">
          <w:rPr>
            <w:webHidden/>
          </w:rPr>
          <w:fldChar w:fldCharType="separate"/>
        </w:r>
        <w:r w:rsidR="00A7463B">
          <w:rPr>
            <w:webHidden/>
          </w:rPr>
          <w:t>182</w:t>
        </w:r>
        <w:r w:rsidR="000A5622">
          <w:rPr>
            <w:webHidden/>
          </w:rPr>
          <w:fldChar w:fldCharType="end"/>
        </w:r>
      </w:hyperlink>
    </w:p>
    <w:p w14:paraId="7BBC8A98" w14:textId="77777777" w:rsidR="000A5622" w:rsidRDefault="009F6E2C">
      <w:pPr>
        <w:pStyle w:val="TableofFigures"/>
        <w:rPr>
          <w:rFonts w:asciiTheme="minorHAnsi" w:eastAsiaTheme="minorEastAsia" w:hAnsiTheme="minorHAnsi" w:cstheme="minorBidi"/>
        </w:rPr>
      </w:pPr>
      <w:hyperlink w:anchor="_Toc16671693" w:history="1">
        <w:r w:rsidR="000A5622" w:rsidRPr="000F492C">
          <w:rPr>
            <w:rStyle w:val="Hyperlink"/>
          </w:rPr>
          <w:t>Table 95</w:t>
        </w:r>
        <w:r w:rsidR="000A5622">
          <w:rPr>
            <w:rFonts w:asciiTheme="minorHAnsi" w:eastAsiaTheme="minorEastAsia" w:hAnsiTheme="minorHAnsi" w:cstheme="minorBidi"/>
          </w:rPr>
          <w:tab/>
        </w:r>
        <w:r w:rsidR="000A5622" w:rsidRPr="000F492C">
          <w:rPr>
            <w:rStyle w:val="Hyperlink"/>
          </w:rPr>
          <w:t>Economic literature search terms</w:t>
        </w:r>
        <w:r w:rsidR="000A5622">
          <w:rPr>
            <w:webHidden/>
          </w:rPr>
          <w:tab/>
        </w:r>
        <w:r w:rsidR="000A5622">
          <w:rPr>
            <w:webHidden/>
          </w:rPr>
          <w:fldChar w:fldCharType="begin"/>
        </w:r>
        <w:r w:rsidR="000A5622">
          <w:rPr>
            <w:webHidden/>
          </w:rPr>
          <w:instrText xml:space="preserve"> PAGEREF _Toc16671693 \h </w:instrText>
        </w:r>
        <w:r w:rsidR="000A5622">
          <w:rPr>
            <w:webHidden/>
          </w:rPr>
        </w:r>
        <w:r w:rsidR="000A5622">
          <w:rPr>
            <w:webHidden/>
          </w:rPr>
          <w:fldChar w:fldCharType="separate"/>
        </w:r>
        <w:r w:rsidR="00A7463B">
          <w:rPr>
            <w:webHidden/>
          </w:rPr>
          <w:t>182</w:t>
        </w:r>
        <w:r w:rsidR="000A5622">
          <w:rPr>
            <w:webHidden/>
          </w:rPr>
          <w:fldChar w:fldCharType="end"/>
        </w:r>
      </w:hyperlink>
    </w:p>
    <w:p w14:paraId="0B1DD56B" w14:textId="77777777" w:rsidR="000A5622" w:rsidRDefault="009F6E2C">
      <w:pPr>
        <w:pStyle w:val="TableofFigures"/>
        <w:rPr>
          <w:rFonts w:asciiTheme="minorHAnsi" w:eastAsiaTheme="minorEastAsia" w:hAnsiTheme="minorHAnsi" w:cstheme="minorBidi"/>
        </w:rPr>
      </w:pPr>
      <w:hyperlink w:anchor="_Toc16671694" w:history="1">
        <w:r w:rsidR="000A5622" w:rsidRPr="000F492C">
          <w:rPr>
            <w:rStyle w:val="Hyperlink"/>
          </w:rPr>
          <w:t>Table 96</w:t>
        </w:r>
        <w:r w:rsidR="000A5622">
          <w:rPr>
            <w:rFonts w:asciiTheme="minorHAnsi" w:eastAsiaTheme="minorEastAsia" w:hAnsiTheme="minorHAnsi" w:cstheme="minorBidi"/>
          </w:rPr>
          <w:tab/>
        </w:r>
        <w:r w:rsidR="000A5622" w:rsidRPr="000F492C">
          <w:rPr>
            <w:rStyle w:val="Hyperlink"/>
          </w:rPr>
          <w:t>Estimation of Ig costs</w:t>
        </w:r>
        <w:r w:rsidR="000A5622">
          <w:rPr>
            <w:webHidden/>
          </w:rPr>
          <w:tab/>
        </w:r>
        <w:r w:rsidR="000A5622">
          <w:rPr>
            <w:webHidden/>
          </w:rPr>
          <w:fldChar w:fldCharType="begin"/>
        </w:r>
        <w:r w:rsidR="000A5622">
          <w:rPr>
            <w:webHidden/>
          </w:rPr>
          <w:instrText xml:space="preserve"> PAGEREF _Toc16671694 \h </w:instrText>
        </w:r>
        <w:r w:rsidR="000A5622">
          <w:rPr>
            <w:webHidden/>
          </w:rPr>
        </w:r>
        <w:r w:rsidR="000A5622">
          <w:rPr>
            <w:webHidden/>
          </w:rPr>
          <w:fldChar w:fldCharType="separate"/>
        </w:r>
        <w:r w:rsidR="00A7463B">
          <w:rPr>
            <w:webHidden/>
          </w:rPr>
          <w:t>184</w:t>
        </w:r>
        <w:r w:rsidR="000A5622">
          <w:rPr>
            <w:webHidden/>
          </w:rPr>
          <w:fldChar w:fldCharType="end"/>
        </w:r>
      </w:hyperlink>
    </w:p>
    <w:p w14:paraId="12912870" w14:textId="77777777" w:rsidR="000A5622" w:rsidRDefault="009F6E2C">
      <w:pPr>
        <w:pStyle w:val="TableofFigures"/>
        <w:rPr>
          <w:rFonts w:asciiTheme="minorHAnsi" w:eastAsiaTheme="minorEastAsia" w:hAnsiTheme="minorHAnsi" w:cstheme="minorBidi"/>
        </w:rPr>
      </w:pPr>
      <w:hyperlink w:anchor="_Toc16671695" w:history="1">
        <w:r w:rsidR="000A5622" w:rsidRPr="000F492C">
          <w:rPr>
            <w:rStyle w:val="Hyperlink"/>
          </w:rPr>
          <w:t>Table 97</w:t>
        </w:r>
        <w:r w:rsidR="000A5622">
          <w:rPr>
            <w:rFonts w:asciiTheme="minorHAnsi" w:eastAsiaTheme="minorEastAsia" w:hAnsiTheme="minorHAnsi" w:cstheme="minorBidi"/>
          </w:rPr>
          <w:tab/>
        </w:r>
        <w:r w:rsidR="000A5622" w:rsidRPr="000F492C">
          <w:rPr>
            <w:rStyle w:val="Hyperlink"/>
          </w:rPr>
          <w:t>Sensitivity analyses</w:t>
        </w:r>
        <w:r w:rsidR="000A5622">
          <w:rPr>
            <w:webHidden/>
          </w:rPr>
          <w:tab/>
        </w:r>
        <w:r w:rsidR="000A5622">
          <w:rPr>
            <w:webHidden/>
          </w:rPr>
          <w:fldChar w:fldCharType="begin"/>
        </w:r>
        <w:r w:rsidR="000A5622">
          <w:rPr>
            <w:webHidden/>
          </w:rPr>
          <w:instrText xml:space="preserve"> PAGEREF _Toc16671695 \h </w:instrText>
        </w:r>
        <w:r w:rsidR="000A5622">
          <w:rPr>
            <w:webHidden/>
          </w:rPr>
        </w:r>
        <w:r w:rsidR="000A5622">
          <w:rPr>
            <w:webHidden/>
          </w:rPr>
          <w:fldChar w:fldCharType="separate"/>
        </w:r>
        <w:r w:rsidR="00A7463B">
          <w:rPr>
            <w:webHidden/>
          </w:rPr>
          <w:t>184</w:t>
        </w:r>
        <w:r w:rsidR="000A5622">
          <w:rPr>
            <w:webHidden/>
          </w:rPr>
          <w:fldChar w:fldCharType="end"/>
        </w:r>
      </w:hyperlink>
    </w:p>
    <w:p w14:paraId="65C91DDD" w14:textId="77777777" w:rsidR="000A5622" w:rsidRDefault="009F6E2C">
      <w:pPr>
        <w:pStyle w:val="TableofFigures"/>
        <w:rPr>
          <w:rFonts w:asciiTheme="minorHAnsi" w:eastAsiaTheme="minorEastAsia" w:hAnsiTheme="minorHAnsi" w:cstheme="minorBidi"/>
        </w:rPr>
      </w:pPr>
      <w:hyperlink w:anchor="_Toc16671696" w:history="1">
        <w:r w:rsidR="000A5622" w:rsidRPr="000F492C">
          <w:rPr>
            <w:rStyle w:val="Hyperlink"/>
          </w:rPr>
          <w:t>Table 98</w:t>
        </w:r>
        <w:r w:rsidR="000A5622">
          <w:rPr>
            <w:rFonts w:asciiTheme="minorHAnsi" w:eastAsiaTheme="minorEastAsia" w:hAnsiTheme="minorHAnsi" w:cstheme="minorBidi"/>
          </w:rPr>
          <w:tab/>
        </w:r>
        <w:r w:rsidR="000A5622" w:rsidRPr="000F492C">
          <w:rPr>
            <w:rStyle w:val="Hyperlink"/>
          </w:rPr>
          <w:t>Estimation of the average weighted cost per gram within the acquired hypogammaglobulinemia indictaion</w:t>
        </w:r>
        <w:r w:rsidR="000A5622">
          <w:rPr>
            <w:webHidden/>
          </w:rPr>
          <w:tab/>
        </w:r>
        <w:r w:rsidR="000A5622">
          <w:rPr>
            <w:webHidden/>
          </w:rPr>
          <w:fldChar w:fldCharType="begin"/>
        </w:r>
        <w:r w:rsidR="000A5622">
          <w:rPr>
            <w:webHidden/>
          </w:rPr>
          <w:instrText xml:space="preserve"> PAGEREF _Toc16671696 \h </w:instrText>
        </w:r>
        <w:r w:rsidR="000A5622">
          <w:rPr>
            <w:webHidden/>
          </w:rPr>
        </w:r>
        <w:r w:rsidR="000A5622">
          <w:rPr>
            <w:webHidden/>
          </w:rPr>
          <w:fldChar w:fldCharType="separate"/>
        </w:r>
        <w:r w:rsidR="00A7463B">
          <w:rPr>
            <w:webHidden/>
          </w:rPr>
          <w:t>187</w:t>
        </w:r>
        <w:r w:rsidR="000A5622">
          <w:rPr>
            <w:webHidden/>
          </w:rPr>
          <w:fldChar w:fldCharType="end"/>
        </w:r>
      </w:hyperlink>
    </w:p>
    <w:p w14:paraId="215DC043" w14:textId="0A8C3526" w:rsidR="008A46A4" w:rsidRPr="00386411" w:rsidRDefault="00503C5B" w:rsidP="0016008C">
      <w:pPr>
        <w:rPr>
          <w:rFonts w:eastAsiaTheme="minorEastAsia"/>
          <w:b/>
        </w:rPr>
      </w:pPr>
      <w:r w:rsidRPr="00386411">
        <w:rPr>
          <w:rFonts w:eastAsiaTheme="minorEastAsia"/>
          <w:b/>
          <w:smallCaps/>
          <w:noProof/>
        </w:rPr>
        <w:fldChar w:fldCharType="end"/>
      </w:r>
      <w:bookmarkEnd w:id="25"/>
      <w:bookmarkEnd w:id="26"/>
    </w:p>
    <w:p w14:paraId="24A57DD1" w14:textId="77777777" w:rsidR="00452F32" w:rsidRPr="00386411" w:rsidRDefault="008F59A8" w:rsidP="00DF343F">
      <w:pPr>
        <w:pStyle w:val="Heading2"/>
      </w:pPr>
      <w:bookmarkStart w:id="27" w:name="_Toc381796427"/>
      <w:bookmarkStart w:id="28" w:name="_Toc395200738"/>
      <w:bookmarkStart w:id="29" w:name="_Toc399247193"/>
      <w:bookmarkStart w:id="30" w:name="_Toc402884712"/>
      <w:bookmarkStart w:id="31" w:name="_Toc14431096"/>
      <w:bookmarkStart w:id="32" w:name="_Toc16856264"/>
      <w:r w:rsidRPr="00386411">
        <w:t>Figures</w:t>
      </w:r>
      <w:bookmarkEnd w:id="27"/>
      <w:bookmarkEnd w:id="28"/>
      <w:bookmarkEnd w:id="29"/>
      <w:bookmarkEnd w:id="30"/>
      <w:bookmarkEnd w:id="31"/>
      <w:bookmarkEnd w:id="32"/>
    </w:p>
    <w:p w14:paraId="5D89D133" w14:textId="77777777" w:rsidR="000A5622" w:rsidRDefault="0086593E">
      <w:pPr>
        <w:pStyle w:val="TableofFigures"/>
        <w:rPr>
          <w:rFonts w:asciiTheme="minorHAnsi" w:eastAsiaTheme="minorEastAsia" w:hAnsiTheme="minorHAnsi" w:cstheme="minorBidi"/>
        </w:rPr>
      </w:pPr>
      <w:r w:rsidRPr="00386411">
        <w:rPr>
          <w:b/>
          <w:szCs w:val="24"/>
        </w:rPr>
        <w:fldChar w:fldCharType="begin"/>
      </w:r>
      <w:r w:rsidR="00452F32" w:rsidRPr="00386411">
        <w:rPr>
          <w:b/>
          <w:szCs w:val="24"/>
        </w:rPr>
        <w:instrText xml:space="preserve"> TOC \h \z \c "Figure" </w:instrText>
      </w:r>
      <w:r w:rsidRPr="00386411">
        <w:rPr>
          <w:b/>
          <w:szCs w:val="24"/>
        </w:rPr>
        <w:fldChar w:fldCharType="separate"/>
      </w:r>
      <w:hyperlink w:anchor="_Toc16671697" w:history="1">
        <w:r w:rsidR="000A5622" w:rsidRPr="003805DE">
          <w:rPr>
            <w:rStyle w:val="Hyperlink"/>
          </w:rPr>
          <w:t>Figure 1</w:t>
        </w:r>
        <w:r w:rsidR="000A5622">
          <w:rPr>
            <w:rFonts w:asciiTheme="minorHAnsi" w:eastAsiaTheme="minorEastAsia" w:hAnsiTheme="minorHAnsi" w:cstheme="minorBidi"/>
          </w:rPr>
          <w:tab/>
        </w:r>
        <w:r w:rsidR="000A5622" w:rsidRPr="003805DE">
          <w:rPr>
            <w:rStyle w:val="Hyperlink"/>
          </w:rPr>
          <w:t>Treatment algorithm</w:t>
        </w:r>
        <w:r w:rsidR="000A5622">
          <w:rPr>
            <w:webHidden/>
          </w:rPr>
          <w:tab/>
        </w:r>
        <w:r w:rsidR="000A5622">
          <w:rPr>
            <w:webHidden/>
          </w:rPr>
          <w:fldChar w:fldCharType="begin"/>
        </w:r>
        <w:r w:rsidR="000A5622">
          <w:rPr>
            <w:webHidden/>
          </w:rPr>
          <w:instrText xml:space="preserve"> PAGEREF _Toc16671697 \h </w:instrText>
        </w:r>
        <w:r w:rsidR="000A5622">
          <w:rPr>
            <w:webHidden/>
          </w:rPr>
        </w:r>
        <w:r w:rsidR="000A5622">
          <w:rPr>
            <w:webHidden/>
          </w:rPr>
          <w:fldChar w:fldCharType="separate"/>
        </w:r>
        <w:r w:rsidR="00A7463B">
          <w:rPr>
            <w:webHidden/>
          </w:rPr>
          <w:t>40</w:t>
        </w:r>
        <w:r w:rsidR="000A5622">
          <w:rPr>
            <w:webHidden/>
          </w:rPr>
          <w:fldChar w:fldCharType="end"/>
        </w:r>
      </w:hyperlink>
    </w:p>
    <w:p w14:paraId="0B2B732A" w14:textId="77777777" w:rsidR="000A5622" w:rsidRDefault="009F6E2C">
      <w:pPr>
        <w:pStyle w:val="TableofFigures"/>
        <w:rPr>
          <w:rFonts w:asciiTheme="minorHAnsi" w:eastAsiaTheme="minorEastAsia" w:hAnsiTheme="minorHAnsi" w:cstheme="minorBidi"/>
        </w:rPr>
      </w:pPr>
      <w:hyperlink w:anchor="_Toc16671698" w:history="1">
        <w:r w:rsidR="000A5622" w:rsidRPr="003805DE">
          <w:rPr>
            <w:rStyle w:val="Hyperlink"/>
          </w:rPr>
          <w:t xml:space="preserve">Figure 2 </w:t>
        </w:r>
        <w:r w:rsidR="000A5622">
          <w:rPr>
            <w:rFonts w:asciiTheme="minorHAnsi" w:eastAsiaTheme="minorEastAsia" w:hAnsiTheme="minorHAnsi" w:cstheme="minorBidi"/>
          </w:rPr>
          <w:tab/>
        </w:r>
        <w:r w:rsidR="000A5622" w:rsidRPr="003805DE">
          <w:rPr>
            <w:rStyle w:val="Hyperlink"/>
          </w:rPr>
          <w:t>Summary of the process used to identify and select studies for the assessment</w:t>
        </w:r>
        <w:r w:rsidR="000A5622">
          <w:rPr>
            <w:webHidden/>
          </w:rPr>
          <w:tab/>
        </w:r>
        <w:r w:rsidR="000A5622">
          <w:rPr>
            <w:webHidden/>
          </w:rPr>
          <w:fldChar w:fldCharType="begin"/>
        </w:r>
        <w:r w:rsidR="000A5622">
          <w:rPr>
            <w:webHidden/>
          </w:rPr>
          <w:instrText xml:space="preserve"> PAGEREF _Toc16671698 \h </w:instrText>
        </w:r>
        <w:r w:rsidR="000A5622">
          <w:rPr>
            <w:webHidden/>
          </w:rPr>
        </w:r>
        <w:r w:rsidR="000A5622">
          <w:rPr>
            <w:webHidden/>
          </w:rPr>
          <w:fldChar w:fldCharType="separate"/>
        </w:r>
        <w:r w:rsidR="00A7463B">
          <w:rPr>
            <w:webHidden/>
          </w:rPr>
          <w:t>44</w:t>
        </w:r>
        <w:r w:rsidR="000A5622">
          <w:rPr>
            <w:webHidden/>
          </w:rPr>
          <w:fldChar w:fldCharType="end"/>
        </w:r>
      </w:hyperlink>
    </w:p>
    <w:p w14:paraId="1CEDC4D6" w14:textId="77777777" w:rsidR="000A5622" w:rsidRDefault="009F6E2C">
      <w:pPr>
        <w:pStyle w:val="TableofFigures"/>
        <w:rPr>
          <w:rFonts w:asciiTheme="minorHAnsi" w:eastAsiaTheme="minorEastAsia" w:hAnsiTheme="minorHAnsi" w:cstheme="minorBidi"/>
        </w:rPr>
      </w:pPr>
      <w:hyperlink w:anchor="_Toc16671699" w:history="1">
        <w:r w:rsidR="000A5622" w:rsidRPr="003805DE">
          <w:rPr>
            <w:rStyle w:val="Hyperlink"/>
          </w:rPr>
          <w:t>Figure 3</w:t>
        </w:r>
        <w:r w:rsidR="000A5622">
          <w:rPr>
            <w:rFonts w:asciiTheme="minorHAnsi" w:eastAsiaTheme="minorEastAsia" w:hAnsiTheme="minorHAnsi" w:cstheme="minorBidi"/>
          </w:rPr>
          <w:tab/>
        </w:r>
        <w:r w:rsidR="000A5622" w:rsidRPr="003805DE">
          <w:rPr>
            <w:rStyle w:val="Hyperlink"/>
            <w:snapToGrid w:val="0"/>
            <w:lang w:eastAsia="en-US"/>
          </w:rPr>
          <w:t>Randomised trials presenting serious infections – IgG vs No IgG groups</w:t>
        </w:r>
        <w:r w:rsidR="000A5622">
          <w:rPr>
            <w:webHidden/>
          </w:rPr>
          <w:tab/>
        </w:r>
        <w:r w:rsidR="000A5622">
          <w:rPr>
            <w:webHidden/>
          </w:rPr>
          <w:fldChar w:fldCharType="begin"/>
        </w:r>
        <w:r w:rsidR="000A5622">
          <w:rPr>
            <w:webHidden/>
          </w:rPr>
          <w:instrText xml:space="preserve"> PAGEREF _Toc16671699 \h </w:instrText>
        </w:r>
        <w:r w:rsidR="000A5622">
          <w:rPr>
            <w:webHidden/>
          </w:rPr>
        </w:r>
        <w:r w:rsidR="000A5622">
          <w:rPr>
            <w:webHidden/>
          </w:rPr>
          <w:fldChar w:fldCharType="separate"/>
        </w:r>
        <w:r w:rsidR="00A7463B">
          <w:rPr>
            <w:webHidden/>
          </w:rPr>
          <w:t>71</w:t>
        </w:r>
        <w:r w:rsidR="000A5622">
          <w:rPr>
            <w:webHidden/>
          </w:rPr>
          <w:fldChar w:fldCharType="end"/>
        </w:r>
      </w:hyperlink>
    </w:p>
    <w:p w14:paraId="68A51085" w14:textId="77777777" w:rsidR="000A5622" w:rsidRDefault="009F6E2C">
      <w:pPr>
        <w:pStyle w:val="TableofFigures"/>
        <w:rPr>
          <w:rFonts w:asciiTheme="minorHAnsi" w:eastAsiaTheme="minorEastAsia" w:hAnsiTheme="minorHAnsi" w:cstheme="minorBidi"/>
        </w:rPr>
      </w:pPr>
      <w:hyperlink w:anchor="_Toc16671700" w:history="1">
        <w:r w:rsidR="000A5622" w:rsidRPr="003805DE">
          <w:rPr>
            <w:rStyle w:val="Hyperlink"/>
          </w:rPr>
          <w:t>Figure 4</w:t>
        </w:r>
        <w:r w:rsidR="000A5622">
          <w:rPr>
            <w:rFonts w:asciiTheme="minorHAnsi" w:eastAsiaTheme="minorEastAsia" w:hAnsiTheme="minorHAnsi" w:cstheme="minorBidi"/>
          </w:rPr>
          <w:tab/>
        </w:r>
        <w:r w:rsidR="000A5622" w:rsidRPr="003805DE">
          <w:rPr>
            <w:rStyle w:val="Hyperlink"/>
            <w:snapToGrid w:val="0"/>
            <w:lang w:eastAsia="en-US"/>
          </w:rPr>
          <w:t>Randomised trials presenting other infections – IgG vs No IgG groups</w:t>
        </w:r>
        <w:r w:rsidR="000A5622">
          <w:rPr>
            <w:webHidden/>
          </w:rPr>
          <w:tab/>
        </w:r>
        <w:r w:rsidR="000A5622">
          <w:rPr>
            <w:webHidden/>
          </w:rPr>
          <w:fldChar w:fldCharType="begin"/>
        </w:r>
        <w:r w:rsidR="000A5622">
          <w:rPr>
            <w:webHidden/>
          </w:rPr>
          <w:instrText xml:space="preserve"> PAGEREF _Toc16671700 \h </w:instrText>
        </w:r>
        <w:r w:rsidR="000A5622">
          <w:rPr>
            <w:webHidden/>
          </w:rPr>
        </w:r>
        <w:r w:rsidR="000A5622">
          <w:rPr>
            <w:webHidden/>
          </w:rPr>
          <w:fldChar w:fldCharType="separate"/>
        </w:r>
        <w:r w:rsidR="00A7463B">
          <w:rPr>
            <w:webHidden/>
          </w:rPr>
          <w:t>71</w:t>
        </w:r>
        <w:r w:rsidR="000A5622">
          <w:rPr>
            <w:webHidden/>
          </w:rPr>
          <w:fldChar w:fldCharType="end"/>
        </w:r>
      </w:hyperlink>
    </w:p>
    <w:p w14:paraId="1F77A2CC" w14:textId="77777777" w:rsidR="000A5622" w:rsidRDefault="009F6E2C">
      <w:pPr>
        <w:pStyle w:val="TableofFigures"/>
        <w:rPr>
          <w:rFonts w:asciiTheme="minorHAnsi" w:eastAsiaTheme="minorEastAsia" w:hAnsiTheme="minorHAnsi" w:cstheme="minorBidi"/>
        </w:rPr>
      </w:pPr>
      <w:hyperlink w:anchor="_Toc16671701" w:history="1">
        <w:r w:rsidR="000A5622" w:rsidRPr="003805DE">
          <w:rPr>
            <w:rStyle w:val="Hyperlink"/>
          </w:rPr>
          <w:t>Figure 5</w:t>
        </w:r>
        <w:r w:rsidR="000A5622">
          <w:rPr>
            <w:rFonts w:asciiTheme="minorHAnsi" w:eastAsiaTheme="minorEastAsia" w:hAnsiTheme="minorHAnsi" w:cstheme="minorBidi"/>
          </w:rPr>
          <w:tab/>
        </w:r>
        <w:r w:rsidR="000A5622" w:rsidRPr="003805DE">
          <w:rPr>
            <w:rStyle w:val="Hyperlink"/>
            <w:snapToGrid w:val="0"/>
            <w:lang w:eastAsia="en-US"/>
          </w:rPr>
          <w:t>Non-randomised trials presenting serious infections – before and after comparison of IgG</w:t>
        </w:r>
        <w:r w:rsidR="000A5622">
          <w:rPr>
            <w:webHidden/>
          </w:rPr>
          <w:tab/>
        </w:r>
        <w:r w:rsidR="000A5622">
          <w:rPr>
            <w:webHidden/>
          </w:rPr>
          <w:fldChar w:fldCharType="begin"/>
        </w:r>
        <w:r w:rsidR="000A5622">
          <w:rPr>
            <w:webHidden/>
          </w:rPr>
          <w:instrText xml:space="preserve"> PAGEREF _Toc16671701 \h </w:instrText>
        </w:r>
        <w:r w:rsidR="000A5622">
          <w:rPr>
            <w:webHidden/>
          </w:rPr>
        </w:r>
        <w:r w:rsidR="000A5622">
          <w:rPr>
            <w:webHidden/>
          </w:rPr>
          <w:fldChar w:fldCharType="separate"/>
        </w:r>
        <w:r w:rsidR="00A7463B">
          <w:rPr>
            <w:webHidden/>
          </w:rPr>
          <w:t>72</w:t>
        </w:r>
        <w:r w:rsidR="000A5622">
          <w:rPr>
            <w:webHidden/>
          </w:rPr>
          <w:fldChar w:fldCharType="end"/>
        </w:r>
      </w:hyperlink>
    </w:p>
    <w:p w14:paraId="4BAD35D7" w14:textId="77777777" w:rsidR="000A5622" w:rsidRDefault="009F6E2C">
      <w:pPr>
        <w:pStyle w:val="TableofFigures"/>
        <w:rPr>
          <w:rFonts w:asciiTheme="minorHAnsi" w:eastAsiaTheme="minorEastAsia" w:hAnsiTheme="minorHAnsi" w:cstheme="minorBidi"/>
        </w:rPr>
      </w:pPr>
      <w:hyperlink w:anchor="_Toc16671702" w:history="1">
        <w:r w:rsidR="000A5622" w:rsidRPr="003805DE">
          <w:rPr>
            <w:rStyle w:val="Hyperlink"/>
          </w:rPr>
          <w:t>Figure 6</w:t>
        </w:r>
        <w:r w:rsidR="000A5622">
          <w:rPr>
            <w:rFonts w:asciiTheme="minorHAnsi" w:eastAsiaTheme="minorEastAsia" w:hAnsiTheme="minorHAnsi" w:cstheme="minorBidi"/>
          </w:rPr>
          <w:tab/>
        </w:r>
        <w:r w:rsidR="000A5622" w:rsidRPr="003805DE">
          <w:rPr>
            <w:rStyle w:val="Hyperlink"/>
            <w:snapToGrid w:val="0"/>
            <w:lang w:eastAsia="en-US"/>
          </w:rPr>
          <w:t>Non-randomised trials presenting total infections – before and after comparison of IgG</w:t>
        </w:r>
        <w:r w:rsidR="000A5622">
          <w:rPr>
            <w:webHidden/>
          </w:rPr>
          <w:tab/>
        </w:r>
        <w:r w:rsidR="000A5622">
          <w:rPr>
            <w:webHidden/>
          </w:rPr>
          <w:fldChar w:fldCharType="begin"/>
        </w:r>
        <w:r w:rsidR="000A5622">
          <w:rPr>
            <w:webHidden/>
          </w:rPr>
          <w:instrText xml:space="preserve"> PAGEREF _Toc16671702 \h </w:instrText>
        </w:r>
        <w:r w:rsidR="000A5622">
          <w:rPr>
            <w:webHidden/>
          </w:rPr>
        </w:r>
        <w:r w:rsidR="000A5622">
          <w:rPr>
            <w:webHidden/>
          </w:rPr>
          <w:fldChar w:fldCharType="separate"/>
        </w:r>
        <w:r w:rsidR="00A7463B">
          <w:rPr>
            <w:webHidden/>
          </w:rPr>
          <w:t>72</w:t>
        </w:r>
        <w:r w:rsidR="000A5622">
          <w:rPr>
            <w:webHidden/>
          </w:rPr>
          <w:fldChar w:fldCharType="end"/>
        </w:r>
      </w:hyperlink>
    </w:p>
    <w:p w14:paraId="4EF748C1" w14:textId="77777777" w:rsidR="000A5622" w:rsidRDefault="009F6E2C">
      <w:pPr>
        <w:pStyle w:val="TableofFigures"/>
        <w:rPr>
          <w:rFonts w:asciiTheme="minorHAnsi" w:eastAsiaTheme="minorEastAsia" w:hAnsiTheme="minorHAnsi" w:cstheme="minorBidi"/>
        </w:rPr>
      </w:pPr>
      <w:hyperlink w:anchor="_Toc16671703" w:history="1">
        <w:r w:rsidR="000A5622" w:rsidRPr="003805DE">
          <w:rPr>
            <w:rStyle w:val="Hyperlink"/>
          </w:rPr>
          <w:t>Figure 7</w:t>
        </w:r>
        <w:r w:rsidR="000A5622">
          <w:rPr>
            <w:rFonts w:asciiTheme="minorHAnsi" w:eastAsiaTheme="minorEastAsia" w:hAnsiTheme="minorHAnsi" w:cstheme="minorBidi"/>
          </w:rPr>
          <w:tab/>
        </w:r>
        <w:r w:rsidR="000A5622" w:rsidRPr="003805DE">
          <w:rPr>
            <w:rStyle w:val="Hyperlink"/>
          </w:rPr>
          <w:t>Quality of Life (SF-36) – Vacca et al., 2018</w:t>
        </w:r>
        <w:r w:rsidR="000A5622">
          <w:rPr>
            <w:webHidden/>
          </w:rPr>
          <w:tab/>
        </w:r>
        <w:r w:rsidR="000A5622">
          <w:rPr>
            <w:webHidden/>
          </w:rPr>
          <w:fldChar w:fldCharType="begin"/>
        </w:r>
        <w:r w:rsidR="000A5622">
          <w:rPr>
            <w:webHidden/>
          </w:rPr>
          <w:instrText xml:space="preserve"> PAGEREF _Toc16671703 \h </w:instrText>
        </w:r>
        <w:r w:rsidR="000A5622">
          <w:rPr>
            <w:webHidden/>
          </w:rPr>
        </w:r>
        <w:r w:rsidR="000A5622">
          <w:rPr>
            <w:webHidden/>
          </w:rPr>
          <w:fldChar w:fldCharType="separate"/>
        </w:r>
        <w:r w:rsidR="00A7463B">
          <w:rPr>
            <w:webHidden/>
          </w:rPr>
          <w:t>86</w:t>
        </w:r>
        <w:r w:rsidR="000A5622">
          <w:rPr>
            <w:webHidden/>
          </w:rPr>
          <w:fldChar w:fldCharType="end"/>
        </w:r>
      </w:hyperlink>
    </w:p>
    <w:p w14:paraId="7FAEF12C" w14:textId="77777777" w:rsidR="000A5622" w:rsidRDefault="009F6E2C">
      <w:pPr>
        <w:pStyle w:val="TableofFigures"/>
        <w:rPr>
          <w:rFonts w:asciiTheme="minorHAnsi" w:eastAsiaTheme="minorEastAsia" w:hAnsiTheme="minorHAnsi" w:cstheme="minorBidi"/>
        </w:rPr>
      </w:pPr>
      <w:hyperlink w:anchor="_Toc16671704" w:history="1">
        <w:r w:rsidR="000A5622" w:rsidRPr="003805DE">
          <w:rPr>
            <w:rStyle w:val="Hyperlink"/>
          </w:rPr>
          <w:t>Figure 8</w:t>
        </w:r>
        <w:r w:rsidR="000A5622">
          <w:rPr>
            <w:rFonts w:asciiTheme="minorHAnsi" w:eastAsiaTheme="minorEastAsia" w:hAnsiTheme="minorHAnsi" w:cstheme="minorBidi"/>
          </w:rPr>
          <w:tab/>
        </w:r>
        <w:r w:rsidR="000A5622" w:rsidRPr="003805DE">
          <w:rPr>
            <w:rStyle w:val="Hyperlink"/>
          </w:rPr>
          <w:t>State transition model used in Windegger et al. (2019)</w:t>
        </w:r>
        <w:r w:rsidR="000A5622">
          <w:rPr>
            <w:webHidden/>
          </w:rPr>
          <w:tab/>
        </w:r>
        <w:r w:rsidR="000A5622">
          <w:rPr>
            <w:webHidden/>
          </w:rPr>
          <w:fldChar w:fldCharType="begin"/>
        </w:r>
        <w:r w:rsidR="000A5622">
          <w:rPr>
            <w:webHidden/>
          </w:rPr>
          <w:instrText xml:space="preserve"> PAGEREF _Toc16671704 \h </w:instrText>
        </w:r>
        <w:r w:rsidR="000A5622">
          <w:rPr>
            <w:webHidden/>
          </w:rPr>
        </w:r>
        <w:r w:rsidR="000A5622">
          <w:rPr>
            <w:webHidden/>
          </w:rPr>
          <w:fldChar w:fldCharType="separate"/>
        </w:r>
        <w:r w:rsidR="00A7463B">
          <w:rPr>
            <w:webHidden/>
          </w:rPr>
          <w:t>109</w:t>
        </w:r>
        <w:r w:rsidR="000A5622">
          <w:rPr>
            <w:webHidden/>
          </w:rPr>
          <w:fldChar w:fldCharType="end"/>
        </w:r>
      </w:hyperlink>
    </w:p>
    <w:p w14:paraId="756715C0" w14:textId="77777777" w:rsidR="000A5622" w:rsidRDefault="009F6E2C">
      <w:pPr>
        <w:pStyle w:val="TableofFigures"/>
        <w:rPr>
          <w:rFonts w:asciiTheme="minorHAnsi" w:eastAsiaTheme="minorEastAsia" w:hAnsiTheme="minorHAnsi" w:cstheme="minorBidi"/>
        </w:rPr>
      </w:pPr>
      <w:hyperlink w:anchor="_Toc16671705" w:history="1">
        <w:r w:rsidR="000A5622" w:rsidRPr="003805DE">
          <w:rPr>
            <w:rStyle w:val="Hyperlink"/>
          </w:rPr>
          <w:t>Figure 9</w:t>
        </w:r>
        <w:r w:rsidR="000A5622">
          <w:rPr>
            <w:rFonts w:asciiTheme="minorHAnsi" w:eastAsiaTheme="minorEastAsia" w:hAnsiTheme="minorHAnsi" w:cstheme="minorBidi"/>
          </w:rPr>
          <w:tab/>
        </w:r>
        <w:r w:rsidR="000A5622" w:rsidRPr="003805DE">
          <w:rPr>
            <w:rStyle w:val="Hyperlink"/>
          </w:rPr>
          <w:t>Markov model structure</w:t>
        </w:r>
        <w:r w:rsidR="000A5622">
          <w:rPr>
            <w:webHidden/>
          </w:rPr>
          <w:tab/>
        </w:r>
        <w:r w:rsidR="000A5622">
          <w:rPr>
            <w:webHidden/>
          </w:rPr>
          <w:fldChar w:fldCharType="begin"/>
        </w:r>
        <w:r w:rsidR="000A5622">
          <w:rPr>
            <w:webHidden/>
          </w:rPr>
          <w:instrText xml:space="preserve"> PAGEREF _Toc16671705 \h </w:instrText>
        </w:r>
        <w:r w:rsidR="000A5622">
          <w:rPr>
            <w:webHidden/>
          </w:rPr>
        </w:r>
        <w:r w:rsidR="000A5622">
          <w:rPr>
            <w:webHidden/>
          </w:rPr>
          <w:fldChar w:fldCharType="separate"/>
        </w:r>
        <w:r w:rsidR="00A7463B">
          <w:rPr>
            <w:webHidden/>
          </w:rPr>
          <w:t>111</w:t>
        </w:r>
        <w:r w:rsidR="000A5622">
          <w:rPr>
            <w:webHidden/>
          </w:rPr>
          <w:fldChar w:fldCharType="end"/>
        </w:r>
      </w:hyperlink>
    </w:p>
    <w:p w14:paraId="0EBA4ED4" w14:textId="77777777" w:rsidR="000A5622" w:rsidRDefault="009F6E2C">
      <w:pPr>
        <w:pStyle w:val="TableofFigures"/>
        <w:rPr>
          <w:rFonts w:asciiTheme="minorHAnsi" w:eastAsiaTheme="minorEastAsia" w:hAnsiTheme="minorHAnsi" w:cstheme="minorBidi"/>
        </w:rPr>
      </w:pPr>
      <w:hyperlink w:anchor="_Toc16671706" w:history="1">
        <w:r w:rsidR="000A5622" w:rsidRPr="003805DE">
          <w:rPr>
            <w:rStyle w:val="Hyperlink"/>
          </w:rPr>
          <w:t>Figure 10</w:t>
        </w:r>
        <w:r w:rsidR="000A5622">
          <w:rPr>
            <w:rFonts w:asciiTheme="minorHAnsi" w:eastAsiaTheme="minorEastAsia" w:hAnsiTheme="minorHAnsi" w:cstheme="minorBidi"/>
          </w:rPr>
          <w:tab/>
        </w:r>
        <w:r w:rsidR="000A5622" w:rsidRPr="003805DE">
          <w:rPr>
            <w:rStyle w:val="Hyperlink"/>
          </w:rPr>
          <w:t>Markov model traces</w:t>
        </w:r>
        <w:r w:rsidR="000A5622">
          <w:rPr>
            <w:webHidden/>
          </w:rPr>
          <w:tab/>
        </w:r>
        <w:r w:rsidR="000A5622">
          <w:rPr>
            <w:webHidden/>
          </w:rPr>
          <w:fldChar w:fldCharType="begin"/>
        </w:r>
        <w:r w:rsidR="000A5622">
          <w:rPr>
            <w:webHidden/>
          </w:rPr>
          <w:instrText xml:space="preserve"> PAGEREF _Toc16671706 \h </w:instrText>
        </w:r>
        <w:r w:rsidR="000A5622">
          <w:rPr>
            <w:webHidden/>
          </w:rPr>
        </w:r>
        <w:r w:rsidR="000A5622">
          <w:rPr>
            <w:webHidden/>
          </w:rPr>
          <w:fldChar w:fldCharType="separate"/>
        </w:r>
        <w:r w:rsidR="00A7463B">
          <w:rPr>
            <w:webHidden/>
          </w:rPr>
          <w:t>127</w:t>
        </w:r>
        <w:r w:rsidR="000A5622">
          <w:rPr>
            <w:webHidden/>
          </w:rPr>
          <w:fldChar w:fldCharType="end"/>
        </w:r>
      </w:hyperlink>
    </w:p>
    <w:p w14:paraId="1C6EDA08" w14:textId="77777777" w:rsidR="000A5622" w:rsidRDefault="009F6E2C">
      <w:pPr>
        <w:pStyle w:val="TableofFigures"/>
        <w:rPr>
          <w:rFonts w:asciiTheme="minorHAnsi" w:eastAsiaTheme="minorEastAsia" w:hAnsiTheme="minorHAnsi" w:cstheme="minorBidi"/>
        </w:rPr>
      </w:pPr>
      <w:hyperlink w:anchor="_Toc16671707" w:history="1">
        <w:r w:rsidR="000A5622" w:rsidRPr="003805DE">
          <w:rPr>
            <w:rStyle w:val="Hyperlink"/>
          </w:rPr>
          <w:t>Figure 11</w:t>
        </w:r>
        <w:r w:rsidR="000A5622">
          <w:rPr>
            <w:rFonts w:asciiTheme="minorHAnsi" w:eastAsiaTheme="minorEastAsia" w:hAnsiTheme="minorHAnsi" w:cstheme="minorBidi"/>
          </w:rPr>
          <w:tab/>
        </w:r>
        <w:r w:rsidR="000A5622" w:rsidRPr="003805DE">
          <w:rPr>
            <w:rStyle w:val="Hyperlink"/>
          </w:rPr>
          <w:t>Patient number projections</w:t>
        </w:r>
        <w:r w:rsidR="000A5622">
          <w:rPr>
            <w:webHidden/>
          </w:rPr>
          <w:tab/>
        </w:r>
        <w:r w:rsidR="000A5622">
          <w:rPr>
            <w:webHidden/>
          </w:rPr>
          <w:fldChar w:fldCharType="begin"/>
        </w:r>
        <w:r w:rsidR="000A5622">
          <w:rPr>
            <w:webHidden/>
          </w:rPr>
          <w:instrText xml:space="preserve"> PAGEREF _Toc16671707 \h </w:instrText>
        </w:r>
        <w:r w:rsidR="000A5622">
          <w:rPr>
            <w:webHidden/>
          </w:rPr>
        </w:r>
        <w:r w:rsidR="000A5622">
          <w:rPr>
            <w:webHidden/>
          </w:rPr>
          <w:fldChar w:fldCharType="separate"/>
        </w:r>
        <w:r w:rsidR="00A7463B">
          <w:rPr>
            <w:webHidden/>
          </w:rPr>
          <w:t>136</w:t>
        </w:r>
        <w:r w:rsidR="000A5622">
          <w:rPr>
            <w:webHidden/>
          </w:rPr>
          <w:fldChar w:fldCharType="end"/>
        </w:r>
      </w:hyperlink>
    </w:p>
    <w:p w14:paraId="63AF3587" w14:textId="77777777" w:rsidR="000A5622" w:rsidRDefault="009F6E2C">
      <w:pPr>
        <w:pStyle w:val="TableofFigures"/>
        <w:rPr>
          <w:rFonts w:asciiTheme="minorHAnsi" w:eastAsiaTheme="minorEastAsia" w:hAnsiTheme="minorHAnsi" w:cstheme="minorBidi"/>
        </w:rPr>
      </w:pPr>
      <w:hyperlink w:anchor="_Toc16671708" w:history="1">
        <w:r w:rsidR="000A5622" w:rsidRPr="003805DE">
          <w:rPr>
            <w:rStyle w:val="Hyperlink"/>
          </w:rPr>
          <w:t>Figure 12</w:t>
        </w:r>
        <w:r w:rsidR="000A5622">
          <w:rPr>
            <w:rFonts w:asciiTheme="minorHAnsi" w:eastAsiaTheme="minorEastAsia" w:hAnsiTheme="minorHAnsi" w:cstheme="minorBidi"/>
          </w:rPr>
          <w:tab/>
        </w:r>
        <w:r w:rsidR="000A5622" w:rsidRPr="003805DE">
          <w:rPr>
            <w:rStyle w:val="Hyperlink"/>
          </w:rPr>
          <w:t>Ig use projections</w:t>
        </w:r>
        <w:r w:rsidR="000A5622">
          <w:rPr>
            <w:webHidden/>
          </w:rPr>
          <w:tab/>
        </w:r>
        <w:r w:rsidR="000A5622">
          <w:rPr>
            <w:webHidden/>
          </w:rPr>
          <w:fldChar w:fldCharType="begin"/>
        </w:r>
        <w:r w:rsidR="000A5622">
          <w:rPr>
            <w:webHidden/>
          </w:rPr>
          <w:instrText xml:space="preserve"> PAGEREF _Toc16671708 \h </w:instrText>
        </w:r>
        <w:r w:rsidR="000A5622">
          <w:rPr>
            <w:webHidden/>
          </w:rPr>
        </w:r>
        <w:r w:rsidR="000A5622">
          <w:rPr>
            <w:webHidden/>
          </w:rPr>
          <w:fldChar w:fldCharType="separate"/>
        </w:r>
        <w:r w:rsidR="00A7463B">
          <w:rPr>
            <w:webHidden/>
          </w:rPr>
          <w:t>137</w:t>
        </w:r>
        <w:r w:rsidR="000A5622">
          <w:rPr>
            <w:webHidden/>
          </w:rPr>
          <w:fldChar w:fldCharType="end"/>
        </w:r>
      </w:hyperlink>
    </w:p>
    <w:p w14:paraId="037EF860" w14:textId="77777777" w:rsidR="002874D8" w:rsidRPr="00386411" w:rsidRDefault="0086593E" w:rsidP="00A27881">
      <w:pPr>
        <w:tabs>
          <w:tab w:val="left" w:pos="1276"/>
        </w:tabs>
        <w:ind w:left="1276" w:hanging="1276"/>
        <w:rPr>
          <w:b/>
          <w:szCs w:val="24"/>
        </w:rPr>
        <w:sectPr w:rsidR="002874D8" w:rsidRPr="00386411" w:rsidSect="002874D8">
          <w:headerReference w:type="even" r:id="rId15"/>
          <w:headerReference w:type="default" r:id="rId16"/>
          <w:footerReference w:type="even" r:id="rId17"/>
          <w:footerReference w:type="default" r:id="rId18"/>
          <w:headerReference w:type="first" r:id="rId19"/>
          <w:pgSz w:w="11906" w:h="16838"/>
          <w:pgMar w:top="1440" w:right="1440" w:bottom="1440" w:left="1440" w:header="720" w:footer="720" w:gutter="0"/>
          <w:pgNumType w:fmt="lowerRoman"/>
          <w:cols w:space="720"/>
          <w:docGrid w:linePitch="299"/>
        </w:sectPr>
      </w:pPr>
      <w:r w:rsidRPr="00386411">
        <w:rPr>
          <w:b/>
          <w:szCs w:val="24"/>
        </w:rPr>
        <w:fldChar w:fldCharType="end"/>
      </w:r>
    </w:p>
    <w:p w14:paraId="231771DC" w14:textId="77777777" w:rsidR="002F5F9B" w:rsidRPr="00386411" w:rsidRDefault="000D1300" w:rsidP="00DF343F">
      <w:pPr>
        <w:pStyle w:val="Heading1"/>
      </w:pPr>
      <w:bookmarkStart w:id="33" w:name="_Toc236559502"/>
      <w:bookmarkStart w:id="34" w:name="_Toc379118056"/>
      <w:bookmarkStart w:id="35" w:name="_Toc381796428"/>
      <w:bookmarkStart w:id="36" w:name="_Toc14431097"/>
      <w:bookmarkStart w:id="37" w:name="_Toc16856265"/>
      <w:r w:rsidRPr="00386411">
        <w:lastRenderedPageBreak/>
        <w:t>Executive S</w:t>
      </w:r>
      <w:r w:rsidR="002F5F9B" w:rsidRPr="00386411">
        <w:t>ummary</w:t>
      </w:r>
      <w:bookmarkEnd w:id="33"/>
      <w:bookmarkEnd w:id="34"/>
      <w:bookmarkEnd w:id="35"/>
      <w:bookmarkEnd w:id="36"/>
      <w:bookmarkEnd w:id="37"/>
    </w:p>
    <w:p w14:paraId="50F21A57" w14:textId="77777777" w:rsidR="00631CAC" w:rsidRPr="00386411" w:rsidRDefault="00631CAC" w:rsidP="00631CAC">
      <w:pPr>
        <w:pStyle w:val="Heading2"/>
        <w:rPr>
          <w:szCs w:val="44"/>
        </w:rPr>
      </w:pPr>
      <w:bookmarkStart w:id="38" w:name="_Toc14431098"/>
      <w:bookmarkStart w:id="39" w:name="_Toc16856266"/>
      <w:bookmarkStart w:id="40" w:name="_Toc381796429"/>
      <w:r w:rsidRPr="00386411">
        <w:rPr>
          <w:smallCaps w:val="0"/>
        </w:rPr>
        <w:t>Immunoglobulin for acquired hypogammaglobulinaemia secondary to haematological malignancies, or post-haemopoietic stem cell transplantation (HSCT)</w:t>
      </w:r>
      <w:bookmarkEnd w:id="38"/>
      <w:bookmarkEnd w:id="39"/>
      <w:r w:rsidRPr="00386411">
        <w:rPr>
          <w:smallCaps w:val="0"/>
        </w:rPr>
        <w:t xml:space="preserve"> </w:t>
      </w:r>
    </w:p>
    <w:tbl>
      <w:tblPr>
        <w:tblStyle w:val="TableGrid"/>
        <w:tblW w:w="0" w:type="auto"/>
        <w:tblLook w:val="04A0" w:firstRow="1" w:lastRow="0" w:firstColumn="1" w:lastColumn="0" w:noHBand="0" w:noVBand="1"/>
        <w:tblCaption w:val="Main issues for MSAC consideration"/>
        <w:tblDescription w:val="This box should quickly summarise for MSAC what things are most important when considering this SBA. "/>
      </w:tblPr>
      <w:tblGrid>
        <w:gridCol w:w="9016"/>
      </w:tblGrid>
      <w:tr w:rsidR="00631CAC" w:rsidRPr="00386411" w14:paraId="0D0B833C" w14:textId="77777777" w:rsidTr="00631CAC">
        <w:trPr>
          <w:tblHeader/>
        </w:trPr>
        <w:tc>
          <w:tcPr>
            <w:tcW w:w="9016" w:type="dxa"/>
            <w:tcBorders>
              <w:top w:val="single" w:sz="4" w:space="0" w:color="auto"/>
              <w:left w:val="single" w:sz="4" w:space="0" w:color="auto"/>
              <w:bottom w:val="nil"/>
              <w:right w:val="single" w:sz="4" w:space="0" w:color="auto"/>
            </w:tcBorders>
            <w:hideMark/>
          </w:tcPr>
          <w:p w14:paraId="270F325B" w14:textId="77777777" w:rsidR="00631CAC" w:rsidRPr="00386411" w:rsidRDefault="00631CAC" w:rsidP="00631CAC">
            <w:pPr>
              <w:pStyle w:val="Heading5"/>
              <w:outlineLvl w:val="4"/>
            </w:pPr>
            <w:r w:rsidRPr="00386411">
              <w:t>Main issues for MSAC consideration</w:t>
            </w:r>
          </w:p>
        </w:tc>
      </w:tr>
      <w:tr w:rsidR="00631CAC" w:rsidRPr="007D0AA8" w14:paraId="0C79EB30" w14:textId="77777777" w:rsidTr="00631CAC">
        <w:tc>
          <w:tcPr>
            <w:tcW w:w="9016" w:type="dxa"/>
            <w:tcBorders>
              <w:top w:val="nil"/>
              <w:left w:val="single" w:sz="4" w:space="0" w:color="auto"/>
              <w:bottom w:val="single" w:sz="4" w:space="0" w:color="auto"/>
              <w:right w:val="single" w:sz="4" w:space="0" w:color="auto"/>
            </w:tcBorders>
            <w:hideMark/>
          </w:tcPr>
          <w:p w14:paraId="26DF8182" w14:textId="51968A65" w:rsidR="00631CAC" w:rsidRPr="007D0AA8" w:rsidRDefault="00631CAC" w:rsidP="00756FBE">
            <w:pPr>
              <w:pStyle w:val="ListParagraph"/>
              <w:numPr>
                <w:ilvl w:val="0"/>
                <w:numId w:val="12"/>
              </w:numPr>
              <w:ind w:left="313"/>
              <w:rPr>
                <w:i/>
              </w:rPr>
            </w:pPr>
            <w:r w:rsidRPr="007D0AA8">
              <w:rPr>
                <w:i/>
              </w:rPr>
              <w:t xml:space="preserve">Trials were reported for patients with CLL, MM, and those who underwent HSCT. However, no </w:t>
            </w:r>
            <w:r w:rsidR="001A55A1">
              <w:rPr>
                <w:i/>
              </w:rPr>
              <w:t xml:space="preserve">adequate </w:t>
            </w:r>
            <w:r w:rsidRPr="007D0AA8">
              <w:rPr>
                <w:i/>
              </w:rPr>
              <w:t xml:space="preserve">randomised trials were identified in patients with acute leukaemia, NHL, or ‘other haematological malignancies’. </w:t>
            </w:r>
          </w:p>
          <w:p w14:paraId="67780D93" w14:textId="56649A2A" w:rsidR="00631CAC" w:rsidRPr="007D0AA8" w:rsidRDefault="00631CAC" w:rsidP="00756FBE">
            <w:pPr>
              <w:pStyle w:val="ListParagraph"/>
              <w:numPr>
                <w:ilvl w:val="0"/>
                <w:numId w:val="12"/>
              </w:numPr>
              <w:ind w:left="313"/>
              <w:rPr>
                <w:i/>
              </w:rPr>
            </w:pPr>
            <w:r w:rsidRPr="007D0AA8">
              <w:rPr>
                <w:i/>
              </w:rPr>
              <w:t xml:space="preserve">It was however considered plausible that similar outcomes would be observed in AL, NHL and ‘other’ haematological malignancies, assuming the patients satisfied the criteria for hypogammaglobulinaemia and history of infections. </w:t>
            </w:r>
          </w:p>
          <w:p w14:paraId="03ADA6D5" w14:textId="6C7B1B5E" w:rsidR="00631CAC" w:rsidRPr="007D0AA8" w:rsidRDefault="00631CAC" w:rsidP="00756FBE">
            <w:pPr>
              <w:pStyle w:val="ListParagraph"/>
              <w:numPr>
                <w:ilvl w:val="0"/>
                <w:numId w:val="12"/>
              </w:numPr>
              <w:ind w:left="313"/>
              <w:rPr>
                <w:i/>
              </w:rPr>
            </w:pPr>
            <w:r w:rsidRPr="007D0AA8">
              <w:rPr>
                <w:i/>
              </w:rPr>
              <w:t xml:space="preserve">It was not possible to evaluate the claim that IgG with or without antibiotics is superior to No IgG with or without antibiotics.  </w:t>
            </w:r>
          </w:p>
          <w:p w14:paraId="1EF6A108" w14:textId="77777777" w:rsidR="00631CAC" w:rsidRDefault="00631CAC" w:rsidP="00756FBE">
            <w:pPr>
              <w:pStyle w:val="ListParagraph"/>
              <w:numPr>
                <w:ilvl w:val="0"/>
                <w:numId w:val="12"/>
              </w:numPr>
              <w:ind w:left="313"/>
              <w:rPr>
                <w:i/>
              </w:rPr>
            </w:pPr>
            <w:r w:rsidRPr="007D0AA8">
              <w:rPr>
                <w:i/>
              </w:rPr>
              <w:t xml:space="preserve">The clinical evidence in the included studies support a claim of superior efficacy but inferior safety for IgG compared to no IgG (with antibiotic use defined as part of supportive care).  </w:t>
            </w:r>
          </w:p>
          <w:p w14:paraId="6757881B" w14:textId="77777777" w:rsidR="001A55A1" w:rsidRPr="001A55A1" w:rsidRDefault="001A55A1" w:rsidP="00756FBE">
            <w:pPr>
              <w:pStyle w:val="ListParagraph"/>
              <w:numPr>
                <w:ilvl w:val="0"/>
                <w:numId w:val="12"/>
              </w:numPr>
              <w:spacing w:after="120"/>
              <w:ind w:left="313" w:hanging="357"/>
              <w:rPr>
                <w:i/>
              </w:rPr>
            </w:pPr>
            <w:r w:rsidRPr="001A55A1">
              <w:rPr>
                <w:i/>
              </w:rPr>
              <w:t>This evaluation could not address:</w:t>
            </w:r>
          </w:p>
          <w:p w14:paraId="240D500C" w14:textId="020C8267" w:rsidR="001A55A1" w:rsidRPr="001A55A1" w:rsidRDefault="001A55A1" w:rsidP="00756FBE">
            <w:pPr>
              <w:pStyle w:val="ListParagraph"/>
              <w:numPr>
                <w:ilvl w:val="1"/>
                <w:numId w:val="12"/>
              </w:numPr>
              <w:spacing w:after="120"/>
              <w:ind w:left="596" w:hanging="277"/>
              <w:rPr>
                <w:i/>
              </w:rPr>
            </w:pPr>
            <w:r w:rsidRPr="001A55A1">
              <w:rPr>
                <w:i/>
              </w:rPr>
              <w:t xml:space="preserve">Confirmation of a clinically active dose or frequency of dosing. Most studies included explored doses between 200 and 500 mg/kg. </w:t>
            </w:r>
          </w:p>
          <w:p w14:paraId="2DC4A6D7" w14:textId="77777777" w:rsidR="001A55A1" w:rsidRPr="001A55A1" w:rsidRDefault="001A55A1" w:rsidP="00756FBE">
            <w:pPr>
              <w:pStyle w:val="ListParagraph"/>
              <w:numPr>
                <w:ilvl w:val="1"/>
                <w:numId w:val="12"/>
              </w:numPr>
              <w:spacing w:after="120"/>
              <w:ind w:left="596" w:hanging="277"/>
              <w:rPr>
                <w:i/>
              </w:rPr>
            </w:pPr>
            <w:r w:rsidRPr="001A55A1">
              <w:rPr>
                <w:i/>
              </w:rPr>
              <w:t xml:space="preserve">Definition of adequate treatment response: a qualitative reduction in infections rate was usually taken as evidence of a response. Timeframes for assessment were highly variable. </w:t>
            </w:r>
          </w:p>
          <w:p w14:paraId="6C414EB5" w14:textId="4D905E07" w:rsidR="001A55A1" w:rsidRPr="001A55A1" w:rsidRDefault="001A55A1" w:rsidP="00756FBE">
            <w:pPr>
              <w:pStyle w:val="ListParagraph"/>
              <w:numPr>
                <w:ilvl w:val="1"/>
                <w:numId w:val="12"/>
              </w:numPr>
              <w:spacing w:after="120"/>
              <w:ind w:left="596" w:hanging="277"/>
              <w:rPr>
                <w:i/>
              </w:rPr>
            </w:pPr>
            <w:r w:rsidRPr="001A55A1">
              <w:rPr>
                <w:i/>
              </w:rPr>
              <w:t xml:space="preserve">Criteria for discontinuation. An initial patient response in terms of infections seemed to be adequate reason for ongoing IgG replacement which often lasted for some months or years. </w:t>
            </w:r>
          </w:p>
          <w:p w14:paraId="20757655" w14:textId="3D7B5299" w:rsidR="001A55A1" w:rsidRPr="001A55A1" w:rsidRDefault="001A55A1" w:rsidP="00756FBE">
            <w:pPr>
              <w:pStyle w:val="ListParagraph"/>
              <w:numPr>
                <w:ilvl w:val="1"/>
                <w:numId w:val="12"/>
              </w:numPr>
              <w:ind w:left="596" w:hanging="277"/>
              <w:rPr>
                <w:i/>
              </w:rPr>
            </w:pPr>
            <w:r w:rsidRPr="001A55A1">
              <w:rPr>
                <w:i/>
              </w:rPr>
              <w:t>Frequency of serum IgG monitoring as a basis for response assessment</w:t>
            </w:r>
            <w:r>
              <w:rPr>
                <w:i/>
              </w:rPr>
              <w:t xml:space="preserve"> or a decision to discontinue. </w:t>
            </w:r>
          </w:p>
          <w:p w14:paraId="6A2748BD" w14:textId="77777777" w:rsidR="00AF32E4" w:rsidRDefault="00AF32E4" w:rsidP="00AF32E4">
            <w:pPr>
              <w:pStyle w:val="ListParagraph"/>
              <w:numPr>
                <w:ilvl w:val="0"/>
                <w:numId w:val="12"/>
              </w:numPr>
              <w:spacing w:after="120"/>
              <w:ind w:left="313" w:hanging="357"/>
              <w:rPr>
                <w:i/>
              </w:rPr>
            </w:pPr>
            <w:r>
              <w:rPr>
                <w:i/>
              </w:rPr>
              <w:t>Given the underlying uncertainty associated with the estimates of IgG treatment effectiveness, the use of these estimates in the economic model is therefore also associated with uncertainty.</w:t>
            </w:r>
          </w:p>
          <w:p w14:paraId="001E7147" w14:textId="11DD67F8" w:rsidR="00AF32E4" w:rsidRDefault="00AF32E4" w:rsidP="00AF32E4">
            <w:pPr>
              <w:pStyle w:val="ListParagraph"/>
              <w:numPr>
                <w:ilvl w:val="0"/>
                <w:numId w:val="12"/>
              </w:numPr>
              <w:spacing w:after="120"/>
              <w:ind w:left="313" w:hanging="357"/>
              <w:rPr>
                <w:i/>
              </w:rPr>
            </w:pPr>
            <w:r>
              <w:rPr>
                <w:i/>
              </w:rPr>
              <w:t xml:space="preserve">A main assumption in the economic model structure allows for the development of bronchiectasis. The inclusion of such health states was based on a recent economic evaluation in Australian patients comparing SCIg to IVIg for acquired hypogammaglobulinaemia </w:t>
            </w:r>
            <w:r w:rsidRPr="00D72864">
              <w:rPr>
                <w:i/>
              </w:rPr>
              <w:fldChar w:fldCharType="begin"/>
            </w:r>
            <w:r w:rsidRPr="00D72864">
              <w:rPr>
                <w:i/>
              </w:rPr>
              <w:instrText xml:space="preserve"> ADDIN EN.CITE &lt;EndNote&gt;&lt;Cite&gt;&lt;Author&gt;Windegger&lt;/Author&gt;&lt;Year&gt;2019&lt;/Year&gt;&lt;RecNum&gt;55&lt;/RecNum&gt;&lt;DisplayText&gt;(Windegger et al. 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rsidRPr="00D72864">
              <w:rPr>
                <w:i/>
              </w:rPr>
              <w:fldChar w:fldCharType="separate"/>
            </w:r>
            <w:r w:rsidRPr="00D72864">
              <w:rPr>
                <w:i/>
              </w:rPr>
              <w:t>(</w:t>
            </w:r>
            <w:hyperlink w:anchor="_ENREF_57" w:tooltip="Windegger, 2019 #55" w:history="1">
              <w:r w:rsidR="00BB0145" w:rsidRPr="00D72864">
                <w:rPr>
                  <w:i/>
                </w:rPr>
                <w:t>Windegger et al. 2019</w:t>
              </w:r>
            </w:hyperlink>
            <w:r w:rsidRPr="00D72864">
              <w:rPr>
                <w:i/>
              </w:rPr>
              <w:t>)</w:t>
            </w:r>
            <w:r w:rsidRPr="00D72864">
              <w:rPr>
                <w:i/>
              </w:rPr>
              <w:fldChar w:fldCharType="end"/>
            </w:r>
            <w:r>
              <w:rPr>
                <w:i/>
              </w:rPr>
              <w:t xml:space="preserve">. A significant increase in the incremental cost-effectiveness ratio (ICER) </w:t>
            </w:r>
            <w:r>
              <w:rPr>
                <w:i/>
              </w:rPr>
              <w:lastRenderedPageBreak/>
              <w:t xml:space="preserve">is observed when transitions to bronchiectasis health states are not allowed. The resulting ICER from this sensitivity analysis is consistent with that observed in an older relevant economic </w:t>
            </w:r>
            <w:r w:rsidRPr="00D93BFB">
              <w:rPr>
                <w:i/>
              </w:rPr>
              <w:t xml:space="preserve">model </w:t>
            </w:r>
            <w:r w:rsidRPr="00D93BFB">
              <w:rPr>
                <w:i/>
              </w:rPr>
              <w:fldChar w:fldCharType="begin">
                <w:fldData xml:space="preserve">PEVuZE5vdGU+PENpdGU+PEF1dGhvcj5XZWVrczwvQXV0aG9yPjxZZWFyPjE5OTE8L1llYXI+PFJl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</w:fldData>
              </w:fldChar>
            </w:r>
            <w:r w:rsidRPr="00D93BFB">
              <w:rPr>
                <w:i/>
              </w:rPr>
              <w:instrText xml:space="preserve"> ADDIN EN.CITE </w:instrText>
            </w:r>
            <w:r w:rsidRPr="00D93BFB">
              <w:rPr>
                <w:i/>
              </w:rPr>
              <w:fldChar w:fldCharType="begin">
                <w:fldData xml:space="preserve">PEVuZE5vdGU+PENpdGU+PEF1dGhvcj5XZWVrczwvQXV0aG9yPjxZZWFyPjE5OTE8L1llYXI+PFJl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</w:fldData>
              </w:fldChar>
            </w:r>
            <w:r w:rsidRPr="00D93BFB">
              <w:rPr>
                <w:i/>
              </w:rPr>
              <w:instrText xml:space="preserve"> ADDIN EN.CITE.DATA </w:instrText>
            </w:r>
            <w:r w:rsidRPr="00D93BFB">
              <w:rPr>
                <w:i/>
              </w:rPr>
            </w:r>
            <w:r w:rsidRPr="00D93BFB">
              <w:rPr>
                <w:i/>
              </w:rPr>
              <w:fldChar w:fldCharType="end"/>
            </w:r>
            <w:r w:rsidRPr="00D93BFB">
              <w:rPr>
                <w:i/>
              </w:rPr>
            </w:r>
            <w:r w:rsidRPr="00D93BFB">
              <w:rPr>
                <w:i/>
              </w:rPr>
              <w:fldChar w:fldCharType="separate"/>
            </w:r>
            <w:r w:rsidRPr="00D93BFB">
              <w:rPr>
                <w:i/>
              </w:rPr>
              <w:t>(</w:t>
            </w:r>
            <w:hyperlink w:anchor="_ENREF_56" w:tooltip="Weeks, 1991 #35" w:history="1">
              <w:r w:rsidR="00BB0145" w:rsidRPr="00D93BFB">
                <w:rPr>
                  <w:i/>
                </w:rPr>
                <w:t>Weeks, Tierney &amp; Weinstein 1991</w:t>
              </w:r>
            </w:hyperlink>
            <w:r w:rsidRPr="00D93BFB">
              <w:rPr>
                <w:i/>
              </w:rPr>
              <w:t>)</w:t>
            </w:r>
            <w:r w:rsidRPr="00D93BFB">
              <w:rPr>
                <w:i/>
              </w:rPr>
              <w:fldChar w:fldCharType="end"/>
            </w:r>
            <w:r>
              <w:rPr>
                <w:i/>
              </w:rPr>
              <w:t xml:space="preserve"> which did not model the development of bronchiectasis. </w:t>
            </w:r>
          </w:p>
          <w:p w14:paraId="37E5F878" w14:textId="2AEC5283" w:rsidR="001A55A1" w:rsidRPr="001A55A1" w:rsidRDefault="00AF32E4" w:rsidP="00AF32E4">
            <w:pPr>
              <w:pStyle w:val="ListParagraph"/>
              <w:numPr>
                <w:ilvl w:val="0"/>
                <w:numId w:val="12"/>
              </w:numPr>
              <w:spacing w:after="120"/>
              <w:ind w:left="313" w:hanging="357"/>
              <w:rPr>
                <w:i/>
              </w:rPr>
            </w:pPr>
            <w:r>
              <w:rPr>
                <w:i/>
              </w:rPr>
              <w:t>The financial implications for government health budgets associated with Ig include cost offsets due to a reduction in infections. As these are indirect cost-offsets, and assume a relative treatment effect of Ig in reducing the incidence of infections, these are associated with uncertainty.</w:t>
            </w:r>
          </w:p>
        </w:tc>
      </w:tr>
    </w:tbl>
    <w:p w14:paraId="3C4050E0" w14:textId="77777777" w:rsidR="00631CAC" w:rsidRPr="007D0AA8" w:rsidRDefault="00631CAC" w:rsidP="00631CAC"/>
    <w:p w14:paraId="27C86938" w14:textId="05101639" w:rsidR="00C95538" w:rsidRPr="005F167A" w:rsidRDefault="00631CAC" w:rsidP="00903A7D">
      <w:bookmarkStart w:id="41" w:name="_Toc395200740"/>
      <w:r w:rsidRPr="007D0AA8">
        <w:t xml:space="preserve">This contracted assessment </w:t>
      </w:r>
      <w:r w:rsidR="00357DAB" w:rsidRPr="00357DAB">
        <w:t>is part of a pilot process</w:t>
      </w:r>
      <w:r w:rsidR="00357DAB">
        <w:t xml:space="preserve"> to</w:t>
      </w:r>
      <w:r w:rsidR="00357DAB" w:rsidRPr="00357DAB">
        <w:t xml:space="preserve"> review </w:t>
      </w:r>
      <w:r w:rsidRPr="007D0AA8">
        <w:t xml:space="preserve">the evidence to support funding of immunoglobulin (IgG) for patients with acquired hypogammaglobulinaemia, under the national blood arrangements. </w:t>
      </w:r>
      <w:r w:rsidRPr="007D0AA8">
        <w:rPr>
          <w:rFonts w:asciiTheme="minorHAnsi" w:hAnsiTheme="minorHAnsi" w:cstheme="minorHAnsi"/>
        </w:rPr>
        <w:t xml:space="preserve">This indication is one of several ‘diagnostic groups’ of conditions eligible for funded IgG </w:t>
      </w:r>
      <w:r w:rsidRPr="007D0AA8">
        <w:rPr>
          <w:rFonts w:asciiTheme="minorHAnsi" w:hAnsiTheme="minorHAnsi"/>
        </w:rPr>
        <w:t>treatment</w:t>
      </w:r>
      <w:r w:rsidRPr="007D0AA8">
        <w:rPr>
          <w:rFonts w:asciiTheme="minorHAnsi" w:hAnsiTheme="minorHAnsi" w:cstheme="minorHAnsi"/>
        </w:rPr>
        <w:t xml:space="preserve"> under the National Blood Authority’s</w:t>
      </w:r>
      <w:r w:rsidRPr="007D0AA8">
        <w:rPr>
          <w:rFonts w:asciiTheme="minorHAnsi" w:hAnsiTheme="minorHAnsi" w:cstheme="minorHAnsi"/>
          <w:i/>
        </w:rPr>
        <w:t xml:space="preserve"> </w:t>
      </w:r>
      <w:r w:rsidRPr="007D0AA8">
        <w:rPr>
          <w:i/>
        </w:rPr>
        <w:t xml:space="preserve">Criteria for Immunoglobulin Use in Australia, Version 3 </w:t>
      </w:r>
      <w:r w:rsidRPr="007D0AA8">
        <w:rPr>
          <w:rStyle w:val="FootnoteReference"/>
          <w:rFonts w:asciiTheme="minorHAnsi" w:hAnsiTheme="minorHAnsi" w:cstheme="minorHAnsi"/>
        </w:rPr>
        <w:footnoteReference w:id="2"/>
      </w:r>
      <w:r w:rsidRPr="007D0AA8">
        <w:rPr>
          <w:rFonts w:asciiTheme="minorHAnsi" w:hAnsiTheme="minorHAnsi" w:cstheme="minorHAnsi"/>
        </w:rPr>
        <w:t>(</w:t>
      </w:r>
      <w:r w:rsidRPr="007D0AA8">
        <w:rPr>
          <w:rFonts w:asciiTheme="minorHAnsi" w:hAnsiTheme="minorHAnsi"/>
        </w:rPr>
        <w:t>the</w:t>
      </w:r>
      <w:r w:rsidRPr="007D0AA8">
        <w:rPr>
          <w:rFonts w:asciiTheme="minorHAnsi" w:hAnsiTheme="minorHAnsi"/>
          <w:i/>
        </w:rPr>
        <w:t xml:space="preserve"> </w:t>
      </w:r>
      <w:r w:rsidRPr="007D0AA8">
        <w:rPr>
          <w:rFonts w:asciiTheme="minorHAnsi" w:hAnsiTheme="minorHAnsi" w:cstheme="minorHAnsi"/>
          <w:i/>
          <w:iCs/>
        </w:rPr>
        <w:t>Criteria</w:t>
      </w:r>
      <w:r w:rsidRPr="007D0AA8">
        <w:rPr>
          <w:rFonts w:asciiTheme="minorHAnsi" w:hAnsiTheme="minorHAnsi" w:cstheme="minorHAnsi"/>
        </w:rPr>
        <w:t>).</w:t>
      </w:r>
    </w:p>
    <w:p w14:paraId="213F18C4" w14:textId="01D3EF8B" w:rsidR="007D7A19" w:rsidRPr="00386411" w:rsidRDefault="007D7A19" w:rsidP="00CB4DB8">
      <w:pPr>
        <w:pStyle w:val="Heading3"/>
      </w:pPr>
      <w:bookmarkStart w:id="42" w:name="_Toc14431099"/>
      <w:bookmarkStart w:id="43" w:name="_Toc16856267"/>
      <w:bookmarkEnd w:id="40"/>
      <w:bookmarkEnd w:id="41"/>
      <w:r w:rsidRPr="00386411">
        <w:t xml:space="preserve">Alignment with agreed </w:t>
      </w:r>
      <w:r w:rsidR="0088661A" w:rsidRPr="00386411">
        <w:t>PICO Confirmation</w:t>
      </w:r>
      <w:bookmarkEnd w:id="42"/>
      <w:bookmarkEnd w:id="43"/>
    </w:p>
    <w:p w14:paraId="0CA5EBF3" w14:textId="5B959AE7" w:rsidR="008A6152" w:rsidRPr="007D0AA8" w:rsidRDefault="008A6152" w:rsidP="00DF343F">
      <w:r w:rsidRPr="007D0AA8">
        <w:t xml:space="preserve">This </w:t>
      </w:r>
      <w:r w:rsidR="00EB4DCD" w:rsidRPr="007D0AA8">
        <w:t>contracted</w:t>
      </w:r>
      <w:r w:rsidRPr="007D0AA8">
        <w:t xml:space="preserve"> assessment </w:t>
      </w:r>
      <w:r w:rsidR="00B313E2" w:rsidRPr="007D0AA8">
        <w:t xml:space="preserve">of </w:t>
      </w:r>
      <w:r w:rsidR="00982F90" w:rsidRPr="007D0AA8">
        <w:t>IgG for acquired hypogammaglobulinaemia</w:t>
      </w:r>
      <w:r w:rsidR="00B313E2" w:rsidRPr="007D0AA8">
        <w:t xml:space="preserve"> </w:t>
      </w:r>
      <w:r w:rsidR="002B1BF1" w:rsidRPr="007D0AA8">
        <w:t>addresses all</w:t>
      </w:r>
      <w:r w:rsidRPr="007D0AA8">
        <w:t xml:space="preserve"> of the PICO</w:t>
      </w:r>
      <w:r w:rsidR="00B313E2" w:rsidRPr="007D0AA8">
        <w:rPr>
          <w:rStyle w:val="FootnoteReference"/>
        </w:rPr>
        <w:footnoteReference w:id="3"/>
      </w:r>
      <w:r w:rsidRPr="007D0AA8">
        <w:t xml:space="preserve"> elements </w:t>
      </w:r>
      <w:r w:rsidR="00B313E2" w:rsidRPr="007D0AA8">
        <w:t xml:space="preserve">that were </w:t>
      </w:r>
      <w:r w:rsidR="00593423" w:rsidRPr="007D0AA8">
        <w:t>pre-</w:t>
      </w:r>
      <w:r w:rsidRPr="007D0AA8">
        <w:t xml:space="preserve">specified in the </w:t>
      </w:r>
      <w:r w:rsidR="0088661A" w:rsidRPr="007D0AA8">
        <w:t>PICO Confirmation</w:t>
      </w:r>
      <w:r w:rsidRPr="007D0AA8">
        <w:t xml:space="preserve"> </w:t>
      </w:r>
      <w:r w:rsidR="00B313E2" w:rsidRPr="007D0AA8">
        <w:t xml:space="preserve">that was </w:t>
      </w:r>
      <w:r w:rsidR="00C47764" w:rsidRPr="007D0AA8">
        <w:t>ratified</w:t>
      </w:r>
      <w:r w:rsidR="00593423" w:rsidRPr="007D0AA8">
        <w:t xml:space="preserve"> </w:t>
      </w:r>
      <w:r w:rsidR="00B313E2" w:rsidRPr="007D0AA8">
        <w:t xml:space="preserve">by the </w:t>
      </w:r>
      <w:r w:rsidR="002B1BF1" w:rsidRPr="007D0AA8">
        <w:t xml:space="preserve">Ig Review Reference Group. </w:t>
      </w:r>
      <w:r w:rsidR="00357DAB" w:rsidRPr="00357DAB">
        <w:t>However, the Report needs to be interpreted in the context that there is a limited underlying scientific evidence base available to inform the assessment.</w:t>
      </w:r>
    </w:p>
    <w:p w14:paraId="54598D76" w14:textId="1041E4FD" w:rsidR="008C7152" w:rsidRPr="00386411" w:rsidRDefault="00630910" w:rsidP="009F7373">
      <w:pPr>
        <w:pStyle w:val="Heading3"/>
      </w:pPr>
      <w:bookmarkStart w:id="44" w:name="_Toc395200742"/>
      <w:bookmarkStart w:id="45" w:name="_Toc14431100"/>
      <w:bookmarkStart w:id="46" w:name="_Toc16856268"/>
      <w:r w:rsidRPr="00386411">
        <w:t>M</w:t>
      </w:r>
      <w:r w:rsidR="008A6152" w:rsidRPr="00386411">
        <w:t xml:space="preserve">edical </w:t>
      </w:r>
      <w:r w:rsidRPr="00386411">
        <w:t>S</w:t>
      </w:r>
      <w:r w:rsidR="008A6152" w:rsidRPr="00386411">
        <w:t>ervice</w:t>
      </w:r>
      <w:bookmarkEnd w:id="44"/>
      <w:bookmarkEnd w:id="45"/>
      <w:bookmarkEnd w:id="46"/>
    </w:p>
    <w:p w14:paraId="5462EC52" w14:textId="1A4D57BE" w:rsidR="006D359B" w:rsidRPr="007D0AA8" w:rsidRDefault="00446CC7" w:rsidP="006D359B">
      <w:pPr>
        <w:rPr>
          <w:rFonts w:eastAsia="Calibri" w:cs="Times New Roman"/>
          <w:lang w:eastAsia="en-US"/>
        </w:rPr>
      </w:pPr>
      <w:bookmarkStart w:id="47" w:name="_Toc379118248"/>
      <w:bookmarkStart w:id="48" w:name="_Toc381796432"/>
      <w:r w:rsidRPr="007D0AA8">
        <w:rPr>
          <w:rFonts w:eastAsia="Calibri" w:cs="Times New Roman"/>
          <w:lang w:eastAsia="en-US"/>
        </w:rPr>
        <w:t xml:space="preserve">IgG replacement therapy (IgG-RT) is used to compensate for the low levels of serum IgG in patients with hypogammaglobulinaemia. </w:t>
      </w:r>
      <w:r w:rsidR="00B62DFD" w:rsidRPr="007D0AA8">
        <w:rPr>
          <w:rFonts w:eastAsia="Calibri" w:cs="Times New Roman"/>
          <w:lang w:eastAsia="en-US"/>
        </w:rPr>
        <w:t xml:space="preserve">It would be used in combination with standard care, which includes antibiotic use and treatment for the underlying conditions. </w:t>
      </w:r>
      <w:r w:rsidR="006D359B" w:rsidRPr="007D0AA8">
        <w:rPr>
          <w:rFonts w:eastAsia="Calibri" w:cs="Times New Roman"/>
          <w:lang w:eastAsia="en-US"/>
        </w:rPr>
        <w:t xml:space="preserve">IgG products are manufactured from pooled human donor plasma, and the IgG fraction formulated to contain the desired concentration of IgG as active substance. The IgG content represents a broad spectrum of human antibodies. Other immunoglobulins such as IgA, IgM and IgE may be present but are controlled as impurities. </w:t>
      </w:r>
    </w:p>
    <w:p w14:paraId="7210FBB9" w14:textId="0A250AB4" w:rsidR="006D359B" w:rsidRPr="007D0AA8" w:rsidRDefault="006D359B">
      <w:pPr>
        <w:rPr>
          <w:rFonts w:eastAsia="Calibri" w:cs="Times New Roman"/>
          <w:lang w:eastAsia="en-US"/>
        </w:rPr>
      </w:pPr>
      <w:r w:rsidRPr="007D0AA8">
        <w:rPr>
          <w:rFonts w:eastAsia="Calibri" w:cs="Times New Roman"/>
          <w:lang w:eastAsia="en-US"/>
        </w:rPr>
        <w:t>IgG products may be administered by intravenous (IV)</w:t>
      </w:r>
      <w:r w:rsidR="00446CC7" w:rsidRPr="007D0AA8">
        <w:rPr>
          <w:rFonts w:eastAsia="Calibri" w:cs="Times New Roman"/>
          <w:lang w:eastAsia="en-US"/>
        </w:rPr>
        <w:t>,</w:t>
      </w:r>
      <w:r w:rsidRPr="007D0AA8">
        <w:rPr>
          <w:rFonts w:eastAsia="Calibri" w:cs="Times New Roman"/>
          <w:lang w:eastAsia="en-US"/>
        </w:rPr>
        <w:t xml:space="preserve"> subcutaneous (SC) </w:t>
      </w:r>
      <w:r w:rsidR="00446CC7" w:rsidRPr="007D0AA8">
        <w:rPr>
          <w:rFonts w:eastAsia="Calibri" w:cs="Times New Roman"/>
          <w:lang w:eastAsia="en-US"/>
        </w:rPr>
        <w:t xml:space="preserve">or intramuscular </w:t>
      </w:r>
      <w:r w:rsidRPr="007D0AA8">
        <w:rPr>
          <w:rFonts w:eastAsia="Calibri" w:cs="Times New Roman"/>
          <w:lang w:eastAsia="en-US"/>
        </w:rPr>
        <w:t>infusion</w:t>
      </w:r>
      <w:r w:rsidR="00446CC7" w:rsidRPr="007D0AA8">
        <w:rPr>
          <w:rFonts w:eastAsia="Calibri" w:cs="Times New Roman"/>
          <w:lang w:eastAsia="en-US"/>
        </w:rPr>
        <w:t>, although intramuscular</w:t>
      </w:r>
      <w:r w:rsidRPr="007D0AA8">
        <w:rPr>
          <w:rFonts w:eastAsia="Calibri" w:cs="Times New Roman"/>
          <w:lang w:eastAsia="en-US"/>
        </w:rPr>
        <w:t xml:space="preserve"> administration </w:t>
      </w:r>
      <w:r w:rsidR="00446CC7" w:rsidRPr="007D0AA8">
        <w:rPr>
          <w:rFonts w:eastAsia="Calibri" w:cs="Times New Roman"/>
          <w:lang w:eastAsia="en-US"/>
        </w:rPr>
        <w:t>is</w:t>
      </w:r>
      <w:r w:rsidRPr="007D0AA8">
        <w:rPr>
          <w:rFonts w:eastAsia="Calibri" w:cs="Times New Roman"/>
          <w:lang w:eastAsia="en-US"/>
        </w:rPr>
        <w:t xml:space="preserve"> out of scope for this evaluation</w:t>
      </w:r>
      <w:r w:rsidR="00446CC7" w:rsidRPr="007D0AA8">
        <w:rPr>
          <w:rFonts w:eastAsia="Calibri" w:cs="Times New Roman"/>
          <w:lang w:eastAsia="en-US"/>
        </w:rPr>
        <w:t>, as it is rarely used in Australia</w:t>
      </w:r>
      <w:r w:rsidRPr="007D0AA8">
        <w:rPr>
          <w:rFonts w:eastAsia="Calibri" w:cs="Times New Roman"/>
          <w:lang w:eastAsia="en-US"/>
        </w:rPr>
        <w:t xml:space="preserve">. </w:t>
      </w:r>
    </w:p>
    <w:p w14:paraId="412D5A00" w14:textId="1A9A15CA" w:rsidR="006D359B" w:rsidRPr="007D0AA8" w:rsidRDefault="006D359B" w:rsidP="003735E3">
      <w:pPr>
        <w:rPr>
          <w:rFonts w:eastAsia="Calibri"/>
        </w:rPr>
      </w:pPr>
      <w:r w:rsidRPr="007D0AA8">
        <w:rPr>
          <w:rFonts w:eastAsia="Calibri" w:cs="Times New Roman"/>
          <w:lang w:eastAsia="en-US"/>
        </w:rPr>
        <w:lastRenderedPageBreak/>
        <w:t xml:space="preserve">There are currently 17 IgG products that are registered on the Australian Register of Therapeutic </w:t>
      </w:r>
      <w:r w:rsidRPr="007D0AA8">
        <w:rPr>
          <w:rFonts w:eastAsia="Calibri"/>
        </w:rPr>
        <w:t xml:space="preserve">Goods (ARTG). For more information, see </w:t>
      </w:r>
      <w:r w:rsidRPr="007D0AA8">
        <w:rPr>
          <w:rFonts w:eastAsia="Calibri"/>
        </w:rPr>
        <w:fldChar w:fldCharType="begin"/>
      </w:r>
      <w:r w:rsidRPr="007D0AA8">
        <w:rPr>
          <w:rFonts w:eastAsia="Calibri"/>
        </w:rPr>
        <w:instrText xml:space="preserve"> REF _Ref1645380 \h </w:instrText>
      </w:r>
      <w:r w:rsidR="00B62DFD" w:rsidRPr="007D0AA8">
        <w:rPr>
          <w:rFonts w:eastAsia="Calibri"/>
        </w:rPr>
        <w:instrText xml:space="preserve"> \* MERGEFORMAT </w:instrText>
      </w:r>
      <w:r w:rsidRPr="007D0AA8">
        <w:rPr>
          <w:rFonts w:eastAsia="Calibri"/>
        </w:rPr>
      </w:r>
      <w:r w:rsidRPr="007D0AA8">
        <w:rPr>
          <w:rFonts w:eastAsia="Calibri"/>
        </w:rPr>
        <w:fldChar w:fldCharType="separate"/>
      </w:r>
      <w:r w:rsidR="00A7463B" w:rsidRPr="00A7463B">
        <w:t>Table 10</w:t>
      </w:r>
      <w:r w:rsidRPr="007D0AA8">
        <w:rPr>
          <w:rFonts w:eastAsia="Calibri"/>
        </w:rPr>
        <w:fldChar w:fldCharType="end"/>
      </w:r>
      <w:r w:rsidRPr="007D0AA8">
        <w:rPr>
          <w:rFonts w:eastAsia="Calibri"/>
        </w:rPr>
        <w:t xml:space="preserve">, </w:t>
      </w:r>
      <w:r w:rsidR="006E04C1" w:rsidRPr="007D0AA8">
        <w:rPr>
          <w:rFonts w:eastAsia="Calibri"/>
        </w:rPr>
        <w:t>pg.</w:t>
      </w:r>
      <w:r w:rsidRPr="007D0AA8">
        <w:rPr>
          <w:rFonts w:eastAsia="Calibri"/>
        </w:rPr>
        <w:t xml:space="preserve"> </w:t>
      </w:r>
      <w:r w:rsidRPr="007D0AA8">
        <w:rPr>
          <w:rFonts w:eastAsia="Calibri"/>
        </w:rPr>
        <w:fldChar w:fldCharType="begin"/>
      </w:r>
      <w:r w:rsidRPr="007D0AA8">
        <w:rPr>
          <w:rFonts w:eastAsia="Calibri"/>
        </w:rPr>
        <w:instrText xml:space="preserve"> PAGEREF _Ref10110574 \h </w:instrText>
      </w:r>
      <w:r w:rsidRPr="007D0AA8">
        <w:rPr>
          <w:rFonts w:eastAsia="Calibri"/>
        </w:rPr>
      </w:r>
      <w:r w:rsidRPr="007D0AA8">
        <w:rPr>
          <w:rFonts w:eastAsia="Calibri"/>
        </w:rPr>
        <w:fldChar w:fldCharType="separate"/>
      </w:r>
      <w:r w:rsidR="00A7463B">
        <w:rPr>
          <w:rFonts w:eastAsia="Calibri"/>
          <w:noProof/>
        </w:rPr>
        <w:t>32</w:t>
      </w:r>
      <w:r w:rsidRPr="007D0AA8">
        <w:rPr>
          <w:rFonts w:eastAsia="Calibri"/>
        </w:rPr>
        <w:fldChar w:fldCharType="end"/>
      </w:r>
      <w:r w:rsidRPr="007D0AA8">
        <w:rPr>
          <w:rFonts w:eastAsia="Calibri"/>
        </w:rPr>
        <w:t xml:space="preserve">. </w:t>
      </w:r>
    </w:p>
    <w:p w14:paraId="341ABC06" w14:textId="5930C806" w:rsidR="00903A7D" w:rsidRPr="007D0AA8" w:rsidRDefault="00903A7D" w:rsidP="00903A7D">
      <w:pPr>
        <w:rPr>
          <w:rFonts w:eastAsia="Calibri" w:cs="Times New Roman"/>
          <w:lang w:eastAsia="en-US"/>
        </w:rPr>
      </w:pPr>
      <w:bookmarkStart w:id="49" w:name="_Toc395200743"/>
      <w:r>
        <w:rPr>
          <w:rFonts w:eastAsia="Calibri" w:cs="Arial"/>
          <w:lang w:eastAsia="en-US"/>
        </w:rPr>
        <w:t xml:space="preserve">The recommended dose on BloodSTAR is </w:t>
      </w:r>
      <w:r w:rsidRPr="007D0AA8">
        <w:rPr>
          <w:rFonts w:eastAsia="Calibri" w:cs="Times New Roman"/>
          <w:lang w:eastAsia="en-US"/>
        </w:rPr>
        <w:t>0.4 g/kg. The majority of documentation reviewed cites a maintenance dose for IVIg of 0.4</w:t>
      </w:r>
      <w:r w:rsidR="008F7E5D">
        <w:rPr>
          <w:rFonts w:eastAsia="Calibri" w:cs="Times New Roman"/>
          <w:lang w:eastAsia="en-US"/>
        </w:rPr>
        <w:t xml:space="preserve"> </w:t>
      </w:r>
      <w:r w:rsidRPr="007D0AA8">
        <w:rPr>
          <w:rFonts w:eastAsia="Calibri" w:cs="Times New Roman"/>
          <w:lang w:eastAsia="en-US"/>
        </w:rPr>
        <w:t>g/kg every four weeks, however, doses lower than 0.4</w:t>
      </w:r>
      <w:r w:rsidR="008F7E5D">
        <w:rPr>
          <w:rFonts w:eastAsia="Calibri" w:cs="Times New Roman"/>
          <w:lang w:eastAsia="en-US"/>
        </w:rPr>
        <w:t xml:space="preserve"> </w:t>
      </w:r>
      <w:r w:rsidRPr="007D0AA8">
        <w:rPr>
          <w:rFonts w:eastAsia="Calibri" w:cs="Times New Roman"/>
          <w:lang w:eastAsia="en-US"/>
        </w:rPr>
        <w:t>g/kg may be used during titration.</w:t>
      </w:r>
    </w:p>
    <w:p w14:paraId="23F05097" w14:textId="78B211F1" w:rsidR="008F1D1C" w:rsidRPr="00386411" w:rsidRDefault="008F1D1C" w:rsidP="008F1D1C">
      <w:pPr>
        <w:pStyle w:val="Heading3"/>
      </w:pPr>
      <w:bookmarkStart w:id="50" w:name="_Toc14431101"/>
      <w:bookmarkStart w:id="51" w:name="_Toc16856269"/>
      <w:r w:rsidRPr="00386411">
        <w:t>Public Funding</w:t>
      </w:r>
      <w:bookmarkEnd w:id="50"/>
      <w:bookmarkEnd w:id="51"/>
    </w:p>
    <w:p w14:paraId="74DC37B1" w14:textId="4DF52814" w:rsidR="00446CC7" w:rsidRPr="007D0AA8" w:rsidRDefault="00446CC7" w:rsidP="008F1D1C">
      <w:pPr>
        <w:rPr>
          <w:rFonts w:eastAsia="Calibri"/>
        </w:rPr>
      </w:pPr>
      <w:r w:rsidRPr="007D0AA8">
        <w:rPr>
          <w:rFonts w:eastAsia="Calibri" w:cs="Times New Roman"/>
          <w:lang w:eastAsia="en-US"/>
        </w:rPr>
        <w:t xml:space="preserve">This contracted assessment is to review the use of IgG for an indication which is currently funded </w:t>
      </w:r>
      <w:r w:rsidRPr="007D0AA8">
        <w:rPr>
          <w:rFonts w:eastAsia="Calibri"/>
        </w:rPr>
        <w:t xml:space="preserve">under the National Blood Supply Arrangements. The products current funded are shown in </w:t>
      </w:r>
      <w:r w:rsidRPr="007D0AA8">
        <w:rPr>
          <w:rFonts w:eastAsia="Calibri"/>
        </w:rPr>
        <w:fldChar w:fldCharType="begin"/>
      </w:r>
      <w:r w:rsidRPr="007D0AA8">
        <w:rPr>
          <w:rFonts w:eastAsia="Calibri"/>
        </w:rPr>
        <w:instrText xml:space="preserve"> REF _Ref10113234 \h </w:instrText>
      </w:r>
      <w:r w:rsidR="003735E3" w:rsidRPr="007D0AA8">
        <w:rPr>
          <w:rFonts w:eastAsia="Calibri"/>
        </w:rPr>
        <w:instrText xml:space="preserve"> \* MERGEFORMAT </w:instrText>
      </w:r>
      <w:r w:rsidRPr="007D0AA8">
        <w:rPr>
          <w:rFonts w:eastAsia="Calibri"/>
        </w:rPr>
      </w:r>
      <w:r w:rsidRPr="007D0AA8">
        <w:rPr>
          <w:rFonts w:eastAsia="Calibri"/>
        </w:rPr>
        <w:fldChar w:fldCharType="separate"/>
      </w:r>
      <w:r w:rsidR="00A7463B" w:rsidRPr="00A7463B">
        <w:t>Table 1</w:t>
      </w:r>
      <w:r w:rsidRPr="007D0AA8">
        <w:rPr>
          <w:rFonts w:eastAsia="Calibri"/>
        </w:rPr>
        <w:fldChar w:fldCharType="end"/>
      </w:r>
      <w:r w:rsidRPr="007D0AA8">
        <w:rPr>
          <w:rFonts w:eastAsia="Calibri"/>
        </w:rPr>
        <w:t xml:space="preserve">. </w:t>
      </w:r>
    </w:p>
    <w:p w14:paraId="189BB055" w14:textId="3FC186C3" w:rsidR="00446CC7" w:rsidRPr="00386411" w:rsidRDefault="00446CC7" w:rsidP="009F34B1">
      <w:pPr>
        <w:pStyle w:val="Caption"/>
        <w:rPr>
          <w:lang w:val="en-GB" w:eastAsia="ja-JP"/>
        </w:rPr>
      </w:pPr>
      <w:bookmarkStart w:id="52" w:name="_Ref10113234"/>
      <w:bookmarkStart w:id="53" w:name="_Ref10113225"/>
      <w:bookmarkStart w:id="54" w:name="_Toc14429544"/>
      <w:bookmarkStart w:id="55" w:name="_Toc16671599"/>
      <w:r w:rsidRPr="00386411">
        <w:rPr>
          <w:lang w:val="en-GB" w:eastAsia="ja-JP"/>
        </w:rPr>
        <w:t xml:space="preserve">Table </w:t>
      </w:r>
      <w:r w:rsidRPr="00386411">
        <w:rPr>
          <w:lang w:val="en-GB" w:eastAsia="ja-JP"/>
        </w:rPr>
        <w:fldChar w:fldCharType="begin"/>
      </w:r>
      <w:r w:rsidRPr="00386411">
        <w:rPr>
          <w:lang w:val="en-GB" w:eastAsia="ja-JP"/>
        </w:rPr>
        <w:instrText xml:space="preserve"> SEQ Table \* ARABIC </w:instrText>
      </w:r>
      <w:r w:rsidRPr="00386411">
        <w:rPr>
          <w:lang w:val="en-GB" w:eastAsia="ja-JP"/>
        </w:rPr>
        <w:fldChar w:fldCharType="separate"/>
      </w:r>
      <w:r w:rsidR="00A7463B">
        <w:rPr>
          <w:noProof/>
          <w:lang w:val="en-GB" w:eastAsia="ja-JP"/>
        </w:rPr>
        <w:t>1</w:t>
      </w:r>
      <w:r w:rsidRPr="00386411">
        <w:rPr>
          <w:noProof/>
          <w:lang w:val="en-GB" w:eastAsia="ja-JP"/>
        </w:rPr>
        <w:fldChar w:fldCharType="end"/>
      </w:r>
      <w:bookmarkEnd w:id="52"/>
      <w:r w:rsidR="006252C4">
        <w:rPr>
          <w:noProof/>
          <w:lang w:val="en-GB" w:eastAsia="ja-JP"/>
        </w:rPr>
        <w:tab/>
      </w:r>
      <w:r w:rsidR="003876FD">
        <w:rPr>
          <w:noProof/>
          <w:lang w:val="en-GB" w:eastAsia="ja-JP"/>
        </w:rPr>
        <w:tab/>
      </w:r>
      <w:r w:rsidR="009F34B1">
        <w:rPr>
          <w:noProof/>
          <w:lang w:val="en-GB" w:eastAsia="ja-JP"/>
        </w:rPr>
        <w:t>I</w:t>
      </w:r>
      <w:r w:rsidRPr="00386411">
        <w:rPr>
          <w:lang w:val="en-GB" w:eastAsia="ja-JP"/>
        </w:rPr>
        <w:t>g products funded for this indication</w:t>
      </w:r>
      <w:bookmarkEnd w:id="53"/>
      <w:bookmarkEnd w:id="54"/>
      <w:bookmarkEnd w:id="5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25"/>
        <w:gridCol w:w="1680"/>
        <w:gridCol w:w="2044"/>
        <w:gridCol w:w="2042"/>
      </w:tblGrid>
      <w:tr w:rsidR="00446CC7" w:rsidRPr="00386411" w14:paraId="3033CB6F" w14:textId="77777777" w:rsidTr="009F48B5">
        <w:trPr>
          <w:tblHeader/>
        </w:trPr>
        <w:tc>
          <w:tcPr>
            <w:tcW w:w="1055" w:type="pct"/>
            <w:tcBorders>
              <w:top w:val="single" w:sz="4" w:space="0" w:color="auto"/>
              <w:left w:val="single" w:sz="4" w:space="0" w:color="auto"/>
              <w:bottom w:val="single" w:sz="4" w:space="0" w:color="auto"/>
              <w:right w:val="single" w:sz="4" w:space="0" w:color="auto"/>
            </w:tcBorders>
            <w:shd w:val="clear" w:color="auto" w:fill="auto"/>
            <w:hideMark/>
          </w:tcPr>
          <w:p w14:paraId="27C86A9F" w14:textId="77777777" w:rsidR="00446CC7" w:rsidRPr="00386411" w:rsidRDefault="00446CC7" w:rsidP="009F48B5">
            <w:pPr>
              <w:keepNext/>
              <w:spacing w:after="0" w:line="240" w:lineRule="auto"/>
              <w:rPr>
                <w:rFonts w:ascii="Arial Narrow" w:hAnsi="Arial Narrow" w:cs="Times New Roman"/>
                <w:b/>
                <w:sz w:val="20"/>
                <w:szCs w:val="20"/>
              </w:rPr>
            </w:pPr>
            <w:r w:rsidRPr="00386411">
              <w:rPr>
                <w:rFonts w:ascii="Arial Narrow" w:hAnsi="Arial Narrow" w:cs="Times New Roman"/>
                <w:b/>
                <w:sz w:val="20"/>
                <w:szCs w:val="20"/>
              </w:rPr>
              <w:t>Product</w:t>
            </w:r>
          </w:p>
        </w:tc>
        <w:tc>
          <w:tcPr>
            <w:tcW w:w="825" w:type="pct"/>
            <w:tcBorders>
              <w:top w:val="single" w:sz="4" w:space="0" w:color="auto"/>
              <w:left w:val="single" w:sz="4" w:space="0" w:color="auto"/>
              <w:bottom w:val="single" w:sz="4" w:space="0" w:color="auto"/>
              <w:right w:val="single" w:sz="4" w:space="0" w:color="auto"/>
            </w:tcBorders>
            <w:shd w:val="clear" w:color="auto" w:fill="auto"/>
            <w:hideMark/>
          </w:tcPr>
          <w:p w14:paraId="4EAF2303" w14:textId="77777777" w:rsidR="00446CC7" w:rsidRPr="00386411" w:rsidRDefault="00446CC7" w:rsidP="009F48B5">
            <w:pPr>
              <w:keepNext/>
              <w:spacing w:after="0" w:line="240" w:lineRule="auto"/>
              <w:rPr>
                <w:rFonts w:ascii="Arial Narrow" w:hAnsi="Arial Narrow" w:cs="Times New Roman"/>
                <w:b/>
                <w:sz w:val="20"/>
                <w:szCs w:val="20"/>
              </w:rPr>
            </w:pPr>
            <w:r w:rsidRPr="00386411">
              <w:rPr>
                <w:rFonts w:ascii="Arial Narrow" w:hAnsi="Arial Narrow" w:cs="Times New Roman"/>
                <w:b/>
                <w:sz w:val="20"/>
                <w:szCs w:val="20"/>
              </w:rPr>
              <w:t>Sponsor</w:t>
            </w:r>
          </w:p>
        </w:tc>
        <w:tc>
          <w:tcPr>
            <w:tcW w:w="909" w:type="pct"/>
            <w:tcBorders>
              <w:top w:val="single" w:sz="4" w:space="0" w:color="auto"/>
              <w:left w:val="single" w:sz="4" w:space="0" w:color="auto"/>
              <w:bottom w:val="single" w:sz="4" w:space="0" w:color="auto"/>
              <w:right w:val="single" w:sz="4" w:space="0" w:color="auto"/>
            </w:tcBorders>
            <w:shd w:val="clear" w:color="auto" w:fill="auto"/>
            <w:hideMark/>
          </w:tcPr>
          <w:p w14:paraId="2FDF0E58" w14:textId="77777777" w:rsidR="00446CC7" w:rsidRPr="00386411" w:rsidRDefault="00446CC7" w:rsidP="009F48B5">
            <w:pPr>
              <w:keepNext/>
              <w:spacing w:after="0" w:line="240" w:lineRule="auto"/>
              <w:rPr>
                <w:rFonts w:ascii="Arial Narrow" w:hAnsi="Arial Narrow" w:cs="Times New Roman"/>
                <w:b/>
                <w:sz w:val="20"/>
                <w:szCs w:val="20"/>
              </w:rPr>
            </w:pPr>
            <w:r w:rsidRPr="00386411">
              <w:rPr>
                <w:rFonts w:ascii="Arial Narrow" w:hAnsi="Arial Narrow" w:cs="Times New Roman"/>
                <w:b/>
                <w:sz w:val="20"/>
                <w:szCs w:val="20"/>
              </w:rPr>
              <w:t>Route of Admin.</w:t>
            </w:r>
          </w:p>
        </w:tc>
        <w:tc>
          <w:tcPr>
            <w:tcW w:w="1106" w:type="pct"/>
            <w:tcBorders>
              <w:top w:val="single" w:sz="4" w:space="0" w:color="auto"/>
              <w:left w:val="single" w:sz="4" w:space="0" w:color="auto"/>
              <w:bottom w:val="single" w:sz="4" w:space="0" w:color="auto"/>
              <w:right w:val="single" w:sz="4" w:space="0" w:color="auto"/>
            </w:tcBorders>
            <w:shd w:val="clear" w:color="auto" w:fill="auto"/>
            <w:hideMark/>
          </w:tcPr>
          <w:p w14:paraId="1B362129" w14:textId="77777777" w:rsidR="00446CC7" w:rsidRPr="00386411" w:rsidRDefault="00446CC7" w:rsidP="009F48B5">
            <w:pPr>
              <w:keepNext/>
              <w:spacing w:after="0" w:line="240" w:lineRule="auto"/>
              <w:rPr>
                <w:rFonts w:ascii="Arial Narrow" w:hAnsi="Arial Narrow" w:cs="Times New Roman"/>
                <w:b/>
                <w:sz w:val="20"/>
                <w:szCs w:val="20"/>
              </w:rPr>
            </w:pPr>
            <w:r w:rsidRPr="00386411">
              <w:rPr>
                <w:rFonts w:ascii="Arial Narrow" w:hAnsi="Arial Narrow" w:cs="Times New Roman"/>
                <w:b/>
                <w:sz w:val="20"/>
                <w:szCs w:val="20"/>
              </w:rPr>
              <w:t>Strength</w:t>
            </w:r>
          </w:p>
        </w:tc>
        <w:tc>
          <w:tcPr>
            <w:tcW w:w="1105" w:type="pct"/>
            <w:tcBorders>
              <w:top w:val="single" w:sz="4" w:space="0" w:color="auto"/>
              <w:left w:val="single" w:sz="4" w:space="0" w:color="auto"/>
              <w:bottom w:val="single" w:sz="4" w:space="0" w:color="auto"/>
              <w:right w:val="single" w:sz="4" w:space="0" w:color="auto"/>
            </w:tcBorders>
            <w:shd w:val="clear" w:color="auto" w:fill="auto"/>
            <w:hideMark/>
          </w:tcPr>
          <w:p w14:paraId="06A2D78C" w14:textId="77777777" w:rsidR="00446CC7" w:rsidRPr="00386411" w:rsidRDefault="00446CC7" w:rsidP="009F48B5">
            <w:pPr>
              <w:keepNext/>
              <w:spacing w:after="0" w:line="240" w:lineRule="auto"/>
              <w:rPr>
                <w:rFonts w:ascii="Arial Narrow" w:hAnsi="Arial Narrow" w:cs="Times New Roman"/>
                <w:b/>
                <w:sz w:val="20"/>
                <w:szCs w:val="20"/>
              </w:rPr>
            </w:pPr>
            <w:r w:rsidRPr="00386411">
              <w:rPr>
                <w:rFonts w:ascii="Arial Narrow" w:hAnsi="Arial Narrow" w:cs="Times New Roman"/>
                <w:b/>
                <w:sz w:val="20"/>
                <w:szCs w:val="20"/>
              </w:rPr>
              <w:t>NBA price</w:t>
            </w:r>
          </w:p>
        </w:tc>
      </w:tr>
      <w:tr w:rsidR="00446CC7" w:rsidRPr="007D0AA8" w14:paraId="25EFCBE4" w14:textId="77777777" w:rsidTr="009F48B5">
        <w:tc>
          <w:tcPr>
            <w:tcW w:w="1055" w:type="pct"/>
            <w:tcBorders>
              <w:top w:val="single" w:sz="4" w:space="0" w:color="auto"/>
              <w:left w:val="single" w:sz="4" w:space="0" w:color="auto"/>
              <w:bottom w:val="single" w:sz="4" w:space="0" w:color="auto"/>
              <w:right w:val="single" w:sz="4" w:space="0" w:color="auto"/>
            </w:tcBorders>
            <w:shd w:val="clear" w:color="auto" w:fill="auto"/>
            <w:hideMark/>
          </w:tcPr>
          <w:p w14:paraId="4E10364B" w14:textId="77777777" w:rsidR="00446CC7" w:rsidRPr="007D0AA8" w:rsidRDefault="00446CC7" w:rsidP="009F48B5">
            <w:pPr>
              <w:keepNext/>
              <w:spacing w:after="0" w:line="240" w:lineRule="auto"/>
              <w:rPr>
                <w:rFonts w:ascii="Arial Narrow" w:hAnsi="Arial Narrow" w:cs="Times New Roman"/>
                <w:sz w:val="20"/>
                <w:szCs w:val="20"/>
              </w:rPr>
            </w:pPr>
            <w:r w:rsidRPr="007D0AA8">
              <w:rPr>
                <w:rFonts w:ascii="Arial Narrow" w:hAnsi="Arial Narrow" w:cs="Times New Roman"/>
                <w:sz w:val="20"/>
                <w:szCs w:val="20"/>
              </w:rPr>
              <w:t>Intragam 10</w:t>
            </w:r>
          </w:p>
        </w:tc>
        <w:tc>
          <w:tcPr>
            <w:tcW w:w="825" w:type="pct"/>
            <w:tcBorders>
              <w:top w:val="single" w:sz="4" w:space="0" w:color="auto"/>
              <w:left w:val="single" w:sz="4" w:space="0" w:color="auto"/>
              <w:bottom w:val="single" w:sz="4" w:space="0" w:color="auto"/>
              <w:right w:val="single" w:sz="4" w:space="0" w:color="auto"/>
            </w:tcBorders>
            <w:shd w:val="clear" w:color="auto" w:fill="auto"/>
            <w:hideMark/>
          </w:tcPr>
          <w:p w14:paraId="5EFFB456" w14:textId="77777777" w:rsidR="00446CC7" w:rsidRPr="007D0AA8" w:rsidRDefault="00446CC7" w:rsidP="009F48B5">
            <w:pPr>
              <w:keepNext/>
              <w:spacing w:after="0" w:line="240" w:lineRule="auto"/>
              <w:rPr>
                <w:rFonts w:ascii="Arial Narrow" w:hAnsi="Arial Narrow" w:cs="Times New Roman"/>
                <w:sz w:val="20"/>
                <w:szCs w:val="20"/>
              </w:rPr>
            </w:pPr>
            <w:r w:rsidRPr="007D0AA8">
              <w:rPr>
                <w:rFonts w:ascii="Arial Narrow" w:hAnsi="Arial Narrow" w:cs="Times New Roman"/>
                <w:sz w:val="20"/>
                <w:szCs w:val="20"/>
              </w:rPr>
              <w:t>CSL Behring</w:t>
            </w:r>
          </w:p>
        </w:tc>
        <w:tc>
          <w:tcPr>
            <w:tcW w:w="909" w:type="pct"/>
            <w:tcBorders>
              <w:top w:val="single" w:sz="4" w:space="0" w:color="auto"/>
              <w:left w:val="single" w:sz="4" w:space="0" w:color="auto"/>
              <w:bottom w:val="single" w:sz="4" w:space="0" w:color="auto"/>
              <w:right w:val="single" w:sz="4" w:space="0" w:color="auto"/>
            </w:tcBorders>
            <w:shd w:val="clear" w:color="auto" w:fill="auto"/>
            <w:hideMark/>
          </w:tcPr>
          <w:p w14:paraId="12B61FF6" w14:textId="77777777" w:rsidR="00446CC7" w:rsidRPr="007D0AA8" w:rsidRDefault="00446CC7" w:rsidP="009F48B5">
            <w:pPr>
              <w:keepNext/>
              <w:spacing w:after="0" w:line="240" w:lineRule="auto"/>
              <w:rPr>
                <w:rFonts w:ascii="Arial Narrow" w:hAnsi="Arial Narrow" w:cs="Times New Roman"/>
                <w:sz w:val="20"/>
                <w:szCs w:val="20"/>
              </w:rPr>
            </w:pPr>
            <w:r w:rsidRPr="007D0AA8">
              <w:rPr>
                <w:rFonts w:ascii="Arial Narrow" w:hAnsi="Arial Narrow" w:cs="Times New Roman"/>
                <w:sz w:val="20"/>
                <w:szCs w:val="20"/>
              </w:rPr>
              <w:t>IV</w:t>
            </w:r>
          </w:p>
        </w:tc>
        <w:tc>
          <w:tcPr>
            <w:tcW w:w="1106" w:type="pct"/>
            <w:tcBorders>
              <w:top w:val="single" w:sz="4" w:space="0" w:color="auto"/>
              <w:left w:val="single" w:sz="4" w:space="0" w:color="auto"/>
              <w:bottom w:val="single" w:sz="4" w:space="0" w:color="auto"/>
              <w:right w:val="single" w:sz="4" w:space="0" w:color="auto"/>
            </w:tcBorders>
            <w:shd w:val="clear" w:color="auto" w:fill="auto"/>
            <w:hideMark/>
          </w:tcPr>
          <w:p w14:paraId="6FF4D63D" w14:textId="77777777" w:rsidR="00446CC7" w:rsidRPr="007D0AA8" w:rsidRDefault="00446CC7" w:rsidP="009F48B5">
            <w:pPr>
              <w:keepNext/>
              <w:spacing w:after="0" w:line="240" w:lineRule="auto"/>
              <w:rPr>
                <w:rFonts w:ascii="Arial Narrow" w:hAnsi="Arial Narrow" w:cs="Times New Roman"/>
                <w:sz w:val="20"/>
                <w:szCs w:val="20"/>
              </w:rPr>
            </w:pPr>
            <w:r w:rsidRPr="007D0AA8">
              <w:rPr>
                <w:rFonts w:ascii="Arial Narrow" w:hAnsi="Arial Narrow" w:cs="Times New Roman"/>
                <w:sz w:val="20"/>
                <w:szCs w:val="20"/>
              </w:rPr>
              <w:t>2.5g/25mL</w:t>
            </w:r>
          </w:p>
          <w:p w14:paraId="1ECBD301" w14:textId="77777777" w:rsidR="00446CC7" w:rsidRPr="007D0AA8" w:rsidRDefault="00446CC7" w:rsidP="009F48B5">
            <w:pPr>
              <w:keepNext/>
              <w:spacing w:after="0" w:line="240" w:lineRule="auto"/>
              <w:rPr>
                <w:rFonts w:ascii="Arial Narrow" w:hAnsi="Arial Narrow" w:cs="Times New Roman"/>
                <w:sz w:val="20"/>
                <w:szCs w:val="20"/>
              </w:rPr>
            </w:pPr>
            <w:r w:rsidRPr="007D0AA8">
              <w:rPr>
                <w:rFonts w:ascii="Arial Narrow" w:hAnsi="Arial Narrow" w:cs="Times New Roman"/>
                <w:sz w:val="20"/>
                <w:szCs w:val="20"/>
              </w:rPr>
              <w:t>10g/100mL</w:t>
            </w:r>
          </w:p>
          <w:p w14:paraId="0C6A961F" w14:textId="77777777" w:rsidR="00446CC7" w:rsidRPr="007D0AA8" w:rsidRDefault="00446CC7" w:rsidP="009F48B5">
            <w:pPr>
              <w:keepNext/>
              <w:spacing w:after="0" w:line="240" w:lineRule="auto"/>
              <w:rPr>
                <w:rFonts w:ascii="Arial Narrow" w:hAnsi="Arial Narrow" w:cs="Times New Roman"/>
                <w:sz w:val="20"/>
                <w:szCs w:val="20"/>
                <w:highlight w:val="yellow"/>
              </w:rPr>
            </w:pPr>
            <w:r w:rsidRPr="007D0AA8">
              <w:rPr>
                <w:rFonts w:ascii="Arial Narrow" w:hAnsi="Arial Narrow" w:cs="Times New Roman"/>
                <w:sz w:val="20"/>
                <w:szCs w:val="20"/>
              </w:rPr>
              <w:t>20g/200mL</w:t>
            </w:r>
          </w:p>
        </w:tc>
        <w:tc>
          <w:tcPr>
            <w:tcW w:w="1106" w:type="pct"/>
            <w:tcBorders>
              <w:top w:val="single" w:sz="4" w:space="0" w:color="auto"/>
              <w:left w:val="single" w:sz="4" w:space="0" w:color="auto"/>
              <w:bottom w:val="single" w:sz="4" w:space="0" w:color="auto"/>
              <w:right w:val="single" w:sz="4" w:space="0" w:color="auto"/>
            </w:tcBorders>
            <w:shd w:val="clear" w:color="auto" w:fill="auto"/>
            <w:hideMark/>
          </w:tcPr>
          <w:p w14:paraId="700DE50C" w14:textId="77777777" w:rsidR="00446CC7" w:rsidRPr="007D0AA8" w:rsidRDefault="00446CC7" w:rsidP="009F48B5">
            <w:pPr>
              <w:keepNext/>
              <w:spacing w:after="0" w:line="240" w:lineRule="auto"/>
              <w:rPr>
                <w:rFonts w:ascii="Arial Narrow" w:hAnsi="Arial Narrow" w:cs="Times New Roman"/>
                <w:sz w:val="20"/>
                <w:szCs w:val="20"/>
              </w:rPr>
            </w:pPr>
            <w:r w:rsidRPr="007D0AA8">
              <w:rPr>
                <w:rFonts w:ascii="Arial Narrow" w:hAnsi="Arial Narrow" w:cs="Times New Roman"/>
                <w:sz w:val="20"/>
                <w:szCs w:val="20"/>
              </w:rPr>
              <w:t>$146.23</w:t>
            </w:r>
          </w:p>
          <w:p w14:paraId="6018E9A1" w14:textId="77777777" w:rsidR="00446CC7" w:rsidRPr="007D0AA8" w:rsidRDefault="00446CC7" w:rsidP="009F48B5">
            <w:pPr>
              <w:keepNext/>
              <w:spacing w:after="0" w:line="240" w:lineRule="auto"/>
              <w:rPr>
                <w:rFonts w:ascii="Arial Narrow" w:hAnsi="Arial Narrow" w:cs="Times New Roman"/>
                <w:sz w:val="20"/>
                <w:szCs w:val="20"/>
              </w:rPr>
            </w:pPr>
            <w:r w:rsidRPr="007D0AA8">
              <w:rPr>
                <w:rFonts w:ascii="Arial Narrow" w:hAnsi="Arial Narrow" w:cs="Times New Roman"/>
                <w:sz w:val="20"/>
                <w:szCs w:val="20"/>
              </w:rPr>
              <w:t>$584.93</w:t>
            </w:r>
          </w:p>
          <w:p w14:paraId="36C7B176" w14:textId="77777777" w:rsidR="00446CC7" w:rsidRPr="007D0AA8" w:rsidRDefault="00446CC7" w:rsidP="009F48B5">
            <w:pPr>
              <w:keepNext/>
              <w:spacing w:after="0" w:line="240" w:lineRule="auto"/>
              <w:rPr>
                <w:rFonts w:ascii="Arial Narrow" w:hAnsi="Arial Narrow" w:cs="Times New Roman"/>
                <w:sz w:val="20"/>
                <w:szCs w:val="20"/>
                <w:highlight w:val="yellow"/>
              </w:rPr>
            </w:pPr>
            <w:r w:rsidRPr="007D0AA8">
              <w:rPr>
                <w:rFonts w:ascii="Arial Narrow" w:hAnsi="Arial Narrow" w:cs="Times New Roman"/>
                <w:sz w:val="20"/>
                <w:szCs w:val="20"/>
              </w:rPr>
              <w:t>$1,169.86</w:t>
            </w:r>
          </w:p>
        </w:tc>
      </w:tr>
      <w:tr w:rsidR="00446CC7" w:rsidRPr="007D0AA8" w14:paraId="17AC59EB" w14:textId="77777777" w:rsidTr="009F48B5">
        <w:tc>
          <w:tcPr>
            <w:tcW w:w="1055" w:type="pct"/>
            <w:tcBorders>
              <w:top w:val="single" w:sz="4" w:space="0" w:color="auto"/>
              <w:left w:val="single" w:sz="4" w:space="0" w:color="auto"/>
              <w:bottom w:val="single" w:sz="4" w:space="0" w:color="auto"/>
              <w:right w:val="single" w:sz="4" w:space="0" w:color="auto"/>
            </w:tcBorders>
            <w:shd w:val="clear" w:color="auto" w:fill="auto"/>
            <w:hideMark/>
          </w:tcPr>
          <w:p w14:paraId="7B6DC35D" w14:textId="77777777" w:rsidR="00446CC7" w:rsidRPr="007D0AA8" w:rsidRDefault="00446CC7" w:rsidP="009F48B5">
            <w:pPr>
              <w:keepNext/>
              <w:spacing w:after="0" w:line="240" w:lineRule="auto"/>
              <w:rPr>
                <w:rFonts w:ascii="Arial Narrow" w:hAnsi="Arial Narrow" w:cs="Times New Roman"/>
                <w:sz w:val="20"/>
                <w:szCs w:val="20"/>
              </w:rPr>
            </w:pPr>
            <w:r w:rsidRPr="007D0AA8">
              <w:rPr>
                <w:rFonts w:ascii="Arial Narrow" w:hAnsi="Arial Narrow" w:cs="Times New Roman"/>
                <w:sz w:val="20"/>
                <w:szCs w:val="20"/>
              </w:rPr>
              <w:t>Privigen 10%</w:t>
            </w:r>
          </w:p>
        </w:tc>
        <w:tc>
          <w:tcPr>
            <w:tcW w:w="825" w:type="pct"/>
            <w:tcBorders>
              <w:top w:val="single" w:sz="4" w:space="0" w:color="auto"/>
              <w:left w:val="single" w:sz="4" w:space="0" w:color="auto"/>
              <w:bottom w:val="single" w:sz="4" w:space="0" w:color="auto"/>
              <w:right w:val="single" w:sz="4" w:space="0" w:color="auto"/>
            </w:tcBorders>
            <w:shd w:val="clear" w:color="auto" w:fill="auto"/>
            <w:hideMark/>
          </w:tcPr>
          <w:p w14:paraId="3CECC950" w14:textId="77777777" w:rsidR="00446CC7" w:rsidRPr="007D0AA8" w:rsidRDefault="00446CC7" w:rsidP="009F48B5">
            <w:pPr>
              <w:keepNext/>
              <w:spacing w:after="0" w:line="240" w:lineRule="auto"/>
              <w:rPr>
                <w:rFonts w:ascii="Arial Narrow" w:hAnsi="Arial Narrow" w:cs="Times New Roman"/>
                <w:sz w:val="20"/>
                <w:szCs w:val="20"/>
              </w:rPr>
            </w:pPr>
            <w:r w:rsidRPr="007D0AA8">
              <w:rPr>
                <w:rFonts w:ascii="Arial Narrow" w:hAnsi="Arial Narrow" w:cs="Times New Roman"/>
                <w:sz w:val="20"/>
                <w:szCs w:val="20"/>
              </w:rPr>
              <w:t>CSL Behring</w:t>
            </w:r>
          </w:p>
        </w:tc>
        <w:tc>
          <w:tcPr>
            <w:tcW w:w="909" w:type="pct"/>
            <w:tcBorders>
              <w:top w:val="single" w:sz="4" w:space="0" w:color="auto"/>
              <w:left w:val="single" w:sz="4" w:space="0" w:color="auto"/>
              <w:bottom w:val="single" w:sz="4" w:space="0" w:color="auto"/>
              <w:right w:val="single" w:sz="4" w:space="0" w:color="auto"/>
            </w:tcBorders>
            <w:shd w:val="clear" w:color="auto" w:fill="auto"/>
            <w:hideMark/>
          </w:tcPr>
          <w:p w14:paraId="62F3C5B9" w14:textId="77777777" w:rsidR="00446CC7" w:rsidRPr="007D0AA8" w:rsidRDefault="00446CC7" w:rsidP="009F48B5">
            <w:pPr>
              <w:keepNext/>
              <w:spacing w:after="0" w:line="240" w:lineRule="auto"/>
              <w:rPr>
                <w:rFonts w:ascii="Arial Narrow" w:hAnsi="Arial Narrow" w:cs="Times New Roman"/>
                <w:sz w:val="20"/>
                <w:szCs w:val="20"/>
              </w:rPr>
            </w:pPr>
            <w:r w:rsidRPr="007D0AA8">
              <w:rPr>
                <w:rFonts w:ascii="Arial Narrow" w:hAnsi="Arial Narrow" w:cs="Times New Roman"/>
                <w:sz w:val="20"/>
                <w:szCs w:val="20"/>
              </w:rPr>
              <w:t>IV</w:t>
            </w:r>
          </w:p>
        </w:tc>
        <w:tc>
          <w:tcPr>
            <w:tcW w:w="1106" w:type="pct"/>
            <w:tcBorders>
              <w:top w:val="single" w:sz="4" w:space="0" w:color="auto"/>
              <w:left w:val="single" w:sz="4" w:space="0" w:color="auto"/>
              <w:bottom w:val="single" w:sz="4" w:space="0" w:color="auto"/>
              <w:right w:val="single" w:sz="4" w:space="0" w:color="auto"/>
            </w:tcBorders>
            <w:shd w:val="clear" w:color="auto" w:fill="auto"/>
            <w:hideMark/>
          </w:tcPr>
          <w:p w14:paraId="3CF524DF" w14:textId="77777777" w:rsidR="00446CC7" w:rsidRPr="007D0AA8" w:rsidRDefault="00446CC7" w:rsidP="009F48B5">
            <w:pPr>
              <w:keepNext/>
              <w:spacing w:after="0" w:line="240" w:lineRule="auto"/>
              <w:rPr>
                <w:rFonts w:ascii="Arial Narrow" w:hAnsi="Arial Narrow" w:cs="Times New Roman"/>
                <w:sz w:val="20"/>
                <w:szCs w:val="20"/>
              </w:rPr>
            </w:pPr>
            <w:r w:rsidRPr="007D0AA8">
              <w:rPr>
                <w:rFonts w:ascii="Arial Narrow" w:hAnsi="Arial Narrow" w:cs="Times New Roman"/>
                <w:sz w:val="20"/>
                <w:szCs w:val="20"/>
              </w:rPr>
              <w:t>5g/50mL</w:t>
            </w:r>
          </w:p>
          <w:p w14:paraId="2394509C" w14:textId="77777777" w:rsidR="00446CC7" w:rsidRPr="007D0AA8" w:rsidRDefault="00446CC7" w:rsidP="009F48B5">
            <w:pPr>
              <w:keepNext/>
              <w:spacing w:after="0" w:line="240" w:lineRule="auto"/>
              <w:rPr>
                <w:rFonts w:ascii="Arial Narrow" w:hAnsi="Arial Narrow" w:cs="Times New Roman"/>
                <w:sz w:val="20"/>
                <w:szCs w:val="20"/>
              </w:rPr>
            </w:pPr>
            <w:r w:rsidRPr="007D0AA8">
              <w:rPr>
                <w:rFonts w:ascii="Arial Narrow" w:hAnsi="Arial Narrow" w:cs="Times New Roman"/>
                <w:sz w:val="20"/>
                <w:szCs w:val="20"/>
              </w:rPr>
              <w:t>10g/100mL</w:t>
            </w:r>
          </w:p>
          <w:p w14:paraId="0BE54319" w14:textId="77777777" w:rsidR="00446CC7" w:rsidRPr="007D0AA8" w:rsidRDefault="00446CC7" w:rsidP="009F48B5">
            <w:pPr>
              <w:keepNext/>
              <w:spacing w:after="0" w:line="240" w:lineRule="auto"/>
              <w:rPr>
                <w:rFonts w:ascii="Arial Narrow" w:hAnsi="Arial Narrow" w:cs="Times New Roman"/>
                <w:sz w:val="20"/>
                <w:szCs w:val="20"/>
              </w:rPr>
            </w:pPr>
            <w:r w:rsidRPr="007D0AA8">
              <w:rPr>
                <w:rFonts w:ascii="Arial Narrow" w:hAnsi="Arial Narrow" w:cs="Times New Roman"/>
                <w:sz w:val="20"/>
                <w:szCs w:val="20"/>
              </w:rPr>
              <w:t>20g/200mL</w:t>
            </w:r>
          </w:p>
          <w:p w14:paraId="754BC210" w14:textId="77777777" w:rsidR="00446CC7" w:rsidRPr="007D0AA8" w:rsidRDefault="00446CC7" w:rsidP="009F48B5">
            <w:pPr>
              <w:keepNext/>
              <w:spacing w:after="0" w:line="240" w:lineRule="auto"/>
              <w:rPr>
                <w:rFonts w:ascii="Arial Narrow" w:hAnsi="Arial Narrow" w:cs="Times New Roman"/>
                <w:sz w:val="20"/>
                <w:szCs w:val="20"/>
                <w:highlight w:val="yellow"/>
              </w:rPr>
            </w:pPr>
            <w:r w:rsidRPr="007D0AA8">
              <w:rPr>
                <w:rFonts w:ascii="Arial Narrow" w:hAnsi="Arial Narrow" w:cs="Times New Roman"/>
                <w:sz w:val="20"/>
                <w:szCs w:val="20"/>
              </w:rPr>
              <w:t>40g/400mL</w:t>
            </w:r>
          </w:p>
        </w:tc>
        <w:tc>
          <w:tcPr>
            <w:tcW w:w="1106" w:type="pct"/>
            <w:tcBorders>
              <w:top w:val="single" w:sz="4" w:space="0" w:color="auto"/>
              <w:left w:val="single" w:sz="4" w:space="0" w:color="auto"/>
              <w:bottom w:val="single" w:sz="4" w:space="0" w:color="auto"/>
              <w:right w:val="single" w:sz="4" w:space="0" w:color="auto"/>
            </w:tcBorders>
            <w:shd w:val="clear" w:color="auto" w:fill="auto"/>
            <w:hideMark/>
          </w:tcPr>
          <w:p w14:paraId="7660D18D" w14:textId="77777777" w:rsidR="00446CC7" w:rsidRPr="007D0AA8" w:rsidRDefault="00446CC7" w:rsidP="009F48B5">
            <w:pPr>
              <w:keepNext/>
              <w:spacing w:after="0" w:line="240" w:lineRule="auto"/>
              <w:rPr>
                <w:rFonts w:ascii="Arial Narrow" w:hAnsi="Arial Narrow" w:cs="Times New Roman"/>
                <w:sz w:val="20"/>
                <w:szCs w:val="20"/>
              </w:rPr>
            </w:pPr>
            <w:r w:rsidRPr="007D0AA8">
              <w:rPr>
                <w:rFonts w:ascii="Arial Narrow" w:hAnsi="Arial Narrow" w:cs="Times New Roman"/>
                <w:sz w:val="20"/>
                <w:szCs w:val="20"/>
              </w:rPr>
              <w:t>$225.00</w:t>
            </w:r>
          </w:p>
          <w:p w14:paraId="7B54043B" w14:textId="77777777" w:rsidR="00446CC7" w:rsidRPr="007D0AA8" w:rsidRDefault="00446CC7" w:rsidP="009F48B5">
            <w:pPr>
              <w:keepNext/>
              <w:spacing w:after="0" w:line="240" w:lineRule="auto"/>
              <w:rPr>
                <w:rFonts w:ascii="Arial Narrow" w:hAnsi="Arial Narrow" w:cs="Times New Roman"/>
                <w:sz w:val="20"/>
                <w:szCs w:val="20"/>
              </w:rPr>
            </w:pPr>
            <w:r w:rsidRPr="007D0AA8">
              <w:rPr>
                <w:rFonts w:ascii="Arial Narrow" w:hAnsi="Arial Narrow" w:cs="Times New Roman"/>
                <w:sz w:val="20"/>
                <w:szCs w:val="20"/>
              </w:rPr>
              <w:t>$450.00</w:t>
            </w:r>
          </w:p>
          <w:p w14:paraId="61334EEE" w14:textId="77777777" w:rsidR="00446CC7" w:rsidRPr="007D0AA8" w:rsidRDefault="00446CC7" w:rsidP="009F48B5">
            <w:pPr>
              <w:keepNext/>
              <w:spacing w:after="0" w:line="240" w:lineRule="auto"/>
              <w:rPr>
                <w:rFonts w:ascii="Arial Narrow" w:hAnsi="Arial Narrow" w:cs="Times New Roman"/>
                <w:sz w:val="20"/>
                <w:szCs w:val="20"/>
              </w:rPr>
            </w:pPr>
            <w:r w:rsidRPr="007D0AA8">
              <w:rPr>
                <w:rFonts w:ascii="Arial Narrow" w:hAnsi="Arial Narrow" w:cs="Times New Roman"/>
                <w:sz w:val="20"/>
                <w:szCs w:val="20"/>
              </w:rPr>
              <w:t>$900.00</w:t>
            </w:r>
          </w:p>
          <w:p w14:paraId="0867F846" w14:textId="77777777" w:rsidR="00446CC7" w:rsidRPr="007D0AA8" w:rsidRDefault="00446CC7" w:rsidP="009F48B5">
            <w:pPr>
              <w:keepNext/>
              <w:spacing w:after="0" w:line="240" w:lineRule="auto"/>
              <w:rPr>
                <w:rFonts w:ascii="Arial Narrow" w:hAnsi="Arial Narrow" w:cs="Times New Roman"/>
                <w:sz w:val="20"/>
                <w:szCs w:val="20"/>
                <w:highlight w:val="yellow"/>
              </w:rPr>
            </w:pPr>
            <w:r w:rsidRPr="007D0AA8">
              <w:rPr>
                <w:rFonts w:ascii="Arial Narrow" w:hAnsi="Arial Narrow" w:cs="Times New Roman"/>
                <w:sz w:val="20"/>
                <w:szCs w:val="20"/>
              </w:rPr>
              <w:t>$1,800.00</w:t>
            </w:r>
          </w:p>
        </w:tc>
      </w:tr>
      <w:tr w:rsidR="00446CC7" w:rsidRPr="007D0AA8" w14:paraId="779248F2" w14:textId="77777777" w:rsidTr="009F48B5">
        <w:tc>
          <w:tcPr>
            <w:tcW w:w="1055" w:type="pct"/>
            <w:tcBorders>
              <w:top w:val="single" w:sz="4" w:space="0" w:color="auto"/>
              <w:left w:val="single" w:sz="4" w:space="0" w:color="auto"/>
              <w:bottom w:val="single" w:sz="4" w:space="0" w:color="auto"/>
              <w:right w:val="single" w:sz="4" w:space="0" w:color="auto"/>
            </w:tcBorders>
            <w:shd w:val="clear" w:color="auto" w:fill="auto"/>
            <w:hideMark/>
          </w:tcPr>
          <w:p w14:paraId="4A024099" w14:textId="77777777" w:rsidR="00446CC7" w:rsidRPr="007D0AA8" w:rsidRDefault="00446CC7" w:rsidP="009F48B5">
            <w:pPr>
              <w:keepNext/>
              <w:spacing w:after="0" w:line="240" w:lineRule="auto"/>
              <w:rPr>
                <w:rFonts w:ascii="Arial Narrow" w:hAnsi="Arial Narrow" w:cs="Times New Roman"/>
                <w:sz w:val="20"/>
                <w:szCs w:val="20"/>
              </w:rPr>
            </w:pPr>
            <w:r w:rsidRPr="007D0AA8">
              <w:rPr>
                <w:rFonts w:ascii="Arial Narrow" w:hAnsi="Arial Narrow" w:cs="Times New Roman"/>
                <w:sz w:val="20"/>
                <w:szCs w:val="20"/>
              </w:rPr>
              <w:t>Hizentra</w:t>
            </w:r>
          </w:p>
        </w:tc>
        <w:tc>
          <w:tcPr>
            <w:tcW w:w="825" w:type="pct"/>
            <w:tcBorders>
              <w:top w:val="single" w:sz="4" w:space="0" w:color="auto"/>
              <w:left w:val="single" w:sz="4" w:space="0" w:color="auto"/>
              <w:bottom w:val="single" w:sz="4" w:space="0" w:color="auto"/>
              <w:right w:val="single" w:sz="4" w:space="0" w:color="auto"/>
            </w:tcBorders>
            <w:shd w:val="clear" w:color="auto" w:fill="auto"/>
            <w:hideMark/>
          </w:tcPr>
          <w:p w14:paraId="5374F836" w14:textId="77777777" w:rsidR="00446CC7" w:rsidRPr="007D0AA8" w:rsidRDefault="00446CC7" w:rsidP="009F48B5">
            <w:pPr>
              <w:keepNext/>
              <w:spacing w:after="0" w:line="240" w:lineRule="auto"/>
              <w:rPr>
                <w:rFonts w:ascii="Arial Narrow" w:hAnsi="Arial Narrow" w:cs="Times New Roman"/>
                <w:sz w:val="20"/>
                <w:szCs w:val="20"/>
              </w:rPr>
            </w:pPr>
            <w:r w:rsidRPr="007D0AA8">
              <w:rPr>
                <w:rFonts w:ascii="Arial Narrow" w:hAnsi="Arial Narrow" w:cs="Times New Roman"/>
                <w:sz w:val="20"/>
                <w:szCs w:val="20"/>
              </w:rPr>
              <w:t xml:space="preserve">CSL Behring </w:t>
            </w:r>
          </w:p>
        </w:tc>
        <w:tc>
          <w:tcPr>
            <w:tcW w:w="909" w:type="pct"/>
            <w:tcBorders>
              <w:top w:val="single" w:sz="4" w:space="0" w:color="auto"/>
              <w:left w:val="single" w:sz="4" w:space="0" w:color="auto"/>
              <w:bottom w:val="single" w:sz="4" w:space="0" w:color="auto"/>
              <w:right w:val="single" w:sz="4" w:space="0" w:color="auto"/>
            </w:tcBorders>
            <w:shd w:val="clear" w:color="auto" w:fill="auto"/>
            <w:hideMark/>
          </w:tcPr>
          <w:p w14:paraId="49630629" w14:textId="77777777" w:rsidR="00446CC7" w:rsidRPr="007D0AA8" w:rsidRDefault="00446CC7" w:rsidP="009F48B5">
            <w:pPr>
              <w:keepNext/>
              <w:spacing w:after="0" w:line="240" w:lineRule="auto"/>
              <w:rPr>
                <w:rFonts w:ascii="Arial Narrow" w:hAnsi="Arial Narrow" w:cs="Times New Roman"/>
                <w:sz w:val="20"/>
                <w:szCs w:val="20"/>
              </w:rPr>
            </w:pPr>
            <w:r w:rsidRPr="007D0AA8">
              <w:rPr>
                <w:rFonts w:ascii="Arial Narrow" w:hAnsi="Arial Narrow" w:cs="Times New Roman"/>
                <w:sz w:val="20"/>
                <w:szCs w:val="20"/>
              </w:rPr>
              <w:t>SC</w:t>
            </w:r>
          </w:p>
        </w:tc>
        <w:tc>
          <w:tcPr>
            <w:tcW w:w="1106" w:type="pct"/>
            <w:tcBorders>
              <w:top w:val="single" w:sz="4" w:space="0" w:color="auto"/>
              <w:left w:val="single" w:sz="4" w:space="0" w:color="auto"/>
              <w:bottom w:val="single" w:sz="4" w:space="0" w:color="auto"/>
              <w:right w:val="single" w:sz="4" w:space="0" w:color="auto"/>
            </w:tcBorders>
            <w:shd w:val="clear" w:color="auto" w:fill="auto"/>
            <w:hideMark/>
          </w:tcPr>
          <w:p w14:paraId="76F024DD" w14:textId="77777777" w:rsidR="00446CC7" w:rsidRPr="007D0AA8" w:rsidRDefault="00446CC7" w:rsidP="009F48B5">
            <w:pPr>
              <w:keepNext/>
              <w:spacing w:after="0" w:line="240" w:lineRule="auto"/>
              <w:rPr>
                <w:rFonts w:ascii="Arial Narrow" w:hAnsi="Arial Narrow" w:cs="Times New Roman"/>
                <w:sz w:val="20"/>
                <w:szCs w:val="20"/>
              </w:rPr>
            </w:pPr>
            <w:r w:rsidRPr="007D0AA8">
              <w:rPr>
                <w:rFonts w:ascii="Arial Narrow" w:hAnsi="Arial Narrow" w:cs="Times New Roman"/>
                <w:sz w:val="20"/>
                <w:szCs w:val="20"/>
              </w:rPr>
              <w:t>1g/5mL</w:t>
            </w:r>
          </w:p>
          <w:p w14:paraId="75C3278C" w14:textId="77777777" w:rsidR="00446CC7" w:rsidRPr="007D0AA8" w:rsidRDefault="00446CC7" w:rsidP="009F48B5">
            <w:pPr>
              <w:keepNext/>
              <w:spacing w:after="0" w:line="240" w:lineRule="auto"/>
              <w:rPr>
                <w:rFonts w:ascii="Arial Narrow" w:hAnsi="Arial Narrow" w:cs="Times New Roman"/>
                <w:sz w:val="20"/>
                <w:szCs w:val="20"/>
              </w:rPr>
            </w:pPr>
            <w:r w:rsidRPr="007D0AA8">
              <w:rPr>
                <w:rFonts w:ascii="Arial Narrow" w:hAnsi="Arial Narrow" w:cs="Times New Roman"/>
                <w:sz w:val="20"/>
                <w:szCs w:val="20"/>
              </w:rPr>
              <w:t>2g/10mL</w:t>
            </w:r>
          </w:p>
          <w:p w14:paraId="5AD10A0A" w14:textId="77777777" w:rsidR="00446CC7" w:rsidRPr="007D0AA8" w:rsidRDefault="00446CC7" w:rsidP="009F48B5">
            <w:pPr>
              <w:keepNext/>
              <w:spacing w:after="0" w:line="240" w:lineRule="auto"/>
              <w:rPr>
                <w:rFonts w:ascii="Arial Narrow" w:hAnsi="Arial Narrow" w:cs="Times New Roman"/>
                <w:sz w:val="20"/>
                <w:szCs w:val="20"/>
              </w:rPr>
            </w:pPr>
            <w:r w:rsidRPr="007D0AA8">
              <w:rPr>
                <w:rFonts w:ascii="Arial Narrow" w:hAnsi="Arial Narrow" w:cs="Times New Roman"/>
                <w:sz w:val="20"/>
                <w:szCs w:val="20"/>
              </w:rPr>
              <w:t>4g/20mL</w:t>
            </w:r>
          </w:p>
          <w:p w14:paraId="207AF5EE" w14:textId="77777777" w:rsidR="00446CC7" w:rsidRPr="007D0AA8" w:rsidRDefault="00446CC7" w:rsidP="009F48B5">
            <w:pPr>
              <w:keepNext/>
              <w:spacing w:after="0" w:line="240" w:lineRule="auto"/>
              <w:rPr>
                <w:rFonts w:ascii="Arial Narrow" w:hAnsi="Arial Narrow" w:cs="Times New Roman"/>
                <w:sz w:val="20"/>
                <w:szCs w:val="20"/>
                <w:highlight w:val="yellow"/>
              </w:rPr>
            </w:pPr>
            <w:r w:rsidRPr="007D0AA8">
              <w:rPr>
                <w:rFonts w:ascii="Arial Narrow" w:hAnsi="Arial Narrow" w:cs="Times New Roman"/>
                <w:sz w:val="20"/>
                <w:szCs w:val="20"/>
              </w:rPr>
              <w:t>10g/50mL</w:t>
            </w:r>
          </w:p>
        </w:tc>
        <w:tc>
          <w:tcPr>
            <w:tcW w:w="1106" w:type="pct"/>
            <w:tcBorders>
              <w:top w:val="single" w:sz="4" w:space="0" w:color="auto"/>
              <w:left w:val="single" w:sz="4" w:space="0" w:color="auto"/>
              <w:bottom w:val="single" w:sz="4" w:space="0" w:color="auto"/>
              <w:right w:val="single" w:sz="4" w:space="0" w:color="auto"/>
            </w:tcBorders>
            <w:shd w:val="clear" w:color="auto" w:fill="auto"/>
            <w:hideMark/>
          </w:tcPr>
          <w:p w14:paraId="28396C33" w14:textId="77777777" w:rsidR="00446CC7" w:rsidRPr="007D0AA8" w:rsidRDefault="00446CC7" w:rsidP="009F48B5">
            <w:pPr>
              <w:keepNext/>
              <w:spacing w:after="0" w:line="240" w:lineRule="auto"/>
              <w:rPr>
                <w:rFonts w:ascii="Arial Narrow" w:hAnsi="Arial Narrow" w:cs="Times New Roman"/>
                <w:sz w:val="20"/>
                <w:szCs w:val="20"/>
              </w:rPr>
            </w:pPr>
            <w:r w:rsidRPr="007D0AA8">
              <w:rPr>
                <w:rFonts w:ascii="Arial Narrow" w:hAnsi="Arial Narrow" w:cs="Times New Roman"/>
                <w:sz w:val="20"/>
                <w:szCs w:val="20"/>
              </w:rPr>
              <w:t>$59.15</w:t>
            </w:r>
          </w:p>
          <w:p w14:paraId="3DF8B7F8" w14:textId="77777777" w:rsidR="00446CC7" w:rsidRPr="007D0AA8" w:rsidRDefault="00446CC7" w:rsidP="009F48B5">
            <w:pPr>
              <w:keepNext/>
              <w:spacing w:after="0" w:line="240" w:lineRule="auto"/>
              <w:rPr>
                <w:rFonts w:ascii="Arial Narrow" w:hAnsi="Arial Narrow" w:cs="Times New Roman"/>
                <w:sz w:val="20"/>
                <w:szCs w:val="20"/>
              </w:rPr>
            </w:pPr>
            <w:r w:rsidRPr="007D0AA8">
              <w:rPr>
                <w:rFonts w:ascii="Arial Narrow" w:hAnsi="Arial Narrow" w:cs="Times New Roman"/>
                <w:sz w:val="20"/>
                <w:szCs w:val="20"/>
              </w:rPr>
              <w:t>$118.31</w:t>
            </w:r>
          </w:p>
          <w:p w14:paraId="09B67DF6" w14:textId="77777777" w:rsidR="00446CC7" w:rsidRPr="007D0AA8" w:rsidRDefault="00446CC7" w:rsidP="009F48B5">
            <w:pPr>
              <w:keepNext/>
              <w:spacing w:after="0" w:line="240" w:lineRule="auto"/>
              <w:rPr>
                <w:rFonts w:ascii="Arial Narrow" w:hAnsi="Arial Narrow" w:cs="Times New Roman"/>
                <w:sz w:val="20"/>
                <w:szCs w:val="20"/>
              </w:rPr>
            </w:pPr>
            <w:r w:rsidRPr="007D0AA8">
              <w:rPr>
                <w:rFonts w:ascii="Arial Narrow" w:hAnsi="Arial Narrow" w:cs="Times New Roman"/>
                <w:sz w:val="20"/>
                <w:szCs w:val="20"/>
              </w:rPr>
              <w:t>$236.61</w:t>
            </w:r>
          </w:p>
          <w:p w14:paraId="390B0A2E" w14:textId="77777777" w:rsidR="00446CC7" w:rsidRPr="007D0AA8" w:rsidRDefault="00446CC7" w:rsidP="009F48B5">
            <w:pPr>
              <w:keepNext/>
              <w:spacing w:after="0" w:line="240" w:lineRule="auto"/>
              <w:rPr>
                <w:rFonts w:ascii="Arial Narrow" w:hAnsi="Arial Narrow" w:cs="Times New Roman"/>
                <w:sz w:val="20"/>
                <w:szCs w:val="20"/>
                <w:highlight w:val="yellow"/>
              </w:rPr>
            </w:pPr>
            <w:r w:rsidRPr="007D0AA8">
              <w:rPr>
                <w:rFonts w:ascii="Arial Narrow" w:hAnsi="Arial Narrow" w:cs="Times New Roman"/>
                <w:sz w:val="20"/>
                <w:szCs w:val="20"/>
              </w:rPr>
              <w:t>$591.53</w:t>
            </w:r>
          </w:p>
        </w:tc>
      </w:tr>
      <w:tr w:rsidR="00446CC7" w:rsidRPr="007D0AA8" w14:paraId="36E6756B" w14:textId="77777777" w:rsidTr="009F48B5">
        <w:tc>
          <w:tcPr>
            <w:tcW w:w="1055" w:type="pct"/>
            <w:tcBorders>
              <w:top w:val="single" w:sz="4" w:space="0" w:color="auto"/>
              <w:left w:val="single" w:sz="4" w:space="0" w:color="auto"/>
              <w:bottom w:val="single" w:sz="4" w:space="0" w:color="auto"/>
              <w:right w:val="single" w:sz="4" w:space="0" w:color="auto"/>
            </w:tcBorders>
            <w:shd w:val="clear" w:color="auto" w:fill="auto"/>
            <w:hideMark/>
          </w:tcPr>
          <w:p w14:paraId="42055BA2"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Flebogamma 5%</w:t>
            </w:r>
          </w:p>
        </w:tc>
        <w:tc>
          <w:tcPr>
            <w:tcW w:w="825" w:type="pct"/>
            <w:tcBorders>
              <w:top w:val="single" w:sz="4" w:space="0" w:color="auto"/>
              <w:left w:val="single" w:sz="4" w:space="0" w:color="auto"/>
              <w:bottom w:val="single" w:sz="4" w:space="0" w:color="auto"/>
              <w:right w:val="single" w:sz="4" w:space="0" w:color="auto"/>
            </w:tcBorders>
            <w:shd w:val="clear" w:color="auto" w:fill="auto"/>
            <w:hideMark/>
          </w:tcPr>
          <w:p w14:paraId="62992918"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 xml:space="preserve">Grifols </w:t>
            </w:r>
          </w:p>
        </w:tc>
        <w:tc>
          <w:tcPr>
            <w:tcW w:w="909" w:type="pct"/>
            <w:tcBorders>
              <w:top w:val="single" w:sz="4" w:space="0" w:color="auto"/>
              <w:left w:val="single" w:sz="4" w:space="0" w:color="auto"/>
              <w:bottom w:val="single" w:sz="4" w:space="0" w:color="auto"/>
              <w:right w:val="single" w:sz="4" w:space="0" w:color="auto"/>
            </w:tcBorders>
            <w:shd w:val="clear" w:color="auto" w:fill="auto"/>
            <w:hideMark/>
          </w:tcPr>
          <w:p w14:paraId="28CA765B"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IV</w:t>
            </w:r>
          </w:p>
        </w:tc>
        <w:tc>
          <w:tcPr>
            <w:tcW w:w="1106" w:type="pct"/>
            <w:tcBorders>
              <w:top w:val="single" w:sz="4" w:space="0" w:color="auto"/>
              <w:left w:val="single" w:sz="4" w:space="0" w:color="auto"/>
              <w:bottom w:val="single" w:sz="4" w:space="0" w:color="auto"/>
              <w:right w:val="single" w:sz="4" w:space="0" w:color="auto"/>
            </w:tcBorders>
            <w:shd w:val="clear" w:color="auto" w:fill="auto"/>
            <w:hideMark/>
          </w:tcPr>
          <w:p w14:paraId="7A2B4577"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0.5g/10mL</w:t>
            </w:r>
          </w:p>
          <w:p w14:paraId="6914E036"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2.5g/50mL</w:t>
            </w:r>
          </w:p>
          <w:p w14:paraId="60EA6CBA"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5g/100mL</w:t>
            </w:r>
          </w:p>
          <w:p w14:paraId="1C5A181B"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10g/200mL</w:t>
            </w:r>
          </w:p>
          <w:p w14:paraId="475B72F0"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20g/400mL</w:t>
            </w:r>
          </w:p>
        </w:tc>
        <w:tc>
          <w:tcPr>
            <w:tcW w:w="1106" w:type="pct"/>
            <w:tcBorders>
              <w:top w:val="single" w:sz="4" w:space="0" w:color="auto"/>
              <w:left w:val="single" w:sz="4" w:space="0" w:color="auto"/>
              <w:bottom w:val="single" w:sz="4" w:space="0" w:color="auto"/>
              <w:right w:val="single" w:sz="4" w:space="0" w:color="auto"/>
            </w:tcBorders>
            <w:shd w:val="clear" w:color="auto" w:fill="auto"/>
            <w:hideMark/>
          </w:tcPr>
          <w:p w14:paraId="1A5544B2"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$22.50</w:t>
            </w:r>
          </w:p>
          <w:p w14:paraId="54391C88"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$112.50</w:t>
            </w:r>
          </w:p>
          <w:p w14:paraId="2E086C44"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$225.00</w:t>
            </w:r>
          </w:p>
          <w:p w14:paraId="142E44E6"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$450.00</w:t>
            </w:r>
          </w:p>
          <w:p w14:paraId="4E15D703"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$900.00</w:t>
            </w:r>
          </w:p>
        </w:tc>
      </w:tr>
      <w:tr w:rsidR="00446CC7" w:rsidRPr="007D0AA8" w14:paraId="7D356AB5" w14:textId="77777777" w:rsidTr="009F48B5">
        <w:tc>
          <w:tcPr>
            <w:tcW w:w="1055" w:type="pct"/>
            <w:tcBorders>
              <w:top w:val="single" w:sz="4" w:space="0" w:color="auto"/>
              <w:left w:val="single" w:sz="4" w:space="0" w:color="auto"/>
              <w:bottom w:val="single" w:sz="4" w:space="0" w:color="auto"/>
              <w:right w:val="single" w:sz="4" w:space="0" w:color="auto"/>
            </w:tcBorders>
            <w:shd w:val="clear" w:color="auto" w:fill="auto"/>
            <w:hideMark/>
          </w:tcPr>
          <w:p w14:paraId="42334FDB"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Flebogamma 10%</w:t>
            </w:r>
          </w:p>
        </w:tc>
        <w:tc>
          <w:tcPr>
            <w:tcW w:w="825" w:type="pct"/>
            <w:tcBorders>
              <w:top w:val="single" w:sz="4" w:space="0" w:color="auto"/>
              <w:left w:val="single" w:sz="4" w:space="0" w:color="auto"/>
              <w:bottom w:val="single" w:sz="4" w:space="0" w:color="auto"/>
              <w:right w:val="single" w:sz="4" w:space="0" w:color="auto"/>
            </w:tcBorders>
            <w:shd w:val="clear" w:color="auto" w:fill="auto"/>
            <w:hideMark/>
          </w:tcPr>
          <w:p w14:paraId="458B510F"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 xml:space="preserve">Grifols </w:t>
            </w:r>
          </w:p>
        </w:tc>
        <w:tc>
          <w:tcPr>
            <w:tcW w:w="909" w:type="pct"/>
            <w:tcBorders>
              <w:top w:val="single" w:sz="4" w:space="0" w:color="auto"/>
              <w:left w:val="single" w:sz="4" w:space="0" w:color="auto"/>
              <w:bottom w:val="single" w:sz="4" w:space="0" w:color="auto"/>
              <w:right w:val="single" w:sz="4" w:space="0" w:color="auto"/>
            </w:tcBorders>
            <w:shd w:val="clear" w:color="auto" w:fill="auto"/>
            <w:hideMark/>
          </w:tcPr>
          <w:p w14:paraId="0CB197C0"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IV</w:t>
            </w:r>
          </w:p>
        </w:tc>
        <w:tc>
          <w:tcPr>
            <w:tcW w:w="1106" w:type="pct"/>
            <w:tcBorders>
              <w:top w:val="single" w:sz="4" w:space="0" w:color="auto"/>
              <w:left w:val="single" w:sz="4" w:space="0" w:color="auto"/>
              <w:bottom w:val="single" w:sz="4" w:space="0" w:color="auto"/>
              <w:right w:val="single" w:sz="4" w:space="0" w:color="auto"/>
            </w:tcBorders>
            <w:shd w:val="clear" w:color="auto" w:fill="auto"/>
            <w:hideMark/>
          </w:tcPr>
          <w:p w14:paraId="1417586D"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5g/50mL</w:t>
            </w:r>
          </w:p>
          <w:p w14:paraId="5EA7FF80"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10g/100mL</w:t>
            </w:r>
          </w:p>
          <w:p w14:paraId="6E01AA4A"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20g/200mL</w:t>
            </w:r>
          </w:p>
        </w:tc>
        <w:tc>
          <w:tcPr>
            <w:tcW w:w="1106" w:type="pct"/>
            <w:tcBorders>
              <w:top w:val="single" w:sz="4" w:space="0" w:color="auto"/>
              <w:left w:val="single" w:sz="4" w:space="0" w:color="auto"/>
              <w:bottom w:val="single" w:sz="4" w:space="0" w:color="auto"/>
              <w:right w:val="single" w:sz="4" w:space="0" w:color="auto"/>
            </w:tcBorders>
            <w:shd w:val="clear" w:color="auto" w:fill="auto"/>
            <w:hideMark/>
          </w:tcPr>
          <w:p w14:paraId="50EEBC16"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$225.00</w:t>
            </w:r>
          </w:p>
          <w:p w14:paraId="71B284B6"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$450.00</w:t>
            </w:r>
          </w:p>
          <w:p w14:paraId="689A2975"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$900.00</w:t>
            </w:r>
          </w:p>
        </w:tc>
      </w:tr>
      <w:tr w:rsidR="00446CC7" w:rsidRPr="007D0AA8" w14:paraId="77C813A6" w14:textId="77777777" w:rsidTr="009F48B5">
        <w:tc>
          <w:tcPr>
            <w:tcW w:w="1055" w:type="pct"/>
            <w:tcBorders>
              <w:top w:val="single" w:sz="4" w:space="0" w:color="auto"/>
              <w:left w:val="single" w:sz="4" w:space="0" w:color="auto"/>
              <w:bottom w:val="single" w:sz="4" w:space="0" w:color="auto"/>
              <w:right w:val="single" w:sz="4" w:space="0" w:color="auto"/>
            </w:tcBorders>
            <w:shd w:val="clear" w:color="auto" w:fill="FFFFFF"/>
            <w:hideMark/>
          </w:tcPr>
          <w:p w14:paraId="054B8F9A"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Evogam</w:t>
            </w:r>
          </w:p>
        </w:tc>
        <w:tc>
          <w:tcPr>
            <w:tcW w:w="825" w:type="pct"/>
            <w:tcBorders>
              <w:top w:val="single" w:sz="4" w:space="0" w:color="auto"/>
              <w:left w:val="single" w:sz="4" w:space="0" w:color="auto"/>
              <w:bottom w:val="single" w:sz="4" w:space="0" w:color="auto"/>
              <w:right w:val="single" w:sz="4" w:space="0" w:color="auto"/>
            </w:tcBorders>
            <w:shd w:val="clear" w:color="auto" w:fill="FFFFFF"/>
            <w:hideMark/>
          </w:tcPr>
          <w:p w14:paraId="3ED0C583"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 xml:space="preserve">CSL Behring </w:t>
            </w:r>
          </w:p>
        </w:tc>
        <w:tc>
          <w:tcPr>
            <w:tcW w:w="909" w:type="pct"/>
            <w:tcBorders>
              <w:top w:val="single" w:sz="4" w:space="0" w:color="auto"/>
              <w:left w:val="single" w:sz="4" w:space="0" w:color="auto"/>
              <w:bottom w:val="single" w:sz="4" w:space="0" w:color="auto"/>
              <w:right w:val="single" w:sz="4" w:space="0" w:color="auto"/>
            </w:tcBorders>
            <w:shd w:val="clear" w:color="auto" w:fill="FFFFFF"/>
            <w:hideMark/>
          </w:tcPr>
          <w:p w14:paraId="6A35FFC4"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SC</w:t>
            </w:r>
          </w:p>
        </w:tc>
        <w:tc>
          <w:tcPr>
            <w:tcW w:w="1106" w:type="pct"/>
            <w:tcBorders>
              <w:top w:val="single" w:sz="4" w:space="0" w:color="auto"/>
              <w:left w:val="single" w:sz="4" w:space="0" w:color="auto"/>
              <w:bottom w:val="single" w:sz="4" w:space="0" w:color="auto"/>
              <w:right w:val="single" w:sz="4" w:space="0" w:color="auto"/>
            </w:tcBorders>
            <w:shd w:val="clear" w:color="auto" w:fill="FFFFFF"/>
            <w:hideMark/>
          </w:tcPr>
          <w:p w14:paraId="34A1DF7D"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16% 0.8g/5mL</w:t>
            </w:r>
          </w:p>
          <w:p w14:paraId="41079DB8" w14:textId="77777777" w:rsidR="00446CC7" w:rsidRPr="007D0AA8" w:rsidRDefault="00446CC7" w:rsidP="009F48B5">
            <w:pPr>
              <w:spacing w:after="0" w:line="240" w:lineRule="auto"/>
              <w:rPr>
                <w:rFonts w:ascii="Arial Narrow" w:hAnsi="Arial Narrow" w:cs="Times New Roman"/>
                <w:sz w:val="20"/>
                <w:szCs w:val="20"/>
                <w:highlight w:val="yellow"/>
              </w:rPr>
            </w:pPr>
            <w:r w:rsidRPr="007D0AA8">
              <w:rPr>
                <w:rFonts w:ascii="Arial Narrow" w:hAnsi="Arial Narrow" w:cs="Times New Roman"/>
                <w:sz w:val="20"/>
                <w:szCs w:val="20"/>
              </w:rPr>
              <w:t>16%3.2g/20mL</w:t>
            </w:r>
          </w:p>
        </w:tc>
        <w:tc>
          <w:tcPr>
            <w:tcW w:w="1106" w:type="pct"/>
            <w:tcBorders>
              <w:top w:val="single" w:sz="4" w:space="0" w:color="auto"/>
              <w:left w:val="single" w:sz="4" w:space="0" w:color="auto"/>
              <w:bottom w:val="single" w:sz="4" w:space="0" w:color="auto"/>
              <w:right w:val="single" w:sz="4" w:space="0" w:color="auto"/>
            </w:tcBorders>
            <w:shd w:val="clear" w:color="auto" w:fill="FFFFFF"/>
            <w:hideMark/>
          </w:tcPr>
          <w:p w14:paraId="5C3A777B" w14:textId="77777777" w:rsidR="00446CC7" w:rsidRPr="007D0AA8" w:rsidRDefault="00446CC7" w:rsidP="009F48B5">
            <w:pPr>
              <w:spacing w:after="0" w:line="240" w:lineRule="auto"/>
              <w:rPr>
                <w:rFonts w:ascii="Arial Narrow" w:hAnsi="Arial Narrow" w:cs="Times New Roman"/>
                <w:sz w:val="20"/>
                <w:szCs w:val="20"/>
              </w:rPr>
            </w:pPr>
            <w:r w:rsidRPr="007D0AA8">
              <w:rPr>
                <w:rFonts w:ascii="Arial Narrow" w:hAnsi="Arial Narrow" w:cs="Times New Roman"/>
                <w:sz w:val="20"/>
                <w:szCs w:val="20"/>
              </w:rPr>
              <w:t>$46.79</w:t>
            </w:r>
          </w:p>
          <w:p w14:paraId="4A068924" w14:textId="77777777" w:rsidR="00446CC7" w:rsidRPr="007D0AA8" w:rsidRDefault="00446CC7" w:rsidP="009F48B5">
            <w:pPr>
              <w:spacing w:after="0" w:line="240" w:lineRule="auto"/>
              <w:rPr>
                <w:rFonts w:ascii="Arial Narrow" w:hAnsi="Arial Narrow" w:cs="Times New Roman"/>
                <w:sz w:val="20"/>
                <w:szCs w:val="20"/>
                <w:highlight w:val="yellow"/>
              </w:rPr>
            </w:pPr>
            <w:r w:rsidRPr="007D0AA8">
              <w:rPr>
                <w:rFonts w:ascii="Arial Narrow" w:hAnsi="Arial Narrow" w:cs="Times New Roman"/>
                <w:sz w:val="20"/>
                <w:szCs w:val="20"/>
              </w:rPr>
              <w:t>$187.18</w:t>
            </w:r>
          </w:p>
        </w:tc>
      </w:tr>
    </w:tbl>
    <w:p w14:paraId="51A6C4E2" w14:textId="509108F3" w:rsidR="00446CC7" w:rsidRPr="007D0AA8" w:rsidRDefault="00446CC7" w:rsidP="00C43B20">
      <w:pPr>
        <w:pStyle w:val="Tablenotes1"/>
      </w:pPr>
      <w:r w:rsidRPr="007D0AA8">
        <w:t xml:space="preserve">IV=intravenous; SC=subcutaneous </w:t>
      </w:r>
    </w:p>
    <w:p w14:paraId="05DBFC6E" w14:textId="113583D6" w:rsidR="00446CC7" w:rsidRPr="007D0AA8" w:rsidRDefault="00446CC7" w:rsidP="00C43B20">
      <w:pPr>
        <w:pStyle w:val="Tablenotes1"/>
      </w:pPr>
      <w:r w:rsidRPr="007D0AA8">
        <w:t xml:space="preserve">Source: PICO Confirmation for MSAC 1565. </w:t>
      </w:r>
    </w:p>
    <w:p w14:paraId="601AC240" w14:textId="77777777" w:rsidR="008F1D1C" w:rsidRPr="00386411" w:rsidRDefault="008F1D1C" w:rsidP="005C061E">
      <w:pPr>
        <w:pStyle w:val="Heading3"/>
      </w:pPr>
      <w:bookmarkStart w:id="56" w:name="_Toc14431102"/>
      <w:bookmarkStart w:id="57" w:name="_Toc16856270"/>
      <w:r w:rsidRPr="00386411">
        <w:t>Population</w:t>
      </w:r>
      <w:bookmarkEnd w:id="56"/>
      <w:bookmarkEnd w:id="57"/>
    </w:p>
    <w:p w14:paraId="7827A50E" w14:textId="61241D3C" w:rsidR="00446CC7" w:rsidRPr="007D0AA8" w:rsidRDefault="00446CC7" w:rsidP="00446CC7">
      <w:pPr>
        <w:rPr>
          <w:rFonts w:asciiTheme="minorHAnsi" w:hAnsiTheme="minorHAnsi" w:cstheme="minorHAnsi"/>
        </w:rPr>
      </w:pPr>
      <w:r w:rsidRPr="007D0AA8">
        <w:rPr>
          <w:rFonts w:asciiTheme="minorHAnsi" w:hAnsiTheme="minorHAnsi" w:cstheme="minorHAnsi"/>
        </w:rPr>
        <w:t>According to the</w:t>
      </w:r>
      <w:r w:rsidRPr="007D0AA8">
        <w:rPr>
          <w:rFonts w:asciiTheme="minorHAnsi" w:hAnsiTheme="minorHAnsi" w:cstheme="minorHAnsi"/>
          <w:i/>
        </w:rPr>
        <w:t xml:space="preserve"> Criteria</w:t>
      </w:r>
      <w:r w:rsidRPr="007D0AA8">
        <w:rPr>
          <w:rFonts w:asciiTheme="minorHAnsi" w:hAnsiTheme="minorHAnsi" w:cstheme="minorHAnsi"/>
        </w:rPr>
        <w:t xml:space="preserve"> </w:t>
      </w:r>
      <w:r w:rsidRPr="007D0AA8">
        <w:rPr>
          <w:rFonts w:asciiTheme="minorHAnsi" w:hAnsiTheme="minorHAnsi" w:cstheme="minorHAnsi"/>
          <w:i/>
        </w:rPr>
        <w:t>Version 3</w:t>
      </w:r>
      <w:r w:rsidRPr="007D0AA8">
        <w:rPr>
          <w:rFonts w:asciiTheme="minorHAnsi" w:hAnsiTheme="minorHAnsi" w:cstheme="minorHAnsi"/>
        </w:rPr>
        <w:t>, the indication of acquired hypogammaglobulinaemia covers hypogammaglobulinaemia, when it occurs, secondary to the following specific conditions (or associated treatment):</w:t>
      </w:r>
    </w:p>
    <w:p w14:paraId="23F40485" w14:textId="77777777" w:rsidR="00446CC7" w:rsidRPr="007D0AA8" w:rsidRDefault="00446CC7" w:rsidP="00331FB9">
      <w:pPr>
        <w:pStyle w:val="ListParagraph"/>
        <w:numPr>
          <w:ilvl w:val="0"/>
          <w:numId w:val="13"/>
        </w:numPr>
        <w:spacing w:after="200" w:line="276" w:lineRule="auto"/>
        <w:ind w:left="426" w:right="662"/>
        <w:contextualSpacing/>
        <w:rPr>
          <w:rFonts w:asciiTheme="minorHAnsi" w:hAnsiTheme="minorHAnsi" w:cstheme="minorHAnsi"/>
        </w:rPr>
      </w:pPr>
      <w:r w:rsidRPr="007D0AA8">
        <w:rPr>
          <w:rFonts w:asciiTheme="minorHAnsi" w:hAnsiTheme="minorHAnsi" w:cstheme="minorHAnsi"/>
        </w:rPr>
        <w:t>Acute leukaemia</w:t>
      </w:r>
    </w:p>
    <w:p w14:paraId="635E34A9" w14:textId="77777777" w:rsidR="00446CC7" w:rsidRPr="007D0AA8" w:rsidRDefault="00446CC7" w:rsidP="00331FB9">
      <w:pPr>
        <w:pStyle w:val="ListParagraph"/>
        <w:numPr>
          <w:ilvl w:val="0"/>
          <w:numId w:val="13"/>
        </w:numPr>
        <w:spacing w:after="200" w:line="276" w:lineRule="auto"/>
        <w:ind w:left="426" w:right="662"/>
        <w:contextualSpacing/>
        <w:rPr>
          <w:rFonts w:asciiTheme="minorHAnsi" w:hAnsiTheme="minorHAnsi" w:cstheme="minorHAnsi"/>
        </w:rPr>
      </w:pPr>
      <w:r w:rsidRPr="007D0AA8">
        <w:rPr>
          <w:rFonts w:asciiTheme="minorHAnsi" w:hAnsiTheme="minorHAnsi" w:cstheme="minorHAnsi"/>
        </w:rPr>
        <w:t>Chronic lymphocytic leukaemia (CLL)</w:t>
      </w:r>
    </w:p>
    <w:p w14:paraId="30172923" w14:textId="77777777" w:rsidR="00446CC7" w:rsidRPr="007D0AA8" w:rsidRDefault="00446CC7" w:rsidP="00331FB9">
      <w:pPr>
        <w:pStyle w:val="ListParagraph"/>
        <w:numPr>
          <w:ilvl w:val="0"/>
          <w:numId w:val="13"/>
        </w:numPr>
        <w:spacing w:after="200" w:line="276" w:lineRule="auto"/>
        <w:ind w:left="426" w:right="662"/>
        <w:contextualSpacing/>
        <w:rPr>
          <w:rFonts w:asciiTheme="minorHAnsi" w:hAnsiTheme="minorHAnsi" w:cstheme="minorHAnsi"/>
        </w:rPr>
      </w:pPr>
      <w:r w:rsidRPr="007D0AA8">
        <w:rPr>
          <w:rFonts w:asciiTheme="minorHAnsi" w:hAnsiTheme="minorHAnsi" w:cstheme="minorHAnsi"/>
        </w:rPr>
        <w:t>Multiple myeloma (MM)</w:t>
      </w:r>
    </w:p>
    <w:p w14:paraId="0391F338" w14:textId="77777777" w:rsidR="00446CC7" w:rsidRPr="007D0AA8" w:rsidRDefault="00446CC7" w:rsidP="00331FB9">
      <w:pPr>
        <w:pStyle w:val="ListParagraph"/>
        <w:numPr>
          <w:ilvl w:val="0"/>
          <w:numId w:val="13"/>
        </w:numPr>
        <w:spacing w:after="200" w:line="276" w:lineRule="auto"/>
        <w:ind w:left="426" w:right="662"/>
        <w:contextualSpacing/>
        <w:rPr>
          <w:rFonts w:asciiTheme="minorHAnsi" w:hAnsiTheme="minorHAnsi" w:cstheme="minorHAnsi"/>
        </w:rPr>
      </w:pPr>
      <w:r w:rsidRPr="007D0AA8">
        <w:rPr>
          <w:rFonts w:asciiTheme="minorHAnsi" w:hAnsiTheme="minorHAnsi" w:cstheme="minorHAnsi"/>
        </w:rPr>
        <w:t>Non‐Hodgkin lymphoma (NHL)</w:t>
      </w:r>
    </w:p>
    <w:p w14:paraId="112C541C" w14:textId="77777777" w:rsidR="00446CC7" w:rsidRPr="007D0AA8" w:rsidRDefault="00446CC7" w:rsidP="00331FB9">
      <w:pPr>
        <w:pStyle w:val="ListParagraph"/>
        <w:numPr>
          <w:ilvl w:val="0"/>
          <w:numId w:val="13"/>
        </w:numPr>
        <w:spacing w:after="0" w:line="276" w:lineRule="auto"/>
        <w:ind w:left="426" w:right="662"/>
        <w:contextualSpacing/>
        <w:rPr>
          <w:rFonts w:asciiTheme="minorHAnsi" w:hAnsiTheme="minorHAnsi" w:cstheme="minorHAnsi"/>
        </w:rPr>
      </w:pPr>
      <w:r w:rsidRPr="007D0AA8">
        <w:rPr>
          <w:rFonts w:asciiTheme="minorHAnsi" w:hAnsiTheme="minorHAnsi" w:cstheme="minorHAnsi"/>
        </w:rPr>
        <w:lastRenderedPageBreak/>
        <w:t>Other Haematological malignancy</w:t>
      </w:r>
    </w:p>
    <w:p w14:paraId="6CA36274" w14:textId="77777777" w:rsidR="00446CC7" w:rsidRPr="007D0AA8" w:rsidRDefault="00446CC7" w:rsidP="00446CC7">
      <w:pPr>
        <w:spacing w:after="0"/>
        <w:ind w:left="425" w:right="663"/>
        <w:rPr>
          <w:rFonts w:asciiTheme="minorHAnsi" w:hAnsiTheme="minorHAnsi" w:cstheme="minorHAnsi"/>
        </w:rPr>
      </w:pPr>
      <w:r w:rsidRPr="007D0AA8">
        <w:rPr>
          <w:rFonts w:asciiTheme="minorHAnsi" w:hAnsiTheme="minorHAnsi" w:cstheme="minorHAnsi"/>
        </w:rPr>
        <w:t>[Diagnosis of haematological malignancies should be according to the criteria of the current World Health Organization (WHO) classification</w:t>
      </w:r>
      <w:r w:rsidRPr="007D0AA8">
        <w:rPr>
          <w:rStyle w:val="FootnoteReference"/>
          <w:rFonts w:asciiTheme="minorHAnsi" w:hAnsiTheme="minorHAnsi" w:cstheme="minorHAnsi"/>
        </w:rPr>
        <w:footnoteReference w:id="4"/>
      </w:r>
      <w:r w:rsidRPr="007D0AA8">
        <w:rPr>
          <w:rFonts w:asciiTheme="minorHAnsi" w:hAnsiTheme="minorHAnsi" w:cstheme="minorHAnsi"/>
        </w:rPr>
        <w:t>.  ]</w:t>
      </w:r>
    </w:p>
    <w:p w14:paraId="5304E364" w14:textId="1259BB8B" w:rsidR="00446CC7" w:rsidRPr="007D0AA8" w:rsidRDefault="00446CC7" w:rsidP="00331FB9">
      <w:pPr>
        <w:pStyle w:val="ListParagraph"/>
        <w:numPr>
          <w:ilvl w:val="0"/>
          <w:numId w:val="13"/>
        </w:numPr>
        <w:spacing w:after="200" w:line="276" w:lineRule="auto"/>
        <w:ind w:left="426" w:right="662"/>
        <w:contextualSpacing/>
        <w:rPr>
          <w:rFonts w:asciiTheme="minorHAnsi" w:hAnsiTheme="minorHAnsi" w:cstheme="minorHAnsi"/>
        </w:rPr>
      </w:pPr>
      <w:r w:rsidRPr="007D0AA8">
        <w:rPr>
          <w:rFonts w:asciiTheme="minorHAnsi" w:hAnsiTheme="minorHAnsi" w:cstheme="minorHAnsi"/>
        </w:rPr>
        <w:t>Memory B cell deficiency secondary to HSCT</w:t>
      </w:r>
      <w:r w:rsidR="008F7E5D">
        <w:rPr>
          <w:rFonts w:asciiTheme="minorHAnsi" w:hAnsiTheme="minorHAnsi" w:cstheme="minorHAnsi"/>
        </w:rPr>
        <w:t>.</w:t>
      </w:r>
    </w:p>
    <w:p w14:paraId="7D9458DA" w14:textId="644D225D" w:rsidR="00446CC7" w:rsidRPr="007D0AA8" w:rsidRDefault="00903A7D" w:rsidP="00446CC7">
      <w:pPr>
        <w:rPr>
          <w:rFonts w:asciiTheme="minorHAnsi" w:hAnsiTheme="minorHAnsi" w:cstheme="minorHAnsi"/>
        </w:rPr>
      </w:pPr>
      <w:r w:rsidRPr="00B27BF8">
        <w:rPr>
          <w:rFonts w:asciiTheme="minorHAnsi" w:hAnsiTheme="minorHAnsi" w:cstheme="minorHAnsi"/>
        </w:rPr>
        <w:t xml:space="preserve">The target population is identified by symptoms but covers different underlying haematological malignancies each characterised by low IgG levels. </w:t>
      </w:r>
      <w:r w:rsidR="00446CC7" w:rsidRPr="007D0AA8">
        <w:rPr>
          <w:rFonts w:asciiTheme="minorHAnsi" w:hAnsiTheme="minorHAnsi" w:cstheme="minorHAnsi"/>
        </w:rPr>
        <w:t>Patients with each condition will differ in clinical characteristics, treatments for underlying disease and prognosis. There are different baseline risks of infection (higher in acute leukaemia and post-HSCT patients) and consequently, a difference in infection treatments among the above conditions. In addition, the baseline risk of intensive care admission is greater for post-HSCT patients than for the other specific conditions. The way in which hypogammaglobulinaemia is diagnosed and treated</w:t>
      </w:r>
      <w:r w:rsidR="00446CC7" w:rsidRPr="00386411">
        <w:rPr>
          <w:rFonts w:asciiTheme="minorHAnsi" w:hAnsiTheme="minorHAnsi" w:cstheme="minorHAnsi"/>
          <w:b/>
        </w:rPr>
        <w:t xml:space="preserve"> </w:t>
      </w:r>
      <w:r w:rsidR="00446CC7" w:rsidRPr="007D0AA8">
        <w:rPr>
          <w:rFonts w:asciiTheme="minorHAnsi" w:hAnsiTheme="minorHAnsi" w:cstheme="minorHAnsi"/>
        </w:rPr>
        <w:t xml:space="preserve">(with or without access to IgG) is common across the patients in this indication.  </w:t>
      </w:r>
    </w:p>
    <w:p w14:paraId="3F21A81E" w14:textId="77777777" w:rsidR="00446CC7" w:rsidRPr="007D0AA8" w:rsidRDefault="00446CC7" w:rsidP="00446CC7">
      <w:pPr>
        <w:rPr>
          <w:rFonts w:asciiTheme="minorHAnsi" w:hAnsiTheme="minorHAnsi" w:cstheme="minorHAnsi"/>
        </w:rPr>
      </w:pPr>
      <w:r w:rsidRPr="007D0AA8">
        <w:rPr>
          <w:rFonts w:asciiTheme="minorHAnsi" w:hAnsiTheme="minorHAnsi" w:cstheme="minorHAnsi"/>
        </w:rPr>
        <w:t>The</w:t>
      </w:r>
      <w:r w:rsidRPr="007D0AA8">
        <w:rPr>
          <w:rFonts w:asciiTheme="minorHAnsi" w:hAnsiTheme="minorHAnsi" w:cstheme="minorHAnsi"/>
          <w:i/>
        </w:rPr>
        <w:t xml:space="preserve"> Criteria Version 3 </w:t>
      </w:r>
      <w:r w:rsidRPr="007D0AA8">
        <w:rPr>
          <w:rFonts w:asciiTheme="minorHAnsi" w:hAnsiTheme="minorHAnsi" w:cstheme="minorHAnsi"/>
        </w:rPr>
        <w:t>provide for IgG supply as follows:</w:t>
      </w:r>
    </w:p>
    <w:p w14:paraId="093B69BC" w14:textId="4AE9E102" w:rsidR="00446CC7" w:rsidRPr="007D0AA8" w:rsidRDefault="00446CC7" w:rsidP="00331FB9">
      <w:pPr>
        <w:pStyle w:val="ListParagraph"/>
        <w:numPr>
          <w:ilvl w:val="0"/>
          <w:numId w:val="14"/>
        </w:numPr>
        <w:spacing w:after="200" w:line="276" w:lineRule="auto"/>
        <w:ind w:left="426"/>
        <w:contextualSpacing/>
        <w:rPr>
          <w:rFonts w:asciiTheme="minorHAnsi" w:hAnsiTheme="minorHAnsi" w:cstheme="minorHAnsi"/>
        </w:rPr>
      </w:pPr>
      <w:r w:rsidRPr="007D0AA8">
        <w:rPr>
          <w:rFonts w:asciiTheme="minorHAnsi" w:hAnsiTheme="minorHAnsi" w:cstheme="minorHAnsi"/>
        </w:rPr>
        <w:t>Patients with serum IgG less than 4</w:t>
      </w:r>
      <w:r w:rsidR="008F7E5D">
        <w:rPr>
          <w:rFonts w:asciiTheme="minorHAnsi" w:hAnsiTheme="minorHAnsi" w:cstheme="minorHAnsi"/>
        </w:rPr>
        <w:t xml:space="preserve"> </w:t>
      </w:r>
      <w:r w:rsidRPr="007D0AA8">
        <w:rPr>
          <w:rFonts w:asciiTheme="minorHAnsi" w:hAnsiTheme="minorHAnsi" w:cstheme="minorHAnsi"/>
        </w:rPr>
        <w:t xml:space="preserve">g/L regardless of episodes of infection or antibiotic use. </w:t>
      </w:r>
    </w:p>
    <w:p w14:paraId="4753F4D0" w14:textId="6D1F4F82" w:rsidR="00446CC7" w:rsidRPr="007D0AA8" w:rsidRDefault="00446CC7" w:rsidP="00331FB9">
      <w:pPr>
        <w:pStyle w:val="ListParagraph"/>
        <w:numPr>
          <w:ilvl w:val="0"/>
          <w:numId w:val="14"/>
        </w:numPr>
        <w:spacing w:after="200" w:line="276" w:lineRule="auto"/>
        <w:ind w:left="426"/>
        <w:contextualSpacing/>
        <w:rPr>
          <w:rFonts w:asciiTheme="minorHAnsi" w:hAnsiTheme="minorHAnsi" w:cstheme="minorHAnsi"/>
        </w:rPr>
      </w:pPr>
      <w:r w:rsidRPr="007D0AA8">
        <w:rPr>
          <w:rFonts w:asciiTheme="minorHAnsi" w:hAnsiTheme="minorHAnsi" w:cstheme="minorHAnsi"/>
        </w:rPr>
        <w:t>Patients with serum IgG greater than 4</w:t>
      </w:r>
      <w:r w:rsidR="008F7E5D">
        <w:rPr>
          <w:rFonts w:asciiTheme="minorHAnsi" w:hAnsiTheme="minorHAnsi" w:cstheme="minorHAnsi"/>
        </w:rPr>
        <w:t xml:space="preserve"> </w:t>
      </w:r>
      <w:r w:rsidRPr="007D0AA8">
        <w:rPr>
          <w:rFonts w:asciiTheme="minorHAnsi" w:hAnsiTheme="minorHAnsi" w:cstheme="minorHAnsi"/>
        </w:rPr>
        <w:t>g/L, IF serum IgG is less than the lower limit of the age-related reference range, AND the patient has had either (1) at least one life-threatening infection in the last 12 months, or (2) two serious infections in the last six months requiring more than standard courses of antibiotics.</w:t>
      </w:r>
      <w:r w:rsidR="00B17280">
        <w:rPr>
          <w:rFonts w:asciiTheme="minorHAnsi" w:hAnsiTheme="minorHAnsi" w:cstheme="minorHAnsi"/>
        </w:rPr>
        <w:tab/>
      </w:r>
      <w:r w:rsidRPr="007D0AA8">
        <w:rPr>
          <w:rFonts w:asciiTheme="minorHAnsi" w:hAnsiTheme="minorHAnsi" w:cstheme="minorHAnsi"/>
        </w:rPr>
        <w:br/>
        <w:t>[Serum IgG refers to values excluding paraprotein]</w:t>
      </w:r>
    </w:p>
    <w:p w14:paraId="004F64BC" w14:textId="77777777" w:rsidR="00903A7D" w:rsidRPr="00903A7D" w:rsidRDefault="00903A7D" w:rsidP="00903A7D">
      <w:pPr>
        <w:spacing w:after="200" w:line="276" w:lineRule="auto"/>
        <w:ind w:left="66"/>
        <w:contextualSpacing/>
        <w:rPr>
          <w:rFonts w:asciiTheme="minorHAnsi" w:hAnsiTheme="minorHAnsi" w:cstheme="minorHAnsi"/>
        </w:rPr>
      </w:pPr>
      <w:bookmarkStart w:id="58" w:name="_Toc395200744"/>
      <w:bookmarkStart w:id="59" w:name="_Toc379118249"/>
      <w:bookmarkStart w:id="60" w:name="_Toc381796433"/>
      <w:bookmarkEnd w:id="47"/>
      <w:bookmarkEnd w:id="48"/>
      <w:bookmarkEnd w:id="49"/>
    </w:p>
    <w:p w14:paraId="00D841F0" w14:textId="77777777" w:rsidR="00903A7D" w:rsidRPr="00D72EE3" w:rsidRDefault="00903A7D" w:rsidP="00903A7D">
      <w:pPr>
        <w:rPr>
          <w:rFonts w:asciiTheme="minorHAnsi" w:hAnsiTheme="minorHAnsi" w:cstheme="minorHAnsi"/>
        </w:rPr>
      </w:pPr>
      <w:r w:rsidRPr="00B27BF8">
        <w:rPr>
          <w:rFonts w:asciiTheme="minorHAnsi" w:hAnsiTheme="minorHAnsi" w:cstheme="minorHAnsi"/>
        </w:rPr>
        <w:t xml:space="preserve">The Ig Review Reference Group noted that a literature search should include a broad definition of the population not constrained by these </w:t>
      </w:r>
      <w:r>
        <w:rPr>
          <w:rFonts w:asciiTheme="minorHAnsi" w:hAnsiTheme="minorHAnsi" w:cstheme="minorHAnsi"/>
        </w:rPr>
        <w:t>criteria for access</w:t>
      </w:r>
      <w:r w:rsidRPr="00B27BF8">
        <w:rPr>
          <w:rFonts w:asciiTheme="minorHAnsi" w:hAnsiTheme="minorHAnsi" w:cstheme="minorHAnsi"/>
        </w:rPr>
        <w:t xml:space="preserve"> (limited to the haematological malignancies above). </w:t>
      </w:r>
    </w:p>
    <w:p w14:paraId="3D4D6B1A" w14:textId="77777777" w:rsidR="00753141" w:rsidRPr="00386411" w:rsidRDefault="005602D3" w:rsidP="009F7373">
      <w:pPr>
        <w:pStyle w:val="Heading3"/>
      </w:pPr>
      <w:bookmarkStart w:id="61" w:name="_Toc14431103"/>
      <w:bookmarkStart w:id="62" w:name="_Toc16856271"/>
      <w:r w:rsidRPr="00386411">
        <w:t xml:space="preserve">Comparator </w:t>
      </w:r>
      <w:r w:rsidR="00630910" w:rsidRPr="00386411">
        <w:t>D</w:t>
      </w:r>
      <w:r w:rsidRPr="00386411">
        <w:t>etail</w:t>
      </w:r>
      <w:r w:rsidR="00753141" w:rsidRPr="00386411">
        <w:t>s</w:t>
      </w:r>
      <w:bookmarkEnd w:id="58"/>
      <w:bookmarkEnd w:id="61"/>
      <w:bookmarkEnd w:id="62"/>
      <w:r w:rsidRPr="00386411">
        <w:t xml:space="preserve"> </w:t>
      </w:r>
    </w:p>
    <w:p w14:paraId="37AAB264" w14:textId="510F5A36" w:rsidR="0003386F" w:rsidRPr="007D0AA8" w:rsidRDefault="00B62DFD" w:rsidP="00DC1CE6">
      <w:pPr>
        <w:spacing w:after="200" w:line="276" w:lineRule="auto"/>
        <w:rPr>
          <w:rFonts w:eastAsia="Calibri"/>
        </w:rPr>
      </w:pPr>
      <w:r w:rsidRPr="007D0AA8">
        <w:rPr>
          <w:rFonts w:eastAsia="Calibri" w:cs="Times New Roman"/>
          <w:lang w:eastAsia="en-US"/>
        </w:rPr>
        <w:t xml:space="preserve">The comparator is defined in the ratified PICO Confirmation as ‘No IgG access; with or without antibiotics’. </w:t>
      </w:r>
      <w:r w:rsidR="0003386F" w:rsidRPr="007D0AA8">
        <w:rPr>
          <w:rFonts w:eastAsia="Calibri"/>
          <w:lang w:eastAsia="en-US"/>
        </w:rPr>
        <w:t xml:space="preserve">The Ig Review Reference Group advised oral trimethoprim + sulfamethoxazole (sometimes called co-trimoxazole) would be the first line antibiotic </w:t>
      </w:r>
      <w:r w:rsidR="00903A7D">
        <w:rPr>
          <w:rFonts w:eastAsia="Calibri"/>
          <w:lang w:eastAsia="en-US"/>
        </w:rPr>
        <w:t>for prophylaxis against infections</w:t>
      </w:r>
      <w:r w:rsidR="0003386F" w:rsidRPr="007D0AA8">
        <w:rPr>
          <w:rFonts w:eastAsia="Calibri"/>
          <w:lang w:eastAsia="en-US"/>
        </w:rPr>
        <w:t xml:space="preserve">. This combination has a very broad TGA indication and is available on the Pharmaceutical Benefits Scheme </w:t>
      </w:r>
      <w:r w:rsidR="0003386F" w:rsidRPr="007D0AA8">
        <w:rPr>
          <w:rFonts w:eastAsia="Calibri"/>
        </w:rPr>
        <w:t>(PBS) (</w:t>
      </w:r>
      <w:r w:rsidR="007F27D7" w:rsidRPr="007D0AA8">
        <w:rPr>
          <w:rFonts w:eastAsia="Calibri"/>
        </w:rPr>
        <w:fldChar w:fldCharType="begin"/>
      </w:r>
      <w:r w:rsidR="007F27D7" w:rsidRPr="007D0AA8">
        <w:rPr>
          <w:rFonts w:eastAsia="Calibri"/>
        </w:rPr>
        <w:instrText xml:space="preserve"> REF _Ref10225080 \h  \* MERGEFORMAT </w:instrText>
      </w:r>
      <w:r w:rsidR="007F27D7" w:rsidRPr="007D0AA8">
        <w:rPr>
          <w:rFonts w:eastAsia="Calibri"/>
        </w:rPr>
      </w:r>
      <w:r w:rsidR="007F27D7" w:rsidRPr="007D0AA8">
        <w:rPr>
          <w:rFonts w:eastAsia="Calibri"/>
        </w:rPr>
        <w:fldChar w:fldCharType="separate"/>
      </w:r>
      <w:r w:rsidR="00A7463B" w:rsidRPr="00A7463B">
        <w:t>Table 2</w:t>
      </w:r>
      <w:r w:rsidR="007F27D7" w:rsidRPr="007D0AA8">
        <w:rPr>
          <w:rFonts w:eastAsia="Calibri"/>
        </w:rPr>
        <w:fldChar w:fldCharType="end"/>
      </w:r>
      <w:r w:rsidR="0003386F" w:rsidRPr="007D0AA8">
        <w:rPr>
          <w:rFonts w:eastAsia="Calibri"/>
        </w:rPr>
        <w:t xml:space="preserve">). </w:t>
      </w:r>
    </w:p>
    <w:p w14:paraId="7B2AFB0F" w14:textId="044399C6" w:rsidR="007F27D7" w:rsidRPr="00386411" w:rsidRDefault="007F27D7" w:rsidP="003876FD">
      <w:pPr>
        <w:pStyle w:val="Caption"/>
        <w:keepNext/>
        <w:rPr>
          <w:lang w:val="en-GB" w:eastAsia="ja-JP"/>
        </w:rPr>
      </w:pPr>
      <w:bookmarkStart w:id="63" w:name="_Ref10225080"/>
      <w:bookmarkStart w:id="64" w:name="_Toc14429545"/>
      <w:bookmarkStart w:id="65" w:name="_Toc16671600"/>
      <w:r w:rsidRPr="00386411">
        <w:rPr>
          <w:lang w:val="en-GB" w:eastAsia="ja-JP"/>
        </w:rPr>
        <w:lastRenderedPageBreak/>
        <w:t xml:space="preserve">Table </w:t>
      </w:r>
      <w:r w:rsidRPr="00386411">
        <w:rPr>
          <w:lang w:val="en-GB" w:eastAsia="ja-JP"/>
        </w:rPr>
        <w:fldChar w:fldCharType="begin"/>
      </w:r>
      <w:r w:rsidRPr="00386411">
        <w:rPr>
          <w:lang w:val="en-GB" w:eastAsia="ja-JP"/>
        </w:rPr>
        <w:instrText xml:space="preserve"> SEQ Table \* ARABIC </w:instrText>
      </w:r>
      <w:r w:rsidRPr="00386411">
        <w:rPr>
          <w:lang w:val="en-GB" w:eastAsia="ja-JP"/>
        </w:rPr>
        <w:fldChar w:fldCharType="separate"/>
      </w:r>
      <w:r w:rsidR="00A7463B">
        <w:rPr>
          <w:noProof/>
          <w:lang w:val="en-GB" w:eastAsia="ja-JP"/>
        </w:rPr>
        <w:t>2</w:t>
      </w:r>
      <w:r w:rsidRPr="00386411">
        <w:rPr>
          <w:noProof/>
          <w:lang w:val="en-GB" w:eastAsia="ja-JP"/>
        </w:rPr>
        <w:fldChar w:fldCharType="end"/>
      </w:r>
      <w:bookmarkEnd w:id="63"/>
      <w:r w:rsidR="006252C4">
        <w:rPr>
          <w:noProof/>
          <w:lang w:val="en-GB" w:eastAsia="ja-JP"/>
        </w:rPr>
        <w:tab/>
      </w:r>
      <w:r w:rsidR="009F34B1">
        <w:rPr>
          <w:noProof/>
          <w:lang w:val="en-GB" w:eastAsia="ja-JP"/>
        </w:rPr>
        <w:tab/>
      </w:r>
      <w:r w:rsidRPr="00386411">
        <w:rPr>
          <w:lang w:val="en-GB" w:eastAsia="ja-JP"/>
        </w:rPr>
        <w:t>Relevant trimethoprim + sulfamethoxazole listings on the PBS</w:t>
      </w:r>
      <w:bookmarkEnd w:id="64"/>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1223"/>
        <w:gridCol w:w="971"/>
        <w:gridCol w:w="960"/>
        <w:gridCol w:w="810"/>
        <w:gridCol w:w="854"/>
        <w:gridCol w:w="700"/>
        <w:gridCol w:w="1101"/>
      </w:tblGrid>
      <w:tr w:rsidR="0003386F" w:rsidRPr="00386411" w14:paraId="3A6CAAF8" w14:textId="77777777" w:rsidTr="007F27D7">
        <w:tc>
          <w:tcPr>
            <w:tcW w:w="2397" w:type="dxa"/>
            <w:shd w:val="clear" w:color="auto" w:fill="auto"/>
          </w:tcPr>
          <w:p w14:paraId="1DE548FC" w14:textId="77777777" w:rsidR="0003386F" w:rsidRPr="00386411" w:rsidRDefault="0003386F" w:rsidP="009F48B5">
            <w:pPr>
              <w:keepNext/>
              <w:spacing w:after="0"/>
              <w:rPr>
                <w:rFonts w:ascii="Arial Narrow" w:eastAsia="Calibri" w:hAnsi="Arial Narrow"/>
                <w:b/>
                <w:sz w:val="20"/>
                <w:lang w:eastAsia="en-US"/>
              </w:rPr>
            </w:pPr>
            <w:r w:rsidRPr="00386411">
              <w:rPr>
                <w:rFonts w:ascii="Arial Narrow" w:eastAsia="Calibri" w:hAnsi="Arial Narrow"/>
                <w:b/>
                <w:sz w:val="20"/>
                <w:lang w:eastAsia="en-US"/>
              </w:rPr>
              <w:t>Strengths</w:t>
            </w:r>
          </w:p>
        </w:tc>
        <w:tc>
          <w:tcPr>
            <w:tcW w:w="1223" w:type="dxa"/>
            <w:shd w:val="clear" w:color="auto" w:fill="auto"/>
          </w:tcPr>
          <w:p w14:paraId="002DBA73" w14:textId="77777777" w:rsidR="0003386F" w:rsidRPr="00386411" w:rsidRDefault="0003386F" w:rsidP="009F48B5">
            <w:pPr>
              <w:keepNext/>
              <w:spacing w:after="0"/>
              <w:rPr>
                <w:rFonts w:ascii="Arial Narrow" w:eastAsia="Calibri" w:hAnsi="Arial Narrow"/>
                <w:b/>
                <w:sz w:val="20"/>
                <w:lang w:eastAsia="en-US"/>
              </w:rPr>
            </w:pPr>
            <w:r w:rsidRPr="00386411">
              <w:rPr>
                <w:rFonts w:ascii="Arial Narrow" w:eastAsia="Calibri" w:hAnsi="Arial Narrow"/>
                <w:b/>
                <w:sz w:val="20"/>
                <w:lang w:eastAsia="en-US"/>
              </w:rPr>
              <w:t>Brands</w:t>
            </w:r>
          </w:p>
        </w:tc>
        <w:tc>
          <w:tcPr>
            <w:tcW w:w="971" w:type="dxa"/>
            <w:shd w:val="clear" w:color="auto" w:fill="auto"/>
          </w:tcPr>
          <w:p w14:paraId="75568B84" w14:textId="77777777" w:rsidR="0003386F" w:rsidRPr="00386411" w:rsidRDefault="0003386F" w:rsidP="009F48B5">
            <w:pPr>
              <w:keepNext/>
              <w:spacing w:after="0"/>
              <w:rPr>
                <w:rFonts w:ascii="Arial Narrow" w:eastAsia="Calibri" w:hAnsi="Arial Narrow"/>
                <w:b/>
                <w:sz w:val="20"/>
                <w:lang w:eastAsia="en-US"/>
              </w:rPr>
            </w:pPr>
            <w:r w:rsidRPr="00386411">
              <w:rPr>
                <w:rFonts w:ascii="Arial Narrow" w:eastAsia="Calibri" w:hAnsi="Arial Narrow"/>
                <w:b/>
                <w:sz w:val="20"/>
                <w:lang w:eastAsia="en-US"/>
              </w:rPr>
              <w:t>Dosage form</w:t>
            </w:r>
          </w:p>
        </w:tc>
        <w:tc>
          <w:tcPr>
            <w:tcW w:w="960" w:type="dxa"/>
            <w:shd w:val="clear" w:color="auto" w:fill="auto"/>
          </w:tcPr>
          <w:p w14:paraId="14333A92" w14:textId="77777777" w:rsidR="0003386F" w:rsidRPr="00386411" w:rsidRDefault="0003386F" w:rsidP="009F48B5">
            <w:pPr>
              <w:keepNext/>
              <w:spacing w:after="0"/>
              <w:rPr>
                <w:rFonts w:ascii="Arial Narrow" w:eastAsia="Calibri" w:hAnsi="Arial Narrow"/>
                <w:b/>
                <w:sz w:val="20"/>
                <w:lang w:eastAsia="en-US"/>
              </w:rPr>
            </w:pPr>
            <w:r w:rsidRPr="00386411">
              <w:rPr>
                <w:rFonts w:ascii="Arial Narrow" w:eastAsia="Calibri" w:hAnsi="Arial Narrow"/>
                <w:b/>
                <w:sz w:val="20"/>
                <w:lang w:eastAsia="en-US"/>
              </w:rPr>
              <w:t>Pack size</w:t>
            </w:r>
          </w:p>
        </w:tc>
        <w:tc>
          <w:tcPr>
            <w:tcW w:w="810" w:type="dxa"/>
            <w:shd w:val="clear" w:color="auto" w:fill="auto"/>
          </w:tcPr>
          <w:p w14:paraId="0C5ABF65" w14:textId="77777777" w:rsidR="0003386F" w:rsidRPr="00386411" w:rsidRDefault="0003386F" w:rsidP="009F48B5">
            <w:pPr>
              <w:keepNext/>
              <w:spacing w:after="0"/>
              <w:rPr>
                <w:rFonts w:ascii="Arial Narrow" w:eastAsia="Calibri" w:hAnsi="Arial Narrow"/>
                <w:b/>
                <w:sz w:val="20"/>
                <w:lang w:eastAsia="en-US"/>
              </w:rPr>
            </w:pPr>
            <w:r w:rsidRPr="00386411">
              <w:rPr>
                <w:rFonts w:ascii="Arial Narrow" w:eastAsia="Calibri" w:hAnsi="Arial Narrow"/>
                <w:b/>
                <w:sz w:val="20"/>
                <w:lang w:eastAsia="en-US"/>
              </w:rPr>
              <w:t>Max Qty</w:t>
            </w:r>
          </w:p>
        </w:tc>
        <w:tc>
          <w:tcPr>
            <w:tcW w:w="854" w:type="dxa"/>
            <w:shd w:val="clear" w:color="auto" w:fill="auto"/>
          </w:tcPr>
          <w:p w14:paraId="106D3CB1" w14:textId="77777777" w:rsidR="0003386F" w:rsidRPr="00386411" w:rsidRDefault="0003386F" w:rsidP="009F48B5">
            <w:pPr>
              <w:keepNext/>
              <w:spacing w:after="0"/>
              <w:rPr>
                <w:rFonts w:ascii="Arial Narrow" w:eastAsia="Calibri" w:hAnsi="Arial Narrow"/>
                <w:b/>
                <w:sz w:val="20"/>
                <w:lang w:eastAsia="en-US"/>
              </w:rPr>
            </w:pPr>
            <w:r w:rsidRPr="00386411">
              <w:rPr>
                <w:rFonts w:ascii="Arial Narrow" w:eastAsia="Calibri" w:hAnsi="Arial Narrow"/>
                <w:b/>
                <w:sz w:val="20"/>
                <w:lang w:eastAsia="en-US"/>
              </w:rPr>
              <w:t>Repeats</w:t>
            </w:r>
          </w:p>
        </w:tc>
        <w:tc>
          <w:tcPr>
            <w:tcW w:w="700" w:type="dxa"/>
            <w:shd w:val="clear" w:color="auto" w:fill="auto"/>
          </w:tcPr>
          <w:p w14:paraId="49BE1237" w14:textId="77777777" w:rsidR="0003386F" w:rsidRPr="00386411" w:rsidRDefault="0003386F" w:rsidP="009F48B5">
            <w:pPr>
              <w:keepNext/>
              <w:spacing w:after="0"/>
              <w:rPr>
                <w:rFonts w:ascii="Arial Narrow" w:eastAsia="Calibri" w:hAnsi="Arial Narrow"/>
                <w:b/>
                <w:sz w:val="20"/>
                <w:lang w:eastAsia="en-US"/>
              </w:rPr>
            </w:pPr>
            <w:r w:rsidRPr="00386411">
              <w:rPr>
                <w:rFonts w:ascii="Arial Narrow" w:eastAsia="Calibri" w:hAnsi="Arial Narrow"/>
                <w:b/>
                <w:sz w:val="20"/>
                <w:lang w:eastAsia="en-US"/>
              </w:rPr>
              <w:t>Item #</w:t>
            </w:r>
          </w:p>
        </w:tc>
        <w:tc>
          <w:tcPr>
            <w:tcW w:w="1101" w:type="dxa"/>
            <w:shd w:val="clear" w:color="auto" w:fill="auto"/>
          </w:tcPr>
          <w:p w14:paraId="1BCD9F80" w14:textId="77777777" w:rsidR="0003386F" w:rsidRPr="00386411" w:rsidRDefault="0003386F" w:rsidP="009F48B5">
            <w:pPr>
              <w:keepNext/>
              <w:spacing w:after="0"/>
              <w:rPr>
                <w:rFonts w:ascii="Arial Narrow" w:eastAsia="Calibri" w:hAnsi="Arial Narrow"/>
                <w:b/>
                <w:sz w:val="20"/>
                <w:lang w:eastAsia="en-US"/>
              </w:rPr>
            </w:pPr>
            <w:r w:rsidRPr="00386411">
              <w:rPr>
                <w:rFonts w:ascii="Arial Narrow" w:eastAsia="Calibri" w:hAnsi="Arial Narrow"/>
                <w:b/>
                <w:sz w:val="20"/>
                <w:lang w:eastAsia="en-US"/>
              </w:rPr>
              <w:t>PBS Benefit Type</w:t>
            </w:r>
          </w:p>
        </w:tc>
      </w:tr>
      <w:tr w:rsidR="0003386F" w:rsidRPr="007D0AA8" w14:paraId="268BE8AA" w14:textId="77777777" w:rsidTr="007F27D7">
        <w:tc>
          <w:tcPr>
            <w:tcW w:w="2397" w:type="dxa"/>
            <w:shd w:val="clear" w:color="auto" w:fill="auto"/>
          </w:tcPr>
          <w:p w14:paraId="75E7D225" w14:textId="77777777" w:rsidR="0003386F" w:rsidRPr="007D0AA8" w:rsidRDefault="0003386F" w:rsidP="009F48B5">
            <w:pPr>
              <w:keepNext/>
              <w:spacing w:after="0"/>
              <w:rPr>
                <w:rFonts w:ascii="Arial Narrow" w:eastAsia="Calibri" w:hAnsi="Arial Narrow"/>
                <w:sz w:val="20"/>
                <w:lang w:eastAsia="en-US"/>
              </w:rPr>
            </w:pPr>
            <w:r w:rsidRPr="007D0AA8">
              <w:rPr>
                <w:rFonts w:ascii="Arial Narrow" w:eastAsia="Calibri" w:hAnsi="Arial Narrow"/>
                <w:sz w:val="20"/>
                <w:lang w:eastAsia="en-US"/>
              </w:rPr>
              <w:t>trimethoprim 160mg + sulfamethoxazole 800mg</w:t>
            </w:r>
          </w:p>
        </w:tc>
        <w:tc>
          <w:tcPr>
            <w:tcW w:w="1223" w:type="dxa"/>
            <w:shd w:val="clear" w:color="auto" w:fill="auto"/>
          </w:tcPr>
          <w:p w14:paraId="5975BE6A" w14:textId="77777777" w:rsidR="0003386F" w:rsidRPr="007D0AA8" w:rsidRDefault="0003386F" w:rsidP="009F48B5">
            <w:pPr>
              <w:keepNext/>
              <w:spacing w:after="0"/>
              <w:rPr>
                <w:rFonts w:ascii="Arial Narrow" w:eastAsia="Calibri" w:hAnsi="Arial Narrow"/>
                <w:sz w:val="20"/>
                <w:lang w:eastAsia="en-US"/>
              </w:rPr>
            </w:pPr>
            <w:r w:rsidRPr="007D0AA8">
              <w:rPr>
                <w:rFonts w:ascii="Arial Narrow" w:eastAsia="Calibri" w:hAnsi="Arial Narrow"/>
                <w:sz w:val="20"/>
                <w:lang w:eastAsia="en-US"/>
              </w:rPr>
              <w:t>Resprim Forte</w:t>
            </w:r>
          </w:p>
          <w:p w14:paraId="1516D4C8" w14:textId="77777777" w:rsidR="0003386F" w:rsidRPr="007D0AA8" w:rsidRDefault="0003386F" w:rsidP="009F48B5">
            <w:pPr>
              <w:keepNext/>
              <w:spacing w:after="0"/>
              <w:rPr>
                <w:rFonts w:ascii="Arial Narrow" w:eastAsia="Calibri" w:hAnsi="Arial Narrow"/>
                <w:sz w:val="20"/>
                <w:lang w:eastAsia="en-US"/>
              </w:rPr>
            </w:pPr>
            <w:r w:rsidRPr="007D0AA8">
              <w:rPr>
                <w:rFonts w:ascii="Arial Narrow" w:eastAsia="Calibri" w:hAnsi="Arial Narrow"/>
                <w:sz w:val="20"/>
                <w:lang w:eastAsia="en-US"/>
              </w:rPr>
              <w:t>Septrin Forte</w:t>
            </w:r>
          </w:p>
          <w:p w14:paraId="27EDC231" w14:textId="77777777" w:rsidR="0003386F" w:rsidRPr="007D0AA8" w:rsidRDefault="0003386F" w:rsidP="009F48B5">
            <w:pPr>
              <w:keepNext/>
              <w:spacing w:after="0"/>
              <w:rPr>
                <w:rFonts w:ascii="Arial Narrow" w:eastAsia="Calibri" w:hAnsi="Arial Narrow"/>
                <w:sz w:val="20"/>
                <w:lang w:eastAsia="en-US"/>
              </w:rPr>
            </w:pPr>
            <w:r w:rsidRPr="007D0AA8">
              <w:rPr>
                <w:rFonts w:ascii="Arial Narrow" w:eastAsia="Calibri" w:hAnsi="Arial Narrow"/>
                <w:sz w:val="20"/>
                <w:lang w:eastAsia="en-US"/>
              </w:rPr>
              <w:t>Bactrim DS</w:t>
            </w:r>
          </w:p>
        </w:tc>
        <w:tc>
          <w:tcPr>
            <w:tcW w:w="971" w:type="dxa"/>
            <w:shd w:val="clear" w:color="auto" w:fill="auto"/>
          </w:tcPr>
          <w:p w14:paraId="673F9ADB" w14:textId="77777777" w:rsidR="0003386F" w:rsidRPr="007D0AA8" w:rsidRDefault="0003386F" w:rsidP="009F48B5">
            <w:pPr>
              <w:keepNext/>
              <w:spacing w:after="0"/>
              <w:rPr>
                <w:rFonts w:ascii="Arial Narrow" w:eastAsia="Calibri" w:hAnsi="Arial Narrow"/>
                <w:sz w:val="20"/>
                <w:lang w:eastAsia="en-US"/>
              </w:rPr>
            </w:pPr>
            <w:r w:rsidRPr="007D0AA8">
              <w:rPr>
                <w:rFonts w:ascii="Arial Narrow" w:eastAsia="Calibri" w:hAnsi="Arial Narrow"/>
                <w:sz w:val="20"/>
                <w:lang w:eastAsia="en-US"/>
              </w:rPr>
              <w:t>Tablets</w:t>
            </w:r>
          </w:p>
        </w:tc>
        <w:tc>
          <w:tcPr>
            <w:tcW w:w="960" w:type="dxa"/>
            <w:shd w:val="clear" w:color="auto" w:fill="auto"/>
          </w:tcPr>
          <w:p w14:paraId="0E24A139" w14:textId="77777777" w:rsidR="0003386F" w:rsidRPr="007D0AA8" w:rsidRDefault="0003386F" w:rsidP="009F48B5">
            <w:pPr>
              <w:keepNext/>
              <w:spacing w:after="0"/>
              <w:rPr>
                <w:rFonts w:ascii="Arial Narrow" w:eastAsia="Calibri" w:hAnsi="Arial Narrow"/>
                <w:sz w:val="20"/>
                <w:lang w:eastAsia="en-US"/>
              </w:rPr>
            </w:pPr>
            <w:r w:rsidRPr="007D0AA8">
              <w:rPr>
                <w:rFonts w:ascii="Arial Narrow" w:eastAsia="Calibri" w:hAnsi="Arial Narrow"/>
                <w:sz w:val="20"/>
                <w:lang w:eastAsia="en-US"/>
              </w:rPr>
              <w:t>10 tablets</w:t>
            </w:r>
          </w:p>
        </w:tc>
        <w:tc>
          <w:tcPr>
            <w:tcW w:w="810" w:type="dxa"/>
            <w:shd w:val="clear" w:color="auto" w:fill="auto"/>
          </w:tcPr>
          <w:p w14:paraId="2E49BD22" w14:textId="77777777" w:rsidR="0003386F" w:rsidRPr="007D0AA8" w:rsidRDefault="0003386F" w:rsidP="009F48B5">
            <w:pPr>
              <w:keepNext/>
              <w:spacing w:after="0"/>
              <w:rPr>
                <w:rFonts w:ascii="Arial Narrow" w:eastAsia="Calibri" w:hAnsi="Arial Narrow"/>
                <w:sz w:val="20"/>
                <w:lang w:eastAsia="en-US"/>
              </w:rPr>
            </w:pPr>
            <w:r w:rsidRPr="007D0AA8">
              <w:rPr>
                <w:rFonts w:ascii="Arial Narrow" w:eastAsia="Calibri" w:hAnsi="Arial Narrow"/>
                <w:sz w:val="20"/>
                <w:lang w:eastAsia="en-US"/>
              </w:rPr>
              <w:t>1 pack</w:t>
            </w:r>
          </w:p>
        </w:tc>
        <w:tc>
          <w:tcPr>
            <w:tcW w:w="854" w:type="dxa"/>
            <w:shd w:val="clear" w:color="auto" w:fill="auto"/>
          </w:tcPr>
          <w:p w14:paraId="5DE98862" w14:textId="77777777" w:rsidR="0003386F" w:rsidRPr="007D0AA8" w:rsidRDefault="0003386F" w:rsidP="009F48B5">
            <w:pPr>
              <w:keepNext/>
              <w:spacing w:after="0"/>
              <w:rPr>
                <w:rFonts w:ascii="Arial Narrow" w:eastAsia="Calibri" w:hAnsi="Arial Narrow"/>
                <w:sz w:val="20"/>
                <w:lang w:eastAsia="en-US"/>
              </w:rPr>
            </w:pPr>
            <w:r w:rsidRPr="007D0AA8">
              <w:rPr>
                <w:rFonts w:ascii="Arial Narrow" w:eastAsia="Calibri" w:hAnsi="Arial Narrow"/>
                <w:sz w:val="20"/>
                <w:lang w:eastAsia="en-US"/>
              </w:rPr>
              <w:t>1</w:t>
            </w:r>
          </w:p>
        </w:tc>
        <w:tc>
          <w:tcPr>
            <w:tcW w:w="700" w:type="dxa"/>
            <w:shd w:val="clear" w:color="auto" w:fill="auto"/>
          </w:tcPr>
          <w:p w14:paraId="6321F8EE" w14:textId="77777777" w:rsidR="0003386F" w:rsidRPr="007D0AA8" w:rsidRDefault="0003386F" w:rsidP="009F48B5">
            <w:pPr>
              <w:keepNext/>
              <w:spacing w:after="0"/>
              <w:rPr>
                <w:rFonts w:ascii="Arial Narrow" w:eastAsia="Calibri" w:hAnsi="Arial Narrow"/>
                <w:sz w:val="20"/>
                <w:lang w:eastAsia="en-US"/>
              </w:rPr>
            </w:pPr>
            <w:r w:rsidRPr="007D0AA8">
              <w:rPr>
                <w:rFonts w:ascii="Arial Narrow" w:eastAsia="Calibri" w:hAnsi="Arial Narrow"/>
                <w:sz w:val="20"/>
                <w:lang w:eastAsia="en-US"/>
              </w:rPr>
              <w:t>2951H</w:t>
            </w:r>
          </w:p>
        </w:tc>
        <w:tc>
          <w:tcPr>
            <w:tcW w:w="1101" w:type="dxa"/>
            <w:shd w:val="clear" w:color="auto" w:fill="auto"/>
          </w:tcPr>
          <w:p w14:paraId="2957C0CB" w14:textId="77777777" w:rsidR="0003386F" w:rsidRPr="007D0AA8" w:rsidRDefault="0003386F" w:rsidP="009F48B5">
            <w:pPr>
              <w:keepNext/>
              <w:spacing w:after="0"/>
              <w:rPr>
                <w:rFonts w:ascii="Arial Narrow" w:eastAsia="Calibri" w:hAnsi="Arial Narrow"/>
                <w:sz w:val="20"/>
                <w:lang w:eastAsia="en-US"/>
              </w:rPr>
            </w:pPr>
            <w:r w:rsidRPr="007D0AA8">
              <w:rPr>
                <w:rFonts w:ascii="Arial Narrow" w:eastAsia="Calibri" w:hAnsi="Arial Narrow"/>
                <w:sz w:val="20"/>
                <w:lang w:eastAsia="en-US"/>
              </w:rPr>
              <w:t>Unrestricted</w:t>
            </w:r>
          </w:p>
        </w:tc>
      </w:tr>
      <w:tr w:rsidR="0003386F" w:rsidRPr="007D0AA8" w14:paraId="0502C2FE" w14:textId="77777777" w:rsidTr="007F27D7">
        <w:tc>
          <w:tcPr>
            <w:tcW w:w="2397" w:type="dxa"/>
            <w:shd w:val="clear" w:color="auto" w:fill="auto"/>
          </w:tcPr>
          <w:p w14:paraId="60698F15" w14:textId="77777777" w:rsidR="0003386F" w:rsidRPr="007D0AA8" w:rsidRDefault="0003386F" w:rsidP="009F48B5">
            <w:pPr>
              <w:keepNext/>
              <w:spacing w:after="0"/>
              <w:rPr>
                <w:rFonts w:ascii="Arial Narrow" w:eastAsia="Calibri" w:hAnsi="Arial Narrow"/>
                <w:sz w:val="20"/>
                <w:lang w:eastAsia="en-US"/>
              </w:rPr>
            </w:pPr>
            <w:r w:rsidRPr="007D0AA8">
              <w:rPr>
                <w:rFonts w:ascii="Arial Narrow" w:eastAsia="Calibri" w:hAnsi="Arial Narrow"/>
                <w:sz w:val="20"/>
                <w:lang w:eastAsia="en-US"/>
              </w:rPr>
              <w:t>trimethoprim 40mg/5mL + sulfamethoxazole 200mg/5mL</w:t>
            </w:r>
          </w:p>
        </w:tc>
        <w:tc>
          <w:tcPr>
            <w:tcW w:w="1223" w:type="dxa"/>
            <w:shd w:val="clear" w:color="auto" w:fill="auto"/>
          </w:tcPr>
          <w:p w14:paraId="4CA303DA" w14:textId="77777777" w:rsidR="0003386F" w:rsidRPr="007D0AA8" w:rsidRDefault="0003386F" w:rsidP="009F48B5">
            <w:pPr>
              <w:keepNext/>
              <w:spacing w:after="0"/>
              <w:rPr>
                <w:rFonts w:ascii="Arial Narrow" w:eastAsia="Calibri" w:hAnsi="Arial Narrow"/>
                <w:sz w:val="20"/>
                <w:lang w:eastAsia="en-US"/>
              </w:rPr>
            </w:pPr>
            <w:r w:rsidRPr="007D0AA8">
              <w:rPr>
                <w:rFonts w:ascii="Arial Narrow" w:eastAsia="Calibri" w:hAnsi="Arial Narrow"/>
                <w:sz w:val="20"/>
                <w:lang w:eastAsia="en-US"/>
              </w:rPr>
              <w:t>Bactrim</w:t>
            </w:r>
          </w:p>
          <w:p w14:paraId="24D79944" w14:textId="77777777" w:rsidR="0003386F" w:rsidRPr="007D0AA8" w:rsidRDefault="0003386F" w:rsidP="009F48B5">
            <w:pPr>
              <w:keepNext/>
              <w:spacing w:after="0"/>
              <w:rPr>
                <w:rFonts w:ascii="Arial Narrow" w:eastAsia="Calibri" w:hAnsi="Arial Narrow"/>
                <w:sz w:val="20"/>
                <w:lang w:eastAsia="en-US"/>
              </w:rPr>
            </w:pPr>
            <w:r w:rsidRPr="007D0AA8">
              <w:rPr>
                <w:rFonts w:ascii="Arial Narrow" w:eastAsia="Calibri" w:hAnsi="Arial Narrow"/>
                <w:sz w:val="20"/>
                <w:lang w:eastAsia="en-US"/>
              </w:rPr>
              <w:t>Septrin</w:t>
            </w:r>
          </w:p>
        </w:tc>
        <w:tc>
          <w:tcPr>
            <w:tcW w:w="971" w:type="dxa"/>
            <w:shd w:val="clear" w:color="auto" w:fill="auto"/>
          </w:tcPr>
          <w:p w14:paraId="7E1F7BB9" w14:textId="77777777" w:rsidR="0003386F" w:rsidRPr="007D0AA8" w:rsidRDefault="0003386F" w:rsidP="009F48B5">
            <w:pPr>
              <w:keepNext/>
              <w:spacing w:after="0"/>
              <w:rPr>
                <w:rFonts w:ascii="Arial Narrow" w:eastAsia="Calibri" w:hAnsi="Arial Narrow"/>
                <w:sz w:val="20"/>
                <w:lang w:eastAsia="en-US"/>
              </w:rPr>
            </w:pPr>
            <w:r w:rsidRPr="007D0AA8">
              <w:rPr>
                <w:rFonts w:ascii="Arial Narrow" w:eastAsia="Calibri" w:hAnsi="Arial Narrow"/>
                <w:sz w:val="20"/>
                <w:lang w:eastAsia="en-US"/>
              </w:rPr>
              <w:t>Oral liquid</w:t>
            </w:r>
          </w:p>
        </w:tc>
        <w:tc>
          <w:tcPr>
            <w:tcW w:w="960" w:type="dxa"/>
            <w:shd w:val="clear" w:color="auto" w:fill="auto"/>
          </w:tcPr>
          <w:p w14:paraId="18DA66FD" w14:textId="77777777" w:rsidR="0003386F" w:rsidRPr="007D0AA8" w:rsidRDefault="0003386F" w:rsidP="009F48B5">
            <w:pPr>
              <w:keepNext/>
              <w:spacing w:after="0"/>
              <w:rPr>
                <w:rFonts w:ascii="Arial Narrow" w:eastAsia="Calibri" w:hAnsi="Arial Narrow"/>
                <w:sz w:val="20"/>
                <w:lang w:eastAsia="en-US"/>
              </w:rPr>
            </w:pPr>
            <w:r w:rsidRPr="007D0AA8">
              <w:rPr>
                <w:rFonts w:ascii="Arial Narrow" w:eastAsia="Calibri" w:hAnsi="Arial Narrow"/>
                <w:sz w:val="20"/>
                <w:lang w:eastAsia="en-US"/>
              </w:rPr>
              <w:t>100mL</w:t>
            </w:r>
          </w:p>
        </w:tc>
        <w:tc>
          <w:tcPr>
            <w:tcW w:w="810" w:type="dxa"/>
            <w:shd w:val="clear" w:color="auto" w:fill="auto"/>
          </w:tcPr>
          <w:p w14:paraId="0DADB847" w14:textId="77777777" w:rsidR="0003386F" w:rsidRPr="007D0AA8" w:rsidRDefault="0003386F" w:rsidP="009F48B5">
            <w:pPr>
              <w:keepNext/>
              <w:spacing w:after="0"/>
              <w:rPr>
                <w:rFonts w:ascii="Arial Narrow" w:eastAsia="Calibri" w:hAnsi="Arial Narrow"/>
                <w:sz w:val="20"/>
                <w:lang w:eastAsia="en-US"/>
              </w:rPr>
            </w:pPr>
            <w:r w:rsidRPr="007D0AA8">
              <w:rPr>
                <w:rFonts w:ascii="Arial Narrow" w:eastAsia="Calibri" w:hAnsi="Arial Narrow"/>
                <w:sz w:val="20"/>
                <w:lang w:eastAsia="en-US"/>
              </w:rPr>
              <w:t>1 bottle</w:t>
            </w:r>
          </w:p>
        </w:tc>
        <w:tc>
          <w:tcPr>
            <w:tcW w:w="854" w:type="dxa"/>
            <w:shd w:val="clear" w:color="auto" w:fill="auto"/>
          </w:tcPr>
          <w:p w14:paraId="5C833064" w14:textId="77777777" w:rsidR="0003386F" w:rsidRPr="007D0AA8" w:rsidRDefault="0003386F" w:rsidP="009F48B5">
            <w:pPr>
              <w:keepNext/>
              <w:spacing w:after="0"/>
              <w:rPr>
                <w:rFonts w:ascii="Arial Narrow" w:eastAsia="Calibri" w:hAnsi="Arial Narrow"/>
                <w:sz w:val="20"/>
                <w:lang w:eastAsia="en-US"/>
              </w:rPr>
            </w:pPr>
            <w:r w:rsidRPr="007D0AA8">
              <w:rPr>
                <w:rFonts w:ascii="Arial Narrow" w:eastAsia="Calibri" w:hAnsi="Arial Narrow"/>
                <w:sz w:val="20"/>
                <w:lang w:eastAsia="en-US"/>
              </w:rPr>
              <w:t>1</w:t>
            </w:r>
          </w:p>
        </w:tc>
        <w:tc>
          <w:tcPr>
            <w:tcW w:w="700" w:type="dxa"/>
            <w:shd w:val="clear" w:color="auto" w:fill="auto"/>
          </w:tcPr>
          <w:p w14:paraId="2FE459CD" w14:textId="77777777" w:rsidR="0003386F" w:rsidRPr="007D0AA8" w:rsidRDefault="0003386F" w:rsidP="009F48B5">
            <w:pPr>
              <w:keepNext/>
              <w:spacing w:after="0"/>
              <w:rPr>
                <w:rFonts w:ascii="Arial Narrow" w:eastAsia="Calibri" w:hAnsi="Arial Narrow"/>
                <w:sz w:val="20"/>
                <w:lang w:eastAsia="en-US"/>
              </w:rPr>
            </w:pPr>
            <w:r w:rsidRPr="007D0AA8">
              <w:rPr>
                <w:rFonts w:ascii="Arial Narrow" w:eastAsia="Calibri" w:hAnsi="Arial Narrow"/>
                <w:sz w:val="20"/>
                <w:lang w:eastAsia="en-US"/>
              </w:rPr>
              <w:t>3103H</w:t>
            </w:r>
          </w:p>
        </w:tc>
        <w:tc>
          <w:tcPr>
            <w:tcW w:w="1101" w:type="dxa"/>
            <w:shd w:val="clear" w:color="auto" w:fill="auto"/>
          </w:tcPr>
          <w:p w14:paraId="6655CF68" w14:textId="77777777" w:rsidR="0003386F" w:rsidRPr="007D0AA8" w:rsidRDefault="0003386F" w:rsidP="009F48B5">
            <w:pPr>
              <w:keepNext/>
              <w:spacing w:after="0"/>
              <w:rPr>
                <w:rFonts w:ascii="Arial Narrow" w:eastAsia="Calibri" w:hAnsi="Arial Narrow"/>
                <w:sz w:val="20"/>
                <w:lang w:eastAsia="en-US"/>
              </w:rPr>
            </w:pPr>
            <w:r w:rsidRPr="007D0AA8">
              <w:rPr>
                <w:rFonts w:ascii="Arial Narrow" w:eastAsia="Calibri" w:hAnsi="Arial Narrow"/>
                <w:sz w:val="20"/>
                <w:lang w:eastAsia="en-US"/>
              </w:rPr>
              <w:t>Unrestricted</w:t>
            </w:r>
          </w:p>
        </w:tc>
      </w:tr>
    </w:tbl>
    <w:p w14:paraId="12311E43" w14:textId="30D55C81" w:rsidR="00B62DFD" w:rsidRPr="007D0AA8" w:rsidRDefault="0003386F" w:rsidP="00C43B20">
      <w:pPr>
        <w:pStyle w:val="Tablenotes1"/>
      </w:pPr>
      <w:r w:rsidRPr="007D0AA8">
        <w:t xml:space="preserve">Note: the tablet brands are ‘a’ flagged as Schedule equivalent, but the oral liquids are not.  </w:t>
      </w:r>
    </w:p>
    <w:p w14:paraId="0BFBA06F" w14:textId="0A4F497D" w:rsidR="008C7152" w:rsidRPr="00386411" w:rsidRDefault="008C7152" w:rsidP="009F7373">
      <w:pPr>
        <w:pStyle w:val="Heading3"/>
      </w:pPr>
      <w:bookmarkStart w:id="66" w:name="_Toc395200745"/>
      <w:bookmarkStart w:id="67" w:name="_Toc14431104"/>
      <w:bookmarkStart w:id="68" w:name="_Toc16856272"/>
      <w:r w:rsidRPr="00386411">
        <w:t xml:space="preserve">Clinical </w:t>
      </w:r>
      <w:bookmarkEnd w:id="59"/>
      <w:bookmarkEnd w:id="60"/>
      <w:bookmarkEnd w:id="66"/>
      <w:r w:rsidR="00D544ED" w:rsidRPr="00386411">
        <w:t>management algorithm(s)</w:t>
      </w:r>
      <w:bookmarkEnd w:id="67"/>
      <w:bookmarkEnd w:id="68"/>
    </w:p>
    <w:p w14:paraId="4BD7D675" w14:textId="6EF12721" w:rsidR="00B62DFD" w:rsidRPr="007D0AA8" w:rsidRDefault="00B62DFD" w:rsidP="00DF343F">
      <w:r w:rsidRPr="007D0AA8">
        <w:rPr>
          <w:rFonts w:eastAsia="Calibri" w:cs="Times New Roman"/>
          <w:lang w:eastAsia="en-US"/>
        </w:rPr>
        <w:t xml:space="preserve">The clinical management algorithms for the current use of IgG and for the comparator arm (No IgG) </w:t>
      </w:r>
      <w:r w:rsidRPr="007D0AA8">
        <w:rPr>
          <w:rFonts w:eastAsia="Calibri"/>
        </w:rPr>
        <w:t xml:space="preserve">are shown in </w:t>
      </w:r>
      <w:r w:rsidRPr="007D0AA8">
        <w:rPr>
          <w:rFonts w:eastAsia="Calibri"/>
        </w:rPr>
        <w:fldChar w:fldCharType="begin"/>
      </w:r>
      <w:r w:rsidRPr="007D0AA8">
        <w:rPr>
          <w:rFonts w:eastAsia="Calibri"/>
        </w:rPr>
        <w:instrText xml:space="preserve"> REF _Ref9797450 \h </w:instrText>
      </w:r>
      <w:r w:rsidR="003735E3" w:rsidRPr="007D0AA8">
        <w:rPr>
          <w:rFonts w:eastAsia="Calibri"/>
        </w:rPr>
        <w:instrText xml:space="preserve"> \* MERGEFORMAT </w:instrText>
      </w:r>
      <w:r w:rsidRPr="007D0AA8">
        <w:rPr>
          <w:rFonts w:eastAsia="Calibri"/>
        </w:rPr>
      </w:r>
      <w:r w:rsidRPr="007D0AA8">
        <w:rPr>
          <w:rFonts w:eastAsia="Calibri"/>
        </w:rPr>
        <w:fldChar w:fldCharType="separate"/>
      </w:r>
      <w:r w:rsidR="00A7463B" w:rsidRPr="00095345">
        <w:t xml:space="preserve">Figure </w:t>
      </w:r>
      <w:r w:rsidR="00A7463B">
        <w:t>1</w:t>
      </w:r>
      <w:r w:rsidRPr="007D0AA8">
        <w:rPr>
          <w:rFonts w:eastAsia="Calibri"/>
        </w:rPr>
        <w:fldChar w:fldCharType="end"/>
      </w:r>
      <w:r w:rsidRPr="007D0AA8">
        <w:rPr>
          <w:rFonts w:eastAsia="Calibri"/>
        </w:rPr>
        <w:t xml:space="preserve">, </w:t>
      </w:r>
      <w:r w:rsidR="006E04C1" w:rsidRPr="007D0AA8">
        <w:rPr>
          <w:rFonts w:eastAsia="Calibri"/>
        </w:rPr>
        <w:t>pg.</w:t>
      </w:r>
      <w:r w:rsidRPr="007D0AA8">
        <w:rPr>
          <w:rFonts w:eastAsia="Calibri"/>
        </w:rPr>
        <w:t xml:space="preserve"> </w:t>
      </w:r>
      <w:r w:rsidRPr="007D0AA8">
        <w:rPr>
          <w:rFonts w:eastAsia="Calibri"/>
        </w:rPr>
        <w:fldChar w:fldCharType="begin"/>
      </w:r>
      <w:r w:rsidRPr="007D0AA8">
        <w:rPr>
          <w:rFonts w:eastAsia="Calibri"/>
        </w:rPr>
        <w:instrText xml:space="preserve"> PAGEREF _Ref10113845 \h </w:instrText>
      </w:r>
      <w:r w:rsidRPr="007D0AA8">
        <w:rPr>
          <w:rFonts w:eastAsia="Calibri"/>
        </w:rPr>
      </w:r>
      <w:r w:rsidRPr="007D0AA8">
        <w:rPr>
          <w:rFonts w:eastAsia="Calibri"/>
        </w:rPr>
        <w:fldChar w:fldCharType="separate"/>
      </w:r>
      <w:r w:rsidR="00A7463B">
        <w:rPr>
          <w:rFonts w:eastAsia="Calibri"/>
          <w:noProof/>
        </w:rPr>
        <w:t>40</w:t>
      </w:r>
      <w:r w:rsidRPr="007D0AA8">
        <w:rPr>
          <w:rFonts w:eastAsia="Calibri"/>
        </w:rPr>
        <w:fldChar w:fldCharType="end"/>
      </w:r>
      <w:r w:rsidRPr="007D0AA8">
        <w:rPr>
          <w:rFonts w:eastAsia="Calibri"/>
        </w:rPr>
        <w:t xml:space="preserve">. </w:t>
      </w:r>
    </w:p>
    <w:p w14:paraId="60412731" w14:textId="77777777" w:rsidR="00FB6A8A" w:rsidRPr="00386411" w:rsidRDefault="00630910" w:rsidP="009F7373">
      <w:pPr>
        <w:pStyle w:val="Heading3"/>
      </w:pPr>
      <w:bookmarkStart w:id="69" w:name="_Toc395200746"/>
      <w:bookmarkStart w:id="70" w:name="_Toc14431105"/>
      <w:bookmarkStart w:id="71" w:name="_Toc16856273"/>
      <w:bookmarkStart w:id="72" w:name="_Toc379118058"/>
      <w:bookmarkStart w:id="73" w:name="_Toc379118250"/>
      <w:bookmarkStart w:id="74" w:name="_Toc381796434"/>
      <w:r w:rsidRPr="00386411">
        <w:t>Key Differences in the D</w:t>
      </w:r>
      <w:r w:rsidR="00FB6A8A" w:rsidRPr="00386411">
        <w:t xml:space="preserve">elivery of the </w:t>
      </w:r>
      <w:r w:rsidRPr="00386411">
        <w:t>Proposed Medical Service and the Main C</w:t>
      </w:r>
      <w:r w:rsidR="00FB6A8A" w:rsidRPr="00386411">
        <w:t>omparator</w:t>
      </w:r>
      <w:bookmarkEnd w:id="69"/>
      <w:bookmarkEnd w:id="70"/>
      <w:bookmarkEnd w:id="71"/>
      <w:r w:rsidR="00FB6A8A" w:rsidRPr="00386411">
        <w:t xml:space="preserve"> </w:t>
      </w:r>
    </w:p>
    <w:p w14:paraId="384ECE8A" w14:textId="2704636C" w:rsidR="00B62DFD" w:rsidRPr="007D0AA8" w:rsidRDefault="00B62DFD" w:rsidP="00DF343F">
      <w:pPr>
        <w:rPr>
          <w:rFonts w:eastAsia="Calibri" w:cs="Times New Roman"/>
          <w:lang w:eastAsia="en-US"/>
        </w:rPr>
      </w:pPr>
      <w:r w:rsidRPr="007D0AA8">
        <w:rPr>
          <w:rFonts w:eastAsia="Calibri" w:cs="Times New Roman"/>
          <w:lang w:eastAsia="en-US"/>
        </w:rPr>
        <w:t xml:space="preserve">In the absence of IVIg or SCIg, patients with acquired hypogammaglobulinaemia are expected to have a higher rate of infections, and therefore a higher need for antibiotics and hospitalisation due to infections. </w:t>
      </w:r>
    </w:p>
    <w:p w14:paraId="376BC8F9" w14:textId="77777777" w:rsidR="00224E39" w:rsidRPr="00386411" w:rsidRDefault="00224E39" w:rsidP="00CB4DB8">
      <w:pPr>
        <w:pStyle w:val="Heading3"/>
      </w:pPr>
      <w:bookmarkStart w:id="75" w:name="_Toc395200747"/>
      <w:bookmarkStart w:id="76" w:name="_Toc426968105"/>
      <w:bookmarkStart w:id="77" w:name="_Toc14431106"/>
      <w:bookmarkStart w:id="78" w:name="_Toc16856274"/>
      <w:r w:rsidRPr="00386411">
        <w:t>Clinical Claim</w:t>
      </w:r>
      <w:bookmarkEnd w:id="75"/>
      <w:bookmarkEnd w:id="76"/>
      <w:bookmarkEnd w:id="77"/>
      <w:bookmarkEnd w:id="78"/>
    </w:p>
    <w:p w14:paraId="64949334" w14:textId="0B1E1266" w:rsidR="007B425C" w:rsidRPr="007D0AA8" w:rsidRDefault="007B425C" w:rsidP="007B425C">
      <w:r w:rsidRPr="007D0AA8">
        <w:rPr>
          <w:rFonts w:asciiTheme="minorHAnsi" w:hAnsiTheme="minorHAnsi" w:cstheme="minorHAnsi"/>
        </w:rPr>
        <w:t xml:space="preserve">The clinical claim in the PICO Confirmation was ‘IgG with antibiotics as required’ is superior to ‘no IgG with antibiotics as required’ for reducing infections in patients with acquired hypogammaglobulinaemia secondary to haematological malignancies, or </w:t>
      </w:r>
      <w:r w:rsidR="00903A7D">
        <w:rPr>
          <w:rFonts w:asciiTheme="minorHAnsi" w:hAnsiTheme="minorHAnsi" w:cstheme="minorHAnsi"/>
        </w:rPr>
        <w:t>post-</w:t>
      </w:r>
      <w:r w:rsidRPr="007D0AA8">
        <w:rPr>
          <w:rFonts w:asciiTheme="minorHAnsi" w:hAnsiTheme="minorHAnsi" w:cstheme="minorHAnsi"/>
        </w:rPr>
        <w:t xml:space="preserve">HSCT. </w:t>
      </w:r>
    </w:p>
    <w:p w14:paraId="3D7C37C8" w14:textId="77777777" w:rsidR="00C96FE9" w:rsidRPr="00386411" w:rsidRDefault="00630910" w:rsidP="00DF343F">
      <w:pPr>
        <w:pStyle w:val="Heading3"/>
      </w:pPr>
      <w:bookmarkStart w:id="79" w:name="_Toc395200748"/>
      <w:bookmarkStart w:id="80" w:name="_Toc14431107"/>
      <w:bookmarkStart w:id="81" w:name="_Toc16856275"/>
      <w:r w:rsidRPr="00386411">
        <w:rPr>
          <w:rStyle w:val="Heading3Char"/>
          <w:b/>
          <w:smallCaps/>
        </w:rPr>
        <w:t>Approach T</w:t>
      </w:r>
      <w:r w:rsidR="00AE1CBE" w:rsidRPr="00386411">
        <w:t xml:space="preserve">aken to the </w:t>
      </w:r>
      <w:r w:rsidRPr="00386411">
        <w:rPr>
          <w:rStyle w:val="Heading3Char"/>
          <w:b/>
          <w:smallCaps/>
        </w:rPr>
        <w:t>E</w:t>
      </w:r>
      <w:r w:rsidR="00AE1CBE" w:rsidRPr="00386411">
        <w:t xml:space="preserve">vidence </w:t>
      </w:r>
      <w:r w:rsidRPr="00386411">
        <w:rPr>
          <w:rStyle w:val="Heading3Char"/>
          <w:b/>
          <w:smallCaps/>
        </w:rPr>
        <w:t>A</w:t>
      </w:r>
      <w:r w:rsidR="00AE1CBE" w:rsidRPr="00386411">
        <w:t>ssessment</w:t>
      </w:r>
      <w:bookmarkEnd w:id="79"/>
      <w:bookmarkEnd w:id="80"/>
      <w:bookmarkEnd w:id="81"/>
    </w:p>
    <w:p w14:paraId="4D19B3E1" w14:textId="3C32AF4A" w:rsidR="0003386F" w:rsidRPr="007D0AA8" w:rsidRDefault="00AE1CBE" w:rsidP="003735E3">
      <w:pPr>
        <w:rPr>
          <w:rFonts w:asciiTheme="minorHAnsi" w:hAnsiTheme="minorHAnsi" w:cstheme="minorHAnsi"/>
        </w:rPr>
      </w:pPr>
      <w:r w:rsidRPr="007D0AA8">
        <w:rPr>
          <w:rFonts w:asciiTheme="minorHAnsi" w:hAnsiTheme="minorHAnsi" w:cstheme="minorHAnsi"/>
        </w:rPr>
        <w:t xml:space="preserve">A systematic review of </w:t>
      </w:r>
      <w:r w:rsidR="005155D3" w:rsidRPr="007D0AA8">
        <w:rPr>
          <w:rFonts w:asciiTheme="minorHAnsi" w:hAnsiTheme="minorHAnsi" w:cstheme="minorHAnsi"/>
        </w:rPr>
        <w:t xml:space="preserve">the </w:t>
      </w:r>
      <w:r w:rsidRPr="007D0AA8">
        <w:rPr>
          <w:rFonts w:asciiTheme="minorHAnsi" w:hAnsiTheme="minorHAnsi" w:cstheme="minorHAnsi"/>
        </w:rPr>
        <w:t>published literature was undertaken.</w:t>
      </w:r>
      <w:r w:rsidR="007B425C" w:rsidRPr="007D0AA8">
        <w:rPr>
          <w:rFonts w:asciiTheme="minorHAnsi" w:hAnsiTheme="minorHAnsi" w:cstheme="minorHAnsi"/>
        </w:rPr>
        <w:t xml:space="preserve"> </w:t>
      </w:r>
      <w:r w:rsidR="0003386F" w:rsidRPr="007D0AA8">
        <w:rPr>
          <w:rFonts w:asciiTheme="minorHAnsi" w:hAnsiTheme="minorHAnsi" w:cstheme="minorHAnsi"/>
        </w:rPr>
        <w:t xml:space="preserve">PubMed, Embase.com and the Cochrane Library were searched for papers published between 1990 and March 2019. Relevant articles and reviews had their reference lists pearled for studies which may have potentially been missed through the searches. Studies were included if they met criteria determined </w:t>
      </w:r>
      <w:r w:rsidR="0003386F" w:rsidRPr="007D0AA8">
        <w:rPr>
          <w:rFonts w:asciiTheme="minorHAnsi" w:hAnsiTheme="minorHAnsi" w:cstheme="minorHAnsi"/>
          <w:i/>
        </w:rPr>
        <w:t>a priori</w:t>
      </w:r>
      <w:r w:rsidR="0003386F" w:rsidRPr="007D0AA8">
        <w:rPr>
          <w:rFonts w:asciiTheme="minorHAnsi" w:hAnsiTheme="minorHAnsi" w:cstheme="minorHAnsi"/>
        </w:rPr>
        <w:t xml:space="preserve">, as summarised in </w:t>
      </w:r>
      <w:bookmarkStart w:id="82" w:name="_Toc3369155"/>
      <w:r w:rsidR="0003386F" w:rsidRPr="007D0AA8">
        <w:rPr>
          <w:rFonts w:asciiTheme="minorHAnsi" w:hAnsiTheme="minorHAnsi" w:cstheme="minorHAnsi"/>
        </w:rPr>
        <w:fldChar w:fldCharType="begin"/>
      </w:r>
      <w:r w:rsidR="0003386F" w:rsidRPr="007D0AA8">
        <w:rPr>
          <w:rFonts w:asciiTheme="minorHAnsi" w:hAnsiTheme="minorHAnsi" w:cstheme="minorHAnsi"/>
        </w:rPr>
        <w:instrText xml:space="preserve"> REF _Ref10114642 \h </w:instrText>
      </w:r>
      <w:r w:rsidR="00386411" w:rsidRPr="007D0AA8">
        <w:rPr>
          <w:rFonts w:asciiTheme="minorHAnsi" w:hAnsiTheme="minorHAnsi" w:cstheme="minorHAnsi"/>
        </w:rPr>
        <w:instrText xml:space="preserve"> \* MERGEFORMAT </w:instrText>
      </w:r>
      <w:r w:rsidR="0003386F" w:rsidRPr="007D0AA8">
        <w:rPr>
          <w:rFonts w:asciiTheme="minorHAnsi" w:hAnsiTheme="minorHAnsi" w:cstheme="minorHAnsi"/>
        </w:rPr>
      </w:r>
      <w:r w:rsidR="0003386F" w:rsidRPr="007D0AA8">
        <w:rPr>
          <w:rFonts w:asciiTheme="minorHAnsi" w:hAnsiTheme="minorHAnsi" w:cstheme="minorHAnsi"/>
        </w:rPr>
        <w:fldChar w:fldCharType="separate"/>
      </w:r>
      <w:r w:rsidR="00A7463B" w:rsidRPr="00386411">
        <w:t xml:space="preserve">Table </w:t>
      </w:r>
      <w:r w:rsidR="00A7463B">
        <w:rPr>
          <w:noProof/>
        </w:rPr>
        <w:t>3</w:t>
      </w:r>
      <w:r w:rsidR="0003386F" w:rsidRPr="007D0AA8">
        <w:rPr>
          <w:rFonts w:asciiTheme="minorHAnsi" w:hAnsiTheme="minorHAnsi" w:cstheme="minorHAnsi"/>
        </w:rPr>
        <w:fldChar w:fldCharType="end"/>
      </w:r>
      <w:r w:rsidR="0003386F" w:rsidRPr="007D0AA8">
        <w:rPr>
          <w:rFonts w:asciiTheme="minorHAnsi" w:hAnsiTheme="minorHAnsi" w:cstheme="minorHAnsi"/>
        </w:rPr>
        <w:t xml:space="preserve">. </w:t>
      </w:r>
    </w:p>
    <w:p w14:paraId="72A5D059" w14:textId="484B82D7" w:rsidR="0003386F" w:rsidRPr="00386411" w:rsidRDefault="0003386F" w:rsidP="0003386F">
      <w:pPr>
        <w:pStyle w:val="TableHeading"/>
      </w:pPr>
      <w:bookmarkStart w:id="83" w:name="_Ref10114642"/>
      <w:bookmarkStart w:id="84" w:name="_Toc14429546"/>
      <w:bookmarkStart w:id="85" w:name="_Toc16671601"/>
      <w:r w:rsidRPr="00386411">
        <w:t xml:space="preserve">Table </w:t>
      </w:r>
      <w:r w:rsidR="00BF0BF3" w:rsidRPr="00386411">
        <w:rPr>
          <w:noProof/>
        </w:rPr>
        <w:fldChar w:fldCharType="begin"/>
      </w:r>
      <w:r w:rsidR="00BF0BF3" w:rsidRPr="00386411">
        <w:rPr>
          <w:noProof/>
        </w:rPr>
        <w:instrText xml:space="preserve"> SEQ Table \* ARABIC </w:instrText>
      </w:r>
      <w:r w:rsidR="00BF0BF3" w:rsidRPr="00386411">
        <w:rPr>
          <w:noProof/>
        </w:rPr>
        <w:fldChar w:fldCharType="separate"/>
      </w:r>
      <w:r w:rsidR="00A7463B">
        <w:rPr>
          <w:noProof/>
        </w:rPr>
        <w:t>3</w:t>
      </w:r>
      <w:r w:rsidR="00BF0BF3" w:rsidRPr="00386411">
        <w:rPr>
          <w:noProof/>
        </w:rPr>
        <w:fldChar w:fldCharType="end"/>
      </w:r>
      <w:bookmarkEnd w:id="83"/>
      <w:r w:rsidR="006252C4">
        <w:rPr>
          <w:noProof/>
        </w:rPr>
        <w:tab/>
      </w:r>
      <w:r w:rsidR="005155D3" w:rsidRPr="00386411">
        <w:tab/>
      </w:r>
      <w:r w:rsidRPr="00386411">
        <w:t>Population, Intervention</w:t>
      </w:r>
      <w:r w:rsidR="008F7E5D">
        <w:t>,</w:t>
      </w:r>
      <w:r w:rsidRPr="00386411">
        <w:t xml:space="preserve"> Comparator</w:t>
      </w:r>
      <w:r w:rsidR="008F7E5D">
        <w:t xml:space="preserve"> and Outcomes</w:t>
      </w:r>
      <w:r w:rsidRPr="00386411">
        <w:t>: Acquired Hypogammaglobulinaemia due to haematological conditions</w:t>
      </w:r>
      <w:bookmarkEnd w:id="82"/>
      <w:bookmarkEnd w:id="84"/>
      <w:bookmarkEnd w:id="85"/>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7"/>
        <w:gridCol w:w="7826"/>
        <w:gridCol w:w="30"/>
      </w:tblGrid>
      <w:tr w:rsidR="0003386F" w:rsidRPr="00386411" w14:paraId="41E27468" w14:textId="77777777" w:rsidTr="00631CAC">
        <w:trPr>
          <w:tblHeader/>
        </w:trPr>
        <w:tc>
          <w:tcPr>
            <w:tcW w:w="778" w:type="pct"/>
            <w:shd w:val="clear" w:color="auto" w:fill="D9D9D9"/>
          </w:tcPr>
          <w:p w14:paraId="5E36D3E0" w14:textId="77777777" w:rsidR="0003386F" w:rsidRPr="00386411" w:rsidRDefault="0003386F" w:rsidP="009F48B5">
            <w:pPr>
              <w:spacing w:after="0"/>
              <w:rPr>
                <w:rFonts w:ascii="Arial Narrow" w:hAnsi="Arial Narrow" w:cs="Calibri"/>
                <w:b/>
                <w:sz w:val="20"/>
              </w:rPr>
            </w:pPr>
            <w:r w:rsidRPr="00386411">
              <w:rPr>
                <w:rFonts w:ascii="Arial Narrow" w:hAnsi="Arial Narrow" w:cs="Calibri"/>
                <w:b/>
                <w:sz w:val="20"/>
              </w:rPr>
              <w:t>Component</w:t>
            </w:r>
          </w:p>
        </w:tc>
        <w:tc>
          <w:tcPr>
            <w:tcW w:w="4222" w:type="pct"/>
            <w:gridSpan w:val="2"/>
            <w:shd w:val="clear" w:color="auto" w:fill="D9D9D9"/>
          </w:tcPr>
          <w:p w14:paraId="786B27CA" w14:textId="77777777" w:rsidR="0003386F" w:rsidRPr="00386411" w:rsidRDefault="0003386F" w:rsidP="009F48B5">
            <w:pPr>
              <w:spacing w:after="0"/>
              <w:rPr>
                <w:rFonts w:ascii="Arial Narrow" w:hAnsi="Arial Narrow" w:cs="Calibri"/>
                <w:b/>
                <w:sz w:val="20"/>
              </w:rPr>
            </w:pPr>
            <w:r w:rsidRPr="00386411">
              <w:rPr>
                <w:rFonts w:ascii="Arial Narrow" w:hAnsi="Arial Narrow" w:cs="Calibri"/>
                <w:b/>
                <w:sz w:val="20"/>
              </w:rPr>
              <w:t>Description</w:t>
            </w:r>
          </w:p>
        </w:tc>
      </w:tr>
      <w:tr w:rsidR="0003386F" w:rsidRPr="007D0AA8" w14:paraId="5FF16CA7" w14:textId="77777777" w:rsidTr="00631CAC">
        <w:tc>
          <w:tcPr>
            <w:tcW w:w="778" w:type="pct"/>
          </w:tcPr>
          <w:p w14:paraId="279895B8" w14:textId="77777777" w:rsidR="0003386F" w:rsidRPr="007D0AA8" w:rsidRDefault="0003386F" w:rsidP="009F48B5">
            <w:pPr>
              <w:spacing w:after="0"/>
              <w:rPr>
                <w:rFonts w:ascii="Arial Narrow" w:hAnsi="Arial Narrow" w:cs="Calibri"/>
                <w:sz w:val="20"/>
              </w:rPr>
            </w:pPr>
            <w:r w:rsidRPr="007D0AA8">
              <w:rPr>
                <w:rFonts w:ascii="Arial Narrow" w:hAnsi="Arial Narrow" w:cs="Calibri"/>
                <w:sz w:val="20"/>
              </w:rPr>
              <w:t>Patients</w:t>
            </w:r>
          </w:p>
        </w:tc>
        <w:tc>
          <w:tcPr>
            <w:tcW w:w="4222" w:type="pct"/>
            <w:gridSpan w:val="2"/>
          </w:tcPr>
          <w:p w14:paraId="23B488D1" w14:textId="77777777" w:rsidR="0003386F" w:rsidRPr="007D0AA8" w:rsidRDefault="0003386F" w:rsidP="009F48B5">
            <w:pPr>
              <w:spacing w:after="0"/>
              <w:rPr>
                <w:rFonts w:ascii="Arial Narrow" w:hAnsi="Arial Narrow"/>
                <w:sz w:val="20"/>
              </w:rPr>
            </w:pPr>
            <w:r w:rsidRPr="007D0AA8">
              <w:rPr>
                <w:rFonts w:ascii="Arial Narrow" w:hAnsi="Arial Narrow" w:cs="Calibri"/>
                <w:sz w:val="20"/>
              </w:rPr>
              <w:t xml:space="preserve">Patients with acquired hypogammaglobulinaemia secondary to haematological malignancies, or post-haemopoietic stem cell transplantation (HSCT) </w:t>
            </w:r>
            <w:r w:rsidRPr="007D0AA8">
              <w:rPr>
                <w:rFonts w:ascii="Arial Narrow" w:hAnsi="Arial Narrow" w:cs="Calibri"/>
                <w:noProof/>
                <w:sz w:val="20"/>
              </w:rPr>
              <w:t>who</w:t>
            </w:r>
            <w:r w:rsidRPr="007D0AA8">
              <w:rPr>
                <w:rFonts w:ascii="Arial Narrow" w:hAnsi="Arial Narrow" w:cs="Calibri"/>
                <w:sz w:val="20"/>
              </w:rPr>
              <w:t xml:space="preserve"> are currently eligible for immunoglobulin (Ig) treatment in Australia according to version 3 of the </w:t>
            </w:r>
            <w:r w:rsidRPr="007D0AA8">
              <w:rPr>
                <w:rFonts w:ascii="Arial Narrow" w:hAnsi="Arial Narrow" w:cs="Calibri"/>
                <w:i/>
                <w:sz w:val="20"/>
              </w:rPr>
              <w:t>Criteria for the clinical use of immunoglobulin in Australia.</w:t>
            </w:r>
          </w:p>
        </w:tc>
      </w:tr>
      <w:tr w:rsidR="0003386F" w:rsidRPr="007D0AA8" w14:paraId="2B39444C" w14:textId="77777777" w:rsidTr="00631CAC">
        <w:tc>
          <w:tcPr>
            <w:tcW w:w="778" w:type="pct"/>
          </w:tcPr>
          <w:p w14:paraId="4BE21B62" w14:textId="77777777" w:rsidR="0003386F" w:rsidRPr="007D0AA8" w:rsidRDefault="0003386F" w:rsidP="009F48B5">
            <w:pPr>
              <w:spacing w:after="0"/>
              <w:rPr>
                <w:rFonts w:ascii="Arial Narrow" w:hAnsi="Arial Narrow" w:cs="Calibri"/>
                <w:sz w:val="20"/>
              </w:rPr>
            </w:pPr>
            <w:r w:rsidRPr="007D0AA8">
              <w:rPr>
                <w:rFonts w:ascii="Arial Narrow" w:hAnsi="Arial Narrow" w:cs="Calibri"/>
                <w:sz w:val="20"/>
              </w:rPr>
              <w:t>Intervention</w:t>
            </w:r>
          </w:p>
        </w:tc>
        <w:tc>
          <w:tcPr>
            <w:tcW w:w="4222" w:type="pct"/>
            <w:gridSpan w:val="2"/>
          </w:tcPr>
          <w:p w14:paraId="3C415AD7" w14:textId="77777777" w:rsidR="0003386F" w:rsidRPr="007D0AA8" w:rsidRDefault="0003386F" w:rsidP="009F48B5">
            <w:pPr>
              <w:spacing w:after="0"/>
              <w:rPr>
                <w:rFonts w:ascii="Arial Narrow" w:hAnsi="Arial Narrow" w:cs="Calibri"/>
                <w:sz w:val="20"/>
              </w:rPr>
            </w:pPr>
            <w:r w:rsidRPr="007D0AA8">
              <w:rPr>
                <w:rFonts w:ascii="Arial Narrow" w:hAnsi="Arial Narrow" w:cs="Calibri"/>
                <w:sz w:val="20"/>
              </w:rPr>
              <w:t>Replacement IgG therapy with or without antibiotics,</w:t>
            </w:r>
          </w:p>
          <w:p w14:paraId="3246B496" w14:textId="77777777" w:rsidR="0003386F" w:rsidRPr="007D0AA8" w:rsidRDefault="0003386F" w:rsidP="00331FB9">
            <w:pPr>
              <w:pStyle w:val="ListParagraph"/>
              <w:numPr>
                <w:ilvl w:val="0"/>
                <w:numId w:val="19"/>
              </w:numPr>
              <w:spacing w:after="0" w:line="240" w:lineRule="auto"/>
              <w:ind w:left="491" w:hanging="491"/>
              <w:contextualSpacing/>
              <w:rPr>
                <w:rFonts w:ascii="Arial Narrow" w:hAnsi="Arial Narrow" w:cs="Calibri"/>
                <w:sz w:val="20"/>
                <w:szCs w:val="20"/>
              </w:rPr>
            </w:pPr>
            <w:r w:rsidRPr="007D0AA8">
              <w:rPr>
                <w:rFonts w:ascii="Arial Narrow" w:hAnsi="Arial Narrow" w:cs="Calibri"/>
                <w:sz w:val="20"/>
                <w:szCs w:val="20"/>
              </w:rPr>
              <w:t>including IgG by intravenous administration (IVIg) or</w:t>
            </w:r>
          </w:p>
          <w:p w14:paraId="5D8AA719" w14:textId="77777777" w:rsidR="0003386F" w:rsidRPr="007D0AA8" w:rsidRDefault="0003386F" w:rsidP="00331FB9">
            <w:pPr>
              <w:pStyle w:val="ListParagraph"/>
              <w:numPr>
                <w:ilvl w:val="0"/>
                <w:numId w:val="19"/>
              </w:numPr>
              <w:spacing w:after="0" w:line="240" w:lineRule="auto"/>
              <w:ind w:left="491" w:hanging="491"/>
              <w:contextualSpacing/>
              <w:rPr>
                <w:rFonts w:ascii="Arial Narrow" w:hAnsi="Arial Narrow" w:cs="Calibri"/>
                <w:sz w:val="20"/>
                <w:szCs w:val="20"/>
              </w:rPr>
            </w:pPr>
            <w:r w:rsidRPr="007D0AA8">
              <w:rPr>
                <w:rFonts w:ascii="Arial Narrow" w:hAnsi="Arial Narrow" w:cs="Calibri"/>
                <w:sz w:val="20"/>
                <w:szCs w:val="20"/>
              </w:rPr>
              <w:lastRenderedPageBreak/>
              <w:t>by subcutaneous administration (SCIg)</w:t>
            </w:r>
          </w:p>
        </w:tc>
      </w:tr>
      <w:tr w:rsidR="0003386F" w:rsidRPr="007D0AA8" w14:paraId="075D803A" w14:textId="77777777" w:rsidTr="00631CAC">
        <w:tc>
          <w:tcPr>
            <w:tcW w:w="778" w:type="pct"/>
          </w:tcPr>
          <w:p w14:paraId="4EFDE5C2" w14:textId="77777777" w:rsidR="0003386F" w:rsidRPr="007D0AA8" w:rsidRDefault="0003386F" w:rsidP="009F48B5">
            <w:pPr>
              <w:spacing w:after="0"/>
              <w:rPr>
                <w:rFonts w:ascii="Arial Narrow" w:hAnsi="Arial Narrow" w:cs="Calibri"/>
                <w:sz w:val="20"/>
              </w:rPr>
            </w:pPr>
            <w:r w:rsidRPr="007D0AA8">
              <w:rPr>
                <w:rFonts w:ascii="Arial Narrow" w:hAnsi="Arial Narrow" w:cs="Calibri"/>
                <w:sz w:val="20"/>
              </w:rPr>
              <w:lastRenderedPageBreak/>
              <w:t>Comparator</w:t>
            </w:r>
          </w:p>
        </w:tc>
        <w:tc>
          <w:tcPr>
            <w:tcW w:w="4222" w:type="pct"/>
            <w:gridSpan w:val="2"/>
          </w:tcPr>
          <w:p w14:paraId="7D642E9F" w14:textId="77777777" w:rsidR="0003386F" w:rsidRPr="007D0AA8" w:rsidRDefault="0003386F" w:rsidP="009F48B5">
            <w:pPr>
              <w:spacing w:after="0"/>
              <w:rPr>
                <w:rFonts w:ascii="Arial Narrow" w:hAnsi="Arial Narrow" w:cs="Calibri"/>
                <w:sz w:val="20"/>
              </w:rPr>
            </w:pPr>
            <w:r w:rsidRPr="007D0AA8">
              <w:rPr>
                <w:rFonts w:ascii="Arial Narrow" w:hAnsi="Arial Narrow" w:cs="Calibri"/>
                <w:sz w:val="20"/>
              </w:rPr>
              <w:t>No IgG therapy with or without antibiotics</w:t>
            </w:r>
          </w:p>
        </w:tc>
      </w:tr>
      <w:tr w:rsidR="0003386F" w:rsidRPr="007D0AA8" w14:paraId="5B02CB3D" w14:textId="77777777" w:rsidTr="00631CAC">
        <w:tc>
          <w:tcPr>
            <w:tcW w:w="778" w:type="pct"/>
          </w:tcPr>
          <w:p w14:paraId="290CEB4B" w14:textId="77777777" w:rsidR="0003386F" w:rsidRPr="007D0AA8" w:rsidRDefault="0003386F" w:rsidP="009F48B5">
            <w:pPr>
              <w:spacing w:after="0"/>
              <w:rPr>
                <w:rFonts w:ascii="Arial Narrow" w:hAnsi="Arial Narrow" w:cs="Calibri"/>
                <w:sz w:val="20"/>
              </w:rPr>
            </w:pPr>
            <w:r w:rsidRPr="007D0AA8">
              <w:rPr>
                <w:rFonts w:ascii="Arial Narrow" w:hAnsi="Arial Narrow" w:cs="Calibri"/>
                <w:sz w:val="20"/>
              </w:rPr>
              <w:t>Outcomes</w:t>
            </w:r>
          </w:p>
        </w:tc>
        <w:tc>
          <w:tcPr>
            <w:tcW w:w="4222" w:type="pct"/>
            <w:gridSpan w:val="2"/>
          </w:tcPr>
          <w:p w14:paraId="1AE494F5" w14:textId="77777777" w:rsidR="0003386F" w:rsidRPr="007D0AA8" w:rsidRDefault="0003386F" w:rsidP="009F48B5">
            <w:pPr>
              <w:pStyle w:val="Tablecontents"/>
              <w:spacing w:before="0" w:after="0"/>
              <w:rPr>
                <w:rFonts w:cs="Calibri"/>
                <w:i/>
                <w:iCs/>
              </w:rPr>
            </w:pPr>
            <w:r w:rsidRPr="007D0AA8">
              <w:rPr>
                <w:rFonts w:cs="Calibri"/>
                <w:i/>
                <w:iCs/>
              </w:rPr>
              <w:t>Safety Outcomes:</w:t>
            </w:r>
          </w:p>
          <w:p w14:paraId="4E3344A8" w14:textId="77777777" w:rsidR="0003386F" w:rsidRPr="007D0AA8" w:rsidRDefault="0003386F" w:rsidP="00331FB9">
            <w:pPr>
              <w:pStyle w:val="Tablecontents"/>
              <w:numPr>
                <w:ilvl w:val="0"/>
                <w:numId w:val="18"/>
              </w:numPr>
              <w:spacing w:before="0" w:after="0"/>
              <w:ind w:left="480" w:hanging="480"/>
              <w:rPr>
                <w:rFonts w:cs="Calibri"/>
                <w:i/>
                <w:iCs/>
              </w:rPr>
            </w:pPr>
            <w:r w:rsidRPr="007D0AA8">
              <w:rPr>
                <w:rFonts w:cs="Calibri"/>
              </w:rPr>
              <w:t>Adverse events including development of disease or side effects</w:t>
            </w:r>
          </w:p>
          <w:p w14:paraId="1FDDD014" w14:textId="77777777" w:rsidR="0003386F" w:rsidRPr="007D0AA8" w:rsidRDefault="0003386F" w:rsidP="009F48B5">
            <w:pPr>
              <w:pStyle w:val="Tablecontents"/>
              <w:spacing w:before="0" w:after="0"/>
              <w:rPr>
                <w:rFonts w:cs="Calibri"/>
                <w:i/>
                <w:iCs/>
              </w:rPr>
            </w:pPr>
            <w:r w:rsidRPr="007D0AA8">
              <w:rPr>
                <w:rFonts w:cs="Calibri"/>
                <w:i/>
                <w:iCs/>
              </w:rPr>
              <w:t>Clinical effectiveness outcomes:</w:t>
            </w:r>
          </w:p>
          <w:p w14:paraId="1B844A16" w14:textId="77777777" w:rsidR="0003386F" w:rsidRPr="007D0AA8" w:rsidRDefault="0003386F" w:rsidP="00331FB9">
            <w:pPr>
              <w:pStyle w:val="Tablecontents"/>
              <w:numPr>
                <w:ilvl w:val="0"/>
                <w:numId w:val="18"/>
              </w:numPr>
              <w:spacing w:before="0" w:after="0"/>
              <w:ind w:left="342"/>
              <w:rPr>
                <w:rFonts w:cs="Calibri"/>
              </w:rPr>
            </w:pPr>
            <w:r w:rsidRPr="007D0AA8">
              <w:rPr>
                <w:rFonts w:cs="Calibri"/>
              </w:rPr>
              <w:t>Number of infections</w:t>
            </w:r>
          </w:p>
          <w:p w14:paraId="3D1AF806" w14:textId="77777777" w:rsidR="0003386F" w:rsidRPr="007D0AA8" w:rsidRDefault="0003386F" w:rsidP="00331FB9">
            <w:pPr>
              <w:pStyle w:val="Tablecontents"/>
              <w:numPr>
                <w:ilvl w:val="0"/>
                <w:numId w:val="18"/>
              </w:numPr>
              <w:spacing w:before="0" w:after="0"/>
              <w:ind w:left="342"/>
              <w:rPr>
                <w:rFonts w:cs="Calibri"/>
                <w:i/>
                <w:iCs/>
              </w:rPr>
            </w:pPr>
            <w:r w:rsidRPr="007D0AA8">
              <w:rPr>
                <w:rFonts w:cs="Calibri"/>
              </w:rPr>
              <w:t>Change in quality of life, including anxiety</w:t>
            </w:r>
          </w:p>
          <w:p w14:paraId="4EA9C357" w14:textId="77777777" w:rsidR="0003386F" w:rsidRPr="007D0AA8" w:rsidRDefault="0003386F" w:rsidP="00331FB9">
            <w:pPr>
              <w:pStyle w:val="Tablecontents"/>
              <w:numPr>
                <w:ilvl w:val="0"/>
                <w:numId w:val="18"/>
              </w:numPr>
              <w:spacing w:before="0" w:after="0"/>
              <w:ind w:left="342"/>
              <w:rPr>
                <w:rFonts w:cs="Calibri"/>
                <w:i/>
                <w:iCs/>
              </w:rPr>
            </w:pPr>
            <w:r w:rsidRPr="007D0AA8">
              <w:rPr>
                <w:rFonts w:cs="Calibri"/>
              </w:rPr>
              <w:t xml:space="preserve">Mortality </w:t>
            </w:r>
          </w:p>
          <w:p w14:paraId="61B7AD2E" w14:textId="77777777" w:rsidR="0003386F" w:rsidRPr="007D0AA8" w:rsidRDefault="0003386F" w:rsidP="009F48B5">
            <w:pPr>
              <w:pStyle w:val="Tablecontents"/>
              <w:spacing w:before="0" w:after="0"/>
              <w:rPr>
                <w:rFonts w:cs="Calibri"/>
                <w:i/>
                <w:iCs/>
              </w:rPr>
            </w:pPr>
            <w:r w:rsidRPr="007D0AA8">
              <w:rPr>
                <w:rFonts w:cs="Calibri"/>
                <w:i/>
                <w:iCs/>
              </w:rPr>
              <w:t>Healthcare system resources utilisation</w:t>
            </w:r>
          </w:p>
          <w:p w14:paraId="5E7BAFFA" w14:textId="77777777" w:rsidR="0003386F" w:rsidRPr="007D0AA8" w:rsidRDefault="0003386F" w:rsidP="00331FB9">
            <w:pPr>
              <w:pStyle w:val="Tablecontents"/>
              <w:numPr>
                <w:ilvl w:val="0"/>
                <w:numId w:val="18"/>
              </w:numPr>
              <w:spacing w:before="0" w:after="0"/>
              <w:ind w:left="342" w:hanging="342"/>
              <w:rPr>
                <w:rFonts w:cs="Calibri"/>
              </w:rPr>
            </w:pPr>
            <w:r w:rsidRPr="007D0AA8">
              <w:rPr>
                <w:rFonts w:cs="Calibri"/>
              </w:rPr>
              <w:t>Changes in health system resource utilisation associated with the intervention, for example</w:t>
            </w:r>
          </w:p>
          <w:p w14:paraId="4A1AE3BC" w14:textId="77777777" w:rsidR="0003386F" w:rsidRPr="007D0AA8" w:rsidRDefault="0003386F" w:rsidP="00331FB9">
            <w:pPr>
              <w:pStyle w:val="Tablecontents"/>
              <w:numPr>
                <w:ilvl w:val="0"/>
                <w:numId w:val="18"/>
              </w:numPr>
              <w:spacing w:before="0" w:after="0"/>
              <w:ind w:left="342" w:hanging="342"/>
              <w:rPr>
                <w:rFonts w:cs="Calibri"/>
              </w:rPr>
            </w:pPr>
            <w:r w:rsidRPr="007D0AA8">
              <w:rPr>
                <w:rFonts w:cs="Calibri"/>
              </w:rPr>
              <w:t xml:space="preserve">Ig products, </w:t>
            </w:r>
          </w:p>
          <w:p w14:paraId="049F7BF1" w14:textId="77777777" w:rsidR="0003386F" w:rsidRPr="007D0AA8" w:rsidRDefault="0003386F" w:rsidP="00331FB9">
            <w:pPr>
              <w:pStyle w:val="Tablecontents"/>
              <w:numPr>
                <w:ilvl w:val="0"/>
                <w:numId w:val="18"/>
              </w:numPr>
              <w:spacing w:before="0" w:after="0"/>
              <w:ind w:left="342" w:hanging="342"/>
              <w:rPr>
                <w:rFonts w:cs="Calibri"/>
              </w:rPr>
            </w:pPr>
            <w:r w:rsidRPr="007D0AA8">
              <w:rPr>
                <w:rFonts w:cs="Calibri"/>
              </w:rPr>
              <w:t>Infusion equipment,</w:t>
            </w:r>
          </w:p>
          <w:p w14:paraId="75627B74" w14:textId="77777777" w:rsidR="0003386F" w:rsidRPr="007D0AA8" w:rsidRDefault="0003386F" w:rsidP="00331FB9">
            <w:pPr>
              <w:pStyle w:val="Tablecontents"/>
              <w:numPr>
                <w:ilvl w:val="0"/>
                <w:numId w:val="18"/>
              </w:numPr>
              <w:spacing w:before="0" w:after="0"/>
              <w:ind w:left="342" w:hanging="342"/>
              <w:rPr>
                <w:rFonts w:cs="Calibri"/>
              </w:rPr>
            </w:pPr>
            <w:r w:rsidRPr="007D0AA8">
              <w:rPr>
                <w:rFonts w:cs="Calibri"/>
              </w:rPr>
              <w:t xml:space="preserve">Administrative and clinician time (e.g. resources associated with requesting, and authorising, access to Ig), </w:t>
            </w:r>
          </w:p>
          <w:p w14:paraId="5E27061A" w14:textId="77777777" w:rsidR="0003386F" w:rsidRPr="007D0AA8" w:rsidRDefault="0003386F" w:rsidP="00331FB9">
            <w:pPr>
              <w:pStyle w:val="Tablecontents"/>
              <w:numPr>
                <w:ilvl w:val="0"/>
                <w:numId w:val="18"/>
              </w:numPr>
              <w:spacing w:before="0" w:after="0"/>
              <w:ind w:left="342" w:hanging="342"/>
              <w:rPr>
                <w:rFonts w:cs="Calibri"/>
              </w:rPr>
            </w:pPr>
            <w:r w:rsidRPr="007D0AA8">
              <w:rPr>
                <w:rFonts w:cs="Calibri"/>
              </w:rPr>
              <w:t>Nursing time (for initiation and monitoring if IVIg)</w:t>
            </w:r>
          </w:p>
          <w:p w14:paraId="1A22021E" w14:textId="77777777" w:rsidR="0003386F" w:rsidRPr="007D0AA8" w:rsidRDefault="0003386F" w:rsidP="00331FB9">
            <w:pPr>
              <w:pStyle w:val="Tablecontents"/>
              <w:numPr>
                <w:ilvl w:val="0"/>
                <w:numId w:val="18"/>
              </w:numPr>
              <w:spacing w:before="0" w:after="0"/>
              <w:ind w:left="342" w:hanging="342"/>
              <w:rPr>
                <w:rFonts w:cs="Calibri"/>
              </w:rPr>
            </w:pPr>
            <w:r w:rsidRPr="007D0AA8">
              <w:rPr>
                <w:rFonts w:cs="Calibri"/>
              </w:rPr>
              <w:t>Hospitalisation (including use of hospital resources)</w:t>
            </w:r>
          </w:p>
          <w:p w14:paraId="25B7F73E" w14:textId="77777777" w:rsidR="0003386F" w:rsidRPr="007D0AA8" w:rsidRDefault="0003386F" w:rsidP="00331FB9">
            <w:pPr>
              <w:pStyle w:val="Tablecontents"/>
              <w:numPr>
                <w:ilvl w:val="0"/>
                <w:numId w:val="18"/>
              </w:numPr>
              <w:spacing w:before="0" w:after="0"/>
              <w:ind w:left="342" w:hanging="342"/>
              <w:rPr>
                <w:rFonts w:cs="Calibri"/>
              </w:rPr>
            </w:pPr>
            <w:r w:rsidRPr="007D0AA8">
              <w:rPr>
                <w:rFonts w:cs="Calibri"/>
              </w:rPr>
              <w:t>Management of adverse events</w:t>
            </w:r>
          </w:p>
          <w:p w14:paraId="1D94BDCC" w14:textId="77777777" w:rsidR="0003386F" w:rsidRPr="007D0AA8" w:rsidRDefault="0003386F" w:rsidP="00331FB9">
            <w:pPr>
              <w:pStyle w:val="Tablecontents"/>
              <w:numPr>
                <w:ilvl w:val="0"/>
                <w:numId w:val="18"/>
              </w:numPr>
              <w:spacing w:before="0" w:after="0"/>
              <w:ind w:left="342" w:hanging="342"/>
              <w:rPr>
                <w:rFonts w:cs="Calibri"/>
              </w:rPr>
            </w:pPr>
            <w:r w:rsidRPr="007D0AA8">
              <w:rPr>
                <w:rFonts w:cs="Calibri"/>
              </w:rPr>
              <w:t xml:space="preserve">Training of patient or carer to provide infusions (SCIg only), </w:t>
            </w:r>
          </w:p>
          <w:p w14:paraId="6E41FE64" w14:textId="77777777" w:rsidR="0003386F" w:rsidRPr="007D0AA8" w:rsidRDefault="0003386F" w:rsidP="00331FB9">
            <w:pPr>
              <w:pStyle w:val="Tablecontents"/>
              <w:numPr>
                <w:ilvl w:val="0"/>
                <w:numId w:val="18"/>
              </w:numPr>
              <w:spacing w:before="0" w:after="0"/>
              <w:ind w:left="342" w:hanging="342"/>
              <w:rPr>
                <w:rFonts w:cs="Calibri"/>
              </w:rPr>
            </w:pPr>
            <w:r w:rsidRPr="007D0AA8">
              <w:rPr>
                <w:rFonts w:cs="Calibri"/>
              </w:rPr>
              <w:t>Product dispensing and disposal of any unused product</w:t>
            </w:r>
          </w:p>
          <w:p w14:paraId="74C946E0" w14:textId="77777777" w:rsidR="0003386F" w:rsidRPr="007D0AA8" w:rsidRDefault="0003386F" w:rsidP="00331FB9">
            <w:pPr>
              <w:pStyle w:val="Tablecontents"/>
              <w:numPr>
                <w:ilvl w:val="0"/>
                <w:numId w:val="18"/>
              </w:numPr>
              <w:spacing w:before="0" w:after="0"/>
              <w:ind w:left="342" w:hanging="342"/>
              <w:rPr>
                <w:rFonts w:cs="Calibri"/>
              </w:rPr>
            </w:pPr>
            <w:r w:rsidRPr="007D0AA8">
              <w:rPr>
                <w:rFonts w:cs="Calibri"/>
              </w:rPr>
              <w:t xml:space="preserve">Follow-up and/or monitoring visits </w:t>
            </w:r>
          </w:p>
          <w:p w14:paraId="68B0E5A6" w14:textId="77777777" w:rsidR="0003386F" w:rsidRPr="007D0AA8" w:rsidRDefault="0003386F" w:rsidP="00331FB9">
            <w:pPr>
              <w:pStyle w:val="Tablecontents"/>
              <w:numPr>
                <w:ilvl w:val="0"/>
                <w:numId w:val="18"/>
              </w:numPr>
              <w:spacing w:before="0" w:after="0"/>
              <w:ind w:left="342" w:hanging="342"/>
              <w:rPr>
                <w:rFonts w:cs="Calibri"/>
              </w:rPr>
            </w:pPr>
            <w:r w:rsidRPr="007D0AA8">
              <w:rPr>
                <w:rFonts w:cs="Calibri"/>
              </w:rPr>
              <w:t>Change in health system resource utilisation associated with the comparators, for example</w:t>
            </w:r>
          </w:p>
          <w:p w14:paraId="65670F42" w14:textId="77777777" w:rsidR="0003386F" w:rsidRPr="007D0AA8" w:rsidRDefault="0003386F" w:rsidP="00331FB9">
            <w:pPr>
              <w:pStyle w:val="Tablecontents"/>
              <w:numPr>
                <w:ilvl w:val="0"/>
                <w:numId w:val="18"/>
              </w:numPr>
              <w:spacing w:before="0" w:after="0"/>
              <w:ind w:left="342" w:hanging="342"/>
              <w:rPr>
                <w:rFonts w:cs="Calibri"/>
              </w:rPr>
            </w:pPr>
            <w:r w:rsidRPr="007D0AA8">
              <w:rPr>
                <w:rFonts w:cs="Calibri"/>
              </w:rPr>
              <w:t xml:space="preserve">Comparator products </w:t>
            </w:r>
          </w:p>
          <w:p w14:paraId="3DC13DC7" w14:textId="77777777" w:rsidR="0003386F" w:rsidRPr="007D0AA8" w:rsidRDefault="0003386F" w:rsidP="00331FB9">
            <w:pPr>
              <w:pStyle w:val="Tablecontents"/>
              <w:numPr>
                <w:ilvl w:val="0"/>
                <w:numId w:val="18"/>
              </w:numPr>
              <w:spacing w:before="0" w:after="0"/>
              <w:ind w:left="342" w:hanging="342"/>
              <w:rPr>
                <w:rFonts w:cs="Calibri"/>
              </w:rPr>
            </w:pPr>
            <w:r w:rsidRPr="007D0AA8">
              <w:rPr>
                <w:rFonts w:cs="Calibri"/>
              </w:rPr>
              <w:t>Resources to deliver the comparator</w:t>
            </w:r>
          </w:p>
          <w:p w14:paraId="396BDD3A" w14:textId="77777777" w:rsidR="0003386F" w:rsidRPr="007D0AA8" w:rsidRDefault="0003386F" w:rsidP="00331FB9">
            <w:pPr>
              <w:pStyle w:val="Tablecontents"/>
              <w:numPr>
                <w:ilvl w:val="0"/>
                <w:numId w:val="18"/>
              </w:numPr>
              <w:spacing w:before="0" w:after="0"/>
              <w:ind w:left="342" w:hanging="342"/>
              <w:rPr>
                <w:rFonts w:cs="Calibri"/>
              </w:rPr>
            </w:pPr>
            <w:r w:rsidRPr="007D0AA8">
              <w:rPr>
                <w:rFonts w:cs="Calibri"/>
              </w:rPr>
              <w:t>Hospitalisation</w:t>
            </w:r>
          </w:p>
          <w:p w14:paraId="7A12BD0E" w14:textId="77777777" w:rsidR="0003386F" w:rsidRPr="007D0AA8" w:rsidRDefault="0003386F" w:rsidP="00331FB9">
            <w:pPr>
              <w:pStyle w:val="Tablecontents"/>
              <w:numPr>
                <w:ilvl w:val="0"/>
                <w:numId w:val="18"/>
              </w:numPr>
              <w:spacing w:before="0" w:after="0"/>
              <w:ind w:left="342" w:hanging="342"/>
              <w:rPr>
                <w:rFonts w:cs="Calibri"/>
              </w:rPr>
            </w:pPr>
            <w:r w:rsidRPr="007D0AA8">
              <w:rPr>
                <w:rFonts w:cs="Calibri"/>
              </w:rPr>
              <w:t>Management of adverse events</w:t>
            </w:r>
          </w:p>
          <w:p w14:paraId="3BEBAAC3" w14:textId="77777777" w:rsidR="0003386F" w:rsidRPr="007D0AA8" w:rsidRDefault="0003386F" w:rsidP="00331FB9">
            <w:pPr>
              <w:pStyle w:val="Tablecontents"/>
              <w:numPr>
                <w:ilvl w:val="0"/>
                <w:numId w:val="18"/>
              </w:numPr>
              <w:spacing w:before="0" w:after="0"/>
              <w:ind w:left="342" w:hanging="342"/>
              <w:rPr>
                <w:rFonts w:cs="Calibri"/>
              </w:rPr>
            </w:pPr>
            <w:r w:rsidRPr="007D0AA8">
              <w:rPr>
                <w:rFonts w:cs="Calibri"/>
              </w:rPr>
              <w:t>Follow-up and/or monitoring visits</w:t>
            </w:r>
          </w:p>
        </w:tc>
      </w:tr>
      <w:tr w:rsidR="0003386F" w:rsidRPr="007D0AA8" w14:paraId="273DD974" w14:textId="77777777" w:rsidTr="00631CAC">
        <w:trPr>
          <w:gridAfter w:val="1"/>
          <w:wAfter w:w="16" w:type="pct"/>
        </w:trPr>
        <w:tc>
          <w:tcPr>
            <w:tcW w:w="778" w:type="pct"/>
          </w:tcPr>
          <w:p w14:paraId="153BB92E" w14:textId="77777777" w:rsidR="0003386F" w:rsidRPr="007D0AA8" w:rsidRDefault="0003386F" w:rsidP="009F48B5">
            <w:pPr>
              <w:spacing w:before="20" w:after="20"/>
              <w:rPr>
                <w:rFonts w:ascii="Arial Narrow" w:hAnsi="Arial Narrow" w:cs="Arial"/>
              </w:rPr>
            </w:pPr>
            <w:r w:rsidRPr="007D0AA8">
              <w:rPr>
                <w:rFonts w:ascii="Arial Narrow" w:eastAsia="Calibri" w:hAnsi="Arial Narrow" w:cs="Arial"/>
                <w:sz w:val="20"/>
                <w:lang w:eastAsia="en-US"/>
              </w:rPr>
              <w:t>Questions for evidence review</w:t>
            </w:r>
          </w:p>
        </w:tc>
        <w:tc>
          <w:tcPr>
            <w:tcW w:w="4206" w:type="pct"/>
          </w:tcPr>
          <w:p w14:paraId="2F3BE145" w14:textId="77777777" w:rsidR="0003386F" w:rsidRPr="007D0AA8" w:rsidRDefault="0003386F" w:rsidP="009F48B5">
            <w:pPr>
              <w:spacing w:before="20" w:after="20"/>
              <w:rPr>
                <w:rFonts w:ascii="Arial Narrow" w:hAnsi="Arial Narrow"/>
              </w:rPr>
            </w:pPr>
            <w:r w:rsidRPr="007D0AA8">
              <w:rPr>
                <w:rFonts w:ascii="Arial Narrow" w:hAnsi="Arial Narrow"/>
              </w:rPr>
              <w:t xml:space="preserve">Is IgG replacement therapy (with or without antibiotics) more safe, effective and cost-effective than no IgG (with or without antibiotics)?  </w:t>
            </w:r>
          </w:p>
        </w:tc>
      </w:tr>
    </w:tbl>
    <w:p w14:paraId="0ACBF243" w14:textId="77777777" w:rsidR="0003386F" w:rsidRPr="007D0AA8" w:rsidRDefault="0003386F" w:rsidP="00C43B20">
      <w:pPr>
        <w:pStyle w:val="Tablenotes1"/>
      </w:pPr>
    </w:p>
    <w:p w14:paraId="6174C434" w14:textId="13E74DBF" w:rsidR="00F5251C" w:rsidRPr="007D0AA8" w:rsidRDefault="005155D3" w:rsidP="00DF343F">
      <w:r w:rsidRPr="007D0AA8">
        <w:t>Two researchers independently reviewed the titles and abstracts, and the citations which looked relevant to either researcher were retrieved for evaluation of the full text article. Full text articles were assessed by one researcher. The included studies had their risk of bias evaluated according to checklists designed for their study designs. Randomised and non-randomised controlled trials and observational studies were assessed using the</w:t>
      </w:r>
      <w:r w:rsidR="00767E2D">
        <w:t xml:space="preserve"> Scottish Intercollegiate Guidelines Network (</w:t>
      </w:r>
      <w:r w:rsidRPr="007D0AA8">
        <w:t>SIGN</w:t>
      </w:r>
      <w:r w:rsidR="00767E2D">
        <w:t>)</w:t>
      </w:r>
      <w:r w:rsidRPr="007D0AA8">
        <w:t xml:space="preserve"> checklists, and case series were assessed using the Institute of Health Economics checklist. The overall body of evidence per outcome measure were evaluated using the </w:t>
      </w:r>
      <w:r w:rsidR="00767E2D">
        <w:t>Grading of Recommendations Assessment, Development and Evaluation (</w:t>
      </w:r>
      <w:r w:rsidRPr="007D0AA8">
        <w:t>GRADE</w:t>
      </w:r>
      <w:r w:rsidR="00767E2D">
        <w:t>)</w:t>
      </w:r>
      <w:r w:rsidRPr="007D0AA8">
        <w:t xml:space="preserve"> process. </w:t>
      </w:r>
    </w:p>
    <w:p w14:paraId="78E65E25" w14:textId="51399F28" w:rsidR="008C7152" w:rsidRPr="00386411" w:rsidRDefault="00630910" w:rsidP="00DF343F">
      <w:pPr>
        <w:pStyle w:val="Heading3"/>
      </w:pPr>
      <w:bookmarkStart w:id="86" w:name="_Toc395200749"/>
      <w:bookmarkStart w:id="87" w:name="_Toc14431108"/>
      <w:bookmarkStart w:id="88" w:name="_Toc16856276"/>
      <w:r w:rsidRPr="00386411">
        <w:rPr>
          <w:rStyle w:val="Heading3Char"/>
          <w:b/>
          <w:smallCaps/>
        </w:rPr>
        <w:t>Characteristics of the Evidence B</w:t>
      </w:r>
      <w:r w:rsidR="00A36EB9" w:rsidRPr="00386411">
        <w:rPr>
          <w:rStyle w:val="Heading3Char"/>
          <w:b/>
          <w:smallCaps/>
        </w:rPr>
        <w:t>ase</w:t>
      </w:r>
      <w:bookmarkEnd w:id="72"/>
      <w:bookmarkEnd w:id="73"/>
      <w:bookmarkEnd w:id="74"/>
      <w:bookmarkEnd w:id="86"/>
      <w:bookmarkEnd w:id="87"/>
      <w:bookmarkEnd w:id="88"/>
    </w:p>
    <w:p w14:paraId="38B69DF0" w14:textId="52151BE6" w:rsidR="00A36EB9" w:rsidRDefault="005155D3" w:rsidP="00903A7D">
      <w:r w:rsidRPr="00AE4873">
        <w:t xml:space="preserve">A total of </w:t>
      </w:r>
      <w:r w:rsidR="00510F2A" w:rsidRPr="00AE4873">
        <w:t>24</w:t>
      </w:r>
      <w:r w:rsidRPr="00AE4873">
        <w:t xml:space="preserve"> studies were included in this contracted assessment. Given that </w:t>
      </w:r>
      <w:r w:rsidR="00BC6102" w:rsidRPr="00AE4873">
        <w:t>IgG treatment is current</w:t>
      </w:r>
      <w:r w:rsidR="00BC6102" w:rsidRPr="007D0AA8">
        <w:t xml:space="preserve"> </w:t>
      </w:r>
      <w:r w:rsidR="00816960" w:rsidRPr="007D0AA8">
        <w:t xml:space="preserve">clinical </w:t>
      </w:r>
      <w:r w:rsidR="00BC6102" w:rsidRPr="007D0AA8">
        <w:t xml:space="preserve">practice for patients with acquired hypogammaglobulinaemia, it was expected there would be </w:t>
      </w:r>
      <w:r w:rsidR="00BC6102" w:rsidRPr="00903A7D">
        <w:t xml:space="preserve">a large volume of evidence. </w:t>
      </w:r>
      <w:r w:rsidR="006E188E" w:rsidRPr="00903A7D">
        <w:t xml:space="preserve">However, this was not the case. </w:t>
      </w:r>
    </w:p>
    <w:p w14:paraId="4FE5BFC5" w14:textId="77777777" w:rsidR="00756FBE" w:rsidRPr="007D0AA8" w:rsidRDefault="00756FBE" w:rsidP="00756FBE">
      <w:pPr>
        <w:spacing w:before="240"/>
      </w:pPr>
      <w:r w:rsidRPr="00A3568E">
        <w:t xml:space="preserve">Overall, the studies included in the report were low level evidence consisting </w:t>
      </w:r>
      <w:r>
        <w:t>primarily of case series with a small number of randomised studies (several of which did not adequately report the primary efficacy outcome, infections)</w:t>
      </w:r>
      <w:r w:rsidRPr="00A3568E">
        <w:t xml:space="preserve">. </w:t>
      </w:r>
    </w:p>
    <w:p w14:paraId="50D5DAA0" w14:textId="0A6572D0" w:rsidR="00A36EB9" w:rsidRPr="00386411" w:rsidRDefault="00A36EB9" w:rsidP="00DF343F">
      <w:pPr>
        <w:pStyle w:val="Heading3"/>
      </w:pPr>
      <w:bookmarkStart w:id="89" w:name="_Toc395200750"/>
      <w:bookmarkStart w:id="90" w:name="_Toc14431109"/>
      <w:bookmarkStart w:id="91" w:name="_Toc16856277"/>
      <w:r w:rsidRPr="00386411">
        <w:lastRenderedPageBreak/>
        <w:t>Results</w:t>
      </w:r>
      <w:bookmarkEnd w:id="89"/>
      <w:bookmarkEnd w:id="90"/>
      <w:bookmarkEnd w:id="91"/>
    </w:p>
    <w:p w14:paraId="37310F2E" w14:textId="77777777" w:rsidR="00E91BE1" w:rsidRPr="00386411" w:rsidRDefault="008C7152" w:rsidP="00DF343F">
      <w:pPr>
        <w:pStyle w:val="Heading4"/>
      </w:pPr>
      <w:r w:rsidRPr="00386411">
        <w:t xml:space="preserve">Safety </w:t>
      </w:r>
    </w:p>
    <w:p w14:paraId="4CF247CC" w14:textId="7A952E3D" w:rsidR="00816960" w:rsidRPr="007D0AA8" w:rsidRDefault="00816960" w:rsidP="00816960">
      <w:r w:rsidRPr="007D0AA8">
        <w:t xml:space="preserve">In the included studies, safety data were limited to reports of systemic </w:t>
      </w:r>
      <w:r w:rsidR="00767E2D">
        <w:t>adverse events (</w:t>
      </w:r>
      <w:r w:rsidRPr="007D0AA8">
        <w:t>AEs</w:t>
      </w:r>
      <w:r w:rsidR="00767E2D">
        <w:t>)</w:t>
      </w:r>
      <w:r w:rsidRPr="007D0AA8">
        <w:t xml:space="preserve"> directly related to the infusion, with the exception of a registry study reporting </w:t>
      </w:r>
      <w:r w:rsidR="00767E2D">
        <w:t>thromboembolic events (</w:t>
      </w:r>
      <w:r w:rsidRPr="007D0AA8">
        <w:t>TEE</w:t>
      </w:r>
      <w:r w:rsidR="00767E2D">
        <w:t>)</w:t>
      </w:r>
      <w:r w:rsidRPr="007D0AA8">
        <w:t xml:space="preserve"> risk. </w:t>
      </w:r>
      <w:r w:rsidR="00FA20FD" w:rsidRPr="007D0AA8">
        <w:t xml:space="preserve">Otherwise it was not feasible to consider long-term, rare or potentially unknown events. </w:t>
      </w:r>
      <w:r w:rsidRPr="007D0AA8">
        <w:t>A number of the included studi</w:t>
      </w:r>
      <w:r w:rsidR="009B0175">
        <w:t>es reported no safety outcomes.</w:t>
      </w:r>
    </w:p>
    <w:p w14:paraId="363C6D71" w14:textId="790BD479" w:rsidR="00903A7D" w:rsidRPr="007D0AA8" w:rsidRDefault="00903A7D" w:rsidP="00903A7D">
      <w:r w:rsidRPr="007D0AA8">
        <w:t>Overall, the included studies show that IgG has inferior safety to No IgG</w:t>
      </w:r>
      <w:r>
        <w:t xml:space="preserve">, due to infusion-related AEs </w:t>
      </w:r>
      <w:r w:rsidRPr="001A55A1">
        <w:t>and a small risk of TEE events</w:t>
      </w:r>
      <w:r w:rsidR="00B17280">
        <w:t xml:space="preserve"> (note that safety relates to unintended adverse events - benefits and risks due to infections are considered as part of effectiveness)</w:t>
      </w:r>
      <w:r w:rsidRPr="001A55A1">
        <w:t>.</w:t>
      </w:r>
      <w:r w:rsidRPr="007D0AA8">
        <w:t xml:space="preserve"> </w:t>
      </w:r>
    </w:p>
    <w:p w14:paraId="42B3BC29" w14:textId="65D796C8" w:rsidR="00816960" w:rsidRPr="007D0AA8" w:rsidRDefault="00816960" w:rsidP="00816960">
      <w:r w:rsidRPr="007D0AA8">
        <w:t xml:space="preserve">AEs associated with IgG </w:t>
      </w:r>
      <w:r w:rsidR="00903A7D">
        <w:t xml:space="preserve">infusion </w:t>
      </w:r>
      <w:r w:rsidRPr="007D0AA8">
        <w:t xml:space="preserve">were frequent but generally mild (low grade) and were manageable with adjustments to infusion. Moderate AEs tended to be less frequent and were manageable with dose adjustment, cessation or corticosteroids. None of the included studies reported any AEs greater than Grade 3 severity, nor were there any deaths or anaphylaxis due to IgG. </w:t>
      </w:r>
    </w:p>
    <w:p w14:paraId="5FA1C07E" w14:textId="4A55E92D" w:rsidR="00903A7D" w:rsidRPr="007D0AA8" w:rsidRDefault="00903A7D" w:rsidP="00903A7D">
      <w:r w:rsidRPr="007D0AA8">
        <w:t>The ‘No IgG’ comparator was typically observation, thus safety of IgG was worse than the comparator, associated with injection site effects and systemic infusion reactions</w:t>
      </w:r>
      <w:r>
        <w:t xml:space="preserve"> (and noting that</w:t>
      </w:r>
      <w:r w:rsidR="00B17280">
        <w:t xml:space="preserve"> differing</w:t>
      </w:r>
      <w:r>
        <w:t xml:space="preserve"> rates of infection are </w:t>
      </w:r>
      <w:r w:rsidR="00B17280">
        <w:t>part of</w:t>
      </w:r>
      <w:r>
        <w:t xml:space="preserve"> effectiveness </w:t>
      </w:r>
      <w:r w:rsidR="00B17280">
        <w:t>rather than safety</w:t>
      </w:r>
      <w:r>
        <w:t>)</w:t>
      </w:r>
      <w:r w:rsidRPr="007D0AA8">
        <w:t>. Occasionally recurrent infusion reactions lead to discontinuation of treatment. Some of the older studies employed a sham injection of solution such as albumin or saline – these were also associated with</w:t>
      </w:r>
      <w:r>
        <w:t xml:space="preserve"> infusion-related</w:t>
      </w:r>
      <w:r w:rsidRPr="007D0AA8">
        <w:t xml:space="preserve"> AEs, but at a lower rate than IgG. </w:t>
      </w:r>
    </w:p>
    <w:p w14:paraId="1A43023A" w14:textId="6B65B082" w:rsidR="00816960" w:rsidRPr="007D0AA8" w:rsidRDefault="00816960" w:rsidP="00903A7D">
      <w:r w:rsidRPr="007D0AA8">
        <w:t xml:space="preserve">A small number of studies compared IVIg and SCIg, which showed that SCIg is associated with different AEs (injection site reactions) but is generally more tolerable (fewer systemic </w:t>
      </w:r>
      <w:r w:rsidR="00631CAC" w:rsidRPr="007D0AA8">
        <w:t xml:space="preserve">infusion reactions). One study </w:t>
      </w:r>
      <w:r w:rsidR="00631CAC" w:rsidRPr="007D0AA8">
        <w:fldChar w:fldCharType="begin">
          <w:fldData xml:space="preserve">PEVuZE5vdGU+PENpdGU+PEF1dGhvcj5TdW5kaW48L0F1dGhvcj48WWVhcj4yMDEyPC9ZZWFyPjxS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</w:fldData>
        </w:fldChar>
      </w:r>
      <w:r w:rsidR="00CE0425" w:rsidRPr="007D0AA8">
        <w:instrText xml:space="preserve"> ADDIN EN.CITE </w:instrText>
      </w:r>
      <w:r w:rsidR="00CE0425" w:rsidRPr="007D0AA8">
        <w:fldChar w:fldCharType="begin">
          <w:fldData xml:space="preserve">PEVuZE5vdGU+PENpdGU+PEF1dGhvcj5TdW5kaW48L0F1dGhvcj48WWVhcj4yMDEyPC9ZZWFyPjxS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</w:fldData>
        </w:fldChar>
      </w:r>
      <w:r w:rsidR="00CE0425" w:rsidRPr="007D0AA8">
        <w:instrText xml:space="preserve"> ADDIN EN.CITE.DATA </w:instrText>
      </w:r>
      <w:r w:rsidR="00CE0425" w:rsidRPr="007D0AA8">
        <w:fldChar w:fldCharType="end"/>
      </w:r>
      <w:r w:rsidR="00631CAC" w:rsidRPr="007D0AA8">
        <w:fldChar w:fldCharType="separate"/>
      </w:r>
      <w:r w:rsidR="00CE0425" w:rsidRPr="007D0AA8">
        <w:rPr>
          <w:noProof/>
        </w:rPr>
        <w:t>(</w:t>
      </w:r>
      <w:hyperlink w:anchor="_ENREF_50" w:tooltip="Sundin, 2012 #86" w:history="1">
        <w:r w:rsidR="00BB0145" w:rsidRPr="007D0AA8">
          <w:rPr>
            <w:noProof/>
          </w:rPr>
          <w:t>Sundin et al. 2012</w:t>
        </w:r>
      </w:hyperlink>
      <w:r w:rsidR="00CE0425" w:rsidRPr="007D0AA8">
        <w:rPr>
          <w:noProof/>
        </w:rPr>
        <w:t>)</w:t>
      </w:r>
      <w:r w:rsidR="00631CAC" w:rsidRPr="007D0AA8">
        <w:fldChar w:fldCharType="end"/>
      </w:r>
      <w:r w:rsidRPr="007D0AA8">
        <w:t xml:space="preserve"> reported that patients with a history of AEs due to IVIg products had fewer or more manageable AEs with SCIg.  </w:t>
      </w:r>
    </w:p>
    <w:p w14:paraId="4571EFBF" w14:textId="6291FCF8" w:rsidR="00816960" w:rsidRPr="007D0AA8" w:rsidRDefault="00816960" w:rsidP="00903A7D">
      <w:r w:rsidRPr="007D0AA8">
        <w:t xml:space="preserve">IgG products have been in use in this population for some decades, thus the safety profile is well understood, even as regards rare events. In lieu of adequate safety data from the included studies, the safety data contained within approved Product Information should provide a suitably comprehensive assessment of safety for IgG products. </w:t>
      </w:r>
      <w:r w:rsidR="00903A7D">
        <w:t xml:space="preserve">The most common AEs associated with IVIg infusion are chills, headache, dizziness, fever, vomiting, allergic reactions, nausea, arthralgia, low blood pressure and moderate low back pain. Serious AEs such as thromboembolic reactions and myocardial infarctions, stroke, pulmonary embolisms, or deep vein thrombosis are very rare. </w:t>
      </w:r>
    </w:p>
    <w:p w14:paraId="1ED7775D" w14:textId="77777777" w:rsidR="00E91BE1" w:rsidRPr="00386411" w:rsidRDefault="008C7152" w:rsidP="00DF343F">
      <w:pPr>
        <w:pStyle w:val="Heading4"/>
      </w:pPr>
      <w:r w:rsidRPr="00386411">
        <w:t xml:space="preserve">Effectiveness </w:t>
      </w:r>
    </w:p>
    <w:p w14:paraId="511C50AC" w14:textId="6FAA4411" w:rsidR="00903A7D" w:rsidRPr="000A0DE1" w:rsidRDefault="00903A7D" w:rsidP="00903A7D">
      <w:r>
        <w:t xml:space="preserve">The key effectiveness measure determined </w:t>
      </w:r>
      <w:r>
        <w:rPr>
          <w:i/>
        </w:rPr>
        <w:t xml:space="preserve">a priori </w:t>
      </w:r>
      <w:r>
        <w:t xml:space="preserve">during development of the PICO confirmation, was the rate of infections. Overall, there is </w:t>
      </w:r>
      <w:r w:rsidR="00756FBE">
        <w:t>reasonable</w:t>
      </w:r>
      <w:r>
        <w:t xml:space="preserve"> evidence that IgG is effective at reducing the </w:t>
      </w:r>
      <w:r w:rsidRPr="00AE4873">
        <w:lastRenderedPageBreak/>
        <w:t xml:space="preserve">incidence of infections. </w:t>
      </w:r>
      <w:r w:rsidR="00DC1CE6" w:rsidRPr="00AE4873">
        <w:t>The results are remarkably consistent despite the otherwise highly variable quality of the included studies.</w:t>
      </w:r>
    </w:p>
    <w:p w14:paraId="2891FF57" w14:textId="4045BEF5" w:rsidR="00756FBE" w:rsidRDefault="00903A7D" w:rsidP="00903A7D">
      <w:r w:rsidRPr="007D0AA8">
        <w:t>The randomised trial evidence showed that the rate of major</w:t>
      </w:r>
      <w:r>
        <w:t xml:space="preserve"> infections/life-threatening</w:t>
      </w:r>
      <w:r w:rsidRPr="007D0AA8">
        <w:t xml:space="preserve"> infections</w:t>
      </w:r>
      <w:r>
        <w:t xml:space="preserve">/ septicaemia </w:t>
      </w:r>
      <w:r w:rsidRPr="007D0AA8">
        <w:t>was significantly lower in patients with acquired hypogammaglobulinaemia, who received IVIg (k=5), or SCIg (k=1) than those who did not receive Ig</w:t>
      </w:r>
      <w:r>
        <w:t xml:space="preserve"> (incident rate ratio/IRR=0.14, 95%CI 0.05, 0.43)</w:t>
      </w:r>
      <w:r w:rsidRPr="007D0AA8">
        <w:t xml:space="preserve">. </w:t>
      </w:r>
      <w:r>
        <w:t xml:space="preserve">Those receiving IgG only had one seventh the incidence of serious infections that those being managed without IgG had over the same time period, which is highly clinically important. The difference in non-serious infections was less marked, but still </w:t>
      </w:r>
      <w:r w:rsidR="00FA20FD">
        <w:t>significant</w:t>
      </w:r>
      <w:r>
        <w:t xml:space="preserve"> (k=6; IRR=0.61, 95%CI 0.51, 0.72). These trial data were supported by nine before and after case series, which compared the rate of infections within patients prior to receiving IgG, and while receiving IgG. The incidence of serious infections/sepsis or pneumonia or infections requiring hospitalisation was only a quarter of the incidence recorded prior to IgG initiation (IRR=0.25, 95%CI 0.15, 0.43). Similar to the randomised trials, the incidence of non-serious infections was also significantly reduced by the use of IgG (IRR=0.64, 95</w:t>
      </w:r>
      <w:r w:rsidR="00DC1CE6">
        <w:t>%</w:t>
      </w:r>
      <w:r>
        <w:t xml:space="preserve">CI 0.49, 0.84). </w:t>
      </w:r>
      <w:r w:rsidR="00756FBE" w:rsidRPr="001641E7">
        <w:t xml:space="preserve">The limitations of the evidence mean that the risk ratios reported in these meta-analyses are highly uncertain. </w:t>
      </w:r>
      <w:r w:rsidR="00756FBE" w:rsidRPr="001641E7" w:rsidDel="007379E0">
        <w:t xml:space="preserve"> </w:t>
      </w:r>
    </w:p>
    <w:p w14:paraId="393227B0" w14:textId="3E971B54" w:rsidR="00D15544" w:rsidRPr="007D0AA8" w:rsidRDefault="00903A7D" w:rsidP="00DF343F">
      <w:r>
        <w:t>Only one trial</w:t>
      </w:r>
      <w:r w:rsidR="00D15544" w:rsidRPr="007D0AA8">
        <w:t xml:space="preserve"> reported on the difference in mortality, which was not significantly different for the overall sample. However, in a subsample of patients aged over 20 who had undergone a bone marrow transplant</w:t>
      </w:r>
      <w:r w:rsidR="00816960" w:rsidRPr="007D0AA8">
        <w:t xml:space="preserve"> (BMT)</w:t>
      </w:r>
      <w:r w:rsidR="00D15544" w:rsidRPr="007D0AA8">
        <w:t xml:space="preserve"> from </w:t>
      </w:r>
      <w:r w:rsidR="00066ADB" w:rsidRPr="007D0AA8">
        <w:t>HL</w:t>
      </w:r>
      <w:r w:rsidR="00816960" w:rsidRPr="007D0AA8">
        <w:t>A</w:t>
      </w:r>
      <w:r w:rsidR="00066ADB" w:rsidRPr="007D0AA8">
        <w:t>-identical donors, the cumulative incidence of non-relapse mortality was significantly higher in those who did not receive IVIg (46%) tha</w:t>
      </w:r>
      <w:r w:rsidR="00631CAC" w:rsidRPr="007D0AA8">
        <w:t xml:space="preserve">n those who did (30%, p=0.023) </w:t>
      </w:r>
      <w:r w:rsidR="00631CAC" w:rsidRPr="007D0AA8">
        <w:fldChar w:fldCharType="begin">
          <w:fldData xml:space="preserve">PEVuZE5vdGU+PENpdGU+PEF1dGhvcj5TdWxsaXZhbjwvQXV0aG9yPjxZZWFyPjE5OTA8L1llYXI+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</w:fldData>
        </w:fldChar>
      </w:r>
      <w:r w:rsidR="00CE0425" w:rsidRPr="007D0AA8">
        <w:instrText xml:space="preserve"> ADDIN EN.CITE </w:instrText>
      </w:r>
      <w:r w:rsidR="00CE0425" w:rsidRPr="007D0AA8">
        <w:fldChar w:fldCharType="begin">
          <w:fldData xml:space="preserve">PEVuZE5vdGU+PENpdGU+PEF1dGhvcj5TdWxsaXZhbjwvQXV0aG9yPjxZZWFyPjE5OTA8L1llYXI+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</w:fldData>
        </w:fldChar>
      </w:r>
      <w:r w:rsidR="00CE0425" w:rsidRPr="007D0AA8">
        <w:instrText xml:space="preserve"> ADDIN EN.CITE.DATA </w:instrText>
      </w:r>
      <w:r w:rsidR="00CE0425" w:rsidRPr="007D0AA8">
        <w:fldChar w:fldCharType="end"/>
      </w:r>
      <w:r w:rsidR="00631CAC" w:rsidRPr="007D0AA8">
        <w:fldChar w:fldCharType="separate"/>
      </w:r>
      <w:r w:rsidR="00CE0425" w:rsidRPr="007D0AA8">
        <w:rPr>
          <w:noProof/>
        </w:rPr>
        <w:t>(</w:t>
      </w:r>
      <w:hyperlink w:anchor="_ENREF_48" w:tooltip="Sullivan, 1990 #67" w:history="1">
        <w:r w:rsidR="00BB0145" w:rsidRPr="007D0AA8">
          <w:rPr>
            <w:noProof/>
          </w:rPr>
          <w:t>Sullivan et al. 1990</w:t>
        </w:r>
      </w:hyperlink>
      <w:r w:rsidR="00CE0425" w:rsidRPr="007D0AA8">
        <w:rPr>
          <w:noProof/>
        </w:rPr>
        <w:t>)</w:t>
      </w:r>
      <w:r w:rsidR="00631CAC" w:rsidRPr="007D0AA8">
        <w:fldChar w:fldCharType="end"/>
      </w:r>
      <w:r w:rsidR="00066ADB" w:rsidRPr="007D0AA8">
        <w:t xml:space="preserve">. </w:t>
      </w:r>
    </w:p>
    <w:p w14:paraId="4676A694" w14:textId="10229295" w:rsidR="00D12967" w:rsidRPr="007D0AA8" w:rsidRDefault="00066ADB" w:rsidP="00DF343F">
      <w:r w:rsidRPr="007D0AA8">
        <w:t>Quality of life on the SF-36 was reported to be statistically significantly higher in a sample of MM patients who were randomised to re</w:t>
      </w:r>
      <w:r w:rsidR="00631CAC" w:rsidRPr="007D0AA8">
        <w:t xml:space="preserve">ceive SCIg compared to no SCIg </w:t>
      </w:r>
      <w:r w:rsidR="00631CAC" w:rsidRPr="007D0AA8">
        <w:fldChar w:fldCharType="begin">
          <w:fldData xml:space="preserve">PEVuZE5vdGU+PENpdGU+PEF1dGhvcj5WYWNjYTwvQXV0aG9yPjxZZWFyPjIwMTg8L1llYXI+PFJl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</w:fldData>
        </w:fldChar>
      </w:r>
      <w:r w:rsidR="00CE0425" w:rsidRPr="007D0AA8">
        <w:instrText xml:space="preserve"> ADDIN EN.CITE </w:instrText>
      </w:r>
      <w:r w:rsidR="00CE0425" w:rsidRPr="007D0AA8">
        <w:fldChar w:fldCharType="begin">
          <w:fldData xml:space="preserve">PEVuZE5vdGU+PENpdGU+PEF1dGhvcj5WYWNjYTwvQXV0aG9yPjxZZWFyPjIwMTg8L1llYXI+PFJl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</w:fldData>
        </w:fldChar>
      </w:r>
      <w:r w:rsidR="00CE0425" w:rsidRPr="007D0AA8">
        <w:instrText xml:space="preserve"> ADDIN EN.CITE.DATA </w:instrText>
      </w:r>
      <w:r w:rsidR="00CE0425" w:rsidRPr="007D0AA8">
        <w:fldChar w:fldCharType="end"/>
      </w:r>
      <w:r w:rsidR="00631CAC" w:rsidRPr="007D0AA8">
        <w:fldChar w:fldCharType="separate"/>
      </w:r>
      <w:r w:rsidR="00CE0425" w:rsidRPr="007D0AA8">
        <w:rPr>
          <w:noProof/>
        </w:rPr>
        <w:t>(</w:t>
      </w:r>
      <w:hyperlink w:anchor="_ENREF_52" w:tooltip="Vacca, 2018 #30" w:history="1">
        <w:r w:rsidR="00BB0145" w:rsidRPr="007D0AA8">
          <w:rPr>
            <w:noProof/>
          </w:rPr>
          <w:t>Vacca et al. 2018</w:t>
        </w:r>
      </w:hyperlink>
      <w:r w:rsidR="00CE0425" w:rsidRPr="007D0AA8">
        <w:rPr>
          <w:noProof/>
        </w:rPr>
        <w:t>)</w:t>
      </w:r>
      <w:r w:rsidR="00631CAC" w:rsidRPr="007D0AA8">
        <w:fldChar w:fldCharType="end"/>
      </w:r>
      <w:r w:rsidRPr="007D0AA8">
        <w:t xml:space="preserve">. </w:t>
      </w:r>
    </w:p>
    <w:p w14:paraId="7E3842E4" w14:textId="218892C4" w:rsidR="00D12967" w:rsidRPr="007D0AA8" w:rsidRDefault="00D12967" w:rsidP="00DF343F">
      <w:r w:rsidRPr="007D0AA8">
        <w:t xml:space="preserve">Vacca et al. (2018) performed a trial in MM patients, randomised to either SCIg or no SCIg. Patients who received SCIg had far fewer days of </w:t>
      </w:r>
      <w:r w:rsidR="00AA46D0" w:rsidRPr="007D0AA8">
        <w:t>antibiotic</w:t>
      </w:r>
      <w:r w:rsidRPr="007D0AA8">
        <w:t xml:space="preserve"> use (28 vs 217) and hospitalisation (8 vs 121) than those who did not receive SCIg. These differences were considered both statistically significant and clinically important. </w:t>
      </w:r>
    </w:p>
    <w:p w14:paraId="7A6808BC" w14:textId="575C30BB" w:rsidR="0023020D" w:rsidRPr="007D0AA8" w:rsidRDefault="0023020D" w:rsidP="009404AD">
      <w:r w:rsidRPr="007D0AA8">
        <w:t>The summary of</w:t>
      </w:r>
      <w:r w:rsidR="009404AD">
        <w:t xml:space="preserve"> evidence</w:t>
      </w:r>
      <w:r w:rsidRPr="007D0AA8">
        <w:t xml:space="preserve"> is shown in </w:t>
      </w:r>
      <w:r w:rsidRPr="007D0AA8">
        <w:fldChar w:fldCharType="begin"/>
      </w:r>
      <w:r w:rsidRPr="007D0AA8">
        <w:instrText xml:space="preserve"> REF _Ref421184437 \h </w:instrText>
      </w:r>
      <w:r w:rsidR="00386411" w:rsidRPr="007D0AA8">
        <w:instrText xml:space="preserve"> \* MERGEFORMAT </w:instrText>
      </w:r>
      <w:r w:rsidRPr="007D0AA8">
        <w:fldChar w:fldCharType="separate"/>
      </w:r>
      <w:r w:rsidR="00A7463B" w:rsidRPr="00386411">
        <w:t xml:space="preserve">Table </w:t>
      </w:r>
      <w:r w:rsidR="00A7463B">
        <w:rPr>
          <w:noProof/>
        </w:rPr>
        <w:t>4</w:t>
      </w:r>
      <w:r w:rsidRPr="007D0AA8">
        <w:fldChar w:fldCharType="end"/>
      </w:r>
      <w:r w:rsidRPr="007D0AA8">
        <w:t>.</w:t>
      </w:r>
      <w:r w:rsidR="009404AD">
        <w:t xml:space="preserve"> </w:t>
      </w:r>
      <w:r w:rsidR="009404AD" w:rsidRPr="007D0AA8">
        <w:t>On the basis of the benefits and harms reported in the evidence base</w:t>
      </w:r>
      <w:r w:rsidR="009404AD" w:rsidRPr="00D72EE3">
        <w:rPr>
          <w:b/>
        </w:rPr>
        <w:t xml:space="preserve"> </w:t>
      </w:r>
      <w:r w:rsidR="009404AD" w:rsidRPr="004B048A">
        <w:t xml:space="preserve">it is suggested that, relative to </w:t>
      </w:r>
      <w:r w:rsidR="009404AD" w:rsidRPr="007379E0">
        <w:t>No IgG replacement with antibiotics as required, the use of IgG products with antibiotics as required has</w:t>
      </w:r>
      <w:r w:rsidR="009404AD">
        <w:t xml:space="preserve"> </w:t>
      </w:r>
      <w:r w:rsidR="009404AD" w:rsidRPr="00D72EE3">
        <w:rPr>
          <w:b/>
        </w:rPr>
        <w:t>inferior safety</w:t>
      </w:r>
      <w:r w:rsidR="009404AD" w:rsidRPr="004B048A">
        <w:t xml:space="preserve"> and</w:t>
      </w:r>
      <w:r w:rsidR="009404AD" w:rsidRPr="00D72EE3">
        <w:rPr>
          <w:b/>
        </w:rPr>
        <w:t xml:space="preserve"> superior effectiveness</w:t>
      </w:r>
      <w:r w:rsidR="00B17280" w:rsidRPr="00B17280">
        <w:t xml:space="preserve"> (where safety is based on unintended adverse events and effectiveness is based on rates of infections)</w:t>
      </w:r>
      <w:r w:rsidR="009404AD" w:rsidRPr="007D0AA8">
        <w:t>.</w:t>
      </w:r>
    </w:p>
    <w:p w14:paraId="765AB9CC" w14:textId="0FAD5617" w:rsidR="004466FC" w:rsidRPr="00386411" w:rsidRDefault="00540F5E" w:rsidP="004466FC">
      <w:pPr>
        <w:pStyle w:val="Caption"/>
        <w:keepNext/>
        <w:rPr>
          <w:rFonts w:cs="Arial"/>
          <w:snapToGrid w:val="0"/>
          <w:szCs w:val="16"/>
          <w:lang w:eastAsia="en-US"/>
        </w:rPr>
      </w:pPr>
      <w:bookmarkStart w:id="92" w:name="_Ref421184437"/>
      <w:bookmarkStart w:id="93" w:name="_Toc14429547"/>
      <w:bookmarkStart w:id="94" w:name="_Toc16671602"/>
      <w:r w:rsidRPr="00386411">
        <w:lastRenderedPageBreak/>
        <w:t xml:space="preserve">Table </w:t>
      </w:r>
      <w:r w:rsidR="00E46014" w:rsidRPr="00386411">
        <w:rPr>
          <w:noProof/>
        </w:rPr>
        <w:fldChar w:fldCharType="begin"/>
      </w:r>
      <w:r w:rsidR="00E46014" w:rsidRPr="00386411">
        <w:rPr>
          <w:noProof/>
        </w:rPr>
        <w:instrText xml:space="preserve"> SEQ Table \* ARABIC </w:instrText>
      </w:r>
      <w:r w:rsidR="00E46014" w:rsidRPr="00386411">
        <w:rPr>
          <w:noProof/>
        </w:rPr>
        <w:fldChar w:fldCharType="separate"/>
      </w:r>
      <w:r w:rsidR="00A7463B">
        <w:rPr>
          <w:noProof/>
        </w:rPr>
        <w:t>4</w:t>
      </w:r>
      <w:r w:rsidR="00E46014" w:rsidRPr="00386411">
        <w:rPr>
          <w:noProof/>
        </w:rPr>
        <w:fldChar w:fldCharType="end"/>
      </w:r>
      <w:bookmarkEnd w:id="92"/>
      <w:r w:rsidR="006252C4">
        <w:rPr>
          <w:noProof/>
        </w:rPr>
        <w:tab/>
      </w:r>
      <w:r w:rsidR="006252C4">
        <w:rPr>
          <w:noProof/>
        </w:rPr>
        <w:tab/>
      </w:r>
      <w:r w:rsidR="004466FC" w:rsidRPr="00270836">
        <w:rPr>
          <w:rFonts w:cs="Arial"/>
          <w:snapToGrid w:val="0"/>
          <w:szCs w:val="16"/>
          <w:lang w:eastAsia="en-US"/>
        </w:rPr>
        <w:t xml:space="preserve">Balance of clinical benefits and harms of IgG with antibiotics as required, relative to No IgG with </w:t>
      </w:r>
      <w:r w:rsidR="00FA20FD" w:rsidRPr="00270836">
        <w:rPr>
          <w:rFonts w:cs="Arial"/>
          <w:snapToGrid w:val="0"/>
          <w:szCs w:val="16"/>
          <w:lang w:eastAsia="en-US"/>
        </w:rPr>
        <w:t>antibiotics</w:t>
      </w:r>
      <w:r w:rsidR="004466FC" w:rsidRPr="00270836">
        <w:rPr>
          <w:rFonts w:cs="Arial"/>
          <w:snapToGrid w:val="0"/>
          <w:szCs w:val="16"/>
          <w:lang w:eastAsia="en-US"/>
        </w:rPr>
        <w:t xml:space="preserve"> as required</w:t>
      </w:r>
      <w:r w:rsidR="004466FC">
        <w:rPr>
          <w:rFonts w:cs="Arial"/>
          <w:snapToGrid w:val="0"/>
          <w:szCs w:val="16"/>
          <w:lang w:eastAsia="en-US"/>
        </w:rPr>
        <w:t xml:space="preserve"> (GRADE assessment)</w:t>
      </w:r>
      <w:bookmarkEnd w:id="93"/>
      <w:bookmarkEnd w:id="94"/>
    </w:p>
    <w:tbl>
      <w:tblPr>
        <w:tblW w:w="0" w:type="auto"/>
        <w:tblLook w:val="04A0" w:firstRow="1" w:lastRow="0" w:firstColumn="1" w:lastColumn="0" w:noHBand="0" w:noVBand="1"/>
        <w:tblDescription w:val="Summary of findings table"/>
      </w:tblPr>
      <w:tblGrid>
        <w:gridCol w:w="1129"/>
        <w:gridCol w:w="1701"/>
        <w:gridCol w:w="1276"/>
        <w:gridCol w:w="1418"/>
        <w:gridCol w:w="3492"/>
      </w:tblGrid>
      <w:tr w:rsidR="004466FC" w:rsidRPr="00386411" w14:paraId="1BD6B92B" w14:textId="77777777" w:rsidTr="004466FC">
        <w:tc>
          <w:tcPr>
            <w:tcW w:w="1129" w:type="dxa"/>
            <w:tcBorders>
              <w:top w:val="single" w:sz="4" w:space="0" w:color="auto"/>
              <w:left w:val="single" w:sz="4" w:space="0" w:color="auto"/>
              <w:bottom w:val="single" w:sz="4" w:space="0" w:color="auto"/>
              <w:right w:val="single" w:sz="4" w:space="0" w:color="auto"/>
            </w:tcBorders>
          </w:tcPr>
          <w:p w14:paraId="1196CF2F" w14:textId="77777777" w:rsidR="004466FC" w:rsidRPr="00386411" w:rsidRDefault="004466FC" w:rsidP="00114624">
            <w:pPr>
              <w:pStyle w:val="TableHeading"/>
            </w:pPr>
            <w:r w:rsidRPr="00386411">
              <w:t>Outcomes (units)</w:t>
            </w:r>
          </w:p>
          <w:p w14:paraId="6196EC27" w14:textId="77777777" w:rsidR="004466FC" w:rsidRPr="00386411" w:rsidRDefault="004466FC" w:rsidP="00114624">
            <w:pPr>
              <w:pStyle w:val="TableHeading"/>
            </w:pPr>
            <w:r w:rsidRPr="00386411">
              <w:t>Follow-up</w:t>
            </w:r>
          </w:p>
        </w:tc>
        <w:tc>
          <w:tcPr>
            <w:tcW w:w="1701" w:type="dxa"/>
            <w:tcBorders>
              <w:top w:val="single" w:sz="4" w:space="0" w:color="auto"/>
              <w:left w:val="single" w:sz="4" w:space="0" w:color="auto"/>
              <w:bottom w:val="single" w:sz="4" w:space="0" w:color="auto"/>
              <w:right w:val="single" w:sz="4" w:space="0" w:color="auto"/>
            </w:tcBorders>
          </w:tcPr>
          <w:p w14:paraId="75EE8934" w14:textId="77777777" w:rsidR="004466FC" w:rsidRPr="00386411" w:rsidRDefault="004466FC" w:rsidP="00114624">
            <w:pPr>
              <w:pStyle w:val="TableHeading"/>
            </w:pPr>
            <w:r>
              <w:t>Participants (studies)</w:t>
            </w:r>
          </w:p>
        </w:tc>
        <w:tc>
          <w:tcPr>
            <w:tcW w:w="1276" w:type="dxa"/>
            <w:tcBorders>
              <w:top w:val="single" w:sz="4" w:space="0" w:color="auto"/>
              <w:left w:val="single" w:sz="4" w:space="0" w:color="auto"/>
              <w:bottom w:val="single" w:sz="4" w:space="0" w:color="auto"/>
              <w:right w:val="single" w:sz="4" w:space="0" w:color="auto"/>
            </w:tcBorders>
          </w:tcPr>
          <w:p w14:paraId="5B128574" w14:textId="77777777" w:rsidR="004466FC" w:rsidRPr="00386411" w:rsidRDefault="004466FC" w:rsidP="00114624">
            <w:pPr>
              <w:pStyle w:val="TableHeading"/>
            </w:pPr>
            <w:r w:rsidRPr="00386411">
              <w:t>Quality of evidence (GRADE)</w:t>
            </w:r>
          </w:p>
        </w:tc>
        <w:tc>
          <w:tcPr>
            <w:tcW w:w="1418" w:type="dxa"/>
            <w:tcBorders>
              <w:top w:val="single" w:sz="4" w:space="0" w:color="auto"/>
              <w:left w:val="single" w:sz="4" w:space="0" w:color="auto"/>
              <w:bottom w:val="single" w:sz="4" w:space="0" w:color="auto"/>
              <w:right w:val="single" w:sz="4" w:space="0" w:color="auto"/>
            </w:tcBorders>
          </w:tcPr>
          <w:p w14:paraId="70968CD4" w14:textId="77777777" w:rsidR="004466FC" w:rsidRPr="00386411" w:rsidRDefault="004466FC" w:rsidP="00114624">
            <w:pPr>
              <w:pStyle w:val="TableHeading"/>
            </w:pPr>
            <w:r w:rsidRPr="00386411">
              <w:t>Relative effect</w:t>
            </w:r>
          </w:p>
        </w:tc>
        <w:tc>
          <w:tcPr>
            <w:tcW w:w="3492" w:type="dxa"/>
            <w:tcBorders>
              <w:top w:val="single" w:sz="4" w:space="0" w:color="auto"/>
              <w:left w:val="single" w:sz="4" w:space="0" w:color="auto"/>
              <w:bottom w:val="single" w:sz="4" w:space="0" w:color="auto"/>
              <w:right w:val="single" w:sz="4" w:space="0" w:color="auto"/>
            </w:tcBorders>
          </w:tcPr>
          <w:p w14:paraId="5AA58B1D" w14:textId="77777777" w:rsidR="004466FC" w:rsidRPr="00386411" w:rsidRDefault="004466FC" w:rsidP="00114624">
            <w:pPr>
              <w:pStyle w:val="TableHeading"/>
            </w:pPr>
            <w:r w:rsidRPr="00386411">
              <w:t>Comments</w:t>
            </w:r>
          </w:p>
        </w:tc>
      </w:tr>
      <w:tr w:rsidR="004466FC" w:rsidRPr="00D62020" w14:paraId="45D6ACC6" w14:textId="77777777" w:rsidTr="004466FC">
        <w:trPr>
          <w:trHeight w:val="263"/>
        </w:trPr>
        <w:tc>
          <w:tcPr>
            <w:tcW w:w="1129" w:type="dxa"/>
            <w:tcBorders>
              <w:top w:val="single" w:sz="4" w:space="0" w:color="auto"/>
              <w:left w:val="single" w:sz="4" w:space="0" w:color="auto"/>
              <w:bottom w:val="single" w:sz="4" w:space="0" w:color="auto"/>
              <w:right w:val="single" w:sz="4" w:space="0" w:color="auto"/>
            </w:tcBorders>
          </w:tcPr>
          <w:p w14:paraId="178A741A" w14:textId="77777777" w:rsidR="004466FC" w:rsidRPr="00A34300" w:rsidRDefault="004466FC" w:rsidP="00114624">
            <w:pPr>
              <w:pStyle w:val="Tabletext1"/>
            </w:pPr>
            <w:r w:rsidRPr="00A34300">
              <w:t>Safety</w:t>
            </w:r>
          </w:p>
        </w:tc>
        <w:tc>
          <w:tcPr>
            <w:tcW w:w="1701" w:type="dxa"/>
            <w:tcBorders>
              <w:top w:val="single" w:sz="4" w:space="0" w:color="auto"/>
              <w:left w:val="single" w:sz="4" w:space="0" w:color="auto"/>
              <w:bottom w:val="single" w:sz="4" w:space="0" w:color="auto"/>
              <w:right w:val="single" w:sz="4" w:space="0" w:color="auto"/>
            </w:tcBorders>
          </w:tcPr>
          <w:p w14:paraId="3594B5E1" w14:textId="77777777" w:rsidR="004466FC" w:rsidRDefault="004466FC" w:rsidP="00114624">
            <w:pPr>
              <w:pStyle w:val="Tabletext1"/>
            </w:pPr>
            <w:r>
              <w:t>K=13 studies; N=1,342</w:t>
            </w:r>
          </w:p>
          <w:p w14:paraId="25124791" w14:textId="77777777" w:rsidR="004466FC" w:rsidRPr="00A34300" w:rsidRDefault="004466FC" w:rsidP="00114624">
            <w:pPr>
              <w:pStyle w:val="Tabletext1"/>
            </w:pPr>
            <w:r>
              <w:t>(2 RCTs reported AEs for both IgG and No IgG; N=125)</w:t>
            </w:r>
          </w:p>
        </w:tc>
        <w:tc>
          <w:tcPr>
            <w:tcW w:w="1276" w:type="dxa"/>
            <w:tcBorders>
              <w:top w:val="single" w:sz="4" w:space="0" w:color="auto"/>
              <w:left w:val="single" w:sz="4" w:space="0" w:color="auto"/>
              <w:bottom w:val="single" w:sz="4" w:space="0" w:color="auto"/>
              <w:right w:val="single" w:sz="4" w:space="0" w:color="auto"/>
            </w:tcBorders>
          </w:tcPr>
          <w:p w14:paraId="0EB86953" w14:textId="77777777" w:rsidR="004466FC" w:rsidRDefault="004466FC" w:rsidP="00114624">
            <w:pPr>
              <w:pStyle w:val="Tabletext1"/>
              <w:rPr>
                <w:rFonts w:ascii="Cambria Math" w:hAnsi="Cambria Math" w:cs="Cambria Math"/>
                <w:color w:val="C00000"/>
              </w:rPr>
            </w:pPr>
            <w:r w:rsidRPr="00A34300">
              <w:rPr>
                <w:rFonts w:ascii="Cambria Math" w:hAnsi="Cambria Math" w:cs="Cambria Math"/>
                <w:color w:val="00B050"/>
              </w:rPr>
              <w:t>⨁⨁</w:t>
            </w:r>
            <w:r w:rsidRPr="00A34300">
              <w:rPr>
                <w:rFonts w:ascii="Cambria Math" w:hAnsi="Cambria Math" w:cs="Cambria Math"/>
                <w:color w:val="C00000"/>
              </w:rPr>
              <w:t>⨀⨀</w:t>
            </w:r>
          </w:p>
          <w:p w14:paraId="49503C73" w14:textId="41023533" w:rsidR="00210D1F" w:rsidRPr="00210D1F" w:rsidRDefault="00210D1F">
            <w:pPr>
              <w:pStyle w:val="Tabletext1"/>
            </w:pPr>
            <w:r w:rsidRPr="00B52A4F">
              <w:t>Low quality</w:t>
            </w:r>
          </w:p>
        </w:tc>
        <w:tc>
          <w:tcPr>
            <w:tcW w:w="1418" w:type="dxa"/>
            <w:tcBorders>
              <w:top w:val="single" w:sz="4" w:space="0" w:color="auto"/>
              <w:left w:val="single" w:sz="4" w:space="0" w:color="auto"/>
              <w:bottom w:val="single" w:sz="4" w:space="0" w:color="auto"/>
              <w:right w:val="single" w:sz="4" w:space="0" w:color="auto"/>
            </w:tcBorders>
          </w:tcPr>
          <w:p w14:paraId="262BD927" w14:textId="77777777" w:rsidR="004466FC" w:rsidRPr="00A34300" w:rsidRDefault="004466FC" w:rsidP="00114624">
            <w:pPr>
              <w:pStyle w:val="Tabletext1"/>
            </w:pPr>
            <w:r w:rsidRPr="00A34300">
              <w:t>IgG has worse safety than No IgG</w:t>
            </w:r>
          </w:p>
        </w:tc>
        <w:tc>
          <w:tcPr>
            <w:tcW w:w="3492" w:type="dxa"/>
            <w:tcBorders>
              <w:top w:val="single" w:sz="4" w:space="0" w:color="auto"/>
              <w:left w:val="single" w:sz="4" w:space="0" w:color="auto"/>
              <w:bottom w:val="single" w:sz="4" w:space="0" w:color="auto"/>
              <w:right w:val="single" w:sz="4" w:space="0" w:color="auto"/>
            </w:tcBorders>
          </w:tcPr>
          <w:p w14:paraId="7B366AAE" w14:textId="59F7E92B" w:rsidR="004466FC" w:rsidRPr="00A34300" w:rsidRDefault="004466FC" w:rsidP="00114624">
            <w:pPr>
              <w:pStyle w:val="Tabletext1"/>
            </w:pPr>
            <w:r w:rsidRPr="00A34300">
              <w:t>Safety data were limited and sometimes absent for the included studies, focusing on infusion-related events only</w:t>
            </w:r>
            <w:r>
              <w:t xml:space="preserve"> (key RCTs </w:t>
            </w:r>
            <w:r>
              <w:fldChar w:fldCharType="begin">
                <w:fldData xml:space="preserve">PEVuZE5vdGU+PENpdGU+PEF1dGhvcj5DaGFwZWw8L0F1dGhvcj48WWVhcj4xOTk0PC9ZZWFyPjxS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==
</w:fldData>
              </w:fldChar>
            </w:r>
            <w:r>
              <w:instrText xml:space="preserve"> ADDIN EN.CITE </w:instrText>
            </w:r>
            <w:r>
              <w:fldChar w:fldCharType="begin">
                <w:fldData xml:space="preserve">PEVuZE5vdGU+PENpdGU+PEF1dGhvcj5DaGFwZWw8L0F1dGhvcj48WWVhcj4xOTk0PC9ZZWFyPjxS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==
</w:fldData>
              </w:fldChar>
            </w:r>
            <w:r>
              <w:instrText xml:space="preserve"> ADDIN EN.CITE.DATA </w:instrText>
            </w:r>
            <w:r>
              <w:fldChar w:fldCharType="end"/>
            </w:r>
            <w:r>
              <w:fldChar w:fldCharType="separate"/>
            </w:r>
            <w:r>
              <w:rPr>
                <w:noProof/>
              </w:rPr>
              <w:t>(</w:t>
            </w:r>
            <w:hyperlink w:anchor="_ENREF_7" w:tooltip="Boughton, 1995 #40" w:history="1">
              <w:r w:rsidR="00BB0145">
                <w:rPr>
                  <w:noProof/>
                </w:rPr>
                <w:t>Boughton et al. 1995</w:t>
              </w:r>
            </w:hyperlink>
            <w:r>
              <w:rPr>
                <w:noProof/>
              </w:rPr>
              <w:t xml:space="preserve">; </w:t>
            </w:r>
            <w:hyperlink w:anchor="_ENREF_13" w:tooltip="Chapel, 1994 #56" w:history="1">
              <w:r w:rsidR="00BB0145">
                <w:rPr>
                  <w:noProof/>
                </w:rPr>
                <w:t>Chapel et al. 1994b</w:t>
              </w:r>
            </w:hyperlink>
            <w:r>
              <w:rPr>
                <w:noProof/>
              </w:rPr>
              <w:t>)</w:t>
            </w:r>
            <w:r>
              <w:fldChar w:fldCharType="end"/>
            </w:r>
            <w:r>
              <w:t>)</w:t>
            </w:r>
            <w:r w:rsidRPr="00A34300">
              <w:t xml:space="preserve">. </w:t>
            </w:r>
            <w:r w:rsidRPr="00A34300">
              <w:br/>
              <w:t>No evidence was available for long</w:t>
            </w:r>
            <w:r>
              <w:t>er</w:t>
            </w:r>
            <w:r w:rsidRPr="00A34300">
              <w:t>-term outcomes</w:t>
            </w:r>
            <w:r>
              <w:t xml:space="preserve"> other than TEE risk</w:t>
            </w:r>
            <w:r w:rsidRPr="00A34300">
              <w:t xml:space="preserve">. </w:t>
            </w:r>
          </w:p>
          <w:p w14:paraId="71A79A48" w14:textId="77777777" w:rsidR="004466FC" w:rsidRPr="00A34300" w:rsidRDefault="004466FC" w:rsidP="00114624">
            <w:pPr>
              <w:pStyle w:val="Tabletext1"/>
            </w:pPr>
            <w:r w:rsidRPr="00A34300">
              <w:t xml:space="preserve">Adverse events reported were nevertheless consistent with the established safety profile for IgG products (discussed in Extended Assessment of Harms).  </w:t>
            </w:r>
          </w:p>
        </w:tc>
      </w:tr>
      <w:tr w:rsidR="004466FC" w:rsidRPr="00D62020" w14:paraId="4452954E" w14:textId="77777777" w:rsidTr="004466FC">
        <w:trPr>
          <w:trHeight w:val="25"/>
        </w:trPr>
        <w:tc>
          <w:tcPr>
            <w:tcW w:w="1129" w:type="dxa"/>
            <w:tcBorders>
              <w:top w:val="single" w:sz="4" w:space="0" w:color="auto"/>
              <w:left w:val="single" w:sz="4" w:space="0" w:color="auto"/>
              <w:bottom w:val="single" w:sz="4" w:space="0" w:color="auto"/>
              <w:right w:val="single" w:sz="4" w:space="0" w:color="auto"/>
            </w:tcBorders>
          </w:tcPr>
          <w:p w14:paraId="57AF0211" w14:textId="77777777" w:rsidR="004466FC" w:rsidRPr="00A34300" w:rsidRDefault="004466FC" w:rsidP="00114624">
            <w:pPr>
              <w:pStyle w:val="Tabletext1"/>
            </w:pPr>
            <w:r w:rsidRPr="00A34300">
              <w:t>TEE risk (arterial or venous)</w:t>
            </w:r>
          </w:p>
        </w:tc>
        <w:tc>
          <w:tcPr>
            <w:tcW w:w="1701" w:type="dxa"/>
            <w:tcBorders>
              <w:top w:val="single" w:sz="4" w:space="0" w:color="auto"/>
              <w:left w:val="single" w:sz="4" w:space="0" w:color="auto"/>
              <w:bottom w:val="single" w:sz="4" w:space="0" w:color="auto"/>
              <w:right w:val="single" w:sz="4" w:space="0" w:color="auto"/>
            </w:tcBorders>
          </w:tcPr>
          <w:p w14:paraId="6FEF33B8" w14:textId="77777777" w:rsidR="004466FC" w:rsidRDefault="004466FC" w:rsidP="00114624">
            <w:pPr>
              <w:pStyle w:val="Tabletext1"/>
            </w:pPr>
            <w:r w:rsidRPr="00A34300">
              <w:t>1 registry study</w:t>
            </w:r>
          </w:p>
          <w:p w14:paraId="46A0091D" w14:textId="77777777" w:rsidR="004466FC" w:rsidRPr="00A34300" w:rsidRDefault="004466FC" w:rsidP="00114624">
            <w:pPr>
              <w:pStyle w:val="Tabletext1"/>
            </w:pPr>
            <w:r>
              <w:t>N=10,759</w:t>
            </w:r>
          </w:p>
        </w:tc>
        <w:tc>
          <w:tcPr>
            <w:tcW w:w="1276" w:type="dxa"/>
            <w:tcBorders>
              <w:top w:val="single" w:sz="4" w:space="0" w:color="auto"/>
              <w:left w:val="single" w:sz="4" w:space="0" w:color="auto"/>
              <w:bottom w:val="single" w:sz="4" w:space="0" w:color="auto"/>
              <w:right w:val="single" w:sz="4" w:space="0" w:color="auto"/>
            </w:tcBorders>
          </w:tcPr>
          <w:p w14:paraId="11A2C110" w14:textId="77777777" w:rsidR="004466FC" w:rsidRDefault="004466FC" w:rsidP="00114624">
            <w:pPr>
              <w:pStyle w:val="Tabletext1"/>
              <w:rPr>
                <w:rFonts w:ascii="Cambria Math" w:hAnsi="Cambria Math" w:cs="Cambria Math"/>
                <w:color w:val="00B050"/>
              </w:rPr>
            </w:pPr>
            <w:r w:rsidRPr="00A34300">
              <w:rPr>
                <w:rFonts w:ascii="Cambria Math" w:hAnsi="Cambria Math" w:cs="Cambria Math"/>
                <w:color w:val="00B050"/>
              </w:rPr>
              <w:t>⨁⨁⨁⨁</w:t>
            </w:r>
          </w:p>
          <w:p w14:paraId="048A6D56" w14:textId="6F8F9175" w:rsidR="00210D1F" w:rsidRPr="00210D1F" w:rsidRDefault="00210D1F">
            <w:pPr>
              <w:pStyle w:val="Tabletext1"/>
            </w:pPr>
            <w:r w:rsidRPr="00B52A4F">
              <w:t>High quality</w:t>
            </w:r>
          </w:p>
        </w:tc>
        <w:tc>
          <w:tcPr>
            <w:tcW w:w="1418" w:type="dxa"/>
            <w:tcBorders>
              <w:top w:val="single" w:sz="4" w:space="0" w:color="auto"/>
              <w:left w:val="single" w:sz="4" w:space="0" w:color="auto"/>
              <w:bottom w:val="single" w:sz="4" w:space="0" w:color="auto"/>
              <w:right w:val="single" w:sz="4" w:space="0" w:color="auto"/>
            </w:tcBorders>
          </w:tcPr>
          <w:p w14:paraId="4D9140E0" w14:textId="77777777" w:rsidR="004466FC" w:rsidRPr="00A34300" w:rsidRDefault="004466FC" w:rsidP="00114624">
            <w:pPr>
              <w:pStyle w:val="Tabletext1"/>
            </w:pPr>
            <w:r w:rsidRPr="00A34300">
              <w:t>% Risk difference (95% CI), 1 yr IgG tx:</w:t>
            </w:r>
            <w:r w:rsidRPr="00A34300">
              <w:br/>
              <w:t>1.0 (-0.2, 2.7)</w:t>
            </w:r>
          </w:p>
        </w:tc>
        <w:tc>
          <w:tcPr>
            <w:tcW w:w="3492" w:type="dxa"/>
            <w:tcBorders>
              <w:top w:val="single" w:sz="4" w:space="0" w:color="auto"/>
              <w:left w:val="single" w:sz="4" w:space="0" w:color="auto"/>
              <w:bottom w:val="single" w:sz="4" w:space="0" w:color="auto"/>
              <w:right w:val="single" w:sz="4" w:space="0" w:color="auto"/>
            </w:tcBorders>
          </w:tcPr>
          <w:p w14:paraId="5872B9E6" w14:textId="77777777" w:rsidR="004466FC" w:rsidRPr="00A34300" w:rsidRDefault="004466FC" w:rsidP="00114624">
            <w:pPr>
              <w:pStyle w:val="Tabletext1"/>
            </w:pPr>
            <w:r w:rsidRPr="00A34300">
              <w:t>Only 1 included study, but very large, recent registry study. Control and intervention groups were balanced for cardiovascular risk. Selection bias which limits use of this study for infections is unlikely to affect cardiovascular safety</w:t>
            </w:r>
            <w:r>
              <w:t xml:space="preserve"> (the main endpoint of this study)</w:t>
            </w:r>
            <w:r w:rsidRPr="00A34300">
              <w:t xml:space="preserve"> – high confidence in risk of TEE due to IgG. </w:t>
            </w:r>
          </w:p>
        </w:tc>
      </w:tr>
      <w:tr w:rsidR="004466FC" w:rsidRPr="00D62020" w14:paraId="24DDCA64" w14:textId="77777777" w:rsidTr="004466FC">
        <w:tc>
          <w:tcPr>
            <w:tcW w:w="1129" w:type="dxa"/>
            <w:tcBorders>
              <w:top w:val="single" w:sz="4" w:space="0" w:color="auto"/>
              <w:left w:val="single" w:sz="4" w:space="0" w:color="auto"/>
              <w:bottom w:val="single" w:sz="4" w:space="0" w:color="auto"/>
              <w:right w:val="single" w:sz="4" w:space="0" w:color="auto"/>
            </w:tcBorders>
          </w:tcPr>
          <w:p w14:paraId="2F36A8A1" w14:textId="77777777" w:rsidR="004466FC" w:rsidRPr="00A34300" w:rsidRDefault="004466FC" w:rsidP="00114624">
            <w:pPr>
              <w:pStyle w:val="Tabletext1"/>
            </w:pPr>
            <w:r w:rsidRPr="00A34300">
              <w:t>Infections</w:t>
            </w:r>
          </w:p>
        </w:tc>
        <w:tc>
          <w:tcPr>
            <w:tcW w:w="1701" w:type="dxa"/>
            <w:tcBorders>
              <w:top w:val="single" w:sz="4" w:space="0" w:color="auto"/>
              <w:left w:val="single" w:sz="4" w:space="0" w:color="auto"/>
              <w:bottom w:val="single" w:sz="4" w:space="0" w:color="auto"/>
              <w:right w:val="single" w:sz="4" w:space="0" w:color="auto"/>
            </w:tcBorders>
          </w:tcPr>
          <w:p w14:paraId="5EEFF36A" w14:textId="77777777" w:rsidR="004466FC" w:rsidRDefault="004466FC" w:rsidP="00114624">
            <w:pPr>
              <w:pStyle w:val="Tabletext1"/>
            </w:pPr>
            <w:r>
              <w:t>K=20 studies, N=1,930</w:t>
            </w:r>
          </w:p>
          <w:p w14:paraId="365A1BED" w14:textId="77777777" w:rsidR="004466FC" w:rsidRPr="00A34300" w:rsidRDefault="004466FC" w:rsidP="00114624">
            <w:pPr>
              <w:pStyle w:val="Tabletext1"/>
            </w:pPr>
            <w:r w:rsidRPr="00A34300">
              <w:t>(</w:t>
            </w:r>
            <w:r>
              <w:t>15 in meta-analyses: 6 RCTs, 2 cohort, 7 case series; N=1,536)</w:t>
            </w:r>
          </w:p>
        </w:tc>
        <w:tc>
          <w:tcPr>
            <w:tcW w:w="1276" w:type="dxa"/>
            <w:tcBorders>
              <w:top w:val="single" w:sz="4" w:space="0" w:color="auto"/>
              <w:left w:val="single" w:sz="4" w:space="0" w:color="auto"/>
              <w:bottom w:val="single" w:sz="4" w:space="0" w:color="auto"/>
              <w:right w:val="single" w:sz="4" w:space="0" w:color="auto"/>
            </w:tcBorders>
          </w:tcPr>
          <w:p w14:paraId="1A900B9B" w14:textId="77777777" w:rsidR="004466FC" w:rsidRDefault="004466FC" w:rsidP="00114624">
            <w:pPr>
              <w:pStyle w:val="Tabletext1"/>
              <w:rPr>
                <w:rFonts w:ascii="Cambria Math" w:hAnsi="Cambria Math" w:cs="Cambria Math"/>
                <w:color w:val="C00000"/>
              </w:rPr>
            </w:pPr>
            <w:r w:rsidRPr="00A34300">
              <w:rPr>
                <w:rFonts w:ascii="Cambria Math" w:hAnsi="Cambria Math" w:cs="Cambria Math"/>
                <w:color w:val="00B050"/>
              </w:rPr>
              <w:t>⨁⨁</w:t>
            </w:r>
            <w:r w:rsidRPr="00A34300">
              <w:rPr>
                <w:rFonts w:ascii="Cambria Math" w:hAnsi="Cambria Math" w:cs="Cambria Math"/>
                <w:color w:val="C00000"/>
              </w:rPr>
              <w:t>⨀⨀</w:t>
            </w:r>
          </w:p>
          <w:p w14:paraId="39EE1496" w14:textId="6A1D64D2" w:rsidR="00210D1F" w:rsidRPr="00A34300" w:rsidRDefault="00210D1F" w:rsidP="00114624">
            <w:pPr>
              <w:pStyle w:val="Tabletext1"/>
            </w:pPr>
            <w:r w:rsidRPr="00F360C5">
              <w:t>Low quality</w:t>
            </w:r>
          </w:p>
        </w:tc>
        <w:tc>
          <w:tcPr>
            <w:tcW w:w="1418" w:type="dxa"/>
            <w:tcBorders>
              <w:top w:val="single" w:sz="4" w:space="0" w:color="auto"/>
              <w:left w:val="single" w:sz="4" w:space="0" w:color="auto"/>
              <w:bottom w:val="single" w:sz="4" w:space="0" w:color="auto"/>
              <w:right w:val="single" w:sz="4" w:space="0" w:color="auto"/>
            </w:tcBorders>
          </w:tcPr>
          <w:p w14:paraId="7D988EE3" w14:textId="77777777" w:rsidR="004466FC" w:rsidRPr="00A34300" w:rsidRDefault="004466FC" w:rsidP="00114624">
            <w:pPr>
              <w:pStyle w:val="Tabletext1"/>
            </w:pPr>
            <w:r>
              <w:t xml:space="preserve">Rate ratio (95% CI) </w:t>
            </w:r>
            <w:r>
              <w:br/>
              <w:t>0.14 (0.05, 0.43) for reduction of serious infections with IgG compared to No IgG</w:t>
            </w:r>
          </w:p>
        </w:tc>
        <w:tc>
          <w:tcPr>
            <w:tcW w:w="3492" w:type="dxa"/>
            <w:tcBorders>
              <w:top w:val="single" w:sz="4" w:space="0" w:color="auto"/>
              <w:left w:val="single" w:sz="4" w:space="0" w:color="auto"/>
              <w:bottom w:val="single" w:sz="4" w:space="0" w:color="auto"/>
              <w:right w:val="single" w:sz="4" w:space="0" w:color="auto"/>
            </w:tcBorders>
          </w:tcPr>
          <w:p w14:paraId="60AE96D8" w14:textId="3907D7AD" w:rsidR="004466FC" w:rsidRPr="00A34300" w:rsidRDefault="004466FC" w:rsidP="00114624">
            <w:pPr>
              <w:pStyle w:val="Tabletext1"/>
            </w:pPr>
            <w:r w:rsidRPr="00A34300">
              <w:t xml:space="preserve">The quality of evidence was poor overall and infections were both reported and defined in widely variable </w:t>
            </w:r>
            <w:r w:rsidR="00FA20FD" w:rsidRPr="00A34300">
              <w:t>ways. Moderate</w:t>
            </w:r>
            <w:r w:rsidRPr="00A34300">
              <w:t xml:space="preserve"> confidence that IgG reduces serious infections in patients </w:t>
            </w:r>
            <w:r>
              <w:t>based on a meta-analysis</w:t>
            </w:r>
            <w:r w:rsidRPr="00A34300">
              <w:t xml:space="preserve">, but effective dose range could not be identified with any confidence and evidence was absent or limited for some of the conditions such as HSCTs, AL and ‘Other haematological malignancies’. </w:t>
            </w:r>
          </w:p>
        </w:tc>
      </w:tr>
      <w:tr w:rsidR="004466FC" w:rsidRPr="00D62020" w14:paraId="5FF0E972" w14:textId="77777777" w:rsidTr="004466FC">
        <w:tc>
          <w:tcPr>
            <w:tcW w:w="1129" w:type="dxa"/>
            <w:tcBorders>
              <w:top w:val="single" w:sz="4" w:space="0" w:color="auto"/>
              <w:left w:val="single" w:sz="4" w:space="0" w:color="auto"/>
              <w:bottom w:val="single" w:sz="4" w:space="0" w:color="auto"/>
              <w:right w:val="single" w:sz="4" w:space="0" w:color="auto"/>
            </w:tcBorders>
          </w:tcPr>
          <w:p w14:paraId="6BAA23B6" w14:textId="77777777" w:rsidR="004466FC" w:rsidRPr="00A34300" w:rsidRDefault="004466FC" w:rsidP="00114624">
            <w:pPr>
              <w:pStyle w:val="Tabletext1"/>
            </w:pPr>
            <w:r w:rsidRPr="00A34300">
              <w:t>Transplant-related events</w:t>
            </w:r>
          </w:p>
        </w:tc>
        <w:tc>
          <w:tcPr>
            <w:tcW w:w="1701" w:type="dxa"/>
            <w:tcBorders>
              <w:top w:val="single" w:sz="4" w:space="0" w:color="auto"/>
              <w:left w:val="single" w:sz="4" w:space="0" w:color="auto"/>
              <w:bottom w:val="single" w:sz="4" w:space="0" w:color="auto"/>
              <w:right w:val="single" w:sz="4" w:space="0" w:color="auto"/>
            </w:tcBorders>
          </w:tcPr>
          <w:p w14:paraId="7928DE99" w14:textId="77777777" w:rsidR="004466FC" w:rsidRPr="00A34300" w:rsidRDefault="004466FC" w:rsidP="00114624">
            <w:pPr>
              <w:pStyle w:val="Tabletext1"/>
            </w:pPr>
            <w:r w:rsidRPr="00A34300">
              <w:t xml:space="preserve">1 RCT </w:t>
            </w:r>
            <w:r>
              <w:t>(N=369)</w:t>
            </w:r>
            <w:r w:rsidRPr="00A34300">
              <w:br/>
              <w:t>1 supportive study</w:t>
            </w:r>
            <w:r>
              <w:t xml:space="preserve"> (N=58)</w:t>
            </w:r>
          </w:p>
        </w:tc>
        <w:tc>
          <w:tcPr>
            <w:tcW w:w="1276" w:type="dxa"/>
            <w:tcBorders>
              <w:top w:val="single" w:sz="4" w:space="0" w:color="auto"/>
              <w:left w:val="single" w:sz="4" w:space="0" w:color="auto"/>
              <w:bottom w:val="single" w:sz="4" w:space="0" w:color="auto"/>
              <w:right w:val="single" w:sz="4" w:space="0" w:color="auto"/>
            </w:tcBorders>
          </w:tcPr>
          <w:p w14:paraId="10F81D48" w14:textId="77777777" w:rsidR="004466FC" w:rsidRDefault="004466FC" w:rsidP="00114624">
            <w:pPr>
              <w:pStyle w:val="Tabletext1"/>
              <w:rPr>
                <w:rFonts w:ascii="Cambria Math" w:hAnsi="Cambria Math" w:cs="Cambria Math"/>
                <w:color w:val="C00000"/>
              </w:rPr>
            </w:pPr>
            <w:r w:rsidRPr="00A34300">
              <w:rPr>
                <w:rFonts w:ascii="Cambria Math" w:hAnsi="Cambria Math"/>
                <w:color w:val="00B050"/>
              </w:rPr>
              <w:t>⨁</w:t>
            </w:r>
            <w:r w:rsidRPr="00A34300">
              <w:rPr>
                <w:rFonts w:ascii="Cambria Math" w:hAnsi="Cambria Math" w:cs="Cambria Math"/>
                <w:color w:val="C00000"/>
              </w:rPr>
              <w:t>⨀⨀⨀</w:t>
            </w:r>
          </w:p>
          <w:p w14:paraId="2FF07990" w14:textId="112F6504" w:rsidR="00210D1F" w:rsidRPr="00A34300" w:rsidRDefault="00210D1F" w:rsidP="00114624">
            <w:pPr>
              <w:pStyle w:val="Tabletext1"/>
            </w:pPr>
            <w:r>
              <w:t>Very l</w:t>
            </w:r>
            <w:r w:rsidRPr="00F360C5">
              <w:t>ow quality</w:t>
            </w:r>
          </w:p>
        </w:tc>
        <w:tc>
          <w:tcPr>
            <w:tcW w:w="1418" w:type="dxa"/>
            <w:tcBorders>
              <w:top w:val="single" w:sz="4" w:space="0" w:color="auto"/>
              <w:left w:val="single" w:sz="4" w:space="0" w:color="auto"/>
              <w:bottom w:val="single" w:sz="4" w:space="0" w:color="auto"/>
              <w:right w:val="single" w:sz="4" w:space="0" w:color="auto"/>
            </w:tcBorders>
          </w:tcPr>
          <w:p w14:paraId="37744508" w14:textId="77777777" w:rsidR="004466FC" w:rsidRPr="00A34300" w:rsidRDefault="004466FC" w:rsidP="00114624">
            <w:pPr>
              <w:pStyle w:val="Tabletext1"/>
            </w:pPr>
            <w:r w:rsidRPr="00A34300">
              <w:t>No conclusion drawn.</w:t>
            </w:r>
          </w:p>
        </w:tc>
        <w:tc>
          <w:tcPr>
            <w:tcW w:w="3492" w:type="dxa"/>
            <w:tcBorders>
              <w:top w:val="single" w:sz="4" w:space="0" w:color="auto"/>
              <w:left w:val="single" w:sz="4" w:space="0" w:color="auto"/>
              <w:bottom w:val="single" w:sz="4" w:space="0" w:color="auto"/>
              <w:right w:val="single" w:sz="4" w:space="0" w:color="auto"/>
            </w:tcBorders>
          </w:tcPr>
          <w:p w14:paraId="028914D5" w14:textId="77777777" w:rsidR="004466FC" w:rsidRPr="00A34300" w:rsidRDefault="004466FC" w:rsidP="00114624">
            <w:pPr>
              <w:pStyle w:val="Tabletext1"/>
            </w:pPr>
            <w:r w:rsidRPr="00A34300">
              <w:t xml:space="preserve">Only two studies investigated transplant-related outcomes. One study from 1990 may not be replicable with current standard of care for HSCTs and management of GVHD risk. A second supportive study could not be used. </w:t>
            </w:r>
          </w:p>
        </w:tc>
      </w:tr>
      <w:tr w:rsidR="004466FC" w:rsidRPr="00D62020" w14:paraId="32865C16" w14:textId="77777777" w:rsidTr="004466FC">
        <w:tc>
          <w:tcPr>
            <w:tcW w:w="1129" w:type="dxa"/>
            <w:tcBorders>
              <w:top w:val="single" w:sz="4" w:space="0" w:color="auto"/>
              <w:left w:val="single" w:sz="4" w:space="0" w:color="auto"/>
              <w:bottom w:val="single" w:sz="4" w:space="0" w:color="auto"/>
              <w:right w:val="single" w:sz="4" w:space="0" w:color="auto"/>
            </w:tcBorders>
          </w:tcPr>
          <w:p w14:paraId="3838B1DA" w14:textId="77777777" w:rsidR="004466FC" w:rsidRPr="00A34300" w:rsidRDefault="004466FC" w:rsidP="00114624">
            <w:pPr>
              <w:pStyle w:val="Tabletext1"/>
            </w:pPr>
            <w:r w:rsidRPr="00A34300">
              <w:t>Mortality</w:t>
            </w:r>
          </w:p>
        </w:tc>
        <w:tc>
          <w:tcPr>
            <w:tcW w:w="1701" w:type="dxa"/>
            <w:tcBorders>
              <w:top w:val="single" w:sz="4" w:space="0" w:color="auto"/>
              <w:left w:val="single" w:sz="4" w:space="0" w:color="auto"/>
              <w:bottom w:val="single" w:sz="4" w:space="0" w:color="auto"/>
              <w:right w:val="single" w:sz="4" w:space="0" w:color="auto"/>
            </w:tcBorders>
          </w:tcPr>
          <w:p w14:paraId="720BD734" w14:textId="77777777" w:rsidR="004466FC" w:rsidRDefault="004466FC" w:rsidP="00114624">
            <w:pPr>
              <w:pStyle w:val="Tabletext1"/>
            </w:pPr>
            <w:r w:rsidRPr="00A34300">
              <w:t>4 included studies</w:t>
            </w:r>
            <w:r>
              <w:t xml:space="preserve"> (1 RCT, 1 cohort study, 1 registry and 1 retrospective case series)</w:t>
            </w:r>
          </w:p>
          <w:p w14:paraId="4B4BCC04" w14:textId="77777777" w:rsidR="004466FC" w:rsidRPr="00A34300" w:rsidRDefault="004466FC" w:rsidP="00114624">
            <w:pPr>
              <w:pStyle w:val="Tabletext1"/>
            </w:pPr>
            <w:r>
              <w:t>N=11,674</w:t>
            </w:r>
          </w:p>
        </w:tc>
        <w:tc>
          <w:tcPr>
            <w:tcW w:w="1276" w:type="dxa"/>
            <w:tcBorders>
              <w:top w:val="single" w:sz="4" w:space="0" w:color="auto"/>
              <w:left w:val="single" w:sz="4" w:space="0" w:color="auto"/>
              <w:bottom w:val="single" w:sz="4" w:space="0" w:color="auto"/>
              <w:right w:val="single" w:sz="4" w:space="0" w:color="auto"/>
            </w:tcBorders>
          </w:tcPr>
          <w:p w14:paraId="14E91AB2" w14:textId="77777777" w:rsidR="004466FC" w:rsidRDefault="004466FC" w:rsidP="00114624">
            <w:pPr>
              <w:pStyle w:val="Tabletext1"/>
              <w:rPr>
                <w:rFonts w:ascii="Cambria Math" w:hAnsi="Cambria Math" w:cs="Cambria Math"/>
                <w:color w:val="C00000"/>
              </w:rPr>
            </w:pPr>
            <w:r w:rsidRPr="00A34300">
              <w:rPr>
                <w:rFonts w:ascii="Cambria Math" w:hAnsi="Cambria Math"/>
                <w:color w:val="00B050"/>
              </w:rPr>
              <w:t>⨁</w:t>
            </w:r>
            <w:r w:rsidRPr="00A34300">
              <w:rPr>
                <w:rFonts w:ascii="Cambria Math" w:hAnsi="Cambria Math" w:cs="Cambria Math"/>
                <w:color w:val="C00000"/>
              </w:rPr>
              <w:t>⨀⨀⨀</w:t>
            </w:r>
          </w:p>
          <w:p w14:paraId="35DEA579" w14:textId="7BF52230" w:rsidR="00210D1F" w:rsidRPr="00A34300" w:rsidRDefault="00210D1F" w:rsidP="00114624">
            <w:pPr>
              <w:pStyle w:val="Tabletext1"/>
            </w:pPr>
            <w:r>
              <w:t>Very l</w:t>
            </w:r>
            <w:r w:rsidRPr="00F360C5">
              <w:t>ow quality</w:t>
            </w:r>
          </w:p>
        </w:tc>
        <w:tc>
          <w:tcPr>
            <w:tcW w:w="1418" w:type="dxa"/>
            <w:tcBorders>
              <w:top w:val="single" w:sz="4" w:space="0" w:color="auto"/>
              <w:left w:val="single" w:sz="4" w:space="0" w:color="auto"/>
              <w:bottom w:val="single" w:sz="4" w:space="0" w:color="auto"/>
              <w:right w:val="single" w:sz="4" w:space="0" w:color="auto"/>
            </w:tcBorders>
          </w:tcPr>
          <w:p w14:paraId="397EDBA3" w14:textId="77777777" w:rsidR="004466FC" w:rsidRPr="00A34300" w:rsidRDefault="004466FC" w:rsidP="00114624">
            <w:pPr>
              <w:pStyle w:val="Tabletext1"/>
            </w:pPr>
            <w:r w:rsidRPr="00A34300">
              <w:t>No conclusion drawn.</w:t>
            </w:r>
          </w:p>
        </w:tc>
        <w:tc>
          <w:tcPr>
            <w:tcW w:w="3492" w:type="dxa"/>
            <w:tcBorders>
              <w:top w:val="single" w:sz="4" w:space="0" w:color="auto"/>
              <w:left w:val="single" w:sz="4" w:space="0" w:color="auto"/>
              <w:bottom w:val="single" w:sz="4" w:space="0" w:color="auto"/>
              <w:right w:val="single" w:sz="4" w:space="0" w:color="auto"/>
            </w:tcBorders>
          </w:tcPr>
          <w:p w14:paraId="52BCDD65" w14:textId="77777777" w:rsidR="004466FC" w:rsidRPr="00A34300" w:rsidRDefault="004466FC" w:rsidP="00114624">
            <w:pPr>
              <w:pStyle w:val="Tabletext1"/>
            </w:pPr>
            <w:r w:rsidRPr="00A34300">
              <w:t>Insuf</w:t>
            </w:r>
            <w:r>
              <w:t>f</w:t>
            </w:r>
            <w:r w:rsidRPr="00A34300">
              <w:t>icient duration of follow-up and variability between patient disease stage and other clinical factors precluded any meaningful assessment.</w:t>
            </w:r>
          </w:p>
        </w:tc>
      </w:tr>
      <w:tr w:rsidR="004466FC" w:rsidRPr="00D62020" w14:paraId="3BD72B6B" w14:textId="77777777" w:rsidTr="004466FC">
        <w:tc>
          <w:tcPr>
            <w:tcW w:w="1129" w:type="dxa"/>
            <w:tcBorders>
              <w:top w:val="single" w:sz="4" w:space="0" w:color="auto"/>
              <w:left w:val="single" w:sz="4" w:space="0" w:color="auto"/>
              <w:bottom w:val="single" w:sz="4" w:space="0" w:color="auto"/>
              <w:right w:val="single" w:sz="4" w:space="0" w:color="auto"/>
            </w:tcBorders>
          </w:tcPr>
          <w:p w14:paraId="67877D26" w14:textId="77777777" w:rsidR="004466FC" w:rsidRPr="00A34300" w:rsidRDefault="004466FC" w:rsidP="00114624">
            <w:pPr>
              <w:pStyle w:val="Tabletext1"/>
            </w:pPr>
            <w:r w:rsidRPr="00A34300">
              <w:t>QoL</w:t>
            </w:r>
          </w:p>
        </w:tc>
        <w:tc>
          <w:tcPr>
            <w:tcW w:w="1701" w:type="dxa"/>
            <w:tcBorders>
              <w:top w:val="single" w:sz="4" w:space="0" w:color="auto"/>
              <w:left w:val="single" w:sz="4" w:space="0" w:color="auto"/>
              <w:bottom w:val="single" w:sz="4" w:space="0" w:color="auto"/>
              <w:right w:val="single" w:sz="4" w:space="0" w:color="auto"/>
            </w:tcBorders>
          </w:tcPr>
          <w:p w14:paraId="53D90DBE" w14:textId="77777777" w:rsidR="004466FC" w:rsidRDefault="004466FC" w:rsidP="00114624">
            <w:pPr>
              <w:pStyle w:val="Tabletext1"/>
            </w:pPr>
            <w:r>
              <w:t>1 RCT (N=46)</w:t>
            </w:r>
          </w:p>
          <w:p w14:paraId="48F1244A" w14:textId="77777777" w:rsidR="004466FC" w:rsidRPr="00A34300" w:rsidRDefault="004466FC" w:rsidP="00114624">
            <w:pPr>
              <w:pStyle w:val="Tabletext1"/>
              <w:rPr>
                <w:vertAlign w:val="superscript"/>
              </w:rPr>
            </w:pPr>
            <w:r>
              <w:t>1 case series with small amount of before and after data (N=307)</w:t>
            </w:r>
          </w:p>
        </w:tc>
        <w:tc>
          <w:tcPr>
            <w:tcW w:w="1276" w:type="dxa"/>
            <w:tcBorders>
              <w:top w:val="single" w:sz="4" w:space="0" w:color="auto"/>
              <w:left w:val="single" w:sz="4" w:space="0" w:color="auto"/>
              <w:bottom w:val="single" w:sz="4" w:space="0" w:color="auto"/>
              <w:right w:val="single" w:sz="4" w:space="0" w:color="auto"/>
            </w:tcBorders>
          </w:tcPr>
          <w:p w14:paraId="21BE0BAA" w14:textId="77777777" w:rsidR="004466FC" w:rsidRDefault="004466FC" w:rsidP="00114624">
            <w:pPr>
              <w:pStyle w:val="Tabletext1"/>
              <w:rPr>
                <w:rFonts w:ascii="Cambria Math" w:hAnsi="Cambria Math" w:cs="Cambria Math"/>
                <w:color w:val="C00000"/>
              </w:rPr>
            </w:pPr>
            <w:r w:rsidRPr="00A34300">
              <w:rPr>
                <w:rFonts w:ascii="Cambria Math" w:hAnsi="Cambria Math" w:cs="Cambria Math"/>
                <w:color w:val="00B050"/>
              </w:rPr>
              <w:t>⨁⨁</w:t>
            </w:r>
            <w:r w:rsidRPr="00A34300">
              <w:rPr>
                <w:rFonts w:ascii="Cambria Math" w:hAnsi="Cambria Math" w:cs="Cambria Math"/>
                <w:color w:val="C00000"/>
              </w:rPr>
              <w:t>⨀⨀</w:t>
            </w:r>
          </w:p>
          <w:p w14:paraId="660A04CB" w14:textId="3B34B6AF" w:rsidR="00210D1F" w:rsidRPr="00A34300" w:rsidRDefault="00210D1F" w:rsidP="00114624">
            <w:pPr>
              <w:pStyle w:val="Tabletext1"/>
            </w:pPr>
            <w:r w:rsidRPr="00F360C5">
              <w:t>Low quality</w:t>
            </w:r>
          </w:p>
        </w:tc>
        <w:tc>
          <w:tcPr>
            <w:tcW w:w="1418" w:type="dxa"/>
            <w:tcBorders>
              <w:top w:val="single" w:sz="4" w:space="0" w:color="auto"/>
              <w:left w:val="single" w:sz="4" w:space="0" w:color="auto"/>
              <w:bottom w:val="single" w:sz="4" w:space="0" w:color="auto"/>
              <w:right w:val="single" w:sz="4" w:space="0" w:color="auto"/>
            </w:tcBorders>
          </w:tcPr>
          <w:p w14:paraId="2966DEC0" w14:textId="77777777" w:rsidR="004466FC" w:rsidRPr="00A34300" w:rsidRDefault="004466FC" w:rsidP="00114624">
            <w:pPr>
              <w:pStyle w:val="Tabletext1"/>
            </w:pPr>
            <w:r w:rsidRPr="00A34300">
              <w:t>IgG marginally improves QoL compared to No IgG</w:t>
            </w:r>
          </w:p>
        </w:tc>
        <w:tc>
          <w:tcPr>
            <w:tcW w:w="3492" w:type="dxa"/>
            <w:tcBorders>
              <w:top w:val="single" w:sz="4" w:space="0" w:color="auto"/>
              <w:left w:val="single" w:sz="4" w:space="0" w:color="auto"/>
              <w:bottom w:val="single" w:sz="4" w:space="0" w:color="auto"/>
              <w:right w:val="single" w:sz="4" w:space="0" w:color="auto"/>
            </w:tcBorders>
          </w:tcPr>
          <w:p w14:paraId="6A7C4104" w14:textId="77777777" w:rsidR="004466FC" w:rsidRPr="00A34300" w:rsidRDefault="004466FC" w:rsidP="00114624">
            <w:pPr>
              <w:pStyle w:val="Tabletext1"/>
            </w:pPr>
            <w:r w:rsidRPr="00A34300">
              <w:t xml:space="preserve">Only 2 </w:t>
            </w:r>
            <w:r>
              <w:t xml:space="preserve">of the 4 </w:t>
            </w:r>
            <w:r w:rsidRPr="00A34300">
              <w:t xml:space="preserve">studies reported QoL for IgG versus no IgG. </w:t>
            </w:r>
          </w:p>
        </w:tc>
      </w:tr>
    </w:tbl>
    <w:p w14:paraId="48A9701A" w14:textId="2EF27232" w:rsidR="004466FC" w:rsidRDefault="004466FC" w:rsidP="004466FC">
      <w:pPr>
        <w:pStyle w:val="Tablenotes1"/>
        <w:jc w:val="left"/>
      </w:pPr>
      <w:r w:rsidRPr="00D538DE">
        <w:rPr>
          <w:vertAlign w:val="superscript"/>
        </w:rPr>
        <w:t xml:space="preserve">a </w:t>
      </w:r>
      <w:r w:rsidRPr="00D538DE">
        <w:t xml:space="preserve">GRADE Working Group grades of evidence </w:t>
      </w:r>
      <w:r w:rsidR="00674A5A">
        <w:fldChar w:fldCharType="begin">
          <w:fldData xml:space="preserve">PEVuZE5vdGU+PENpdGU+PEF1dGhvcj5HdXlhdHQ8L0F1dGhvcj48WWVhcj4yMDEzPC9ZZWFyPjxS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=
</w:fldData>
        </w:fldChar>
      </w:r>
      <w:r w:rsidR="00674A5A">
        <w:instrText xml:space="preserve"> ADDIN EN.CITE </w:instrText>
      </w:r>
      <w:r w:rsidR="00674A5A">
        <w:fldChar w:fldCharType="begin">
          <w:fldData xml:space="preserve">PEVuZE5vdGU+PENpdGU+PEF1dGhvcj5HdXlhdHQ8L0F1dGhvcj48WWVhcj4yMDEzPC9ZZWFyPjxS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=
</w:fldData>
        </w:fldChar>
      </w:r>
      <w:r w:rsidR="00674A5A">
        <w:instrText xml:space="preserve"> ADDIN EN.CITE.DATA </w:instrText>
      </w:r>
      <w:r w:rsidR="00674A5A">
        <w:fldChar w:fldCharType="end"/>
      </w:r>
      <w:r w:rsidR="00674A5A">
        <w:fldChar w:fldCharType="separate"/>
      </w:r>
      <w:r w:rsidR="00674A5A">
        <w:rPr>
          <w:noProof/>
        </w:rPr>
        <w:t>(</w:t>
      </w:r>
      <w:hyperlink w:anchor="_ENREF_22" w:tooltip="Guyatt, 2013 #93" w:history="1">
        <w:r w:rsidR="00BB0145">
          <w:rPr>
            <w:noProof/>
          </w:rPr>
          <w:t>Guyatt et al. 2013</w:t>
        </w:r>
      </w:hyperlink>
      <w:r w:rsidR="00674A5A">
        <w:rPr>
          <w:noProof/>
        </w:rPr>
        <w:t>)</w:t>
      </w:r>
      <w:r w:rsidR="00674A5A">
        <w:fldChar w:fldCharType="end"/>
      </w:r>
      <w:r w:rsidRPr="00D538DE">
        <w:br/>
      </w:r>
      <w:r w:rsidRPr="00D538DE">
        <w:rPr>
          <w:rFonts w:ascii="Cambria Math" w:hAnsi="Cambria Math" w:cs="Cambria Math"/>
          <w:color w:val="00B050"/>
        </w:rPr>
        <w:t>⨁⨁⨁⨁</w:t>
      </w:r>
      <w:r w:rsidRPr="00D538DE">
        <w:rPr>
          <w:color w:val="00B050"/>
        </w:rPr>
        <w:t xml:space="preserve"> </w:t>
      </w:r>
      <w:r w:rsidRPr="00D538DE">
        <w:rPr>
          <w:bCs/>
        </w:rPr>
        <w:t>High quality:</w:t>
      </w:r>
      <w:r w:rsidRPr="00D538DE">
        <w:t xml:space="preserve"> We are very confident that the true effect lies close to that of the estimate of effect. </w:t>
      </w:r>
      <w:r w:rsidRPr="00D538DE">
        <w:br/>
      </w:r>
      <w:r w:rsidRPr="00D538DE">
        <w:rPr>
          <w:rFonts w:ascii="Cambria Math" w:hAnsi="Cambria Math" w:cs="Cambria Math"/>
          <w:color w:val="00B050"/>
        </w:rPr>
        <w:t>⨁⨁⨁</w:t>
      </w:r>
      <w:r w:rsidRPr="00D538DE">
        <w:rPr>
          <w:rFonts w:ascii="Cambria Math" w:hAnsi="Cambria Math" w:cs="Cambria Math"/>
          <w:color w:val="C00000"/>
        </w:rPr>
        <w:t>⨀</w:t>
      </w:r>
      <w:r w:rsidRPr="00D538DE">
        <w:rPr>
          <w:rFonts w:cs="Cambria Math"/>
          <w:color w:val="C00000"/>
        </w:rPr>
        <w:t xml:space="preserve"> </w:t>
      </w:r>
      <w:r w:rsidRPr="00D538DE">
        <w:rPr>
          <w:bCs/>
        </w:rPr>
        <w:t>Moderate quality:</w:t>
      </w:r>
      <w:r w:rsidRPr="00D538DE">
        <w:t xml:space="preserve"> We are moderately confident in the effect estimate: The true effect is likely to be close to the estimate of the effect, but there is a possibility that it is substantially different. </w:t>
      </w:r>
      <w:r w:rsidRPr="00D538DE">
        <w:br/>
      </w:r>
      <w:r w:rsidRPr="00D538DE">
        <w:rPr>
          <w:rFonts w:ascii="Cambria Math" w:hAnsi="Cambria Math" w:cs="Cambria Math"/>
          <w:color w:val="00B050"/>
        </w:rPr>
        <w:t>⨁⨁</w:t>
      </w:r>
      <w:r w:rsidRPr="00D538DE">
        <w:rPr>
          <w:rFonts w:ascii="Cambria Math" w:hAnsi="Cambria Math" w:cs="Cambria Math"/>
          <w:color w:val="C00000"/>
        </w:rPr>
        <w:t>⨀⨀</w:t>
      </w:r>
      <w:r w:rsidRPr="00D538DE">
        <w:rPr>
          <w:rFonts w:cs="Cambria Math"/>
          <w:color w:val="C00000"/>
        </w:rPr>
        <w:t xml:space="preserve"> </w:t>
      </w:r>
      <w:r w:rsidRPr="00D538DE">
        <w:rPr>
          <w:bCs/>
        </w:rPr>
        <w:t>Low quality:</w:t>
      </w:r>
      <w:r w:rsidRPr="00D538DE">
        <w:t xml:space="preserve"> Our confidence in the effect estimate is limited: The true effect may be substantially different from the estimate of the effect.</w:t>
      </w:r>
      <w:r w:rsidRPr="00D538DE">
        <w:br/>
      </w:r>
      <w:r w:rsidRPr="00D538DE">
        <w:rPr>
          <w:rFonts w:ascii="Cambria Math" w:hAnsi="Cambria Math" w:cs="Cambria Math"/>
          <w:color w:val="00B050"/>
        </w:rPr>
        <w:lastRenderedPageBreak/>
        <w:t>⨁</w:t>
      </w:r>
      <w:r w:rsidRPr="00D538DE">
        <w:rPr>
          <w:rFonts w:ascii="Cambria Math" w:hAnsi="Cambria Math" w:cs="Cambria Math"/>
          <w:color w:val="C00000"/>
        </w:rPr>
        <w:t>⨀⨀⨀</w:t>
      </w:r>
      <w:r w:rsidRPr="00D538DE">
        <w:rPr>
          <w:rFonts w:cs="Cambria Math"/>
          <w:color w:val="C00000"/>
        </w:rPr>
        <w:t xml:space="preserve"> </w:t>
      </w:r>
      <w:r w:rsidRPr="00D538DE">
        <w:rPr>
          <w:bCs/>
        </w:rPr>
        <w:t>Very low quality:</w:t>
      </w:r>
      <w:r w:rsidRPr="00D538DE">
        <w:t xml:space="preserve"> We have very little confidence in the effect estimate: The true effect is likely to be substantially different from the estimate of effect.</w:t>
      </w:r>
    </w:p>
    <w:p w14:paraId="30E8FC1B" w14:textId="77777777" w:rsidR="00911F85" w:rsidRPr="00183E4D" w:rsidRDefault="00911F85" w:rsidP="00911F85">
      <w:pPr>
        <w:pStyle w:val="Heading3"/>
      </w:pPr>
      <w:bookmarkStart w:id="95" w:name="_Toc395200751"/>
      <w:bookmarkStart w:id="96" w:name="_Toc11854710"/>
      <w:bookmarkStart w:id="97" w:name="_Toc14431110"/>
      <w:bookmarkStart w:id="98" w:name="_Toc16856278"/>
      <w:bookmarkStart w:id="99" w:name="_Toc379118059"/>
      <w:bookmarkStart w:id="100" w:name="_Toc379118251"/>
      <w:bookmarkStart w:id="101" w:name="_Toc381796435"/>
      <w:bookmarkStart w:id="102" w:name="_Toc426968112"/>
      <w:bookmarkStart w:id="103" w:name="_Toc379118060"/>
      <w:bookmarkStart w:id="104" w:name="_Toc379118252"/>
      <w:bookmarkStart w:id="105" w:name="_Toc395200754"/>
      <w:r w:rsidRPr="00183E4D">
        <w:t>Translation Issues</w:t>
      </w:r>
      <w:bookmarkEnd w:id="95"/>
      <w:bookmarkEnd w:id="96"/>
      <w:bookmarkEnd w:id="97"/>
      <w:bookmarkEnd w:id="98"/>
    </w:p>
    <w:p w14:paraId="751C6222" w14:textId="7EC73371" w:rsidR="00911F85" w:rsidRDefault="00911F85" w:rsidP="00911F85">
      <w:r>
        <w:t xml:space="preserve">The economic model presented is a cost-utility analysis, where Ig therapy </w:t>
      </w:r>
      <w:r w:rsidR="00AF32E4">
        <w:t xml:space="preserve">is </w:t>
      </w:r>
      <w:r>
        <w:t xml:space="preserve">associated with </w:t>
      </w:r>
      <w:r w:rsidR="00AF32E4">
        <w:t>a</w:t>
      </w:r>
      <w:r>
        <w:t xml:space="preserve"> reduction in infection rates, but that is traded off against a reduced safety profile. Ig therapy is already in use in Australia and </w:t>
      </w:r>
      <w:r w:rsidR="00357DAB">
        <w:t>seven</w:t>
      </w:r>
      <w:r>
        <w:t xml:space="preserve"> </w:t>
      </w:r>
      <w:r w:rsidRPr="00176B1A">
        <w:t>translation studies were conducted to address issues regarding the applicability</w:t>
      </w:r>
      <w:r w:rsidR="0054250E">
        <w:t>, extrapolation and transformation</w:t>
      </w:r>
      <w:r w:rsidRPr="00176B1A">
        <w:t xml:space="preserve"> of the evidence to the proposed setting. </w:t>
      </w:r>
      <w:r>
        <w:t>These are summarised</w:t>
      </w:r>
      <w:r w:rsidRPr="00176B1A">
        <w:t xml:space="preserve"> in</w:t>
      </w:r>
      <w:r>
        <w:t xml:space="preserve"> </w:t>
      </w:r>
      <w:r>
        <w:fldChar w:fldCharType="begin"/>
      </w:r>
      <w:r>
        <w:instrText xml:space="preserve"> REF _Ref14097481 \h </w:instrText>
      </w:r>
      <w:r>
        <w:fldChar w:fldCharType="separate"/>
      </w:r>
      <w:r w:rsidR="00A7463B">
        <w:t xml:space="preserve">Table </w:t>
      </w:r>
      <w:r w:rsidR="00A7463B">
        <w:rPr>
          <w:noProof/>
        </w:rPr>
        <w:t>5</w:t>
      </w:r>
      <w:r>
        <w:fldChar w:fldCharType="end"/>
      </w:r>
      <w:r>
        <w:t>.</w:t>
      </w:r>
    </w:p>
    <w:p w14:paraId="5CEDB9BF" w14:textId="6FBD772D" w:rsidR="00911F85" w:rsidRDefault="00911F85" w:rsidP="00911F85">
      <w:pPr>
        <w:pStyle w:val="Caption"/>
        <w:keepNext/>
      </w:pPr>
      <w:bookmarkStart w:id="106" w:name="_Ref14097481"/>
      <w:bookmarkStart w:id="107" w:name="_Toc14348836"/>
      <w:bookmarkStart w:id="108" w:name="_Toc14429548"/>
      <w:bookmarkStart w:id="109" w:name="_Toc16671603"/>
      <w:r>
        <w:t xml:space="preserve">Table </w:t>
      </w:r>
      <w:r>
        <w:rPr>
          <w:noProof/>
        </w:rPr>
        <w:fldChar w:fldCharType="begin"/>
      </w:r>
      <w:r>
        <w:rPr>
          <w:noProof/>
        </w:rPr>
        <w:instrText xml:space="preserve"> SEQ Table \* ARABIC </w:instrText>
      </w:r>
      <w:r>
        <w:rPr>
          <w:noProof/>
        </w:rPr>
        <w:fldChar w:fldCharType="separate"/>
      </w:r>
      <w:r w:rsidR="00A7463B">
        <w:rPr>
          <w:noProof/>
        </w:rPr>
        <w:t>5</w:t>
      </w:r>
      <w:r>
        <w:rPr>
          <w:noProof/>
        </w:rPr>
        <w:fldChar w:fldCharType="end"/>
      </w:r>
      <w:bookmarkEnd w:id="106"/>
      <w:r w:rsidR="006252C4">
        <w:rPr>
          <w:noProof/>
        </w:rPr>
        <w:tab/>
      </w:r>
      <w:r w:rsidR="006252C4">
        <w:rPr>
          <w:noProof/>
        </w:rPr>
        <w:tab/>
        <w:t>S</w:t>
      </w:r>
      <w:r w:rsidRPr="00176B1A">
        <w:t>ummary of results of pre-modelling studies and their uses in the economic evaluation</w:t>
      </w:r>
      <w:bookmarkEnd w:id="107"/>
      <w:bookmarkEnd w:id="108"/>
      <w:bookmarkEnd w:id="109"/>
    </w:p>
    <w:tbl>
      <w:tblPr>
        <w:tblStyle w:val="TableGrid"/>
        <w:tblW w:w="5000" w:type="pct"/>
        <w:tblLayout w:type="fixed"/>
        <w:tblLook w:val="01E0" w:firstRow="1" w:lastRow="1" w:firstColumn="1" w:lastColumn="1" w:noHBand="0" w:noVBand="0"/>
        <w:tblCaption w:val="Summary of results of pre-modelling studies and their uses in the economic evaluation"/>
        <w:tblDescription w:val="The table summarises how different evidence was used to address the translation issues identified with the clinical evidence base, including by referring to how this addition evidence is used in the economic evaluation."/>
      </w:tblPr>
      <w:tblGrid>
        <w:gridCol w:w="1739"/>
        <w:gridCol w:w="4795"/>
        <w:gridCol w:w="2708"/>
      </w:tblGrid>
      <w:tr w:rsidR="00911F85" w:rsidRPr="00406414" w14:paraId="09974A42" w14:textId="77777777" w:rsidTr="0054250E">
        <w:trPr>
          <w:tblHeader/>
        </w:trPr>
        <w:tc>
          <w:tcPr>
            <w:tcW w:w="941" w:type="pct"/>
            <w:tcBorders>
              <w:bottom w:val="single" w:sz="4" w:space="0" w:color="auto"/>
            </w:tcBorders>
          </w:tcPr>
          <w:p w14:paraId="26FBB6EB" w14:textId="77777777" w:rsidR="00911F85" w:rsidRPr="00406414" w:rsidRDefault="00911F85" w:rsidP="008742A1">
            <w:pPr>
              <w:pStyle w:val="TableHeading"/>
            </w:pPr>
          </w:p>
        </w:tc>
        <w:tc>
          <w:tcPr>
            <w:tcW w:w="2594" w:type="pct"/>
            <w:tcBorders>
              <w:bottom w:val="single" w:sz="4" w:space="0" w:color="auto"/>
            </w:tcBorders>
          </w:tcPr>
          <w:p w14:paraId="21A529BE" w14:textId="77777777" w:rsidR="00911F85" w:rsidRPr="00406414" w:rsidRDefault="00911F85" w:rsidP="008742A1">
            <w:pPr>
              <w:pStyle w:val="TableHeading"/>
            </w:pPr>
            <w:r>
              <w:t>Results used in the economic analysis</w:t>
            </w:r>
          </w:p>
        </w:tc>
        <w:tc>
          <w:tcPr>
            <w:tcW w:w="1465" w:type="pct"/>
            <w:tcBorders>
              <w:bottom w:val="single" w:sz="4" w:space="0" w:color="auto"/>
            </w:tcBorders>
          </w:tcPr>
          <w:p w14:paraId="583F25BB" w14:textId="77777777" w:rsidR="00911F85" w:rsidRPr="00406414" w:rsidRDefault="00911F85" w:rsidP="008742A1">
            <w:pPr>
              <w:pStyle w:val="TableHeading"/>
            </w:pPr>
            <w:r>
              <w:t>Results tested in sensitivity analyses</w:t>
            </w:r>
          </w:p>
        </w:tc>
      </w:tr>
      <w:tr w:rsidR="00767E2D" w:rsidRPr="00406414" w14:paraId="7B328E8C" w14:textId="77777777" w:rsidTr="00767E2D">
        <w:tc>
          <w:tcPr>
            <w:tcW w:w="5000" w:type="pct"/>
            <w:gridSpan w:val="3"/>
            <w:tcBorders>
              <w:bottom w:val="single" w:sz="4" w:space="0" w:color="auto"/>
            </w:tcBorders>
          </w:tcPr>
          <w:p w14:paraId="43FA7A4C" w14:textId="24FEAAE1" w:rsidR="00767E2D" w:rsidRDefault="00767E2D" w:rsidP="008742A1">
            <w:pPr>
              <w:pStyle w:val="TableHeading"/>
            </w:pPr>
            <w:r>
              <w:t>Applicability</w:t>
            </w:r>
          </w:p>
        </w:tc>
      </w:tr>
      <w:tr w:rsidR="00911F85" w:rsidRPr="00E56289" w14:paraId="6BF3237C" w14:textId="77777777" w:rsidTr="00911F85">
        <w:tc>
          <w:tcPr>
            <w:tcW w:w="941" w:type="pct"/>
          </w:tcPr>
          <w:p w14:paraId="0C0878DB" w14:textId="77777777" w:rsidR="00911F85" w:rsidRPr="00E56289" w:rsidRDefault="00911F85" w:rsidP="00CB4DB8">
            <w:pPr>
              <w:pStyle w:val="Tabletext1"/>
            </w:pPr>
            <w:r w:rsidRPr="004B5269">
              <w:t>Patient demographics</w:t>
            </w:r>
          </w:p>
        </w:tc>
        <w:tc>
          <w:tcPr>
            <w:tcW w:w="2594" w:type="pct"/>
          </w:tcPr>
          <w:p w14:paraId="797F3DD3" w14:textId="35DADEF3" w:rsidR="00911F85" w:rsidRPr="00E56289" w:rsidRDefault="00911F85" w:rsidP="00BB0145">
            <w:pPr>
              <w:pStyle w:val="Tabletext1"/>
            </w:pPr>
            <w:r>
              <w:t xml:space="preserve">Average patient ages and weights for patients who currently </w:t>
            </w:r>
            <w:r w:rsidRPr="007602F6">
              <w:t>receive Ig for acquired hypogammaglobulinaemia</w:t>
            </w:r>
            <w:r>
              <w:t xml:space="preserve"> were compared </w:t>
            </w:r>
            <w:r w:rsidRPr="007602F6">
              <w:t xml:space="preserve">to those </w:t>
            </w:r>
            <w:r>
              <w:t xml:space="preserve">of </w:t>
            </w:r>
            <w:r w:rsidRPr="007602F6">
              <w:t xml:space="preserve">patients enrolled in the </w:t>
            </w:r>
            <w:r>
              <w:t xml:space="preserve">randomised studies </w:t>
            </w:r>
            <w:r w:rsidRPr="007602F6">
              <w:t>used to inform the economic analysis.</w:t>
            </w:r>
            <w:r>
              <w:t xml:space="preserve"> Patient demographics were generally not well reported, though CLL patients in the studies tended to be older than those in current practice. The majority of the randomised evidence was published in the 1990s, however the treatment effect was observed to be reasonably consistent in the older and newer studies and across both randomised and non-randomised studies. </w:t>
            </w:r>
            <w:r w:rsidRPr="00F20F8E">
              <w:t xml:space="preserve">Therefore the more recent Australian data from a mixed haematological malignancy population </w:t>
            </w:r>
            <w:r>
              <w:fldChar w:fldCharType="begin">
                <w:fldData xml:space="preserve">PEVuZE5vdGU+PENpdGU+PEF1dGhvcj5QYXh0b248L0F1dGhvcj48WWVhcj4yMDE2PC9ZZWFyPjxS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</w:fldData>
              </w:fldChar>
            </w:r>
            <w:r>
              <w:instrText xml:space="preserve"> ADDIN EN.CITE </w:instrText>
            </w:r>
            <w:r>
              <w:fldChar w:fldCharType="begin">
                <w:fldData xml:space="preserve">PEVuZE5vdGU+PENpdGU+PEF1dGhvcj5QYXh0b248L0F1dGhvcj48WWVhcj4yMDE2PC9ZZWFyPjxS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</w:fldData>
              </w:fldChar>
            </w:r>
            <w:r>
              <w:instrText xml:space="preserve"> ADDIN EN.CITE.DATA </w:instrText>
            </w:r>
            <w:r>
              <w:fldChar w:fldCharType="end"/>
            </w:r>
            <w:r>
              <w:fldChar w:fldCharType="separate"/>
            </w:r>
            <w:r>
              <w:rPr>
                <w:noProof/>
              </w:rPr>
              <w:t>(</w:t>
            </w:r>
            <w:hyperlink w:anchor="_ENREF_39" w:tooltip="Paxton, 2016 #66" w:history="1">
              <w:r w:rsidR="00BB0145">
                <w:rPr>
                  <w:noProof/>
                </w:rPr>
                <w:t>Paxton, Hawkins &amp; Crispin 2016</w:t>
              </w:r>
            </w:hyperlink>
            <w:r>
              <w:rPr>
                <w:noProof/>
              </w:rPr>
              <w:t>)</w:t>
            </w:r>
            <w:r>
              <w:fldChar w:fldCharType="end"/>
            </w:r>
            <w:r w:rsidRPr="00F20F8E">
              <w:t xml:space="preserve"> will be used to approximate the baseline infection</w:t>
            </w:r>
            <w:r>
              <w:t xml:space="preserve"> rate in the absence of Ig. T</w:t>
            </w:r>
            <w:r w:rsidRPr="00F20F8E">
              <w:t xml:space="preserve">he pooled risk reductions estimated in Section B will </w:t>
            </w:r>
            <w:r>
              <w:t xml:space="preserve">then </w:t>
            </w:r>
            <w:r w:rsidRPr="00F20F8E">
              <w:t>be applied to the baseline infection rate to model the treatment effect of Ig.</w:t>
            </w:r>
          </w:p>
        </w:tc>
        <w:tc>
          <w:tcPr>
            <w:tcW w:w="1465" w:type="pct"/>
          </w:tcPr>
          <w:p w14:paraId="2173B93F" w14:textId="77777777" w:rsidR="00911F85" w:rsidRDefault="00911F85" w:rsidP="00CB4DB8">
            <w:pPr>
              <w:pStyle w:val="Tabletext1"/>
            </w:pPr>
            <w:r>
              <w:t xml:space="preserve">To explore the uncertainty around baseline infection rates modelled, infection rates from each of the included randomised studies were tested. </w:t>
            </w:r>
          </w:p>
          <w:p w14:paraId="6F966772" w14:textId="77777777" w:rsidR="00911F85" w:rsidRDefault="00911F85" w:rsidP="00CB4DB8">
            <w:pPr>
              <w:pStyle w:val="Tabletext1"/>
            </w:pPr>
          </w:p>
          <w:p w14:paraId="780B7E24" w14:textId="77777777" w:rsidR="00911F85" w:rsidRPr="00E56289" w:rsidRDefault="00911F85" w:rsidP="00CB4DB8">
            <w:pPr>
              <w:pStyle w:val="Tabletext1"/>
            </w:pPr>
            <w:r>
              <w:t>To explore the uncertainty around the treatment effect of Ig, the 95% CI of the pooled estimates were tested, in addition to the pooled estimates derived from the non-randomised studies. Further, actual infection rates (with and without Ig) from each of the randomised studies were tested in scenario analyses.</w:t>
            </w:r>
          </w:p>
        </w:tc>
      </w:tr>
      <w:tr w:rsidR="00911F85" w:rsidRPr="00E56289" w14:paraId="74BDCC7C" w14:textId="77777777" w:rsidTr="00911F85">
        <w:tc>
          <w:tcPr>
            <w:tcW w:w="941" w:type="pct"/>
          </w:tcPr>
          <w:p w14:paraId="69A5485A" w14:textId="77777777" w:rsidR="00911F85" w:rsidRPr="00E56289" w:rsidRDefault="00911F85" w:rsidP="00CB4DB8">
            <w:pPr>
              <w:pStyle w:val="Tabletext1"/>
            </w:pPr>
            <w:r w:rsidRPr="004B5269">
              <w:t>Antibiotic use in the absence of Ig</w:t>
            </w:r>
          </w:p>
        </w:tc>
        <w:tc>
          <w:tcPr>
            <w:tcW w:w="2594" w:type="pct"/>
          </w:tcPr>
          <w:p w14:paraId="04D58BBA" w14:textId="276F11E2" w:rsidR="00911F85" w:rsidRDefault="00911F85" w:rsidP="00CB4DB8">
            <w:pPr>
              <w:pStyle w:val="Tabletext1"/>
            </w:pPr>
            <w:r>
              <w:t xml:space="preserve">Antibiotic use </w:t>
            </w:r>
            <w:r w:rsidRPr="00046196">
              <w:t xml:space="preserve">in the ‘No Ig’ arms of the randomised </w:t>
            </w:r>
            <w:r>
              <w:t>studies</w:t>
            </w:r>
            <w:r w:rsidRPr="00046196">
              <w:t xml:space="preserve"> </w:t>
            </w:r>
            <w:r>
              <w:t>were</w:t>
            </w:r>
            <w:r w:rsidRPr="00046196">
              <w:t xml:space="preserve"> compared</w:t>
            </w:r>
            <w:r>
              <w:t xml:space="preserve"> </w:t>
            </w:r>
            <w:r w:rsidRPr="00046196">
              <w:t>to what would happen in Australian clinical practice in the absence of Ig.</w:t>
            </w:r>
            <w:r>
              <w:t xml:space="preserve"> Prophylactic use was generally not allowed or did not change with Ig in the included randomised studies. One non-randomised study </w:t>
            </w:r>
            <w:r>
              <w:fldChar w:fldCharType="begin">
                <w:fldData xml:space="preserve">PEVuZE5vdGU+PENpdGU+PEF1dGhvcj5EdXJhaXNpbmdoYW08L0F1dGhvcj48WWVhcj4yMDE0PC9Z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</w:fldData>
              </w:fldChar>
            </w:r>
            <w:r>
              <w:instrText xml:space="preserve"> ADDIN EN.CITE </w:instrText>
            </w:r>
            <w:r>
              <w:fldChar w:fldCharType="begin">
                <w:fldData xml:space="preserve">PEVuZE5vdGU+PENpdGU+PEF1dGhvcj5EdXJhaXNpbmdoYW08L0F1dGhvcj48WWVhcj4yMDE0PC9Z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</w:fldData>
              </w:fldChar>
            </w:r>
            <w:r>
              <w:instrText xml:space="preserve"> ADDIN EN.CITE.DATA </w:instrText>
            </w:r>
            <w:r>
              <w:fldChar w:fldCharType="end"/>
            </w:r>
            <w:r>
              <w:fldChar w:fldCharType="separate"/>
            </w:r>
            <w:r>
              <w:rPr>
                <w:noProof/>
              </w:rPr>
              <w:t>(</w:t>
            </w:r>
            <w:hyperlink w:anchor="_ENREF_16" w:tooltip="Duraisingham, 2014 #20" w:history="1">
              <w:r w:rsidR="00BB0145">
                <w:rPr>
                  <w:noProof/>
                </w:rPr>
                <w:t>Duraisingham et al. 2014</w:t>
              </w:r>
            </w:hyperlink>
            <w:r>
              <w:rPr>
                <w:noProof/>
              </w:rPr>
              <w:t>)</w:t>
            </w:r>
            <w:r>
              <w:fldChar w:fldCharType="end"/>
            </w:r>
            <w:r>
              <w:t xml:space="preserve"> did however report a slight decrease in prophylactic antibiotic use with Ig (from 80% to 67%). This study supported </w:t>
            </w:r>
            <w:r w:rsidRPr="00350AC1">
              <w:t>a benefit of similar magnitude for Ig irrespective of wh</w:t>
            </w:r>
            <w:r>
              <w:t>ether prophylactic antibiotics we</w:t>
            </w:r>
            <w:r w:rsidRPr="00350AC1">
              <w:t>re used in the comparator</w:t>
            </w:r>
            <w:r>
              <w:t>, however due to the study design and small patient numbers, this was not conclusive and is currently being tested in an ongoing Australian trial.</w:t>
            </w:r>
          </w:p>
          <w:p w14:paraId="257FD833" w14:textId="57576388" w:rsidR="00911F85" w:rsidRPr="00E56289" w:rsidRDefault="00911F85" w:rsidP="00D81C95">
            <w:pPr>
              <w:pStyle w:val="Tabletext1"/>
            </w:pPr>
            <w:r w:rsidRPr="00350AC1">
              <w:t xml:space="preserve">In the absence of alternative evidence to i) suggest that rates of antibiotic prophylaxis would increase in the absence of Ig; and ii) that this increase in antibiotic use would affect the </w:t>
            </w:r>
            <w:r>
              <w:t>relative treatment effect of Ig,</w:t>
            </w:r>
            <w:r w:rsidRPr="00350AC1">
              <w:t xml:space="preserve"> the economic analysis will assume no </w:t>
            </w:r>
            <w:r>
              <w:t>difference</w:t>
            </w:r>
            <w:r w:rsidRPr="00350AC1">
              <w:t xml:space="preserve"> in prophylactic antibiotic </w:t>
            </w:r>
            <w:r>
              <w:t>across model arms</w:t>
            </w:r>
            <w:r w:rsidRPr="00350AC1">
              <w:t xml:space="preserve"> – and so the relative treatment effect obse</w:t>
            </w:r>
            <w:r>
              <w:t>rved in the randomised studies wa</w:t>
            </w:r>
            <w:r w:rsidRPr="00350AC1">
              <w:t>s assumed to apply to the current setting.</w:t>
            </w:r>
          </w:p>
        </w:tc>
        <w:tc>
          <w:tcPr>
            <w:tcW w:w="1465" w:type="pct"/>
          </w:tcPr>
          <w:p w14:paraId="3495DFF7" w14:textId="36248427" w:rsidR="00911F85" w:rsidRPr="00E56289" w:rsidRDefault="00911F85" w:rsidP="00BB0145">
            <w:pPr>
              <w:pStyle w:val="Tabletext1"/>
            </w:pPr>
            <w:r>
              <w:t xml:space="preserve">A scenario analysis was presented based on the results of the Duraisingham et al. </w:t>
            </w:r>
            <w:r>
              <w:fldChar w:fldCharType="begin">
                <w:fldData xml:space="preserve">PEVuZE5vdGU+PENpdGUgRXhjbHVkZUF1dGg9IjEiPjxBdXRob3I+RHVyYWlzaW5naGFtPC9BdXRo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</w:fldData>
              </w:fldChar>
            </w:r>
            <w:r>
              <w:instrText xml:space="preserve"> ADDIN EN.CITE </w:instrText>
            </w:r>
            <w:r>
              <w:fldChar w:fldCharType="begin">
                <w:fldData xml:space="preserve">PEVuZE5vdGU+PENpdGUgRXhjbHVkZUF1dGg9IjEiPjxBdXRob3I+RHVyYWlzaW5naGFtPC9BdXRo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</w:fldData>
              </w:fldChar>
            </w:r>
            <w:r>
              <w:instrText xml:space="preserve"> ADDIN EN.CITE.DATA </w:instrText>
            </w:r>
            <w:r>
              <w:fldChar w:fldCharType="end"/>
            </w:r>
            <w:r>
              <w:fldChar w:fldCharType="separate"/>
            </w:r>
            <w:r>
              <w:rPr>
                <w:noProof/>
              </w:rPr>
              <w:t>(</w:t>
            </w:r>
            <w:hyperlink w:anchor="_ENREF_16" w:tooltip="Duraisingham, 2014 #20" w:history="1">
              <w:r w:rsidR="00BB0145">
                <w:rPr>
                  <w:noProof/>
                </w:rPr>
                <w:t>2014</w:t>
              </w:r>
            </w:hyperlink>
            <w:r>
              <w:rPr>
                <w:noProof/>
              </w:rPr>
              <w:t>)</w:t>
            </w:r>
            <w:r>
              <w:fldChar w:fldCharType="end"/>
            </w:r>
            <w:r>
              <w:t xml:space="preserve"> study. This analysis included the cost of antibiotic prophylaxis and modelled actual infection rates (before and after Ig initiation) observed when the proportion of patients who receive antibiotic prophylaxis decreased from 80% to 67%.</w:t>
            </w:r>
          </w:p>
        </w:tc>
      </w:tr>
      <w:tr w:rsidR="00911F85" w:rsidRPr="00E56289" w14:paraId="52D6A9B9" w14:textId="77777777" w:rsidTr="00911F85">
        <w:tc>
          <w:tcPr>
            <w:tcW w:w="941" w:type="pct"/>
          </w:tcPr>
          <w:p w14:paraId="305AB55F" w14:textId="77777777" w:rsidR="00911F85" w:rsidRPr="00E56289" w:rsidRDefault="00911F85" w:rsidP="00CB4DB8">
            <w:pPr>
              <w:pStyle w:val="Tabletext1"/>
            </w:pPr>
            <w:r w:rsidRPr="004B5269">
              <w:t>Dose of Ig</w:t>
            </w:r>
          </w:p>
        </w:tc>
        <w:tc>
          <w:tcPr>
            <w:tcW w:w="2594" w:type="pct"/>
          </w:tcPr>
          <w:p w14:paraId="71CC77D9" w14:textId="2D30211E" w:rsidR="00911F85" w:rsidRDefault="00911F85" w:rsidP="00D81C95">
            <w:pPr>
              <w:pStyle w:val="Tabletext1"/>
            </w:pPr>
            <w:r w:rsidRPr="00D057EB">
              <w:t>The Version 3 criteria suggest doses of 0.4</w:t>
            </w:r>
            <w:r>
              <w:t> </w:t>
            </w:r>
            <w:r w:rsidRPr="00D057EB">
              <w:t>g/kg every 4 weeks or more frequently to achieve targeted IgG trough levels</w:t>
            </w:r>
            <w:r>
              <w:t xml:space="preserve"> in patients with acquired hypogammaglobulinaemia</w:t>
            </w:r>
            <w:r w:rsidRPr="00D057EB">
              <w:t xml:space="preserve">. However it is also specified that the lowest dose possible that achieves the </w:t>
            </w:r>
            <w:r w:rsidRPr="00D057EB">
              <w:lastRenderedPageBreak/>
              <w:t>appropriate clinical outcome should be used.</w:t>
            </w:r>
            <w:r>
              <w:t xml:space="preserve"> The weighted average doses observed in the BloodSTAR data ranged from 0.36 to 0.38 g/kg). The doses used in the randomised studies ranged from </w:t>
            </w:r>
            <w:r w:rsidRPr="00E80D53">
              <w:t>0.3</w:t>
            </w:r>
            <w:r>
              <w:t> </w:t>
            </w:r>
            <w:r w:rsidRPr="00E80D53">
              <w:t>g/kg to 0.8</w:t>
            </w:r>
            <w:r>
              <w:t> </w:t>
            </w:r>
            <w:r w:rsidRPr="00E80D53">
              <w:t>g/kg every three to four weeks</w:t>
            </w:r>
            <w:r>
              <w:t xml:space="preserve">. </w:t>
            </w:r>
            <w:r w:rsidRPr="00D1076B">
              <w:t>Despite variations in the doses used in each of the studies, the relative treatment effect of Ig was observed to be reasonably consistent</w:t>
            </w:r>
            <w:r>
              <w:t>. Given the experience in use with Ig in current practice, it will be assumed that current dosing is appropriate to achieve the clinical outcome of preventing infections, and so the economic analysis will use actual doses from the BloodSTAR data under the assumption that this has no effect on the relative treatment effect o</w:t>
            </w:r>
            <w:r w:rsidR="0054250E">
              <w:t>f Ig as observed in the trials.</w:t>
            </w:r>
          </w:p>
        </w:tc>
        <w:tc>
          <w:tcPr>
            <w:tcW w:w="1465" w:type="pct"/>
          </w:tcPr>
          <w:p w14:paraId="4C1EC0C9" w14:textId="77777777" w:rsidR="00911F85" w:rsidRDefault="00911F85" w:rsidP="00CB4DB8">
            <w:pPr>
              <w:pStyle w:val="Tabletext1"/>
            </w:pPr>
            <w:r>
              <w:lastRenderedPageBreak/>
              <w:t xml:space="preserve">A sensitivity analysis was presented increasing the dose to 0.4 g/kg. Trial-based scenario analyses were also presented that </w:t>
            </w:r>
            <w:r>
              <w:lastRenderedPageBreak/>
              <w:t>use the doses from the trials with the actual infection rates observed for each of the randomised studies.</w:t>
            </w:r>
          </w:p>
        </w:tc>
      </w:tr>
      <w:tr w:rsidR="00911F85" w:rsidRPr="00E56289" w14:paraId="1EBDDD94" w14:textId="77777777" w:rsidTr="00911F85">
        <w:tc>
          <w:tcPr>
            <w:tcW w:w="941" w:type="pct"/>
          </w:tcPr>
          <w:p w14:paraId="1039FBB9" w14:textId="77777777" w:rsidR="00911F85" w:rsidRPr="00E56289" w:rsidRDefault="00911F85" w:rsidP="00CB4DB8">
            <w:pPr>
              <w:pStyle w:val="Tabletext1"/>
            </w:pPr>
            <w:r w:rsidRPr="004B5269">
              <w:lastRenderedPageBreak/>
              <w:t>Duration of Ig treatment</w:t>
            </w:r>
          </w:p>
        </w:tc>
        <w:tc>
          <w:tcPr>
            <w:tcW w:w="2594" w:type="pct"/>
          </w:tcPr>
          <w:p w14:paraId="47E76EF0" w14:textId="600A0636" w:rsidR="00911F85" w:rsidRDefault="00911F85" w:rsidP="00D81C95">
            <w:pPr>
              <w:pStyle w:val="Tabletext1"/>
            </w:pPr>
            <w:r>
              <w:t xml:space="preserve">No data were available from BloodSTAR to inform average treatment durations in patients with acquired hypogammaglobulinaemia. The duration of Ig treatment in the studies included in Section B was reviewed. The randomised studies included </w:t>
            </w:r>
            <w:r w:rsidRPr="00704E22">
              <w:t>most commonly reported an Ig treatment duration of 12 months</w:t>
            </w:r>
            <w:r>
              <w:t xml:space="preserve"> which </w:t>
            </w:r>
            <w:r w:rsidRPr="00704E22">
              <w:t>was generally fixed and not conditional on an assessment of treatment response.</w:t>
            </w:r>
            <w:r>
              <w:t xml:space="preserve"> One non-randomised study was identified in Australian patients which reported a median treatment duration of 26 months. This source will be used in the base case analysis. The economic model in Section D will assume that while on Ig therapy, patients are at risk of infections, however after treatment cessation, it will be assumed that no new infections are modelled – in eith</w:t>
            </w:r>
            <w:r w:rsidR="0054250E">
              <w:t>er model arm – after such time.</w:t>
            </w:r>
          </w:p>
        </w:tc>
        <w:tc>
          <w:tcPr>
            <w:tcW w:w="1465" w:type="pct"/>
          </w:tcPr>
          <w:p w14:paraId="1497CDC6" w14:textId="77777777" w:rsidR="00911F85" w:rsidRDefault="00911F85" w:rsidP="00CB4DB8">
            <w:pPr>
              <w:pStyle w:val="Tabletext1"/>
            </w:pPr>
            <w:r>
              <w:t xml:space="preserve">Sensitivity analyses were presented assuming varying alternate treatment durations, ranging from 1 to the model time horizon of 10 years. </w:t>
            </w:r>
          </w:p>
        </w:tc>
      </w:tr>
      <w:tr w:rsidR="00767E2D" w:rsidRPr="00406414" w14:paraId="160C09F4" w14:textId="77777777" w:rsidTr="00767E2D">
        <w:tc>
          <w:tcPr>
            <w:tcW w:w="5000" w:type="pct"/>
            <w:gridSpan w:val="3"/>
            <w:tcBorders>
              <w:bottom w:val="single" w:sz="4" w:space="0" w:color="auto"/>
            </w:tcBorders>
          </w:tcPr>
          <w:p w14:paraId="56AF16D7" w14:textId="03CFDEF5" w:rsidR="00767E2D" w:rsidRDefault="00767E2D" w:rsidP="00414134">
            <w:pPr>
              <w:pStyle w:val="TableHeading"/>
            </w:pPr>
            <w:r>
              <w:t>Extrapolation</w:t>
            </w:r>
          </w:p>
        </w:tc>
      </w:tr>
      <w:tr w:rsidR="00357DAB" w:rsidRPr="00357DAB" w14:paraId="7A8B0478" w14:textId="77777777" w:rsidTr="00357DAB">
        <w:tc>
          <w:tcPr>
            <w:tcW w:w="941" w:type="pct"/>
            <w:tcBorders>
              <w:bottom w:val="single" w:sz="4" w:space="0" w:color="auto"/>
              <w:right w:val="single" w:sz="4" w:space="0" w:color="auto"/>
            </w:tcBorders>
          </w:tcPr>
          <w:p w14:paraId="6F01B7FA" w14:textId="761781D3" w:rsidR="00357DAB" w:rsidRPr="00357DAB" w:rsidRDefault="00357DAB" w:rsidP="00414134">
            <w:pPr>
              <w:pStyle w:val="TableHeading"/>
              <w:rPr>
                <w:b w:val="0"/>
              </w:rPr>
            </w:pPr>
            <w:r w:rsidRPr="00357DAB">
              <w:rPr>
                <w:b w:val="0"/>
              </w:rPr>
              <w:t>Duration of treatment effect</w:t>
            </w:r>
          </w:p>
        </w:tc>
        <w:tc>
          <w:tcPr>
            <w:tcW w:w="2594" w:type="pct"/>
            <w:tcBorders>
              <w:left w:val="single" w:sz="4" w:space="0" w:color="auto"/>
              <w:bottom w:val="single" w:sz="4" w:space="0" w:color="auto"/>
              <w:right w:val="single" w:sz="4" w:space="0" w:color="auto"/>
            </w:tcBorders>
          </w:tcPr>
          <w:p w14:paraId="2FFBD1CE" w14:textId="567E6286" w:rsidR="00357DAB" w:rsidRPr="00357DAB" w:rsidRDefault="00AB6716" w:rsidP="00414134">
            <w:pPr>
              <w:pStyle w:val="TableHeading"/>
              <w:rPr>
                <w:b w:val="0"/>
              </w:rPr>
            </w:pPr>
            <w:r w:rsidRPr="00AB6716">
              <w:rPr>
                <w:b w:val="0"/>
              </w:rPr>
              <w:t>Based on the continuing access criteria it is assumed that the direct treatment effect of Ig (reduced infection rate and severity) is maintained for the duration of treatment. No direct treatment effect occurs after this time, but there is a residual difference in survival and quality of life associated with the difference in the proportions of patients in the various health states at the end of the treatment period, between the treatment arms.</w:t>
            </w:r>
          </w:p>
        </w:tc>
        <w:tc>
          <w:tcPr>
            <w:tcW w:w="1465" w:type="pct"/>
            <w:tcBorders>
              <w:left w:val="single" w:sz="4" w:space="0" w:color="auto"/>
              <w:bottom w:val="single" w:sz="4" w:space="0" w:color="auto"/>
            </w:tcBorders>
          </w:tcPr>
          <w:p w14:paraId="6AAC9989" w14:textId="0F07024C" w:rsidR="00357DAB" w:rsidRPr="00357DAB" w:rsidRDefault="00AB6716" w:rsidP="00414134">
            <w:pPr>
              <w:pStyle w:val="TableHeading"/>
              <w:rPr>
                <w:b w:val="0"/>
              </w:rPr>
            </w:pPr>
            <w:r>
              <w:rPr>
                <w:b w:val="0"/>
              </w:rPr>
              <w:t>This is not tested in sensitivity analyses.</w:t>
            </w:r>
          </w:p>
        </w:tc>
      </w:tr>
      <w:tr w:rsidR="0054250E" w:rsidRPr="00E56289" w14:paraId="423B5B4F" w14:textId="77777777" w:rsidTr="0054250E">
        <w:tc>
          <w:tcPr>
            <w:tcW w:w="941" w:type="pct"/>
            <w:tcBorders>
              <w:bottom w:val="single" w:sz="4" w:space="0" w:color="auto"/>
            </w:tcBorders>
          </w:tcPr>
          <w:p w14:paraId="3CCC2E0D" w14:textId="43580256" w:rsidR="0054250E" w:rsidRPr="004B5269" w:rsidRDefault="0054250E" w:rsidP="0054250E">
            <w:pPr>
              <w:pStyle w:val="Tabletext1"/>
            </w:pPr>
            <w:r>
              <w:t>Natural history of recurrent infections</w:t>
            </w:r>
          </w:p>
        </w:tc>
        <w:tc>
          <w:tcPr>
            <w:tcW w:w="2594" w:type="pct"/>
            <w:tcBorders>
              <w:bottom w:val="single" w:sz="4" w:space="0" w:color="auto"/>
            </w:tcBorders>
          </w:tcPr>
          <w:p w14:paraId="000F7AC6" w14:textId="2F93BC24" w:rsidR="0054250E" w:rsidRDefault="0054250E" w:rsidP="00BB0145">
            <w:pPr>
              <w:pStyle w:val="Tabletext1"/>
            </w:pPr>
            <w:r>
              <w:t xml:space="preserve">There is very little </w:t>
            </w:r>
            <w:r w:rsidRPr="00727764">
              <w:t xml:space="preserve">published information regarding the long term consequences of recurrent infections in patients with acquired </w:t>
            </w:r>
            <w:r w:rsidR="00F61B05" w:rsidRPr="00727764">
              <w:t>hypogammaglobulinaemia</w:t>
            </w:r>
            <w:r w:rsidRPr="00727764">
              <w:t xml:space="preserve">. One narrative review </w:t>
            </w:r>
            <w:r w:rsidR="00674A5A">
              <w:fldChar w:fldCharType="begin"/>
            </w:r>
            <w:r w:rsidR="00674A5A">
              <w:instrText xml:space="preserve"> ADDIN EN.CITE &lt;EndNote&gt;&lt;Cite&gt;&lt;Author&gt;Brown&lt;/Author&gt;&lt;Year&gt;2011&lt;/Year&gt;&lt;RecNum&gt;111&lt;/RecNum&gt;&lt;DisplayText&gt;(Brown, Baxendale &amp;amp; Floto 2011)&lt;/DisplayText&gt;&lt;record&gt;&lt;rec-number&gt;111&lt;/rec-number&gt;&lt;foreign-keys&gt;&lt;key app="EN" db-id="z0vwsepdwpt20pewwts5z9eup9e2r2pd2tad" timestamp="1564368134"&gt;111&lt;/key&gt;&lt;key app="ENWeb" db-id=""&gt;0&lt;/key&gt;&lt;/foreign-keys&gt;&lt;ref-type name="Book Section"&gt;5&lt;/ref-type&gt;&lt;contributors&gt;&lt;authors&gt;&lt;author&gt;Brown, J. S.&lt;/author&gt;&lt;author&gt;Baxendale, H.&lt;/author&gt;&lt;author&gt;Floto, R. A.&lt;/author&gt;&lt;/authors&gt;&lt;secondary-authors&gt;&lt;author&gt;Floto, R. A.&lt;/author&gt;&lt;author&gt;Haworth, C.S.&lt;/author&gt;&lt;/secondary-authors&gt;&lt;/contributors&gt;&lt;titles&gt;&lt;title&gt;Immunodeficiencies associated with bronchiectasis&lt;/title&gt;&lt;secondary-title&gt;European Respiratory Society Monographs: Bronchiectasis&lt;/secondary-title&gt;&lt;/titles&gt;&lt;pages&gt;178-191&lt;/pages&gt;&lt;dates&gt;&lt;year&gt;2011&lt;/year&gt;&lt;/dates&gt;&lt;isbn&gt;9781849840118&amp;#xD;9781849840125&lt;/isbn&gt;&lt;urls&gt;&lt;/urls&gt;&lt;electronic-resource-num&gt;10.1183/1025448x.10004210&lt;/electronic-resource-num&gt;&lt;/record&gt;&lt;/Cite&gt;&lt;/EndNote&gt;</w:instrText>
            </w:r>
            <w:r w:rsidR="00674A5A">
              <w:fldChar w:fldCharType="separate"/>
            </w:r>
            <w:r w:rsidR="00674A5A">
              <w:rPr>
                <w:noProof/>
              </w:rPr>
              <w:t>(</w:t>
            </w:r>
            <w:hyperlink w:anchor="_ENREF_9" w:tooltip="Brown, 2011 #111" w:history="1">
              <w:r w:rsidR="00BB0145">
                <w:rPr>
                  <w:noProof/>
                </w:rPr>
                <w:t>Brown, Baxendale &amp; Floto 2011</w:t>
              </w:r>
            </w:hyperlink>
            <w:r w:rsidR="00674A5A">
              <w:rPr>
                <w:noProof/>
              </w:rPr>
              <w:t>)</w:t>
            </w:r>
            <w:r w:rsidR="00674A5A">
              <w:fldChar w:fldCharType="end"/>
            </w:r>
            <w:r w:rsidRPr="00727764">
              <w:t xml:space="preserve"> was identified which described the association of secondary immune deficiencies with bronchiectasis.</w:t>
            </w:r>
            <w:r>
              <w:t xml:space="preserve"> This study reported that patients with </w:t>
            </w:r>
            <w:r w:rsidR="00F61B05">
              <w:t>haematological</w:t>
            </w:r>
            <w:r>
              <w:t xml:space="preserve"> malignancies (particularly MM and CLL) or post-HSCT were relatively commonly associated with bronchiectasis. This is consistent with a recent Australian economic evaluation in this </w:t>
            </w:r>
            <w:r w:rsidR="00F61B05">
              <w:t>population</w:t>
            </w:r>
            <w:r>
              <w:t xml:space="preserve"> which modelled the development of bronchiectasis. Therefore, the model structure will include health states associated with bronchiectasis in the base case analysis.</w:t>
            </w:r>
          </w:p>
        </w:tc>
        <w:tc>
          <w:tcPr>
            <w:tcW w:w="1465" w:type="pct"/>
            <w:tcBorders>
              <w:bottom w:val="single" w:sz="4" w:space="0" w:color="auto"/>
            </w:tcBorders>
          </w:tcPr>
          <w:p w14:paraId="6CE5AD6F" w14:textId="7257716A" w:rsidR="0054250E" w:rsidRDefault="0054250E" w:rsidP="0054250E">
            <w:pPr>
              <w:pStyle w:val="Tabletext1"/>
            </w:pPr>
            <w:r>
              <w:t>The inclusion of these health states are tested in a sensitivity analysis.</w:t>
            </w:r>
          </w:p>
        </w:tc>
      </w:tr>
      <w:tr w:rsidR="00767E2D" w:rsidRPr="00406414" w14:paraId="6CA191E3" w14:textId="77777777" w:rsidTr="00767E2D">
        <w:tblPrEx>
          <w:tblLook w:val="04A0" w:firstRow="1" w:lastRow="0" w:firstColumn="1" w:lastColumn="0" w:noHBand="0" w:noVBand="1"/>
        </w:tblPrEx>
        <w:tc>
          <w:tcPr>
            <w:tcW w:w="5000" w:type="pct"/>
            <w:gridSpan w:val="3"/>
          </w:tcPr>
          <w:p w14:paraId="480E6E12" w14:textId="59CB48C8" w:rsidR="00767E2D" w:rsidRDefault="00767E2D" w:rsidP="0054250E">
            <w:pPr>
              <w:pStyle w:val="TableHeading"/>
            </w:pPr>
            <w:r>
              <w:t>Transformation</w:t>
            </w:r>
          </w:p>
        </w:tc>
      </w:tr>
      <w:tr w:rsidR="0054250E" w:rsidRPr="00E56289" w14:paraId="2A99562A" w14:textId="77777777" w:rsidTr="0054250E">
        <w:tblPrEx>
          <w:tblLook w:val="04A0" w:firstRow="1" w:lastRow="0" w:firstColumn="1" w:lastColumn="0" w:noHBand="0" w:noVBand="1"/>
        </w:tblPrEx>
        <w:tc>
          <w:tcPr>
            <w:tcW w:w="941" w:type="pct"/>
          </w:tcPr>
          <w:p w14:paraId="0D669A25" w14:textId="0084D1DD" w:rsidR="0054250E" w:rsidRPr="004B5269" w:rsidRDefault="0054250E" w:rsidP="00414134">
            <w:pPr>
              <w:pStyle w:val="Tabletext1"/>
            </w:pPr>
            <w:bookmarkStart w:id="110" w:name="_Toc395200752"/>
            <w:bookmarkStart w:id="111" w:name="_Toc11854711"/>
            <w:r>
              <w:t>Utilities</w:t>
            </w:r>
          </w:p>
        </w:tc>
        <w:tc>
          <w:tcPr>
            <w:tcW w:w="2594" w:type="pct"/>
          </w:tcPr>
          <w:p w14:paraId="3434277A" w14:textId="34811040" w:rsidR="0054250E" w:rsidRDefault="0054250E" w:rsidP="00414134">
            <w:pPr>
              <w:pStyle w:val="Tabletext1"/>
            </w:pPr>
            <w:r w:rsidRPr="0054250E">
              <w:t xml:space="preserve">Utility weights were sourced from the published literature. Utilities reported in a </w:t>
            </w:r>
            <w:r w:rsidR="00F61B05" w:rsidRPr="0054250E">
              <w:t>relevant</w:t>
            </w:r>
            <w:r w:rsidRPr="0054250E">
              <w:t xml:space="preserve"> Australian population using the AQoL-6D instrument will be preferentially used in the model presented in Section D. The </w:t>
            </w:r>
            <w:r w:rsidR="00F61B05" w:rsidRPr="0054250E">
              <w:t>utilities</w:t>
            </w:r>
            <w:r w:rsidRPr="0054250E">
              <w:t xml:space="preserve"> related to infections were based on an alternative source as the Australian data do not allow for differences in infection severity to be quantified. A </w:t>
            </w:r>
            <w:r w:rsidR="00F61B05" w:rsidRPr="0054250E">
              <w:lastRenderedPageBreak/>
              <w:t>disutility</w:t>
            </w:r>
            <w:r w:rsidRPr="0054250E">
              <w:t xml:space="preserve"> is applied per IV infusion, however no </w:t>
            </w:r>
            <w:r w:rsidR="00F61B05" w:rsidRPr="0054250E">
              <w:t>disutilities</w:t>
            </w:r>
            <w:r w:rsidRPr="0054250E">
              <w:t xml:space="preserve"> have been assumed due to infusion-related AEs (which were generally mild and manageable).</w:t>
            </w:r>
          </w:p>
        </w:tc>
        <w:tc>
          <w:tcPr>
            <w:tcW w:w="1465" w:type="pct"/>
          </w:tcPr>
          <w:p w14:paraId="4FDB4956" w14:textId="3B803A5E" w:rsidR="0054250E" w:rsidRDefault="0054250E" w:rsidP="0054250E">
            <w:pPr>
              <w:pStyle w:val="Tabletext1"/>
            </w:pPr>
            <w:r>
              <w:lastRenderedPageBreak/>
              <w:t xml:space="preserve">Sensitivity analyses are presented </w:t>
            </w:r>
            <w:r w:rsidR="00FB3D51">
              <w:t>using alternative assumptions regarding the utility weights used in the model.</w:t>
            </w:r>
          </w:p>
        </w:tc>
      </w:tr>
    </w:tbl>
    <w:p w14:paraId="74EA3687" w14:textId="62C0215E" w:rsidR="00911F85" w:rsidRPr="00E86BCE" w:rsidRDefault="00FB3D51" w:rsidP="00911F85">
      <w:pPr>
        <w:pStyle w:val="Tablenotes1"/>
      </w:pPr>
      <w:r>
        <w:lastRenderedPageBreak/>
        <w:t xml:space="preserve">AE = adverse events; AQoL-6D = </w:t>
      </w:r>
      <w:r w:rsidRPr="00FB3D51">
        <w:t>Assessment of Quality of Life</w:t>
      </w:r>
      <w:r>
        <w:t xml:space="preserve">, six dimension; </w:t>
      </w:r>
      <w:r w:rsidR="00911F85">
        <w:t>CLL = chronic lymphocytic leukaemia; Ig = immunoglobulin</w:t>
      </w:r>
      <w:r>
        <w:t>; MM = multiple myeloma; post-HSCT = post-</w:t>
      </w:r>
      <w:r w:rsidRPr="00FB3D51">
        <w:t xml:space="preserve"> haemopoietic stem cell transplantation</w:t>
      </w:r>
      <w:r w:rsidR="00911F85">
        <w:t>.</w:t>
      </w:r>
    </w:p>
    <w:p w14:paraId="583AC8FC" w14:textId="3D7D41B6" w:rsidR="00911F85" w:rsidRPr="00183E4D" w:rsidRDefault="00911F85" w:rsidP="00911F85">
      <w:pPr>
        <w:pStyle w:val="Heading3"/>
      </w:pPr>
      <w:bookmarkStart w:id="112" w:name="_Toc14431111"/>
      <w:bookmarkStart w:id="113" w:name="_Toc16856279"/>
      <w:r w:rsidRPr="00183E4D">
        <w:t xml:space="preserve">Economic </w:t>
      </w:r>
      <w:bookmarkEnd w:id="99"/>
      <w:bookmarkEnd w:id="100"/>
      <w:bookmarkEnd w:id="101"/>
      <w:r w:rsidRPr="00183E4D">
        <w:t>Evaluation</w:t>
      </w:r>
      <w:bookmarkEnd w:id="110"/>
      <w:bookmarkEnd w:id="111"/>
      <w:bookmarkEnd w:id="112"/>
      <w:bookmarkEnd w:id="113"/>
    </w:p>
    <w:p w14:paraId="623D53C5" w14:textId="77777777" w:rsidR="00911F85" w:rsidRDefault="00911F85" w:rsidP="00911F85">
      <w:bookmarkStart w:id="114" w:name="_Ref379404328"/>
      <w:r w:rsidRPr="009929BE">
        <w:t>The clinical evaluation suggested that</w:t>
      </w:r>
      <w:r>
        <w:t xml:space="preserve"> in patients with acquired hypogammaglobulinaemia secondary to haematological malignancies</w:t>
      </w:r>
      <w:r w:rsidRPr="009929BE">
        <w:t xml:space="preserve">, relative to </w:t>
      </w:r>
      <w:r>
        <w:t>no Ig</w:t>
      </w:r>
      <w:r w:rsidRPr="009929BE">
        <w:t xml:space="preserve">, </w:t>
      </w:r>
      <w:r>
        <w:t>Ig</w:t>
      </w:r>
      <w:r w:rsidRPr="009929BE">
        <w:t xml:space="preserve"> has </w:t>
      </w:r>
      <w:r w:rsidRPr="002E3617">
        <w:t xml:space="preserve">inferior </w:t>
      </w:r>
      <w:r w:rsidRPr="009929BE">
        <w:t xml:space="preserve">safety and </w:t>
      </w:r>
      <w:r w:rsidRPr="002E3617">
        <w:t xml:space="preserve">superior </w:t>
      </w:r>
      <w:r w:rsidRPr="009929BE">
        <w:t>effectiveness</w:t>
      </w:r>
      <w:r>
        <w:t xml:space="preserve">. On this basis, a modelled cost-utility analysis was </w:t>
      </w:r>
      <w:r w:rsidRPr="00762516">
        <w:t>presented.</w:t>
      </w:r>
    </w:p>
    <w:p w14:paraId="65C39FCE" w14:textId="77777777" w:rsidR="00911F85" w:rsidRPr="00183E4D" w:rsidRDefault="00911F85" w:rsidP="00911F85">
      <w:r w:rsidRPr="007976D7">
        <w:t>One eco</w:t>
      </w:r>
      <w:r>
        <w:t xml:space="preserve">nomic analysis was presented across the acquired hypogammaglobulinaemia indications. This is consistent with contemporary clinical and economic modelling studies which generally included patients with mixed haematological malignancies. As the purpose of Ig in acquired hypogammaglobulinaemia is to reduce the risk of infection and as the treatment effect of Ig was observed to be consistent across indications with respect to this outcome, this is considered to be a reasonable </w:t>
      </w:r>
      <w:r w:rsidRPr="00E411E3">
        <w:t>approach</w:t>
      </w:r>
      <w:r>
        <w:t>. Scenario analyses have been presented determining the cost-effectiveness per indication assuming the best estimates available.</w:t>
      </w:r>
    </w:p>
    <w:p w14:paraId="1CD6899D" w14:textId="77777777" w:rsidR="00911F85" w:rsidRPr="00183E4D" w:rsidRDefault="00911F85" w:rsidP="00AF32E4">
      <w:pPr>
        <w:pStyle w:val="Caption"/>
        <w:keepNext/>
        <w:tabs>
          <w:tab w:val="left" w:pos="1134"/>
        </w:tabs>
        <w:ind w:left="1134" w:hanging="1134"/>
      </w:pPr>
      <w:bookmarkStart w:id="115" w:name="_Ref379483368"/>
      <w:bookmarkStart w:id="116" w:name="_Ref394419656"/>
      <w:bookmarkStart w:id="117" w:name="_Toc14348837"/>
      <w:bookmarkStart w:id="118" w:name="_Toc14429549"/>
      <w:bookmarkStart w:id="119" w:name="_Toc16671604"/>
      <w:r w:rsidRPr="00E411E3">
        <w:t xml:space="preserve">Table </w:t>
      </w:r>
      <w:r>
        <w:rPr>
          <w:noProof/>
        </w:rPr>
        <w:fldChar w:fldCharType="begin"/>
      </w:r>
      <w:r>
        <w:rPr>
          <w:noProof/>
        </w:rPr>
        <w:instrText xml:space="preserve"> SEQ Table \* ARABIC </w:instrText>
      </w:r>
      <w:r>
        <w:rPr>
          <w:noProof/>
        </w:rPr>
        <w:fldChar w:fldCharType="separate"/>
      </w:r>
      <w:r w:rsidR="00A7463B">
        <w:rPr>
          <w:noProof/>
        </w:rPr>
        <w:t>6</w:t>
      </w:r>
      <w:r>
        <w:rPr>
          <w:noProof/>
        </w:rPr>
        <w:fldChar w:fldCharType="end"/>
      </w:r>
      <w:bookmarkEnd w:id="114"/>
      <w:bookmarkEnd w:id="115"/>
      <w:r w:rsidRPr="00183E4D">
        <w:tab/>
        <w:t>Summary of the economic evaluation</w:t>
      </w:r>
      <w:bookmarkEnd w:id="116"/>
      <w:bookmarkEnd w:id="117"/>
      <w:bookmarkEnd w:id="118"/>
      <w:bookmarkEnd w:id="119"/>
      <w:r w:rsidRPr="00183E4D">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ummary of the economic evaluation "/>
        <w:tblDescription w:val="This table describes the key constructs of the economic evaluation that is provided in the assessment report."/>
      </w:tblPr>
      <w:tblGrid>
        <w:gridCol w:w="3185"/>
        <w:gridCol w:w="6057"/>
      </w:tblGrid>
      <w:tr w:rsidR="00911F85" w:rsidRPr="00183E4D" w14:paraId="680613C4" w14:textId="77777777" w:rsidTr="008742A1">
        <w:trPr>
          <w:cantSplit/>
          <w:trHeight w:val="20"/>
          <w:tblHeader/>
        </w:trPr>
        <w:tc>
          <w:tcPr>
            <w:tcW w:w="1723" w:type="pct"/>
            <w:tcBorders>
              <w:top w:val="single" w:sz="4" w:space="0" w:color="auto"/>
              <w:left w:val="single" w:sz="4" w:space="0" w:color="auto"/>
              <w:bottom w:val="single" w:sz="4" w:space="0" w:color="auto"/>
              <w:right w:val="single" w:sz="4" w:space="0" w:color="auto"/>
            </w:tcBorders>
          </w:tcPr>
          <w:p w14:paraId="6D6A1576" w14:textId="77777777" w:rsidR="00911F85" w:rsidRPr="00183E4D" w:rsidRDefault="00911F85" w:rsidP="008742A1">
            <w:pPr>
              <w:pStyle w:val="Tabletext1"/>
              <w:keepNext/>
              <w:rPr>
                <w:b/>
              </w:rPr>
            </w:pPr>
            <w:r w:rsidRPr="00183E4D">
              <w:rPr>
                <w:b/>
              </w:rPr>
              <w:t>Perspective</w:t>
            </w:r>
          </w:p>
        </w:tc>
        <w:tc>
          <w:tcPr>
            <w:tcW w:w="3277" w:type="pct"/>
            <w:tcBorders>
              <w:top w:val="single" w:sz="4" w:space="0" w:color="auto"/>
              <w:left w:val="single" w:sz="4" w:space="0" w:color="auto"/>
              <w:bottom w:val="single" w:sz="4" w:space="0" w:color="auto"/>
              <w:right w:val="single" w:sz="4" w:space="0" w:color="auto"/>
            </w:tcBorders>
          </w:tcPr>
          <w:p w14:paraId="19C6505F" w14:textId="77777777" w:rsidR="00911F85" w:rsidRPr="00E9672D" w:rsidRDefault="00911F85" w:rsidP="008742A1">
            <w:pPr>
              <w:pStyle w:val="Tabletext1"/>
            </w:pPr>
            <w:r w:rsidRPr="00C74C59">
              <w:t>Australian healthcare</w:t>
            </w:r>
          </w:p>
        </w:tc>
      </w:tr>
      <w:tr w:rsidR="00911F85" w:rsidRPr="00183E4D" w14:paraId="4E829912" w14:textId="77777777" w:rsidTr="008742A1">
        <w:trPr>
          <w:trHeight w:val="20"/>
        </w:trPr>
        <w:tc>
          <w:tcPr>
            <w:tcW w:w="1723" w:type="pct"/>
            <w:tcBorders>
              <w:top w:val="single" w:sz="4" w:space="0" w:color="auto"/>
              <w:left w:val="single" w:sz="4" w:space="0" w:color="auto"/>
              <w:bottom w:val="single" w:sz="4" w:space="0" w:color="auto"/>
              <w:right w:val="single" w:sz="4" w:space="0" w:color="auto"/>
            </w:tcBorders>
          </w:tcPr>
          <w:p w14:paraId="4C313C71" w14:textId="77777777" w:rsidR="00911F85" w:rsidRPr="00183E4D" w:rsidRDefault="00911F85" w:rsidP="008742A1">
            <w:pPr>
              <w:pStyle w:val="Tabletext1"/>
              <w:keepNext/>
              <w:rPr>
                <w:b/>
              </w:rPr>
            </w:pPr>
            <w:r w:rsidRPr="00183E4D">
              <w:rPr>
                <w:b/>
              </w:rPr>
              <w:t>Comparator</w:t>
            </w:r>
          </w:p>
        </w:tc>
        <w:tc>
          <w:tcPr>
            <w:tcW w:w="3277" w:type="pct"/>
            <w:tcBorders>
              <w:top w:val="single" w:sz="4" w:space="0" w:color="auto"/>
              <w:left w:val="single" w:sz="4" w:space="0" w:color="auto"/>
              <w:bottom w:val="single" w:sz="4" w:space="0" w:color="auto"/>
              <w:right w:val="single" w:sz="4" w:space="0" w:color="auto"/>
            </w:tcBorders>
          </w:tcPr>
          <w:p w14:paraId="17E886A8" w14:textId="77777777" w:rsidR="00911F85" w:rsidRPr="00E9672D" w:rsidRDefault="00911F85" w:rsidP="008742A1">
            <w:pPr>
              <w:pStyle w:val="Tabletext1"/>
            </w:pPr>
            <w:r w:rsidRPr="00C74C59">
              <w:t>No Ig</w:t>
            </w:r>
          </w:p>
        </w:tc>
      </w:tr>
      <w:tr w:rsidR="00911F85" w:rsidRPr="00183E4D" w14:paraId="3C3DC0BB" w14:textId="77777777" w:rsidTr="008742A1">
        <w:trPr>
          <w:trHeight w:val="20"/>
        </w:trPr>
        <w:tc>
          <w:tcPr>
            <w:tcW w:w="1723" w:type="pct"/>
            <w:tcBorders>
              <w:top w:val="single" w:sz="4" w:space="0" w:color="auto"/>
              <w:left w:val="single" w:sz="4" w:space="0" w:color="auto"/>
              <w:bottom w:val="single" w:sz="4" w:space="0" w:color="auto"/>
              <w:right w:val="single" w:sz="4" w:space="0" w:color="auto"/>
            </w:tcBorders>
          </w:tcPr>
          <w:p w14:paraId="033730AB" w14:textId="77777777" w:rsidR="00911F85" w:rsidRPr="00183E4D" w:rsidRDefault="00911F85" w:rsidP="008742A1">
            <w:pPr>
              <w:pStyle w:val="Tabletext1"/>
              <w:keepNext/>
              <w:rPr>
                <w:b/>
              </w:rPr>
            </w:pPr>
            <w:r w:rsidRPr="00183E4D">
              <w:rPr>
                <w:b/>
              </w:rPr>
              <w:t>Type of economic evaluation</w:t>
            </w:r>
          </w:p>
        </w:tc>
        <w:tc>
          <w:tcPr>
            <w:tcW w:w="3277" w:type="pct"/>
            <w:tcBorders>
              <w:top w:val="single" w:sz="4" w:space="0" w:color="auto"/>
              <w:left w:val="single" w:sz="4" w:space="0" w:color="auto"/>
              <w:bottom w:val="single" w:sz="4" w:space="0" w:color="auto"/>
              <w:right w:val="single" w:sz="4" w:space="0" w:color="auto"/>
            </w:tcBorders>
          </w:tcPr>
          <w:p w14:paraId="7752BD86" w14:textId="77777777" w:rsidR="00911F85" w:rsidRPr="00E9672D" w:rsidRDefault="00911F85" w:rsidP="008742A1">
            <w:pPr>
              <w:pStyle w:val="Tabletext1"/>
            </w:pPr>
            <w:r w:rsidRPr="00C74C59">
              <w:t>Cost-utility</w:t>
            </w:r>
            <w:r>
              <w:t xml:space="preserve"> and cost-effectiveness analyses</w:t>
            </w:r>
          </w:p>
        </w:tc>
      </w:tr>
      <w:tr w:rsidR="00911F85" w:rsidRPr="00183E4D" w14:paraId="14C56528" w14:textId="77777777" w:rsidTr="008742A1">
        <w:trPr>
          <w:trHeight w:val="20"/>
        </w:trPr>
        <w:tc>
          <w:tcPr>
            <w:tcW w:w="1723" w:type="pct"/>
            <w:tcBorders>
              <w:top w:val="single" w:sz="4" w:space="0" w:color="auto"/>
              <w:left w:val="single" w:sz="4" w:space="0" w:color="auto"/>
              <w:bottom w:val="single" w:sz="4" w:space="0" w:color="auto"/>
              <w:right w:val="single" w:sz="4" w:space="0" w:color="auto"/>
            </w:tcBorders>
          </w:tcPr>
          <w:p w14:paraId="2817AADD" w14:textId="77777777" w:rsidR="00911F85" w:rsidRPr="00183E4D" w:rsidRDefault="00911F85" w:rsidP="008742A1">
            <w:pPr>
              <w:pStyle w:val="Tabletext1"/>
              <w:keepNext/>
              <w:rPr>
                <w:b/>
              </w:rPr>
            </w:pPr>
            <w:r w:rsidRPr="00183E4D">
              <w:rPr>
                <w:b/>
              </w:rPr>
              <w:t>Sources of evidence</w:t>
            </w:r>
          </w:p>
        </w:tc>
        <w:tc>
          <w:tcPr>
            <w:tcW w:w="3277" w:type="pct"/>
            <w:tcBorders>
              <w:top w:val="single" w:sz="4" w:space="0" w:color="auto"/>
              <w:left w:val="single" w:sz="4" w:space="0" w:color="auto"/>
              <w:bottom w:val="single" w:sz="4" w:space="0" w:color="auto"/>
              <w:right w:val="single" w:sz="4" w:space="0" w:color="auto"/>
            </w:tcBorders>
          </w:tcPr>
          <w:p w14:paraId="2F02AD76" w14:textId="77777777" w:rsidR="00911F85" w:rsidRPr="00E9672D" w:rsidRDefault="00911F85" w:rsidP="008742A1">
            <w:pPr>
              <w:pStyle w:val="Tabletext1"/>
            </w:pPr>
            <w:r w:rsidRPr="00C74C59">
              <w:t>Systematic review presented in Section B</w:t>
            </w:r>
          </w:p>
        </w:tc>
      </w:tr>
      <w:tr w:rsidR="00911F85" w:rsidRPr="00183E4D" w14:paraId="0E42F58A" w14:textId="77777777" w:rsidTr="008742A1">
        <w:trPr>
          <w:trHeight w:val="20"/>
        </w:trPr>
        <w:tc>
          <w:tcPr>
            <w:tcW w:w="1723" w:type="pct"/>
            <w:tcBorders>
              <w:top w:val="single" w:sz="4" w:space="0" w:color="auto"/>
              <w:left w:val="single" w:sz="4" w:space="0" w:color="auto"/>
              <w:bottom w:val="single" w:sz="4" w:space="0" w:color="auto"/>
              <w:right w:val="single" w:sz="4" w:space="0" w:color="auto"/>
            </w:tcBorders>
            <w:hideMark/>
          </w:tcPr>
          <w:p w14:paraId="73C66879" w14:textId="77777777" w:rsidR="00911F85" w:rsidRPr="00183E4D" w:rsidRDefault="00911F85" w:rsidP="008742A1">
            <w:pPr>
              <w:pStyle w:val="Tabletext1"/>
              <w:keepNext/>
              <w:rPr>
                <w:b/>
              </w:rPr>
            </w:pPr>
            <w:r w:rsidRPr="00183E4D">
              <w:rPr>
                <w:b/>
              </w:rPr>
              <w:t>Time horizon</w:t>
            </w:r>
          </w:p>
        </w:tc>
        <w:tc>
          <w:tcPr>
            <w:tcW w:w="3277" w:type="pct"/>
            <w:tcBorders>
              <w:top w:val="single" w:sz="4" w:space="0" w:color="auto"/>
              <w:left w:val="single" w:sz="4" w:space="0" w:color="auto"/>
              <w:bottom w:val="single" w:sz="4" w:space="0" w:color="auto"/>
              <w:right w:val="single" w:sz="4" w:space="0" w:color="auto"/>
            </w:tcBorders>
            <w:hideMark/>
          </w:tcPr>
          <w:p w14:paraId="1DA2EBF6" w14:textId="77777777" w:rsidR="00911F85" w:rsidRPr="00E9672D" w:rsidRDefault="00911F85" w:rsidP="008742A1">
            <w:pPr>
              <w:pStyle w:val="Tabletext1"/>
            </w:pPr>
            <w:r>
              <w:t>10 years</w:t>
            </w:r>
          </w:p>
        </w:tc>
      </w:tr>
      <w:tr w:rsidR="00911F85" w:rsidRPr="00183E4D" w14:paraId="5239F616" w14:textId="77777777" w:rsidTr="008742A1">
        <w:trPr>
          <w:trHeight w:val="20"/>
        </w:trPr>
        <w:tc>
          <w:tcPr>
            <w:tcW w:w="1723" w:type="pct"/>
            <w:tcBorders>
              <w:top w:val="single" w:sz="4" w:space="0" w:color="auto"/>
              <w:left w:val="single" w:sz="4" w:space="0" w:color="auto"/>
              <w:bottom w:val="single" w:sz="4" w:space="0" w:color="auto"/>
              <w:right w:val="single" w:sz="4" w:space="0" w:color="auto"/>
            </w:tcBorders>
            <w:hideMark/>
          </w:tcPr>
          <w:p w14:paraId="39D27950" w14:textId="77777777" w:rsidR="00911F85" w:rsidRPr="00183E4D" w:rsidRDefault="00911F85" w:rsidP="008742A1">
            <w:pPr>
              <w:pStyle w:val="Tabletext1"/>
              <w:keepNext/>
              <w:rPr>
                <w:b/>
              </w:rPr>
            </w:pPr>
            <w:r w:rsidRPr="00183E4D">
              <w:rPr>
                <w:b/>
              </w:rPr>
              <w:t>Outcomes</w:t>
            </w:r>
          </w:p>
        </w:tc>
        <w:tc>
          <w:tcPr>
            <w:tcW w:w="3277" w:type="pct"/>
            <w:tcBorders>
              <w:top w:val="single" w:sz="4" w:space="0" w:color="auto"/>
              <w:left w:val="single" w:sz="4" w:space="0" w:color="auto"/>
              <w:bottom w:val="single" w:sz="4" w:space="0" w:color="auto"/>
              <w:right w:val="single" w:sz="4" w:space="0" w:color="auto"/>
            </w:tcBorders>
          </w:tcPr>
          <w:p w14:paraId="5A84C528" w14:textId="77777777" w:rsidR="00911F85" w:rsidRDefault="00911F85" w:rsidP="008742A1">
            <w:pPr>
              <w:pStyle w:val="Tabletext1"/>
            </w:pPr>
            <w:r w:rsidRPr="00C74C59">
              <w:t>QALYs</w:t>
            </w:r>
          </w:p>
          <w:p w14:paraId="328C7A3B" w14:textId="77777777" w:rsidR="00911F85" w:rsidRPr="00E9672D" w:rsidRDefault="00911F85" w:rsidP="008742A1">
            <w:pPr>
              <w:pStyle w:val="Tabletext1"/>
            </w:pPr>
            <w:r>
              <w:t>Infections avoided</w:t>
            </w:r>
          </w:p>
        </w:tc>
      </w:tr>
      <w:tr w:rsidR="00911F85" w:rsidRPr="00183E4D" w14:paraId="7A18D847" w14:textId="77777777" w:rsidTr="008742A1">
        <w:trPr>
          <w:trHeight w:val="20"/>
        </w:trPr>
        <w:tc>
          <w:tcPr>
            <w:tcW w:w="1723" w:type="pct"/>
            <w:tcBorders>
              <w:top w:val="single" w:sz="4" w:space="0" w:color="auto"/>
              <w:left w:val="single" w:sz="4" w:space="0" w:color="auto"/>
              <w:bottom w:val="single" w:sz="4" w:space="0" w:color="auto"/>
              <w:right w:val="single" w:sz="4" w:space="0" w:color="auto"/>
            </w:tcBorders>
            <w:hideMark/>
          </w:tcPr>
          <w:p w14:paraId="14A27CDE" w14:textId="77777777" w:rsidR="00911F85" w:rsidRPr="00183E4D" w:rsidRDefault="00911F85" w:rsidP="008742A1">
            <w:pPr>
              <w:pStyle w:val="Tabletext1"/>
              <w:keepNext/>
              <w:rPr>
                <w:b/>
              </w:rPr>
            </w:pPr>
            <w:r w:rsidRPr="00183E4D">
              <w:rPr>
                <w:b/>
              </w:rPr>
              <w:t>Methods used to generate results</w:t>
            </w:r>
          </w:p>
        </w:tc>
        <w:tc>
          <w:tcPr>
            <w:tcW w:w="3277" w:type="pct"/>
            <w:tcBorders>
              <w:top w:val="single" w:sz="4" w:space="0" w:color="auto"/>
              <w:left w:val="single" w:sz="4" w:space="0" w:color="auto"/>
              <w:bottom w:val="single" w:sz="4" w:space="0" w:color="auto"/>
              <w:right w:val="single" w:sz="4" w:space="0" w:color="auto"/>
            </w:tcBorders>
          </w:tcPr>
          <w:p w14:paraId="389D0014" w14:textId="77777777" w:rsidR="00911F85" w:rsidRPr="00E9672D" w:rsidRDefault="00911F85" w:rsidP="008742A1">
            <w:pPr>
              <w:pStyle w:val="Tabletext1"/>
            </w:pPr>
            <w:r w:rsidRPr="00C74C59">
              <w:t>Markov model</w:t>
            </w:r>
          </w:p>
        </w:tc>
      </w:tr>
      <w:tr w:rsidR="00911F85" w:rsidRPr="00183E4D" w14:paraId="5D56D6A7" w14:textId="77777777" w:rsidTr="008742A1">
        <w:trPr>
          <w:trHeight w:val="20"/>
        </w:trPr>
        <w:tc>
          <w:tcPr>
            <w:tcW w:w="1723" w:type="pct"/>
            <w:tcBorders>
              <w:top w:val="single" w:sz="4" w:space="0" w:color="auto"/>
              <w:left w:val="single" w:sz="4" w:space="0" w:color="auto"/>
              <w:bottom w:val="single" w:sz="4" w:space="0" w:color="auto"/>
              <w:right w:val="single" w:sz="4" w:space="0" w:color="auto"/>
            </w:tcBorders>
          </w:tcPr>
          <w:p w14:paraId="262E13E8" w14:textId="77777777" w:rsidR="00911F85" w:rsidRPr="00183E4D" w:rsidRDefault="00911F85" w:rsidP="008742A1">
            <w:pPr>
              <w:pStyle w:val="Tabletext1"/>
              <w:keepNext/>
              <w:rPr>
                <w:b/>
              </w:rPr>
            </w:pPr>
            <w:r>
              <w:rPr>
                <w:b/>
              </w:rPr>
              <w:t>Health states</w:t>
            </w:r>
          </w:p>
        </w:tc>
        <w:tc>
          <w:tcPr>
            <w:tcW w:w="3277" w:type="pct"/>
            <w:tcBorders>
              <w:top w:val="single" w:sz="4" w:space="0" w:color="auto"/>
              <w:left w:val="single" w:sz="4" w:space="0" w:color="auto"/>
              <w:bottom w:val="single" w:sz="4" w:space="0" w:color="auto"/>
              <w:right w:val="single" w:sz="4" w:space="0" w:color="auto"/>
            </w:tcBorders>
          </w:tcPr>
          <w:p w14:paraId="50BE655A" w14:textId="77777777" w:rsidR="00911F85" w:rsidRDefault="00911F85" w:rsidP="008742A1">
            <w:pPr>
              <w:pStyle w:val="Tabletext1"/>
            </w:pPr>
            <w:r>
              <w:t>Infection-free</w:t>
            </w:r>
          </w:p>
          <w:p w14:paraId="3342FEC5" w14:textId="77777777" w:rsidR="00911F85" w:rsidRDefault="00911F85" w:rsidP="008742A1">
            <w:pPr>
              <w:pStyle w:val="Tabletext1"/>
            </w:pPr>
            <w:r>
              <w:t>Infection</w:t>
            </w:r>
          </w:p>
          <w:p w14:paraId="2C349393" w14:textId="77777777" w:rsidR="00911F85" w:rsidRDefault="00911F85" w:rsidP="008742A1">
            <w:pPr>
              <w:pStyle w:val="Tabletext1"/>
            </w:pPr>
            <w:r>
              <w:t>Bronchiectasis</w:t>
            </w:r>
          </w:p>
          <w:p w14:paraId="780E373B" w14:textId="77777777" w:rsidR="00911F85" w:rsidRDefault="00911F85" w:rsidP="008742A1">
            <w:pPr>
              <w:pStyle w:val="Tabletext1"/>
            </w:pPr>
            <w:r>
              <w:t>Bronchiectasis, with infection</w:t>
            </w:r>
          </w:p>
          <w:p w14:paraId="5469C18D" w14:textId="77777777" w:rsidR="00911F85" w:rsidRDefault="00911F85" w:rsidP="008742A1">
            <w:pPr>
              <w:pStyle w:val="Tabletext1"/>
            </w:pPr>
            <w:r>
              <w:t xml:space="preserve">Bronchiectasis, with chronic </w:t>
            </w:r>
            <w:r w:rsidRPr="008124CB">
              <w:rPr>
                <w:i/>
              </w:rPr>
              <w:t>Pseudomonas aeruginosa</w:t>
            </w:r>
            <w:r>
              <w:t xml:space="preserve"> infection</w:t>
            </w:r>
          </w:p>
          <w:p w14:paraId="78332672" w14:textId="77777777" w:rsidR="00911F85" w:rsidRPr="00E9672D" w:rsidRDefault="00911F85" w:rsidP="008742A1">
            <w:pPr>
              <w:pStyle w:val="Tabletext1"/>
            </w:pPr>
            <w:r>
              <w:t>Dead</w:t>
            </w:r>
          </w:p>
        </w:tc>
      </w:tr>
      <w:tr w:rsidR="00911F85" w:rsidRPr="00183E4D" w14:paraId="2FE7BE64" w14:textId="77777777" w:rsidTr="008742A1">
        <w:trPr>
          <w:trHeight w:val="20"/>
        </w:trPr>
        <w:tc>
          <w:tcPr>
            <w:tcW w:w="1723" w:type="pct"/>
            <w:tcBorders>
              <w:top w:val="single" w:sz="4" w:space="0" w:color="auto"/>
              <w:left w:val="single" w:sz="4" w:space="0" w:color="auto"/>
              <w:bottom w:val="single" w:sz="4" w:space="0" w:color="auto"/>
              <w:right w:val="single" w:sz="4" w:space="0" w:color="auto"/>
            </w:tcBorders>
            <w:hideMark/>
          </w:tcPr>
          <w:p w14:paraId="6775AC97" w14:textId="77777777" w:rsidR="00911F85" w:rsidRPr="00183E4D" w:rsidRDefault="00911F85" w:rsidP="008742A1">
            <w:pPr>
              <w:pStyle w:val="Tabletext1"/>
              <w:keepNext/>
              <w:rPr>
                <w:b/>
              </w:rPr>
            </w:pPr>
            <w:r w:rsidRPr="00183E4D">
              <w:rPr>
                <w:b/>
              </w:rPr>
              <w:t>Cycle length</w:t>
            </w:r>
          </w:p>
        </w:tc>
        <w:tc>
          <w:tcPr>
            <w:tcW w:w="3277" w:type="pct"/>
            <w:tcBorders>
              <w:top w:val="single" w:sz="4" w:space="0" w:color="auto"/>
              <w:left w:val="single" w:sz="4" w:space="0" w:color="auto"/>
              <w:bottom w:val="single" w:sz="4" w:space="0" w:color="auto"/>
              <w:right w:val="single" w:sz="4" w:space="0" w:color="auto"/>
            </w:tcBorders>
          </w:tcPr>
          <w:p w14:paraId="286B1A96" w14:textId="77777777" w:rsidR="00911F85" w:rsidRPr="00E9672D" w:rsidRDefault="00911F85" w:rsidP="008742A1">
            <w:pPr>
              <w:pStyle w:val="Tabletext1"/>
            </w:pPr>
            <w:r>
              <w:t>1 week</w:t>
            </w:r>
          </w:p>
        </w:tc>
      </w:tr>
      <w:tr w:rsidR="00911F85" w:rsidRPr="00183E4D" w14:paraId="6F1C4DC4" w14:textId="77777777" w:rsidTr="008742A1">
        <w:trPr>
          <w:trHeight w:val="20"/>
        </w:trPr>
        <w:tc>
          <w:tcPr>
            <w:tcW w:w="1723" w:type="pct"/>
            <w:tcBorders>
              <w:top w:val="single" w:sz="4" w:space="0" w:color="auto"/>
              <w:left w:val="single" w:sz="4" w:space="0" w:color="auto"/>
              <w:bottom w:val="single" w:sz="4" w:space="0" w:color="auto"/>
              <w:right w:val="single" w:sz="4" w:space="0" w:color="auto"/>
            </w:tcBorders>
            <w:hideMark/>
          </w:tcPr>
          <w:p w14:paraId="687FCA42" w14:textId="77777777" w:rsidR="00911F85" w:rsidRPr="00183E4D" w:rsidRDefault="00911F85" w:rsidP="008742A1">
            <w:pPr>
              <w:pStyle w:val="Tabletext1"/>
              <w:keepNext/>
              <w:rPr>
                <w:b/>
              </w:rPr>
            </w:pPr>
            <w:r w:rsidRPr="00183E4D">
              <w:rPr>
                <w:b/>
              </w:rPr>
              <w:t>Discount rate</w:t>
            </w:r>
          </w:p>
        </w:tc>
        <w:tc>
          <w:tcPr>
            <w:tcW w:w="3277" w:type="pct"/>
            <w:tcBorders>
              <w:top w:val="single" w:sz="4" w:space="0" w:color="auto"/>
              <w:left w:val="single" w:sz="4" w:space="0" w:color="auto"/>
              <w:bottom w:val="single" w:sz="4" w:space="0" w:color="auto"/>
              <w:right w:val="single" w:sz="4" w:space="0" w:color="auto"/>
            </w:tcBorders>
          </w:tcPr>
          <w:p w14:paraId="097F2E35" w14:textId="77777777" w:rsidR="00911F85" w:rsidRPr="00E9672D" w:rsidRDefault="00911F85" w:rsidP="008742A1">
            <w:pPr>
              <w:pStyle w:val="Tabletext1"/>
            </w:pPr>
            <w:r>
              <w:t>5%</w:t>
            </w:r>
          </w:p>
        </w:tc>
      </w:tr>
      <w:tr w:rsidR="00911F85" w:rsidRPr="00183E4D" w14:paraId="7A2EC60B" w14:textId="77777777" w:rsidTr="008742A1">
        <w:trPr>
          <w:trHeight w:val="20"/>
        </w:trPr>
        <w:tc>
          <w:tcPr>
            <w:tcW w:w="1723" w:type="pct"/>
            <w:tcBorders>
              <w:top w:val="single" w:sz="4" w:space="0" w:color="auto"/>
              <w:left w:val="single" w:sz="4" w:space="0" w:color="auto"/>
              <w:bottom w:val="single" w:sz="4" w:space="0" w:color="auto"/>
              <w:right w:val="single" w:sz="4" w:space="0" w:color="auto"/>
            </w:tcBorders>
            <w:hideMark/>
          </w:tcPr>
          <w:p w14:paraId="2BE03FFB" w14:textId="77777777" w:rsidR="00911F85" w:rsidRPr="00183E4D" w:rsidRDefault="00911F85" w:rsidP="008742A1">
            <w:pPr>
              <w:pStyle w:val="Tabletext1"/>
              <w:rPr>
                <w:b/>
              </w:rPr>
            </w:pPr>
            <w:r w:rsidRPr="00183E4D">
              <w:rPr>
                <w:b/>
              </w:rPr>
              <w:t>Software packages used</w:t>
            </w:r>
          </w:p>
        </w:tc>
        <w:tc>
          <w:tcPr>
            <w:tcW w:w="3277" w:type="pct"/>
            <w:tcBorders>
              <w:top w:val="single" w:sz="4" w:space="0" w:color="auto"/>
              <w:left w:val="single" w:sz="4" w:space="0" w:color="auto"/>
              <w:bottom w:val="single" w:sz="4" w:space="0" w:color="auto"/>
              <w:right w:val="single" w:sz="4" w:space="0" w:color="auto"/>
            </w:tcBorders>
          </w:tcPr>
          <w:p w14:paraId="550349B0" w14:textId="77777777" w:rsidR="00911F85" w:rsidRPr="00E9672D" w:rsidRDefault="00911F85" w:rsidP="008742A1">
            <w:pPr>
              <w:pStyle w:val="Tabletext1"/>
            </w:pPr>
            <w:r>
              <w:t>Microsoft Excel and TreeAge Pro</w:t>
            </w:r>
          </w:p>
        </w:tc>
      </w:tr>
    </w:tbl>
    <w:p w14:paraId="6F707D6B" w14:textId="37DCCF97" w:rsidR="00911F85" w:rsidRDefault="00911F85" w:rsidP="00911F85">
      <w:pPr>
        <w:pStyle w:val="Tablenotes1"/>
      </w:pPr>
      <w:r>
        <w:t>Ig = immunoglobulin; QALY = quality-adjusted life year.</w:t>
      </w:r>
    </w:p>
    <w:p w14:paraId="49886197" w14:textId="77777777" w:rsidR="00911F85" w:rsidRDefault="00911F85" w:rsidP="00911F85">
      <w:r w:rsidRPr="00183E4D">
        <w:t>Key structural assumptions of the model are:</w:t>
      </w:r>
    </w:p>
    <w:p w14:paraId="1014B11B" w14:textId="15AB728B" w:rsidR="00911F85" w:rsidRDefault="00911F85" w:rsidP="00331FB9">
      <w:pPr>
        <w:pStyle w:val="ListParagraph"/>
        <w:numPr>
          <w:ilvl w:val="0"/>
          <w:numId w:val="24"/>
        </w:numPr>
      </w:pPr>
      <w:r w:rsidRPr="00802E02">
        <w:t>The risk of developing an infection varies depending on whether Ig is available and as such has been informed by the clinical evidence</w:t>
      </w:r>
      <w:r>
        <w:t xml:space="preserve">. Subsequent transitions were predominantly </w:t>
      </w:r>
      <w:r>
        <w:lastRenderedPageBreak/>
        <w:t xml:space="preserve">based on those reported in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 though some were adjusted according to infection severity, and so varied by model arm.</w:t>
      </w:r>
    </w:p>
    <w:p w14:paraId="04DB04B8" w14:textId="50B8DA10" w:rsidR="00911F85" w:rsidRDefault="00911F85" w:rsidP="00331FB9">
      <w:pPr>
        <w:pStyle w:val="ListParagraph"/>
        <w:numPr>
          <w:ilvl w:val="0"/>
          <w:numId w:val="24"/>
        </w:numPr>
      </w:pPr>
      <w:r>
        <w:t xml:space="preserve">Once patients develop bronchiectasis, they are not able to transition back to the infection-free health state. This is consistent with a previously published economic evaluation conducted by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w:t>
      </w:r>
    </w:p>
    <w:p w14:paraId="7392503B" w14:textId="1851C343" w:rsidR="00911F85" w:rsidRDefault="00911F85" w:rsidP="00911F85">
      <w:r>
        <w:t xml:space="preserve">The results of the stepped economic analysis are presented in </w:t>
      </w:r>
      <w:r>
        <w:fldChar w:fldCharType="begin"/>
      </w:r>
      <w:r>
        <w:instrText xml:space="preserve"> REF _Ref14268960 \h </w:instrText>
      </w:r>
      <w:r>
        <w:fldChar w:fldCharType="separate"/>
      </w:r>
      <w:r w:rsidR="00A7463B" w:rsidRPr="00674869">
        <w:t xml:space="preserve">Table </w:t>
      </w:r>
      <w:r w:rsidR="00A7463B">
        <w:rPr>
          <w:noProof/>
        </w:rPr>
        <w:t>7</w:t>
      </w:r>
      <w:r>
        <w:fldChar w:fldCharType="end"/>
      </w:r>
      <w:r>
        <w:t xml:space="preserve">. </w:t>
      </w:r>
    </w:p>
    <w:p w14:paraId="4F1CDC8C" w14:textId="77777777" w:rsidR="00911F85" w:rsidRPr="00183E4D" w:rsidRDefault="00911F85" w:rsidP="00911F85">
      <w:pPr>
        <w:pStyle w:val="Caption"/>
        <w:keepNext/>
      </w:pPr>
      <w:bookmarkStart w:id="120" w:name="_Ref14268960"/>
      <w:bookmarkStart w:id="121" w:name="_Toc14348838"/>
      <w:bookmarkStart w:id="122" w:name="_Toc14429550"/>
      <w:bookmarkStart w:id="123" w:name="_Toc16671605"/>
      <w:r w:rsidRPr="00674869">
        <w:t xml:space="preserve">Table </w:t>
      </w:r>
      <w:r>
        <w:rPr>
          <w:noProof/>
        </w:rPr>
        <w:fldChar w:fldCharType="begin"/>
      </w:r>
      <w:r>
        <w:rPr>
          <w:noProof/>
        </w:rPr>
        <w:instrText xml:space="preserve"> SEQ Table \* ARABIC </w:instrText>
      </w:r>
      <w:r>
        <w:rPr>
          <w:noProof/>
        </w:rPr>
        <w:fldChar w:fldCharType="separate"/>
      </w:r>
      <w:r w:rsidR="00A7463B">
        <w:rPr>
          <w:noProof/>
        </w:rPr>
        <w:t>7</w:t>
      </w:r>
      <w:r>
        <w:rPr>
          <w:noProof/>
        </w:rPr>
        <w:fldChar w:fldCharType="end"/>
      </w:r>
      <w:bookmarkEnd w:id="120"/>
      <w:r w:rsidRPr="00674869">
        <w:t xml:space="preserve"> </w:t>
      </w:r>
      <w:r w:rsidRPr="00674869">
        <w:tab/>
        <w:t>Results of the stepped economic analys</w:t>
      </w:r>
      <w:r>
        <w:t>i</w:t>
      </w:r>
      <w:r w:rsidRPr="00674869">
        <w:t>s</w:t>
      </w:r>
      <w:bookmarkEnd w:id="121"/>
      <w:bookmarkEnd w:id="122"/>
      <w:bookmarkEnd w:id="123"/>
    </w:p>
    <w:tbl>
      <w:tblPr>
        <w:tblStyle w:val="TableGrid1"/>
        <w:tblW w:w="5000" w:type="pct"/>
        <w:tblLayout w:type="fixed"/>
        <w:tblLook w:val="04A0" w:firstRow="1" w:lastRow="0" w:firstColumn="1" w:lastColumn="0" w:noHBand="0" w:noVBand="1"/>
        <w:tblCaption w:val="Results of the stepped economic analyses"/>
      </w:tblPr>
      <w:tblGrid>
        <w:gridCol w:w="5517"/>
        <w:gridCol w:w="1235"/>
        <w:gridCol w:w="1235"/>
        <w:gridCol w:w="1255"/>
      </w:tblGrid>
      <w:tr w:rsidR="00911F85" w:rsidRPr="007B7239" w14:paraId="5486441F" w14:textId="77777777" w:rsidTr="008742A1">
        <w:trPr>
          <w:cnfStyle w:val="100000000000" w:firstRow="1" w:lastRow="0" w:firstColumn="0" w:lastColumn="0" w:oddVBand="0" w:evenVBand="0" w:oddHBand="0" w:evenHBand="0" w:firstRowFirstColumn="0" w:firstRowLastColumn="0" w:lastRowFirstColumn="0" w:lastRowLastColumn="0"/>
          <w:cantSplit/>
          <w:trHeight w:val="300"/>
          <w:tblHeader/>
        </w:trPr>
        <w:tc>
          <w:tcPr>
            <w:tcW w:w="2985" w:type="pct"/>
            <w:noWrap/>
            <w:hideMark/>
          </w:tcPr>
          <w:p w14:paraId="2145BD1B" w14:textId="77777777" w:rsidR="00911F85" w:rsidRPr="007B7239" w:rsidRDefault="00911F85" w:rsidP="008742A1">
            <w:pPr>
              <w:pStyle w:val="TableHeading"/>
            </w:pPr>
          </w:p>
        </w:tc>
        <w:tc>
          <w:tcPr>
            <w:tcW w:w="668" w:type="pct"/>
            <w:noWrap/>
            <w:hideMark/>
          </w:tcPr>
          <w:p w14:paraId="0B746AE9" w14:textId="77777777" w:rsidR="00911F85" w:rsidRPr="007B7239" w:rsidRDefault="00911F85" w:rsidP="008742A1">
            <w:pPr>
              <w:pStyle w:val="TableHeading"/>
              <w:jc w:val="center"/>
            </w:pPr>
            <w:r w:rsidRPr="007B7239">
              <w:t>Inc. cost</w:t>
            </w:r>
          </w:p>
        </w:tc>
        <w:tc>
          <w:tcPr>
            <w:tcW w:w="668" w:type="pct"/>
            <w:noWrap/>
            <w:hideMark/>
          </w:tcPr>
          <w:p w14:paraId="0C3625AB" w14:textId="77777777" w:rsidR="00911F85" w:rsidRPr="007B7239" w:rsidRDefault="00911F85" w:rsidP="008742A1">
            <w:pPr>
              <w:pStyle w:val="TableHeading"/>
              <w:jc w:val="center"/>
            </w:pPr>
            <w:r w:rsidRPr="007B7239">
              <w:t>Inc. QALYs</w:t>
            </w:r>
          </w:p>
        </w:tc>
        <w:tc>
          <w:tcPr>
            <w:tcW w:w="679" w:type="pct"/>
            <w:noWrap/>
            <w:hideMark/>
          </w:tcPr>
          <w:p w14:paraId="144FCD5E" w14:textId="77777777" w:rsidR="00911F85" w:rsidRPr="007B7239" w:rsidRDefault="00911F85" w:rsidP="008742A1">
            <w:pPr>
              <w:pStyle w:val="TableHeading"/>
              <w:jc w:val="center"/>
            </w:pPr>
            <w:r w:rsidRPr="007B7239">
              <w:t>ICER</w:t>
            </w:r>
          </w:p>
        </w:tc>
      </w:tr>
      <w:tr w:rsidR="006362C6" w:rsidRPr="007B7239" w14:paraId="3DD08CF6" w14:textId="77777777" w:rsidTr="008742A1">
        <w:trPr>
          <w:cantSplit/>
          <w:trHeight w:val="300"/>
        </w:trPr>
        <w:tc>
          <w:tcPr>
            <w:tcW w:w="2985" w:type="pct"/>
            <w:noWrap/>
            <w:hideMark/>
          </w:tcPr>
          <w:p w14:paraId="6D1E606D" w14:textId="77777777" w:rsidR="006362C6" w:rsidRPr="00F309FB" w:rsidRDefault="006362C6" w:rsidP="006362C6">
            <w:pPr>
              <w:pStyle w:val="Tabletext1"/>
              <w:rPr>
                <w:b/>
              </w:rPr>
            </w:pPr>
            <w:r w:rsidRPr="00F309FB">
              <w:rPr>
                <w:b/>
              </w:rPr>
              <w:t>Step 1 – Trial-based analysis.</w:t>
            </w:r>
          </w:p>
          <w:p w14:paraId="454F4250" w14:textId="76402B02" w:rsidR="006362C6" w:rsidRPr="007B7239" w:rsidRDefault="006362C6" w:rsidP="00BB0145">
            <w:pPr>
              <w:pStyle w:val="Tabletext1"/>
            </w:pPr>
            <w:r>
              <w:t xml:space="preserve">Applies the dose (0.4 g/kg), dose frequency (q4w), infection rates, time horizon (1 year) and Ig treatment duration (1 year) as per the Chapel et al. </w:t>
            </w:r>
            <w:r>
              <w:fldChar w:fldCharType="begin">
                <w:fldData xml:space="preserve">PEVuZE5vdGU+PENpdGUgRXhjbHVkZUF1dGg9IjEiPjxBdXRob3I+Q2hhcGVsPC9BdXRob3I+PFll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==
</w:fldData>
              </w:fldChar>
            </w:r>
            <w:r>
              <w:instrText xml:space="preserve"> ADDIN EN.CITE </w:instrText>
            </w:r>
            <w:r>
              <w:fldChar w:fldCharType="begin">
                <w:fldData xml:space="preserve">PEVuZE5vdGU+PENpdGUgRXhjbHVkZUF1dGg9IjEiPjxBdXRob3I+Q2hhcGVsPC9BdXRob3I+PFll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==
</w:fldData>
              </w:fldChar>
            </w:r>
            <w:r>
              <w:instrText xml:space="preserve"> ADDIN EN.CITE.DATA </w:instrText>
            </w:r>
            <w:r>
              <w:fldChar w:fldCharType="end"/>
            </w:r>
            <w:r>
              <w:fldChar w:fldCharType="separate"/>
            </w:r>
            <w:r>
              <w:rPr>
                <w:noProof/>
              </w:rPr>
              <w:t>(</w:t>
            </w:r>
            <w:hyperlink w:anchor="_ENREF_13" w:tooltip="Chapel, 1994 #56" w:history="1">
              <w:r w:rsidR="00BB0145">
                <w:rPr>
                  <w:noProof/>
                </w:rPr>
                <w:t>1994b</w:t>
              </w:r>
            </w:hyperlink>
            <w:r>
              <w:rPr>
                <w:noProof/>
              </w:rPr>
              <w:t>)</w:t>
            </w:r>
            <w:r>
              <w:fldChar w:fldCharType="end"/>
            </w:r>
            <w:r>
              <w:t xml:space="preserve"> study. This study was chosen on the basis that, of the randomised studies, this study had the most patient years of data and used a dose that was most consistent with those recommended in the Version 3 criteria.</w:t>
            </w:r>
          </w:p>
        </w:tc>
        <w:tc>
          <w:tcPr>
            <w:tcW w:w="668" w:type="pct"/>
            <w:noWrap/>
            <w:hideMark/>
          </w:tcPr>
          <w:p w14:paraId="0CAFCCC9" w14:textId="5E97F23B" w:rsidR="006362C6" w:rsidRPr="007B7239" w:rsidRDefault="006362C6" w:rsidP="006362C6">
            <w:pPr>
              <w:pStyle w:val="Tabletext1"/>
              <w:jc w:val="right"/>
            </w:pPr>
            <w:r w:rsidRPr="00154800">
              <w:t>$22,734</w:t>
            </w:r>
          </w:p>
        </w:tc>
        <w:tc>
          <w:tcPr>
            <w:tcW w:w="668" w:type="pct"/>
            <w:noWrap/>
            <w:hideMark/>
          </w:tcPr>
          <w:p w14:paraId="4F4FE6B4" w14:textId="450D1579" w:rsidR="006362C6" w:rsidRPr="007B7239" w:rsidRDefault="006362C6" w:rsidP="006362C6">
            <w:pPr>
              <w:pStyle w:val="Tabletext1"/>
              <w:jc w:val="right"/>
            </w:pPr>
            <w:r w:rsidRPr="00154800">
              <w:t>–0.0035</w:t>
            </w:r>
          </w:p>
        </w:tc>
        <w:tc>
          <w:tcPr>
            <w:tcW w:w="679" w:type="pct"/>
            <w:noWrap/>
            <w:hideMark/>
          </w:tcPr>
          <w:p w14:paraId="47525D42" w14:textId="17C02371" w:rsidR="006362C6" w:rsidRPr="007B7239" w:rsidRDefault="006362C6" w:rsidP="006362C6">
            <w:pPr>
              <w:pStyle w:val="Tabletext1"/>
              <w:jc w:val="right"/>
            </w:pPr>
            <w:r w:rsidRPr="00154800">
              <w:t>Dominated</w:t>
            </w:r>
          </w:p>
        </w:tc>
      </w:tr>
      <w:tr w:rsidR="006362C6" w:rsidRPr="007B7239" w14:paraId="25F76F45" w14:textId="77777777" w:rsidTr="008742A1">
        <w:trPr>
          <w:cantSplit/>
          <w:trHeight w:val="300"/>
        </w:trPr>
        <w:tc>
          <w:tcPr>
            <w:tcW w:w="2985" w:type="pct"/>
            <w:noWrap/>
            <w:hideMark/>
          </w:tcPr>
          <w:p w14:paraId="692A2D94" w14:textId="77777777" w:rsidR="006362C6" w:rsidRPr="00F309FB" w:rsidRDefault="006362C6" w:rsidP="006362C6">
            <w:pPr>
              <w:pStyle w:val="Tabletext1"/>
              <w:rPr>
                <w:b/>
              </w:rPr>
            </w:pPr>
            <w:r w:rsidRPr="00F309FB">
              <w:rPr>
                <w:b/>
              </w:rPr>
              <w:t>Step 2 – Trial-based, extrapolated analysis</w:t>
            </w:r>
          </w:p>
          <w:p w14:paraId="4F939F01" w14:textId="2659F325" w:rsidR="006362C6" w:rsidRPr="007B7239" w:rsidRDefault="006362C6" w:rsidP="00BB0145">
            <w:pPr>
              <w:pStyle w:val="Tabletext1"/>
            </w:pPr>
            <w:r>
              <w:t xml:space="preserve">Applies the dose, dose frequency and infection rates from the Chapel et al. </w:t>
            </w:r>
            <w:r>
              <w:fldChar w:fldCharType="begin">
                <w:fldData xml:space="preserve">PEVuZE5vdGU+PENpdGUgRXhjbHVkZUF1dGg9IjEiPjxBdXRob3I+Q2hhcGVsPC9BdXRob3I+PFll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==
</w:fldData>
              </w:fldChar>
            </w:r>
            <w:r>
              <w:instrText xml:space="preserve"> ADDIN EN.CITE </w:instrText>
            </w:r>
            <w:r>
              <w:fldChar w:fldCharType="begin">
                <w:fldData xml:space="preserve">PEVuZE5vdGU+PENpdGUgRXhjbHVkZUF1dGg9IjEiPjxBdXRob3I+Q2hhcGVsPC9BdXRob3I+PFll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==
</w:fldData>
              </w:fldChar>
            </w:r>
            <w:r>
              <w:instrText xml:space="preserve"> ADDIN EN.CITE.DATA </w:instrText>
            </w:r>
            <w:r>
              <w:fldChar w:fldCharType="end"/>
            </w:r>
            <w:r>
              <w:fldChar w:fldCharType="separate"/>
            </w:r>
            <w:r>
              <w:rPr>
                <w:noProof/>
              </w:rPr>
              <w:t>(</w:t>
            </w:r>
            <w:hyperlink w:anchor="_ENREF_13" w:tooltip="Chapel, 1994 #56" w:history="1">
              <w:r w:rsidR="00BB0145">
                <w:rPr>
                  <w:noProof/>
                </w:rPr>
                <w:t>1994b</w:t>
              </w:r>
            </w:hyperlink>
            <w:r>
              <w:rPr>
                <w:noProof/>
              </w:rPr>
              <w:t>)</w:t>
            </w:r>
            <w:r>
              <w:fldChar w:fldCharType="end"/>
            </w:r>
            <w:r>
              <w:t xml:space="preserve"> study, with the model time horizon extrapolated to 10 years, with the development of bronchiectasis to be modelled. Ig treatment duration is based on </w:t>
            </w:r>
            <w:r w:rsidRPr="00F55739">
              <w:t>Paxton, Hawkins &amp; Crispin</w:t>
            </w:r>
            <w:r>
              <w:t xml:space="preserve"> </w:t>
            </w:r>
            <w:r>
              <w:fldChar w:fldCharType="begin">
                <w:fldData xml:space="preserve">PEVuZE5vdGU+PENpdGUgRXhjbHVkZUF1dGg9IjEiPjxBdXRob3I+UGF4dG9uPC9BdXRob3I+PFll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</w:fldData>
              </w:fldChar>
            </w:r>
            <w:r>
              <w:instrText xml:space="preserve"> ADDIN EN.CITE </w:instrText>
            </w:r>
            <w:r>
              <w:fldChar w:fldCharType="begin">
                <w:fldData xml:space="preserve">PEVuZE5vdGU+PENpdGUgRXhjbHVkZUF1dGg9IjEiPjxBdXRob3I+UGF4dG9uPC9BdXRob3I+PFll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</w:fldData>
              </w:fldChar>
            </w:r>
            <w:r>
              <w:instrText xml:space="preserve"> ADDIN EN.CITE.DATA </w:instrText>
            </w:r>
            <w:r>
              <w:fldChar w:fldCharType="end"/>
            </w:r>
            <w:r>
              <w:fldChar w:fldCharType="separate"/>
            </w:r>
            <w:r>
              <w:rPr>
                <w:noProof/>
              </w:rPr>
              <w:t>(</w:t>
            </w:r>
            <w:hyperlink w:anchor="_ENREF_39" w:tooltip="Paxton, 2016 #66" w:history="1">
              <w:r w:rsidR="00BB0145">
                <w:rPr>
                  <w:noProof/>
                </w:rPr>
                <w:t>2016</w:t>
              </w:r>
            </w:hyperlink>
            <w:r>
              <w:rPr>
                <w:noProof/>
              </w:rPr>
              <w:t>)</w:t>
            </w:r>
            <w:r>
              <w:fldChar w:fldCharType="end"/>
            </w:r>
            <w:r>
              <w:t xml:space="preserve"> (26 months).</w:t>
            </w:r>
          </w:p>
        </w:tc>
        <w:tc>
          <w:tcPr>
            <w:tcW w:w="668" w:type="pct"/>
            <w:noWrap/>
            <w:hideMark/>
          </w:tcPr>
          <w:p w14:paraId="6D47D64E" w14:textId="305CD52F" w:rsidR="006362C6" w:rsidRPr="007B7239" w:rsidRDefault="006362C6" w:rsidP="006362C6">
            <w:pPr>
              <w:pStyle w:val="Tabletext1"/>
              <w:jc w:val="right"/>
            </w:pPr>
            <w:r w:rsidRPr="00154800">
              <w:t>$66,922</w:t>
            </w:r>
          </w:p>
        </w:tc>
        <w:tc>
          <w:tcPr>
            <w:tcW w:w="668" w:type="pct"/>
            <w:noWrap/>
            <w:hideMark/>
          </w:tcPr>
          <w:p w14:paraId="77F57295" w14:textId="763C3428" w:rsidR="006362C6" w:rsidRPr="007B7239" w:rsidRDefault="006362C6" w:rsidP="006362C6">
            <w:pPr>
              <w:pStyle w:val="Tabletext1"/>
              <w:jc w:val="right"/>
            </w:pPr>
            <w:r w:rsidRPr="00154800">
              <w:t>0.2556</w:t>
            </w:r>
          </w:p>
        </w:tc>
        <w:tc>
          <w:tcPr>
            <w:tcW w:w="679" w:type="pct"/>
            <w:noWrap/>
            <w:hideMark/>
          </w:tcPr>
          <w:p w14:paraId="1E39AEE6" w14:textId="56BAB8C9" w:rsidR="006362C6" w:rsidRPr="007B7239" w:rsidRDefault="006362C6" w:rsidP="006362C6">
            <w:pPr>
              <w:pStyle w:val="Tabletext1"/>
              <w:jc w:val="right"/>
            </w:pPr>
            <w:r w:rsidRPr="00154800">
              <w:t>$261,789</w:t>
            </w:r>
          </w:p>
        </w:tc>
      </w:tr>
      <w:tr w:rsidR="006362C6" w:rsidRPr="007B7239" w14:paraId="02609F61" w14:textId="77777777" w:rsidTr="008742A1">
        <w:trPr>
          <w:cantSplit/>
          <w:trHeight w:val="300"/>
        </w:trPr>
        <w:tc>
          <w:tcPr>
            <w:tcW w:w="2985" w:type="pct"/>
            <w:tcBorders>
              <w:bottom w:val="single" w:sz="4" w:space="0" w:color="auto"/>
            </w:tcBorders>
            <w:noWrap/>
            <w:hideMark/>
          </w:tcPr>
          <w:p w14:paraId="73D3C9EB" w14:textId="77777777" w:rsidR="006362C6" w:rsidRPr="00F309FB" w:rsidRDefault="006362C6" w:rsidP="006362C6">
            <w:pPr>
              <w:pStyle w:val="Tabletext1"/>
              <w:rPr>
                <w:b/>
              </w:rPr>
            </w:pPr>
            <w:r w:rsidRPr="00F309FB">
              <w:rPr>
                <w:b/>
              </w:rPr>
              <w:t>Step 3 –</w:t>
            </w:r>
            <w:r>
              <w:rPr>
                <w:b/>
              </w:rPr>
              <w:t xml:space="preserve"> </w:t>
            </w:r>
            <w:r w:rsidRPr="00F309FB">
              <w:rPr>
                <w:b/>
              </w:rPr>
              <w:t>Modelled economic evaluation</w:t>
            </w:r>
            <w:r>
              <w:rPr>
                <w:b/>
              </w:rPr>
              <w:t xml:space="preserve"> (base case)</w:t>
            </w:r>
          </w:p>
          <w:p w14:paraId="2CED3B62" w14:textId="1EF624E6" w:rsidR="006362C6" w:rsidRPr="007B7239" w:rsidRDefault="006362C6" w:rsidP="006362C6">
            <w:pPr>
              <w:pStyle w:val="Tabletext1"/>
            </w:pPr>
            <w:r>
              <w:t xml:space="preserve">Applies the pooled IRRs estimated in Section B.6 to the best available source of baseline infection rates in Australia (based on </w:t>
            </w:r>
            <w:r w:rsidRPr="00F55739">
              <w:t>Paxton, Hawkins &amp; Crispin</w:t>
            </w:r>
            <w:r>
              <w:t xml:space="preserve"> 2016), while assuming the weighted average dose from BloodSTAR data (0.37 g/kg).</w:t>
            </w:r>
          </w:p>
        </w:tc>
        <w:tc>
          <w:tcPr>
            <w:tcW w:w="668" w:type="pct"/>
            <w:tcBorders>
              <w:bottom w:val="single" w:sz="4" w:space="0" w:color="auto"/>
            </w:tcBorders>
            <w:noWrap/>
            <w:hideMark/>
          </w:tcPr>
          <w:p w14:paraId="240BE749" w14:textId="79C7F86E" w:rsidR="006362C6" w:rsidRPr="006362C6" w:rsidRDefault="006362C6" w:rsidP="006362C6">
            <w:pPr>
              <w:pStyle w:val="Tabletext1"/>
              <w:jc w:val="right"/>
              <w:rPr>
                <w:b/>
              </w:rPr>
            </w:pPr>
            <w:r w:rsidRPr="006362C6">
              <w:rPr>
                <w:b/>
              </w:rPr>
              <w:t>$41,011</w:t>
            </w:r>
          </w:p>
        </w:tc>
        <w:tc>
          <w:tcPr>
            <w:tcW w:w="668" w:type="pct"/>
            <w:tcBorders>
              <w:bottom w:val="single" w:sz="4" w:space="0" w:color="auto"/>
            </w:tcBorders>
            <w:noWrap/>
            <w:hideMark/>
          </w:tcPr>
          <w:p w14:paraId="77B49656" w14:textId="17E557B5" w:rsidR="006362C6" w:rsidRPr="006362C6" w:rsidRDefault="006362C6" w:rsidP="006362C6">
            <w:pPr>
              <w:pStyle w:val="Tabletext1"/>
              <w:jc w:val="right"/>
              <w:rPr>
                <w:b/>
              </w:rPr>
            </w:pPr>
            <w:r w:rsidRPr="006362C6">
              <w:rPr>
                <w:b/>
              </w:rPr>
              <w:t>0.4109</w:t>
            </w:r>
          </w:p>
        </w:tc>
        <w:tc>
          <w:tcPr>
            <w:tcW w:w="679" w:type="pct"/>
            <w:tcBorders>
              <w:bottom w:val="single" w:sz="4" w:space="0" w:color="auto"/>
            </w:tcBorders>
            <w:noWrap/>
            <w:hideMark/>
          </w:tcPr>
          <w:p w14:paraId="65F851A2" w14:textId="2296A56E" w:rsidR="006362C6" w:rsidRPr="006362C6" w:rsidRDefault="006362C6" w:rsidP="006362C6">
            <w:pPr>
              <w:pStyle w:val="Tabletext1"/>
              <w:jc w:val="right"/>
              <w:rPr>
                <w:b/>
              </w:rPr>
            </w:pPr>
            <w:r w:rsidRPr="006362C6">
              <w:rPr>
                <w:b/>
              </w:rPr>
              <w:t>$99,803</w:t>
            </w:r>
          </w:p>
        </w:tc>
      </w:tr>
      <w:tr w:rsidR="00767E2D" w:rsidRPr="007B7239" w14:paraId="34D1C85F" w14:textId="77777777" w:rsidTr="00767E2D">
        <w:trPr>
          <w:cantSplit/>
          <w:trHeight w:val="300"/>
        </w:trPr>
        <w:tc>
          <w:tcPr>
            <w:tcW w:w="5000" w:type="pct"/>
            <w:gridSpan w:val="4"/>
            <w:tcBorders>
              <w:bottom w:val="single" w:sz="4" w:space="0" w:color="auto"/>
            </w:tcBorders>
            <w:noWrap/>
          </w:tcPr>
          <w:p w14:paraId="30833695" w14:textId="0273AD4C" w:rsidR="00767E2D" w:rsidRPr="007C68FC" w:rsidRDefault="00767E2D" w:rsidP="00B52A4F">
            <w:pPr>
              <w:pStyle w:val="Tabletext1"/>
              <w:jc w:val="left"/>
            </w:pPr>
            <w:r>
              <w:rPr>
                <w:b/>
              </w:rPr>
              <w:t>Sensitivity analyses for the cost per gram of Ig (base case: $60.41)</w:t>
            </w:r>
          </w:p>
        </w:tc>
      </w:tr>
      <w:tr w:rsidR="006362C6" w:rsidRPr="00C23BE0" w14:paraId="4B09C7FB" w14:textId="77777777" w:rsidTr="008742A1">
        <w:trPr>
          <w:cantSplit/>
          <w:trHeight w:val="300"/>
        </w:trPr>
        <w:tc>
          <w:tcPr>
            <w:tcW w:w="2985" w:type="pct"/>
            <w:tcBorders>
              <w:bottom w:val="nil"/>
            </w:tcBorders>
            <w:noWrap/>
          </w:tcPr>
          <w:p w14:paraId="6F00C0F8" w14:textId="77777777" w:rsidR="006362C6" w:rsidRPr="00C23BE0" w:rsidRDefault="006362C6" w:rsidP="006362C6">
            <w:pPr>
              <w:pStyle w:val="Tabletext1"/>
            </w:pPr>
            <w:r w:rsidRPr="00FA1F59">
              <w:t>High cost of Ig</w:t>
            </w:r>
            <w:r>
              <w:t>, $140.18</w:t>
            </w:r>
          </w:p>
        </w:tc>
        <w:tc>
          <w:tcPr>
            <w:tcW w:w="668" w:type="pct"/>
            <w:tcBorders>
              <w:bottom w:val="nil"/>
            </w:tcBorders>
            <w:noWrap/>
          </w:tcPr>
          <w:p w14:paraId="0AF7EFD8" w14:textId="7AE1F9AA" w:rsidR="006362C6" w:rsidRPr="00C23BE0" w:rsidRDefault="006362C6" w:rsidP="006362C6">
            <w:pPr>
              <w:pStyle w:val="Tabletext1"/>
              <w:jc w:val="right"/>
            </w:pPr>
            <w:r w:rsidRPr="00247254">
              <w:t>$117,335</w:t>
            </w:r>
          </w:p>
        </w:tc>
        <w:tc>
          <w:tcPr>
            <w:tcW w:w="668" w:type="pct"/>
            <w:tcBorders>
              <w:bottom w:val="nil"/>
            </w:tcBorders>
            <w:noWrap/>
          </w:tcPr>
          <w:p w14:paraId="64B8EDC9" w14:textId="220ED5E4" w:rsidR="006362C6" w:rsidRPr="00C23BE0" w:rsidRDefault="006362C6" w:rsidP="006362C6">
            <w:pPr>
              <w:pStyle w:val="Tabletext1"/>
              <w:jc w:val="right"/>
            </w:pPr>
            <w:r w:rsidRPr="00247254">
              <w:t>0.4109</w:t>
            </w:r>
          </w:p>
        </w:tc>
        <w:tc>
          <w:tcPr>
            <w:tcW w:w="679" w:type="pct"/>
            <w:tcBorders>
              <w:bottom w:val="nil"/>
            </w:tcBorders>
            <w:noWrap/>
          </w:tcPr>
          <w:p w14:paraId="25871A54" w14:textId="36254B19" w:rsidR="006362C6" w:rsidRPr="00C23BE0" w:rsidRDefault="006362C6" w:rsidP="006362C6">
            <w:pPr>
              <w:pStyle w:val="Tabletext1"/>
              <w:jc w:val="right"/>
            </w:pPr>
            <w:r w:rsidRPr="00247254">
              <w:t>$285,543</w:t>
            </w:r>
          </w:p>
        </w:tc>
      </w:tr>
      <w:tr w:rsidR="006362C6" w:rsidRPr="00C23BE0" w14:paraId="7FFB582E" w14:textId="77777777" w:rsidTr="008742A1">
        <w:trPr>
          <w:cantSplit/>
          <w:trHeight w:val="300"/>
        </w:trPr>
        <w:tc>
          <w:tcPr>
            <w:tcW w:w="2985" w:type="pct"/>
            <w:tcBorders>
              <w:top w:val="nil"/>
              <w:bottom w:val="nil"/>
            </w:tcBorders>
            <w:noWrap/>
          </w:tcPr>
          <w:p w14:paraId="5149BC41" w14:textId="77777777" w:rsidR="006362C6" w:rsidRPr="00C23BE0" w:rsidRDefault="006362C6" w:rsidP="006362C6">
            <w:pPr>
              <w:pStyle w:val="Tabletext1"/>
            </w:pPr>
            <w:r w:rsidRPr="00FA1F59">
              <w:t>Low cost of Ig</w:t>
            </w:r>
            <w:r>
              <w:t>, $44.94</w:t>
            </w:r>
          </w:p>
        </w:tc>
        <w:tc>
          <w:tcPr>
            <w:tcW w:w="668" w:type="pct"/>
            <w:tcBorders>
              <w:top w:val="nil"/>
              <w:bottom w:val="nil"/>
            </w:tcBorders>
            <w:noWrap/>
          </w:tcPr>
          <w:p w14:paraId="14C7DBD0" w14:textId="2AD0500F" w:rsidR="006362C6" w:rsidRPr="00C23BE0" w:rsidRDefault="006362C6" w:rsidP="006362C6">
            <w:pPr>
              <w:pStyle w:val="Tabletext1"/>
              <w:jc w:val="right"/>
            </w:pPr>
            <w:r w:rsidRPr="00247254">
              <w:t>$26,209</w:t>
            </w:r>
          </w:p>
        </w:tc>
        <w:tc>
          <w:tcPr>
            <w:tcW w:w="668" w:type="pct"/>
            <w:tcBorders>
              <w:top w:val="nil"/>
              <w:bottom w:val="nil"/>
            </w:tcBorders>
            <w:noWrap/>
          </w:tcPr>
          <w:p w14:paraId="52487801" w14:textId="2701B1CB" w:rsidR="006362C6" w:rsidRPr="00C23BE0" w:rsidRDefault="006362C6" w:rsidP="006362C6">
            <w:pPr>
              <w:pStyle w:val="Tabletext1"/>
              <w:jc w:val="right"/>
            </w:pPr>
            <w:r w:rsidRPr="00247254">
              <w:t>0.4109</w:t>
            </w:r>
          </w:p>
        </w:tc>
        <w:tc>
          <w:tcPr>
            <w:tcW w:w="679" w:type="pct"/>
            <w:tcBorders>
              <w:top w:val="nil"/>
              <w:bottom w:val="nil"/>
            </w:tcBorders>
            <w:noWrap/>
          </w:tcPr>
          <w:p w14:paraId="4130961B" w14:textId="50EFD7C1" w:rsidR="006362C6" w:rsidRPr="00C23BE0" w:rsidRDefault="006362C6" w:rsidP="006362C6">
            <w:pPr>
              <w:pStyle w:val="Tabletext1"/>
              <w:jc w:val="right"/>
            </w:pPr>
            <w:r w:rsidRPr="00247254">
              <w:t>$63,782</w:t>
            </w:r>
          </w:p>
        </w:tc>
      </w:tr>
      <w:tr w:rsidR="006362C6" w:rsidRPr="00C23BE0" w14:paraId="15477134" w14:textId="77777777" w:rsidTr="008742A1">
        <w:trPr>
          <w:cantSplit/>
          <w:trHeight w:val="300"/>
        </w:trPr>
        <w:tc>
          <w:tcPr>
            <w:tcW w:w="2985" w:type="pct"/>
            <w:tcBorders>
              <w:top w:val="nil"/>
            </w:tcBorders>
            <w:noWrap/>
          </w:tcPr>
          <w:p w14:paraId="6872DCC3" w14:textId="77777777" w:rsidR="006362C6" w:rsidRPr="00C23BE0" w:rsidRDefault="006362C6" w:rsidP="006362C6">
            <w:pPr>
              <w:pStyle w:val="Tabletext1"/>
            </w:pPr>
            <w:r w:rsidRPr="00FA1F59">
              <w:t>Weighted average cost of Ig</w:t>
            </w:r>
            <w:r>
              <w:t>, $94.51</w:t>
            </w:r>
          </w:p>
        </w:tc>
        <w:tc>
          <w:tcPr>
            <w:tcW w:w="668" w:type="pct"/>
            <w:tcBorders>
              <w:top w:val="nil"/>
            </w:tcBorders>
            <w:noWrap/>
          </w:tcPr>
          <w:p w14:paraId="198C0F04" w14:textId="63FC5065" w:rsidR="006362C6" w:rsidRPr="00C23BE0" w:rsidRDefault="006362C6" w:rsidP="006362C6">
            <w:pPr>
              <w:pStyle w:val="Tabletext1"/>
              <w:jc w:val="right"/>
            </w:pPr>
            <w:r w:rsidRPr="00247254">
              <w:t>$73,634</w:t>
            </w:r>
          </w:p>
        </w:tc>
        <w:tc>
          <w:tcPr>
            <w:tcW w:w="668" w:type="pct"/>
            <w:tcBorders>
              <w:top w:val="nil"/>
            </w:tcBorders>
            <w:noWrap/>
          </w:tcPr>
          <w:p w14:paraId="2D28CEB1" w14:textId="67A3C126" w:rsidR="006362C6" w:rsidRPr="00C23BE0" w:rsidRDefault="006362C6" w:rsidP="006362C6">
            <w:pPr>
              <w:pStyle w:val="Tabletext1"/>
              <w:jc w:val="right"/>
            </w:pPr>
            <w:r w:rsidRPr="00247254">
              <w:t>0.4109</w:t>
            </w:r>
          </w:p>
        </w:tc>
        <w:tc>
          <w:tcPr>
            <w:tcW w:w="679" w:type="pct"/>
            <w:tcBorders>
              <w:top w:val="nil"/>
            </w:tcBorders>
            <w:noWrap/>
          </w:tcPr>
          <w:p w14:paraId="118E25A9" w14:textId="61A52CF9" w:rsidR="006362C6" w:rsidRPr="00C23BE0" w:rsidRDefault="006362C6" w:rsidP="006362C6">
            <w:pPr>
              <w:pStyle w:val="Tabletext1"/>
              <w:jc w:val="right"/>
            </w:pPr>
            <w:r w:rsidRPr="00247254">
              <w:t>$179,195</w:t>
            </w:r>
          </w:p>
        </w:tc>
      </w:tr>
    </w:tbl>
    <w:p w14:paraId="70CEA331" w14:textId="77777777" w:rsidR="00911F85" w:rsidRDefault="00911F85" w:rsidP="00911F85">
      <w:pPr>
        <w:pStyle w:val="Tablenotes1"/>
      </w:pPr>
      <w:r>
        <w:t>ICER = incremental cost-effectiveness ratio; Ig = immunoglobulin; QALY = quality-adjusted life years; IRR = incidence rate ratio.</w:t>
      </w:r>
    </w:p>
    <w:p w14:paraId="0BFC40C9" w14:textId="77777777" w:rsidR="00AF32E4" w:rsidRDefault="00AF32E4" w:rsidP="00AF32E4">
      <w:r>
        <w:t>In Step 1 of the analysis the ICER of Ig is observed to be dominated, with a net reduction in QALYs resulting from the inclusion of a disutility per IVIg infusion. In Step 2, the time horizon is extrapolated to 10 years and allows for the development of bronchiectasis which leads to a substantial improvement in the ICER. Further improvements in the ICER are observed when the best estimates of baseline infection rates, Ig treatment effect and dose are included in the modelling.</w:t>
      </w:r>
    </w:p>
    <w:p w14:paraId="42577DB2" w14:textId="7475E2D8" w:rsidR="00911F85" w:rsidRDefault="00AF32E4" w:rsidP="00AF32E4">
      <w:r>
        <w:t>In the base case analysis, t</w:t>
      </w:r>
      <w:r w:rsidR="00911F85">
        <w:t xml:space="preserve">he cost of Ig was the main driver of the incremental cost, with offsets related to a reduction in the number of infections and costs associated with managing chronic </w:t>
      </w:r>
      <w:r w:rsidR="00911F85" w:rsidRPr="00A977D4">
        <w:rPr>
          <w:i/>
        </w:rPr>
        <w:t>P. aeruginosa</w:t>
      </w:r>
      <w:r w:rsidR="00911F85" w:rsidRPr="00A977D4">
        <w:t xml:space="preserve"> infection</w:t>
      </w:r>
      <w:r w:rsidR="00911F85">
        <w:t xml:space="preserve">s. Incremental QALYs were primarily accrued in the infection-free health state. As Ig was associated with fewer infections of lower severity, less time was spent in the infection health state with Ig and </w:t>
      </w:r>
      <w:r>
        <w:t xml:space="preserve">therefore, </w:t>
      </w:r>
      <w:r w:rsidR="00911F85">
        <w:t xml:space="preserve">patients had a lower risk of </w:t>
      </w:r>
      <w:r>
        <w:t xml:space="preserve">progressing to </w:t>
      </w:r>
      <w:r w:rsidR="00911F85">
        <w:t>subsequent health states.</w:t>
      </w:r>
    </w:p>
    <w:p w14:paraId="317DE8E9" w14:textId="14953055" w:rsidR="00911F85" w:rsidRDefault="00911F85" w:rsidP="00911F85">
      <w:r>
        <w:lastRenderedPageBreak/>
        <w:t xml:space="preserve">Key sensitivity analyses are presented in </w:t>
      </w:r>
      <w:r>
        <w:fldChar w:fldCharType="begin"/>
      </w:r>
      <w:r>
        <w:instrText xml:space="preserve"> REF _Ref14270085 \h </w:instrText>
      </w:r>
      <w:r>
        <w:fldChar w:fldCharType="separate"/>
      </w:r>
      <w:r w:rsidR="00A7463B">
        <w:t xml:space="preserve">Table </w:t>
      </w:r>
      <w:r w:rsidR="00A7463B">
        <w:rPr>
          <w:noProof/>
        </w:rPr>
        <w:t>8</w:t>
      </w:r>
      <w:r>
        <w:fldChar w:fldCharType="end"/>
      </w:r>
      <w:r>
        <w:t xml:space="preserve">. </w:t>
      </w:r>
      <w:r w:rsidR="00AF32E4">
        <w:t xml:space="preserve">The model is highly sensitive to the inclusion of the bronchiectasis health states. When these health states are excluded, the </w:t>
      </w:r>
      <w:r w:rsidR="004E54B6">
        <w:t>ICER significantly increases to</w:t>
      </w:r>
      <w:r w:rsidR="00AF32E4">
        <w:t xml:space="preserve"> $3 million per additional QALY gained. This result is consistent with that observed in </w:t>
      </w:r>
      <w:r w:rsidR="00AF32E4" w:rsidRPr="00C127B0">
        <w:t>Weeks, Tierney &amp; Weinstein</w:t>
      </w:r>
      <w:r w:rsidR="00AF32E4">
        <w:t xml:space="preserve"> </w:t>
      </w:r>
      <w:r w:rsidR="00AF32E4">
        <w:fldChar w:fldCharType="begin"/>
      </w:r>
      <w:r w:rsidR="00AF32E4">
        <w:instrText xml:space="preserve"> ADDIN EN.CITE &lt;EndNote&gt;&lt;Cite ExcludeAuth="1"&gt;&lt;Author&gt;Weeks&lt;/Author&gt;&lt;Year&gt;1991&lt;/Year&gt;&lt;RecNum&gt;35&lt;/RecNum&gt;&lt;DisplayText&gt;(1991)&lt;/DisplayText&gt;&lt;record&gt;&lt;rec-number&gt;35&lt;/rec-number&gt;&lt;foreign-keys&gt;&lt;key app="EN" db-id="z0vwsepdwpt20pewwts5z9eup9e2r2pd2tad" timestamp="1553825060"&gt;35&lt;/key&gt;&lt;/foreign-keys&gt;&lt;ref-type name="Journal Article"&gt;17&lt;/ref-type&gt;&lt;contributors&gt;&lt;authors&gt;&lt;author&gt;Weeks, J. C.&lt;/author&gt;&lt;author&gt;Tierney, M. R.&lt;/author&gt;&lt;author&gt;Weinstein, M. C.&lt;/author&gt;&lt;/authors&gt;&lt;/contributors&gt;&lt;titles&gt;&lt;title&gt;Cost effectiveness of prophylactic intravenous immune globulin in chronic lymphocytic leukemia&lt;/title&gt;&lt;secondary-title&gt;New England journal of medicine&lt;/secondary-title&gt;&lt;/titles&gt;&lt;periodical&gt;&lt;full-title&gt;New England journal of medicine&lt;/full-title&gt;&lt;/periodical&gt;&lt;pages&gt;81‐86&lt;/pages&gt;&lt;volume&gt;325&lt;/volume&gt;&lt;number&gt;2&lt;/number&gt;&lt;keywords&gt;&lt;keyword&gt;Agammaglobulinemia [complications]&lt;/keyword&gt;&lt;keyword&gt;Bacterial Infections [*prevention &amp;amp; control]&lt;/keyword&gt;&lt;keyword&gt;Cost‐Benefit Analysis&lt;/keyword&gt;&lt;keyword&gt;Humans&lt;/keyword&gt;&lt;keyword&gt;Immunization, Passive [*economics]&lt;/keyword&gt;&lt;keyword&gt;Immunoglobulins [*administration &amp;amp; dosage]&lt;/keyword&gt;&lt;keyword&gt;Infusions, Intravenous&lt;/keyword&gt;&lt;keyword&gt;Leukemia, Lymphocytic, Chronic, B‐Cell [*complications, economics]&lt;/keyword&gt;&lt;keyword&gt;Life Expectancy&lt;/keyword&gt;&lt;keyword&gt;Models, Theoretical&lt;/keyword&gt;&lt;keyword&gt;Quality of Life&lt;/keyword&gt;&lt;keyword&gt;United States&lt;/keyword&gt;&lt;keyword&gt;Cost-Benefit Analysis&lt;/keyword&gt;&lt;keyword&gt;Leukemia, Lymphoid&lt;/keyword&gt;&lt;keyword&gt;Immunoglobulins, Intravenous&lt;/keyword&gt;&lt;keyword&gt;Immunoglobulins&lt;/keyword&gt;&lt;/keywords&gt;&lt;dates&gt;&lt;year&gt;1991&lt;/year&gt;&lt;pub-dates&gt;&lt;date&gt;1991&lt;/date&gt;&lt;/pub-dates&gt;&lt;/dates&gt;&lt;accession-num&gt;CN-00076105&lt;/accession-num&gt;&lt;urls&gt;&lt;related-urls&gt;&lt;url&gt;&lt;style face="underline" font="default" size="100%"&gt;https://www.cochranelibrary.com/central/doi/10.1002/central/CN-00076105/full&lt;/style&gt;&lt;/url&gt;&lt;/related-urls&gt;&lt;/urls&gt;&lt;custom1&gt;RAYYAN-INCLUSION: {&amp;quot;Skye&amp;quot;=&amp;gt;&amp;quot;Included&amp;quot;}&lt;/custom1&gt;&lt;research-notes&gt;X - decision analytic study, no new clinical data&lt;/research-notes&gt;&lt;/record&gt;&lt;/Cite&gt;&lt;/EndNote&gt;</w:instrText>
      </w:r>
      <w:r w:rsidR="00AF32E4">
        <w:fldChar w:fldCharType="separate"/>
      </w:r>
      <w:r w:rsidR="00AF32E4">
        <w:rPr>
          <w:noProof/>
        </w:rPr>
        <w:t>(</w:t>
      </w:r>
      <w:hyperlink w:anchor="_ENREF_56" w:tooltip="Weeks, 1991 #35" w:history="1">
        <w:r w:rsidR="00BB0145">
          <w:rPr>
            <w:noProof/>
          </w:rPr>
          <w:t>1991</w:t>
        </w:r>
      </w:hyperlink>
      <w:r w:rsidR="00AF32E4">
        <w:rPr>
          <w:noProof/>
        </w:rPr>
        <w:t>)</w:t>
      </w:r>
      <w:r w:rsidR="00AF32E4">
        <w:fldChar w:fldCharType="end"/>
      </w:r>
      <w:r w:rsidR="00AF32E4">
        <w:t xml:space="preserve">, which also did not model the development of bronchiectasis. The inclusion of these health states had been justified based on the model structure used in a contemporary economic evaluation </w:t>
      </w:r>
      <w:r w:rsidR="00AF32E4">
        <w:fldChar w:fldCharType="begin"/>
      </w:r>
      <w:r w:rsidR="00AF32E4">
        <w:instrText xml:space="preserve"> ADDIN EN.CITE &lt;EndNote&gt;&lt;Cite&gt;&lt;Author&gt;Windegger&lt;/Author&gt;&lt;Year&gt;2019&lt;/Year&gt;&lt;RecNum&gt;55&lt;/RecNum&gt;&lt;DisplayText&gt;(Windegger et al. 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rsidR="00AF32E4">
        <w:fldChar w:fldCharType="separate"/>
      </w:r>
      <w:r w:rsidR="00AF32E4">
        <w:rPr>
          <w:noProof/>
        </w:rPr>
        <w:t>(</w:t>
      </w:r>
      <w:hyperlink w:anchor="_ENREF_57" w:tooltip="Windegger, 2019 #55" w:history="1">
        <w:r w:rsidR="00BB0145">
          <w:rPr>
            <w:noProof/>
          </w:rPr>
          <w:t>Windegger et al. 2019</w:t>
        </w:r>
      </w:hyperlink>
      <w:r w:rsidR="00AF32E4">
        <w:rPr>
          <w:noProof/>
        </w:rPr>
        <w:t>)</w:t>
      </w:r>
      <w:r w:rsidR="00AF32E4">
        <w:fldChar w:fldCharType="end"/>
      </w:r>
      <w:r w:rsidR="00414134">
        <w:t xml:space="preserve"> and that this was most consistent with the natural history of recurrent infections (</w:t>
      </w:r>
      <w:r w:rsidR="00414134">
        <w:fldChar w:fldCharType="begin"/>
      </w:r>
      <w:r w:rsidR="00414134">
        <w:instrText xml:space="preserve"> REF _Ref14097481 \h </w:instrText>
      </w:r>
      <w:r w:rsidR="00414134">
        <w:fldChar w:fldCharType="separate"/>
      </w:r>
      <w:r w:rsidR="00A7463B">
        <w:t xml:space="preserve">Table </w:t>
      </w:r>
      <w:r w:rsidR="00A7463B">
        <w:rPr>
          <w:noProof/>
        </w:rPr>
        <w:t>5</w:t>
      </w:r>
      <w:r w:rsidR="00414134">
        <w:fldChar w:fldCharType="end"/>
      </w:r>
      <w:r w:rsidR="00414134">
        <w:t>)</w:t>
      </w:r>
      <w:r w:rsidR="00AF32E4">
        <w:t xml:space="preserve">. </w:t>
      </w:r>
      <w:r w:rsidRPr="00183E4D">
        <w:t xml:space="preserve">The modelled results were </w:t>
      </w:r>
      <w:r w:rsidR="00AF32E4">
        <w:t xml:space="preserve">also </w:t>
      </w:r>
      <w:r w:rsidRPr="00183E4D">
        <w:t xml:space="preserve">sensitive </w:t>
      </w:r>
      <w:r w:rsidRPr="001F267D">
        <w:t>to</w:t>
      </w:r>
      <w:r w:rsidR="00AF32E4">
        <w:t xml:space="preserve"> the selection of</w:t>
      </w:r>
      <w:r>
        <w:t xml:space="preserve"> the time horizon, the relative treatment effect of Ig and baseline rates of infection. </w:t>
      </w:r>
    </w:p>
    <w:p w14:paraId="465D04EA" w14:textId="7B35648A" w:rsidR="00911F85" w:rsidRDefault="00911F85" w:rsidP="00911F85">
      <w:pPr>
        <w:pStyle w:val="Caption"/>
        <w:keepNext/>
      </w:pPr>
      <w:bookmarkStart w:id="124" w:name="_Ref14270085"/>
      <w:bookmarkStart w:id="125" w:name="_Toc14348839"/>
      <w:bookmarkStart w:id="126" w:name="_Toc14429551"/>
      <w:bookmarkStart w:id="127" w:name="_Toc16671606"/>
      <w:r>
        <w:t xml:space="preserve">Table </w:t>
      </w:r>
      <w:r>
        <w:rPr>
          <w:noProof/>
        </w:rPr>
        <w:fldChar w:fldCharType="begin"/>
      </w:r>
      <w:r>
        <w:rPr>
          <w:noProof/>
        </w:rPr>
        <w:instrText xml:space="preserve"> SEQ Table \* ARABIC </w:instrText>
      </w:r>
      <w:r>
        <w:rPr>
          <w:noProof/>
        </w:rPr>
        <w:fldChar w:fldCharType="separate"/>
      </w:r>
      <w:r w:rsidR="00A7463B">
        <w:rPr>
          <w:noProof/>
        </w:rPr>
        <w:t>8</w:t>
      </w:r>
      <w:r>
        <w:rPr>
          <w:noProof/>
        </w:rPr>
        <w:fldChar w:fldCharType="end"/>
      </w:r>
      <w:bookmarkEnd w:id="124"/>
      <w:r w:rsidR="006252C4">
        <w:tab/>
      </w:r>
      <w:r w:rsidR="006252C4">
        <w:tab/>
      </w:r>
      <w:r>
        <w:t>Key sensitivity analyses</w:t>
      </w:r>
      <w:bookmarkEnd w:id="125"/>
      <w:bookmarkEnd w:id="126"/>
      <w:bookmarkEnd w:id="127"/>
    </w:p>
    <w:tbl>
      <w:tblPr>
        <w:tblStyle w:val="TableGrid1"/>
        <w:tblW w:w="5000" w:type="pct"/>
        <w:tblLayout w:type="fixed"/>
        <w:tblLook w:val="04A0" w:firstRow="1" w:lastRow="0" w:firstColumn="1" w:lastColumn="0" w:noHBand="0" w:noVBand="1"/>
        <w:tblCaption w:val="Sensitivity analyses"/>
      </w:tblPr>
      <w:tblGrid>
        <w:gridCol w:w="4934"/>
        <w:gridCol w:w="1163"/>
        <w:gridCol w:w="1163"/>
        <w:gridCol w:w="1163"/>
        <w:gridCol w:w="819"/>
      </w:tblGrid>
      <w:tr w:rsidR="00A9264E" w:rsidRPr="008B0DF4" w14:paraId="057FBD8D" w14:textId="77777777" w:rsidTr="008437D6">
        <w:trPr>
          <w:cnfStyle w:val="100000000000" w:firstRow="1" w:lastRow="0" w:firstColumn="0" w:lastColumn="0" w:oddVBand="0" w:evenVBand="0" w:oddHBand="0" w:evenHBand="0" w:firstRowFirstColumn="0" w:firstRowLastColumn="0" w:lastRowFirstColumn="0" w:lastRowLastColumn="0"/>
          <w:trHeight w:val="300"/>
          <w:tblHeader/>
        </w:trPr>
        <w:tc>
          <w:tcPr>
            <w:tcW w:w="2670" w:type="pct"/>
            <w:noWrap/>
          </w:tcPr>
          <w:p w14:paraId="7BC09DF4" w14:textId="77777777" w:rsidR="00A9264E" w:rsidRPr="008B0DF4" w:rsidRDefault="00A9264E" w:rsidP="008437D6">
            <w:pPr>
              <w:pStyle w:val="TableHeading"/>
            </w:pPr>
          </w:p>
        </w:tc>
        <w:tc>
          <w:tcPr>
            <w:tcW w:w="629" w:type="pct"/>
            <w:noWrap/>
          </w:tcPr>
          <w:p w14:paraId="2778835E" w14:textId="77777777" w:rsidR="00A9264E" w:rsidRPr="008B0DF4" w:rsidRDefault="00A9264E" w:rsidP="008437D6">
            <w:pPr>
              <w:pStyle w:val="TableHeading"/>
              <w:jc w:val="center"/>
            </w:pPr>
            <w:r w:rsidRPr="00FA1F59">
              <w:t>Inc. cost</w:t>
            </w:r>
          </w:p>
        </w:tc>
        <w:tc>
          <w:tcPr>
            <w:tcW w:w="629" w:type="pct"/>
            <w:noWrap/>
          </w:tcPr>
          <w:p w14:paraId="55546C03" w14:textId="77777777" w:rsidR="00A9264E" w:rsidRPr="008B0DF4" w:rsidRDefault="00A9264E" w:rsidP="008437D6">
            <w:pPr>
              <w:pStyle w:val="TableHeading"/>
              <w:jc w:val="center"/>
            </w:pPr>
            <w:r w:rsidRPr="00FA1F59">
              <w:t>Inc. QALYs</w:t>
            </w:r>
          </w:p>
        </w:tc>
        <w:tc>
          <w:tcPr>
            <w:tcW w:w="629" w:type="pct"/>
            <w:noWrap/>
          </w:tcPr>
          <w:p w14:paraId="22C09824" w14:textId="77777777" w:rsidR="00A9264E" w:rsidRPr="008B0DF4" w:rsidRDefault="00A9264E" w:rsidP="008437D6">
            <w:pPr>
              <w:pStyle w:val="TableHeading"/>
              <w:jc w:val="center"/>
            </w:pPr>
            <w:r w:rsidRPr="00FA1F59">
              <w:t>ICER</w:t>
            </w:r>
          </w:p>
        </w:tc>
        <w:tc>
          <w:tcPr>
            <w:tcW w:w="443" w:type="pct"/>
            <w:noWrap/>
          </w:tcPr>
          <w:p w14:paraId="519969E1" w14:textId="77777777" w:rsidR="00A9264E" w:rsidRPr="008B0DF4" w:rsidRDefault="00A9264E" w:rsidP="008437D6">
            <w:pPr>
              <w:pStyle w:val="TableHeading"/>
              <w:jc w:val="center"/>
            </w:pPr>
            <w:r>
              <w:t>% change</w:t>
            </w:r>
          </w:p>
        </w:tc>
      </w:tr>
      <w:tr w:rsidR="00A9264E" w:rsidRPr="008B0DF4" w14:paraId="7B11EB0F" w14:textId="77777777" w:rsidTr="008437D6">
        <w:trPr>
          <w:cnfStyle w:val="100000000000" w:firstRow="1" w:lastRow="0" w:firstColumn="0" w:lastColumn="0" w:oddVBand="0" w:evenVBand="0" w:oddHBand="0" w:evenHBand="0" w:firstRowFirstColumn="0" w:firstRowLastColumn="0" w:lastRowFirstColumn="0" w:lastRowLastColumn="0"/>
          <w:trHeight w:val="300"/>
          <w:tblHeader/>
        </w:trPr>
        <w:tc>
          <w:tcPr>
            <w:tcW w:w="2670" w:type="pct"/>
            <w:tcBorders>
              <w:bottom w:val="single" w:sz="4" w:space="0" w:color="auto"/>
            </w:tcBorders>
            <w:noWrap/>
            <w:hideMark/>
          </w:tcPr>
          <w:p w14:paraId="1097716A" w14:textId="77777777" w:rsidR="00A9264E" w:rsidRPr="008B0DF4" w:rsidRDefault="00A9264E" w:rsidP="008437D6">
            <w:pPr>
              <w:pStyle w:val="TableHeading"/>
            </w:pPr>
            <w:r w:rsidRPr="008B0DF4">
              <w:t>Base case analysis</w:t>
            </w:r>
          </w:p>
        </w:tc>
        <w:tc>
          <w:tcPr>
            <w:tcW w:w="629" w:type="pct"/>
            <w:tcBorders>
              <w:bottom w:val="single" w:sz="4" w:space="0" w:color="auto"/>
            </w:tcBorders>
            <w:noWrap/>
            <w:hideMark/>
          </w:tcPr>
          <w:p w14:paraId="1CE6A2E9" w14:textId="21D8D429" w:rsidR="00A9264E" w:rsidRPr="008B0DF4" w:rsidRDefault="00A9264E" w:rsidP="008437D6">
            <w:pPr>
              <w:pStyle w:val="TableHeading"/>
              <w:jc w:val="right"/>
            </w:pPr>
            <w:r w:rsidRPr="00D6502A">
              <w:t>$41,011</w:t>
            </w:r>
          </w:p>
        </w:tc>
        <w:tc>
          <w:tcPr>
            <w:tcW w:w="629" w:type="pct"/>
            <w:tcBorders>
              <w:bottom w:val="single" w:sz="4" w:space="0" w:color="auto"/>
            </w:tcBorders>
            <w:noWrap/>
            <w:hideMark/>
          </w:tcPr>
          <w:p w14:paraId="57048F59" w14:textId="77777777" w:rsidR="00A9264E" w:rsidRPr="008B0DF4" w:rsidRDefault="00A9264E" w:rsidP="008437D6">
            <w:pPr>
              <w:pStyle w:val="TableHeading"/>
              <w:jc w:val="right"/>
            </w:pPr>
            <w:r w:rsidRPr="00D6502A">
              <w:t>0.4109</w:t>
            </w:r>
          </w:p>
        </w:tc>
        <w:tc>
          <w:tcPr>
            <w:tcW w:w="629" w:type="pct"/>
            <w:tcBorders>
              <w:bottom w:val="single" w:sz="4" w:space="0" w:color="auto"/>
            </w:tcBorders>
            <w:noWrap/>
            <w:hideMark/>
          </w:tcPr>
          <w:p w14:paraId="64FC26D7" w14:textId="3170CD91" w:rsidR="00A9264E" w:rsidRPr="008B0DF4" w:rsidRDefault="00A9264E" w:rsidP="008437D6">
            <w:pPr>
              <w:pStyle w:val="TableHeading"/>
              <w:jc w:val="right"/>
            </w:pPr>
            <w:r w:rsidRPr="00D6502A">
              <w:t>$99,803</w:t>
            </w:r>
          </w:p>
        </w:tc>
        <w:tc>
          <w:tcPr>
            <w:tcW w:w="443" w:type="pct"/>
            <w:tcBorders>
              <w:bottom w:val="single" w:sz="4" w:space="0" w:color="auto"/>
            </w:tcBorders>
            <w:noWrap/>
            <w:hideMark/>
          </w:tcPr>
          <w:p w14:paraId="386AFA52" w14:textId="77777777" w:rsidR="00A9264E" w:rsidRPr="008B0DF4" w:rsidRDefault="00A9264E" w:rsidP="008437D6">
            <w:pPr>
              <w:pStyle w:val="TableHeading"/>
              <w:jc w:val="right"/>
            </w:pPr>
            <w:r w:rsidRPr="00D6502A">
              <w:t>-</w:t>
            </w:r>
          </w:p>
        </w:tc>
      </w:tr>
      <w:tr w:rsidR="00767E2D" w:rsidRPr="00E86C72" w14:paraId="704B26C2" w14:textId="77777777" w:rsidTr="00767E2D">
        <w:trPr>
          <w:trHeight w:val="300"/>
        </w:trPr>
        <w:tc>
          <w:tcPr>
            <w:tcW w:w="5000" w:type="pct"/>
            <w:gridSpan w:val="5"/>
            <w:tcBorders>
              <w:bottom w:val="single" w:sz="4" w:space="0" w:color="auto"/>
            </w:tcBorders>
            <w:noWrap/>
            <w:hideMark/>
          </w:tcPr>
          <w:p w14:paraId="630C7757" w14:textId="6DB32AF9" w:rsidR="00767E2D" w:rsidRPr="00E86C72" w:rsidRDefault="00767E2D" w:rsidP="00B52A4F">
            <w:pPr>
              <w:pStyle w:val="Tabletext1"/>
              <w:jc w:val="left"/>
            </w:pPr>
            <w:r w:rsidRPr="004666A8">
              <w:t xml:space="preserve">Baseline </w:t>
            </w:r>
            <w:r>
              <w:t xml:space="preserve">annual </w:t>
            </w:r>
            <w:r w:rsidRPr="004666A8">
              <w:t>infection rates (base case: Paxton, Hawkins &amp; Crispin 2016, serious 0.43, non-serious 1.05)</w:t>
            </w:r>
          </w:p>
        </w:tc>
      </w:tr>
      <w:tr w:rsidR="00A9264E" w:rsidRPr="00E86C72" w14:paraId="39BFC9E5" w14:textId="77777777" w:rsidTr="008437D6">
        <w:trPr>
          <w:trHeight w:val="300"/>
        </w:trPr>
        <w:tc>
          <w:tcPr>
            <w:tcW w:w="2670" w:type="pct"/>
            <w:tcBorders>
              <w:top w:val="nil"/>
              <w:bottom w:val="nil"/>
            </w:tcBorders>
            <w:noWrap/>
            <w:hideMark/>
          </w:tcPr>
          <w:p w14:paraId="0E1ADEBC" w14:textId="77777777" w:rsidR="00A9264E" w:rsidRPr="00E86C72" w:rsidRDefault="00A9264E" w:rsidP="008437D6">
            <w:pPr>
              <w:pStyle w:val="Tabletext1"/>
            </w:pPr>
            <w:r w:rsidRPr="004666A8">
              <w:t>Molica et al. (1996): serious 0.29, non-serious 1.73</w:t>
            </w:r>
          </w:p>
        </w:tc>
        <w:tc>
          <w:tcPr>
            <w:tcW w:w="629" w:type="pct"/>
            <w:tcBorders>
              <w:top w:val="nil"/>
              <w:bottom w:val="nil"/>
            </w:tcBorders>
            <w:noWrap/>
            <w:hideMark/>
          </w:tcPr>
          <w:p w14:paraId="37DF8852" w14:textId="76085A8B" w:rsidR="00A9264E" w:rsidRPr="00E86C72" w:rsidRDefault="00A9264E" w:rsidP="008437D6">
            <w:pPr>
              <w:pStyle w:val="Tabletext1"/>
              <w:jc w:val="right"/>
            </w:pPr>
            <w:r w:rsidRPr="00D6502A">
              <w:t>$50,160</w:t>
            </w:r>
          </w:p>
        </w:tc>
        <w:tc>
          <w:tcPr>
            <w:tcW w:w="629" w:type="pct"/>
            <w:tcBorders>
              <w:top w:val="nil"/>
              <w:bottom w:val="nil"/>
            </w:tcBorders>
            <w:noWrap/>
            <w:hideMark/>
          </w:tcPr>
          <w:p w14:paraId="157D8A35" w14:textId="77777777" w:rsidR="00A9264E" w:rsidRPr="00E86C72" w:rsidRDefault="00A9264E" w:rsidP="008437D6">
            <w:pPr>
              <w:pStyle w:val="Tabletext1"/>
              <w:jc w:val="right"/>
            </w:pPr>
            <w:r w:rsidRPr="00D6502A">
              <w:t>0.3819</w:t>
            </w:r>
          </w:p>
        </w:tc>
        <w:tc>
          <w:tcPr>
            <w:tcW w:w="629" w:type="pct"/>
            <w:tcBorders>
              <w:top w:val="nil"/>
              <w:bottom w:val="nil"/>
            </w:tcBorders>
            <w:noWrap/>
            <w:hideMark/>
          </w:tcPr>
          <w:p w14:paraId="0C2BD39F" w14:textId="644A0739" w:rsidR="00A9264E" w:rsidRPr="00E86C72" w:rsidRDefault="00A9264E" w:rsidP="008437D6">
            <w:pPr>
              <w:pStyle w:val="Tabletext1"/>
              <w:jc w:val="right"/>
            </w:pPr>
            <w:r w:rsidRPr="00D6502A">
              <w:t>$131,328</w:t>
            </w:r>
          </w:p>
        </w:tc>
        <w:tc>
          <w:tcPr>
            <w:tcW w:w="443" w:type="pct"/>
            <w:tcBorders>
              <w:top w:val="nil"/>
              <w:bottom w:val="nil"/>
            </w:tcBorders>
            <w:noWrap/>
            <w:hideMark/>
          </w:tcPr>
          <w:p w14:paraId="08622F5D" w14:textId="56D4CF0C" w:rsidR="00A9264E" w:rsidRPr="00E86C72" w:rsidRDefault="00A9264E" w:rsidP="008437D6">
            <w:pPr>
              <w:pStyle w:val="Tabletext1"/>
              <w:jc w:val="right"/>
            </w:pPr>
            <w:r w:rsidRPr="00D6502A">
              <w:t>32%</w:t>
            </w:r>
          </w:p>
        </w:tc>
      </w:tr>
      <w:tr w:rsidR="00A9264E" w:rsidRPr="00E86C72" w14:paraId="1FB0CD21" w14:textId="77777777" w:rsidTr="008437D6">
        <w:trPr>
          <w:trHeight w:val="300"/>
        </w:trPr>
        <w:tc>
          <w:tcPr>
            <w:tcW w:w="2670" w:type="pct"/>
            <w:tcBorders>
              <w:top w:val="nil"/>
              <w:bottom w:val="nil"/>
            </w:tcBorders>
            <w:noWrap/>
            <w:hideMark/>
          </w:tcPr>
          <w:p w14:paraId="0DB11822" w14:textId="77777777" w:rsidR="00A9264E" w:rsidRPr="00E86C72" w:rsidRDefault="00A9264E" w:rsidP="008437D6">
            <w:pPr>
              <w:pStyle w:val="Tabletext1"/>
            </w:pPr>
            <w:r w:rsidRPr="004666A8">
              <w:t>Chapel et al. (1994): serious 0.26, non-serious 1.75</w:t>
            </w:r>
          </w:p>
        </w:tc>
        <w:tc>
          <w:tcPr>
            <w:tcW w:w="629" w:type="pct"/>
            <w:tcBorders>
              <w:top w:val="nil"/>
              <w:bottom w:val="nil"/>
            </w:tcBorders>
            <w:noWrap/>
            <w:hideMark/>
          </w:tcPr>
          <w:p w14:paraId="5DF77DD5" w14:textId="11D843CB" w:rsidR="00A9264E" w:rsidRPr="00E86C72" w:rsidRDefault="00A9264E" w:rsidP="008437D6">
            <w:pPr>
              <w:pStyle w:val="Tabletext1"/>
              <w:jc w:val="right"/>
            </w:pPr>
            <w:r w:rsidRPr="00D6502A">
              <w:t>$51,346</w:t>
            </w:r>
          </w:p>
        </w:tc>
        <w:tc>
          <w:tcPr>
            <w:tcW w:w="629" w:type="pct"/>
            <w:tcBorders>
              <w:top w:val="nil"/>
              <w:bottom w:val="nil"/>
            </w:tcBorders>
            <w:noWrap/>
            <w:hideMark/>
          </w:tcPr>
          <w:p w14:paraId="7AA33808" w14:textId="77777777" w:rsidR="00A9264E" w:rsidRPr="00E86C72" w:rsidRDefault="00A9264E" w:rsidP="008437D6">
            <w:pPr>
              <w:pStyle w:val="Tabletext1"/>
              <w:jc w:val="right"/>
            </w:pPr>
            <w:r w:rsidRPr="00D6502A">
              <w:t>0.3653</w:t>
            </w:r>
          </w:p>
        </w:tc>
        <w:tc>
          <w:tcPr>
            <w:tcW w:w="629" w:type="pct"/>
            <w:tcBorders>
              <w:top w:val="nil"/>
              <w:bottom w:val="nil"/>
            </w:tcBorders>
            <w:noWrap/>
            <w:hideMark/>
          </w:tcPr>
          <w:p w14:paraId="62A97B12" w14:textId="50E62641" w:rsidR="00A9264E" w:rsidRPr="00E86C72" w:rsidRDefault="00A9264E" w:rsidP="008437D6">
            <w:pPr>
              <w:pStyle w:val="Tabletext1"/>
              <w:jc w:val="right"/>
            </w:pPr>
            <w:r w:rsidRPr="00D6502A">
              <w:t>$140,555</w:t>
            </w:r>
          </w:p>
        </w:tc>
        <w:tc>
          <w:tcPr>
            <w:tcW w:w="443" w:type="pct"/>
            <w:tcBorders>
              <w:top w:val="nil"/>
              <w:bottom w:val="nil"/>
            </w:tcBorders>
            <w:noWrap/>
            <w:hideMark/>
          </w:tcPr>
          <w:p w14:paraId="1AE35E99" w14:textId="133DEB8B" w:rsidR="00A9264E" w:rsidRPr="00E86C72" w:rsidRDefault="00A9264E" w:rsidP="008437D6">
            <w:pPr>
              <w:pStyle w:val="Tabletext1"/>
              <w:jc w:val="right"/>
            </w:pPr>
            <w:r w:rsidRPr="00D6502A">
              <w:t>41%</w:t>
            </w:r>
          </w:p>
        </w:tc>
      </w:tr>
      <w:tr w:rsidR="00A9264E" w:rsidRPr="00E86C72" w14:paraId="2474DF1D" w14:textId="77777777" w:rsidTr="008437D6">
        <w:trPr>
          <w:trHeight w:val="300"/>
        </w:trPr>
        <w:tc>
          <w:tcPr>
            <w:tcW w:w="2670" w:type="pct"/>
            <w:tcBorders>
              <w:top w:val="nil"/>
              <w:bottom w:val="nil"/>
            </w:tcBorders>
            <w:noWrap/>
            <w:hideMark/>
          </w:tcPr>
          <w:p w14:paraId="5CBA31A5" w14:textId="77777777" w:rsidR="00A9264E" w:rsidRPr="00E86C72" w:rsidRDefault="00A9264E" w:rsidP="008437D6">
            <w:pPr>
              <w:pStyle w:val="Tabletext1"/>
            </w:pPr>
            <w:r w:rsidRPr="004666A8">
              <w:t>Sullivan et al. (1990): serious 1.79, non-serious 3.79</w:t>
            </w:r>
          </w:p>
        </w:tc>
        <w:tc>
          <w:tcPr>
            <w:tcW w:w="629" w:type="pct"/>
            <w:tcBorders>
              <w:top w:val="nil"/>
              <w:bottom w:val="nil"/>
            </w:tcBorders>
            <w:noWrap/>
            <w:hideMark/>
          </w:tcPr>
          <w:p w14:paraId="6E0F6BCB" w14:textId="222BD986" w:rsidR="00A9264E" w:rsidRPr="00E86C72" w:rsidRDefault="00A9264E" w:rsidP="008437D6">
            <w:pPr>
              <w:pStyle w:val="Tabletext1"/>
              <w:jc w:val="right"/>
            </w:pPr>
            <w:r w:rsidRPr="00D6502A">
              <w:t>$48,062</w:t>
            </w:r>
          </w:p>
        </w:tc>
        <w:tc>
          <w:tcPr>
            <w:tcW w:w="629" w:type="pct"/>
            <w:tcBorders>
              <w:top w:val="nil"/>
              <w:bottom w:val="nil"/>
            </w:tcBorders>
            <w:noWrap/>
            <w:hideMark/>
          </w:tcPr>
          <w:p w14:paraId="60A73751" w14:textId="77777777" w:rsidR="00A9264E" w:rsidRPr="00E86C72" w:rsidRDefault="00A9264E" w:rsidP="008437D6">
            <w:pPr>
              <w:pStyle w:val="Tabletext1"/>
              <w:jc w:val="right"/>
            </w:pPr>
            <w:r w:rsidRPr="00D6502A">
              <w:t>0.7121</w:t>
            </w:r>
          </w:p>
        </w:tc>
        <w:tc>
          <w:tcPr>
            <w:tcW w:w="629" w:type="pct"/>
            <w:tcBorders>
              <w:top w:val="nil"/>
              <w:bottom w:val="nil"/>
            </w:tcBorders>
            <w:noWrap/>
            <w:hideMark/>
          </w:tcPr>
          <w:p w14:paraId="0A01FFE9" w14:textId="6DB05BB6" w:rsidR="00A9264E" w:rsidRPr="00E86C72" w:rsidRDefault="00A9264E" w:rsidP="008437D6">
            <w:pPr>
              <w:pStyle w:val="Tabletext1"/>
              <w:jc w:val="right"/>
            </w:pPr>
            <w:r w:rsidRPr="00D6502A">
              <w:t>$67,493</w:t>
            </w:r>
          </w:p>
        </w:tc>
        <w:tc>
          <w:tcPr>
            <w:tcW w:w="443" w:type="pct"/>
            <w:tcBorders>
              <w:top w:val="nil"/>
              <w:bottom w:val="nil"/>
            </w:tcBorders>
            <w:noWrap/>
            <w:hideMark/>
          </w:tcPr>
          <w:p w14:paraId="09C34D30" w14:textId="550F7F80" w:rsidR="00A9264E" w:rsidRPr="00E86C72" w:rsidRDefault="00A9264E" w:rsidP="008437D6">
            <w:pPr>
              <w:pStyle w:val="Tabletext1"/>
              <w:jc w:val="right"/>
            </w:pPr>
            <w:r w:rsidRPr="00D6502A">
              <w:t>–32%</w:t>
            </w:r>
          </w:p>
        </w:tc>
      </w:tr>
      <w:tr w:rsidR="00767E2D" w:rsidRPr="00E86C72" w14:paraId="236BB684" w14:textId="77777777" w:rsidTr="00767E2D">
        <w:trPr>
          <w:trHeight w:val="300"/>
        </w:trPr>
        <w:tc>
          <w:tcPr>
            <w:tcW w:w="5000" w:type="pct"/>
            <w:gridSpan w:val="5"/>
            <w:tcBorders>
              <w:bottom w:val="single" w:sz="4" w:space="0" w:color="auto"/>
            </w:tcBorders>
            <w:noWrap/>
            <w:hideMark/>
          </w:tcPr>
          <w:p w14:paraId="35F56D37" w14:textId="7D865D94" w:rsidR="00767E2D" w:rsidRPr="00E86C72" w:rsidRDefault="00767E2D" w:rsidP="00B52A4F">
            <w:pPr>
              <w:pStyle w:val="Tabletext1"/>
              <w:jc w:val="left"/>
            </w:pPr>
            <w:r>
              <w:t>I</w:t>
            </w:r>
            <w:r w:rsidRPr="00CC785D">
              <w:t>RR of Ig treatment effect (base case: serious, 0.15; non-serious 0.61)</w:t>
            </w:r>
          </w:p>
        </w:tc>
      </w:tr>
      <w:tr w:rsidR="00A9264E" w:rsidRPr="00E86C72" w14:paraId="639148B1" w14:textId="77777777" w:rsidTr="008437D6">
        <w:trPr>
          <w:trHeight w:val="300"/>
        </w:trPr>
        <w:tc>
          <w:tcPr>
            <w:tcW w:w="2670" w:type="pct"/>
            <w:tcBorders>
              <w:top w:val="nil"/>
              <w:bottom w:val="nil"/>
            </w:tcBorders>
            <w:noWrap/>
            <w:hideMark/>
          </w:tcPr>
          <w:p w14:paraId="7645B021" w14:textId="77777777" w:rsidR="00A9264E" w:rsidRPr="00E86C72" w:rsidRDefault="00A9264E" w:rsidP="008437D6">
            <w:pPr>
              <w:pStyle w:val="Tabletext1"/>
            </w:pPr>
            <w:r w:rsidRPr="00CC785D">
              <w:t>Serious infections, 0.43</w:t>
            </w:r>
          </w:p>
        </w:tc>
        <w:tc>
          <w:tcPr>
            <w:tcW w:w="629" w:type="pct"/>
            <w:tcBorders>
              <w:top w:val="nil"/>
              <w:bottom w:val="nil"/>
            </w:tcBorders>
            <w:noWrap/>
            <w:hideMark/>
          </w:tcPr>
          <w:p w14:paraId="6A82DB72" w14:textId="043C0C9A" w:rsidR="00A9264E" w:rsidRPr="00E86C72" w:rsidRDefault="00A9264E" w:rsidP="008437D6">
            <w:pPr>
              <w:pStyle w:val="Tabletext1"/>
              <w:jc w:val="right"/>
            </w:pPr>
            <w:r w:rsidRPr="00D6502A">
              <w:t>$52,526</w:t>
            </w:r>
          </w:p>
        </w:tc>
        <w:tc>
          <w:tcPr>
            <w:tcW w:w="629" w:type="pct"/>
            <w:tcBorders>
              <w:top w:val="nil"/>
              <w:bottom w:val="nil"/>
            </w:tcBorders>
            <w:noWrap/>
            <w:hideMark/>
          </w:tcPr>
          <w:p w14:paraId="39298F30" w14:textId="77777777" w:rsidR="00A9264E" w:rsidRPr="00E86C72" w:rsidRDefault="00A9264E" w:rsidP="008437D6">
            <w:pPr>
              <w:pStyle w:val="Tabletext1"/>
              <w:jc w:val="right"/>
            </w:pPr>
            <w:r w:rsidRPr="00D6502A">
              <w:t>0.3139</w:t>
            </w:r>
          </w:p>
        </w:tc>
        <w:tc>
          <w:tcPr>
            <w:tcW w:w="629" w:type="pct"/>
            <w:tcBorders>
              <w:top w:val="nil"/>
              <w:bottom w:val="nil"/>
            </w:tcBorders>
            <w:noWrap/>
            <w:hideMark/>
          </w:tcPr>
          <w:p w14:paraId="0A66F810" w14:textId="6A5BE3A2" w:rsidR="00A9264E" w:rsidRPr="00E86C72" w:rsidRDefault="00A9264E" w:rsidP="008437D6">
            <w:pPr>
              <w:pStyle w:val="Tabletext1"/>
              <w:jc w:val="right"/>
            </w:pPr>
            <w:r w:rsidRPr="00D6502A">
              <w:t>$167,315</w:t>
            </w:r>
          </w:p>
        </w:tc>
        <w:tc>
          <w:tcPr>
            <w:tcW w:w="443" w:type="pct"/>
            <w:tcBorders>
              <w:top w:val="nil"/>
              <w:bottom w:val="nil"/>
            </w:tcBorders>
            <w:noWrap/>
            <w:hideMark/>
          </w:tcPr>
          <w:p w14:paraId="2B472633" w14:textId="14A63553" w:rsidR="00A9264E" w:rsidRPr="00E86C72" w:rsidRDefault="00A9264E" w:rsidP="008437D6">
            <w:pPr>
              <w:pStyle w:val="Tabletext1"/>
              <w:jc w:val="right"/>
            </w:pPr>
            <w:r w:rsidRPr="00D6502A">
              <w:t>68%</w:t>
            </w:r>
          </w:p>
        </w:tc>
      </w:tr>
      <w:tr w:rsidR="00A9264E" w:rsidRPr="00E86C72" w14:paraId="67337FBF" w14:textId="77777777" w:rsidTr="008437D6">
        <w:trPr>
          <w:trHeight w:val="300"/>
        </w:trPr>
        <w:tc>
          <w:tcPr>
            <w:tcW w:w="2670" w:type="pct"/>
            <w:tcBorders>
              <w:top w:val="nil"/>
              <w:bottom w:val="nil"/>
            </w:tcBorders>
            <w:noWrap/>
            <w:hideMark/>
          </w:tcPr>
          <w:p w14:paraId="579EAA28" w14:textId="77777777" w:rsidR="00A9264E" w:rsidRPr="00E86C72" w:rsidRDefault="00A9264E" w:rsidP="008437D6">
            <w:pPr>
              <w:pStyle w:val="Tabletext1"/>
            </w:pPr>
            <w:r w:rsidRPr="00CC785D">
              <w:t>Non-serious infections, 0.72</w:t>
            </w:r>
          </w:p>
        </w:tc>
        <w:tc>
          <w:tcPr>
            <w:tcW w:w="629" w:type="pct"/>
            <w:tcBorders>
              <w:top w:val="nil"/>
              <w:bottom w:val="nil"/>
            </w:tcBorders>
            <w:noWrap/>
            <w:hideMark/>
          </w:tcPr>
          <w:p w14:paraId="7CF2A408" w14:textId="2555EB85" w:rsidR="00A9264E" w:rsidRPr="00E86C72" w:rsidRDefault="00A9264E" w:rsidP="008437D6">
            <w:pPr>
              <w:pStyle w:val="Tabletext1"/>
              <w:jc w:val="right"/>
            </w:pPr>
            <w:r w:rsidRPr="00D6502A">
              <w:t>$46,236</w:t>
            </w:r>
          </w:p>
        </w:tc>
        <w:tc>
          <w:tcPr>
            <w:tcW w:w="629" w:type="pct"/>
            <w:tcBorders>
              <w:top w:val="nil"/>
              <w:bottom w:val="nil"/>
            </w:tcBorders>
            <w:noWrap/>
            <w:hideMark/>
          </w:tcPr>
          <w:p w14:paraId="038BCF81" w14:textId="77777777" w:rsidR="00A9264E" w:rsidRPr="00E86C72" w:rsidRDefault="00A9264E" w:rsidP="008437D6">
            <w:pPr>
              <w:pStyle w:val="Tabletext1"/>
              <w:jc w:val="right"/>
            </w:pPr>
            <w:r w:rsidRPr="00D6502A">
              <w:t>0.3523</w:t>
            </w:r>
          </w:p>
        </w:tc>
        <w:tc>
          <w:tcPr>
            <w:tcW w:w="629" w:type="pct"/>
            <w:tcBorders>
              <w:top w:val="nil"/>
              <w:bottom w:val="nil"/>
            </w:tcBorders>
            <w:noWrap/>
            <w:hideMark/>
          </w:tcPr>
          <w:p w14:paraId="25A44070" w14:textId="2C77DD89" w:rsidR="00A9264E" w:rsidRPr="00E86C72" w:rsidRDefault="00A9264E" w:rsidP="008437D6">
            <w:pPr>
              <w:pStyle w:val="Tabletext1"/>
              <w:jc w:val="right"/>
            </w:pPr>
            <w:r w:rsidRPr="00D6502A">
              <w:t>$131,233</w:t>
            </w:r>
          </w:p>
        </w:tc>
        <w:tc>
          <w:tcPr>
            <w:tcW w:w="443" w:type="pct"/>
            <w:tcBorders>
              <w:top w:val="nil"/>
              <w:bottom w:val="nil"/>
            </w:tcBorders>
            <w:noWrap/>
            <w:hideMark/>
          </w:tcPr>
          <w:p w14:paraId="2948C17C" w14:textId="77777777" w:rsidR="00A9264E" w:rsidRPr="00E86C72" w:rsidRDefault="00A9264E" w:rsidP="008437D6">
            <w:pPr>
              <w:pStyle w:val="Tabletext1"/>
              <w:jc w:val="right"/>
            </w:pPr>
            <w:r w:rsidRPr="00D6502A">
              <w:t>31%</w:t>
            </w:r>
          </w:p>
        </w:tc>
      </w:tr>
      <w:tr w:rsidR="003C78E2" w:rsidRPr="00E86C72" w14:paraId="2BE13C0C" w14:textId="77777777" w:rsidTr="003C78E2">
        <w:trPr>
          <w:trHeight w:val="300"/>
        </w:trPr>
        <w:tc>
          <w:tcPr>
            <w:tcW w:w="5000" w:type="pct"/>
            <w:gridSpan w:val="5"/>
            <w:tcBorders>
              <w:bottom w:val="single" w:sz="4" w:space="0" w:color="auto"/>
            </w:tcBorders>
            <w:noWrap/>
            <w:hideMark/>
          </w:tcPr>
          <w:p w14:paraId="29689322" w14:textId="6F83CCA0" w:rsidR="003C78E2" w:rsidRPr="00E86C72" w:rsidRDefault="003C78E2" w:rsidP="00B52A4F">
            <w:pPr>
              <w:pStyle w:val="Tabletext1"/>
              <w:jc w:val="left"/>
            </w:pPr>
            <w:r w:rsidRPr="00E86C72">
              <w:t>Duration of Ig treatment (base case: 2.2 years)</w:t>
            </w:r>
          </w:p>
        </w:tc>
      </w:tr>
      <w:tr w:rsidR="00A9264E" w:rsidRPr="00E86C72" w14:paraId="693991F2" w14:textId="77777777" w:rsidTr="008437D6">
        <w:trPr>
          <w:trHeight w:val="300"/>
        </w:trPr>
        <w:tc>
          <w:tcPr>
            <w:tcW w:w="2670" w:type="pct"/>
            <w:tcBorders>
              <w:top w:val="nil"/>
              <w:bottom w:val="nil"/>
            </w:tcBorders>
            <w:noWrap/>
            <w:hideMark/>
          </w:tcPr>
          <w:p w14:paraId="7AC950C7" w14:textId="77777777" w:rsidR="00A9264E" w:rsidRPr="00E86C72" w:rsidRDefault="00A9264E" w:rsidP="008437D6">
            <w:pPr>
              <w:pStyle w:val="Tabletext1"/>
            </w:pPr>
            <w:r w:rsidRPr="00E86C72">
              <w:t>5 years</w:t>
            </w:r>
          </w:p>
        </w:tc>
        <w:tc>
          <w:tcPr>
            <w:tcW w:w="629" w:type="pct"/>
            <w:tcBorders>
              <w:top w:val="nil"/>
              <w:bottom w:val="nil"/>
            </w:tcBorders>
            <w:noWrap/>
            <w:hideMark/>
          </w:tcPr>
          <w:p w14:paraId="182CD9E2" w14:textId="6EB16DA5" w:rsidR="00A9264E" w:rsidRPr="00E86C72" w:rsidRDefault="00A9264E" w:rsidP="008437D6">
            <w:pPr>
              <w:pStyle w:val="Tabletext1"/>
              <w:jc w:val="right"/>
            </w:pPr>
            <w:r w:rsidRPr="00D6502A">
              <w:t>$84,261</w:t>
            </w:r>
          </w:p>
        </w:tc>
        <w:tc>
          <w:tcPr>
            <w:tcW w:w="629" w:type="pct"/>
            <w:tcBorders>
              <w:top w:val="nil"/>
              <w:bottom w:val="nil"/>
            </w:tcBorders>
            <w:noWrap/>
            <w:hideMark/>
          </w:tcPr>
          <w:p w14:paraId="0BAF62AF" w14:textId="77777777" w:rsidR="00A9264E" w:rsidRPr="00E86C72" w:rsidRDefault="00A9264E" w:rsidP="008437D6">
            <w:pPr>
              <w:pStyle w:val="Tabletext1"/>
              <w:jc w:val="right"/>
            </w:pPr>
            <w:r w:rsidRPr="00D6502A">
              <w:t>0.5430</w:t>
            </w:r>
          </w:p>
        </w:tc>
        <w:tc>
          <w:tcPr>
            <w:tcW w:w="629" w:type="pct"/>
            <w:tcBorders>
              <w:top w:val="nil"/>
              <w:bottom w:val="nil"/>
            </w:tcBorders>
            <w:noWrap/>
            <w:hideMark/>
          </w:tcPr>
          <w:p w14:paraId="62699429" w14:textId="363F6C9F" w:rsidR="00A9264E" w:rsidRPr="00E86C72" w:rsidRDefault="00A9264E" w:rsidP="008437D6">
            <w:pPr>
              <w:pStyle w:val="Tabletext1"/>
              <w:jc w:val="right"/>
            </w:pPr>
            <w:r w:rsidRPr="00D6502A">
              <w:t>$155,168</w:t>
            </w:r>
          </w:p>
        </w:tc>
        <w:tc>
          <w:tcPr>
            <w:tcW w:w="443" w:type="pct"/>
            <w:tcBorders>
              <w:top w:val="nil"/>
              <w:bottom w:val="nil"/>
            </w:tcBorders>
            <w:noWrap/>
            <w:hideMark/>
          </w:tcPr>
          <w:p w14:paraId="0765D8C4" w14:textId="2B0BCF9F" w:rsidR="00A9264E" w:rsidRPr="00E86C72" w:rsidRDefault="00A9264E" w:rsidP="008437D6">
            <w:pPr>
              <w:pStyle w:val="Tabletext1"/>
              <w:jc w:val="right"/>
            </w:pPr>
            <w:r w:rsidRPr="00D6502A">
              <w:t>55%</w:t>
            </w:r>
          </w:p>
        </w:tc>
      </w:tr>
      <w:tr w:rsidR="00A9264E" w:rsidRPr="00E86C72" w14:paraId="0A61C239" w14:textId="77777777" w:rsidTr="008437D6">
        <w:trPr>
          <w:trHeight w:val="300"/>
        </w:trPr>
        <w:tc>
          <w:tcPr>
            <w:tcW w:w="2670" w:type="pct"/>
            <w:tcBorders>
              <w:top w:val="nil"/>
            </w:tcBorders>
            <w:noWrap/>
            <w:hideMark/>
          </w:tcPr>
          <w:p w14:paraId="60A0DA56" w14:textId="77777777" w:rsidR="00A9264E" w:rsidRPr="00E86C72" w:rsidRDefault="00A9264E" w:rsidP="008437D6">
            <w:pPr>
              <w:pStyle w:val="Tabletext1"/>
            </w:pPr>
            <w:r w:rsidRPr="00E86C72">
              <w:t>10 years</w:t>
            </w:r>
          </w:p>
        </w:tc>
        <w:tc>
          <w:tcPr>
            <w:tcW w:w="629" w:type="pct"/>
            <w:tcBorders>
              <w:top w:val="nil"/>
            </w:tcBorders>
            <w:noWrap/>
            <w:hideMark/>
          </w:tcPr>
          <w:p w14:paraId="15E504E3" w14:textId="2261E65D" w:rsidR="00A9264E" w:rsidRPr="00E86C72" w:rsidRDefault="00A9264E" w:rsidP="008437D6">
            <w:pPr>
              <w:pStyle w:val="Tabletext1"/>
              <w:jc w:val="right"/>
            </w:pPr>
            <w:r w:rsidRPr="00D6502A">
              <w:t>$125,097</w:t>
            </w:r>
          </w:p>
        </w:tc>
        <w:tc>
          <w:tcPr>
            <w:tcW w:w="629" w:type="pct"/>
            <w:tcBorders>
              <w:top w:val="nil"/>
            </w:tcBorders>
            <w:noWrap/>
            <w:hideMark/>
          </w:tcPr>
          <w:p w14:paraId="0DF944AC" w14:textId="77777777" w:rsidR="00A9264E" w:rsidRPr="00E86C72" w:rsidRDefault="00A9264E" w:rsidP="008437D6">
            <w:pPr>
              <w:pStyle w:val="Tabletext1"/>
              <w:jc w:val="right"/>
            </w:pPr>
            <w:r w:rsidRPr="00D6502A">
              <w:t>0.5457</w:t>
            </w:r>
          </w:p>
        </w:tc>
        <w:tc>
          <w:tcPr>
            <w:tcW w:w="629" w:type="pct"/>
            <w:tcBorders>
              <w:top w:val="nil"/>
            </w:tcBorders>
            <w:noWrap/>
            <w:hideMark/>
          </w:tcPr>
          <w:p w14:paraId="2ECC238C" w14:textId="5077D6C0" w:rsidR="00A9264E" w:rsidRPr="00E86C72" w:rsidRDefault="00A9264E" w:rsidP="008437D6">
            <w:pPr>
              <w:pStyle w:val="Tabletext1"/>
              <w:jc w:val="right"/>
            </w:pPr>
            <w:r w:rsidRPr="00D6502A">
              <w:t>$229,233</w:t>
            </w:r>
          </w:p>
        </w:tc>
        <w:tc>
          <w:tcPr>
            <w:tcW w:w="443" w:type="pct"/>
            <w:tcBorders>
              <w:top w:val="nil"/>
            </w:tcBorders>
            <w:noWrap/>
            <w:hideMark/>
          </w:tcPr>
          <w:p w14:paraId="687C7A03" w14:textId="139021A6" w:rsidR="00A9264E" w:rsidRPr="00E86C72" w:rsidRDefault="00A9264E" w:rsidP="008437D6">
            <w:pPr>
              <w:pStyle w:val="Tabletext1"/>
              <w:jc w:val="right"/>
            </w:pPr>
            <w:r w:rsidRPr="00D6502A">
              <w:t>130%</w:t>
            </w:r>
          </w:p>
        </w:tc>
      </w:tr>
      <w:tr w:rsidR="00A9264E" w:rsidRPr="00E86C72" w14:paraId="2D50763D" w14:textId="77777777" w:rsidTr="008437D6">
        <w:trPr>
          <w:trHeight w:val="300"/>
        </w:trPr>
        <w:tc>
          <w:tcPr>
            <w:tcW w:w="2670" w:type="pct"/>
            <w:tcBorders>
              <w:bottom w:val="single" w:sz="4" w:space="0" w:color="auto"/>
            </w:tcBorders>
            <w:noWrap/>
            <w:hideMark/>
          </w:tcPr>
          <w:p w14:paraId="6364C538" w14:textId="77777777" w:rsidR="00A9264E" w:rsidRPr="00E86C72" w:rsidRDefault="00A9264E" w:rsidP="008437D6">
            <w:pPr>
              <w:pStyle w:val="Tabletext1"/>
            </w:pPr>
            <w:r w:rsidRPr="00E86C72">
              <w:t>Exclude development of bronchiectasis</w:t>
            </w:r>
          </w:p>
        </w:tc>
        <w:tc>
          <w:tcPr>
            <w:tcW w:w="629" w:type="pct"/>
            <w:tcBorders>
              <w:bottom w:val="single" w:sz="4" w:space="0" w:color="auto"/>
            </w:tcBorders>
            <w:noWrap/>
            <w:hideMark/>
          </w:tcPr>
          <w:p w14:paraId="2BEEDE3F" w14:textId="06D740D9" w:rsidR="00A9264E" w:rsidRPr="00E86C72" w:rsidRDefault="00A9264E" w:rsidP="008437D6">
            <w:pPr>
              <w:pStyle w:val="Tabletext1"/>
              <w:jc w:val="right"/>
            </w:pPr>
            <w:r w:rsidRPr="00D6502A">
              <w:t>$41,213</w:t>
            </w:r>
          </w:p>
        </w:tc>
        <w:tc>
          <w:tcPr>
            <w:tcW w:w="629" w:type="pct"/>
            <w:tcBorders>
              <w:bottom w:val="single" w:sz="4" w:space="0" w:color="auto"/>
            </w:tcBorders>
            <w:noWrap/>
            <w:hideMark/>
          </w:tcPr>
          <w:p w14:paraId="05D0D5C1" w14:textId="77777777" w:rsidR="00A9264E" w:rsidRPr="00E86C72" w:rsidRDefault="00A9264E" w:rsidP="008437D6">
            <w:pPr>
              <w:pStyle w:val="Tabletext1"/>
              <w:jc w:val="right"/>
            </w:pPr>
            <w:r w:rsidRPr="00D6502A">
              <w:t>0.0141</w:t>
            </w:r>
          </w:p>
        </w:tc>
        <w:tc>
          <w:tcPr>
            <w:tcW w:w="629" w:type="pct"/>
            <w:tcBorders>
              <w:bottom w:val="single" w:sz="4" w:space="0" w:color="auto"/>
            </w:tcBorders>
            <w:noWrap/>
            <w:hideMark/>
          </w:tcPr>
          <w:p w14:paraId="37A50FCD" w14:textId="3F6F0986" w:rsidR="00A9264E" w:rsidRPr="00E86C72" w:rsidRDefault="00A9264E" w:rsidP="008437D6">
            <w:pPr>
              <w:pStyle w:val="Tabletext1"/>
              <w:jc w:val="right"/>
            </w:pPr>
            <w:r w:rsidRPr="00D6502A">
              <w:t>$2,927,525</w:t>
            </w:r>
          </w:p>
        </w:tc>
        <w:tc>
          <w:tcPr>
            <w:tcW w:w="443" w:type="pct"/>
            <w:tcBorders>
              <w:bottom w:val="single" w:sz="4" w:space="0" w:color="auto"/>
            </w:tcBorders>
            <w:noWrap/>
            <w:hideMark/>
          </w:tcPr>
          <w:p w14:paraId="525BF846" w14:textId="482CEF9D" w:rsidR="00A9264E" w:rsidRPr="00E86C72" w:rsidRDefault="00A9264E" w:rsidP="008437D6">
            <w:pPr>
              <w:pStyle w:val="Tabletext1"/>
              <w:jc w:val="right"/>
            </w:pPr>
            <w:r w:rsidRPr="00D6502A">
              <w:t>2833%</w:t>
            </w:r>
          </w:p>
        </w:tc>
      </w:tr>
      <w:tr w:rsidR="003C78E2" w:rsidRPr="00E86C72" w14:paraId="32E9C0C8" w14:textId="77777777" w:rsidTr="003C78E2">
        <w:trPr>
          <w:trHeight w:val="300"/>
        </w:trPr>
        <w:tc>
          <w:tcPr>
            <w:tcW w:w="5000" w:type="pct"/>
            <w:gridSpan w:val="5"/>
            <w:tcBorders>
              <w:bottom w:val="single" w:sz="4" w:space="0" w:color="auto"/>
            </w:tcBorders>
            <w:noWrap/>
            <w:hideMark/>
          </w:tcPr>
          <w:p w14:paraId="59086A7A" w14:textId="07338684" w:rsidR="003C78E2" w:rsidRPr="00E86C72" w:rsidRDefault="003C78E2" w:rsidP="00B52A4F">
            <w:pPr>
              <w:pStyle w:val="Tabletext1"/>
              <w:jc w:val="left"/>
            </w:pPr>
            <w:r w:rsidRPr="00E86C72">
              <w:t>Time horizon (base case: 10 years)</w:t>
            </w:r>
          </w:p>
        </w:tc>
      </w:tr>
      <w:tr w:rsidR="00A9264E" w:rsidRPr="00E86C72" w14:paraId="18493240" w14:textId="77777777" w:rsidTr="008437D6">
        <w:trPr>
          <w:trHeight w:val="315"/>
        </w:trPr>
        <w:tc>
          <w:tcPr>
            <w:tcW w:w="2670" w:type="pct"/>
            <w:tcBorders>
              <w:bottom w:val="nil"/>
            </w:tcBorders>
            <w:noWrap/>
            <w:hideMark/>
          </w:tcPr>
          <w:p w14:paraId="4C95992A" w14:textId="77777777" w:rsidR="00A9264E" w:rsidRPr="00E86C72" w:rsidRDefault="00A9264E" w:rsidP="008437D6">
            <w:pPr>
              <w:pStyle w:val="Tabletext1"/>
            </w:pPr>
            <w:r w:rsidRPr="00E86C72">
              <w:t>2.2 years (as per Ig treatment duration)</w:t>
            </w:r>
          </w:p>
        </w:tc>
        <w:tc>
          <w:tcPr>
            <w:tcW w:w="629" w:type="pct"/>
            <w:tcBorders>
              <w:bottom w:val="nil"/>
            </w:tcBorders>
            <w:noWrap/>
            <w:hideMark/>
          </w:tcPr>
          <w:p w14:paraId="2221B84D" w14:textId="7EF95164" w:rsidR="00A9264E" w:rsidRPr="00E86C72" w:rsidRDefault="00A9264E" w:rsidP="008437D6">
            <w:pPr>
              <w:pStyle w:val="Tabletext1"/>
              <w:jc w:val="right"/>
            </w:pPr>
            <w:r w:rsidRPr="00D6502A">
              <w:t>$38,869</w:t>
            </w:r>
          </w:p>
        </w:tc>
        <w:tc>
          <w:tcPr>
            <w:tcW w:w="629" w:type="pct"/>
            <w:tcBorders>
              <w:bottom w:val="nil"/>
            </w:tcBorders>
            <w:noWrap/>
            <w:hideMark/>
          </w:tcPr>
          <w:p w14:paraId="02A825DD" w14:textId="77777777" w:rsidR="00A9264E" w:rsidRPr="00E86C72" w:rsidRDefault="00A9264E" w:rsidP="008437D6">
            <w:pPr>
              <w:pStyle w:val="Tabletext1"/>
              <w:jc w:val="right"/>
            </w:pPr>
            <w:r w:rsidRPr="00D6502A">
              <w:t>0.0322</w:t>
            </w:r>
          </w:p>
        </w:tc>
        <w:tc>
          <w:tcPr>
            <w:tcW w:w="629" w:type="pct"/>
            <w:tcBorders>
              <w:bottom w:val="nil"/>
            </w:tcBorders>
            <w:noWrap/>
            <w:hideMark/>
          </w:tcPr>
          <w:p w14:paraId="07C13221" w14:textId="37595E4A" w:rsidR="00A9264E" w:rsidRPr="00E86C72" w:rsidRDefault="00A9264E" w:rsidP="008437D6">
            <w:pPr>
              <w:pStyle w:val="Tabletext1"/>
              <w:jc w:val="right"/>
            </w:pPr>
            <w:r w:rsidRPr="00D6502A">
              <w:t>$1,208,343</w:t>
            </w:r>
          </w:p>
        </w:tc>
        <w:tc>
          <w:tcPr>
            <w:tcW w:w="443" w:type="pct"/>
            <w:tcBorders>
              <w:bottom w:val="nil"/>
            </w:tcBorders>
            <w:noWrap/>
            <w:hideMark/>
          </w:tcPr>
          <w:p w14:paraId="19ACE13A" w14:textId="1CEA83C4" w:rsidR="00A9264E" w:rsidRPr="00E86C72" w:rsidRDefault="00A9264E" w:rsidP="008437D6">
            <w:pPr>
              <w:pStyle w:val="Tabletext1"/>
              <w:jc w:val="right"/>
            </w:pPr>
            <w:r w:rsidRPr="00D6502A">
              <w:t>1111%</w:t>
            </w:r>
          </w:p>
        </w:tc>
      </w:tr>
      <w:tr w:rsidR="00A9264E" w:rsidRPr="00E86C72" w14:paraId="4658C9CF" w14:textId="77777777" w:rsidTr="008437D6">
        <w:trPr>
          <w:trHeight w:val="300"/>
        </w:trPr>
        <w:tc>
          <w:tcPr>
            <w:tcW w:w="2670" w:type="pct"/>
            <w:tcBorders>
              <w:top w:val="nil"/>
              <w:bottom w:val="single" w:sz="4" w:space="0" w:color="auto"/>
            </w:tcBorders>
            <w:noWrap/>
            <w:hideMark/>
          </w:tcPr>
          <w:p w14:paraId="4B1970B7" w14:textId="77777777" w:rsidR="00A9264E" w:rsidRPr="00E86C72" w:rsidRDefault="00A9264E" w:rsidP="008437D6">
            <w:pPr>
              <w:pStyle w:val="Tabletext1"/>
            </w:pPr>
            <w:r w:rsidRPr="00E86C72">
              <w:t>5 years</w:t>
            </w:r>
          </w:p>
        </w:tc>
        <w:tc>
          <w:tcPr>
            <w:tcW w:w="629" w:type="pct"/>
            <w:tcBorders>
              <w:top w:val="nil"/>
              <w:bottom w:val="single" w:sz="4" w:space="0" w:color="auto"/>
            </w:tcBorders>
            <w:noWrap/>
            <w:hideMark/>
          </w:tcPr>
          <w:p w14:paraId="2A060C2A" w14:textId="23412ABB" w:rsidR="00A9264E" w:rsidRPr="00E86C72" w:rsidRDefault="00A9264E" w:rsidP="008437D6">
            <w:pPr>
              <w:pStyle w:val="Tabletext1"/>
              <w:jc w:val="right"/>
            </w:pPr>
            <w:r w:rsidRPr="00D6502A">
              <w:t>$39,552</w:t>
            </w:r>
          </w:p>
        </w:tc>
        <w:tc>
          <w:tcPr>
            <w:tcW w:w="629" w:type="pct"/>
            <w:tcBorders>
              <w:top w:val="nil"/>
              <w:bottom w:val="single" w:sz="4" w:space="0" w:color="auto"/>
            </w:tcBorders>
            <w:noWrap/>
            <w:hideMark/>
          </w:tcPr>
          <w:p w14:paraId="450D63CD" w14:textId="77777777" w:rsidR="00A9264E" w:rsidRPr="00E86C72" w:rsidRDefault="00A9264E" w:rsidP="008437D6">
            <w:pPr>
              <w:pStyle w:val="Tabletext1"/>
              <w:jc w:val="right"/>
            </w:pPr>
            <w:r w:rsidRPr="00D6502A">
              <w:t>0.1509</w:t>
            </w:r>
          </w:p>
        </w:tc>
        <w:tc>
          <w:tcPr>
            <w:tcW w:w="629" w:type="pct"/>
            <w:tcBorders>
              <w:top w:val="nil"/>
              <w:bottom w:val="single" w:sz="4" w:space="0" w:color="auto"/>
            </w:tcBorders>
            <w:noWrap/>
            <w:hideMark/>
          </w:tcPr>
          <w:p w14:paraId="2DBA8052" w14:textId="5DFA43FF" w:rsidR="00A9264E" w:rsidRPr="00E86C72" w:rsidRDefault="00A9264E" w:rsidP="008437D6">
            <w:pPr>
              <w:pStyle w:val="Tabletext1"/>
              <w:jc w:val="right"/>
            </w:pPr>
            <w:r w:rsidRPr="00D6502A">
              <w:t>$262,086</w:t>
            </w:r>
          </w:p>
        </w:tc>
        <w:tc>
          <w:tcPr>
            <w:tcW w:w="443" w:type="pct"/>
            <w:tcBorders>
              <w:top w:val="nil"/>
              <w:bottom w:val="single" w:sz="4" w:space="0" w:color="auto"/>
            </w:tcBorders>
            <w:noWrap/>
            <w:hideMark/>
          </w:tcPr>
          <w:p w14:paraId="66D9A340" w14:textId="77777777" w:rsidR="00A9264E" w:rsidRPr="00E86C72" w:rsidRDefault="00A9264E" w:rsidP="008437D6">
            <w:pPr>
              <w:pStyle w:val="Tabletext1"/>
              <w:jc w:val="right"/>
            </w:pPr>
            <w:r w:rsidRPr="00D6502A">
              <w:t>163%</w:t>
            </w:r>
          </w:p>
        </w:tc>
      </w:tr>
      <w:tr w:rsidR="003C78E2" w:rsidRPr="00F70D40" w14:paraId="157AE800" w14:textId="77777777" w:rsidTr="003C78E2">
        <w:trPr>
          <w:trHeight w:val="300"/>
        </w:trPr>
        <w:tc>
          <w:tcPr>
            <w:tcW w:w="5000" w:type="pct"/>
            <w:gridSpan w:val="5"/>
            <w:tcBorders>
              <w:top w:val="single" w:sz="4" w:space="0" w:color="auto"/>
              <w:bottom w:val="single" w:sz="4" w:space="0" w:color="auto"/>
            </w:tcBorders>
            <w:noWrap/>
          </w:tcPr>
          <w:p w14:paraId="73441231" w14:textId="3CA00EB0" w:rsidR="003C78E2" w:rsidRPr="00F70D40" w:rsidRDefault="003C78E2" w:rsidP="00B52A4F">
            <w:pPr>
              <w:pStyle w:val="Tabletext1"/>
              <w:jc w:val="left"/>
            </w:pPr>
            <w:r>
              <w:t>Transition probabilities (base case: adjusted)</w:t>
            </w:r>
          </w:p>
        </w:tc>
      </w:tr>
      <w:tr w:rsidR="00A9264E" w:rsidRPr="00E86C72" w14:paraId="11DB399C" w14:textId="77777777" w:rsidTr="008437D6">
        <w:trPr>
          <w:trHeight w:val="300"/>
        </w:trPr>
        <w:tc>
          <w:tcPr>
            <w:tcW w:w="2670" w:type="pct"/>
            <w:tcBorders>
              <w:top w:val="nil"/>
              <w:bottom w:val="nil"/>
            </w:tcBorders>
            <w:noWrap/>
            <w:hideMark/>
          </w:tcPr>
          <w:p w14:paraId="272307C4" w14:textId="77777777" w:rsidR="00A9264E" w:rsidRPr="00E86C72" w:rsidRDefault="00A9264E" w:rsidP="008437D6">
            <w:pPr>
              <w:pStyle w:val="Tabletext1"/>
            </w:pPr>
            <w:r w:rsidRPr="00F70D40">
              <w:t>Transitions from infection health state, unadjusted</w:t>
            </w:r>
          </w:p>
        </w:tc>
        <w:tc>
          <w:tcPr>
            <w:tcW w:w="629" w:type="pct"/>
            <w:tcBorders>
              <w:top w:val="nil"/>
              <w:bottom w:val="nil"/>
            </w:tcBorders>
            <w:noWrap/>
            <w:hideMark/>
          </w:tcPr>
          <w:p w14:paraId="05EDB3C9" w14:textId="167ABAB1" w:rsidR="00A9264E" w:rsidRPr="00E86C72" w:rsidRDefault="00A9264E" w:rsidP="008437D6">
            <w:pPr>
              <w:pStyle w:val="Tabletext1"/>
              <w:jc w:val="right"/>
            </w:pPr>
            <w:r w:rsidRPr="00D6502A">
              <w:t>$45,309</w:t>
            </w:r>
          </w:p>
        </w:tc>
        <w:tc>
          <w:tcPr>
            <w:tcW w:w="629" w:type="pct"/>
            <w:tcBorders>
              <w:top w:val="nil"/>
              <w:bottom w:val="nil"/>
            </w:tcBorders>
            <w:noWrap/>
            <w:hideMark/>
          </w:tcPr>
          <w:p w14:paraId="0B16E7BC" w14:textId="77777777" w:rsidR="00A9264E" w:rsidRPr="00E86C72" w:rsidRDefault="00A9264E" w:rsidP="008437D6">
            <w:pPr>
              <w:pStyle w:val="Tabletext1"/>
              <w:jc w:val="right"/>
            </w:pPr>
            <w:r w:rsidRPr="00D6502A">
              <w:t>0.3087</w:t>
            </w:r>
          </w:p>
        </w:tc>
        <w:tc>
          <w:tcPr>
            <w:tcW w:w="629" w:type="pct"/>
            <w:tcBorders>
              <w:top w:val="nil"/>
              <w:bottom w:val="nil"/>
            </w:tcBorders>
            <w:noWrap/>
            <w:hideMark/>
          </w:tcPr>
          <w:p w14:paraId="08C4D63E" w14:textId="43B57F15" w:rsidR="00A9264E" w:rsidRPr="00E86C72" w:rsidRDefault="00A9264E" w:rsidP="008437D6">
            <w:pPr>
              <w:pStyle w:val="Tabletext1"/>
              <w:jc w:val="right"/>
            </w:pPr>
            <w:r w:rsidRPr="00D6502A">
              <w:t>$146,792</w:t>
            </w:r>
          </w:p>
        </w:tc>
        <w:tc>
          <w:tcPr>
            <w:tcW w:w="443" w:type="pct"/>
            <w:tcBorders>
              <w:top w:val="nil"/>
              <w:bottom w:val="nil"/>
            </w:tcBorders>
            <w:noWrap/>
            <w:hideMark/>
          </w:tcPr>
          <w:p w14:paraId="025BABD2" w14:textId="77777777" w:rsidR="00A9264E" w:rsidRPr="00E86C72" w:rsidRDefault="00A9264E" w:rsidP="008437D6">
            <w:pPr>
              <w:pStyle w:val="Tabletext1"/>
              <w:jc w:val="right"/>
            </w:pPr>
            <w:r w:rsidRPr="00D6502A">
              <w:t>47%</w:t>
            </w:r>
          </w:p>
        </w:tc>
      </w:tr>
      <w:tr w:rsidR="00A9264E" w:rsidRPr="00E86C72" w14:paraId="7822F84B" w14:textId="77777777" w:rsidTr="005F167A">
        <w:trPr>
          <w:trHeight w:val="300"/>
        </w:trPr>
        <w:tc>
          <w:tcPr>
            <w:tcW w:w="2670" w:type="pct"/>
            <w:tcBorders>
              <w:top w:val="nil"/>
              <w:bottom w:val="single" w:sz="4" w:space="0" w:color="auto"/>
            </w:tcBorders>
            <w:noWrap/>
          </w:tcPr>
          <w:p w14:paraId="223DD07F" w14:textId="77777777" w:rsidR="00A9264E" w:rsidRPr="00AD053E" w:rsidRDefault="00A9264E" w:rsidP="008437D6">
            <w:pPr>
              <w:pStyle w:val="Tabletext1"/>
            </w:pPr>
            <w:r>
              <w:t>Transitions from infection and bronchiectasis, unadjusted</w:t>
            </w:r>
          </w:p>
        </w:tc>
        <w:tc>
          <w:tcPr>
            <w:tcW w:w="629" w:type="pct"/>
            <w:tcBorders>
              <w:top w:val="nil"/>
              <w:bottom w:val="single" w:sz="4" w:space="0" w:color="auto"/>
            </w:tcBorders>
            <w:noWrap/>
          </w:tcPr>
          <w:p w14:paraId="387452CE" w14:textId="227D0116" w:rsidR="00A9264E" w:rsidRPr="00E86C72" w:rsidRDefault="00A9264E" w:rsidP="008437D6">
            <w:pPr>
              <w:pStyle w:val="Tabletext1"/>
              <w:jc w:val="right"/>
            </w:pPr>
            <w:r w:rsidRPr="00D6502A">
              <w:t>$29,927</w:t>
            </w:r>
          </w:p>
        </w:tc>
        <w:tc>
          <w:tcPr>
            <w:tcW w:w="629" w:type="pct"/>
            <w:tcBorders>
              <w:top w:val="nil"/>
              <w:bottom w:val="single" w:sz="4" w:space="0" w:color="auto"/>
            </w:tcBorders>
            <w:noWrap/>
          </w:tcPr>
          <w:p w14:paraId="61998B4A" w14:textId="77777777" w:rsidR="00A9264E" w:rsidRPr="00E86C72" w:rsidRDefault="00A9264E" w:rsidP="008437D6">
            <w:pPr>
              <w:pStyle w:val="Tabletext1"/>
              <w:jc w:val="right"/>
            </w:pPr>
            <w:r w:rsidRPr="00D6502A">
              <w:t>0.2335</w:t>
            </w:r>
          </w:p>
        </w:tc>
        <w:tc>
          <w:tcPr>
            <w:tcW w:w="629" w:type="pct"/>
            <w:tcBorders>
              <w:top w:val="nil"/>
              <w:bottom w:val="single" w:sz="4" w:space="0" w:color="auto"/>
            </w:tcBorders>
            <w:noWrap/>
          </w:tcPr>
          <w:p w14:paraId="5A8189A5" w14:textId="342BA887" w:rsidR="00A9264E" w:rsidRPr="00E86C72" w:rsidRDefault="00A9264E" w:rsidP="008437D6">
            <w:pPr>
              <w:pStyle w:val="Tabletext1"/>
              <w:jc w:val="right"/>
            </w:pPr>
            <w:r w:rsidRPr="00D6502A">
              <w:t>$128,154</w:t>
            </w:r>
          </w:p>
        </w:tc>
        <w:tc>
          <w:tcPr>
            <w:tcW w:w="443" w:type="pct"/>
            <w:tcBorders>
              <w:top w:val="nil"/>
              <w:bottom w:val="single" w:sz="4" w:space="0" w:color="auto"/>
            </w:tcBorders>
            <w:noWrap/>
          </w:tcPr>
          <w:p w14:paraId="368A7122" w14:textId="1D4B88C5" w:rsidR="00A9264E" w:rsidRPr="00944E02" w:rsidRDefault="00A9264E" w:rsidP="008437D6">
            <w:pPr>
              <w:pStyle w:val="Tabletext1"/>
              <w:jc w:val="right"/>
            </w:pPr>
            <w:r w:rsidRPr="00D6502A">
              <w:t>28%</w:t>
            </w:r>
          </w:p>
        </w:tc>
      </w:tr>
      <w:tr w:rsidR="003C78E2" w:rsidRPr="00E86C72" w14:paraId="4C297481" w14:textId="77777777" w:rsidTr="003C78E2">
        <w:trPr>
          <w:trHeight w:val="300"/>
        </w:trPr>
        <w:tc>
          <w:tcPr>
            <w:tcW w:w="5000" w:type="pct"/>
            <w:gridSpan w:val="5"/>
            <w:tcBorders>
              <w:bottom w:val="single" w:sz="4" w:space="0" w:color="auto"/>
            </w:tcBorders>
            <w:noWrap/>
            <w:hideMark/>
          </w:tcPr>
          <w:p w14:paraId="1D97306D" w14:textId="44937809" w:rsidR="003C78E2" w:rsidRPr="00E86C72" w:rsidRDefault="003C78E2" w:rsidP="00B52A4F">
            <w:pPr>
              <w:pStyle w:val="Tabletext1"/>
              <w:jc w:val="left"/>
            </w:pPr>
            <w:r w:rsidRPr="008301F2">
              <w:t xml:space="preserve">Cost of </w:t>
            </w:r>
            <w:r>
              <w:t>hospitalisation of</w:t>
            </w:r>
            <w:r w:rsidRPr="008301F2">
              <w:t xml:space="preserve"> serious infections (base case: $</w:t>
            </w:r>
            <w:r>
              <w:t>12,775</w:t>
            </w:r>
            <w:r w:rsidRPr="008301F2">
              <w:t>)</w:t>
            </w:r>
          </w:p>
        </w:tc>
      </w:tr>
      <w:tr w:rsidR="00A9264E" w:rsidRPr="00E86C72" w14:paraId="052C81AF" w14:textId="77777777" w:rsidTr="005F167A">
        <w:trPr>
          <w:trHeight w:val="300"/>
        </w:trPr>
        <w:tc>
          <w:tcPr>
            <w:tcW w:w="2670" w:type="pct"/>
            <w:tcBorders>
              <w:top w:val="nil"/>
              <w:bottom w:val="single" w:sz="4" w:space="0" w:color="auto"/>
            </w:tcBorders>
            <w:noWrap/>
            <w:hideMark/>
          </w:tcPr>
          <w:p w14:paraId="6D674776" w14:textId="1563C706" w:rsidR="00A9264E" w:rsidRPr="00E86C72" w:rsidRDefault="00A9264E" w:rsidP="008437D6">
            <w:pPr>
              <w:pStyle w:val="Tabletext1"/>
            </w:pPr>
            <w:r w:rsidRPr="00263E7E">
              <w:t>$52,961, based on AR-DRG R01A</w:t>
            </w:r>
          </w:p>
        </w:tc>
        <w:tc>
          <w:tcPr>
            <w:tcW w:w="629" w:type="pct"/>
            <w:tcBorders>
              <w:top w:val="nil"/>
              <w:bottom w:val="single" w:sz="4" w:space="0" w:color="auto"/>
            </w:tcBorders>
            <w:noWrap/>
            <w:hideMark/>
          </w:tcPr>
          <w:p w14:paraId="2E2D6876" w14:textId="01E9B802" w:rsidR="00A9264E" w:rsidRPr="00E86C72" w:rsidRDefault="00A9264E" w:rsidP="008437D6">
            <w:pPr>
              <w:pStyle w:val="Tabletext1"/>
              <w:jc w:val="right"/>
            </w:pPr>
            <w:r w:rsidRPr="00D6502A">
              <w:t>$19,349</w:t>
            </w:r>
          </w:p>
        </w:tc>
        <w:tc>
          <w:tcPr>
            <w:tcW w:w="629" w:type="pct"/>
            <w:tcBorders>
              <w:top w:val="nil"/>
              <w:bottom w:val="single" w:sz="4" w:space="0" w:color="auto"/>
            </w:tcBorders>
            <w:noWrap/>
            <w:hideMark/>
          </w:tcPr>
          <w:p w14:paraId="1F0D549B" w14:textId="77777777" w:rsidR="00A9264E" w:rsidRPr="00E86C72" w:rsidRDefault="00A9264E" w:rsidP="008437D6">
            <w:pPr>
              <w:pStyle w:val="Tabletext1"/>
              <w:jc w:val="right"/>
            </w:pPr>
            <w:r w:rsidRPr="00D6502A">
              <w:t>0.4109</w:t>
            </w:r>
          </w:p>
        </w:tc>
        <w:tc>
          <w:tcPr>
            <w:tcW w:w="629" w:type="pct"/>
            <w:tcBorders>
              <w:top w:val="nil"/>
              <w:bottom w:val="single" w:sz="4" w:space="0" w:color="auto"/>
            </w:tcBorders>
            <w:noWrap/>
            <w:hideMark/>
          </w:tcPr>
          <w:p w14:paraId="5D737AB3" w14:textId="78BE73CB" w:rsidR="00A9264E" w:rsidRPr="00E86C72" w:rsidRDefault="00A9264E" w:rsidP="008437D6">
            <w:pPr>
              <w:pStyle w:val="Tabletext1"/>
              <w:jc w:val="right"/>
            </w:pPr>
            <w:r w:rsidRPr="00D6502A">
              <w:t>$47,088</w:t>
            </w:r>
          </w:p>
        </w:tc>
        <w:tc>
          <w:tcPr>
            <w:tcW w:w="443" w:type="pct"/>
            <w:tcBorders>
              <w:top w:val="nil"/>
              <w:bottom w:val="single" w:sz="4" w:space="0" w:color="auto"/>
            </w:tcBorders>
            <w:noWrap/>
            <w:hideMark/>
          </w:tcPr>
          <w:p w14:paraId="32370E4E" w14:textId="64BB9368" w:rsidR="00A9264E" w:rsidRPr="00E86C72" w:rsidRDefault="00A9264E" w:rsidP="008437D6">
            <w:pPr>
              <w:pStyle w:val="Tabletext1"/>
              <w:jc w:val="right"/>
            </w:pPr>
            <w:r w:rsidRPr="00D6502A">
              <w:t>–53%</w:t>
            </w:r>
          </w:p>
        </w:tc>
      </w:tr>
    </w:tbl>
    <w:p w14:paraId="13901FD4" w14:textId="5BB8EAEB" w:rsidR="00911F85" w:rsidRPr="00183E4D" w:rsidRDefault="00A9264E" w:rsidP="00911F85">
      <w:pPr>
        <w:pStyle w:val="Tablenotes1"/>
      </w:pPr>
      <w:r>
        <w:t>ICER = incremental cost-effectiveness ratio; Ig = immunoglobulin; IRR = incidence rate ratio; QALY = quality-adjusted life year.</w:t>
      </w:r>
      <w:r w:rsidRPr="00AF32E4">
        <w:t xml:space="preserve"> </w:t>
      </w:r>
    </w:p>
    <w:p w14:paraId="7A560918" w14:textId="77777777" w:rsidR="00911F85" w:rsidRPr="00183E4D" w:rsidRDefault="00911F85" w:rsidP="00911F85">
      <w:pPr>
        <w:pStyle w:val="Heading3"/>
      </w:pPr>
      <w:bookmarkStart w:id="128" w:name="_Toc259437725"/>
      <w:bookmarkStart w:id="129" w:name="_Toc395200753"/>
      <w:bookmarkStart w:id="130" w:name="_Toc11854712"/>
      <w:bookmarkStart w:id="131" w:name="_Toc14431112"/>
      <w:bookmarkStart w:id="132" w:name="_Toc16856280"/>
      <w:r w:rsidRPr="00183E4D">
        <w:t>Estimated Extent of Use and Financial Im</w:t>
      </w:r>
      <w:bookmarkEnd w:id="128"/>
      <w:r w:rsidRPr="00183E4D">
        <w:t>plications</w:t>
      </w:r>
      <w:bookmarkEnd w:id="129"/>
      <w:bookmarkEnd w:id="130"/>
      <w:bookmarkEnd w:id="131"/>
      <w:bookmarkEnd w:id="132"/>
    </w:p>
    <w:p w14:paraId="23C40C0A" w14:textId="179BEC29" w:rsidR="00357DAB" w:rsidRDefault="00CD132E" w:rsidP="00911F85">
      <w:r w:rsidRPr="00CD132E">
        <w:t xml:space="preserve">A market-based approach has been used to estimate the financial implications of Ig in acquired hypogammaglobulinaemia, based on current utilisation of Ig products in patients with acquired hypogammaglobulinaemia. As data available on utilisation were only available for use under the Version 2 Criteria, the impact of transitioning to the Version 3 Criteria were not able to be captured in the analysis. </w:t>
      </w:r>
      <w:r w:rsidR="00357DAB">
        <w:t>T</w:t>
      </w:r>
      <w:r w:rsidRPr="00CD132E">
        <w:t>here is uncertainty as to whether trends observed in the past would continue to be observed</w:t>
      </w:r>
      <w:r w:rsidR="00357DAB">
        <w:t>.</w:t>
      </w:r>
    </w:p>
    <w:p w14:paraId="476CB420" w14:textId="3ABDA537" w:rsidR="00CD132E" w:rsidRDefault="00357DAB" w:rsidP="00911F85">
      <w:r w:rsidRPr="00357DAB">
        <w:lastRenderedPageBreak/>
        <w:t>It is also acknowledged that rapid technological development is occurring in this therapeutic area and this may also change clinical demand and Ig use in the future. For example</w:t>
      </w:r>
      <w:r>
        <w:t>,</w:t>
      </w:r>
      <w:r w:rsidRPr="00357DAB">
        <w:t xml:space="preserve"> demand may increase if patients using new therapies (such as monoclonal antibodies, CAR-T cell therapy and BTK inhibitors) live longer with suppressed immune systems.</w:t>
      </w:r>
    </w:p>
    <w:p w14:paraId="2F97BCE1" w14:textId="30471D3F" w:rsidR="00911F85" w:rsidRDefault="00911F85" w:rsidP="00911F85">
      <w:r>
        <w:t xml:space="preserve">The financial implications associated with funding Ig for acquired hypogammaglobulinaemia </w:t>
      </w:r>
      <w:r w:rsidRPr="005C061E">
        <w:t xml:space="preserve">are summarised in </w:t>
      </w:r>
      <w:r w:rsidRPr="00D27D8F">
        <w:fldChar w:fldCharType="begin"/>
      </w:r>
      <w:r w:rsidRPr="00D27D8F">
        <w:instrText xml:space="preserve"> REF _Ref395200110 \h  \* MERGEFORMAT </w:instrText>
      </w:r>
      <w:r w:rsidRPr="00D27D8F">
        <w:fldChar w:fldCharType="separate"/>
      </w:r>
      <w:r w:rsidR="00A7463B" w:rsidRPr="009F34B1">
        <w:t xml:space="preserve">Table </w:t>
      </w:r>
      <w:r w:rsidR="00A7463B">
        <w:rPr>
          <w:noProof/>
        </w:rPr>
        <w:t>9</w:t>
      </w:r>
      <w:r w:rsidRPr="00D27D8F">
        <w:fldChar w:fldCharType="end"/>
      </w:r>
      <w:r w:rsidRPr="005C061E">
        <w:t>.</w:t>
      </w:r>
    </w:p>
    <w:p w14:paraId="6B35D6C2" w14:textId="169BEC7E" w:rsidR="00911F85" w:rsidRPr="009F34B1" w:rsidRDefault="00911F85" w:rsidP="009F34B1">
      <w:pPr>
        <w:pStyle w:val="Caption"/>
      </w:pPr>
      <w:bookmarkStart w:id="133" w:name="_Ref395200110"/>
      <w:bookmarkStart w:id="134" w:name="_Toc393197779"/>
      <w:bookmarkStart w:id="135" w:name="_Toc393378192"/>
      <w:bookmarkStart w:id="136" w:name="_Toc14348840"/>
      <w:bookmarkStart w:id="137" w:name="_Toc14429552"/>
      <w:bookmarkStart w:id="138" w:name="_Toc16671607"/>
      <w:r w:rsidRPr="009F34B1">
        <w:t xml:space="preserve">Table </w:t>
      </w:r>
      <w:r w:rsidR="00F814DE">
        <w:rPr>
          <w:noProof/>
        </w:rPr>
        <w:fldChar w:fldCharType="begin"/>
      </w:r>
      <w:r w:rsidR="00F814DE">
        <w:rPr>
          <w:noProof/>
        </w:rPr>
        <w:instrText xml:space="preserve"> SEQ Table \* ARABIC </w:instrText>
      </w:r>
      <w:r w:rsidR="00F814DE">
        <w:rPr>
          <w:noProof/>
        </w:rPr>
        <w:fldChar w:fldCharType="separate"/>
      </w:r>
      <w:r w:rsidR="00A7463B">
        <w:rPr>
          <w:noProof/>
        </w:rPr>
        <w:t>9</w:t>
      </w:r>
      <w:r w:rsidR="00F814DE">
        <w:rPr>
          <w:noProof/>
        </w:rPr>
        <w:fldChar w:fldCharType="end"/>
      </w:r>
      <w:bookmarkEnd w:id="133"/>
      <w:bookmarkEnd w:id="134"/>
      <w:bookmarkEnd w:id="135"/>
      <w:r w:rsidR="006252C4">
        <w:tab/>
      </w:r>
      <w:r w:rsidR="006252C4">
        <w:tab/>
      </w:r>
      <w:r w:rsidRPr="009F34B1">
        <w:t>Net financial implications to government associated with Ig for acquired hypogammaglobulinaemia</w:t>
      </w:r>
      <w:bookmarkEnd w:id="136"/>
      <w:bookmarkEnd w:id="137"/>
      <w:bookmarkEnd w:id="138"/>
    </w:p>
    <w:tbl>
      <w:tblPr>
        <w:tblStyle w:val="TableGrid1"/>
        <w:tblW w:w="5131" w:type="pct"/>
        <w:tblLayout w:type="fixed"/>
        <w:tblLook w:val="04A0" w:firstRow="1" w:lastRow="0" w:firstColumn="1" w:lastColumn="0" w:noHBand="0" w:noVBand="1"/>
        <w:tblCaption w:val="Net financial implications to government associated with Ig for acquired hypogammaglobulinaemia"/>
      </w:tblPr>
      <w:tblGrid>
        <w:gridCol w:w="3048"/>
        <w:gridCol w:w="1288"/>
        <w:gridCol w:w="1288"/>
        <w:gridCol w:w="1288"/>
        <w:gridCol w:w="1288"/>
        <w:gridCol w:w="1284"/>
      </w:tblGrid>
      <w:tr w:rsidR="00911F85" w:rsidRPr="002C55F2" w14:paraId="5C8FD173" w14:textId="77777777" w:rsidTr="003C78E2">
        <w:trPr>
          <w:cnfStyle w:val="100000000000" w:firstRow="1" w:lastRow="0" w:firstColumn="0" w:lastColumn="0" w:oddVBand="0" w:evenVBand="0" w:oddHBand="0" w:evenHBand="0" w:firstRowFirstColumn="0" w:firstRowLastColumn="0" w:lastRowFirstColumn="0" w:lastRowLastColumn="0"/>
          <w:trHeight w:val="300"/>
          <w:tblHeader/>
        </w:trPr>
        <w:tc>
          <w:tcPr>
            <w:tcW w:w="1607" w:type="pct"/>
            <w:tcBorders>
              <w:bottom w:val="single" w:sz="4" w:space="0" w:color="auto"/>
            </w:tcBorders>
            <w:noWrap/>
          </w:tcPr>
          <w:p w14:paraId="0B7CB436" w14:textId="77777777" w:rsidR="00911F85" w:rsidRPr="002C55F2" w:rsidRDefault="00911F85" w:rsidP="008742A1">
            <w:pPr>
              <w:pStyle w:val="TableHeading"/>
              <w:jc w:val="center"/>
            </w:pPr>
          </w:p>
        </w:tc>
        <w:tc>
          <w:tcPr>
            <w:tcW w:w="679" w:type="pct"/>
            <w:tcBorders>
              <w:bottom w:val="single" w:sz="4" w:space="0" w:color="auto"/>
            </w:tcBorders>
            <w:noWrap/>
          </w:tcPr>
          <w:p w14:paraId="4A1A261A" w14:textId="77777777" w:rsidR="00911F85" w:rsidRPr="002C55F2" w:rsidRDefault="00911F85" w:rsidP="008742A1">
            <w:pPr>
              <w:pStyle w:val="TableHeading"/>
              <w:jc w:val="center"/>
            </w:pPr>
            <w:r w:rsidRPr="004B58C2">
              <w:t>2019-20</w:t>
            </w:r>
          </w:p>
        </w:tc>
        <w:tc>
          <w:tcPr>
            <w:tcW w:w="679" w:type="pct"/>
            <w:tcBorders>
              <w:bottom w:val="single" w:sz="4" w:space="0" w:color="auto"/>
            </w:tcBorders>
            <w:noWrap/>
          </w:tcPr>
          <w:p w14:paraId="68348CE8" w14:textId="77777777" w:rsidR="00911F85" w:rsidRPr="002C55F2" w:rsidRDefault="00911F85" w:rsidP="008742A1">
            <w:pPr>
              <w:pStyle w:val="TableHeading"/>
              <w:jc w:val="center"/>
            </w:pPr>
            <w:r w:rsidRPr="004B58C2">
              <w:t>2020-21</w:t>
            </w:r>
          </w:p>
        </w:tc>
        <w:tc>
          <w:tcPr>
            <w:tcW w:w="679" w:type="pct"/>
            <w:tcBorders>
              <w:bottom w:val="single" w:sz="4" w:space="0" w:color="auto"/>
            </w:tcBorders>
            <w:noWrap/>
          </w:tcPr>
          <w:p w14:paraId="430E9BD7" w14:textId="77777777" w:rsidR="00911F85" w:rsidRPr="002C55F2" w:rsidRDefault="00911F85" w:rsidP="008742A1">
            <w:pPr>
              <w:pStyle w:val="TableHeading"/>
              <w:jc w:val="center"/>
              <w:rPr>
                <w:rFonts w:ascii="Times New Roman" w:hAnsi="Times New Roman" w:cs="Times New Roman"/>
              </w:rPr>
            </w:pPr>
            <w:r w:rsidRPr="004B58C2">
              <w:t>2021-22</w:t>
            </w:r>
          </w:p>
        </w:tc>
        <w:tc>
          <w:tcPr>
            <w:tcW w:w="679" w:type="pct"/>
            <w:tcBorders>
              <w:bottom w:val="single" w:sz="4" w:space="0" w:color="auto"/>
            </w:tcBorders>
            <w:noWrap/>
          </w:tcPr>
          <w:p w14:paraId="227D4EBD" w14:textId="77777777" w:rsidR="00911F85" w:rsidRPr="002C55F2" w:rsidRDefault="00911F85" w:rsidP="008742A1">
            <w:pPr>
              <w:pStyle w:val="TableHeading"/>
              <w:jc w:val="center"/>
              <w:rPr>
                <w:rFonts w:ascii="Times New Roman" w:hAnsi="Times New Roman" w:cs="Times New Roman"/>
              </w:rPr>
            </w:pPr>
            <w:r w:rsidRPr="004B58C2">
              <w:t>2022-23</w:t>
            </w:r>
          </w:p>
        </w:tc>
        <w:tc>
          <w:tcPr>
            <w:tcW w:w="678" w:type="pct"/>
            <w:tcBorders>
              <w:bottom w:val="single" w:sz="4" w:space="0" w:color="auto"/>
            </w:tcBorders>
            <w:noWrap/>
          </w:tcPr>
          <w:p w14:paraId="3C427503" w14:textId="77777777" w:rsidR="00911F85" w:rsidRPr="002C55F2" w:rsidRDefault="00911F85" w:rsidP="008742A1">
            <w:pPr>
              <w:pStyle w:val="TableHeading"/>
              <w:jc w:val="center"/>
              <w:rPr>
                <w:rFonts w:ascii="Times New Roman" w:hAnsi="Times New Roman" w:cs="Times New Roman"/>
              </w:rPr>
            </w:pPr>
            <w:r w:rsidRPr="004B58C2">
              <w:t>2023-24</w:t>
            </w:r>
          </w:p>
        </w:tc>
      </w:tr>
      <w:tr w:rsidR="00911F85" w:rsidRPr="001B1EEE" w14:paraId="0BB6171A" w14:textId="77777777" w:rsidTr="003C78E2">
        <w:trPr>
          <w:trHeight w:val="300"/>
        </w:trPr>
        <w:tc>
          <w:tcPr>
            <w:tcW w:w="1607" w:type="pct"/>
            <w:tcBorders>
              <w:bottom w:val="nil"/>
            </w:tcBorders>
            <w:noWrap/>
          </w:tcPr>
          <w:p w14:paraId="14630F0F" w14:textId="77777777" w:rsidR="00911F85" w:rsidRPr="001B1EEE" w:rsidRDefault="00911F85" w:rsidP="008742A1">
            <w:pPr>
              <w:pStyle w:val="TableHeading"/>
              <w:jc w:val="left"/>
              <w:rPr>
                <w:b w:val="0"/>
              </w:rPr>
            </w:pPr>
            <w:r w:rsidRPr="001B1EEE">
              <w:rPr>
                <w:b w:val="0"/>
              </w:rPr>
              <w:t>Total cost of Ig</w:t>
            </w:r>
          </w:p>
        </w:tc>
        <w:tc>
          <w:tcPr>
            <w:tcW w:w="679" w:type="pct"/>
            <w:tcBorders>
              <w:bottom w:val="nil"/>
            </w:tcBorders>
            <w:noWrap/>
          </w:tcPr>
          <w:p w14:paraId="3745639A" w14:textId="77777777" w:rsidR="00911F85" w:rsidRPr="00072228" w:rsidRDefault="00911F85" w:rsidP="008742A1">
            <w:pPr>
              <w:pStyle w:val="TableHeading"/>
              <w:keepNext w:val="0"/>
              <w:jc w:val="right"/>
              <w:rPr>
                <w:b w:val="0"/>
              </w:rPr>
            </w:pPr>
            <w:r w:rsidRPr="00072228">
              <w:rPr>
                <w:b w:val="0"/>
              </w:rPr>
              <w:t>$98,136,389</w:t>
            </w:r>
          </w:p>
        </w:tc>
        <w:tc>
          <w:tcPr>
            <w:tcW w:w="679" w:type="pct"/>
            <w:tcBorders>
              <w:bottom w:val="nil"/>
            </w:tcBorders>
            <w:noWrap/>
          </w:tcPr>
          <w:p w14:paraId="7C0AEAC6" w14:textId="77777777" w:rsidR="00911F85" w:rsidRPr="00072228" w:rsidRDefault="00911F85" w:rsidP="008742A1">
            <w:pPr>
              <w:pStyle w:val="TableHeading"/>
              <w:keepNext w:val="0"/>
              <w:jc w:val="right"/>
              <w:rPr>
                <w:b w:val="0"/>
              </w:rPr>
            </w:pPr>
            <w:r w:rsidRPr="00072228">
              <w:rPr>
                <w:b w:val="0"/>
              </w:rPr>
              <w:t>$105,651,248</w:t>
            </w:r>
          </w:p>
        </w:tc>
        <w:tc>
          <w:tcPr>
            <w:tcW w:w="679" w:type="pct"/>
            <w:tcBorders>
              <w:bottom w:val="nil"/>
            </w:tcBorders>
            <w:noWrap/>
          </w:tcPr>
          <w:p w14:paraId="49DDBA58" w14:textId="77777777" w:rsidR="00911F85" w:rsidRPr="00072228" w:rsidRDefault="00911F85" w:rsidP="008742A1">
            <w:pPr>
              <w:pStyle w:val="TableHeading"/>
              <w:keepNext w:val="0"/>
              <w:jc w:val="right"/>
              <w:rPr>
                <w:b w:val="0"/>
              </w:rPr>
            </w:pPr>
            <w:r w:rsidRPr="00072228">
              <w:rPr>
                <w:b w:val="0"/>
              </w:rPr>
              <w:t>$113,166,107</w:t>
            </w:r>
          </w:p>
        </w:tc>
        <w:tc>
          <w:tcPr>
            <w:tcW w:w="679" w:type="pct"/>
            <w:tcBorders>
              <w:bottom w:val="nil"/>
            </w:tcBorders>
            <w:noWrap/>
          </w:tcPr>
          <w:p w14:paraId="5A42AB18" w14:textId="77777777" w:rsidR="00911F85" w:rsidRPr="00072228" w:rsidRDefault="00911F85" w:rsidP="008742A1">
            <w:pPr>
              <w:pStyle w:val="TableHeading"/>
              <w:keepNext w:val="0"/>
              <w:jc w:val="right"/>
              <w:rPr>
                <w:b w:val="0"/>
              </w:rPr>
            </w:pPr>
            <w:r w:rsidRPr="00072228">
              <w:rPr>
                <w:b w:val="0"/>
              </w:rPr>
              <w:t>$120,680,966</w:t>
            </w:r>
          </w:p>
        </w:tc>
        <w:tc>
          <w:tcPr>
            <w:tcW w:w="678" w:type="pct"/>
            <w:tcBorders>
              <w:bottom w:val="nil"/>
            </w:tcBorders>
            <w:noWrap/>
          </w:tcPr>
          <w:p w14:paraId="4AAA8B7D" w14:textId="77777777" w:rsidR="00911F85" w:rsidRPr="00072228" w:rsidRDefault="00911F85" w:rsidP="008742A1">
            <w:pPr>
              <w:pStyle w:val="TableHeading"/>
              <w:keepNext w:val="0"/>
              <w:jc w:val="right"/>
              <w:rPr>
                <w:b w:val="0"/>
              </w:rPr>
            </w:pPr>
            <w:r w:rsidRPr="00072228">
              <w:rPr>
                <w:b w:val="0"/>
              </w:rPr>
              <w:t>$128,195,825</w:t>
            </w:r>
          </w:p>
        </w:tc>
      </w:tr>
      <w:tr w:rsidR="00911F85" w:rsidRPr="001B1EEE" w14:paraId="72B9AB9F" w14:textId="77777777" w:rsidTr="003C78E2">
        <w:trPr>
          <w:trHeight w:val="300"/>
        </w:trPr>
        <w:tc>
          <w:tcPr>
            <w:tcW w:w="1607" w:type="pct"/>
            <w:tcBorders>
              <w:top w:val="nil"/>
              <w:bottom w:val="nil"/>
            </w:tcBorders>
            <w:noWrap/>
          </w:tcPr>
          <w:p w14:paraId="63A0E801" w14:textId="77777777" w:rsidR="00911F85" w:rsidRPr="001B1EEE" w:rsidRDefault="00911F85" w:rsidP="008742A1">
            <w:pPr>
              <w:pStyle w:val="TableHeading"/>
              <w:jc w:val="left"/>
              <w:rPr>
                <w:b w:val="0"/>
              </w:rPr>
            </w:pPr>
            <w:r w:rsidRPr="001B1EEE">
              <w:rPr>
                <w:b w:val="0"/>
              </w:rPr>
              <w:t>Cost of Ig to the Commonwealth</w:t>
            </w:r>
          </w:p>
        </w:tc>
        <w:tc>
          <w:tcPr>
            <w:tcW w:w="679" w:type="pct"/>
            <w:tcBorders>
              <w:top w:val="nil"/>
              <w:bottom w:val="nil"/>
            </w:tcBorders>
            <w:noWrap/>
          </w:tcPr>
          <w:p w14:paraId="2EF16AF8" w14:textId="77777777" w:rsidR="00911F85" w:rsidRPr="00072228" w:rsidRDefault="00911F85" w:rsidP="008742A1">
            <w:pPr>
              <w:pStyle w:val="TableHeading"/>
              <w:keepNext w:val="0"/>
              <w:jc w:val="right"/>
              <w:rPr>
                <w:b w:val="0"/>
              </w:rPr>
            </w:pPr>
            <w:r w:rsidRPr="00072228">
              <w:rPr>
                <w:b w:val="0"/>
              </w:rPr>
              <w:t>$61,825,925</w:t>
            </w:r>
          </w:p>
        </w:tc>
        <w:tc>
          <w:tcPr>
            <w:tcW w:w="679" w:type="pct"/>
            <w:tcBorders>
              <w:top w:val="nil"/>
              <w:bottom w:val="nil"/>
            </w:tcBorders>
            <w:noWrap/>
          </w:tcPr>
          <w:p w14:paraId="7EA1888D" w14:textId="77777777" w:rsidR="00911F85" w:rsidRPr="00072228" w:rsidRDefault="00911F85" w:rsidP="008742A1">
            <w:pPr>
              <w:pStyle w:val="TableHeading"/>
              <w:keepNext w:val="0"/>
              <w:jc w:val="right"/>
              <w:rPr>
                <w:b w:val="0"/>
              </w:rPr>
            </w:pPr>
            <w:r w:rsidRPr="00072228">
              <w:rPr>
                <w:b w:val="0"/>
              </w:rPr>
              <w:t>$66,560,286</w:t>
            </w:r>
          </w:p>
        </w:tc>
        <w:tc>
          <w:tcPr>
            <w:tcW w:w="679" w:type="pct"/>
            <w:tcBorders>
              <w:top w:val="nil"/>
              <w:bottom w:val="nil"/>
            </w:tcBorders>
            <w:noWrap/>
          </w:tcPr>
          <w:p w14:paraId="16008EF9" w14:textId="77777777" w:rsidR="00911F85" w:rsidRPr="00072228" w:rsidRDefault="00911F85" w:rsidP="008742A1">
            <w:pPr>
              <w:pStyle w:val="TableHeading"/>
              <w:keepNext w:val="0"/>
              <w:jc w:val="right"/>
              <w:rPr>
                <w:b w:val="0"/>
              </w:rPr>
            </w:pPr>
            <w:r w:rsidRPr="00072228">
              <w:rPr>
                <w:b w:val="0"/>
              </w:rPr>
              <w:t>$71,294,647</w:t>
            </w:r>
          </w:p>
        </w:tc>
        <w:tc>
          <w:tcPr>
            <w:tcW w:w="679" w:type="pct"/>
            <w:tcBorders>
              <w:top w:val="nil"/>
              <w:bottom w:val="nil"/>
            </w:tcBorders>
            <w:noWrap/>
          </w:tcPr>
          <w:p w14:paraId="2E79A2C7" w14:textId="77777777" w:rsidR="00911F85" w:rsidRPr="00072228" w:rsidRDefault="00911F85" w:rsidP="008742A1">
            <w:pPr>
              <w:pStyle w:val="TableHeading"/>
              <w:keepNext w:val="0"/>
              <w:jc w:val="right"/>
              <w:rPr>
                <w:b w:val="0"/>
              </w:rPr>
            </w:pPr>
            <w:r w:rsidRPr="00072228">
              <w:rPr>
                <w:b w:val="0"/>
              </w:rPr>
              <w:t>$76,029,008</w:t>
            </w:r>
          </w:p>
        </w:tc>
        <w:tc>
          <w:tcPr>
            <w:tcW w:w="678" w:type="pct"/>
            <w:tcBorders>
              <w:top w:val="nil"/>
              <w:bottom w:val="nil"/>
            </w:tcBorders>
            <w:noWrap/>
          </w:tcPr>
          <w:p w14:paraId="0B66683D" w14:textId="77777777" w:rsidR="00911F85" w:rsidRPr="00072228" w:rsidRDefault="00911F85" w:rsidP="008742A1">
            <w:pPr>
              <w:pStyle w:val="TableHeading"/>
              <w:keepNext w:val="0"/>
              <w:jc w:val="right"/>
              <w:rPr>
                <w:b w:val="0"/>
              </w:rPr>
            </w:pPr>
            <w:r w:rsidRPr="00072228">
              <w:rPr>
                <w:b w:val="0"/>
              </w:rPr>
              <w:t>$80,763,370</w:t>
            </w:r>
          </w:p>
        </w:tc>
      </w:tr>
      <w:tr w:rsidR="00911F85" w:rsidRPr="001B1EEE" w14:paraId="72862C49" w14:textId="77777777" w:rsidTr="003C78E2">
        <w:trPr>
          <w:trHeight w:val="300"/>
        </w:trPr>
        <w:tc>
          <w:tcPr>
            <w:tcW w:w="1607" w:type="pct"/>
            <w:tcBorders>
              <w:top w:val="nil"/>
              <w:bottom w:val="single" w:sz="4" w:space="0" w:color="auto"/>
            </w:tcBorders>
            <w:noWrap/>
          </w:tcPr>
          <w:p w14:paraId="57F9ED32" w14:textId="77777777" w:rsidR="00911F85" w:rsidRPr="001B1EEE" w:rsidRDefault="00911F85" w:rsidP="008742A1">
            <w:pPr>
              <w:pStyle w:val="TableHeading"/>
              <w:keepNext w:val="0"/>
              <w:jc w:val="left"/>
              <w:rPr>
                <w:b w:val="0"/>
              </w:rPr>
            </w:pPr>
            <w:r w:rsidRPr="001B1EEE">
              <w:rPr>
                <w:b w:val="0"/>
              </w:rPr>
              <w:t>Cost of Ig to the States</w:t>
            </w:r>
          </w:p>
        </w:tc>
        <w:tc>
          <w:tcPr>
            <w:tcW w:w="679" w:type="pct"/>
            <w:tcBorders>
              <w:top w:val="nil"/>
              <w:bottom w:val="single" w:sz="4" w:space="0" w:color="auto"/>
            </w:tcBorders>
            <w:noWrap/>
          </w:tcPr>
          <w:p w14:paraId="2A0D6983" w14:textId="77777777" w:rsidR="00911F85" w:rsidRPr="00072228" w:rsidRDefault="00911F85" w:rsidP="008742A1">
            <w:pPr>
              <w:pStyle w:val="TableHeading"/>
              <w:keepNext w:val="0"/>
              <w:jc w:val="right"/>
              <w:rPr>
                <w:b w:val="0"/>
              </w:rPr>
            </w:pPr>
            <w:r w:rsidRPr="00072228">
              <w:rPr>
                <w:b w:val="0"/>
              </w:rPr>
              <w:t>$36,310,464</w:t>
            </w:r>
          </w:p>
        </w:tc>
        <w:tc>
          <w:tcPr>
            <w:tcW w:w="679" w:type="pct"/>
            <w:tcBorders>
              <w:top w:val="nil"/>
              <w:bottom w:val="single" w:sz="4" w:space="0" w:color="auto"/>
            </w:tcBorders>
            <w:noWrap/>
          </w:tcPr>
          <w:p w14:paraId="5F9591F7" w14:textId="77777777" w:rsidR="00911F85" w:rsidRPr="00072228" w:rsidRDefault="00911F85" w:rsidP="008742A1">
            <w:pPr>
              <w:pStyle w:val="TableHeading"/>
              <w:keepNext w:val="0"/>
              <w:jc w:val="right"/>
              <w:rPr>
                <w:b w:val="0"/>
              </w:rPr>
            </w:pPr>
            <w:r w:rsidRPr="00072228">
              <w:rPr>
                <w:b w:val="0"/>
              </w:rPr>
              <w:t>$39,090,962</w:t>
            </w:r>
          </w:p>
        </w:tc>
        <w:tc>
          <w:tcPr>
            <w:tcW w:w="679" w:type="pct"/>
            <w:tcBorders>
              <w:top w:val="nil"/>
              <w:bottom w:val="single" w:sz="4" w:space="0" w:color="auto"/>
            </w:tcBorders>
            <w:noWrap/>
          </w:tcPr>
          <w:p w14:paraId="080DA699" w14:textId="77777777" w:rsidR="00911F85" w:rsidRPr="00072228" w:rsidRDefault="00911F85" w:rsidP="008742A1">
            <w:pPr>
              <w:pStyle w:val="TableHeading"/>
              <w:keepNext w:val="0"/>
              <w:jc w:val="right"/>
              <w:rPr>
                <w:b w:val="0"/>
              </w:rPr>
            </w:pPr>
            <w:r w:rsidRPr="00072228">
              <w:rPr>
                <w:b w:val="0"/>
              </w:rPr>
              <w:t>$41,871,460</w:t>
            </w:r>
          </w:p>
        </w:tc>
        <w:tc>
          <w:tcPr>
            <w:tcW w:w="679" w:type="pct"/>
            <w:tcBorders>
              <w:top w:val="nil"/>
              <w:bottom w:val="single" w:sz="4" w:space="0" w:color="auto"/>
            </w:tcBorders>
            <w:noWrap/>
          </w:tcPr>
          <w:p w14:paraId="0EBCE459" w14:textId="77777777" w:rsidR="00911F85" w:rsidRPr="00072228" w:rsidRDefault="00911F85" w:rsidP="008742A1">
            <w:pPr>
              <w:pStyle w:val="TableHeading"/>
              <w:keepNext w:val="0"/>
              <w:jc w:val="right"/>
              <w:rPr>
                <w:b w:val="0"/>
              </w:rPr>
            </w:pPr>
            <w:r w:rsidRPr="00072228">
              <w:rPr>
                <w:b w:val="0"/>
              </w:rPr>
              <w:t>$44,651,957</w:t>
            </w:r>
          </w:p>
        </w:tc>
        <w:tc>
          <w:tcPr>
            <w:tcW w:w="678" w:type="pct"/>
            <w:tcBorders>
              <w:top w:val="nil"/>
              <w:bottom w:val="single" w:sz="4" w:space="0" w:color="auto"/>
            </w:tcBorders>
            <w:noWrap/>
          </w:tcPr>
          <w:p w14:paraId="7F90D69C" w14:textId="77777777" w:rsidR="00911F85" w:rsidRPr="00072228" w:rsidRDefault="00911F85" w:rsidP="008742A1">
            <w:pPr>
              <w:pStyle w:val="TableHeading"/>
              <w:keepNext w:val="0"/>
              <w:jc w:val="right"/>
              <w:rPr>
                <w:b w:val="0"/>
              </w:rPr>
            </w:pPr>
            <w:r w:rsidRPr="00072228">
              <w:rPr>
                <w:b w:val="0"/>
              </w:rPr>
              <w:t>$47,432,455</w:t>
            </w:r>
          </w:p>
        </w:tc>
      </w:tr>
      <w:tr w:rsidR="00911F85" w:rsidRPr="001B1EEE" w14:paraId="1B46CC12" w14:textId="77777777" w:rsidTr="003C78E2">
        <w:trPr>
          <w:trHeight w:val="300"/>
        </w:trPr>
        <w:tc>
          <w:tcPr>
            <w:tcW w:w="1607" w:type="pct"/>
            <w:tcBorders>
              <w:top w:val="nil"/>
              <w:bottom w:val="single" w:sz="4" w:space="0" w:color="auto"/>
            </w:tcBorders>
            <w:noWrap/>
          </w:tcPr>
          <w:p w14:paraId="205DD20D" w14:textId="77777777" w:rsidR="00911F85" w:rsidRPr="001B1EEE" w:rsidRDefault="00911F85" w:rsidP="008742A1">
            <w:pPr>
              <w:pStyle w:val="TableHeading"/>
              <w:keepNext w:val="0"/>
              <w:jc w:val="left"/>
              <w:rPr>
                <w:b w:val="0"/>
              </w:rPr>
            </w:pPr>
            <w:r w:rsidRPr="00680DD5">
              <w:rPr>
                <w:b w:val="0"/>
              </w:rPr>
              <w:t>Cost of Ig administration to the States</w:t>
            </w:r>
          </w:p>
        </w:tc>
        <w:tc>
          <w:tcPr>
            <w:tcW w:w="679" w:type="pct"/>
            <w:tcBorders>
              <w:top w:val="nil"/>
              <w:bottom w:val="single" w:sz="4" w:space="0" w:color="auto"/>
            </w:tcBorders>
            <w:noWrap/>
          </w:tcPr>
          <w:p w14:paraId="4A4FF4FE" w14:textId="77777777" w:rsidR="00911F85" w:rsidRPr="00072228" w:rsidRDefault="00911F85" w:rsidP="008742A1">
            <w:pPr>
              <w:pStyle w:val="TableHeading"/>
              <w:keepNext w:val="0"/>
              <w:jc w:val="right"/>
              <w:rPr>
                <w:b w:val="0"/>
              </w:rPr>
            </w:pPr>
            <w:r w:rsidRPr="00072228">
              <w:rPr>
                <w:b w:val="0"/>
              </w:rPr>
              <w:t>$15,427,172</w:t>
            </w:r>
          </w:p>
        </w:tc>
        <w:tc>
          <w:tcPr>
            <w:tcW w:w="679" w:type="pct"/>
            <w:tcBorders>
              <w:top w:val="nil"/>
              <w:bottom w:val="single" w:sz="4" w:space="0" w:color="auto"/>
            </w:tcBorders>
            <w:noWrap/>
          </w:tcPr>
          <w:p w14:paraId="78769DEB" w14:textId="77777777" w:rsidR="00911F85" w:rsidRPr="00072228" w:rsidRDefault="00911F85" w:rsidP="008742A1">
            <w:pPr>
              <w:pStyle w:val="TableHeading"/>
              <w:keepNext w:val="0"/>
              <w:jc w:val="right"/>
              <w:rPr>
                <w:b w:val="0"/>
              </w:rPr>
            </w:pPr>
            <w:r w:rsidRPr="00072228">
              <w:rPr>
                <w:b w:val="0"/>
              </w:rPr>
              <w:t>$16,394,813</w:t>
            </w:r>
          </w:p>
        </w:tc>
        <w:tc>
          <w:tcPr>
            <w:tcW w:w="679" w:type="pct"/>
            <w:tcBorders>
              <w:top w:val="nil"/>
              <w:bottom w:val="single" w:sz="4" w:space="0" w:color="auto"/>
            </w:tcBorders>
            <w:noWrap/>
          </w:tcPr>
          <w:p w14:paraId="799544EB" w14:textId="77777777" w:rsidR="00911F85" w:rsidRPr="00072228" w:rsidRDefault="00911F85" w:rsidP="008742A1">
            <w:pPr>
              <w:pStyle w:val="TableHeading"/>
              <w:keepNext w:val="0"/>
              <w:jc w:val="right"/>
              <w:rPr>
                <w:b w:val="0"/>
              </w:rPr>
            </w:pPr>
            <w:r w:rsidRPr="00072228">
              <w:rPr>
                <w:b w:val="0"/>
              </w:rPr>
              <w:t>$17,362,453</w:t>
            </w:r>
          </w:p>
        </w:tc>
        <w:tc>
          <w:tcPr>
            <w:tcW w:w="679" w:type="pct"/>
            <w:tcBorders>
              <w:top w:val="nil"/>
              <w:bottom w:val="single" w:sz="4" w:space="0" w:color="auto"/>
            </w:tcBorders>
            <w:noWrap/>
          </w:tcPr>
          <w:p w14:paraId="6E81D1A5" w14:textId="77777777" w:rsidR="00911F85" w:rsidRPr="00072228" w:rsidRDefault="00911F85" w:rsidP="008742A1">
            <w:pPr>
              <w:pStyle w:val="TableHeading"/>
              <w:keepNext w:val="0"/>
              <w:jc w:val="right"/>
              <w:rPr>
                <w:b w:val="0"/>
              </w:rPr>
            </w:pPr>
            <w:r w:rsidRPr="00072228">
              <w:rPr>
                <w:b w:val="0"/>
              </w:rPr>
              <w:t>$18,330,093</w:t>
            </w:r>
          </w:p>
        </w:tc>
        <w:tc>
          <w:tcPr>
            <w:tcW w:w="678" w:type="pct"/>
            <w:tcBorders>
              <w:top w:val="nil"/>
              <w:bottom w:val="single" w:sz="4" w:space="0" w:color="auto"/>
            </w:tcBorders>
            <w:noWrap/>
          </w:tcPr>
          <w:p w14:paraId="0554A4E6" w14:textId="77777777" w:rsidR="00911F85" w:rsidRPr="00072228" w:rsidRDefault="00911F85" w:rsidP="008742A1">
            <w:pPr>
              <w:pStyle w:val="TableHeading"/>
              <w:keepNext w:val="0"/>
              <w:jc w:val="right"/>
              <w:rPr>
                <w:b w:val="0"/>
              </w:rPr>
            </w:pPr>
            <w:r w:rsidRPr="00072228">
              <w:rPr>
                <w:b w:val="0"/>
              </w:rPr>
              <w:t>$19,297,734</w:t>
            </w:r>
          </w:p>
        </w:tc>
      </w:tr>
      <w:tr w:rsidR="00911F85" w:rsidRPr="001B1EEE" w14:paraId="3C58F0B0" w14:textId="77777777" w:rsidTr="003C78E2">
        <w:trPr>
          <w:trHeight w:val="300"/>
        </w:trPr>
        <w:tc>
          <w:tcPr>
            <w:tcW w:w="1607" w:type="pct"/>
            <w:tcBorders>
              <w:bottom w:val="nil"/>
            </w:tcBorders>
            <w:noWrap/>
          </w:tcPr>
          <w:p w14:paraId="060F9114" w14:textId="77777777" w:rsidR="00911F85" w:rsidRPr="001B1EEE" w:rsidRDefault="00911F85" w:rsidP="008742A1">
            <w:pPr>
              <w:pStyle w:val="TableHeading"/>
              <w:jc w:val="left"/>
              <w:rPr>
                <w:b w:val="0"/>
              </w:rPr>
            </w:pPr>
            <w:r w:rsidRPr="001B1EEE">
              <w:rPr>
                <w:b w:val="0"/>
              </w:rPr>
              <w:t>Total cost offsets due to a reduction in the number of infections</w:t>
            </w:r>
          </w:p>
        </w:tc>
        <w:tc>
          <w:tcPr>
            <w:tcW w:w="679" w:type="pct"/>
            <w:tcBorders>
              <w:bottom w:val="nil"/>
            </w:tcBorders>
            <w:noWrap/>
          </w:tcPr>
          <w:p w14:paraId="1E3D6B22" w14:textId="77777777" w:rsidR="00911F85" w:rsidRPr="00072228" w:rsidRDefault="00911F85" w:rsidP="008742A1">
            <w:pPr>
              <w:pStyle w:val="TableHeading"/>
              <w:keepNext w:val="0"/>
              <w:jc w:val="right"/>
              <w:rPr>
                <w:b w:val="0"/>
              </w:rPr>
            </w:pPr>
            <w:r w:rsidRPr="00072228">
              <w:rPr>
                <w:b w:val="0"/>
              </w:rPr>
              <w:t>–$18,180,716</w:t>
            </w:r>
          </w:p>
        </w:tc>
        <w:tc>
          <w:tcPr>
            <w:tcW w:w="679" w:type="pct"/>
            <w:tcBorders>
              <w:bottom w:val="nil"/>
            </w:tcBorders>
            <w:noWrap/>
          </w:tcPr>
          <w:p w14:paraId="3543BA0A" w14:textId="77777777" w:rsidR="00911F85" w:rsidRPr="00072228" w:rsidRDefault="00911F85" w:rsidP="008742A1">
            <w:pPr>
              <w:pStyle w:val="TableHeading"/>
              <w:keepNext w:val="0"/>
              <w:jc w:val="right"/>
              <w:rPr>
                <w:b w:val="0"/>
              </w:rPr>
            </w:pPr>
            <w:r w:rsidRPr="00072228">
              <w:rPr>
                <w:b w:val="0"/>
              </w:rPr>
              <w:t>–$19,320,253</w:t>
            </w:r>
          </w:p>
        </w:tc>
        <w:tc>
          <w:tcPr>
            <w:tcW w:w="679" w:type="pct"/>
            <w:tcBorders>
              <w:bottom w:val="nil"/>
            </w:tcBorders>
            <w:noWrap/>
          </w:tcPr>
          <w:p w14:paraId="0244DE70" w14:textId="77777777" w:rsidR="00911F85" w:rsidRPr="00072228" w:rsidRDefault="00911F85" w:rsidP="008742A1">
            <w:pPr>
              <w:pStyle w:val="TableHeading"/>
              <w:keepNext w:val="0"/>
              <w:jc w:val="right"/>
              <w:rPr>
                <w:b w:val="0"/>
              </w:rPr>
            </w:pPr>
            <w:r w:rsidRPr="00072228">
              <w:rPr>
                <w:b w:val="0"/>
              </w:rPr>
              <w:t>–$20,459,790</w:t>
            </w:r>
          </w:p>
        </w:tc>
        <w:tc>
          <w:tcPr>
            <w:tcW w:w="679" w:type="pct"/>
            <w:tcBorders>
              <w:bottom w:val="nil"/>
            </w:tcBorders>
            <w:noWrap/>
          </w:tcPr>
          <w:p w14:paraId="27162922" w14:textId="77777777" w:rsidR="00911F85" w:rsidRPr="00072228" w:rsidRDefault="00911F85" w:rsidP="008742A1">
            <w:pPr>
              <w:pStyle w:val="TableHeading"/>
              <w:keepNext w:val="0"/>
              <w:jc w:val="right"/>
              <w:rPr>
                <w:b w:val="0"/>
              </w:rPr>
            </w:pPr>
            <w:r w:rsidRPr="00072228">
              <w:rPr>
                <w:b w:val="0"/>
              </w:rPr>
              <w:t>–$21,599,328</w:t>
            </w:r>
          </w:p>
        </w:tc>
        <w:tc>
          <w:tcPr>
            <w:tcW w:w="678" w:type="pct"/>
            <w:tcBorders>
              <w:bottom w:val="nil"/>
            </w:tcBorders>
            <w:noWrap/>
          </w:tcPr>
          <w:p w14:paraId="1834CAE8" w14:textId="77777777" w:rsidR="00911F85" w:rsidRPr="00072228" w:rsidRDefault="00911F85" w:rsidP="008742A1">
            <w:pPr>
              <w:pStyle w:val="TableHeading"/>
              <w:keepNext w:val="0"/>
              <w:jc w:val="right"/>
              <w:rPr>
                <w:b w:val="0"/>
              </w:rPr>
            </w:pPr>
            <w:r w:rsidRPr="00072228">
              <w:rPr>
                <w:b w:val="0"/>
              </w:rPr>
              <w:t>–$22,738,865</w:t>
            </w:r>
          </w:p>
        </w:tc>
      </w:tr>
      <w:tr w:rsidR="00911F85" w:rsidRPr="001B1EEE" w14:paraId="527004AE" w14:textId="77777777" w:rsidTr="003C78E2">
        <w:trPr>
          <w:trHeight w:val="300"/>
        </w:trPr>
        <w:tc>
          <w:tcPr>
            <w:tcW w:w="1607" w:type="pct"/>
            <w:tcBorders>
              <w:top w:val="nil"/>
              <w:bottom w:val="nil"/>
            </w:tcBorders>
            <w:noWrap/>
          </w:tcPr>
          <w:p w14:paraId="3B165193" w14:textId="77777777" w:rsidR="00911F85" w:rsidRPr="001B1EEE" w:rsidRDefault="00911F85" w:rsidP="008742A1">
            <w:pPr>
              <w:pStyle w:val="TableHeading"/>
              <w:jc w:val="left"/>
              <w:rPr>
                <w:b w:val="0"/>
              </w:rPr>
            </w:pPr>
            <w:r w:rsidRPr="001B1EEE">
              <w:rPr>
                <w:b w:val="0"/>
              </w:rPr>
              <w:t>Offsets to the Commonwealth</w:t>
            </w:r>
          </w:p>
        </w:tc>
        <w:tc>
          <w:tcPr>
            <w:tcW w:w="679" w:type="pct"/>
            <w:tcBorders>
              <w:top w:val="nil"/>
              <w:bottom w:val="nil"/>
            </w:tcBorders>
            <w:noWrap/>
          </w:tcPr>
          <w:p w14:paraId="624452BC" w14:textId="77777777" w:rsidR="00911F85" w:rsidRPr="00072228" w:rsidRDefault="00911F85" w:rsidP="008742A1">
            <w:pPr>
              <w:pStyle w:val="TableHeading"/>
              <w:keepNext w:val="0"/>
              <w:jc w:val="right"/>
              <w:rPr>
                <w:b w:val="0"/>
              </w:rPr>
            </w:pPr>
            <w:r w:rsidRPr="00072228">
              <w:rPr>
                <w:b w:val="0"/>
              </w:rPr>
              <w:t>–$671,936</w:t>
            </w:r>
          </w:p>
        </w:tc>
        <w:tc>
          <w:tcPr>
            <w:tcW w:w="679" w:type="pct"/>
            <w:tcBorders>
              <w:top w:val="nil"/>
              <w:bottom w:val="nil"/>
            </w:tcBorders>
            <w:noWrap/>
          </w:tcPr>
          <w:p w14:paraId="7226EA6F" w14:textId="77777777" w:rsidR="00911F85" w:rsidRPr="00072228" w:rsidRDefault="00911F85" w:rsidP="008742A1">
            <w:pPr>
              <w:pStyle w:val="TableHeading"/>
              <w:keepNext w:val="0"/>
              <w:jc w:val="right"/>
              <w:rPr>
                <w:b w:val="0"/>
              </w:rPr>
            </w:pPr>
            <w:r w:rsidRPr="00072228">
              <w:rPr>
                <w:b w:val="0"/>
              </w:rPr>
              <w:t>–$714,051</w:t>
            </w:r>
          </w:p>
        </w:tc>
        <w:tc>
          <w:tcPr>
            <w:tcW w:w="679" w:type="pct"/>
            <w:tcBorders>
              <w:top w:val="nil"/>
              <w:bottom w:val="nil"/>
            </w:tcBorders>
            <w:noWrap/>
          </w:tcPr>
          <w:p w14:paraId="59FC92FE" w14:textId="77777777" w:rsidR="00911F85" w:rsidRPr="00072228" w:rsidRDefault="00911F85" w:rsidP="008742A1">
            <w:pPr>
              <w:pStyle w:val="TableHeading"/>
              <w:keepNext w:val="0"/>
              <w:jc w:val="right"/>
              <w:rPr>
                <w:b w:val="0"/>
              </w:rPr>
            </w:pPr>
            <w:r w:rsidRPr="00072228">
              <w:rPr>
                <w:b w:val="0"/>
              </w:rPr>
              <w:t>–$756,167</w:t>
            </w:r>
          </w:p>
        </w:tc>
        <w:tc>
          <w:tcPr>
            <w:tcW w:w="679" w:type="pct"/>
            <w:tcBorders>
              <w:top w:val="nil"/>
              <w:bottom w:val="nil"/>
            </w:tcBorders>
            <w:noWrap/>
          </w:tcPr>
          <w:p w14:paraId="499FFF0D" w14:textId="77777777" w:rsidR="00911F85" w:rsidRPr="00072228" w:rsidRDefault="00911F85" w:rsidP="008742A1">
            <w:pPr>
              <w:pStyle w:val="TableHeading"/>
              <w:keepNext w:val="0"/>
              <w:jc w:val="right"/>
              <w:rPr>
                <w:b w:val="0"/>
              </w:rPr>
            </w:pPr>
            <w:r w:rsidRPr="00072228">
              <w:rPr>
                <w:b w:val="0"/>
              </w:rPr>
              <w:t>–$798,283</w:t>
            </w:r>
          </w:p>
        </w:tc>
        <w:tc>
          <w:tcPr>
            <w:tcW w:w="678" w:type="pct"/>
            <w:tcBorders>
              <w:top w:val="nil"/>
              <w:bottom w:val="nil"/>
            </w:tcBorders>
            <w:noWrap/>
          </w:tcPr>
          <w:p w14:paraId="1A087B54" w14:textId="77777777" w:rsidR="00911F85" w:rsidRPr="00072228" w:rsidRDefault="00911F85" w:rsidP="008742A1">
            <w:pPr>
              <w:pStyle w:val="TableHeading"/>
              <w:keepNext w:val="0"/>
              <w:jc w:val="right"/>
              <w:rPr>
                <w:b w:val="0"/>
              </w:rPr>
            </w:pPr>
            <w:r w:rsidRPr="00072228">
              <w:rPr>
                <w:b w:val="0"/>
              </w:rPr>
              <w:t>–$840,399</w:t>
            </w:r>
          </w:p>
        </w:tc>
      </w:tr>
      <w:tr w:rsidR="00911F85" w:rsidRPr="001B1EEE" w14:paraId="15891BFD" w14:textId="77777777" w:rsidTr="003C78E2">
        <w:trPr>
          <w:trHeight w:val="300"/>
        </w:trPr>
        <w:tc>
          <w:tcPr>
            <w:tcW w:w="1607" w:type="pct"/>
            <w:tcBorders>
              <w:top w:val="nil"/>
              <w:bottom w:val="single" w:sz="4" w:space="0" w:color="auto"/>
            </w:tcBorders>
            <w:noWrap/>
          </w:tcPr>
          <w:p w14:paraId="2E7065C6" w14:textId="77777777" w:rsidR="00911F85" w:rsidRPr="001B1EEE" w:rsidRDefault="00911F85" w:rsidP="008742A1">
            <w:pPr>
              <w:pStyle w:val="TableHeading"/>
              <w:keepNext w:val="0"/>
              <w:jc w:val="left"/>
              <w:rPr>
                <w:b w:val="0"/>
              </w:rPr>
            </w:pPr>
            <w:r w:rsidRPr="001B1EEE">
              <w:rPr>
                <w:b w:val="0"/>
              </w:rPr>
              <w:t>Offsets to the States</w:t>
            </w:r>
          </w:p>
        </w:tc>
        <w:tc>
          <w:tcPr>
            <w:tcW w:w="679" w:type="pct"/>
            <w:tcBorders>
              <w:top w:val="nil"/>
              <w:bottom w:val="single" w:sz="4" w:space="0" w:color="auto"/>
            </w:tcBorders>
            <w:noWrap/>
          </w:tcPr>
          <w:p w14:paraId="28FD1940" w14:textId="77777777" w:rsidR="00911F85" w:rsidRPr="00072228" w:rsidRDefault="00911F85" w:rsidP="008742A1">
            <w:pPr>
              <w:pStyle w:val="TableHeading"/>
              <w:keepNext w:val="0"/>
              <w:jc w:val="right"/>
              <w:rPr>
                <w:b w:val="0"/>
              </w:rPr>
            </w:pPr>
            <w:r w:rsidRPr="00072228">
              <w:rPr>
                <w:b w:val="0"/>
              </w:rPr>
              <w:t>–$17,508,780</w:t>
            </w:r>
          </w:p>
        </w:tc>
        <w:tc>
          <w:tcPr>
            <w:tcW w:w="679" w:type="pct"/>
            <w:tcBorders>
              <w:top w:val="nil"/>
              <w:bottom w:val="single" w:sz="4" w:space="0" w:color="auto"/>
            </w:tcBorders>
            <w:noWrap/>
          </w:tcPr>
          <w:p w14:paraId="10BE6832" w14:textId="77777777" w:rsidR="00911F85" w:rsidRPr="00072228" w:rsidRDefault="00911F85" w:rsidP="008742A1">
            <w:pPr>
              <w:pStyle w:val="TableHeading"/>
              <w:keepNext w:val="0"/>
              <w:jc w:val="right"/>
              <w:rPr>
                <w:b w:val="0"/>
              </w:rPr>
            </w:pPr>
            <w:r w:rsidRPr="00072228">
              <w:rPr>
                <w:b w:val="0"/>
              </w:rPr>
              <w:t>–$18,606,202</w:t>
            </w:r>
          </w:p>
        </w:tc>
        <w:tc>
          <w:tcPr>
            <w:tcW w:w="679" w:type="pct"/>
            <w:tcBorders>
              <w:top w:val="nil"/>
              <w:bottom w:val="single" w:sz="4" w:space="0" w:color="auto"/>
            </w:tcBorders>
            <w:noWrap/>
          </w:tcPr>
          <w:p w14:paraId="73B005A0" w14:textId="77777777" w:rsidR="00911F85" w:rsidRPr="00072228" w:rsidRDefault="00911F85" w:rsidP="008742A1">
            <w:pPr>
              <w:pStyle w:val="TableHeading"/>
              <w:keepNext w:val="0"/>
              <w:jc w:val="right"/>
              <w:rPr>
                <w:b w:val="0"/>
              </w:rPr>
            </w:pPr>
            <w:r w:rsidRPr="00072228">
              <w:rPr>
                <w:b w:val="0"/>
              </w:rPr>
              <w:t>–$19,703,623</w:t>
            </w:r>
          </w:p>
        </w:tc>
        <w:tc>
          <w:tcPr>
            <w:tcW w:w="679" w:type="pct"/>
            <w:tcBorders>
              <w:top w:val="nil"/>
              <w:bottom w:val="single" w:sz="4" w:space="0" w:color="auto"/>
            </w:tcBorders>
            <w:noWrap/>
          </w:tcPr>
          <w:p w14:paraId="42D4C58F" w14:textId="77777777" w:rsidR="00911F85" w:rsidRPr="00072228" w:rsidRDefault="00911F85" w:rsidP="008742A1">
            <w:pPr>
              <w:pStyle w:val="TableHeading"/>
              <w:keepNext w:val="0"/>
              <w:jc w:val="right"/>
              <w:rPr>
                <w:b w:val="0"/>
              </w:rPr>
            </w:pPr>
            <w:r w:rsidRPr="00072228">
              <w:rPr>
                <w:b w:val="0"/>
              </w:rPr>
              <w:t>–$20,801,045</w:t>
            </w:r>
          </w:p>
        </w:tc>
        <w:tc>
          <w:tcPr>
            <w:tcW w:w="678" w:type="pct"/>
            <w:tcBorders>
              <w:top w:val="nil"/>
              <w:bottom w:val="single" w:sz="4" w:space="0" w:color="auto"/>
            </w:tcBorders>
            <w:noWrap/>
          </w:tcPr>
          <w:p w14:paraId="77ABD14B" w14:textId="77777777" w:rsidR="00911F85" w:rsidRPr="00072228" w:rsidRDefault="00911F85" w:rsidP="008742A1">
            <w:pPr>
              <w:pStyle w:val="TableHeading"/>
              <w:keepNext w:val="0"/>
              <w:jc w:val="right"/>
              <w:rPr>
                <w:b w:val="0"/>
              </w:rPr>
            </w:pPr>
            <w:r w:rsidRPr="00072228">
              <w:rPr>
                <w:b w:val="0"/>
              </w:rPr>
              <w:t>–$21,898,466</w:t>
            </w:r>
          </w:p>
        </w:tc>
      </w:tr>
      <w:tr w:rsidR="00911F85" w:rsidRPr="002C55F2" w14:paraId="762247FD" w14:textId="77777777" w:rsidTr="003C78E2">
        <w:trPr>
          <w:trHeight w:val="300"/>
        </w:trPr>
        <w:tc>
          <w:tcPr>
            <w:tcW w:w="1607" w:type="pct"/>
            <w:tcBorders>
              <w:bottom w:val="nil"/>
            </w:tcBorders>
            <w:noWrap/>
          </w:tcPr>
          <w:p w14:paraId="4803888F" w14:textId="77777777" w:rsidR="00911F85" w:rsidRPr="001B1EEE" w:rsidRDefault="00911F85" w:rsidP="008742A1">
            <w:pPr>
              <w:pStyle w:val="TableHeading"/>
              <w:jc w:val="left"/>
            </w:pPr>
            <w:r w:rsidRPr="001B1EEE">
              <w:t>Net cost</w:t>
            </w:r>
          </w:p>
        </w:tc>
        <w:tc>
          <w:tcPr>
            <w:tcW w:w="679" w:type="pct"/>
            <w:tcBorders>
              <w:bottom w:val="nil"/>
            </w:tcBorders>
            <w:noWrap/>
          </w:tcPr>
          <w:p w14:paraId="4A9AB303" w14:textId="77777777" w:rsidR="00911F85" w:rsidRPr="00072228" w:rsidRDefault="00911F85" w:rsidP="008742A1">
            <w:pPr>
              <w:pStyle w:val="TableHeading"/>
              <w:keepNext w:val="0"/>
              <w:jc w:val="right"/>
            </w:pPr>
            <w:r w:rsidRPr="00072228">
              <w:t>$95,382,845</w:t>
            </w:r>
          </w:p>
        </w:tc>
        <w:tc>
          <w:tcPr>
            <w:tcW w:w="679" w:type="pct"/>
            <w:tcBorders>
              <w:bottom w:val="nil"/>
            </w:tcBorders>
            <w:noWrap/>
          </w:tcPr>
          <w:p w14:paraId="2BD2447F" w14:textId="77777777" w:rsidR="00911F85" w:rsidRPr="00072228" w:rsidRDefault="00911F85" w:rsidP="008742A1">
            <w:pPr>
              <w:pStyle w:val="TableHeading"/>
              <w:keepNext w:val="0"/>
              <w:jc w:val="right"/>
            </w:pPr>
            <w:r w:rsidRPr="00072228">
              <w:t>$102,725,807</w:t>
            </w:r>
          </w:p>
        </w:tc>
        <w:tc>
          <w:tcPr>
            <w:tcW w:w="679" w:type="pct"/>
            <w:tcBorders>
              <w:bottom w:val="nil"/>
            </w:tcBorders>
            <w:noWrap/>
          </w:tcPr>
          <w:p w14:paraId="3C9A7DC6" w14:textId="77777777" w:rsidR="00911F85" w:rsidRPr="00072228" w:rsidRDefault="00911F85" w:rsidP="008742A1">
            <w:pPr>
              <w:pStyle w:val="TableHeading"/>
              <w:keepNext w:val="0"/>
              <w:jc w:val="right"/>
            </w:pPr>
            <w:r w:rsidRPr="00072228">
              <w:t>$110,068,769</w:t>
            </w:r>
          </w:p>
        </w:tc>
        <w:tc>
          <w:tcPr>
            <w:tcW w:w="679" w:type="pct"/>
            <w:tcBorders>
              <w:bottom w:val="nil"/>
            </w:tcBorders>
            <w:noWrap/>
          </w:tcPr>
          <w:p w14:paraId="0DD7F345" w14:textId="77777777" w:rsidR="00911F85" w:rsidRPr="00072228" w:rsidRDefault="00911F85" w:rsidP="008742A1">
            <w:pPr>
              <w:pStyle w:val="TableHeading"/>
              <w:keepNext w:val="0"/>
              <w:jc w:val="right"/>
            </w:pPr>
            <w:r w:rsidRPr="00072228">
              <w:t>$117,411,732</w:t>
            </w:r>
          </w:p>
        </w:tc>
        <w:tc>
          <w:tcPr>
            <w:tcW w:w="678" w:type="pct"/>
            <w:tcBorders>
              <w:bottom w:val="nil"/>
            </w:tcBorders>
            <w:noWrap/>
          </w:tcPr>
          <w:p w14:paraId="309C457B" w14:textId="77777777" w:rsidR="00911F85" w:rsidRPr="00072228" w:rsidRDefault="00911F85" w:rsidP="008742A1">
            <w:pPr>
              <w:pStyle w:val="TableHeading"/>
              <w:keepNext w:val="0"/>
              <w:jc w:val="right"/>
            </w:pPr>
            <w:r w:rsidRPr="00072228">
              <w:t>$124,754,694</w:t>
            </w:r>
          </w:p>
        </w:tc>
      </w:tr>
      <w:tr w:rsidR="00911F85" w:rsidRPr="002C55F2" w14:paraId="410DCF64" w14:textId="77777777" w:rsidTr="003C78E2">
        <w:trPr>
          <w:trHeight w:val="300"/>
        </w:trPr>
        <w:tc>
          <w:tcPr>
            <w:tcW w:w="1607" w:type="pct"/>
            <w:tcBorders>
              <w:top w:val="nil"/>
              <w:bottom w:val="nil"/>
            </w:tcBorders>
            <w:noWrap/>
          </w:tcPr>
          <w:p w14:paraId="1C30999E" w14:textId="77777777" w:rsidR="00911F85" w:rsidRPr="001B1EEE" w:rsidRDefault="00911F85" w:rsidP="008742A1">
            <w:pPr>
              <w:pStyle w:val="TableHeading"/>
              <w:jc w:val="left"/>
              <w:rPr>
                <w:b w:val="0"/>
              </w:rPr>
            </w:pPr>
            <w:r w:rsidRPr="001B1EEE">
              <w:rPr>
                <w:b w:val="0"/>
              </w:rPr>
              <w:t>Net cost to the Commonwealth</w:t>
            </w:r>
          </w:p>
        </w:tc>
        <w:tc>
          <w:tcPr>
            <w:tcW w:w="679" w:type="pct"/>
            <w:tcBorders>
              <w:top w:val="nil"/>
              <w:bottom w:val="nil"/>
            </w:tcBorders>
            <w:noWrap/>
          </w:tcPr>
          <w:p w14:paraId="0F81FAAC" w14:textId="77777777" w:rsidR="00911F85" w:rsidRPr="00072228" w:rsidRDefault="00911F85" w:rsidP="008742A1">
            <w:pPr>
              <w:pStyle w:val="TableHeading"/>
              <w:keepNext w:val="0"/>
              <w:jc w:val="right"/>
              <w:rPr>
                <w:b w:val="0"/>
              </w:rPr>
            </w:pPr>
            <w:r w:rsidRPr="00072228">
              <w:rPr>
                <w:b w:val="0"/>
              </w:rPr>
              <w:t>$61,153,989</w:t>
            </w:r>
          </w:p>
        </w:tc>
        <w:tc>
          <w:tcPr>
            <w:tcW w:w="679" w:type="pct"/>
            <w:tcBorders>
              <w:top w:val="nil"/>
              <w:bottom w:val="nil"/>
            </w:tcBorders>
            <w:noWrap/>
          </w:tcPr>
          <w:p w14:paraId="087A5BC6" w14:textId="77777777" w:rsidR="00911F85" w:rsidRPr="00072228" w:rsidRDefault="00911F85" w:rsidP="008742A1">
            <w:pPr>
              <w:pStyle w:val="TableHeading"/>
              <w:keepNext w:val="0"/>
              <w:jc w:val="right"/>
              <w:rPr>
                <w:b w:val="0"/>
              </w:rPr>
            </w:pPr>
            <w:r w:rsidRPr="00072228">
              <w:rPr>
                <w:b w:val="0"/>
              </w:rPr>
              <w:t>$65,846,235</w:t>
            </w:r>
          </w:p>
        </w:tc>
        <w:tc>
          <w:tcPr>
            <w:tcW w:w="679" w:type="pct"/>
            <w:tcBorders>
              <w:top w:val="nil"/>
              <w:bottom w:val="nil"/>
            </w:tcBorders>
            <w:noWrap/>
          </w:tcPr>
          <w:p w14:paraId="591F72C0" w14:textId="77777777" w:rsidR="00911F85" w:rsidRPr="00072228" w:rsidRDefault="00911F85" w:rsidP="008742A1">
            <w:pPr>
              <w:pStyle w:val="TableHeading"/>
              <w:keepNext w:val="0"/>
              <w:jc w:val="right"/>
              <w:rPr>
                <w:b w:val="0"/>
              </w:rPr>
            </w:pPr>
            <w:r w:rsidRPr="00072228">
              <w:rPr>
                <w:b w:val="0"/>
              </w:rPr>
              <w:t>$70,538,480</w:t>
            </w:r>
          </w:p>
        </w:tc>
        <w:tc>
          <w:tcPr>
            <w:tcW w:w="679" w:type="pct"/>
            <w:tcBorders>
              <w:top w:val="nil"/>
              <w:bottom w:val="nil"/>
            </w:tcBorders>
            <w:noWrap/>
          </w:tcPr>
          <w:p w14:paraId="268215F4" w14:textId="77777777" w:rsidR="00911F85" w:rsidRPr="00072228" w:rsidRDefault="00911F85" w:rsidP="008742A1">
            <w:pPr>
              <w:pStyle w:val="TableHeading"/>
              <w:keepNext w:val="0"/>
              <w:jc w:val="right"/>
              <w:rPr>
                <w:b w:val="0"/>
              </w:rPr>
            </w:pPr>
            <w:r w:rsidRPr="00072228">
              <w:rPr>
                <w:b w:val="0"/>
              </w:rPr>
              <w:t>$75,230,725</w:t>
            </w:r>
          </w:p>
        </w:tc>
        <w:tc>
          <w:tcPr>
            <w:tcW w:w="678" w:type="pct"/>
            <w:tcBorders>
              <w:top w:val="nil"/>
              <w:bottom w:val="nil"/>
            </w:tcBorders>
            <w:noWrap/>
          </w:tcPr>
          <w:p w14:paraId="67910230" w14:textId="77777777" w:rsidR="00911F85" w:rsidRPr="00072228" w:rsidRDefault="00911F85" w:rsidP="008742A1">
            <w:pPr>
              <w:pStyle w:val="TableHeading"/>
              <w:keepNext w:val="0"/>
              <w:jc w:val="right"/>
              <w:rPr>
                <w:b w:val="0"/>
              </w:rPr>
            </w:pPr>
            <w:r w:rsidRPr="00072228">
              <w:rPr>
                <w:b w:val="0"/>
              </w:rPr>
              <w:t>$79,922,971</w:t>
            </w:r>
          </w:p>
        </w:tc>
      </w:tr>
      <w:tr w:rsidR="00911F85" w:rsidRPr="002C55F2" w14:paraId="07B675DA" w14:textId="77777777" w:rsidTr="003C78E2">
        <w:trPr>
          <w:trHeight w:val="300"/>
        </w:trPr>
        <w:tc>
          <w:tcPr>
            <w:tcW w:w="1607" w:type="pct"/>
            <w:tcBorders>
              <w:top w:val="nil"/>
              <w:bottom w:val="single" w:sz="4" w:space="0" w:color="auto"/>
            </w:tcBorders>
            <w:noWrap/>
          </w:tcPr>
          <w:p w14:paraId="49DA1501" w14:textId="77777777" w:rsidR="00911F85" w:rsidRPr="001B1EEE" w:rsidRDefault="00911F85" w:rsidP="008742A1">
            <w:pPr>
              <w:pStyle w:val="TableHeading"/>
              <w:keepNext w:val="0"/>
              <w:jc w:val="left"/>
              <w:rPr>
                <w:b w:val="0"/>
              </w:rPr>
            </w:pPr>
            <w:r w:rsidRPr="001B1EEE">
              <w:rPr>
                <w:b w:val="0"/>
              </w:rPr>
              <w:t>Net cost to States</w:t>
            </w:r>
          </w:p>
        </w:tc>
        <w:tc>
          <w:tcPr>
            <w:tcW w:w="679" w:type="pct"/>
            <w:tcBorders>
              <w:top w:val="nil"/>
              <w:bottom w:val="single" w:sz="4" w:space="0" w:color="auto"/>
            </w:tcBorders>
            <w:noWrap/>
          </w:tcPr>
          <w:p w14:paraId="4E64B3DC" w14:textId="77777777" w:rsidR="00911F85" w:rsidRPr="00072228" w:rsidRDefault="00911F85" w:rsidP="008742A1">
            <w:pPr>
              <w:pStyle w:val="TableHeading"/>
              <w:keepNext w:val="0"/>
              <w:jc w:val="right"/>
              <w:rPr>
                <w:b w:val="0"/>
              </w:rPr>
            </w:pPr>
            <w:r w:rsidRPr="00072228">
              <w:rPr>
                <w:b w:val="0"/>
              </w:rPr>
              <w:t>$34,228,856</w:t>
            </w:r>
          </w:p>
        </w:tc>
        <w:tc>
          <w:tcPr>
            <w:tcW w:w="679" w:type="pct"/>
            <w:tcBorders>
              <w:top w:val="nil"/>
              <w:bottom w:val="single" w:sz="4" w:space="0" w:color="auto"/>
            </w:tcBorders>
            <w:noWrap/>
          </w:tcPr>
          <w:p w14:paraId="0854D95D" w14:textId="77777777" w:rsidR="00911F85" w:rsidRPr="00072228" w:rsidRDefault="00911F85" w:rsidP="008742A1">
            <w:pPr>
              <w:pStyle w:val="TableHeading"/>
              <w:keepNext w:val="0"/>
              <w:jc w:val="right"/>
              <w:rPr>
                <w:b w:val="0"/>
              </w:rPr>
            </w:pPr>
            <w:r w:rsidRPr="00072228">
              <w:rPr>
                <w:b w:val="0"/>
              </w:rPr>
              <w:t>$36,879,572</w:t>
            </w:r>
          </w:p>
        </w:tc>
        <w:tc>
          <w:tcPr>
            <w:tcW w:w="679" w:type="pct"/>
            <w:tcBorders>
              <w:top w:val="nil"/>
              <w:bottom w:val="single" w:sz="4" w:space="0" w:color="auto"/>
            </w:tcBorders>
            <w:noWrap/>
          </w:tcPr>
          <w:p w14:paraId="3A23817A" w14:textId="77777777" w:rsidR="00911F85" w:rsidRPr="00072228" w:rsidRDefault="00911F85" w:rsidP="008742A1">
            <w:pPr>
              <w:pStyle w:val="TableHeading"/>
              <w:keepNext w:val="0"/>
              <w:jc w:val="right"/>
              <w:rPr>
                <w:b w:val="0"/>
              </w:rPr>
            </w:pPr>
            <w:r w:rsidRPr="00072228">
              <w:rPr>
                <w:b w:val="0"/>
              </w:rPr>
              <w:t>$39,530,289</w:t>
            </w:r>
          </w:p>
        </w:tc>
        <w:tc>
          <w:tcPr>
            <w:tcW w:w="679" w:type="pct"/>
            <w:tcBorders>
              <w:top w:val="nil"/>
              <w:bottom w:val="single" w:sz="4" w:space="0" w:color="auto"/>
            </w:tcBorders>
            <w:noWrap/>
          </w:tcPr>
          <w:p w14:paraId="7F2B041A" w14:textId="77777777" w:rsidR="00911F85" w:rsidRPr="00072228" w:rsidRDefault="00911F85" w:rsidP="008742A1">
            <w:pPr>
              <w:pStyle w:val="TableHeading"/>
              <w:keepNext w:val="0"/>
              <w:jc w:val="right"/>
              <w:rPr>
                <w:b w:val="0"/>
              </w:rPr>
            </w:pPr>
            <w:r w:rsidRPr="00072228">
              <w:rPr>
                <w:b w:val="0"/>
              </w:rPr>
              <w:t>$42,181,006</w:t>
            </w:r>
          </w:p>
        </w:tc>
        <w:tc>
          <w:tcPr>
            <w:tcW w:w="678" w:type="pct"/>
            <w:tcBorders>
              <w:top w:val="nil"/>
              <w:bottom w:val="single" w:sz="4" w:space="0" w:color="auto"/>
            </w:tcBorders>
            <w:noWrap/>
          </w:tcPr>
          <w:p w14:paraId="30495108" w14:textId="77777777" w:rsidR="00911F85" w:rsidRPr="00072228" w:rsidRDefault="00911F85" w:rsidP="008742A1">
            <w:pPr>
              <w:pStyle w:val="TableHeading"/>
              <w:keepNext w:val="0"/>
              <w:jc w:val="right"/>
              <w:rPr>
                <w:b w:val="0"/>
              </w:rPr>
            </w:pPr>
            <w:r w:rsidRPr="00072228">
              <w:rPr>
                <w:b w:val="0"/>
              </w:rPr>
              <w:t>$44,831,723</w:t>
            </w:r>
          </w:p>
        </w:tc>
      </w:tr>
      <w:tr w:rsidR="003C78E2" w:rsidRPr="002C55F2" w14:paraId="1F778CB9" w14:textId="77777777" w:rsidTr="003C78E2">
        <w:trPr>
          <w:trHeight w:val="300"/>
        </w:trPr>
        <w:tc>
          <w:tcPr>
            <w:tcW w:w="5000" w:type="pct"/>
            <w:gridSpan w:val="6"/>
            <w:tcBorders>
              <w:bottom w:val="single" w:sz="4" w:space="0" w:color="auto"/>
            </w:tcBorders>
            <w:noWrap/>
          </w:tcPr>
          <w:p w14:paraId="19104018" w14:textId="0CAD3073" w:rsidR="003C78E2" w:rsidRPr="00072228" w:rsidRDefault="003C78E2" w:rsidP="00B52A4F">
            <w:pPr>
              <w:pStyle w:val="TableHeading"/>
              <w:keepNext w:val="0"/>
              <w:jc w:val="left"/>
              <w:rPr>
                <w:b w:val="0"/>
              </w:rPr>
            </w:pPr>
            <w:r>
              <w:rPr>
                <w:b w:val="0"/>
              </w:rPr>
              <w:t>Sensitivity</w:t>
            </w:r>
            <w:r w:rsidRPr="00932BDA">
              <w:rPr>
                <w:b w:val="0"/>
              </w:rPr>
              <w:t xml:space="preserve"> analyses for the cost per gram of Ig (base case: $60.41)</w:t>
            </w:r>
          </w:p>
        </w:tc>
      </w:tr>
      <w:tr w:rsidR="00AF32E4" w:rsidRPr="002C55F2" w14:paraId="7B6FD5F7" w14:textId="77777777" w:rsidTr="003C78E2">
        <w:trPr>
          <w:trHeight w:val="300"/>
        </w:trPr>
        <w:tc>
          <w:tcPr>
            <w:tcW w:w="1607" w:type="pct"/>
            <w:tcBorders>
              <w:bottom w:val="nil"/>
            </w:tcBorders>
            <w:noWrap/>
          </w:tcPr>
          <w:p w14:paraId="485E4AEE" w14:textId="4DE929A1" w:rsidR="00AF32E4" w:rsidRPr="001B1EEE" w:rsidRDefault="00AF32E4" w:rsidP="00406972">
            <w:pPr>
              <w:pStyle w:val="TableHeading"/>
              <w:keepNext w:val="0"/>
              <w:jc w:val="left"/>
              <w:rPr>
                <w:b w:val="0"/>
              </w:rPr>
            </w:pPr>
            <w:r w:rsidRPr="00AB4E3E">
              <w:rPr>
                <w:b w:val="0"/>
              </w:rPr>
              <w:t>High cost</w:t>
            </w:r>
            <w:r w:rsidR="00406972">
              <w:rPr>
                <w:b w:val="0"/>
              </w:rPr>
              <w:t xml:space="preserve"> of Ig</w:t>
            </w:r>
            <w:r w:rsidRPr="00AB4E3E">
              <w:rPr>
                <w:b w:val="0"/>
              </w:rPr>
              <w:t xml:space="preserve"> $140.18</w:t>
            </w:r>
          </w:p>
        </w:tc>
        <w:tc>
          <w:tcPr>
            <w:tcW w:w="679" w:type="pct"/>
            <w:tcBorders>
              <w:bottom w:val="nil"/>
            </w:tcBorders>
            <w:noWrap/>
          </w:tcPr>
          <w:p w14:paraId="646D6F5D" w14:textId="77777777" w:rsidR="00AF32E4" w:rsidRPr="00072228" w:rsidRDefault="00AF32E4" w:rsidP="00AF32E4">
            <w:pPr>
              <w:pStyle w:val="TableHeading"/>
              <w:keepNext w:val="0"/>
              <w:jc w:val="right"/>
              <w:rPr>
                <w:b w:val="0"/>
              </w:rPr>
            </w:pPr>
            <w:r w:rsidRPr="00072228">
              <w:rPr>
                <w:b w:val="0"/>
              </w:rPr>
              <w:t>$224,969,664</w:t>
            </w:r>
          </w:p>
        </w:tc>
        <w:tc>
          <w:tcPr>
            <w:tcW w:w="679" w:type="pct"/>
            <w:tcBorders>
              <w:bottom w:val="nil"/>
            </w:tcBorders>
            <w:noWrap/>
          </w:tcPr>
          <w:p w14:paraId="555639FF" w14:textId="77777777" w:rsidR="00AF32E4" w:rsidRPr="00072228" w:rsidRDefault="00AF32E4" w:rsidP="00AF32E4">
            <w:pPr>
              <w:pStyle w:val="TableHeading"/>
              <w:keepNext w:val="0"/>
              <w:jc w:val="right"/>
              <w:rPr>
                <w:b w:val="0"/>
              </w:rPr>
            </w:pPr>
            <w:r w:rsidRPr="00072228">
              <w:rPr>
                <w:b w:val="0"/>
              </w:rPr>
              <w:t>$242,235,823</w:t>
            </w:r>
          </w:p>
        </w:tc>
        <w:tc>
          <w:tcPr>
            <w:tcW w:w="679" w:type="pct"/>
            <w:tcBorders>
              <w:bottom w:val="nil"/>
            </w:tcBorders>
            <w:noWrap/>
          </w:tcPr>
          <w:p w14:paraId="67FBC519" w14:textId="77777777" w:rsidR="00AF32E4" w:rsidRPr="00072228" w:rsidRDefault="00AF32E4" w:rsidP="00AF32E4">
            <w:pPr>
              <w:pStyle w:val="TableHeading"/>
              <w:keepNext w:val="0"/>
              <w:jc w:val="right"/>
              <w:rPr>
                <w:b w:val="0"/>
              </w:rPr>
            </w:pPr>
            <w:r w:rsidRPr="00072228">
              <w:rPr>
                <w:b w:val="0"/>
              </w:rPr>
              <w:t>$259,501,981</w:t>
            </w:r>
          </w:p>
        </w:tc>
        <w:tc>
          <w:tcPr>
            <w:tcW w:w="679" w:type="pct"/>
            <w:tcBorders>
              <w:bottom w:val="nil"/>
            </w:tcBorders>
            <w:noWrap/>
          </w:tcPr>
          <w:p w14:paraId="40C54BA4" w14:textId="77777777" w:rsidR="00AF32E4" w:rsidRPr="00072228" w:rsidRDefault="00AF32E4" w:rsidP="00AF32E4">
            <w:pPr>
              <w:pStyle w:val="TableHeading"/>
              <w:keepNext w:val="0"/>
              <w:jc w:val="right"/>
              <w:rPr>
                <w:b w:val="0"/>
              </w:rPr>
            </w:pPr>
            <w:r w:rsidRPr="00072228">
              <w:rPr>
                <w:b w:val="0"/>
              </w:rPr>
              <w:t>$276,768,140</w:t>
            </w:r>
          </w:p>
        </w:tc>
        <w:tc>
          <w:tcPr>
            <w:tcW w:w="678" w:type="pct"/>
            <w:tcBorders>
              <w:bottom w:val="nil"/>
            </w:tcBorders>
            <w:noWrap/>
          </w:tcPr>
          <w:p w14:paraId="6BF39A35" w14:textId="77777777" w:rsidR="00AF32E4" w:rsidRPr="00072228" w:rsidRDefault="00AF32E4" w:rsidP="00AF32E4">
            <w:pPr>
              <w:pStyle w:val="TableHeading"/>
              <w:keepNext w:val="0"/>
              <w:jc w:val="right"/>
              <w:rPr>
                <w:b w:val="0"/>
              </w:rPr>
            </w:pPr>
            <w:r w:rsidRPr="00072228">
              <w:rPr>
                <w:b w:val="0"/>
              </w:rPr>
              <w:t>$294,034,299</w:t>
            </w:r>
          </w:p>
        </w:tc>
      </w:tr>
      <w:tr w:rsidR="00AF32E4" w:rsidRPr="002C55F2" w14:paraId="75445DE7" w14:textId="77777777" w:rsidTr="003C78E2">
        <w:trPr>
          <w:trHeight w:val="300"/>
        </w:trPr>
        <w:tc>
          <w:tcPr>
            <w:tcW w:w="1607" w:type="pct"/>
            <w:tcBorders>
              <w:top w:val="nil"/>
              <w:bottom w:val="nil"/>
            </w:tcBorders>
            <w:noWrap/>
          </w:tcPr>
          <w:p w14:paraId="0C706888" w14:textId="04EED1C5" w:rsidR="00AF32E4" w:rsidRPr="001B1EEE" w:rsidRDefault="00AF32E4" w:rsidP="00406972">
            <w:pPr>
              <w:pStyle w:val="TableHeading"/>
              <w:keepNext w:val="0"/>
              <w:jc w:val="left"/>
              <w:rPr>
                <w:b w:val="0"/>
              </w:rPr>
            </w:pPr>
            <w:r w:rsidRPr="00AB4E3E">
              <w:rPr>
                <w:b w:val="0"/>
              </w:rPr>
              <w:t>Low cost</w:t>
            </w:r>
            <w:r w:rsidR="00406972">
              <w:rPr>
                <w:b w:val="0"/>
              </w:rPr>
              <w:t xml:space="preserve"> of Ig</w:t>
            </w:r>
            <w:r w:rsidRPr="00AB4E3E">
              <w:rPr>
                <w:b w:val="0"/>
              </w:rPr>
              <w:t>, $44.94</w:t>
            </w:r>
          </w:p>
        </w:tc>
        <w:tc>
          <w:tcPr>
            <w:tcW w:w="679" w:type="pct"/>
            <w:tcBorders>
              <w:top w:val="nil"/>
              <w:bottom w:val="nil"/>
            </w:tcBorders>
            <w:noWrap/>
          </w:tcPr>
          <w:p w14:paraId="4F66F05D" w14:textId="77777777" w:rsidR="00AF32E4" w:rsidRPr="00072228" w:rsidRDefault="00AF32E4" w:rsidP="00AF32E4">
            <w:pPr>
              <w:pStyle w:val="TableHeading"/>
              <w:keepNext w:val="0"/>
              <w:jc w:val="right"/>
              <w:rPr>
                <w:b w:val="0"/>
              </w:rPr>
            </w:pPr>
            <w:r w:rsidRPr="00072228">
              <w:rPr>
                <w:b w:val="0"/>
              </w:rPr>
              <w:t>$70,251,742</w:t>
            </w:r>
          </w:p>
        </w:tc>
        <w:tc>
          <w:tcPr>
            <w:tcW w:w="679" w:type="pct"/>
            <w:tcBorders>
              <w:top w:val="nil"/>
              <w:bottom w:val="nil"/>
            </w:tcBorders>
            <w:noWrap/>
          </w:tcPr>
          <w:p w14:paraId="3B1FFA26" w14:textId="77777777" w:rsidR="00AF32E4" w:rsidRPr="00072228" w:rsidRDefault="00AF32E4" w:rsidP="00AF32E4">
            <w:pPr>
              <w:pStyle w:val="TableHeading"/>
              <w:keepNext w:val="0"/>
              <w:jc w:val="right"/>
              <w:rPr>
                <w:b w:val="0"/>
              </w:rPr>
            </w:pPr>
            <w:r w:rsidRPr="00072228">
              <w:rPr>
                <w:b w:val="0"/>
              </w:rPr>
              <w:t>$75,670,273</w:t>
            </w:r>
          </w:p>
        </w:tc>
        <w:tc>
          <w:tcPr>
            <w:tcW w:w="679" w:type="pct"/>
            <w:tcBorders>
              <w:top w:val="nil"/>
              <w:bottom w:val="nil"/>
            </w:tcBorders>
            <w:noWrap/>
          </w:tcPr>
          <w:p w14:paraId="54CC5FE4" w14:textId="77777777" w:rsidR="00AF32E4" w:rsidRPr="00072228" w:rsidRDefault="00AF32E4" w:rsidP="00AF32E4">
            <w:pPr>
              <w:pStyle w:val="TableHeading"/>
              <w:keepNext w:val="0"/>
              <w:jc w:val="right"/>
              <w:rPr>
                <w:b w:val="0"/>
              </w:rPr>
            </w:pPr>
            <w:r w:rsidRPr="00072228">
              <w:rPr>
                <w:b w:val="0"/>
              </w:rPr>
              <w:t>$81,088,805</w:t>
            </w:r>
          </w:p>
        </w:tc>
        <w:tc>
          <w:tcPr>
            <w:tcW w:w="679" w:type="pct"/>
            <w:tcBorders>
              <w:top w:val="nil"/>
              <w:bottom w:val="nil"/>
            </w:tcBorders>
            <w:noWrap/>
          </w:tcPr>
          <w:p w14:paraId="3F8790BC" w14:textId="77777777" w:rsidR="00AF32E4" w:rsidRPr="00072228" w:rsidRDefault="00AF32E4" w:rsidP="00AF32E4">
            <w:pPr>
              <w:pStyle w:val="TableHeading"/>
              <w:keepNext w:val="0"/>
              <w:jc w:val="right"/>
              <w:rPr>
                <w:b w:val="0"/>
              </w:rPr>
            </w:pPr>
            <w:r w:rsidRPr="00072228">
              <w:rPr>
                <w:b w:val="0"/>
              </w:rPr>
              <w:t>$86,507,336</w:t>
            </w:r>
          </w:p>
        </w:tc>
        <w:tc>
          <w:tcPr>
            <w:tcW w:w="678" w:type="pct"/>
            <w:tcBorders>
              <w:top w:val="nil"/>
              <w:bottom w:val="nil"/>
            </w:tcBorders>
            <w:noWrap/>
          </w:tcPr>
          <w:p w14:paraId="4EC84D25" w14:textId="77777777" w:rsidR="00AF32E4" w:rsidRPr="00072228" w:rsidRDefault="00AF32E4" w:rsidP="00AF32E4">
            <w:pPr>
              <w:pStyle w:val="TableHeading"/>
              <w:keepNext w:val="0"/>
              <w:jc w:val="right"/>
              <w:rPr>
                <w:b w:val="0"/>
              </w:rPr>
            </w:pPr>
            <w:r w:rsidRPr="00072228">
              <w:rPr>
                <w:b w:val="0"/>
              </w:rPr>
              <w:t>$91,925,867</w:t>
            </w:r>
          </w:p>
        </w:tc>
      </w:tr>
      <w:tr w:rsidR="00AF32E4" w:rsidRPr="002C55F2" w14:paraId="0EBC039B" w14:textId="77777777" w:rsidTr="003C78E2">
        <w:trPr>
          <w:trHeight w:val="300"/>
        </w:trPr>
        <w:tc>
          <w:tcPr>
            <w:tcW w:w="1607" w:type="pct"/>
            <w:tcBorders>
              <w:top w:val="nil"/>
            </w:tcBorders>
            <w:noWrap/>
          </w:tcPr>
          <w:p w14:paraId="5AD36279" w14:textId="3A1FC490" w:rsidR="00AF32E4" w:rsidRPr="001B1EEE" w:rsidRDefault="00AF32E4" w:rsidP="00AF32E4">
            <w:pPr>
              <w:pStyle w:val="TableHeading"/>
              <w:keepNext w:val="0"/>
              <w:jc w:val="left"/>
              <w:rPr>
                <w:b w:val="0"/>
              </w:rPr>
            </w:pPr>
            <w:r w:rsidRPr="00AB4E3E">
              <w:rPr>
                <w:b w:val="0"/>
              </w:rPr>
              <w:t>Weighted average</w:t>
            </w:r>
            <w:r w:rsidR="00406972">
              <w:rPr>
                <w:b w:val="0"/>
              </w:rPr>
              <w:t xml:space="preserve"> cost of Ig</w:t>
            </w:r>
            <w:r w:rsidRPr="00AB4E3E">
              <w:rPr>
                <w:b w:val="0"/>
              </w:rPr>
              <w:t>, $94.51</w:t>
            </w:r>
          </w:p>
        </w:tc>
        <w:tc>
          <w:tcPr>
            <w:tcW w:w="679" w:type="pct"/>
            <w:tcBorders>
              <w:top w:val="nil"/>
            </w:tcBorders>
            <w:noWrap/>
          </w:tcPr>
          <w:p w14:paraId="7A75AA06" w14:textId="77777777" w:rsidR="00AF32E4" w:rsidRPr="00072228" w:rsidRDefault="00AF32E4" w:rsidP="00AF32E4">
            <w:pPr>
              <w:pStyle w:val="TableHeading"/>
              <w:keepNext w:val="0"/>
              <w:jc w:val="right"/>
              <w:rPr>
                <w:b w:val="0"/>
              </w:rPr>
            </w:pPr>
            <w:r w:rsidRPr="00072228">
              <w:rPr>
                <w:b w:val="0"/>
              </w:rPr>
              <w:t>$150,773,057</w:t>
            </w:r>
          </w:p>
        </w:tc>
        <w:tc>
          <w:tcPr>
            <w:tcW w:w="679" w:type="pct"/>
            <w:tcBorders>
              <w:top w:val="nil"/>
            </w:tcBorders>
            <w:noWrap/>
          </w:tcPr>
          <w:p w14:paraId="0F08A1DE" w14:textId="77777777" w:rsidR="00AF32E4" w:rsidRPr="00072228" w:rsidRDefault="00AF32E4" w:rsidP="00AF32E4">
            <w:pPr>
              <w:pStyle w:val="TableHeading"/>
              <w:keepNext w:val="0"/>
              <w:jc w:val="right"/>
              <w:rPr>
                <w:b w:val="0"/>
              </w:rPr>
            </w:pPr>
            <w:r w:rsidRPr="00072228">
              <w:rPr>
                <w:b w:val="0"/>
              </w:rPr>
              <w:t>$162,357,562</w:t>
            </w:r>
          </w:p>
        </w:tc>
        <w:tc>
          <w:tcPr>
            <w:tcW w:w="679" w:type="pct"/>
            <w:tcBorders>
              <w:top w:val="nil"/>
            </w:tcBorders>
            <w:noWrap/>
          </w:tcPr>
          <w:p w14:paraId="59367486" w14:textId="77777777" w:rsidR="00AF32E4" w:rsidRPr="00072228" w:rsidRDefault="00AF32E4" w:rsidP="00AF32E4">
            <w:pPr>
              <w:pStyle w:val="TableHeading"/>
              <w:keepNext w:val="0"/>
              <w:jc w:val="right"/>
              <w:rPr>
                <w:b w:val="0"/>
              </w:rPr>
            </w:pPr>
            <w:r w:rsidRPr="00072228">
              <w:rPr>
                <w:b w:val="0"/>
              </w:rPr>
              <w:t>$173,942,066</w:t>
            </w:r>
          </w:p>
        </w:tc>
        <w:tc>
          <w:tcPr>
            <w:tcW w:w="679" w:type="pct"/>
            <w:tcBorders>
              <w:top w:val="nil"/>
            </w:tcBorders>
            <w:noWrap/>
          </w:tcPr>
          <w:p w14:paraId="19211F56" w14:textId="77777777" w:rsidR="00AF32E4" w:rsidRPr="00072228" w:rsidRDefault="00AF32E4" w:rsidP="00AF32E4">
            <w:pPr>
              <w:pStyle w:val="TableHeading"/>
              <w:keepNext w:val="0"/>
              <w:jc w:val="right"/>
              <w:rPr>
                <w:b w:val="0"/>
              </w:rPr>
            </w:pPr>
            <w:r w:rsidRPr="00072228">
              <w:rPr>
                <w:b w:val="0"/>
              </w:rPr>
              <w:t>$185,526,570</w:t>
            </w:r>
          </w:p>
        </w:tc>
        <w:tc>
          <w:tcPr>
            <w:tcW w:w="678" w:type="pct"/>
            <w:tcBorders>
              <w:top w:val="nil"/>
            </w:tcBorders>
            <w:noWrap/>
          </w:tcPr>
          <w:p w14:paraId="26BBD3E0" w14:textId="77777777" w:rsidR="00AF32E4" w:rsidRPr="00072228" w:rsidRDefault="00AF32E4" w:rsidP="00AF32E4">
            <w:pPr>
              <w:pStyle w:val="TableHeading"/>
              <w:keepNext w:val="0"/>
              <w:jc w:val="right"/>
              <w:rPr>
                <w:b w:val="0"/>
              </w:rPr>
            </w:pPr>
            <w:r w:rsidRPr="00072228">
              <w:rPr>
                <w:b w:val="0"/>
              </w:rPr>
              <w:t>$197,111,075</w:t>
            </w:r>
          </w:p>
        </w:tc>
      </w:tr>
    </w:tbl>
    <w:p w14:paraId="7DD3ECC8" w14:textId="77777777" w:rsidR="00911F85" w:rsidRDefault="00911F85" w:rsidP="00911F85">
      <w:pPr>
        <w:pStyle w:val="Tablenotes1"/>
      </w:pPr>
      <w:r>
        <w:t>Ig = immunoglobulin.</w:t>
      </w:r>
    </w:p>
    <w:p w14:paraId="332EACC2" w14:textId="77777777" w:rsidR="00A60DF4" w:rsidRPr="00386411" w:rsidRDefault="00A60DF4" w:rsidP="00A60DF4">
      <w:pPr>
        <w:pStyle w:val="Heading3"/>
      </w:pPr>
      <w:bookmarkStart w:id="139" w:name="_Toc14431113"/>
      <w:bookmarkStart w:id="140" w:name="_Toc16856281"/>
      <w:r w:rsidRPr="00386411">
        <w:t>Consumer impact summary</w:t>
      </w:r>
      <w:bookmarkEnd w:id="102"/>
      <w:bookmarkEnd w:id="139"/>
      <w:bookmarkEnd w:id="140"/>
    </w:p>
    <w:p w14:paraId="2069D680" w14:textId="603E66E8" w:rsidR="008F59A8" w:rsidRPr="007D0AA8" w:rsidRDefault="00A56A06" w:rsidP="00DF343F">
      <w:r w:rsidRPr="007D0AA8">
        <w:t xml:space="preserve">Public consultation responses received during the PICO confirmation development stage were positive regarding the availability of IgG replacement therapy for patients with acquired hypogammaglobulinaemia. The benefits seen to patients were the reduced risk of infections, including life-threatening infections, normalisation of IgG levels, reduced risk of Graft Versus Host Disease (GVHD) </w:t>
      </w:r>
      <w:r w:rsidR="00FA0BF2" w:rsidRPr="007D0AA8">
        <w:t xml:space="preserve">for HSCT patients, reduced use of antibiotics, and less anxiety/stress/worry about risk of infections. Benefits to carers/family were the reduction of anxiety/stress/worry about the risk of infections. The side-effects of IgG treatment were acknowledged (phlebitis at cannula insertion site, side effects of Ig, hospital acquired infection). </w:t>
      </w:r>
      <w:bookmarkEnd w:id="103"/>
      <w:bookmarkEnd w:id="104"/>
      <w:bookmarkEnd w:id="105"/>
    </w:p>
    <w:p w14:paraId="149D38E6" w14:textId="44F5FBE0" w:rsidR="00E76CC8" w:rsidRPr="007D0AA8" w:rsidRDefault="00E76CC8" w:rsidP="00DF343F">
      <w:pPr>
        <w:sectPr w:rsidR="00E76CC8" w:rsidRPr="007D0AA8" w:rsidSect="00F00D35">
          <w:headerReference w:type="even" r:id="rId20"/>
          <w:headerReference w:type="default" r:id="rId21"/>
          <w:headerReference w:type="first" r:id="rId22"/>
          <w:type w:val="oddPage"/>
          <w:pgSz w:w="11906" w:h="16838"/>
          <w:pgMar w:top="1440" w:right="1440" w:bottom="1440" w:left="1440" w:header="720" w:footer="720" w:gutter="0"/>
          <w:paperSrc w:first="2" w:other="2"/>
          <w:pgNumType w:start="1"/>
          <w:cols w:space="720"/>
        </w:sectPr>
      </w:pPr>
      <w:r>
        <w:t xml:space="preserve">Sponsor companies were also invited to provide submissions to the development of this contracted assessments and four responded with comments that have been considered in this report. </w:t>
      </w:r>
    </w:p>
    <w:p w14:paraId="75D5F6DB" w14:textId="77777777" w:rsidR="00553518" w:rsidRPr="00386411" w:rsidRDefault="002106B9" w:rsidP="00B06A88">
      <w:pPr>
        <w:pStyle w:val="Heading1"/>
        <w:ind w:left="0" w:firstLine="0"/>
      </w:pPr>
      <w:bookmarkStart w:id="141" w:name="_Toc355274699"/>
      <w:bookmarkStart w:id="142" w:name="_Ref363826811"/>
      <w:bookmarkStart w:id="143" w:name="_Toc379118061"/>
      <w:bookmarkStart w:id="144" w:name="_Toc381796437"/>
      <w:bookmarkStart w:id="145" w:name="_Toc14431114"/>
      <w:bookmarkStart w:id="146" w:name="_Toc16856282"/>
      <w:bookmarkStart w:id="147" w:name="_Toc451749499"/>
      <w:r w:rsidRPr="00386411">
        <w:lastRenderedPageBreak/>
        <w:t xml:space="preserve">Acronyms </w:t>
      </w:r>
      <w:r w:rsidR="003346E0" w:rsidRPr="00386411">
        <w:t>and A</w:t>
      </w:r>
      <w:r w:rsidR="00553518" w:rsidRPr="00386411">
        <w:t>bbreviations</w:t>
      </w:r>
      <w:bookmarkEnd w:id="141"/>
      <w:bookmarkEnd w:id="142"/>
      <w:bookmarkEnd w:id="143"/>
      <w:bookmarkEnd w:id="144"/>
      <w:bookmarkEnd w:id="145"/>
      <w:bookmarkEnd w:id="146"/>
      <w:r w:rsidR="00553518" w:rsidRPr="00386411">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ronyms and abbreviations"/>
        <w:tblDescription w:val="acronyms and abbreviations"/>
      </w:tblPr>
      <w:tblGrid>
        <w:gridCol w:w="1560"/>
        <w:gridCol w:w="7469"/>
      </w:tblGrid>
      <w:tr w:rsidR="00E335E2" w:rsidRPr="00386411" w14:paraId="7E60E6FA" w14:textId="77777777" w:rsidTr="007912C1">
        <w:trPr>
          <w:tblHeader/>
        </w:trPr>
        <w:tc>
          <w:tcPr>
            <w:tcW w:w="1560" w:type="dxa"/>
          </w:tcPr>
          <w:p w14:paraId="2C6C13AA" w14:textId="1BE46CA1" w:rsidR="00E335E2" w:rsidRPr="00386411" w:rsidRDefault="00E335E2" w:rsidP="007912C1">
            <w:pPr>
              <w:pStyle w:val="Heading4"/>
              <w:outlineLvl w:val="3"/>
              <w:rPr>
                <w:sz w:val="20"/>
              </w:rPr>
            </w:pPr>
            <w:r w:rsidRPr="00386411">
              <w:rPr>
                <w:sz w:val="20"/>
              </w:rPr>
              <w:t>Abbreviation</w:t>
            </w:r>
          </w:p>
        </w:tc>
        <w:tc>
          <w:tcPr>
            <w:tcW w:w="7469" w:type="dxa"/>
          </w:tcPr>
          <w:p w14:paraId="493B2E02" w14:textId="77777777" w:rsidR="00E335E2" w:rsidRPr="00386411" w:rsidRDefault="00E335E2" w:rsidP="00E335E2">
            <w:pPr>
              <w:pStyle w:val="Heading4"/>
              <w:outlineLvl w:val="3"/>
              <w:rPr>
                <w:rFonts w:asciiTheme="minorHAnsi" w:hAnsiTheme="minorHAnsi"/>
                <w:color w:val="000000"/>
                <w:sz w:val="20"/>
              </w:rPr>
            </w:pPr>
            <w:r w:rsidRPr="00386411">
              <w:rPr>
                <w:rFonts w:asciiTheme="minorHAnsi" w:hAnsiTheme="minorHAnsi"/>
                <w:color w:val="000000"/>
                <w:sz w:val="20"/>
              </w:rPr>
              <w:t>Meaning</w:t>
            </w:r>
          </w:p>
        </w:tc>
      </w:tr>
      <w:tr w:rsidR="001855A6" w:rsidRPr="007D0AA8" w14:paraId="58BBD0AD" w14:textId="77777777" w:rsidTr="007912C1">
        <w:tc>
          <w:tcPr>
            <w:tcW w:w="1560" w:type="dxa"/>
          </w:tcPr>
          <w:p w14:paraId="695A6AF2" w14:textId="77777777"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AA</w:t>
            </w:r>
          </w:p>
        </w:tc>
        <w:tc>
          <w:tcPr>
            <w:tcW w:w="7469" w:type="dxa"/>
          </w:tcPr>
          <w:p w14:paraId="4CC5BBA0" w14:textId="425BB6FB" w:rsidR="001855A6" w:rsidRPr="007D0AA8" w:rsidRDefault="001855A6" w:rsidP="001855A6">
            <w:pPr>
              <w:spacing w:after="0" w:line="240" w:lineRule="auto"/>
              <w:rPr>
                <w:rFonts w:ascii="Arial Narrow" w:hAnsi="Arial Narrow"/>
                <w:sz w:val="20"/>
                <w:szCs w:val="20"/>
              </w:rPr>
            </w:pPr>
            <w:r w:rsidRPr="007D0AA8">
              <w:rPr>
                <w:rFonts w:ascii="Arial Narrow" w:hAnsi="Arial Narrow"/>
                <w:sz w:val="20"/>
                <w:szCs w:val="20"/>
              </w:rPr>
              <w:t>aplastic anaemia (not a malignancy)</w:t>
            </w:r>
          </w:p>
        </w:tc>
      </w:tr>
      <w:tr w:rsidR="001855A6" w:rsidRPr="007D0AA8" w14:paraId="45360198" w14:textId="77777777" w:rsidTr="007912C1">
        <w:tc>
          <w:tcPr>
            <w:tcW w:w="1560" w:type="dxa"/>
          </w:tcPr>
          <w:p w14:paraId="6258AB8D" w14:textId="14F6F629"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AE</w:t>
            </w:r>
          </w:p>
        </w:tc>
        <w:tc>
          <w:tcPr>
            <w:tcW w:w="7469" w:type="dxa"/>
          </w:tcPr>
          <w:p w14:paraId="7EBA1EA1" w14:textId="40752FA2"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adverse event</w:t>
            </w:r>
          </w:p>
        </w:tc>
      </w:tr>
      <w:tr w:rsidR="001E7F65" w:rsidRPr="007D0AA8" w14:paraId="5C583E7C" w14:textId="77777777" w:rsidTr="007912C1">
        <w:tc>
          <w:tcPr>
            <w:tcW w:w="1560" w:type="dxa"/>
          </w:tcPr>
          <w:p w14:paraId="668A065F" w14:textId="77777777" w:rsidR="001E7F65" w:rsidRPr="007D0AA8" w:rsidRDefault="001E7F65" w:rsidP="00E46014">
            <w:pPr>
              <w:spacing w:after="0" w:line="240" w:lineRule="auto"/>
              <w:rPr>
                <w:rFonts w:ascii="Arial Narrow" w:hAnsi="Arial Narrow"/>
                <w:sz w:val="20"/>
                <w:szCs w:val="20"/>
              </w:rPr>
            </w:pPr>
            <w:r w:rsidRPr="007D0AA8">
              <w:rPr>
                <w:rFonts w:ascii="Arial Narrow" w:hAnsi="Arial Narrow"/>
                <w:sz w:val="20"/>
                <w:szCs w:val="20"/>
              </w:rPr>
              <w:t>AIHW</w:t>
            </w:r>
          </w:p>
        </w:tc>
        <w:tc>
          <w:tcPr>
            <w:tcW w:w="7469" w:type="dxa"/>
          </w:tcPr>
          <w:p w14:paraId="58234699" w14:textId="77777777" w:rsidR="001E7F65" w:rsidRPr="007D0AA8" w:rsidRDefault="001E7F65" w:rsidP="00E46014">
            <w:pPr>
              <w:spacing w:after="0" w:line="240" w:lineRule="auto"/>
              <w:rPr>
                <w:rFonts w:ascii="Arial Narrow" w:hAnsi="Arial Narrow"/>
                <w:sz w:val="20"/>
                <w:szCs w:val="20"/>
              </w:rPr>
            </w:pPr>
            <w:r w:rsidRPr="007D0AA8">
              <w:rPr>
                <w:rFonts w:ascii="Arial Narrow" w:hAnsi="Arial Narrow"/>
                <w:color w:val="000000"/>
                <w:sz w:val="20"/>
                <w:szCs w:val="20"/>
              </w:rPr>
              <w:t>Australian Institute of Health and Welfare</w:t>
            </w:r>
          </w:p>
        </w:tc>
      </w:tr>
      <w:tr w:rsidR="001855A6" w:rsidRPr="007D0AA8" w14:paraId="004D83B6" w14:textId="77777777" w:rsidTr="007912C1">
        <w:tc>
          <w:tcPr>
            <w:tcW w:w="1560" w:type="dxa"/>
          </w:tcPr>
          <w:p w14:paraId="4F2FC7BD" w14:textId="2C2132DA"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AL</w:t>
            </w:r>
          </w:p>
        </w:tc>
        <w:tc>
          <w:tcPr>
            <w:tcW w:w="7469" w:type="dxa"/>
          </w:tcPr>
          <w:p w14:paraId="770E728D" w14:textId="0E0C790B"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acute leukaemia</w:t>
            </w:r>
          </w:p>
        </w:tc>
      </w:tr>
      <w:tr w:rsidR="001855A6" w:rsidRPr="007D0AA8" w14:paraId="00359623" w14:textId="77777777" w:rsidTr="007912C1">
        <w:tc>
          <w:tcPr>
            <w:tcW w:w="1560" w:type="dxa"/>
          </w:tcPr>
          <w:p w14:paraId="0F8C5478" w14:textId="6B7B921E"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ALL</w:t>
            </w:r>
          </w:p>
        </w:tc>
        <w:tc>
          <w:tcPr>
            <w:tcW w:w="7469" w:type="dxa"/>
          </w:tcPr>
          <w:p w14:paraId="15913F49" w14:textId="6A27EB8C"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acute lymphoblastic leukaemia (</w:t>
            </w:r>
            <w:r w:rsidR="00767BEA" w:rsidRPr="007D0AA8">
              <w:rPr>
                <w:rFonts w:ascii="Arial Narrow" w:hAnsi="Arial Narrow"/>
                <w:sz w:val="20"/>
                <w:szCs w:val="20"/>
              </w:rPr>
              <w:t xml:space="preserve">a </w:t>
            </w:r>
            <w:r w:rsidRPr="007D0AA8">
              <w:rPr>
                <w:rFonts w:ascii="Arial Narrow" w:hAnsi="Arial Narrow"/>
                <w:sz w:val="20"/>
                <w:szCs w:val="20"/>
              </w:rPr>
              <w:t>type of AL)</w:t>
            </w:r>
          </w:p>
        </w:tc>
      </w:tr>
      <w:tr w:rsidR="001855A6" w:rsidRPr="007D0AA8" w14:paraId="6584BA19" w14:textId="77777777" w:rsidTr="007912C1">
        <w:tc>
          <w:tcPr>
            <w:tcW w:w="1560" w:type="dxa"/>
          </w:tcPr>
          <w:p w14:paraId="5093ED64" w14:textId="4AD01EF3"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AML</w:t>
            </w:r>
          </w:p>
        </w:tc>
        <w:tc>
          <w:tcPr>
            <w:tcW w:w="7469" w:type="dxa"/>
          </w:tcPr>
          <w:p w14:paraId="5606FF80" w14:textId="117F5D6E"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acute myeloid leukaemia (</w:t>
            </w:r>
            <w:r w:rsidR="00767BEA" w:rsidRPr="007D0AA8">
              <w:rPr>
                <w:rFonts w:ascii="Arial Narrow" w:hAnsi="Arial Narrow"/>
                <w:sz w:val="20"/>
                <w:szCs w:val="20"/>
              </w:rPr>
              <w:t xml:space="preserve">a </w:t>
            </w:r>
            <w:r w:rsidRPr="007D0AA8">
              <w:rPr>
                <w:rFonts w:ascii="Arial Narrow" w:hAnsi="Arial Narrow"/>
                <w:sz w:val="20"/>
                <w:szCs w:val="20"/>
              </w:rPr>
              <w:t>type of AL)</w:t>
            </w:r>
          </w:p>
        </w:tc>
      </w:tr>
      <w:tr w:rsidR="001855A6" w:rsidRPr="007D0AA8" w14:paraId="01C387DC" w14:textId="77777777" w:rsidTr="007912C1">
        <w:tc>
          <w:tcPr>
            <w:tcW w:w="1560" w:type="dxa"/>
          </w:tcPr>
          <w:p w14:paraId="0E609A4B" w14:textId="1EA71EEA"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ARCBS</w:t>
            </w:r>
          </w:p>
        </w:tc>
        <w:tc>
          <w:tcPr>
            <w:tcW w:w="7469" w:type="dxa"/>
          </w:tcPr>
          <w:p w14:paraId="2B0BE100" w14:textId="3E9533AC"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Australian Red Cross Blood Service</w:t>
            </w:r>
          </w:p>
        </w:tc>
      </w:tr>
      <w:tr w:rsidR="001E7F65" w:rsidRPr="007D0AA8" w14:paraId="34B88F3F" w14:textId="77777777" w:rsidTr="007912C1">
        <w:tc>
          <w:tcPr>
            <w:tcW w:w="1560" w:type="dxa"/>
          </w:tcPr>
          <w:p w14:paraId="40621242" w14:textId="77777777" w:rsidR="001E7F65" w:rsidRPr="007D0AA8" w:rsidRDefault="001E7F65" w:rsidP="00E46014">
            <w:pPr>
              <w:spacing w:after="0" w:line="240" w:lineRule="auto"/>
              <w:rPr>
                <w:rFonts w:ascii="Arial Narrow" w:hAnsi="Arial Narrow"/>
                <w:sz w:val="20"/>
                <w:szCs w:val="20"/>
              </w:rPr>
            </w:pPr>
            <w:r w:rsidRPr="007D0AA8">
              <w:rPr>
                <w:rFonts w:ascii="Arial Narrow" w:hAnsi="Arial Narrow"/>
                <w:sz w:val="20"/>
                <w:szCs w:val="20"/>
              </w:rPr>
              <w:t>ARTG</w:t>
            </w:r>
          </w:p>
        </w:tc>
        <w:tc>
          <w:tcPr>
            <w:tcW w:w="7469" w:type="dxa"/>
          </w:tcPr>
          <w:p w14:paraId="0D634772" w14:textId="77777777" w:rsidR="001E7F65" w:rsidRPr="007D0AA8" w:rsidRDefault="001E7F65" w:rsidP="00E46014">
            <w:pPr>
              <w:spacing w:after="0" w:line="240" w:lineRule="auto"/>
              <w:rPr>
                <w:rFonts w:ascii="Arial Narrow" w:hAnsi="Arial Narrow"/>
                <w:color w:val="000000"/>
                <w:sz w:val="20"/>
                <w:szCs w:val="20"/>
              </w:rPr>
            </w:pPr>
            <w:r w:rsidRPr="007D0AA8">
              <w:rPr>
                <w:rFonts w:ascii="Arial Narrow" w:hAnsi="Arial Narrow"/>
                <w:color w:val="000000"/>
                <w:sz w:val="20"/>
                <w:szCs w:val="20"/>
              </w:rPr>
              <w:t>Australian Register of Therapeutic Goods</w:t>
            </w:r>
          </w:p>
        </w:tc>
      </w:tr>
      <w:tr w:rsidR="001855A6" w:rsidRPr="007D0AA8" w14:paraId="59685BC1" w14:textId="77777777" w:rsidTr="007912C1">
        <w:tc>
          <w:tcPr>
            <w:tcW w:w="1560" w:type="dxa"/>
          </w:tcPr>
          <w:p w14:paraId="6AB4E89F" w14:textId="514BEE00"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BMT</w:t>
            </w:r>
          </w:p>
        </w:tc>
        <w:tc>
          <w:tcPr>
            <w:tcW w:w="7469" w:type="dxa"/>
          </w:tcPr>
          <w:p w14:paraId="394CFBE5" w14:textId="047E8482"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bone marrow transplant (</w:t>
            </w:r>
            <w:r w:rsidR="00767BEA" w:rsidRPr="007D0AA8">
              <w:rPr>
                <w:rFonts w:ascii="Arial Narrow" w:hAnsi="Arial Narrow"/>
                <w:sz w:val="20"/>
                <w:szCs w:val="20"/>
              </w:rPr>
              <w:t xml:space="preserve">a </w:t>
            </w:r>
            <w:r w:rsidRPr="007D0AA8">
              <w:rPr>
                <w:rFonts w:ascii="Arial Narrow" w:hAnsi="Arial Narrow"/>
                <w:sz w:val="20"/>
                <w:szCs w:val="20"/>
              </w:rPr>
              <w:t>type of HSCT)</w:t>
            </w:r>
          </w:p>
        </w:tc>
      </w:tr>
      <w:tr w:rsidR="00D15E65" w:rsidRPr="007D0AA8" w14:paraId="59C2D27B" w14:textId="77777777" w:rsidTr="007912C1">
        <w:tc>
          <w:tcPr>
            <w:tcW w:w="1560" w:type="dxa"/>
          </w:tcPr>
          <w:p w14:paraId="275C2B85" w14:textId="77777777" w:rsidR="00D15E65" w:rsidRPr="007D0AA8" w:rsidRDefault="00D15E65" w:rsidP="00E46014">
            <w:pPr>
              <w:spacing w:after="0" w:line="240" w:lineRule="auto"/>
              <w:rPr>
                <w:rFonts w:ascii="Arial Narrow" w:hAnsi="Arial Narrow"/>
                <w:sz w:val="20"/>
                <w:szCs w:val="20"/>
              </w:rPr>
            </w:pPr>
            <w:r w:rsidRPr="007D0AA8">
              <w:rPr>
                <w:rFonts w:ascii="Arial Narrow" w:hAnsi="Arial Narrow"/>
                <w:sz w:val="20"/>
                <w:szCs w:val="20"/>
              </w:rPr>
              <w:t>CI</w:t>
            </w:r>
          </w:p>
        </w:tc>
        <w:tc>
          <w:tcPr>
            <w:tcW w:w="7469" w:type="dxa"/>
          </w:tcPr>
          <w:p w14:paraId="15FE59AC" w14:textId="77777777" w:rsidR="00D15E65" w:rsidRPr="007D0AA8" w:rsidRDefault="00D15E65" w:rsidP="00E46014">
            <w:pPr>
              <w:tabs>
                <w:tab w:val="left" w:pos="3402"/>
              </w:tabs>
              <w:autoSpaceDE w:val="0"/>
              <w:autoSpaceDN w:val="0"/>
              <w:adjustRightInd w:val="0"/>
              <w:spacing w:after="0" w:line="240" w:lineRule="auto"/>
              <w:rPr>
                <w:rFonts w:ascii="Arial Narrow" w:hAnsi="Arial Narrow"/>
                <w:color w:val="000000"/>
                <w:sz w:val="20"/>
                <w:szCs w:val="20"/>
              </w:rPr>
            </w:pPr>
            <w:r w:rsidRPr="007D0AA8">
              <w:rPr>
                <w:rFonts w:ascii="Arial Narrow" w:hAnsi="Arial Narrow"/>
                <w:color w:val="000000"/>
                <w:sz w:val="20"/>
                <w:szCs w:val="20"/>
              </w:rPr>
              <w:t>confidence interval</w:t>
            </w:r>
          </w:p>
        </w:tc>
      </w:tr>
      <w:tr w:rsidR="00E46014" w:rsidRPr="007D0AA8" w14:paraId="00702FF0" w14:textId="77777777" w:rsidTr="007912C1">
        <w:tc>
          <w:tcPr>
            <w:tcW w:w="1560" w:type="dxa"/>
          </w:tcPr>
          <w:p w14:paraId="22119EF6" w14:textId="77777777" w:rsidR="00E46014" w:rsidRPr="007D0AA8" w:rsidRDefault="00E46014" w:rsidP="00E46014">
            <w:pPr>
              <w:spacing w:after="0" w:line="240" w:lineRule="auto"/>
              <w:rPr>
                <w:rFonts w:ascii="Arial Narrow" w:hAnsi="Arial Narrow"/>
                <w:sz w:val="20"/>
                <w:szCs w:val="20"/>
              </w:rPr>
            </w:pPr>
            <w:r w:rsidRPr="007D0AA8">
              <w:rPr>
                <w:rFonts w:ascii="Arial Narrow" w:hAnsi="Arial Narrow"/>
                <w:sz w:val="20"/>
                <w:szCs w:val="20"/>
              </w:rPr>
              <w:t>CLL</w:t>
            </w:r>
          </w:p>
        </w:tc>
        <w:tc>
          <w:tcPr>
            <w:tcW w:w="7469" w:type="dxa"/>
          </w:tcPr>
          <w:p w14:paraId="190C1AE3" w14:textId="77777777" w:rsidR="00E46014" w:rsidRPr="007D0AA8" w:rsidRDefault="00E46014" w:rsidP="00E46014">
            <w:pPr>
              <w:spacing w:after="0" w:line="240" w:lineRule="auto"/>
              <w:rPr>
                <w:rFonts w:ascii="Arial Narrow" w:hAnsi="Arial Narrow"/>
                <w:sz w:val="20"/>
                <w:szCs w:val="20"/>
              </w:rPr>
            </w:pPr>
            <w:r w:rsidRPr="007D0AA8">
              <w:rPr>
                <w:rFonts w:ascii="Arial Narrow" w:hAnsi="Arial Narrow"/>
                <w:sz w:val="20"/>
                <w:szCs w:val="20"/>
              </w:rPr>
              <w:t>chronic lymphocytic leukaemia</w:t>
            </w:r>
          </w:p>
        </w:tc>
      </w:tr>
      <w:tr w:rsidR="001855A6" w:rsidRPr="007D0AA8" w14:paraId="70E9FA8E" w14:textId="77777777" w:rsidTr="007912C1">
        <w:tc>
          <w:tcPr>
            <w:tcW w:w="1560" w:type="dxa"/>
          </w:tcPr>
          <w:p w14:paraId="3C03CBE9" w14:textId="469978F2"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CML</w:t>
            </w:r>
          </w:p>
        </w:tc>
        <w:tc>
          <w:tcPr>
            <w:tcW w:w="7469" w:type="dxa"/>
          </w:tcPr>
          <w:p w14:paraId="78B272C5" w14:textId="064FF695"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chronic myeloid leukaemia</w:t>
            </w:r>
            <w:r w:rsidR="00767BEA" w:rsidRPr="007D0AA8">
              <w:rPr>
                <w:rFonts w:ascii="Arial Narrow" w:hAnsi="Arial Narrow"/>
                <w:sz w:val="20"/>
                <w:szCs w:val="20"/>
              </w:rPr>
              <w:t xml:space="preserve"> (a type of ‘other haematological malignancy’)</w:t>
            </w:r>
          </w:p>
        </w:tc>
      </w:tr>
      <w:tr w:rsidR="00DC4C3E" w:rsidRPr="007D0AA8" w14:paraId="738245FD" w14:textId="77777777" w:rsidTr="007912C1">
        <w:tc>
          <w:tcPr>
            <w:tcW w:w="1560" w:type="dxa"/>
          </w:tcPr>
          <w:p w14:paraId="0A5E2649" w14:textId="77777777" w:rsidR="00DC4C3E" w:rsidRPr="007D0AA8" w:rsidRDefault="00DC4C3E" w:rsidP="00B06A88">
            <w:pPr>
              <w:spacing w:after="0" w:line="240" w:lineRule="auto"/>
              <w:rPr>
                <w:rFonts w:ascii="Arial Narrow" w:hAnsi="Arial Narrow"/>
                <w:sz w:val="20"/>
                <w:szCs w:val="20"/>
              </w:rPr>
            </w:pPr>
            <w:r w:rsidRPr="007D0AA8">
              <w:rPr>
                <w:rFonts w:ascii="Arial Narrow" w:hAnsi="Arial Narrow"/>
                <w:sz w:val="20"/>
                <w:szCs w:val="20"/>
              </w:rPr>
              <w:t>CMV</w:t>
            </w:r>
          </w:p>
        </w:tc>
        <w:tc>
          <w:tcPr>
            <w:tcW w:w="7469" w:type="dxa"/>
          </w:tcPr>
          <w:p w14:paraId="58EF6854" w14:textId="77777777" w:rsidR="00DC4C3E" w:rsidRPr="007D0AA8" w:rsidRDefault="00DC4C3E" w:rsidP="00B06A88">
            <w:pPr>
              <w:spacing w:after="0" w:line="240" w:lineRule="auto"/>
              <w:rPr>
                <w:rFonts w:ascii="Arial Narrow" w:hAnsi="Arial Narrow"/>
                <w:sz w:val="20"/>
                <w:szCs w:val="20"/>
              </w:rPr>
            </w:pPr>
            <w:r w:rsidRPr="007D0AA8">
              <w:rPr>
                <w:rFonts w:ascii="Arial Narrow" w:hAnsi="Arial Narrow"/>
                <w:sz w:val="20"/>
                <w:szCs w:val="20"/>
              </w:rPr>
              <w:t>cytomegalovirus</w:t>
            </w:r>
          </w:p>
        </w:tc>
      </w:tr>
      <w:tr w:rsidR="001855A6" w:rsidRPr="007D0AA8" w14:paraId="05396BA5" w14:textId="77777777" w:rsidTr="007912C1">
        <w:tc>
          <w:tcPr>
            <w:tcW w:w="1560" w:type="dxa"/>
          </w:tcPr>
          <w:p w14:paraId="6854AD1E" w14:textId="307CCC29" w:rsidR="001855A6" w:rsidRPr="007D0AA8" w:rsidRDefault="00B06A88" w:rsidP="00B06A88">
            <w:pPr>
              <w:spacing w:after="0" w:line="240" w:lineRule="auto"/>
              <w:rPr>
                <w:rFonts w:ascii="Arial Narrow" w:hAnsi="Arial Narrow"/>
                <w:sz w:val="20"/>
                <w:szCs w:val="20"/>
              </w:rPr>
            </w:pPr>
            <w:r w:rsidRPr="007D0AA8">
              <w:rPr>
                <w:rFonts w:ascii="Arial Narrow" w:hAnsi="Arial Narrow"/>
                <w:sz w:val="20"/>
                <w:szCs w:val="20"/>
              </w:rPr>
              <w:t>C</w:t>
            </w:r>
            <w:r w:rsidR="001855A6" w:rsidRPr="007D0AA8">
              <w:rPr>
                <w:rFonts w:ascii="Arial Narrow" w:hAnsi="Arial Narrow"/>
                <w:sz w:val="20"/>
                <w:szCs w:val="20"/>
              </w:rPr>
              <w:t>V</w:t>
            </w:r>
            <w:r w:rsidRPr="007D0AA8">
              <w:rPr>
                <w:rFonts w:ascii="Arial Narrow" w:hAnsi="Arial Narrow"/>
                <w:sz w:val="20"/>
                <w:szCs w:val="20"/>
              </w:rPr>
              <w:t>ID</w:t>
            </w:r>
          </w:p>
        </w:tc>
        <w:tc>
          <w:tcPr>
            <w:tcW w:w="7469" w:type="dxa"/>
          </w:tcPr>
          <w:p w14:paraId="1382350A" w14:textId="6BC5E110" w:rsidR="001855A6" w:rsidRPr="007D0AA8" w:rsidRDefault="00B06A88" w:rsidP="00B06A88">
            <w:pPr>
              <w:spacing w:after="0" w:line="240" w:lineRule="auto"/>
              <w:rPr>
                <w:rFonts w:ascii="Arial Narrow" w:hAnsi="Arial Narrow"/>
                <w:sz w:val="20"/>
                <w:szCs w:val="20"/>
              </w:rPr>
            </w:pPr>
            <w:r w:rsidRPr="007D0AA8">
              <w:rPr>
                <w:rFonts w:ascii="Arial Narrow" w:hAnsi="Arial Narrow"/>
                <w:sz w:val="20"/>
                <w:szCs w:val="20"/>
              </w:rPr>
              <w:t>common variable immunodeficiency</w:t>
            </w:r>
          </w:p>
        </w:tc>
      </w:tr>
      <w:tr w:rsidR="0016008C" w:rsidRPr="007D0AA8" w14:paraId="6BA9FB72" w14:textId="77777777" w:rsidTr="0016008C">
        <w:tc>
          <w:tcPr>
            <w:tcW w:w="1560" w:type="dxa"/>
          </w:tcPr>
          <w:p w14:paraId="1EE74DE4" w14:textId="77777777" w:rsidR="0016008C" w:rsidRPr="007D0AA8" w:rsidRDefault="0016008C" w:rsidP="0016008C">
            <w:pPr>
              <w:spacing w:after="0" w:line="240" w:lineRule="auto"/>
              <w:rPr>
                <w:rFonts w:ascii="Arial Narrow" w:hAnsi="Arial Narrow"/>
                <w:sz w:val="20"/>
                <w:szCs w:val="20"/>
              </w:rPr>
            </w:pPr>
            <w:r w:rsidRPr="007D0AA8">
              <w:rPr>
                <w:rFonts w:ascii="Arial Narrow" w:hAnsi="Arial Narrow"/>
                <w:sz w:val="20"/>
                <w:szCs w:val="20"/>
              </w:rPr>
              <w:t>DLBCL</w:t>
            </w:r>
          </w:p>
        </w:tc>
        <w:tc>
          <w:tcPr>
            <w:tcW w:w="7469" w:type="dxa"/>
          </w:tcPr>
          <w:p w14:paraId="2AA3DEE0" w14:textId="77777777" w:rsidR="0016008C" w:rsidRPr="007D0AA8" w:rsidRDefault="0016008C" w:rsidP="0016008C">
            <w:pPr>
              <w:spacing w:after="0" w:line="240" w:lineRule="auto"/>
              <w:rPr>
                <w:rFonts w:ascii="Arial Narrow" w:hAnsi="Arial Narrow"/>
                <w:sz w:val="20"/>
                <w:szCs w:val="20"/>
              </w:rPr>
            </w:pPr>
            <w:r w:rsidRPr="007D0AA8">
              <w:rPr>
                <w:rFonts w:ascii="Arial Narrow" w:hAnsi="Arial Narrow"/>
                <w:sz w:val="20"/>
                <w:szCs w:val="20"/>
              </w:rPr>
              <w:t>diffuse large B-cell lymphoma (a type of NHL)</w:t>
            </w:r>
          </w:p>
        </w:tc>
      </w:tr>
      <w:tr w:rsidR="001855A6" w:rsidRPr="007D0AA8" w14:paraId="7A4AC8A2" w14:textId="77777777" w:rsidTr="007912C1">
        <w:tc>
          <w:tcPr>
            <w:tcW w:w="1560" w:type="dxa"/>
          </w:tcPr>
          <w:p w14:paraId="23BA33F8" w14:textId="464700AB" w:rsidR="001855A6" w:rsidRPr="007D0AA8" w:rsidRDefault="0016008C" w:rsidP="00B06A88">
            <w:pPr>
              <w:spacing w:after="0" w:line="240" w:lineRule="auto"/>
              <w:rPr>
                <w:rFonts w:ascii="Arial Narrow" w:hAnsi="Arial Narrow"/>
                <w:sz w:val="20"/>
                <w:szCs w:val="20"/>
              </w:rPr>
            </w:pPr>
            <w:r w:rsidRPr="007D0AA8">
              <w:rPr>
                <w:rFonts w:ascii="Arial Narrow" w:hAnsi="Arial Narrow"/>
                <w:sz w:val="20"/>
                <w:szCs w:val="20"/>
              </w:rPr>
              <w:t>DVT</w:t>
            </w:r>
          </w:p>
        </w:tc>
        <w:tc>
          <w:tcPr>
            <w:tcW w:w="7469" w:type="dxa"/>
          </w:tcPr>
          <w:p w14:paraId="39688889" w14:textId="7FCBF732" w:rsidR="001855A6" w:rsidRPr="007D0AA8" w:rsidRDefault="0016008C" w:rsidP="00B06A88">
            <w:pPr>
              <w:spacing w:after="0" w:line="240" w:lineRule="auto"/>
              <w:rPr>
                <w:rFonts w:ascii="Arial Narrow" w:hAnsi="Arial Narrow"/>
                <w:sz w:val="20"/>
                <w:szCs w:val="20"/>
              </w:rPr>
            </w:pPr>
            <w:r w:rsidRPr="007D0AA8">
              <w:rPr>
                <w:rFonts w:ascii="Arial Narrow" w:hAnsi="Arial Narrow"/>
                <w:sz w:val="20"/>
                <w:szCs w:val="20"/>
              </w:rPr>
              <w:t>deep vein thrombosis</w:t>
            </w:r>
          </w:p>
        </w:tc>
      </w:tr>
      <w:tr w:rsidR="00D67A6E" w:rsidRPr="007D0AA8" w14:paraId="4076A8F3" w14:textId="77777777" w:rsidTr="007912C1">
        <w:tc>
          <w:tcPr>
            <w:tcW w:w="1560" w:type="dxa"/>
          </w:tcPr>
          <w:p w14:paraId="1C440539" w14:textId="7C9EB699" w:rsidR="00D67A6E" w:rsidRPr="007D0AA8" w:rsidRDefault="00D67A6E" w:rsidP="00B06A88">
            <w:pPr>
              <w:spacing w:after="0" w:line="240" w:lineRule="auto"/>
              <w:rPr>
                <w:rFonts w:ascii="Arial Narrow" w:hAnsi="Arial Narrow"/>
                <w:sz w:val="20"/>
                <w:szCs w:val="20"/>
              </w:rPr>
            </w:pPr>
            <w:r>
              <w:rPr>
                <w:rFonts w:ascii="Arial Narrow" w:hAnsi="Arial Narrow"/>
                <w:sz w:val="20"/>
                <w:szCs w:val="20"/>
              </w:rPr>
              <w:t>EMA</w:t>
            </w:r>
          </w:p>
        </w:tc>
        <w:tc>
          <w:tcPr>
            <w:tcW w:w="7469" w:type="dxa"/>
          </w:tcPr>
          <w:p w14:paraId="788925A8" w14:textId="19316034" w:rsidR="00D67A6E" w:rsidRPr="007D0AA8" w:rsidRDefault="00D67A6E" w:rsidP="00B06A88">
            <w:pPr>
              <w:spacing w:after="0" w:line="240" w:lineRule="auto"/>
              <w:rPr>
                <w:rFonts w:ascii="Arial Narrow" w:hAnsi="Arial Narrow"/>
                <w:sz w:val="20"/>
                <w:szCs w:val="20"/>
              </w:rPr>
            </w:pPr>
            <w:r>
              <w:rPr>
                <w:rFonts w:ascii="Arial Narrow" w:hAnsi="Arial Narrow"/>
                <w:sz w:val="20"/>
                <w:szCs w:val="20"/>
              </w:rPr>
              <w:t>European Medicines Agency</w:t>
            </w:r>
          </w:p>
        </w:tc>
      </w:tr>
      <w:tr w:rsidR="00D67A6E" w:rsidRPr="007D0AA8" w14:paraId="55097A31" w14:textId="77777777" w:rsidTr="007912C1">
        <w:tc>
          <w:tcPr>
            <w:tcW w:w="1560" w:type="dxa"/>
          </w:tcPr>
          <w:p w14:paraId="2FF56D7E" w14:textId="3533D822" w:rsidR="00D67A6E" w:rsidRDefault="00D67A6E" w:rsidP="00B06A88">
            <w:pPr>
              <w:spacing w:after="0" w:line="240" w:lineRule="auto"/>
              <w:rPr>
                <w:rFonts w:ascii="Arial Narrow" w:hAnsi="Arial Narrow"/>
                <w:sz w:val="20"/>
                <w:szCs w:val="20"/>
              </w:rPr>
            </w:pPr>
            <w:r>
              <w:rPr>
                <w:rFonts w:ascii="Arial Narrow" w:hAnsi="Arial Narrow"/>
                <w:sz w:val="20"/>
                <w:szCs w:val="20"/>
              </w:rPr>
              <w:t>EU</w:t>
            </w:r>
          </w:p>
        </w:tc>
        <w:tc>
          <w:tcPr>
            <w:tcW w:w="7469" w:type="dxa"/>
          </w:tcPr>
          <w:p w14:paraId="75764387" w14:textId="59DFE027" w:rsidR="00D67A6E" w:rsidRDefault="00D67A6E" w:rsidP="00B06A88">
            <w:pPr>
              <w:spacing w:after="0" w:line="240" w:lineRule="auto"/>
              <w:rPr>
                <w:rFonts w:ascii="Arial Narrow" w:hAnsi="Arial Narrow"/>
                <w:sz w:val="20"/>
                <w:szCs w:val="20"/>
              </w:rPr>
            </w:pPr>
            <w:r>
              <w:rPr>
                <w:rFonts w:ascii="Arial Narrow" w:hAnsi="Arial Narrow"/>
                <w:sz w:val="20"/>
                <w:szCs w:val="20"/>
              </w:rPr>
              <w:t>European Union</w:t>
            </w:r>
          </w:p>
        </w:tc>
      </w:tr>
      <w:tr w:rsidR="001855A6" w:rsidRPr="007D0AA8" w14:paraId="2E1D0433" w14:textId="77777777" w:rsidTr="007912C1">
        <w:tc>
          <w:tcPr>
            <w:tcW w:w="1560" w:type="dxa"/>
          </w:tcPr>
          <w:p w14:paraId="60850174" w14:textId="77777777"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FL</w:t>
            </w:r>
          </w:p>
        </w:tc>
        <w:tc>
          <w:tcPr>
            <w:tcW w:w="7469" w:type="dxa"/>
          </w:tcPr>
          <w:p w14:paraId="6995AD0F" w14:textId="74B48F4E"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follicular lymphoma (</w:t>
            </w:r>
            <w:r w:rsidR="00767BEA" w:rsidRPr="007D0AA8">
              <w:rPr>
                <w:rFonts w:ascii="Arial Narrow" w:hAnsi="Arial Narrow"/>
                <w:sz w:val="20"/>
                <w:szCs w:val="20"/>
              </w:rPr>
              <w:t xml:space="preserve">a </w:t>
            </w:r>
            <w:r w:rsidRPr="007D0AA8">
              <w:rPr>
                <w:rFonts w:ascii="Arial Narrow" w:hAnsi="Arial Narrow"/>
                <w:sz w:val="20"/>
                <w:szCs w:val="20"/>
              </w:rPr>
              <w:t>type of NHL)</w:t>
            </w:r>
          </w:p>
        </w:tc>
      </w:tr>
      <w:tr w:rsidR="001855A6" w:rsidRPr="007D0AA8" w14:paraId="6ECDAEA6" w14:textId="77777777" w:rsidTr="007912C1">
        <w:tc>
          <w:tcPr>
            <w:tcW w:w="1560" w:type="dxa"/>
          </w:tcPr>
          <w:p w14:paraId="73F0D9ED" w14:textId="77777777"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G-CSF</w:t>
            </w:r>
          </w:p>
        </w:tc>
        <w:tc>
          <w:tcPr>
            <w:tcW w:w="7469" w:type="dxa"/>
          </w:tcPr>
          <w:p w14:paraId="79E55A7F" w14:textId="77777777"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granulocyte colony stimulating factor (filgrastim)</w:t>
            </w:r>
          </w:p>
        </w:tc>
      </w:tr>
      <w:tr w:rsidR="00265C20" w:rsidRPr="007D0AA8" w14:paraId="3A3303B2" w14:textId="77777777" w:rsidTr="007912C1">
        <w:tc>
          <w:tcPr>
            <w:tcW w:w="1560" w:type="dxa"/>
          </w:tcPr>
          <w:p w14:paraId="11BCEAC5" w14:textId="33D16CB4" w:rsidR="00265C20" w:rsidRPr="007D0AA8" w:rsidRDefault="00265C20" w:rsidP="00B06A88">
            <w:pPr>
              <w:spacing w:after="0" w:line="240" w:lineRule="auto"/>
              <w:rPr>
                <w:rFonts w:ascii="Arial Narrow" w:hAnsi="Arial Narrow"/>
                <w:sz w:val="20"/>
                <w:szCs w:val="20"/>
              </w:rPr>
            </w:pPr>
            <w:r w:rsidRPr="007D0AA8">
              <w:rPr>
                <w:rFonts w:ascii="Arial Narrow" w:hAnsi="Arial Narrow"/>
                <w:sz w:val="20"/>
                <w:szCs w:val="20"/>
              </w:rPr>
              <w:t>GI</w:t>
            </w:r>
          </w:p>
        </w:tc>
        <w:tc>
          <w:tcPr>
            <w:tcW w:w="7469" w:type="dxa"/>
          </w:tcPr>
          <w:p w14:paraId="17873CC5" w14:textId="129F3EEA" w:rsidR="00265C20" w:rsidRPr="007D0AA8" w:rsidRDefault="001B37A5" w:rsidP="00B06A88">
            <w:pPr>
              <w:spacing w:after="0" w:line="240" w:lineRule="auto"/>
              <w:rPr>
                <w:rFonts w:ascii="Arial Narrow" w:hAnsi="Arial Narrow"/>
                <w:sz w:val="20"/>
                <w:szCs w:val="20"/>
              </w:rPr>
            </w:pPr>
            <w:r w:rsidRPr="007D0AA8">
              <w:rPr>
                <w:rFonts w:ascii="Arial Narrow" w:hAnsi="Arial Narrow"/>
                <w:sz w:val="20"/>
                <w:szCs w:val="20"/>
              </w:rPr>
              <w:t>G</w:t>
            </w:r>
            <w:r w:rsidR="00265C20" w:rsidRPr="007D0AA8">
              <w:rPr>
                <w:rFonts w:ascii="Arial Narrow" w:hAnsi="Arial Narrow"/>
                <w:sz w:val="20"/>
                <w:szCs w:val="20"/>
              </w:rPr>
              <w:t>astrointestinal</w:t>
            </w:r>
            <w:r>
              <w:rPr>
                <w:rFonts w:ascii="Arial Narrow" w:hAnsi="Arial Narrow"/>
                <w:sz w:val="20"/>
                <w:szCs w:val="20"/>
              </w:rPr>
              <w:t xml:space="preserve"> (tract)</w:t>
            </w:r>
          </w:p>
        </w:tc>
      </w:tr>
      <w:tr w:rsidR="00F578FD" w:rsidRPr="007D0AA8" w14:paraId="5E9E7124" w14:textId="77777777" w:rsidTr="007912C1">
        <w:tc>
          <w:tcPr>
            <w:tcW w:w="1560" w:type="dxa"/>
          </w:tcPr>
          <w:p w14:paraId="6AEBC9E0" w14:textId="77777777" w:rsidR="00F578FD" w:rsidRPr="007D0AA8" w:rsidRDefault="00F578FD" w:rsidP="00C905D0">
            <w:pPr>
              <w:spacing w:after="0" w:line="240" w:lineRule="auto"/>
              <w:rPr>
                <w:rFonts w:ascii="Arial Narrow" w:hAnsi="Arial Narrow"/>
                <w:sz w:val="20"/>
                <w:szCs w:val="20"/>
              </w:rPr>
            </w:pPr>
            <w:r w:rsidRPr="007D0AA8">
              <w:rPr>
                <w:rFonts w:ascii="Arial Narrow" w:hAnsi="Arial Narrow"/>
                <w:sz w:val="20"/>
                <w:szCs w:val="20"/>
              </w:rPr>
              <w:t>GVHD</w:t>
            </w:r>
          </w:p>
        </w:tc>
        <w:tc>
          <w:tcPr>
            <w:tcW w:w="7469" w:type="dxa"/>
          </w:tcPr>
          <w:p w14:paraId="72AC7F59" w14:textId="77777777" w:rsidR="00F578FD" w:rsidRPr="007D0AA8" w:rsidRDefault="00F578FD" w:rsidP="00C905D0">
            <w:pPr>
              <w:spacing w:after="0" w:line="240" w:lineRule="auto"/>
              <w:rPr>
                <w:rFonts w:ascii="Arial Narrow" w:hAnsi="Arial Narrow"/>
                <w:sz w:val="20"/>
                <w:szCs w:val="20"/>
              </w:rPr>
            </w:pPr>
            <w:r w:rsidRPr="007D0AA8">
              <w:rPr>
                <w:rFonts w:ascii="Arial Narrow" w:hAnsi="Arial Narrow"/>
                <w:sz w:val="20"/>
                <w:szCs w:val="20"/>
              </w:rPr>
              <w:t>graft versus host disease</w:t>
            </w:r>
          </w:p>
        </w:tc>
      </w:tr>
      <w:tr w:rsidR="001855A6" w:rsidRPr="007D0AA8" w14:paraId="0C0ADF81" w14:textId="77777777" w:rsidTr="007912C1">
        <w:tc>
          <w:tcPr>
            <w:tcW w:w="1560" w:type="dxa"/>
          </w:tcPr>
          <w:p w14:paraId="13A5965F" w14:textId="77777777"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HBV</w:t>
            </w:r>
          </w:p>
        </w:tc>
        <w:tc>
          <w:tcPr>
            <w:tcW w:w="7469" w:type="dxa"/>
          </w:tcPr>
          <w:p w14:paraId="52867A33" w14:textId="77777777"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hepatitis B virus</w:t>
            </w:r>
          </w:p>
        </w:tc>
      </w:tr>
      <w:tr w:rsidR="001855A6" w:rsidRPr="007D0AA8" w14:paraId="1EDC994A" w14:textId="77777777" w:rsidTr="007912C1">
        <w:tc>
          <w:tcPr>
            <w:tcW w:w="1560" w:type="dxa"/>
          </w:tcPr>
          <w:p w14:paraId="1175E91F" w14:textId="54A7F0A1"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HCV</w:t>
            </w:r>
          </w:p>
        </w:tc>
        <w:tc>
          <w:tcPr>
            <w:tcW w:w="7469" w:type="dxa"/>
          </w:tcPr>
          <w:p w14:paraId="737D0959" w14:textId="4990AD6B"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hepatitis C virus</w:t>
            </w:r>
          </w:p>
        </w:tc>
      </w:tr>
      <w:tr w:rsidR="001855A6" w:rsidRPr="007D0AA8" w14:paraId="3EA73585" w14:textId="77777777" w:rsidTr="007912C1">
        <w:tc>
          <w:tcPr>
            <w:tcW w:w="1560" w:type="dxa"/>
          </w:tcPr>
          <w:p w14:paraId="4E59B5B7" w14:textId="0ABC081C"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HIV</w:t>
            </w:r>
          </w:p>
        </w:tc>
        <w:tc>
          <w:tcPr>
            <w:tcW w:w="7469" w:type="dxa"/>
          </w:tcPr>
          <w:p w14:paraId="629D1122" w14:textId="3B2DD10A"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human immunodeficiency virus</w:t>
            </w:r>
          </w:p>
        </w:tc>
      </w:tr>
      <w:tr w:rsidR="001855A6" w:rsidRPr="007D0AA8" w14:paraId="16E5ECED" w14:textId="77777777" w:rsidTr="007912C1">
        <w:tc>
          <w:tcPr>
            <w:tcW w:w="1560" w:type="dxa"/>
          </w:tcPr>
          <w:p w14:paraId="6231ED41" w14:textId="0EE78CA2"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HL</w:t>
            </w:r>
          </w:p>
        </w:tc>
        <w:tc>
          <w:tcPr>
            <w:tcW w:w="7469" w:type="dxa"/>
          </w:tcPr>
          <w:p w14:paraId="3067BDB7" w14:textId="639D301F"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Hodgkin lymphoma (</w:t>
            </w:r>
            <w:r w:rsidR="00767BEA" w:rsidRPr="007D0AA8">
              <w:rPr>
                <w:rFonts w:ascii="Arial Narrow" w:hAnsi="Arial Narrow"/>
                <w:sz w:val="20"/>
                <w:szCs w:val="20"/>
              </w:rPr>
              <w:t xml:space="preserve">a </w:t>
            </w:r>
            <w:r w:rsidRPr="007D0AA8">
              <w:rPr>
                <w:rFonts w:ascii="Arial Narrow" w:hAnsi="Arial Narrow"/>
                <w:sz w:val="20"/>
                <w:szCs w:val="20"/>
              </w:rPr>
              <w:t>type of ‘other haematological malignancy’)</w:t>
            </w:r>
          </w:p>
        </w:tc>
      </w:tr>
      <w:tr w:rsidR="001855A6" w:rsidRPr="007D0AA8" w14:paraId="78DB8C68" w14:textId="77777777" w:rsidTr="007912C1">
        <w:tc>
          <w:tcPr>
            <w:tcW w:w="1560" w:type="dxa"/>
          </w:tcPr>
          <w:p w14:paraId="3DF5BC24" w14:textId="53FEF8EB"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HM</w:t>
            </w:r>
          </w:p>
        </w:tc>
        <w:tc>
          <w:tcPr>
            <w:tcW w:w="7469" w:type="dxa"/>
          </w:tcPr>
          <w:p w14:paraId="173F7797" w14:textId="36928C19" w:rsidR="001855A6" w:rsidRPr="007D0AA8" w:rsidRDefault="00265C20" w:rsidP="001855A6">
            <w:pPr>
              <w:spacing w:after="0" w:line="240" w:lineRule="auto"/>
              <w:rPr>
                <w:rFonts w:ascii="Arial Narrow" w:hAnsi="Arial Narrow"/>
                <w:sz w:val="20"/>
                <w:szCs w:val="20"/>
              </w:rPr>
            </w:pPr>
            <w:r w:rsidRPr="007D0AA8">
              <w:rPr>
                <w:rFonts w:ascii="Arial Narrow" w:hAnsi="Arial Narrow"/>
                <w:sz w:val="20"/>
                <w:szCs w:val="20"/>
              </w:rPr>
              <w:t>h</w:t>
            </w:r>
            <w:r w:rsidR="001855A6" w:rsidRPr="007D0AA8">
              <w:rPr>
                <w:rFonts w:ascii="Arial Narrow" w:hAnsi="Arial Narrow"/>
                <w:sz w:val="20"/>
                <w:szCs w:val="20"/>
              </w:rPr>
              <w:t>aematologi</w:t>
            </w:r>
            <w:r w:rsidRPr="007D0AA8">
              <w:rPr>
                <w:rFonts w:ascii="Arial Narrow" w:hAnsi="Arial Narrow"/>
                <w:sz w:val="20"/>
                <w:szCs w:val="20"/>
              </w:rPr>
              <w:t>cal malignancy</w:t>
            </w:r>
          </w:p>
        </w:tc>
      </w:tr>
      <w:tr w:rsidR="001855A6" w:rsidRPr="007D0AA8" w14:paraId="4A263B70" w14:textId="77777777" w:rsidTr="007912C1">
        <w:tc>
          <w:tcPr>
            <w:tcW w:w="1560" w:type="dxa"/>
          </w:tcPr>
          <w:p w14:paraId="752722A4" w14:textId="43265804"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HR</w:t>
            </w:r>
          </w:p>
        </w:tc>
        <w:tc>
          <w:tcPr>
            <w:tcW w:w="7469" w:type="dxa"/>
          </w:tcPr>
          <w:p w14:paraId="7968F259" w14:textId="7AD4C252"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hazard ratio</w:t>
            </w:r>
          </w:p>
        </w:tc>
      </w:tr>
      <w:tr w:rsidR="001855A6" w:rsidRPr="007D0AA8" w14:paraId="59323EA0" w14:textId="77777777" w:rsidTr="007912C1">
        <w:tc>
          <w:tcPr>
            <w:tcW w:w="1560" w:type="dxa"/>
          </w:tcPr>
          <w:p w14:paraId="3679CE75" w14:textId="77777777"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HRQoL</w:t>
            </w:r>
          </w:p>
        </w:tc>
        <w:tc>
          <w:tcPr>
            <w:tcW w:w="7469" w:type="dxa"/>
          </w:tcPr>
          <w:p w14:paraId="79F222E9" w14:textId="77777777"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health-related quality of life</w:t>
            </w:r>
          </w:p>
        </w:tc>
      </w:tr>
      <w:tr w:rsidR="001855A6" w:rsidRPr="007D0AA8" w14:paraId="4F471B68" w14:textId="77777777" w:rsidTr="007912C1">
        <w:tc>
          <w:tcPr>
            <w:tcW w:w="1560" w:type="dxa"/>
          </w:tcPr>
          <w:p w14:paraId="6DDB0165" w14:textId="77777777"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HSA</w:t>
            </w:r>
          </w:p>
        </w:tc>
        <w:tc>
          <w:tcPr>
            <w:tcW w:w="7469" w:type="dxa"/>
          </w:tcPr>
          <w:p w14:paraId="05D17376" w14:textId="77777777"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human serum albumin</w:t>
            </w:r>
          </w:p>
        </w:tc>
      </w:tr>
      <w:tr w:rsidR="00E46014" w:rsidRPr="007D0AA8" w14:paraId="1306F69C" w14:textId="77777777" w:rsidTr="007912C1">
        <w:tc>
          <w:tcPr>
            <w:tcW w:w="1560" w:type="dxa"/>
          </w:tcPr>
          <w:p w14:paraId="7F675CFF" w14:textId="77777777" w:rsidR="00E46014" w:rsidRPr="007D0AA8" w:rsidRDefault="00E46014" w:rsidP="00E46014">
            <w:pPr>
              <w:spacing w:after="0" w:line="240" w:lineRule="auto"/>
              <w:rPr>
                <w:rFonts w:ascii="Arial Narrow" w:hAnsi="Arial Narrow"/>
                <w:color w:val="000000"/>
                <w:sz w:val="20"/>
                <w:szCs w:val="20"/>
              </w:rPr>
            </w:pPr>
            <w:r w:rsidRPr="007D0AA8">
              <w:rPr>
                <w:rFonts w:ascii="Arial Narrow" w:hAnsi="Arial Narrow"/>
                <w:color w:val="000000"/>
                <w:sz w:val="20"/>
                <w:szCs w:val="20"/>
              </w:rPr>
              <w:t>HSCT</w:t>
            </w:r>
          </w:p>
        </w:tc>
        <w:tc>
          <w:tcPr>
            <w:tcW w:w="7469" w:type="dxa"/>
          </w:tcPr>
          <w:p w14:paraId="3B67AA8F" w14:textId="77777777" w:rsidR="00E46014" w:rsidRPr="007D0AA8" w:rsidRDefault="00E46014" w:rsidP="00E46014">
            <w:pPr>
              <w:spacing w:after="0" w:line="240" w:lineRule="auto"/>
              <w:rPr>
                <w:rFonts w:ascii="Arial Narrow" w:hAnsi="Arial Narrow"/>
                <w:color w:val="000000"/>
                <w:sz w:val="20"/>
                <w:szCs w:val="20"/>
              </w:rPr>
            </w:pPr>
            <w:r w:rsidRPr="007D0AA8">
              <w:rPr>
                <w:rFonts w:ascii="Arial Narrow" w:hAnsi="Arial Narrow"/>
                <w:color w:val="000000"/>
                <w:sz w:val="20"/>
                <w:szCs w:val="20"/>
              </w:rPr>
              <w:t>haemopoietic stem cell transplantation</w:t>
            </w:r>
          </w:p>
        </w:tc>
      </w:tr>
      <w:tr w:rsidR="00B71723" w:rsidRPr="007D0AA8" w14:paraId="300467C9" w14:textId="77777777" w:rsidTr="007912C1">
        <w:tc>
          <w:tcPr>
            <w:tcW w:w="1560" w:type="dxa"/>
          </w:tcPr>
          <w:p w14:paraId="51417156" w14:textId="122D3CF2" w:rsidR="00B71723" w:rsidRPr="007D0AA8" w:rsidRDefault="00B71723" w:rsidP="00E46014">
            <w:pPr>
              <w:spacing w:after="0" w:line="240" w:lineRule="auto"/>
              <w:rPr>
                <w:rFonts w:ascii="Arial Narrow" w:hAnsi="Arial Narrow"/>
                <w:color w:val="000000"/>
                <w:sz w:val="20"/>
                <w:szCs w:val="20"/>
              </w:rPr>
            </w:pPr>
            <w:r w:rsidRPr="007D0AA8">
              <w:rPr>
                <w:rFonts w:ascii="Arial Narrow" w:hAnsi="Arial Narrow"/>
                <w:color w:val="000000"/>
                <w:sz w:val="20"/>
                <w:szCs w:val="20"/>
              </w:rPr>
              <w:t>HSV</w:t>
            </w:r>
          </w:p>
        </w:tc>
        <w:tc>
          <w:tcPr>
            <w:tcW w:w="7469" w:type="dxa"/>
          </w:tcPr>
          <w:p w14:paraId="56A5C1B0" w14:textId="32723A6D" w:rsidR="00B71723" w:rsidRPr="007D0AA8" w:rsidRDefault="00B71723" w:rsidP="00E46014">
            <w:pPr>
              <w:spacing w:after="0" w:line="240" w:lineRule="auto"/>
              <w:rPr>
                <w:rFonts w:ascii="Arial Narrow" w:hAnsi="Arial Narrow"/>
                <w:color w:val="000000"/>
                <w:sz w:val="20"/>
                <w:szCs w:val="20"/>
              </w:rPr>
            </w:pPr>
            <w:r w:rsidRPr="007D0AA8">
              <w:rPr>
                <w:rFonts w:ascii="Arial Narrow" w:hAnsi="Arial Narrow"/>
                <w:color w:val="000000"/>
                <w:sz w:val="20"/>
                <w:szCs w:val="20"/>
              </w:rPr>
              <w:t>Herpes simplex virus</w:t>
            </w:r>
          </w:p>
        </w:tc>
      </w:tr>
      <w:tr w:rsidR="0052270C" w:rsidRPr="007D0AA8" w14:paraId="722408A2" w14:textId="77777777" w:rsidTr="007912C1">
        <w:tc>
          <w:tcPr>
            <w:tcW w:w="1560" w:type="dxa"/>
          </w:tcPr>
          <w:p w14:paraId="0D2F7D2A" w14:textId="77777777" w:rsidR="0052270C" w:rsidRPr="007D0AA8" w:rsidRDefault="0052270C" w:rsidP="00E46014">
            <w:pPr>
              <w:spacing w:after="0" w:line="240" w:lineRule="auto"/>
              <w:rPr>
                <w:rFonts w:ascii="Arial Narrow" w:hAnsi="Arial Narrow"/>
                <w:sz w:val="20"/>
                <w:szCs w:val="20"/>
              </w:rPr>
            </w:pPr>
            <w:r w:rsidRPr="007D0AA8">
              <w:rPr>
                <w:rFonts w:ascii="Arial Narrow" w:hAnsi="Arial Narrow"/>
                <w:sz w:val="20"/>
                <w:szCs w:val="20"/>
              </w:rPr>
              <w:t>HTA</w:t>
            </w:r>
          </w:p>
        </w:tc>
        <w:tc>
          <w:tcPr>
            <w:tcW w:w="7469" w:type="dxa"/>
          </w:tcPr>
          <w:p w14:paraId="71E17A77" w14:textId="77777777" w:rsidR="0052270C" w:rsidRPr="007D0AA8" w:rsidRDefault="00B56B5D" w:rsidP="00E46014">
            <w:pPr>
              <w:spacing w:after="0" w:line="240" w:lineRule="auto"/>
              <w:rPr>
                <w:rFonts w:ascii="Arial Narrow" w:hAnsi="Arial Narrow"/>
                <w:sz w:val="20"/>
                <w:szCs w:val="20"/>
              </w:rPr>
            </w:pPr>
            <w:r w:rsidRPr="007D0AA8">
              <w:rPr>
                <w:rFonts w:ascii="Arial Narrow" w:hAnsi="Arial Narrow"/>
                <w:sz w:val="20"/>
                <w:szCs w:val="20"/>
              </w:rPr>
              <w:t>health technology a</w:t>
            </w:r>
            <w:r w:rsidR="0052270C" w:rsidRPr="007D0AA8">
              <w:rPr>
                <w:rFonts w:ascii="Arial Narrow" w:hAnsi="Arial Narrow"/>
                <w:sz w:val="20"/>
                <w:szCs w:val="20"/>
              </w:rPr>
              <w:t>ssessment</w:t>
            </w:r>
          </w:p>
        </w:tc>
      </w:tr>
      <w:tr w:rsidR="001855A6" w:rsidRPr="007D0AA8" w14:paraId="0DC1611A" w14:textId="77777777" w:rsidTr="007912C1">
        <w:tc>
          <w:tcPr>
            <w:tcW w:w="1560" w:type="dxa"/>
          </w:tcPr>
          <w:p w14:paraId="0D3424DF" w14:textId="6B844829"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hypo-GG</w:t>
            </w:r>
          </w:p>
        </w:tc>
        <w:tc>
          <w:tcPr>
            <w:tcW w:w="7469" w:type="dxa"/>
          </w:tcPr>
          <w:p w14:paraId="24773F3A" w14:textId="17D2D521"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hypogammaglobulinaemia</w:t>
            </w:r>
          </w:p>
        </w:tc>
      </w:tr>
      <w:tr w:rsidR="0052270C" w:rsidRPr="007D0AA8" w14:paraId="38ABD561" w14:textId="77777777" w:rsidTr="007912C1">
        <w:tc>
          <w:tcPr>
            <w:tcW w:w="1560" w:type="dxa"/>
          </w:tcPr>
          <w:p w14:paraId="6B6C3426" w14:textId="77777777" w:rsidR="0052270C" w:rsidRPr="007D0AA8" w:rsidRDefault="0052270C" w:rsidP="00E46014">
            <w:pPr>
              <w:spacing w:after="0" w:line="240" w:lineRule="auto"/>
              <w:rPr>
                <w:rFonts w:ascii="Arial Narrow" w:hAnsi="Arial Narrow"/>
                <w:sz w:val="20"/>
                <w:szCs w:val="20"/>
              </w:rPr>
            </w:pPr>
            <w:r w:rsidRPr="007D0AA8">
              <w:rPr>
                <w:rFonts w:ascii="Arial Narrow" w:hAnsi="Arial Narrow"/>
                <w:sz w:val="20"/>
                <w:szCs w:val="20"/>
              </w:rPr>
              <w:t>ICER</w:t>
            </w:r>
          </w:p>
        </w:tc>
        <w:tc>
          <w:tcPr>
            <w:tcW w:w="7469" w:type="dxa"/>
          </w:tcPr>
          <w:p w14:paraId="3119750A" w14:textId="77777777" w:rsidR="0052270C" w:rsidRPr="007D0AA8" w:rsidRDefault="0052270C" w:rsidP="00E46014">
            <w:pPr>
              <w:spacing w:after="0" w:line="240" w:lineRule="auto"/>
              <w:rPr>
                <w:rFonts w:ascii="Arial Narrow" w:hAnsi="Arial Narrow"/>
                <w:sz w:val="20"/>
                <w:szCs w:val="20"/>
              </w:rPr>
            </w:pPr>
            <w:r w:rsidRPr="007D0AA8">
              <w:rPr>
                <w:rFonts w:ascii="Arial Narrow" w:hAnsi="Arial Narrow"/>
                <w:sz w:val="20"/>
                <w:szCs w:val="20"/>
              </w:rPr>
              <w:t>incremental cost-effectiveness ratio</w:t>
            </w:r>
          </w:p>
        </w:tc>
      </w:tr>
      <w:tr w:rsidR="0025605B" w:rsidRPr="007D0AA8" w14:paraId="11ACBA2E" w14:textId="77777777" w:rsidTr="007912C1">
        <w:tc>
          <w:tcPr>
            <w:tcW w:w="1560" w:type="dxa"/>
          </w:tcPr>
          <w:p w14:paraId="3325AE6D" w14:textId="77777777" w:rsidR="0025605B" w:rsidRPr="007D0AA8" w:rsidRDefault="0025605B" w:rsidP="00C905D0">
            <w:pPr>
              <w:spacing w:after="0" w:line="240" w:lineRule="auto"/>
              <w:rPr>
                <w:rFonts w:ascii="Arial Narrow" w:hAnsi="Arial Narrow"/>
                <w:sz w:val="20"/>
                <w:szCs w:val="20"/>
              </w:rPr>
            </w:pPr>
            <w:r w:rsidRPr="007D0AA8">
              <w:rPr>
                <w:rFonts w:ascii="Arial Narrow" w:hAnsi="Arial Narrow"/>
                <w:sz w:val="20"/>
                <w:szCs w:val="20"/>
              </w:rPr>
              <w:t>ICU</w:t>
            </w:r>
          </w:p>
        </w:tc>
        <w:tc>
          <w:tcPr>
            <w:tcW w:w="7469" w:type="dxa"/>
          </w:tcPr>
          <w:p w14:paraId="47A14A50" w14:textId="77777777" w:rsidR="0025605B" w:rsidRPr="007D0AA8" w:rsidRDefault="0025605B" w:rsidP="00C905D0">
            <w:pPr>
              <w:spacing w:after="0" w:line="240" w:lineRule="auto"/>
              <w:rPr>
                <w:rFonts w:ascii="Arial Narrow" w:hAnsi="Arial Narrow"/>
                <w:sz w:val="20"/>
                <w:szCs w:val="20"/>
              </w:rPr>
            </w:pPr>
            <w:r w:rsidRPr="007D0AA8">
              <w:rPr>
                <w:rFonts w:ascii="Arial Narrow" w:hAnsi="Arial Narrow"/>
                <w:sz w:val="20"/>
                <w:szCs w:val="20"/>
              </w:rPr>
              <w:t>intensive care unit</w:t>
            </w:r>
          </w:p>
        </w:tc>
      </w:tr>
      <w:tr w:rsidR="00E46014" w:rsidRPr="007D0AA8" w14:paraId="1177A390" w14:textId="77777777" w:rsidTr="007912C1">
        <w:tc>
          <w:tcPr>
            <w:tcW w:w="1560" w:type="dxa"/>
          </w:tcPr>
          <w:p w14:paraId="2A6F2565" w14:textId="77777777" w:rsidR="00E46014" w:rsidRPr="007D0AA8" w:rsidRDefault="00E46014" w:rsidP="00E46014">
            <w:pPr>
              <w:spacing w:after="0" w:line="240" w:lineRule="auto"/>
              <w:rPr>
                <w:rFonts w:ascii="Arial Narrow" w:hAnsi="Arial Narrow"/>
                <w:sz w:val="20"/>
                <w:szCs w:val="20"/>
              </w:rPr>
            </w:pPr>
            <w:r w:rsidRPr="007D0AA8">
              <w:rPr>
                <w:rFonts w:ascii="Arial Narrow" w:hAnsi="Arial Narrow"/>
                <w:sz w:val="20"/>
                <w:szCs w:val="20"/>
              </w:rPr>
              <w:t>IgA</w:t>
            </w:r>
          </w:p>
        </w:tc>
        <w:tc>
          <w:tcPr>
            <w:tcW w:w="7469" w:type="dxa"/>
          </w:tcPr>
          <w:p w14:paraId="04FA4D64" w14:textId="77777777" w:rsidR="00E46014" w:rsidRPr="007D0AA8" w:rsidRDefault="00E46014" w:rsidP="00E46014">
            <w:pPr>
              <w:spacing w:after="0" w:line="240" w:lineRule="auto"/>
              <w:rPr>
                <w:rFonts w:ascii="Arial Narrow" w:hAnsi="Arial Narrow"/>
                <w:sz w:val="20"/>
                <w:szCs w:val="20"/>
              </w:rPr>
            </w:pPr>
            <w:r w:rsidRPr="007D0AA8">
              <w:rPr>
                <w:rFonts w:ascii="Arial Narrow" w:hAnsi="Arial Narrow"/>
                <w:sz w:val="20"/>
                <w:szCs w:val="20"/>
              </w:rPr>
              <w:t>immunoglobulin A (alpha)</w:t>
            </w:r>
          </w:p>
        </w:tc>
      </w:tr>
      <w:tr w:rsidR="00E46014" w:rsidRPr="007D0AA8" w14:paraId="0C50896F" w14:textId="77777777" w:rsidTr="007912C1">
        <w:tc>
          <w:tcPr>
            <w:tcW w:w="1560" w:type="dxa"/>
          </w:tcPr>
          <w:p w14:paraId="35CA8190" w14:textId="77777777" w:rsidR="00E46014" w:rsidRPr="007D0AA8" w:rsidRDefault="00E46014" w:rsidP="00E46014">
            <w:pPr>
              <w:spacing w:after="0" w:line="240" w:lineRule="auto"/>
              <w:rPr>
                <w:rFonts w:ascii="Arial Narrow" w:hAnsi="Arial Narrow"/>
                <w:sz w:val="20"/>
                <w:szCs w:val="20"/>
              </w:rPr>
            </w:pPr>
            <w:r w:rsidRPr="007D0AA8">
              <w:rPr>
                <w:rFonts w:ascii="Arial Narrow" w:hAnsi="Arial Narrow"/>
                <w:sz w:val="20"/>
                <w:szCs w:val="20"/>
              </w:rPr>
              <w:t>IgG</w:t>
            </w:r>
          </w:p>
        </w:tc>
        <w:tc>
          <w:tcPr>
            <w:tcW w:w="7469" w:type="dxa"/>
          </w:tcPr>
          <w:p w14:paraId="34D93845" w14:textId="77777777" w:rsidR="00E46014" w:rsidRPr="007D0AA8" w:rsidRDefault="00E46014" w:rsidP="00E46014">
            <w:pPr>
              <w:spacing w:after="0" w:line="240" w:lineRule="auto"/>
              <w:ind w:left="34"/>
              <w:rPr>
                <w:rFonts w:ascii="Arial Narrow" w:hAnsi="Arial Narrow"/>
                <w:sz w:val="20"/>
                <w:szCs w:val="20"/>
              </w:rPr>
            </w:pPr>
            <w:r w:rsidRPr="007D0AA8">
              <w:rPr>
                <w:rFonts w:ascii="Arial Narrow" w:hAnsi="Arial Narrow"/>
                <w:sz w:val="20"/>
                <w:szCs w:val="20"/>
              </w:rPr>
              <w:t>immunoglobulin G (gamma)</w:t>
            </w:r>
          </w:p>
        </w:tc>
      </w:tr>
      <w:tr w:rsidR="001855A6" w:rsidRPr="007D0AA8" w14:paraId="6409537B" w14:textId="77777777" w:rsidTr="007912C1">
        <w:tc>
          <w:tcPr>
            <w:tcW w:w="1560" w:type="dxa"/>
          </w:tcPr>
          <w:p w14:paraId="2DF0754A" w14:textId="60F4678D"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IgG-RT</w:t>
            </w:r>
          </w:p>
        </w:tc>
        <w:tc>
          <w:tcPr>
            <w:tcW w:w="7469" w:type="dxa"/>
          </w:tcPr>
          <w:p w14:paraId="7CD07444" w14:textId="0CE981D9"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IgG replacement therapy</w:t>
            </w:r>
          </w:p>
        </w:tc>
      </w:tr>
      <w:tr w:rsidR="00E46014" w:rsidRPr="007D0AA8" w14:paraId="4D03598D" w14:textId="77777777" w:rsidTr="007912C1">
        <w:tc>
          <w:tcPr>
            <w:tcW w:w="1560" w:type="dxa"/>
          </w:tcPr>
          <w:p w14:paraId="08B51D0D" w14:textId="77777777" w:rsidR="00E46014" w:rsidRPr="007D0AA8" w:rsidRDefault="00E46014" w:rsidP="00E46014">
            <w:pPr>
              <w:spacing w:after="0" w:line="240" w:lineRule="auto"/>
              <w:rPr>
                <w:rFonts w:ascii="Arial Narrow" w:hAnsi="Arial Narrow"/>
                <w:sz w:val="20"/>
                <w:szCs w:val="20"/>
              </w:rPr>
            </w:pPr>
            <w:r w:rsidRPr="007D0AA8">
              <w:rPr>
                <w:rFonts w:ascii="Arial Narrow" w:hAnsi="Arial Narrow"/>
                <w:sz w:val="20"/>
                <w:szCs w:val="20"/>
              </w:rPr>
              <w:t>IgM</w:t>
            </w:r>
          </w:p>
        </w:tc>
        <w:tc>
          <w:tcPr>
            <w:tcW w:w="7469" w:type="dxa"/>
          </w:tcPr>
          <w:p w14:paraId="27283844" w14:textId="77777777" w:rsidR="00E46014" w:rsidRPr="007D0AA8" w:rsidRDefault="00E46014" w:rsidP="00E46014">
            <w:pPr>
              <w:spacing w:after="0" w:line="240" w:lineRule="auto"/>
              <w:rPr>
                <w:rFonts w:ascii="Arial Narrow" w:hAnsi="Arial Narrow"/>
                <w:sz w:val="20"/>
                <w:szCs w:val="20"/>
              </w:rPr>
            </w:pPr>
            <w:r w:rsidRPr="007D0AA8">
              <w:rPr>
                <w:rFonts w:ascii="Arial Narrow" w:hAnsi="Arial Narrow"/>
                <w:sz w:val="20"/>
                <w:szCs w:val="20"/>
              </w:rPr>
              <w:t>immunoglobulin M (mu)</w:t>
            </w:r>
          </w:p>
        </w:tc>
      </w:tr>
      <w:tr w:rsidR="001855A6" w:rsidRPr="007D0AA8" w14:paraId="30C66EBE" w14:textId="77777777" w:rsidTr="007912C1">
        <w:tc>
          <w:tcPr>
            <w:tcW w:w="1560" w:type="dxa"/>
          </w:tcPr>
          <w:p w14:paraId="7B4444F1" w14:textId="77777777"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IRB</w:t>
            </w:r>
          </w:p>
        </w:tc>
        <w:tc>
          <w:tcPr>
            <w:tcW w:w="7469" w:type="dxa"/>
          </w:tcPr>
          <w:p w14:paraId="0515CF82" w14:textId="77777777"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institutional review board (USA)</w:t>
            </w:r>
          </w:p>
        </w:tc>
      </w:tr>
      <w:tr w:rsidR="00B4386D" w:rsidRPr="007D0AA8" w14:paraId="1ED44D37" w14:textId="77777777" w:rsidTr="007912C1">
        <w:tc>
          <w:tcPr>
            <w:tcW w:w="1560" w:type="dxa"/>
          </w:tcPr>
          <w:p w14:paraId="2787DF88" w14:textId="597777CF" w:rsidR="00B4386D" w:rsidRPr="007D0AA8" w:rsidRDefault="00B4386D" w:rsidP="00B06A88">
            <w:pPr>
              <w:spacing w:after="0" w:line="240" w:lineRule="auto"/>
              <w:rPr>
                <w:rFonts w:ascii="Arial Narrow" w:hAnsi="Arial Narrow"/>
                <w:sz w:val="20"/>
                <w:szCs w:val="20"/>
              </w:rPr>
            </w:pPr>
            <w:r>
              <w:rPr>
                <w:rFonts w:ascii="Arial Narrow" w:hAnsi="Arial Narrow"/>
                <w:sz w:val="20"/>
                <w:szCs w:val="20"/>
              </w:rPr>
              <w:t>IRR</w:t>
            </w:r>
          </w:p>
        </w:tc>
        <w:tc>
          <w:tcPr>
            <w:tcW w:w="7469" w:type="dxa"/>
          </w:tcPr>
          <w:p w14:paraId="22973B8D" w14:textId="7B56768E" w:rsidR="00B4386D" w:rsidRPr="007D0AA8" w:rsidRDefault="00B4386D" w:rsidP="00B06A88">
            <w:pPr>
              <w:spacing w:after="0" w:line="240" w:lineRule="auto"/>
              <w:rPr>
                <w:rFonts w:ascii="Arial Narrow" w:hAnsi="Arial Narrow"/>
                <w:sz w:val="20"/>
                <w:szCs w:val="20"/>
              </w:rPr>
            </w:pPr>
            <w:r w:rsidRPr="00B4386D">
              <w:rPr>
                <w:rFonts w:ascii="Arial Narrow" w:hAnsi="Arial Narrow"/>
                <w:sz w:val="20"/>
                <w:szCs w:val="20"/>
              </w:rPr>
              <w:t>incidence rate ratio</w:t>
            </w:r>
          </w:p>
        </w:tc>
      </w:tr>
      <w:tr w:rsidR="001855A6" w:rsidRPr="007D0AA8" w14:paraId="4FD3BDE6" w14:textId="77777777" w:rsidTr="007912C1">
        <w:tc>
          <w:tcPr>
            <w:tcW w:w="1560" w:type="dxa"/>
          </w:tcPr>
          <w:p w14:paraId="06A35070" w14:textId="77777777"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IQR</w:t>
            </w:r>
          </w:p>
        </w:tc>
        <w:tc>
          <w:tcPr>
            <w:tcW w:w="7469" w:type="dxa"/>
          </w:tcPr>
          <w:p w14:paraId="42519BD3" w14:textId="77777777"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interquartile range</w:t>
            </w:r>
          </w:p>
        </w:tc>
      </w:tr>
      <w:tr w:rsidR="00E46014" w:rsidRPr="007D0AA8" w14:paraId="2D0627FC" w14:textId="77777777" w:rsidTr="007912C1">
        <w:tc>
          <w:tcPr>
            <w:tcW w:w="1560" w:type="dxa"/>
          </w:tcPr>
          <w:p w14:paraId="148F4FB1" w14:textId="77777777" w:rsidR="00E46014" w:rsidRPr="007D0AA8" w:rsidRDefault="00E46014" w:rsidP="00E46014">
            <w:pPr>
              <w:spacing w:after="0" w:line="240" w:lineRule="auto"/>
              <w:rPr>
                <w:rFonts w:ascii="Arial Narrow" w:hAnsi="Arial Narrow"/>
                <w:sz w:val="20"/>
                <w:szCs w:val="20"/>
              </w:rPr>
            </w:pPr>
            <w:r w:rsidRPr="007D0AA8">
              <w:rPr>
                <w:rFonts w:ascii="Arial Narrow" w:hAnsi="Arial Narrow"/>
                <w:sz w:val="20"/>
                <w:szCs w:val="20"/>
              </w:rPr>
              <w:t>IM</w:t>
            </w:r>
          </w:p>
        </w:tc>
        <w:tc>
          <w:tcPr>
            <w:tcW w:w="7469" w:type="dxa"/>
          </w:tcPr>
          <w:p w14:paraId="58F0E821" w14:textId="77777777" w:rsidR="00E46014" w:rsidRPr="007D0AA8" w:rsidRDefault="00E46014" w:rsidP="00E46014">
            <w:pPr>
              <w:spacing w:after="0" w:line="240" w:lineRule="auto"/>
              <w:ind w:left="34"/>
              <w:rPr>
                <w:rFonts w:ascii="Arial Narrow" w:hAnsi="Arial Narrow"/>
                <w:sz w:val="20"/>
                <w:szCs w:val="20"/>
              </w:rPr>
            </w:pPr>
            <w:r w:rsidRPr="007D0AA8">
              <w:rPr>
                <w:rFonts w:ascii="Arial Narrow" w:hAnsi="Arial Narrow"/>
                <w:sz w:val="20"/>
                <w:szCs w:val="20"/>
              </w:rPr>
              <w:t>intramuscular</w:t>
            </w:r>
          </w:p>
        </w:tc>
      </w:tr>
      <w:tr w:rsidR="001855A6" w:rsidRPr="007D0AA8" w14:paraId="247AC232" w14:textId="77777777" w:rsidTr="007912C1">
        <w:tc>
          <w:tcPr>
            <w:tcW w:w="1560" w:type="dxa"/>
          </w:tcPr>
          <w:p w14:paraId="3C52D632" w14:textId="77777777"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ITP</w:t>
            </w:r>
          </w:p>
        </w:tc>
        <w:tc>
          <w:tcPr>
            <w:tcW w:w="7469" w:type="dxa"/>
          </w:tcPr>
          <w:p w14:paraId="50F00EF6" w14:textId="77777777"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idiopathic thrombocytopenic purpura</w:t>
            </w:r>
          </w:p>
        </w:tc>
      </w:tr>
      <w:tr w:rsidR="00E46014" w:rsidRPr="007D0AA8" w14:paraId="35B58549" w14:textId="77777777" w:rsidTr="007912C1">
        <w:tc>
          <w:tcPr>
            <w:tcW w:w="1560" w:type="dxa"/>
          </w:tcPr>
          <w:p w14:paraId="6038BAE6" w14:textId="77777777" w:rsidR="00E46014" w:rsidRPr="007D0AA8" w:rsidRDefault="00E46014" w:rsidP="00E46014">
            <w:pPr>
              <w:spacing w:after="0" w:line="240" w:lineRule="auto"/>
              <w:rPr>
                <w:rFonts w:ascii="Arial Narrow" w:hAnsi="Arial Narrow"/>
                <w:sz w:val="20"/>
                <w:szCs w:val="20"/>
              </w:rPr>
            </w:pPr>
            <w:r w:rsidRPr="007D0AA8">
              <w:rPr>
                <w:rFonts w:ascii="Arial Narrow" w:hAnsi="Arial Narrow"/>
                <w:sz w:val="20"/>
                <w:szCs w:val="20"/>
              </w:rPr>
              <w:t>IV</w:t>
            </w:r>
          </w:p>
        </w:tc>
        <w:tc>
          <w:tcPr>
            <w:tcW w:w="7469" w:type="dxa"/>
          </w:tcPr>
          <w:p w14:paraId="7B66E6E9" w14:textId="77777777" w:rsidR="00E46014" w:rsidRPr="007D0AA8" w:rsidRDefault="00E46014" w:rsidP="00E46014">
            <w:pPr>
              <w:spacing w:after="0" w:line="240" w:lineRule="auto"/>
              <w:rPr>
                <w:rFonts w:ascii="Arial Narrow" w:hAnsi="Arial Narrow"/>
                <w:sz w:val="20"/>
                <w:szCs w:val="20"/>
              </w:rPr>
            </w:pPr>
            <w:r w:rsidRPr="007D0AA8">
              <w:rPr>
                <w:rFonts w:ascii="Arial Narrow" w:hAnsi="Arial Narrow"/>
                <w:sz w:val="20"/>
                <w:szCs w:val="20"/>
              </w:rPr>
              <w:t>intravenous</w:t>
            </w:r>
          </w:p>
        </w:tc>
      </w:tr>
      <w:tr w:rsidR="00E46014" w:rsidRPr="007D0AA8" w14:paraId="01BF8B64" w14:textId="77777777" w:rsidTr="007912C1">
        <w:tc>
          <w:tcPr>
            <w:tcW w:w="1560" w:type="dxa"/>
          </w:tcPr>
          <w:p w14:paraId="0FC7191D" w14:textId="77777777" w:rsidR="00E46014" w:rsidRPr="007D0AA8" w:rsidRDefault="00E46014" w:rsidP="00E46014">
            <w:pPr>
              <w:spacing w:after="0" w:line="240" w:lineRule="auto"/>
              <w:rPr>
                <w:rFonts w:ascii="Arial Narrow" w:hAnsi="Arial Narrow"/>
                <w:sz w:val="20"/>
                <w:szCs w:val="20"/>
              </w:rPr>
            </w:pPr>
            <w:r w:rsidRPr="007D0AA8">
              <w:rPr>
                <w:rFonts w:ascii="Arial Narrow" w:hAnsi="Arial Narrow"/>
                <w:sz w:val="20"/>
                <w:szCs w:val="20"/>
              </w:rPr>
              <w:t>IVIg</w:t>
            </w:r>
          </w:p>
        </w:tc>
        <w:tc>
          <w:tcPr>
            <w:tcW w:w="7469" w:type="dxa"/>
          </w:tcPr>
          <w:p w14:paraId="641B2DF9" w14:textId="77777777" w:rsidR="00E46014" w:rsidRPr="007D0AA8" w:rsidRDefault="00E46014" w:rsidP="00E46014">
            <w:pPr>
              <w:spacing w:after="0" w:line="240" w:lineRule="auto"/>
              <w:rPr>
                <w:rFonts w:ascii="Arial Narrow" w:hAnsi="Arial Narrow"/>
                <w:sz w:val="20"/>
                <w:szCs w:val="20"/>
              </w:rPr>
            </w:pPr>
            <w:r w:rsidRPr="007D0AA8">
              <w:rPr>
                <w:rFonts w:ascii="Arial Narrow" w:hAnsi="Arial Narrow"/>
                <w:sz w:val="20"/>
                <w:szCs w:val="20"/>
              </w:rPr>
              <w:t>intravenous immunoglobulin</w:t>
            </w:r>
          </w:p>
        </w:tc>
      </w:tr>
      <w:tr w:rsidR="001855A6" w:rsidRPr="007D0AA8" w14:paraId="0252318B" w14:textId="77777777" w:rsidTr="007912C1">
        <w:tc>
          <w:tcPr>
            <w:tcW w:w="1560" w:type="dxa"/>
          </w:tcPr>
          <w:p w14:paraId="0B014706" w14:textId="62CF60FC"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JMML</w:t>
            </w:r>
          </w:p>
        </w:tc>
        <w:tc>
          <w:tcPr>
            <w:tcW w:w="7469" w:type="dxa"/>
          </w:tcPr>
          <w:p w14:paraId="4B0E6554" w14:textId="5FC4E585"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juvenile myelomonocytic leukaemia</w:t>
            </w:r>
            <w:r w:rsidR="001B37A5" w:rsidRPr="007D0AA8">
              <w:rPr>
                <w:rFonts w:ascii="Arial Narrow" w:hAnsi="Arial Narrow"/>
                <w:sz w:val="20"/>
              </w:rPr>
              <w:t xml:space="preserve"> </w:t>
            </w:r>
            <w:r w:rsidR="001B37A5" w:rsidRPr="007D0AA8">
              <w:rPr>
                <w:rFonts w:ascii="Arial Narrow" w:hAnsi="Arial Narrow"/>
                <w:sz w:val="20"/>
                <w:szCs w:val="20"/>
              </w:rPr>
              <w:t>(a type of ‘other haematological malignancy’)</w:t>
            </w:r>
          </w:p>
        </w:tc>
      </w:tr>
      <w:tr w:rsidR="00265C20" w:rsidRPr="007D0AA8" w14:paraId="2342B7B1" w14:textId="77777777" w:rsidTr="007912C1">
        <w:tc>
          <w:tcPr>
            <w:tcW w:w="1560" w:type="dxa"/>
          </w:tcPr>
          <w:p w14:paraId="3FF050C8" w14:textId="77777777" w:rsidR="00265C20" w:rsidRPr="007D0AA8" w:rsidRDefault="00265C20" w:rsidP="00B06A88">
            <w:pPr>
              <w:spacing w:after="0" w:line="240" w:lineRule="auto"/>
              <w:rPr>
                <w:rFonts w:ascii="Arial Narrow" w:hAnsi="Arial Narrow"/>
                <w:sz w:val="20"/>
                <w:szCs w:val="20"/>
              </w:rPr>
            </w:pPr>
            <w:r w:rsidRPr="007D0AA8">
              <w:rPr>
                <w:rFonts w:ascii="Arial Narrow" w:hAnsi="Arial Narrow"/>
                <w:sz w:val="20"/>
              </w:rPr>
              <w:t>LLN</w:t>
            </w:r>
          </w:p>
        </w:tc>
        <w:tc>
          <w:tcPr>
            <w:tcW w:w="7469" w:type="dxa"/>
          </w:tcPr>
          <w:p w14:paraId="0157E040" w14:textId="77777777" w:rsidR="00265C20" w:rsidRPr="007D0AA8" w:rsidRDefault="00265C20" w:rsidP="00B06A88">
            <w:pPr>
              <w:spacing w:after="0" w:line="240" w:lineRule="auto"/>
              <w:rPr>
                <w:rFonts w:ascii="Arial Narrow" w:hAnsi="Arial Narrow"/>
                <w:sz w:val="20"/>
                <w:szCs w:val="20"/>
              </w:rPr>
            </w:pPr>
            <w:r w:rsidRPr="007D0AA8">
              <w:rPr>
                <w:rFonts w:ascii="Arial Narrow" w:hAnsi="Arial Narrow"/>
                <w:sz w:val="20"/>
              </w:rPr>
              <w:t>lower limit of normal (refers to laboratory reference range)</w:t>
            </w:r>
          </w:p>
        </w:tc>
      </w:tr>
      <w:tr w:rsidR="001855A6" w:rsidRPr="007D0AA8" w14:paraId="4140E7FC" w14:textId="77777777" w:rsidTr="007912C1">
        <w:tc>
          <w:tcPr>
            <w:tcW w:w="1560" w:type="dxa"/>
          </w:tcPr>
          <w:p w14:paraId="241AA1BF" w14:textId="23C2A137" w:rsidR="001855A6" w:rsidRPr="007D0AA8" w:rsidRDefault="001855A6" w:rsidP="00265C20">
            <w:pPr>
              <w:spacing w:after="0" w:line="240" w:lineRule="auto"/>
              <w:rPr>
                <w:rFonts w:ascii="Arial Narrow" w:hAnsi="Arial Narrow"/>
                <w:sz w:val="20"/>
                <w:szCs w:val="20"/>
              </w:rPr>
            </w:pPr>
            <w:r w:rsidRPr="007D0AA8">
              <w:rPr>
                <w:rFonts w:ascii="Arial Narrow" w:hAnsi="Arial Narrow"/>
                <w:sz w:val="20"/>
              </w:rPr>
              <w:t>L</w:t>
            </w:r>
            <w:r w:rsidR="00265C20" w:rsidRPr="007D0AA8">
              <w:rPr>
                <w:rFonts w:ascii="Arial Narrow" w:hAnsi="Arial Narrow"/>
                <w:sz w:val="20"/>
              </w:rPr>
              <w:t>RT</w:t>
            </w:r>
          </w:p>
        </w:tc>
        <w:tc>
          <w:tcPr>
            <w:tcW w:w="7469" w:type="dxa"/>
          </w:tcPr>
          <w:p w14:paraId="2CBBF208" w14:textId="3DE81C0E" w:rsidR="001855A6" w:rsidRPr="007D0AA8" w:rsidRDefault="00265C20" w:rsidP="00B06A88">
            <w:pPr>
              <w:spacing w:after="0" w:line="240" w:lineRule="auto"/>
              <w:rPr>
                <w:rFonts w:ascii="Arial Narrow" w:hAnsi="Arial Narrow"/>
                <w:sz w:val="20"/>
                <w:szCs w:val="20"/>
              </w:rPr>
            </w:pPr>
            <w:r w:rsidRPr="007D0AA8">
              <w:rPr>
                <w:rFonts w:ascii="Arial Narrow" w:hAnsi="Arial Narrow"/>
                <w:sz w:val="20"/>
              </w:rPr>
              <w:t>lower respiratory tract</w:t>
            </w:r>
          </w:p>
        </w:tc>
      </w:tr>
      <w:tr w:rsidR="0006373A" w:rsidRPr="007D0AA8" w14:paraId="525D59EE" w14:textId="77777777" w:rsidTr="003B4D3F">
        <w:tc>
          <w:tcPr>
            <w:tcW w:w="1560" w:type="dxa"/>
          </w:tcPr>
          <w:p w14:paraId="07B90B5E" w14:textId="77777777" w:rsidR="0006373A" w:rsidRPr="007D0AA8" w:rsidRDefault="0006373A" w:rsidP="003B4D3F">
            <w:pPr>
              <w:spacing w:after="0" w:line="240" w:lineRule="auto"/>
              <w:rPr>
                <w:rFonts w:ascii="Arial Narrow" w:hAnsi="Arial Narrow"/>
                <w:sz w:val="20"/>
                <w:szCs w:val="20"/>
              </w:rPr>
            </w:pPr>
            <w:r w:rsidRPr="007D0AA8">
              <w:rPr>
                <w:rFonts w:ascii="Arial Narrow" w:hAnsi="Arial Narrow"/>
                <w:sz w:val="20"/>
                <w:szCs w:val="20"/>
              </w:rPr>
              <w:t>MBS</w:t>
            </w:r>
          </w:p>
        </w:tc>
        <w:tc>
          <w:tcPr>
            <w:tcW w:w="7469" w:type="dxa"/>
          </w:tcPr>
          <w:p w14:paraId="60F5D79C" w14:textId="77777777" w:rsidR="0006373A" w:rsidRPr="007D0AA8" w:rsidRDefault="0006373A" w:rsidP="003B4D3F">
            <w:pPr>
              <w:spacing w:after="0" w:line="240" w:lineRule="auto"/>
              <w:rPr>
                <w:rFonts w:ascii="Arial Narrow" w:hAnsi="Arial Narrow"/>
                <w:sz w:val="20"/>
                <w:szCs w:val="20"/>
              </w:rPr>
            </w:pPr>
            <w:r w:rsidRPr="007D0AA8">
              <w:rPr>
                <w:rFonts w:ascii="Arial Narrow" w:hAnsi="Arial Narrow"/>
                <w:sz w:val="20"/>
                <w:szCs w:val="20"/>
              </w:rPr>
              <w:t>Medicare Benefits Schedule</w:t>
            </w:r>
          </w:p>
        </w:tc>
      </w:tr>
      <w:tr w:rsidR="00695731" w:rsidRPr="007D0AA8" w14:paraId="295418FD" w14:textId="77777777" w:rsidTr="007912C1">
        <w:tc>
          <w:tcPr>
            <w:tcW w:w="1560" w:type="dxa"/>
          </w:tcPr>
          <w:p w14:paraId="2C533E51" w14:textId="0421D935" w:rsidR="00A10FDF" w:rsidRPr="007D0AA8" w:rsidRDefault="0006373A" w:rsidP="00E46014">
            <w:pPr>
              <w:spacing w:after="0" w:line="240" w:lineRule="auto"/>
              <w:rPr>
                <w:rFonts w:ascii="Arial Narrow" w:hAnsi="Arial Narrow"/>
                <w:sz w:val="20"/>
                <w:szCs w:val="20"/>
              </w:rPr>
            </w:pPr>
            <w:r w:rsidRPr="007D0AA8">
              <w:rPr>
                <w:rFonts w:ascii="Arial Narrow" w:hAnsi="Arial Narrow"/>
                <w:sz w:val="20"/>
                <w:szCs w:val="20"/>
              </w:rPr>
              <w:t>MCL</w:t>
            </w:r>
          </w:p>
        </w:tc>
        <w:tc>
          <w:tcPr>
            <w:tcW w:w="7469" w:type="dxa"/>
          </w:tcPr>
          <w:p w14:paraId="108A6BBE" w14:textId="0506DA9B" w:rsidR="00A10FDF" w:rsidRPr="007D0AA8" w:rsidRDefault="0006373A" w:rsidP="00E46014">
            <w:pPr>
              <w:spacing w:after="0" w:line="240" w:lineRule="auto"/>
              <w:rPr>
                <w:rFonts w:ascii="Arial Narrow" w:hAnsi="Arial Narrow"/>
                <w:sz w:val="20"/>
                <w:szCs w:val="20"/>
              </w:rPr>
            </w:pPr>
            <w:r w:rsidRPr="007D0AA8">
              <w:rPr>
                <w:rFonts w:ascii="Arial Narrow" w:hAnsi="Arial Narrow"/>
                <w:sz w:val="20"/>
                <w:szCs w:val="20"/>
              </w:rPr>
              <w:t>mantle cell lymphoma (a type of NHL)</w:t>
            </w:r>
          </w:p>
        </w:tc>
      </w:tr>
      <w:tr w:rsidR="00D15E65" w:rsidRPr="007D0AA8" w14:paraId="19F5D99A" w14:textId="77777777" w:rsidTr="007912C1">
        <w:tc>
          <w:tcPr>
            <w:tcW w:w="1560" w:type="dxa"/>
          </w:tcPr>
          <w:p w14:paraId="1A4F67E5" w14:textId="77777777" w:rsidR="00D15E65" w:rsidRPr="007D0AA8" w:rsidRDefault="00D15E65" w:rsidP="00E46014">
            <w:pPr>
              <w:spacing w:after="0" w:line="240" w:lineRule="auto"/>
              <w:rPr>
                <w:rFonts w:ascii="Arial Narrow" w:hAnsi="Arial Narrow"/>
                <w:sz w:val="20"/>
                <w:szCs w:val="20"/>
              </w:rPr>
            </w:pPr>
            <w:r w:rsidRPr="007D0AA8">
              <w:rPr>
                <w:rFonts w:ascii="Arial Narrow" w:hAnsi="Arial Narrow"/>
                <w:sz w:val="20"/>
                <w:szCs w:val="20"/>
              </w:rPr>
              <w:t>MD</w:t>
            </w:r>
          </w:p>
        </w:tc>
        <w:tc>
          <w:tcPr>
            <w:tcW w:w="7469" w:type="dxa"/>
          </w:tcPr>
          <w:p w14:paraId="735188B1" w14:textId="77777777" w:rsidR="00D15E65" w:rsidRPr="007D0AA8" w:rsidRDefault="00D15E65" w:rsidP="00E46014">
            <w:pPr>
              <w:spacing w:after="0" w:line="240" w:lineRule="auto"/>
              <w:rPr>
                <w:rFonts w:ascii="Arial Narrow" w:hAnsi="Arial Narrow"/>
                <w:sz w:val="20"/>
                <w:szCs w:val="20"/>
              </w:rPr>
            </w:pPr>
            <w:r w:rsidRPr="007D0AA8">
              <w:rPr>
                <w:rFonts w:ascii="Arial Narrow" w:hAnsi="Arial Narrow"/>
                <w:sz w:val="20"/>
                <w:szCs w:val="20"/>
              </w:rPr>
              <w:t>mean difference</w:t>
            </w:r>
          </w:p>
        </w:tc>
      </w:tr>
      <w:tr w:rsidR="001855A6" w:rsidRPr="007D0AA8" w14:paraId="2F5CBE8F" w14:textId="77777777" w:rsidTr="007912C1">
        <w:tc>
          <w:tcPr>
            <w:tcW w:w="1560" w:type="dxa"/>
          </w:tcPr>
          <w:p w14:paraId="0672BB30" w14:textId="77777777"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lastRenderedPageBreak/>
              <w:t>MDS</w:t>
            </w:r>
          </w:p>
        </w:tc>
        <w:tc>
          <w:tcPr>
            <w:tcW w:w="7469" w:type="dxa"/>
          </w:tcPr>
          <w:p w14:paraId="7A83DA5B" w14:textId="6C931DFF" w:rsidR="001855A6" w:rsidRPr="007D0AA8" w:rsidRDefault="001855A6" w:rsidP="00840905">
            <w:pPr>
              <w:spacing w:after="0" w:line="240" w:lineRule="auto"/>
              <w:rPr>
                <w:rFonts w:ascii="Arial Narrow" w:hAnsi="Arial Narrow"/>
                <w:sz w:val="20"/>
                <w:szCs w:val="20"/>
              </w:rPr>
            </w:pPr>
            <w:r w:rsidRPr="007D0AA8">
              <w:rPr>
                <w:rFonts w:ascii="Arial Narrow" w:hAnsi="Arial Narrow"/>
                <w:sz w:val="20"/>
                <w:szCs w:val="20"/>
              </w:rPr>
              <w:t>myelodysplastic syndrome</w:t>
            </w:r>
            <w:r w:rsidR="007912C1" w:rsidRPr="007D0AA8">
              <w:rPr>
                <w:rFonts w:ascii="Arial Narrow" w:hAnsi="Arial Narrow"/>
                <w:sz w:val="20"/>
                <w:szCs w:val="20"/>
              </w:rPr>
              <w:t xml:space="preserve">, </w:t>
            </w:r>
            <w:r w:rsidR="00840905" w:rsidRPr="007D0AA8">
              <w:rPr>
                <w:rFonts w:ascii="Arial Narrow" w:hAnsi="Arial Narrow"/>
                <w:sz w:val="20"/>
                <w:szCs w:val="20"/>
              </w:rPr>
              <w:t>also</w:t>
            </w:r>
            <w:r w:rsidR="007912C1" w:rsidRPr="007D0AA8">
              <w:rPr>
                <w:rFonts w:ascii="Arial Narrow" w:hAnsi="Arial Narrow"/>
                <w:sz w:val="20"/>
                <w:szCs w:val="20"/>
              </w:rPr>
              <w:t xml:space="preserve"> ‘pre-leukaemia’ </w:t>
            </w:r>
            <w:r w:rsidRPr="007D0AA8">
              <w:rPr>
                <w:rFonts w:ascii="Arial Narrow" w:hAnsi="Arial Narrow"/>
                <w:sz w:val="20"/>
                <w:szCs w:val="20"/>
              </w:rPr>
              <w:t>(</w:t>
            </w:r>
            <w:r w:rsidR="00767BEA" w:rsidRPr="007D0AA8">
              <w:rPr>
                <w:rFonts w:ascii="Arial Narrow" w:hAnsi="Arial Narrow"/>
                <w:sz w:val="20"/>
                <w:szCs w:val="20"/>
              </w:rPr>
              <w:t xml:space="preserve">a </w:t>
            </w:r>
            <w:r w:rsidRPr="007D0AA8">
              <w:rPr>
                <w:rFonts w:ascii="Arial Narrow" w:hAnsi="Arial Narrow"/>
                <w:sz w:val="20"/>
                <w:szCs w:val="20"/>
              </w:rPr>
              <w:t>type of ‘other haematological malignancy’)</w:t>
            </w:r>
          </w:p>
        </w:tc>
      </w:tr>
      <w:tr w:rsidR="004A6D4F" w:rsidRPr="007D0AA8" w14:paraId="7B61203C" w14:textId="77777777" w:rsidTr="007912C1">
        <w:tc>
          <w:tcPr>
            <w:tcW w:w="1560" w:type="dxa"/>
          </w:tcPr>
          <w:p w14:paraId="31F655B8" w14:textId="68765159" w:rsidR="004A6D4F" w:rsidRPr="007D0AA8" w:rsidRDefault="004A6D4F" w:rsidP="00B06A88">
            <w:pPr>
              <w:spacing w:after="0" w:line="240" w:lineRule="auto"/>
              <w:rPr>
                <w:rFonts w:ascii="Arial Narrow" w:hAnsi="Arial Narrow"/>
                <w:sz w:val="20"/>
                <w:szCs w:val="20"/>
              </w:rPr>
            </w:pPr>
            <w:r w:rsidRPr="007D0AA8">
              <w:rPr>
                <w:rFonts w:ascii="Arial Narrow" w:hAnsi="Arial Narrow"/>
                <w:sz w:val="20"/>
                <w:szCs w:val="20"/>
              </w:rPr>
              <w:t>MEPM</w:t>
            </w:r>
          </w:p>
        </w:tc>
        <w:tc>
          <w:tcPr>
            <w:tcW w:w="7469" w:type="dxa"/>
          </w:tcPr>
          <w:p w14:paraId="52435001" w14:textId="4DCA381D" w:rsidR="004A6D4F" w:rsidRPr="007D0AA8" w:rsidRDefault="004A6D4F" w:rsidP="007912C1">
            <w:pPr>
              <w:spacing w:after="0" w:line="240" w:lineRule="auto"/>
              <w:rPr>
                <w:rFonts w:ascii="Arial Narrow" w:hAnsi="Arial Narrow"/>
                <w:sz w:val="20"/>
                <w:szCs w:val="20"/>
              </w:rPr>
            </w:pPr>
            <w:r w:rsidRPr="007D0AA8">
              <w:rPr>
                <w:rFonts w:ascii="Arial Narrow" w:hAnsi="Arial Narrow"/>
                <w:sz w:val="20"/>
                <w:szCs w:val="20"/>
              </w:rPr>
              <w:t xml:space="preserve">meropenem (carbapenem </w:t>
            </w:r>
            <w:r w:rsidR="00840905" w:rsidRPr="007D0AA8">
              <w:rPr>
                <w:rFonts w:ascii="Arial Narrow" w:hAnsi="Arial Narrow"/>
                <w:sz w:val="20"/>
                <w:szCs w:val="20"/>
              </w:rPr>
              <w:t xml:space="preserve">type </w:t>
            </w:r>
            <w:r w:rsidRPr="007D0AA8">
              <w:rPr>
                <w:rFonts w:ascii="Arial Narrow" w:hAnsi="Arial Narrow"/>
                <w:sz w:val="20"/>
                <w:szCs w:val="20"/>
              </w:rPr>
              <w:t>antibiotic)</w:t>
            </w:r>
          </w:p>
        </w:tc>
      </w:tr>
      <w:tr w:rsidR="00265C20" w:rsidRPr="007D0AA8" w14:paraId="18010730" w14:textId="77777777" w:rsidTr="007912C1">
        <w:tc>
          <w:tcPr>
            <w:tcW w:w="1560" w:type="dxa"/>
          </w:tcPr>
          <w:p w14:paraId="725AFF9D" w14:textId="77777777" w:rsidR="00265C20" w:rsidRPr="007D0AA8" w:rsidRDefault="00265C20" w:rsidP="00B06A88">
            <w:pPr>
              <w:spacing w:after="0" w:line="240" w:lineRule="auto"/>
              <w:rPr>
                <w:rFonts w:ascii="Arial Narrow" w:hAnsi="Arial Narrow"/>
                <w:sz w:val="20"/>
                <w:szCs w:val="20"/>
              </w:rPr>
            </w:pPr>
            <w:r w:rsidRPr="007D0AA8">
              <w:rPr>
                <w:rFonts w:ascii="Arial Narrow" w:hAnsi="Arial Narrow"/>
                <w:sz w:val="20"/>
                <w:szCs w:val="20"/>
              </w:rPr>
              <w:t>MM</w:t>
            </w:r>
          </w:p>
        </w:tc>
        <w:tc>
          <w:tcPr>
            <w:tcW w:w="7469" w:type="dxa"/>
          </w:tcPr>
          <w:p w14:paraId="280D0EE4" w14:textId="77777777" w:rsidR="00265C20" w:rsidRPr="007D0AA8" w:rsidRDefault="00265C20" w:rsidP="00B06A88">
            <w:pPr>
              <w:spacing w:after="0" w:line="240" w:lineRule="auto"/>
              <w:rPr>
                <w:rFonts w:ascii="Arial Narrow" w:hAnsi="Arial Narrow"/>
                <w:sz w:val="20"/>
                <w:szCs w:val="20"/>
              </w:rPr>
            </w:pPr>
            <w:r w:rsidRPr="007D0AA8">
              <w:rPr>
                <w:rFonts w:ascii="Arial Narrow" w:hAnsi="Arial Narrow"/>
                <w:sz w:val="20"/>
                <w:szCs w:val="20"/>
              </w:rPr>
              <w:t>multiple myeloma</w:t>
            </w:r>
          </w:p>
        </w:tc>
      </w:tr>
      <w:tr w:rsidR="00E46014" w:rsidRPr="007D0AA8" w14:paraId="0277438D" w14:textId="77777777" w:rsidTr="007912C1">
        <w:tc>
          <w:tcPr>
            <w:tcW w:w="1560" w:type="dxa"/>
          </w:tcPr>
          <w:p w14:paraId="07A9A09F" w14:textId="4FC2BA2D" w:rsidR="00E46014" w:rsidRPr="007D0AA8" w:rsidRDefault="00DC4C3E" w:rsidP="00E46014">
            <w:pPr>
              <w:spacing w:after="0" w:line="240" w:lineRule="auto"/>
              <w:rPr>
                <w:rFonts w:ascii="Arial Narrow" w:hAnsi="Arial Narrow"/>
                <w:sz w:val="20"/>
                <w:szCs w:val="20"/>
              </w:rPr>
            </w:pPr>
            <w:r w:rsidRPr="007D0AA8">
              <w:rPr>
                <w:rFonts w:ascii="Arial Narrow" w:hAnsi="Arial Narrow"/>
                <w:sz w:val="20"/>
                <w:szCs w:val="20"/>
              </w:rPr>
              <w:t>MGUS</w:t>
            </w:r>
          </w:p>
        </w:tc>
        <w:tc>
          <w:tcPr>
            <w:tcW w:w="7469" w:type="dxa"/>
          </w:tcPr>
          <w:p w14:paraId="1183A5AB" w14:textId="3366CCA3" w:rsidR="00E46014" w:rsidRPr="007D0AA8" w:rsidRDefault="00DC4C3E" w:rsidP="00E46014">
            <w:pPr>
              <w:spacing w:after="0" w:line="240" w:lineRule="auto"/>
              <w:rPr>
                <w:rFonts w:ascii="Arial Narrow" w:hAnsi="Arial Narrow"/>
                <w:sz w:val="20"/>
                <w:szCs w:val="20"/>
              </w:rPr>
            </w:pPr>
            <w:r w:rsidRPr="007D0AA8">
              <w:rPr>
                <w:rFonts w:ascii="Arial Narrow" w:hAnsi="Arial Narrow"/>
                <w:sz w:val="20"/>
                <w:szCs w:val="20"/>
              </w:rPr>
              <w:t>m</w:t>
            </w:r>
            <w:r w:rsidR="00265C20" w:rsidRPr="007D0AA8">
              <w:rPr>
                <w:rFonts w:ascii="Arial Narrow" w:hAnsi="Arial Narrow"/>
                <w:sz w:val="20"/>
                <w:szCs w:val="20"/>
              </w:rPr>
              <w:t>onoclonal gammopathy of undetermined sign</w:t>
            </w:r>
            <w:r w:rsidRPr="007D0AA8">
              <w:rPr>
                <w:rFonts w:ascii="Arial Narrow" w:hAnsi="Arial Narrow"/>
                <w:sz w:val="20"/>
                <w:szCs w:val="20"/>
              </w:rPr>
              <w:t>i</w:t>
            </w:r>
            <w:r w:rsidR="00265C20" w:rsidRPr="007D0AA8">
              <w:rPr>
                <w:rFonts w:ascii="Arial Narrow" w:hAnsi="Arial Narrow"/>
                <w:sz w:val="20"/>
                <w:szCs w:val="20"/>
              </w:rPr>
              <w:t>ficance</w:t>
            </w:r>
            <w:r w:rsidRPr="007D0AA8">
              <w:rPr>
                <w:rFonts w:ascii="Arial Narrow" w:hAnsi="Arial Narrow"/>
                <w:sz w:val="20"/>
                <w:szCs w:val="20"/>
              </w:rPr>
              <w:t xml:space="preserve"> (</w:t>
            </w:r>
            <w:r w:rsidR="001B37A5">
              <w:rPr>
                <w:rFonts w:ascii="Arial Narrow" w:hAnsi="Arial Narrow"/>
                <w:sz w:val="20"/>
                <w:szCs w:val="20"/>
              </w:rPr>
              <w:t xml:space="preserve">a precursor state but </w:t>
            </w:r>
            <w:r w:rsidRPr="007D0AA8">
              <w:rPr>
                <w:rFonts w:ascii="Arial Narrow" w:hAnsi="Arial Narrow"/>
                <w:sz w:val="20"/>
                <w:szCs w:val="20"/>
              </w:rPr>
              <w:t>not a malignancy)</w:t>
            </w:r>
          </w:p>
        </w:tc>
      </w:tr>
      <w:tr w:rsidR="0006373A" w:rsidRPr="007D0AA8" w14:paraId="44BD114D" w14:textId="77777777" w:rsidTr="003B4D3F">
        <w:tc>
          <w:tcPr>
            <w:tcW w:w="1560" w:type="dxa"/>
          </w:tcPr>
          <w:p w14:paraId="1B616040" w14:textId="77777777" w:rsidR="0006373A" w:rsidRPr="007D0AA8" w:rsidRDefault="0006373A" w:rsidP="003B4D3F">
            <w:pPr>
              <w:spacing w:after="0" w:line="240" w:lineRule="auto"/>
              <w:rPr>
                <w:rFonts w:ascii="Arial Narrow" w:hAnsi="Arial Narrow"/>
                <w:sz w:val="20"/>
                <w:szCs w:val="20"/>
              </w:rPr>
            </w:pPr>
            <w:r w:rsidRPr="007D0AA8">
              <w:rPr>
                <w:rFonts w:ascii="Arial Narrow" w:hAnsi="Arial Narrow"/>
                <w:sz w:val="20"/>
                <w:szCs w:val="20"/>
              </w:rPr>
              <w:t>MSAC</w:t>
            </w:r>
          </w:p>
        </w:tc>
        <w:tc>
          <w:tcPr>
            <w:tcW w:w="7469" w:type="dxa"/>
          </w:tcPr>
          <w:p w14:paraId="01B62BDB" w14:textId="77777777" w:rsidR="0006373A" w:rsidRPr="007D0AA8" w:rsidRDefault="0006373A" w:rsidP="003B4D3F">
            <w:pPr>
              <w:spacing w:after="0" w:line="240" w:lineRule="auto"/>
              <w:rPr>
                <w:rFonts w:ascii="Arial Narrow" w:hAnsi="Arial Narrow"/>
                <w:sz w:val="20"/>
                <w:szCs w:val="20"/>
              </w:rPr>
            </w:pPr>
            <w:r w:rsidRPr="007D0AA8">
              <w:rPr>
                <w:rFonts w:ascii="Arial Narrow" w:hAnsi="Arial Narrow"/>
                <w:sz w:val="20"/>
                <w:szCs w:val="20"/>
              </w:rPr>
              <w:t>Medical Services Advisory Committee</w:t>
            </w:r>
          </w:p>
        </w:tc>
      </w:tr>
      <w:tr w:rsidR="0052270C" w:rsidRPr="007D0AA8" w14:paraId="1807CEC1" w14:textId="77777777" w:rsidTr="007912C1">
        <w:tc>
          <w:tcPr>
            <w:tcW w:w="1560" w:type="dxa"/>
          </w:tcPr>
          <w:p w14:paraId="34673511" w14:textId="56AD8C0B" w:rsidR="00A529B5" w:rsidRPr="007D0AA8" w:rsidRDefault="0052270C" w:rsidP="0006373A">
            <w:pPr>
              <w:spacing w:after="0" w:line="240" w:lineRule="auto"/>
              <w:rPr>
                <w:rFonts w:ascii="Arial Narrow" w:hAnsi="Arial Narrow"/>
                <w:sz w:val="20"/>
                <w:szCs w:val="20"/>
              </w:rPr>
            </w:pPr>
            <w:r w:rsidRPr="007D0AA8">
              <w:rPr>
                <w:rFonts w:ascii="Arial Narrow" w:hAnsi="Arial Narrow"/>
                <w:sz w:val="20"/>
                <w:szCs w:val="20"/>
              </w:rPr>
              <w:t>M</w:t>
            </w:r>
            <w:r w:rsidR="0006373A" w:rsidRPr="007D0AA8">
              <w:rPr>
                <w:rFonts w:ascii="Arial Narrow" w:hAnsi="Arial Narrow"/>
                <w:sz w:val="20"/>
                <w:szCs w:val="20"/>
              </w:rPr>
              <w:t>ZL</w:t>
            </w:r>
          </w:p>
        </w:tc>
        <w:tc>
          <w:tcPr>
            <w:tcW w:w="7469" w:type="dxa"/>
          </w:tcPr>
          <w:p w14:paraId="766B9388" w14:textId="0FEEDB08" w:rsidR="00A529B5" w:rsidRPr="007D0AA8" w:rsidRDefault="0006373A" w:rsidP="00E46014">
            <w:pPr>
              <w:spacing w:after="0" w:line="240" w:lineRule="auto"/>
              <w:rPr>
                <w:rFonts w:ascii="Arial Narrow" w:hAnsi="Arial Narrow"/>
                <w:sz w:val="20"/>
                <w:szCs w:val="20"/>
              </w:rPr>
            </w:pPr>
            <w:r w:rsidRPr="007D0AA8">
              <w:rPr>
                <w:rFonts w:ascii="Arial Narrow" w:hAnsi="Arial Narrow"/>
                <w:sz w:val="20"/>
                <w:szCs w:val="20"/>
              </w:rPr>
              <w:t>marginal zone lymphoma (a type of NHL)</w:t>
            </w:r>
          </w:p>
        </w:tc>
      </w:tr>
      <w:tr w:rsidR="001B37A5" w:rsidRPr="007D0AA8" w14:paraId="44865189" w14:textId="77777777" w:rsidTr="007912C1">
        <w:tc>
          <w:tcPr>
            <w:tcW w:w="1560" w:type="dxa"/>
          </w:tcPr>
          <w:p w14:paraId="3833DE80" w14:textId="7867500B" w:rsidR="001B37A5" w:rsidRPr="007D0AA8" w:rsidRDefault="001B37A5" w:rsidP="0006373A">
            <w:pPr>
              <w:spacing w:after="0" w:line="240" w:lineRule="auto"/>
              <w:rPr>
                <w:rFonts w:ascii="Arial Narrow" w:hAnsi="Arial Narrow"/>
                <w:sz w:val="20"/>
                <w:szCs w:val="20"/>
              </w:rPr>
            </w:pPr>
            <w:r>
              <w:rPr>
                <w:rFonts w:ascii="Arial Narrow" w:hAnsi="Arial Narrow"/>
                <w:sz w:val="20"/>
                <w:szCs w:val="20"/>
              </w:rPr>
              <w:t>NATA</w:t>
            </w:r>
          </w:p>
        </w:tc>
        <w:tc>
          <w:tcPr>
            <w:tcW w:w="7469" w:type="dxa"/>
          </w:tcPr>
          <w:p w14:paraId="38EBAE31" w14:textId="2EEF01F6" w:rsidR="001B37A5" w:rsidRPr="007D0AA8" w:rsidRDefault="001B37A5" w:rsidP="001B37A5">
            <w:pPr>
              <w:spacing w:after="0" w:line="240" w:lineRule="auto"/>
              <w:rPr>
                <w:rFonts w:ascii="Arial Narrow" w:hAnsi="Arial Narrow"/>
                <w:sz w:val="20"/>
                <w:szCs w:val="20"/>
              </w:rPr>
            </w:pPr>
            <w:r w:rsidRPr="001B37A5">
              <w:rPr>
                <w:rFonts w:ascii="Arial Narrow" w:hAnsi="Arial Narrow"/>
                <w:sz w:val="20"/>
                <w:szCs w:val="20"/>
              </w:rPr>
              <w:t xml:space="preserve">National Association of Testing Authorities </w:t>
            </w:r>
          </w:p>
        </w:tc>
      </w:tr>
      <w:tr w:rsidR="00E46014" w:rsidRPr="007D0AA8" w14:paraId="085A212B" w14:textId="77777777" w:rsidTr="007912C1">
        <w:tc>
          <w:tcPr>
            <w:tcW w:w="1560" w:type="dxa"/>
          </w:tcPr>
          <w:p w14:paraId="7E938FCF" w14:textId="77777777" w:rsidR="00E46014" w:rsidRPr="007D0AA8" w:rsidRDefault="00E46014" w:rsidP="00E46014">
            <w:pPr>
              <w:spacing w:after="0" w:line="240" w:lineRule="auto"/>
              <w:rPr>
                <w:rFonts w:ascii="Arial Narrow" w:hAnsi="Arial Narrow"/>
                <w:sz w:val="20"/>
                <w:szCs w:val="20"/>
              </w:rPr>
            </w:pPr>
            <w:r w:rsidRPr="007D0AA8">
              <w:rPr>
                <w:rFonts w:ascii="Arial Narrow" w:hAnsi="Arial Narrow"/>
                <w:sz w:val="20"/>
                <w:szCs w:val="20"/>
              </w:rPr>
              <w:t>NBA</w:t>
            </w:r>
          </w:p>
        </w:tc>
        <w:tc>
          <w:tcPr>
            <w:tcW w:w="7469" w:type="dxa"/>
          </w:tcPr>
          <w:p w14:paraId="7E010643" w14:textId="77777777" w:rsidR="00E46014" w:rsidRPr="007D0AA8" w:rsidRDefault="00E46014" w:rsidP="00E46014">
            <w:pPr>
              <w:spacing w:after="0" w:line="240" w:lineRule="auto"/>
              <w:rPr>
                <w:rFonts w:ascii="Arial Narrow" w:hAnsi="Arial Narrow"/>
                <w:sz w:val="20"/>
                <w:szCs w:val="20"/>
              </w:rPr>
            </w:pPr>
            <w:r w:rsidRPr="007D0AA8">
              <w:rPr>
                <w:rFonts w:ascii="Arial Narrow" w:hAnsi="Arial Narrow"/>
                <w:sz w:val="20"/>
                <w:szCs w:val="20"/>
              </w:rPr>
              <w:t>National Blood Authority</w:t>
            </w:r>
          </w:p>
        </w:tc>
      </w:tr>
      <w:tr w:rsidR="00E46014" w:rsidRPr="007D0AA8" w14:paraId="03F298F2" w14:textId="77777777" w:rsidTr="007912C1">
        <w:tc>
          <w:tcPr>
            <w:tcW w:w="1560" w:type="dxa"/>
          </w:tcPr>
          <w:p w14:paraId="04B72699" w14:textId="77777777" w:rsidR="00E46014" w:rsidRPr="007D0AA8" w:rsidRDefault="00E46014" w:rsidP="00E46014">
            <w:pPr>
              <w:spacing w:after="0" w:line="240" w:lineRule="auto"/>
              <w:rPr>
                <w:rFonts w:ascii="Arial Narrow" w:hAnsi="Arial Narrow"/>
                <w:sz w:val="20"/>
                <w:szCs w:val="20"/>
              </w:rPr>
            </w:pPr>
            <w:r w:rsidRPr="007D0AA8">
              <w:rPr>
                <w:rFonts w:ascii="Arial Narrow" w:hAnsi="Arial Narrow"/>
                <w:sz w:val="20"/>
                <w:szCs w:val="20"/>
              </w:rPr>
              <w:t>NHL</w:t>
            </w:r>
          </w:p>
        </w:tc>
        <w:tc>
          <w:tcPr>
            <w:tcW w:w="7469" w:type="dxa"/>
          </w:tcPr>
          <w:p w14:paraId="01506300" w14:textId="428543BB" w:rsidR="00E46014" w:rsidRPr="007D0AA8" w:rsidRDefault="001855A6" w:rsidP="00E46014">
            <w:pPr>
              <w:spacing w:after="0" w:line="240" w:lineRule="auto"/>
              <w:rPr>
                <w:rFonts w:ascii="Arial Narrow" w:hAnsi="Arial Narrow"/>
                <w:sz w:val="20"/>
                <w:szCs w:val="20"/>
              </w:rPr>
            </w:pPr>
            <w:r w:rsidRPr="007D0AA8">
              <w:rPr>
                <w:rFonts w:ascii="Arial Narrow" w:hAnsi="Arial Narrow"/>
                <w:sz w:val="20"/>
                <w:szCs w:val="20"/>
              </w:rPr>
              <w:t>n</w:t>
            </w:r>
            <w:r w:rsidR="00E46014" w:rsidRPr="007D0AA8">
              <w:rPr>
                <w:rFonts w:ascii="Arial Narrow" w:hAnsi="Arial Narrow"/>
                <w:sz w:val="20"/>
                <w:szCs w:val="20"/>
              </w:rPr>
              <w:t>on</w:t>
            </w:r>
            <w:r w:rsidR="00E46014" w:rsidRPr="007D0AA8">
              <w:rPr>
                <w:rFonts w:ascii="Cambria Math" w:hAnsi="Cambria Math" w:cs="Cambria Math"/>
                <w:sz w:val="20"/>
                <w:szCs w:val="20"/>
              </w:rPr>
              <w:t>‐</w:t>
            </w:r>
            <w:r w:rsidR="00E46014" w:rsidRPr="007D0AA8">
              <w:rPr>
                <w:rFonts w:ascii="Arial Narrow" w:hAnsi="Arial Narrow"/>
                <w:sz w:val="20"/>
                <w:szCs w:val="20"/>
              </w:rPr>
              <w:t>Hodgkin lymphoma</w:t>
            </w:r>
          </w:p>
        </w:tc>
      </w:tr>
      <w:tr w:rsidR="00D15E65" w:rsidRPr="007D0AA8" w14:paraId="379F9EB3" w14:textId="77777777" w:rsidTr="007912C1">
        <w:tc>
          <w:tcPr>
            <w:tcW w:w="1560" w:type="dxa"/>
          </w:tcPr>
          <w:p w14:paraId="0CE23A42" w14:textId="77777777" w:rsidR="00D15E65" w:rsidRPr="007D0AA8" w:rsidRDefault="00D15E65" w:rsidP="00E46014">
            <w:pPr>
              <w:spacing w:after="0" w:line="240" w:lineRule="auto"/>
              <w:rPr>
                <w:rFonts w:ascii="Arial Narrow" w:hAnsi="Arial Narrow"/>
                <w:sz w:val="20"/>
                <w:szCs w:val="20"/>
              </w:rPr>
            </w:pPr>
            <w:r w:rsidRPr="007D0AA8">
              <w:rPr>
                <w:rFonts w:ascii="Arial Narrow" w:hAnsi="Arial Narrow"/>
                <w:sz w:val="20"/>
                <w:szCs w:val="20"/>
              </w:rPr>
              <w:t>NHMRC</w:t>
            </w:r>
          </w:p>
        </w:tc>
        <w:tc>
          <w:tcPr>
            <w:tcW w:w="7469" w:type="dxa"/>
          </w:tcPr>
          <w:p w14:paraId="5DE1B9BE" w14:textId="77777777" w:rsidR="00D15E65" w:rsidRPr="007D0AA8" w:rsidRDefault="00D15E65" w:rsidP="00E46014">
            <w:pPr>
              <w:spacing w:after="0" w:line="240" w:lineRule="auto"/>
              <w:rPr>
                <w:rFonts w:ascii="Arial Narrow" w:hAnsi="Arial Narrow"/>
                <w:sz w:val="20"/>
                <w:szCs w:val="20"/>
              </w:rPr>
            </w:pPr>
            <w:r w:rsidRPr="007D0AA8">
              <w:rPr>
                <w:rFonts w:ascii="Arial Narrow" w:hAnsi="Arial Narrow"/>
                <w:color w:val="000000"/>
                <w:sz w:val="20"/>
                <w:szCs w:val="20"/>
              </w:rPr>
              <w:t>National Health and Medical Research Council</w:t>
            </w:r>
          </w:p>
        </w:tc>
      </w:tr>
      <w:tr w:rsidR="001855A6" w:rsidRPr="007D0AA8" w14:paraId="4DD7502D" w14:textId="77777777" w:rsidTr="007912C1">
        <w:tc>
          <w:tcPr>
            <w:tcW w:w="1560" w:type="dxa"/>
          </w:tcPr>
          <w:p w14:paraId="4BF23D42" w14:textId="77777777"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NNH</w:t>
            </w:r>
          </w:p>
        </w:tc>
        <w:tc>
          <w:tcPr>
            <w:tcW w:w="7469" w:type="dxa"/>
          </w:tcPr>
          <w:p w14:paraId="2724E7A4" w14:textId="77777777"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number needed to harm</w:t>
            </w:r>
          </w:p>
        </w:tc>
      </w:tr>
      <w:tr w:rsidR="001855A6" w:rsidRPr="007D0AA8" w14:paraId="6A3E84AA" w14:textId="77777777" w:rsidTr="007912C1">
        <w:tc>
          <w:tcPr>
            <w:tcW w:w="1560" w:type="dxa"/>
          </w:tcPr>
          <w:p w14:paraId="71A4E9E9" w14:textId="77777777"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PAPS</w:t>
            </w:r>
          </w:p>
        </w:tc>
        <w:tc>
          <w:tcPr>
            <w:tcW w:w="7469" w:type="dxa"/>
          </w:tcPr>
          <w:p w14:paraId="5EAE92B1" w14:textId="77777777"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primary antiphospholipid syndrome</w:t>
            </w:r>
          </w:p>
        </w:tc>
      </w:tr>
      <w:tr w:rsidR="0016008C" w:rsidRPr="007D0AA8" w14:paraId="431307B7" w14:textId="77777777" w:rsidTr="0016008C">
        <w:tc>
          <w:tcPr>
            <w:tcW w:w="1560" w:type="dxa"/>
          </w:tcPr>
          <w:p w14:paraId="413796BE" w14:textId="77777777" w:rsidR="0016008C" w:rsidRPr="007D0AA8" w:rsidRDefault="0016008C" w:rsidP="0016008C">
            <w:pPr>
              <w:spacing w:after="0" w:line="240" w:lineRule="auto"/>
              <w:rPr>
                <w:rFonts w:ascii="Arial Narrow" w:hAnsi="Arial Narrow"/>
                <w:sz w:val="20"/>
                <w:szCs w:val="20"/>
              </w:rPr>
            </w:pPr>
            <w:r w:rsidRPr="007D0AA8">
              <w:rPr>
                <w:rFonts w:ascii="Arial Narrow" w:hAnsi="Arial Narrow"/>
                <w:sz w:val="20"/>
                <w:szCs w:val="20"/>
              </w:rPr>
              <w:t>PASC</w:t>
            </w:r>
          </w:p>
        </w:tc>
        <w:tc>
          <w:tcPr>
            <w:tcW w:w="7469" w:type="dxa"/>
          </w:tcPr>
          <w:p w14:paraId="0C9ECC5F" w14:textId="77777777" w:rsidR="0016008C" w:rsidRPr="007D0AA8" w:rsidRDefault="0016008C" w:rsidP="0016008C">
            <w:pPr>
              <w:spacing w:after="0" w:line="240" w:lineRule="auto"/>
              <w:rPr>
                <w:rFonts w:ascii="Arial Narrow" w:hAnsi="Arial Narrow"/>
                <w:color w:val="000000"/>
                <w:sz w:val="20"/>
                <w:szCs w:val="20"/>
              </w:rPr>
            </w:pPr>
            <w:r w:rsidRPr="007D0AA8">
              <w:rPr>
                <w:rFonts w:ascii="Arial Narrow" w:hAnsi="Arial Narrow"/>
                <w:color w:val="000000"/>
                <w:sz w:val="20"/>
                <w:szCs w:val="20"/>
              </w:rPr>
              <w:t>PICO Confirmation Advisory Sub-Committee of the MSAC</w:t>
            </w:r>
          </w:p>
        </w:tc>
      </w:tr>
      <w:tr w:rsidR="00D15E65" w:rsidRPr="007D0AA8" w14:paraId="4E409F2F" w14:textId="77777777" w:rsidTr="007912C1">
        <w:tc>
          <w:tcPr>
            <w:tcW w:w="1560" w:type="dxa"/>
          </w:tcPr>
          <w:p w14:paraId="0197FB91" w14:textId="3EEEF8DF" w:rsidR="00D15E65" w:rsidRPr="007D0AA8" w:rsidRDefault="0016008C" w:rsidP="00E46014">
            <w:pPr>
              <w:spacing w:after="0" w:line="240" w:lineRule="auto"/>
              <w:rPr>
                <w:rFonts w:ascii="Arial Narrow" w:hAnsi="Arial Narrow"/>
                <w:sz w:val="20"/>
                <w:szCs w:val="20"/>
              </w:rPr>
            </w:pPr>
            <w:r w:rsidRPr="007D0AA8">
              <w:rPr>
                <w:rFonts w:ascii="Arial Narrow" w:hAnsi="Arial Narrow"/>
                <w:sz w:val="20"/>
                <w:szCs w:val="20"/>
              </w:rPr>
              <w:t>PE</w:t>
            </w:r>
          </w:p>
        </w:tc>
        <w:tc>
          <w:tcPr>
            <w:tcW w:w="7469" w:type="dxa"/>
          </w:tcPr>
          <w:p w14:paraId="3E9AA88B" w14:textId="6D42F923" w:rsidR="00D15E65" w:rsidRPr="007D0AA8" w:rsidRDefault="0016008C" w:rsidP="00E46014">
            <w:pPr>
              <w:spacing w:after="0" w:line="240" w:lineRule="auto"/>
              <w:rPr>
                <w:rFonts w:ascii="Arial Narrow" w:hAnsi="Arial Narrow"/>
                <w:color w:val="000000"/>
                <w:sz w:val="20"/>
                <w:szCs w:val="20"/>
              </w:rPr>
            </w:pPr>
            <w:r w:rsidRPr="007D0AA8">
              <w:rPr>
                <w:rFonts w:ascii="Arial Narrow" w:hAnsi="Arial Narrow"/>
                <w:color w:val="000000"/>
                <w:sz w:val="20"/>
                <w:szCs w:val="20"/>
              </w:rPr>
              <w:t>pulmonary embolism</w:t>
            </w:r>
          </w:p>
        </w:tc>
      </w:tr>
      <w:tr w:rsidR="00F578FD" w:rsidRPr="007D0AA8" w14:paraId="29BE75E6" w14:textId="77777777" w:rsidTr="007912C1">
        <w:tc>
          <w:tcPr>
            <w:tcW w:w="1560" w:type="dxa"/>
          </w:tcPr>
          <w:p w14:paraId="2027A658" w14:textId="77777777" w:rsidR="00F578FD" w:rsidRPr="007D0AA8" w:rsidRDefault="00F578FD" w:rsidP="00C905D0">
            <w:pPr>
              <w:spacing w:after="0" w:line="240" w:lineRule="auto"/>
              <w:rPr>
                <w:rFonts w:ascii="Arial Narrow" w:hAnsi="Arial Narrow"/>
                <w:sz w:val="20"/>
                <w:szCs w:val="20"/>
              </w:rPr>
            </w:pPr>
            <w:r w:rsidRPr="007D0AA8">
              <w:rPr>
                <w:rFonts w:ascii="Arial Narrow" w:hAnsi="Arial Narrow"/>
                <w:sz w:val="20"/>
                <w:szCs w:val="20"/>
              </w:rPr>
              <w:t>PICO</w:t>
            </w:r>
          </w:p>
        </w:tc>
        <w:tc>
          <w:tcPr>
            <w:tcW w:w="7469" w:type="dxa"/>
          </w:tcPr>
          <w:p w14:paraId="2C253066" w14:textId="77777777" w:rsidR="00F578FD" w:rsidRPr="007D0AA8" w:rsidRDefault="00F578FD" w:rsidP="00C905D0">
            <w:pPr>
              <w:spacing w:after="0" w:line="240" w:lineRule="auto"/>
              <w:rPr>
                <w:rFonts w:ascii="Arial Narrow" w:hAnsi="Arial Narrow"/>
                <w:sz w:val="20"/>
                <w:szCs w:val="20"/>
              </w:rPr>
            </w:pPr>
            <w:r w:rsidRPr="007D0AA8">
              <w:rPr>
                <w:rFonts w:ascii="Arial Narrow" w:hAnsi="Arial Narrow"/>
                <w:sz w:val="20"/>
                <w:szCs w:val="20"/>
              </w:rPr>
              <w:t>Population, Intervention, Comparator, Outcome criteria</w:t>
            </w:r>
          </w:p>
        </w:tc>
      </w:tr>
      <w:tr w:rsidR="00265C20" w:rsidRPr="007D0AA8" w14:paraId="7EE49798" w14:textId="77777777" w:rsidTr="007912C1">
        <w:tc>
          <w:tcPr>
            <w:tcW w:w="1560" w:type="dxa"/>
          </w:tcPr>
          <w:p w14:paraId="7BA5B94B" w14:textId="78077858" w:rsidR="00265C20" w:rsidRPr="007D0AA8" w:rsidRDefault="00265C20" w:rsidP="00B06A88">
            <w:pPr>
              <w:spacing w:after="0" w:line="240" w:lineRule="auto"/>
              <w:rPr>
                <w:rFonts w:ascii="Arial Narrow" w:hAnsi="Arial Narrow"/>
                <w:sz w:val="20"/>
                <w:szCs w:val="20"/>
              </w:rPr>
            </w:pPr>
            <w:r w:rsidRPr="007D0AA8">
              <w:rPr>
                <w:rFonts w:ascii="Arial Narrow" w:hAnsi="Arial Narrow"/>
                <w:sz w:val="20"/>
                <w:szCs w:val="20"/>
              </w:rPr>
              <w:t>PID</w:t>
            </w:r>
          </w:p>
        </w:tc>
        <w:tc>
          <w:tcPr>
            <w:tcW w:w="7469" w:type="dxa"/>
          </w:tcPr>
          <w:p w14:paraId="1FC25FDE" w14:textId="08CBCBAC" w:rsidR="00265C20" w:rsidRPr="007D0AA8" w:rsidRDefault="00265C20" w:rsidP="00B06A88">
            <w:pPr>
              <w:spacing w:after="0" w:line="240" w:lineRule="auto"/>
              <w:rPr>
                <w:rFonts w:ascii="Arial Narrow" w:hAnsi="Arial Narrow"/>
                <w:sz w:val="20"/>
                <w:szCs w:val="20"/>
              </w:rPr>
            </w:pPr>
            <w:r w:rsidRPr="007D0AA8">
              <w:rPr>
                <w:rFonts w:ascii="Arial Narrow" w:hAnsi="Arial Narrow"/>
                <w:sz w:val="20"/>
                <w:szCs w:val="20"/>
              </w:rPr>
              <w:t>primary immunodeficiency</w:t>
            </w:r>
          </w:p>
        </w:tc>
      </w:tr>
      <w:tr w:rsidR="00E46014" w:rsidRPr="007D0AA8" w14:paraId="5C0AC39A" w14:textId="77777777" w:rsidTr="007912C1">
        <w:tc>
          <w:tcPr>
            <w:tcW w:w="1560" w:type="dxa"/>
          </w:tcPr>
          <w:p w14:paraId="0ABDBEEA" w14:textId="77777777" w:rsidR="00E46014" w:rsidRPr="007D0AA8" w:rsidRDefault="00E46014" w:rsidP="00E46014">
            <w:pPr>
              <w:spacing w:after="0" w:line="240" w:lineRule="auto"/>
              <w:rPr>
                <w:rFonts w:ascii="Arial Narrow" w:hAnsi="Arial Narrow"/>
                <w:sz w:val="20"/>
                <w:szCs w:val="20"/>
              </w:rPr>
            </w:pPr>
            <w:r w:rsidRPr="007D0AA8">
              <w:rPr>
                <w:rFonts w:ascii="Arial Narrow" w:hAnsi="Arial Narrow"/>
                <w:sz w:val="20"/>
                <w:szCs w:val="20"/>
              </w:rPr>
              <w:t>QALY</w:t>
            </w:r>
          </w:p>
        </w:tc>
        <w:tc>
          <w:tcPr>
            <w:tcW w:w="7469" w:type="dxa"/>
          </w:tcPr>
          <w:p w14:paraId="2C51DFFD" w14:textId="467FEC10" w:rsidR="00E46014" w:rsidRPr="007D0AA8" w:rsidRDefault="001855A6" w:rsidP="00E46014">
            <w:pPr>
              <w:spacing w:after="0" w:line="240" w:lineRule="auto"/>
              <w:rPr>
                <w:rFonts w:ascii="Arial Narrow" w:hAnsi="Arial Narrow"/>
                <w:sz w:val="20"/>
                <w:szCs w:val="20"/>
              </w:rPr>
            </w:pPr>
            <w:r w:rsidRPr="007D0AA8">
              <w:rPr>
                <w:rFonts w:ascii="Arial Narrow" w:hAnsi="Arial Narrow"/>
                <w:sz w:val="20"/>
                <w:szCs w:val="20"/>
              </w:rPr>
              <w:t>q</w:t>
            </w:r>
            <w:r w:rsidR="00E46014" w:rsidRPr="007D0AA8">
              <w:rPr>
                <w:rFonts w:ascii="Arial Narrow" w:hAnsi="Arial Narrow"/>
                <w:sz w:val="20"/>
                <w:szCs w:val="20"/>
              </w:rPr>
              <w:t>uality adjusted life year</w:t>
            </w:r>
          </w:p>
        </w:tc>
      </w:tr>
      <w:tr w:rsidR="00B06A88" w:rsidRPr="007D0AA8" w14:paraId="5591756E" w14:textId="77777777" w:rsidTr="007912C1">
        <w:tc>
          <w:tcPr>
            <w:tcW w:w="1560" w:type="dxa"/>
          </w:tcPr>
          <w:p w14:paraId="16B3FD2E" w14:textId="77777777" w:rsidR="00B06A88" w:rsidRPr="007D0AA8" w:rsidRDefault="00B06A88" w:rsidP="00B06A88">
            <w:pPr>
              <w:spacing w:after="0" w:line="240" w:lineRule="auto"/>
              <w:rPr>
                <w:rFonts w:ascii="Arial Narrow" w:hAnsi="Arial Narrow"/>
                <w:sz w:val="20"/>
                <w:szCs w:val="20"/>
              </w:rPr>
            </w:pPr>
            <w:r w:rsidRPr="007D0AA8">
              <w:rPr>
                <w:rFonts w:ascii="Arial Narrow" w:hAnsi="Arial Narrow"/>
                <w:color w:val="000000"/>
                <w:sz w:val="20"/>
                <w:szCs w:val="20"/>
              </w:rPr>
              <w:t>QoL</w:t>
            </w:r>
          </w:p>
        </w:tc>
        <w:tc>
          <w:tcPr>
            <w:tcW w:w="7469" w:type="dxa"/>
          </w:tcPr>
          <w:p w14:paraId="120499EB" w14:textId="77777777" w:rsidR="00B06A88" w:rsidRPr="007D0AA8" w:rsidRDefault="00B06A88" w:rsidP="00B06A88">
            <w:pPr>
              <w:spacing w:after="0" w:line="240" w:lineRule="auto"/>
              <w:rPr>
                <w:rFonts w:ascii="Arial Narrow" w:hAnsi="Arial Narrow"/>
                <w:sz w:val="20"/>
                <w:szCs w:val="20"/>
              </w:rPr>
            </w:pPr>
            <w:r w:rsidRPr="007D0AA8">
              <w:rPr>
                <w:rFonts w:ascii="Arial Narrow" w:hAnsi="Arial Narrow"/>
                <w:color w:val="000000"/>
                <w:sz w:val="20"/>
                <w:szCs w:val="20"/>
              </w:rPr>
              <w:t>quality of life</w:t>
            </w:r>
          </w:p>
        </w:tc>
      </w:tr>
      <w:tr w:rsidR="00F578FD" w:rsidRPr="007D0AA8" w14:paraId="5363F4D5" w14:textId="77777777" w:rsidTr="007912C1">
        <w:tc>
          <w:tcPr>
            <w:tcW w:w="1560" w:type="dxa"/>
          </w:tcPr>
          <w:p w14:paraId="23FECADB" w14:textId="61071E2E" w:rsidR="00F578FD" w:rsidRPr="007D0AA8" w:rsidRDefault="00B06A88" w:rsidP="00C905D0">
            <w:pPr>
              <w:spacing w:after="0" w:line="240" w:lineRule="auto"/>
              <w:rPr>
                <w:rFonts w:ascii="Arial Narrow" w:hAnsi="Arial Narrow"/>
                <w:sz w:val="20"/>
                <w:szCs w:val="20"/>
              </w:rPr>
            </w:pPr>
            <w:r w:rsidRPr="007D0AA8">
              <w:rPr>
                <w:rFonts w:ascii="Arial Narrow" w:hAnsi="Arial Narrow"/>
                <w:color w:val="000000"/>
                <w:sz w:val="20"/>
                <w:szCs w:val="20"/>
              </w:rPr>
              <w:t>RCT</w:t>
            </w:r>
          </w:p>
        </w:tc>
        <w:tc>
          <w:tcPr>
            <w:tcW w:w="7469" w:type="dxa"/>
          </w:tcPr>
          <w:p w14:paraId="00B8FA38" w14:textId="0D1B7733" w:rsidR="00F578FD" w:rsidRPr="007D0AA8" w:rsidRDefault="00B06A88" w:rsidP="00C905D0">
            <w:pPr>
              <w:spacing w:after="0" w:line="240" w:lineRule="auto"/>
              <w:rPr>
                <w:rFonts w:ascii="Arial Narrow" w:hAnsi="Arial Narrow"/>
                <w:sz w:val="20"/>
                <w:szCs w:val="20"/>
              </w:rPr>
            </w:pPr>
            <w:r w:rsidRPr="007D0AA8">
              <w:rPr>
                <w:rFonts w:ascii="Arial Narrow" w:hAnsi="Arial Narrow"/>
                <w:color w:val="000000"/>
                <w:sz w:val="20"/>
                <w:szCs w:val="20"/>
              </w:rPr>
              <w:t>randomised controlled trial</w:t>
            </w:r>
          </w:p>
        </w:tc>
      </w:tr>
      <w:tr w:rsidR="00840905" w:rsidRPr="007D0AA8" w14:paraId="6234BDEF" w14:textId="77777777" w:rsidTr="007912C1">
        <w:tc>
          <w:tcPr>
            <w:tcW w:w="1560" w:type="dxa"/>
          </w:tcPr>
          <w:p w14:paraId="4BD2A954" w14:textId="6A717A26" w:rsidR="00840905" w:rsidRPr="007D0AA8" w:rsidRDefault="00840905" w:rsidP="00C905D0">
            <w:pPr>
              <w:spacing w:after="0" w:line="240" w:lineRule="auto"/>
              <w:rPr>
                <w:rFonts w:ascii="Arial Narrow" w:hAnsi="Arial Narrow"/>
                <w:color w:val="000000"/>
                <w:sz w:val="20"/>
                <w:szCs w:val="20"/>
              </w:rPr>
            </w:pPr>
            <w:r w:rsidRPr="007D0AA8">
              <w:rPr>
                <w:rFonts w:ascii="Arial Narrow" w:hAnsi="Arial Narrow"/>
                <w:color w:val="000000"/>
                <w:sz w:val="20"/>
                <w:szCs w:val="20"/>
              </w:rPr>
              <w:t>RT</w:t>
            </w:r>
          </w:p>
        </w:tc>
        <w:tc>
          <w:tcPr>
            <w:tcW w:w="7469" w:type="dxa"/>
          </w:tcPr>
          <w:p w14:paraId="6BB6E324" w14:textId="2D0F357A" w:rsidR="00840905" w:rsidRPr="007D0AA8" w:rsidRDefault="00840905" w:rsidP="00C905D0">
            <w:pPr>
              <w:spacing w:after="0" w:line="240" w:lineRule="auto"/>
              <w:rPr>
                <w:rFonts w:ascii="Arial Narrow" w:hAnsi="Arial Narrow"/>
                <w:color w:val="000000"/>
                <w:sz w:val="20"/>
                <w:szCs w:val="20"/>
              </w:rPr>
            </w:pPr>
            <w:r w:rsidRPr="007D0AA8">
              <w:rPr>
                <w:rFonts w:ascii="Arial Narrow" w:hAnsi="Arial Narrow"/>
                <w:color w:val="000000"/>
                <w:sz w:val="20"/>
                <w:szCs w:val="20"/>
              </w:rPr>
              <w:t>replacement therapy</w:t>
            </w:r>
          </w:p>
        </w:tc>
      </w:tr>
      <w:tr w:rsidR="001855A6" w:rsidRPr="007D0AA8" w14:paraId="0E5E09B5" w14:textId="77777777" w:rsidTr="007912C1">
        <w:tc>
          <w:tcPr>
            <w:tcW w:w="1560" w:type="dxa"/>
          </w:tcPr>
          <w:p w14:paraId="437A0077" w14:textId="77777777"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SC</w:t>
            </w:r>
          </w:p>
        </w:tc>
        <w:tc>
          <w:tcPr>
            <w:tcW w:w="7469" w:type="dxa"/>
          </w:tcPr>
          <w:p w14:paraId="3A70A45B" w14:textId="77777777"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subcutaneous</w:t>
            </w:r>
          </w:p>
        </w:tc>
      </w:tr>
      <w:tr w:rsidR="00F458EB" w:rsidRPr="007D0AA8" w14:paraId="7C6CB6B8" w14:textId="77777777" w:rsidTr="007912C1">
        <w:tc>
          <w:tcPr>
            <w:tcW w:w="1560" w:type="dxa"/>
          </w:tcPr>
          <w:p w14:paraId="3CB47BF4" w14:textId="24ECB293" w:rsidR="00F458EB" w:rsidRPr="007D0AA8" w:rsidRDefault="001855A6" w:rsidP="00E46014">
            <w:pPr>
              <w:spacing w:after="0" w:line="240" w:lineRule="auto"/>
              <w:rPr>
                <w:rFonts w:ascii="Arial Narrow" w:hAnsi="Arial Narrow"/>
                <w:sz w:val="20"/>
                <w:szCs w:val="20"/>
              </w:rPr>
            </w:pPr>
            <w:r w:rsidRPr="007D0AA8">
              <w:rPr>
                <w:rFonts w:ascii="Arial Narrow" w:hAnsi="Arial Narrow"/>
                <w:sz w:val="20"/>
                <w:szCs w:val="20"/>
              </w:rPr>
              <w:t>sd</w:t>
            </w:r>
          </w:p>
        </w:tc>
        <w:tc>
          <w:tcPr>
            <w:tcW w:w="7469" w:type="dxa"/>
          </w:tcPr>
          <w:p w14:paraId="73040625" w14:textId="6CD51C21" w:rsidR="00F458EB" w:rsidRPr="007D0AA8" w:rsidRDefault="001855A6" w:rsidP="00E46014">
            <w:pPr>
              <w:spacing w:after="0" w:line="240" w:lineRule="auto"/>
              <w:rPr>
                <w:rFonts w:ascii="Arial Narrow" w:hAnsi="Arial Narrow"/>
                <w:sz w:val="20"/>
                <w:szCs w:val="20"/>
              </w:rPr>
            </w:pPr>
            <w:r w:rsidRPr="007D0AA8">
              <w:rPr>
                <w:rFonts w:ascii="Arial Narrow" w:hAnsi="Arial Narrow"/>
                <w:sz w:val="20"/>
                <w:szCs w:val="20"/>
              </w:rPr>
              <w:t>standard deviation</w:t>
            </w:r>
          </w:p>
        </w:tc>
      </w:tr>
      <w:tr w:rsidR="00E46014" w:rsidRPr="007D0AA8" w14:paraId="73B76BDC" w14:textId="77777777" w:rsidTr="007912C1">
        <w:tc>
          <w:tcPr>
            <w:tcW w:w="1560" w:type="dxa"/>
          </w:tcPr>
          <w:p w14:paraId="71AAA5A7" w14:textId="77777777" w:rsidR="00E46014" w:rsidRPr="007D0AA8" w:rsidRDefault="00E46014" w:rsidP="00E46014">
            <w:pPr>
              <w:spacing w:after="0" w:line="240" w:lineRule="auto"/>
              <w:rPr>
                <w:rFonts w:ascii="Arial Narrow" w:hAnsi="Arial Narrow"/>
                <w:sz w:val="20"/>
                <w:szCs w:val="20"/>
              </w:rPr>
            </w:pPr>
            <w:r w:rsidRPr="007D0AA8">
              <w:rPr>
                <w:rFonts w:ascii="Arial Narrow" w:hAnsi="Arial Narrow"/>
                <w:sz w:val="20"/>
                <w:szCs w:val="20"/>
              </w:rPr>
              <w:t>SCIg</w:t>
            </w:r>
          </w:p>
        </w:tc>
        <w:tc>
          <w:tcPr>
            <w:tcW w:w="7469" w:type="dxa"/>
          </w:tcPr>
          <w:p w14:paraId="3AA1FEC4" w14:textId="77777777" w:rsidR="00E46014" w:rsidRPr="007D0AA8" w:rsidRDefault="00E46014" w:rsidP="00E46014">
            <w:pPr>
              <w:spacing w:after="0" w:line="240" w:lineRule="auto"/>
              <w:rPr>
                <w:rFonts w:ascii="Arial Narrow" w:hAnsi="Arial Narrow"/>
                <w:sz w:val="20"/>
                <w:szCs w:val="20"/>
              </w:rPr>
            </w:pPr>
            <w:r w:rsidRPr="007D0AA8">
              <w:rPr>
                <w:rFonts w:ascii="Arial Narrow" w:hAnsi="Arial Narrow"/>
                <w:sz w:val="20"/>
                <w:szCs w:val="20"/>
              </w:rPr>
              <w:t>subcutaneous immunoglobulin</w:t>
            </w:r>
          </w:p>
        </w:tc>
      </w:tr>
      <w:tr w:rsidR="00265C20" w:rsidRPr="007D0AA8" w14:paraId="08697D6E" w14:textId="77777777" w:rsidTr="007912C1">
        <w:tc>
          <w:tcPr>
            <w:tcW w:w="1560" w:type="dxa"/>
          </w:tcPr>
          <w:p w14:paraId="228754C9" w14:textId="77777777" w:rsidR="00265C20" w:rsidRPr="007D0AA8" w:rsidRDefault="00265C20" w:rsidP="00B06A88">
            <w:pPr>
              <w:spacing w:after="0" w:line="240" w:lineRule="auto"/>
              <w:rPr>
                <w:rFonts w:ascii="Arial Narrow" w:hAnsi="Arial Narrow"/>
                <w:sz w:val="20"/>
                <w:szCs w:val="20"/>
              </w:rPr>
            </w:pPr>
            <w:r w:rsidRPr="007D0AA8">
              <w:rPr>
                <w:rFonts w:ascii="Arial Narrow" w:hAnsi="Arial Narrow"/>
                <w:sz w:val="20"/>
                <w:szCs w:val="20"/>
              </w:rPr>
              <w:t>SEM</w:t>
            </w:r>
          </w:p>
        </w:tc>
        <w:tc>
          <w:tcPr>
            <w:tcW w:w="7469" w:type="dxa"/>
          </w:tcPr>
          <w:p w14:paraId="3CCC65C8" w14:textId="77777777" w:rsidR="00265C20" w:rsidRPr="007D0AA8" w:rsidRDefault="00265C20" w:rsidP="00B06A88">
            <w:pPr>
              <w:spacing w:after="0" w:line="240" w:lineRule="auto"/>
              <w:rPr>
                <w:rFonts w:ascii="Arial Narrow" w:hAnsi="Arial Narrow"/>
                <w:sz w:val="20"/>
                <w:szCs w:val="20"/>
              </w:rPr>
            </w:pPr>
            <w:r w:rsidRPr="007D0AA8">
              <w:rPr>
                <w:rFonts w:ascii="Arial Narrow" w:hAnsi="Arial Narrow"/>
                <w:sz w:val="20"/>
                <w:szCs w:val="20"/>
              </w:rPr>
              <w:t>standard error of the mean</w:t>
            </w:r>
          </w:p>
        </w:tc>
      </w:tr>
      <w:tr w:rsidR="001855A6" w:rsidRPr="007D0AA8" w14:paraId="29B046E1" w14:textId="77777777" w:rsidTr="007912C1">
        <w:tc>
          <w:tcPr>
            <w:tcW w:w="1560" w:type="dxa"/>
          </w:tcPr>
          <w:p w14:paraId="5E6D76AA" w14:textId="5DA0A200" w:rsidR="001855A6" w:rsidRPr="007D0AA8" w:rsidRDefault="001855A6" w:rsidP="00265C20">
            <w:pPr>
              <w:spacing w:after="0" w:line="240" w:lineRule="auto"/>
              <w:rPr>
                <w:rFonts w:ascii="Arial Narrow" w:hAnsi="Arial Narrow"/>
                <w:sz w:val="20"/>
                <w:szCs w:val="20"/>
              </w:rPr>
            </w:pPr>
            <w:r w:rsidRPr="007D0AA8">
              <w:rPr>
                <w:rFonts w:ascii="Arial Narrow" w:hAnsi="Arial Narrow"/>
                <w:sz w:val="20"/>
                <w:szCs w:val="20"/>
              </w:rPr>
              <w:t>S</w:t>
            </w:r>
            <w:r w:rsidR="00265C20" w:rsidRPr="007D0AA8">
              <w:rPr>
                <w:rFonts w:ascii="Arial Narrow" w:hAnsi="Arial Narrow"/>
                <w:sz w:val="20"/>
                <w:szCs w:val="20"/>
              </w:rPr>
              <w:t>ID</w:t>
            </w:r>
          </w:p>
        </w:tc>
        <w:tc>
          <w:tcPr>
            <w:tcW w:w="7469" w:type="dxa"/>
          </w:tcPr>
          <w:p w14:paraId="286E4741" w14:textId="28450A37" w:rsidR="001855A6" w:rsidRPr="007D0AA8" w:rsidRDefault="00265C20" w:rsidP="00B06A88">
            <w:pPr>
              <w:spacing w:after="0" w:line="240" w:lineRule="auto"/>
              <w:rPr>
                <w:rFonts w:ascii="Arial Narrow" w:hAnsi="Arial Narrow"/>
                <w:sz w:val="20"/>
                <w:szCs w:val="20"/>
              </w:rPr>
            </w:pPr>
            <w:r w:rsidRPr="007D0AA8">
              <w:rPr>
                <w:rFonts w:ascii="Arial Narrow" w:hAnsi="Arial Narrow"/>
                <w:sz w:val="20"/>
                <w:szCs w:val="20"/>
              </w:rPr>
              <w:t>secondary immunodeficiency</w:t>
            </w:r>
          </w:p>
        </w:tc>
      </w:tr>
      <w:tr w:rsidR="00840905" w:rsidRPr="007D0AA8" w14:paraId="181FCDCA" w14:textId="77777777" w:rsidTr="007912C1">
        <w:tc>
          <w:tcPr>
            <w:tcW w:w="1560" w:type="dxa"/>
          </w:tcPr>
          <w:p w14:paraId="263BE7BA" w14:textId="37587B9D" w:rsidR="00840905" w:rsidRPr="007D0AA8" w:rsidRDefault="00840905" w:rsidP="00265C20">
            <w:pPr>
              <w:spacing w:after="0" w:line="240" w:lineRule="auto"/>
              <w:rPr>
                <w:rFonts w:ascii="Arial Narrow" w:hAnsi="Arial Narrow"/>
                <w:sz w:val="20"/>
                <w:szCs w:val="20"/>
              </w:rPr>
            </w:pPr>
            <w:r w:rsidRPr="007D0AA8">
              <w:rPr>
                <w:rFonts w:ascii="Arial Narrow" w:hAnsi="Arial Narrow"/>
                <w:sz w:val="20"/>
                <w:szCs w:val="20"/>
              </w:rPr>
              <w:t>SLL</w:t>
            </w:r>
          </w:p>
        </w:tc>
        <w:tc>
          <w:tcPr>
            <w:tcW w:w="7469" w:type="dxa"/>
          </w:tcPr>
          <w:p w14:paraId="63358AEF" w14:textId="33F29D65" w:rsidR="00840905" w:rsidRPr="007D0AA8" w:rsidRDefault="00840905" w:rsidP="00B06A88">
            <w:pPr>
              <w:spacing w:after="0" w:line="240" w:lineRule="auto"/>
              <w:rPr>
                <w:rFonts w:ascii="Arial Narrow" w:hAnsi="Arial Narrow"/>
                <w:sz w:val="20"/>
                <w:szCs w:val="20"/>
              </w:rPr>
            </w:pPr>
            <w:r w:rsidRPr="007D0AA8">
              <w:rPr>
                <w:rFonts w:ascii="Arial Narrow" w:hAnsi="Arial Narrow"/>
                <w:sz w:val="20"/>
                <w:szCs w:val="20"/>
              </w:rPr>
              <w:t>small lymphocytic lymphoma (similar to CLL)</w:t>
            </w:r>
          </w:p>
        </w:tc>
      </w:tr>
      <w:tr w:rsidR="001855A6" w:rsidRPr="007D0AA8" w14:paraId="4D506606" w14:textId="77777777" w:rsidTr="007912C1">
        <w:tc>
          <w:tcPr>
            <w:tcW w:w="1560" w:type="dxa"/>
          </w:tcPr>
          <w:p w14:paraId="45F75D70" w14:textId="77777777"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S+T</w:t>
            </w:r>
          </w:p>
        </w:tc>
        <w:tc>
          <w:tcPr>
            <w:tcW w:w="7469" w:type="dxa"/>
          </w:tcPr>
          <w:p w14:paraId="3DC86ED3" w14:textId="77777777"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sulfamethoxazole+trimethoprim</w:t>
            </w:r>
          </w:p>
        </w:tc>
      </w:tr>
      <w:tr w:rsidR="001855A6" w:rsidRPr="007D0AA8" w14:paraId="749651E9" w14:textId="77777777" w:rsidTr="007912C1">
        <w:tc>
          <w:tcPr>
            <w:tcW w:w="1560" w:type="dxa"/>
          </w:tcPr>
          <w:p w14:paraId="00B10882" w14:textId="3AB7B801" w:rsidR="001855A6" w:rsidRPr="007D0AA8" w:rsidRDefault="001855A6" w:rsidP="001855A6">
            <w:pPr>
              <w:spacing w:after="0" w:line="240" w:lineRule="auto"/>
              <w:rPr>
                <w:rFonts w:ascii="Arial Narrow" w:hAnsi="Arial Narrow"/>
                <w:sz w:val="20"/>
                <w:szCs w:val="20"/>
              </w:rPr>
            </w:pPr>
            <w:r w:rsidRPr="007D0AA8">
              <w:rPr>
                <w:rFonts w:ascii="Arial Narrow" w:hAnsi="Arial Narrow"/>
                <w:sz w:val="20"/>
                <w:szCs w:val="20"/>
              </w:rPr>
              <w:t>TEE</w:t>
            </w:r>
          </w:p>
        </w:tc>
        <w:tc>
          <w:tcPr>
            <w:tcW w:w="7469" w:type="dxa"/>
          </w:tcPr>
          <w:p w14:paraId="22A0241E" w14:textId="2A35B9D0" w:rsidR="001855A6" w:rsidRPr="007D0AA8" w:rsidRDefault="001855A6" w:rsidP="001855A6">
            <w:pPr>
              <w:spacing w:after="0" w:line="240" w:lineRule="auto"/>
              <w:rPr>
                <w:rFonts w:ascii="Arial Narrow" w:hAnsi="Arial Narrow"/>
                <w:sz w:val="20"/>
                <w:szCs w:val="20"/>
              </w:rPr>
            </w:pPr>
            <w:r w:rsidRPr="007D0AA8">
              <w:rPr>
                <w:rFonts w:ascii="Arial Narrow" w:hAnsi="Arial Narrow"/>
                <w:sz w:val="20"/>
                <w:szCs w:val="20"/>
              </w:rPr>
              <w:t>thromboembolic event</w:t>
            </w:r>
          </w:p>
        </w:tc>
      </w:tr>
      <w:tr w:rsidR="007D763E" w:rsidRPr="007D0AA8" w14:paraId="61C9DAA5" w14:textId="77777777" w:rsidTr="007912C1">
        <w:tc>
          <w:tcPr>
            <w:tcW w:w="1560" w:type="dxa"/>
          </w:tcPr>
          <w:p w14:paraId="5EB1BBC6" w14:textId="77777777" w:rsidR="007D763E" w:rsidRPr="007D0AA8" w:rsidRDefault="007D763E" w:rsidP="00E46014">
            <w:pPr>
              <w:spacing w:after="0" w:line="240" w:lineRule="auto"/>
              <w:rPr>
                <w:rFonts w:ascii="Arial Narrow" w:hAnsi="Arial Narrow"/>
                <w:sz w:val="20"/>
                <w:szCs w:val="20"/>
              </w:rPr>
            </w:pPr>
            <w:r w:rsidRPr="007D0AA8">
              <w:rPr>
                <w:rFonts w:ascii="Arial Narrow" w:hAnsi="Arial Narrow"/>
                <w:sz w:val="20"/>
                <w:szCs w:val="20"/>
              </w:rPr>
              <w:t>TGA</w:t>
            </w:r>
          </w:p>
        </w:tc>
        <w:tc>
          <w:tcPr>
            <w:tcW w:w="7469" w:type="dxa"/>
          </w:tcPr>
          <w:p w14:paraId="637D87A6" w14:textId="77777777" w:rsidR="007D763E" w:rsidRPr="007D0AA8" w:rsidRDefault="007D763E" w:rsidP="00E46014">
            <w:pPr>
              <w:spacing w:after="0" w:line="240" w:lineRule="auto"/>
              <w:rPr>
                <w:rFonts w:ascii="Arial Narrow" w:hAnsi="Arial Narrow"/>
                <w:sz w:val="20"/>
                <w:szCs w:val="20"/>
              </w:rPr>
            </w:pPr>
            <w:r w:rsidRPr="007D0AA8">
              <w:rPr>
                <w:rFonts w:ascii="Arial Narrow" w:hAnsi="Arial Narrow"/>
                <w:sz w:val="20"/>
                <w:szCs w:val="20"/>
              </w:rPr>
              <w:t xml:space="preserve">Therapeutic Goods </w:t>
            </w:r>
            <w:r w:rsidR="005C6209" w:rsidRPr="007D0AA8">
              <w:rPr>
                <w:rFonts w:ascii="Arial Narrow" w:hAnsi="Arial Narrow"/>
                <w:sz w:val="20"/>
                <w:szCs w:val="20"/>
              </w:rPr>
              <w:t>Administration</w:t>
            </w:r>
          </w:p>
        </w:tc>
      </w:tr>
      <w:tr w:rsidR="00E46014" w:rsidRPr="007D0AA8" w14:paraId="4D2FE784" w14:textId="77777777" w:rsidTr="007912C1">
        <w:tc>
          <w:tcPr>
            <w:tcW w:w="1560" w:type="dxa"/>
          </w:tcPr>
          <w:p w14:paraId="17D5E900" w14:textId="57737268" w:rsidR="00E46014" w:rsidRPr="007D0AA8" w:rsidRDefault="001855A6" w:rsidP="00E46014">
            <w:pPr>
              <w:spacing w:after="0" w:line="240" w:lineRule="auto"/>
              <w:rPr>
                <w:rFonts w:ascii="Arial Narrow" w:hAnsi="Arial Narrow"/>
                <w:sz w:val="20"/>
                <w:szCs w:val="20"/>
              </w:rPr>
            </w:pPr>
            <w:r w:rsidRPr="007D0AA8">
              <w:rPr>
                <w:rFonts w:ascii="Arial Narrow" w:hAnsi="Arial Narrow"/>
                <w:sz w:val="20"/>
                <w:szCs w:val="20"/>
              </w:rPr>
              <w:t>tx</w:t>
            </w:r>
          </w:p>
        </w:tc>
        <w:tc>
          <w:tcPr>
            <w:tcW w:w="7469" w:type="dxa"/>
          </w:tcPr>
          <w:p w14:paraId="04585E8D" w14:textId="55712F5D" w:rsidR="00E46014" w:rsidRPr="007D0AA8" w:rsidRDefault="001855A6" w:rsidP="00E46014">
            <w:pPr>
              <w:spacing w:after="0" w:line="240" w:lineRule="auto"/>
              <w:rPr>
                <w:rFonts w:ascii="Arial Narrow" w:hAnsi="Arial Narrow"/>
                <w:sz w:val="20"/>
                <w:szCs w:val="20"/>
              </w:rPr>
            </w:pPr>
            <w:r w:rsidRPr="007D0AA8">
              <w:rPr>
                <w:rFonts w:ascii="Arial Narrow" w:hAnsi="Arial Narrow"/>
                <w:sz w:val="20"/>
                <w:szCs w:val="20"/>
              </w:rPr>
              <w:t>treatment</w:t>
            </w:r>
          </w:p>
        </w:tc>
      </w:tr>
      <w:tr w:rsidR="001855A6" w:rsidRPr="007D0AA8" w14:paraId="5F3DBB8E" w14:textId="77777777" w:rsidTr="007912C1">
        <w:tc>
          <w:tcPr>
            <w:tcW w:w="1560" w:type="dxa"/>
          </w:tcPr>
          <w:p w14:paraId="0677F148" w14:textId="3217A0B4"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URT</w:t>
            </w:r>
          </w:p>
        </w:tc>
        <w:tc>
          <w:tcPr>
            <w:tcW w:w="7469" w:type="dxa"/>
          </w:tcPr>
          <w:p w14:paraId="42700A08" w14:textId="12E2DB33"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upper respiratory tract</w:t>
            </w:r>
          </w:p>
        </w:tc>
      </w:tr>
      <w:tr w:rsidR="001855A6" w:rsidRPr="007D0AA8" w14:paraId="124D7002" w14:textId="77777777" w:rsidTr="007912C1">
        <w:tc>
          <w:tcPr>
            <w:tcW w:w="1560" w:type="dxa"/>
          </w:tcPr>
          <w:p w14:paraId="5E5130F1" w14:textId="44D64C2C"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UTI</w:t>
            </w:r>
          </w:p>
        </w:tc>
        <w:tc>
          <w:tcPr>
            <w:tcW w:w="7469" w:type="dxa"/>
          </w:tcPr>
          <w:p w14:paraId="6BCF7F24" w14:textId="39EDCB90"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szCs w:val="20"/>
              </w:rPr>
              <w:t>urinary tract infection</w:t>
            </w:r>
          </w:p>
        </w:tc>
      </w:tr>
      <w:tr w:rsidR="001855A6" w:rsidRPr="007D0AA8" w14:paraId="39320D34" w14:textId="77777777" w:rsidTr="007912C1">
        <w:tc>
          <w:tcPr>
            <w:tcW w:w="1560" w:type="dxa"/>
          </w:tcPr>
          <w:p w14:paraId="3FCEADCE" w14:textId="369617D5"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rPr>
              <w:t>WM</w:t>
            </w:r>
          </w:p>
        </w:tc>
        <w:tc>
          <w:tcPr>
            <w:tcW w:w="7469" w:type="dxa"/>
          </w:tcPr>
          <w:p w14:paraId="76EE90B3" w14:textId="69EB4FE1" w:rsidR="001855A6" w:rsidRPr="007D0AA8" w:rsidRDefault="001855A6" w:rsidP="00B06A88">
            <w:pPr>
              <w:spacing w:after="0" w:line="240" w:lineRule="auto"/>
              <w:rPr>
                <w:rFonts w:ascii="Arial Narrow" w:hAnsi="Arial Narrow"/>
                <w:sz w:val="20"/>
                <w:szCs w:val="20"/>
              </w:rPr>
            </w:pPr>
            <w:r w:rsidRPr="007D0AA8">
              <w:rPr>
                <w:rFonts w:ascii="Arial Narrow" w:hAnsi="Arial Narrow"/>
                <w:sz w:val="20"/>
              </w:rPr>
              <w:t xml:space="preserve">Waldenström macroglobulinaemia </w:t>
            </w:r>
            <w:r w:rsidRPr="007D0AA8">
              <w:rPr>
                <w:rFonts w:ascii="Arial Narrow" w:hAnsi="Arial Narrow"/>
                <w:sz w:val="20"/>
                <w:szCs w:val="20"/>
              </w:rPr>
              <w:t>(</w:t>
            </w:r>
            <w:r w:rsidR="00767BEA" w:rsidRPr="007D0AA8">
              <w:rPr>
                <w:rFonts w:ascii="Arial Narrow" w:hAnsi="Arial Narrow"/>
                <w:sz w:val="20"/>
                <w:szCs w:val="20"/>
              </w:rPr>
              <w:t xml:space="preserve">a </w:t>
            </w:r>
            <w:r w:rsidRPr="007D0AA8">
              <w:rPr>
                <w:rFonts w:ascii="Arial Narrow" w:hAnsi="Arial Narrow"/>
                <w:sz w:val="20"/>
                <w:szCs w:val="20"/>
              </w:rPr>
              <w:t>type of ‘other haematological malignancy’)</w:t>
            </w:r>
          </w:p>
        </w:tc>
      </w:tr>
    </w:tbl>
    <w:p w14:paraId="2B1CBAC8" w14:textId="77777777" w:rsidR="00351191" w:rsidRPr="007D0AA8" w:rsidRDefault="00351191" w:rsidP="00DF343F">
      <w:pPr>
        <w:tabs>
          <w:tab w:val="left" w:pos="1418"/>
        </w:tabs>
        <w:spacing w:line="240" w:lineRule="auto"/>
      </w:pPr>
    </w:p>
    <w:p w14:paraId="08364CE6" w14:textId="336DE826" w:rsidR="008F59A8" w:rsidRPr="00386411" w:rsidRDefault="00913620" w:rsidP="00DF343F">
      <w:pPr>
        <w:pStyle w:val="Heading1"/>
      </w:pPr>
      <w:bookmarkStart w:id="148" w:name="_Toc14431115"/>
      <w:bookmarkStart w:id="149" w:name="_Toc16856283"/>
      <w:bookmarkEnd w:id="147"/>
      <w:r w:rsidRPr="00386411">
        <w:lastRenderedPageBreak/>
        <w:t>Section A</w:t>
      </w:r>
      <w:r w:rsidRPr="00386411">
        <w:tab/>
        <w:t>Context</w:t>
      </w:r>
      <w:bookmarkEnd w:id="148"/>
      <w:bookmarkEnd w:id="149"/>
    </w:p>
    <w:p w14:paraId="35D7EC08" w14:textId="4253C376" w:rsidR="00E05186" w:rsidRPr="007D0AA8" w:rsidRDefault="00E05186" w:rsidP="00DF343F">
      <w:r w:rsidRPr="007D0AA8">
        <w:t xml:space="preserve">This </w:t>
      </w:r>
      <w:r w:rsidR="0025605B" w:rsidRPr="007D0AA8">
        <w:t>contracted</w:t>
      </w:r>
      <w:r w:rsidR="00FD31FC" w:rsidRPr="007D0AA8">
        <w:t xml:space="preserve"> </w:t>
      </w:r>
      <w:r w:rsidRPr="007D0AA8">
        <w:t xml:space="preserve">assessment </w:t>
      </w:r>
      <w:r w:rsidR="0025605B" w:rsidRPr="007D0AA8">
        <w:t xml:space="preserve">of human gamma immunoglobulin (IgG) for the </w:t>
      </w:r>
      <w:r w:rsidR="00FD31FC" w:rsidRPr="007D0AA8">
        <w:t>treatment</w:t>
      </w:r>
      <w:r w:rsidR="0025605B" w:rsidRPr="007D0AA8">
        <w:t xml:space="preserve"> of </w:t>
      </w:r>
      <w:r w:rsidR="00443463" w:rsidRPr="007D0AA8">
        <w:rPr>
          <w:i/>
        </w:rPr>
        <w:t>a</w:t>
      </w:r>
      <w:r w:rsidR="0025605B" w:rsidRPr="007D0AA8">
        <w:rPr>
          <w:i/>
        </w:rPr>
        <w:t>cquired hypogammaglobulinaemia secondary to haematological malignancies, or post</w:t>
      </w:r>
      <w:r w:rsidR="002B1BF1" w:rsidRPr="007D0AA8">
        <w:rPr>
          <w:i/>
        </w:rPr>
        <w:t>-</w:t>
      </w:r>
      <w:r w:rsidR="0025605B" w:rsidRPr="007D0AA8">
        <w:rPr>
          <w:i/>
        </w:rPr>
        <w:t>haemopoietic s</w:t>
      </w:r>
      <w:r w:rsidR="00443463" w:rsidRPr="007D0AA8">
        <w:rPr>
          <w:i/>
        </w:rPr>
        <w:t>tem cell transplantation (HSCT)</w:t>
      </w:r>
      <w:r w:rsidR="00FD31FC" w:rsidRPr="007D0AA8">
        <w:t xml:space="preserve"> </w:t>
      </w:r>
      <w:r w:rsidRPr="007D0AA8">
        <w:t>is intended for the Medical Services Advisory Committee (MSAC). MSAC evaluates new and existing health technologies and procedures for which</w:t>
      </w:r>
      <w:r w:rsidR="0025605B" w:rsidRPr="007D0AA8">
        <w:t xml:space="preserve"> public</w:t>
      </w:r>
      <w:r w:rsidRPr="007D0AA8">
        <w:t xml:space="preserve"> funding is sought in terms of their safety, effectiveness and cost-effectiveness, while taking into account other issues such as access and equity. MSAC adopts an evidence-based approach to its assessments, based on reviews of the scientific literature and other information sources, including clinical expertise.</w:t>
      </w:r>
      <w:r w:rsidR="00C905D0" w:rsidRPr="007D0AA8">
        <w:t xml:space="preserve"> IgG in this indication is presently funded under the national blood supply arrangements but cost-effectiveness of this use has not previously been established. </w:t>
      </w:r>
    </w:p>
    <w:p w14:paraId="3786BA36" w14:textId="54A25ADD" w:rsidR="00C905D0" w:rsidRPr="007D0AA8" w:rsidRDefault="009F6E2C" w:rsidP="00C905D0">
      <w:bookmarkStart w:id="150" w:name="_GoBack"/>
      <w:bookmarkEnd w:id="150"/>
      <w:r>
        <w:t>T</w:t>
      </w:r>
      <w:r w:rsidR="0025605B" w:rsidRPr="007D0AA8">
        <w:t>he National Blood Agreement provides for MSAC to undertake evidence-based evaluation of blood products funded under the national blood supply arrangements at the request of the Jurisdictional Blood Committee. The Department of Health has convened an Ig Review Reference Group to provide advice for evaluation of IgG funded by the National Blood Authority (NBA).</w:t>
      </w:r>
      <w:r w:rsidR="00C905D0" w:rsidRPr="007D0AA8">
        <w:t xml:space="preserve"> The PICO Confirmations for these products are being considered by the Ig Review Reference Group instead of the PICO Advisory Sub-committee (PASC). Otherwise the MSAC evaluation process remains the same as for applications for funding of items on the Medical Benefits Schedule (MBS). </w:t>
      </w:r>
    </w:p>
    <w:p w14:paraId="46A27226" w14:textId="3A0183AE" w:rsidR="00EB4DCD" w:rsidRPr="007D0AA8" w:rsidRDefault="0025605B" w:rsidP="00C75600">
      <w:r w:rsidRPr="007D0AA8">
        <w:t>Adelaide Health Technology Assessment (AHTA)</w:t>
      </w:r>
      <w:r w:rsidR="00EB4DCD" w:rsidRPr="007D0AA8">
        <w:t xml:space="preserve"> has been commissioned by the Australian Government Department of Health to conduct a systematic literature review and economic evaluation </w:t>
      </w:r>
      <w:r w:rsidRPr="007D0AA8">
        <w:t>for MSAC</w:t>
      </w:r>
      <w:r w:rsidR="00B06A88" w:rsidRPr="007D0AA8">
        <w:t xml:space="preserve"> referral</w:t>
      </w:r>
      <w:r w:rsidR="00EB4DCD" w:rsidRPr="007D0AA8">
        <w:t xml:space="preserve"> </w:t>
      </w:r>
      <w:r w:rsidRPr="007D0AA8">
        <w:t>application 1565</w:t>
      </w:r>
      <w:r w:rsidR="00EB4DCD" w:rsidRPr="007D0AA8">
        <w:t>.</w:t>
      </w:r>
      <w:r w:rsidRPr="007D0AA8">
        <w:t xml:space="preserve"> </w:t>
      </w:r>
      <w:r w:rsidR="00EB4DCD" w:rsidRPr="007D0AA8">
        <w:t xml:space="preserve">This assessment has been undertaken in order to inform MSAC’s </w:t>
      </w:r>
      <w:r w:rsidR="00443463" w:rsidRPr="007D0AA8">
        <w:t>consideration of the cost-effectiveness of</w:t>
      </w:r>
      <w:r w:rsidR="00EB4DCD" w:rsidRPr="007D0AA8">
        <w:t xml:space="preserve"> </w:t>
      </w:r>
      <w:r w:rsidR="00443463" w:rsidRPr="007D0AA8">
        <w:t>IgG as it</w:t>
      </w:r>
      <w:r w:rsidRPr="007D0AA8">
        <w:t xml:space="preserve"> currently funded</w:t>
      </w:r>
      <w:r w:rsidR="00443463" w:rsidRPr="007D0AA8">
        <w:t xml:space="preserve"> for treatment of acquired hypogammaglobulinaemia secondary to haematological malignancies, or post</w:t>
      </w:r>
      <w:r w:rsidR="006E04C1">
        <w:t>-</w:t>
      </w:r>
      <w:r w:rsidR="00443463" w:rsidRPr="007D0AA8">
        <w:t>haemopoietic stem cell transplantation (HSCT)</w:t>
      </w:r>
      <w:r w:rsidR="008B5C5B" w:rsidRPr="007D0AA8">
        <w:t xml:space="preserve">. </w:t>
      </w:r>
    </w:p>
    <w:p w14:paraId="223C97FF" w14:textId="067921D0" w:rsidR="00BD49CE" w:rsidRPr="007D0AA8" w:rsidRDefault="0025605B" w:rsidP="0025605B">
      <w:r w:rsidRPr="007D0AA8">
        <w:t>The criteria for evaluation of IgG as it is currently funded for this indication</w:t>
      </w:r>
      <w:r w:rsidR="00695731" w:rsidRPr="007D0AA8">
        <w:t xml:space="preserve"> in Australian clinical practice w</w:t>
      </w:r>
      <w:r w:rsidR="00A21C19" w:rsidRPr="007D0AA8">
        <w:t>ere</w:t>
      </w:r>
      <w:r w:rsidR="00695731" w:rsidRPr="007D0AA8">
        <w:t xml:space="preserve"> outlined in a </w:t>
      </w:r>
      <w:r w:rsidR="0033799C" w:rsidRPr="007D0AA8">
        <w:t>PICO Confirmation</w:t>
      </w:r>
      <w:r w:rsidR="009545FC" w:rsidRPr="007D0AA8">
        <w:t xml:space="preserve"> </w:t>
      </w:r>
      <w:r w:rsidR="00695731" w:rsidRPr="007D0AA8">
        <w:t xml:space="preserve">that </w:t>
      </w:r>
      <w:r w:rsidR="00BD49CE" w:rsidRPr="007D0AA8">
        <w:t xml:space="preserve">was </w:t>
      </w:r>
      <w:r w:rsidR="00C905D0" w:rsidRPr="007D0AA8">
        <w:t>discussed at</w:t>
      </w:r>
      <w:r w:rsidR="00F458EB" w:rsidRPr="007D0AA8">
        <w:t xml:space="preserve"> the </w:t>
      </w:r>
      <w:r w:rsidRPr="007D0AA8">
        <w:t xml:space="preserve">IgG Review </w:t>
      </w:r>
      <w:r w:rsidR="00443463" w:rsidRPr="007D0AA8">
        <w:t xml:space="preserve">Reference </w:t>
      </w:r>
      <w:r w:rsidRPr="007D0AA8">
        <w:t>Group</w:t>
      </w:r>
      <w:r w:rsidR="00C905D0" w:rsidRPr="007D0AA8">
        <w:t xml:space="preserve"> (meeting of 7 February 2019) and ratified on </w:t>
      </w:r>
      <w:r w:rsidR="002B1BF1" w:rsidRPr="007D0AA8">
        <w:t>8</w:t>
      </w:r>
      <w:r w:rsidR="002B1BF1" w:rsidRPr="007D0AA8">
        <w:rPr>
          <w:vertAlign w:val="superscript"/>
        </w:rPr>
        <w:t>th</w:t>
      </w:r>
      <w:r w:rsidR="002B1BF1" w:rsidRPr="007D0AA8">
        <w:t xml:space="preserve"> March 2019.</w:t>
      </w:r>
      <w:r w:rsidR="00752C99" w:rsidRPr="007D0AA8">
        <w:t xml:space="preserve"> </w:t>
      </w:r>
    </w:p>
    <w:p w14:paraId="2A6E457C" w14:textId="77777777" w:rsidR="00A21C19" w:rsidRPr="007D0AA8" w:rsidRDefault="00A21C19" w:rsidP="00A21C19">
      <w:r w:rsidRPr="007D0AA8">
        <w:t xml:space="preserve">Appendix A provides a list of the people involved in the development of this assessment report. </w:t>
      </w:r>
    </w:p>
    <w:p w14:paraId="099FD60D" w14:textId="77777777" w:rsidR="003F169D" w:rsidRPr="00386411" w:rsidRDefault="009545FC" w:rsidP="00331FB9">
      <w:pPr>
        <w:pStyle w:val="Heading2"/>
        <w:numPr>
          <w:ilvl w:val="0"/>
          <w:numId w:val="8"/>
        </w:numPr>
      </w:pPr>
      <w:bookmarkStart w:id="151" w:name="_Toc14431116"/>
      <w:bookmarkStart w:id="152" w:name="_Toc16856284"/>
      <w:r w:rsidRPr="00386411">
        <w:t xml:space="preserve">Items in the agreed </w:t>
      </w:r>
      <w:r w:rsidR="0088661A" w:rsidRPr="00386411">
        <w:t>PICO Confirmation</w:t>
      </w:r>
      <w:bookmarkEnd w:id="151"/>
      <w:bookmarkEnd w:id="152"/>
    </w:p>
    <w:p w14:paraId="658D7A06" w14:textId="0205AC53" w:rsidR="003F44A7" w:rsidRPr="007D0AA8" w:rsidRDefault="003F44A7" w:rsidP="003F44A7">
      <w:pPr>
        <w:spacing w:before="240"/>
      </w:pPr>
      <w:bookmarkStart w:id="153" w:name="_Toc381796441"/>
      <w:r w:rsidRPr="007D0AA8">
        <w:t>T</w:t>
      </w:r>
      <w:r w:rsidR="00A149E5" w:rsidRPr="007D0AA8">
        <w:t>his contracted assessment</w:t>
      </w:r>
      <w:r w:rsidRPr="007D0AA8">
        <w:t xml:space="preserve"> addresses each of the PICO elements</w:t>
      </w:r>
      <w:r w:rsidR="00292C21" w:rsidRPr="007D0AA8">
        <w:t xml:space="preserve"> (that is, P</w:t>
      </w:r>
      <w:r w:rsidR="00292C21" w:rsidRPr="007D0AA8">
        <w:rPr>
          <w:rFonts w:eastAsia="Calibri" w:cs="Times New Roman"/>
          <w:lang w:eastAsia="en-US"/>
        </w:rPr>
        <w:t>opulation, Intervention, Comparator and Outcomes)</w:t>
      </w:r>
      <w:r w:rsidRPr="007D0AA8">
        <w:t xml:space="preserve"> in</w:t>
      </w:r>
      <w:r w:rsidR="00232568" w:rsidRPr="007D0AA8">
        <w:t xml:space="preserve"> the ratified PICO confirmation (see summary </w:t>
      </w:r>
      <w:r w:rsidRPr="007D0AA8">
        <w:rPr>
          <w:sz w:val="24"/>
        </w:rPr>
        <w:t>in</w:t>
      </w:r>
      <w:r w:rsidRPr="007D0AA8">
        <w:t xml:space="preserve"> </w:t>
      </w:r>
      <w:r w:rsidRPr="007D0AA8">
        <w:rPr>
          <w:rFonts w:eastAsia="Calibri" w:cs="Times New Roman"/>
          <w:lang w:eastAsia="en-US"/>
        </w:rPr>
        <w:fldChar w:fldCharType="begin"/>
      </w:r>
      <w:r w:rsidRPr="007D0AA8">
        <w:rPr>
          <w:rFonts w:eastAsia="Calibri" w:cs="Times New Roman"/>
          <w:lang w:eastAsia="en-US"/>
        </w:rPr>
        <w:instrText xml:space="preserve"> REF _Ref505165203 \h  \* MERGEFORMAT </w:instrText>
      </w:r>
      <w:r w:rsidRPr="007D0AA8">
        <w:rPr>
          <w:rFonts w:eastAsia="Calibri" w:cs="Times New Roman"/>
          <w:lang w:eastAsia="en-US"/>
        </w:rPr>
      </w:r>
      <w:r w:rsidRPr="007D0AA8">
        <w:rPr>
          <w:rFonts w:eastAsia="Calibri" w:cs="Times New Roman"/>
          <w:lang w:eastAsia="en-US"/>
        </w:rPr>
        <w:fldChar w:fldCharType="separate"/>
      </w:r>
      <w:r w:rsidR="00A7463B" w:rsidRPr="00A7463B">
        <w:rPr>
          <w:rFonts w:cs="Times New Roman"/>
          <w:szCs w:val="20"/>
        </w:rPr>
        <w:t xml:space="preserve">Table </w:t>
      </w:r>
      <w:r w:rsidR="00A7463B" w:rsidRPr="00A7463B">
        <w:rPr>
          <w:rFonts w:cs="Times New Roman"/>
          <w:noProof/>
          <w:szCs w:val="20"/>
        </w:rPr>
        <w:t>14</w:t>
      </w:r>
      <w:r w:rsidRPr="007D0AA8">
        <w:rPr>
          <w:rFonts w:eastAsia="Calibri" w:cs="Times New Roman"/>
          <w:lang w:eastAsia="en-US"/>
        </w:rPr>
        <w:fldChar w:fldCharType="end"/>
      </w:r>
      <w:r w:rsidRPr="007D0AA8">
        <w:rPr>
          <w:rFonts w:eastAsia="Calibri" w:cs="Times New Roman"/>
          <w:lang w:eastAsia="en-US"/>
        </w:rPr>
        <w:t>,</w:t>
      </w:r>
      <w:r w:rsidRPr="007D0AA8">
        <w:t xml:space="preserve"> Section A.9</w:t>
      </w:r>
      <w:r w:rsidR="00232568" w:rsidRPr="007D0AA8">
        <w:t>)</w:t>
      </w:r>
      <w:r w:rsidRPr="007D0AA8">
        <w:rPr>
          <w:rFonts w:eastAsia="Calibri" w:cs="Times New Roman"/>
          <w:lang w:eastAsia="en-US"/>
        </w:rPr>
        <w:t>.</w:t>
      </w:r>
    </w:p>
    <w:p w14:paraId="1D09EBA8" w14:textId="45F8236D" w:rsidR="00B313E2" w:rsidRPr="00386411" w:rsidRDefault="007D2548" w:rsidP="00331FB9">
      <w:pPr>
        <w:pStyle w:val="Heading2"/>
        <w:numPr>
          <w:ilvl w:val="0"/>
          <w:numId w:val="8"/>
        </w:numPr>
      </w:pPr>
      <w:bookmarkStart w:id="154" w:name="_Toc14431117"/>
      <w:r w:rsidRPr="00386411">
        <w:lastRenderedPageBreak/>
        <w:t xml:space="preserve"> </w:t>
      </w:r>
      <w:bookmarkStart w:id="155" w:name="_Toc16856285"/>
      <w:r w:rsidRPr="00386411">
        <w:t>M</w:t>
      </w:r>
      <w:r w:rsidR="00835007" w:rsidRPr="00386411">
        <w:t xml:space="preserve">edical </w:t>
      </w:r>
      <w:r w:rsidRPr="00386411">
        <w:t>S</w:t>
      </w:r>
      <w:r w:rsidR="00835007" w:rsidRPr="00386411">
        <w:t>ervice</w:t>
      </w:r>
      <w:bookmarkEnd w:id="154"/>
      <w:r w:rsidR="0081135A">
        <w:t xml:space="preserve"> Reviewed</w:t>
      </w:r>
      <w:bookmarkEnd w:id="155"/>
    </w:p>
    <w:p w14:paraId="192340CE" w14:textId="07B6E227" w:rsidR="00331DC5" w:rsidRPr="007D0AA8" w:rsidRDefault="00676901" w:rsidP="003C0114">
      <w:bookmarkStart w:id="156" w:name="_Toc381796448"/>
      <w:bookmarkStart w:id="157" w:name="_Toc395200760"/>
      <w:bookmarkStart w:id="158" w:name="_Toc379118262"/>
      <w:bookmarkStart w:id="159" w:name="_Toc381796445"/>
      <w:bookmarkEnd w:id="153"/>
      <w:r w:rsidRPr="007D0AA8">
        <w:t>Hypogammaglobulinaemia (that is, low levels of gamma immunoglobulin, or IgG antibodies) may occur due to many different underlying conditions, both primary (due to congenital immune deficiencies) and secondary (due to conditions such as haematological malignancies). Patients with sustained</w:t>
      </w:r>
      <w:r w:rsidR="00007D1F" w:rsidRPr="007D0AA8">
        <w:t xml:space="preserve"> low</w:t>
      </w:r>
      <w:r w:rsidRPr="007D0AA8">
        <w:t xml:space="preserve"> levels of gamma </w:t>
      </w:r>
      <w:r w:rsidR="00007D1F" w:rsidRPr="007D0AA8">
        <w:t>immuno</w:t>
      </w:r>
      <w:r w:rsidRPr="007D0AA8">
        <w:t xml:space="preserve">globulin are at high risk of recurrent and severe infections. </w:t>
      </w:r>
      <w:r w:rsidR="00A21C19" w:rsidRPr="007D0AA8">
        <w:t xml:space="preserve">Hypogammaglobulinaemia affects the full spectrum of IgG antibodies. It is distinct from defects in IgA or IgM levels and also different to abnormal levels of specific IgG paraproteins, each of which can be clinical signs of haematological malignancies. </w:t>
      </w:r>
    </w:p>
    <w:p w14:paraId="4BE6E6A7" w14:textId="29C96934" w:rsidR="00676901" w:rsidRPr="007D0AA8" w:rsidRDefault="00676901" w:rsidP="003C0114">
      <w:r w:rsidRPr="007D0AA8">
        <w:t xml:space="preserve">Acquired hypogammaglobulinaemia in the context of MSAC application 1565 refers to a subset of patients where hypogammaglobulinaemia is due to </w:t>
      </w:r>
      <w:r w:rsidR="00331DC5" w:rsidRPr="007D0AA8">
        <w:t xml:space="preserve">haematological conditions. </w:t>
      </w:r>
      <w:r w:rsidRPr="007D0AA8">
        <w:rPr>
          <w:rFonts w:eastAsia="Calibri"/>
          <w:lang w:eastAsia="en-US"/>
        </w:rPr>
        <w:t>Defects in humoral immunity are due to the underlying disease (in CLL due to abnormal or malignant B cell activity) but may also be compounded by myelosuppressive chemotherapy or immunotherapy d</w:t>
      </w:r>
      <w:r w:rsidR="00331DC5" w:rsidRPr="007D0AA8">
        <w:rPr>
          <w:rFonts w:eastAsia="Calibri"/>
          <w:lang w:eastAsia="en-US"/>
        </w:rPr>
        <w:t xml:space="preserve">rugs used to treat the cancer. </w:t>
      </w:r>
      <w:r w:rsidRPr="007D0AA8">
        <w:rPr>
          <w:rFonts w:eastAsia="Calibri"/>
          <w:lang w:eastAsia="en-US"/>
        </w:rPr>
        <w:t xml:space="preserve">The most medically significant type of infections in these patients are respiratory, which can develop into pneumonia </w:t>
      </w:r>
      <w:r w:rsidRPr="007D0AA8">
        <w:rPr>
          <w:rFonts w:eastAsia="Calibri"/>
          <w:lang w:eastAsia="en-US"/>
        </w:rPr>
        <w:fldChar w:fldCharType="begin"/>
      </w:r>
      <w:r w:rsidR="005E1360" w:rsidRPr="007D0AA8">
        <w:rPr>
          <w:rFonts w:eastAsia="Calibri"/>
          <w:lang w:eastAsia="en-US"/>
        </w:rPr>
        <w:instrText xml:space="preserve"> ADDIN EN.CITE &lt;EndNote&gt;&lt;Cite&gt;&lt;Author&gt;Wadhwa&lt;/Author&gt;&lt;Year&gt;2006&lt;/Year&gt;&lt;RecNum&gt;12&lt;/RecNum&gt;&lt;DisplayText&gt;(Wadhwa &amp;amp; Morrison 2006)&lt;/DisplayText&gt;&lt;record&gt;&lt;rec-number&gt;12&lt;/rec-number&gt;&lt;foreign-keys&gt;&lt;key app="EN" db-id="r52pep2xqzzs95eap0gvsxxyapa2afa2vtpf" timestamp="1549419648"&gt;12&lt;/key&gt;&lt;/foreign-keys&gt;&lt;ref-type name="Journal Article"&gt;17&lt;/ref-type&gt;&lt;contributors&gt;&lt;authors&gt;&lt;author&gt;Wadhwa, P. D.&lt;/author&gt;&lt;author&gt;Morrison, V. A.&lt;/author&gt;&lt;/authors&gt;&lt;/contributors&gt;&lt;auth-address&gt;Section of Hematology/Oncology, Veterans Affairs Medical Center, University of Minnesota, Minneapolis, MN 55417, USA. punit.wadhwa@med.va.gov&lt;/auth-address&gt;&lt;titles&gt;&lt;title&gt;Infectious complications of chronic lymphocytic leukemia&lt;/title&gt;&lt;secondary-title&gt;Semin Oncol&lt;/secondary-title&gt;&lt;/titles&gt;&lt;periodical&gt;&lt;full-title&gt;Semin Oncol&lt;/full-title&gt;&lt;/periodical&gt;&lt;pages&gt;240-9&lt;/pages&gt;&lt;volume&gt;33&lt;/volume&gt;&lt;number&gt;2&lt;/number&gt;&lt;keywords&gt;&lt;keyword&gt;Antineoplastic Agents/adverse effects/therapeutic use&lt;/keyword&gt;&lt;keyword&gt;Clinical Trials as Topic&lt;/keyword&gt;&lt;keyword&gt;Communicable Diseases/*etiology/*therapy&lt;/keyword&gt;&lt;keyword&gt;Humans&lt;/keyword&gt;&lt;keyword&gt;Leukemia, Lymphocytic, Chronic, B-Cell/*complications/drug therapy/immunology&lt;/keyword&gt;&lt;keyword&gt;Risk Factors&lt;/keyword&gt;&lt;/keywords&gt;&lt;dates&gt;&lt;year&gt;2006&lt;/year&gt;&lt;pub-dates&gt;&lt;date&gt;Apr&lt;/date&gt;&lt;/pub-dates&gt;&lt;/dates&gt;&lt;isbn&gt;0093-7754 (Print)&amp;#xD;0093-7754 (Linking)&lt;/isbn&gt;&lt;accession-num&gt;16616071&lt;/accession-num&gt;&lt;urls&gt;&lt;related-urls&gt;&lt;url&gt;https://www.ncbi.nlm.nih.gov/pubmed/16616071&lt;/url&gt;&lt;/related-urls&gt;&lt;/urls&gt;&lt;electronic-resource-num&gt;10.1053/j.seminoncol.2005.12.013&lt;/electronic-resource-num&gt;&lt;/record&gt;&lt;/Cite&gt;&lt;/EndNote&gt;</w:instrText>
      </w:r>
      <w:r w:rsidRPr="007D0AA8">
        <w:rPr>
          <w:rFonts w:eastAsia="Calibri"/>
          <w:lang w:eastAsia="en-US"/>
        </w:rPr>
        <w:fldChar w:fldCharType="separate"/>
      </w:r>
      <w:r w:rsidR="005E1360" w:rsidRPr="007D0AA8">
        <w:rPr>
          <w:rFonts w:eastAsia="Calibri"/>
          <w:noProof/>
          <w:lang w:eastAsia="en-US"/>
        </w:rPr>
        <w:t>(</w:t>
      </w:r>
      <w:hyperlink w:anchor="_ENREF_55" w:tooltip="Wadhwa, 2006 #12" w:history="1">
        <w:r w:rsidR="00BB0145" w:rsidRPr="007D0AA8">
          <w:rPr>
            <w:rFonts w:eastAsia="Calibri"/>
            <w:noProof/>
            <w:lang w:eastAsia="en-US"/>
          </w:rPr>
          <w:t>Wadhwa &amp; Morrison 2006</w:t>
        </w:r>
      </w:hyperlink>
      <w:r w:rsidR="005E1360" w:rsidRPr="007D0AA8">
        <w:rPr>
          <w:rFonts w:eastAsia="Calibri"/>
          <w:noProof/>
          <w:lang w:eastAsia="en-US"/>
        </w:rPr>
        <w:t>)</w:t>
      </w:r>
      <w:r w:rsidRPr="007D0AA8">
        <w:rPr>
          <w:rFonts w:eastAsia="Calibri"/>
          <w:lang w:eastAsia="en-US"/>
        </w:rPr>
        <w:fldChar w:fldCharType="end"/>
      </w:r>
      <w:r w:rsidRPr="007D0AA8">
        <w:rPr>
          <w:rFonts w:eastAsia="Calibri"/>
          <w:lang w:eastAsia="en-US"/>
        </w:rPr>
        <w:t xml:space="preserve">. Repeated or severe pneumonia can lead to longer term complications such as scarring and bronchiectasis. </w:t>
      </w:r>
    </w:p>
    <w:p w14:paraId="514FE2B1" w14:textId="50C91FA7" w:rsidR="00331DC5" w:rsidRPr="007D0AA8" w:rsidRDefault="00331DC5" w:rsidP="003C0114">
      <w:pPr>
        <w:rPr>
          <w:rFonts w:eastAsia="Calibri"/>
          <w:lang w:eastAsia="en-US"/>
        </w:rPr>
      </w:pPr>
      <w:r w:rsidRPr="007D0AA8">
        <w:rPr>
          <w:rFonts w:eastAsia="Calibri"/>
          <w:lang w:eastAsia="en-US"/>
        </w:rPr>
        <w:t xml:space="preserve">In Australia, patients with a clinical finding of hypogammaglobulinaemia, accompanied by risk or incidence of severe infections, must meet specifications for access to funded IgG laid out in the NBA document </w:t>
      </w:r>
      <w:r w:rsidRPr="007D0AA8">
        <w:rPr>
          <w:rFonts w:eastAsia="Calibri"/>
          <w:i/>
          <w:iCs/>
          <w:lang w:eastAsia="en-US"/>
        </w:rPr>
        <w:t>Criteria for Immunoglobulin Use in Australia</w:t>
      </w:r>
      <w:r w:rsidRPr="007D0AA8">
        <w:rPr>
          <w:rFonts w:eastAsia="Calibri" w:cs="Times New Roman"/>
          <w:vertAlign w:val="superscript"/>
          <w:lang w:eastAsia="en-US"/>
        </w:rPr>
        <w:footnoteReference w:id="5"/>
      </w:r>
      <w:r w:rsidRPr="007D0AA8">
        <w:rPr>
          <w:rFonts w:eastAsia="Calibri"/>
          <w:lang w:eastAsia="en-US"/>
        </w:rPr>
        <w:t xml:space="preserve"> (</w:t>
      </w:r>
      <w:r w:rsidRPr="007D0AA8">
        <w:rPr>
          <w:rFonts w:eastAsia="Calibri"/>
          <w:i/>
          <w:lang w:eastAsia="en-US"/>
        </w:rPr>
        <w:t xml:space="preserve">the </w:t>
      </w:r>
      <w:r w:rsidRPr="007D0AA8">
        <w:rPr>
          <w:rFonts w:eastAsia="Calibri"/>
          <w:i/>
          <w:iCs/>
          <w:lang w:eastAsia="en-US"/>
        </w:rPr>
        <w:t>Criteria Version 3</w:t>
      </w:r>
      <w:r w:rsidRPr="007D0AA8">
        <w:rPr>
          <w:rFonts w:eastAsia="Calibri"/>
          <w:lang w:eastAsia="en-US"/>
        </w:rPr>
        <w:t xml:space="preserve">). </w:t>
      </w:r>
      <w:r w:rsidRPr="007D0AA8">
        <w:rPr>
          <w:rFonts w:eastAsia="Calibri"/>
          <w:i/>
          <w:lang w:eastAsia="en-US"/>
        </w:rPr>
        <w:t>The Criteria</w:t>
      </w:r>
      <w:r w:rsidRPr="007D0AA8">
        <w:rPr>
          <w:rFonts w:eastAsia="Calibri"/>
          <w:lang w:eastAsia="en-US"/>
        </w:rPr>
        <w:t xml:space="preserve"> are periodically updated at which time eligibility criteria may be refined according to recommendations of the relevant NBA working group</w:t>
      </w:r>
      <w:r w:rsidR="00A070E8">
        <w:rPr>
          <w:rFonts w:eastAsia="Calibri"/>
          <w:lang w:eastAsia="en-US"/>
        </w:rPr>
        <w:t xml:space="preserve"> and subsequent approval by the Jurstictional Blood Committee</w:t>
      </w:r>
      <w:r w:rsidRPr="007D0AA8">
        <w:rPr>
          <w:rFonts w:eastAsia="Calibri"/>
          <w:lang w:eastAsia="en-US"/>
        </w:rPr>
        <w:t xml:space="preserve">. </w:t>
      </w:r>
    </w:p>
    <w:p w14:paraId="2248CE7A" w14:textId="00B87FD7" w:rsidR="00331DC5" w:rsidRPr="007D0AA8" w:rsidRDefault="00331DC5" w:rsidP="003C0114">
      <w:r w:rsidRPr="007D0AA8">
        <w:t xml:space="preserve">IgG is given as replacement therapy, which may or may not be in combination with antibiotics. Antibiotic use may be prophylactic or in response to symptoms of infection. This is considered standard of care in Australia. </w:t>
      </w:r>
    </w:p>
    <w:p w14:paraId="64242937" w14:textId="77777777" w:rsidR="00676901" w:rsidRPr="00386411" w:rsidRDefault="00E03422" w:rsidP="00676901">
      <w:pPr>
        <w:pStyle w:val="Heading3"/>
      </w:pPr>
      <w:bookmarkStart w:id="160" w:name="_Toc14431118"/>
      <w:bookmarkStart w:id="161" w:name="_Toc16856286"/>
      <w:r w:rsidRPr="00386411">
        <w:t>Current funding arrangements</w:t>
      </w:r>
      <w:bookmarkEnd w:id="160"/>
      <w:bookmarkEnd w:id="161"/>
    </w:p>
    <w:p w14:paraId="5A4E1ACA" w14:textId="6B5B8885" w:rsidR="00E03422" w:rsidRPr="007D0AA8" w:rsidRDefault="00144A3F" w:rsidP="003C0114">
      <w:pPr>
        <w:rPr>
          <w:rFonts w:eastAsia="Calibri" w:cs="Times New Roman"/>
          <w:lang w:eastAsia="en-US"/>
        </w:rPr>
      </w:pPr>
      <w:r w:rsidRPr="007D0AA8">
        <w:rPr>
          <w:rFonts w:eastAsia="Calibri" w:cs="Times New Roman"/>
          <w:lang w:eastAsia="en-US"/>
        </w:rPr>
        <w:t>IgG replacement therapy</w:t>
      </w:r>
      <w:r w:rsidR="00E03422" w:rsidRPr="007D0AA8">
        <w:rPr>
          <w:rFonts w:eastAsia="Calibri" w:cs="Times New Roman"/>
          <w:lang w:eastAsia="en-US"/>
        </w:rPr>
        <w:t xml:space="preserve"> </w:t>
      </w:r>
      <w:r w:rsidRPr="007D0AA8">
        <w:rPr>
          <w:rFonts w:eastAsia="Calibri" w:cs="Times New Roman"/>
          <w:lang w:eastAsia="en-US"/>
        </w:rPr>
        <w:t>for certain haematological malignancies, has been</w:t>
      </w:r>
      <w:r w:rsidR="00E03422" w:rsidRPr="007D0AA8">
        <w:rPr>
          <w:rFonts w:eastAsia="Calibri" w:cs="Times New Roman"/>
          <w:lang w:eastAsia="en-US"/>
        </w:rPr>
        <w:t xml:space="preserve"> funded</w:t>
      </w:r>
      <w:r w:rsidR="00232568" w:rsidRPr="007D0AA8">
        <w:rPr>
          <w:rFonts w:eastAsia="Calibri" w:cs="Times New Roman"/>
          <w:lang w:eastAsia="en-US"/>
        </w:rPr>
        <w:t xml:space="preserve"> since </w:t>
      </w:r>
      <w:r w:rsidR="003735E3" w:rsidRPr="007D0AA8">
        <w:rPr>
          <w:rFonts w:eastAsia="Calibri" w:cs="Times New Roman"/>
          <w:lang w:eastAsia="en-US"/>
        </w:rPr>
        <w:t>2008</w:t>
      </w:r>
      <w:r w:rsidR="00E03422" w:rsidRPr="007D0AA8">
        <w:rPr>
          <w:rFonts w:eastAsia="Calibri" w:cs="Times New Roman"/>
          <w:lang w:eastAsia="en-US"/>
        </w:rPr>
        <w:t xml:space="preserve"> under the </w:t>
      </w:r>
      <w:r w:rsidR="003735E3" w:rsidRPr="007D0AA8">
        <w:rPr>
          <w:rFonts w:eastAsia="Calibri" w:cs="Times New Roman"/>
          <w:lang w:eastAsia="en-US"/>
        </w:rPr>
        <w:t>N</w:t>
      </w:r>
      <w:r w:rsidR="00E03422" w:rsidRPr="007D0AA8">
        <w:rPr>
          <w:rFonts w:eastAsia="Calibri" w:cs="Times New Roman"/>
          <w:lang w:eastAsia="en-US"/>
        </w:rPr>
        <w:t xml:space="preserve">ational </w:t>
      </w:r>
      <w:r w:rsidR="003735E3" w:rsidRPr="007D0AA8">
        <w:rPr>
          <w:rFonts w:eastAsia="Calibri" w:cs="Times New Roman"/>
          <w:lang w:eastAsia="en-US"/>
        </w:rPr>
        <w:t>B</w:t>
      </w:r>
      <w:r w:rsidR="00E03422" w:rsidRPr="007D0AA8">
        <w:rPr>
          <w:rFonts w:eastAsia="Calibri" w:cs="Times New Roman"/>
          <w:lang w:eastAsia="en-US"/>
        </w:rPr>
        <w:t xml:space="preserve">lood </w:t>
      </w:r>
      <w:r w:rsidR="003735E3" w:rsidRPr="007D0AA8">
        <w:rPr>
          <w:rFonts w:eastAsia="Calibri" w:cs="Times New Roman"/>
          <w:lang w:eastAsia="en-US"/>
        </w:rPr>
        <w:t>A</w:t>
      </w:r>
      <w:r w:rsidR="00E03422" w:rsidRPr="007D0AA8">
        <w:rPr>
          <w:rFonts w:eastAsia="Calibri" w:cs="Times New Roman"/>
          <w:lang w:eastAsia="en-US"/>
        </w:rPr>
        <w:t>rrangements as</w:t>
      </w:r>
      <w:r w:rsidR="00331DC5" w:rsidRPr="007D0AA8">
        <w:rPr>
          <w:rFonts w:eastAsia="Calibri" w:cs="Times New Roman"/>
          <w:lang w:eastAsia="en-US"/>
        </w:rPr>
        <w:t xml:space="preserve"> having</w:t>
      </w:r>
      <w:r w:rsidR="00E03422" w:rsidRPr="007D0AA8">
        <w:rPr>
          <w:rFonts w:eastAsia="Calibri" w:cs="Times New Roman"/>
          <w:lang w:eastAsia="en-US"/>
        </w:rPr>
        <w:t xml:space="preserve"> an “Est</w:t>
      </w:r>
      <w:r w:rsidRPr="007D0AA8">
        <w:rPr>
          <w:rFonts w:eastAsia="Calibri" w:cs="Times New Roman"/>
          <w:lang w:eastAsia="en-US"/>
        </w:rPr>
        <w:t>ablished Therapeutic Role”. The</w:t>
      </w:r>
      <w:r w:rsidR="00E03422" w:rsidRPr="007D0AA8">
        <w:rPr>
          <w:rFonts w:eastAsia="Calibri" w:cs="Times New Roman"/>
          <w:lang w:eastAsia="en-US"/>
        </w:rPr>
        <w:t xml:space="preserve"> indication </w:t>
      </w:r>
      <w:r w:rsidRPr="007D0AA8">
        <w:rPr>
          <w:rFonts w:eastAsia="Calibri" w:cs="Times New Roman"/>
          <w:lang w:eastAsia="en-US"/>
        </w:rPr>
        <w:t xml:space="preserve">considered in this referral to MSAC </w:t>
      </w:r>
      <w:r w:rsidR="00E03422" w:rsidRPr="007D0AA8">
        <w:rPr>
          <w:rFonts w:eastAsia="Calibri" w:cs="Times New Roman"/>
          <w:lang w:eastAsia="en-US"/>
        </w:rPr>
        <w:t>is one of several ‘diagnostic groups’ of conditions eligible for funded IgG treatment under the</w:t>
      </w:r>
      <w:r w:rsidR="00E03422" w:rsidRPr="007D0AA8">
        <w:rPr>
          <w:rFonts w:eastAsia="Calibri" w:cs="Times New Roman"/>
          <w:i/>
          <w:lang w:eastAsia="en-US"/>
        </w:rPr>
        <w:t xml:space="preserve"> Criteria Version 3</w:t>
      </w:r>
      <w:r w:rsidR="00E03422" w:rsidRPr="007D0AA8">
        <w:rPr>
          <w:rFonts w:eastAsia="Calibri" w:cs="Times New Roman"/>
          <w:lang w:eastAsia="en-US"/>
        </w:rPr>
        <w:t xml:space="preserve">.  </w:t>
      </w:r>
      <w:r w:rsidRPr="007D0AA8">
        <w:rPr>
          <w:rFonts w:eastAsia="Calibri" w:cs="Times New Roman"/>
          <w:lang w:eastAsia="en-US"/>
        </w:rPr>
        <w:t xml:space="preserve">The specific coverage of malignancies has been updated to reflect clinical data with each version of the NBA’s Criteria.  </w:t>
      </w:r>
    </w:p>
    <w:p w14:paraId="0166A23C" w14:textId="68E627A3" w:rsidR="007D2548" w:rsidRPr="00386411" w:rsidRDefault="007D2548" w:rsidP="007D2548">
      <w:pPr>
        <w:pStyle w:val="Heading3"/>
      </w:pPr>
      <w:bookmarkStart w:id="162" w:name="_Toc14431119"/>
      <w:bookmarkStart w:id="163" w:name="_Toc16856287"/>
      <w:r w:rsidRPr="00386411">
        <w:lastRenderedPageBreak/>
        <w:t xml:space="preserve">Marketing status of </w:t>
      </w:r>
      <w:bookmarkEnd w:id="156"/>
      <w:bookmarkEnd w:id="157"/>
      <w:r w:rsidR="005B04AE" w:rsidRPr="00386411">
        <w:t>IgG products</w:t>
      </w:r>
      <w:bookmarkEnd w:id="162"/>
      <w:bookmarkEnd w:id="163"/>
    </w:p>
    <w:p w14:paraId="596A8C05" w14:textId="2A836E50" w:rsidR="005B04AE" w:rsidRPr="007D0AA8" w:rsidRDefault="005B04AE" w:rsidP="005B04AE">
      <w:pPr>
        <w:rPr>
          <w:rFonts w:eastAsia="Calibri" w:cs="Times New Roman"/>
          <w:lang w:eastAsia="en-US"/>
        </w:rPr>
      </w:pPr>
      <w:r w:rsidRPr="007D0AA8">
        <w:rPr>
          <w:rFonts w:eastAsia="Calibri" w:cs="Times New Roman"/>
          <w:lang w:eastAsia="en-US"/>
        </w:rPr>
        <w:t xml:space="preserve">All IgG products that are registered on the Australian Register of Therapeutic Goods (ARTG), </w:t>
      </w:r>
      <w:r w:rsidRPr="007D0AA8">
        <w:rPr>
          <w:rFonts w:eastAsia="Calibri"/>
        </w:rPr>
        <w:t xml:space="preserve">including the sponsor and route(s) of administration are listed in </w:t>
      </w:r>
      <w:bookmarkStart w:id="164" w:name="_Ref183474"/>
      <w:r w:rsidRPr="007D0AA8">
        <w:rPr>
          <w:rFonts w:eastAsia="Calibri"/>
          <w:highlight w:val="yellow"/>
        </w:rPr>
        <w:fldChar w:fldCharType="begin"/>
      </w:r>
      <w:r w:rsidRPr="007D0AA8">
        <w:rPr>
          <w:rFonts w:eastAsia="Calibri"/>
        </w:rPr>
        <w:instrText xml:space="preserve"> REF _Ref1645380 \h </w:instrText>
      </w:r>
      <w:r w:rsidR="003735E3" w:rsidRPr="007D0AA8">
        <w:rPr>
          <w:rFonts w:eastAsia="Calibri"/>
          <w:highlight w:val="yellow"/>
        </w:rPr>
        <w:instrText xml:space="preserve"> \* MERGEFORMAT </w:instrText>
      </w:r>
      <w:r w:rsidRPr="007D0AA8">
        <w:rPr>
          <w:rFonts w:eastAsia="Calibri"/>
          <w:highlight w:val="yellow"/>
        </w:rPr>
      </w:r>
      <w:r w:rsidRPr="007D0AA8">
        <w:rPr>
          <w:rFonts w:eastAsia="Calibri"/>
          <w:highlight w:val="yellow"/>
        </w:rPr>
        <w:fldChar w:fldCharType="separate"/>
      </w:r>
      <w:r w:rsidR="00A7463B" w:rsidRPr="00A7463B">
        <w:t>Table 10</w:t>
      </w:r>
      <w:r w:rsidRPr="007D0AA8">
        <w:rPr>
          <w:rFonts w:eastAsia="Calibri"/>
          <w:highlight w:val="yellow"/>
        </w:rPr>
        <w:fldChar w:fldCharType="end"/>
      </w:r>
      <w:r w:rsidRPr="007D0AA8">
        <w:rPr>
          <w:rFonts w:eastAsia="Calibri"/>
        </w:rPr>
        <w:t>. Available strengths, ARTG</w:t>
      </w:r>
      <w:r w:rsidRPr="007D0AA8">
        <w:rPr>
          <w:rFonts w:eastAsia="Calibri" w:cs="Times New Roman"/>
          <w:lang w:eastAsia="en-US"/>
        </w:rPr>
        <w:t xml:space="preserve"> numbers and text of th</w:t>
      </w:r>
      <w:r w:rsidR="0016008C" w:rsidRPr="007D0AA8">
        <w:rPr>
          <w:rFonts w:eastAsia="Calibri" w:cs="Times New Roman"/>
          <w:lang w:eastAsia="en-US"/>
        </w:rPr>
        <w:t xml:space="preserve">e registered indications are in </w:t>
      </w:r>
      <w:r w:rsidR="0016008C" w:rsidRPr="007D0AA8">
        <w:rPr>
          <w:rFonts w:eastAsia="Calibri" w:cs="Times New Roman"/>
          <w:lang w:eastAsia="en-US"/>
        </w:rPr>
        <w:fldChar w:fldCharType="begin"/>
      </w:r>
      <w:r w:rsidR="0016008C" w:rsidRPr="007D0AA8">
        <w:rPr>
          <w:rFonts w:eastAsia="Calibri" w:cs="Times New Roman"/>
          <w:lang w:eastAsia="en-US"/>
        </w:rPr>
        <w:instrText xml:space="preserve"> REF _Ref10282068 \h </w:instrText>
      </w:r>
      <w:r w:rsidR="00386411" w:rsidRPr="007D0AA8">
        <w:rPr>
          <w:rFonts w:eastAsia="Calibri" w:cs="Times New Roman"/>
          <w:lang w:eastAsia="en-US"/>
        </w:rPr>
        <w:instrText xml:space="preserve"> \* MERGEFORMAT </w:instrText>
      </w:r>
      <w:r w:rsidR="0016008C" w:rsidRPr="007D0AA8">
        <w:rPr>
          <w:rFonts w:eastAsia="Calibri" w:cs="Times New Roman"/>
          <w:lang w:eastAsia="en-US"/>
        </w:rPr>
      </w:r>
      <w:r w:rsidR="0016008C" w:rsidRPr="007D0AA8">
        <w:rPr>
          <w:rFonts w:eastAsia="Calibri" w:cs="Times New Roman"/>
          <w:lang w:eastAsia="en-US"/>
        </w:rPr>
        <w:fldChar w:fldCharType="separate"/>
      </w:r>
      <w:r w:rsidR="00A7463B" w:rsidRPr="00386411">
        <w:t>Attachment 1</w:t>
      </w:r>
      <w:r w:rsidR="0016008C" w:rsidRPr="007D0AA8">
        <w:rPr>
          <w:rFonts w:eastAsia="Calibri" w:cs="Times New Roman"/>
          <w:lang w:eastAsia="en-US"/>
        </w:rPr>
        <w:fldChar w:fldCharType="end"/>
      </w:r>
      <w:r w:rsidRPr="007D0AA8">
        <w:rPr>
          <w:rFonts w:eastAsia="Calibri" w:cs="Times New Roman"/>
          <w:lang w:eastAsia="en-US"/>
        </w:rPr>
        <w:t xml:space="preserve">. </w:t>
      </w:r>
    </w:p>
    <w:p w14:paraId="678A8CCF" w14:textId="77777777" w:rsidR="005B04AE" w:rsidRPr="00386411" w:rsidRDefault="005B04AE" w:rsidP="009F34B1">
      <w:pPr>
        <w:pStyle w:val="Caption"/>
        <w:rPr>
          <w:lang w:val="en-GB" w:eastAsia="ja-JP"/>
        </w:rPr>
      </w:pPr>
      <w:bookmarkStart w:id="165" w:name="_Ref1645380"/>
      <w:bookmarkStart w:id="166" w:name="_Toc1645308"/>
      <w:bookmarkStart w:id="167" w:name="_Ref10110574"/>
      <w:bookmarkStart w:id="168" w:name="_Toc14429553"/>
      <w:bookmarkStart w:id="169" w:name="_Toc16671608"/>
      <w:r w:rsidRPr="00386411">
        <w:rPr>
          <w:lang w:val="en-GB" w:eastAsia="ja-JP"/>
        </w:rPr>
        <w:t xml:space="preserve">Table </w:t>
      </w:r>
      <w:r w:rsidRPr="00386411">
        <w:rPr>
          <w:lang w:val="en-GB" w:eastAsia="ja-JP"/>
        </w:rPr>
        <w:fldChar w:fldCharType="begin"/>
      </w:r>
      <w:r w:rsidRPr="00386411">
        <w:rPr>
          <w:lang w:val="en-GB" w:eastAsia="ja-JP"/>
        </w:rPr>
        <w:instrText xml:space="preserve"> SEQ Table \* ARABIC </w:instrText>
      </w:r>
      <w:r w:rsidRPr="00386411">
        <w:rPr>
          <w:lang w:val="en-GB" w:eastAsia="ja-JP"/>
        </w:rPr>
        <w:fldChar w:fldCharType="separate"/>
      </w:r>
      <w:r w:rsidR="00A7463B">
        <w:rPr>
          <w:noProof/>
          <w:lang w:val="en-GB" w:eastAsia="ja-JP"/>
        </w:rPr>
        <w:t>10</w:t>
      </w:r>
      <w:r w:rsidRPr="00386411">
        <w:rPr>
          <w:noProof/>
          <w:lang w:val="en-GB" w:eastAsia="ja-JP"/>
        </w:rPr>
        <w:fldChar w:fldCharType="end"/>
      </w:r>
      <w:bookmarkEnd w:id="165"/>
      <w:r w:rsidRPr="00386411">
        <w:rPr>
          <w:lang w:val="en-GB" w:eastAsia="ja-JP"/>
        </w:rPr>
        <w:tab/>
        <w:t>IgG products registered on the ARTG for use in Australia</w:t>
      </w:r>
      <w:bookmarkEnd w:id="166"/>
      <w:bookmarkEnd w:id="167"/>
      <w:bookmarkEnd w:id="168"/>
      <w:bookmarkEnd w:id="16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2"/>
        <w:gridCol w:w="2235"/>
        <w:gridCol w:w="2762"/>
        <w:gridCol w:w="1516"/>
      </w:tblGrid>
      <w:tr w:rsidR="005B04AE" w:rsidRPr="008742A1" w14:paraId="60B1BB15" w14:textId="77777777" w:rsidTr="00C905D0">
        <w:tc>
          <w:tcPr>
            <w:tcW w:w="1477" w:type="pct"/>
            <w:tcBorders>
              <w:top w:val="single" w:sz="4" w:space="0" w:color="auto"/>
              <w:left w:val="single" w:sz="4" w:space="0" w:color="auto"/>
              <w:bottom w:val="single" w:sz="4" w:space="0" w:color="auto"/>
              <w:right w:val="single" w:sz="4" w:space="0" w:color="auto"/>
            </w:tcBorders>
            <w:shd w:val="clear" w:color="auto" w:fill="auto"/>
            <w:hideMark/>
          </w:tcPr>
          <w:p w14:paraId="4948C335" w14:textId="77777777" w:rsidR="005B04AE" w:rsidRPr="008742A1" w:rsidRDefault="005B04AE" w:rsidP="008742A1">
            <w:pPr>
              <w:pStyle w:val="TableHeading"/>
            </w:pPr>
            <w:r w:rsidRPr="008742A1">
              <w:t>Product</w:t>
            </w:r>
          </w:p>
        </w:tc>
        <w:tc>
          <w:tcPr>
            <w:tcW w:w="1209" w:type="pct"/>
            <w:tcBorders>
              <w:top w:val="single" w:sz="4" w:space="0" w:color="auto"/>
              <w:left w:val="single" w:sz="4" w:space="0" w:color="auto"/>
              <w:bottom w:val="single" w:sz="4" w:space="0" w:color="auto"/>
              <w:right w:val="single" w:sz="4" w:space="0" w:color="auto"/>
            </w:tcBorders>
            <w:shd w:val="clear" w:color="auto" w:fill="auto"/>
            <w:hideMark/>
          </w:tcPr>
          <w:p w14:paraId="07759236" w14:textId="77777777" w:rsidR="005B04AE" w:rsidRPr="008742A1" w:rsidRDefault="005B04AE" w:rsidP="008742A1">
            <w:pPr>
              <w:pStyle w:val="TableHeading"/>
            </w:pPr>
            <w:r w:rsidRPr="008742A1">
              <w:t>Sponsor</w:t>
            </w:r>
          </w:p>
        </w:tc>
        <w:tc>
          <w:tcPr>
            <w:tcW w:w="1494" w:type="pct"/>
            <w:tcBorders>
              <w:top w:val="single" w:sz="4" w:space="0" w:color="auto"/>
              <w:left w:val="single" w:sz="4" w:space="0" w:color="auto"/>
              <w:bottom w:val="single" w:sz="4" w:space="0" w:color="auto"/>
              <w:right w:val="single" w:sz="4" w:space="0" w:color="auto"/>
            </w:tcBorders>
            <w:shd w:val="clear" w:color="auto" w:fill="auto"/>
            <w:hideMark/>
          </w:tcPr>
          <w:p w14:paraId="4476DFCF" w14:textId="77777777" w:rsidR="005B04AE" w:rsidRPr="008742A1" w:rsidRDefault="005B04AE" w:rsidP="008742A1">
            <w:pPr>
              <w:pStyle w:val="TableHeading"/>
            </w:pPr>
            <w:r w:rsidRPr="008742A1">
              <w:t>Route of Administration</w:t>
            </w:r>
          </w:p>
        </w:tc>
        <w:tc>
          <w:tcPr>
            <w:tcW w:w="820" w:type="pct"/>
            <w:tcBorders>
              <w:top w:val="single" w:sz="4" w:space="0" w:color="auto"/>
              <w:left w:val="single" w:sz="4" w:space="0" w:color="auto"/>
              <w:bottom w:val="single" w:sz="4" w:space="0" w:color="auto"/>
              <w:right w:val="single" w:sz="4" w:space="0" w:color="auto"/>
            </w:tcBorders>
            <w:shd w:val="clear" w:color="auto" w:fill="auto"/>
            <w:hideMark/>
          </w:tcPr>
          <w:p w14:paraId="1F74D8E6" w14:textId="77777777" w:rsidR="005B04AE" w:rsidRPr="008742A1" w:rsidRDefault="005B04AE" w:rsidP="008742A1">
            <w:pPr>
              <w:pStyle w:val="TableHeading"/>
            </w:pPr>
            <w:r w:rsidRPr="008742A1">
              <w:t>NBA Funded*?</w:t>
            </w:r>
          </w:p>
        </w:tc>
      </w:tr>
      <w:tr w:rsidR="005B04AE" w:rsidRPr="007D0AA8" w14:paraId="7536883F" w14:textId="77777777" w:rsidTr="00C905D0">
        <w:tc>
          <w:tcPr>
            <w:tcW w:w="1477" w:type="pct"/>
            <w:tcBorders>
              <w:top w:val="single" w:sz="4" w:space="0" w:color="auto"/>
              <w:left w:val="single" w:sz="4" w:space="0" w:color="auto"/>
              <w:bottom w:val="single" w:sz="4" w:space="0" w:color="auto"/>
              <w:right w:val="single" w:sz="4" w:space="0" w:color="auto"/>
            </w:tcBorders>
            <w:shd w:val="clear" w:color="auto" w:fill="auto"/>
            <w:hideMark/>
          </w:tcPr>
          <w:p w14:paraId="1D62F211" w14:textId="77777777" w:rsidR="005B04AE" w:rsidRPr="007D0AA8" w:rsidRDefault="005B04AE" w:rsidP="008742A1">
            <w:pPr>
              <w:pStyle w:val="Tabletext1"/>
            </w:pPr>
            <w:r w:rsidRPr="007D0AA8">
              <w:t>Intragam 10</w:t>
            </w:r>
          </w:p>
        </w:tc>
        <w:tc>
          <w:tcPr>
            <w:tcW w:w="1209" w:type="pct"/>
            <w:tcBorders>
              <w:top w:val="single" w:sz="4" w:space="0" w:color="auto"/>
              <w:left w:val="single" w:sz="4" w:space="0" w:color="auto"/>
              <w:bottom w:val="single" w:sz="4" w:space="0" w:color="auto"/>
              <w:right w:val="single" w:sz="4" w:space="0" w:color="auto"/>
            </w:tcBorders>
            <w:shd w:val="clear" w:color="auto" w:fill="auto"/>
            <w:hideMark/>
          </w:tcPr>
          <w:p w14:paraId="77ED3D0E" w14:textId="77777777" w:rsidR="005B04AE" w:rsidRPr="007D0AA8" w:rsidRDefault="005B04AE" w:rsidP="008742A1">
            <w:pPr>
              <w:pStyle w:val="Tabletext1"/>
            </w:pPr>
            <w:r w:rsidRPr="007D0AA8">
              <w:t>CSL Behring</w:t>
            </w:r>
          </w:p>
        </w:tc>
        <w:tc>
          <w:tcPr>
            <w:tcW w:w="1494" w:type="pct"/>
            <w:tcBorders>
              <w:top w:val="single" w:sz="4" w:space="0" w:color="auto"/>
              <w:left w:val="single" w:sz="4" w:space="0" w:color="auto"/>
              <w:bottom w:val="single" w:sz="4" w:space="0" w:color="auto"/>
              <w:right w:val="single" w:sz="4" w:space="0" w:color="auto"/>
            </w:tcBorders>
            <w:shd w:val="clear" w:color="auto" w:fill="auto"/>
            <w:hideMark/>
          </w:tcPr>
          <w:p w14:paraId="634C3BD8" w14:textId="77777777" w:rsidR="005B04AE" w:rsidRPr="007D0AA8" w:rsidRDefault="005B04AE" w:rsidP="008742A1">
            <w:pPr>
              <w:pStyle w:val="Tabletext1"/>
            </w:pPr>
            <w:r w:rsidRPr="007D0AA8">
              <w:t>IV</w:t>
            </w:r>
          </w:p>
        </w:tc>
        <w:tc>
          <w:tcPr>
            <w:tcW w:w="820" w:type="pct"/>
            <w:tcBorders>
              <w:top w:val="single" w:sz="4" w:space="0" w:color="auto"/>
              <w:left w:val="single" w:sz="4" w:space="0" w:color="auto"/>
              <w:bottom w:val="single" w:sz="4" w:space="0" w:color="auto"/>
              <w:right w:val="single" w:sz="4" w:space="0" w:color="auto"/>
            </w:tcBorders>
            <w:shd w:val="clear" w:color="auto" w:fill="auto"/>
            <w:hideMark/>
          </w:tcPr>
          <w:p w14:paraId="7EA0ADC0" w14:textId="77777777" w:rsidR="005B04AE" w:rsidRPr="007D0AA8" w:rsidRDefault="005B04AE" w:rsidP="008742A1">
            <w:pPr>
              <w:pStyle w:val="Tabletext1"/>
            </w:pPr>
            <w:r w:rsidRPr="007D0AA8">
              <w:t>Yes</w:t>
            </w:r>
          </w:p>
        </w:tc>
      </w:tr>
      <w:tr w:rsidR="005B04AE" w:rsidRPr="007D0AA8" w14:paraId="4DC36C72" w14:textId="77777777" w:rsidTr="00C905D0">
        <w:tc>
          <w:tcPr>
            <w:tcW w:w="1477" w:type="pct"/>
            <w:tcBorders>
              <w:top w:val="single" w:sz="4" w:space="0" w:color="auto"/>
              <w:left w:val="single" w:sz="4" w:space="0" w:color="auto"/>
              <w:bottom w:val="single" w:sz="4" w:space="0" w:color="auto"/>
              <w:right w:val="single" w:sz="4" w:space="0" w:color="auto"/>
            </w:tcBorders>
            <w:shd w:val="clear" w:color="auto" w:fill="auto"/>
            <w:hideMark/>
          </w:tcPr>
          <w:p w14:paraId="4815CF7F" w14:textId="77777777" w:rsidR="005B04AE" w:rsidRPr="007D0AA8" w:rsidRDefault="005B04AE" w:rsidP="008742A1">
            <w:pPr>
              <w:pStyle w:val="Tabletext1"/>
            </w:pPr>
            <w:r w:rsidRPr="007D0AA8">
              <w:t>Privigen 10%</w:t>
            </w:r>
          </w:p>
        </w:tc>
        <w:tc>
          <w:tcPr>
            <w:tcW w:w="1209" w:type="pct"/>
            <w:tcBorders>
              <w:top w:val="single" w:sz="4" w:space="0" w:color="auto"/>
              <w:left w:val="single" w:sz="4" w:space="0" w:color="auto"/>
              <w:bottom w:val="single" w:sz="4" w:space="0" w:color="auto"/>
              <w:right w:val="single" w:sz="4" w:space="0" w:color="auto"/>
            </w:tcBorders>
            <w:shd w:val="clear" w:color="auto" w:fill="auto"/>
            <w:hideMark/>
          </w:tcPr>
          <w:p w14:paraId="07C629A9" w14:textId="77777777" w:rsidR="005B04AE" w:rsidRPr="007D0AA8" w:rsidRDefault="005B04AE" w:rsidP="008742A1">
            <w:pPr>
              <w:pStyle w:val="Tabletext1"/>
            </w:pPr>
            <w:r w:rsidRPr="007D0AA8">
              <w:t>CSL Behring</w:t>
            </w:r>
          </w:p>
        </w:tc>
        <w:tc>
          <w:tcPr>
            <w:tcW w:w="1494" w:type="pct"/>
            <w:tcBorders>
              <w:top w:val="single" w:sz="4" w:space="0" w:color="auto"/>
              <w:left w:val="single" w:sz="4" w:space="0" w:color="auto"/>
              <w:bottom w:val="single" w:sz="4" w:space="0" w:color="auto"/>
              <w:right w:val="single" w:sz="4" w:space="0" w:color="auto"/>
            </w:tcBorders>
            <w:shd w:val="clear" w:color="auto" w:fill="auto"/>
            <w:hideMark/>
          </w:tcPr>
          <w:p w14:paraId="5838E8CC" w14:textId="77777777" w:rsidR="005B04AE" w:rsidRPr="007D0AA8" w:rsidRDefault="005B04AE" w:rsidP="008742A1">
            <w:pPr>
              <w:pStyle w:val="Tabletext1"/>
            </w:pPr>
            <w:r w:rsidRPr="007D0AA8">
              <w:t>IV</w:t>
            </w:r>
          </w:p>
        </w:tc>
        <w:tc>
          <w:tcPr>
            <w:tcW w:w="820" w:type="pct"/>
            <w:tcBorders>
              <w:top w:val="single" w:sz="4" w:space="0" w:color="auto"/>
              <w:left w:val="single" w:sz="4" w:space="0" w:color="auto"/>
              <w:bottom w:val="single" w:sz="4" w:space="0" w:color="auto"/>
              <w:right w:val="single" w:sz="4" w:space="0" w:color="auto"/>
            </w:tcBorders>
            <w:shd w:val="clear" w:color="auto" w:fill="auto"/>
            <w:hideMark/>
          </w:tcPr>
          <w:p w14:paraId="1A47C0FD" w14:textId="77777777" w:rsidR="005B04AE" w:rsidRPr="007D0AA8" w:rsidRDefault="005B04AE" w:rsidP="008742A1">
            <w:pPr>
              <w:pStyle w:val="Tabletext1"/>
            </w:pPr>
            <w:r w:rsidRPr="007D0AA8">
              <w:t>Yes</w:t>
            </w:r>
          </w:p>
        </w:tc>
      </w:tr>
      <w:tr w:rsidR="005B04AE" w:rsidRPr="007D0AA8" w14:paraId="4862A5DA" w14:textId="77777777" w:rsidTr="00C905D0">
        <w:tc>
          <w:tcPr>
            <w:tcW w:w="1477" w:type="pct"/>
            <w:tcBorders>
              <w:top w:val="single" w:sz="4" w:space="0" w:color="auto"/>
              <w:left w:val="single" w:sz="4" w:space="0" w:color="auto"/>
              <w:bottom w:val="single" w:sz="4" w:space="0" w:color="auto"/>
              <w:right w:val="single" w:sz="4" w:space="0" w:color="auto"/>
            </w:tcBorders>
            <w:shd w:val="clear" w:color="auto" w:fill="auto"/>
            <w:hideMark/>
          </w:tcPr>
          <w:p w14:paraId="5D2436A4" w14:textId="77777777" w:rsidR="005B04AE" w:rsidRPr="007D0AA8" w:rsidRDefault="005B04AE" w:rsidP="008742A1">
            <w:pPr>
              <w:pStyle w:val="Tabletext1"/>
            </w:pPr>
            <w:r w:rsidRPr="007D0AA8">
              <w:t xml:space="preserve">Hizentra </w:t>
            </w:r>
          </w:p>
        </w:tc>
        <w:tc>
          <w:tcPr>
            <w:tcW w:w="1209" w:type="pct"/>
            <w:tcBorders>
              <w:top w:val="single" w:sz="4" w:space="0" w:color="auto"/>
              <w:left w:val="single" w:sz="4" w:space="0" w:color="auto"/>
              <w:bottom w:val="single" w:sz="4" w:space="0" w:color="auto"/>
              <w:right w:val="single" w:sz="4" w:space="0" w:color="auto"/>
            </w:tcBorders>
            <w:shd w:val="clear" w:color="auto" w:fill="auto"/>
            <w:hideMark/>
          </w:tcPr>
          <w:p w14:paraId="51511AA0" w14:textId="77777777" w:rsidR="005B04AE" w:rsidRPr="007D0AA8" w:rsidRDefault="005B04AE" w:rsidP="008742A1">
            <w:pPr>
              <w:pStyle w:val="Tabletext1"/>
            </w:pPr>
            <w:r w:rsidRPr="007D0AA8">
              <w:t>CSL Behring</w:t>
            </w:r>
          </w:p>
        </w:tc>
        <w:tc>
          <w:tcPr>
            <w:tcW w:w="1494" w:type="pct"/>
            <w:tcBorders>
              <w:top w:val="single" w:sz="4" w:space="0" w:color="auto"/>
              <w:left w:val="single" w:sz="4" w:space="0" w:color="auto"/>
              <w:bottom w:val="single" w:sz="4" w:space="0" w:color="auto"/>
              <w:right w:val="single" w:sz="4" w:space="0" w:color="auto"/>
            </w:tcBorders>
            <w:shd w:val="clear" w:color="auto" w:fill="auto"/>
            <w:hideMark/>
          </w:tcPr>
          <w:p w14:paraId="2F775F4B" w14:textId="77777777" w:rsidR="005B04AE" w:rsidRPr="007D0AA8" w:rsidRDefault="005B04AE" w:rsidP="008742A1">
            <w:pPr>
              <w:pStyle w:val="Tabletext1"/>
            </w:pPr>
            <w:r w:rsidRPr="007D0AA8">
              <w:t>SC</w:t>
            </w:r>
          </w:p>
        </w:tc>
        <w:tc>
          <w:tcPr>
            <w:tcW w:w="820" w:type="pct"/>
            <w:tcBorders>
              <w:top w:val="single" w:sz="4" w:space="0" w:color="auto"/>
              <w:left w:val="single" w:sz="4" w:space="0" w:color="auto"/>
              <w:bottom w:val="single" w:sz="4" w:space="0" w:color="auto"/>
              <w:right w:val="single" w:sz="4" w:space="0" w:color="auto"/>
            </w:tcBorders>
            <w:shd w:val="clear" w:color="auto" w:fill="auto"/>
            <w:hideMark/>
          </w:tcPr>
          <w:p w14:paraId="118F7AB1" w14:textId="77777777" w:rsidR="005B04AE" w:rsidRPr="007D0AA8" w:rsidRDefault="005B04AE" w:rsidP="008742A1">
            <w:pPr>
              <w:pStyle w:val="Tabletext1"/>
            </w:pPr>
            <w:r w:rsidRPr="007D0AA8">
              <w:t>Yes</w:t>
            </w:r>
          </w:p>
        </w:tc>
      </w:tr>
      <w:tr w:rsidR="005B04AE" w:rsidRPr="007D0AA8" w14:paraId="32827F24" w14:textId="77777777" w:rsidTr="00C905D0">
        <w:tc>
          <w:tcPr>
            <w:tcW w:w="1477" w:type="pct"/>
            <w:tcBorders>
              <w:top w:val="single" w:sz="4" w:space="0" w:color="auto"/>
              <w:left w:val="single" w:sz="4" w:space="0" w:color="auto"/>
              <w:bottom w:val="single" w:sz="4" w:space="0" w:color="auto"/>
              <w:right w:val="single" w:sz="4" w:space="0" w:color="auto"/>
            </w:tcBorders>
            <w:shd w:val="clear" w:color="auto" w:fill="auto"/>
            <w:hideMark/>
          </w:tcPr>
          <w:p w14:paraId="0B8175F7" w14:textId="77777777" w:rsidR="005B04AE" w:rsidRPr="007D0AA8" w:rsidRDefault="005B04AE" w:rsidP="008742A1">
            <w:pPr>
              <w:pStyle w:val="Tabletext1"/>
            </w:pPr>
            <w:r w:rsidRPr="007D0AA8">
              <w:t>Gamunex 10%</w:t>
            </w:r>
          </w:p>
        </w:tc>
        <w:tc>
          <w:tcPr>
            <w:tcW w:w="1209" w:type="pct"/>
            <w:tcBorders>
              <w:top w:val="single" w:sz="4" w:space="0" w:color="auto"/>
              <w:left w:val="single" w:sz="4" w:space="0" w:color="auto"/>
              <w:bottom w:val="single" w:sz="4" w:space="0" w:color="auto"/>
              <w:right w:val="single" w:sz="4" w:space="0" w:color="auto"/>
            </w:tcBorders>
            <w:shd w:val="clear" w:color="auto" w:fill="auto"/>
            <w:hideMark/>
          </w:tcPr>
          <w:p w14:paraId="00972913" w14:textId="77777777" w:rsidR="005B04AE" w:rsidRPr="007D0AA8" w:rsidRDefault="005B04AE" w:rsidP="008742A1">
            <w:pPr>
              <w:pStyle w:val="Tabletext1"/>
            </w:pPr>
            <w:r w:rsidRPr="007D0AA8">
              <w:t xml:space="preserve">Grifols </w:t>
            </w:r>
          </w:p>
        </w:tc>
        <w:tc>
          <w:tcPr>
            <w:tcW w:w="1494" w:type="pct"/>
            <w:tcBorders>
              <w:top w:val="single" w:sz="4" w:space="0" w:color="auto"/>
              <w:left w:val="single" w:sz="4" w:space="0" w:color="auto"/>
              <w:bottom w:val="single" w:sz="4" w:space="0" w:color="auto"/>
              <w:right w:val="single" w:sz="4" w:space="0" w:color="auto"/>
            </w:tcBorders>
            <w:shd w:val="clear" w:color="auto" w:fill="auto"/>
            <w:hideMark/>
          </w:tcPr>
          <w:p w14:paraId="420F750D" w14:textId="77777777" w:rsidR="005B04AE" w:rsidRPr="007D0AA8" w:rsidRDefault="005B04AE" w:rsidP="008742A1">
            <w:pPr>
              <w:pStyle w:val="Tabletext1"/>
            </w:pPr>
            <w:r w:rsidRPr="007D0AA8">
              <w:t>IV and SC</w:t>
            </w:r>
          </w:p>
        </w:tc>
        <w:tc>
          <w:tcPr>
            <w:tcW w:w="820" w:type="pct"/>
            <w:tcBorders>
              <w:top w:val="single" w:sz="4" w:space="0" w:color="auto"/>
              <w:left w:val="single" w:sz="4" w:space="0" w:color="auto"/>
              <w:bottom w:val="single" w:sz="4" w:space="0" w:color="auto"/>
              <w:right w:val="single" w:sz="4" w:space="0" w:color="auto"/>
            </w:tcBorders>
            <w:shd w:val="clear" w:color="auto" w:fill="auto"/>
            <w:hideMark/>
          </w:tcPr>
          <w:p w14:paraId="660A4193" w14:textId="77777777" w:rsidR="005B04AE" w:rsidRPr="007D0AA8" w:rsidRDefault="005B04AE" w:rsidP="008742A1">
            <w:pPr>
              <w:pStyle w:val="Tabletext1"/>
            </w:pPr>
            <w:r w:rsidRPr="007D0AA8">
              <w:t>No</w:t>
            </w:r>
          </w:p>
        </w:tc>
      </w:tr>
      <w:tr w:rsidR="005B04AE" w:rsidRPr="007D0AA8" w14:paraId="65CF7F47" w14:textId="77777777" w:rsidTr="00C905D0">
        <w:tc>
          <w:tcPr>
            <w:tcW w:w="1477" w:type="pct"/>
            <w:tcBorders>
              <w:top w:val="single" w:sz="4" w:space="0" w:color="auto"/>
              <w:left w:val="single" w:sz="4" w:space="0" w:color="auto"/>
              <w:bottom w:val="single" w:sz="4" w:space="0" w:color="auto"/>
              <w:right w:val="single" w:sz="4" w:space="0" w:color="auto"/>
            </w:tcBorders>
            <w:shd w:val="clear" w:color="auto" w:fill="auto"/>
            <w:hideMark/>
          </w:tcPr>
          <w:p w14:paraId="535460A4" w14:textId="77777777" w:rsidR="005B04AE" w:rsidRPr="007D0AA8" w:rsidRDefault="005B04AE" w:rsidP="008742A1">
            <w:pPr>
              <w:pStyle w:val="Tabletext1"/>
            </w:pPr>
            <w:r w:rsidRPr="007D0AA8">
              <w:t>Flebogamma 10%</w:t>
            </w:r>
          </w:p>
        </w:tc>
        <w:tc>
          <w:tcPr>
            <w:tcW w:w="1209" w:type="pct"/>
            <w:tcBorders>
              <w:top w:val="single" w:sz="4" w:space="0" w:color="auto"/>
              <w:left w:val="single" w:sz="4" w:space="0" w:color="auto"/>
              <w:bottom w:val="single" w:sz="4" w:space="0" w:color="auto"/>
              <w:right w:val="single" w:sz="4" w:space="0" w:color="auto"/>
            </w:tcBorders>
            <w:shd w:val="clear" w:color="auto" w:fill="auto"/>
            <w:hideMark/>
          </w:tcPr>
          <w:p w14:paraId="670C683D" w14:textId="77777777" w:rsidR="005B04AE" w:rsidRPr="007D0AA8" w:rsidRDefault="005B04AE" w:rsidP="008742A1">
            <w:pPr>
              <w:pStyle w:val="Tabletext1"/>
            </w:pPr>
            <w:r w:rsidRPr="007D0AA8">
              <w:t xml:space="preserve">Grifols </w:t>
            </w:r>
          </w:p>
        </w:tc>
        <w:tc>
          <w:tcPr>
            <w:tcW w:w="1494" w:type="pct"/>
            <w:tcBorders>
              <w:top w:val="single" w:sz="4" w:space="0" w:color="auto"/>
              <w:left w:val="single" w:sz="4" w:space="0" w:color="auto"/>
              <w:bottom w:val="single" w:sz="4" w:space="0" w:color="auto"/>
              <w:right w:val="single" w:sz="4" w:space="0" w:color="auto"/>
            </w:tcBorders>
            <w:shd w:val="clear" w:color="auto" w:fill="auto"/>
            <w:hideMark/>
          </w:tcPr>
          <w:p w14:paraId="6207E53E" w14:textId="77777777" w:rsidR="005B04AE" w:rsidRPr="007D0AA8" w:rsidRDefault="005B04AE" w:rsidP="008742A1">
            <w:pPr>
              <w:pStyle w:val="Tabletext1"/>
            </w:pPr>
            <w:r w:rsidRPr="007D0AA8">
              <w:t>IV</w:t>
            </w:r>
          </w:p>
        </w:tc>
        <w:tc>
          <w:tcPr>
            <w:tcW w:w="820" w:type="pct"/>
            <w:tcBorders>
              <w:top w:val="single" w:sz="4" w:space="0" w:color="auto"/>
              <w:left w:val="single" w:sz="4" w:space="0" w:color="auto"/>
              <w:bottom w:val="single" w:sz="4" w:space="0" w:color="auto"/>
              <w:right w:val="single" w:sz="4" w:space="0" w:color="auto"/>
            </w:tcBorders>
            <w:shd w:val="clear" w:color="auto" w:fill="auto"/>
            <w:hideMark/>
          </w:tcPr>
          <w:p w14:paraId="63F269BE" w14:textId="77777777" w:rsidR="005B04AE" w:rsidRPr="007D0AA8" w:rsidRDefault="005B04AE" w:rsidP="008742A1">
            <w:pPr>
              <w:pStyle w:val="Tabletext1"/>
            </w:pPr>
            <w:r w:rsidRPr="007D0AA8">
              <w:t>Yes</w:t>
            </w:r>
          </w:p>
        </w:tc>
      </w:tr>
      <w:tr w:rsidR="005B04AE" w:rsidRPr="007D0AA8" w14:paraId="0F361858" w14:textId="77777777" w:rsidTr="00C905D0">
        <w:tc>
          <w:tcPr>
            <w:tcW w:w="1477" w:type="pct"/>
            <w:tcBorders>
              <w:top w:val="single" w:sz="4" w:space="0" w:color="auto"/>
              <w:left w:val="single" w:sz="4" w:space="0" w:color="auto"/>
              <w:bottom w:val="single" w:sz="4" w:space="0" w:color="auto"/>
              <w:right w:val="single" w:sz="4" w:space="0" w:color="auto"/>
            </w:tcBorders>
            <w:shd w:val="clear" w:color="auto" w:fill="auto"/>
            <w:hideMark/>
          </w:tcPr>
          <w:p w14:paraId="6452BE27" w14:textId="77777777" w:rsidR="005B04AE" w:rsidRPr="007D0AA8" w:rsidRDefault="005B04AE" w:rsidP="008742A1">
            <w:pPr>
              <w:pStyle w:val="Tabletext1"/>
            </w:pPr>
            <w:r w:rsidRPr="007D0AA8">
              <w:t>Flebogamma 5%</w:t>
            </w:r>
          </w:p>
        </w:tc>
        <w:tc>
          <w:tcPr>
            <w:tcW w:w="1209" w:type="pct"/>
            <w:tcBorders>
              <w:top w:val="single" w:sz="4" w:space="0" w:color="auto"/>
              <w:left w:val="single" w:sz="4" w:space="0" w:color="auto"/>
              <w:bottom w:val="single" w:sz="4" w:space="0" w:color="auto"/>
              <w:right w:val="single" w:sz="4" w:space="0" w:color="auto"/>
            </w:tcBorders>
            <w:shd w:val="clear" w:color="auto" w:fill="auto"/>
            <w:hideMark/>
          </w:tcPr>
          <w:p w14:paraId="5555C591" w14:textId="77777777" w:rsidR="005B04AE" w:rsidRPr="007D0AA8" w:rsidRDefault="005B04AE" w:rsidP="008742A1">
            <w:pPr>
              <w:pStyle w:val="Tabletext1"/>
            </w:pPr>
            <w:r w:rsidRPr="007D0AA8">
              <w:t xml:space="preserve">Grifols </w:t>
            </w:r>
          </w:p>
        </w:tc>
        <w:tc>
          <w:tcPr>
            <w:tcW w:w="1494" w:type="pct"/>
            <w:tcBorders>
              <w:top w:val="single" w:sz="4" w:space="0" w:color="auto"/>
              <w:left w:val="single" w:sz="4" w:space="0" w:color="auto"/>
              <w:bottom w:val="single" w:sz="4" w:space="0" w:color="auto"/>
              <w:right w:val="single" w:sz="4" w:space="0" w:color="auto"/>
            </w:tcBorders>
            <w:shd w:val="clear" w:color="auto" w:fill="auto"/>
            <w:hideMark/>
          </w:tcPr>
          <w:p w14:paraId="56893EFD" w14:textId="77777777" w:rsidR="005B04AE" w:rsidRPr="007D0AA8" w:rsidRDefault="005B04AE" w:rsidP="008742A1">
            <w:pPr>
              <w:pStyle w:val="Tabletext1"/>
            </w:pPr>
            <w:r w:rsidRPr="007D0AA8">
              <w:t>IV</w:t>
            </w:r>
          </w:p>
        </w:tc>
        <w:tc>
          <w:tcPr>
            <w:tcW w:w="820" w:type="pct"/>
            <w:tcBorders>
              <w:top w:val="single" w:sz="4" w:space="0" w:color="auto"/>
              <w:left w:val="single" w:sz="4" w:space="0" w:color="auto"/>
              <w:bottom w:val="single" w:sz="4" w:space="0" w:color="auto"/>
              <w:right w:val="single" w:sz="4" w:space="0" w:color="auto"/>
            </w:tcBorders>
            <w:shd w:val="clear" w:color="auto" w:fill="auto"/>
            <w:hideMark/>
          </w:tcPr>
          <w:p w14:paraId="6A425EA7" w14:textId="77777777" w:rsidR="005B04AE" w:rsidRPr="007D0AA8" w:rsidRDefault="005B04AE" w:rsidP="008742A1">
            <w:pPr>
              <w:pStyle w:val="Tabletext1"/>
            </w:pPr>
            <w:r w:rsidRPr="007D0AA8">
              <w:t>Yes</w:t>
            </w:r>
          </w:p>
        </w:tc>
      </w:tr>
      <w:tr w:rsidR="005B04AE" w:rsidRPr="007D0AA8" w14:paraId="5C95A716" w14:textId="77777777" w:rsidTr="00C905D0">
        <w:tc>
          <w:tcPr>
            <w:tcW w:w="1477" w:type="pct"/>
            <w:tcBorders>
              <w:top w:val="single" w:sz="4" w:space="0" w:color="auto"/>
              <w:left w:val="single" w:sz="4" w:space="0" w:color="auto"/>
              <w:bottom w:val="single" w:sz="4" w:space="0" w:color="auto"/>
              <w:right w:val="single" w:sz="4" w:space="0" w:color="auto"/>
            </w:tcBorders>
            <w:shd w:val="clear" w:color="auto" w:fill="auto"/>
            <w:hideMark/>
          </w:tcPr>
          <w:p w14:paraId="29509C1F" w14:textId="77777777" w:rsidR="005B04AE" w:rsidRPr="007D0AA8" w:rsidRDefault="005B04AE" w:rsidP="008742A1">
            <w:pPr>
              <w:pStyle w:val="Tabletext1"/>
              <w:rPr>
                <w:i/>
              </w:rPr>
            </w:pPr>
            <w:r w:rsidRPr="007D0AA8">
              <w:rPr>
                <w:i/>
              </w:rPr>
              <w:t>Intragam P</w:t>
            </w:r>
          </w:p>
        </w:tc>
        <w:tc>
          <w:tcPr>
            <w:tcW w:w="1209" w:type="pct"/>
            <w:tcBorders>
              <w:top w:val="single" w:sz="4" w:space="0" w:color="auto"/>
              <w:left w:val="single" w:sz="4" w:space="0" w:color="auto"/>
              <w:bottom w:val="single" w:sz="4" w:space="0" w:color="auto"/>
              <w:right w:val="single" w:sz="4" w:space="0" w:color="auto"/>
            </w:tcBorders>
            <w:shd w:val="clear" w:color="auto" w:fill="auto"/>
            <w:hideMark/>
          </w:tcPr>
          <w:p w14:paraId="148214ED" w14:textId="77777777" w:rsidR="005B04AE" w:rsidRPr="007D0AA8" w:rsidRDefault="005B04AE" w:rsidP="008742A1">
            <w:pPr>
              <w:pStyle w:val="Tabletext1"/>
              <w:rPr>
                <w:i/>
              </w:rPr>
            </w:pPr>
            <w:r w:rsidRPr="007D0AA8">
              <w:rPr>
                <w:i/>
              </w:rPr>
              <w:t>CSL Behring</w:t>
            </w:r>
          </w:p>
        </w:tc>
        <w:tc>
          <w:tcPr>
            <w:tcW w:w="1494" w:type="pct"/>
            <w:tcBorders>
              <w:top w:val="single" w:sz="4" w:space="0" w:color="auto"/>
              <w:left w:val="single" w:sz="4" w:space="0" w:color="auto"/>
              <w:bottom w:val="single" w:sz="4" w:space="0" w:color="auto"/>
              <w:right w:val="single" w:sz="4" w:space="0" w:color="auto"/>
            </w:tcBorders>
            <w:shd w:val="clear" w:color="auto" w:fill="auto"/>
            <w:hideMark/>
          </w:tcPr>
          <w:p w14:paraId="5D697C65" w14:textId="77777777" w:rsidR="005B04AE" w:rsidRPr="007D0AA8" w:rsidRDefault="005B04AE" w:rsidP="008742A1">
            <w:pPr>
              <w:pStyle w:val="Tabletext1"/>
              <w:rPr>
                <w:i/>
              </w:rPr>
            </w:pPr>
            <w:r w:rsidRPr="007D0AA8">
              <w:rPr>
                <w:i/>
              </w:rPr>
              <w:t>IV</w:t>
            </w:r>
          </w:p>
        </w:tc>
        <w:tc>
          <w:tcPr>
            <w:tcW w:w="820" w:type="pct"/>
            <w:tcBorders>
              <w:top w:val="single" w:sz="4" w:space="0" w:color="auto"/>
              <w:left w:val="single" w:sz="4" w:space="0" w:color="auto"/>
              <w:bottom w:val="single" w:sz="4" w:space="0" w:color="auto"/>
              <w:right w:val="single" w:sz="4" w:space="0" w:color="auto"/>
            </w:tcBorders>
            <w:shd w:val="clear" w:color="auto" w:fill="auto"/>
            <w:hideMark/>
          </w:tcPr>
          <w:p w14:paraId="32D626A7" w14:textId="77777777" w:rsidR="005B04AE" w:rsidRPr="007D0AA8" w:rsidRDefault="005B04AE" w:rsidP="008742A1">
            <w:pPr>
              <w:pStyle w:val="Tabletext1"/>
              <w:rPr>
                <w:i/>
              </w:rPr>
            </w:pPr>
            <w:r w:rsidRPr="007D0AA8">
              <w:rPr>
                <w:i/>
              </w:rPr>
              <w:t>Yes</w:t>
            </w:r>
            <w:r w:rsidRPr="007D0AA8">
              <w:rPr>
                <w:i/>
                <w:vertAlign w:val="superscript"/>
              </w:rPr>
              <w:t>**</w:t>
            </w:r>
          </w:p>
        </w:tc>
      </w:tr>
      <w:tr w:rsidR="005B04AE" w:rsidRPr="007D0AA8" w14:paraId="7B72EF66" w14:textId="77777777" w:rsidTr="00C905D0">
        <w:tc>
          <w:tcPr>
            <w:tcW w:w="1477" w:type="pct"/>
            <w:tcBorders>
              <w:top w:val="single" w:sz="4" w:space="0" w:color="auto"/>
              <w:left w:val="single" w:sz="4" w:space="0" w:color="auto"/>
              <w:bottom w:val="single" w:sz="4" w:space="0" w:color="auto"/>
              <w:right w:val="single" w:sz="4" w:space="0" w:color="auto"/>
            </w:tcBorders>
            <w:shd w:val="clear" w:color="auto" w:fill="auto"/>
            <w:hideMark/>
          </w:tcPr>
          <w:p w14:paraId="7437EFB3" w14:textId="77777777" w:rsidR="005B04AE" w:rsidRPr="007D0AA8" w:rsidRDefault="005B04AE" w:rsidP="008742A1">
            <w:pPr>
              <w:pStyle w:val="Tabletext1"/>
            </w:pPr>
            <w:r w:rsidRPr="007D0AA8">
              <w:t>Evogam</w:t>
            </w:r>
          </w:p>
        </w:tc>
        <w:tc>
          <w:tcPr>
            <w:tcW w:w="1209" w:type="pct"/>
            <w:tcBorders>
              <w:top w:val="single" w:sz="4" w:space="0" w:color="auto"/>
              <w:left w:val="single" w:sz="4" w:space="0" w:color="auto"/>
              <w:bottom w:val="single" w:sz="4" w:space="0" w:color="auto"/>
              <w:right w:val="single" w:sz="4" w:space="0" w:color="auto"/>
            </w:tcBorders>
            <w:shd w:val="clear" w:color="auto" w:fill="auto"/>
            <w:hideMark/>
          </w:tcPr>
          <w:p w14:paraId="20F397C5" w14:textId="77777777" w:rsidR="005B04AE" w:rsidRPr="007D0AA8" w:rsidRDefault="005B04AE" w:rsidP="008742A1">
            <w:pPr>
              <w:pStyle w:val="Tabletext1"/>
            </w:pPr>
            <w:r w:rsidRPr="007D0AA8">
              <w:t>CSL Behring</w:t>
            </w:r>
          </w:p>
        </w:tc>
        <w:tc>
          <w:tcPr>
            <w:tcW w:w="1494" w:type="pct"/>
            <w:tcBorders>
              <w:top w:val="single" w:sz="4" w:space="0" w:color="auto"/>
              <w:left w:val="single" w:sz="4" w:space="0" w:color="auto"/>
              <w:bottom w:val="single" w:sz="4" w:space="0" w:color="auto"/>
              <w:right w:val="single" w:sz="4" w:space="0" w:color="auto"/>
            </w:tcBorders>
            <w:shd w:val="clear" w:color="auto" w:fill="auto"/>
            <w:hideMark/>
          </w:tcPr>
          <w:p w14:paraId="3C123037" w14:textId="77777777" w:rsidR="005B04AE" w:rsidRPr="007D0AA8" w:rsidRDefault="005B04AE" w:rsidP="008742A1">
            <w:pPr>
              <w:pStyle w:val="Tabletext1"/>
            </w:pPr>
            <w:r w:rsidRPr="007D0AA8">
              <w:t>SC</w:t>
            </w:r>
          </w:p>
        </w:tc>
        <w:tc>
          <w:tcPr>
            <w:tcW w:w="820" w:type="pct"/>
            <w:tcBorders>
              <w:top w:val="single" w:sz="4" w:space="0" w:color="auto"/>
              <w:left w:val="single" w:sz="4" w:space="0" w:color="auto"/>
              <w:bottom w:val="single" w:sz="4" w:space="0" w:color="auto"/>
              <w:right w:val="single" w:sz="4" w:space="0" w:color="auto"/>
            </w:tcBorders>
            <w:shd w:val="clear" w:color="auto" w:fill="auto"/>
            <w:hideMark/>
          </w:tcPr>
          <w:p w14:paraId="20D08B0B" w14:textId="77777777" w:rsidR="005B04AE" w:rsidRPr="007D0AA8" w:rsidRDefault="005B04AE" w:rsidP="008742A1">
            <w:pPr>
              <w:pStyle w:val="Tabletext1"/>
            </w:pPr>
            <w:r w:rsidRPr="007D0AA8">
              <w:t>No</w:t>
            </w:r>
          </w:p>
        </w:tc>
      </w:tr>
      <w:tr w:rsidR="005B04AE" w:rsidRPr="007D0AA8" w14:paraId="63213265" w14:textId="77777777" w:rsidTr="00C905D0">
        <w:tc>
          <w:tcPr>
            <w:tcW w:w="1477" w:type="pct"/>
            <w:tcBorders>
              <w:top w:val="single" w:sz="4" w:space="0" w:color="auto"/>
              <w:left w:val="single" w:sz="4" w:space="0" w:color="auto"/>
              <w:bottom w:val="single" w:sz="4" w:space="0" w:color="auto"/>
              <w:right w:val="single" w:sz="4" w:space="0" w:color="auto"/>
            </w:tcBorders>
            <w:shd w:val="clear" w:color="auto" w:fill="auto"/>
            <w:hideMark/>
          </w:tcPr>
          <w:p w14:paraId="0357040F" w14:textId="77777777" w:rsidR="005B04AE" w:rsidRPr="007D0AA8" w:rsidRDefault="005B04AE" w:rsidP="008742A1">
            <w:pPr>
              <w:pStyle w:val="Tabletext1"/>
            </w:pPr>
            <w:r w:rsidRPr="007D0AA8">
              <w:t>Panzyga</w:t>
            </w:r>
          </w:p>
        </w:tc>
        <w:tc>
          <w:tcPr>
            <w:tcW w:w="1209" w:type="pct"/>
            <w:tcBorders>
              <w:top w:val="single" w:sz="4" w:space="0" w:color="auto"/>
              <w:left w:val="single" w:sz="4" w:space="0" w:color="auto"/>
              <w:bottom w:val="single" w:sz="4" w:space="0" w:color="auto"/>
              <w:right w:val="single" w:sz="4" w:space="0" w:color="auto"/>
            </w:tcBorders>
            <w:shd w:val="clear" w:color="auto" w:fill="auto"/>
            <w:hideMark/>
          </w:tcPr>
          <w:p w14:paraId="3C436B6C" w14:textId="77777777" w:rsidR="005B04AE" w:rsidRPr="007D0AA8" w:rsidRDefault="005B04AE" w:rsidP="008742A1">
            <w:pPr>
              <w:pStyle w:val="Tabletext1"/>
            </w:pPr>
            <w:r w:rsidRPr="007D0AA8">
              <w:t xml:space="preserve">Octaphama </w:t>
            </w:r>
          </w:p>
        </w:tc>
        <w:tc>
          <w:tcPr>
            <w:tcW w:w="1494" w:type="pct"/>
            <w:tcBorders>
              <w:top w:val="single" w:sz="4" w:space="0" w:color="auto"/>
              <w:left w:val="single" w:sz="4" w:space="0" w:color="auto"/>
              <w:bottom w:val="single" w:sz="4" w:space="0" w:color="auto"/>
              <w:right w:val="single" w:sz="4" w:space="0" w:color="auto"/>
            </w:tcBorders>
            <w:shd w:val="clear" w:color="auto" w:fill="auto"/>
            <w:hideMark/>
          </w:tcPr>
          <w:p w14:paraId="017CDC04" w14:textId="77777777" w:rsidR="005B04AE" w:rsidRPr="007D0AA8" w:rsidRDefault="005B04AE" w:rsidP="008742A1">
            <w:pPr>
              <w:pStyle w:val="Tabletext1"/>
            </w:pPr>
            <w:r w:rsidRPr="007D0AA8">
              <w:t>IV</w:t>
            </w:r>
          </w:p>
        </w:tc>
        <w:tc>
          <w:tcPr>
            <w:tcW w:w="820" w:type="pct"/>
            <w:tcBorders>
              <w:top w:val="single" w:sz="4" w:space="0" w:color="auto"/>
              <w:left w:val="single" w:sz="4" w:space="0" w:color="auto"/>
              <w:bottom w:val="single" w:sz="4" w:space="0" w:color="auto"/>
              <w:right w:val="single" w:sz="4" w:space="0" w:color="auto"/>
            </w:tcBorders>
            <w:shd w:val="clear" w:color="auto" w:fill="auto"/>
            <w:hideMark/>
          </w:tcPr>
          <w:p w14:paraId="2E112766" w14:textId="77777777" w:rsidR="005B04AE" w:rsidRPr="007D0AA8" w:rsidRDefault="005B04AE" w:rsidP="008742A1">
            <w:pPr>
              <w:pStyle w:val="Tabletext1"/>
            </w:pPr>
            <w:r w:rsidRPr="007D0AA8">
              <w:t>No</w:t>
            </w:r>
          </w:p>
        </w:tc>
      </w:tr>
      <w:tr w:rsidR="005B04AE" w:rsidRPr="007D0AA8" w14:paraId="1F889E97" w14:textId="77777777" w:rsidTr="00C905D0">
        <w:tc>
          <w:tcPr>
            <w:tcW w:w="1477" w:type="pct"/>
            <w:tcBorders>
              <w:top w:val="single" w:sz="4" w:space="0" w:color="auto"/>
              <w:left w:val="single" w:sz="4" w:space="0" w:color="auto"/>
              <w:bottom w:val="single" w:sz="4" w:space="0" w:color="auto"/>
              <w:right w:val="single" w:sz="4" w:space="0" w:color="auto"/>
            </w:tcBorders>
            <w:shd w:val="clear" w:color="auto" w:fill="auto"/>
            <w:hideMark/>
          </w:tcPr>
          <w:p w14:paraId="0B9736D5" w14:textId="77777777" w:rsidR="005B04AE" w:rsidRPr="007D0AA8" w:rsidRDefault="005B04AE" w:rsidP="008742A1">
            <w:pPr>
              <w:pStyle w:val="Tabletext1"/>
            </w:pPr>
            <w:r w:rsidRPr="007D0AA8">
              <w:t>Hyqvia</w:t>
            </w:r>
          </w:p>
        </w:tc>
        <w:tc>
          <w:tcPr>
            <w:tcW w:w="1209" w:type="pct"/>
            <w:tcBorders>
              <w:top w:val="single" w:sz="4" w:space="0" w:color="auto"/>
              <w:left w:val="single" w:sz="4" w:space="0" w:color="auto"/>
              <w:bottom w:val="single" w:sz="4" w:space="0" w:color="auto"/>
              <w:right w:val="single" w:sz="4" w:space="0" w:color="auto"/>
            </w:tcBorders>
            <w:shd w:val="clear" w:color="auto" w:fill="auto"/>
            <w:hideMark/>
          </w:tcPr>
          <w:p w14:paraId="431F34FD" w14:textId="77777777" w:rsidR="005B04AE" w:rsidRPr="007D0AA8" w:rsidRDefault="005B04AE" w:rsidP="008742A1">
            <w:pPr>
              <w:pStyle w:val="Tabletext1"/>
            </w:pPr>
            <w:r w:rsidRPr="007D0AA8">
              <w:t>Shire</w:t>
            </w:r>
          </w:p>
        </w:tc>
        <w:tc>
          <w:tcPr>
            <w:tcW w:w="1494" w:type="pct"/>
            <w:tcBorders>
              <w:top w:val="single" w:sz="4" w:space="0" w:color="auto"/>
              <w:left w:val="single" w:sz="4" w:space="0" w:color="auto"/>
              <w:bottom w:val="single" w:sz="4" w:space="0" w:color="auto"/>
              <w:right w:val="single" w:sz="4" w:space="0" w:color="auto"/>
            </w:tcBorders>
            <w:shd w:val="clear" w:color="auto" w:fill="auto"/>
            <w:hideMark/>
          </w:tcPr>
          <w:p w14:paraId="1F409CD0" w14:textId="77777777" w:rsidR="005B04AE" w:rsidRPr="007D0AA8" w:rsidRDefault="005B04AE" w:rsidP="008742A1">
            <w:pPr>
              <w:pStyle w:val="Tabletext1"/>
            </w:pPr>
            <w:r w:rsidRPr="007D0AA8">
              <w:t>SC</w:t>
            </w:r>
          </w:p>
        </w:tc>
        <w:tc>
          <w:tcPr>
            <w:tcW w:w="820" w:type="pct"/>
            <w:tcBorders>
              <w:top w:val="single" w:sz="4" w:space="0" w:color="auto"/>
              <w:left w:val="single" w:sz="4" w:space="0" w:color="auto"/>
              <w:bottom w:val="single" w:sz="4" w:space="0" w:color="auto"/>
              <w:right w:val="single" w:sz="4" w:space="0" w:color="auto"/>
            </w:tcBorders>
            <w:shd w:val="clear" w:color="auto" w:fill="auto"/>
            <w:hideMark/>
          </w:tcPr>
          <w:p w14:paraId="0CCC954F" w14:textId="77777777" w:rsidR="005B04AE" w:rsidRPr="007D0AA8" w:rsidRDefault="005B04AE" w:rsidP="008742A1">
            <w:pPr>
              <w:pStyle w:val="Tabletext1"/>
            </w:pPr>
            <w:r w:rsidRPr="007D0AA8">
              <w:t>No</w:t>
            </w:r>
          </w:p>
        </w:tc>
      </w:tr>
      <w:tr w:rsidR="005B04AE" w:rsidRPr="007D0AA8" w14:paraId="2F119162" w14:textId="77777777" w:rsidTr="00C905D0">
        <w:tc>
          <w:tcPr>
            <w:tcW w:w="1477" w:type="pct"/>
            <w:tcBorders>
              <w:top w:val="single" w:sz="4" w:space="0" w:color="auto"/>
              <w:left w:val="single" w:sz="4" w:space="0" w:color="auto"/>
              <w:bottom w:val="single" w:sz="4" w:space="0" w:color="auto"/>
              <w:right w:val="single" w:sz="4" w:space="0" w:color="auto"/>
            </w:tcBorders>
            <w:shd w:val="clear" w:color="auto" w:fill="auto"/>
            <w:hideMark/>
          </w:tcPr>
          <w:p w14:paraId="5738C4BF" w14:textId="77777777" w:rsidR="005B04AE" w:rsidRPr="007D0AA8" w:rsidRDefault="005B04AE" w:rsidP="008742A1">
            <w:pPr>
              <w:pStyle w:val="Tabletext1"/>
            </w:pPr>
            <w:r w:rsidRPr="007D0AA8">
              <w:t>Intratect</w:t>
            </w:r>
          </w:p>
        </w:tc>
        <w:tc>
          <w:tcPr>
            <w:tcW w:w="1209" w:type="pct"/>
            <w:tcBorders>
              <w:top w:val="single" w:sz="4" w:space="0" w:color="auto"/>
              <w:left w:val="single" w:sz="4" w:space="0" w:color="auto"/>
              <w:bottom w:val="single" w:sz="4" w:space="0" w:color="auto"/>
              <w:right w:val="single" w:sz="4" w:space="0" w:color="auto"/>
            </w:tcBorders>
            <w:shd w:val="clear" w:color="auto" w:fill="auto"/>
            <w:hideMark/>
          </w:tcPr>
          <w:p w14:paraId="37E0AE93" w14:textId="77777777" w:rsidR="005B04AE" w:rsidRPr="007D0AA8" w:rsidRDefault="005B04AE" w:rsidP="008742A1">
            <w:pPr>
              <w:pStyle w:val="Tabletext1"/>
            </w:pPr>
            <w:r w:rsidRPr="007D0AA8">
              <w:t xml:space="preserve">Pfizer </w:t>
            </w:r>
          </w:p>
        </w:tc>
        <w:tc>
          <w:tcPr>
            <w:tcW w:w="1494" w:type="pct"/>
            <w:tcBorders>
              <w:top w:val="single" w:sz="4" w:space="0" w:color="auto"/>
              <w:left w:val="single" w:sz="4" w:space="0" w:color="auto"/>
              <w:bottom w:val="single" w:sz="4" w:space="0" w:color="auto"/>
              <w:right w:val="single" w:sz="4" w:space="0" w:color="auto"/>
            </w:tcBorders>
            <w:shd w:val="clear" w:color="auto" w:fill="auto"/>
            <w:hideMark/>
          </w:tcPr>
          <w:p w14:paraId="4196196A" w14:textId="77777777" w:rsidR="005B04AE" w:rsidRPr="007D0AA8" w:rsidRDefault="005B04AE" w:rsidP="008742A1">
            <w:pPr>
              <w:pStyle w:val="Tabletext1"/>
            </w:pPr>
            <w:r w:rsidRPr="007D0AA8">
              <w:t>IV</w:t>
            </w:r>
          </w:p>
        </w:tc>
        <w:tc>
          <w:tcPr>
            <w:tcW w:w="820" w:type="pct"/>
            <w:tcBorders>
              <w:top w:val="single" w:sz="4" w:space="0" w:color="auto"/>
              <w:left w:val="single" w:sz="4" w:space="0" w:color="auto"/>
              <w:bottom w:val="single" w:sz="4" w:space="0" w:color="auto"/>
              <w:right w:val="single" w:sz="4" w:space="0" w:color="auto"/>
            </w:tcBorders>
            <w:shd w:val="clear" w:color="auto" w:fill="auto"/>
            <w:hideMark/>
          </w:tcPr>
          <w:p w14:paraId="3659D372" w14:textId="77777777" w:rsidR="005B04AE" w:rsidRPr="007D0AA8" w:rsidRDefault="005B04AE" w:rsidP="008742A1">
            <w:pPr>
              <w:pStyle w:val="Tabletext1"/>
            </w:pPr>
            <w:r w:rsidRPr="007D0AA8">
              <w:t>No</w:t>
            </w:r>
          </w:p>
        </w:tc>
      </w:tr>
      <w:tr w:rsidR="005B04AE" w:rsidRPr="007D0AA8" w14:paraId="1A32CE44" w14:textId="77777777" w:rsidTr="00C905D0">
        <w:tc>
          <w:tcPr>
            <w:tcW w:w="1477" w:type="pct"/>
            <w:tcBorders>
              <w:top w:val="single" w:sz="4" w:space="0" w:color="auto"/>
              <w:left w:val="single" w:sz="4" w:space="0" w:color="auto"/>
              <w:bottom w:val="single" w:sz="4" w:space="0" w:color="auto"/>
              <w:right w:val="single" w:sz="4" w:space="0" w:color="auto"/>
            </w:tcBorders>
            <w:shd w:val="clear" w:color="auto" w:fill="auto"/>
            <w:hideMark/>
          </w:tcPr>
          <w:p w14:paraId="500335B1" w14:textId="77777777" w:rsidR="005B04AE" w:rsidRPr="007D0AA8" w:rsidRDefault="005B04AE" w:rsidP="008742A1">
            <w:pPr>
              <w:pStyle w:val="Tabletext1"/>
            </w:pPr>
            <w:r w:rsidRPr="007D0AA8">
              <w:t>Intratect 5%</w:t>
            </w:r>
          </w:p>
        </w:tc>
        <w:tc>
          <w:tcPr>
            <w:tcW w:w="1209" w:type="pct"/>
            <w:tcBorders>
              <w:top w:val="single" w:sz="4" w:space="0" w:color="auto"/>
              <w:left w:val="single" w:sz="4" w:space="0" w:color="auto"/>
              <w:bottom w:val="single" w:sz="4" w:space="0" w:color="auto"/>
              <w:right w:val="single" w:sz="4" w:space="0" w:color="auto"/>
            </w:tcBorders>
            <w:shd w:val="clear" w:color="auto" w:fill="auto"/>
            <w:hideMark/>
          </w:tcPr>
          <w:p w14:paraId="262FA005" w14:textId="77777777" w:rsidR="005B04AE" w:rsidRPr="007D0AA8" w:rsidRDefault="005B04AE" w:rsidP="008742A1">
            <w:pPr>
              <w:pStyle w:val="Tabletext1"/>
            </w:pPr>
            <w:r w:rsidRPr="007D0AA8">
              <w:t xml:space="preserve">Pfizer </w:t>
            </w:r>
          </w:p>
        </w:tc>
        <w:tc>
          <w:tcPr>
            <w:tcW w:w="1494" w:type="pct"/>
            <w:tcBorders>
              <w:top w:val="single" w:sz="4" w:space="0" w:color="auto"/>
              <w:left w:val="single" w:sz="4" w:space="0" w:color="auto"/>
              <w:bottom w:val="single" w:sz="4" w:space="0" w:color="auto"/>
              <w:right w:val="single" w:sz="4" w:space="0" w:color="auto"/>
            </w:tcBorders>
            <w:shd w:val="clear" w:color="auto" w:fill="auto"/>
            <w:hideMark/>
          </w:tcPr>
          <w:p w14:paraId="0C1A95B1" w14:textId="77777777" w:rsidR="005B04AE" w:rsidRPr="007D0AA8" w:rsidRDefault="005B04AE" w:rsidP="008742A1">
            <w:pPr>
              <w:pStyle w:val="Tabletext1"/>
            </w:pPr>
            <w:r w:rsidRPr="007D0AA8">
              <w:t>IV</w:t>
            </w:r>
          </w:p>
        </w:tc>
        <w:tc>
          <w:tcPr>
            <w:tcW w:w="820" w:type="pct"/>
            <w:tcBorders>
              <w:top w:val="single" w:sz="4" w:space="0" w:color="auto"/>
              <w:left w:val="single" w:sz="4" w:space="0" w:color="auto"/>
              <w:bottom w:val="single" w:sz="4" w:space="0" w:color="auto"/>
              <w:right w:val="single" w:sz="4" w:space="0" w:color="auto"/>
            </w:tcBorders>
            <w:shd w:val="clear" w:color="auto" w:fill="auto"/>
            <w:hideMark/>
          </w:tcPr>
          <w:p w14:paraId="72ED71C7" w14:textId="77777777" w:rsidR="005B04AE" w:rsidRPr="007D0AA8" w:rsidRDefault="005B04AE" w:rsidP="008742A1">
            <w:pPr>
              <w:pStyle w:val="Tabletext1"/>
            </w:pPr>
            <w:r w:rsidRPr="007D0AA8">
              <w:t>No</w:t>
            </w:r>
          </w:p>
        </w:tc>
      </w:tr>
      <w:tr w:rsidR="005B04AE" w:rsidRPr="007D0AA8" w14:paraId="1CA8DC78" w14:textId="77777777" w:rsidTr="00C905D0">
        <w:tc>
          <w:tcPr>
            <w:tcW w:w="1477" w:type="pct"/>
            <w:tcBorders>
              <w:top w:val="single" w:sz="4" w:space="0" w:color="auto"/>
              <w:left w:val="single" w:sz="4" w:space="0" w:color="auto"/>
              <w:bottom w:val="single" w:sz="4" w:space="0" w:color="auto"/>
              <w:right w:val="single" w:sz="4" w:space="0" w:color="auto"/>
            </w:tcBorders>
            <w:shd w:val="clear" w:color="auto" w:fill="auto"/>
            <w:hideMark/>
          </w:tcPr>
          <w:p w14:paraId="2A1FBAA1" w14:textId="77777777" w:rsidR="005B04AE" w:rsidRPr="007D0AA8" w:rsidRDefault="005B04AE" w:rsidP="008742A1">
            <w:pPr>
              <w:pStyle w:val="Tabletext1"/>
            </w:pPr>
            <w:r w:rsidRPr="007D0AA8">
              <w:t>Octagam</w:t>
            </w:r>
          </w:p>
        </w:tc>
        <w:tc>
          <w:tcPr>
            <w:tcW w:w="1209" w:type="pct"/>
            <w:tcBorders>
              <w:top w:val="single" w:sz="4" w:space="0" w:color="auto"/>
              <w:left w:val="single" w:sz="4" w:space="0" w:color="auto"/>
              <w:bottom w:val="single" w:sz="4" w:space="0" w:color="auto"/>
              <w:right w:val="single" w:sz="4" w:space="0" w:color="auto"/>
            </w:tcBorders>
            <w:shd w:val="clear" w:color="auto" w:fill="auto"/>
            <w:hideMark/>
          </w:tcPr>
          <w:p w14:paraId="1E47879C" w14:textId="77777777" w:rsidR="005B04AE" w:rsidRPr="007D0AA8" w:rsidRDefault="005B04AE" w:rsidP="008742A1">
            <w:pPr>
              <w:pStyle w:val="Tabletext1"/>
            </w:pPr>
            <w:r w:rsidRPr="007D0AA8">
              <w:t xml:space="preserve">Octapharma </w:t>
            </w:r>
          </w:p>
        </w:tc>
        <w:tc>
          <w:tcPr>
            <w:tcW w:w="1494" w:type="pct"/>
            <w:tcBorders>
              <w:top w:val="single" w:sz="4" w:space="0" w:color="auto"/>
              <w:left w:val="single" w:sz="4" w:space="0" w:color="auto"/>
              <w:bottom w:val="single" w:sz="4" w:space="0" w:color="auto"/>
              <w:right w:val="single" w:sz="4" w:space="0" w:color="auto"/>
            </w:tcBorders>
            <w:shd w:val="clear" w:color="auto" w:fill="auto"/>
            <w:hideMark/>
          </w:tcPr>
          <w:p w14:paraId="392A2C56" w14:textId="77777777" w:rsidR="005B04AE" w:rsidRPr="007D0AA8" w:rsidRDefault="005B04AE" w:rsidP="008742A1">
            <w:pPr>
              <w:pStyle w:val="Tabletext1"/>
            </w:pPr>
            <w:r w:rsidRPr="007D0AA8">
              <w:t>IV</w:t>
            </w:r>
          </w:p>
        </w:tc>
        <w:tc>
          <w:tcPr>
            <w:tcW w:w="820" w:type="pct"/>
            <w:tcBorders>
              <w:top w:val="single" w:sz="4" w:space="0" w:color="auto"/>
              <w:left w:val="single" w:sz="4" w:space="0" w:color="auto"/>
              <w:bottom w:val="single" w:sz="4" w:space="0" w:color="auto"/>
              <w:right w:val="single" w:sz="4" w:space="0" w:color="auto"/>
            </w:tcBorders>
            <w:shd w:val="clear" w:color="auto" w:fill="auto"/>
            <w:hideMark/>
          </w:tcPr>
          <w:p w14:paraId="21F3AFB8" w14:textId="77777777" w:rsidR="005B04AE" w:rsidRPr="007D0AA8" w:rsidRDefault="005B04AE" w:rsidP="008742A1">
            <w:pPr>
              <w:pStyle w:val="Tabletext1"/>
            </w:pPr>
            <w:r w:rsidRPr="007D0AA8">
              <w:t>No</w:t>
            </w:r>
          </w:p>
        </w:tc>
      </w:tr>
      <w:tr w:rsidR="005B04AE" w:rsidRPr="007D0AA8" w14:paraId="4DC857FD" w14:textId="77777777" w:rsidTr="00C905D0">
        <w:tc>
          <w:tcPr>
            <w:tcW w:w="1477" w:type="pct"/>
            <w:tcBorders>
              <w:top w:val="single" w:sz="4" w:space="0" w:color="auto"/>
              <w:left w:val="single" w:sz="4" w:space="0" w:color="auto"/>
              <w:bottom w:val="single" w:sz="4" w:space="0" w:color="auto"/>
              <w:right w:val="single" w:sz="4" w:space="0" w:color="auto"/>
            </w:tcBorders>
            <w:shd w:val="clear" w:color="auto" w:fill="auto"/>
            <w:hideMark/>
          </w:tcPr>
          <w:p w14:paraId="151EAB08" w14:textId="77777777" w:rsidR="005B04AE" w:rsidRPr="007D0AA8" w:rsidRDefault="005B04AE" w:rsidP="008742A1">
            <w:pPr>
              <w:pStyle w:val="Tabletext1"/>
            </w:pPr>
            <w:r w:rsidRPr="007D0AA8">
              <w:t>Kiovig</w:t>
            </w:r>
          </w:p>
        </w:tc>
        <w:tc>
          <w:tcPr>
            <w:tcW w:w="1209" w:type="pct"/>
            <w:tcBorders>
              <w:top w:val="single" w:sz="4" w:space="0" w:color="auto"/>
              <w:left w:val="single" w:sz="4" w:space="0" w:color="auto"/>
              <w:bottom w:val="single" w:sz="4" w:space="0" w:color="auto"/>
              <w:right w:val="single" w:sz="4" w:space="0" w:color="auto"/>
            </w:tcBorders>
            <w:shd w:val="clear" w:color="auto" w:fill="auto"/>
            <w:hideMark/>
          </w:tcPr>
          <w:p w14:paraId="549417AA" w14:textId="77777777" w:rsidR="005B04AE" w:rsidRPr="007D0AA8" w:rsidRDefault="005B04AE" w:rsidP="008742A1">
            <w:pPr>
              <w:pStyle w:val="Tabletext1"/>
            </w:pPr>
            <w:r w:rsidRPr="007D0AA8">
              <w:t>Shire</w:t>
            </w:r>
          </w:p>
        </w:tc>
        <w:tc>
          <w:tcPr>
            <w:tcW w:w="1494" w:type="pct"/>
            <w:tcBorders>
              <w:top w:val="single" w:sz="4" w:space="0" w:color="auto"/>
              <w:left w:val="single" w:sz="4" w:space="0" w:color="auto"/>
              <w:bottom w:val="single" w:sz="4" w:space="0" w:color="auto"/>
              <w:right w:val="single" w:sz="4" w:space="0" w:color="auto"/>
            </w:tcBorders>
            <w:shd w:val="clear" w:color="auto" w:fill="auto"/>
            <w:hideMark/>
          </w:tcPr>
          <w:p w14:paraId="505CB2B8" w14:textId="77777777" w:rsidR="005B04AE" w:rsidRPr="007D0AA8" w:rsidRDefault="005B04AE" w:rsidP="008742A1">
            <w:pPr>
              <w:pStyle w:val="Tabletext1"/>
            </w:pPr>
            <w:r w:rsidRPr="007D0AA8">
              <w:t>IV and SC</w:t>
            </w:r>
          </w:p>
        </w:tc>
        <w:tc>
          <w:tcPr>
            <w:tcW w:w="820" w:type="pct"/>
            <w:tcBorders>
              <w:top w:val="single" w:sz="4" w:space="0" w:color="auto"/>
              <w:left w:val="single" w:sz="4" w:space="0" w:color="auto"/>
              <w:bottom w:val="single" w:sz="4" w:space="0" w:color="auto"/>
              <w:right w:val="single" w:sz="4" w:space="0" w:color="auto"/>
            </w:tcBorders>
            <w:shd w:val="clear" w:color="auto" w:fill="auto"/>
            <w:hideMark/>
          </w:tcPr>
          <w:p w14:paraId="0F410E25" w14:textId="77777777" w:rsidR="005B04AE" w:rsidRPr="007D0AA8" w:rsidRDefault="005B04AE" w:rsidP="008742A1">
            <w:pPr>
              <w:pStyle w:val="Tabletext1"/>
            </w:pPr>
            <w:r w:rsidRPr="007D0AA8">
              <w:t>No</w:t>
            </w:r>
          </w:p>
        </w:tc>
      </w:tr>
      <w:tr w:rsidR="005B04AE" w:rsidRPr="007D0AA8" w14:paraId="7949DDB9" w14:textId="77777777" w:rsidTr="00C905D0">
        <w:tc>
          <w:tcPr>
            <w:tcW w:w="1477" w:type="pct"/>
            <w:tcBorders>
              <w:top w:val="single" w:sz="4" w:space="0" w:color="auto"/>
              <w:left w:val="single" w:sz="4" w:space="0" w:color="auto"/>
              <w:bottom w:val="single" w:sz="4" w:space="0" w:color="auto"/>
              <w:right w:val="single" w:sz="4" w:space="0" w:color="auto"/>
            </w:tcBorders>
            <w:shd w:val="clear" w:color="auto" w:fill="auto"/>
            <w:hideMark/>
          </w:tcPr>
          <w:p w14:paraId="19E467BE" w14:textId="77777777" w:rsidR="005B04AE" w:rsidRPr="007D0AA8" w:rsidRDefault="005B04AE" w:rsidP="008742A1">
            <w:pPr>
              <w:pStyle w:val="Tabletext1"/>
            </w:pPr>
            <w:r w:rsidRPr="007D0AA8">
              <w:t>Gammanorm</w:t>
            </w:r>
          </w:p>
        </w:tc>
        <w:tc>
          <w:tcPr>
            <w:tcW w:w="1209" w:type="pct"/>
            <w:tcBorders>
              <w:top w:val="single" w:sz="4" w:space="0" w:color="auto"/>
              <w:left w:val="single" w:sz="4" w:space="0" w:color="auto"/>
              <w:bottom w:val="single" w:sz="4" w:space="0" w:color="auto"/>
              <w:right w:val="single" w:sz="4" w:space="0" w:color="auto"/>
            </w:tcBorders>
            <w:shd w:val="clear" w:color="auto" w:fill="auto"/>
            <w:hideMark/>
          </w:tcPr>
          <w:p w14:paraId="6A6CADE7" w14:textId="77777777" w:rsidR="005B04AE" w:rsidRPr="007D0AA8" w:rsidRDefault="005B04AE" w:rsidP="008742A1">
            <w:pPr>
              <w:pStyle w:val="Tabletext1"/>
            </w:pPr>
            <w:r w:rsidRPr="007D0AA8">
              <w:t xml:space="preserve">Octapharma </w:t>
            </w:r>
          </w:p>
        </w:tc>
        <w:tc>
          <w:tcPr>
            <w:tcW w:w="1494" w:type="pct"/>
            <w:tcBorders>
              <w:top w:val="single" w:sz="4" w:space="0" w:color="auto"/>
              <w:left w:val="single" w:sz="4" w:space="0" w:color="auto"/>
              <w:bottom w:val="single" w:sz="4" w:space="0" w:color="auto"/>
              <w:right w:val="single" w:sz="4" w:space="0" w:color="auto"/>
            </w:tcBorders>
            <w:shd w:val="clear" w:color="auto" w:fill="auto"/>
            <w:hideMark/>
          </w:tcPr>
          <w:p w14:paraId="66585480" w14:textId="77777777" w:rsidR="005B04AE" w:rsidRPr="007D0AA8" w:rsidRDefault="005B04AE" w:rsidP="008742A1">
            <w:pPr>
              <w:pStyle w:val="Tabletext1"/>
            </w:pPr>
            <w:r w:rsidRPr="007D0AA8">
              <w:t>SC (and IM)</w:t>
            </w:r>
          </w:p>
        </w:tc>
        <w:tc>
          <w:tcPr>
            <w:tcW w:w="820" w:type="pct"/>
            <w:tcBorders>
              <w:top w:val="single" w:sz="4" w:space="0" w:color="auto"/>
              <w:left w:val="single" w:sz="4" w:space="0" w:color="auto"/>
              <w:bottom w:val="single" w:sz="4" w:space="0" w:color="auto"/>
              <w:right w:val="single" w:sz="4" w:space="0" w:color="auto"/>
            </w:tcBorders>
            <w:shd w:val="clear" w:color="auto" w:fill="auto"/>
            <w:hideMark/>
          </w:tcPr>
          <w:p w14:paraId="65AEADAE" w14:textId="77777777" w:rsidR="005B04AE" w:rsidRPr="007D0AA8" w:rsidRDefault="005B04AE" w:rsidP="008742A1">
            <w:pPr>
              <w:pStyle w:val="Tabletext1"/>
            </w:pPr>
            <w:r w:rsidRPr="007D0AA8">
              <w:t>No</w:t>
            </w:r>
          </w:p>
        </w:tc>
      </w:tr>
      <w:tr w:rsidR="005B04AE" w:rsidRPr="007D0AA8" w14:paraId="22C311E2" w14:textId="77777777" w:rsidTr="00C905D0">
        <w:tc>
          <w:tcPr>
            <w:tcW w:w="1477" w:type="pct"/>
            <w:tcBorders>
              <w:top w:val="single" w:sz="4" w:space="0" w:color="auto"/>
              <w:left w:val="single" w:sz="4" w:space="0" w:color="auto"/>
              <w:bottom w:val="single" w:sz="4" w:space="0" w:color="auto"/>
              <w:right w:val="single" w:sz="4" w:space="0" w:color="auto"/>
            </w:tcBorders>
            <w:shd w:val="clear" w:color="auto" w:fill="auto"/>
            <w:hideMark/>
          </w:tcPr>
          <w:p w14:paraId="21CC0988" w14:textId="77777777" w:rsidR="005B04AE" w:rsidRPr="007D0AA8" w:rsidRDefault="005B04AE" w:rsidP="008742A1">
            <w:pPr>
              <w:pStyle w:val="Tabletext1"/>
            </w:pPr>
            <w:r w:rsidRPr="007D0AA8">
              <w:t>Cuvitru</w:t>
            </w:r>
          </w:p>
        </w:tc>
        <w:tc>
          <w:tcPr>
            <w:tcW w:w="1209" w:type="pct"/>
            <w:tcBorders>
              <w:top w:val="single" w:sz="4" w:space="0" w:color="auto"/>
              <w:left w:val="single" w:sz="4" w:space="0" w:color="auto"/>
              <w:bottom w:val="single" w:sz="4" w:space="0" w:color="auto"/>
              <w:right w:val="single" w:sz="4" w:space="0" w:color="auto"/>
            </w:tcBorders>
            <w:shd w:val="clear" w:color="auto" w:fill="auto"/>
            <w:hideMark/>
          </w:tcPr>
          <w:p w14:paraId="2B965BAF" w14:textId="77777777" w:rsidR="005B04AE" w:rsidRPr="007D0AA8" w:rsidRDefault="005B04AE" w:rsidP="008742A1">
            <w:pPr>
              <w:pStyle w:val="Tabletext1"/>
            </w:pPr>
            <w:r w:rsidRPr="007D0AA8">
              <w:t>Shire</w:t>
            </w:r>
          </w:p>
        </w:tc>
        <w:tc>
          <w:tcPr>
            <w:tcW w:w="1494" w:type="pct"/>
            <w:tcBorders>
              <w:top w:val="single" w:sz="4" w:space="0" w:color="auto"/>
              <w:left w:val="single" w:sz="4" w:space="0" w:color="auto"/>
              <w:bottom w:val="single" w:sz="4" w:space="0" w:color="auto"/>
              <w:right w:val="single" w:sz="4" w:space="0" w:color="auto"/>
            </w:tcBorders>
            <w:shd w:val="clear" w:color="auto" w:fill="auto"/>
            <w:hideMark/>
          </w:tcPr>
          <w:p w14:paraId="424801AB" w14:textId="77777777" w:rsidR="005B04AE" w:rsidRPr="007D0AA8" w:rsidRDefault="005B04AE" w:rsidP="008742A1">
            <w:pPr>
              <w:pStyle w:val="Tabletext1"/>
            </w:pPr>
            <w:r w:rsidRPr="007D0AA8">
              <w:t>SC</w:t>
            </w:r>
          </w:p>
        </w:tc>
        <w:tc>
          <w:tcPr>
            <w:tcW w:w="820" w:type="pct"/>
            <w:tcBorders>
              <w:top w:val="single" w:sz="4" w:space="0" w:color="auto"/>
              <w:left w:val="single" w:sz="4" w:space="0" w:color="auto"/>
              <w:bottom w:val="single" w:sz="4" w:space="0" w:color="auto"/>
              <w:right w:val="single" w:sz="4" w:space="0" w:color="auto"/>
            </w:tcBorders>
            <w:shd w:val="clear" w:color="auto" w:fill="auto"/>
            <w:hideMark/>
          </w:tcPr>
          <w:p w14:paraId="5F74E6B2" w14:textId="77777777" w:rsidR="005B04AE" w:rsidRPr="007D0AA8" w:rsidRDefault="005B04AE" w:rsidP="008742A1">
            <w:pPr>
              <w:pStyle w:val="Tabletext1"/>
            </w:pPr>
            <w:r w:rsidRPr="007D0AA8">
              <w:t>No</w:t>
            </w:r>
          </w:p>
        </w:tc>
      </w:tr>
      <w:tr w:rsidR="005B04AE" w:rsidRPr="007D0AA8" w14:paraId="19B786B5" w14:textId="77777777" w:rsidTr="00C905D0">
        <w:tc>
          <w:tcPr>
            <w:tcW w:w="1477" w:type="pct"/>
            <w:tcBorders>
              <w:top w:val="single" w:sz="4" w:space="0" w:color="auto"/>
              <w:left w:val="single" w:sz="4" w:space="0" w:color="auto"/>
              <w:bottom w:val="single" w:sz="4" w:space="0" w:color="auto"/>
              <w:right w:val="single" w:sz="4" w:space="0" w:color="auto"/>
            </w:tcBorders>
            <w:shd w:val="clear" w:color="auto" w:fill="auto"/>
            <w:hideMark/>
          </w:tcPr>
          <w:p w14:paraId="3091CF10" w14:textId="77777777" w:rsidR="005B04AE" w:rsidRPr="007D0AA8" w:rsidRDefault="005B04AE" w:rsidP="008742A1">
            <w:pPr>
              <w:pStyle w:val="Tabletext1"/>
              <w:rPr>
                <w:i/>
              </w:rPr>
            </w:pPr>
            <w:r w:rsidRPr="007D0AA8">
              <w:rPr>
                <w:i/>
              </w:rPr>
              <w:t>CSL Normal Immunoglobulin VF</w:t>
            </w:r>
          </w:p>
        </w:tc>
        <w:tc>
          <w:tcPr>
            <w:tcW w:w="1209" w:type="pct"/>
            <w:tcBorders>
              <w:top w:val="single" w:sz="4" w:space="0" w:color="auto"/>
              <w:left w:val="single" w:sz="4" w:space="0" w:color="auto"/>
              <w:bottom w:val="single" w:sz="4" w:space="0" w:color="auto"/>
              <w:right w:val="single" w:sz="4" w:space="0" w:color="auto"/>
            </w:tcBorders>
            <w:shd w:val="clear" w:color="auto" w:fill="auto"/>
            <w:hideMark/>
          </w:tcPr>
          <w:p w14:paraId="64C168FC" w14:textId="77777777" w:rsidR="005B04AE" w:rsidRPr="007D0AA8" w:rsidRDefault="005B04AE" w:rsidP="008742A1">
            <w:pPr>
              <w:pStyle w:val="Tabletext1"/>
              <w:rPr>
                <w:i/>
              </w:rPr>
            </w:pPr>
            <w:r w:rsidRPr="007D0AA8">
              <w:rPr>
                <w:i/>
              </w:rPr>
              <w:t>CSL Behring</w:t>
            </w:r>
          </w:p>
        </w:tc>
        <w:tc>
          <w:tcPr>
            <w:tcW w:w="1494" w:type="pct"/>
            <w:tcBorders>
              <w:top w:val="single" w:sz="4" w:space="0" w:color="auto"/>
              <w:left w:val="single" w:sz="4" w:space="0" w:color="auto"/>
              <w:bottom w:val="single" w:sz="4" w:space="0" w:color="auto"/>
              <w:right w:val="single" w:sz="4" w:space="0" w:color="auto"/>
            </w:tcBorders>
            <w:shd w:val="clear" w:color="auto" w:fill="auto"/>
            <w:hideMark/>
          </w:tcPr>
          <w:p w14:paraId="6AE57305" w14:textId="77777777" w:rsidR="005B04AE" w:rsidRPr="007D0AA8" w:rsidRDefault="005B04AE" w:rsidP="008742A1">
            <w:pPr>
              <w:pStyle w:val="Tabletext1"/>
              <w:rPr>
                <w:i/>
              </w:rPr>
            </w:pPr>
            <w:r w:rsidRPr="007D0AA8">
              <w:rPr>
                <w:i/>
              </w:rPr>
              <w:t>IM</w:t>
            </w:r>
          </w:p>
        </w:tc>
        <w:tc>
          <w:tcPr>
            <w:tcW w:w="820" w:type="pct"/>
            <w:tcBorders>
              <w:top w:val="single" w:sz="4" w:space="0" w:color="auto"/>
              <w:left w:val="single" w:sz="4" w:space="0" w:color="auto"/>
              <w:bottom w:val="single" w:sz="4" w:space="0" w:color="auto"/>
              <w:right w:val="single" w:sz="4" w:space="0" w:color="auto"/>
            </w:tcBorders>
            <w:shd w:val="clear" w:color="auto" w:fill="auto"/>
            <w:hideMark/>
          </w:tcPr>
          <w:p w14:paraId="7F7A8119" w14:textId="77777777" w:rsidR="005B04AE" w:rsidRPr="007D0AA8" w:rsidRDefault="005B04AE" w:rsidP="008742A1">
            <w:pPr>
              <w:pStyle w:val="Tabletext1"/>
              <w:rPr>
                <w:i/>
              </w:rPr>
            </w:pPr>
            <w:r w:rsidRPr="007D0AA8">
              <w:rPr>
                <w:i/>
              </w:rPr>
              <w:t>Out of scope</w:t>
            </w:r>
          </w:p>
        </w:tc>
      </w:tr>
    </w:tbl>
    <w:p w14:paraId="30B79383" w14:textId="77777777" w:rsidR="005B04AE" w:rsidRPr="00D67A6E" w:rsidRDefault="005B04AE" w:rsidP="008742A1">
      <w:pPr>
        <w:pStyle w:val="Tablenotes1"/>
        <w:rPr>
          <w:rFonts w:eastAsia="Calibri"/>
          <w:sz w:val="20"/>
          <w:vertAlign w:val="superscript"/>
        </w:rPr>
      </w:pPr>
      <w:r w:rsidRPr="00D67A6E">
        <w:rPr>
          <w:sz w:val="20"/>
        </w:rPr>
        <w:t>* Indicates that Ig is currently</w:t>
      </w:r>
      <w:r w:rsidRPr="00D67A6E">
        <w:rPr>
          <w:i/>
          <w:sz w:val="20"/>
        </w:rPr>
        <w:t xml:space="preserve"> </w:t>
      </w:r>
      <w:r w:rsidRPr="00D67A6E">
        <w:rPr>
          <w:sz w:val="20"/>
        </w:rPr>
        <w:t xml:space="preserve">funded for the indication sought in this application. Tendering arrangements may change products funded in the future. </w:t>
      </w:r>
    </w:p>
    <w:p w14:paraId="0DA2E68E" w14:textId="77777777" w:rsidR="005B04AE" w:rsidRPr="00D67A6E" w:rsidRDefault="005B04AE" w:rsidP="008742A1">
      <w:pPr>
        <w:pStyle w:val="Tablenotes1"/>
        <w:rPr>
          <w:sz w:val="20"/>
        </w:rPr>
      </w:pPr>
      <w:r w:rsidRPr="00D67A6E">
        <w:rPr>
          <w:sz w:val="20"/>
        </w:rPr>
        <w:t>**With the introduction of Intragram 10, Intragam P manufacturing ceased in 2017. Inventories of Intragam P were expected to be exhausted by between mid-March and mid-April 2017 and it is expected to be discontinued by the time this evaluation is completed. The Ig Review Reference Group has indicated it should be out of scope for this application.</w:t>
      </w:r>
    </w:p>
    <w:p w14:paraId="3D738085" w14:textId="77777777" w:rsidR="005B04AE" w:rsidRPr="00D67A6E" w:rsidRDefault="005B04AE" w:rsidP="008742A1">
      <w:pPr>
        <w:pStyle w:val="Tablenotes1"/>
        <w:rPr>
          <w:sz w:val="20"/>
        </w:rPr>
      </w:pPr>
      <w:r w:rsidRPr="00D67A6E">
        <w:rPr>
          <w:sz w:val="20"/>
        </w:rPr>
        <w:t xml:space="preserve">IV – intravenous; SC – subcutaneous; IM – intramuscular </w:t>
      </w:r>
    </w:p>
    <w:p w14:paraId="5950D2E6" w14:textId="099EDACF" w:rsidR="005B04AE" w:rsidRPr="00D67A6E" w:rsidRDefault="005B04AE" w:rsidP="008742A1">
      <w:pPr>
        <w:pStyle w:val="Tablenotes1"/>
        <w:rPr>
          <w:sz w:val="20"/>
        </w:rPr>
      </w:pPr>
      <w:r w:rsidRPr="00D67A6E">
        <w:rPr>
          <w:sz w:val="20"/>
        </w:rPr>
        <w:t>Source: Therapeutic Goods Administration</w:t>
      </w:r>
      <w:r w:rsidR="00E03422" w:rsidRPr="00D67A6E">
        <w:rPr>
          <w:sz w:val="20"/>
        </w:rPr>
        <w:t xml:space="preserve"> (www.ebs.tga.gov.au)</w:t>
      </w:r>
      <w:r w:rsidRPr="00D67A6E">
        <w:rPr>
          <w:sz w:val="20"/>
        </w:rPr>
        <w:t>, accessed January 2019</w:t>
      </w:r>
    </w:p>
    <w:p w14:paraId="0CB7B1CD" w14:textId="0F2BCD6E" w:rsidR="005B04AE" w:rsidRPr="007D0AA8" w:rsidRDefault="005B04AE" w:rsidP="003C0114">
      <w:pPr>
        <w:rPr>
          <w:rFonts w:eastAsia="Calibri" w:cs="Times New Roman"/>
          <w:lang w:eastAsia="en-US"/>
        </w:rPr>
      </w:pPr>
      <w:r w:rsidRPr="007D0AA8">
        <w:rPr>
          <w:rFonts w:eastAsia="Calibri" w:cs="Times New Roman"/>
          <w:lang w:eastAsia="en-US"/>
        </w:rPr>
        <w:t xml:space="preserve">Not all these products are funded under the National Blood Supply Arrangements. Those that are </w:t>
      </w:r>
      <w:r w:rsidRPr="007D0AA8">
        <w:rPr>
          <w:rFonts w:eastAsia="Calibri"/>
        </w:rPr>
        <w:t xml:space="preserve">funded for this indication (for application 1565) are given in </w:t>
      </w:r>
      <w:r w:rsidRPr="007D0AA8">
        <w:rPr>
          <w:rFonts w:eastAsia="Calibri"/>
          <w:highlight w:val="yellow"/>
        </w:rPr>
        <w:fldChar w:fldCharType="begin"/>
      </w:r>
      <w:r w:rsidRPr="007D0AA8">
        <w:rPr>
          <w:rFonts w:eastAsia="Calibri"/>
        </w:rPr>
        <w:instrText xml:space="preserve"> REF _Ref183488 \h </w:instrText>
      </w:r>
      <w:r w:rsidR="002B1BF1" w:rsidRPr="007D0AA8">
        <w:rPr>
          <w:rFonts w:eastAsia="Calibri"/>
          <w:highlight w:val="yellow"/>
        </w:rPr>
        <w:instrText xml:space="preserve"> \* MERGEFORMAT </w:instrText>
      </w:r>
      <w:r w:rsidRPr="007D0AA8">
        <w:rPr>
          <w:rFonts w:eastAsia="Calibri"/>
          <w:highlight w:val="yellow"/>
        </w:rPr>
      </w:r>
      <w:r w:rsidRPr="007D0AA8">
        <w:rPr>
          <w:rFonts w:eastAsia="Calibri"/>
          <w:highlight w:val="yellow"/>
        </w:rPr>
        <w:fldChar w:fldCharType="separate"/>
      </w:r>
      <w:r w:rsidR="00A7463B" w:rsidRPr="00A7463B">
        <w:t>Table 11</w:t>
      </w:r>
      <w:r w:rsidRPr="007D0AA8">
        <w:rPr>
          <w:rFonts w:eastAsia="Calibri"/>
          <w:highlight w:val="yellow"/>
        </w:rPr>
        <w:fldChar w:fldCharType="end"/>
      </w:r>
      <w:r w:rsidR="00E03422" w:rsidRPr="007D0AA8">
        <w:rPr>
          <w:rFonts w:eastAsia="Calibri"/>
        </w:rPr>
        <w:t>, including prices per pack strength</w:t>
      </w:r>
      <w:r w:rsidR="0050324A" w:rsidRPr="007D0AA8">
        <w:rPr>
          <w:rFonts w:eastAsia="Calibri" w:cs="Times New Roman"/>
          <w:lang w:eastAsia="en-US"/>
        </w:rPr>
        <w:t xml:space="preserve"> (current as of </w:t>
      </w:r>
      <w:r w:rsidR="001B37A5">
        <w:rPr>
          <w:rFonts w:eastAsia="Calibri" w:cs="Times New Roman"/>
          <w:lang w:eastAsia="en-US"/>
        </w:rPr>
        <w:t>July</w:t>
      </w:r>
      <w:r w:rsidR="0050324A" w:rsidRPr="007D0AA8">
        <w:rPr>
          <w:rFonts w:eastAsia="Calibri" w:cs="Times New Roman"/>
          <w:lang w:eastAsia="en-US"/>
        </w:rPr>
        <w:t xml:space="preserve"> 2019)</w:t>
      </w:r>
      <w:r w:rsidRPr="007D0AA8">
        <w:rPr>
          <w:rFonts w:eastAsia="Calibri" w:cs="Times New Roman"/>
          <w:lang w:eastAsia="en-US"/>
        </w:rPr>
        <w:t>.</w:t>
      </w:r>
    </w:p>
    <w:p w14:paraId="7E2CBCB1" w14:textId="77777777" w:rsidR="005B04AE" w:rsidRPr="00386411" w:rsidRDefault="005B04AE" w:rsidP="008742A1">
      <w:pPr>
        <w:pStyle w:val="Caption"/>
        <w:keepNext/>
        <w:rPr>
          <w:lang w:val="en-GB" w:eastAsia="ja-JP"/>
        </w:rPr>
      </w:pPr>
      <w:bookmarkStart w:id="170" w:name="_Ref183488"/>
      <w:bookmarkStart w:id="171" w:name="_Toc1645309"/>
      <w:bookmarkStart w:id="172" w:name="_Toc14429554"/>
      <w:bookmarkStart w:id="173" w:name="_Toc16671609"/>
      <w:bookmarkEnd w:id="164"/>
      <w:r w:rsidRPr="00386411">
        <w:rPr>
          <w:lang w:val="en-GB" w:eastAsia="ja-JP"/>
        </w:rPr>
        <w:t xml:space="preserve">Table </w:t>
      </w:r>
      <w:r w:rsidRPr="00386411">
        <w:rPr>
          <w:lang w:val="en-GB" w:eastAsia="ja-JP"/>
        </w:rPr>
        <w:fldChar w:fldCharType="begin"/>
      </w:r>
      <w:r w:rsidRPr="00386411">
        <w:rPr>
          <w:lang w:val="en-GB" w:eastAsia="ja-JP"/>
        </w:rPr>
        <w:instrText xml:space="preserve"> SEQ Table \* ARABIC </w:instrText>
      </w:r>
      <w:r w:rsidRPr="00386411">
        <w:rPr>
          <w:lang w:val="en-GB" w:eastAsia="ja-JP"/>
        </w:rPr>
        <w:fldChar w:fldCharType="separate"/>
      </w:r>
      <w:r w:rsidR="00A7463B">
        <w:rPr>
          <w:noProof/>
          <w:lang w:val="en-GB" w:eastAsia="ja-JP"/>
        </w:rPr>
        <w:t>11</w:t>
      </w:r>
      <w:r w:rsidRPr="00386411">
        <w:rPr>
          <w:noProof/>
          <w:lang w:val="en-GB" w:eastAsia="ja-JP"/>
        </w:rPr>
        <w:fldChar w:fldCharType="end"/>
      </w:r>
      <w:bookmarkEnd w:id="170"/>
      <w:r w:rsidRPr="00386411">
        <w:rPr>
          <w:lang w:val="en-GB" w:eastAsia="ja-JP"/>
        </w:rPr>
        <w:tab/>
        <w:t>Ig products funded for this indication</w:t>
      </w:r>
      <w:bookmarkEnd w:id="171"/>
      <w:bookmarkEnd w:id="172"/>
      <w:bookmarkEnd w:id="17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25"/>
        <w:gridCol w:w="1681"/>
        <w:gridCol w:w="2045"/>
        <w:gridCol w:w="2043"/>
      </w:tblGrid>
      <w:tr w:rsidR="005B04AE" w:rsidRPr="00386411" w14:paraId="18C30FB4" w14:textId="77777777" w:rsidTr="00C905D0">
        <w:trPr>
          <w:tblHeader/>
        </w:trPr>
        <w:tc>
          <w:tcPr>
            <w:tcW w:w="1055" w:type="pct"/>
            <w:tcBorders>
              <w:top w:val="single" w:sz="4" w:space="0" w:color="auto"/>
              <w:left w:val="single" w:sz="4" w:space="0" w:color="auto"/>
              <w:bottom w:val="single" w:sz="4" w:space="0" w:color="auto"/>
              <w:right w:val="single" w:sz="4" w:space="0" w:color="auto"/>
            </w:tcBorders>
            <w:shd w:val="clear" w:color="auto" w:fill="auto"/>
            <w:hideMark/>
          </w:tcPr>
          <w:p w14:paraId="154FCD7C" w14:textId="77777777" w:rsidR="005B04AE" w:rsidRPr="00386411" w:rsidRDefault="005B04AE" w:rsidP="008742A1">
            <w:pPr>
              <w:pStyle w:val="TableHeading"/>
            </w:pPr>
            <w:r w:rsidRPr="00386411">
              <w:t>Product</w:t>
            </w:r>
          </w:p>
        </w:tc>
        <w:tc>
          <w:tcPr>
            <w:tcW w:w="825" w:type="pct"/>
            <w:tcBorders>
              <w:top w:val="single" w:sz="4" w:space="0" w:color="auto"/>
              <w:left w:val="single" w:sz="4" w:space="0" w:color="auto"/>
              <w:bottom w:val="single" w:sz="4" w:space="0" w:color="auto"/>
              <w:right w:val="single" w:sz="4" w:space="0" w:color="auto"/>
            </w:tcBorders>
            <w:shd w:val="clear" w:color="auto" w:fill="auto"/>
            <w:hideMark/>
          </w:tcPr>
          <w:p w14:paraId="318AD933" w14:textId="77777777" w:rsidR="005B04AE" w:rsidRPr="00386411" w:rsidRDefault="005B04AE" w:rsidP="008742A1">
            <w:pPr>
              <w:pStyle w:val="TableHeading"/>
            </w:pPr>
            <w:r w:rsidRPr="00386411">
              <w:t>Sponsor</w:t>
            </w:r>
          </w:p>
        </w:tc>
        <w:tc>
          <w:tcPr>
            <w:tcW w:w="909" w:type="pct"/>
            <w:tcBorders>
              <w:top w:val="single" w:sz="4" w:space="0" w:color="auto"/>
              <w:left w:val="single" w:sz="4" w:space="0" w:color="auto"/>
              <w:bottom w:val="single" w:sz="4" w:space="0" w:color="auto"/>
              <w:right w:val="single" w:sz="4" w:space="0" w:color="auto"/>
            </w:tcBorders>
            <w:shd w:val="clear" w:color="auto" w:fill="auto"/>
            <w:hideMark/>
          </w:tcPr>
          <w:p w14:paraId="36BB5A7C" w14:textId="77777777" w:rsidR="005B04AE" w:rsidRPr="00386411" w:rsidRDefault="005B04AE" w:rsidP="008742A1">
            <w:pPr>
              <w:pStyle w:val="TableHeading"/>
            </w:pPr>
            <w:r w:rsidRPr="00386411">
              <w:t>Route of Admin.</w:t>
            </w:r>
          </w:p>
        </w:tc>
        <w:tc>
          <w:tcPr>
            <w:tcW w:w="1106" w:type="pct"/>
            <w:tcBorders>
              <w:top w:val="single" w:sz="4" w:space="0" w:color="auto"/>
              <w:left w:val="single" w:sz="4" w:space="0" w:color="auto"/>
              <w:bottom w:val="single" w:sz="4" w:space="0" w:color="auto"/>
              <w:right w:val="single" w:sz="4" w:space="0" w:color="auto"/>
            </w:tcBorders>
            <w:shd w:val="clear" w:color="auto" w:fill="auto"/>
            <w:hideMark/>
          </w:tcPr>
          <w:p w14:paraId="4C8B2289" w14:textId="77777777" w:rsidR="005B04AE" w:rsidRPr="00386411" w:rsidRDefault="005B04AE" w:rsidP="008742A1">
            <w:pPr>
              <w:pStyle w:val="TableHeading"/>
            </w:pPr>
            <w:r w:rsidRPr="00386411">
              <w:t>Strength</w:t>
            </w:r>
          </w:p>
        </w:tc>
        <w:tc>
          <w:tcPr>
            <w:tcW w:w="1105" w:type="pct"/>
            <w:tcBorders>
              <w:top w:val="single" w:sz="4" w:space="0" w:color="auto"/>
              <w:left w:val="single" w:sz="4" w:space="0" w:color="auto"/>
              <w:bottom w:val="single" w:sz="4" w:space="0" w:color="auto"/>
              <w:right w:val="single" w:sz="4" w:space="0" w:color="auto"/>
            </w:tcBorders>
            <w:shd w:val="clear" w:color="auto" w:fill="auto"/>
            <w:hideMark/>
          </w:tcPr>
          <w:p w14:paraId="10B8B34B" w14:textId="77777777" w:rsidR="005B04AE" w:rsidRPr="00386411" w:rsidRDefault="005B04AE" w:rsidP="008742A1">
            <w:pPr>
              <w:pStyle w:val="TableHeading"/>
            </w:pPr>
            <w:r w:rsidRPr="00386411">
              <w:t>NBA price</w:t>
            </w:r>
          </w:p>
        </w:tc>
      </w:tr>
      <w:tr w:rsidR="005B04AE" w:rsidRPr="007D0AA8" w14:paraId="6AC6C2D4" w14:textId="77777777" w:rsidTr="001B37A5">
        <w:tc>
          <w:tcPr>
            <w:tcW w:w="1055" w:type="pct"/>
            <w:tcBorders>
              <w:top w:val="single" w:sz="4" w:space="0" w:color="auto"/>
              <w:left w:val="single" w:sz="4" w:space="0" w:color="auto"/>
              <w:bottom w:val="single" w:sz="4" w:space="0" w:color="auto"/>
              <w:right w:val="single" w:sz="4" w:space="0" w:color="auto"/>
            </w:tcBorders>
            <w:shd w:val="clear" w:color="auto" w:fill="auto"/>
            <w:hideMark/>
          </w:tcPr>
          <w:p w14:paraId="0E3E1C7F" w14:textId="77777777" w:rsidR="005B04AE" w:rsidRPr="007D0AA8" w:rsidRDefault="005B04AE" w:rsidP="008742A1">
            <w:pPr>
              <w:pStyle w:val="Tabletext1"/>
            </w:pPr>
            <w:r w:rsidRPr="007D0AA8">
              <w:t>Intragam 10</w:t>
            </w:r>
          </w:p>
        </w:tc>
        <w:tc>
          <w:tcPr>
            <w:tcW w:w="825" w:type="pct"/>
            <w:tcBorders>
              <w:top w:val="single" w:sz="4" w:space="0" w:color="auto"/>
              <w:left w:val="single" w:sz="4" w:space="0" w:color="auto"/>
              <w:bottom w:val="single" w:sz="4" w:space="0" w:color="auto"/>
              <w:right w:val="single" w:sz="4" w:space="0" w:color="auto"/>
            </w:tcBorders>
            <w:shd w:val="clear" w:color="auto" w:fill="auto"/>
            <w:hideMark/>
          </w:tcPr>
          <w:p w14:paraId="7FD7FF23" w14:textId="77777777" w:rsidR="005B04AE" w:rsidRPr="007D0AA8" w:rsidRDefault="005B04AE" w:rsidP="008742A1">
            <w:pPr>
              <w:pStyle w:val="Tabletext1"/>
            </w:pPr>
            <w:r w:rsidRPr="007D0AA8">
              <w:t>CSL Behring</w:t>
            </w:r>
          </w:p>
        </w:tc>
        <w:tc>
          <w:tcPr>
            <w:tcW w:w="909" w:type="pct"/>
            <w:tcBorders>
              <w:top w:val="single" w:sz="4" w:space="0" w:color="auto"/>
              <w:left w:val="single" w:sz="4" w:space="0" w:color="auto"/>
              <w:bottom w:val="single" w:sz="4" w:space="0" w:color="auto"/>
              <w:right w:val="single" w:sz="4" w:space="0" w:color="auto"/>
            </w:tcBorders>
            <w:shd w:val="clear" w:color="auto" w:fill="auto"/>
            <w:hideMark/>
          </w:tcPr>
          <w:p w14:paraId="1C63DB1A" w14:textId="77777777" w:rsidR="005B04AE" w:rsidRPr="007D0AA8" w:rsidRDefault="005B04AE" w:rsidP="008742A1">
            <w:pPr>
              <w:pStyle w:val="Tabletext1"/>
            </w:pPr>
            <w:r w:rsidRPr="007D0AA8">
              <w:t>IV</w:t>
            </w:r>
          </w:p>
        </w:tc>
        <w:tc>
          <w:tcPr>
            <w:tcW w:w="1106" w:type="pct"/>
            <w:tcBorders>
              <w:top w:val="single" w:sz="4" w:space="0" w:color="auto"/>
              <w:left w:val="single" w:sz="4" w:space="0" w:color="auto"/>
              <w:bottom w:val="single" w:sz="4" w:space="0" w:color="auto"/>
              <w:right w:val="single" w:sz="4" w:space="0" w:color="auto"/>
            </w:tcBorders>
            <w:shd w:val="clear" w:color="auto" w:fill="auto"/>
            <w:hideMark/>
          </w:tcPr>
          <w:p w14:paraId="3DD931D0" w14:textId="77777777" w:rsidR="005B04AE" w:rsidRPr="007D0AA8" w:rsidRDefault="005B04AE" w:rsidP="008742A1">
            <w:pPr>
              <w:pStyle w:val="Tabletext1"/>
            </w:pPr>
            <w:r w:rsidRPr="007D0AA8">
              <w:t>2.5g/25mL</w:t>
            </w:r>
          </w:p>
          <w:p w14:paraId="5058C956" w14:textId="77777777" w:rsidR="005B04AE" w:rsidRPr="007D0AA8" w:rsidRDefault="005B04AE" w:rsidP="008742A1">
            <w:pPr>
              <w:pStyle w:val="Tabletext1"/>
            </w:pPr>
            <w:r w:rsidRPr="007D0AA8">
              <w:t>10g/100mL</w:t>
            </w:r>
          </w:p>
          <w:p w14:paraId="7930BABC" w14:textId="77777777" w:rsidR="005B04AE" w:rsidRPr="007D0AA8" w:rsidRDefault="005B04AE" w:rsidP="008742A1">
            <w:pPr>
              <w:pStyle w:val="Tabletext1"/>
              <w:rPr>
                <w:highlight w:val="yellow"/>
              </w:rPr>
            </w:pPr>
            <w:r w:rsidRPr="007D0AA8">
              <w:t>20g/200mL</w:t>
            </w:r>
          </w:p>
        </w:tc>
        <w:tc>
          <w:tcPr>
            <w:tcW w:w="1105" w:type="pct"/>
            <w:tcBorders>
              <w:top w:val="single" w:sz="4" w:space="0" w:color="auto"/>
              <w:left w:val="single" w:sz="4" w:space="0" w:color="auto"/>
              <w:bottom w:val="single" w:sz="4" w:space="0" w:color="auto"/>
              <w:right w:val="single" w:sz="4" w:space="0" w:color="auto"/>
            </w:tcBorders>
            <w:shd w:val="clear" w:color="auto" w:fill="auto"/>
            <w:hideMark/>
          </w:tcPr>
          <w:p w14:paraId="23B11B55" w14:textId="26AFC044" w:rsidR="001B37A5" w:rsidRPr="001B37A5" w:rsidRDefault="001B37A5" w:rsidP="008742A1">
            <w:pPr>
              <w:pStyle w:val="Tabletext1"/>
            </w:pPr>
            <w:r>
              <w:t>$145.57</w:t>
            </w:r>
          </w:p>
          <w:p w14:paraId="2AF75E0D" w14:textId="02166D3A" w:rsidR="001B37A5" w:rsidRPr="001B37A5" w:rsidRDefault="001B37A5" w:rsidP="008742A1">
            <w:pPr>
              <w:pStyle w:val="Tabletext1"/>
            </w:pPr>
            <w:r>
              <w:t>$582.30</w:t>
            </w:r>
          </w:p>
          <w:p w14:paraId="7BD9BA23" w14:textId="26493937" w:rsidR="005B04AE" w:rsidRPr="007D0AA8" w:rsidRDefault="001B37A5" w:rsidP="008742A1">
            <w:pPr>
              <w:pStyle w:val="Tabletext1"/>
              <w:rPr>
                <w:highlight w:val="yellow"/>
              </w:rPr>
            </w:pPr>
            <w:r>
              <w:t>$1,164.59</w:t>
            </w:r>
          </w:p>
        </w:tc>
      </w:tr>
      <w:tr w:rsidR="005B04AE" w:rsidRPr="007D0AA8" w14:paraId="6F83D4BF" w14:textId="77777777" w:rsidTr="001B37A5">
        <w:tc>
          <w:tcPr>
            <w:tcW w:w="1055" w:type="pct"/>
            <w:tcBorders>
              <w:top w:val="single" w:sz="4" w:space="0" w:color="auto"/>
              <w:left w:val="single" w:sz="4" w:space="0" w:color="auto"/>
              <w:bottom w:val="single" w:sz="4" w:space="0" w:color="auto"/>
              <w:right w:val="single" w:sz="4" w:space="0" w:color="auto"/>
            </w:tcBorders>
            <w:shd w:val="clear" w:color="auto" w:fill="auto"/>
            <w:hideMark/>
          </w:tcPr>
          <w:p w14:paraId="662D316E" w14:textId="336EA40A" w:rsidR="005B04AE" w:rsidRPr="007D0AA8" w:rsidRDefault="001B37A5" w:rsidP="008742A1">
            <w:pPr>
              <w:pStyle w:val="Tabletext1"/>
            </w:pPr>
            <w:r>
              <w:t>Privigen 10%</w:t>
            </w:r>
          </w:p>
        </w:tc>
        <w:tc>
          <w:tcPr>
            <w:tcW w:w="825" w:type="pct"/>
            <w:tcBorders>
              <w:top w:val="single" w:sz="4" w:space="0" w:color="auto"/>
              <w:left w:val="single" w:sz="4" w:space="0" w:color="auto"/>
              <w:bottom w:val="single" w:sz="4" w:space="0" w:color="auto"/>
              <w:right w:val="single" w:sz="4" w:space="0" w:color="auto"/>
            </w:tcBorders>
            <w:shd w:val="clear" w:color="auto" w:fill="auto"/>
            <w:hideMark/>
          </w:tcPr>
          <w:p w14:paraId="6ECE30E2" w14:textId="77777777" w:rsidR="005B04AE" w:rsidRPr="007D0AA8" w:rsidRDefault="005B04AE" w:rsidP="008742A1">
            <w:pPr>
              <w:pStyle w:val="Tabletext1"/>
            </w:pPr>
            <w:r w:rsidRPr="007D0AA8">
              <w:t>CSL Behring</w:t>
            </w:r>
          </w:p>
        </w:tc>
        <w:tc>
          <w:tcPr>
            <w:tcW w:w="909" w:type="pct"/>
            <w:tcBorders>
              <w:top w:val="single" w:sz="4" w:space="0" w:color="auto"/>
              <w:left w:val="single" w:sz="4" w:space="0" w:color="auto"/>
              <w:bottom w:val="single" w:sz="4" w:space="0" w:color="auto"/>
              <w:right w:val="single" w:sz="4" w:space="0" w:color="auto"/>
            </w:tcBorders>
            <w:shd w:val="clear" w:color="auto" w:fill="auto"/>
            <w:hideMark/>
          </w:tcPr>
          <w:p w14:paraId="77364BD4" w14:textId="77777777" w:rsidR="005B04AE" w:rsidRPr="007D0AA8" w:rsidRDefault="005B04AE" w:rsidP="008742A1">
            <w:pPr>
              <w:pStyle w:val="Tabletext1"/>
            </w:pPr>
            <w:r w:rsidRPr="007D0AA8">
              <w:t>IV</w:t>
            </w:r>
          </w:p>
        </w:tc>
        <w:tc>
          <w:tcPr>
            <w:tcW w:w="1106" w:type="pct"/>
            <w:tcBorders>
              <w:top w:val="single" w:sz="4" w:space="0" w:color="auto"/>
              <w:left w:val="single" w:sz="4" w:space="0" w:color="auto"/>
              <w:bottom w:val="single" w:sz="4" w:space="0" w:color="auto"/>
              <w:right w:val="single" w:sz="4" w:space="0" w:color="auto"/>
            </w:tcBorders>
            <w:shd w:val="clear" w:color="auto" w:fill="auto"/>
            <w:hideMark/>
          </w:tcPr>
          <w:p w14:paraId="7907FC6C" w14:textId="77777777" w:rsidR="005B04AE" w:rsidRPr="007D0AA8" w:rsidRDefault="005B04AE" w:rsidP="008742A1">
            <w:pPr>
              <w:pStyle w:val="Tabletext1"/>
            </w:pPr>
            <w:r w:rsidRPr="007D0AA8">
              <w:t>5g/50mL</w:t>
            </w:r>
          </w:p>
          <w:p w14:paraId="426BB78A" w14:textId="77777777" w:rsidR="005B04AE" w:rsidRPr="007D0AA8" w:rsidRDefault="005B04AE" w:rsidP="008742A1">
            <w:pPr>
              <w:pStyle w:val="Tabletext1"/>
            </w:pPr>
            <w:r w:rsidRPr="007D0AA8">
              <w:t>10g/100mL</w:t>
            </w:r>
          </w:p>
          <w:p w14:paraId="396D1029" w14:textId="77777777" w:rsidR="005B04AE" w:rsidRPr="007D0AA8" w:rsidRDefault="005B04AE" w:rsidP="008742A1">
            <w:pPr>
              <w:pStyle w:val="Tabletext1"/>
            </w:pPr>
            <w:r w:rsidRPr="007D0AA8">
              <w:t>20g/200mL</w:t>
            </w:r>
          </w:p>
          <w:p w14:paraId="2811C55F" w14:textId="77777777" w:rsidR="005B04AE" w:rsidRPr="007D0AA8" w:rsidRDefault="005B04AE" w:rsidP="008742A1">
            <w:pPr>
              <w:pStyle w:val="Tabletext1"/>
              <w:rPr>
                <w:highlight w:val="yellow"/>
              </w:rPr>
            </w:pPr>
            <w:r w:rsidRPr="007D0AA8">
              <w:t>40g/400mL</w:t>
            </w:r>
          </w:p>
        </w:tc>
        <w:tc>
          <w:tcPr>
            <w:tcW w:w="1105" w:type="pct"/>
            <w:tcBorders>
              <w:top w:val="single" w:sz="4" w:space="0" w:color="auto"/>
              <w:left w:val="single" w:sz="4" w:space="0" w:color="auto"/>
              <w:bottom w:val="single" w:sz="4" w:space="0" w:color="auto"/>
              <w:right w:val="single" w:sz="4" w:space="0" w:color="auto"/>
            </w:tcBorders>
            <w:shd w:val="clear" w:color="auto" w:fill="auto"/>
            <w:hideMark/>
          </w:tcPr>
          <w:p w14:paraId="4CCD8422" w14:textId="77777777" w:rsidR="005B04AE" w:rsidRPr="007D0AA8" w:rsidRDefault="005B04AE" w:rsidP="008742A1">
            <w:pPr>
              <w:pStyle w:val="Tabletext1"/>
            </w:pPr>
            <w:r w:rsidRPr="007D0AA8">
              <w:t>$225.00</w:t>
            </w:r>
          </w:p>
          <w:p w14:paraId="0352F628" w14:textId="77777777" w:rsidR="005B04AE" w:rsidRPr="007D0AA8" w:rsidRDefault="005B04AE" w:rsidP="008742A1">
            <w:pPr>
              <w:pStyle w:val="Tabletext1"/>
            </w:pPr>
            <w:r w:rsidRPr="007D0AA8">
              <w:t>$450.00</w:t>
            </w:r>
          </w:p>
          <w:p w14:paraId="20B9FBEE" w14:textId="77777777" w:rsidR="005B04AE" w:rsidRPr="007D0AA8" w:rsidRDefault="005B04AE" w:rsidP="008742A1">
            <w:pPr>
              <w:pStyle w:val="Tabletext1"/>
            </w:pPr>
            <w:r w:rsidRPr="007D0AA8">
              <w:t>$900.00</w:t>
            </w:r>
          </w:p>
          <w:p w14:paraId="1A029110" w14:textId="77777777" w:rsidR="005B04AE" w:rsidRPr="007D0AA8" w:rsidRDefault="005B04AE" w:rsidP="008742A1">
            <w:pPr>
              <w:pStyle w:val="Tabletext1"/>
              <w:rPr>
                <w:highlight w:val="yellow"/>
              </w:rPr>
            </w:pPr>
            <w:r w:rsidRPr="007D0AA8">
              <w:t>$1,800.00</w:t>
            </w:r>
          </w:p>
        </w:tc>
      </w:tr>
      <w:tr w:rsidR="005B04AE" w:rsidRPr="007D0AA8" w14:paraId="6378AF51" w14:textId="77777777" w:rsidTr="001B37A5">
        <w:tc>
          <w:tcPr>
            <w:tcW w:w="1055" w:type="pct"/>
            <w:tcBorders>
              <w:top w:val="single" w:sz="4" w:space="0" w:color="auto"/>
              <w:left w:val="single" w:sz="4" w:space="0" w:color="auto"/>
              <w:bottom w:val="single" w:sz="4" w:space="0" w:color="auto"/>
              <w:right w:val="single" w:sz="4" w:space="0" w:color="auto"/>
            </w:tcBorders>
            <w:shd w:val="clear" w:color="auto" w:fill="auto"/>
            <w:hideMark/>
          </w:tcPr>
          <w:p w14:paraId="2F859D99" w14:textId="77777777" w:rsidR="005B04AE" w:rsidRPr="007D0AA8" w:rsidRDefault="005B04AE" w:rsidP="008742A1">
            <w:pPr>
              <w:pStyle w:val="Tabletext1"/>
            </w:pPr>
            <w:r w:rsidRPr="007D0AA8">
              <w:lastRenderedPageBreak/>
              <w:t>Hizentra</w:t>
            </w:r>
          </w:p>
        </w:tc>
        <w:tc>
          <w:tcPr>
            <w:tcW w:w="825" w:type="pct"/>
            <w:tcBorders>
              <w:top w:val="single" w:sz="4" w:space="0" w:color="auto"/>
              <w:left w:val="single" w:sz="4" w:space="0" w:color="auto"/>
              <w:bottom w:val="single" w:sz="4" w:space="0" w:color="auto"/>
              <w:right w:val="single" w:sz="4" w:space="0" w:color="auto"/>
            </w:tcBorders>
            <w:shd w:val="clear" w:color="auto" w:fill="auto"/>
            <w:hideMark/>
          </w:tcPr>
          <w:p w14:paraId="33FBB3F3" w14:textId="77777777" w:rsidR="005B04AE" w:rsidRPr="007D0AA8" w:rsidRDefault="005B04AE" w:rsidP="008742A1">
            <w:pPr>
              <w:pStyle w:val="Tabletext1"/>
            </w:pPr>
            <w:r w:rsidRPr="007D0AA8">
              <w:t xml:space="preserve">CSL Behring </w:t>
            </w:r>
          </w:p>
        </w:tc>
        <w:tc>
          <w:tcPr>
            <w:tcW w:w="909" w:type="pct"/>
            <w:tcBorders>
              <w:top w:val="single" w:sz="4" w:space="0" w:color="auto"/>
              <w:left w:val="single" w:sz="4" w:space="0" w:color="auto"/>
              <w:bottom w:val="single" w:sz="4" w:space="0" w:color="auto"/>
              <w:right w:val="single" w:sz="4" w:space="0" w:color="auto"/>
            </w:tcBorders>
            <w:shd w:val="clear" w:color="auto" w:fill="auto"/>
            <w:hideMark/>
          </w:tcPr>
          <w:p w14:paraId="5A33420C" w14:textId="77777777" w:rsidR="005B04AE" w:rsidRPr="007D0AA8" w:rsidRDefault="005B04AE" w:rsidP="008742A1">
            <w:pPr>
              <w:pStyle w:val="Tabletext1"/>
            </w:pPr>
            <w:r w:rsidRPr="007D0AA8">
              <w:t>SC</w:t>
            </w:r>
          </w:p>
        </w:tc>
        <w:tc>
          <w:tcPr>
            <w:tcW w:w="1106" w:type="pct"/>
            <w:tcBorders>
              <w:top w:val="single" w:sz="4" w:space="0" w:color="auto"/>
              <w:left w:val="single" w:sz="4" w:space="0" w:color="auto"/>
              <w:bottom w:val="single" w:sz="4" w:space="0" w:color="auto"/>
              <w:right w:val="single" w:sz="4" w:space="0" w:color="auto"/>
            </w:tcBorders>
            <w:shd w:val="clear" w:color="auto" w:fill="auto"/>
            <w:hideMark/>
          </w:tcPr>
          <w:p w14:paraId="7B79BF37" w14:textId="77777777" w:rsidR="005B04AE" w:rsidRPr="007D0AA8" w:rsidRDefault="005B04AE" w:rsidP="008742A1">
            <w:pPr>
              <w:pStyle w:val="Tabletext1"/>
            </w:pPr>
            <w:r w:rsidRPr="007D0AA8">
              <w:t>1g/5mL</w:t>
            </w:r>
          </w:p>
          <w:p w14:paraId="08A9A0A9" w14:textId="77777777" w:rsidR="005B04AE" w:rsidRPr="007D0AA8" w:rsidRDefault="005B04AE" w:rsidP="008742A1">
            <w:pPr>
              <w:pStyle w:val="Tabletext1"/>
            </w:pPr>
            <w:r w:rsidRPr="007D0AA8">
              <w:t>2g/10mL</w:t>
            </w:r>
          </w:p>
          <w:p w14:paraId="6E853AA6" w14:textId="77777777" w:rsidR="005B04AE" w:rsidRPr="007D0AA8" w:rsidRDefault="005B04AE" w:rsidP="008742A1">
            <w:pPr>
              <w:pStyle w:val="Tabletext1"/>
            </w:pPr>
            <w:r w:rsidRPr="007D0AA8">
              <w:t>4g/20mL</w:t>
            </w:r>
          </w:p>
          <w:p w14:paraId="0827E88C" w14:textId="77777777" w:rsidR="005B04AE" w:rsidRPr="007D0AA8" w:rsidRDefault="005B04AE" w:rsidP="008742A1">
            <w:pPr>
              <w:pStyle w:val="Tabletext1"/>
              <w:rPr>
                <w:highlight w:val="yellow"/>
              </w:rPr>
            </w:pPr>
            <w:r w:rsidRPr="007D0AA8">
              <w:t>10g/50mL</w:t>
            </w:r>
          </w:p>
        </w:tc>
        <w:tc>
          <w:tcPr>
            <w:tcW w:w="1105" w:type="pct"/>
            <w:tcBorders>
              <w:top w:val="single" w:sz="4" w:space="0" w:color="auto"/>
              <w:left w:val="single" w:sz="4" w:space="0" w:color="auto"/>
              <w:bottom w:val="single" w:sz="4" w:space="0" w:color="auto"/>
              <w:right w:val="single" w:sz="4" w:space="0" w:color="auto"/>
            </w:tcBorders>
            <w:shd w:val="clear" w:color="auto" w:fill="auto"/>
            <w:hideMark/>
          </w:tcPr>
          <w:p w14:paraId="1CE6B952" w14:textId="10AFF664" w:rsidR="001B37A5" w:rsidRPr="001B37A5" w:rsidRDefault="001B37A5" w:rsidP="008742A1">
            <w:pPr>
              <w:pStyle w:val="Tabletext1"/>
            </w:pPr>
            <w:r>
              <w:t>$59.15</w:t>
            </w:r>
          </w:p>
          <w:p w14:paraId="38B9FDC3" w14:textId="498C0257" w:rsidR="001B37A5" w:rsidRPr="001B37A5" w:rsidRDefault="001B37A5" w:rsidP="008742A1">
            <w:pPr>
              <w:pStyle w:val="Tabletext1"/>
            </w:pPr>
            <w:r>
              <w:t>$118.31</w:t>
            </w:r>
          </w:p>
          <w:p w14:paraId="540EBDD7" w14:textId="1B429D4C" w:rsidR="001B37A5" w:rsidRPr="001B37A5" w:rsidRDefault="001B37A5" w:rsidP="008742A1">
            <w:pPr>
              <w:pStyle w:val="Tabletext1"/>
            </w:pPr>
            <w:r>
              <w:t>$236.61</w:t>
            </w:r>
          </w:p>
          <w:p w14:paraId="31D214E7" w14:textId="5495C4E9" w:rsidR="005B04AE" w:rsidRPr="007D0AA8" w:rsidRDefault="001B37A5" w:rsidP="008742A1">
            <w:pPr>
              <w:pStyle w:val="Tabletext1"/>
              <w:rPr>
                <w:highlight w:val="yellow"/>
              </w:rPr>
            </w:pPr>
            <w:r w:rsidRPr="001B37A5">
              <w:t>$591.53</w:t>
            </w:r>
          </w:p>
        </w:tc>
      </w:tr>
      <w:tr w:rsidR="005B04AE" w:rsidRPr="007D0AA8" w14:paraId="79609426" w14:textId="77777777" w:rsidTr="001B37A5">
        <w:tc>
          <w:tcPr>
            <w:tcW w:w="1055" w:type="pct"/>
            <w:tcBorders>
              <w:top w:val="single" w:sz="4" w:space="0" w:color="auto"/>
              <w:left w:val="single" w:sz="4" w:space="0" w:color="auto"/>
              <w:bottom w:val="single" w:sz="4" w:space="0" w:color="auto"/>
              <w:right w:val="single" w:sz="4" w:space="0" w:color="auto"/>
            </w:tcBorders>
            <w:shd w:val="clear" w:color="auto" w:fill="auto"/>
            <w:hideMark/>
          </w:tcPr>
          <w:p w14:paraId="27EAA89E" w14:textId="77777777" w:rsidR="005B04AE" w:rsidRPr="007D0AA8" w:rsidRDefault="005B04AE" w:rsidP="008742A1">
            <w:pPr>
              <w:pStyle w:val="Tabletext1"/>
            </w:pPr>
            <w:r w:rsidRPr="007D0AA8">
              <w:t>Flebogamma 5%</w:t>
            </w:r>
          </w:p>
        </w:tc>
        <w:tc>
          <w:tcPr>
            <w:tcW w:w="825" w:type="pct"/>
            <w:tcBorders>
              <w:top w:val="single" w:sz="4" w:space="0" w:color="auto"/>
              <w:left w:val="single" w:sz="4" w:space="0" w:color="auto"/>
              <w:bottom w:val="single" w:sz="4" w:space="0" w:color="auto"/>
              <w:right w:val="single" w:sz="4" w:space="0" w:color="auto"/>
            </w:tcBorders>
            <w:shd w:val="clear" w:color="auto" w:fill="auto"/>
            <w:hideMark/>
          </w:tcPr>
          <w:p w14:paraId="70538857" w14:textId="77777777" w:rsidR="005B04AE" w:rsidRPr="007D0AA8" w:rsidRDefault="005B04AE" w:rsidP="008742A1">
            <w:pPr>
              <w:pStyle w:val="Tabletext1"/>
            </w:pPr>
            <w:r w:rsidRPr="007D0AA8">
              <w:t xml:space="preserve">Grifols </w:t>
            </w:r>
          </w:p>
        </w:tc>
        <w:tc>
          <w:tcPr>
            <w:tcW w:w="909" w:type="pct"/>
            <w:tcBorders>
              <w:top w:val="single" w:sz="4" w:space="0" w:color="auto"/>
              <w:left w:val="single" w:sz="4" w:space="0" w:color="auto"/>
              <w:bottom w:val="single" w:sz="4" w:space="0" w:color="auto"/>
              <w:right w:val="single" w:sz="4" w:space="0" w:color="auto"/>
            </w:tcBorders>
            <w:shd w:val="clear" w:color="auto" w:fill="auto"/>
            <w:hideMark/>
          </w:tcPr>
          <w:p w14:paraId="4FA274BB" w14:textId="77777777" w:rsidR="005B04AE" w:rsidRPr="007D0AA8" w:rsidRDefault="005B04AE" w:rsidP="008742A1">
            <w:pPr>
              <w:pStyle w:val="Tabletext1"/>
            </w:pPr>
            <w:r w:rsidRPr="007D0AA8">
              <w:t>IV</w:t>
            </w:r>
          </w:p>
        </w:tc>
        <w:tc>
          <w:tcPr>
            <w:tcW w:w="1106" w:type="pct"/>
            <w:tcBorders>
              <w:top w:val="single" w:sz="4" w:space="0" w:color="auto"/>
              <w:left w:val="single" w:sz="4" w:space="0" w:color="auto"/>
              <w:bottom w:val="single" w:sz="4" w:space="0" w:color="auto"/>
              <w:right w:val="single" w:sz="4" w:space="0" w:color="auto"/>
            </w:tcBorders>
            <w:shd w:val="clear" w:color="auto" w:fill="auto"/>
            <w:hideMark/>
          </w:tcPr>
          <w:p w14:paraId="2664FEFB" w14:textId="77777777" w:rsidR="005B04AE" w:rsidRPr="007D0AA8" w:rsidRDefault="005B04AE" w:rsidP="008742A1">
            <w:pPr>
              <w:pStyle w:val="Tabletext1"/>
            </w:pPr>
            <w:r w:rsidRPr="007D0AA8">
              <w:t>0.5g/10mL</w:t>
            </w:r>
          </w:p>
          <w:p w14:paraId="0B969CE2" w14:textId="77777777" w:rsidR="005B04AE" w:rsidRPr="007D0AA8" w:rsidRDefault="005B04AE" w:rsidP="008742A1">
            <w:pPr>
              <w:pStyle w:val="Tabletext1"/>
            </w:pPr>
            <w:r w:rsidRPr="007D0AA8">
              <w:t>2.5g/50mL</w:t>
            </w:r>
          </w:p>
          <w:p w14:paraId="2C0D3855" w14:textId="77777777" w:rsidR="005B04AE" w:rsidRPr="007D0AA8" w:rsidRDefault="005B04AE" w:rsidP="008742A1">
            <w:pPr>
              <w:pStyle w:val="Tabletext1"/>
            </w:pPr>
            <w:r w:rsidRPr="007D0AA8">
              <w:t>5g/100mL</w:t>
            </w:r>
          </w:p>
          <w:p w14:paraId="1236F17E" w14:textId="77777777" w:rsidR="005B04AE" w:rsidRPr="007D0AA8" w:rsidRDefault="005B04AE" w:rsidP="008742A1">
            <w:pPr>
              <w:pStyle w:val="Tabletext1"/>
            </w:pPr>
            <w:r w:rsidRPr="007D0AA8">
              <w:t>10g/200mL</w:t>
            </w:r>
          </w:p>
          <w:p w14:paraId="60DB35BB" w14:textId="77777777" w:rsidR="005B04AE" w:rsidRPr="007D0AA8" w:rsidRDefault="005B04AE" w:rsidP="008742A1">
            <w:pPr>
              <w:pStyle w:val="Tabletext1"/>
            </w:pPr>
            <w:r w:rsidRPr="007D0AA8">
              <w:t>20g/400mL</w:t>
            </w:r>
          </w:p>
        </w:tc>
        <w:tc>
          <w:tcPr>
            <w:tcW w:w="1105" w:type="pct"/>
            <w:tcBorders>
              <w:top w:val="single" w:sz="4" w:space="0" w:color="auto"/>
              <w:left w:val="single" w:sz="4" w:space="0" w:color="auto"/>
              <w:bottom w:val="single" w:sz="4" w:space="0" w:color="auto"/>
              <w:right w:val="single" w:sz="4" w:space="0" w:color="auto"/>
            </w:tcBorders>
            <w:shd w:val="clear" w:color="auto" w:fill="auto"/>
            <w:hideMark/>
          </w:tcPr>
          <w:p w14:paraId="73693DCD" w14:textId="77777777" w:rsidR="001B37A5" w:rsidRPr="001B37A5" w:rsidRDefault="001B37A5" w:rsidP="008742A1">
            <w:pPr>
              <w:pStyle w:val="Tabletext1"/>
            </w:pPr>
            <w:r w:rsidRPr="001B37A5">
              <w:t>$22.50</w:t>
            </w:r>
          </w:p>
          <w:p w14:paraId="10F3EB10" w14:textId="77777777" w:rsidR="001B37A5" w:rsidRPr="001B37A5" w:rsidRDefault="001B37A5" w:rsidP="008742A1">
            <w:pPr>
              <w:pStyle w:val="Tabletext1"/>
            </w:pPr>
            <w:r w:rsidRPr="001B37A5">
              <w:t>$112.50</w:t>
            </w:r>
          </w:p>
          <w:p w14:paraId="17C230B3" w14:textId="77777777" w:rsidR="001B37A5" w:rsidRPr="001B37A5" w:rsidRDefault="001B37A5" w:rsidP="008742A1">
            <w:pPr>
              <w:pStyle w:val="Tabletext1"/>
            </w:pPr>
            <w:r w:rsidRPr="001B37A5">
              <w:t>$225.00</w:t>
            </w:r>
          </w:p>
          <w:p w14:paraId="7C9F66D3" w14:textId="7F720B04" w:rsidR="001B37A5" w:rsidRPr="001B37A5" w:rsidRDefault="001B37A5" w:rsidP="008742A1">
            <w:pPr>
              <w:pStyle w:val="Tabletext1"/>
            </w:pPr>
            <w:r>
              <w:t>$450.00</w:t>
            </w:r>
          </w:p>
          <w:p w14:paraId="04BD9DEF" w14:textId="6597E77A" w:rsidR="005B04AE" w:rsidRPr="007D0AA8" w:rsidRDefault="001B37A5" w:rsidP="008742A1">
            <w:pPr>
              <w:pStyle w:val="Tabletext1"/>
            </w:pPr>
            <w:r>
              <w:t>$900.00</w:t>
            </w:r>
          </w:p>
        </w:tc>
      </w:tr>
      <w:tr w:rsidR="005B04AE" w:rsidRPr="007D0AA8" w14:paraId="08E95BDF" w14:textId="77777777" w:rsidTr="001B37A5">
        <w:tc>
          <w:tcPr>
            <w:tcW w:w="1055" w:type="pct"/>
            <w:tcBorders>
              <w:top w:val="single" w:sz="4" w:space="0" w:color="auto"/>
              <w:left w:val="single" w:sz="4" w:space="0" w:color="auto"/>
              <w:bottom w:val="single" w:sz="4" w:space="0" w:color="auto"/>
              <w:right w:val="single" w:sz="4" w:space="0" w:color="auto"/>
            </w:tcBorders>
            <w:shd w:val="clear" w:color="auto" w:fill="auto"/>
            <w:hideMark/>
          </w:tcPr>
          <w:p w14:paraId="092081D2" w14:textId="77777777" w:rsidR="005B04AE" w:rsidRPr="007D0AA8" w:rsidRDefault="005B04AE" w:rsidP="008742A1">
            <w:pPr>
              <w:pStyle w:val="Tabletext1"/>
            </w:pPr>
            <w:r w:rsidRPr="007D0AA8">
              <w:t>Flebogamma 10%</w:t>
            </w:r>
          </w:p>
        </w:tc>
        <w:tc>
          <w:tcPr>
            <w:tcW w:w="825" w:type="pct"/>
            <w:tcBorders>
              <w:top w:val="single" w:sz="4" w:space="0" w:color="auto"/>
              <w:left w:val="single" w:sz="4" w:space="0" w:color="auto"/>
              <w:bottom w:val="single" w:sz="4" w:space="0" w:color="auto"/>
              <w:right w:val="single" w:sz="4" w:space="0" w:color="auto"/>
            </w:tcBorders>
            <w:shd w:val="clear" w:color="auto" w:fill="auto"/>
            <w:hideMark/>
          </w:tcPr>
          <w:p w14:paraId="3F211427" w14:textId="77777777" w:rsidR="005B04AE" w:rsidRPr="007D0AA8" w:rsidRDefault="005B04AE" w:rsidP="008742A1">
            <w:pPr>
              <w:pStyle w:val="Tabletext1"/>
            </w:pPr>
            <w:r w:rsidRPr="007D0AA8">
              <w:t xml:space="preserve">Grifols </w:t>
            </w:r>
          </w:p>
        </w:tc>
        <w:tc>
          <w:tcPr>
            <w:tcW w:w="909" w:type="pct"/>
            <w:tcBorders>
              <w:top w:val="single" w:sz="4" w:space="0" w:color="auto"/>
              <w:left w:val="single" w:sz="4" w:space="0" w:color="auto"/>
              <w:bottom w:val="single" w:sz="4" w:space="0" w:color="auto"/>
              <w:right w:val="single" w:sz="4" w:space="0" w:color="auto"/>
            </w:tcBorders>
            <w:shd w:val="clear" w:color="auto" w:fill="auto"/>
            <w:hideMark/>
          </w:tcPr>
          <w:p w14:paraId="730F0537" w14:textId="77777777" w:rsidR="005B04AE" w:rsidRPr="007D0AA8" w:rsidRDefault="005B04AE" w:rsidP="008742A1">
            <w:pPr>
              <w:pStyle w:val="Tabletext1"/>
            </w:pPr>
            <w:r w:rsidRPr="007D0AA8">
              <w:t>IV</w:t>
            </w:r>
          </w:p>
        </w:tc>
        <w:tc>
          <w:tcPr>
            <w:tcW w:w="1106" w:type="pct"/>
            <w:tcBorders>
              <w:top w:val="single" w:sz="4" w:space="0" w:color="auto"/>
              <w:left w:val="single" w:sz="4" w:space="0" w:color="auto"/>
              <w:bottom w:val="single" w:sz="4" w:space="0" w:color="auto"/>
              <w:right w:val="single" w:sz="4" w:space="0" w:color="auto"/>
            </w:tcBorders>
            <w:shd w:val="clear" w:color="auto" w:fill="auto"/>
            <w:hideMark/>
          </w:tcPr>
          <w:p w14:paraId="22480226" w14:textId="77777777" w:rsidR="005B04AE" w:rsidRPr="007D0AA8" w:rsidRDefault="005B04AE" w:rsidP="008742A1">
            <w:pPr>
              <w:pStyle w:val="Tabletext1"/>
            </w:pPr>
            <w:r w:rsidRPr="007D0AA8">
              <w:t>5g/50mL</w:t>
            </w:r>
          </w:p>
          <w:p w14:paraId="3F872653" w14:textId="77777777" w:rsidR="005B04AE" w:rsidRPr="007D0AA8" w:rsidRDefault="005B04AE" w:rsidP="008742A1">
            <w:pPr>
              <w:pStyle w:val="Tabletext1"/>
            </w:pPr>
            <w:r w:rsidRPr="007D0AA8">
              <w:t>10g/100mL</w:t>
            </w:r>
          </w:p>
          <w:p w14:paraId="3ED612AC" w14:textId="77777777" w:rsidR="005B04AE" w:rsidRPr="007D0AA8" w:rsidRDefault="005B04AE" w:rsidP="008742A1">
            <w:pPr>
              <w:pStyle w:val="Tabletext1"/>
            </w:pPr>
            <w:r w:rsidRPr="007D0AA8">
              <w:t>20g/200mL</w:t>
            </w:r>
          </w:p>
        </w:tc>
        <w:tc>
          <w:tcPr>
            <w:tcW w:w="1105" w:type="pct"/>
            <w:tcBorders>
              <w:top w:val="single" w:sz="4" w:space="0" w:color="auto"/>
              <w:left w:val="single" w:sz="4" w:space="0" w:color="auto"/>
              <w:bottom w:val="single" w:sz="4" w:space="0" w:color="auto"/>
              <w:right w:val="single" w:sz="4" w:space="0" w:color="auto"/>
            </w:tcBorders>
            <w:shd w:val="clear" w:color="auto" w:fill="auto"/>
            <w:hideMark/>
          </w:tcPr>
          <w:p w14:paraId="49886D9A" w14:textId="77777777" w:rsidR="001B37A5" w:rsidRPr="001B37A5" w:rsidRDefault="001B37A5" w:rsidP="008742A1">
            <w:pPr>
              <w:pStyle w:val="Tabletext1"/>
            </w:pPr>
            <w:r w:rsidRPr="001B37A5">
              <w:t>$225.00</w:t>
            </w:r>
          </w:p>
          <w:p w14:paraId="11E1793A" w14:textId="77777777" w:rsidR="001B37A5" w:rsidRPr="001B37A5" w:rsidRDefault="001B37A5" w:rsidP="008742A1">
            <w:pPr>
              <w:pStyle w:val="Tabletext1"/>
            </w:pPr>
            <w:r w:rsidRPr="001B37A5">
              <w:t>$450.00</w:t>
            </w:r>
          </w:p>
          <w:p w14:paraId="1749E52B" w14:textId="11F4561A" w:rsidR="005B04AE" w:rsidRPr="007D0AA8" w:rsidRDefault="001B37A5" w:rsidP="008742A1">
            <w:pPr>
              <w:pStyle w:val="Tabletext1"/>
            </w:pPr>
            <w:r w:rsidRPr="001B37A5">
              <w:t>$900.00</w:t>
            </w:r>
          </w:p>
        </w:tc>
      </w:tr>
      <w:tr w:rsidR="005B04AE" w:rsidRPr="007D0AA8" w14:paraId="73CAD0FF" w14:textId="77777777" w:rsidTr="001B37A5">
        <w:tc>
          <w:tcPr>
            <w:tcW w:w="1055" w:type="pct"/>
            <w:tcBorders>
              <w:top w:val="single" w:sz="4" w:space="0" w:color="auto"/>
              <w:left w:val="single" w:sz="4" w:space="0" w:color="auto"/>
              <w:bottom w:val="single" w:sz="4" w:space="0" w:color="auto"/>
              <w:right w:val="single" w:sz="4" w:space="0" w:color="auto"/>
            </w:tcBorders>
            <w:shd w:val="clear" w:color="auto" w:fill="FFFFFF"/>
            <w:hideMark/>
          </w:tcPr>
          <w:p w14:paraId="7B763BCC" w14:textId="77777777" w:rsidR="005B04AE" w:rsidRPr="007D0AA8" w:rsidRDefault="005B04AE" w:rsidP="008742A1">
            <w:pPr>
              <w:pStyle w:val="Tabletext1"/>
            </w:pPr>
            <w:r w:rsidRPr="007D0AA8">
              <w:t>Evogam</w:t>
            </w:r>
          </w:p>
        </w:tc>
        <w:tc>
          <w:tcPr>
            <w:tcW w:w="825" w:type="pct"/>
            <w:tcBorders>
              <w:top w:val="single" w:sz="4" w:space="0" w:color="auto"/>
              <w:left w:val="single" w:sz="4" w:space="0" w:color="auto"/>
              <w:bottom w:val="single" w:sz="4" w:space="0" w:color="auto"/>
              <w:right w:val="single" w:sz="4" w:space="0" w:color="auto"/>
            </w:tcBorders>
            <w:shd w:val="clear" w:color="auto" w:fill="FFFFFF"/>
            <w:hideMark/>
          </w:tcPr>
          <w:p w14:paraId="01E0ED63" w14:textId="77777777" w:rsidR="005B04AE" w:rsidRPr="007D0AA8" w:rsidRDefault="005B04AE" w:rsidP="008742A1">
            <w:pPr>
              <w:pStyle w:val="Tabletext1"/>
            </w:pPr>
            <w:r w:rsidRPr="007D0AA8">
              <w:t xml:space="preserve">CSL Behring </w:t>
            </w:r>
          </w:p>
        </w:tc>
        <w:tc>
          <w:tcPr>
            <w:tcW w:w="909" w:type="pct"/>
            <w:tcBorders>
              <w:top w:val="single" w:sz="4" w:space="0" w:color="auto"/>
              <w:left w:val="single" w:sz="4" w:space="0" w:color="auto"/>
              <w:bottom w:val="single" w:sz="4" w:space="0" w:color="auto"/>
              <w:right w:val="single" w:sz="4" w:space="0" w:color="auto"/>
            </w:tcBorders>
            <w:shd w:val="clear" w:color="auto" w:fill="FFFFFF"/>
            <w:hideMark/>
          </w:tcPr>
          <w:p w14:paraId="2CFF8E36" w14:textId="77777777" w:rsidR="005B04AE" w:rsidRPr="007D0AA8" w:rsidRDefault="005B04AE" w:rsidP="008742A1">
            <w:pPr>
              <w:pStyle w:val="Tabletext1"/>
            </w:pPr>
            <w:r w:rsidRPr="007D0AA8">
              <w:t>SC</w:t>
            </w:r>
          </w:p>
        </w:tc>
        <w:tc>
          <w:tcPr>
            <w:tcW w:w="1106" w:type="pct"/>
            <w:tcBorders>
              <w:top w:val="single" w:sz="4" w:space="0" w:color="auto"/>
              <w:left w:val="single" w:sz="4" w:space="0" w:color="auto"/>
              <w:bottom w:val="single" w:sz="4" w:space="0" w:color="auto"/>
              <w:right w:val="single" w:sz="4" w:space="0" w:color="auto"/>
            </w:tcBorders>
            <w:shd w:val="clear" w:color="auto" w:fill="FFFFFF"/>
            <w:hideMark/>
          </w:tcPr>
          <w:p w14:paraId="62FF7DA4" w14:textId="77777777" w:rsidR="005B04AE" w:rsidRPr="007D0AA8" w:rsidRDefault="005B04AE" w:rsidP="008742A1">
            <w:pPr>
              <w:pStyle w:val="Tabletext1"/>
            </w:pPr>
            <w:r w:rsidRPr="007D0AA8">
              <w:t>16% 0.8g/5mL</w:t>
            </w:r>
          </w:p>
          <w:p w14:paraId="7E83ED1E" w14:textId="77777777" w:rsidR="005B04AE" w:rsidRPr="007D0AA8" w:rsidRDefault="005B04AE" w:rsidP="008742A1">
            <w:pPr>
              <w:pStyle w:val="Tabletext1"/>
              <w:rPr>
                <w:highlight w:val="yellow"/>
              </w:rPr>
            </w:pPr>
            <w:r w:rsidRPr="007D0AA8">
              <w:t>16%3.2g/20mL</w:t>
            </w:r>
          </w:p>
        </w:tc>
        <w:tc>
          <w:tcPr>
            <w:tcW w:w="1105" w:type="pct"/>
            <w:tcBorders>
              <w:top w:val="single" w:sz="4" w:space="0" w:color="auto"/>
              <w:left w:val="single" w:sz="4" w:space="0" w:color="auto"/>
              <w:bottom w:val="single" w:sz="4" w:space="0" w:color="auto"/>
              <w:right w:val="single" w:sz="4" w:space="0" w:color="auto"/>
            </w:tcBorders>
            <w:shd w:val="clear" w:color="auto" w:fill="FFFFFF"/>
            <w:hideMark/>
          </w:tcPr>
          <w:p w14:paraId="186A717D" w14:textId="1A787B00" w:rsidR="001B37A5" w:rsidRPr="001B37A5" w:rsidRDefault="001B37A5" w:rsidP="008742A1">
            <w:pPr>
              <w:pStyle w:val="Tabletext1"/>
            </w:pPr>
            <w:r>
              <w:t xml:space="preserve">$46.58 </w:t>
            </w:r>
          </w:p>
          <w:p w14:paraId="16D13AD6" w14:textId="52F4C5A3" w:rsidR="005B04AE" w:rsidRPr="007D0AA8" w:rsidRDefault="001B37A5" w:rsidP="008742A1">
            <w:pPr>
              <w:pStyle w:val="Tabletext1"/>
              <w:rPr>
                <w:highlight w:val="yellow"/>
              </w:rPr>
            </w:pPr>
            <w:r>
              <w:t>$186.33</w:t>
            </w:r>
          </w:p>
        </w:tc>
      </w:tr>
    </w:tbl>
    <w:p w14:paraId="28F996A4" w14:textId="77777777" w:rsidR="001B37A5" w:rsidRPr="00D67A6E" w:rsidRDefault="001B37A5" w:rsidP="008742A1">
      <w:pPr>
        <w:pStyle w:val="Tablenotes1"/>
        <w:rPr>
          <w:sz w:val="20"/>
        </w:rPr>
      </w:pPr>
      <w:r w:rsidRPr="00D67A6E">
        <w:rPr>
          <w:sz w:val="20"/>
        </w:rPr>
        <w:t xml:space="preserve">IV=intravenous; SC=subcutaneous; IM=intramuscular </w:t>
      </w:r>
    </w:p>
    <w:p w14:paraId="02B40EBD" w14:textId="3B2FC586" w:rsidR="005B04AE" w:rsidRPr="00D67A6E" w:rsidRDefault="001B37A5" w:rsidP="008742A1">
      <w:pPr>
        <w:pStyle w:val="Tablenotes1"/>
        <w:rPr>
          <w:sz w:val="20"/>
        </w:rPr>
      </w:pPr>
      <w:r w:rsidRPr="00D67A6E">
        <w:rPr>
          <w:sz w:val="20"/>
        </w:rPr>
        <w:t>Source: Table 4, PICO Confirmation, updated from NBA price list July 2019</w:t>
      </w:r>
    </w:p>
    <w:p w14:paraId="7B98B4E7" w14:textId="5B39BF42" w:rsidR="00073A58" w:rsidRPr="007D0AA8" w:rsidRDefault="00331DC5" w:rsidP="003C0114">
      <w:pPr>
        <w:rPr>
          <w:rFonts w:eastAsia="Calibri" w:cs="Times New Roman"/>
          <w:lang w:eastAsia="en-US"/>
        </w:rPr>
      </w:pPr>
      <w:r w:rsidRPr="007D0AA8">
        <w:rPr>
          <w:rFonts w:eastAsia="Calibri" w:cs="Times New Roman"/>
          <w:lang w:eastAsia="en-US"/>
        </w:rPr>
        <w:t xml:space="preserve">IgG products are </w:t>
      </w:r>
      <w:r w:rsidR="00A149E5" w:rsidRPr="007D0AA8">
        <w:rPr>
          <w:rFonts w:eastAsia="Calibri" w:cs="Times New Roman"/>
          <w:lang w:eastAsia="en-US"/>
        </w:rPr>
        <w:t>manufactured</w:t>
      </w:r>
      <w:r w:rsidRPr="007D0AA8">
        <w:rPr>
          <w:rFonts w:eastAsia="Calibri" w:cs="Times New Roman"/>
          <w:lang w:eastAsia="en-US"/>
        </w:rPr>
        <w:t xml:space="preserve"> from</w:t>
      </w:r>
      <w:r w:rsidR="00BC023D" w:rsidRPr="007D0AA8">
        <w:rPr>
          <w:rFonts w:eastAsia="Calibri" w:cs="Times New Roman"/>
          <w:lang w:eastAsia="en-US"/>
        </w:rPr>
        <w:t xml:space="preserve"> pooled</w:t>
      </w:r>
      <w:r w:rsidRPr="007D0AA8">
        <w:rPr>
          <w:rFonts w:eastAsia="Calibri" w:cs="Times New Roman"/>
          <w:lang w:eastAsia="en-US"/>
        </w:rPr>
        <w:t xml:space="preserve"> human donor plasma</w:t>
      </w:r>
      <w:r w:rsidR="00BC023D" w:rsidRPr="007D0AA8">
        <w:rPr>
          <w:rFonts w:eastAsia="Calibri" w:cs="Times New Roman"/>
          <w:lang w:eastAsia="en-US"/>
        </w:rPr>
        <w:t>, and</w:t>
      </w:r>
      <w:r w:rsidRPr="007D0AA8">
        <w:rPr>
          <w:rFonts w:eastAsia="Calibri" w:cs="Times New Roman"/>
          <w:lang w:eastAsia="en-US"/>
        </w:rPr>
        <w:t xml:space="preserve"> the</w:t>
      </w:r>
      <w:r w:rsidR="00A149E5" w:rsidRPr="007D0AA8">
        <w:rPr>
          <w:rFonts w:eastAsia="Calibri" w:cs="Times New Roman"/>
          <w:lang w:eastAsia="en-US"/>
        </w:rPr>
        <w:t xml:space="preserve"> </w:t>
      </w:r>
      <w:r w:rsidRPr="007D0AA8">
        <w:rPr>
          <w:rFonts w:eastAsia="Calibri" w:cs="Times New Roman"/>
          <w:lang w:eastAsia="en-US"/>
        </w:rPr>
        <w:t xml:space="preserve">IgG fraction formulated to contain the desired concentration of IgG as active substance. Source plasma is normal human immunoglobulin not hyperimmune plasma. </w:t>
      </w:r>
      <w:r w:rsidR="00073A58" w:rsidRPr="007D0AA8">
        <w:rPr>
          <w:rFonts w:eastAsia="Calibri" w:cs="Times New Roman"/>
          <w:lang w:eastAsia="en-US"/>
        </w:rPr>
        <w:t xml:space="preserve">The IgG content represents a broad spectrum of human antibodies. Other immunoglobulins such as IgA, IgM and IgE may be present but are controlled as impurities. </w:t>
      </w:r>
    </w:p>
    <w:p w14:paraId="430D06EB" w14:textId="2C60FD8D" w:rsidR="00331DC5" w:rsidRPr="007D0AA8" w:rsidRDefault="00331DC5" w:rsidP="003C0114">
      <w:pPr>
        <w:rPr>
          <w:rFonts w:eastAsia="Calibri" w:cs="Times New Roman"/>
          <w:lang w:eastAsia="en-US"/>
        </w:rPr>
      </w:pPr>
      <w:r w:rsidRPr="007D0AA8">
        <w:rPr>
          <w:rFonts w:eastAsia="Calibri" w:cs="Times New Roman"/>
          <w:lang w:eastAsia="en-US"/>
        </w:rPr>
        <w:t xml:space="preserve">IgG products may be administered by intravenous (IV) or subcutaneous (SC) infusion (IVIg and SCIg </w:t>
      </w:r>
      <w:r w:rsidR="00073A58" w:rsidRPr="007D0AA8">
        <w:rPr>
          <w:rFonts w:eastAsia="Calibri" w:cs="Times New Roman"/>
          <w:lang w:eastAsia="en-US"/>
        </w:rPr>
        <w:t xml:space="preserve">products </w:t>
      </w:r>
      <w:r w:rsidRPr="007D0AA8">
        <w:rPr>
          <w:rFonts w:eastAsia="Calibri" w:cs="Times New Roman"/>
          <w:lang w:eastAsia="en-US"/>
        </w:rPr>
        <w:t xml:space="preserve">respectively). IgG products for intramuscular (IM) administration are out of scope for this evaluation. </w:t>
      </w:r>
    </w:p>
    <w:p w14:paraId="221FCEA8" w14:textId="1077F7BB" w:rsidR="00292C21" w:rsidRPr="00386411" w:rsidRDefault="00CF3BA7" w:rsidP="00292C21">
      <w:pPr>
        <w:pStyle w:val="Heading3"/>
      </w:pPr>
      <w:bookmarkStart w:id="174" w:name="_Toc14431120"/>
      <w:bookmarkStart w:id="175" w:name="_Toc16856288"/>
      <w:bookmarkStart w:id="176" w:name="_Toc379118071"/>
      <w:bookmarkStart w:id="177" w:name="_Toc381796449"/>
      <w:bookmarkStart w:id="178" w:name="_Toc395200762"/>
      <w:bookmarkEnd w:id="158"/>
      <w:bookmarkEnd w:id="159"/>
      <w:r w:rsidRPr="00386411">
        <w:t>Current Clinical Practice</w:t>
      </w:r>
      <w:bookmarkEnd w:id="174"/>
      <w:bookmarkEnd w:id="175"/>
    </w:p>
    <w:p w14:paraId="673B55DA" w14:textId="77777777" w:rsidR="00CF3BA7" w:rsidRPr="007D0AA8" w:rsidRDefault="00CF3BA7" w:rsidP="00CF3BA7">
      <w:pPr>
        <w:keepNext/>
        <w:spacing w:after="200" w:line="276" w:lineRule="auto"/>
        <w:rPr>
          <w:rFonts w:eastAsia="Calibri" w:cs="Times New Roman"/>
          <w:u w:val="single"/>
          <w:lang w:eastAsia="en-US"/>
        </w:rPr>
      </w:pPr>
      <w:r w:rsidRPr="007D0AA8">
        <w:rPr>
          <w:rFonts w:eastAsia="Calibri" w:cs="Times New Roman"/>
          <w:u w:val="single"/>
          <w:lang w:eastAsia="en-US"/>
        </w:rPr>
        <w:t>Provider and treatment setting</w:t>
      </w:r>
    </w:p>
    <w:p w14:paraId="75F54733" w14:textId="3C3D4682" w:rsidR="00A7720D" w:rsidRPr="007D0AA8" w:rsidRDefault="00CF3BA7" w:rsidP="009404AD">
      <w:pPr>
        <w:rPr>
          <w:rFonts w:eastAsia="Calibri"/>
          <w:lang w:eastAsia="en-US"/>
        </w:rPr>
      </w:pPr>
      <w:r w:rsidRPr="007D0AA8">
        <w:rPr>
          <w:rFonts w:eastAsia="Calibri"/>
          <w:lang w:eastAsia="en-US"/>
        </w:rPr>
        <w:t xml:space="preserve">In order to qualify for supply of IgG, a diagnosis must be made by an immunologist, haematologist, paediatrician, general medicine physician or an oncologist. Management and review of the patient and prescribing of continuing treatment should also be undertaken by one of these specialists. </w:t>
      </w:r>
      <w:r w:rsidR="00A7720D" w:rsidRPr="007D0AA8">
        <w:rPr>
          <w:rFonts w:eastAsia="Calibri"/>
          <w:lang w:eastAsia="en-US"/>
        </w:rPr>
        <w:t xml:space="preserve">Applications for IgG are made through the BloodSTAR online portal and assessed against the </w:t>
      </w:r>
      <w:r w:rsidR="00A7720D" w:rsidRPr="007D0AA8">
        <w:rPr>
          <w:rFonts w:eastAsia="Calibri"/>
          <w:i/>
          <w:lang w:eastAsia="en-US"/>
        </w:rPr>
        <w:t>Criteria Version 3</w:t>
      </w:r>
      <w:r w:rsidR="00A7720D" w:rsidRPr="007D0AA8">
        <w:rPr>
          <w:rFonts w:eastAsia="Calibri"/>
          <w:lang w:eastAsia="en-US"/>
        </w:rPr>
        <w:t xml:space="preserve">. </w:t>
      </w:r>
    </w:p>
    <w:p w14:paraId="6A598B45" w14:textId="441D7B1B" w:rsidR="00CF3BA7" w:rsidRPr="007D0AA8" w:rsidRDefault="00A7720D" w:rsidP="009404AD">
      <w:pPr>
        <w:rPr>
          <w:rFonts w:eastAsia="Calibri"/>
          <w:lang w:eastAsia="en-US"/>
        </w:rPr>
      </w:pPr>
      <w:r w:rsidRPr="007D0AA8">
        <w:rPr>
          <w:rFonts w:eastAsia="Calibri"/>
          <w:lang w:eastAsia="en-US"/>
        </w:rPr>
        <w:t xml:space="preserve">Assessment and processing of applications, and supply of IgG product is managed by the Australian Red Cross Blood Service under contract to the NBA. In terms of the level of information required and the opportunity for managing compliance with clinical </w:t>
      </w:r>
      <w:r w:rsidR="00697255" w:rsidRPr="007D0AA8">
        <w:rPr>
          <w:rFonts w:eastAsia="Calibri"/>
          <w:lang w:eastAsia="en-US"/>
        </w:rPr>
        <w:t>eligibility criteria, the BloodSTAR</w:t>
      </w:r>
      <w:r w:rsidRPr="007D0AA8">
        <w:rPr>
          <w:rFonts w:eastAsia="Calibri"/>
          <w:lang w:eastAsia="en-US"/>
        </w:rPr>
        <w:t xml:space="preserve"> process appears to be broadly similar to written applications for Section 100 Authority Required medicines on the Pharmaceutical Benefits Scheme.</w:t>
      </w:r>
    </w:p>
    <w:p w14:paraId="3AC4E29A" w14:textId="77777777" w:rsidR="00CF3BA7" w:rsidRPr="007D0AA8" w:rsidRDefault="00CF3BA7" w:rsidP="009404AD">
      <w:pPr>
        <w:rPr>
          <w:rFonts w:eastAsia="Calibri"/>
          <w:lang w:eastAsia="en-US"/>
        </w:rPr>
      </w:pPr>
      <w:r w:rsidRPr="007D0AA8">
        <w:rPr>
          <w:rFonts w:eastAsia="Calibri"/>
          <w:lang w:eastAsia="en-US"/>
        </w:rPr>
        <w:t xml:space="preserve">IVIg administration requires a hospital or clinic with IV infusion facilities. For access to SCIg (in addition to requirements applicable for access to IVIg), the patient must be being treated by a </w:t>
      </w:r>
      <w:r w:rsidRPr="007D0AA8">
        <w:rPr>
          <w:rFonts w:eastAsia="Calibri"/>
          <w:lang w:eastAsia="en-US"/>
        </w:rPr>
        <w:lastRenderedPageBreak/>
        <w:t>clinical specialist within a hospital based SCIg program</w:t>
      </w:r>
      <w:r w:rsidRPr="007D0AA8">
        <w:rPr>
          <w:rFonts w:eastAsia="Calibri"/>
          <w:vertAlign w:val="superscript"/>
          <w:lang w:eastAsia="en-US"/>
        </w:rPr>
        <w:footnoteReference w:id="6"/>
      </w:r>
      <w:r w:rsidRPr="007D0AA8">
        <w:rPr>
          <w:rFonts w:eastAsia="Calibri"/>
          <w:lang w:eastAsia="en-US"/>
        </w:rPr>
        <w:t xml:space="preserve">, where the hospital provides access to all resources. The patient/carer must be trained in the procedure by a qualified nurse or technician to deliver SCIg in an out of hospital setting. </w:t>
      </w:r>
    </w:p>
    <w:p w14:paraId="1BEF6BF2" w14:textId="1E74AAB0" w:rsidR="00007D1F" w:rsidRPr="007D0AA8" w:rsidRDefault="00007D1F" w:rsidP="009404AD">
      <w:pPr>
        <w:rPr>
          <w:rFonts w:eastAsia="Calibri"/>
          <w:lang w:eastAsia="en-US"/>
        </w:rPr>
      </w:pPr>
      <w:r w:rsidRPr="007D0AA8">
        <w:rPr>
          <w:rFonts w:eastAsia="Calibri"/>
          <w:lang w:eastAsia="en-US"/>
        </w:rPr>
        <w:t xml:space="preserve">Management of treatment and dosing is described below. The specific criteria for patient eligibility are presented in </w:t>
      </w:r>
      <w:r w:rsidRPr="007D0AA8">
        <w:rPr>
          <w:rFonts w:eastAsia="Calibri"/>
          <w:i/>
          <w:lang w:eastAsia="en-US"/>
        </w:rPr>
        <w:t xml:space="preserve">Section </w:t>
      </w:r>
      <w:r w:rsidRPr="007D0AA8">
        <w:rPr>
          <w:rFonts w:eastAsia="Calibri"/>
          <w:i/>
          <w:lang w:eastAsia="en-US"/>
        </w:rPr>
        <w:fldChar w:fldCharType="begin"/>
      </w:r>
      <w:r w:rsidRPr="007D0AA8">
        <w:rPr>
          <w:rFonts w:eastAsia="Calibri"/>
          <w:i/>
          <w:lang w:eastAsia="en-US"/>
        </w:rPr>
        <w:instrText xml:space="preserve"> REF _Ref2782217 \w \h  \* MERGEFORMAT </w:instrText>
      </w:r>
      <w:r w:rsidRPr="007D0AA8">
        <w:rPr>
          <w:rFonts w:eastAsia="Calibri"/>
          <w:i/>
          <w:lang w:eastAsia="en-US"/>
        </w:rPr>
      </w:r>
      <w:r w:rsidRPr="007D0AA8">
        <w:rPr>
          <w:rFonts w:eastAsia="Calibri"/>
          <w:i/>
          <w:lang w:eastAsia="en-US"/>
        </w:rPr>
        <w:fldChar w:fldCharType="separate"/>
      </w:r>
      <w:r w:rsidR="00A7463B">
        <w:rPr>
          <w:rFonts w:eastAsia="Calibri"/>
          <w:i/>
          <w:lang w:eastAsia="en-US"/>
        </w:rPr>
        <w:t>A.4</w:t>
      </w:r>
      <w:r w:rsidRPr="007D0AA8">
        <w:rPr>
          <w:rFonts w:eastAsia="Calibri"/>
          <w:i/>
          <w:lang w:eastAsia="en-US"/>
        </w:rPr>
        <w:fldChar w:fldCharType="end"/>
      </w:r>
      <w:r w:rsidRPr="007D0AA8">
        <w:rPr>
          <w:rFonts w:eastAsia="Calibri"/>
          <w:i/>
          <w:lang w:eastAsia="en-US"/>
        </w:rPr>
        <w:t xml:space="preserve"> </w:t>
      </w:r>
      <w:r w:rsidRPr="007D0AA8">
        <w:rPr>
          <w:rFonts w:eastAsia="Calibri"/>
          <w:i/>
          <w:lang w:eastAsia="en-US"/>
        </w:rPr>
        <w:fldChar w:fldCharType="begin"/>
      </w:r>
      <w:r w:rsidRPr="007D0AA8">
        <w:rPr>
          <w:rFonts w:eastAsia="Calibri"/>
          <w:i/>
          <w:lang w:eastAsia="en-US"/>
        </w:rPr>
        <w:instrText xml:space="preserve"> REF _Ref2782224 \h  \* MERGEFORMAT </w:instrText>
      </w:r>
      <w:r w:rsidRPr="007D0AA8">
        <w:rPr>
          <w:rFonts w:eastAsia="Calibri"/>
          <w:i/>
          <w:lang w:eastAsia="en-US"/>
        </w:rPr>
      </w:r>
      <w:r w:rsidRPr="007D0AA8">
        <w:rPr>
          <w:rFonts w:eastAsia="Calibri"/>
          <w:i/>
          <w:lang w:eastAsia="en-US"/>
        </w:rPr>
        <w:fldChar w:fldCharType="separate"/>
      </w:r>
      <w:r w:rsidR="00A7463B" w:rsidRPr="00A7463B">
        <w:rPr>
          <w:i/>
        </w:rPr>
        <w:t>Proposed population</w:t>
      </w:r>
      <w:r w:rsidRPr="007D0AA8">
        <w:rPr>
          <w:rFonts w:eastAsia="Calibri"/>
          <w:i/>
          <w:lang w:eastAsia="en-US"/>
        </w:rPr>
        <w:fldChar w:fldCharType="end"/>
      </w:r>
      <w:r w:rsidRPr="007D0AA8">
        <w:rPr>
          <w:rFonts w:eastAsia="Calibri"/>
          <w:i/>
          <w:lang w:eastAsia="en-US"/>
        </w:rPr>
        <w:t>.</w:t>
      </w:r>
    </w:p>
    <w:p w14:paraId="2E35F68D" w14:textId="1220AB7D" w:rsidR="00CF3BA7" w:rsidRPr="007D0AA8" w:rsidRDefault="00C5260F" w:rsidP="00CF3BA7">
      <w:pPr>
        <w:keepNext/>
        <w:spacing w:after="200" w:line="276" w:lineRule="auto"/>
        <w:rPr>
          <w:rFonts w:eastAsia="Calibri" w:cs="Times New Roman"/>
          <w:u w:val="single"/>
          <w:lang w:eastAsia="en-US"/>
        </w:rPr>
      </w:pPr>
      <w:r w:rsidRPr="007D0AA8">
        <w:rPr>
          <w:rFonts w:eastAsia="Calibri" w:cs="Times New Roman"/>
          <w:u w:val="single"/>
          <w:lang w:eastAsia="en-US"/>
        </w:rPr>
        <w:t>I</w:t>
      </w:r>
      <w:r w:rsidR="00CF3BA7" w:rsidRPr="007D0AA8">
        <w:rPr>
          <w:rFonts w:eastAsia="Calibri" w:cs="Times New Roman"/>
          <w:u w:val="single"/>
          <w:lang w:eastAsia="en-US"/>
        </w:rPr>
        <w:t>nitial treatment</w:t>
      </w:r>
    </w:p>
    <w:p w14:paraId="728D6292" w14:textId="7B8322C8" w:rsidR="00A070E8" w:rsidRPr="007D0AA8" w:rsidRDefault="00CF3BA7" w:rsidP="003C0114">
      <w:pPr>
        <w:spacing w:after="200" w:line="276" w:lineRule="auto"/>
        <w:rPr>
          <w:rFonts w:eastAsia="Calibri" w:cs="Times New Roman"/>
          <w:lang w:eastAsia="en-US"/>
        </w:rPr>
      </w:pPr>
      <w:r w:rsidRPr="007D0AA8">
        <w:rPr>
          <w:rFonts w:eastAsia="Calibri" w:cs="Times New Roman"/>
          <w:lang w:eastAsia="en-US"/>
        </w:rPr>
        <w:t>According to the</w:t>
      </w:r>
      <w:r w:rsidRPr="007D0AA8">
        <w:rPr>
          <w:rFonts w:eastAsia="Calibri" w:cs="Times New Roman"/>
          <w:i/>
          <w:lang w:eastAsia="en-US"/>
        </w:rPr>
        <w:t xml:space="preserve"> Criteria Version 3</w:t>
      </w:r>
      <w:r w:rsidRPr="007D0AA8">
        <w:rPr>
          <w:rFonts w:eastAsia="Calibri" w:cs="Times New Roman"/>
          <w:lang w:eastAsia="en-US"/>
        </w:rPr>
        <w:t>, treating specialists should report the</w:t>
      </w:r>
      <w:r w:rsidR="00A7720D" w:rsidRPr="007D0AA8">
        <w:rPr>
          <w:rFonts w:eastAsia="Calibri" w:cs="Times New Roman"/>
          <w:lang w:eastAsia="en-US"/>
        </w:rPr>
        <w:t xml:space="preserve"> following clinical parameters </w:t>
      </w:r>
      <w:r w:rsidRPr="007D0AA8">
        <w:rPr>
          <w:rFonts w:eastAsia="Calibri" w:cs="Times New Roman"/>
          <w:lang w:eastAsia="en-US"/>
        </w:rPr>
        <w:t>for review by the Bloo</w:t>
      </w:r>
      <w:r w:rsidR="00A7720D" w:rsidRPr="007D0AA8">
        <w:rPr>
          <w:rFonts w:eastAsia="Calibri" w:cs="Times New Roman"/>
          <w:lang w:eastAsia="en-US"/>
        </w:rPr>
        <w:t>dSTAR</w:t>
      </w:r>
      <w:r w:rsidR="00A070E8" w:rsidRPr="007D0AA8">
        <w:rPr>
          <w:rFonts w:eastAsia="Calibri" w:cs="Times New Roman"/>
          <w:lang w:eastAsia="en-US"/>
        </w:rPr>
        <w:t xml:space="preserve"> </w:t>
      </w:r>
      <w:r w:rsidR="00A070E8">
        <w:rPr>
          <w:rFonts w:eastAsia="Calibri" w:cs="Times New Roman"/>
          <w:lang w:eastAsia="en-US"/>
        </w:rPr>
        <w:t>assessment</w:t>
      </w:r>
      <w:r w:rsidR="00A070E8" w:rsidRPr="007D0AA8">
        <w:rPr>
          <w:rFonts w:eastAsia="Calibri" w:cs="Times New Roman"/>
          <w:lang w:eastAsia="en-US"/>
        </w:rPr>
        <w:t xml:space="preserve"> officer:</w:t>
      </w:r>
    </w:p>
    <w:p w14:paraId="2AB3EBD7" w14:textId="77777777" w:rsidR="00CF3BA7" w:rsidRPr="007D0AA8" w:rsidRDefault="00CF3BA7" w:rsidP="00CF3BA7">
      <w:pPr>
        <w:tabs>
          <w:tab w:val="left" w:pos="284"/>
        </w:tabs>
        <w:spacing w:after="120" w:line="240" w:lineRule="auto"/>
        <w:ind w:left="284" w:hanging="284"/>
        <w:rPr>
          <w:rFonts w:eastAsia="Calibri" w:cs="Times New Roman"/>
          <w:lang w:eastAsia="en-US"/>
        </w:rPr>
      </w:pPr>
      <w:r w:rsidRPr="007D0AA8">
        <w:rPr>
          <w:rFonts w:eastAsia="Calibri" w:cs="Times New Roman"/>
          <w:lang w:eastAsia="en-US"/>
        </w:rPr>
        <w:t>•</w:t>
      </w:r>
      <w:r w:rsidRPr="007D0AA8">
        <w:rPr>
          <w:rFonts w:eastAsia="Calibri" w:cs="Times New Roman"/>
          <w:lang w:eastAsia="en-US"/>
        </w:rPr>
        <w:tab/>
        <w:t>Serum IgG level (results of two readings at least an hour apart, one taken when the patient does not have active infection)</w:t>
      </w:r>
    </w:p>
    <w:p w14:paraId="536B5BE4" w14:textId="77777777" w:rsidR="00CF3BA7" w:rsidRPr="007D0AA8" w:rsidRDefault="00CF3BA7" w:rsidP="00CF3BA7">
      <w:pPr>
        <w:tabs>
          <w:tab w:val="left" w:pos="284"/>
        </w:tabs>
        <w:spacing w:after="120" w:line="240" w:lineRule="auto"/>
        <w:ind w:left="284" w:hanging="284"/>
        <w:rPr>
          <w:rFonts w:eastAsia="Calibri" w:cs="Times New Roman"/>
          <w:lang w:eastAsia="en-US"/>
        </w:rPr>
      </w:pPr>
      <w:r w:rsidRPr="007D0AA8">
        <w:rPr>
          <w:rFonts w:eastAsia="Calibri" w:cs="Times New Roman"/>
          <w:lang w:eastAsia="en-US"/>
        </w:rPr>
        <w:t>•</w:t>
      </w:r>
      <w:r w:rsidRPr="007D0AA8">
        <w:rPr>
          <w:rFonts w:eastAsia="Calibri" w:cs="Times New Roman"/>
          <w:lang w:eastAsia="en-US"/>
        </w:rPr>
        <w:tab/>
        <w:t>Serum IgM level (as a baseline for monitoring)</w:t>
      </w:r>
    </w:p>
    <w:p w14:paraId="58B109ED" w14:textId="77777777" w:rsidR="00CF3BA7" w:rsidRPr="007D0AA8" w:rsidRDefault="00CF3BA7" w:rsidP="00CF3BA7">
      <w:pPr>
        <w:tabs>
          <w:tab w:val="left" w:pos="284"/>
        </w:tabs>
        <w:spacing w:after="120" w:line="240" w:lineRule="auto"/>
        <w:ind w:left="284" w:hanging="284"/>
        <w:rPr>
          <w:rFonts w:eastAsia="Calibri" w:cs="Times New Roman"/>
          <w:lang w:eastAsia="en-US"/>
        </w:rPr>
      </w:pPr>
      <w:r w:rsidRPr="007D0AA8">
        <w:rPr>
          <w:rFonts w:eastAsia="Calibri" w:cs="Times New Roman"/>
          <w:lang w:eastAsia="en-US"/>
        </w:rPr>
        <w:t>•</w:t>
      </w:r>
      <w:r w:rsidRPr="007D0AA8">
        <w:rPr>
          <w:rFonts w:eastAsia="Calibri" w:cs="Times New Roman"/>
          <w:lang w:eastAsia="en-US"/>
        </w:rPr>
        <w:tab/>
        <w:t>Serum IgA level (as a baseline for monitoring)</w:t>
      </w:r>
    </w:p>
    <w:p w14:paraId="41DC0556" w14:textId="77777777" w:rsidR="00A070E8" w:rsidRDefault="00CF3BA7" w:rsidP="00A070E8">
      <w:pPr>
        <w:tabs>
          <w:tab w:val="left" w:pos="284"/>
        </w:tabs>
        <w:spacing w:after="120" w:line="240" w:lineRule="auto"/>
        <w:ind w:left="284" w:hanging="284"/>
        <w:rPr>
          <w:rFonts w:eastAsia="Calibri" w:cs="Times New Roman"/>
          <w:lang w:eastAsia="en-US"/>
        </w:rPr>
      </w:pPr>
      <w:r w:rsidRPr="007D0AA8">
        <w:rPr>
          <w:rFonts w:eastAsia="Calibri" w:cs="Times New Roman"/>
          <w:lang w:eastAsia="en-US"/>
        </w:rPr>
        <w:t>•</w:t>
      </w:r>
      <w:r w:rsidRPr="007D0AA8">
        <w:rPr>
          <w:rFonts w:eastAsia="Calibri" w:cs="Times New Roman"/>
          <w:lang w:eastAsia="en-US"/>
        </w:rPr>
        <w:tab/>
        <w:t>The number of acute episodes of bacterial infection requiring antibiotics in last 6 months</w:t>
      </w:r>
    </w:p>
    <w:p w14:paraId="1AD6A99C" w14:textId="30C57F8C" w:rsidR="00CF3BA7" w:rsidRPr="00A070E8" w:rsidRDefault="00A070E8" w:rsidP="008E4EB1">
      <w:pPr>
        <w:pStyle w:val="ListParagraph"/>
        <w:numPr>
          <w:ilvl w:val="0"/>
          <w:numId w:val="35"/>
        </w:numPr>
        <w:tabs>
          <w:tab w:val="left" w:pos="284"/>
        </w:tabs>
        <w:spacing w:after="120" w:line="240" w:lineRule="auto"/>
        <w:ind w:left="284" w:hanging="284"/>
        <w:rPr>
          <w:rFonts w:eastAsia="Calibri" w:cs="Times New Roman"/>
          <w:lang w:eastAsia="en-US"/>
        </w:rPr>
      </w:pPr>
      <w:r w:rsidRPr="00A070E8">
        <w:rPr>
          <w:rFonts w:eastAsia="Calibri" w:cs="Times New Roman"/>
          <w:lang w:eastAsia="en-US"/>
        </w:rPr>
        <w:t>Most severe infections (if any) in the last six months</w:t>
      </w:r>
    </w:p>
    <w:p w14:paraId="3835775A" w14:textId="77777777" w:rsidR="00CF3BA7" w:rsidRPr="007D0AA8" w:rsidRDefault="00CF3BA7" w:rsidP="00CF3BA7">
      <w:pPr>
        <w:tabs>
          <w:tab w:val="left" w:pos="284"/>
        </w:tabs>
        <w:spacing w:after="200" w:line="276" w:lineRule="auto"/>
        <w:ind w:left="284" w:hanging="284"/>
        <w:rPr>
          <w:rFonts w:eastAsia="Calibri" w:cs="Times New Roman"/>
          <w:lang w:eastAsia="en-US"/>
        </w:rPr>
      </w:pPr>
      <w:r w:rsidRPr="007D0AA8">
        <w:rPr>
          <w:rFonts w:eastAsia="Calibri" w:cs="Times New Roman"/>
          <w:lang w:eastAsia="en-US"/>
        </w:rPr>
        <w:t>•</w:t>
      </w:r>
      <w:r w:rsidRPr="007D0AA8">
        <w:rPr>
          <w:rFonts w:eastAsia="Calibri" w:cs="Times New Roman"/>
          <w:lang w:eastAsia="en-US"/>
        </w:rPr>
        <w:tab/>
        <w:t xml:space="preserve">Description of the bacterial infections and antibiotic or other treatment required </w:t>
      </w:r>
    </w:p>
    <w:p w14:paraId="7795F0FA" w14:textId="77777777" w:rsidR="00A070E8" w:rsidRPr="007D0AA8" w:rsidRDefault="00A070E8" w:rsidP="00A070E8">
      <w:pPr>
        <w:spacing w:after="200" w:line="276" w:lineRule="auto"/>
        <w:rPr>
          <w:rFonts w:eastAsia="Calibri" w:cs="Times New Roman"/>
          <w:lang w:eastAsia="en-US"/>
        </w:rPr>
      </w:pPr>
      <w:r>
        <w:rPr>
          <w:rFonts w:eastAsia="Calibri" w:cs="Times New Roman"/>
          <w:lang w:eastAsia="en-US"/>
        </w:rPr>
        <w:t xml:space="preserve">These are the specific requirements according to the </w:t>
      </w:r>
      <w:r w:rsidRPr="00B52A4F">
        <w:rPr>
          <w:rFonts w:eastAsia="Calibri" w:cs="Times New Roman"/>
          <w:i/>
          <w:lang w:eastAsia="en-US"/>
        </w:rPr>
        <w:t>Criteria Version 3</w:t>
      </w:r>
      <w:r>
        <w:rPr>
          <w:rFonts w:eastAsia="Calibri" w:cs="Times New Roman"/>
          <w:lang w:eastAsia="en-US"/>
        </w:rPr>
        <w:t xml:space="preserve"> but are subject to change in future versions which has not been taken into account in this evaluation.  </w:t>
      </w:r>
    </w:p>
    <w:p w14:paraId="76307B94" w14:textId="0D911DA0" w:rsidR="00CF3BA7" w:rsidRPr="007D0AA8" w:rsidRDefault="00C5260F" w:rsidP="00CF3BA7">
      <w:pPr>
        <w:keepNext/>
        <w:spacing w:after="200" w:line="276" w:lineRule="auto"/>
        <w:rPr>
          <w:rFonts w:eastAsia="Calibri" w:cs="Times New Roman"/>
          <w:u w:val="single"/>
          <w:lang w:eastAsia="en-US"/>
        </w:rPr>
      </w:pPr>
      <w:r w:rsidRPr="007D0AA8">
        <w:rPr>
          <w:rFonts w:eastAsia="Calibri" w:cs="Times New Roman"/>
          <w:u w:val="single"/>
          <w:lang w:eastAsia="en-US"/>
        </w:rPr>
        <w:t>C</w:t>
      </w:r>
      <w:r w:rsidR="00CF3BA7" w:rsidRPr="007D0AA8">
        <w:rPr>
          <w:rFonts w:eastAsia="Calibri" w:cs="Times New Roman"/>
          <w:u w:val="single"/>
          <w:lang w:eastAsia="en-US"/>
        </w:rPr>
        <w:t>ontinuing treatment</w:t>
      </w:r>
    </w:p>
    <w:p w14:paraId="2D97F44B" w14:textId="018740CF" w:rsidR="009404AD" w:rsidRPr="007D0AA8" w:rsidRDefault="009404AD" w:rsidP="008742A1">
      <w:pPr>
        <w:rPr>
          <w:rFonts w:eastAsia="Calibri"/>
          <w:lang w:eastAsia="en-US"/>
        </w:rPr>
      </w:pPr>
      <w:r w:rsidRPr="007D0AA8">
        <w:rPr>
          <w:rFonts w:eastAsia="Calibri"/>
          <w:lang w:eastAsia="en-US"/>
        </w:rPr>
        <w:t>According to the</w:t>
      </w:r>
      <w:r w:rsidRPr="007D0AA8">
        <w:rPr>
          <w:rFonts w:eastAsia="Calibri"/>
          <w:i/>
          <w:lang w:eastAsia="en-US"/>
        </w:rPr>
        <w:t xml:space="preserve"> Criteria Version 3</w:t>
      </w:r>
      <w:r w:rsidRPr="007D0AA8">
        <w:rPr>
          <w:rFonts w:eastAsia="Calibri"/>
          <w:lang w:eastAsia="en-US"/>
        </w:rPr>
        <w:t>, initial review is required within six months at which time only those patients showing ‘demonstrated clinical benefit’ should be considered for continuing treatment. Thereafter, review should be annual. The</w:t>
      </w:r>
      <w:r w:rsidRPr="007D0AA8">
        <w:rPr>
          <w:rFonts w:eastAsia="Calibri"/>
          <w:i/>
          <w:lang w:eastAsia="en-US"/>
        </w:rPr>
        <w:t xml:space="preserve"> Criteria</w:t>
      </w:r>
      <w:r w:rsidRPr="007D0AA8">
        <w:rPr>
          <w:rFonts w:eastAsia="Calibri"/>
          <w:lang w:eastAsia="en-US"/>
        </w:rPr>
        <w:t xml:space="preserve"> </w:t>
      </w:r>
      <w:r w:rsidRPr="007D0AA8">
        <w:rPr>
          <w:rFonts w:eastAsia="Calibri"/>
          <w:i/>
          <w:lang w:eastAsia="en-US"/>
        </w:rPr>
        <w:t>Version 3</w:t>
      </w:r>
      <w:r w:rsidRPr="007D0AA8">
        <w:rPr>
          <w:rFonts w:eastAsia="Calibri"/>
          <w:lang w:eastAsia="en-US"/>
        </w:rPr>
        <w:t xml:space="preserve"> do not define clinical benefit but the following factors ‘inform a decision to trial a cessation of therapy’</w:t>
      </w:r>
      <w:r w:rsidR="00A070E8">
        <w:rPr>
          <w:rFonts w:eastAsia="Calibri"/>
          <w:lang w:eastAsia="en-US"/>
        </w:rPr>
        <w:t xml:space="preserve"> the reviewing medical officer</w:t>
      </w:r>
      <w:r>
        <w:rPr>
          <w:rFonts w:eastAsia="Calibri"/>
          <w:lang w:eastAsia="en-US"/>
        </w:rPr>
        <w:t>:</w:t>
      </w:r>
    </w:p>
    <w:p w14:paraId="0908C48E" w14:textId="77777777" w:rsidR="00CF3BA7" w:rsidRPr="008742A1" w:rsidRDefault="00CF3BA7" w:rsidP="00D67A6E">
      <w:pPr>
        <w:pStyle w:val="ListParagraph"/>
        <w:numPr>
          <w:ilvl w:val="0"/>
          <w:numId w:val="26"/>
        </w:numPr>
        <w:spacing w:after="120"/>
        <w:ind w:left="714" w:hanging="357"/>
        <w:rPr>
          <w:rFonts w:eastAsia="Calibri"/>
          <w:lang w:eastAsia="en-US"/>
        </w:rPr>
      </w:pPr>
      <w:r w:rsidRPr="008742A1">
        <w:rPr>
          <w:rFonts w:eastAsia="Calibri"/>
          <w:lang w:eastAsia="en-US"/>
        </w:rPr>
        <w:t>An increase in IgG levels (increase compared with baseline or stabilisation towards normal)</w:t>
      </w:r>
    </w:p>
    <w:p w14:paraId="30692FBD" w14:textId="77777777" w:rsidR="00CF3BA7" w:rsidRPr="008742A1" w:rsidRDefault="00CF3BA7" w:rsidP="00D67A6E">
      <w:pPr>
        <w:pStyle w:val="ListParagraph"/>
        <w:numPr>
          <w:ilvl w:val="0"/>
          <w:numId w:val="26"/>
        </w:numPr>
        <w:spacing w:after="120"/>
        <w:ind w:left="714" w:hanging="357"/>
        <w:rPr>
          <w:rFonts w:eastAsia="Calibri"/>
          <w:lang w:eastAsia="en-US"/>
        </w:rPr>
      </w:pPr>
      <w:r w:rsidRPr="008742A1">
        <w:rPr>
          <w:rFonts w:eastAsia="Calibri"/>
          <w:lang w:eastAsia="en-US"/>
        </w:rPr>
        <w:t>An improvement in IgM levels (an indicator of humoral immune function)</w:t>
      </w:r>
    </w:p>
    <w:p w14:paraId="4E592952" w14:textId="77777777" w:rsidR="00CF3BA7" w:rsidRPr="008742A1" w:rsidRDefault="00CF3BA7" w:rsidP="00D67A6E">
      <w:pPr>
        <w:pStyle w:val="ListParagraph"/>
        <w:numPr>
          <w:ilvl w:val="0"/>
          <w:numId w:val="26"/>
        </w:numPr>
        <w:spacing w:after="120"/>
        <w:ind w:left="714" w:hanging="357"/>
        <w:rPr>
          <w:rFonts w:eastAsia="Calibri"/>
          <w:lang w:eastAsia="en-US"/>
        </w:rPr>
      </w:pPr>
      <w:r w:rsidRPr="008742A1">
        <w:rPr>
          <w:rFonts w:eastAsia="Calibri"/>
          <w:lang w:eastAsia="en-US"/>
        </w:rPr>
        <w:t>An improvement in IgA levels (an indicator of humoral immune function)</w:t>
      </w:r>
    </w:p>
    <w:p w14:paraId="4D930974" w14:textId="77777777" w:rsidR="00CF3BA7" w:rsidRPr="008742A1" w:rsidRDefault="00CF3BA7" w:rsidP="00331FB9">
      <w:pPr>
        <w:pStyle w:val="ListParagraph"/>
        <w:numPr>
          <w:ilvl w:val="0"/>
          <w:numId w:val="26"/>
        </w:numPr>
        <w:rPr>
          <w:rFonts w:eastAsia="Calibri"/>
          <w:lang w:eastAsia="en-US"/>
        </w:rPr>
      </w:pPr>
      <w:r w:rsidRPr="008742A1">
        <w:rPr>
          <w:rFonts w:eastAsia="Calibri"/>
          <w:lang w:eastAsia="en-US"/>
        </w:rPr>
        <w:t>An improvement in the number of acute episodes of bacterial infections followed by a sustained period with no infections in subsequent review periods</w:t>
      </w:r>
    </w:p>
    <w:p w14:paraId="1CDE78BD" w14:textId="040978A6" w:rsidR="00CF3BA7" w:rsidRPr="007D0AA8" w:rsidRDefault="00CF3BA7" w:rsidP="008742A1">
      <w:pPr>
        <w:rPr>
          <w:rFonts w:eastAsia="Calibri"/>
          <w:lang w:eastAsia="en-US"/>
        </w:rPr>
      </w:pPr>
      <w:r w:rsidRPr="007D0AA8">
        <w:rPr>
          <w:rFonts w:eastAsia="Calibri"/>
          <w:lang w:eastAsia="en-US"/>
        </w:rPr>
        <w:t xml:space="preserve">A trial cessation of IgG would be contraindicated on safety grounds (if the patient is receiving immunosuppressant medication or has neutropenia, active bronchiectasis, or suppurative lung </w:t>
      </w:r>
      <w:r w:rsidRPr="007D0AA8">
        <w:rPr>
          <w:rFonts w:eastAsia="Calibri"/>
          <w:lang w:eastAsia="en-US"/>
        </w:rPr>
        <w:lastRenderedPageBreak/>
        <w:t>disease) or if severe hypogammaglobulin</w:t>
      </w:r>
      <w:r w:rsidR="00FA20FD">
        <w:rPr>
          <w:rFonts w:eastAsia="Calibri"/>
          <w:lang w:eastAsia="en-US"/>
        </w:rPr>
        <w:t>a</w:t>
      </w:r>
      <w:r w:rsidRPr="007D0AA8">
        <w:rPr>
          <w:rFonts w:eastAsia="Calibri"/>
          <w:lang w:eastAsia="en-US"/>
        </w:rPr>
        <w:t>emia persists where no significant improvement has occurred in the underlying condition. Where bronchiectasis and/or suppurative lung disease is cited as the reason for continuing IgG treatment, the diagnosis must be consistent with the guideline of the Thoracic Society of Australia and New Zealand.</w:t>
      </w:r>
    </w:p>
    <w:p w14:paraId="1DCABD15" w14:textId="77777777" w:rsidR="00CF3BA7" w:rsidRPr="007D0AA8" w:rsidRDefault="00CF3BA7" w:rsidP="00CF3BA7">
      <w:pPr>
        <w:keepNext/>
        <w:spacing w:after="200" w:line="276" w:lineRule="auto"/>
        <w:rPr>
          <w:rFonts w:eastAsia="Calibri" w:cs="Times New Roman"/>
          <w:u w:val="single"/>
          <w:lang w:eastAsia="en-US"/>
        </w:rPr>
      </w:pPr>
      <w:r w:rsidRPr="007D0AA8">
        <w:rPr>
          <w:rFonts w:eastAsia="Calibri" w:cs="Times New Roman"/>
          <w:u w:val="single"/>
          <w:lang w:eastAsia="en-US"/>
        </w:rPr>
        <w:t>Dosing</w:t>
      </w:r>
    </w:p>
    <w:p w14:paraId="6D70E204" w14:textId="55E122A4" w:rsidR="009404AD" w:rsidRPr="007D0AA8" w:rsidRDefault="009404AD" w:rsidP="008742A1">
      <w:pPr>
        <w:rPr>
          <w:rFonts w:eastAsia="Calibri"/>
          <w:lang w:eastAsia="en-US"/>
        </w:rPr>
      </w:pPr>
      <w:r>
        <w:rPr>
          <w:rFonts w:eastAsia="Calibri" w:cs="Arial"/>
          <w:lang w:eastAsia="en-US"/>
        </w:rPr>
        <w:t xml:space="preserve">The </w:t>
      </w:r>
      <w:r w:rsidR="00A070E8">
        <w:rPr>
          <w:rFonts w:eastAsia="Calibri" w:cs="Arial"/>
          <w:lang w:eastAsia="en-US"/>
        </w:rPr>
        <w:t>default</w:t>
      </w:r>
      <w:r w:rsidR="00CD2543">
        <w:rPr>
          <w:rFonts w:eastAsia="Calibri" w:cs="Arial"/>
          <w:lang w:eastAsia="en-US"/>
        </w:rPr>
        <w:t xml:space="preserve"> </w:t>
      </w:r>
      <w:r>
        <w:rPr>
          <w:rFonts w:eastAsia="Calibri" w:cs="Arial"/>
          <w:lang w:eastAsia="en-US"/>
        </w:rPr>
        <w:t>dose in BloodSTAR is 0.4</w:t>
      </w:r>
      <w:r w:rsidR="003C78E2">
        <w:rPr>
          <w:rFonts w:eastAsia="Calibri" w:cs="Arial"/>
          <w:lang w:eastAsia="en-US"/>
        </w:rPr>
        <w:t xml:space="preserve"> </w:t>
      </w:r>
      <w:r w:rsidR="00A070E8">
        <w:rPr>
          <w:rFonts w:eastAsia="Calibri" w:cs="Arial"/>
          <w:lang w:eastAsia="en-US"/>
        </w:rPr>
        <w:t>g</w:t>
      </w:r>
      <w:r>
        <w:rPr>
          <w:rFonts w:eastAsia="Calibri" w:cs="Arial"/>
          <w:lang w:eastAsia="en-US"/>
        </w:rPr>
        <w:t xml:space="preserve">/kg. </w:t>
      </w:r>
      <w:r w:rsidRPr="007D0AA8">
        <w:rPr>
          <w:rFonts w:eastAsia="Calibri"/>
          <w:lang w:eastAsia="en-US"/>
        </w:rPr>
        <w:t>The majority of documentation reviewed cites a maintenance dose for IVIg of 0.4</w:t>
      </w:r>
      <w:r w:rsidR="003C78E2">
        <w:rPr>
          <w:rFonts w:eastAsia="Calibri"/>
          <w:lang w:eastAsia="en-US"/>
        </w:rPr>
        <w:t xml:space="preserve"> </w:t>
      </w:r>
      <w:r w:rsidRPr="007D0AA8">
        <w:rPr>
          <w:rFonts w:eastAsia="Calibri"/>
          <w:lang w:eastAsia="en-US"/>
        </w:rPr>
        <w:t>g/kg every four weeks, however, doses lower than 0.4g/kg may be used during titration. A maximum IgG dose of up to 1</w:t>
      </w:r>
      <w:r w:rsidR="003C78E2">
        <w:rPr>
          <w:rFonts w:eastAsia="Calibri"/>
          <w:lang w:eastAsia="en-US"/>
        </w:rPr>
        <w:t xml:space="preserve"> </w:t>
      </w:r>
      <w:r w:rsidRPr="007D0AA8">
        <w:rPr>
          <w:rFonts w:eastAsia="Calibri"/>
          <w:lang w:eastAsia="en-US"/>
        </w:rPr>
        <w:t>g/kg may be given. Dosing may be divided to give two or more infusions within the month. Dosing for SCIg is 0.1</w:t>
      </w:r>
      <w:r w:rsidR="003C78E2">
        <w:rPr>
          <w:rFonts w:eastAsia="Calibri"/>
          <w:lang w:eastAsia="en-US"/>
        </w:rPr>
        <w:t xml:space="preserve"> </w:t>
      </w:r>
      <w:r w:rsidRPr="007D0AA8">
        <w:rPr>
          <w:rFonts w:eastAsia="Calibri"/>
          <w:lang w:eastAsia="en-US"/>
        </w:rPr>
        <w:t xml:space="preserve">g/kg per week (based on patient’s lean or ideal body weight). Modification of infusion rate and/or administration of divided doses may be required to manage infusion reactions which are relatively common with this type of product.  </w:t>
      </w:r>
    </w:p>
    <w:p w14:paraId="63606232" w14:textId="77777777" w:rsidR="00CF3BA7" w:rsidRPr="007D0AA8" w:rsidRDefault="00CF3BA7" w:rsidP="008742A1">
      <w:pPr>
        <w:rPr>
          <w:rFonts w:eastAsia="Calibri"/>
          <w:lang w:eastAsia="en-US"/>
        </w:rPr>
      </w:pPr>
      <w:r w:rsidRPr="007D0AA8">
        <w:rPr>
          <w:rFonts w:eastAsia="Calibri"/>
          <w:lang w:eastAsia="en-US"/>
        </w:rPr>
        <w:t xml:space="preserve">The applicant states that the usual length of an authorisation for maintenance therapy is one year, though they can be as short as one month. Continuing therapy is allowed so treatment duration can exceed one year. The majority of patients have more than one authorisation. </w:t>
      </w:r>
    </w:p>
    <w:p w14:paraId="03A40E08" w14:textId="7FAF1B75" w:rsidR="00CF3BA7" w:rsidRPr="007D0AA8" w:rsidRDefault="00CF3BA7" w:rsidP="008742A1">
      <w:pPr>
        <w:rPr>
          <w:rFonts w:eastAsia="Calibri"/>
          <w:lang w:eastAsia="en-US"/>
        </w:rPr>
      </w:pPr>
      <w:r w:rsidRPr="007D0AA8">
        <w:rPr>
          <w:rFonts w:eastAsia="Calibri"/>
          <w:lang w:eastAsia="en-US"/>
        </w:rPr>
        <w:t>Specialists may prescribe an initial loading dose of 0.4</w:t>
      </w:r>
      <w:r w:rsidR="003C78E2">
        <w:rPr>
          <w:rFonts w:eastAsia="Calibri"/>
          <w:lang w:eastAsia="en-US"/>
        </w:rPr>
        <w:t xml:space="preserve"> </w:t>
      </w:r>
      <w:r w:rsidRPr="007D0AA8">
        <w:rPr>
          <w:rFonts w:eastAsia="Calibri"/>
          <w:lang w:eastAsia="en-US"/>
        </w:rPr>
        <w:t>g/kg (on top of monthly maintenance supply) and a one-off dose of 2</w:t>
      </w:r>
      <w:r w:rsidR="003C78E2">
        <w:rPr>
          <w:rFonts w:eastAsia="Calibri"/>
          <w:lang w:eastAsia="en-US"/>
        </w:rPr>
        <w:t xml:space="preserve"> </w:t>
      </w:r>
      <w:r w:rsidRPr="007D0AA8">
        <w:rPr>
          <w:rFonts w:eastAsia="Calibri"/>
          <w:lang w:eastAsia="en-US"/>
        </w:rPr>
        <w:t>g/kg is for disseminated enterovirus infection. The Ig Review Reference Group confirmed that disseminated enterovirus infection should be considered a separate indication.</w:t>
      </w:r>
    </w:p>
    <w:p w14:paraId="47BAF1AB" w14:textId="77777777" w:rsidR="00CF3BA7" w:rsidRPr="00AE4873" w:rsidRDefault="00CF3BA7" w:rsidP="00CF3BA7">
      <w:pPr>
        <w:keepNext/>
        <w:spacing w:after="200" w:line="276" w:lineRule="auto"/>
        <w:rPr>
          <w:rFonts w:eastAsia="Calibri" w:cs="Times New Roman"/>
          <w:lang w:eastAsia="en-US"/>
        </w:rPr>
      </w:pPr>
      <w:r w:rsidRPr="007D0AA8">
        <w:rPr>
          <w:rFonts w:eastAsia="Calibri" w:cs="Times New Roman"/>
          <w:u w:val="single"/>
          <w:lang w:eastAsia="en-US"/>
        </w:rPr>
        <w:t>Monitoring</w:t>
      </w:r>
    </w:p>
    <w:p w14:paraId="786A6E21" w14:textId="77777777" w:rsidR="00AE4873" w:rsidRPr="00AE4873" w:rsidRDefault="00CF3BA7" w:rsidP="008742A1">
      <w:pPr>
        <w:rPr>
          <w:rFonts w:eastAsia="Calibri"/>
          <w:lang w:eastAsia="en-US"/>
        </w:rPr>
      </w:pPr>
      <w:r w:rsidRPr="007D0AA8">
        <w:rPr>
          <w:rFonts w:eastAsia="Calibri"/>
          <w:lang w:eastAsia="en-US"/>
        </w:rPr>
        <w:t xml:space="preserve">Cessation of Ig therapy should be considered at least after each twelve months of treatment. If serum IgM and IgA levels are trending upwards and near normal, this may suggest recovery of the immune system and a trial might be considered if the patient is well. Once the patient has normal IgA and IgM levels, the IgG is also likely to be normal and a trial off therapy may be undertaken. </w:t>
      </w:r>
    </w:p>
    <w:p w14:paraId="595D9CCA" w14:textId="0019CA16" w:rsidR="009404AD" w:rsidRPr="007D0AA8" w:rsidRDefault="009404AD" w:rsidP="008742A1">
      <w:pPr>
        <w:rPr>
          <w:rFonts w:eastAsia="Calibri"/>
          <w:lang w:eastAsia="en-US"/>
        </w:rPr>
      </w:pPr>
      <w:r>
        <w:rPr>
          <w:rFonts w:eastAsia="Calibri"/>
          <w:lang w:eastAsia="en-US"/>
        </w:rPr>
        <w:t xml:space="preserve">Monitoring of IgG trough levels enables dose adjustments as described above though no frequency is defined by </w:t>
      </w:r>
      <w:r>
        <w:rPr>
          <w:rFonts w:eastAsia="Calibri"/>
          <w:i/>
          <w:lang w:eastAsia="en-US"/>
        </w:rPr>
        <w:t xml:space="preserve">the Criteria Version </w:t>
      </w:r>
      <w:r w:rsidRPr="00D72EE3">
        <w:rPr>
          <w:rFonts w:eastAsia="Calibri"/>
          <w:lang w:eastAsia="en-US"/>
        </w:rPr>
        <w:t>3</w:t>
      </w:r>
      <w:r>
        <w:rPr>
          <w:rFonts w:eastAsia="Calibri"/>
          <w:lang w:eastAsia="en-US"/>
        </w:rPr>
        <w:t xml:space="preserve">. </w:t>
      </w:r>
    </w:p>
    <w:p w14:paraId="3947D946" w14:textId="77777777" w:rsidR="00292C21" w:rsidRPr="00386411" w:rsidRDefault="00292C21" w:rsidP="00292C21">
      <w:pPr>
        <w:pStyle w:val="Heading3"/>
      </w:pPr>
      <w:bookmarkStart w:id="179" w:name="_Toc14431121"/>
      <w:bookmarkStart w:id="180" w:name="_Toc16856289"/>
      <w:r w:rsidRPr="00386411">
        <w:t>Other Indications</w:t>
      </w:r>
      <w:bookmarkEnd w:id="179"/>
      <w:bookmarkEnd w:id="180"/>
    </w:p>
    <w:p w14:paraId="106CB290" w14:textId="77777777" w:rsidR="00E03422" w:rsidRPr="007D0AA8" w:rsidRDefault="00E03422" w:rsidP="003C0114">
      <w:r w:rsidRPr="007D0AA8">
        <w:t xml:space="preserve">According to </w:t>
      </w:r>
      <w:r w:rsidRPr="007D0AA8">
        <w:rPr>
          <w:i/>
        </w:rPr>
        <w:t>the</w:t>
      </w:r>
      <w:r w:rsidRPr="007D0AA8">
        <w:t xml:space="preserve"> </w:t>
      </w:r>
      <w:r w:rsidRPr="007D0AA8">
        <w:rPr>
          <w:i/>
        </w:rPr>
        <w:t>Criteria</w:t>
      </w:r>
      <w:r w:rsidRPr="007D0AA8">
        <w:t>, the indication sought is separate to a similar indication “</w:t>
      </w:r>
      <w:r w:rsidRPr="007D0AA8">
        <w:rPr>
          <w:i/>
        </w:rPr>
        <w:t>Secondary hypogammaglobulinaemia unrelated to Haematological malignancy or HSCT”</w:t>
      </w:r>
      <w:r w:rsidRPr="007D0AA8">
        <w:t xml:space="preserve"> (including patients with low plasma IgG due to B cell depletion or immunosuppressant therapies, or underlying health conditions such as thymoma). The distinction between the terms ‘acquired’ versus ‘secondary’ hypogammaglobulinaemia is specific to these diagnostic groups in </w:t>
      </w:r>
      <w:r w:rsidRPr="007D0AA8">
        <w:rPr>
          <w:i/>
        </w:rPr>
        <w:t>the Criteria</w:t>
      </w:r>
      <w:r w:rsidR="00DB0E96" w:rsidRPr="007D0AA8">
        <w:rPr>
          <w:i/>
        </w:rPr>
        <w:t xml:space="preserve"> Version 3</w:t>
      </w:r>
      <w:r w:rsidRPr="007D0AA8">
        <w:t xml:space="preserve">. Elsewhere, and in the scientific literature ‘secondary hypogammaglobulinaemia’ often includes conditions covered by both indications.  </w:t>
      </w:r>
    </w:p>
    <w:p w14:paraId="350B020C" w14:textId="0F7D4133" w:rsidR="00E03422" w:rsidRPr="007D0AA8" w:rsidRDefault="00E03422" w:rsidP="003C0114">
      <w:r w:rsidRPr="007D0AA8">
        <w:lastRenderedPageBreak/>
        <w:t xml:space="preserve">Other uses of IgG such as replacement therapy in patients with primary hypogammaglobulinaemia (due to Common Variable Immune Deficiency for example) and immune-modulatory uses (such as for myasthenia gravis) are funded separately under the </w:t>
      </w:r>
      <w:r w:rsidR="003735E3" w:rsidRPr="007D0AA8">
        <w:t>N</w:t>
      </w:r>
      <w:r w:rsidRPr="007D0AA8">
        <w:t xml:space="preserve">ational </w:t>
      </w:r>
      <w:r w:rsidR="003735E3" w:rsidRPr="007D0AA8">
        <w:t>B</w:t>
      </w:r>
      <w:r w:rsidRPr="007D0AA8">
        <w:t xml:space="preserve">lood </w:t>
      </w:r>
      <w:r w:rsidR="003735E3" w:rsidRPr="007D0AA8">
        <w:t>S</w:t>
      </w:r>
      <w:r w:rsidRPr="007D0AA8">
        <w:t>upply arrangements.</w:t>
      </w:r>
    </w:p>
    <w:p w14:paraId="025A67FF" w14:textId="76480391" w:rsidR="00835007" w:rsidRPr="00386411" w:rsidRDefault="00AB3CB2" w:rsidP="00331FB9">
      <w:pPr>
        <w:pStyle w:val="Heading2"/>
        <w:numPr>
          <w:ilvl w:val="0"/>
          <w:numId w:val="8"/>
        </w:numPr>
      </w:pPr>
      <w:bookmarkStart w:id="181" w:name="_Toc381796450"/>
      <w:bookmarkStart w:id="182" w:name="_Toc14431122"/>
      <w:bookmarkStart w:id="183" w:name="_Toc327540865"/>
      <w:bookmarkStart w:id="184" w:name="_Toc379118069"/>
      <w:bookmarkStart w:id="185" w:name="_Toc381796447"/>
      <w:bookmarkEnd w:id="176"/>
      <w:bookmarkEnd w:id="177"/>
      <w:bookmarkEnd w:id="178"/>
      <w:r w:rsidRPr="00386411" w:rsidDel="00A134DA">
        <w:t xml:space="preserve"> </w:t>
      </w:r>
      <w:bookmarkStart w:id="186" w:name="_Toc16856290"/>
      <w:r w:rsidRPr="00386411" w:rsidDel="00A134DA">
        <w:t>Public F</w:t>
      </w:r>
      <w:r w:rsidR="00835007" w:rsidRPr="00386411" w:rsidDel="00A134DA">
        <w:t>unding</w:t>
      </w:r>
      <w:bookmarkEnd w:id="181"/>
      <w:bookmarkEnd w:id="182"/>
      <w:bookmarkEnd w:id="186"/>
    </w:p>
    <w:p w14:paraId="615448BF" w14:textId="6B980AC8" w:rsidR="00E03422" w:rsidRPr="007D0AA8" w:rsidDel="00A134DA" w:rsidRDefault="00E03422" w:rsidP="003C0114">
      <w:r w:rsidRPr="007D0AA8">
        <w:t>IgG replacement therapy for haematological conditions is already funded by the NBA and represents the standard of care in Australia. The proposal is to continue the current funding arrangemen</w:t>
      </w:r>
      <w:r w:rsidR="00007D1F" w:rsidRPr="007D0AA8">
        <w:t xml:space="preserve">ts as administered by the NBA. </w:t>
      </w:r>
    </w:p>
    <w:p w14:paraId="7977C08C" w14:textId="43BDC896" w:rsidR="00C3360E" w:rsidRPr="00386411" w:rsidRDefault="0081135A" w:rsidP="00331FB9">
      <w:pPr>
        <w:pStyle w:val="Heading2"/>
        <w:numPr>
          <w:ilvl w:val="0"/>
          <w:numId w:val="8"/>
        </w:numPr>
      </w:pPr>
      <w:bookmarkStart w:id="187" w:name="_Ref2782217"/>
      <w:bookmarkStart w:id="188" w:name="_Ref2782224"/>
      <w:bookmarkStart w:id="189" w:name="_Toc14431123"/>
      <w:bookmarkStart w:id="190" w:name="_Toc16856291"/>
      <w:bookmarkStart w:id="191" w:name="_Toc379118076"/>
      <w:bookmarkStart w:id="192" w:name="_Toc381796455"/>
      <w:bookmarkStart w:id="193" w:name="_Toc379118072"/>
      <w:bookmarkStart w:id="194" w:name="_Toc355274709"/>
      <w:bookmarkEnd w:id="183"/>
      <w:bookmarkEnd w:id="184"/>
      <w:bookmarkEnd w:id="185"/>
      <w:r>
        <w:t>P</w:t>
      </w:r>
      <w:r w:rsidR="00C3360E" w:rsidRPr="00386411">
        <w:t>opulation</w:t>
      </w:r>
      <w:bookmarkEnd w:id="187"/>
      <w:bookmarkEnd w:id="188"/>
      <w:bookmarkEnd w:id="189"/>
      <w:bookmarkEnd w:id="190"/>
    </w:p>
    <w:p w14:paraId="078B5A47" w14:textId="41812D2A" w:rsidR="00A149E5" w:rsidRPr="007D0AA8" w:rsidRDefault="0016008C" w:rsidP="003C0114">
      <w:pPr>
        <w:spacing w:after="200" w:line="276" w:lineRule="auto"/>
        <w:rPr>
          <w:rFonts w:eastAsia="Calibri"/>
          <w:lang w:eastAsia="en-US"/>
        </w:rPr>
      </w:pPr>
      <w:r w:rsidRPr="007D0AA8">
        <w:rPr>
          <w:rFonts w:eastAsia="Calibri"/>
          <w:lang w:eastAsia="en-US"/>
        </w:rPr>
        <w:t xml:space="preserve">The NBA funds </w:t>
      </w:r>
      <w:r w:rsidR="00A149E5" w:rsidRPr="007D0AA8">
        <w:rPr>
          <w:rFonts w:eastAsia="Calibri"/>
          <w:lang w:eastAsia="en-US"/>
        </w:rPr>
        <w:t xml:space="preserve">IgG replacement therapy for hypogammaglobulinaemia </w:t>
      </w:r>
      <w:r w:rsidRPr="007D0AA8">
        <w:rPr>
          <w:rFonts w:eastAsia="Calibri"/>
          <w:lang w:eastAsia="en-US"/>
        </w:rPr>
        <w:t>in</w:t>
      </w:r>
      <w:r w:rsidR="00A149E5" w:rsidRPr="007D0AA8">
        <w:rPr>
          <w:rFonts w:eastAsia="Calibri"/>
          <w:lang w:eastAsia="en-US"/>
        </w:rPr>
        <w:t xml:space="preserve"> patients with the following haematological conditions:</w:t>
      </w:r>
    </w:p>
    <w:p w14:paraId="793FD472" w14:textId="3A9999A4" w:rsidR="00331DC5" w:rsidRPr="008742A1" w:rsidRDefault="00331DC5" w:rsidP="00D67A6E">
      <w:pPr>
        <w:pStyle w:val="ListParagraph"/>
        <w:numPr>
          <w:ilvl w:val="0"/>
          <w:numId w:val="27"/>
        </w:numPr>
        <w:spacing w:after="120"/>
        <w:ind w:left="714" w:hanging="357"/>
        <w:rPr>
          <w:rFonts w:eastAsia="Calibri"/>
          <w:lang w:eastAsia="en-US"/>
        </w:rPr>
      </w:pPr>
      <w:r w:rsidRPr="008742A1">
        <w:rPr>
          <w:rFonts w:eastAsia="Calibri"/>
          <w:lang w:eastAsia="en-US"/>
        </w:rPr>
        <w:t>Acute leukaemia</w:t>
      </w:r>
      <w:r w:rsidR="004E5AD4" w:rsidRPr="007D0AA8">
        <w:rPr>
          <w:rStyle w:val="FootnoteReference"/>
          <w:rFonts w:eastAsia="Calibri"/>
          <w:lang w:eastAsia="en-US"/>
        </w:rPr>
        <w:footnoteReference w:id="7"/>
      </w:r>
    </w:p>
    <w:p w14:paraId="20C6187F" w14:textId="77777777" w:rsidR="00331DC5" w:rsidRPr="008742A1" w:rsidRDefault="00331DC5" w:rsidP="00D67A6E">
      <w:pPr>
        <w:pStyle w:val="ListParagraph"/>
        <w:numPr>
          <w:ilvl w:val="0"/>
          <w:numId w:val="27"/>
        </w:numPr>
        <w:spacing w:after="120"/>
        <w:ind w:left="714" w:hanging="357"/>
        <w:rPr>
          <w:rFonts w:eastAsia="Calibri"/>
          <w:lang w:eastAsia="en-US"/>
        </w:rPr>
      </w:pPr>
      <w:r w:rsidRPr="008742A1">
        <w:rPr>
          <w:rFonts w:eastAsia="Calibri"/>
          <w:lang w:eastAsia="en-US"/>
        </w:rPr>
        <w:t>Chronic lymphocytic leukaemia (CLL)</w:t>
      </w:r>
    </w:p>
    <w:p w14:paraId="6AA67602" w14:textId="77777777" w:rsidR="00331DC5" w:rsidRPr="008742A1" w:rsidRDefault="00331DC5" w:rsidP="00D67A6E">
      <w:pPr>
        <w:pStyle w:val="ListParagraph"/>
        <w:numPr>
          <w:ilvl w:val="0"/>
          <w:numId w:val="27"/>
        </w:numPr>
        <w:spacing w:after="120"/>
        <w:ind w:left="714" w:hanging="357"/>
        <w:rPr>
          <w:rFonts w:eastAsia="Calibri"/>
          <w:lang w:eastAsia="en-US"/>
        </w:rPr>
      </w:pPr>
      <w:r w:rsidRPr="008742A1">
        <w:rPr>
          <w:rFonts w:eastAsia="Calibri"/>
          <w:lang w:eastAsia="en-US"/>
        </w:rPr>
        <w:t>Multiple myeloma (MM)</w:t>
      </w:r>
    </w:p>
    <w:p w14:paraId="0F0A1B92" w14:textId="3B2641CF" w:rsidR="00331DC5" w:rsidRPr="008742A1" w:rsidRDefault="00331DC5" w:rsidP="00D67A6E">
      <w:pPr>
        <w:pStyle w:val="ListParagraph"/>
        <w:numPr>
          <w:ilvl w:val="0"/>
          <w:numId w:val="27"/>
        </w:numPr>
        <w:spacing w:after="120"/>
        <w:ind w:left="714" w:hanging="357"/>
        <w:rPr>
          <w:rFonts w:eastAsia="Calibri"/>
          <w:lang w:eastAsia="en-US"/>
        </w:rPr>
      </w:pPr>
      <w:r w:rsidRPr="008742A1">
        <w:rPr>
          <w:rFonts w:eastAsia="Calibri"/>
          <w:lang w:eastAsia="en-US"/>
        </w:rPr>
        <w:t>Non‐Hodgkin lymphoma (NHL)</w:t>
      </w:r>
      <w:r w:rsidR="00733ADD" w:rsidRPr="007D0AA8">
        <w:rPr>
          <w:rStyle w:val="FootnoteReference"/>
          <w:rFonts w:eastAsia="Calibri"/>
          <w:lang w:eastAsia="en-US"/>
        </w:rPr>
        <w:footnoteReference w:id="8"/>
      </w:r>
    </w:p>
    <w:p w14:paraId="11D078A6" w14:textId="16D9E72F" w:rsidR="00331DC5" w:rsidRPr="008742A1" w:rsidRDefault="00331DC5" w:rsidP="00D67A6E">
      <w:pPr>
        <w:pStyle w:val="ListParagraph"/>
        <w:numPr>
          <w:ilvl w:val="0"/>
          <w:numId w:val="27"/>
        </w:numPr>
        <w:spacing w:after="120"/>
        <w:ind w:left="714" w:hanging="357"/>
        <w:rPr>
          <w:rFonts w:eastAsia="Calibri"/>
          <w:lang w:eastAsia="en-US"/>
        </w:rPr>
      </w:pPr>
      <w:r w:rsidRPr="008742A1">
        <w:rPr>
          <w:rFonts w:eastAsia="Calibri"/>
          <w:lang w:eastAsia="en-US"/>
        </w:rPr>
        <w:t>Other haematological malignancy</w:t>
      </w:r>
      <w:r w:rsidR="00F64494" w:rsidRPr="007D0AA8">
        <w:rPr>
          <w:rStyle w:val="FootnoteReference"/>
          <w:rFonts w:eastAsia="Calibri"/>
          <w:lang w:eastAsia="en-US"/>
        </w:rPr>
        <w:footnoteReference w:id="9"/>
      </w:r>
    </w:p>
    <w:p w14:paraId="05B12C29" w14:textId="77777777" w:rsidR="00331DC5" w:rsidRPr="008742A1" w:rsidRDefault="00331DC5" w:rsidP="00331FB9">
      <w:pPr>
        <w:pStyle w:val="ListParagraph"/>
        <w:numPr>
          <w:ilvl w:val="0"/>
          <w:numId w:val="27"/>
        </w:numPr>
        <w:rPr>
          <w:rFonts w:eastAsia="Calibri"/>
          <w:lang w:eastAsia="en-US"/>
        </w:rPr>
      </w:pPr>
      <w:r w:rsidRPr="008742A1">
        <w:rPr>
          <w:rFonts w:eastAsia="Calibri"/>
          <w:lang w:eastAsia="en-US"/>
        </w:rPr>
        <w:t>Also; memory B cell deficiency secondary to HSCT</w:t>
      </w:r>
    </w:p>
    <w:p w14:paraId="68F03F42" w14:textId="4B171483" w:rsidR="00A149E5" w:rsidRPr="007D0AA8" w:rsidRDefault="00331DC5" w:rsidP="008742A1">
      <w:pPr>
        <w:rPr>
          <w:rFonts w:eastAsia="Calibri"/>
          <w:lang w:eastAsia="en-US"/>
        </w:rPr>
      </w:pPr>
      <w:r w:rsidRPr="007D0AA8">
        <w:rPr>
          <w:rFonts w:eastAsia="Calibri"/>
          <w:lang w:eastAsia="en-US"/>
        </w:rPr>
        <w:t xml:space="preserve">Each of these conditions carries a different baseline risk of hypogammaglobulinaemia, infections, long-term prognosis, mortality and other factors. Of the conditions encompassed by this indication, hypogammaglobulinaemia is found in 25% of patients at diagnosis and will occur in up to 85% during the disease course </w:t>
      </w:r>
      <w:r w:rsidRPr="007D0AA8">
        <w:rPr>
          <w:rFonts w:eastAsia="Calibri"/>
          <w:lang w:eastAsia="en-US"/>
        </w:rPr>
        <w:fldChar w:fldCharType="begin"/>
      </w:r>
      <w:r w:rsidR="005E1360" w:rsidRPr="007D0AA8">
        <w:rPr>
          <w:rFonts w:eastAsia="Calibri"/>
          <w:lang w:eastAsia="en-US"/>
        </w:rPr>
        <w:instrText xml:space="preserve"> ADDIN EN.CITE &lt;EndNote&gt;&lt;Cite&gt;&lt;Author&gt;Sanchez-Ramon&lt;/Author&gt;&lt;Year&gt;2016&lt;/Year&gt;&lt;RecNum&gt;24&lt;/RecNum&gt;&lt;DisplayText&gt;(Sanchez-Ramon, Dhalla &amp;amp; Chapel 2016)&lt;/DisplayText&gt;&lt;record&gt;&lt;rec-number&gt;24&lt;/rec-number&gt;&lt;foreign-keys&gt;&lt;key app="EN" db-id="z0vwsepdwpt20pewwts5z9eup9e2r2pd2tad" timestamp="1553825060"&gt;24&lt;/key&gt;&lt;/foreign-keys&gt;&lt;ref-type name="Journal Article"&gt;17&lt;/ref-type&gt;&lt;contributors&gt;&lt;authors&gt;&lt;author&gt;Sanchez-Ramon, S.&lt;/author&gt;&lt;author&gt;Dhalla, F.&lt;/author&gt;&lt;author&gt;Chapel, H.&lt;/author&gt;&lt;/authors&gt;&lt;/contributors&gt;&lt;auth-address&gt;Department of Clinical Immunology and IdISSC, Hospital Clinico San Carlos, Madrid, Spain; Department of Microbiology I, Complutense University School of Medicine, Madrid, Spain. Nuffield Department of Medicine, University of Oxford, Oxford, UK; Department of Clinical Immunology, John Radcliffe Hospital, Headington, Oxford, UK.&lt;/auth-address&gt;&lt;titles&gt;&lt;title&gt;Challenges in the Role of Gammaglobulin Replacement Therapy and Vaccination Strategies for Hematological Malignancy&lt;/title&gt;&lt;secondary-title&gt;Front Immunol&lt;/secondary-title&gt;&lt;/titles&gt;&lt;periodical&gt;&lt;full-title&gt;Front Immunol&lt;/full-title&gt;&lt;/periodical&gt;&lt;pages&gt;317&lt;/pages&gt;&lt;volume&gt;7&lt;/volume&gt;&lt;keywords&gt;&lt;keyword&gt;antibody production defect&lt;/keyword&gt;&lt;keyword&gt;chronic lymphocytic leukemia&lt;/keyword&gt;&lt;keyword&gt;hematological malignancy&lt;/keyword&gt;&lt;keyword&gt;hypogammaglobulinemia&lt;/keyword&gt;&lt;keyword&gt;multiple myeloma&lt;/keyword&gt;&lt;keyword&gt;replacement immunoglobulins&lt;/keyword&gt;&lt;keyword&gt;Hematologic Neoplasms&lt;/keyword&gt;&lt;keyword&gt;Immunotherapy, Active&lt;/keyword&gt;&lt;keyword&gt;Vaccination&lt;/keyword&gt;&lt;/keywords&gt;&lt;dates&gt;&lt;year&gt;2016&lt;/year&gt;&lt;pub-dates&gt;&lt;date&gt;2016&lt;/date&gt;&lt;/pub-dates&gt;&lt;/dates&gt;&lt;isbn&gt;1664-3224 (Print) 1664-3224 (Linking)&lt;/isbn&gt;&lt;accession-num&gt;27597852&lt;/accession-num&gt;&lt;urls&gt;&lt;related-urls&gt;&lt;url&gt;&lt;style face="underline" font="default" size="100%"&gt;https://www.ncbi.nlm.nih.gov/pubmed/27597852&lt;/style&gt;&lt;/url&gt;&lt;/related-urls&gt;&lt;/urls&gt;&lt;custom1&gt;RAYYAN-INCLUSION: {&amp;quot;Skye&amp;quot;=&amp;gt;&amp;quot;Included&amp;quot;}&lt;/custom1&gt;&lt;research-notes&gt;X - background info&lt;/research-notes&gt;&lt;/record&gt;&lt;/Cite&gt;&lt;/EndNote&gt;</w:instrText>
      </w:r>
      <w:r w:rsidRPr="007D0AA8">
        <w:rPr>
          <w:rFonts w:eastAsia="Calibri"/>
          <w:lang w:eastAsia="en-US"/>
        </w:rPr>
        <w:fldChar w:fldCharType="separate"/>
      </w:r>
      <w:r w:rsidR="005E1360" w:rsidRPr="007D0AA8">
        <w:rPr>
          <w:rFonts w:eastAsia="Calibri"/>
          <w:noProof/>
          <w:lang w:eastAsia="en-US"/>
        </w:rPr>
        <w:t>(</w:t>
      </w:r>
      <w:hyperlink w:anchor="_ENREF_45" w:tooltip="Sanchez-Ramon, 2016 #24" w:history="1">
        <w:r w:rsidR="00BB0145" w:rsidRPr="007D0AA8">
          <w:rPr>
            <w:rFonts w:eastAsia="Calibri"/>
            <w:noProof/>
            <w:lang w:eastAsia="en-US"/>
          </w:rPr>
          <w:t>Sanchez-Ramon, Dhalla &amp; Chapel 2016</w:t>
        </w:r>
      </w:hyperlink>
      <w:r w:rsidR="005E1360" w:rsidRPr="007D0AA8">
        <w:rPr>
          <w:rFonts w:eastAsia="Calibri"/>
          <w:noProof/>
          <w:lang w:eastAsia="en-US"/>
        </w:rPr>
        <w:t>)</w:t>
      </w:r>
      <w:r w:rsidRPr="007D0AA8">
        <w:rPr>
          <w:rFonts w:eastAsia="Calibri"/>
          <w:lang w:eastAsia="en-US"/>
        </w:rPr>
        <w:fldChar w:fldCharType="end"/>
      </w:r>
      <w:r w:rsidRPr="007D0AA8">
        <w:rPr>
          <w:rFonts w:eastAsia="Calibri"/>
          <w:lang w:eastAsia="en-US"/>
        </w:rPr>
        <w:t xml:space="preserve">. In CLL patients for example, hypogammaglobulinaemia is more pronounced with advanced disease stage and disease duration: 50% to 60% of CLL patients will die from infectious complications </w:t>
      </w:r>
      <w:r w:rsidRPr="007D0AA8">
        <w:rPr>
          <w:rFonts w:eastAsia="Calibri"/>
          <w:lang w:eastAsia="en-US"/>
        </w:rPr>
        <w:fldChar w:fldCharType="begin"/>
      </w:r>
      <w:r w:rsidR="005E1360" w:rsidRPr="007D0AA8">
        <w:rPr>
          <w:rFonts w:eastAsia="Calibri"/>
          <w:lang w:eastAsia="en-US"/>
        </w:rPr>
        <w:instrText xml:space="preserve"> ADDIN EN.CITE &lt;EndNote&gt;&lt;Cite&gt;&lt;Author&gt;Wadhwa&lt;/Author&gt;&lt;Year&gt;2006&lt;/Year&gt;&lt;RecNum&gt;12&lt;/RecNum&gt;&lt;DisplayText&gt;(Wadhwa &amp;amp; Morrison 2006)&lt;/DisplayText&gt;&lt;record&gt;&lt;rec-number&gt;12&lt;/rec-number&gt;&lt;foreign-keys&gt;&lt;key app="EN" db-id="r52pep2xqzzs95eap0gvsxxyapa2afa2vtpf" timestamp="1549419648"&gt;12&lt;/key&gt;&lt;/foreign-keys&gt;&lt;ref-type name="Journal Article"&gt;17&lt;/ref-type&gt;&lt;contributors&gt;&lt;authors&gt;&lt;author&gt;Wadhwa, P. D.&lt;/author&gt;&lt;author&gt;Morrison, V. A.&lt;/author&gt;&lt;/authors&gt;&lt;/contributors&gt;&lt;auth-address&gt;Section of Hematology/Oncology, Veterans Affairs Medical Center, University of Minnesota, Minneapolis, MN 55417, USA. punit.wadhwa@med.va.gov&lt;/auth-address&gt;&lt;titles&gt;&lt;title&gt;Infectious complications of chronic lymphocytic leukemia&lt;/title&gt;&lt;secondary-title&gt;Semin Oncol&lt;/secondary-title&gt;&lt;/titles&gt;&lt;periodical&gt;&lt;full-title&gt;Semin Oncol&lt;/full-title&gt;&lt;/periodical&gt;&lt;pages&gt;240-9&lt;/pages&gt;&lt;volume&gt;33&lt;/volume&gt;&lt;number&gt;2&lt;/number&gt;&lt;keywords&gt;&lt;keyword&gt;Antineoplastic Agents/adverse effects/therapeutic use&lt;/keyword&gt;&lt;keyword&gt;Clinical Trials as Topic&lt;/keyword&gt;&lt;keyword&gt;Communicable Diseases/*etiology/*therapy&lt;/keyword&gt;&lt;keyword&gt;Humans&lt;/keyword&gt;&lt;keyword&gt;Leukemia, Lymphocytic, Chronic, B-Cell/*complications/drug therapy/immunology&lt;/keyword&gt;&lt;keyword&gt;Risk Factors&lt;/keyword&gt;&lt;/keywords&gt;&lt;dates&gt;&lt;year&gt;2006&lt;/year&gt;&lt;pub-dates&gt;&lt;date&gt;Apr&lt;/date&gt;&lt;/pub-dates&gt;&lt;/dates&gt;&lt;isbn&gt;0093-7754 (Print)&amp;#xD;0093-7754 (Linking)&lt;/isbn&gt;&lt;accession-num&gt;16616071&lt;/accession-num&gt;&lt;urls&gt;&lt;related-urls&gt;&lt;url&gt;https://www.ncbi.nlm.nih.gov/pubmed/16616071&lt;/url&gt;&lt;/related-urls&gt;&lt;/urls&gt;&lt;electronic-resource-num&gt;10.1053/j.seminoncol.2005.12.013&lt;/electronic-resource-num&gt;&lt;/record&gt;&lt;/Cite&gt;&lt;/EndNote&gt;</w:instrText>
      </w:r>
      <w:r w:rsidRPr="007D0AA8">
        <w:rPr>
          <w:rFonts w:eastAsia="Calibri"/>
          <w:lang w:eastAsia="en-US"/>
        </w:rPr>
        <w:fldChar w:fldCharType="separate"/>
      </w:r>
      <w:r w:rsidR="005E1360" w:rsidRPr="007D0AA8">
        <w:rPr>
          <w:rFonts w:eastAsia="Calibri"/>
          <w:noProof/>
          <w:lang w:eastAsia="en-US"/>
        </w:rPr>
        <w:t>(</w:t>
      </w:r>
      <w:hyperlink w:anchor="_ENREF_55" w:tooltip="Wadhwa, 2006 #12" w:history="1">
        <w:r w:rsidR="00BB0145" w:rsidRPr="007D0AA8">
          <w:rPr>
            <w:rFonts w:eastAsia="Calibri"/>
            <w:noProof/>
            <w:lang w:eastAsia="en-US"/>
          </w:rPr>
          <w:t>Wadhwa &amp; Morrison 2006</w:t>
        </w:r>
      </w:hyperlink>
      <w:r w:rsidR="005E1360" w:rsidRPr="007D0AA8">
        <w:rPr>
          <w:rFonts w:eastAsia="Calibri"/>
          <w:noProof/>
          <w:lang w:eastAsia="en-US"/>
        </w:rPr>
        <w:t>)</w:t>
      </w:r>
      <w:r w:rsidRPr="007D0AA8">
        <w:rPr>
          <w:rFonts w:eastAsia="Calibri"/>
          <w:lang w:eastAsia="en-US"/>
        </w:rPr>
        <w:fldChar w:fldCharType="end"/>
      </w:r>
      <w:r w:rsidRPr="007D0AA8">
        <w:rPr>
          <w:rFonts w:eastAsia="Calibri"/>
          <w:lang w:eastAsia="en-US"/>
        </w:rPr>
        <w:t xml:space="preserve">. </w:t>
      </w:r>
      <w:r w:rsidR="00A149E5" w:rsidRPr="007D0AA8">
        <w:rPr>
          <w:rFonts w:eastAsia="Calibri"/>
          <w:lang w:eastAsia="en-US"/>
        </w:rPr>
        <w:t xml:space="preserve">When hypogammaglobulinaemia does occur secondary to haematological conditions, the diagnosis and clinical management of it is common across these patients.  </w:t>
      </w:r>
    </w:p>
    <w:p w14:paraId="632CE7AB" w14:textId="49BE1E39" w:rsidR="00331DC5" w:rsidRPr="007D0AA8" w:rsidRDefault="00331DC5" w:rsidP="003C0114">
      <w:pPr>
        <w:rPr>
          <w:rFonts w:eastAsia="Calibri"/>
          <w:lang w:eastAsia="en-US"/>
        </w:rPr>
      </w:pPr>
      <w:r w:rsidRPr="007D0AA8">
        <w:rPr>
          <w:rFonts w:eastAsia="Calibri"/>
          <w:i/>
          <w:lang w:eastAsia="en-US"/>
        </w:rPr>
        <w:lastRenderedPageBreak/>
        <w:t xml:space="preserve">The Criteria Version 3 </w:t>
      </w:r>
      <w:r w:rsidRPr="007D0AA8">
        <w:rPr>
          <w:rFonts w:eastAsia="Calibri"/>
          <w:lang w:eastAsia="en-US"/>
        </w:rPr>
        <w:t>provide</w:t>
      </w:r>
      <w:r w:rsidR="00312A22" w:rsidRPr="007D0AA8">
        <w:rPr>
          <w:rFonts w:eastAsia="Calibri"/>
          <w:lang w:eastAsia="en-US"/>
        </w:rPr>
        <w:t>s</w:t>
      </w:r>
      <w:r w:rsidRPr="007D0AA8">
        <w:rPr>
          <w:rFonts w:eastAsia="Calibri"/>
          <w:lang w:eastAsia="en-US"/>
        </w:rPr>
        <w:t xml:space="preserve"> for IgG supply as follows:</w:t>
      </w:r>
    </w:p>
    <w:p w14:paraId="4CC07991" w14:textId="235672B5" w:rsidR="00331DC5" w:rsidRPr="00D67A6E" w:rsidRDefault="00331DC5" w:rsidP="00D67A6E">
      <w:pPr>
        <w:pStyle w:val="ListParagraph"/>
        <w:numPr>
          <w:ilvl w:val="0"/>
          <w:numId w:val="31"/>
        </w:numPr>
        <w:spacing w:after="200" w:line="276" w:lineRule="auto"/>
        <w:contextualSpacing/>
        <w:rPr>
          <w:rFonts w:eastAsia="Calibri"/>
          <w:lang w:eastAsia="en-US"/>
        </w:rPr>
      </w:pPr>
      <w:r w:rsidRPr="00D67A6E">
        <w:rPr>
          <w:rFonts w:eastAsia="Calibri"/>
          <w:lang w:eastAsia="en-US"/>
        </w:rPr>
        <w:t>Patients with serum IgG &lt;4</w:t>
      </w:r>
      <w:r w:rsidR="003C78E2">
        <w:rPr>
          <w:rFonts w:eastAsia="Calibri"/>
          <w:lang w:eastAsia="en-US"/>
        </w:rPr>
        <w:t xml:space="preserve"> </w:t>
      </w:r>
      <w:r w:rsidRPr="00D67A6E">
        <w:rPr>
          <w:rFonts w:eastAsia="Calibri"/>
          <w:lang w:eastAsia="en-US"/>
        </w:rPr>
        <w:t xml:space="preserve">g/L regardless of episodes of infection or antibiotic use. </w:t>
      </w:r>
    </w:p>
    <w:p w14:paraId="0F047F7A" w14:textId="6004C1D6" w:rsidR="00331DC5" w:rsidRPr="00D67A6E" w:rsidRDefault="00331DC5" w:rsidP="00D67A6E">
      <w:pPr>
        <w:pStyle w:val="ListParagraph"/>
        <w:numPr>
          <w:ilvl w:val="0"/>
          <w:numId w:val="31"/>
        </w:numPr>
        <w:spacing w:after="200" w:line="276" w:lineRule="auto"/>
        <w:contextualSpacing/>
        <w:rPr>
          <w:rFonts w:eastAsia="Calibri"/>
          <w:lang w:eastAsia="en-US"/>
        </w:rPr>
      </w:pPr>
      <w:r w:rsidRPr="00D67A6E">
        <w:rPr>
          <w:rFonts w:eastAsia="Calibri"/>
          <w:lang w:eastAsia="en-US"/>
        </w:rPr>
        <w:t>Patients with serum IgG &gt;4</w:t>
      </w:r>
      <w:r w:rsidR="003C78E2">
        <w:rPr>
          <w:rFonts w:eastAsia="Calibri"/>
          <w:lang w:eastAsia="en-US"/>
        </w:rPr>
        <w:t xml:space="preserve"> </w:t>
      </w:r>
      <w:r w:rsidRPr="00D67A6E">
        <w:rPr>
          <w:rFonts w:eastAsia="Calibri"/>
          <w:lang w:eastAsia="en-US"/>
        </w:rPr>
        <w:t>g/L, IF serum IgG is less than the lower limit of the age-related reference range, AND the patient has had either (1) at least one life-threatening infection in the last 12 months, or (2) two serious infections in the last six months requiring more than standard courses of antibiotics.</w:t>
      </w:r>
      <w:r w:rsidR="00D67A6E">
        <w:rPr>
          <w:rFonts w:eastAsia="Calibri"/>
          <w:lang w:eastAsia="en-US"/>
        </w:rPr>
        <w:tab/>
      </w:r>
      <w:r w:rsidRPr="00D67A6E">
        <w:rPr>
          <w:rFonts w:eastAsia="Calibri"/>
          <w:lang w:eastAsia="en-US"/>
        </w:rPr>
        <w:br/>
        <w:t>[Serum IgG refers to values excluding paraprotein]</w:t>
      </w:r>
    </w:p>
    <w:p w14:paraId="3A9B2FF5" w14:textId="77777777" w:rsidR="00331DC5" w:rsidRPr="007D0AA8" w:rsidRDefault="00331DC5" w:rsidP="00331DC5">
      <w:pPr>
        <w:spacing w:after="200" w:line="276" w:lineRule="auto"/>
        <w:contextualSpacing/>
        <w:rPr>
          <w:rFonts w:eastAsia="Calibri"/>
          <w:lang w:eastAsia="en-US"/>
        </w:rPr>
      </w:pPr>
    </w:p>
    <w:p w14:paraId="42E28235" w14:textId="2648F9DA" w:rsidR="00007D1F" w:rsidRPr="007D0AA8" w:rsidRDefault="003C7340" w:rsidP="008742A1">
      <w:r w:rsidRPr="007D0AA8">
        <w:t xml:space="preserve">These </w:t>
      </w:r>
      <w:r w:rsidR="009404AD">
        <w:t>qualifying criteria</w:t>
      </w:r>
      <w:r w:rsidRPr="007D0AA8">
        <w:t xml:space="preserve"> have evolved with </w:t>
      </w:r>
      <w:r w:rsidR="00007D1F" w:rsidRPr="007D0AA8">
        <w:t>each version of</w:t>
      </w:r>
      <w:r w:rsidRPr="007D0AA8">
        <w:t xml:space="preserve"> </w:t>
      </w:r>
      <w:r w:rsidRPr="007D0AA8">
        <w:rPr>
          <w:i/>
        </w:rPr>
        <w:t>the Criteria</w:t>
      </w:r>
      <w:r w:rsidRPr="007D0AA8">
        <w:t xml:space="preserve"> and may change in future versions. </w:t>
      </w:r>
      <w:r w:rsidR="00007D1F" w:rsidRPr="007D0AA8">
        <w:t xml:space="preserve">For the purposes of the literature search, the target population is considered to be patients with acquired hypogammaglobulinaemia (secondary to the above haematological conditions) accompanied by incidence or high risk of severe/recurrent infections. </w:t>
      </w:r>
    </w:p>
    <w:p w14:paraId="164CA2BF" w14:textId="260D9952" w:rsidR="003C7340" w:rsidRPr="007D0AA8" w:rsidRDefault="003C7340" w:rsidP="003C0114">
      <w:r w:rsidRPr="007D0AA8">
        <w:t xml:space="preserve">The Ig Review Reference Group advised that interpretation of age-related reference ranges for serum IgG would vary between pathology laboratories but would be acceptable if undertaken in </w:t>
      </w:r>
      <w:r w:rsidR="001B37A5">
        <w:t xml:space="preserve">a </w:t>
      </w:r>
      <w:r w:rsidRPr="007D0AA8">
        <w:t>laboratory</w:t>
      </w:r>
      <w:r w:rsidR="001B37A5">
        <w:t xml:space="preserve"> accredited by the </w:t>
      </w:r>
      <w:r w:rsidR="001B37A5" w:rsidRPr="001B37A5">
        <w:t>National Association of Testing Authorities</w:t>
      </w:r>
      <w:r w:rsidR="001B37A5">
        <w:t xml:space="preserve"> (NATA) for this testing</w:t>
      </w:r>
      <w:r w:rsidRPr="007D0AA8">
        <w:t>.</w:t>
      </w:r>
    </w:p>
    <w:p w14:paraId="6EA99AEA" w14:textId="0FEE23CB" w:rsidR="00DF007D" w:rsidRPr="007D0AA8" w:rsidRDefault="00DF007D" w:rsidP="003C0114">
      <w:r w:rsidRPr="007D0AA8">
        <w:t xml:space="preserve">The applicant proposes that a positive recommendation by MSAC would support the application of </w:t>
      </w:r>
      <w:r w:rsidR="00292C21" w:rsidRPr="007D0AA8">
        <w:t xml:space="preserve">the prevailing version of </w:t>
      </w:r>
      <w:r w:rsidRPr="007D0AA8">
        <w:rPr>
          <w:i/>
        </w:rPr>
        <w:t>the Criteria</w:t>
      </w:r>
      <w:r w:rsidRPr="007D0AA8">
        <w:t xml:space="preserve"> for patients to gain access to IgG treatment. </w:t>
      </w:r>
    </w:p>
    <w:p w14:paraId="2575CBAB" w14:textId="77777777" w:rsidR="00CF3BA7" w:rsidRPr="007D0AA8" w:rsidRDefault="00CF3BA7" w:rsidP="009404AD">
      <w:r w:rsidRPr="007D0AA8">
        <w:t>The Ig Review Reference Group advised that although treatment with IgG of disseminated enterovirus infection in these patients is currently permitted by</w:t>
      </w:r>
      <w:r w:rsidRPr="007D0AA8">
        <w:rPr>
          <w:i/>
        </w:rPr>
        <w:t xml:space="preserve"> the Criteria Version 3</w:t>
      </w:r>
      <w:r w:rsidRPr="007D0AA8">
        <w:t>, it should be excluded from this evaluation.</w:t>
      </w:r>
    </w:p>
    <w:p w14:paraId="704546DC" w14:textId="3DDCE6AE" w:rsidR="00007D1F" w:rsidRPr="007D0AA8" w:rsidRDefault="00007D1F" w:rsidP="00B06A88">
      <w:r w:rsidRPr="007D0AA8">
        <w:t>Some guidelines suggest IVIg doses of 0.4</w:t>
      </w:r>
      <w:r w:rsidR="003C78E2">
        <w:t xml:space="preserve"> </w:t>
      </w:r>
      <w:r w:rsidRPr="007D0AA8">
        <w:t>g/kg every three weeks, consistent with trial evidence that studied this regimen. However, four-weekly/monthly dosing with monitoring of trough levels and upward dose adjustment targeting the lower limit of the age-related IgG reference range is the prevailing recommendation.</w:t>
      </w:r>
    </w:p>
    <w:p w14:paraId="5F19B4E3" w14:textId="1569A234" w:rsidR="00CF3BA7" w:rsidRPr="007D0AA8" w:rsidRDefault="00007D1F" w:rsidP="00B06A88">
      <w:r w:rsidRPr="007D0AA8">
        <w:t>For a 70</w:t>
      </w:r>
      <w:r w:rsidR="003C78E2">
        <w:t xml:space="preserve"> </w:t>
      </w:r>
      <w:r w:rsidRPr="007D0AA8">
        <w:t>kg person, this represents a minimum the dose limits represent an annual dose of between 336</w:t>
      </w:r>
      <w:r w:rsidR="003C78E2">
        <w:t xml:space="preserve"> </w:t>
      </w:r>
      <w:r w:rsidRPr="007D0AA8">
        <w:t xml:space="preserve">g and </w:t>
      </w:r>
      <w:r w:rsidR="00DB6E7E" w:rsidRPr="007D0AA8">
        <w:t>840</w:t>
      </w:r>
      <w:r w:rsidR="003C78E2">
        <w:t xml:space="preserve"> </w:t>
      </w:r>
      <w:r w:rsidR="00DB6E7E" w:rsidRPr="007D0AA8">
        <w:t>g</w:t>
      </w:r>
      <w:r w:rsidRPr="007D0AA8">
        <w:t xml:space="preserve"> IgG. The applicant comments that the average grams per patient is much less than the maximum. Nevertheless, the average duration of Ig therapy for acquired hypogammaglobulinaemia is unknown and treatment duration is likely to vary between specific conditions due to varying mortality rates and varying remission and recovery</w:t>
      </w:r>
      <w:r w:rsidR="00B4386D">
        <w:t xml:space="preserve"> rates following chemotherapy. </w:t>
      </w:r>
      <w:r w:rsidRPr="007D0AA8">
        <w:t xml:space="preserve">Without information regarding the median and range of values for grams per patient and range of treatment durations it is not known what a typical dose is in a given month or year. </w:t>
      </w:r>
    </w:p>
    <w:p w14:paraId="6FDFB579" w14:textId="2797E588" w:rsidR="000A290B" w:rsidRPr="007D0AA8" w:rsidRDefault="00D276D8" w:rsidP="000A290B">
      <w:r w:rsidRPr="007D0AA8">
        <w:t xml:space="preserve">As a summary of </w:t>
      </w:r>
      <w:r w:rsidR="000A290B" w:rsidRPr="007D0AA8">
        <w:t xml:space="preserve">incident </w:t>
      </w:r>
      <w:r w:rsidRPr="007D0AA8">
        <w:t>patient numbers, the table produced for the PICO</w:t>
      </w:r>
      <w:r w:rsidR="00B20063" w:rsidRPr="007D0AA8">
        <w:t xml:space="preserve"> Confirmation</w:t>
      </w:r>
      <w:r w:rsidRPr="007D0AA8">
        <w:t xml:space="preserve"> has been updated with the 2017-18 data provided for this evaluation by the NBA</w:t>
      </w:r>
      <w:r w:rsidR="000A290B" w:rsidRPr="007D0AA8">
        <w:t xml:space="preserve"> (</w:t>
      </w:r>
      <w:r w:rsidR="000A290B" w:rsidRPr="007D0AA8">
        <w:fldChar w:fldCharType="begin"/>
      </w:r>
      <w:r w:rsidR="000A290B" w:rsidRPr="007D0AA8">
        <w:instrText xml:space="preserve"> REF _Ref10218013 \h  \* MERGEFORMAT </w:instrText>
      </w:r>
      <w:r w:rsidR="000A290B" w:rsidRPr="007D0AA8">
        <w:fldChar w:fldCharType="separate"/>
      </w:r>
      <w:r w:rsidR="00A7463B" w:rsidRPr="00386411">
        <w:t xml:space="preserve">Table </w:t>
      </w:r>
      <w:r w:rsidR="00A7463B">
        <w:t>12</w:t>
      </w:r>
      <w:r w:rsidR="000A290B" w:rsidRPr="007D0AA8">
        <w:fldChar w:fldCharType="end"/>
      </w:r>
      <w:r w:rsidR="000A290B" w:rsidRPr="007D0AA8">
        <w:t>). Prevalent patient numbers were not readily available</w:t>
      </w:r>
      <w:r w:rsidR="00631CAC" w:rsidRPr="007D0AA8">
        <w:t>. T</w:t>
      </w:r>
      <w:r w:rsidR="000A290B" w:rsidRPr="007D0AA8">
        <w:t>he utilisation data available from the NBA describes total treated patients</w:t>
      </w:r>
      <w:r w:rsidR="00631CAC" w:rsidRPr="007D0AA8">
        <w:t xml:space="preserve"> judged eligible according to the NBA Criteria</w:t>
      </w:r>
      <w:r w:rsidR="000A290B" w:rsidRPr="007D0AA8">
        <w:t xml:space="preserve">.  </w:t>
      </w:r>
    </w:p>
    <w:p w14:paraId="404CE96C" w14:textId="0004F8DC" w:rsidR="000A290B" w:rsidRPr="00386411" w:rsidRDefault="000A290B" w:rsidP="008742A1">
      <w:pPr>
        <w:pStyle w:val="Caption"/>
        <w:keepNext/>
      </w:pPr>
      <w:bookmarkStart w:id="195" w:name="_Ref10218013"/>
      <w:bookmarkStart w:id="196" w:name="_Toc14429555"/>
      <w:bookmarkStart w:id="197" w:name="_Toc16671610"/>
      <w:r w:rsidRPr="00386411">
        <w:lastRenderedPageBreak/>
        <w:t xml:space="preserve">Table </w:t>
      </w:r>
      <w:r w:rsidR="00F814DE">
        <w:rPr>
          <w:noProof/>
        </w:rPr>
        <w:fldChar w:fldCharType="begin"/>
      </w:r>
      <w:r w:rsidR="00F814DE">
        <w:rPr>
          <w:noProof/>
        </w:rPr>
        <w:instrText xml:space="preserve"> SEQ Table \* ARABIC </w:instrText>
      </w:r>
      <w:r w:rsidR="00F814DE">
        <w:rPr>
          <w:noProof/>
        </w:rPr>
        <w:fldChar w:fldCharType="separate"/>
      </w:r>
      <w:r w:rsidR="00A7463B">
        <w:rPr>
          <w:noProof/>
        </w:rPr>
        <w:t>12</w:t>
      </w:r>
      <w:r w:rsidR="00F814DE">
        <w:rPr>
          <w:noProof/>
        </w:rPr>
        <w:fldChar w:fldCharType="end"/>
      </w:r>
      <w:bookmarkEnd w:id="195"/>
      <w:r w:rsidRPr="00386411">
        <w:tab/>
        <w:t>Numbers of patients receiving funded IgG for this indication (2017-18)</w:t>
      </w:r>
      <w:bookmarkEnd w:id="196"/>
      <w:bookmarkEnd w:id="197"/>
    </w:p>
    <w:tbl>
      <w:tblPr>
        <w:tblStyle w:val="TableGrid"/>
        <w:tblW w:w="5000" w:type="pct"/>
        <w:tblLook w:val="04A0" w:firstRow="1" w:lastRow="0" w:firstColumn="1" w:lastColumn="0" w:noHBand="0" w:noVBand="1"/>
        <w:tblCaption w:val="Numbers of patients receiving funded IgG for this indication (2017-18)"/>
      </w:tblPr>
      <w:tblGrid>
        <w:gridCol w:w="1960"/>
        <w:gridCol w:w="1829"/>
        <w:gridCol w:w="1775"/>
        <w:gridCol w:w="1810"/>
        <w:gridCol w:w="1871"/>
      </w:tblGrid>
      <w:tr w:rsidR="000A290B" w:rsidRPr="00386411" w14:paraId="494867AE" w14:textId="77777777" w:rsidTr="009634B8">
        <w:trPr>
          <w:tblHeader/>
        </w:trPr>
        <w:tc>
          <w:tcPr>
            <w:tcW w:w="1060" w:type="pct"/>
            <w:shd w:val="clear" w:color="auto" w:fill="auto"/>
          </w:tcPr>
          <w:p w14:paraId="6EFB58E9" w14:textId="2D410029" w:rsidR="000A290B" w:rsidRPr="00386411" w:rsidRDefault="000A290B" w:rsidP="008742A1">
            <w:pPr>
              <w:pStyle w:val="TableHeading"/>
            </w:pPr>
            <w:r w:rsidRPr="00386411">
              <w:t xml:space="preserve">Condition </w:t>
            </w:r>
          </w:p>
        </w:tc>
        <w:tc>
          <w:tcPr>
            <w:tcW w:w="989" w:type="pct"/>
            <w:shd w:val="clear" w:color="auto" w:fill="auto"/>
          </w:tcPr>
          <w:p w14:paraId="3B8EE58B" w14:textId="35A37864" w:rsidR="000A290B" w:rsidRPr="00386411" w:rsidRDefault="000A290B" w:rsidP="008742A1">
            <w:pPr>
              <w:pStyle w:val="TableHeading"/>
            </w:pPr>
            <w:r w:rsidRPr="00386411">
              <w:t>Patients diagnosed (2015)*</w:t>
            </w:r>
          </w:p>
        </w:tc>
        <w:tc>
          <w:tcPr>
            <w:tcW w:w="960" w:type="pct"/>
          </w:tcPr>
          <w:p w14:paraId="386B4EED" w14:textId="6995A753" w:rsidR="000A290B" w:rsidRPr="00386411" w:rsidRDefault="000A290B" w:rsidP="008742A1">
            <w:pPr>
              <w:pStyle w:val="TableHeading"/>
            </w:pPr>
            <w:r w:rsidRPr="00386411">
              <w:t>Total NBA-funded patients (2017-18)**</w:t>
            </w:r>
          </w:p>
        </w:tc>
        <w:tc>
          <w:tcPr>
            <w:tcW w:w="979" w:type="pct"/>
            <w:shd w:val="clear" w:color="auto" w:fill="auto"/>
          </w:tcPr>
          <w:p w14:paraId="7408EBEC" w14:textId="658D80C2" w:rsidR="000A290B" w:rsidRPr="00386411" w:rsidRDefault="000A290B" w:rsidP="008742A1">
            <w:pPr>
              <w:pStyle w:val="TableHeading"/>
            </w:pPr>
            <w:r w:rsidRPr="00386411">
              <w:t>Mean episodes/ patient (2017-18)</w:t>
            </w:r>
          </w:p>
        </w:tc>
        <w:tc>
          <w:tcPr>
            <w:tcW w:w="1012" w:type="pct"/>
            <w:shd w:val="clear" w:color="auto" w:fill="auto"/>
          </w:tcPr>
          <w:p w14:paraId="2B0DE32E" w14:textId="5285A4F2" w:rsidR="000A290B" w:rsidRPr="00386411" w:rsidRDefault="000A290B" w:rsidP="008742A1">
            <w:pPr>
              <w:pStyle w:val="TableHeading"/>
            </w:pPr>
            <w:r w:rsidRPr="00386411">
              <w:t>Mean dose/ episode (g)(2017-18)**</w:t>
            </w:r>
          </w:p>
        </w:tc>
      </w:tr>
      <w:tr w:rsidR="000A290B" w:rsidRPr="007D0AA8" w14:paraId="2CECEA67" w14:textId="77777777" w:rsidTr="000A290B">
        <w:tc>
          <w:tcPr>
            <w:tcW w:w="1060" w:type="pct"/>
            <w:shd w:val="clear" w:color="auto" w:fill="auto"/>
            <w:vAlign w:val="center"/>
          </w:tcPr>
          <w:p w14:paraId="79BE684E" w14:textId="77777777" w:rsidR="000A290B" w:rsidRPr="007D0AA8" w:rsidRDefault="000A290B" w:rsidP="008742A1">
            <w:pPr>
              <w:pStyle w:val="Tabletext1"/>
            </w:pPr>
            <w:r w:rsidRPr="007D0AA8">
              <w:t>CLL</w:t>
            </w:r>
          </w:p>
        </w:tc>
        <w:tc>
          <w:tcPr>
            <w:tcW w:w="989" w:type="pct"/>
            <w:shd w:val="clear" w:color="auto" w:fill="auto"/>
            <w:vAlign w:val="center"/>
          </w:tcPr>
          <w:p w14:paraId="18B48055" w14:textId="77777777" w:rsidR="000A290B" w:rsidRPr="007D0AA8" w:rsidRDefault="000A290B" w:rsidP="008742A1">
            <w:pPr>
              <w:pStyle w:val="Tabletext1"/>
            </w:pPr>
            <w:r w:rsidRPr="007D0AA8">
              <w:t>1,597</w:t>
            </w:r>
          </w:p>
        </w:tc>
        <w:tc>
          <w:tcPr>
            <w:tcW w:w="960" w:type="pct"/>
            <w:vAlign w:val="center"/>
          </w:tcPr>
          <w:p w14:paraId="615B24DD" w14:textId="428DDECC" w:rsidR="000A290B" w:rsidRPr="007D0AA8" w:rsidRDefault="000A290B" w:rsidP="008742A1">
            <w:pPr>
              <w:pStyle w:val="Tabletext1"/>
            </w:pPr>
            <w:r w:rsidRPr="007D0AA8">
              <w:t>1632</w:t>
            </w:r>
          </w:p>
        </w:tc>
        <w:tc>
          <w:tcPr>
            <w:tcW w:w="979" w:type="pct"/>
            <w:shd w:val="clear" w:color="auto" w:fill="auto"/>
          </w:tcPr>
          <w:p w14:paraId="5FAC0A6E" w14:textId="1EAD3006" w:rsidR="000A290B" w:rsidRPr="007D0AA8" w:rsidRDefault="000A290B" w:rsidP="008742A1">
            <w:pPr>
              <w:pStyle w:val="Tabletext1"/>
            </w:pPr>
            <w:r w:rsidRPr="007D0AA8">
              <w:t>10.0</w:t>
            </w:r>
          </w:p>
        </w:tc>
        <w:tc>
          <w:tcPr>
            <w:tcW w:w="1012" w:type="pct"/>
            <w:shd w:val="clear" w:color="auto" w:fill="auto"/>
          </w:tcPr>
          <w:p w14:paraId="66E46546" w14:textId="55BC2032" w:rsidR="000A290B" w:rsidRPr="007D0AA8" w:rsidRDefault="000A290B" w:rsidP="008742A1">
            <w:pPr>
              <w:pStyle w:val="Tabletext1"/>
            </w:pPr>
            <w:r w:rsidRPr="007D0AA8">
              <w:t xml:space="preserve">0.37 </w:t>
            </w:r>
          </w:p>
        </w:tc>
      </w:tr>
      <w:tr w:rsidR="000A290B" w:rsidRPr="007D0AA8" w14:paraId="759D2BE9" w14:textId="77777777" w:rsidTr="000A290B">
        <w:tc>
          <w:tcPr>
            <w:tcW w:w="1060" w:type="pct"/>
            <w:shd w:val="clear" w:color="auto" w:fill="auto"/>
            <w:vAlign w:val="center"/>
          </w:tcPr>
          <w:p w14:paraId="17E940B2" w14:textId="77777777" w:rsidR="000A290B" w:rsidRPr="007D0AA8" w:rsidRDefault="000A290B" w:rsidP="008742A1">
            <w:pPr>
              <w:pStyle w:val="Tabletext1"/>
            </w:pPr>
            <w:r w:rsidRPr="007D0AA8">
              <w:t>MM</w:t>
            </w:r>
          </w:p>
        </w:tc>
        <w:tc>
          <w:tcPr>
            <w:tcW w:w="989" w:type="pct"/>
            <w:shd w:val="clear" w:color="auto" w:fill="auto"/>
            <w:vAlign w:val="center"/>
          </w:tcPr>
          <w:p w14:paraId="6A63A6E2" w14:textId="77777777" w:rsidR="000A290B" w:rsidRPr="007D0AA8" w:rsidRDefault="000A290B" w:rsidP="008742A1">
            <w:pPr>
              <w:pStyle w:val="Tabletext1"/>
            </w:pPr>
            <w:r w:rsidRPr="007D0AA8">
              <w:t>1,885</w:t>
            </w:r>
          </w:p>
        </w:tc>
        <w:tc>
          <w:tcPr>
            <w:tcW w:w="960" w:type="pct"/>
            <w:vAlign w:val="center"/>
          </w:tcPr>
          <w:p w14:paraId="68A5E085" w14:textId="6FCB7B50" w:rsidR="000A290B" w:rsidRPr="007D0AA8" w:rsidRDefault="000A290B" w:rsidP="008742A1">
            <w:pPr>
              <w:pStyle w:val="Tabletext1"/>
            </w:pPr>
            <w:r w:rsidRPr="007D0AA8">
              <w:t>1458</w:t>
            </w:r>
          </w:p>
        </w:tc>
        <w:tc>
          <w:tcPr>
            <w:tcW w:w="979" w:type="pct"/>
            <w:shd w:val="clear" w:color="auto" w:fill="auto"/>
          </w:tcPr>
          <w:p w14:paraId="0C060B1D" w14:textId="75181B30" w:rsidR="000A290B" w:rsidRPr="007D0AA8" w:rsidRDefault="000A290B" w:rsidP="008742A1">
            <w:pPr>
              <w:pStyle w:val="Tabletext1"/>
            </w:pPr>
            <w:r w:rsidRPr="007D0AA8">
              <w:t>9.1</w:t>
            </w:r>
          </w:p>
        </w:tc>
        <w:tc>
          <w:tcPr>
            <w:tcW w:w="1012" w:type="pct"/>
            <w:shd w:val="clear" w:color="auto" w:fill="auto"/>
          </w:tcPr>
          <w:p w14:paraId="15BBAE8E" w14:textId="2D2BF1EF" w:rsidR="000A290B" w:rsidRPr="007D0AA8" w:rsidRDefault="000A290B" w:rsidP="008742A1">
            <w:pPr>
              <w:pStyle w:val="Tabletext1"/>
            </w:pPr>
            <w:r w:rsidRPr="007D0AA8">
              <w:t xml:space="preserve">0.37 </w:t>
            </w:r>
          </w:p>
        </w:tc>
      </w:tr>
      <w:tr w:rsidR="000A290B" w:rsidRPr="007D0AA8" w14:paraId="346259DF" w14:textId="77777777" w:rsidTr="000A290B">
        <w:tc>
          <w:tcPr>
            <w:tcW w:w="1060" w:type="pct"/>
            <w:shd w:val="clear" w:color="auto" w:fill="auto"/>
            <w:vAlign w:val="center"/>
          </w:tcPr>
          <w:p w14:paraId="29AA79AA" w14:textId="77777777" w:rsidR="000A290B" w:rsidRPr="007D0AA8" w:rsidRDefault="000A290B" w:rsidP="008742A1">
            <w:pPr>
              <w:pStyle w:val="Tabletext1"/>
            </w:pPr>
            <w:r w:rsidRPr="007D0AA8">
              <w:t>NHL</w:t>
            </w:r>
          </w:p>
        </w:tc>
        <w:tc>
          <w:tcPr>
            <w:tcW w:w="989" w:type="pct"/>
            <w:shd w:val="clear" w:color="auto" w:fill="auto"/>
            <w:vAlign w:val="center"/>
          </w:tcPr>
          <w:p w14:paraId="0C0A3784" w14:textId="77777777" w:rsidR="000A290B" w:rsidRPr="007D0AA8" w:rsidRDefault="000A290B" w:rsidP="008742A1">
            <w:pPr>
              <w:pStyle w:val="Tabletext1"/>
            </w:pPr>
            <w:r w:rsidRPr="007D0AA8">
              <w:t>5,031</w:t>
            </w:r>
          </w:p>
        </w:tc>
        <w:tc>
          <w:tcPr>
            <w:tcW w:w="960" w:type="pct"/>
            <w:vAlign w:val="center"/>
          </w:tcPr>
          <w:p w14:paraId="190E0CB5" w14:textId="12E10919" w:rsidR="000A290B" w:rsidRPr="007D0AA8" w:rsidRDefault="000A290B" w:rsidP="008742A1">
            <w:pPr>
              <w:pStyle w:val="Tabletext1"/>
            </w:pPr>
            <w:r w:rsidRPr="007D0AA8">
              <w:t>1651</w:t>
            </w:r>
          </w:p>
        </w:tc>
        <w:tc>
          <w:tcPr>
            <w:tcW w:w="979" w:type="pct"/>
            <w:shd w:val="clear" w:color="auto" w:fill="auto"/>
          </w:tcPr>
          <w:p w14:paraId="7F0084BD" w14:textId="38D7E571" w:rsidR="000A290B" w:rsidRPr="007D0AA8" w:rsidRDefault="000A290B" w:rsidP="008742A1">
            <w:pPr>
              <w:pStyle w:val="Tabletext1"/>
            </w:pPr>
            <w:r w:rsidRPr="007D0AA8">
              <w:t>10.1</w:t>
            </w:r>
          </w:p>
        </w:tc>
        <w:tc>
          <w:tcPr>
            <w:tcW w:w="1012" w:type="pct"/>
            <w:shd w:val="clear" w:color="auto" w:fill="auto"/>
          </w:tcPr>
          <w:p w14:paraId="2D3BC06F" w14:textId="09ED3A84" w:rsidR="000A290B" w:rsidRPr="007D0AA8" w:rsidRDefault="000A290B" w:rsidP="008742A1">
            <w:pPr>
              <w:pStyle w:val="Tabletext1"/>
            </w:pPr>
            <w:r w:rsidRPr="007D0AA8">
              <w:t xml:space="preserve">0.36 </w:t>
            </w:r>
          </w:p>
        </w:tc>
      </w:tr>
      <w:tr w:rsidR="000A290B" w:rsidRPr="007D0AA8" w14:paraId="458C119C" w14:textId="77777777" w:rsidTr="000A290B">
        <w:tc>
          <w:tcPr>
            <w:tcW w:w="1060" w:type="pct"/>
            <w:shd w:val="clear" w:color="auto" w:fill="auto"/>
            <w:vAlign w:val="center"/>
          </w:tcPr>
          <w:p w14:paraId="29FE4E35" w14:textId="63B82B58" w:rsidR="000A290B" w:rsidRPr="007D0AA8" w:rsidRDefault="000A290B" w:rsidP="008742A1">
            <w:pPr>
              <w:pStyle w:val="Tabletext1"/>
            </w:pPr>
            <w:r w:rsidRPr="007D0AA8">
              <w:t>Other Haem.</w:t>
            </w:r>
            <w:r w:rsidR="002A57F9" w:rsidRPr="007D0AA8">
              <w:t xml:space="preserve"> </w:t>
            </w:r>
            <w:r w:rsidRPr="007D0AA8">
              <w:t>Malignancy</w:t>
            </w:r>
          </w:p>
        </w:tc>
        <w:tc>
          <w:tcPr>
            <w:tcW w:w="989" w:type="pct"/>
            <w:shd w:val="clear" w:color="auto" w:fill="auto"/>
            <w:vAlign w:val="center"/>
          </w:tcPr>
          <w:p w14:paraId="1C0B0645" w14:textId="77777777" w:rsidR="000A290B" w:rsidRPr="007D0AA8" w:rsidRDefault="000A290B" w:rsidP="008742A1">
            <w:pPr>
              <w:pStyle w:val="Tabletext1"/>
            </w:pPr>
            <w:r w:rsidRPr="007D0AA8">
              <w:t>Unknown</w:t>
            </w:r>
          </w:p>
        </w:tc>
        <w:tc>
          <w:tcPr>
            <w:tcW w:w="960" w:type="pct"/>
            <w:vAlign w:val="center"/>
          </w:tcPr>
          <w:p w14:paraId="6DFC55B0" w14:textId="77777777" w:rsidR="000A290B" w:rsidRPr="007D0AA8" w:rsidRDefault="000A290B" w:rsidP="008742A1">
            <w:pPr>
              <w:pStyle w:val="Tabletext1"/>
            </w:pPr>
            <w:r w:rsidRPr="007D0AA8">
              <w:t>625</w:t>
            </w:r>
          </w:p>
        </w:tc>
        <w:tc>
          <w:tcPr>
            <w:tcW w:w="979" w:type="pct"/>
            <w:shd w:val="clear" w:color="auto" w:fill="auto"/>
          </w:tcPr>
          <w:p w14:paraId="04702BDD" w14:textId="4D89F432" w:rsidR="000A290B" w:rsidRPr="007D0AA8" w:rsidRDefault="000A290B" w:rsidP="008742A1">
            <w:pPr>
              <w:pStyle w:val="Tabletext1"/>
            </w:pPr>
            <w:r w:rsidRPr="007D0AA8">
              <w:t>7.8</w:t>
            </w:r>
          </w:p>
        </w:tc>
        <w:tc>
          <w:tcPr>
            <w:tcW w:w="1012" w:type="pct"/>
            <w:shd w:val="clear" w:color="auto" w:fill="auto"/>
          </w:tcPr>
          <w:p w14:paraId="5E4F788D" w14:textId="6CEA8183" w:rsidR="000A290B" w:rsidRPr="007D0AA8" w:rsidRDefault="000A290B" w:rsidP="008742A1">
            <w:pPr>
              <w:pStyle w:val="Tabletext1"/>
            </w:pPr>
            <w:r w:rsidRPr="007D0AA8">
              <w:t xml:space="preserve">0.38 </w:t>
            </w:r>
          </w:p>
        </w:tc>
      </w:tr>
      <w:tr w:rsidR="000A290B" w:rsidRPr="007D0AA8" w14:paraId="75967365" w14:textId="77777777" w:rsidTr="000A290B">
        <w:tc>
          <w:tcPr>
            <w:tcW w:w="1060" w:type="pct"/>
            <w:shd w:val="clear" w:color="auto" w:fill="auto"/>
            <w:vAlign w:val="center"/>
          </w:tcPr>
          <w:p w14:paraId="3C1E9C2D" w14:textId="77777777" w:rsidR="000A290B" w:rsidRPr="007D0AA8" w:rsidRDefault="000A290B" w:rsidP="008742A1">
            <w:pPr>
              <w:pStyle w:val="Tabletext1"/>
            </w:pPr>
            <w:r w:rsidRPr="007D0AA8">
              <w:t>Post-HSCT</w:t>
            </w:r>
          </w:p>
        </w:tc>
        <w:tc>
          <w:tcPr>
            <w:tcW w:w="989" w:type="pct"/>
            <w:shd w:val="clear" w:color="auto" w:fill="auto"/>
            <w:vAlign w:val="center"/>
          </w:tcPr>
          <w:p w14:paraId="7D5A2DDB" w14:textId="77777777" w:rsidR="000A290B" w:rsidRPr="007D0AA8" w:rsidRDefault="000A290B" w:rsidP="008742A1">
            <w:pPr>
              <w:pStyle w:val="Tabletext1"/>
            </w:pPr>
            <w:r w:rsidRPr="007D0AA8">
              <w:t>Unknown</w:t>
            </w:r>
          </w:p>
        </w:tc>
        <w:tc>
          <w:tcPr>
            <w:tcW w:w="960" w:type="pct"/>
            <w:vAlign w:val="center"/>
          </w:tcPr>
          <w:p w14:paraId="617AB3D4" w14:textId="7FF3B5EA" w:rsidR="000A290B" w:rsidRPr="007D0AA8" w:rsidRDefault="000A290B" w:rsidP="008742A1">
            <w:pPr>
              <w:pStyle w:val="Tabletext1"/>
            </w:pPr>
            <w:r w:rsidRPr="007D0AA8">
              <w:t>443</w:t>
            </w:r>
          </w:p>
        </w:tc>
        <w:tc>
          <w:tcPr>
            <w:tcW w:w="979" w:type="pct"/>
            <w:shd w:val="clear" w:color="auto" w:fill="auto"/>
          </w:tcPr>
          <w:p w14:paraId="079E1DA7" w14:textId="4069FB54" w:rsidR="000A290B" w:rsidRPr="007D0AA8" w:rsidRDefault="000A290B" w:rsidP="008742A1">
            <w:pPr>
              <w:pStyle w:val="Tabletext1"/>
            </w:pPr>
            <w:r w:rsidRPr="007D0AA8">
              <w:t>7.6</w:t>
            </w:r>
          </w:p>
        </w:tc>
        <w:tc>
          <w:tcPr>
            <w:tcW w:w="1012" w:type="pct"/>
            <w:shd w:val="clear" w:color="auto" w:fill="auto"/>
          </w:tcPr>
          <w:p w14:paraId="6AF0B41C" w14:textId="7B777B31" w:rsidR="000A290B" w:rsidRPr="007D0AA8" w:rsidRDefault="000A290B" w:rsidP="008742A1">
            <w:pPr>
              <w:pStyle w:val="Tabletext1"/>
            </w:pPr>
            <w:r w:rsidRPr="007D0AA8">
              <w:t xml:space="preserve">0.37 </w:t>
            </w:r>
          </w:p>
        </w:tc>
      </w:tr>
      <w:tr w:rsidR="000A290B" w:rsidRPr="007D0AA8" w14:paraId="7DF2F80A" w14:textId="77777777" w:rsidTr="000A290B">
        <w:tc>
          <w:tcPr>
            <w:tcW w:w="1060" w:type="pct"/>
            <w:shd w:val="clear" w:color="auto" w:fill="auto"/>
            <w:vAlign w:val="center"/>
          </w:tcPr>
          <w:p w14:paraId="30BF9022" w14:textId="6E617100" w:rsidR="000A290B" w:rsidRPr="007D0AA8" w:rsidRDefault="000A290B" w:rsidP="008742A1">
            <w:pPr>
              <w:pStyle w:val="Tabletext1"/>
            </w:pPr>
            <w:r w:rsidRPr="007D0AA8">
              <w:t>Acute Leukaemia</w:t>
            </w:r>
          </w:p>
        </w:tc>
        <w:tc>
          <w:tcPr>
            <w:tcW w:w="989" w:type="pct"/>
            <w:shd w:val="clear" w:color="auto" w:fill="auto"/>
            <w:vAlign w:val="center"/>
          </w:tcPr>
          <w:p w14:paraId="400929FB" w14:textId="5CDC2945" w:rsidR="000A290B" w:rsidRPr="007D0AA8" w:rsidRDefault="000A290B" w:rsidP="008742A1">
            <w:pPr>
              <w:pStyle w:val="Tabletext1"/>
            </w:pPr>
            <w:r w:rsidRPr="007D0AA8">
              <w:t>1431*</w:t>
            </w:r>
          </w:p>
        </w:tc>
        <w:tc>
          <w:tcPr>
            <w:tcW w:w="960" w:type="pct"/>
            <w:vAlign w:val="center"/>
          </w:tcPr>
          <w:p w14:paraId="7AC47D65" w14:textId="1DB769C0" w:rsidR="000A290B" w:rsidRPr="007D0AA8" w:rsidRDefault="000A290B" w:rsidP="008742A1">
            <w:pPr>
              <w:pStyle w:val="Tabletext1"/>
            </w:pPr>
            <w:r w:rsidRPr="007D0AA8">
              <w:t>[150-200 patients]**</w:t>
            </w:r>
          </w:p>
        </w:tc>
        <w:tc>
          <w:tcPr>
            <w:tcW w:w="979" w:type="pct"/>
            <w:shd w:val="clear" w:color="auto" w:fill="auto"/>
            <w:vAlign w:val="center"/>
          </w:tcPr>
          <w:p w14:paraId="3A9C5145" w14:textId="31BE09B4" w:rsidR="000A290B" w:rsidRPr="007D0AA8" w:rsidRDefault="000A290B" w:rsidP="008742A1">
            <w:pPr>
              <w:pStyle w:val="Tabletext1"/>
            </w:pPr>
            <w:r w:rsidRPr="007D0AA8">
              <w:t>5.5**</w:t>
            </w:r>
          </w:p>
        </w:tc>
        <w:tc>
          <w:tcPr>
            <w:tcW w:w="1012" w:type="pct"/>
            <w:shd w:val="clear" w:color="auto" w:fill="auto"/>
            <w:vAlign w:val="center"/>
          </w:tcPr>
          <w:p w14:paraId="40897057" w14:textId="0EAE009E" w:rsidR="000A290B" w:rsidRPr="007D0AA8" w:rsidRDefault="000A290B" w:rsidP="008742A1">
            <w:pPr>
              <w:pStyle w:val="Tabletext1"/>
            </w:pPr>
            <w:r w:rsidRPr="007D0AA8">
              <w:t>0.37**</w:t>
            </w:r>
          </w:p>
        </w:tc>
      </w:tr>
    </w:tbl>
    <w:p w14:paraId="77442CFE" w14:textId="761F7C76" w:rsidR="00A0649E" w:rsidRPr="007D0AA8" w:rsidRDefault="00A0649E" w:rsidP="008742A1">
      <w:pPr>
        <w:pStyle w:val="Tablenotes1"/>
        <w:rPr>
          <w:color w:val="000000"/>
        </w:rPr>
      </w:pPr>
      <w:r w:rsidRPr="007D0AA8">
        <w:rPr>
          <w:color w:val="000000"/>
        </w:rPr>
        <w:t>*</w:t>
      </w:r>
      <w:r w:rsidRPr="007D0AA8">
        <w:rPr>
          <w:color w:val="000000"/>
          <w:u w:val="single"/>
        </w:rPr>
        <w:t>Notes for ACIM data</w:t>
      </w:r>
      <w:r w:rsidRPr="007D0AA8">
        <w:rPr>
          <w:color w:val="000000"/>
        </w:rPr>
        <w:t xml:space="preserve">: </w:t>
      </w:r>
      <w:r w:rsidR="00D276D8" w:rsidRPr="007D0AA8">
        <w:rPr>
          <w:color w:val="000000"/>
        </w:rPr>
        <w:t xml:space="preserve">2015 year data are the most recent in the ACIM books; </w:t>
      </w:r>
      <w:r w:rsidRPr="007D0AA8">
        <w:t>ALL (n=</w:t>
      </w:r>
      <w:r w:rsidRPr="007D0AA8">
        <w:rPr>
          <w:color w:val="000000"/>
        </w:rPr>
        <w:t xml:space="preserve">389) </w:t>
      </w:r>
      <w:r w:rsidRPr="007D0AA8">
        <w:t>and AML (n=</w:t>
      </w:r>
      <w:r w:rsidRPr="007D0AA8">
        <w:rPr>
          <w:color w:val="000000"/>
        </w:rPr>
        <w:t>1042</w:t>
      </w:r>
      <w:r w:rsidRPr="007D0AA8">
        <w:t xml:space="preserve">) were used as a proxy for AL since this is not reported in the ACIM </w:t>
      </w:r>
      <w:r w:rsidR="00B20063" w:rsidRPr="007D0AA8">
        <w:t>data</w:t>
      </w:r>
      <w:r w:rsidRPr="007D0AA8">
        <w:t xml:space="preserve"> as a group. Prevalent patients not calculated as data ACIM data do not include surviving+new patient</w:t>
      </w:r>
      <w:r w:rsidR="00B20063" w:rsidRPr="007D0AA8">
        <w:t xml:space="preserve"> statistic</w:t>
      </w:r>
      <w:r w:rsidRPr="007D0AA8">
        <w:t xml:space="preserve">s. </w:t>
      </w:r>
    </w:p>
    <w:p w14:paraId="2CEABE91" w14:textId="33C5E1F5" w:rsidR="00D276D8" w:rsidRPr="007D0AA8" w:rsidRDefault="00A0649E" w:rsidP="008742A1">
      <w:pPr>
        <w:pStyle w:val="Tablenotes1"/>
        <w:rPr>
          <w:color w:val="000000"/>
        </w:rPr>
      </w:pPr>
      <w:r w:rsidRPr="007D0AA8">
        <w:rPr>
          <w:color w:val="000000"/>
        </w:rPr>
        <w:t>**</w:t>
      </w:r>
      <w:r w:rsidRPr="007D0AA8">
        <w:rPr>
          <w:color w:val="000000"/>
          <w:u w:val="single"/>
        </w:rPr>
        <w:t>Notes for NBA data</w:t>
      </w:r>
      <w:r w:rsidRPr="007D0AA8">
        <w:rPr>
          <w:color w:val="000000"/>
        </w:rPr>
        <w:t xml:space="preserve">: </w:t>
      </w:r>
      <w:r w:rsidR="00D276D8" w:rsidRPr="007D0AA8">
        <w:rPr>
          <w:color w:val="000000"/>
        </w:rPr>
        <w:t>the most recent full year NBA data are for 2017-18</w:t>
      </w:r>
      <w:r w:rsidRPr="007D0AA8">
        <w:rPr>
          <w:color w:val="000000"/>
        </w:rPr>
        <w:t xml:space="preserve"> and do not include AL patient numbers</w:t>
      </w:r>
      <w:r w:rsidR="00D276D8" w:rsidRPr="007D0AA8">
        <w:rPr>
          <w:color w:val="000000"/>
        </w:rPr>
        <w:t xml:space="preserve">; part year data for 2018-19 (until December) indicate </w:t>
      </w:r>
      <w:r w:rsidRPr="007D0AA8">
        <w:rPr>
          <w:color w:val="000000"/>
        </w:rPr>
        <w:t>patient numbers between 35-45% of the previous year, suggesting a full year total of ~150</w:t>
      </w:r>
      <w:r w:rsidR="000A290B" w:rsidRPr="007D0AA8">
        <w:rPr>
          <w:color w:val="000000"/>
        </w:rPr>
        <w:t>–200</w:t>
      </w:r>
      <w:r w:rsidRPr="007D0AA8">
        <w:rPr>
          <w:color w:val="000000"/>
        </w:rPr>
        <w:t xml:space="preserve"> AL patients</w:t>
      </w:r>
      <w:r w:rsidR="000A290B" w:rsidRPr="007D0AA8">
        <w:rPr>
          <w:color w:val="000000"/>
        </w:rPr>
        <w:t xml:space="preserve"> based on n=68 for the part year; episode and dose data for AL are from the 2018-19 part year</w:t>
      </w:r>
      <w:r w:rsidRPr="007D0AA8">
        <w:rPr>
          <w:color w:val="000000"/>
        </w:rPr>
        <w:t>.</w:t>
      </w:r>
    </w:p>
    <w:p w14:paraId="6D22A1E0" w14:textId="42E9DC3A" w:rsidR="00D276D8" w:rsidRPr="007D0AA8" w:rsidRDefault="00D276D8" w:rsidP="008742A1">
      <w:pPr>
        <w:pStyle w:val="Tablenotes1"/>
        <w:rPr>
          <w:color w:val="000000"/>
        </w:rPr>
      </w:pPr>
      <w:r w:rsidRPr="007D0AA8">
        <w:rPr>
          <w:color w:val="000000"/>
        </w:rPr>
        <w:t xml:space="preserve">Abbreviations: </w:t>
      </w:r>
      <w:r w:rsidR="00B20063" w:rsidRPr="007D0AA8">
        <w:rPr>
          <w:color w:val="000000"/>
        </w:rPr>
        <w:t xml:space="preserve">ACIM=Australia Cancer Incidence and Mortality; </w:t>
      </w:r>
      <w:r w:rsidR="00A0649E" w:rsidRPr="007D0AA8">
        <w:rPr>
          <w:color w:val="000000"/>
        </w:rPr>
        <w:t>AL=acute leukaemia</w:t>
      </w:r>
      <w:r w:rsidR="00B20063" w:rsidRPr="007D0AA8">
        <w:rPr>
          <w:color w:val="000000"/>
        </w:rPr>
        <w:t>; ALL=Acute Lymphoblastic Leukaemia; AML=Acute Myeloid Leukaemia</w:t>
      </w:r>
      <w:r w:rsidR="00A0649E" w:rsidRPr="007D0AA8">
        <w:rPr>
          <w:color w:val="000000"/>
        </w:rPr>
        <w:t xml:space="preserve">; </w:t>
      </w:r>
      <w:r w:rsidRPr="007D0AA8">
        <w:rPr>
          <w:color w:val="000000"/>
        </w:rPr>
        <w:t>CLL=Chronic lymphocytic leukaemia;</w:t>
      </w:r>
      <w:r w:rsidR="00B20063" w:rsidRPr="007D0AA8">
        <w:rPr>
          <w:color w:val="000000"/>
        </w:rPr>
        <w:t xml:space="preserve"> IgG=Immunoglobulin Gamma</w:t>
      </w:r>
      <w:r w:rsidR="000A290B" w:rsidRPr="007D0AA8">
        <w:rPr>
          <w:color w:val="000000"/>
        </w:rPr>
        <w:t>;</w:t>
      </w:r>
      <w:r w:rsidRPr="007D0AA8">
        <w:rPr>
          <w:color w:val="000000"/>
        </w:rPr>
        <w:t xml:space="preserve"> MM=Multiple Myeloma; NHL=Non</w:t>
      </w:r>
      <w:r w:rsidRPr="007D0AA8">
        <w:rPr>
          <w:rFonts w:ascii="Cambria Math" w:hAnsi="Cambria Math" w:cs="Cambria Math"/>
          <w:color w:val="000000"/>
        </w:rPr>
        <w:t>‐</w:t>
      </w:r>
      <w:r w:rsidRPr="007D0AA8">
        <w:rPr>
          <w:color w:val="000000"/>
        </w:rPr>
        <w:t>Hodgkin lymphoma; HSCT=haemopoietic stem cell transplantation;</w:t>
      </w:r>
      <w:r w:rsidR="00B20063" w:rsidRPr="007D0AA8">
        <w:rPr>
          <w:color w:val="000000"/>
        </w:rPr>
        <w:t xml:space="preserve"> </w:t>
      </w:r>
      <w:r w:rsidRPr="007D0AA8">
        <w:rPr>
          <w:color w:val="000000"/>
        </w:rPr>
        <w:t>NBA=National Blood Authority</w:t>
      </w:r>
    </w:p>
    <w:p w14:paraId="7382AFFA" w14:textId="77777777" w:rsidR="00D276D8" w:rsidRPr="007D0AA8" w:rsidRDefault="00D276D8" w:rsidP="00B06A88"/>
    <w:p w14:paraId="56879C6C" w14:textId="77777777" w:rsidR="005602D3" w:rsidRPr="00386411" w:rsidRDefault="005602D3" w:rsidP="00331FB9">
      <w:pPr>
        <w:pStyle w:val="Heading2"/>
        <w:numPr>
          <w:ilvl w:val="0"/>
          <w:numId w:val="8"/>
        </w:numPr>
      </w:pPr>
      <w:bookmarkStart w:id="198" w:name="_Toc14431124"/>
      <w:bookmarkStart w:id="199" w:name="_Toc16856292"/>
      <w:r w:rsidRPr="00386411">
        <w:t>Comparator</w:t>
      </w:r>
      <w:bookmarkEnd w:id="191"/>
      <w:bookmarkEnd w:id="192"/>
      <w:r w:rsidR="00106705" w:rsidRPr="00386411">
        <w:t xml:space="preserve"> D</w:t>
      </w:r>
      <w:r w:rsidRPr="00386411">
        <w:t>etails</w:t>
      </w:r>
      <w:bookmarkEnd w:id="198"/>
      <w:bookmarkEnd w:id="199"/>
    </w:p>
    <w:p w14:paraId="20BF4CF8" w14:textId="1AC67DD1" w:rsidR="00007D1F" w:rsidRPr="007D0AA8" w:rsidRDefault="00007D1F" w:rsidP="008742A1">
      <w:pPr>
        <w:rPr>
          <w:rFonts w:eastAsia="Calibri"/>
          <w:lang w:eastAsia="en-US"/>
        </w:rPr>
      </w:pPr>
      <w:r w:rsidRPr="007D0AA8">
        <w:rPr>
          <w:rFonts w:eastAsia="Calibri"/>
          <w:lang w:eastAsia="en-US"/>
        </w:rPr>
        <w:t xml:space="preserve">The comparator is defined </w:t>
      </w:r>
      <w:r w:rsidR="00DB6E7E" w:rsidRPr="007D0AA8">
        <w:rPr>
          <w:rFonts w:eastAsia="Calibri"/>
          <w:lang w:eastAsia="en-US"/>
        </w:rPr>
        <w:t xml:space="preserve">in the ratified PICO Confirmation </w:t>
      </w:r>
      <w:r w:rsidRPr="007D0AA8">
        <w:rPr>
          <w:rFonts w:eastAsia="Calibri"/>
          <w:lang w:eastAsia="en-US"/>
        </w:rPr>
        <w:t>as ‘No IgG access; with or without antibiotics’, given that the intervention is defined as ‘IgG access; with or without antibiotics’.</w:t>
      </w:r>
      <w:r w:rsidR="00DB6E7E" w:rsidRPr="007D0AA8">
        <w:rPr>
          <w:rFonts w:eastAsia="Calibri"/>
          <w:lang w:eastAsia="en-US"/>
        </w:rPr>
        <w:t xml:space="preserve"> The utilisation of antibiotics wa</w:t>
      </w:r>
      <w:r w:rsidRPr="007D0AA8">
        <w:rPr>
          <w:rFonts w:eastAsia="Calibri"/>
          <w:lang w:eastAsia="en-US"/>
        </w:rPr>
        <w:t>s expected to be higher in the comparator arm.</w:t>
      </w:r>
      <w:r w:rsidR="00DB6E7E" w:rsidRPr="007D0AA8">
        <w:rPr>
          <w:rFonts w:eastAsia="Calibri"/>
          <w:lang w:eastAsia="en-US"/>
        </w:rPr>
        <w:t xml:space="preserve"> </w:t>
      </w:r>
    </w:p>
    <w:p w14:paraId="65F88542" w14:textId="7A32FF13" w:rsidR="00007D1F" w:rsidRPr="007D0AA8" w:rsidRDefault="00007D1F" w:rsidP="008742A1">
      <w:pPr>
        <w:rPr>
          <w:rFonts w:eastAsia="Calibri"/>
        </w:rPr>
      </w:pPr>
      <w:r w:rsidRPr="007D0AA8">
        <w:rPr>
          <w:rFonts w:eastAsia="Calibri"/>
          <w:szCs w:val="20"/>
          <w:lang w:eastAsia="en-US"/>
        </w:rPr>
        <w:t>The haematology expert on the</w:t>
      </w:r>
      <w:r w:rsidRPr="007D0AA8">
        <w:rPr>
          <w:rFonts w:eastAsia="Calibri"/>
          <w:lang w:eastAsia="en-US"/>
        </w:rPr>
        <w:t xml:space="preserve"> Ig Review Reference Group</w:t>
      </w:r>
      <w:r w:rsidRPr="007D0AA8">
        <w:rPr>
          <w:rFonts w:eastAsia="Calibri"/>
          <w:szCs w:val="20"/>
          <w:lang w:eastAsia="en-US"/>
        </w:rPr>
        <w:t xml:space="preserve"> advised oral trimethoprim + sulfamethoxazole would be the first line antibiotic. This has a broad TGA indication and is available </w:t>
      </w:r>
      <w:r w:rsidRPr="007D0AA8">
        <w:rPr>
          <w:rFonts w:eastAsia="Calibri"/>
        </w:rPr>
        <w:t>on the Pharmaceutical Benefits Scheme (PBS) (</w:t>
      </w:r>
      <w:r w:rsidR="000A290B" w:rsidRPr="007D0AA8">
        <w:rPr>
          <w:rFonts w:eastAsia="Calibri"/>
        </w:rPr>
        <w:fldChar w:fldCharType="begin"/>
      </w:r>
      <w:r w:rsidR="000A290B" w:rsidRPr="007D0AA8">
        <w:rPr>
          <w:rFonts w:eastAsia="Calibri"/>
        </w:rPr>
        <w:instrText xml:space="preserve"> REF _Ref10217967 \h  \* MERGEFORMAT </w:instrText>
      </w:r>
      <w:r w:rsidR="000A290B" w:rsidRPr="007D0AA8">
        <w:rPr>
          <w:rFonts w:eastAsia="Calibri"/>
        </w:rPr>
      </w:r>
      <w:r w:rsidR="000A290B" w:rsidRPr="007D0AA8">
        <w:rPr>
          <w:rFonts w:eastAsia="Calibri"/>
        </w:rPr>
        <w:fldChar w:fldCharType="separate"/>
      </w:r>
      <w:r w:rsidR="00A7463B" w:rsidRPr="00386411">
        <w:t xml:space="preserve">Table </w:t>
      </w:r>
      <w:r w:rsidR="00A7463B">
        <w:t>13</w:t>
      </w:r>
      <w:r w:rsidR="000A290B" w:rsidRPr="007D0AA8">
        <w:rPr>
          <w:rFonts w:eastAsia="Calibri"/>
        </w:rPr>
        <w:fldChar w:fldCharType="end"/>
      </w:r>
      <w:r w:rsidRPr="007D0AA8">
        <w:rPr>
          <w:rFonts w:eastAsia="Calibri"/>
        </w:rPr>
        <w:t xml:space="preserve">).  </w:t>
      </w:r>
    </w:p>
    <w:p w14:paraId="023F36FD" w14:textId="01D66503" w:rsidR="000A290B" w:rsidRPr="00386411" w:rsidRDefault="000A290B" w:rsidP="009F34B1">
      <w:pPr>
        <w:pStyle w:val="Caption"/>
      </w:pPr>
      <w:bookmarkStart w:id="200" w:name="_Ref10217967"/>
      <w:bookmarkStart w:id="201" w:name="_Toc14429556"/>
      <w:bookmarkStart w:id="202" w:name="_Toc16671611"/>
      <w:r w:rsidRPr="00386411">
        <w:t xml:space="preserve">Table </w:t>
      </w:r>
      <w:r w:rsidR="00F814DE">
        <w:rPr>
          <w:noProof/>
        </w:rPr>
        <w:fldChar w:fldCharType="begin"/>
      </w:r>
      <w:r w:rsidR="00F814DE">
        <w:rPr>
          <w:noProof/>
        </w:rPr>
        <w:instrText xml:space="preserve"> SEQ Table \* ARABIC </w:instrText>
      </w:r>
      <w:r w:rsidR="00F814DE">
        <w:rPr>
          <w:noProof/>
        </w:rPr>
        <w:fldChar w:fldCharType="separate"/>
      </w:r>
      <w:r w:rsidR="00A7463B">
        <w:rPr>
          <w:noProof/>
        </w:rPr>
        <w:t>13</w:t>
      </w:r>
      <w:r w:rsidR="00F814DE">
        <w:rPr>
          <w:noProof/>
        </w:rPr>
        <w:fldChar w:fldCharType="end"/>
      </w:r>
      <w:bookmarkEnd w:id="200"/>
      <w:r w:rsidRPr="00386411">
        <w:tab/>
        <w:t>Relevant trimethoprim + sulfamethoxazole listings on the PBS</w:t>
      </w:r>
      <w:bookmarkEnd w:id="201"/>
      <w:bookmarkEnd w:id="202"/>
    </w:p>
    <w:tbl>
      <w:tblPr>
        <w:tblStyle w:val="TableGrid3"/>
        <w:tblW w:w="0" w:type="auto"/>
        <w:tblLook w:val="04A0" w:firstRow="1" w:lastRow="0" w:firstColumn="1" w:lastColumn="0" w:noHBand="0" w:noVBand="1"/>
        <w:tblCaption w:val="Relevant trimethoprim + sulfamethoxazole listings on the PBS"/>
      </w:tblPr>
      <w:tblGrid>
        <w:gridCol w:w="2401"/>
        <w:gridCol w:w="1225"/>
        <w:gridCol w:w="969"/>
        <w:gridCol w:w="961"/>
        <w:gridCol w:w="811"/>
        <w:gridCol w:w="854"/>
        <w:gridCol w:w="700"/>
        <w:gridCol w:w="1101"/>
      </w:tblGrid>
      <w:tr w:rsidR="00007D1F" w:rsidRPr="00386411" w14:paraId="745F8DC0" w14:textId="77777777" w:rsidTr="009634B8">
        <w:trPr>
          <w:tblHeader/>
        </w:trPr>
        <w:tc>
          <w:tcPr>
            <w:tcW w:w="2401" w:type="dxa"/>
          </w:tcPr>
          <w:p w14:paraId="18835174" w14:textId="77777777" w:rsidR="00007D1F" w:rsidRPr="00386411" w:rsidRDefault="00007D1F" w:rsidP="008742A1">
            <w:pPr>
              <w:pStyle w:val="TableHeading"/>
            </w:pPr>
            <w:r w:rsidRPr="00386411">
              <w:t>Strengths</w:t>
            </w:r>
          </w:p>
        </w:tc>
        <w:tc>
          <w:tcPr>
            <w:tcW w:w="1225" w:type="dxa"/>
          </w:tcPr>
          <w:p w14:paraId="00D88B16" w14:textId="77777777" w:rsidR="00007D1F" w:rsidRPr="00386411" w:rsidRDefault="00007D1F" w:rsidP="008742A1">
            <w:pPr>
              <w:pStyle w:val="TableHeading"/>
            </w:pPr>
            <w:r w:rsidRPr="00386411">
              <w:t>Brands</w:t>
            </w:r>
          </w:p>
        </w:tc>
        <w:tc>
          <w:tcPr>
            <w:tcW w:w="969" w:type="dxa"/>
          </w:tcPr>
          <w:p w14:paraId="0E5C8A76" w14:textId="77777777" w:rsidR="00007D1F" w:rsidRPr="00386411" w:rsidRDefault="00007D1F" w:rsidP="008742A1">
            <w:pPr>
              <w:pStyle w:val="TableHeading"/>
            </w:pPr>
            <w:r w:rsidRPr="00386411">
              <w:t>Dosage form</w:t>
            </w:r>
          </w:p>
        </w:tc>
        <w:tc>
          <w:tcPr>
            <w:tcW w:w="961" w:type="dxa"/>
          </w:tcPr>
          <w:p w14:paraId="0F387E94" w14:textId="77777777" w:rsidR="00007D1F" w:rsidRPr="00386411" w:rsidRDefault="00007D1F" w:rsidP="008742A1">
            <w:pPr>
              <w:pStyle w:val="TableHeading"/>
            </w:pPr>
            <w:r w:rsidRPr="00386411">
              <w:t>Pack size</w:t>
            </w:r>
          </w:p>
        </w:tc>
        <w:tc>
          <w:tcPr>
            <w:tcW w:w="811" w:type="dxa"/>
          </w:tcPr>
          <w:p w14:paraId="055CAB1B" w14:textId="77777777" w:rsidR="00007D1F" w:rsidRPr="00386411" w:rsidRDefault="00007D1F" w:rsidP="008742A1">
            <w:pPr>
              <w:pStyle w:val="TableHeading"/>
            </w:pPr>
            <w:r w:rsidRPr="00386411">
              <w:t>Max Qty</w:t>
            </w:r>
          </w:p>
        </w:tc>
        <w:tc>
          <w:tcPr>
            <w:tcW w:w="851" w:type="dxa"/>
          </w:tcPr>
          <w:p w14:paraId="4F1CD089" w14:textId="77777777" w:rsidR="00007D1F" w:rsidRPr="00386411" w:rsidRDefault="00007D1F" w:rsidP="008742A1">
            <w:pPr>
              <w:pStyle w:val="TableHeading"/>
            </w:pPr>
            <w:r w:rsidRPr="00386411">
              <w:t>Repeats</w:t>
            </w:r>
          </w:p>
        </w:tc>
        <w:tc>
          <w:tcPr>
            <w:tcW w:w="700" w:type="dxa"/>
          </w:tcPr>
          <w:p w14:paraId="1F78EFED" w14:textId="77777777" w:rsidR="00007D1F" w:rsidRPr="00386411" w:rsidRDefault="00007D1F" w:rsidP="008742A1">
            <w:pPr>
              <w:pStyle w:val="TableHeading"/>
            </w:pPr>
            <w:r w:rsidRPr="00386411">
              <w:t>Item #</w:t>
            </w:r>
          </w:p>
        </w:tc>
        <w:tc>
          <w:tcPr>
            <w:tcW w:w="1101" w:type="dxa"/>
          </w:tcPr>
          <w:p w14:paraId="7D99124A" w14:textId="77777777" w:rsidR="00007D1F" w:rsidRPr="00386411" w:rsidRDefault="00007D1F" w:rsidP="008742A1">
            <w:pPr>
              <w:pStyle w:val="TableHeading"/>
            </w:pPr>
            <w:r w:rsidRPr="00386411">
              <w:t>PBS Benefit Type</w:t>
            </w:r>
          </w:p>
        </w:tc>
      </w:tr>
      <w:tr w:rsidR="00007D1F" w:rsidRPr="007D0AA8" w14:paraId="6FDFE686" w14:textId="77777777" w:rsidTr="000A290B">
        <w:tc>
          <w:tcPr>
            <w:tcW w:w="2401" w:type="dxa"/>
          </w:tcPr>
          <w:p w14:paraId="10CDFC1C" w14:textId="77777777" w:rsidR="00007D1F" w:rsidRPr="007D0AA8" w:rsidRDefault="00007D1F" w:rsidP="008742A1">
            <w:pPr>
              <w:pStyle w:val="Tabletext1"/>
            </w:pPr>
            <w:r w:rsidRPr="007D0AA8">
              <w:t>trimethoprim 160mg + sulfamethoxazole 800mg</w:t>
            </w:r>
          </w:p>
        </w:tc>
        <w:tc>
          <w:tcPr>
            <w:tcW w:w="1225" w:type="dxa"/>
          </w:tcPr>
          <w:p w14:paraId="494D6D4D" w14:textId="77777777" w:rsidR="00007D1F" w:rsidRPr="007D0AA8" w:rsidRDefault="00007D1F" w:rsidP="008742A1">
            <w:pPr>
              <w:pStyle w:val="Tabletext1"/>
            </w:pPr>
            <w:r w:rsidRPr="007D0AA8">
              <w:t>Resprim Forte</w:t>
            </w:r>
          </w:p>
          <w:p w14:paraId="3A67067A" w14:textId="77777777" w:rsidR="00007D1F" w:rsidRPr="007D0AA8" w:rsidRDefault="00007D1F" w:rsidP="008742A1">
            <w:pPr>
              <w:pStyle w:val="Tabletext1"/>
            </w:pPr>
            <w:r w:rsidRPr="007D0AA8">
              <w:t>Septrin Forte</w:t>
            </w:r>
          </w:p>
          <w:p w14:paraId="1D70588E" w14:textId="77777777" w:rsidR="00007D1F" w:rsidRPr="007D0AA8" w:rsidRDefault="00007D1F" w:rsidP="008742A1">
            <w:pPr>
              <w:pStyle w:val="Tabletext1"/>
            </w:pPr>
            <w:r w:rsidRPr="007D0AA8">
              <w:t>Bactrim DS</w:t>
            </w:r>
          </w:p>
        </w:tc>
        <w:tc>
          <w:tcPr>
            <w:tcW w:w="969" w:type="dxa"/>
          </w:tcPr>
          <w:p w14:paraId="7A01F814" w14:textId="77777777" w:rsidR="00007D1F" w:rsidRPr="007D0AA8" w:rsidRDefault="00007D1F" w:rsidP="008742A1">
            <w:pPr>
              <w:pStyle w:val="Tabletext1"/>
            </w:pPr>
            <w:r w:rsidRPr="007D0AA8">
              <w:t>Tablets</w:t>
            </w:r>
          </w:p>
        </w:tc>
        <w:tc>
          <w:tcPr>
            <w:tcW w:w="961" w:type="dxa"/>
          </w:tcPr>
          <w:p w14:paraId="389715D2" w14:textId="77777777" w:rsidR="00007D1F" w:rsidRPr="007D0AA8" w:rsidRDefault="00007D1F" w:rsidP="008742A1">
            <w:pPr>
              <w:pStyle w:val="Tabletext1"/>
            </w:pPr>
            <w:r w:rsidRPr="007D0AA8">
              <w:t>10 tablets</w:t>
            </w:r>
          </w:p>
        </w:tc>
        <w:tc>
          <w:tcPr>
            <w:tcW w:w="811" w:type="dxa"/>
          </w:tcPr>
          <w:p w14:paraId="172CEB30" w14:textId="77777777" w:rsidR="00007D1F" w:rsidRPr="007D0AA8" w:rsidRDefault="00007D1F" w:rsidP="008742A1">
            <w:pPr>
              <w:pStyle w:val="Tabletext1"/>
            </w:pPr>
            <w:r w:rsidRPr="007D0AA8">
              <w:t>1 pack</w:t>
            </w:r>
          </w:p>
        </w:tc>
        <w:tc>
          <w:tcPr>
            <w:tcW w:w="851" w:type="dxa"/>
          </w:tcPr>
          <w:p w14:paraId="3147585F" w14:textId="77777777" w:rsidR="00007D1F" w:rsidRPr="007D0AA8" w:rsidRDefault="00007D1F" w:rsidP="008742A1">
            <w:pPr>
              <w:pStyle w:val="Tabletext1"/>
            </w:pPr>
            <w:r w:rsidRPr="007D0AA8">
              <w:t>1</w:t>
            </w:r>
          </w:p>
        </w:tc>
        <w:tc>
          <w:tcPr>
            <w:tcW w:w="700" w:type="dxa"/>
          </w:tcPr>
          <w:p w14:paraId="1915F660" w14:textId="77777777" w:rsidR="00007D1F" w:rsidRPr="007D0AA8" w:rsidRDefault="00007D1F" w:rsidP="008742A1">
            <w:pPr>
              <w:pStyle w:val="Tabletext1"/>
            </w:pPr>
            <w:r w:rsidRPr="007D0AA8">
              <w:t>2951H</w:t>
            </w:r>
          </w:p>
        </w:tc>
        <w:tc>
          <w:tcPr>
            <w:tcW w:w="1101" w:type="dxa"/>
          </w:tcPr>
          <w:p w14:paraId="7A998DC0" w14:textId="77777777" w:rsidR="00007D1F" w:rsidRPr="007D0AA8" w:rsidRDefault="00007D1F" w:rsidP="008742A1">
            <w:pPr>
              <w:pStyle w:val="Tabletext1"/>
            </w:pPr>
            <w:r w:rsidRPr="007D0AA8">
              <w:t>Unrestricted</w:t>
            </w:r>
          </w:p>
        </w:tc>
      </w:tr>
      <w:tr w:rsidR="00007D1F" w:rsidRPr="007D0AA8" w14:paraId="4DE22084" w14:textId="77777777" w:rsidTr="000A290B">
        <w:tc>
          <w:tcPr>
            <w:tcW w:w="2401" w:type="dxa"/>
          </w:tcPr>
          <w:p w14:paraId="7B9B928B" w14:textId="77777777" w:rsidR="00007D1F" w:rsidRPr="007D0AA8" w:rsidRDefault="00007D1F" w:rsidP="008742A1">
            <w:pPr>
              <w:pStyle w:val="Tabletext1"/>
            </w:pPr>
            <w:r w:rsidRPr="007D0AA8">
              <w:t>trimethoprim 40mg/5mL + sulfamethoxazole 200mg/5mL</w:t>
            </w:r>
          </w:p>
        </w:tc>
        <w:tc>
          <w:tcPr>
            <w:tcW w:w="1225" w:type="dxa"/>
          </w:tcPr>
          <w:p w14:paraId="1A51E60B" w14:textId="77777777" w:rsidR="00007D1F" w:rsidRPr="007D0AA8" w:rsidRDefault="00007D1F" w:rsidP="008742A1">
            <w:pPr>
              <w:pStyle w:val="Tabletext1"/>
            </w:pPr>
            <w:r w:rsidRPr="007D0AA8">
              <w:t>Bactrim</w:t>
            </w:r>
          </w:p>
          <w:p w14:paraId="52F2FE19" w14:textId="77777777" w:rsidR="00007D1F" w:rsidRPr="007D0AA8" w:rsidRDefault="00007D1F" w:rsidP="008742A1">
            <w:pPr>
              <w:pStyle w:val="Tabletext1"/>
            </w:pPr>
            <w:r w:rsidRPr="007D0AA8">
              <w:t>Septrin</w:t>
            </w:r>
          </w:p>
        </w:tc>
        <w:tc>
          <w:tcPr>
            <w:tcW w:w="969" w:type="dxa"/>
          </w:tcPr>
          <w:p w14:paraId="4F0AF792" w14:textId="77777777" w:rsidR="00007D1F" w:rsidRPr="007D0AA8" w:rsidRDefault="00007D1F" w:rsidP="008742A1">
            <w:pPr>
              <w:pStyle w:val="Tabletext1"/>
            </w:pPr>
            <w:r w:rsidRPr="007D0AA8">
              <w:t>Oral liquid</w:t>
            </w:r>
          </w:p>
        </w:tc>
        <w:tc>
          <w:tcPr>
            <w:tcW w:w="961" w:type="dxa"/>
          </w:tcPr>
          <w:p w14:paraId="72C88ADB" w14:textId="77777777" w:rsidR="00007D1F" w:rsidRPr="007D0AA8" w:rsidRDefault="00007D1F" w:rsidP="008742A1">
            <w:pPr>
              <w:pStyle w:val="Tabletext1"/>
            </w:pPr>
            <w:r w:rsidRPr="007D0AA8">
              <w:t>100mL</w:t>
            </w:r>
          </w:p>
        </w:tc>
        <w:tc>
          <w:tcPr>
            <w:tcW w:w="811" w:type="dxa"/>
          </w:tcPr>
          <w:p w14:paraId="1283E634" w14:textId="77777777" w:rsidR="00007D1F" w:rsidRPr="007D0AA8" w:rsidRDefault="00007D1F" w:rsidP="008742A1">
            <w:pPr>
              <w:pStyle w:val="Tabletext1"/>
            </w:pPr>
            <w:r w:rsidRPr="007D0AA8">
              <w:t>1 bottle</w:t>
            </w:r>
          </w:p>
        </w:tc>
        <w:tc>
          <w:tcPr>
            <w:tcW w:w="851" w:type="dxa"/>
          </w:tcPr>
          <w:p w14:paraId="69230911" w14:textId="77777777" w:rsidR="00007D1F" w:rsidRPr="007D0AA8" w:rsidRDefault="00007D1F" w:rsidP="008742A1">
            <w:pPr>
              <w:pStyle w:val="Tabletext1"/>
            </w:pPr>
            <w:r w:rsidRPr="007D0AA8">
              <w:t>1</w:t>
            </w:r>
          </w:p>
        </w:tc>
        <w:tc>
          <w:tcPr>
            <w:tcW w:w="700" w:type="dxa"/>
          </w:tcPr>
          <w:p w14:paraId="001FC984" w14:textId="77777777" w:rsidR="00007D1F" w:rsidRPr="007D0AA8" w:rsidRDefault="00007D1F" w:rsidP="008742A1">
            <w:pPr>
              <w:pStyle w:val="Tabletext1"/>
            </w:pPr>
            <w:r w:rsidRPr="007D0AA8">
              <w:t>3103H</w:t>
            </w:r>
          </w:p>
        </w:tc>
        <w:tc>
          <w:tcPr>
            <w:tcW w:w="1101" w:type="dxa"/>
          </w:tcPr>
          <w:p w14:paraId="5E82757D" w14:textId="77777777" w:rsidR="00007D1F" w:rsidRPr="007D0AA8" w:rsidRDefault="00007D1F" w:rsidP="008742A1">
            <w:pPr>
              <w:pStyle w:val="Tabletext1"/>
            </w:pPr>
            <w:r w:rsidRPr="007D0AA8">
              <w:t>Unrestricted</w:t>
            </w:r>
          </w:p>
        </w:tc>
      </w:tr>
    </w:tbl>
    <w:p w14:paraId="77064396" w14:textId="77777777" w:rsidR="00007D1F" w:rsidRPr="007D0AA8" w:rsidRDefault="00007D1F" w:rsidP="008742A1">
      <w:pPr>
        <w:pStyle w:val="Tablenotes1"/>
      </w:pPr>
      <w:r w:rsidRPr="007D0AA8">
        <w:t xml:space="preserve">Note: the tablet brands are ‘a’ flagged as Schedule equivalent, but the oral liquids are not.  </w:t>
      </w:r>
    </w:p>
    <w:p w14:paraId="4C6001C9" w14:textId="5509BA7D" w:rsidR="00007D1F" w:rsidRPr="007D0AA8" w:rsidRDefault="00007D1F" w:rsidP="008742A1">
      <w:pPr>
        <w:rPr>
          <w:rFonts w:eastAsia="Calibri"/>
          <w:szCs w:val="20"/>
          <w:lang w:eastAsia="en-US"/>
        </w:rPr>
      </w:pPr>
      <w:r w:rsidRPr="007D0AA8">
        <w:rPr>
          <w:rFonts w:eastAsia="Calibri"/>
          <w:lang w:eastAsia="en-US"/>
        </w:rPr>
        <w:t xml:space="preserve">Patients already on chemotherapy for MM or CLL would likely be offered prophylactic antibiotics, however those not receiving chemotherapy are unlikely to be offered prophylaxis. </w:t>
      </w:r>
      <w:r w:rsidR="00DB6E7E" w:rsidRPr="007D0AA8">
        <w:rPr>
          <w:rFonts w:eastAsia="Calibri"/>
          <w:lang w:eastAsia="en-US"/>
        </w:rPr>
        <w:t>The patients may be treated with purine analogues and anti-CD20 monoclonal antibodies, both of which are associated with inc</w:t>
      </w:r>
      <w:r w:rsidR="00004696" w:rsidRPr="007D0AA8">
        <w:rPr>
          <w:rFonts w:eastAsia="Calibri"/>
          <w:lang w:eastAsia="en-US"/>
        </w:rPr>
        <w:t xml:space="preserve">reased incidence of infections </w:t>
      </w:r>
      <w:r w:rsidR="00004696" w:rsidRPr="007D0AA8">
        <w:rPr>
          <w:rFonts w:eastAsia="Calibri"/>
          <w:lang w:eastAsia="en-US"/>
        </w:rPr>
        <w:fldChar w:fldCharType="begin"/>
      </w:r>
      <w:r w:rsidR="005E1360" w:rsidRPr="007D0AA8">
        <w:rPr>
          <w:rFonts w:eastAsia="Calibri"/>
          <w:lang w:eastAsia="en-US"/>
        </w:rPr>
        <w:instrText xml:space="preserve"> ADDIN EN.CITE &lt;EndNote&gt;&lt;Cite&gt;&lt;Author&gt;Sanchez-Ramon&lt;/Author&gt;&lt;Year&gt;2016&lt;/Year&gt;&lt;RecNum&gt;24&lt;/RecNum&gt;&lt;DisplayText&gt;(Sanchez-Ramon, Dhalla &amp;amp; Chapel 2016)&lt;/DisplayText&gt;&lt;record&gt;&lt;rec-number&gt;24&lt;/rec-number&gt;&lt;foreign-keys&gt;&lt;key app="EN" db-id="z0vwsepdwpt20pewwts5z9eup9e2r2pd2tad" timestamp="1553825060"&gt;24&lt;/key&gt;&lt;/foreign-keys&gt;&lt;ref-type name="Journal Article"&gt;17&lt;/ref-type&gt;&lt;contributors&gt;&lt;authors&gt;&lt;author&gt;Sanchez-Ramon, S.&lt;/author&gt;&lt;author&gt;Dhalla, F.&lt;/author&gt;&lt;author&gt;Chapel, H.&lt;/author&gt;&lt;/authors&gt;&lt;/contributors&gt;&lt;auth-address&gt;Department of Clinical Immunology and IdISSC, Hospital Clinico San Carlos, Madrid, Spain; Department of Microbiology I, Complutense University School of Medicine, Madrid, Spain. Nuffield Department of Medicine, University of Oxford, Oxford, UK; Department of Clinical Immunology, John Radcliffe Hospital, Headington, Oxford, UK.&lt;/auth-address&gt;&lt;titles&gt;&lt;title&gt;Challenges in the Role of Gammaglobulin Replacement Therapy and Vaccination Strategies for Hematological Malignancy&lt;/title&gt;&lt;secondary-title&gt;Front Immunol&lt;/secondary-title&gt;&lt;/titles&gt;&lt;periodical&gt;&lt;full-title&gt;Front Immunol&lt;/full-title&gt;&lt;/periodical&gt;&lt;pages&gt;317&lt;/pages&gt;&lt;volume&gt;7&lt;/volume&gt;&lt;keywords&gt;&lt;keyword&gt;antibody production defect&lt;/keyword&gt;&lt;keyword&gt;chronic lymphocytic leukemia&lt;/keyword&gt;&lt;keyword&gt;hematological malignancy&lt;/keyword&gt;&lt;keyword&gt;hypogammaglobulinemia&lt;/keyword&gt;&lt;keyword&gt;multiple myeloma&lt;/keyword&gt;&lt;keyword&gt;replacement immunoglobulins&lt;/keyword&gt;&lt;keyword&gt;Hematologic Neoplasms&lt;/keyword&gt;&lt;keyword&gt;Immunotherapy, Active&lt;/keyword&gt;&lt;keyword&gt;Vaccination&lt;/keyword&gt;&lt;/keywords&gt;&lt;dates&gt;&lt;year&gt;2016&lt;/year&gt;&lt;pub-dates&gt;&lt;date&gt;2016&lt;/date&gt;&lt;/pub-dates&gt;&lt;/dates&gt;&lt;isbn&gt;1664-3224 (Print) 1664-3224 (Linking)&lt;/isbn&gt;&lt;accession-num&gt;27597852&lt;/accession-num&gt;&lt;urls&gt;&lt;related-urls&gt;&lt;url&gt;&lt;style face="underline" font="default" size="100%"&gt;https://www.ncbi.nlm.nih.gov/pubmed/27597852&lt;/style&gt;&lt;/url&gt;&lt;/related-urls&gt;&lt;/urls&gt;&lt;custom1&gt;RAYYAN-INCLUSION: {&amp;quot;Skye&amp;quot;=&amp;gt;&amp;quot;Included&amp;quot;}&lt;/custom1&gt;&lt;research-notes&gt;X - background info&lt;/research-notes&gt;&lt;/record&gt;&lt;/Cite&gt;&lt;/EndNote&gt;</w:instrText>
      </w:r>
      <w:r w:rsidR="00004696" w:rsidRPr="007D0AA8">
        <w:rPr>
          <w:rFonts w:eastAsia="Calibri"/>
          <w:lang w:eastAsia="en-US"/>
        </w:rPr>
        <w:fldChar w:fldCharType="separate"/>
      </w:r>
      <w:r w:rsidR="005E1360" w:rsidRPr="007D0AA8">
        <w:rPr>
          <w:rFonts w:eastAsia="Calibri"/>
          <w:noProof/>
          <w:lang w:eastAsia="en-US"/>
        </w:rPr>
        <w:t>(</w:t>
      </w:r>
      <w:hyperlink w:anchor="_ENREF_45" w:tooltip="Sanchez-Ramon, 2016 #24" w:history="1">
        <w:r w:rsidR="00BB0145" w:rsidRPr="007D0AA8">
          <w:rPr>
            <w:rFonts w:eastAsia="Calibri"/>
            <w:noProof/>
            <w:lang w:eastAsia="en-US"/>
          </w:rPr>
          <w:t>Sanchez-Ramon, Dhalla &amp; Chapel 2016</w:t>
        </w:r>
      </w:hyperlink>
      <w:r w:rsidR="005E1360" w:rsidRPr="007D0AA8">
        <w:rPr>
          <w:rFonts w:eastAsia="Calibri"/>
          <w:noProof/>
          <w:lang w:eastAsia="en-US"/>
        </w:rPr>
        <w:t>)</w:t>
      </w:r>
      <w:r w:rsidR="00004696" w:rsidRPr="007D0AA8">
        <w:rPr>
          <w:rFonts w:eastAsia="Calibri"/>
          <w:lang w:eastAsia="en-US"/>
        </w:rPr>
        <w:fldChar w:fldCharType="end"/>
      </w:r>
      <w:r w:rsidR="00DB6E7E" w:rsidRPr="007D0AA8">
        <w:rPr>
          <w:rFonts w:eastAsia="Calibri"/>
          <w:lang w:eastAsia="en-US"/>
        </w:rPr>
        <w:t xml:space="preserve">.  </w:t>
      </w:r>
      <w:r w:rsidRPr="007D0AA8">
        <w:rPr>
          <w:rFonts w:eastAsia="Calibri"/>
          <w:lang w:eastAsia="en-US"/>
        </w:rPr>
        <w:t xml:space="preserve">The IgG </w:t>
      </w:r>
      <w:r w:rsidRPr="007D0AA8">
        <w:rPr>
          <w:rFonts w:eastAsia="Calibri"/>
          <w:lang w:eastAsia="en-US"/>
        </w:rPr>
        <w:lastRenderedPageBreak/>
        <w:t>Review Reference Group considered that around 10% of MM or CLL patients would receive antibiotic prophylaxis.</w:t>
      </w:r>
      <w:r w:rsidRPr="007D0AA8">
        <w:rPr>
          <w:rFonts w:eastAsia="Calibri"/>
          <w:szCs w:val="20"/>
          <w:lang w:eastAsia="en-US"/>
        </w:rPr>
        <w:t xml:space="preserve"> </w:t>
      </w:r>
    </w:p>
    <w:p w14:paraId="1A31612D" w14:textId="77777777" w:rsidR="00007D1F" w:rsidRPr="007D0AA8" w:rsidRDefault="00007D1F" w:rsidP="008742A1">
      <w:pPr>
        <w:rPr>
          <w:rFonts w:eastAsia="Calibri"/>
          <w:i/>
          <w:lang w:eastAsia="en-US"/>
        </w:rPr>
      </w:pPr>
      <w:r w:rsidRPr="007D0AA8">
        <w:rPr>
          <w:rFonts w:eastAsia="Calibri"/>
          <w:lang w:eastAsia="en-US"/>
        </w:rPr>
        <w:t xml:space="preserve">The applicant advises that some patients with hypogammaglobulinaemia (likely less than 20%) are commenced on chemotherapy because the patient is getting infections. The clinical signs to commence chemotherapy are the same regardless of IgG access, but this is likely to be required more frequently without IgG replacement therapy.  </w:t>
      </w:r>
    </w:p>
    <w:p w14:paraId="7369B710" w14:textId="77777777" w:rsidR="00007D1F" w:rsidRPr="007D0AA8" w:rsidRDefault="00007D1F" w:rsidP="008742A1">
      <w:pPr>
        <w:rPr>
          <w:rFonts w:eastAsia="Calibri"/>
          <w:lang w:eastAsia="en-US"/>
        </w:rPr>
      </w:pPr>
      <w:r w:rsidRPr="007D0AA8">
        <w:rPr>
          <w:rFonts w:eastAsia="Calibri"/>
          <w:lang w:eastAsia="en-US"/>
        </w:rPr>
        <w:t>The IgG Review Reference Group considered that antibiotic use in the current treatment algorithm could be either prophylactic (based on high risk of infection) or prn (in response to clinical signs of infection). Chemotherapy was not considered to be a secondary comparator for the evaluation.</w:t>
      </w:r>
    </w:p>
    <w:p w14:paraId="5AF54AA2" w14:textId="52B99DB9" w:rsidR="00DB6E7E" w:rsidRPr="007D0AA8" w:rsidRDefault="00DB6E7E" w:rsidP="008742A1">
      <w:pPr>
        <w:rPr>
          <w:rFonts w:eastAsia="Calibri"/>
          <w:i/>
          <w:lang w:eastAsia="en-US"/>
        </w:rPr>
      </w:pPr>
      <w:r w:rsidRPr="007D0AA8">
        <w:rPr>
          <w:rFonts w:eastAsia="Calibri"/>
          <w:i/>
          <w:lang w:eastAsia="en-US"/>
        </w:rPr>
        <w:t>None of the studies returned by the literature search had considered antibiotics as a comparator</w:t>
      </w:r>
      <w:r w:rsidR="007D524D" w:rsidRPr="007D0AA8">
        <w:rPr>
          <w:rFonts w:eastAsia="Calibri"/>
          <w:i/>
          <w:lang w:eastAsia="en-US"/>
        </w:rPr>
        <w:t xml:space="preserve"> or intervention</w:t>
      </w:r>
      <w:r w:rsidRPr="007D0AA8">
        <w:rPr>
          <w:rFonts w:eastAsia="Calibri"/>
          <w:i/>
          <w:lang w:eastAsia="en-US"/>
        </w:rPr>
        <w:t xml:space="preserve">, thus this evaluation considered the intervention ‘IgG’ versus the comparator ‘No IgG’. </w:t>
      </w:r>
    </w:p>
    <w:p w14:paraId="57A5DAA1" w14:textId="77777777" w:rsidR="005602D3" w:rsidRPr="00386411" w:rsidRDefault="005602D3" w:rsidP="00331FB9">
      <w:pPr>
        <w:pStyle w:val="Heading2"/>
        <w:numPr>
          <w:ilvl w:val="0"/>
          <w:numId w:val="8"/>
        </w:numPr>
      </w:pPr>
      <w:bookmarkStart w:id="203" w:name="_Toc381796446"/>
      <w:bookmarkStart w:id="204" w:name="_Toc14431125"/>
      <w:bookmarkStart w:id="205" w:name="_Toc16856293"/>
      <w:r w:rsidRPr="00386411">
        <w:t xml:space="preserve">Clinical </w:t>
      </w:r>
      <w:bookmarkEnd w:id="203"/>
      <w:r w:rsidR="00715135" w:rsidRPr="00386411">
        <w:t>management Algorithm(s)</w:t>
      </w:r>
      <w:bookmarkEnd w:id="204"/>
      <w:bookmarkEnd w:id="205"/>
      <w:r w:rsidRPr="00386411">
        <w:t xml:space="preserve"> </w:t>
      </w:r>
    </w:p>
    <w:p w14:paraId="6DE1C40C" w14:textId="1FFD5019" w:rsidR="00DB6E7E" w:rsidRPr="007D0AA8" w:rsidRDefault="00DB6E7E" w:rsidP="00DB6E7E">
      <w:pPr>
        <w:rPr>
          <w:rFonts w:asciiTheme="minorHAnsi" w:hAnsiTheme="minorHAnsi" w:cstheme="minorHAnsi"/>
        </w:rPr>
      </w:pPr>
      <w:r w:rsidRPr="007D0AA8">
        <w:rPr>
          <w:rFonts w:asciiTheme="minorHAnsi" w:hAnsiTheme="minorHAnsi" w:cstheme="minorHAnsi"/>
        </w:rPr>
        <w:t xml:space="preserve">The current treatment algorithm from the PICO Confirmation is presented in </w:t>
      </w:r>
      <w:r w:rsidRPr="007D0AA8">
        <w:rPr>
          <w:rFonts w:asciiTheme="minorHAnsi" w:hAnsiTheme="minorHAnsi" w:cstheme="minorHAnsi"/>
          <w:highlight w:val="yellow"/>
        </w:rPr>
        <w:fldChar w:fldCharType="begin"/>
      </w:r>
      <w:r w:rsidRPr="007D0AA8">
        <w:rPr>
          <w:rFonts w:asciiTheme="minorHAnsi" w:hAnsiTheme="minorHAnsi" w:cstheme="minorHAnsi"/>
        </w:rPr>
        <w:instrText xml:space="preserve"> REF _Ref9797450 \h </w:instrText>
      </w:r>
      <w:r w:rsidRPr="007D0AA8">
        <w:rPr>
          <w:rFonts w:asciiTheme="minorHAnsi" w:hAnsiTheme="minorHAnsi" w:cstheme="minorHAnsi"/>
          <w:highlight w:val="yellow"/>
        </w:rPr>
        <w:instrText xml:space="preserve"> \* MERGEFORMAT </w:instrText>
      </w:r>
      <w:r w:rsidRPr="007D0AA8">
        <w:rPr>
          <w:rFonts w:asciiTheme="minorHAnsi" w:hAnsiTheme="minorHAnsi" w:cstheme="minorHAnsi"/>
          <w:highlight w:val="yellow"/>
        </w:rPr>
      </w:r>
      <w:r w:rsidRPr="007D0AA8">
        <w:rPr>
          <w:rFonts w:asciiTheme="minorHAnsi" w:hAnsiTheme="minorHAnsi" w:cstheme="minorHAnsi"/>
          <w:highlight w:val="yellow"/>
        </w:rPr>
        <w:fldChar w:fldCharType="separate"/>
      </w:r>
      <w:r w:rsidR="00A7463B" w:rsidRPr="00A7463B">
        <w:rPr>
          <w:rFonts w:asciiTheme="minorHAnsi" w:hAnsiTheme="minorHAnsi" w:cstheme="minorHAnsi"/>
        </w:rPr>
        <w:t xml:space="preserve">Figure </w:t>
      </w:r>
      <w:r w:rsidR="00A7463B" w:rsidRPr="00A7463B">
        <w:rPr>
          <w:rFonts w:asciiTheme="minorHAnsi" w:hAnsiTheme="minorHAnsi" w:cstheme="minorHAnsi"/>
          <w:noProof/>
        </w:rPr>
        <w:t>1</w:t>
      </w:r>
      <w:r w:rsidRPr="007D0AA8">
        <w:rPr>
          <w:rFonts w:asciiTheme="minorHAnsi" w:hAnsiTheme="minorHAnsi" w:cstheme="minorHAnsi"/>
          <w:highlight w:val="yellow"/>
        </w:rPr>
        <w:fldChar w:fldCharType="end"/>
      </w:r>
      <w:r w:rsidRPr="007D0AA8">
        <w:rPr>
          <w:rFonts w:asciiTheme="minorHAnsi" w:hAnsiTheme="minorHAnsi" w:cstheme="minorHAnsi"/>
        </w:rPr>
        <w:t xml:space="preserve">.  This algorithm represents treatment under the current NBA arrangements. </w:t>
      </w:r>
      <w:r w:rsidR="004A2D8B">
        <w:rPr>
          <w:rFonts w:asciiTheme="minorHAnsi" w:hAnsiTheme="minorHAnsi" w:cstheme="minorHAnsi"/>
        </w:rPr>
        <w:t>As t</w:t>
      </w:r>
      <w:r w:rsidRPr="007D0AA8">
        <w:rPr>
          <w:rFonts w:asciiTheme="minorHAnsi" w:hAnsiTheme="minorHAnsi" w:cstheme="minorHAnsi"/>
        </w:rPr>
        <w:t xml:space="preserve">he purpose of this referral to MSAC is consider the cost-effectiveness of these arrangements, there is no ‘proposed’ treatment algorithm.  </w:t>
      </w:r>
    </w:p>
    <w:p w14:paraId="086D89AD" w14:textId="0233FFD5" w:rsidR="00DB6E7E" w:rsidRPr="00095345" w:rsidRDefault="00DB6E7E" w:rsidP="008742A1">
      <w:pPr>
        <w:pStyle w:val="Caption"/>
        <w:keepNext/>
      </w:pPr>
      <w:bookmarkStart w:id="206" w:name="_Ref9797450"/>
      <w:bookmarkStart w:id="207" w:name="_Ref10113845"/>
      <w:bookmarkStart w:id="208" w:name="_Toc14429638"/>
      <w:bookmarkStart w:id="209" w:name="_Toc16671697"/>
      <w:r w:rsidRPr="00095345">
        <w:lastRenderedPageBreak/>
        <w:t xml:space="preserve">Figure </w:t>
      </w:r>
      <w:r w:rsidR="00F814DE">
        <w:rPr>
          <w:noProof/>
        </w:rPr>
        <w:fldChar w:fldCharType="begin"/>
      </w:r>
      <w:r w:rsidR="00F814DE">
        <w:rPr>
          <w:noProof/>
        </w:rPr>
        <w:instrText xml:space="preserve"> SEQ Figure \* ARABIC </w:instrText>
      </w:r>
      <w:r w:rsidR="00F814DE">
        <w:rPr>
          <w:noProof/>
        </w:rPr>
        <w:fldChar w:fldCharType="separate"/>
      </w:r>
      <w:r w:rsidR="00A7463B">
        <w:rPr>
          <w:noProof/>
        </w:rPr>
        <w:t>1</w:t>
      </w:r>
      <w:r w:rsidR="00F814DE">
        <w:rPr>
          <w:noProof/>
        </w:rPr>
        <w:fldChar w:fldCharType="end"/>
      </w:r>
      <w:bookmarkEnd w:id="206"/>
      <w:r w:rsidRPr="00095345">
        <w:tab/>
        <w:t>Treatment algorithm</w:t>
      </w:r>
      <w:bookmarkEnd w:id="207"/>
      <w:bookmarkEnd w:id="208"/>
      <w:bookmarkEnd w:id="209"/>
    </w:p>
    <w:tbl>
      <w:tblPr>
        <w:tblStyle w:val="TableGrid"/>
        <w:tblW w:w="0" w:type="auto"/>
        <w:tblLook w:val="04A0" w:firstRow="1" w:lastRow="0" w:firstColumn="1" w:lastColumn="0" w:noHBand="0" w:noVBand="1"/>
        <w:tblCaption w:val="Treatment algorithm"/>
      </w:tblPr>
      <w:tblGrid>
        <w:gridCol w:w="9079"/>
      </w:tblGrid>
      <w:tr w:rsidR="00DB6E7E" w:rsidRPr="00386411" w14:paraId="69A1D4D2" w14:textId="77777777" w:rsidTr="009634B8">
        <w:trPr>
          <w:tblHeader/>
        </w:trPr>
        <w:tc>
          <w:tcPr>
            <w:tcW w:w="9019" w:type="dxa"/>
            <w:shd w:val="clear" w:color="auto" w:fill="000000" w:themeFill="text1"/>
          </w:tcPr>
          <w:p w14:paraId="6D4776B4" w14:textId="77777777" w:rsidR="00DB6E7E" w:rsidRPr="00386411" w:rsidRDefault="00DB6E7E" w:rsidP="00DB6E7E">
            <w:pPr>
              <w:keepNext/>
              <w:spacing w:after="0" w:line="240" w:lineRule="auto"/>
              <w:rPr>
                <w:rFonts w:asciiTheme="minorHAnsi" w:hAnsiTheme="minorHAnsi" w:cstheme="minorHAnsi"/>
                <w:b/>
                <w:sz w:val="20"/>
              </w:rPr>
            </w:pPr>
            <w:r w:rsidRPr="00386411">
              <w:rPr>
                <w:rFonts w:asciiTheme="minorHAnsi" w:hAnsiTheme="minorHAnsi" w:cstheme="minorHAnsi"/>
                <w:b/>
                <w:sz w:val="20"/>
              </w:rPr>
              <w:t>(A) Initial Access to IgG funded under the National Blood Arrangements</w:t>
            </w:r>
          </w:p>
        </w:tc>
      </w:tr>
      <w:tr w:rsidR="00DB6E7E" w:rsidRPr="00386411" w14:paraId="24527D02" w14:textId="77777777" w:rsidTr="009634B8">
        <w:tc>
          <w:tcPr>
            <w:tcW w:w="9019" w:type="dxa"/>
          </w:tcPr>
          <w:p w14:paraId="006E58D4" w14:textId="3C61349B" w:rsidR="00DB6E7E" w:rsidRPr="00386411" w:rsidRDefault="00DB6E7E" w:rsidP="00DB6E7E">
            <w:pPr>
              <w:jc w:val="center"/>
              <w:rPr>
                <w:rFonts w:asciiTheme="minorHAnsi" w:hAnsiTheme="minorHAnsi" w:cstheme="minorHAnsi"/>
                <w:b/>
                <w:sz w:val="20"/>
              </w:rPr>
            </w:pPr>
            <w:r w:rsidRPr="00386411">
              <w:rPr>
                <w:rFonts w:asciiTheme="minorHAnsi" w:hAnsiTheme="minorHAnsi" w:cstheme="minorHAnsi"/>
                <w:b/>
                <w:noProof/>
                <w:sz w:val="20"/>
              </w:rPr>
              <w:drawing>
                <wp:inline distT="0" distB="0" distL="0" distR="0" wp14:anchorId="609B991F" wp14:editId="66D9A2D5">
                  <wp:extent cx="5628178" cy="4446905"/>
                  <wp:effectExtent l="0" t="0" r="0" b="0"/>
                  <wp:docPr id="11" name="Picture 11" title="Treatment algorithm - Initial Access to IgG funded under the National Blood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696" r="2216" b="7472"/>
                          <a:stretch/>
                        </pic:blipFill>
                        <pic:spPr bwMode="auto">
                          <a:xfrm>
                            <a:off x="0" y="0"/>
                            <a:ext cx="5667799" cy="44782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3AD3B19" w14:textId="77777777" w:rsidR="009634B8" w:rsidRPr="00F00D35" w:rsidRDefault="009634B8" w:rsidP="009634B8">
      <w:pPr>
        <w:rPr>
          <w:sz w:val="14"/>
        </w:rPr>
      </w:pPr>
      <w:bookmarkStart w:id="210" w:name="_Toc14431126"/>
    </w:p>
    <w:tbl>
      <w:tblPr>
        <w:tblStyle w:val="TableGrid"/>
        <w:tblW w:w="0" w:type="auto"/>
        <w:tblLook w:val="04A0" w:firstRow="1" w:lastRow="0" w:firstColumn="1" w:lastColumn="0" w:noHBand="0" w:noVBand="1"/>
        <w:tblCaption w:val="Treatment algorithm continued"/>
      </w:tblPr>
      <w:tblGrid>
        <w:gridCol w:w="9245"/>
      </w:tblGrid>
      <w:tr w:rsidR="009634B8" w:rsidRPr="00386411" w14:paraId="7CA9A354" w14:textId="77777777" w:rsidTr="009634B8">
        <w:trPr>
          <w:tblHeader/>
        </w:trPr>
        <w:tc>
          <w:tcPr>
            <w:tcW w:w="9242" w:type="dxa"/>
            <w:shd w:val="clear" w:color="auto" w:fill="000000" w:themeFill="text1"/>
          </w:tcPr>
          <w:p w14:paraId="0DC94004" w14:textId="77777777" w:rsidR="009634B8" w:rsidRPr="00386411" w:rsidRDefault="009634B8" w:rsidP="000A5622">
            <w:pPr>
              <w:keepNext/>
              <w:spacing w:after="0" w:line="240" w:lineRule="auto"/>
              <w:rPr>
                <w:rFonts w:asciiTheme="minorHAnsi" w:hAnsiTheme="minorHAnsi" w:cstheme="minorHAnsi"/>
                <w:b/>
                <w:sz w:val="20"/>
              </w:rPr>
            </w:pPr>
            <w:r w:rsidRPr="00386411">
              <w:rPr>
                <w:rFonts w:asciiTheme="minorHAnsi" w:hAnsiTheme="minorHAnsi" w:cstheme="minorHAnsi"/>
                <w:b/>
                <w:sz w:val="20"/>
              </w:rPr>
              <w:lastRenderedPageBreak/>
              <w:t>(B) Monitoring response to IgG therapy</w:t>
            </w:r>
          </w:p>
        </w:tc>
      </w:tr>
      <w:tr w:rsidR="009634B8" w:rsidRPr="00386411" w14:paraId="7BCF971F" w14:textId="77777777" w:rsidTr="000A5622">
        <w:trPr>
          <w:trHeight w:val="9377"/>
        </w:trPr>
        <w:tc>
          <w:tcPr>
            <w:tcW w:w="9242" w:type="dxa"/>
          </w:tcPr>
          <w:p w14:paraId="12EBD178" w14:textId="77777777" w:rsidR="009634B8" w:rsidRPr="00386411" w:rsidRDefault="009634B8" w:rsidP="000A5622">
            <w:pPr>
              <w:rPr>
                <w:rFonts w:asciiTheme="minorHAnsi" w:hAnsiTheme="minorHAnsi" w:cstheme="minorHAnsi"/>
                <w:b/>
                <w:sz w:val="20"/>
              </w:rPr>
            </w:pPr>
            <w:r w:rsidRPr="00386411">
              <w:rPr>
                <w:rFonts w:asciiTheme="minorHAnsi" w:hAnsiTheme="minorHAnsi" w:cstheme="minorHAnsi"/>
                <w:b/>
                <w:noProof/>
                <w:sz w:val="20"/>
              </w:rPr>
              <w:drawing>
                <wp:inline distT="0" distB="0" distL="0" distR="0" wp14:anchorId="6F0B69D7" wp14:editId="23E85BD0">
                  <wp:extent cx="5554345" cy="5912485"/>
                  <wp:effectExtent l="0" t="0" r="8255" b="0"/>
                  <wp:docPr id="15" name="Picture 15" title="Treatment algorithm - Monitoring response to IgG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54345" cy="5912485"/>
                          </a:xfrm>
                          <a:prstGeom prst="rect">
                            <a:avLst/>
                          </a:prstGeom>
                          <a:noFill/>
                          <a:ln>
                            <a:noFill/>
                          </a:ln>
                        </pic:spPr>
                      </pic:pic>
                    </a:graphicData>
                  </a:graphic>
                </wp:inline>
              </w:drawing>
            </w:r>
          </w:p>
        </w:tc>
      </w:tr>
      <w:tr w:rsidR="009634B8" w:rsidRPr="00386411" w14:paraId="2F561439" w14:textId="77777777" w:rsidTr="000A5622">
        <w:tc>
          <w:tcPr>
            <w:tcW w:w="9242" w:type="dxa"/>
            <w:shd w:val="clear" w:color="auto" w:fill="000000" w:themeFill="text1"/>
          </w:tcPr>
          <w:p w14:paraId="65E578BF" w14:textId="77777777" w:rsidR="009634B8" w:rsidRPr="00386411" w:rsidRDefault="009634B8" w:rsidP="000A5622">
            <w:pPr>
              <w:keepNext/>
              <w:spacing w:after="0" w:line="240" w:lineRule="auto"/>
              <w:rPr>
                <w:rFonts w:asciiTheme="minorHAnsi" w:hAnsiTheme="minorHAnsi" w:cstheme="minorHAnsi"/>
                <w:b/>
                <w:sz w:val="20"/>
              </w:rPr>
            </w:pPr>
            <w:r w:rsidRPr="00386411">
              <w:rPr>
                <w:rFonts w:asciiTheme="minorHAnsi" w:hAnsiTheme="minorHAnsi" w:cstheme="minorHAnsi"/>
                <w:b/>
                <w:sz w:val="20"/>
              </w:rPr>
              <w:t>(C) Treatment pathway when IgG is not an option</w:t>
            </w:r>
          </w:p>
        </w:tc>
      </w:tr>
      <w:tr w:rsidR="009634B8" w:rsidRPr="00386411" w14:paraId="4266710A" w14:textId="77777777" w:rsidTr="000A5622">
        <w:trPr>
          <w:trHeight w:val="2999"/>
        </w:trPr>
        <w:tc>
          <w:tcPr>
            <w:tcW w:w="9245" w:type="dxa"/>
          </w:tcPr>
          <w:p w14:paraId="1452AA92" w14:textId="77777777" w:rsidR="009634B8" w:rsidRPr="00386411" w:rsidRDefault="009634B8" w:rsidP="000A5622">
            <w:pPr>
              <w:jc w:val="center"/>
              <w:rPr>
                <w:rFonts w:asciiTheme="minorHAnsi" w:hAnsiTheme="minorHAnsi" w:cstheme="minorHAnsi"/>
                <w:b/>
                <w:sz w:val="20"/>
              </w:rPr>
            </w:pPr>
            <w:r w:rsidRPr="00386411">
              <w:rPr>
                <w:rFonts w:asciiTheme="minorHAnsi" w:hAnsiTheme="minorHAnsi" w:cstheme="minorHAnsi"/>
                <w:b/>
                <w:noProof/>
                <w:sz w:val="20"/>
              </w:rPr>
              <w:drawing>
                <wp:inline distT="0" distB="0" distL="0" distR="0" wp14:anchorId="2416F409" wp14:editId="1F9CBCF6">
                  <wp:extent cx="3435178" cy="2084591"/>
                  <wp:effectExtent l="0" t="0" r="0" b="0"/>
                  <wp:docPr id="17" name="Picture 17" title="Treatment algorithm - Treatment pathway when IgG is not a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335" r="23242" b="20103"/>
                          <a:stretch/>
                        </pic:blipFill>
                        <pic:spPr bwMode="auto">
                          <a:xfrm>
                            <a:off x="0" y="0"/>
                            <a:ext cx="3448907" cy="20929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BA87FE" w14:textId="62C50685" w:rsidR="005354F8" w:rsidRPr="00386411" w:rsidRDefault="005354F8" w:rsidP="00331FB9">
      <w:pPr>
        <w:pStyle w:val="Heading2"/>
        <w:numPr>
          <w:ilvl w:val="0"/>
          <w:numId w:val="8"/>
        </w:numPr>
      </w:pPr>
      <w:bookmarkStart w:id="211" w:name="_Toc16856294"/>
      <w:r w:rsidRPr="00386411">
        <w:lastRenderedPageBreak/>
        <w:t>Key Differences in the Delivery of the Medical Service and the Main Comparator</w:t>
      </w:r>
      <w:bookmarkEnd w:id="210"/>
      <w:bookmarkEnd w:id="211"/>
      <w:r w:rsidRPr="00386411">
        <w:t xml:space="preserve"> </w:t>
      </w:r>
    </w:p>
    <w:p w14:paraId="20220DBC" w14:textId="319B62FB" w:rsidR="00DB6E7E" w:rsidRPr="007D0AA8" w:rsidRDefault="00DB6E7E" w:rsidP="007844B9">
      <w:r w:rsidRPr="007D0AA8">
        <w:t xml:space="preserve">This evaluation was unable to compare the intervention and comparator as defined in the PICO Confirmation due to limitations of the clinical evidence, which did not include any studies reporting the safety or efficacy of antibiotics used with IgG either as part of intervention or comparator arms.  </w:t>
      </w:r>
    </w:p>
    <w:p w14:paraId="68BCC7D6" w14:textId="23D41AFF" w:rsidR="00DB6E7E" w:rsidRPr="007D0AA8" w:rsidRDefault="00DB6E7E" w:rsidP="007844B9">
      <w:r w:rsidRPr="007D0AA8">
        <w:t xml:space="preserve">For the purpose of this evaluation therefore, antibiotic prescribing was considered part of supportive care. This is highly variable, depending </w:t>
      </w:r>
      <w:r w:rsidR="007D524D" w:rsidRPr="007D0AA8">
        <w:t xml:space="preserve">on </w:t>
      </w:r>
      <w:r w:rsidRPr="007D0AA8">
        <w:t>(for example) the patient’s status (inpatient/outpatient)</w:t>
      </w:r>
      <w:r w:rsidR="007D524D" w:rsidRPr="007D0AA8">
        <w:t>, whether the infection required hospitalisation and if not</w:t>
      </w:r>
      <w:r w:rsidRPr="007D0AA8">
        <w:t xml:space="preserve"> whether infections </w:t>
      </w:r>
      <w:r w:rsidR="007D524D" w:rsidRPr="007D0AA8">
        <w:t>would be</w:t>
      </w:r>
      <w:r w:rsidRPr="007D0AA8">
        <w:t xml:space="preserve"> managed in the community (by a GP for example in a patient in remission) or by the treating specialist</w:t>
      </w:r>
      <w:r w:rsidR="007D524D" w:rsidRPr="007D0AA8">
        <w:t xml:space="preserve"> at an outpatient clinic</w:t>
      </w:r>
      <w:r w:rsidRPr="007D0AA8">
        <w:t xml:space="preserve">. </w:t>
      </w:r>
      <w:r w:rsidR="007D524D" w:rsidRPr="007D0AA8">
        <w:t>HSCT patients would most likely be inpatients until engraftment/neutropenic recovery which could be some months. These factors would not differ between intervention and comparator, though rate of antibiotic prescribing and rate of hospitalisations (or duration of the same) could be expected to be higher in the comparator/‘No IgG’ patients.</w:t>
      </w:r>
    </w:p>
    <w:p w14:paraId="5DFF20B1" w14:textId="77777777" w:rsidR="005354F8" w:rsidRPr="00386411" w:rsidRDefault="005354F8" w:rsidP="00331FB9">
      <w:pPr>
        <w:pStyle w:val="Heading2"/>
        <w:numPr>
          <w:ilvl w:val="0"/>
          <w:numId w:val="8"/>
        </w:numPr>
      </w:pPr>
      <w:bookmarkStart w:id="212" w:name="_Toc14431127"/>
      <w:bookmarkStart w:id="213" w:name="_Toc16856295"/>
      <w:r w:rsidRPr="00386411">
        <w:t>Clinical Claim</w:t>
      </w:r>
      <w:bookmarkEnd w:id="212"/>
      <w:bookmarkEnd w:id="213"/>
    </w:p>
    <w:p w14:paraId="2DBC76A5" w14:textId="4115EDFE" w:rsidR="007D524D" w:rsidRPr="007D0AA8" w:rsidRDefault="007D524D" w:rsidP="00B06A88">
      <w:r w:rsidRPr="007D0AA8">
        <w:rPr>
          <w:rFonts w:asciiTheme="minorHAnsi" w:hAnsiTheme="minorHAnsi" w:cstheme="minorHAnsi"/>
        </w:rPr>
        <w:t xml:space="preserve">The clinical claim in the PICO Confirmation was ‘IgG with antibiotics as required’ is superior to ‘no IgG with antibiotics as required’ for reducing infections in patients with acquired hypogammaglobulinaemia secondary to haematological malignancies, or HSCT. </w:t>
      </w:r>
    </w:p>
    <w:p w14:paraId="58879723" w14:textId="723B92BE" w:rsidR="00903492" w:rsidRPr="00386411" w:rsidRDefault="00D461C4" w:rsidP="00331FB9">
      <w:pPr>
        <w:pStyle w:val="Heading2"/>
        <w:numPr>
          <w:ilvl w:val="0"/>
          <w:numId w:val="8"/>
        </w:numPr>
      </w:pPr>
      <w:bookmarkStart w:id="214" w:name="_Toc14431128"/>
      <w:bookmarkStart w:id="215" w:name="_Toc16856296"/>
      <w:bookmarkEnd w:id="193"/>
      <w:bookmarkEnd w:id="194"/>
      <w:r w:rsidRPr="00386411">
        <w:t>Summary of the PICO</w:t>
      </w:r>
      <w:bookmarkEnd w:id="214"/>
      <w:bookmarkEnd w:id="215"/>
    </w:p>
    <w:p w14:paraId="37FE2BE0" w14:textId="774B4C2B" w:rsidR="003F44A7" w:rsidRPr="007D0AA8" w:rsidRDefault="004F36F1" w:rsidP="003F44A7">
      <w:pPr>
        <w:spacing w:before="240"/>
        <w:rPr>
          <w:rFonts w:eastAsia="Calibri" w:cs="Times New Roman"/>
          <w:lang w:eastAsia="en-US"/>
        </w:rPr>
      </w:pPr>
      <w:r w:rsidRPr="007D0AA8">
        <w:t xml:space="preserve">The </w:t>
      </w:r>
      <w:r w:rsidR="007D524D" w:rsidRPr="007D0AA8">
        <w:t>summary PICO</w:t>
      </w:r>
      <w:r w:rsidRPr="007D0AA8">
        <w:t xml:space="preserve"> </w:t>
      </w:r>
      <w:r w:rsidR="007D524D" w:rsidRPr="007D0AA8">
        <w:t>from the PICO Confirmation is</w:t>
      </w:r>
      <w:r w:rsidR="00BB381C" w:rsidRPr="007D0AA8">
        <w:t xml:space="preserve"> presented </w:t>
      </w:r>
      <w:bookmarkStart w:id="216" w:name="_Ref478459014"/>
      <w:r w:rsidR="003F44A7" w:rsidRPr="007D0AA8">
        <w:rPr>
          <w:sz w:val="24"/>
        </w:rPr>
        <w:t>in</w:t>
      </w:r>
      <w:r w:rsidR="003F44A7" w:rsidRPr="007D0AA8">
        <w:t xml:space="preserve"> </w:t>
      </w:r>
      <w:r w:rsidR="003F44A7" w:rsidRPr="007D0AA8">
        <w:rPr>
          <w:rFonts w:eastAsia="Calibri" w:cs="Times New Roman"/>
          <w:lang w:eastAsia="en-US"/>
        </w:rPr>
        <w:fldChar w:fldCharType="begin"/>
      </w:r>
      <w:r w:rsidR="003F44A7" w:rsidRPr="007D0AA8">
        <w:rPr>
          <w:rFonts w:eastAsia="Calibri" w:cs="Times New Roman"/>
          <w:lang w:eastAsia="en-US"/>
        </w:rPr>
        <w:instrText xml:space="preserve"> REF _Ref505165203 \h  \* MERGEFORMAT </w:instrText>
      </w:r>
      <w:r w:rsidR="003F44A7" w:rsidRPr="007D0AA8">
        <w:rPr>
          <w:rFonts w:eastAsia="Calibri" w:cs="Times New Roman"/>
          <w:lang w:eastAsia="en-US"/>
        </w:rPr>
      </w:r>
      <w:r w:rsidR="003F44A7" w:rsidRPr="007D0AA8">
        <w:rPr>
          <w:rFonts w:eastAsia="Calibri" w:cs="Times New Roman"/>
          <w:lang w:eastAsia="en-US"/>
        </w:rPr>
        <w:fldChar w:fldCharType="separate"/>
      </w:r>
      <w:r w:rsidR="00A7463B" w:rsidRPr="00A7463B">
        <w:rPr>
          <w:rFonts w:cs="Times New Roman"/>
          <w:szCs w:val="20"/>
        </w:rPr>
        <w:t xml:space="preserve">Table </w:t>
      </w:r>
      <w:r w:rsidR="00A7463B" w:rsidRPr="00A7463B">
        <w:rPr>
          <w:rFonts w:cs="Times New Roman"/>
          <w:noProof/>
          <w:szCs w:val="20"/>
        </w:rPr>
        <w:t>14</w:t>
      </w:r>
      <w:r w:rsidR="003F44A7" w:rsidRPr="007D0AA8">
        <w:rPr>
          <w:rFonts w:eastAsia="Calibri" w:cs="Times New Roman"/>
          <w:lang w:eastAsia="en-US"/>
        </w:rPr>
        <w:fldChar w:fldCharType="end"/>
      </w:r>
      <w:r w:rsidR="003F44A7" w:rsidRPr="007D0AA8">
        <w:rPr>
          <w:rFonts w:eastAsia="Calibri" w:cs="Times New Roman"/>
          <w:lang w:eastAsia="en-US"/>
        </w:rPr>
        <w:t xml:space="preserve">.  </w:t>
      </w:r>
    </w:p>
    <w:p w14:paraId="2CE60C8A" w14:textId="77777777" w:rsidR="003F44A7" w:rsidRPr="00386411" w:rsidRDefault="003F44A7" w:rsidP="00A148C4">
      <w:pPr>
        <w:pStyle w:val="Caption"/>
      </w:pPr>
      <w:bookmarkStart w:id="217" w:name="_Ref505165203"/>
      <w:bookmarkStart w:id="218" w:name="_Toc2598044"/>
      <w:bookmarkStart w:id="219" w:name="_Toc14429557"/>
      <w:bookmarkStart w:id="220" w:name="_Toc16671612"/>
      <w:r w:rsidRPr="00386411">
        <w:t xml:space="preserve">Table </w:t>
      </w:r>
      <w:r w:rsidR="00F814DE">
        <w:rPr>
          <w:noProof/>
        </w:rPr>
        <w:fldChar w:fldCharType="begin"/>
      </w:r>
      <w:r w:rsidR="00F814DE">
        <w:rPr>
          <w:noProof/>
        </w:rPr>
        <w:instrText xml:space="preserve"> SEQ Table \* ARABIC </w:instrText>
      </w:r>
      <w:r w:rsidR="00F814DE">
        <w:rPr>
          <w:noProof/>
        </w:rPr>
        <w:fldChar w:fldCharType="separate"/>
      </w:r>
      <w:r w:rsidR="00A7463B">
        <w:rPr>
          <w:noProof/>
        </w:rPr>
        <w:t>14</w:t>
      </w:r>
      <w:r w:rsidR="00F814DE">
        <w:rPr>
          <w:noProof/>
        </w:rPr>
        <w:fldChar w:fldCharType="end"/>
      </w:r>
      <w:bookmarkEnd w:id="217"/>
      <w:r w:rsidRPr="00386411">
        <w:tab/>
        <w:t>Population, Intervention and Comparator: Acquired Hypogammaglobulinaemia due to haematological conditions</w:t>
      </w:r>
      <w:bookmarkEnd w:id="218"/>
      <w:bookmarkEnd w:id="219"/>
      <w:bookmarkEnd w:id="2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4"/>
        <w:gridCol w:w="7651"/>
      </w:tblGrid>
      <w:tr w:rsidR="003F44A7" w:rsidRPr="00386411" w14:paraId="54391CF6" w14:textId="77777777" w:rsidTr="004466FC">
        <w:trPr>
          <w:tblHeader/>
        </w:trPr>
        <w:tc>
          <w:tcPr>
            <w:tcW w:w="862" w:type="pct"/>
            <w:shd w:val="clear" w:color="auto" w:fill="D9D9D9"/>
          </w:tcPr>
          <w:p w14:paraId="107BCDA5" w14:textId="77777777" w:rsidR="003F44A7" w:rsidRPr="00386411" w:rsidRDefault="003F44A7" w:rsidP="008742A1">
            <w:pPr>
              <w:pStyle w:val="TableHeading"/>
              <w:rPr>
                <w:rFonts w:eastAsia="Calibri"/>
                <w:lang w:eastAsia="en-US"/>
              </w:rPr>
            </w:pPr>
            <w:r w:rsidRPr="00386411">
              <w:rPr>
                <w:rFonts w:eastAsia="Calibri"/>
                <w:lang w:eastAsia="en-US"/>
              </w:rPr>
              <w:t>Component</w:t>
            </w:r>
          </w:p>
        </w:tc>
        <w:tc>
          <w:tcPr>
            <w:tcW w:w="4138" w:type="pct"/>
            <w:shd w:val="clear" w:color="auto" w:fill="D9D9D9"/>
          </w:tcPr>
          <w:p w14:paraId="788CFFAA" w14:textId="77777777" w:rsidR="003F44A7" w:rsidRPr="00386411" w:rsidRDefault="003F44A7" w:rsidP="008742A1">
            <w:pPr>
              <w:pStyle w:val="TableHeading"/>
              <w:rPr>
                <w:rFonts w:eastAsia="Calibri"/>
                <w:lang w:eastAsia="en-US"/>
              </w:rPr>
            </w:pPr>
            <w:r w:rsidRPr="00386411">
              <w:rPr>
                <w:rFonts w:eastAsia="Calibri"/>
                <w:lang w:eastAsia="en-US"/>
              </w:rPr>
              <w:t>Description</w:t>
            </w:r>
          </w:p>
        </w:tc>
      </w:tr>
      <w:tr w:rsidR="003F44A7" w:rsidRPr="007D0AA8" w14:paraId="6EF3664B" w14:textId="77777777" w:rsidTr="004466FC">
        <w:tc>
          <w:tcPr>
            <w:tcW w:w="862" w:type="pct"/>
          </w:tcPr>
          <w:p w14:paraId="2E18DB1E" w14:textId="77777777" w:rsidR="003F44A7" w:rsidRPr="007D0AA8" w:rsidRDefault="003F44A7" w:rsidP="008742A1">
            <w:pPr>
              <w:pStyle w:val="Tabletext1"/>
              <w:rPr>
                <w:rFonts w:eastAsia="Calibri"/>
                <w:lang w:eastAsia="en-US"/>
              </w:rPr>
            </w:pPr>
            <w:r w:rsidRPr="007D0AA8">
              <w:rPr>
                <w:rFonts w:eastAsia="Calibri"/>
                <w:lang w:eastAsia="en-US"/>
              </w:rPr>
              <w:t>Patients</w:t>
            </w:r>
          </w:p>
        </w:tc>
        <w:tc>
          <w:tcPr>
            <w:tcW w:w="4138" w:type="pct"/>
          </w:tcPr>
          <w:p w14:paraId="0A9AC7E6" w14:textId="77777777" w:rsidR="003F44A7" w:rsidRPr="007D0AA8" w:rsidRDefault="003F44A7" w:rsidP="008742A1">
            <w:pPr>
              <w:pStyle w:val="Tabletext1"/>
              <w:rPr>
                <w:rFonts w:eastAsia="Calibri"/>
                <w:lang w:eastAsia="en-US"/>
              </w:rPr>
            </w:pPr>
            <w:r w:rsidRPr="007D0AA8">
              <w:rPr>
                <w:rFonts w:eastAsia="Calibri"/>
                <w:lang w:eastAsia="en-US"/>
              </w:rPr>
              <w:t xml:space="preserve">Patients with acquired hypogammaglobulinaemia secondary to haematological malignancies, or post-haemopoietic stem cell transplantation (HSCT). </w:t>
            </w:r>
          </w:p>
        </w:tc>
      </w:tr>
      <w:tr w:rsidR="003F44A7" w:rsidRPr="007D0AA8" w14:paraId="3EA437E4" w14:textId="77777777" w:rsidTr="004466FC">
        <w:tc>
          <w:tcPr>
            <w:tcW w:w="862" w:type="pct"/>
          </w:tcPr>
          <w:p w14:paraId="0AA83DBD" w14:textId="77777777" w:rsidR="003F44A7" w:rsidRPr="007D0AA8" w:rsidRDefault="003F44A7" w:rsidP="008742A1">
            <w:pPr>
              <w:pStyle w:val="Tabletext1"/>
              <w:rPr>
                <w:rFonts w:eastAsia="Calibri"/>
                <w:lang w:eastAsia="en-US"/>
              </w:rPr>
            </w:pPr>
            <w:r w:rsidRPr="007D0AA8">
              <w:rPr>
                <w:rFonts w:eastAsia="Calibri"/>
                <w:lang w:eastAsia="en-US"/>
              </w:rPr>
              <w:t>Intervention</w:t>
            </w:r>
          </w:p>
        </w:tc>
        <w:tc>
          <w:tcPr>
            <w:tcW w:w="4138" w:type="pct"/>
          </w:tcPr>
          <w:p w14:paraId="7355441D" w14:textId="77777777" w:rsidR="003F44A7" w:rsidRPr="007D0AA8" w:rsidRDefault="003F44A7" w:rsidP="008742A1">
            <w:pPr>
              <w:pStyle w:val="Tabletext1"/>
              <w:rPr>
                <w:rFonts w:eastAsia="Calibri"/>
                <w:lang w:eastAsia="en-US"/>
              </w:rPr>
            </w:pPr>
            <w:r w:rsidRPr="007D0AA8">
              <w:rPr>
                <w:rFonts w:eastAsia="Calibri"/>
                <w:lang w:eastAsia="en-US"/>
              </w:rPr>
              <w:t>Replacement IgG therapy with or without antibiotics.</w:t>
            </w:r>
          </w:p>
          <w:p w14:paraId="2922FF2D" w14:textId="77777777" w:rsidR="003F44A7" w:rsidRPr="007D0AA8" w:rsidRDefault="003F44A7" w:rsidP="008742A1">
            <w:pPr>
              <w:pStyle w:val="Tabletext1"/>
              <w:rPr>
                <w:rFonts w:eastAsia="Calibri"/>
                <w:lang w:eastAsia="en-US"/>
              </w:rPr>
            </w:pPr>
            <w:r w:rsidRPr="007D0AA8">
              <w:rPr>
                <w:rFonts w:eastAsia="Calibri"/>
                <w:lang w:eastAsia="en-US"/>
              </w:rPr>
              <w:t>Subgroups: intravenous administration (IVIg), subcutaneous administration (SCIg).</w:t>
            </w:r>
          </w:p>
        </w:tc>
      </w:tr>
      <w:tr w:rsidR="003F44A7" w:rsidRPr="007D0AA8" w14:paraId="55121A9D" w14:textId="77777777" w:rsidTr="004466FC">
        <w:tc>
          <w:tcPr>
            <w:tcW w:w="862" w:type="pct"/>
          </w:tcPr>
          <w:p w14:paraId="3D00F7CD" w14:textId="77777777" w:rsidR="003F44A7" w:rsidRPr="007D0AA8" w:rsidRDefault="003F44A7" w:rsidP="008742A1">
            <w:pPr>
              <w:pStyle w:val="Tabletext1"/>
              <w:rPr>
                <w:rFonts w:eastAsia="Calibri"/>
                <w:lang w:eastAsia="en-US"/>
              </w:rPr>
            </w:pPr>
            <w:r w:rsidRPr="007D0AA8">
              <w:rPr>
                <w:rFonts w:eastAsia="Calibri"/>
                <w:lang w:eastAsia="en-US"/>
              </w:rPr>
              <w:t>Comparator</w:t>
            </w:r>
          </w:p>
        </w:tc>
        <w:tc>
          <w:tcPr>
            <w:tcW w:w="4138" w:type="pct"/>
          </w:tcPr>
          <w:p w14:paraId="692F425F" w14:textId="77777777" w:rsidR="003F44A7" w:rsidRPr="007D0AA8" w:rsidRDefault="003F44A7" w:rsidP="008742A1">
            <w:pPr>
              <w:pStyle w:val="Tabletext1"/>
              <w:rPr>
                <w:rFonts w:eastAsia="Calibri"/>
                <w:lang w:eastAsia="en-US"/>
              </w:rPr>
            </w:pPr>
            <w:r w:rsidRPr="007D0AA8">
              <w:rPr>
                <w:rFonts w:eastAsia="Calibri"/>
                <w:lang w:eastAsia="en-US"/>
              </w:rPr>
              <w:t>No IgG replacement therapy; with or without antibiotics.</w:t>
            </w:r>
          </w:p>
        </w:tc>
      </w:tr>
      <w:tr w:rsidR="003F44A7" w:rsidRPr="007D0AA8" w14:paraId="32B66704" w14:textId="77777777" w:rsidTr="004466FC">
        <w:tc>
          <w:tcPr>
            <w:tcW w:w="862" w:type="pct"/>
          </w:tcPr>
          <w:p w14:paraId="3293ECA7" w14:textId="77777777" w:rsidR="003F44A7" w:rsidRPr="007D0AA8" w:rsidRDefault="003F44A7" w:rsidP="008742A1">
            <w:pPr>
              <w:pStyle w:val="Tabletext1"/>
              <w:rPr>
                <w:rFonts w:eastAsia="Calibri"/>
                <w:lang w:eastAsia="en-US"/>
              </w:rPr>
            </w:pPr>
            <w:r w:rsidRPr="007D0AA8">
              <w:rPr>
                <w:rFonts w:eastAsia="Calibri"/>
                <w:lang w:eastAsia="en-US"/>
              </w:rPr>
              <w:t>Outcomes</w:t>
            </w:r>
          </w:p>
        </w:tc>
        <w:tc>
          <w:tcPr>
            <w:tcW w:w="4138" w:type="pct"/>
          </w:tcPr>
          <w:p w14:paraId="6FEA808E" w14:textId="77777777" w:rsidR="003F44A7" w:rsidRPr="007D0AA8" w:rsidRDefault="003F44A7" w:rsidP="008742A1">
            <w:pPr>
              <w:pStyle w:val="Tabletext1"/>
              <w:rPr>
                <w:rFonts w:eastAsia="Calibri"/>
                <w:u w:val="single"/>
                <w:lang w:eastAsia="en-US"/>
              </w:rPr>
            </w:pPr>
            <w:r w:rsidRPr="007D0AA8">
              <w:rPr>
                <w:rFonts w:eastAsia="Calibri"/>
                <w:u w:val="single"/>
                <w:lang w:eastAsia="en-US"/>
              </w:rPr>
              <w:t>Patient-relevant outcomes</w:t>
            </w:r>
          </w:p>
          <w:p w14:paraId="1252C924" w14:textId="77777777" w:rsidR="003F44A7" w:rsidRPr="007D0AA8" w:rsidRDefault="003F44A7" w:rsidP="008742A1">
            <w:pPr>
              <w:pStyle w:val="Tabletext1"/>
              <w:rPr>
                <w:rFonts w:eastAsia="Calibri"/>
                <w:lang w:eastAsia="en-US"/>
              </w:rPr>
            </w:pPr>
            <w:r w:rsidRPr="007D0AA8">
              <w:rPr>
                <w:rFonts w:eastAsia="Calibri"/>
                <w:lang w:eastAsia="en-US"/>
              </w:rPr>
              <w:t>Effectiveness</w:t>
            </w:r>
          </w:p>
          <w:p w14:paraId="0CFB1FCE" w14:textId="77777777" w:rsidR="003F44A7" w:rsidRPr="007D0AA8" w:rsidRDefault="003F44A7" w:rsidP="00331FB9">
            <w:pPr>
              <w:pStyle w:val="Tabletext1"/>
              <w:numPr>
                <w:ilvl w:val="0"/>
                <w:numId w:val="28"/>
              </w:numPr>
              <w:rPr>
                <w:rFonts w:eastAsia="Calibri"/>
                <w:lang w:eastAsia="en-US"/>
              </w:rPr>
            </w:pPr>
            <w:r w:rsidRPr="007D0AA8">
              <w:rPr>
                <w:rFonts w:eastAsia="Calibri"/>
                <w:lang w:eastAsia="en-US"/>
              </w:rPr>
              <w:t>mortality</w:t>
            </w:r>
          </w:p>
          <w:p w14:paraId="18FFDE61" w14:textId="77777777" w:rsidR="003F44A7" w:rsidRPr="007D0AA8" w:rsidRDefault="003F44A7" w:rsidP="00331FB9">
            <w:pPr>
              <w:pStyle w:val="Tabletext1"/>
              <w:numPr>
                <w:ilvl w:val="0"/>
                <w:numId w:val="28"/>
              </w:numPr>
              <w:rPr>
                <w:rFonts w:eastAsia="Calibri"/>
                <w:lang w:eastAsia="en-US"/>
              </w:rPr>
            </w:pPr>
            <w:r w:rsidRPr="007D0AA8">
              <w:rPr>
                <w:rFonts w:eastAsia="Calibri"/>
                <w:lang w:eastAsia="en-US"/>
              </w:rPr>
              <w:t>infections, including severe and/or recurrent infections (or infections requiring hospitalisation</w:t>
            </w:r>
          </w:p>
          <w:p w14:paraId="2B030016" w14:textId="77777777" w:rsidR="003F44A7" w:rsidRPr="007D0AA8" w:rsidRDefault="003F44A7" w:rsidP="00331FB9">
            <w:pPr>
              <w:pStyle w:val="Tabletext1"/>
              <w:numPr>
                <w:ilvl w:val="0"/>
                <w:numId w:val="28"/>
              </w:numPr>
              <w:rPr>
                <w:rFonts w:eastAsia="Calibri"/>
                <w:lang w:eastAsia="en-US"/>
              </w:rPr>
            </w:pPr>
            <w:r w:rsidRPr="007D0AA8">
              <w:rPr>
                <w:rFonts w:eastAsia="Calibri"/>
                <w:lang w:eastAsia="en-US"/>
              </w:rPr>
              <w:t>antibiotic use (not including prophylaxis)</w:t>
            </w:r>
          </w:p>
          <w:p w14:paraId="2D272575" w14:textId="77777777" w:rsidR="003F44A7" w:rsidRPr="007D0AA8" w:rsidRDefault="003F44A7" w:rsidP="00331FB9">
            <w:pPr>
              <w:pStyle w:val="Tabletext1"/>
              <w:numPr>
                <w:ilvl w:val="0"/>
                <w:numId w:val="28"/>
              </w:numPr>
              <w:rPr>
                <w:rFonts w:eastAsia="Calibri"/>
                <w:lang w:eastAsia="en-US"/>
              </w:rPr>
            </w:pPr>
            <w:r w:rsidRPr="007D0AA8">
              <w:rPr>
                <w:rFonts w:eastAsia="Calibri"/>
                <w:lang w:eastAsia="en-US"/>
              </w:rPr>
              <w:t>hospitalisations (all cause), including duration of hospital stay or time to discharge</w:t>
            </w:r>
          </w:p>
          <w:p w14:paraId="51D4CEB2" w14:textId="77777777" w:rsidR="003F44A7" w:rsidRPr="007D0AA8" w:rsidRDefault="003F44A7" w:rsidP="00331FB9">
            <w:pPr>
              <w:pStyle w:val="Tabletext1"/>
              <w:numPr>
                <w:ilvl w:val="0"/>
                <w:numId w:val="28"/>
              </w:numPr>
              <w:rPr>
                <w:rFonts w:eastAsia="Calibri"/>
                <w:lang w:eastAsia="en-US"/>
              </w:rPr>
            </w:pPr>
            <w:r w:rsidRPr="007D0AA8">
              <w:rPr>
                <w:rFonts w:eastAsia="Calibri"/>
                <w:lang w:eastAsia="en-US"/>
              </w:rPr>
              <w:t>Quality of Life (QoL) including anxiety</w:t>
            </w:r>
          </w:p>
          <w:p w14:paraId="6C0A70A8" w14:textId="77777777" w:rsidR="003F44A7" w:rsidRPr="007D0AA8" w:rsidRDefault="003F44A7" w:rsidP="00331FB9">
            <w:pPr>
              <w:pStyle w:val="Tabletext1"/>
              <w:numPr>
                <w:ilvl w:val="0"/>
                <w:numId w:val="28"/>
              </w:numPr>
              <w:rPr>
                <w:rFonts w:eastAsia="Calibri"/>
                <w:lang w:eastAsia="en-US"/>
              </w:rPr>
            </w:pPr>
            <w:r w:rsidRPr="007D0AA8">
              <w:rPr>
                <w:rFonts w:eastAsia="Calibri"/>
                <w:lang w:eastAsia="en-US"/>
              </w:rPr>
              <w:t>IgG trough levels</w:t>
            </w:r>
          </w:p>
          <w:p w14:paraId="6790CFBF" w14:textId="77777777" w:rsidR="003F44A7" w:rsidRPr="007D0AA8" w:rsidRDefault="003F44A7" w:rsidP="008742A1">
            <w:pPr>
              <w:pStyle w:val="Tabletext1"/>
              <w:rPr>
                <w:rFonts w:eastAsia="Calibri"/>
                <w:lang w:eastAsia="en-US"/>
              </w:rPr>
            </w:pPr>
            <w:r w:rsidRPr="007D0AA8">
              <w:rPr>
                <w:rFonts w:eastAsia="Calibri"/>
                <w:lang w:eastAsia="en-US"/>
              </w:rPr>
              <w:t>Safety</w:t>
            </w:r>
          </w:p>
          <w:p w14:paraId="397EAFD3" w14:textId="77777777" w:rsidR="003F44A7" w:rsidRPr="007D0AA8" w:rsidRDefault="003F44A7" w:rsidP="00331FB9">
            <w:pPr>
              <w:pStyle w:val="Tabletext1"/>
              <w:numPr>
                <w:ilvl w:val="0"/>
                <w:numId w:val="29"/>
              </w:numPr>
              <w:rPr>
                <w:rFonts w:eastAsia="Calibri"/>
                <w:lang w:eastAsia="en-US"/>
              </w:rPr>
            </w:pPr>
            <w:r w:rsidRPr="007D0AA8">
              <w:rPr>
                <w:rFonts w:eastAsia="Calibri"/>
                <w:lang w:eastAsia="en-US"/>
              </w:rPr>
              <w:t>serious infusion reactions (including anaphylaxis)</w:t>
            </w:r>
          </w:p>
          <w:p w14:paraId="4C2BF889" w14:textId="77777777" w:rsidR="003F44A7" w:rsidRPr="007D0AA8" w:rsidRDefault="003F44A7" w:rsidP="00331FB9">
            <w:pPr>
              <w:pStyle w:val="Tabletext1"/>
              <w:numPr>
                <w:ilvl w:val="0"/>
                <w:numId w:val="29"/>
              </w:numPr>
              <w:rPr>
                <w:rFonts w:eastAsia="Calibri"/>
                <w:lang w:eastAsia="en-US"/>
              </w:rPr>
            </w:pPr>
            <w:r w:rsidRPr="007D0AA8">
              <w:rPr>
                <w:rFonts w:eastAsia="Calibri"/>
                <w:lang w:eastAsia="en-US"/>
              </w:rPr>
              <w:lastRenderedPageBreak/>
              <w:t>other serious adverse events ( such as thrombotic/veno-occlusive events, renal insufficiency, haemolytic anaemia, aseptic meningitis)</w:t>
            </w:r>
          </w:p>
          <w:p w14:paraId="4DEA732A" w14:textId="77777777" w:rsidR="003F44A7" w:rsidRPr="007D0AA8" w:rsidRDefault="003F44A7" w:rsidP="00331FB9">
            <w:pPr>
              <w:pStyle w:val="Tabletext1"/>
              <w:numPr>
                <w:ilvl w:val="0"/>
                <w:numId w:val="29"/>
              </w:numPr>
              <w:rPr>
                <w:rFonts w:eastAsia="Calibri"/>
                <w:lang w:eastAsia="en-US"/>
              </w:rPr>
            </w:pPr>
            <w:r w:rsidRPr="007D0AA8">
              <w:rPr>
                <w:rFonts w:eastAsia="Calibri"/>
                <w:lang w:eastAsia="en-US"/>
              </w:rPr>
              <w:t>venous damage</w:t>
            </w:r>
          </w:p>
          <w:p w14:paraId="3650F277" w14:textId="77777777" w:rsidR="003F44A7" w:rsidRPr="007D0AA8" w:rsidRDefault="003F44A7" w:rsidP="00331FB9">
            <w:pPr>
              <w:pStyle w:val="Tabletext1"/>
              <w:numPr>
                <w:ilvl w:val="0"/>
                <w:numId w:val="29"/>
              </w:numPr>
              <w:rPr>
                <w:rFonts w:eastAsia="Calibri"/>
                <w:lang w:eastAsia="en-US"/>
              </w:rPr>
            </w:pPr>
            <w:r w:rsidRPr="007D0AA8">
              <w:rPr>
                <w:rFonts w:eastAsia="Calibri"/>
                <w:lang w:eastAsia="en-US"/>
              </w:rPr>
              <w:t>antibiotic allergy</w:t>
            </w:r>
          </w:p>
          <w:p w14:paraId="5A72A1C3" w14:textId="77777777" w:rsidR="003F44A7" w:rsidRPr="007D0AA8" w:rsidRDefault="003F44A7" w:rsidP="00331FB9">
            <w:pPr>
              <w:pStyle w:val="Tabletext1"/>
              <w:numPr>
                <w:ilvl w:val="0"/>
                <w:numId w:val="29"/>
              </w:numPr>
              <w:rPr>
                <w:rFonts w:eastAsia="Calibri"/>
                <w:lang w:eastAsia="en-US"/>
              </w:rPr>
            </w:pPr>
            <w:r w:rsidRPr="007D0AA8">
              <w:rPr>
                <w:rFonts w:eastAsia="Calibri"/>
                <w:lang w:eastAsia="en-US"/>
              </w:rPr>
              <w:t>antibiotic resistance</w:t>
            </w:r>
          </w:p>
          <w:p w14:paraId="7AB48A35" w14:textId="77777777" w:rsidR="003F44A7" w:rsidRPr="007D0AA8" w:rsidRDefault="003F44A7" w:rsidP="00331FB9">
            <w:pPr>
              <w:pStyle w:val="Tabletext1"/>
              <w:numPr>
                <w:ilvl w:val="0"/>
                <w:numId w:val="29"/>
              </w:numPr>
              <w:rPr>
                <w:rFonts w:eastAsia="Calibri"/>
                <w:lang w:eastAsia="en-US"/>
              </w:rPr>
            </w:pPr>
            <w:r w:rsidRPr="007D0AA8">
              <w:rPr>
                <w:rFonts w:eastAsia="Calibri"/>
                <w:lang w:eastAsia="en-US"/>
              </w:rPr>
              <w:t>development of bronchiectasis/lung disease</w:t>
            </w:r>
          </w:p>
          <w:p w14:paraId="7B270152" w14:textId="77777777" w:rsidR="003F44A7" w:rsidRPr="007D0AA8" w:rsidRDefault="003F44A7" w:rsidP="00331FB9">
            <w:pPr>
              <w:pStyle w:val="Tabletext1"/>
              <w:numPr>
                <w:ilvl w:val="0"/>
                <w:numId w:val="29"/>
              </w:numPr>
              <w:rPr>
                <w:rFonts w:eastAsia="Calibri"/>
                <w:lang w:eastAsia="en-US"/>
              </w:rPr>
            </w:pPr>
            <w:r w:rsidRPr="007D0AA8">
              <w:rPr>
                <w:rFonts w:eastAsia="Calibri"/>
                <w:lang w:eastAsia="en-US"/>
              </w:rPr>
              <w:t xml:space="preserve">graft versus host disease (GVHD). </w:t>
            </w:r>
          </w:p>
          <w:p w14:paraId="226AA08D" w14:textId="77777777" w:rsidR="003F44A7" w:rsidRPr="007D0AA8" w:rsidRDefault="003F44A7" w:rsidP="008742A1">
            <w:pPr>
              <w:pStyle w:val="Tabletext1"/>
              <w:rPr>
                <w:rFonts w:eastAsia="Calibri"/>
                <w:u w:val="single"/>
                <w:lang w:eastAsia="en-US"/>
              </w:rPr>
            </w:pPr>
            <w:r w:rsidRPr="007D0AA8">
              <w:rPr>
                <w:rFonts w:eastAsia="Calibri"/>
                <w:u w:val="single"/>
                <w:lang w:eastAsia="en-US"/>
              </w:rPr>
              <w:t>Healthcare system outcomes</w:t>
            </w:r>
          </w:p>
          <w:p w14:paraId="6F9DFB24" w14:textId="77777777" w:rsidR="003F44A7" w:rsidRPr="007D0AA8" w:rsidRDefault="003F44A7" w:rsidP="00331FB9">
            <w:pPr>
              <w:pStyle w:val="Tabletext1"/>
              <w:numPr>
                <w:ilvl w:val="0"/>
                <w:numId w:val="30"/>
              </w:numPr>
              <w:rPr>
                <w:rFonts w:eastAsia="Calibri"/>
                <w:u w:val="single"/>
                <w:lang w:eastAsia="en-US"/>
              </w:rPr>
            </w:pPr>
            <w:r w:rsidRPr="007D0AA8">
              <w:rPr>
                <w:rFonts w:eastAsia="Calibri"/>
                <w:lang w:eastAsia="en-US"/>
              </w:rPr>
              <w:t>cost, cost effectiveness</w:t>
            </w:r>
          </w:p>
          <w:p w14:paraId="1AB87D94" w14:textId="6A26C79B" w:rsidR="003F44A7" w:rsidRPr="007D0AA8" w:rsidRDefault="003F44A7" w:rsidP="00331FB9">
            <w:pPr>
              <w:pStyle w:val="Tabletext1"/>
              <w:numPr>
                <w:ilvl w:val="0"/>
                <w:numId w:val="30"/>
              </w:numPr>
              <w:rPr>
                <w:rFonts w:eastAsia="Calibri"/>
                <w:u w:val="single"/>
                <w:lang w:eastAsia="en-US"/>
              </w:rPr>
            </w:pPr>
            <w:r w:rsidRPr="007D0AA8">
              <w:rPr>
                <w:rFonts w:eastAsia="Calibri"/>
                <w:lang w:eastAsia="en-US"/>
              </w:rPr>
              <w:t xml:space="preserve">financial implications (financial impact, healthcare resource use, </w:t>
            </w:r>
            <w:r w:rsidR="006E04C1" w:rsidRPr="007D0AA8">
              <w:rPr>
                <w:rFonts w:eastAsia="Calibri"/>
                <w:lang w:eastAsia="en-US"/>
              </w:rPr>
              <w:t>etc.</w:t>
            </w:r>
            <w:r w:rsidRPr="007D0AA8">
              <w:rPr>
                <w:rFonts w:eastAsia="Calibri"/>
                <w:lang w:eastAsia="en-US"/>
              </w:rPr>
              <w:t>)</w:t>
            </w:r>
          </w:p>
        </w:tc>
      </w:tr>
      <w:tr w:rsidR="003F44A7" w:rsidRPr="007D0AA8" w14:paraId="494F6CAC" w14:textId="77777777" w:rsidTr="004466FC">
        <w:tc>
          <w:tcPr>
            <w:tcW w:w="862" w:type="pct"/>
          </w:tcPr>
          <w:p w14:paraId="1A9ACC89" w14:textId="77777777" w:rsidR="003F44A7" w:rsidRPr="007D0AA8" w:rsidRDefault="003F44A7" w:rsidP="008742A1">
            <w:pPr>
              <w:pStyle w:val="Tabletext1"/>
              <w:rPr>
                <w:rFonts w:cs="Arial"/>
              </w:rPr>
            </w:pPr>
            <w:r w:rsidRPr="007D0AA8">
              <w:rPr>
                <w:rFonts w:eastAsia="Calibri" w:cs="Arial"/>
                <w:lang w:eastAsia="en-US"/>
              </w:rPr>
              <w:lastRenderedPageBreak/>
              <w:t>Questions for evidence review</w:t>
            </w:r>
          </w:p>
        </w:tc>
        <w:tc>
          <w:tcPr>
            <w:tcW w:w="4138" w:type="pct"/>
          </w:tcPr>
          <w:p w14:paraId="3FA57392" w14:textId="77777777" w:rsidR="003F44A7" w:rsidRPr="007D0AA8" w:rsidRDefault="003F44A7" w:rsidP="008742A1">
            <w:pPr>
              <w:pStyle w:val="Tabletext1"/>
            </w:pPr>
            <w:r w:rsidRPr="007D0AA8">
              <w:t xml:space="preserve">Is IgG replacement therapy (with or without antibiotics) more safe, effective and cost-effective than no IgG (with or without antibiotics)?  </w:t>
            </w:r>
          </w:p>
        </w:tc>
      </w:tr>
    </w:tbl>
    <w:p w14:paraId="0708EB03" w14:textId="77777777" w:rsidR="003F44A7" w:rsidRPr="007D0AA8" w:rsidRDefault="003F44A7" w:rsidP="003F44A7">
      <w:pPr>
        <w:tabs>
          <w:tab w:val="left" w:pos="851"/>
        </w:tabs>
        <w:spacing w:before="40" w:after="40" w:line="240" w:lineRule="auto"/>
        <w:rPr>
          <w:rFonts w:ascii="Arial Narrow" w:eastAsia="Calibri" w:hAnsi="Arial Narrow" w:cs="Times New Roman"/>
          <w:sz w:val="20"/>
          <w:lang w:eastAsia="en-US"/>
        </w:rPr>
      </w:pPr>
    </w:p>
    <w:p w14:paraId="1683D8D3" w14:textId="5DE64780" w:rsidR="00F04861" w:rsidRPr="007D0AA8" w:rsidRDefault="00E65C0E" w:rsidP="00F04861">
      <w:pPr>
        <w:spacing w:before="240"/>
        <w:rPr>
          <w:rFonts w:eastAsia="Calibri" w:cs="Times New Roman"/>
          <w:lang w:eastAsia="en-US"/>
        </w:rPr>
      </w:pPr>
      <w:r w:rsidRPr="007D0AA8">
        <w:rPr>
          <w:rFonts w:eastAsia="Calibri" w:cs="Times New Roman"/>
          <w:lang w:eastAsia="en-US"/>
        </w:rPr>
        <w:t>Several issues relevant to</w:t>
      </w:r>
      <w:r w:rsidR="009001D6" w:rsidRPr="007D0AA8">
        <w:rPr>
          <w:rFonts w:eastAsia="Calibri" w:cs="Times New Roman"/>
          <w:lang w:eastAsia="en-US"/>
        </w:rPr>
        <w:t xml:space="preserve"> this</w:t>
      </w:r>
      <w:r w:rsidRPr="007D0AA8">
        <w:rPr>
          <w:rFonts w:eastAsia="Calibri" w:cs="Times New Roman"/>
          <w:lang w:eastAsia="en-US"/>
        </w:rPr>
        <w:t xml:space="preserve"> PICO arose during this evaluation</w:t>
      </w:r>
      <w:r w:rsidR="004419E5" w:rsidRPr="007D0AA8">
        <w:rPr>
          <w:rFonts w:eastAsia="Calibri" w:cs="Times New Roman"/>
          <w:lang w:eastAsia="en-US"/>
        </w:rPr>
        <w:t xml:space="preserve">. Due limitations of the evidence, the intervention, comparator and some of the outcomes could not be evaluated as defined in the PICO Confirmation. This evaluation considered ‘IgG’ as intervention and ‘No IgG’ as comparator. This is discussed in Section B.4 Characteristics of the Evidence Base.  </w:t>
      </w:r>
    </w:p>
    <w:p w14:paraId="27B05DA7" w14:textId="00488C4D" w:rsidR="00C33F2C" w:rsidRPr="00386411" w:rsidRDefault="00C33F2C" w:rsidP="00331FB9">
      <w:pPr>
        <w:pStyle w:val="Heading2"/>
        <w:numPr>
          <w:ilvl w:val="0"/>
          <w:numId w:val="8"/>
        </w:numPr>
      </w:pPr>
      <w:bookmarkStart w:id="221" w:name="_Toc426968125"/>
      <w:bookmarkStart w:id="222" w:name="_Toc14431129"/>
      <w:bookmarkStart w:id="223" w:name="_Toc16856297"/>
      <w:bookmarkEnd w:id="216"/>
      <w:r w:rsidRPr="00386411">
        <w:t>Consumer impact statement</w:t>
      </w:r>
      <w:bookmarkEnd w:id="221"/>
      <w:bookmarkEnd w:id="222"/>
      <w:bookmarkEnd w:id="223"/>
    </w:p>
    <w:p w14:paraId="4B647D1F" w14:textId="77777777" w:rsidR="00FA0BF2" w:rsidRPr="007D0AA8" w:rsidRDefault="00FA0BF2" w:rsidP="00B06A88">
      <w:r w:rsidRPr="007D0AA8">
        <w:t xml:space="preserve">Public consultation responses received during the PICO confirmation development stage were positive regarding the availability of IgG replacement therapy for patients with acquired hypogammaglobulinaemia. The benefits seen to patients were the reduced risk of infections, including life-threatening infections, normalisation of IgG levels, reduced risk of Graft Versus Host Disease (GVHD) for HSCT patients, reduced use of antibiotics, and less anxiety/stress/worry about risk of infections. Benefits to carers/family were the reduction of anxiety/stress/worry about the risk of infections. </w:t>
      </w:r>
    </w:p>
    <w:p w14:paraId="72816F12" w14:textId="4DE98A47" w:rsidR="009001D6" w:rsidRPr="007D0AA8" w:rsidRDefault="002B7008" w:rsidP="003C0114">
      <w:r w:rsidRPr="007D0AA8">
        <w:t>F</w:t>
      </w:r>
      <w:r w:rsidR="009001D6" w:rsidRPr="007D0AA8">
        <w:t xml:space="preserve">eedback from the public consultation process raised concern about whether measurement of IgA and IgM as a requirement of the current </w:t>
      </w:r>
      <w:r w:rsidR="001E5BBE" w:rsidRPr="007D0AA8">
        <w:t xml:space="preserve">NBA </w:t>
      </w:r>
      <w:r w:rsidR="001E5BBE" w:rsidRPr="007D0AA8">
        <w:rPr>
          <w:i/>
        </w:rPr>
        <w:t>Criteria</w:t>
      </w:r>
      <w:r w:rsidR="009001D6" w:rsidRPr="007D0AA8">
        <w:t xml:space="preserve">. </w:t>
      </w:r>
      <w:r w:rsidR="001E5BBE" w:rsidRPr="007D0AA8">
        <w:t>O</w:t>
      </w:r>
      <w:r w:rsidR="009001D6" w:rsidRPr="007D0AA8">
        <w:t>nly a few studies reviewed</w:t>
      </w:r>
      <w:r w:rsidR="001E5BBE" w:rsidRPr="007D0AA8">
        <w:t xml:space="preserve"> included monitoring of IgA and IgM</w:t>
      </w:r>
      <w:r w:rsidR="009001D6" w:rsidRPr="007D0AA8">
        <w:t>. Nevertheless, it was evident that these provide a useful measure of immunoglobulin recovery in hypogammaglobulinaemic patients. In comparison, measuring serum IgG may only inform the treating physician whether dosing with IgG products is adequate</w:t>
      </w:r>
      <w:r w:rsidRPr="007D0AA8">
        <w:t xml:space="preserve"> as replacement therapy may mask </w:t>
      </w:r>
      <w:r w:rsidR="001E5BBE" w:rsidRPr="007D0AA8">
        <w:t xml:space="preserve">endogenous </w:t>
      </w:r>
      <w:r w:rsidRPr="007D0AA8">
        <w:t>IgG recovery</w:t>
      </w:r>
      <w:r w:rsidR="009001D6" w:rsidRPr="007D0AA8">
        <w:t xml:space="preserve">.  </w:t>
      </w:r>
    </w:p>
    <w:p w14:paraId="367C133D" w14:textId="6938C1FB" w:rsidR="00EA5BA8" w:rsidRDefault="009001D6" w:rsidP="0081135A">
      <w:pPr>
        <w:rPr>
          <w:b/>
        </w:rPr>
      </w:pPr>
      <w:r w:rsidRPr="007D0AA8">
        <w:t xml:space="preserve">There was little evidence to support a threshold serum IgG&lt;6g/L </w:t>
      </w:r>
      <w:r w:rsidR="004466FC">
        <w:t>level</w:t>
      </w:r>
      <w:r w:rsidR="002B7008" w:rsidRPr="007D0AA8">
        <w:t>, proposed by one respondent,</w:t>
      </w:r>
      <w:r w:rsidRPr="007D0AA8">
        <w:t xml:space="preserve"> in the absence of a documented history of infe</w:t>
      </w:r>
      <w:r w:rsidR="002B1BF1" w:rsidRPr="007D0AA8">
        <w:t xml:space="preserve">ctions. </w:t>
      </w:r>
      <w:r w:rsidRPr="007D0AA8">
        <w:t xml:space="preserve">Most of the </w:t>
      </w:r>
      <w:r w:rsidR="002B7008" w:rsidRPr="007D0AA8">
        <w:t>clinical evidence</w:t>
      </w:r>
      <w:r w:rsidRPr="00386411">
        <w:rPr>
          <w:b/>
        </w:rPr>
        <w:t xml:space="preserve"> </w:t>
      </w:r>
      <w:r w:rsidRPr="007D0AA8">
        <w:t>support</w:t>
      </w:r>
      <w:r w:rsidR="002B7008" w:rsidRPr="007D0AA8">
        <w:t>ed</w:t>
      </w:r>
      <w:r w:rsidRPr="007D0AA8">
        <w:t xml:space="preserve"> the approach of establishing a baseline risk of serious infections based on both medical history </w:t>
      </w:r>
      <w:r w:rsidR="001E5BBE" w:rsidRPr="007D0AA8">
        <w:t xml:space="preserve">of recent infections </w:t>
      </w:r>
      <w:r w:rsidRPr="007D0AA8">
        <w:t>and serum IgG below the lower limit of normal.</w:t>
      </w:r>
      <w:bookmarkStart w:id="224" w:name="_Ref124760357"/>
    </w:p>
    <w:p w14:paraId="2DE53666" w14:textId="574CC05A" w:rsidR="0081135A" w:rsidRPr="0081135A" w:rsidRDefault="0081135A" w:rsidP="00B52A4F">
      <w:pPr>
        <w:keepNext/>
        <w:keepLines/>
        <w:rPr>
          <w:b/>
        </w:rPr>
      </w:pPr>
      <w:r w:rsidRPr="0081135A">
        <w:rPr>
          <w:b/>
        </w:rPr>
        <w:lastRenderedPageBreak/>
        <w:t>Sponsor Consultation</w:t>
      </w:r>
    </w:p>
    <w:p w14:paraId="4D64A2FF" w14:textId="0B3DF909" w:rsidR="0081135A" w:rsidRPr="0081135A" w:rsidRDefault="0081135A" w:rsidP="00B52A4F">
      <w:pPr>
        <w:keepNext/>
        <w:keepLines/>
        <w:spacing w:after="120"/>
      </w:pPr>
      <w:r w:rsidRPr="0081135A">
        <w:t xml:space="preserve">On 21 May 2019, sponsors of Ig were contacted and given an opportunity to provide input to the development of this contracted assessment, specifically information relevant to the utilisation, efficacy, safety and cost-effectiveness of Ig. </w:t>
      </w:r>
      <w:r w:rsidR="00812603">
        <w:t>S</w:t>
      </w:r>
      <w:r>
        <w:t xml:space="preserve">ubmissions </w:t>
      </w:r>
      <w:r w:rsidR="00812603">
        <w:t xml:space="preserve">received from four companies were </w:t>
      </w:r>
      <w:r>
        <w:t xml:space="preserve">provided to the </w:t>
      </w:r>
      <w:r w:rsidR="00812603">
        <w:t xml:space="preserve">contracted </w:t>
      </w:r>
      <w:r>
        <w:t>HTA</w:t>
      </w:r>
      <w:r w:rsidR="00812603">
        <w:t xml:space="preserve"> group for consideration in the development of this report. The sponsor submission </w:t>
      </w:r>
      <w:r w:rsidRPr="0081135A">
        <w:t xml:space="preserve">provided </w:t>
      </w:r>
      <w:r w:rsidR="00812603">
        <w:t xml:space="preserve">information and </w:t>
      </w:r>
      <w:r w:rsidRPr="0081135A">
        <w:t>comments on:</w:t>
      </w:r>
    </w:p>
    <w:p w14:paraId="28CDF677" w14:textId="356A3FB3" w:rsidR="0081135A" w:rsidRPr="0081135A" w:rsidRDefault="0081135A" w:rsidP="00B52A4F">
      <w:pPr>
        <w:numPr>
          <w:ilvl w:val="0"/>
          <w:numId w:val="36"/>
        </w:numPr>
        <w:spacing w:after="120"/>
        <w:ind w:left="714" w:hanging="357"/>
      </w:pPr>
      <w:r w:rsidRPr="0081135A">
        <w:t>the PICO</w:t>
      </w:r>
    </w:p>
    <w:p w14:paraId="0075074E" w14:textId="77777777" w:rsidR="0081135A" w:rsidRPr="0081135A" w:rsidRDefault="0081135A" w:rsidP="00B52A4F">
      <w:pPr>
        <w:numPr>
          <w:ilvl w:val="0"/>
          <w:numId w:val="36"/>
        </w:numPr>
        <w:spacing w:after="120"/>
        <w:ind w:left="714" w:hanging="357"/>
      </w:pPr>
      <w:r w:rsidRPr="0081135A">
        <w:t>patient benefits associated with new SCIg formulations</w:t>
      </w:r>
    </w:p>
    <w:p w14:paraId="24A5E72C" w14:textId="77777777" w:rsidR="0081135A" w:rsidRPr="0081135A" w:rsidRDefault="0081135A" w:rsidP="00B52A4F">
      <w:pPr>
        <w:numPr>
          <w:ilvl w:val="0"/>
          <w:numId w:val="36"/>
        </w:numPr>
        <w:spacing w:after="120"/>
        <w:ind w:left="714" w:hanging="357"/>
      </w:pPr>
      <w:r w:rsidRPr="0081135A">
        <w:t>products that should be included/excluded from the assessment, and the interchangeability of products</w:t>
      </w:r>
    </w:p>
    <w:p w14:paraId="0BA2406E" w14:textId="77777777" w:rsidR="0081135A" w:rsidRPr="0081135A" w:rsidRDefault="0081135A" w:rsidP="00B52A4F">
      <w:pPr>
        <w:numPr>
          <w:ilvl w:val="0"/>
          <w:numId w:val="36"/>
        </w:numPr>
        <w:spacing w:after="120"/>
        <w:ind w:left="714" w:hanging="357"/>
      </w:pPr>
      <w:r w:rsidRPr="0081135A">
        <w:t xml:space="preserve">changes to the criteria for Ig access for the treatment of acquired </w:t>
      </w:r>
      <w:r w:rsidRPr="0081135A">
        <w:rPr>
          <w:lang w:val="en-US"/>
        </w:rPr>
        <w:t>hypogammaglobulinaemia</w:t>
      </w:r>
    </w:p>
    <w:p w14:paraId="6A8E78D7" w14:textId="77777777" w:rsidR="0081135A" w:rsidRPr="0081135A" w:rsidRDefault="0081135A" w:rsidP="00B52A4F">
      <w:pPr>
        <w:numPr>
          <w:ilvl w:val="0"/>
          <w:numId w:val="36"/>
        </w:numPr>
        <w:spacing w:after="120"/>
        <w:ind w:left="714" w:hanging="357"/>
      </w:pPr>
      <w:r w:rsidRPr="0081135A">
        <w:t xml:space="preserve">estimating the prevalence of acquired </w:t>
      </w:r>
      <w:r w:rsidRPr="0081135A">
        <w:rPr>
          <w:lang w:val="en-US"/>
        </w:rPr>
        <w:t>hypogammaglobulinaemia, and estimating the utilisation of Ig for the treatment of acquired hypogammaglobulinaemia</w:t>
      </w:r>
    </w:p>
    <w:p w14:paraId="76BEAD20" w14:textId="77777777" w:rsidR="0081135A" w:rsidRPr="0081135A" w:rsidRDefault="0081135A" w:rsidP="00B52A4F">
      <w:pPr>
        <w:numPr>
          <w:ilvl w:val="0"/>
          <w:numId w:val="36"/>
        </w:numPr>
        <w:spacing w:after="120"/>
        <w:ind w:left="714" w:hanging="357"/>
      </w:pPr>
      <w:r w:rsidRPr="0081135A">
        <w:rPr>
          <w:lang w:val="en-US"/>
        </w:rPr>
        <w:t>published data on effectiveness</w:t>
      </w:r>
    </w:p>
    <w:p w14:paraId="0C04A50E" w14:textId="77777777" w:rsidR="0081135A" w:rsidRPr="0081135A" w:rsidRDefault="0081135A" w:rsidP="00B52A4F">
      <w:pPr>
        <w:numPr>
          <w:ilvl w:val="0"/>
          <w:numId w:val="36"/>
        </w:numPr>
        <w:spacing w:after="120"/>
        <w:ind w:left="714" w:hanging="357"/>
      </w:pPr>
      <w:r w:rsidRPr="0081135A">
        <w:rPr>
          <w:lang w:val="en-US"/>
        </w:rPr>
        <w:t>the public health implications associated with antibiotic use</w:t>
      </w:r>
    </w:p>
    <w:p w14:paraId="293CCA73" w14:textId="77777777" w:rsidR="0081135A" w:rsidRPr="0081135A" w:rsidRDefault="0081135A" w:rsidP="00B52A4F">
      <w:pPr>
        <w:numPr>
          <w:ilvl w:val="0"/>
          <w:numId w:val="36"/>
        </w:numPr>
        <w:spacing w:after="120"/>
        <w:ind w:left="714" w:hanging="357"/>
      </w:pPr>
      <w:r w:rsidRPr="0081135A">
        <w:rPr>
          <w:lang w:val="en-US"/>
        </w:rPr>
        <w:t>the likely impact of new oncology treatments on Ig demand and the impact that access changes may have on the value of immune-modulating oncology therapies.</w:t>
      </w:r>
    </w:p>
    <w:p w14:paraId="1C2F78BE" w14:textId="7E60364D" w:rsidR="0081135A" w:rsidRPr="0081135A" w:rsidRDefault="0081135A" w:rsidP="0081135A">
      <w:r w:rsidRPr="0081135A">
        <w:t xml:space="preserve">Sponsors also provided comments on management of the Ig supply and access to SCIg, and the process for the Ig Review. Sponsors did not provide any unpublished clinical trial data that would inform the </w:t>
      </w:r>
      <w:r w:rsidR="00812603">
        <w:t xml:space="preserve">contracted </w:t>
      </w:r>
      <w:r w:rsidRPr="0081135A">
        <w:t>assessment.</w:t>
      </w:r>
    </w:p>
    <w:p w14:paraId="765FF3D0" w14:textId="77777777" w:rsidR="0081135A" w:rsidRPr="007D0AA8" w:rsidRDefault="0081135A" w:rsidP="00DF343F">
      <w:pPr>
        <w:sectPr w:rsidR="0081135A" w:rsidRPr="007D0AA8" w:rsidSect="0080059D">
          <w:pgSz w:w="11909" w:h="16834" w:code="9"/>
          <w:pgMar w:top="1440" w:right="1440" w:bottom="1440" w:left="1440" w:header="709" w:footer="709" w:gutter="0"/>
          <w:cols w:space="720"/>
        </w:sectPr>
      </w:pPr>
    </w:p>
    <w:p w14:paraId="2A0F6F51" w14:textId="77777777" w:rsidR="008F59A8" w:rsidRPr="00386411" w:rsidRDefault="00AA708D" w:rsidP="00DF343F">
      <w:pPr>
        <w:pStyle w:val="Heading1"/>
      </w:pPr>
      <w:bookmarkStart w:id="225" w:name="_Toc14431130"/>
      <w:bookmarkStart w:id="226" w:name="_Toc16856298"/>
      <w:bookmarkEnd w:id="224"/>
      <w:r w:rsidRPr="00386411">
        <w:lastRenderedPageBreak/>
        <w:t>Section B</w:t>
      </w:r>
      <w:r w:rsidRPr="00386411">
        <w:tab/>
        <w:t>Clinical Evaluation</w:t>
      </w:r>
      <w:bookmarkEnd w:id="225"/>
      <w:bookmarkEnd w:id="226"/>
      <w:r w:rsidR="008F59A8" w:rsidRPr="00386411">
        <w:t xml:space="preserve"> </w:t>
      </w:r>
    </w:p>
    <w:p w14:paraId="2D2E301F" w14:textId="77777777" w:rsidR="00AA708D" w:rsidRPr="00386411" w:rsidRDefault="00AA708D" w:rsidP="00331FB9">
      <w:pPr>
        <w:pStyle w:val="Heading2"/>
        <w:numPr>
          <w:ilvl w:val="1"/>
          <w:numId w:val="9"/>
        </w:numPr>
      </w:pPr>
      <w:bookmarkStart w:id="227" w:name="_Toc381796460"/>
      <w:bookmarkStart w:id="228" w:name="_Toc14431131"/>
      <w:bookmarkStart w:id="229" w:name="_Toc16856299"/>
      <w:bookmarkStart w:id="230" w:name="_Toc381796462"/>
      <w:bookmarkStart w:id="231" w:name="_Toc381796467"/>
      <w:bookmarkStart w:id="232" w:name="_Toc379118083"/>
      <w:r w:rsidRPr="00386411">
        <w:t>Literature</w:t>
      </w:r>
      <w:r w:rsidR="00D5489B" w:rsidRPr="00386411">
        <w:t xml:space="preserve"> Sources and Search S</w:t>
      </w:r>
      <w:r w:rsidRPr="00386411">
        <w:t>trategies</w:t>
      </w:r>
      <w:bookmarkEnd w:id="227"/>
      <w:bookmarkEnd w:id="228"/>
      <w:bookmarkEnd w:id="229"/>
    </w:p>
    <w:p w14:paraId="0AB15A30" w14:textId="77777777" w:rsidR="004528CF" w:rsidRPr="007D0AA8" w:rsidRDefault="00AA708D" w:rsidP="00AA708D">
      <w:r w:rsidRPr="007D0AA8">
        <w:t xml:space="preserve">The medical literature was searched </w:t>
      </w:r>
      <w:r w:rsidR="004528CF" w:rsidRPr="007D0AA8">
        <w:t>during March 2019</w:t>
      </w:r>
      <w:r w:rsidR="00D5489B" w:rsidRPr="007D0AA8">
        <w:t xml:space="preserve"> </w:t>
      </w:r>
      <w:r w:rsidRPr="007D0AA8">
        <w:t xml:space="preserve">to identify relevant studies and </w:t>
      </w:r>
      <w:r w:rsidR="003E1B16" w:rsidRPr="007D0AA8">
        <w:t xml:space="preserve">systematic </w:t>
      </w:r>
      <w:r w:rsidRPr="007D0AA8">
        <w:t xml:space="preserve">reviews </w:t>
      </w:r>
      <w:r w:rsidR="00D5489B" w:rsidRPr="007D0AA8">
        <w:t>published during</w:t>
      </w:r>
      <w:r w:rsidRPr="007D0AA8">
        <w:t xml:space="preserve"> the period</w:t>
      </w:r>
      <w:r w:rsidR="004528CF" w:rsidRPr="007D0AA8">
        <w:t xml:space="preserve"> 1990 onwards</w:t>
      </w:r>
      <w:r w:rsidRPr="007D0AA8">
        <w:t xml:space="preserve">. </w:t>
      </w:r>
    </w:p>
    <w:p w14:paraId="7A357E73" w14:textId="4EB5A750" w:rsidR="00C43B20" w:rsidRPr="007D0AA8" w:rsidRDefault="00AA708D" w:rsidP="00C43B20">
      <w:r w:rsidRPr="007D0AA8">
        <w:t xml:space="preserve">Searches were conducted </w:t>
      </w:r>
      <w:r w:rsidR="00845E2D" w:rsidRPr="007D0AA8">
        <w:t xml:space="preserve">of databases and with search </w:t>
      </w:r>
      <w:r w:rsidR="000A0F87" w:rsidRPr="007D0AA8">
        <w:t>terms</w:t>
      </w:r>
      <w:r w:rsidR="00845E2D" w:rsidRPr="007D0AA8">
        <w:t xml:space="preserve"> </w:t>
      </w:r>
      <w:r w:rsidR="00497147" w:rsidRPr="007D0AA8">
        <w:t xml:space="preserve">as </w:t>
      </w:r>
      <w:r w:rsidRPr="007D0AA8">
        <w:t xml:space="preserve">described in </w:t>
      </w:r>
      <w:r w:rsidR="00C43B20">
        <w:rPr>
          <w:highlight w:val="yellow"/>
        </w:rPr>
        <w:fldChar w:fldCharType="begin"/>
      </w:r>
      <w:r w:rsidR="00C43B20">
        <w:instrText xml:space="preserve"> REF _Ref14354544 \h </w:instrText>
      </w:r>
      <w:r w:rsidR="00C43B20">
        <w:rPr>
          <w:highlight w:val="yellow"/>
        </w:rPr>
      </w:r>
      <w:r w:rsidR="00C43B20">
        <w:rPr>
          <w:highlight w:val="yellow"/>
        </w:rPr>
        <w:fldChar w:fldCharType="separate"/>
      </w:r>
      <w:r w:rsidR="00A7463B" w:rsidRPr="00386411">
        <w:t xml:space="preserve">Appendix </w:t>
      </w:r>
      <w:r w:rsidR="00A7463B">
        <w:rPr>
          <w:noProof/>
        </w:rPr>
        <w:t>B</w:t>
      </w:r>
      <w:r w:rsidR="00C43B20">
        <w:rPr>
          <w:highlight w:val="yellow"/>
        </w:rPr>
        <w:fldChar w:fldCharType="end"/>
      </w:r>
      <w:r w:rsidR="00C43B20">
        <w:t>.</w:t>
      </w:r>
    </w:p>
    <w:p w14:paraId="5FF8E9DB" w14:textId="46469F22" w:rsidR="00AA708D" w:rsidRPr="007D0AA8" w:rsidRDefault="00AA708D" w:rsidP="00845E2D"/>
    <w:p w14:paraId="2186323B" w14:textId="77777777" w:rsidR="00D5489B" w:rsidRPr="00386411" w:rsidRDefault="00D5489B" w:rsidP="00331FB9">
      <w:pPr>
        <w:pStyle w:val="Heading2"/>
        <w:numPr>
          <w:ilvl w:val="1"/>
          <w:numId w:val="9"/>
        </w:numPr>
      </w:pPr>
      <w:bookmarkStart w:id="233" w:name="_Toc14431132"/>
      <w:bookmarkStart w:id="234" w:name="_Toc16856300"/>
      <w:r w:rsidRPr="00386411">
        <w:t>Results of Literature Search</w:t>
      </w:r>
      <w:bookmarkEnd w:id="233"/>
      <w:bookmarkEnd w:id="234"/>
    </w:p>
    <w:p w14:paraId="5E1F0699" w14:textId="6B31B788" w:rsidR="007A2341" w:rsidRPr="007D0AA8" w:rsidRDefault="00D5489B" w:rsidP="009E42E0">
      <w:r w:rsidRPr="007D0AA8">
        <w:t xml:space="preserve">A </w:t>
      </w:r>
      <w:r w:rsidR="007A2341" w:rsidRPr="007D0AA8">
        <w:t xml:space="preserve">PRISMA flowchart (Figure </w:t>
      </w:r>
      <w:r w:rsidR="00962983" w:rsidRPr="007D0AA8">
        <w:t>2</w:t>
      </w:r>
      <w:r w:rsidR="007A2341" w:rsidRPr="007D0AA8">
        <w:t xml:space="preserve">) </w:t>
      </w:r>
      <w:r w:rsidR="009E42E0" w:rsidRPr="007D0AA8">
        <w:t>shows the flow</w:t>
      </w:r>
      <w:r w:rsidRPr="007D0AA8">
        <w:t xml:space="preserve"> of the literature search </w:t>
      </w:r>
      <w:r w:rsidR="009E42E0" w:rsidRPr="007D0AA8">
        <w:t xml:space="preserve">results and </w:t>
      </w:r>
      <w:r w:rsidRPr="007D0AA8">
        <w:t xml:space="preserve">application of the </w:t>
      </w:r>
      <w:r w:rsidR="003B4D3F" w:rsidRPr="007D0AA8">
        <w:t>PICO</w:t>
      </w:r>
      <w:r w:rsidRPr="007D0AA8">
        <w:t xml:space="preserve"> criteria</w:t>
      </w:r>
      <w:r w:rsidR="009E42E0" w:rsidRPr="007D0AA8">
        <w:t xml:space="preserve"> (above) in selecting the included studies</w:t>
      </w:r>
      <w:r w:rsidR="00004696" w:rsidRPr="007D0AA8">
        <w:t xml:space="preserve"> </w:t>
      </w:r>
      <w:r w:rsidR="00004696" w:rsidRPr="007D0AA8">
        <w:fldChar w:fldCharType="begin">
          <w:fldData xml:space="preserve">PEVuZE5vdGU+PENpdGU+PEF1dGhvcj5Nb2hlcjwvQXV0aG9yPjxZZWFyPjIwMDk8L1llYXI+PFJl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</w:fldData>
        </w:fldChar>
      </w:r>
      <w:r w:rsidR="005E1360" w:rsidRPr="007D0AA8">
        <w:instrText xml:space="preserve"> ADDIN EN.CITE </w:instrText>
      </w:r>
      <w:r w:rsidR="005E1360" w:rsidRPr="007D0AA8">
        <w:fldChar w:fldCharType="begin">
          <w:fldData xml:space="preserve">PEVuZE5vdGU+PENpdGU+PEF1dGhvcj5Nb2hlcjwvQXV0aG9yPjxZZWFyPjIwMDk8L1llYXI+PFJl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</w:fldData>
        </w:fldChar>
      </w:r>
      <w:r w:rsidR="005E1360" w:rsidRPr="007D0AA8">
        <w:instrText xml:space="preserve"> ADDIN EN.CITE.DATA </w:instrText>
      </w:r>
      <w:r w:rsidR="005E1360" w:rsidRPr="007D0AA8">
        <w:fldChar w:fldCharType="end"/>
      </w:r>
      <w:r w:rsidR="00004696" w:rsidRPr="007D0AA8">
        <w:fldChar w:fldCharType="separate"/>
      </w:r>
      <w:r w:rsidR="005E1360" w:rsidRPr="007D0AA8">
        <w:rPr>
          <w:noProof/>
        </w:rPr>
        <w:t>(</w:t>
      </w:r>
      <w:hyperlink w:anchor="_ENREF_29" w:tooltip="Liberati, 2009 #96" w:history="1">
        <w:r w:rsidR="00BB0145" w:rsidRPr="007D0AA8">
          <w:rPr>
            <w:noProof/>
          </w:rPr>
          <w:t>Liberati et al. 2009</w:t>
        </w:r>
      </w:hyperlink>
      <w:r w:rsidR="005E1360" w:rsidRPr="007D0AA8">
        <w:rPr>
          <w:noProof/>
        </w:rPr>
        <w:t xml:space="preserve">; </w:t>
      </w:r>
      <w:hyperlink w:anchor="_ENREF_30" w:tooltip="Moher, 2009 #97" w:history="1">
        <w:r w:rsidR="00BB0145" w:rsidRPr="007D0AA8">
          <w:rPr>
            <w:noProof/>
          </w:rPr>
          <w:t>Moher et al. 2009</w:t>
        </w:r>
      </w:hyperlink>
      <w:r w:rsidR="005E1360" w:rsidRPr="007D0AA8">
        <w:rPr>
          <w:noProof/>
        </w:rPr>
        <w:t>)</w:t>
      </w:r>
      <w:r w:rsidR="00004696" w:rsidRPr="007D0AA8">
        <w:fldChar w:fldCharType="end"/>
      </w:r>
      <w:r w:rsidR="00004696" w:rsidRPr="007D0AA8">
        <w:t>.</w:t>
      </w:r>
      <w:r w:rsidRPr="007D0AA8">
        <w:t xml:space="preserve"> </w:t>
      </w:r>
      <w:r w:rsidR="007A2341" w:rsidRPr="007D0AA8">
        <w:t>Studies were selected independently by two reviewers</w:t>
      </w:r>
      <w:r w:rsidR="00144A3F" w:rsidRPr="007D0AA8">
        <w:t>.</w:t>
      </w:r>
      <w:r w:rsidR="007A2341" w:rsidRPr="007D0AA8">
        <w:t xml:space="preserve"> </w:t>
      </w:r>
      <w:r w:rsidR="00144A3F" w:rsidRPr="007D0AA8">
        <w:t>Where study relevance was in doubt, the two reviewers discussed the merits of inclusion/exclusion to agree an outcome.</w:t>
      </w:r>
    </w:p>
    <w:p w14:paraId="6DCDECC9" w14:textId="77777777" w:rsidR="003876FD" w:rsidRDefault="003876FD" w:rsidP="00510F2A">
      <w:pPr>
        <w:pStyle w:val="Caption"/>
        <w:spacing w:before="120"/>
      </w:pPr>
      <w:bookmarkStart w:id="235" w:name="_Ref10293143"/>
      <w:bookmarkStart w:id="236" w:name="_Toc381969892"/>
      <w:bookmarkStart w:id="237" w:name="_Toc14429639"/>
      <w:r w:rsidRPr="00386411">
        <w:rPr>
          <w:b w:val="0"/>
          <w:noProof/>
        </w:rPr>
        <w:drawing>
          <wp:inline distT="0" distB="0" distL="0" distR="0" wp14:anchorId="1A34F518" wp14:editId="6E85D6E5">
            <wp:extent cx="4929146" cy="4560570"/>
            <wp:effectExtent l="0" t="0" r="5080" b="0"/>
            <wp:docPr id="30" name="Picture 30" title="Summary of the process used to identify and select studies for the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2345"/>
                    <a:stretch/>
                  </pic:blipFill>
                  <pic:spPr bwMode="auto">
                    <a:xfrm>
                      <a:off x="0" y="0"/>
                      <a:ext cx="4940736" cy="4571293"/>
                    </a:xfrm>
                    <a:prstGeom prst="rect">
                      <a:avLst/>
                    </a:prstGeom>
                    <a:noFill/>
                    <a:ln>
                      <a:noFill/>
                    </a:ln>
                    <a:extLst>
                      <a:ext uri="{53640926-AAD7-44D8-BBD7-CCE9431645EC}">
                        <a14:shadowObscured xmlns:a14="http://schemas.microsoft.com/office/drawing/2010/main"/>
                      </a:ext>
                    </a:extLst>
                  </pic:spPr>
                </pic:pic>
              </a:graphicData>
            </a:graphic>
          </wp:inline>
        </w:drawing>
      </w:r>
    </w:p>
    <w:p w14:paraId="5907071D" w14:textId="3024A3F9" w:rsidR="00182C18" w:rsidRPr="00386411" w:rsidRDefault="00182C18" w:rsidP="00510F2A">
      <w:pPr>
        <w:pStyle w:val="Caption"/>
        <w:spacing w:before="120"/>
      </w:pPr>
      <w:bookmarkStart w:id="238" w:name="_Ref16673975"/>
      <w:bookmarkStart w:id="239" w:name="_Toc16671698"/>
      <w:r w:rsidRPr="00386411">
        <w:t xml:space="preserve">Figure </w:t>
      </w:r>
      <w:r w:rsidR="00E46014" w:rsidRPr="00386411">
        <w:rPr>
          <w:noProof/>
        </w:rPr>
        <w:fldChar w:fldCharType="begin"/>
      </w:r>
      <w:r w:rsidR="00E46014" w:rsidRPr="00386411">
        <w:rPr>
          <w:noProof/>
        </w:rPr>
        <w:instrText xml:space="preserve"> SEQ Figure \* ARABIC </w:instrText>
      </w:r>
      <w:r w:rsidR="00E46014" w:rsidRPr="00386411">
        <w:rPr>
          <w:noProof/>
        </w:rPr>
        <w:fldChar w:fldCharType="separate"/>
      </w:r>
      <w:r w:rsidR="00A7463B">
        <w:rPr>
          <w:noProof/>
        </w:rPr>
        <w:t>2</w:t>
      </w:r>
      <w:r w:rsidR="00E46014" w:rsidRPr="00386411">
        <w:rPr>
          <w:noProof/>
        </w:rPr>
        <w:fldChar w:fldCharType="end"/>
      </w:r>
      <w:bookmarkEnd w:id="235"/>
      <w:bookmarkEnd w:id="238"/>
      <w:r w:rsidRPr="00386411">
        <w:t xml:space="preserve"> </w:t>
      </w:r>
      <w:r w:rsidR="00962983" w:rsidRPr="00386411">
        <w:tab/>
      </w:r>
      <w:r w:rsidRPr="00386411">
        <w:t xml:space="preserve">Summary of the process used to identify and select studies for the </w:t>
      </w:r>
      <w:bookmarkEnd w:id="236"/>
      <w:r w:rsidR="00E40529" w:rsidRPr="00386411">
        <w:t>assessment</w:t>
      </w:r>
      <w:bookmarkEnd w:id="237"/>
      <w:bookmarkEnd w:id="239"/>
      <w:r w:rsidRPr="00386411">
        <w:t xml:space="preserve"> </w:t>
      </w:r>
    </w:p>
    <w:p w14:paraId="608FCCEA" w14:textId="1BBA6E9C" w:rsidR="009E42E0" w:rsidRPr="007D0AA8" w:rsidRDefault="009E42E0" w:rsidP="00AA708D">
      <w:r w:rsidRPr="007D0AA8">
        <w:lastRenderedPageBreak/>
        <w:t xml:space="preserve">Studies that could not be retrieved or that met the inclusion criteria but contained insufficient or inadequate data for inclusion are listed as Excluded Studies in </w:t>
      </w:r>
      <w:r w:rsidR="00004696" w:rsidRPr="007D0AA8">
        <w:fldChar w:fldCharType="begin"/>
      </w:r>
      <w:r w:rsidR="00004696" w:rsidRPr="007D0AA8">
        <w:instrText xml:space="preserve"> REF _Ref364237293 \h </w:instrText>
      </w:r>
      <w:r w:rsidR="00386411" w:rsidRPr="007D0AA8">
        <w:instrText xml:space="preserve"> \* MERGEFORMAT </w:instrText>
      </w:r>
      <w:r w:rsidR="00004696" w:rsidRPr="007D0AA8">
        <w:fldChar w:fldCharType="separate"/>
      </w:r>
      <w:r w:rsidR="00A7463B" w:rsidRPr="00386411">
        <w:t xml:space="preserve">Appendix </w:t>
      </w:r>
      <w:r w:rsidR="00A7463B">
        <w:rPr>
          <w:noProof/>
        </w:rPr>
        <w:t>E</w:t>
      </w:r>
      <w:r w:rsidR="00004696" w:rsidRPr="007D0AA8">
        <w:fldChar w:fldCharType="end"/>
      </w:r>
      <w:r w:rsidRPr="007D0AA8">
        <w:t xml:space="preserve">. All other studies that met the inclusion criteria are listed in </w:t>
      </w:r>
      <w:r w:rsidR="00004696" w:rsidRPr="007D0AA8">
        <w:fldChar w:fldCharType="begin"/>
      </w:r>
      <w:r w:rsidR="00004696" w:rsidRPr="007D0AA8">
        <w:instrText xml:space="preserve"> REF _Ref364237249 \h </w:instrText>
      </w:r>
      <w:r w:rsidR="00386411" w:rsidRPr="007D0AA8">
        <w:instrText xml:space="preserve"> \* MERGEFORMAT </w:instrText>
      </w:r>
      <w:r w:rsidR="00004696" w:rsidRPr="007D0AA8">
        <w:fldChar w:fldCharType="separate"/>
      </w:r>
      <w:r w:rsidR="00A7463B" w:rsidRPr="00386411">
        <w:t xml:space="preserve">Appendix </w:t>
      </w:r>
      <w:r w:rsidR="00A7463B">
        <w:rPr>
          <w:noProof/>
        </w:rPr>
        <w:t>C</w:t>
      </w:r>
      <w:r w:rsidR="00004696" w:rsidRPr="007D0AA8">
        <w:fldChar w:fldCharType="end"/>
      </w:r>
      <w:r w:rsidRPr="007D0AA8">
        <w:t>.</w:t>
      </w:r>
    </w:p>
    <w:p w14:paraId="5104401A" w14:textId="4CA246A4" w:rsidR="00B435E9" w:rsidRPr="007D0AA8" w:rsidRDefault="00B435E9" w:rsidP="00AA708D">
      <w:pPr>
        <w:rPr>
          <w:color w:val="000000"/>
        </w:rPr>
      </w:pPr>
      <w:r w:rsidRPr="007D0AA8">
        <w:t xml:space="preserve">A profile of each included study is </w:t>
      </w:r>
      <w:r w:rsidR="008D77C9" w:rsidRPr="007D0AA8">
        <w:t>given</w:t>
      </w:r>
      <w:r w:rsidRPr="007D0AA8">
        <w:t xml:space="preserve"> in </w:t>
      </w:r>
      <w:r w:rsidR="00004696" w:rsidRPr="007D0AA8">
        <w:fldChar w:fldCharType="begin"/>
      </w:r>
      <w:r w:rsidR="00004696" w:rsidRPr="007D0AA8">
        <w:instrText xml:space="preserve"> REF _Ref421017583 \h </w:instrText>
      </w:r>
      <w:r w:rsidR="00386411" w:rsidRPr="007D0AA8">
        <w:instrText xml:space="preserve"> \* MERGEFORMAT </w:instrText>
      </w:r>
      <w:r w:rsidR="00004696" w:rsidRPr="007D0AA8">
        <w:fldChar w:fldCharType="separate"/>
      </w:r>
      <w:r w:rsidR="00A7463B" w:rsidRPr="00386411">
        <w:t xml:space="preserve">Appendix </w:t>
      </w:r>
      <w:r w:rsidR="00A7463B">
        <w:rPr>
          <w:noProof/>
        </w:rPr>
        <w:t>D</w:t>
      </w:r>
      <w:r w:rsidR="00004696" w:rsidRPr="007D0AA8">
        <w:fldChar w:fldCharType="end"/>
      </w:r>
      <w:r w:rsidRPr="007D0AA8">
        <w:t xml:space="preserve">. </w:t>
      </w:r>
      <w:r w:rsidRPr="007D0AA8">
        <w:rPr>
          <w:color w:val="000000"/>
        </w:rPr>
        <w:t xml:space="preserve">This study profile describes the authors, </w:t>
      </w:r>
      <w:r w:rsidR="00B42D7C" w:rsidRPr="007D0AA8">
        <w:rPr>
          <w:color w:val="000000"/>
        </w:rPr>
        <w:t xml:space="preserve">publication year, study design </w:t>
      </w:r>
      <w:r w:rsidRPr="007D0AA8">
        <w:rPr>
          <w:color w:val="000000"/>
        </w:rPr>
        <w:t>and quality (leve</w:t>
      </w:r>
      <w:r w:rsidR="00B42D7C" w:rsidRPr="007D0AA8">
        <w:rPr>
          <w:color w:val="000000"/>
        </w:rPr>
        <w:t>l of evidence and risk of bias</w:t>
      </w:r>
      <w:r w:rsidR="003735E3" w:rsidRPr="007D0AA8">
        <w:rPr>
          <w:color w:val="000000"/>
        </w:rPr>
        <w:t>)</w:t>
      </w:r>
      <w:r w:rsidR="00B42D7C" w:rsidRPr="007D0AA8">
        <w:rPr>
          <w:color w:val="000000"/>
        </w:rPr>
        <w:t>,</w:t>
      </w:r>
      <w:r w:rsidRPr="007D0AA8">
        <w:rPr>
          <w:color w:val="000000"/>
        </w:rPr>
        <w:t xml:space="preserve"> </w:t>
      </w:r>
      <w:r w:rsidR="00B42D7C" w:rsidRPr="007D0AA8">
        <w:rPr>
          <w:color w:val="000000"/>
        </w:rPr>
        <w:t>geographic</w:t>
      </w:r>
      <w:r w:rsidRPr="007D0AA8">
        <w:rPr>
          <w:color w:val="000000"/>
        </w:rPr>
        <w:t xml:space="preserve"> location, setting, length of follow-up, study population characteristics, description of the intervention, description of the comparator and the outcomes assessed. </w:t>
      </w:r>
      <w:r w:rsidR="001B6A91" w:rsidRPr="007D0AA8">
        <w:rPr>
          <w:color w:val="000000"/>
        </w:rPr>
        <w:t xml:space="preserve">Study characteristics are also summarised in a shorter format in Section B.4. </w:t>
      </w:r>
    </w:p>
    <w:p w14:paraId="2B1BFD1D" w14:textId="77777777" w:rsidR="000D328F" w:rsidRPr="00386411" w:rsidRDefault="000D328F" w:rsidP="000D328F">
      <w:pPr>
        <w:pStyle w:val="Heading3"/>
      </w:pPr>
      <w:bookmarkStart w:id="240" w:name="_Toc395200773"/>
      <w:bookmarkStart w:id="241" w:name="_Toc14431133"/>
      <w:bookmarkStart w:id="242" w:name="_Toc16856301"/>
      <w:r w:rsidRPr="00386411">
        <w:t>Appraisal of the evidence</w:t>
      </w:r>
      <w:bookmarkEnd w:id="240"/>
      <w:bookmarkEnd w:id="241"/>
      <w:bookmarkEnd w:id="242"/>
    </w:p>
    <w:p w14:paraId="6BCA08F1" w14:textId="77777777" w:rsidR="000D328F" w:rsidRPr="007D0AA8" w:rsidRDefault="000D328F" w:rsidP="000D328F">
      <w:r w:rsidRPr="007D0AA8">
        <w:t>Appraisal of the evidence was conducted in 3 stages:</w:t>
      </w:r>
    </w:p>
    <w:p w14:paraId="40C5E35C" w14:textId="4E3DE5FE" w:rsidR="000D328F" w:rsidRPr="007D0AA8" w:rsidRDefault="000D328F" w:rsidP="000D328F">
      <w:r w:rsidRPr="007D0AA8">
        <w:t xml:space="preserve">Stage 1: Appraisal of the </w:t>
      </w:r>
      <w:r w:rsidR="005071FD" w:rsidRPr="007D0AA8">
        <w:t>risk of bias within</w:t>
      </w:r>
      <w:r w:rsidRPr="007D0AA8">
        <w:t xml:space="preserve"> individual studies included in the review</w:t>
      </w:r>
      <w:r w:rsidR="00146BFB" w:rsidRPr="007D0AA8">
        <w:t>.</w:t>
      </w:r>
      <w:r w:rsidR="00A3568E">
        <w:t xml:space="preserve"> </w:t>
      </w:r>
    </w:p>
    <w:p w14:paraId="02B02A26" w14:textId="025C54DC" w:rsidR="008001D1" w:rsidRPr="007D0AA8" w:rsidRDefault="001769AB" w:rsidP="000D328F">
      <w:r w:rsidRPr="007D0AA8">
        <w:t xml:space="preserve">Stage 2: </w:t>
      </w:r>
      <w:r w:rsidR="008001D1" w:rsidRPr="007D0AA8">
        <w:t xml:space="preserve">Extraction of the pre-specified outcomes for this </w:t>
      </w:r>
      <w:r w:rsidR="00DC7996" w:rsidRPr="007D0AA8">
        <w:t xml:space="preserve">assessment, synthesising (meta-analysing or a narrative synthesis) </w:t>
      </w:r>
      <w:r w:rsidR="00213B43" w:rsidRPr="007D0AA8">
        <w:t xml:space="preserve">to determine an estimate of effect </w:t>
      </w:r>
      <w:r w:rsidR="00DC7996" w:rsidRPr="007D0AA8">
        <w:t>per outcome</w:t>
      </w:r>
      <w:r w:rsidR="00B67DA0">
        <w:t>. A meta-analysis was undertaken for the primary efficacy outcome, infections, in spite of variability in how infections were defined and reported between the studies.</w:t>
      </w:r>
    </w:p>
    <w:p w14:paraId="3B4DB298" w14:textId="38B84C85" w:rsidR="00DC7996" w:rsidRPr="007D0AA8" w:rsidRDefault="001769AB" w:rsidP="000D328F">
      <w:r w:rsidRPr="007D0AA8">
        <w:t xml:space="preserve">Stage 3: </w:t>
      </w:r>
      <w:r w:rsidR="00DC7996" w:rsidRPr="007D0AA8">
        <w:t xml:space="preserve">Rating the </w:t>
      </w:r>
      <w:r w:rsidR="00421694" w:rsidRPr="007D0AA8">
        <w:t xml:space="preserve">overall </w:t>
      </w:r>
      <w:r w:rsidR="00DC7996" w:rsidRPr="007D0AA8">
        <w:t xml:space="preserve">quality of the evidence per outcome, across studies, based on the </w:t>
      </w:r>
      <w:r w:rsidR="00421694" w:rsidRPr="007D0AA8">
        <w:t xml:space="preserve">study limitations (risk of bias), imprecision, inconsistency of results, indirectness of evidence, </w:t>
      </w:r>
      <w:r w:rsidR="006606AA" w:rsidRPr="007D0AA8">
        <w:t xml:space="preserve">and the </w:t>
      </w:r>
      <w:r w:rsidR="00421694" w:rsidRPr="007D0AA8">
        <w:t>likelihood of publication bias</w:t>
      </w:r>
      <w:r w:rsidR="008D6611" w:rsidRPr="007D0AA8">
        <w:t>. This was done</w:t>
      </w:r>
      <w:r w:rsidR="00C04EB0" w:rsidRPr="007D0AA8">
        <w:t xml:space="preserve"> to provide an indication of the confidence in the estimate of effect in the context of Australian clinical practice </w:t>
      </w:r>
      <w:r w:rsidR="00272E24" w:rsidRPr="007D0AA8">
        <w:t xml:space="preserve">(Evidence profile tables, </w:t>
      </w:r>
      <w:r w:rsidR="00272E24" w:rsidRPr="007D0AA8">
        <w:fldChar w:fldCharType="begin"/>
      </w:r>
      <w:r w:rsidR="00272E24" w:rsidRPr="007D0AA8">
        <w:instrText xml:space="preserve"> REF _Ref421017583 \h </w:instrText>
      </w:r>
      <w:r w:rsidR="00386411" w:rsidRPr="007D0AA8">
        <w:instrText xml:space="preserve"> \* MERGEFORMAT </w:instrText>
      </w:r>
      <w:r w:rsidR="00272E24" w:rsidRPr="007D0AA8">
        <w:fldChar w:fldCharType="separate"/>
      </w:r>
      <w:r w:rsidR="00A7463B" w:rsidRPr="00386411">
        <w:t xml:space="preserve">Appendix </w:t>
      </w:r>
      <w:r w:rsidR="00A7463B">
        <w:rPr>
          <w:noProof/>
        </w:rPr>
        <w:t>D</w:t>
      </w:r>
      <w:r w:rsidR="00272E24" w:rsidRPr="007D0AA8">
        <w:fldChar w:fldCharType="end"/>
      </w:r>
      <w:r w:rsidR="00272E24" w:rsidRPr="007D0AA8">
        <w:t>)</w:t>
      </w:r>
      <w:r w:rsidR="00421694" w:rsidRPr="007D0AA8">
        <w:t xml:space="preserve">. </w:t>
      </w:r>
    </w:p>
    <w:p w14:paraId="2EC9534E" w14:textId="4F7A0329" w:rsidR="000D328F" w:rsidRDefault="001769AB" w:rsidP="000D328F">
      <w:r w:rsidRPr="007D0AA8">
        <w:t xml:space="preserve">Stage 4: </w:t>
      </w:r>
      <w:r w:rsidR="000D328F" w:rsidRPr="007D0AA8">
        <w:t xml:space="preserve">Integration of this evidence for conclusions about the net clinical benefit of the intervention in the context of Australian clinical practice. </w:t>
      </w:r>
      <w:r w:rsidR="000B688F" w:rsidRPr="007D0AA8">
        <w:t>(Sections B.6-</w:t>
      </w:r>
      <w:r w:rsidR="004A2D8B">
        <w:t>B.</w:t>
      </w:r>
      <w:r w:rsidR="000B688F" w:rsidRPr="007D0AA8">
        <w:t>8)</w:t>
      </w:r>
    </w:p>
    <w:p w14:paraId="7C8D98E5" w14:textId="77777777" w:rsidR="009A76F8" w:rsidRPr="00386411" w:rsidRDefault="009A76F8" w:rsidP="00331FB9">
      <w:pPr>
        <w:pStyle w:val="Heading2"/>
        <w:numPr>
          <w:ilvl w:val="1"/>
          <w:numId w:val="9"/>
        </w:numPr>
      </w:pPr>
      <w:bookmarkStart w:id="243" w:name="_Toc14431134"/>
      <w:bookmarkStart w:id="244" w:name="_Toc16856302"/>
      <w:bookmarkStart w:id="245" w:name="_Toc381796464"/>
      <w:r w:rsidRPr="00386411">
        <w:t>Risk of Bias</w:t>
      </w:r>
      <w:r w:rsidR="00B435E9" w:rsidRPr="00386411">
        <w:t xml:space="preserve"> Assessment</w:t>
      </w:r>
      <w:bookmarkEnd w:id="243"/>
      <w:bookmarkEnd w:id="244"/>
    </w:p>
    <w:p w14:paraId="14DAE898" w14:textId="4378DC72" w:rsidR="00927B5B" w:rsidRPr="007D0AA8" w:rsidRDefault="009E4D08" w:rsidP="009404AD">
      <w:r w:rsidRPr="007D0AA8">
        <w:t>Three</w:t>
      </w:r>
      <w:r w:rsidR="00FE2D78" w:rsidRPr="007D0AA8">
        <w:t xml:space="preserve"> of the </w:t>
      </w:r>
      <w:r w:rsidR="004466FC">
        <w:t>eight</w:t>
      </w:r>
      <w:r w:rsidR="00FE2D78" w:rsidRPr="007D0AA8">
        <w:t xml:space="preserve"> included RCTs were at moderate risk of bias </w:t>
      </w:r>
      <w:r w:rsidR="00A63715" w:rsidRPr="007D0AA8">
        <w:t xml:space="preserve">due to the way events were pooled for reporting </w:t>
      </w:r>
      <w:r w:rsidR="005E1360" w:rsidRPr="007D0AA8">
        <w:fldChar w:fldCharType="begin">
          <w:fldData xml:space="preserve">PEVuZE5vdGU+PENpdGU+PEF1dGhvcj5Nb2xpY2E8L0F1dGhvcj48WWVhcj4xOTk2PC9ZZWFyPjxS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</w:fldData>
        </w:fldChar>
      </w:r>
      <w:r w:rsidR="00896BE2">
        <w:instrText xml:space="preserve"> ADDIN EN.CITE </w:instrText>
      </w:r>
      <w:r w:rsidR="00896BE2">
        <w:fldChar w:fldCharType="begin">
          <w:fldData xml:space="preserve">PEVuZE5vdGU+PENpdGU+PEF1dGhvcj5Nb2xpY2E8L0F1dGhvcj48WWVhcj4xOTk2PC9ZZWFyPjxS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</w:fldData>
        </w:fldChar>
      </w:r>
      <w:r w:rsidR="00896BE2">
        <w:instrText xml:space="preserve"> ADDIN EN.CITE.DATA </w:instrText>
      </w:r>
      <w:r w:rsidR="00896BE2">
        <w:fldChar w:fldCharType="end"/>
      </w:r>
      <w:r w:rsidR="005E1360" w:rsidRPr="007D0AA8">
        <w:fldChar w:fldCharType="separate"/>
      </w:r>
      <w:r w:rsidR="00896BE2">
        <w:rPr>
          <w:noProof/>
        </w:rPr>
        <w:t>(</w:t>
      </w:r>
      <w:hyperlink w:anchor="_ENREF_7" w:tooltip="Boughton, 1995 #40" w:history="1">
        <w:r w:rsidR="00BB0145">
          <w:rPr>
            <w:noProof/>
          </w:rPr>
          <w:t>Boughton et al. 1995</w:t>
        </w:r>
      </w:hyperlink>
      <w:r w:rsidR="00896BE2">
        <w:rPr>
          <w:noProof/>
        </w:rPr>
        <w:t xml:space="preserve">; </w:t>
      </w:r>
      <w:hyperlink w:anchor="_ENREF_31" w:tooltip="Molica, 1996 #33" w:history="1">
        <w:r w:rsidR="00BB0145">
          <w:rPr>
            <w:noProof/>
          </w:rPr>
          <w:t>Molica et al. 1996</w:t>
        </w:r>
      </w:hyperlink>
      <w:r w:rsidR="00896BE2">
        <w:rPr>
          <w:noProof/>
        </w:rPr>
        <w:t xml:space="preserve">; </w:t>
      </w:r>
      <w:hyperlink w:anchor="_ENREF_33" w:tooltip="Musto, 1995 #60" w:history="1">
        <w:r w:rsidR="00BB0145">
          <w:rPr>
            <w:noProof/>
          </w:rPr>
          <w:t>Musto, Brugiatelli &amp; Carotenuto 1995</w:t>
        </w:r>
      </w:hyperlink>
      <w:r w:rsidR="00896BE2">
        <w:rPr>
          <w:noProof/>
        </w:rPr>
        <w:t>)</w:t>
      </w:r>
      <w:r w:rsidR="005E1360" w:rsidRPr="007D0AA8">
        <w:fldChar w:fldCharType="end"/>
      </w:r>
      <w:r w:rsidR="00FE2D78" w:rsidRPr="007D0AA8">
        <w:t xml:space="preserve">, </w:t>
      </w:r>
      <w:r w:rsidR="00232320" w:rsidRPr="007D0AA8">
        <w:t xml:space="preserve">and, for the </w:t>
      </w:r>
      <w:r w:rsidR="00A63715" w:rsidRPr="007D0AA8">
        <w:t>former</w:t>
      </w:r>
      <w:r w:rsidR="00232320" w:rsidRPr="007D0AA8">
        <w:t xml:space="preserve"> two, </w:t>
      </w:r>
      <w:r w:rsidR="00A63715" w:rsidRPr="007D0AA8">
        <w:t xml:space="preserve">due to </w:t>
      </w:r>
      <w:r w:rsidR="002318C8" w:rsidRPr="007D0AA8">
        <w:t>the open-label, three-stage cross</w:t>
      </w:r>
      <w:r w:rsidR="00FE2D78" w:rsidRPr="007D0AA8">
        <w:t>over design.</w:t>
      </w:r>
      <w:r w:rsidR="00944EED" w:rsidRPr="007D0AA8">
        <w:t xml:space="preserve"> The o</w:t>
      </w:r>
      <w:r w:rsidR="00927B5B" w:rsidRPr="007D0AA8">
        <w:t>ther RCTs had a low risk of bias.</w:t>
      </w:r>
      <w:r w:rsidR="00FE2D78" w:rsidRPr="007D0AA8">
        <w:t xml:space="preserve"> </w:t>
      </w:r>
    </w:p>
    <w:p w14:paraId="4B3941B5" w14:textId="5517AC17" w:rsidR="00FE2D78" w:rsidRDefault="00927B5B" w:rsidP="009404AD">
      <w:r w:rsidRPr="007D0AA8">
        <w:t>For the remaining non-randomised studies</w:t>
      </w:r>
      <w:r w:rsidR="00F51ED7" w:rsidRPr="007D0AA8">
        <w:t xml:space="preserve"> with direct evidence (IgG versus No IgG)</w:t>
      </w:r>
      <w:r w:rsidRPr="007D0AA8">
        <w:t xml:space="preserve">, two retrospective cohort studies were at high risk of bias based on the </w:t>
      </w:r>
      <w:r w:rsidR="002318C8" w:rsidRPr="007D0AA8">
        <w:t>marked</w:t>
      </w:r>
      <w:r w:rsidRPr="007D0AA8">
        <w:t xml:space="preserve"> difference in infection risk at baseline between intervention and comparator groups due to selection bias </w:t>
      </w:r>
      <w:r w:rsidR="005E1360" w:rsidRPr="007D0AA8">
        <w:fldChar w:fldCharType="begin">
          <w:fldData xml:space="preserve">PEVuZE5vdGU+PENpdGU+PEF1dGhvcj5CbG9tYmVyeTwvQXV0aG9yPjxZZWFyPjIwMTE8L1llYXI+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</w:fldData>
        </w:fldChar>
      </w:r>
      <w:r w:rsidR="005E1360" w:rsidRPr="007D0AA8">
        <w:instrText xml:space="preserve"> ADDIN EN.CITE </w:instrText>
      </w:r>
      <w:r w:rsidR="005E1360" w:rsidRPr="007D0AA8">
        <w:fldChar w:fldCharType="begin">
          <w:fldData xml:space="preserve">PEVuZE5vdGU+PENpdGU+PEF1dGhvcj5CbG9tYmVyeTwvQXV0aG9yPjxZZWFyPjIwMTE8L1llYXI+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</w:fldData>
        </w:fldChar>
      </w:r>
      <w:r w:rsidR="005E1360" w:rsidRPr="007D0AA8">
        <w:instrText xml:space="preserve"> ADDIN EN.CITE.DATA </w:instrText>
      </w:r>
      <w:r w:rsidR="005E1360" w:rsidRPr="007D0AA8">
        <w:fldChar w:fldCharType="end"/>
      </w:r>
      <w:r w:rsidR="005E1360" w:rsidRPr="007D0AA8">
        <w:fldChar w:fldCharType="separate"/>
      </w:r>
      <w:r w:rsidR="005E1360" w:rsidRPr="007D0AA8">
        <w:rPr>
          <w:noProof/>
        </w:rPr>
        <w:t>(</w:t>
      </w:r>
      <w:hyperlink w:anchor="_ENREF_6" w:tooltip="Blombery, 2011 #45" w:history="1">
        <w:r w:rsidR="00BB0145" w:rsidRPr="007D0AA8">
          <w:rPr>
            <w:noProof/>
          </w:rPr>
          <w:t>Blombery et al. 2011</w:t>
        </w:r>
      </w:hyperlink>
      <w:r w:rsidR="005E1360" w:rsidRPr="007D0AA8">
        <w:rPr>
          <w:noProof/>
        </w:rPr>
        <w:t xml:space="preserve">; </w:t>
      </w:r>
      <w:hyperlink w:anchor="_ENREF_39" w:tooltip="Paxton, 2016 #66" w:history="1">
        <w:r w:rsidR="00BB0145" w:rsidRPr="007D0AA8">
          <w:rPr>
            <w:noProof/>
          </w:rPr>
          <w:t>Paxton, Hawkins &amp; Crispin 2016</w:t>
        </w:r>
      </w:hyperlink>
      <w:r w:rsidR="005E1360" w:rsidRPr="007D0AA8">
        <w:rPr>
          <w:noProof/>
        </w:rPr>
        <w:t>)</w:t>
      </w:r>
      <w:r w:rsidR="005E1360" w:rsidRPr="007D0AA8">
        <w:fldChar w:fldCharType="end"/>
      </w:r>
      <w:r w:rsidRPr="007D0AA8">
        <w:t>. The other cohort studies and case series were generally at moderate risk of bias, with the exception</w:t>
      </w:r>
      <w:r w:rsidR="00F51ED7" w:rsidRPr="007D0AA8">
        <w:t xml:space="preserve"> of one recent case study</w:t>
      </w:r>
      <w:r w:rsidRPr="007D0AA8">
        <w:t xml:space="preserve"> with low risk </w:t>
      </w:r>
      <w:r w:rsidR="005E1360" w:rsidRPr="007D0AA8">
        <w:fldChar w:fldCharType="begin">
          <w:fldData xml:space="preserve">PEVuZE5vdGU+PENpdGU+PEF1dGhvcj5CZW5icmFoaW08L0F1dGhvcj48WWVhcj4yMDE5PC9ZZWFy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==
</w:fldData>
        </w:fldChar>
      </w:r>
      <w:r w:rsidR="005E1360" w:rsidRPr="007D0AA8">
        <w:instrText xml:space="preserve"> ADDIN EN.CITE </w:instrText>
      </w:r>
      <w:r w:rsidR="005E1360" w:rsidRPr="007D0AA8">
        <w:fldChar w:fldCharType="begin">
          <w:fldData xml:space="preserve">PEVuZE5vdGU+PENpdGU+PEF1dGhvcj5CZW5icmFoaW08L0F1dGhvcj48WWVhcj4yMDE5PC9ZZWFy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==
</w:fldData>
        </w:fldChar>
      </w:r>
      <w:r w:rsidR="005E1360" w:rsidRPr="007D0AA8">
        <w:instrText xml:space="preserve"> ADDIN EN.CITE.DATA </w:instrText>
      </w:r>
      <w:r w:rsidR="005E1360" w:rsidRPr="007D0AA8">
        <w:fldChar w:fldCharType="end"/>
      </w:r>
      <w:r w:rsidR="005E1360" w:rsidRPr="007D0AA8">
        <w:fldChar w:fldCharType="separate"/>
      </w:r>
      <w:r w:rsidR="005E1360" w:rsidRPr="007D0AA8">
        <w:rPr>
          <w:noProof/>
        </w:rPr>
        <w:t>(</w:t>
      </w:r>
      <w:hyperlink w:anchor="_ENREF_3" w:tooltip="Benbrahim, 2019 #88" w:history="1">
        <w:r w:rsidR="00BB0145" w:rsidRPr="007D0AA8">
          <w:rPr>
            <w:noProof/>
          </w:rPr>
          <w:t>Benbrahim et al. 2019</w:t>
        </w:r>
      </w:hyperlink>
      <w:r w:rsidR="005E1360" w:rsidRPr="007D0AA8">
        <w:rPr>
          <w:noProof/>
        </w:rPr>
        <w:t>)</w:t>
      </w:r>
      <w:r w:rsidR="005E1360" w:rsidRPr="007D0AA8">
        <w:fldChar w:fldCharType="end"/>
      </w:r>
      <w:r w:rsidR="00F51ED7" w:rsidRPr="007D0AA8">
        <w:t xml:space="preserve"> </w:t>
      </w:r>
      <w:r w:rsidRPr="007D0AA8">
        <w:t xml:space="preserve">and </w:t>
      </w:r>
      <w:r w:rsidR="00F51ED7" w:rsidRPr="007D0AA8">
        <w:t>not including the four supportive studies (that is, with no direct evidence) which could not be used for</w:t>
      </w:r>
      <w:r w:rsidR="00140203">
        <w:t xml:space="preserve"> a comparison of IgG with No IgG</w:t>
      </w:r>
      <w:r w:rsidRPr="007D0AA8">
        <w:t xml:space="preserve">. </w:t>
      </w:r>
    </w:p>
    <w:bookmarkEnd w:id="245"/>
    <w:p w14:paraId="7AF21257" w14:textId="61EEFF07" w:rsidR="00AF7CAB" w:rsidRPr="0060352E" w:rsidRDefault="00B67DA0" w:rsidP="00AF7CAB">
      <w:r w:rsidRPr="00B67DA0">
        <w:lastRenderedPageBreak/>
        <w:t xml:space="preserve">In addition to the individual studies, the overall body of evidence was assessed </w:t>
      </w:r>
      <w:r w:rsidR="004466FC">
        <w:t xml:space="preserve">for the key outcomes </w:t>
      </w:r>
      <w:r w:rsidRPr="00B67DA0">
        <w:t xml:space="preserve">using GRADE (Guyatt et al. 2011). </w:t>
      </w:r>
    </w:p>
    <w:p w14:paraId="6EE41786" w14:textId="77777777" w:rsidR="008D77C9" w:rsidRPr="00386411" w:rsidRDefault="008D77C9" w:rsidP="00331FB9">
      <w:pPr>
        <w:pStyle w:val="Heading2"/>
        <w:numPr>
          <w:ilvl w:val="1"/>
          <w:numId w:val="9"/>
        </w:numPr>
      </w:pPr>
      <w:bookmarkStart w:id="246" w:name="_Toc14431135"/>
      <w:bookmarkStart w:id="247" w:name="_Toc16856303"/>
      <w:r w:rsidRPr="00386411">
        <w:t>Characteristics of the Evidence Base</w:t>
      </w:r>
      <w:bookmarkEnd w:id="246"/>
      <w:bookmarkEnd w:id="247"/>
    </w:p>
    <w:p w14:paraId="66DB2B9D" w14:textId="3D445D5C" w:rsidR="004419E5" w:rsidRDefault="007623B8" w:rsidP="005C061E">
      <w:r w:rsidRPr="007D0AA8">
        <w:t>A</w:t>
      </w:r>
      <w:r w:rsidR="00023D32" w:rsidRPr="007D0AA8">
        <w:t>n overview</w:t>
      </w:r>
      <w:r w:rsidRPr="007D0AA8">
        <w:t xml:space="preserve"> </w:t>
      </w:r>
      <w:r w:rsidR="00124269" w:rsidRPr="007D0AA8">
        <w:t xml:space="preserve">of the included studies </w:t>
      </w:r>
      <w:r w:rsidRPr="007D0AA8">
        <w:t>is provided in</w:t>
      </w:r>
      <w:r w:rsidR="00D7461D">
        <w:t xml:space="preserve"> </w:t>
      </w:r>
      <w:r w:rsidR="00D7461D">
        <w:fldChar w:fldCharType="begin"/>
      </w:r>
      <w:r w:rsidR="00D7461D">
        <w:instrText xml:space="preserve"> REF _Ref15306456 \h </w:instrText>
      </w:r>
      <w:r w:rsidR="00D7461D">
        <w:fldChar w:fldCharType="separate"/>
      </w:r>
      <w:r w:rsidR="00A7463B" w:rsidRPr="00386411">
        <w:t xml:space="preserve">Table </w:t>
      </w:r>
      <w:r w:rsidR="00A7463B">
        <w:rPr>
          <w:noProof/>
        </w:rPr>
        <w:t>15</w:t>
      </w:r>
      <w:r w:rsidR="00D7461D">
        <w:fldChar w:fldCharType="end"/>
      </w:r>
      <w:r w:rsidRPr="007D0AA8">
        <w:t xml:space="preserve">. </w:t>
      </w:r>
      <w:r w:rsidR="00124269" w:rsidRPr="007D0AA8">
        <w:t>More details are in</w:t>
      </w:r>
      <w:r w:rsidRPr="007D0AA8">
        <w:t xml:space="preserve"> </w:t>
      </w:r>
      <w:r w:rsidR="00124269" w:rsidRPr="007D0AA8">
        <w:fldChar w:fldCharType="begin"/>
      </w:r>
      <w:r w:rsidR="00124269" w:rsidRPr="007D0AA8">
        <w:instrText xml:space="preserve"> REF _Ref364237249 \h  \* MERGEFORMAT </w:instrText>
      </w:r>
      <w:r w:rsidR="00124269" w:rsidRPr="007D0AA8">
        <w:fldChar w:fldCharType="separate"/>
      </w:r>
      <w:r w:rsidR="00A7463B" w:rsidRPr="00386411">
        <w:t xml:space="preserve">Appendix </w:t>
      </w:r>
      <w:r w:rsidR="00A7463B">
        <w:t>C</w:t>
      </w:r>
      <w:r w:rsidR="00124269" w:rsidRPr="007D0AA8">
        <w:fldChar w:fldCharType="end"/>
      </w:r>
      <w:r w:rsidR="00004696" w:rsidRPr="007D0AA8">
        <w:t xml:space="preserve"> (</w:t>
      </w:r>
      <w:r w:rsidR="001671CA" w:rsidRPr="007D0AA8">
        <w:fldChar w:fldCharType="begin"/>
      </w:r>
      <w:r w:rsidR="001671CA" w:rsidRPr="007D0AA8">
        <w:instrText xml:space="preserve"> REF _Ref10291240 \h </w:instrText>
      </w:r>
      <w:r w:rsidR="00386411" w:rsidRPr="007D0AA8">
        <w:instrText xml:space="preserve"> \* MERGEFORMAT </w:instrText>
      </w:r>
      <w:r w:rsidR="001671CA" w:rsidRPr="007D0AA8">
        <w:fldChar w:fldCharType="separate"/>
      </w:r>
      <w:r w:rsidR="00A7463B" w:rsidRPr="00386411">
        <w:t xml:space="preserve">Table </w:t>
      </w:r>
      <w:r w:rsidR="00A7463B">
        <w:rPr>
          <w:noProof/>
        </w:rPr>
        <w:t>77</w:t>
      </w:r>
      <w:r w:rsidR="001671CA" w:rsidRPr="007D0AA8">
        <w:fldChar w:fldCharType="end"/>
      </w:r>
      <w:r w:rsidR="001671CA" w:rsidRPr="007D0AA8">
        <w:t xml:space="preserve">, </w:t>
      </w:r>
      <w:r w:rsidR="00004696" w:rsidRPr="007D0AA8">
        <w:t xml:space="preserve">full citations) and </w:t>
      </w:r>
      <w:r w:rsidR="00004696" w:rsidRPr="007D0AA8">
        <w:fldChar w:fldCharType="begin"/>
      </w:r>
      <w:r w:rsidR="00004696" w:rsidRPr="007D0AA8">
        <w:instrText xml:space="preserve"> REF _Ref421017583 \h </w:instrText>
      </w:r>
      <w:r w:rsidR="00386411" w:rsidRPr="007D0AA8">
        <w:instrText xml:space="preserve"> \* MERGEFORMAT </w:instrText>
      </w:r>
      <w:r w:rsidR="00004696" w:rsidRPr="007D0AA8">
        <w:fldChar w:fldCharType="separate"/>
      </w:r>
      <w:r w:rsidR="00A7463B" w:rsidRPr="00386411">
        <w:t xml:space="preserve">Appendix </w:t>
      </w:r>
      <w:r w:rsidR="00A7463B">
        <w:rPr>
          <w:noProof/>
        </w:rPr>
        <w:t>D</w:t>
      </w:r>
      <w:r w:rsidR="00004696" w:rsidRPr="007D0AA8">
        <w:fldChar w:fldCharType="end"/>
      </w:r>
      <w:r w:rsidR="00004696" w:rsidRPr="007D0AA8">
        <w:t xml:space="preserve"> (study profiles)</w:t>
      </w:r>
      <w:r w:rsidR="00124269" w:rsidRPr="007D0AA8">
        <w:t xml:space="preserve">. </w:t>
      </w:r>
      <w:r w:rsidR="001671CA" w:rsidRPr="007D0AA8">
        <w:t xml:space="preserve">Also in </w:t>
      </w:r>
      <w:r w:rsidR="001671CA" w:rsidRPr="007D0AA8">
        <w:fldChar w:fldCharType="begin"/>
      </w:r>
      <w:r w:rsidR="001671CA" w:rsidRPr="007D0AA8">
        <w:instrText xml:space="preserve"> REF _Ref364237249 \h  \* MERGEFORMAT </w:instrText>
      </w:r>
      <w:r w:rsidR="001671CA" w:rsidRPr="007D0AA8">
        <w:fldChar w:fldCharType="separate"/>
      </w:r>
      <w:r w:rsidR="00A7463B" w:rsidRPr="00386411">
        <w:t xml:space="preserve">Appendix </w:t>
      </w:r>
      <w:r w:rsidR="00A7463B">
        <w:t>C</w:t>
      </w:r>
      <w:r w:rsidR="001671CA" w:rsidRPr="007D0AA8">
        <w:fldChar w:fldCharType="end"/>
      </w:r>
      <w:r w:rsidR="001671CA" w:rsidRPr="007D0AA8">
        <w:t xml:space="preserve"> is a breakdown of which of the included studies can be considered applicable to the NBA-funded conditions (</w:t>
      </w:r>
      <w:r w:rsidR="001671CA" w:rsidRPr="007D0AA8">
        <w:fldChar w:fldCharType="begin"/>
      </w:r>
      <w:r w:rsidR="001671CA" w:rsidRPr="007D0AA8">
        <w:instrText xml:space="preserve"> REF _Ref10291298 \h </w:instrText>
      </w:r>
      <w:r w:rsidR="00386411" w:rsidRPr="007D0AA8">
        <w:instrText xml:space="preserve"> \* MERGEFORMAT </w:instrText>
      </w:r>
      <w:r w:rsidR="001671CA" w:rsidRPr="007D0AA8">
        <w:fldChar w:fldCharType="separate"/>
      </w:r>
      <w:r w:rsidR="00A7463B" w:rsidRPr="00386411">
        <w:t xml:space="preserve">Table </w:t>
      </w:r>
      <w:r w:rsidR="00A7463B">
        <w:rPr>
          <w:noProof/>
        </w:rPr>
        <w:t>78</w:t>
      </w:r>
      <w:r w:rsidR="001671CA" w:rsidRPr="007D0AA8">
        <w:fldChar w:fldCharType="end"/>
      </w:r>
      <w:r w:rsidR="001671CA" w:rsidRPr="007D0AA8">
        <w:t xml:space="preserve">). </w:t>
      </w:r>
    </w:p>
    <w:p w14:paraId="5EAF8D32" w14:textId="57328303" w:rsidR="00387AB6" w:rsidRPr="007D0AA8" w:rsidRDefault="00387AB6" w:rsidP="00387AB6">
      <w:pPr>
        <w:spacing w:before="240"/>
      </w:pPr>
      <w:r w:rsidRPr="007D0AA8">
        <w:t xml:space="preserve">The search strategy returned 25 articles representing 24 studies (k=24). </w:t>
      </w:r>
      <w:r w:rsidR="004466FC">
        <w:t>Six o</w:t>
      </w:r>
      <w:r w:rsidRPr="007D0AA8">
        <w:t>f the</w:t>
      </w:r>
      <w:r w:rsidR="004466FC">
        <w:t xml:space="preserve"> eight included RCTs </w:t>
      </w:r>
      <w:r w:rsidRPr="007D0AA8">
        <w:t>date</w:t>
      </w:r>
      <w:r w:rsidR="004466FC">
        <w:t>d</w:t>
      </w:r>
      <w:r w:rsidRPr="007D0AA8">
        <w:t xml:space="preserve"> from the early-to-mid 1990s</w:t>
      </w:r>
      <w:r w:rsidR="004466FC">
        <w:t>. There were two recent RCTs</w:t>
      </w:r>
      <w:r w:rsidRPr="007D0AA8">
        <w:t>; one from 2018 investigating SCIg (which was also the only RCT in the clinical evidence that studied SCIg)</w:t>
      </w:r>
      <w:r w:rsidRPr="007D0AA8">
        <w:fldChar w:fldCharType="begin">
          <w:fldData xml:space="preserve">PEVuZE5vdGU+PENpdGU+PEF1dGhvcj5WYWNjYTwvQXV0aG9yPjxZZWFyPjIwMTg8L1llYXI+PFJl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</w:fldData>
        </w:fldChar>
      </w:r>
      <w:r w:rsidRPr="007D0AA8">
        <w:instrText xml:space="preserve"> ADDIN EN.CITE </w:instrText>
      </w:r>
      <w:r w:rsidRPr="007D0AA8">
        <w:fldChar w:fldCharType="begin">
          <w:fldData xml:space="preserve">PEVuZE5vdGU+PENpdGU+PEF1dGhvcj5WYWNjYTwvQXV0aG9yPjxZZWFyPjIwMTg8L1llYXI+PFJl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</w:fldData>
        </w:fldChar>
      </w:r>
      <w:r w:rsidRPr="007D0AA8">
        <w:instrText xml:space="preserve"> ADDIN EN.CITE.DATA </w:instrText>
      </w:r>
      <w:r w:rsidRPr="007D0AA8">
        <w:fldChar w:fldCharType="end"/>
      </w:r>
      <w:r w:rsidRPr="007D0AA8">
        <w:fldChar w:fldCharType="separate"/>
      </w:r>
      <w:r w:rsidRPr="007D0AA8">
        <w:rPr>
          <w:noProof/>
        </w:rPr>
        <w:t>(</w:t>
      </w:r>
      <w:hyperlink w:anchor="_ENREF_52" w:tooltip="Vacca, 2018 #30" w:history="1">
        <w:r w:rsidR="00BB0145" w:rsidRPr="007D0AA8">
          <w:rPr>
            <w:noProof/>
          </w:rPr>
          <w:t>Vacca et al. 2018</w:t>
        </w:r>
      </w:hyperlink>
      <w:r w:rsidRPr="007D0AA8">
        <w:rPr>
          <w:noProof/>
        </w:rPr>
        <w:t>)</w:t>
      </w:r>
      <w:r w:rsidRPr="007D0AA8">
        <w:fldChar w:fldCharType="end"/>
      </w:r>
      <w:r w:rsidRPr="007D0AA8">
        <w:t xml:space="preserve"> and a second from 2014 investigating a carbapenem antibiotic with or without IVIg (the only study identified that explicitly studied an antibiotic with IgG)</w:t>
      </w:r>
      <w:r w:rsidRPr="007D0AA8">
        <w:fldChar w:fldCharType="begin">
          <w:fldData xml:space="preserve">PEVuZE5vdGU+PENpdGU+PEF1dGhvcj5Lb2JheWFzaGk8L0F1dGhvcj48WWVhcj4yMDE0PC9ZZWFy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</w:fldData>
        </w:fldChar>
      </w:r>
      <w:r w:rsidRPr="007D0AA8">
        <w:instrText xml:space="preserve"> ADDIN EN.CITE </w:instrText>
      </w:r>
      <w:r w:rsidRPr="007D0AA8">
        <w:fldChar w:fldCharType="begin">
          <w:fldData xml:space="preserve">PEVuZE5vdGU+PENpdGU+PEF1dGhvcj5Lb2JheWFzaGk8L0F1dGhvcj48WWVhcj4yMDE0PC9ZZWFy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</w:fldData>
        </w:fldChar>
      </w:r>
      <w:r w:rsidRPr="007D0AA8">
        <w:instrText xml:space="preserve"> ADDIN EN.CITE.DATA </w:instrText>
      </w:r>
      <w:r w:rsidRPr="007D0AA8">
        <w:fldChar w:fldCharType="end"/>
      </w:r>
      <w:r w:rsidRPr="007D0AA8">
        <w:fldChar w:fldCharType="separate"/>
      </w:r>
      <w:r w:rsidRPr="007D0AA8">
        <w:rPr>
          <w:noProof/>
        </w:rPr>
        <w:t>(</w:t>
      </w:r>
      <w:hyperlink w:anchor="_ENREF_27" w:tooltip="Kobayashi, 2014 #79" w:history="1">
        <w:r w:rsidR="00BB0145" w:rsidRPr="007D0AA8">
          <w:rPr>
            <w:noProof/>
          </w:rPr>
          <w:t>Kobayashi et al. 2014</w:t>
        </w:r>
      </w:hyperlink>
      <w:r w:rsidRPr="007D0AA8">
        <w:rPr>
          <w:noProof/>
        </w:rPr>
        <w:t>)</w:t>
      </w:r>
      <w:r w:rsidRPr="007D0AA8">
        <w:fldChar w:fldCharType="end"/>
      </w:r>
      <w:r w:rsidRPr="007D0AA8">
        <w:t xml:space="preserve">. The recent literature is otherwise notable for the absence of eligible RCTs in this population. </w:t>
      </w:r>
      <w:r>
        <w:t>F</w:t>
      </w:r>
      <w:r w:rsidRPr="00387AB6">
        <w:t xml:space="preserve">our of the included studies were not applicable to any of the NBA indications due to insufficient patient numbers. </w:t>
      </w:r>
    </w:p>
    <w:p w14:paraId="0FC8A217" w14:textId="3D4B71A5" w:rsidR="00387AB6" w:rsidRPr="007D0AA8" w:rsidRDefault="00387AB6" w:rsidP="00387AB6">
      <w:pPr>
        <w:spacing w:before="240"/>
      </w:pPr>
      <w:r w:rsidRPr="007D0AA8">
        <w:t xml:space="preserve">Four other comparative studies comprised one large US registry study of over 10,000 CLL and MM patients </w:t>
      </w:r>
      <w:r w:rsidRPr="007D0AA8">
        <w:fldChar w:fldCharType="begin">
          <w:fldData xml:space="preserve">PEVuZE5vdGU+PENpdGU+PEF1dGhvcj5BbW1hbm48L0F1dGhvcj48WWVhcj4yMDE2PC9ZZWFyPjxS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</w:fldData>
        </w:fldChar>
      </w:r>
      <w:r w:rsidRPr="007D0AA8">
        <w:instrText xml:space="preserve"> ADDIN EN.CITE </w:instrText>
      </w:r>
      <w:r w:rsidRPr="007D0AA8">
        <w:fldChar w:fldCharType="begin">
          <w:fldData xml:space="preserve">PEVuZE5vdGU+PENpdGU+PEF1dGhvcj5BbW1hbm48L0F1dGhvcj48WWVhcj4yMDE2PC9ZZWFyPjxS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</w:fldData>
        </w:fldChar>
      </w:r>
      <w:r w:rsidRPr="007D0AA8">
        <w:instrText xml:space="preserve"> ADDIN EN.CITE.DATA </w:instrText>
      </w:r>
      <w:r w:rsidRPr="007D0AA8">
        <w:fldChar w:fldCharType="end"/>
      </w:r>
      <w:r w:rsidRPr="007D0AA8">
        <w:fldChar w:fldCharType="separate"/>
      </w:r>
      <w:r w:rsidRPr="007D0AA8">
        <w:rPr>
          <w:noProof/>
        </w:rPr>
        <w:t>(</w:t>
      </w:r>
      <w:hyperlink w:anchor="_ENREF_1" w:tooltip="Ammann, 2016 #1" w:history="1">
        <w:r w:rsidR="00BB0145" w:rsidRPr="007D0AA8">
          <w:rPr>
            <w:noProof/>
          </w:rPr>
          <w:t>Ammann et al. 2016</w:t>
        </w:r>
      </w:hyperlink>
      <w:r w:rsidRPr="007D0AA8">
        <w:rPr>
          <w:noProof/>
        </w:rPr>
        <w:t>)</w:t>
      </w:r>
      <w:r w:rsidRPr="007D0AA8">
        <w:fldChar w:fldCharType="end"/>
      </w:r>
      <w:r w:rsidRPr="007D0AA8">
        <w:t xml:space="preserve"> and three cohort studies </w:t>
      </w:r>
      <w:r w:rsidRPr="007D0AA8">
        <w:fldChar w:fldCharType="begin">
          <w:fldData xml:space="preserve">PEVuZE5vdGU+PENpdGU+PEF1dGhvcj5CbG9tYmVyeTwvQXV0aG9yPjxZZWFyPjIwMTE8L1llYXI+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</w:fldData>
        </w:fldChar>
      </w:r>
      <w:r w:rsidRPr="007D0AA8">
        <w:instrText xml:space="preserve"> ADDIN EN.CITE </w:instrText>
      </w:r>
      <w:r w:rsidRPr="007D0AA8">
        <w:fldChar w:fldCharType="begin">
          <w:fldData xml:space="preserve">PEVuZE5vdGU+PENpdGU+PEF1dGhvcj5CbG9tYmVyeTwvQXV0aG9yPjxZZWFyPjIwMTE8L1llYXI+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</w:fldData>
        </w:fldChar>
      </w:r>
      <w:r w:rsidRPr="007D0AA8">
        <w:instrText xml:space="preserve"> ADDIN EN.CITE.DATA </w:instrText>
      </w:r>
      <w:r w:rsidRPr="007D0AA8">
        <w:fldChar w:fldCharType="end"/>
      </w:r>
      <w:r w:rsidRPr="007D0AA8">
        <w:fldChar w:fldCharType="separate"/>
      </w:r>
      <w:r w:rsidRPr="007D0AA8">
        <w:rPr>
          <w:noProof/>
        </w:rPr>
        <w:t>(</w:t>
      </w:r>
      <w:hyperlink w:anchor="_ENREF_6" w:tooltip="Blombery, 2011 #45" w:history="1">
        <w:r w:rsidR="00BB0145" w:rsidRPr="007D0AA8">
          <w:rPr>
            <w:noProof/>
          </w:rPr>
          <w:t>Blombery et al. 2011</w:t>
        </w:r>
      </w:hyperlink>
      <w:r w:rsidRPr="007D0AA8">
        <w:rPr>
          <w:noProof/>
        </w:rPr>
        <w:t xml:space="preserve">; </w:t>
      </w:r>
      <w:hyperlink w:anchor="_ENREF_39" w:tooltip="Paxton, 2016 #66" w:history="1">
        <w:r w:rsidR="00BB0145" w:rsidRPr="007D0AA8">
          <w:rPr>
            <w:noProof/>
          </w:rPr>
          <w:t>Paxton, Hawkins &amp; Crispin 2016</w:t>
        </w:r>
      </w:hyperlink>
      <w:r w:rsidRPr="007D0AA8">
        <w:rPr>
          <w:noProof/>
        </w:rPr>
        <w:t xml:space="preserve">; </w:t>
      </w:r>
      <w:hyperlink w:anchor="_ENREF_53" w:tooltip="Van Winkle, 2018 #26" w:history="1">
        <w:r w:rsidR="00BB0145" w:rsidRPr="007D0AA8">
          <w:rPr>
            <w:noProof/>
          </w:rPr>
          <w:t>Van Winkle et al. 2018</w:t>
        </w:r>
      </w:hyperlink>
      <w:r w:rsidRPr="007D0AA8">
        <w:rPr>
          <w:noProof/>
        </w:rPr>
        <w:t>)</w:t>
      </w:r>
      <w:r w:rsidRPr="007D0AA8">
        <w:fldChar w:fldCharType="end"/>
      </w:r>
      <w:r w:rsidRPr="007D0AA8">
        <w:t xml:space="preserve"> the </w:t>
      </w:r>
      <w:r w:rsidR="004466FC">
        <w:t>former</w:t>
      </w:r>
      <w:r w:rsidRPr="007D0AA8">
        <w:t xml:space="preserve"> two of which were in Australian patients. </w:t>
      </w:r>
    </w:p>
    <w:p w14:paraId="1EFF078D" w14:textId="6C3A248F" w:rsidR="00387AB6" w:rsidRDefault="00387AB6" w:rsidP="00387AB6">
      <w:pPr>
        <w:spacing w:before="240"/>
      </w:pPr>
      <w:r w:rsidRPr="007D0AA8">
        <w:t xml:space="preserve">The remainder of the evidence is case series or </w:t>
      </w:r>
      <w:r>
        <w:t xml:space="preserve">before/after </w:t>
      </w:r>
      <w:r w:rsidRPr="007D0AA8">
        <w:t xml:space="preserve">time series. </w:t>
      </w:r>
    </w:p>
    <w:p w14:paraId="15D1C7D1" w14:textId="53EB697B" w:rsidR="00A3568E" w:rsidRPr="007D0AA8" w:rsidRDefault="00A3568E" w:rsidP="00387AB6">
      <w:pPr>
        <w:spacing w:before="240"/>
      </w:pPr>
      <w:r w:rsidRPr="00A3568E">
        <w:t xml:space="preserve">Overall, the studies included in the report were low level evidence consisting </w:t>
      </w:r>
      <w:r>
        <w:t>primarily of case series with a small number of randomised studies</w:t>
      </w:r>
      <w:r w:rsidR="0005208E">
        <w:t xml:space="preserve"> (several of which did not adequately report the primary efficacy outcome, infections)</w:t>
      </w:r>
      <w:r w:rsidRPr="00A3568E">
        <w:t xml:space="preserve">. </w:t>
      </w:r>
    </w:p>
    <w:p w14:paraId="38D172BB" w14:textId="1834F66E" w:rsidR="00387AB6" w:rsidRPr="007D0AA8" w:rsidRDefault="00387AB6" w:rsidP="00387AB6">
      <w:pPr>
        <w:spacing w:before="240"/>
      </w:pPr>
      <w:r w:rsidRPr="007D0AA8">
        <w:t xml:space="preserve">Four of the included studies were designed as comparative studies of different routes of IgG administration </w:t>
      </w:r>
      <w:r w:rsidRPr="007D0AA8">
        <w:fldChar w:fldCharType="begin">
          <w:fldData xml:space="preserve">PEVuZE5vdGU+PENpdGU+PEF1dGhvcj5TdW5kaW48L0F1dGhvcj48WWVhcj4yMDEyPC9ZZWFyPjxS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</w:fldData>
        </w:fldChar>
      </w:r>
      <w:r w:rsidRPr="007D0AA8">
        <w:instrText xml:space="preserve"> ADDIN EN.CITE </w:instrText>
      </w:r>
      <w:r w:rsidRPr="007D0AA8">
        <w:fldChar w:fldCharType="begin">
          <w:fldData xml:space="preserve">PEVuZE5vdGU+PENpdGU+PEF1dGhvcj5TdW5kaW48L0F1dGhvcj48WWVhcj4yMDEyPC9ZZWFyPjxS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</w:fldData>
        </w:fldChar>
      </w:r>
      <w:r w:rsidRPr="007D0AA8">
        <w:instrText xml:space="preserve"> ADDIN EN.CITE.DATA </w:instrText>
      </w:r>
      <w:r w:rsidRPr="007D0AA8">
        <w:fldChar w:fldCharType="end"/>
      </w:r>
      <w:r w:rsidRPr="007D0AA8">
        <w:fldChar w:fldCharType="separate"/>
      </w:r>
      <w:r w:rsidRPr="007D0AA8">
        <w:rPr>
          <w:noProof/>
        </w:rPr>
        <w:t>(</w:t>
      </w:r>
      <w:hyperlink w:anchor="_ENREF_50" w:tooltip="Sundin, 2012 #86" w:history="1">
        <w:r w:rsidR="00BB0145" w:rsidRPr="007D0AA8">
          <w:rPr>
            <w:noProof/>
          </w:rPr>
          <w:t>Sundin et al. 2012</w:t>
        </w:r>
      </w:hyperlink>
      <w:r w:rsidRPr="007D0AA8">
        <w:rPr>
          <w:noProof/>
        </w:rPr>
        <w:t xml:space="preserve">; </w:t>
      </w:r>
      <w:hyperlink w:anchor="_ENREF_57" w:tooltip="Windegger, 2019 #55" w:history="1">
        <w:r w:rsidR="00BB0145" w:rsidRPr="007D0AA8">
          <w:rPr>
            <w:noProof/>
          </w:rPr>
          <w:t>Windegger et al. 2019</w:t>
        </w:r>
      </w:hyperlink>
      <w:r w:rsidRPr="007D0AA8">
        <w:rPr>
          <w:noProof/>
        </w:rPr>
        <w:t>)</w:t>
      </w:r>
      <w:r w:rsidRPr="007D0AA8">
        <w:fldChar w:fldCharType="end"/>
      </w:r>
      <w:r w:rsidRPr="007D0AA8">
        <w:t xml:space="preserve"> or different dosing of IgG </w:t>
      </w:r>
      <w:r w:rsidRPr="007D0AA8">
        <w:fldChar w:fldCharType="begin">
          <w:fldData xml:space="preserve">PEVuZE5vdGU+PENpdGU+PEF1dGhvcj5DaGFwZWw8L0F1dGhvcj48WWVhcj4xOTk0PC9ZZWFyPjxS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</w:fldData>
        </w:fldChar>
      </w:r>
      <w:r w:rsidR="00896BE2">
        <w:instrText xml:space="preserve"> ADDIN EN.CITE </w:instrText>
      </w:r>
      <w:r w:rsidR="00896BE2">
        <w:fldChar w:fldCharType="begin">
          <w:fldData xml:space="preserve">PEVuZE5vdGU+PENpdGU+PEF1dGhvcj5DaGFwZWw8L0F1dGhvcj48WWVhcj4xOTk0PC9ZZWFyPjxS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</w:fldData>
        </w:fldChar>
      </w:r>
      <w:r w:rsidR="00896BE2">
        <w:instrText xml:space="preserve"> ADDIN EN.CITE.DATA </w:instrText>
      </w:r>
      <w:r w:rsidR="00896BE2">
        <w:fldChar w:fldCharType="end"/>
      </w:r>
      <w:r w:rsidRPr="007D0AA8">
        <w:fldChar w:fldCharType="separate"/>
      </w:r>
      <w:r w:rsidR="00896BE2">
        <w:rPr>
          <w:noProof/>
        </w:rPr>
        <w:t>(</w:t>
      </w:r>
      <w:hyperlink w:anchor="_ENREF_11" w:tooltip="Chapel, 1994 #47" w:history="1">
        <w:r w:rsidR="00BB0145">
          <w:rPr>
            <w:noProof/>
          </w:rPr>
          <w:t>Chapel et al. 1994a</w:t>
        </w:r>
      </w:hyperlink>
      <w:r w:rsidR="00896BE2">
        <w:rPr>
          <w:noProof/>
        </w:rPr>
        <w:t xml:space="preserve">; </w:t>
      </w:r>
      <w:hyperlink w:anchor="_ENREF_47" w:tooltip="Stump, 2017 #84" w:history="1">
        <w:r w:rsidR="00BB0145">
          <w:rPr>
            <w:noProof/>
          </w:rPr>
          <w:t>Stump et al. 2017</w:t>
        </w:r>
      </w:hyperlink>
      <w:r w:rsidR="00896BE2">
        <w:rPr>
          <w:noProof/>
        </w:rPr>
        <w:t>)</w:t>
      </w:r>
      <w:r w:rsidRPr="007D0AA8">
        <w:fldChar w:fldCharType="end"/>
      </w:r>
      <w:r w:rsidRPr="007D0AA8">
        <w:t xml:space="preserve">. These four studies were included as case series of IgG, but offered no direct comparison of IgG with No IgG and can be considered supportive.  </w:t>
      </w:r>
    </w:p>
    <w:p w14:paraId="5549E7A5" w14:textId="77777777" w:rsidR="00387AB6" w:rsidRPr="007D0AA8" w:rsidRDefault="00387AB6" w:rsidP="00387AB6">
      <w:pPr>
        <w:spacing w:before="240"/>
      </w:pPr>
      <w:r w:rsidRPr="007D0AA8">
        <w:t xml:space="preserve">Pearling indicated only a small number of studies published prior to 1990 that were excluded as prior to the search cut-off date, all in the more commonly studied indications, and which were considered unlikely to have changed the conclusions of this evaluation had they been included.  </w:t>
      </w:r>
    </w:p>
    <w:p w14:paraId="7A926EBF" w14:textId="18707B8A" w:rsidR="00387AB6" w:rsidRDefault="00387AB6" w:rsidP="005C061E">
      <w:r w:rsidRPr="007D0AA8">
        <w:rPr>
          <w:rFonts w:eastAsia="Calibri" w:cs="Times New Roman"/>
          <w:lang w:eastAsia="en-US"/>
        </w:rPr>
        <w:t xml:space="preserve">Many studies returned by the search evaluated patients </w:t>
      </w:r>
      <w:r w:rsidRPr="007D0AA8">
        <w:rPr>
          <w:rFonts w:eastAsia="Calibri" w:cs="Times New Roman"/>
          <w:i/>
          <w:lang w:eastAsia="en-US"/>
        </w:rPr>
        <w:t>at risk of</w:t>
      </w:r>
      <w:r w:rsidRPr="007D0AA8">
        <w:rPr>
          <w:rFonts w:eastAsia="Calibri" w:cs="Times New Roman"/>
          <w:lang w:eastAsia="en-US"/>
        </w:rPr>
        <w:t xml:space="preserve"> hypogammaglobulinaemia, but who did not have </w:t>
      </w:r>
      <w:r w:rsidRPr="007D0AA8">
        <w:rPr>
          <w:rFonts w:eastAsia="Calibri" w:cs="Times New Roman"/>
          <w:i/>
          <w:lang w:eastAsia="en-US"/>
        </w:rPr>
        <w:t>symptomatic hypogammaglo</w:t>
      </w:r>
      <w:r w:rsidR="00FA20FD">
        <w:rPr>
          <w:rFonts w:eastAsia="Calibri" w:cs="Times New Roman"/>
          <w:i/>
          <w:lang w:eastAsia="en-US"/>
        </w:rPr>
        <w:t>b</w:t>
      </w:r>
      <w:r w:rsidRPr="007D0AA8">
        <w:rPr>
          <w:rFonts w:eastAsia="Calibri" w:cs="Times New Roman"/>
          <w:i/>
          <w:lang w:eastAsia="en-US"/>
        </w:rPr>
        <w:t>ulinaemia</w:t>
      </w:r>
      <w:r w:rsidRPr="007D0AA8">
        <w:rPr>
          <w:rFonts w:eastAsia="Calibri" w:cs="Times New Roman"/>
          <w:lang w:eastAsia="en-US"/>
        </w:rPr>
        <w:t xml:space="preserve">, that is, documented low IgG levels accompanied by a history of infections. This was the main reason for excluding studies that investigated IgG in patients with haematological malignancies. </w:t>
      </w:r>
      <w:r w:rsidRPr="007D0AA8">
        <w:t>Studies were excluded (</w:t>
      </w:r>
      <w:r w:rsidR="00486D89">
        <w:t xml:space="preserve">see reasons for exclusion in </w:t>
      </w:r>
      <w:r w:rsidRPr="007D0AA8">
        <w:rPr>
          <w:highlight w:val="yellow"/>
        </w:rPr>
        <w:fldChar w:fldCharType="begin"/>
      </w:r>
      <w:r w:rsidRPr="007D0AA8">
        <w:instrText xml:space="preserve"> REF _Ref364237293 \h </w:instrText>
      </w:r>
      <w:r w:rsidRPr="007D0AA8">
        <w:rPr>
          <w:highlight w:val="yellow"/>
        </w:rPr>
        <w:instrText xml:space="preserve"> \* MERGEFORMAT </w:instrText>
      </w:r>
      <w:r w:rsidRPr="007D0AA8">
        <w:rPr>
          <w:highlight w:val="yellow"/>
        </w:rPr>
      </w:r>
      <w:r w:rsidRPr="007D0AA8">
        <w:rPr>
          <w:highlight w:val="yellow"/>
        </w:rPr>
        <w:fldChar w:fldCharType="separate"/>
      </w:r>
      <w:r w:rsidR="00A7463B" w:rsidRPr="00386411">
        <w:t xml:space="preserve">Appendix </w:t>
      </w:r>
      <w:r w:rsidR="00A7463B">
        <w:rPr>
          <w:noProof/>
        </w:rPr>
        <w:t>E</w:t>
      </w:r>
      <w:r w:rsidRPr="007D0AA8">
        <w:rPr>
          <w:highlight w:val="yellow"/>
        </w:rPr>
        <w:fldChar w:fldCharType="end"/>
      </w:r>
      <w:r w:rsidRPr="007D0AA8">
        <w:t>) that presented neither the patient’s infections history nor the serum IgG levels at baseline, or where it was not known what proportion of patients had these clinical features.</w:t>
      </w:r>
    </w:p>
    <w:p w14:paraId="7F679B2D" w14:textId="0D9FCD39" w:rsidR="00387AB6" w:rsidRPr="007D0AA8" w:rsidRDefault="00387AB6" w:rsidP="00387AB6">
      <w:pPr>
        <w:spacing w:before="240"/>
      </w:pPr>
      <w:r w:rsidRPr="007D0AA8">
        <w:rPr>
          <w:rFonts w:eastAsia="Calibri" w:cs="Times New Roman"/>
          <w:lang w:eastAsia="en-US"/>
        </w:rPr>
        <w:lastRenderedPageBreak/>
        <w:t xml:space="preserve">In some cases, baseline IgG levels showed patients in the excluded studies had normal or only moderately low IgG levels without any information regarding prior infections, or baseline data for these features was lacking altogether (see </w:t>
      </w:r>
      <w:r w:rsidRPr="007D0AA8">
        <w:rPr>
          <w:rFonts w:eastAsia="Calibri" w:cs="Times New Roman"/>
          <w:lang w:eastAsia="en-US"/>
        </w:rPr>
        <w:fldChar w:fldCharType="begin"/>
      </w:r>
      <w:r w:rsidRPr="007D0AA8">
        <w:rPr>
          <w:rFonts w:eastAsia="Calibri" w:cs="Times New Roman"/>
          <w:lang w:eastAsia="en-US"/>
        </w:rPr>
        <w:instrText xml:space="preserve"> REF _Ref11931046 \h  \* MERGEFORMAT </w:instrText>
      </w:r>
      <w:r w:rsidRPr="007D0AA8">
        <w:rPr>
          <w:rFonts w:eastAsia="Calibri" w:cs="Times New Roman"/>
          <w:lang w:eastAsia="en-US"/>
        </w:rPr>
      </w:r>
      <w:r w:rsidRPr="007D0AA8">
        <w:rPr>
          <w:rFonts w:eastAsia="Calibri" w:cs="Times New Roman"/>
          <w:lang w:eastAsia="en-US"/>
        </w:rPr>
        <w:fldChar w:fldCharType="separate"/>
      </w:r>
      <w:r w:rsidR="00A7463B" w:rsidRPr="00386411">
        <w:t xml:space="preserve">Table </w:t>
      </w:r>
      <w:r w:rsidR="00A7463B">
        <w:rPr>
          <w:noProof/>
        </w:rPr>
        <w:t>83</w:t>
      </w:r>
      <w:r w:rsidRPr="007D0AA8">
        <w:rPr>
          <w:rFonts w:eastAsia="Calibri" w:cs="Times New Roman"/>
          <w:lang w:eastAsia="en-US"/>
        </w:rPr>
        <w:fldChar w:fldCharType="end"/>
      </w:r>
      <w:r w:rsidRPr="007D0AA8">
        <w:rPr>
          <w:rFonts w:eastAsia="Calibri" w:cs="Times New Roman"/>
          <w:lang w:eastAsia="en-US"/>
        </w:rPr>
        <w:t xml:space="preserve">, </w:t>
      </w:r>
      <w:r w:rsidRPr="007D0AA8">
        <w:rPr>
          <w:highlight w:val="yellow"/>
        </w:rPr>
        <w:fldChar w:fldCharType="begin"/>
      </w:r>
      <w:r w:rsidRPr="007D0AA8">
        <w:instrText xml:space="preserve"> REF _Ref364237293 \h </w:instrText>
      </w:r>
      <w:r w:rsidRPr="007D0AA8">
        <w:rPr>
          <w:highlight w:val="yellow"/>
        </w:rPr>
        <w:instrText xml:space="preserve"> \* MERGEFORMAT </w:instrText>
      </w:r>
      <w:r w:rsidRPr="007D0AA8">
        <w:rPr>
          <w:highlight w:val="yellow"/>
        </w:rPr>
      </w:r>
      <w:r w:rsidRPr="007D0AA8">
        <w:rPr>
          <w:highlight w:val="yellow"/>
        </w:rPr>
        <w:fldChar w:fldCharType="separate"/>
      </w:r>
      <w:r w:rsidR="00A7463B" w:rsidRPr="00386411">
        <w:t xml:space="preserve">Appendix </w:t>
      </w:r>
      <w:r w:rsidR="00A7463B">
        <w:rPr>
          <w:noProof/>
        </w:rPr>
        <w:t>E</w:t>
      </w:r>
      <w:r w:rsidRPr="007D0AA8">
        <w:rPr>
          <w:highlight w:val="yellow"/>
        </w:rPr>
        <w:fldChar w:fldCharType="end"/>
      </w:r>
      <w:r w:rsidRPr="007D0AA8">
        <w:rPr>
          <w:rFonts w:eastAsia="Calibri" w:cs="Times New Roman"/>
          <w:lang w:eastAsia="en-US"/>
        </w:rPr>
        <w:t>). This led to exclusion of a number of HSCT and paediatric studies (noting also for HSCTs that it was not clear whether the baseline serum IgG levels in HSCT recipients predicted post-transplant levels),</w:t>
      </w:r>
      <w:r w:rsidRPr="007D0AA8">
        <w:t xml:space="preserve"> so there is much less evidence to support use in these groups than might have been expected. </w:t>
      </w:r>
    </w:p>
    <w:p w14:paraId="0F3237D6" w14:textId="325A1E88" w:rsidR="00387AB6" w:rsidRDefault="00387AB6" w:rsidP="005C061E">
      <w:r w:rsidRPr="007D0AA8">
        <w:t xml:space="preserve">The majority of studies identified in the searches were in patients with CLL, followed by MM, NHL and HSCT. HSCT from peripheral blood was not in routine use prior to 2000 or so – in earlier studies patients received bone marrow transplants (BMT). There were few data for patients with AL other than ALL. One </w:t>
      </w:r>
      <w:r w:rsidR="00637742">
        <w:t>RCT</w:t>
      </w:r>
      <w:r w:rsidRPr="007D0AA8">
        <w:t xml:space="preserve"> included children with ALL and a small number of AML patients </w:t>
      </w:r>
      <w:r w:rsidRPr="007D0AA8">
        <w:fldChar w:fldCharType="begin">
          <w:fldData xml:space="preserve">PEVuZE5vdGU+PENpdGU+PEF1dGhvcj5Lb2JheWFzaGk8L0F1dGhvcj48WWVhcj4yMDE0PC9ZZWFy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</w:fldData>
        </w:fldChar>
      </w:r>
      <w:r w:rsidRPr="007D0AA8">
        <w:instrText xml:space="preserve"> ADDIN EN.CITE </w:instrText>
      </w:r>
      <w:r w:rsidRPr="007D0AA8">
        <w:fldChar w:fldCharType="begin">
          <w:fldData xml:space="preserve">PEVuZE5vdGU+PENpdGU+PEF1dGhvcj5Lb2JheWFzaGk8L0F1dGhvcj48WWVhcj4yMDE0PC9ZZWFy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</w:fldData>
        </w:fldChar>
      </w:r>
      <w:r w:rsidRPr="007D0AA8">
        <w:instrText xml:space="preserve"> ADDIN EN.CITE.DATA </w:instrText>
      </w:r>
      <w:r w:rsidRPr="007D0AA8">
        <w:fldChar w:fldCharType="end"/>
      </w:r>
      <w:r w:rsidRPr="007D0AA8">
        <w:fldChar w:fldCharType="separate"/>
      </w:r>
      <w:r w:rsidRPr="007D0AA8">
        <w:rPr>
          <w:noProof/>
        </w:rPr>
        <w:t>(</w:t>
      </w:r>
      <w:hyperlink w:anchor="_ENREF_27" w:tooltip="Kobayashi, 2014 #79" w:history="1">
        <w:r w:rsidR="00BB0145" w:rsidRPr="007D0AA8">
          <w:rPr>
            <w:noProof/>
          </w:rPr>
          <w:t>Kobayashi et al. 2014</w:t>
        </w:r>
      </w:hyperlink>
      <w:r w:rsidRPr="007D0AA8">
        <w:rPr>
          <w:noProof/>
        </w:rPr>
        <w:t>)</w:t>
      </w:r>
      <w:r w:rsidRPr="007D0AA8">
        <w:fldChar w:fldCharType="end"/>
      </w:r>
      <w:r w:rsidRPr="007D0AA8">
        <w:t>. The most common approach was for a clinic or group of centres to recruit every patient indicated for IgG according to their institutional policy for IgG eligibility. Many studies had thus enrolled a mixed population of patients with different haematological malignancies, each at a different stages of disease course and treatment cycle. In these, patients were usually in single digits who had malignancies such as types of NHL (such as follicular lymphoma (FL) or diffuse large B-cell lymphoma (DLBCL)), AL, or other malignancies (myelodysplastic syndrome (MDS)</w:t>
      </w:r>
      <w:r w:rsidR="00654175">
        <w:t xml:space="preserve"> or</w:t>
      </w:r>
      <w:r w:rsidRPr="007D0AA8">
        <w:t xml:space="preserve"> Hodgkin lymphoma (HL)).</w:t>
      </w:r>
    </w:p>
    <w:p w14:paraId="383B959D" w14:textId="45F4C912" w:rsidR="00387AB6" w:rsidRDefault="00387AB6" w:rsidP="00387AB6">
      <w:r w:rsidRPr="007D0AA8">
        <w:t>A search of clinical trials showed that a protocol has been registered for a head to head study of IgG and antibiotics. An Australian multi-centre head-to-head clinical trial of IgG versus S+T</w:t>
      </w:r>
      <w:r w:rsidRPr="007D0AA8">
        <w:rPr>
          <w:rStyle w:val="FootnoteReference"/>
        </w:rPr>
        <w:footnoteReference w:id="10"/>
      </w:r>
      <w:r w:rsidRPr="007D0AA8">
        <w:t xml:space="preserve"> is underway in this population, funded by the NBA, and due to complete at the end of 2019. </w:t>
      </w:r>
      <w:r>
        <w:t>It is likely that</w:t>
      </w:r>
      <w:r w:rsidRPr="007D0AA8">
        <w:t xml:space="preserve"> this study is not powered to report a difference in efficacy between groups based on infection outcomes. The registered trial is described as a Phase II feasibility study, the primary endpoint for which is the proportion of patients remaining alive on assigned study treatment at the end of 12 months.</w:t>
      </w:r>
      <w:r w:rsidR="00A070E8">
        <w:t xml:space="preserve">The NBA advised that the purpose of this trial is to inform the sample size needed for a Phase III study </w:t>
      </w:r>
      <w:r w:rsidR="00A070E8">
        <w:rPr>
          <w:rFonts w:eastAsia="Calibri" w:cs="Arial"/>
        </w:rPr>
        <w:t>powered to report</w:t>
      </w:r>
      <w:r w:rsidR="00A070E8" w:rsidRPr="00A67565">
        <w:rPr>
          <w:rFonts w:eastAsia="Calibri" w:cs="Arial"/>
        </w:rPr>
        <w:t xml:space="preserve"> infection as the primary outcome and adverse events of Ig</w:t>
      </w:r>
      <w:r w:rsidR="00B17280">
        <w:rPr>
          <w:rFonts w:eastAsia="Calibri" w:cs="Arial"/>
        </w:rPr>
        <w:t>G compared with</w:t>
      </w:r>
      <w:r w:rsidR="00A070E8" w:rsidRPr="00A67565">
        <w:rPr>
          <w:rFonts w:eastAsia="Calibri" w:cs="Arial"/>
        </w:rPr>
        <w:t xml:space="preserve"> antibiotics in this population</w:t>
      </w:r>
      <w:r w:rsidR="00A070E8">
        <w:t xml:space="preserve">. </w:t>
      </w:r>
    </w:p>
    <w:p w14:paraId="73E5F9CA" w14:textId="75DB9DD0" w:rsidR="004A2D8B" w:rsidRPr="007D0AA8" w:rsidRDefault="004A2D8B" w:rsidP="00387AB6">
      <w:r>
        <w:t>Given that infections incidence was quite variable between studies, no conclusions could be drawn regarding different approac</w:t>
      </w:r>
      <w:r w:rsidR="0046676A">
        <w:t>hes to dose level, frequency or duration</w:t>
      </w:r>
      <w:r>
        <w:t xml:space="preserve">. These aspects of the evidence have not been discussed in detail with the results in B.6. Thus, details </w:t>
      </w:r>
      <w:r w:rsidR="0046676A">
        <w:t>dosing and duration for</w:t>
      </w:r>
      <w:r>
        <w:t xml:space="preserve"> each of the studies are included in the</w:t>
      </w:r>
      <w:r w:rsidRPr="007D0AA8">
        <w:t xml:space="preserve"> overview of the included studies in </w:t>
      </w:r>
      <w:r w:rsidR="00505FCE">
        <w:fldChar w:fldCharType="begin"/>
      </w:r>
      <w:r w:rsidR="00505FCE">
        <w:instrText xml:space="preserve"> REF _Ref15306456 \h </w:instrText>
      </w:r>
      <w:r w:rsidR="00505FCE">
        <w:fldChar w:fldCharType="separate"/>
      </w:r>
      <w:r w:rsidR="00A7463B" w:rsidRPr="00386411">
        <w:t xml:space="preserve">Table </w:t>
      </w:r>
      <w:r w:rsidR="00A7463B">
        <w:rPr>
          <w:noProof/>
        </w:rPr>
        <w:t>15</w:t>
      </w:r>
      <w:r w:rsidR="00505FCE">
        <w:fldChar w:fldCharType="end"/>
      </w:r>
      <w:r w:rsidR="00505FCE">
        <w:t xml:space="preserve"> </w:t>
      </w:r>
      <w:r>
        <w:t>for reference</w:t>
      </w:r>
      <w:r w:rsidRPr="007D0AA8">
        <w:t>.</w:t>
      </w:r>
    </w:p>
    <w:p w14:paraId="54BD2541" w14:textId="4D798069" w:rsidR="003E1557" w:rsidRPr="00386411" w:rsidRDefault="003E1557" w:rsidP="00D52480">
      <w:pPr>
        <w:spacing w:before="240"/>
        <w:rPr>
          <w:b/>
        </w:rPr>
      </w:pPr>
    </w:p>
    <w:p w14:paraId="33D87256" w14:textId="77777777" w:rsidR="00AE4873" w:rsidRPr="00AE4873" w:rsidRDefault="00AE4873" w:rsidP="00DB3295">
      <w:pPr>
        <w:pStyle w:val="Caption"/>
        <w:sectPr w:rsidR="00AE4873" w:rsidRPr="00AE4873" w:rsidSect="0080059D">
          <w:headerReference w:type="even" r:id="rId27"/>
          <w:headerReference w:type="default" r:id="rId28"/>
          <w:headerReference w:type="first" r:id="rId29"/>
          <w:pgSz w:w="11906" w:h="16838"/>
          <w:pgMar w:top="1440" w:right="1440" w:bottom="1440" w:left="1440" w:header="720" w:footer="720" w:gutter="0"/>
          <w:paperSrc w:first="2" w:other="2"/>
          <w:cols w:space="720"/>
        </w:sectPr>
      </w:pPr>
      <w:bookmarkStart w:id="248" w:name="_Ref399236533"/>
    </w:p>
    <w:p w14:paraId="1EDF9553" w14:textId="77777777" w:rsidR="00AE4873" w:rsidRPr="00AE4873" w:rsidRDefault="00AE4873" w:rsidP="00097820">
      <w:pPr>
        <w:pStyle w:val="Caption"/>
        <w:spacing w:after="0"/>
        <w:rPr>
          <w:sz w:val="4"/>
          <w:szCs w:val="4"/>
        </w:rPr>
      </w:pPr>
      <w:bookmarkStart w:id="249" w:name="_Ref9247671"/>
      <w:bookmarkEnd w:id="248"/>
    </w:p>
    <w:p w14:paraId="7967FA75" w14:textId="5422396A" w:rsidR="00DB3295" w:rsidRPr="00386411" w:rsidRDefault="007623B8" w:rsidP="00DB3295">
      <w:pPr>
        <w:pStyle w:val="Caption"/>
        <w:rPr>
          <w:snapToGrid w:val="0"/>
          <w:lang w:eastAsia="en-US"/>
        </w:rPr>
      </w:pPr>
      <w:bookmarkStart w:id="250" w:name="_Ref15306456"/>
      <w:bookmarkStart w:id="251" w:name="_Toc14429558"/>
      <w:bookmarkStart w:id="252" w:name="_Toc16671613"/>
      <w:r w:rsidRPr="00386411">
        <w:t xml:space="preserve">Table </w:t>
      </w:r>
      <w:r w:rsidR="002E5B22" w:rsidRPr="00386411">
        <w:rPr>
          <w:noProof/>
        </w:rPr>
        <w:fldChar w:fldCharType="begin"/>
      </w:r>
      <w:r w:rsidR="002E5B22" w:rsidRPr="00386411">
        <w:rPr>
          <w:noProof/>
        </w:rPr>
        <w:instrText xml:space="preserve"> SEQ Table \* ARABIC </w:instrText>
      </w:r>
      <w:r w:rsidR="002E5B22" w:rsidRPr="00386411">
        <w:rPr>
          <w:noProof/>
        </w:rPr>
        <w:fldChar w:fldCharType="separate"/>
      </w:r>
      <w:r w:rsidR="00A7463B">
        <w:rPr>
          <w:noProof/>
        </w:rPr>
        <w:t>15</w:t>
      </w:r>
      <w:r w:rsidR="002E5B22" w:rsidRPr="00386411">
        <w:rPr>
          <w:noProof/>
        </w:rPr>
        <w:fldChar w:fldCharType="end"/>
      </w:r>
      <w:bookmarkEnd w:id="249"/>
      <w:bookmarkEnd w:id="250"/>
      <w:r w:rsidRPr="00386411">
        <w:tab/>
      </w:r>
      <w:r w:rsidR="00DB3295" w:rsidRPr="00386411">
        <w:rPr>
          <w:snapToGrid w:val="0"/>
          <w:lang w:eastAsia="en-US"/>
        </w:rPr>
        <w:t xml:space="preserve">Key features of the included </w:t>
      </w:r>
      <w:r w:rsidR="00A55BF9" w:rsidRPr="00386411">
        <w:rPr>
          <w:snapToGrid w:val="0"/>
          <w:lang w:eastAsia="en-US"/>
        </w:rPr>
        <w:t>studies</w:t>
      </w:r>
      <w:bookmarkEnd w:id="251"/>
      <w:bookmarkEnd w:id="252"/>
    </w:p>
    <w:tbl>
      <w:tblPr>
        <w:tblStyle w:val="TableGrid5"/>
        <w:tblW w:w="5000" w:type="pct"/>
        <w:tblLayout w:type="fixed"/>
        <w:tblLook w:val="04A0" w:firstRow="1" w:lastRow="0" w:firstColumn="1" w:lastColumn="0" w:noHBand="0" w:noVBand="1"/>
        <w:tblCaption w:val="Key features of the included studies"/>
      </w:tblPr>
      <w:tblGrid>
        <w:gridCol w:w="1442"/>
        <w:gridCol w:w="1088"/>
        <w:gridCol w:w="967"/>
        <w:gridCol w:w="964"/>
        <w:gridCol w:w="1690"/>
        <w:gridCol w:w="2251"/>
        <w:gridCol w:w="598"/>
        <w:gridCol w:w="1069"/>
        <w:gridCol w:w="3104"/>
        <w:gridCol w:w="1001"/>
      </w:tblGrid>
      <w:tr w:rsidR="0066133F" w:rsidRPr="00EA04CD" w14:paraId="2BD8BF34" w14:textId="77777777" w:rsidTr="00B1400F">
        <w:trPr>
          <w:tblHeader/>
        </w:trPr>
        <w:tc>
          <w:tcPr>
            <w:tcW w:w="509" w:type="pct"/>
          </w:tcPr>
          <w:p w14:paraId="231C43A8" w14:textId="77777777" w:rsidR="00FC28CC" w:rsidRPr="00EA04CD" w:rsidRDefault="00FC28CC" w:rsidP="00023D32">
            <w:pPr>
              <w:keepNext/>
              <w:spacing w:before="0" w:after="40" w:line="240" w:lineRule="auto"/>
              <w:rPr>
                <w:rFonts w:ascii="Arial Narrow" w:hAnsi="Arial Narrow"/>
                <w:b/>
                <w:sz w:val="20"/>
                <w:szCs w:val="20"/>
              </w:rPr>
            </w:pPr>
            <w:r w:rsidRPr="00EA04CD">
              <w:rPr>
                <w:rFonts w:ascii="Arial Narrow" w:hAnsi="Arial Narrow"/>
                <w:b/>
                <w:sz w:val="20"/>
                <w:szCs w:val="20"/>
              </w:rPr>
              <w:t>Study</w:t>
            </w:r>
          </w:p>
        </w:tc>
        <w:tc>
          <w:tcPr>
            <w:tcW w:w="384" w:type="pct"/>
          </w:tcPr>
          <w:p w14:paraId="0E5C3BEE" w14:textId="77777777" w:rsidR="00FC28CC" w:rsidRPr="00EA04CD" w:rsidRDefault="00FC28CC" w:rsidP="00023D32">
            <w:pPr>
              <w:keepNext/>
              <w:spacing w:before="0" w:after="40" w:line="240" w:lineRule="auto"/>
              <w:rPr>
                <w:rFonts w:ascii="Arial Narrow" w:hAnsi="Arial Narrow"/>
                <w:b/>
                <w:sz w:val="20"/>
                <w:szCs w:val="20"/>
              </w:rPr>
            </w:pPr>
            <w:r w:rsidRPr="00EA04CD">
              <w:rPr>
                <w:rFonts w:ascii="Arial Narrow" w:hAnsi="Arial Narrow"/>
                <w:b/>
                <w:sz w:val="20"/>
                <w:szCs w:val="20"/>
              </w:rPr>
              <w:t>Type</w:t>
            </w:r>
          </w:p>
        </w:tc>
        <w:tc>
          <w:tcPr>
            <w:tcW w:w="341" w:type="pct"/>
          </w:tcPr>
          <w:p w14:paraId="22B5069F" w14:textId="035EE824" w:rsidR="00100FAA" w:rsidRPr="00EA04CD" w:rsidRDefault="00100FAA" w:rsidP="00023D32">
            <w:pPr>
              <w:keepNext/>
              <w:spacing w:before="0" w:after="40" w:line="240" w:lineRule="auto"/>
              <w:rPr>
                <w:rFonts w:ascii="Arial Narrow" w:hAnsi="Arial Narrow"/>
                <w:b/>
                <w:sz w:val="20"/>
                <w:szCs w:val="20"/>
              </w:rPr>
            </w:pPr>
            <w:r w:rsidRPr="00EA04CD">
              <w:rPr>
                <w:rFonts w:ascii="Arial Narrow" w:hAnsi="Arial Narrow"/>
                <w:b/>
                <w:sz w:val="20"/>
                <w:szCs w:val="20"/>
              </w:rPr>
              <w:t>Risk of Bias</w:t>
            </w:r>
          </w:p>
        </w:tc>
        <w:tc>
          <w:tcPr>
            <w:tcW w:w="340" w:type="pct"/>
          </w:tcPr>
          <w:p w14:paraId="0373E046" w14:textId="7E587608" w:rsidR="00FC28CC" w:rsidRPr="00EA04CD" w:rsidRDefault="00FC28CC" w:rsidP="00023D32">
            <w:pPr>
              <w:keepNext/>
              <w:spacing w:before="0" w:after="40" w:line="240" w:lineRule="auto"/>
              <w:rPr>
                <w:rFonts w:ascii="Arial Narrow" w:hAnsi="Arial Narrow"/>
                <w:b/>
                <w:sz w:val="20"/>
                <w:szCs w:val="20"/>
              </w:rPr>
            </w:pPr>
            <w:r w:rsidRPr="00EA04CD">
              <w:rPr>
                <w:rFonts w:ascii="Arial Narrow" w:hAnsi="Arial Narrow"/>
                <w:b/>
                <w:sz w:val="20"/>
                <w:szCs w:val="20"/>
              </w:rPr>
              <w:t>N</w:t>
            </w:r>
          </w:p>
        </w:tc>
        <w:tc>
          <w:tcPr>
            <w:tcW w:w="596" w:type="pct"/>
          </w:tcPr>
          <w:p w14:paraId="0F6F837F" w14:textId="77777777" w:rsidR="00FC28CC" w:rsidRPr="00EA04CD" w:rsidRDefault="00FC28CC" w:rsidP="00023D32">
            <w:pPr>
              <w:keepNext/>
              <w:spacing w:before="0" w:after="40" w:line="240" w:lineRule="auto"/>
              <w:rPr>
                <w:rFonts w:ascii="Arial Narrow" w:hAnsi="Arial Narrow"/>
                <w:b/>
                <w:sz w:val="20"/>
                <w:szCs w:val="20"/>
              </w:rPr>
            </w:pPr>
            <w:r w:rsidRPr="00EA04CD">
              <w:rPr>
                <w:rFonts w:ascii="Arial Narrow" w:hAnsi="Arial Narrow"/>
                <w:b/>
                <w:sz w:val="20"/>
                <w:szCs w:val="20"/>
              </w:rPr>
              <w:t>Patients</w:t>
            </w:r>
          </w:p>
        </w:tc>
        <w:tc>
          <w:tcPr>
            <w:tcW w:w="794" w:type="pct"/>
          </w:tcPr>
          <w:p w14:paraId="4D6C3BD6" w14:textId="77777777" w:rsidR="00FC28CC" w:rsidRPr="00EA04CD" w:rsidRDefault="00FC28CC" w:rsidP="00023D32">
            <w:pPr>
              <w:keepNext/>
              <w:spacing w:before="0" w:after="40" w:line="240" w:lineRule="auto"/>
              <w:rPr>
                <w:rFonts w:ascii="Arial Narrow" w:hAnsi="Arial Narrow"/>
                <w:b/>
                <w:sz w:val="20"/>
                <w:szCs w:val="20"/>
              </w:rPr>
            </w:pPr>
            <w:r w:rsidRPr="00EA04CD">
              <w:rPr>
                <w:rFonts w:ascii="Arial Narrow" w:hAnsi="Arial Narrow"/>
                <w:b/>
                <w:sz w:val="20"/>
                <w:szCs w:val="20"/>
              </w:rPr>
              <w:t>Dosing</w:t>
            </w:r>
          </w:p>
        </w:tc>
        <w:tc>
          <w:tcPr>
            <w:tcW w:w="588" w:type="pct"/>
            <w:gridSpan w:val="2"/>
          </w:tcPr>
          <w:p w14:paraId="4C405D0E" w14:textId="77777777" w:rsidR="00FC28CC" w:rsidRPr="00EA04CD" w:rsidRDefault="00FC28CC" w:rsidP="00023D32">
            <w:pPr>
              <w:keepNext/>
              <w:spacing w:before="0" w:after="40" w:line="240" w:lineRule="auto"/>
              <w:rPr>
                <w:rFonts w:ascii="Arial Narrow" w:hAnsi="Arial Narrow"/>
                <w:b/>
                <w:sz w:val="20"/>
                <w:szCs w:val="20"/>
              </w:rPr>
            </w:pPr>
            <w:r w:rsidRPr="00EA04CD">
              <w:rPr>
                <w:rFonts w:ascii="Arial Narrow" w:hAnsi="Arial Narrow"/>
                <w:b/>
                <w:sz w:val="20"/>
                <w:szCs w:val="20"/>
              </w:rPr>
              <w:t>Tx duration</w:t>
            </w:r>
          </w:p>
        </w:tc>
        <w:tc>
          <w:tcPr>
            <w:tcW w:w="1095" w:type="pct"/>
          </w:tcPr>
          <w:p w14:paraId="5C3EB388" w14:textId="77777777" w:rsidR="00FC28CC" w:rsidRPr="00EA04CD" w:rsidRDefault="00FC28CC" w:rsidP="00023D32">
            <w:pPr>
              <w:keepNext/>
              <w:spacing w:before="0" w:after="40" w:line="240" w:lineRule="auto"/>
              <w:rPr>
                <w:rFonts w:ascii="Arial Narrow" w:hAnsi="Arial Narrow"/>
                <w:b/>
                <w:sz w:val="20"/>
                <w:szCs w:val="20"/>
              </w:rPr>
            </w:pPr>
            <w:r w:rsidRPr="00EA04CD">
              <w:rPr>
                <w:rFonts w:ascii="Arial Narrow" w:hAnsi="Arial Narrow"/>
                <w:b/>
                <w:sz w:val="20"/>
                <w:szCs w:val="20"/>
              </w:rPr>
              <w:t>Outcomes</w:t>
            </w:r>
          </w:p>
        </w:tc>
        <w:tc>
          <w:tcPr>
            <w:tcW w:w="353" w:type="pct"/>
          </w:tcPr>
          <w:p w14:paraId="6C7A5340" w14:textId="38610A63" w:rsidR="00FC28CC" w:rsidRPr="00EA04CD" w:rsidRDefault="003B1858" w:rsidP="00023D32">
            <w:pPr>
              <w:keepNext/>
              <w:spacing w:before="0" w:after="40" w:line="240" w:lineRule="auto"/>
              <w:rPr>
                <w:rFonts w:ascii="Arial Narrow" w:hAnsi="Arial Narrow"/>
                <w:b/>
                <w:sz w:val="20"/>
                <w:szCs w:val="20"/>
              </w:rPr>
            </w:pPr>
            <w:r w:rsidRPr="00EA04CD">
              <w:rPr>
                <w:rFonts w:ascii="Arial Narrow" w:hAnsi="Arial Narrow"/>
                <w:b/>
                <w:sz w:val="20"/>
                <w:szCs w:val="20"/>
              </w:rPr>
              <w:t>Favours IgG?</w:t>
            </w:r>
          </w:p>
        </w:tc>
      </w:tr>
      <w:tr w:rsidR="0086413E" w:rsidRPr="00EA04CD" w14:paraId="209D69C5" w14:textId="77777777" w:rsidTr="00B1400F">
        <w:tc>
          <w:tcPr>
            <w:tcW w:w="5000" w:type="pct"/>
            <w:gridSpan w:val="10"/>
            <w:shd w:val="clear" w:color="auto" w:fill="000000" w:themeFill="text1"/>
          </w:tcPr>
          <w:p w14:paraId="4712358E" w14:textId="266026F3" w:rsidR="0086413E" w:rsidRPr="00EA04CD" w:rsidRDefault="0086413E" w:rsidP="0066133F">
            <w:pPr>
              <w:keepNext/>
              <w:spacing w:after="40" w:line="240" w:lineRule="auto"/>
              <w:rPr>
                <w:rFonts w:ascii="Arial Narrow" w:hAnsi="Arial Narrow"/>
                <w:b/>
                <w:color w:val="FFFFFF" w:themeColor="background1"/>
                <w:sz w:val="20"/>
                <w:szCs w:val="20"/>
              </w:rPr>
            </w:pPr>
            <w:r w:rsidRPr="00EA04CD">
              <w:rPr>
                <w:rFonts w:ascii="Arial Narrow" w:hAnsi="Arial Narrow"/>
                <w:b/>
                <w:color w:val="FFFFFF" w:themeColor="background1"/>
                <w:sz w:val="20"/>
                <w:szCs w:val="20"/>
              </w:rPr>
              <w:t>R</w:t>
            </w:r>
            <w:r w:rsidR="0066133F" w:rsidRPr="00EA04CD">
              <w:rPr>
                <w:rFonts w:ascii="Arial Narrow" w:hAnsi="Arial Narrow"/>
                <w:b/>
                <w:color w:val="FFFFFF" w:themeColor="background1"/>
                <w:sz w:val="20"/>
                <w:szCs w:val="20"/>
              </w:rPr>
              <w:t xml:space="preserve">andomised studies </w:t>
            </w:r>
            <w:r w:rsidRPr="00EA04CD">
              <w:rPr>
                <w:rFonts w:ascii="Arial Narrow" w:hAnsi="Arial Narrow"/>
                <w:b/>
                <w:color w:val="FFFFFF" w:themeColor="background1"/>
                <w:sz w:val="20"/>
                <w:szCs w:val="20"/>
              </w:rPr>
              <w:t xml:space="preserve"> – IVIg vs No IVIg</w:t>
            </w:r>
          </w:p>
        </w:tc>
      </w:tr>
      <w:tr w:rsidR="001671CA" w:rsidRPr="00EA04CD" w14:paraId="5ECBD2F9" w14:textId="77777777" w:rsidTr="00B1400F">
        <w:tc>
          <w:tcPr>
            <w:tcW w:w="509" w:type="pct"/>
          </w:tcPr>
          <w:p w14:paraId="06BB7EB3" w14:textId="50A7649A" w:rsidR="001671CA" w:rsidRPr="00EA04CD" w:rsidRDefault="001671CA"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Boughton et al., 1995</w:t>
            </w:r>
          </w:p>
        </w:tc>
        <w:tc>
          <w:tcPr>
            <w:tcW w:w="384" w:type="pct"/>
          </w:tcPr>
          <w:p w14:paraId="61F85C03" w14:textId="40CB46F4" w:rsidR="001671CA" w:rsidRPr="00EA04CD" w:rsidRDefault="001671CA"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RCT</w:t>
            </w:r>
          </w:p>
        </w:tc>
        <w:tc>
          <w:tcPr>
            <w:tcW w:w="341" w:type="pct"/>
          </w:tcPr>
          <w:p w14:paraId="0FEEC7C5" w14:textId="0D08DF9F" w:rsidR="001671CA" w:rsidRPr="00EA04CD" w:rsidRDefault="001671CA"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 xml:space="preserve">RoB: </w:t>
            </w:r>
            <w:r w:rsidR="00A63715" w:rsidRPr="00EA04CD">
              <w:rPr>
                <w:rFonts w:ascii="Arial Narrow" w:hAnsi="Arial Narrow"/>
                <w:sz w:val="20"/>
                <w:szCs w:val="20"/>
              </w:rPr>
              <w:t>moderate</w:t>
            </w:r>
            <w:r w:rsidRPr="00EA04CD">
              <w:rPr>
                <w:rFonts w:ascii="Arial Narrow" w:hAnsi="Arial Narrow"/>
                <w:sz w:val="20"/>
                <w:szCs w:val="20"/>
              </w:rPr>
              <w:t xml:space="preserve"> (SIGN)</w:t>
            </w:r>
          </w:p>
        </w:tc>
        <w:tc>
          <w:tcPr>
            <w:tcW w:w="340" w:type="pct"/>
          </w:tcPr>
          <w:p w14:paraId="56727A86" w14:textId="7FEE2324" w:rsidR="001671CA" w:rsidRPr="00EA04CD" w:rsidRDefault="001671CA"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N=42</w:t>
            </w:r>
          </w:p>
        </w:tc>
        <w:tc>
          <w:tcPr>
            <w:tcW w:w="596" w:type="pct"/>
          </w:tcPr>
          <w:p w14:paraId="00D35C19" w14:textId="6DC72A84" w:rsidR="001671CA" w:rsidRPr="00EA04CD" w:rsidRDefault="001671CA"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CLL</w:t>
            </w:r>
          </w:p>
        </w:tc>
        <w:tc>
          <w:tcPr>
            <w:tcW w:w="794" w:type="pct"/>
          </w:tcPr>
          <w:p w14:paraId="4780D065" w14:textId="0CB6EF56" w:rsidR="001671CA" w:rsidRPr="00EA04CD" w:rsidRDefault="001671CA"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18g total IVIg</w:t>
            </w:r>
            <w:r w:rsidRPr="00EA04CD">
              <w:rPr>
                <w:rFonts w:ascii="Arial Narrow" w:hAnsi="Arial Narrow"/>
                <w:sz w:val="20"/>
                <w:szCs w:val="20"/>
              </w:rPr>
              <w:br/>
              <w:t xml:space="preserve">3-weekly </w:t>
            </w:r>
            <w:r w:rsidRPr="00EA04CD">
              <w:rPr>
                <w:rFonts w:ascii="Arial Narrow" w:hAnsi="Arial Narrow"/>
                <w:sz w:val="20"/>
                <w:szCs w:val="20"/>
              </w:rPr>
              <w:br/>
              <w:t xml:space="preserve">12 months </w:t>
            </w:r>
          </w:p>
        </w:tc>
        <w:tc>
          <w:tcPr>
            <w:tcW w:w="588" w:type="pct"/>
            <w:gridSpan w:val="2"/>
          </w:tcPr>
          <w:p w14:paraId="33C79E11" w14:textId="61086093" w:rsidR="001671CA" w:rsidRPr="00EA04CD" w:rsidRDefault="001671CA"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12 month protocol</w:t>
            </w:r>
          </w:p>
        </w:tc>
        <w:tc>
          <w:tcPr>
            <w:tcW w:w="1095" w:type="pct"/>
          </w:tcPr>
          <w:p w14:paraId="0C07BC49" w14:textId="196DD94C" w:rsidR="001671CA" w:rsidRPr="00EA04CD" w:rsidRDefault="001671CA"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Infections, serious infections, tx outcome (&lt;3 infections [success] or ≥3 infections [failure])</w:t>
            </w:r>
          </w:p>
        </w:tc>
        <w:tc>
          <w:tcPr>
            <w:tcW w:w="353" w:type="pct"/>
          </w:tcPr>
          <w:p w14:paraId="1FCEE249" w14:textId="074A24AE" w:rsidR="001671CA" w:rsidRPr="00EA04CD" w:rsidRDefault="003B1858"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Yes</w:t>
            </w:r>
          </w:p>
        </w:tc>
      </w:tr>
      <w:tr w:rsidR="003B1858" w:rsidRPr="00EA04CD" w14:paraId="326B6FCA" w14:textId="77777777" w:rsidTr="00B1400F">
        <w:tc>
          <w:tcPr>
            <w:tcW w:w="509" w:type="pct"/>
          </w:tcPr>
          <w:p w14:paraId="2A47D7B8" w14:textId="0B7BF305" w:rsidR="003B1858" w:rsidRPr="00EA04CD" w:rsidRDefault="003B1858"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Chapel et al., 1991</w:t>
            </w:r>
          </w:p>
        </w:tc>
        <w:tc>
          <w:tcPr>
            <w:tcW w:w="384" w:type="pct"/>
          </w:tcPr>
          <w:p w14:paraId="212B6871" w14:textId="2D26D09F" w:rsidR="003B1858" w:rsidRPr="00EA04CD" w:rsidRDefault="003B1858"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RCT cross-over</w:t>
            </w:r>
          </w:p>
        </w:tc>
        <w:tc>
          <w:tcPr>
            <w:tcW w:w="341" w:type="pct"/>
          </w:tcPr>
          <w:p w14:paraId="19526C2D" w14:textId="451E3A61" w:rsidR="003B1858" w:rsidRPr="00EA04CD" w:rsidRDefault="003B1858"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RoB: low (SIGN)</w:t>
            </w:r>
          </w:p>
        </w:tc>
        <w:tc>
          <w:tcPr>
            <w:tcW w:w="340" w:type="pct"/>
          </w:tcPr>
          <w:p w14:paraId="0A0CCBE0" w14:textId="33B2742E" w:rsidR="003B1858" w:rsidRPr="00EA04CD" w:rsidRDefault="003B1858"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N=12</w:t>
            </w:r>
          </w:p>
        </w:tc>
        <w:tc>
          <w:tcPr>
            <w:tcW w:w="596" w:type="pct"/>
          </w:tcPr>
          <w:p w14:paraId="27F5F577" w14:textId="601FD37D" w:rsidR="003B1858" w:rsidRPr="00EA04CD" w:rsidRDefault="003B1858"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CLL, NHL (separate numbers not given)</w:t>
            </w:r>
          </w:p>
        </w:tc>
        <w:tc>
          <w:tcPr>
            <w:tcW w:w="794" w:type="pct"/>
          </w:tcPr>
          <w:p w14:paraId="21D6ACB3" w14:textId="400146E4" w:rsidR="003B1858" w:rsidRPr="00EA04CD" w:rsidRDefault="003B1858"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400 mg/kg IVIg</w:t>
            </w:r>
            <w:r w:rsidRPr="00EA04CD">
              <w:rPr>
                <w:rFonts w:ascii="Arial Narrow" w:hAnsi="Arial Narrow"/>
                <w:sz w:val="20"/>
                <w:szCs w:val="20"/>
              </w:rPr>
              <w:br/>
              <w:t>3-week</w:t>
            </w:r>
            <w:r w:rsidRPr="00EA04CD">
              <w:rPr>
                <w:rFonts w:ascii="Arial Narrow" w:hAnsi="Arial Narrow"/>
                <w:sz w:val="20"/>
                <w:szCs w:val="20"/>
              </w:rPr>
              <w:br/>
              <w:t>12 mo tx in 24 mo study</w:t>
            </w:r>
          </w:p>
        </w:tc>
        <w:tc>
          <w:tcPr>
            <w:tcW w:w="588" w:type="pct"/>
            <w:gridSpan w:val="2"/>
          </w:tcPr>
          <w:p w14:paraId="43AC1A08" w14:textId="0C096290" w:rsidR="003B1858" w:rsidRPr="00EA04CD" w:rsidRDefault="003B1858"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12+12 mo crossover</w:t>
            </w:r>
          </w:p>
        </w:tc>
        <w:tc>
          <w:tcPr>
            <w:tcW w:w="1095" w:type="pct"/>
          </w:tcPr>
          <w:p w14:paraId="3C6F77ED" w14:textId="5F16D799" w:rsidR="003B1858" w:rsidRPr="00EA04CD" w:rsidRDefault="003B1858"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Incidence of infections.</w:t>
            </w:r>
          </w:p>
        </w:tc>
        <w:tc>
          <w:tcPr>
            <w:tcW w:w="353" w:type="pct"/>
          </w:tcPr>
          <w:p w14:paraId="1B58A2D4" w14:textId="4F84325F" w:rsidR="003B1858" w:rsidRPr="00EA04CD" w:rsidRDefault="003B1858" w:rsidP="00F814DE">
            <w:pPr>
              <w:spacing w:before="0" w:after="20" w:line="240" w:lineRule="auto"/>
              <w:ind w:left="-57"/>
              <w:jc w:val="left"/>
              <w:rPr>
                <w:rFonts w:ascii="Arial Narrow" w:hAnsi="Arial Narrow"/>
                <w:sz w:val="20"/>
                <w:szCs w:val="20"/>
                <w:highlight w:val="yellow"/>
              </w:rPr>
            </w:pPr>
            <w:r w:rsidRPr="00EA04CD">
              <w:rPr>
                <w:rFonts w:ascii="Arial Narrow" w:hAnsi="Arial Narrow"/>
                <w:sz w:val="20"/>
                <w:szCs w:val="20"/>
              </w:rPr>
              <w:t>Yes</w:t>
            </w:r>
          </w:p>
        </w:tc>
      </w:tr>
      <w:tr w:rsidR="003B1858" w:rsidRPr="00EA04CD" w14:paraId="40A8EB3E" w14:textId="77777777" w:rsidTr="00B1400F">
        <w:tc>
          <w:tcPr>
            <w:tcW w:w="509" w:type="pct"/>
          </w:tcPr>
          <w:p w14:paraId="3DF9BAC8" w14:textId="78FB26B4" w:rsidR="003B1858" w:rsidRPr="00EA04CD" w:rsidRDefault="003B1858"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Chapel et al., 1994</w:t>
            </w:r>
          </w:p>
        </w:tc>
        <w:tc>
          <w:tcPr>
            <w:tcW w:w="384" w:type="pct"/>
          </w:tcPr>
          <w:p w14:paraId="307F519D" w14:textId="5608B3A9" w:rsidR="003B1858" w:rsidRPr="00EA04CD" w:rsidRDefault="003B1858"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RCT</w:t>
            </w:r>
          </w:p>
        </w:tc>
        <w:tc>
          <w:tcPr>
            <w:tcW w:w="341" w:type="pct"/>
          </w:tcPr>
          <w:p w14:paraId="1F6ACE67" w14:textId="1639DE37" w:rsidR="003B1858" w:rsidRPr="00EA04CD" w:rsidRDefault="003B1858"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RoB: low (SIGN)</w:t>
            </w:r>
          </w:p>
        </w:tc>
        <w:tc>
          <w:tcPr>
            <w:tcW w:w="340" w:type="pct"/>
          </w:tcPr>
          <w:p w14:paraId="5F7CFB24" w14:textId="26E1465E" w:rsidR="003B1858" w:rsidRPr="00EA04CD" w:rsidRDefault="003B1858"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N=83</w:t>
            </w:r>
          </w:p>
        </w:tc>
        <w:tc>
          <w:tcPr>
            <w:tcW w:w="596" w:type="pct"/>
          </w:tcPr>
          <w:p w14:paraId="58BB76FB" w14:textId="2B55542C" w:rsidR="003B1858" w:rsidRPr="00EA04CD" w:rsidRDefault="003B1858"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MM</w:t>
            </w:r>
          </w:p>
        </w:tc>
        <w:tc>
          <w:tcPr>
            <w:tcW w:w="794" w:type="pct"/>
          </w:tcPr>
          <w:p w14:paraId="2AD07265" w14:textId="038AF587" w:rsidR="003B1858" w:rsidRPr="00EA04CD" w:rsidRDefault="003B1858"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400mg/kg IVIg</w:t>
            </w:r>
            <w:r w:rsidRPr="00EA04CD">
              <w:rPr>
                <w:rFonts w:ascii="Arial Narrow" w:hAnsi="Arial Narrow"/>
                <w:sz w:val="20"/>
                <w:szCs w:val="20"/>
              </w:rPr>
              <w:br/>
              <w:t>4-weekly</w:t>
            </w:r>
            <w:r w:rsidRPr="00EA04CD">
              <w:rPr>
                <w:rFonts w:ascii="Arial Narrow" w:hAnsi="Arial Narrow"/>
                <w:sz w:val="20"/>
                <w:szCs w:val="20"/>
              </w:rPr>
              <w:br/>
              <w:t>12 months</w:t>
            </w:r>
          </w:p>
        </w:tc>
        <w:tc>
          <w:tcPr>
            <w:tcW w:w="588" w:type="pct"/>
            <w:gridSpan w:val="2"/>
          </w:tcPr>
          <w:p w14:paraId="19C16629" w14:textId="04F9F1D8" w:rsidR="003B1858" w:rsidRPr="00EA04CD" w:rsidRDefault="003B1858"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12 month protocol</w:t>
            </w:r>
          </w:p>
        </w:tc>
        <w:tc>
          <w:tcPr>
            <w:tcW w:w="1095" w:type="pct"/>
          </w:tcPr>
          <w:p w14:paraId="2B78E1BA" w14:textId="03BFAEFC" w:rsidR="003B1858" w:rsidRPr="00EA04CD" w:rsidRDefault="003B1858"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Incidence and type of infections; adverse reactions including death; time to infection; infections in an immunised sub-set</w:t>
            </w:r>
          </w:p>
        </w:tc>
        <w:tc>
          <w:tcPr>
            <w:tcW w:w="353" w:type="pct"/>
          </w:tcPr>
          <w:p w14:paraId="57786433" w14:textId="2701D7CE" w:rsidR="003B1858" w:rsidRPr="00EA04CD" w:rsidRDefault="003B1858" w:rsidP="00F814DE">
            <w:pPr>
              <w:spacing w:before="0" w:after="20" w:line="240" w:lineRule="auto"/>
              <w:ind w:left="-57"/>
              <w:jc w:val="left"/>
              <w:rPr>
                <w:rFonts w:ascii="Arial Narrow" w:hAnsi="Arial Narrow"/>
                <w:sz w:val="20"/>
                <w:szCs w:val="20"/>
                <w:highlight w:val="yellow"/>
              </w:rPr>
            </w:pPr>
            <w:r w:rsidRPr="00EA04CD">
              <w:rPr>
                <w:rFonts w:ascii="Arial Narrow" w:hAnsi="Arial Narrow"/>
                <w:sz w:val="20"/>
                <w:szCs w:val="20"/>
              </w:rPr>
              <w:t>Yes</w:t>
            </w:r>
          </w:p>
        </w:tc>
      </w:tr>
      <w:tr w:rsidR="00A63715" w:rsidRPr="00EA04CD" w14:paraId="12DF1228" w14:textId="77777777" w:rsidTr="00B1400F">
        <w:tc>
          <w:tcPr>
            <w:tcW w:w="509" w:type="pct"/>
          </w:tcPr>
          <w:p w14:paraId="4139E0B4" w14:textId="27939139" w:rsidR="00A63715" w:rsidRPr="00EA04CD" w:rsidRDefault="00A63715" w:rsidP="00F814DE">
            <w:pPr>
              <w:spacing w:after="20" w:line="240" w:lineRule="auto"/>
              <w:ind w:left="-57"/>
              <w:jc w:val="left"/>
              <w:rPr>
                <w:rFonts w:ascii="Arial Narrow" w:hAnsi="Arial Narrow"/>
                <w:sz w:val="20"/>
                <w:szCs w:val="20"/>
              </w:rPr>
            </w:pPr>
            <w:r w:rsidRPr="00EA04CD">
              <w:rPr>
                <w:rFonts w:ascii="Arial Narrow" w:hAnsi="Arial Narrow"/>
                <w:sz w:val="20"/>
                <w:szCs w:val="20"/>
              </w:rPr>
              <w:t>Kobayashi et al., 2014</w:t>
            </w:r>
          </w:p>
        </w:tc>
        <w:tc>
          <w:tcPr>
            <w:tcW w:w="384" w:type="pct"/>
          </w:tcPr>
          <w:p w14:paraId="646E4091" w14:textId="633705C8" w:rsidR="00A63715" w:rsidRPr="00EA04CD" w:rsidRDefault="00A63715" w:rsidP="00F814DE">
            <w:pPr>
              <w:spacing w:after="20" w:line="240" w:lineRule="auto"/>
              <w:ind w:left="-57"/>
              <w:jc w:val="left"/>
              <w:rPr>
                <w:rFonts w:ascii="Arial Narrow" w:hAnsi="Arial Narrow"/>
                <w:sz w:val="20"/>
                <w:szCs w:val="20"/>
              </w:rPr>
            </w:pPr>
            <w:r w:rsidRPr="00EA04CD">
              <w:rPr>
                <w:rFonts w:ascii="Arial Narrow" w:hAnsi="Arial Narrow"/>
                <w:sz w:val="20"/>
                <w:szCs w:val="20"/>
              </w:rPr>
              <w:t>RCT</w:t>
            </w:r>
          </w:p>
        </w:tc>
        <w:tc>
          <w:tcPr>
            <w:tcW w:w="341" w:type="pct"/>
          </w:tcPr>
          <w:p w14:paraId="74AFF016" w14:textId="39D9503E" w:rsidR="00A63715" w:rsidRPr="00EA04CD" w:rsidRDefault="00A63715" w:rsidP="00F814DE">
            <w:pPr>
              <w:spacing w:after="20" w:line="240" w:lineRule="auto"/>
              <w:ind w:left="-57"/>
              <w:jc w:val="left"/>
              <w:rPr>
                <w:rFonts w:ascii="Arial Narrow" w:hAnsi="Arial Narrow"/>
                <w:sz w:val="20"/>
                <w:szCs w:val="20"/>
              </w:rPr>
            </w:pPr>
            <w:r w:rsidRPr="00EA04CD">
              <w:rPr>
                <w:rFonts w:ascii="Arial Narrow" w:hAnsi="Arial Narrow"/>
                <w:sz w:val="20"/>
                <w:szCs w:val="20"/>
              </w:rPr>
              <w:t xml:space="preserve">RoB: </w:t>
            </w:r>
            <w:r w:rsidR="0082005C" w:rsidRPr="00EA04CD">
              <w:rPr>
                <w:rFonts w:ascii="Arial Narrow" w:hAnsi="Arial Narrow"/>
                <w:sz w:val="20"/>
                <w:szCs w:val="20"/>
              </w:rPr>
              <w:t>low</w:t>
            </w:r>
            <w:r w:rsidRPr="00EA04CD">
              <w:rPr>
                <w:rFonts w:ascii="Arial Narrow" w:hAnsi="Arial Narrow"/>
                <w:sz w:val="20"/>
                <w:szCs w:val="20"/>
              </w:rPr>
              <w:t xml:space="preserve"> (SIGN)</w:t>
            </w:r>
          </w:p>
        </w:tc>
        <w:tc>
          <w:tcPr>
            <w:tcW w:w="340" w:type="pct"/>
          </w:tcPr>
          <w:p w14:paraId="1C9A6E09" w14:textId="164ABEF7" w:rsidR="00A63715" w:rsidRPr="00EA04CD" w:rsidRDefault="00A63715" w:rsidP="00F814DE">
            <w:pPr>
              <w:spacing w:after="20" w:line="240" w:lineRule="auto"/>
              <w:ind w:left="-57"/>
              <w:jc w:val="left"/>
              <w:rPr>
                <w:rFonts w:ascii="Arial Narrow" w:hAnsi="Arial Narrow"/>
                <w:sz w:val="20"/>
                <w:szCs w:val="20"/>
              </w:rPr>
            </w:pPr>
            <w:r w:rsidRPr="00EA04CD">
              <w:rPr>
                <w:rFonts w:ascii="Arial Narrow" w:hAnsi="Arial Narrow"/>
                <w:sz w:val="20"/>
                <w:szCs w:val="20"/>
              </w:rPr>
              <w:t>N=61</w:t>
            </w:r>
          </w:p>
        </w:tc>
        <w:tc>
          <w:tcPr>
            <w:tcW w:w="596" w:type="pct"/>
          </w:tcPr>
          <w:p w14:paraId="6B7C146D" w14:textId="1691F81E" w:rsidR="00A63715" w:rsidRPr="00EA04CD" w:rsidRDefault="00A63715" w:rsidP="00F814DE">
            <w:pPr>
              <w:spacing w:after="20" w:line="240" w:lineRule="auto"/>
              <w:ind w:left="-57"/>
              <w:jc w:val="left"/>
              <w:rPr>
                <w:rFonts w:ascii="Arial Narrow" w:hAnsi="Arial Narrow"/>
                <w:sz w:val="20"/>
                <w:szCs w:val="20"/>
              </w:rPr>
            </w:pPr>
            <w:r w:rsidRPr="00EA04CD">
              <w:rPr>
                <w:rFonts w:ascii="Arial Narrow" w:hAnsi="Arial Narrow"/>
                <w:sz w:val="20"/>
                <w:szCs w:val="20"/>
              </w:rPr>
              <w:t>ALL(34); AML(12); other leukaemia(2); NHL(2); solid tumours(11)</w:t>
            </w:r>
          </w:p>
        </w:tc>
        <w:tc>
          <w:tcPr>
            <w:tcW w:w="794" w:type="pct"/>
          </w:tcPr>
          <w:p w14:paraId="12288C8A" w14:textId="7C6B61EB" w:rsidR="00A63715" w:rsidRPr="00EA04CD" w:rsidRDefault="00A63715" w:rsidP="00F814DE">
            <w:pPr>
              <w:spacing w:after="20" w:line="240" w:lineRule="auto"/>
              <w:ind w:left="-57"/>
              <w:jc w:val="left"/>
              <w:rPr>
                <w:rFonts w:ascii="Arial Narrow" w:hAnsi="Arial Narrow"/>
                <w:sz w:val="20"/>
                <w:szCs w:val="20"/>
              </w:rPr>
            </w:pPr>
            <w:r w:rsidRPr="00EA04CD">
              <w:rPr>
                <w:rFonts w:ascii="Arial Narrow" w:hAnsi="Arial Narrow"/>
                <w:sz w:val="20"/>
                <w:szCs w:val="20"/>
              </w:rPr>
              <w:t>100 mg/kg per day (max 5g/day) for 72h</w:t>
            </w:r>
          </w:p>
        </w:tc>
        <w:tc>
          <w:tcPr>
            <w:tcW w:w="588" w:type="pct"/>
            <w:gridSpan w:val="2"/>
          </w:tcPr>
          <w:p w14:paraId="38A45630" w14:textId="104DD3B6" w:rsidR="00A63715" w:rsidRPr="00EA04CD" w:rsidRDefault="00A63715" w:rsidP="00F814DE">
            <w:pPr>
              <w:spacing w:after="20" w:line="240" w:lineRule="auto"/>
              <w:ind w:left="-57"/>
              <w:jc w:val="left"/>
              <w:rPr>
                <w:rFonts w:ascii="Arial Narrow" w:hAnsi="Arial Narrow"/>
                <w:sz w:val="20"/>
                <w:szCs w:val="20"/>
              </w:rPr>
            </w:pPr>
            <w:r w:rsidRPr="00EA04CD">
              <w:rPr>
                <w:rFonts w:ascii="Arial Narrow" w:hAnsi="Arial Narrow"/>
                <w:sz w:val="20"/>
                <w:szCs w:val="20"/>
              </w:rPr>
              <w:t>72h</w:t>
            </w:r>
          </w:p>
        </w:tc>
        <w:tc>
          <w:tcPr>
            <w:tcW w:w="1095" w:type="pct"/>
          </w:tcPr>
          <w:p w14:paraId="138B30EE" w14:textId="14BFA10C" w:rsidR="00A63715" w:rsidRPr="00EA04CD" w:rsidRDefault="00A63715" w:rsidP="00F814DE">
            <w:pPr>
              <w:spacing w:after="20" w:line="240" w:lineRule="auto"/>
              <w:ind w:left="-57"/>
              <w:jc w:val="left"/>
              <w:rPr>
                <w:rFonts w:ascii="Arial Narrow" w:hAnsi="Arial Narrow"/>
                <w:sz w:val="20"/>
                <w:szCs w:val="20"/>
              </w:rPr>
            </w:pPr>
            <w:r w:rsidRPr="00EA04CD">
              <w:rPr>
                <w:rFonts w:ascii="Arial Narrow" w:hAnsi="Arial Narrow"/>
                <w:sz w:val="20"/>
                <w:szCs w:val="20"/>
              </w:rPr>
              <w:t>Tx success/failure; adverse events; infection-related death</w:t>
            </w:r>
          </w:p>
        </w:tc>
        <w:tc>
          <w:tcPr>
            <w:tcW w:w="353" w:type="pct"/>
          </w:tcPr>
          <w:p w14:paraId="5DE0C47F" w14:textId="6E1353CF" w:rsidR="00A63715" w:rsidRPr="00EA04CD" w:rsidRDefault="00EA04CD" w:rsidP="00F814DE">
            <w:pPr>
              <w:spacing w:after="20" w:line="240" w:lineRule="auto"/>
              <w:ind w:left="-57"/>
              <w:jc w:val="left"/>
              <w:rPr>
                <w:rFonts w:ascii="Arial Narrow" w:hAnsi="Arial Narrow"/>
                <w:sz w:val="20"/>
                <w:szCs w:val="20"/>
              </w:rPr>
            </w:pPr>
            <w:r w:rsidRPr="00EA04CD">
              <w:rPr>
                <w:rFonts w:ascii="Arial Narrow" w:hAnsi="Arial Narrow"/>
                <w:sz w:val="20"/>
                <w:szCs w:val="20"/>
              </w:rPr>
              <w:t>Unclear</w:t>
            </w:r>
          </w:p>
        </w:tc>
      </w:tr>
      <w:tr w:rsidR="00A63715" w:rsidRPr="00EA04CD" w14:paraId="1EDB7BA1" w14:textId="77777777" w:rsidTr="00B1400F">
        <w:tc>
          <w:tcPr>
            <w:tcW w:w="509" w:type="pct"/>
          </w:tcPr>
          <w:p w14:paraId="72E20205" w14:textId="4BB9BB6A"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Molica et al., 1996</w:t>
            </w:r>
          </w:p>
        </w:tc>
        <w:tc>
          <w:tcPr>
            <w:tcW w:w="384" w:type="pct"/>
          </w:tcPr>
          <w:p w14:paraId="63745D2B" w14:textId="2F57AC19"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RCT cross-over</w:t>
            </w:r>
          </w:p>
        </w:tc>
        <w:tc>
          <w:tcPr>
            <w:tcW w:w="341" w:type="pct"/>
          </w:tcPr>
          <w:p w14:paraId="0227356F" w14:textId="3DBE0DCD"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RoB: moderate (SIGN)</w:t>
            </w:r>
          </w:p>
        </w:tc>
        <w:tc>
          <w:tcPr>
            <w:tcW w:w="340" w:type="pct"/>
          </w:tcPr>
          <w:p w14:paraId="35398BA3" w14:textId="517205B6"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N=42</w:t>
            </w:r>
          </w:p>
        </w:tc>
        <w:tc>
          <w:tcPr>
            <w:tcW w:w="596" w:type="pct"/>
          </w:tcPr>
          <w:p w14:paraId="7BAEBB6A" w14:textId="1E51EDA9"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CLL</w:t>
            </w:r>
          </w:p>
        </w:tc>
        <w:tc>
          <w:tcPr>
            <w:tcW w:w="794" w:type="pct"/>
          </w:tcPr>
          <w:p w14:paraId="7958C21F" w14:textId="48173E5E"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300mg/kg IVIg</w:t>
            </w:r>
            <w:r w:rsidRPr="00EA04CD">
              <w:rPr>
                <w:rFonts w:ascii="Arial Narrow" w:hAnsi="Arial Narrow"/>
                <w:sz w:val="20"/>
                <w:szCs w:val="20"/>
              </w:rPr>
              <w:br/>
              <w:t>4-weekly</w:t>
            </w:r>
            <w:r w:rsidRPr="00EA04CD">
              <w:rPr>
                <w:rFonts w:ascii="Arial Narrow" w:hAnsi="Arial Narrow"/>
                <w:sz w:val="20"/>
                <w:szCs w:val="20"/>
              </w:rPr>
              <w:br/>
              <w:t>6 months (+12+6 mo)</w:t>
            </w:r>
          </w:p>
        </w:tc>
        <w:tc>
          <w:tcPr>
            <w:tcW w:w="588" w:type="pct"/>
            <w:gridSpan w:val="2"/>
          </w:tcPr>
          <w:p w14:paraId="5D1C1FC3" w14:textId="3EC06B0C"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6+12+6 mo crossover</w:t>
            </w:r>
          </w:p>
        </w:tc>
        <w:tc>
          <w:tcPr>
            <w:tcW w:w="1095" w:type="pct"/>
          </w:tcPr>
          <w:p w14:paraId="1AFB6976" w14:textId="76D78F76"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Infections (incidence, type, severity)</w:t>
            </w:r>
          </w:p>
        </w:tc>
        <w:tc>
          <w:tcPr>
            <w:tcW w:w="353" w:type="pct"/>
          </w:tcPr>
          <w:p w14:paraId="3A09A3BE" w14:textId="4D4128F5" w:rsidR="00A63715" w:rsidRPr="00EA04CD" w:rsidRDefault="00A63715" w:rsidP="00F814DE">
            <w:pPr>
              <w:spacing w:before="0" w:after="20" w:line="240" w:lineRule="auto"/>
              <w:ind w:left="-57"/>
              <w:jc w:val="left"/>
              <w:rPr>
                <w:rFonts w:ascii="Arial Narrow" w:hAnsi="Arial Narrow"/>
                <w:sz w:val="20"/>
                <w:szCs w:val="20"/>
                <w:highlight w:val="yellow"/>
              </w:rPr>
            </w:pPr>
            <w:r w:rsidRPr="00EA04CD">
              <w:rPr>
                <w:rFonts w:ascii="Arial Narrow" w:hAnsi="Arial Narrow"/>
                <w:sz w:val="20"/>
                <w:szCs w:val="20"/>
              </w:rPr>
              <w:t>Yes</w:t>
            </w:r>
          </w:p>
        </w:tc>
      </w:tr>
      <w:tr w:rsidR="00A63715" w:rsidRPr="00EA04CD" w14:paraId="032A4B48" w14:textId="77777777" w:rsidTr="00B1400F">
        <w:tc>
          <w:tcPr>
            <w:tcW w:w="509" w:type="pct"/>
          </w:tcPr>
          <w:p w14:paraId="7429FDD1" w14:textId="51C755AB"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Musto et al., 1995</w:t>
            </w:r>
          </w:p>
        </w:tc>
        <w:tc>
          <w:tcPr>
            <w:tcW w:w="384" w:type="pct"/>
          </w:tcPr>
          <w:p w14:paraId="09FB1E96" w14:textId="672E63CD"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RCT cross-over</w:t>
            </w:r>
          </w:p>
        </w:tc>
        <w:tc>
          <w:tcPr>
            <w:tcW w:w="341" w:type="pct"/>
          </w:tcPr>
          <w:p w14:paraId="01D10416" w14:textId="6618435E"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 xml:space="preserve">RoB: </w:t>
            </w:r>
            <w:r w:rsidR="0005208E">
              <w:rPr>
                <w:rFonts w:ascii="Arial Narrow" w:hAnsi="Arial Narrow"/>
                <w:sz w:val="20"/>
                <w:szCs w:val="20"/>
              </w:rPr>
              <w:t>moderate</w:t>
            </w:r>
            <w:r w:rsidRPr="00EA04CD">
              <w:rPr>
                <w:rFonts w:ascii="Arial Narrow" w:hAnsi="Arial Narrow"/>
                <w:sz w:val="20"/>
                <w:szCs w:val="20"/>
              </w:rPr>
              <w:t xml:space="preserve"> (SIGN)</w:t>
            </w:r>
          </w:p>
        </w:tc>
        <w:tc>
          <w:tcPr>
            <w:tcW w:w="340" w:type="pct"/>
          </w:tcPr>
          <w:p w14:paraId="4A967E2F" w14:textId="79B791C6"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N=25</w:t>
            </w:r>
          </w:p>
        </w:tc>
        <w:tc>
          <w:tcPr>
            <w:tcW w:w="596" w:type="pct"/>
          </w:tcPr>
          <w:p w14:paraId="0A73A1C7" w14:textId="12606520"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MM</w:t>
            </w:r>
          </w:p>
        </w:tc>
        <w:tc>
          <w:tcPr>
            <w:tcW w:w="794" w:type="pct"/>
          </w:tcPr>
          <w:p w14:paraId="11120B77" w14:textId="17142A69"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300mg/kg IVIg</w:t>
            </w:r>
            <w:r w:rsidRPr="00EA04CD">
              <w:rPr>
                <w:rFonts w:ascii="Arial Narrow" w:hAnsi="Arial Narrow"/>
                <w:sz w:val="20"/>
                <w:szCs w:val="20"/>
              </w:rPr>
              <w:br/>
              <w:t>4-weekly</w:t>
            </w:r>
            <w:r w:rsidRPr="00EA04CD">
              <w:rPr>
                <w:rFonts w:ascii="Arial Narrow" w:hAnsi="Arial Narrow"/>
                <w:sz w:val="20"/>
                <w:szCs w:val="20"/>
              </w:rPr>
              <w:br/>
              <w:t>6 months (+12+6 mo)</w:t>
            </w:r>
          </w:p>
        </w:tc>
        <w:tc>
          <w:tcPr>
            <w:tcW w:w="588" w:type="pct"/>
            <w:gridSpan w:val="2"/>
          </w:tcPr>
          <w:p w14:paraId="7C4E823C" w14:textId="7BABB0F1"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6+12+6 mo crossover</w:t>
            </w:r>
          </w:p>
        </w:tc>
        <w:tc>
          <w:tcPr>
            <w:tcW w:w="1095" w:type="pct"/>
          </w:tcPr>
          <w:p w14:paraId="6AE725DD" w14:textId="04B0139A"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Minor infections; serious infections.</w:t>
            </w:r>
          </w:p>
        </w:tc>
        <w:tc>
          <w:tcPr>
            <w:tcW w:w="353" w:type="pct"/>
          </w:tcPr>
          <w:p w14:paraId="40A4890B" w14:textId="7605397A" w:rsidR="00A63715" w:rsidRPr="00EA04CD" w:rsidRDefault="00A63715" w:rsidP="00F814DE">
            <w:pPr>
              <w:spacing w:before="0" w:after="20" w:line="240" w:lineRule="auto"/>
              <w:ind w:left="-57"/>
              <w:jc w:val="left"/>
              <w:rPr>
                <w:rFonts w:ascii="Arial Narrow" w:hAnsi="Arial Narrow"/>
                <w:sz w:val="20"/>
                <w:szCs w:val="20"/>
                <w:highlight w:val="yellow"/>
              </w:rPr>
            </w:pPr>
            <w:r w:rsidRPr="00EA04CD">
              <w:rPr>
                <w:rFonts w:ascii="Arial Narrow" w:hAnsi="Arial Narrow"/>
                <w:sz w:val="20"/>
                <w:szCs w:val="20"/>
              </w:rPr>
              <w:t>Yes</w:t>
            </w:r>
          </w:p>
        </w:tc>
      </w:tr>
      <w:tr w:rsidR="00A63715" w:rsidRPr="00EA04CD" w14:paraId="2DB342DC" w14:textId="77777777" w:rsidTr="00B1400F">
        <w:tc>
          <w:tcPr>
            <w:tcW w:w="509" w:type="pct"/>
          </w:tcPr>
          <w:p w14:paraId="3B87B6B1" w14:textId="5B89AA0C"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Sullivan et al., 1990</w:t>
            </w:r>
          </w:p>
        </w:tc>
        <w:tc>
          <w:tcPr>
            <w:tcW w:w="384" w:type="pct"/>
          </w:tcPr>
          <w:p w14:paraId="6078784B" w14:textId="4B4D8126"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RCT</w:t>
            </w:r>
          </w:p>
        </w:tc>
        <w:tc>
          <w:tcPr>
            <w:tcW w:w="341" w:type="pct"/>
          </w:tcPr>
          <w:p w14:paraId="08ABC6D7" w14:textId="68D1C681"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RoB: low (SIGN)</w:t>
            </w:r>
          </w:p>
        </w:tc>
        <w:tc>
          <w:tcPr>
            <w:tcW w:w="340" w:type="pct"/>
          </w:tcPr>
          <w:p w14:paraId="40F7E7AB" w14:textId="77607321"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N=382 (369 evaluable)</w:t>
            </w:r>
          </w:p>
        </w:tc>
        <w:tc>
          <w:tcPr>
            <w:tcW w:w="596" w:type="pct"/>
          </w:tcPr>
          <w:p w14:paraId="017F627E" w14:textId="4A2DC182"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BMT</w:t>
            </w:r>
          </w:p>
        </w:tc>
        <w:tc>
          <w:tcPr>
            <w:tcW w:w="794" w:type="pct"/>
          </w:tcPr>
          <w:p w14:paraId="0EF2274F" w14:textId="58657044"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IVIg 500mg/kg weekly (d-7 to d90); then monthly to d360</w:t>
            </w:r>
          </w:p>
        </w:tc>
        <w:tc>
          <w:tcPr>
            <w:tcW w:w="588" w:type="pct"/>
            <w:gridSpan w:val="2"/>
          </w:tcPr>
          <w:p w14:paraId="7ADAC9A1" w14:textId="4690CAF4"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12 months protocol</w:t>
            </w:r>
          </w:p>
        </w:tc>
        <w:tc>
          <w:tcPr>
            <w:tcW w:w="1095" w:type="pct"/>
          </w:tcPr>
          <w:p w14:paraId="36761937" w14:textId="3BC6BBD9"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 xml:space="preserve">Acute GVHD, systemic infections, local infections, interstitial pneumonia, actuarial survival, non-relapse mortality. </w:t>
            </w:r>
          </w:p>
        </w:tc>
        <w:tc>
          <w:tcPr>
            <w:tcW w:w="353" w:type="pct"/>
          </w:tcPr>
          <w:p w14:paraId="6BB22E9E" w14:textId="6E7F3D2D" w:rsidR="00A63715" w:rsidRPr="00EA04CD" w:rsidRDefault="00A63715" w:rsidP="00F814DE">
            <w:pPr>
              <w:spacing w:before="0" w:after="20" w:line="240" w:lineRule="auto"/>
              <w:ind w:left="-57"/>
              <w:jc w:val="left"/>
              <w:rPr>
                <w:rFonts w:ascii="Arial Narrow" w:hAnsi="Arial Narrow"/>
                <w:sz w:val="20"/>
                <w:szCs w:val="20"/>
                <w:highlight w:val="yellow"/>
              </w:rPr>
            </w:pPr>
            <w:r w:rsidRPr="00EA04CD">
              <w:rPr>
                <w:rFonts w:ascii="Arial Narrow" w:hAnsi="Arial Narrow"/>
                <w:sz w:val="20"/>
                <w:szCs w:val="20"/>
              </w:rPr>
              <w:t>Yes</w:t>
            </w:r>
          </w:p>
        </w:tc>
      </w:tr>
      <w:tr w:rsidR="00A63715" w:rsidRPr="00EA04CD" w14:paraId="5A2917D4" w14:textId="77777777" w:rsidTr="00B1400F">
        <w:tc>
          <w:tcPr>
            <w:tcW w:w="5000" w:type="pct"/>
            <w:gridSpan w:val="10"/>
            <w:shd w:val="clear" w:color="auto" w:fill="000000" w:themeFill="text1"/>
          </w:tcPr>
          <w:p w14:paraId="6E6CACAB" w14:textId="583E03BC" w:rsidR="00A63715" w:rsidRPr="00EA04CD" w:rsidRDefault="00A63715" w:rsidP="00A63715">
            <w:pPr>
              <w:keepNext/>
              <w:spacing w:after="40" w:line="240" w:lineRule="auto"/>
              <w:rPr>
                <w:rFonts w:ascii="Arial Narrow" w:hAnsi="Arial Narrow"/>
                <w:b/>
                <w:color w:val="FFFFFF" w:themeColor="background1"/>
                <w:sz w:val="20"/>
                <w:szCs w:val="20"/>
              </w:rPr>
            </w:pPr>
            <w:r w:rsidRPr="00EA04CD">
              <w:rPr>
                <w:rFonts w:ascii="Arial Narrow" w:hAnsi="Arial Narrow"/>
                <w:b/>
                <w:color w:val="FFFFFF" w:themeColor="background1"/>
                <w:sz w:val="20"/>
                <w:szCs w:val="20"/>
              </w:rPr>
              <w:t>Randomised studies – SCIg vs No SCIg</w:t>
            </w:r>
          </w:p>
        </w:tc>
      </w:tr>
      <w:tr w:rsidR="00A63715" w:rsidRPr="00EA04CD" w14:paraId="7C6E1488" w14:textId="77777777" w:rsidTr="00B1400F">
        <w:tc>
          <w:tcPr>
            <w:tcW w:w="509" w:type="pct"/>
          </w:tcPr>
          <w:p w14:paraId="7583F5A8"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Vacca et al., 2018</w:t>
            </w:r>
          </w:p>
        </w:tc>
        <w:tc>
          <w:tcPr>
            <w:tcW w:w="384" w:type="pct"/>
          </w:tcPr>
          <w:p w14:paraId="62741F79"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RCT</w:t>
            </w:r>
          </w:p>
        </w:tc>
        <w:tc>
          <w:tcPr>
            <w:tcW w:w="341" w:type="pct"/>
          </w:tcPr>
          <w:p w14:paraId="1BE83F19" w14:textId="6C78C200"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RoB: low (SIGN)</w:t>
            </w:r>
          </w:p>
        </w:tc>
        <w:tc>
          <w:tcPr>
            <w:tcW w:w="340" w:type="pct"/>
          </w:tcPr>
          <w:p w14:paraId="37C96944"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N=46</w:t>
            </w:r>
          </w:p>
        </w:tc>
        <w:tc>
          <w:tcPr>
            <w:tcW w:w="596" w:type="pct"/>
          </w:tcPr>
          <w:p w14:paraId="44D81E9C"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MM</w:t>
            </w:r>
          </w:p>
        </w:tc>
        <w:tc>
          <w:tcPr>
            <w:tcW w:w="794" w:type="pct"/>
          </w:tcPr>
          <w:p w14:paraId="321B1666"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SCIg: 0.4-0.8 g/kg/month</w:t>
            </w:r>
          </w:p>
          <w:p w14:paraId="543704B8"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Mean dose 80mg/kg/week</w:t>
            </w:r>
          </w:p>
        </w:tc>
        <w:tc>
          <w:tcPr>
            <w:tcW w:w="588" w:type="pct"/>
            <w:gridSpan w:val="2"/>
          </w:tcPr>
          <w:p w14:paraId="5DBCF37D"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6 mo initial tx</w:t>
            </w:r>
          </w:p>
          <w:p w14:paraId="34D5EAC9" w14:textId="2D9A775C"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mean duration tx 18 mo (range 10–28)</w:t>
            </w:r>
          </w:p>
        </w:tc>
        <w:tc>
          <w:tcPr>
            <w:tcW w:w="1095" w:type="pct"/>
          </w:tcPr>
          <w:p w14:paraId="0D9CFBD6" w14:textId="713E365B"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Annual rate of severe infections; days of hospitalisation due to severe infections; days of treatment with antibiotics; improvement of HRQoL (SF-36).</w:t>
            </w:r>
          </w:p>
          <w:p w14:paraId="5A75F9E9"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AEs were reported though not defined as an endpoint.</w:t>
            </w:r>
          </w:p>
        </w:tc>
        <w:tc>
          <w:tcPr>
            <w:tcW w:w="353" w:type="pct"/>
          </w:tcPr>
          <w:p w14:paraId="7B01502F" w14:textId="3A66E340" w:rsidR="00A63715" w:rsidRPr="00EA04CD" w:rsidRDefault="00A63715" w:rsidP="00F814DE">
            <w:pPr>
              <w:spacing w:before="0" w:after="20" w:line="240" w:lineRule="auto"/>
              <w:ind w:left="-57"/>
              <w:jc w:val="left"/>
              <w:rPr>
                <w:rFonts w:ascii="Arial Narrow" w:hAnsi="Arial Narrow"/>
                <w:sz w:val="20"/>
                <w:szCs w:val="20"/>
                <w:highlight w:val="yellow"/>
              </w:rPr>
            </w:pPr>
            <w:r w:rsidRPr="00EA04CD">
              <w:rPr>
                <w:rFonts w:ascii="Arial Narrow" w:hAnsi="Arial Narrow"/>
                <w:sz w:val="20"/>
                <w:szCs w:val="20"/>
              </w:rPr>
              <w:t>Yes</w:t>
            </w:r>
          </w:p>
        </w:tc>
      </w:tr>
      <w:tr w:rsidR="00A63715" w:rsidRPr="00EA04CD" w14:paraId="1B9747DC" w14:textId="77777777" w:rsidTr="00B1400F">
        <w:tc>
          <w:tcPr>
            <w:tcW w:w="5000" w:type="pct"/>
            <w:gridSpan w:val="10"/>
            <w:shd w:val="clear" w:color="auto" w:fill="000000" w:themeFill="text1"/>
          </w:tcPr>
          <w:p w14:paraId="2CE9ACCF" w14:textId="57BFA3E5" w:rsidR="00A63715" w:rsidRPr="00EA04CD" w:rsidRDefault="00A63715" w:rsidP="00A63715">
            <w:pPr>
              <w:keepNext/>
              <w:spacing w:after="40" w:line="240" w:lineRule="auto"/>
              <w:rPr>
                <w:rFonts w:ascii="Arial Narrow" w:hAnsi="Arial Narrow"/>
                <w:b/>
                <w:color w:val="FFFFFF" w:themeColor="background1"/>
                <w:sz w:val="20"/>
                <w:szCs w:val="20"/>
              </w:rPr>
            </w:pPr>
            <w:r w:rsidRPr="00EA04CD">
              <w:rPr>
                <w:rFonts w:ascii="Arial Narrow" w:hAnsi="Arial Narrow"/>
                <w:b/>
                <w:color w:val="FFFFFF" w:themeColor="background1"/>
                <w:sz w:val="20"/>
                <w:szCs w:val="20"/>
              </w:rPr>
              <w:lastRenderedPageBreak/>
              <w:t>Other comparative studies – IVIg vs No IVIg</w:t>
            </w:r>
          </w:p>
        </w:tc>
      </w:tr>
      <w:tr w:rsidR="00A63715" w:rsidRPr="00EA04CD" w14:paraId="0446C36A" w14:textId="77777777" w:rsidTr="00B1400F">
        <w:tc>
          <w:tcPr>
            <w:tcW w:w="509" w:type="pct"/>
          </w:tcPr>
          <w:p w14:paraId="352BF898" w14:textId="108428F1" w:rsidR="00A63715" w:rsidRPr="00EA04CD" w:rsidRDefault="00A63715" w:rsidP="00BB0145">
            <w:pPr>
              <w:spacing w:before="0" w:after="20" w:line="240" w:lineRule="auto"/>
              <w:ind w:left="-57"/>
              <w:jc w:val="left"/>
              <w:rPr>
                <w:rFonts w:ascii="Arial Narrow" w:hAnsi="Arial Narrow"/>
                <w:sz w:val="20"/>
                <w:szCs w:val="20"/>
              </w:rPr>
            </w:pPr>
            <w:r w:rsidRPr="00EA04CD">
              <w:rPr>
                <w:rFonts w:ascii="Arial Narrow" w:hAnsi="Arial Narrow"/>
                <w:sz w:val="20"/>
                <w:szCs w:val="20"/>
              </w:rPr>
              <w:fldChar w:fldCharType="begin">
                <w:fldData xml:space="preserve">PEVuZE5vdGU+PENpdGU+PEF1dGhvcj5BbW1hbm48L0F1dGhvcj48WWVhcj4yMDE2PC9ZZWFyPjxS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</w:fldData>
              </w:fldChar>
            </w:r>
            <w:r w:rsidRPr="00EA04CD">
              <w:rPr>
                <w:rFonts w:ascii="Arial Narrow" w:hAnsi="Arial Narrow"/>
                <w:sz w:val="20"/>
                <w:szCs w:val="20"/>
              </w:rPr>
              <w:instrText xml:space="preserve"> ADDIN EN.CITE </w:instrText>
            </w:r>
            <w:r w:rsidRPr="00EA04CD">
              <w:rPr>
                <w:rFonts w:ascii="Arial Narrow" w:hAnsi="Arial Narrow"/>
                <w:sz w:val="20"/>
                <w:szCs w:val="20"/>
              </w:rPr>
              <w:fldChar w:fldCharType="begin">
                <w:fldData xml:space="preserve">PEVuZE5vdGU+PENpdGU+PEF1dGhvcj5BbW1hbm48L0F1dGhvcj48WWVhcj4yMDE2PC9ZZWFyPjxS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</w:fldData>
              </w:fldChar>
            </w:r>
            <w:r w:rsidRPr="00EA04CD">
              <w:rPr>
                <w:rFonts w:ascii="Arial Narrow" w:hAnsi="Arial Narrow"/>
                <w:sz w:val="20"/>
                <w:szCs w:val="20"/>
              </w:rPr>
              <w:instrText xml:space="preserve"> ADDIN EN.CITE.DATA </w:instrText>
            </w:r>
            <w:r w:rsidRPr="00EA04CD">
              <w:rPr>
                <w:rFonts w:ascii="Arial Narrow" w:hAnsi="Arial Narrow"/>
                <w:sz w:val="20"/>
                <w:szCs w:val="20"/>
              </w:rPr>
            </w:r>
            <w:r w:rsidRPr="00EA04CD">
              <w:rPr>
                <w:rFonts w:ascii="Arial Narrow" w:hAnsi="Arial Narrow"/>
                <w:sz w:val="20"/>
                <w:szCs w:val="20"/>
              </w:rPr>
              <w:fldChar w:fldCharType="end"/>
            </w:r>
            <w:r w:rsidRPr="00EA04CD">
              <w:rPr>
                <w:rFonts w:ascii="Arial Narrow" w:hAnsi="Arial Narrow"/>
                <w:sz w:val="20"/>
                <w:szCs w:val="20"/>
              </w:rPr>
            </w:r>
            <w:r w:rsidRPr="00EA04CD">
              <w:rPr>
                <w:rFonts w:ascii="Arial Narrow" w:hAnsi="Arial Narrow"/>
                <w:sz w:val="20"/>
                <w:szCs w:val="20"/>
              </w:rPr>
              <w:fldChar w:fldCharType="separate"/>
            </w:r>
            <w:r w:rsidRPr="00EA04CD">
              <w:rPr>
                <w:rFonts w:ascii="Arial Narrow" w:hAnsi="Arial Narrow"/>
                <w:noProof/>
                <w:sz w:val="20"/>
                <w:szCs w:val="20"/>
              </w:rPr>
              <w:t>(</w:t>
            </w:r>
            <w:hyperlink w:anchor="_ENREF_1" w:tooltip="Ammann, 2016 #1" w:history="1">
              <w:r w:rsidR="00BB0145" w:rsidRPr="00EA04CD">
                <w:rPr>
                  <w:rFonts w:ascii="Arial Narrow" w:hAnsi="Arial Narrow"/>
                  <w:noProof/>
                  <w:sz w:val="20"/>
                  <w:szCs w:val="20"/>
                </w:rPr>
                <w:t>Ammann et al. 2016</w:t>
              </w:r>
            </w:hyperlink>
            <w:r w:rsidRPr="00EA04CD">
              <w:rPr>
                <w:rFonts w:ascii="Arial Narrow" w:hAnsi="Arial Narrow"/>
                <w:noProof/>
                <w:sz w:val="20"/>
                <w:szCs w:val="20"/>
              </w:rPr>
              <w:t>)</w:t>
            </w:r>
            <w:r w:rsidRPr="00EA04CD">
              <w:rPr>
                <w:rFonts w:ascii="Arial Narrow" w:hAnsi="Arial Narrow"/>
                <w:sz w:val="20"/>
                <w:szCs w:val="20"/>
              </w:rPr>
              <w:fldChar w:fldCharType="end"/>
            </w:r>
          </w:p>
        </w:tc>
        <w:tc>
          <w:tcPr>
            <w:tcW w:w="384" w:type="pct"/>
          </w:tcPr>
          <w:p w14:paraId="72ECBCBA"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Registry study</w:t>
            </w:r>
          </w:p>
        </w:tc>
        <w:tc>
          <w:tcPr>
            <w:tcW w:w="341" w:type="pct"/>
          </w:tcPr>
          <w:p w14:paraId="45059F09" w14:textId="7D89735A"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RoB: moderate (IHE)</w:t>
            </w:r>
          </w:p>
        </w:tc>
        <w:tc>
          <w:tcPr>
            <w:tcW w:w="340" w:type="pct"/>
          </w:tcPr>
          <w:p w14:paraId="7F111FC8" w14:textId="15CBC30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 10,759</w:t>
            </w:r>
          </w:p>
        </w:tc>
        <w:tc>
          <w:tcPr>
            <w:tcW w:w="596" w:type="pct"/>
          </w:tcPr>
          <w:p w14:paraId="4EFD315E" w14:textId="315E6574" w:rsidR="00A63715" w:rsidRPr="00EA04CD" w:rsidRDefault="006E04C1"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CLL (</w:t>
            </w:r>
            <w:r w:rsidR="00A63715" w:rsidRPr="00EA04CD">
              <w:rPr>
                <w:rFonts w:ascii="Arial Narrow" w:hAnsi="Arial Narrow"/>
                <w:sz w:val="20"/>
                <w:szCs w:val="20"/>
              </w:rPr>
              <w:t xml:space="preserve">76%), </w:t>
            </w:r>
            <w:r w:rsidRPr="00EA04CD">
              <w:rPr>
                <w:rFonts w:ascii="Arial Narrow" w:hAnsi="Arial Narrow"/>
                <w:sz w:val="20"/>
                <w:szCs w:val="20"/>
              </w:rPr>
              <w:t>MM (</w:t>
            </w:r>
            <w:r w:rsidR="00A63715" w:rsidRPr="00EA04CD">
              <w:rPr>
                <w:rFonts w:ascii="Arial Narrow" w:hAnsi="Arial Narrow"/>
                <w:sz w:val="20"/>
                <w:szCs w:val="20"/>
              </w:rPr>
              <w:t>24%)</w:t>
            </w:r>
          </w:p>
        </w:tc>
        <w:tc>
          <w:tcPr>
            <w:tcW w:w="794" w:type="pct"/>
          </w:tcPr>
          <w:p w14:paraId="7EC1D466" w14:textId="09E5BCAF"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Not reported (variable). Any Ig IVIg, SCIg or IMIg.</w:t>
            </w:r>
          </w:p>
        </w:tc>
        <w:tc>
          <w:tcPr>
            <w:tcW w:w="588" w:type="pct"/>
            <w:gridSpan w:val="2"/>
          </w:tcPr>
          <w:p w14:paraId="6CFE39EC"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Not reported (variable)</w:t>
            </w:r>
          </w:p>
        </w:tc>
        <w:tc>
          <w:tcPr>
            <w:tcW w:w="1095" w:type="pct"/>
          </w:tcPr>
          <w:p w14:paraId="70011016" w14:textId="009095D3"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TEEs; NNH, mortality, hospitalisations due to infection.</w:t>
            </w:r>
          </w:p>
        </w:tc>
        <w:tc>
          <w:tcPr>
            <w:tcW w:w="353" w:type="pct"/>
          </w:tcPr>
          <w:p w14:paraId="73D317D9" w14:textId="2CCDD387" w:rsidR="00A63715" w:rsidRPr="00EA04CD" w:rsidRDefault="00A63715" w:rsidP="00F814DE">
            <w:pPr>
              <w:spacing w:before="0" w:after="20" w:line="240" w:lineRule="auto"/>
              <w:ind w:left="-57"/>
              <w:jc w:val="left"/>
              <w:rPr>
                <w:rFonts w:ascii="Arial Narrow" w:hAnsi="Arial Narrow"/>
                <w:sz w:val="20"/>
                <w:szCs w:val="20"/>
                <w:highlight w:val="yellow"/>
              </w:rPr>
            </w:pPr>
            <w:r w:rsidRPr="00EA04CD">
              <w:rPr>
                <w:rFonts w:ascii="Arial Narrow" w:hAnsi="Arial Narrow"/>
                <w:sz w:val="20"/>
                <w:szCs w:val="20"/>
              </w:rPr>
              <w:t>No</w:t>
            </w:r>
          </w:p>
        </w:tc>
      </w:tr>
      <w:tr w:rsidR="00A63715" w:rsidRPr="00EA04CD" w14:paraId="7C5713C2" w14:textId="77777777" w:rsidTr="00B1400F">
        <w:tc>
          <w:tcPr>
            <w:tcW w:w="509" w:type="pct"/>
          </w:tcPr>
          <w:p w14:paraId="0F7BBE54" w14:textId="70A61BB7" w:rsidR="00A63715" w:rsidRPr="00EA04CD" w:rsidRDefault="00A63715" w:rsidP="00BB0145">
            <w:pPr>
              <w:spacing w:before="0" w:after="20" w:line="240" w:lineRule="auto"/>
              <w:ind w:left="-57"/>
              <w:jc w:val="left"/>
              <w:rPr>
                <w:rFonts w:ascii="Arial Narrow" w:hAnsi="Arial Narrow"/>
                <w:sz w:val="20"/>
                <w:szCs w:val="20"/>
              </w:rPr>
            </w:pPr>
            <w:r w:rsidRPr="00EA04CD">
              <w:rPr>
                <w:rFonts w:ascii="Arial Narrow" w:hAnsi="Arial Narrow"/>
                <w:sz w:val="20"/>
                <w:szCs w:val="20"/>
              </w:rPr>
              <w:fldChar w:fldCharType="begin">
                <w:fldData xml:space="preserve">PEVuZE5vdGU+PENpdGU+PEF1dGhvcj5CbG9tYmVyeTwvQXV0aG9yPjxZZWFyPjIwMTE8L1llYXI+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</w:fldData>
              </w:fldChar>
            </w:r>
            <w:r w:rsidRPr="00EA04CD">
              <w:rPr>
                <w:rFonts w:ascii="Arial Narrow" w:hAnsi="Arial Narrow"/>
                <w:sz w:val="20"/>
                <w:szCs w:val="20"/>
              </w:rPr>
              <w:instrText xml:space="preserve"> ADDIN EN.CITE </w:instrText>
            </w:r>
            <w:r w:rsidRPr="00EA04CD">
              <w:rPr>
                <w:rFonts w:ascii="Arial Narrow" w:hAnsi="Arial Narrow"/>
                <w:sz w:val="20"/>
                <w:szCs w:val="20"/>
              </w:rPr>
              <w:fldChar w:fldCharType="begin">
                <w:fldData xml:space="preserve">PEVuZE5vdGU+PENpdGU+PEF1dGhvcj5CbG9tYmVyeTwvQXV0aG9yPjxZZWFyPjIwMTE8L1llYXI+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</w:fldData>
              </w:fldChar>
            </w:r>
            <w:r w:rsidRPr="00EA04CD">
              <w:rPr>
                <w:rFonts w:ascii="Arial Narrow" w:hAnsi="Arial Narrow"/>
                <w:sz w:val="20"/>
                <w:szCs w:val="20"/>
              </w:rPr>
              <w:instrText xml:space="preserve"> ADDIN EN.CITE.DATA </w:instrText>
            </w:r>
            <w:r w:rsidRPr="00EA04CD">
              <w:rPr>
                <w:rFonts w:ascii="Arial Narrow" w:hAnsi="Arial Narrow"/>
                <w:sz w:val="20"/>
                <w:szCs w:val="20"/>
              </w:rPr>
            </w:r>
            <w:r w:rsidRPr="00EA04CD">
              <w:rPr>
                <w:rFonts w:ascii="Arial Narrow" w:hAnsi="Arial Narrow"/>
                <w:sz w:val="20"/>
                <w:szCs w:val="20"/>
              </w:rPr>
              <w:fldChar w:fldCharType="end"/>
            </w:r>
            <w:r w:rsidRPr="00EA04CD">
              <w:rPr>
                <w:rFonts w:ascii="Arial Narrow" w:hAnsi="Arial Narrow"/>
                <w:sz w:val="20"/>
                <w:szCs w:val="20"/>
              </w:rPr>
            </w:r>
            <w:r w:rsidRPr="00EA04CD">
              <w:rPr>
                <w:rFonts w:ascii="Arial Narrow" w:hAnsi="Arial Narrow"/>
                <w:sz w:val="20"/>
                <w:szCs w:val="20"/>
              </w:rPr>
              <w:fldChar w:fldCharType="separate"/>
            </w:r>
            <w:r w:rsidRPr="00EA04CD">
              <w:rPr>
                <w:rFonts w:ascii="Arial Narrow" w:hAnsi="Arial Narrow"/>
                <w:noProof/>
                <w:sz w:val="20"/>
                <w:szCs w:val="20"/>
              </w:rPr>
              <w:t>(</w:t>
            </w:r>
            <w:hyperlink w:anchor="_ENREF_6" w:tooltip="Blombery, 2011 #45" w:history="1">
              <w:r w:rsidR="00BB0145" w:rsidRPr="00EA04CD">
                <w:rPr>
                  <w:rFonts w:ascii="Arial Narrow" w:hAnsi="Arial Narrow"/>
                  <w:noProof/>
                  <w:sz w:val="20"/>
                  <w:szCs w:val="20"/>
                </w:rPr>
                <w:t>Blombery et al. 2011</w:t>
              </w:r>
            </w:hyperlink>
            <w:r w:rsidRPr="00EA04CD">
              <w:rPr>
                <w:rFonts w:ascii="Arial Narrow" w:hAnsi="Arial Narrow"/>
                <w:noProof/>
                <w:sz w:val="20"/>
                <w:szCs w:val="20"/>
              </w:rPr>
              <w:t>)</w:t>
            </w:r>
            <w:r w:rsidRPr="00EA04CD">
              <w:rPr>
                <w:rFonts w:ascii="Arial Narrow" w:hAnsi="Arial Narrow"/>
                <w:sz w:val="20"/>
                <w:szCs w:val="20"/>
              </w:rPr>
              <w:fldChar w:fldCharType="end"/>
            </w:r>
          </w:p>
        </w:tc>
        <w:tc>
          <w:tcPr>
            <w:tcW w:w="384" w:type="pct"/>
          </w:tcPr>
          <w:p w14:paraId="19416892" w14:textId="53AAA7DF"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Cohort study</w:t>
            </w:r>
          </w:p>
        </w:tc>
        <w:tc>
          <w:tcPr>
            <w:tcW w:w="341" w:type="pct"/>
          </w:tcPr>
          <w:p w14:paraId="7D556A86" w14:textId="4801EE66"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RoB: high (SIGN)</w:t>
            </w:r>
          </w:p>
        </w:tc>
        <w:tc>
          <w:tcPr>
            <w:tcW w:w="340" w:type="pct"/>
          </w:tcPr>
          <w:p w14:paraId="50E48D71" w14:textId="54F6FA7D"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N=240</w:t>
            </w:r>
          </w:p>
        </w:tc>
        <w:tc>
          <w:tcPr>
            <w:tcW w:w="596" w:type="pct"/>
          </w:tcPr>
          <w:p w14:paraId="6B12FE24" w14:textId="7B3D30A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MM+HSCT (autologous)</w:t>
            </w:r>
          </w:p>
        </w:tc>
        <w:tc>
          <w:tcPr>
            <w:tcW w:w="794" w:type="pct"/>
          </w:tcPr>
          <w:p w14:paraId="52AC9FF7" w14:textId="2B206A40"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400mg/kg IVIg</w:t>
            </w:r>
            <w:r w:rsidRPr="00EA04CD">
              <w:rPr>
                <w:rFonts w:ascii="Arial Narrow" w:hAnsi="Arial Narrow"/>
                <w:sz w:val="20"/>
                <w:szCs w:val="20"/>
              </w:rPr>
              <w:br/>
              <w:t>single dose given to 123 of 130 patients (94.6%)</w:t>
            </w:r>
          </w:p>
        </w:tc>
        <w:tc>
          <w:tcPr>
            <w:tcW w:w="588" w:type="pct"/>
            <w:gridSpan w:val="2"/>
          </w:tcPr>
          <w:p w14:paraId="4381AE5B" w14:textId="2764B7A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Single dose study</w:t>
            </w:r>
          </w:p>
        </w:tc>
        <w:tc>
          <w:tcPr>
            <w:tcW w:w="1095" w:type="pct"/>
          </w:tcPr>
          <w:p w14:paraId="610ABAEA" w14:textId="5DE64C12"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Infections in 30 days HSCT (days of IV antimicrobial agents, number of febrile days); survival post-ASCT</w:t>
            </w:r>
          </w:p>
        </w:tc>
        <w:tc>
          <w:tcPr>
            <w:tcW w:w="353" w:type="pct"/>
          </w:tcPr>
          <w:p w14:paraId="73B18563" w14:textId="00E19AEB"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No</w:t>
            </w:r>
          </w:p>
        </w:tc>
      </w:tr>
      <w:tr w:rsidR="00A63715" w:rsidRPr="00EA04CD" w14:paraId="3D9AF1EE" w14:textId="77777777" w:rsidTr="00B1400F">
        <w:tc>
          <w:tcPr>
            <w:tcW w:w="509" w:type="pct"/>
          </w:tcPr>
          <w:p w14:paraId="0AD0C2C1" w14:textId="23A448E0"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Paxton et al., 2016</w:t>
            </w:r>
          </w:p>
        </w:tc>
        <w:tc>
          <w:tcPr>
            <w:tcW w:w="384" w:type="pct"/>
          </w:tcPr>
          <w:p w14:paraId="05CC285B" w14:textId="6288C1A9"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Cohort study</w:t>
            </w:r>
          </w:p>
        </w:tc>
        <w:tc>
          <w:tcPr>
            <w:tcW w:w="341" w:type="pct"/>
          </w:tcPr>
          <w:p w14:paraId="0434CE0E" w14:textId="5078A89E"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RoB: high (SIGN)</w:t>
            </w:r>
          </w:p>
        </w:tc>
        <w:tc>
          <w:tcPr>
            <w:tcW w:w="340" w:type="pct"/>
          </w:tcPr>
          <w:p w14:paraId="78D19BE4" w14:textId="337A5D44"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N=92</w:t>
            </w:r>
          </w:p>
        </w:tc>
        <w:tc>
          <w:tcPr>
            <w:tcW w:w="596" w:type="pct"/>
          </w:tcPr>
          <w:p w14:paraId="1C566B7F" w14:textId="7858D09E"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CLL (42); MM (18); NHL (27); other (5)</w:t>
            </w:r>
          </w:p>
        </w:tc>
        <w:tc>
          <w:tcPr>
            <w:tcW w:w="794" w:type="pct"/>
          </w:tcPr>
          <w:p w14:paraId="3A66AFBE" w14:textId="0248323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IVIg. Dose not reported (variable).</w:t>
            </w:r>
          </w:p>
        </w:tc>
        <w:tc>
          <w:tcPr>
            <w:tcW w:w="588" w:type="pct"/>
            <w:gridSpan w:val="2"/>
          </w:tcPr>
          <w:p w14:paraId="1070E63E" w14:textId="26BB225A"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Median 26 mo (range 3-79)</w:t>
            </w:r>
          </w:p>
        </w:tc>
        <w:tc>
          <w:tcPr>
            <w:tcW w:w="1095" w:type="pct"/>
          </w:tcPr>
          <w:p w14:paraId="563D804F" w14:textId="74219D4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Rate of serious infections, defined as those requiring hospital admission. Hospitalisation compared before and after HSCT.</w:t>
            </w:r>
          </w:p>
        </w:tc>
        <w:tc>
          <w:tcPr>
            <w:tcW w:w="353" w:type="pct"/>
          </w:tcPr>
          <w:p w14:paraId="107041DA" w14:textId="443DE500"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No</w:t>
            </w:r>
          </w:p>
        </w:tc>
      </w:tr>
      <w:tr w:rsidR="00A63715" w:rsidRPr="00EA04CD" w14:paraId="696CC466" w14:textId="77777777" w:rsidTr="00B1400F">
        <w:tc>
          <w:tcPr>
            <w:tcW w:w="509" w:type="pct"/>
          </w:tcPr>
          <w:p w14:paraId="595C5431" w14:textId="3E44A9EF"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Van Winkle et al., 2018</w:t>
            </w:r>
          </w:p>
        </w:tc>
        <w:tc>
          <w:tcPr>
            <w:tcW w:w="384" w:type="pct"/>
          </w:tcPr>
          <w:p w14:paraId="4616D2B6" w14:textId="0FF0801C"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Cohort study</w:t>
            </w:r>
          </w:p>
        </w:tc>
        <w:tc>
          <w:tcPr>
            <w:tcW w:w="341" w:type="pct"/>
          </w:tcPr>
          <w:p w14:paraId="749E7412" w14:textId="278F9346"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RoB: moderate (SIGN)</w:t>
            </w:r>
          </w:p>
        </w:tc>
        <w:tc>
          <w:tcPr>
            <w:tcW w:w="340" w:type="pct"/>
          </w:tcPr>
          <w:p w14:paraId="7DD7BC37" w14:textId="186F717D"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N=118</w:t>
            </w:r>
          </w:p>
        </w:tc>
        <w:tc>
          <w:tcPr>
            <w:tcW w:w="596" w:type="pct"/>
          </w:tcPr>
          <w:p w14:paraId="585C768D" w14:textId="06618E8C"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 xml:space="preserve">ALL </w:t>
            </w:r>
          </w:p>
        </w:tc>
        <w:tc>
          <w:tcPr>
            <w:tcW w:w="794" w:type="pct"/>
          </w:tcPr>
          <w:p w14:paraId="67A644EF" w14:textId="47A1EB02"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IVIg 400mg/kg monthly</w:t>
            </w:r>
          </w:p>
          <w:p w14:paraId="6E3CE0B4" w14:textId="70AF67E0"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Mean 10.5 doses (range 1-31)</w:t>
            </w:r>
          </w:p>
        </w:tc>
        <w:tc>
          <w:tcPr>
            <w:tcW w:w="588" w:type="pct"/>
            <w:gridSpan w:val="2"/>
          </w:tcPr>
          <w:p w14:paraId="30853F4B" w14:textId="1431018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 xml:space="preserve">Not reported </w:t>
            </w:r>
            <w:r w:rsidRPr="00EA04CD">
              <w:rPr>
                <w:rFonts w:ascii="Arial Narrow" w:hAnsi="Arial Narrow"/>
                <w:sz w:val="20"/>
                <w:szCs w:val="20"/>
              </w:rPr>
              <w:br/>
              <w:t>(mean ~10.5 mo tx duration inferred from doses)</w:t>
            </w:r>
          </w:p>
        </w:tc>
        <w:tc>
          <w:tcPr>
            <w:tcW w:w="1095" w:type="pct"/>
          </w:tcPr>
          <w:p w14:paraId="02D9FB4A" w14:textId="371442FA"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Infectious complications before and during maintenance tx (including episodes of infection; hospitalisations and days of hospitalisation)</w:t>
            </w:r>
          </w:p>
        </w:tc>
        <w:tc>
          <w:tcPr>
            <w:tcW w:w="353" w:type="pct"/>
          </w:tcPr>
          <w:p w14:paraId="7F89ED97" w14:textId="49D1D7F1"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No</w:t>
            </w:r>
          </w:p>
        </w:tc>
      </w:tr>
      <w:tr w:rsidR="00A63715" w:rsidRPr="00EA04CD" w14:paraId="35C44180" w14:textId="77777777" w:rsidTr="00B1400F">
        <w:tc>
          <w:tcPr>
            <w:tcW w:w="5000" w:type="pct"/>
            <w:gridSpan w:val="10"/>
            <w:shd w:val="clear" w:color="auto" w:fill="000000" w:themeFill="text1"/>
          </w:tcPr>
          <w:p w14:paraId="26661870" w14:textId="534FE133" w:rsidR="00A63715" w:rsidRPr="00EA04CD" w:rsidRDefault="00A63715" w:rsidP="00A63715">
            <w:pPr>
              <w:keepNext/>
              <w:spacing w:after="40" w:line="240" w:lineRule="auto"/>
              <w:rPr>
                <w:rFonts w:ascii="Arial Narrow" w:hAnsi="Arial Narrow"/>
                <w:b/>
                <w:color w:val="FFFFFF" w:themeColor="background1"/>
                <w:sz w:val="20"/>
                <w:szCs w:val="20"/>
              </w:rPr>
            </w:pPr>
            <w:r w:rsidRPr="00EA04CD">
              <w:rPr>
                <w:rFonts w:ascii="Arial Narrow" w:hAnsi="Arial Narrow"/>
                <w:b/>
                <w:color w:val="FFFFFF" w:themeColor="background1"/>
                <w:sz w:val="20"/>
                <w:szCs w:val="20"/>
              </w:rPr>
              <w:t>Non-comparative studies – IVIg case series</w:t>
            </w:r>
          </w:p>
        </w:tc>
      </w:tr>
      <w:tr w:rsidR="00A63715" w:rsidRPr="00EA04CD" w14:paraId="59D292AA" w14:textId="77777777" w:rsidTr="00B1400F">
        <w:tc>
          <w:tcPr>
            <w:tcW w:w="509" w:type="pct"/>
          </w:tcPr>
          <w:p w14:paraId="74A96BCA" w14:textId="60D389A4"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Besa, 1992</w:t>
            </w:r>
          </w:p>
        </w:tc>
        <w:tc>
          <w:tcPr>
            <w:tcW w:w="384" w:type="pct"/>
          </w:tcPr>
          <w:p w14:paraId="229921BD" w14:textId="2E5432DE"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 xml:space="preserve">Case series </w:t>
            </w:r>
          </w:p>
        </w:tc>
        <w:tc>
          <w:tcPr>
            <w:tcW w:w="341" w:type="pct"/>
          </w:tcPr>
          <w:p w14:paraId="67B02527" w14:textId="0B1D5B3C"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RoB: moderate (IHE)</w:t>
            </w:r>
          </w:p>
        </w:tc>
        <w:tc>
          <w:tcPr>
            <w:tcW w:w="340" w:type="pct"/>
          </w:tcPr>
          <w:p w14:paraId="6B8E2CAC" w14:textId="6F3043C4"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N=23</w:t>
            </w:r>
          </w:p>
        </w:tc>
        <w:tc>
          <w:tcPr>
            <w:tcW w:w="596" w:type="pct"/>
          </w:tcPr>
          <w:p w14:paraId="4854A4B7" w14:textId="29A49D3B"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CLL</w:t>
            </w:r>
          </w:p>
        </w:tc>
        <w:tc>
          <w:tcPr>
            <w:tcW w:w="794" w:type="pct"/>
          </w:tcPr>
          <w:p w14:paraId="723FDF69" w14:textId="2B30B0FC"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 xml:space="preserve">400mg/kg IVIg; </w:t>
            </w:r>
            <w:r w:rsidRPr="00EA04CD">
              <w:rPr>
                <w:rFonts w:ascii="Arial Narrow" w:hAnsi="Arial Narrow"/>
                <w:sz w:val="20"/>
                <w:szCs w:val="20"/>
              </w:rPr>
              <w:br/>
              <w:t xml:space="preserve">3-weekly; </w:t>
            </w:r>
            <w:r w:rsidRPr="00EA04CD">
              <w:rPr>
                <w:rFonts w:ascii="Arial Narrow" w:hAnsi="Arial Narrow"/>
                <w:sz w:val="20"/>
                <w:szCs w:val="20"/>
              </w:rPr>
              <w:br/>
              <w:t>12 months</w:t>
            </w:r>
          </w:p>
        </w:tc>
        <w:tc>
          <w:tcPr>
            <w:tcW w:w="588" w:type="pct"/>
            <w:gridSpan w:val="2"/>
          </w:tcPr>
          <w:p w14:paraId="176AC4AB" w14:textId="06027124"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12 month protocol; 3 yrs maintenance reported</w:t>
            </w:r>
          </w:p>
        </w:tc>
        <w:tc>
          <w:tcPr>
            <w:tcW w:w="1095" w:type="pct"/>
          </w:tcPr>
          <w:p w14:paraId="7607A1F8" w14:textId="26BB3165"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Lymphocyte counts; leukaemic response. Infections not reported as outcome; but as a complication/ prognostic variable</w:t>
            </w:r>
          </w:p>
        </w:tc>
        <w:tc>
          <w:tcPr>
            <w:tcW w:w="353" w:type="pct"/>
          </w:tcPr>
          <w:p w14:paraId="1DDD9CBC" w14:textId="0BC99176"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Yes</w:t>
            </w:r>
          </w:p>
        </w:tc>
      </w:tr>
      <w:tr w:rsidR="00A63715" w:rsidRPr="00EA04CD" w14:paraId="1311FE42" w14:textId="77777777" w:rsidTr="00B1400F">
        <w:tc>
          <w:tcPr>
            <w:tcW w:w="509" w:type="pct"/>
          </w:tcPr>
          <w:p w14:paraId="22DF0601" w14:textId="3E658693"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Brenner, 1996</w:t>
            </w:r>
          </w:p>
        </w:tc>
        <w:tc>
          <w:tcPr>
            <w:tcW w:w="384" w:type="pct"/>
          </w:tcPr>
          <w:p w14:paraId="60F61C25" w14:textId="57E89CF4"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Time series</w:t>
            </w:r>
          </w:p>
        </w:tc>
        <w:tc>
          <w:tcPr>
            <w:tcW w:w="341" w:type="pct"/>
          </w:tcPr>
          <w:p w14:paraId="5CA291BB" w14:textId="38F94EBB"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RoB: moderate (IHE)</w:t>
            </w:r>
          </w:p>
        </w:tc>
        <w:tc>
          <w:tcPr>
            <w:tcW w:w="340" w:type="pct"/>
          </w:tcPr>
          <w:p w14:paraId="63BD880D" w14:textId="7703790A"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N=54 (n=26 SID; n=28 PID)</w:t>
            </w:r>
          </w:p>
        </w:tc>
        <w:tc>
          <w:tcPr>
            <w:tcW w:w="596" w:type="pct"/>
          </w:tcPr>
          <w:p w14:paraId="791941BF" w14:textId="6E52BC02"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CLL(22), MM(4); ITP(20); PAPS(8)</w:t>
            </w:r>
          </w:p>
        </w:tc>
        <w:tc>
          <w:tcPr>
            <w:tcW w:w="794" w:type="pct"/>
          </w:tcPr>
          <w:p w14:paraId="58FC3339" w14:textId="1147CCEC"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400mg/kg IVIg</w:t>
            </w:r>
            <w:r w:rsidRPr="00EA04CD">
              <w:rPr>
                <w:rFonts w:ascii="Arial Narrow" w:hAnsi="Arial Narrow"/>
                <w:sz w:val="20"/>
                <w:szCs w:val="20"/>
              </w:rPr>
              <w:br/>
              <w:t>4-weekly</w:t>
            </w:r>
            <w:r w:rsidRPr="00EA04CD">
              <w:rPr>
                <w:rFonts w:ascii="Arial Narrow" w:hAnsi="Arial Narrow"/>
                <w:sz w:val="20"/>
                <w:szCs w:val="20"/>
              </w:rPr>
              <w:br/>
              <w:t>~6 months</w:t>
            </w:r>
          </w:p>
        </w:tc>
        <w:tc>
          <w:tcPr>
            <w:tcW w:w="588" w:type="pct"/>
            <w:gridSpan w:val="2"/>
          </w:tcPr>
          <w:p w14:paraId="5E45EED7" w14:textId="0A8D26EB"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~6 month protocol</w:t>
            </w:r>
          </w:p>
        </w:tc>
        <w:tc>
          <w:tcPr>
            <w:tcW w:w="1095" w:type="pct"/>
          </w:tcPr>
          <w:p w14:paraId="3BE8A5D7" w14:textId="641ACD2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Adverse events; infections; infections requiring hospitalisation</w:t>
            </w:r>
          </w:p>
        </w:tc>
        <w:tc>
          <w:tcPr>
            <w:tcW w:w="353" w:type="pct"/>
          </w:tcPr>
          <w:p w14:paraId="672F0CFC" w14:textId="38E94B51"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Yes</w:t>
            </w:r>
          </w:p>
        </w:tc>
      </w:tr>
      <w:tr w:rsidR="00A63715" w:rsidRPr="00EA04CD" w14:paraId="41D17BAC" w14:textId="77777777" w:rsidTr="00B1400F">
        <w:tc>
          <w:tcPr>
            <w:tcW w:w="509" w:type="pct"/>
          </w:tcPr>
          <w:p w14:paraId="03F7ED05" w14:textId="4C5FD239"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Günther &amp; Dreger 2013</w:t>
            </w:r>
          </w:p>
        </w:tc>
        <w:tc>
          <w:tcPr>
            <w:tcW w:w="384" w:type="pct"/>
          </w:tcPr>
          <w:p w14:paraId="594C82A0" w14:textId="036F8FB4"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Case series</w:t>
            </w:r>
          </w:p>
        </w:tc>
        <w:tc>
          <w:tcPr>
            <w:tcW w:w="341" w:type="pct"/>
          </w:tcPr>
          <w:p w14:paraId="673C1B99" w14:textId="01C84C7E"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RoB: moderate (IHE)</w:t>
            </w:r>
          </w:p>
        </w:tc>
        <w:tc>
          <w:tcPr>
            <w:tcW w:w="340" w:type="pct"/>
          </w:tcPr>
          <w:p w14:paraId="07FBB6DE" w14:textId="1DAE4949"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N=10</w:t>
            </w:r>
          </w:p>
        </w:tc>
        <w:tc>
          <w:tcPr>
            <w:tcW w:w="596" w:type="pct"/>
          </w:tcPr>
          <w:p w14:paraId="5EA326E8" w14:textId="091DE060"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CLL(5), FL(2), plasmacytoma; WM(1), MDS(1)</w:t>
            </w:r>
          </w:p>
        </w:tc>
        <w:tc>
          <w:tcPr>
            <w:tcW w:w="794" w:type="pct"/>
          </w:tcPr>
          <w:p w14:paraId="698EA414"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0.35 g/kg IVIg</w:t>
            </w:r>
            <w:r w:rsidRPr="00EA04CD">
              <w:rPr>
                <w:rFonts w:ascii="Arial Narrow" w:hAnsi="Arial Narrow"/>
                <w:sz w:val="20"/>
                <w:szCs w:val="20"/>
              </w:rPr>
              <w:br/>
              <w:t>3–4 weekly</w:t>
            </w:r>
          </w:p>
          <w:p w14:paraId="34187E54" w14:textId="6C895D51"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[no duration specified]</w:t>
            </w:r>
          </w:p>
        </w:tc>
        <w:tc>
          <w:tcPr>
            <w:tcW w:w="588" w:type="pct"/>
            <w:gridSpan w:val="2"/>
          </w:tcPr>
          <w:p w14:paraId="2AB33382" w14:textId="578B65ED"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 xml:space="preserve">Median 54 mo ( range 23–114) </w:t>
            </w:r>
          </w:p>
        </w:tc>
        <w:tc>
          <w:tcPr>
            <w:tcW w:w="1095" w:type="pct"/>
          </w:tcPr>
          <w:p w14:paraId="37CBD7A5" w14:textId="19D21815"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Incidence of bacterial infections; non-bacterial infections; antibiotic/anti-infective use; adverse events including death.</w:t>
            </w:r>
          </w:p>
        </w:tc>
        <w:tc>
          <w:tcPr>
            <w:tcW w:w="353" w:type="pct"/>
          </w:tcPr>
          <w:p w14:paraId="221CB17B" w14:textId="6ADAD838"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Yes</w:t>
            </w:r>
          </w:p>
        </w:tc>
      </w:tr>
      <w:tr w:rsidR="00A63715" w:rsidRPr="00EA04CD" w14:paraId="4D96DA25" w14:textId="77777777" w:rsidTr="00B1400F">
        <w:tc>
          <w:tcPr>
            <w:tcW w:w="509" w:type="pct"/>
          </w:tcPr>
          <w:p w14:paraId="69E58639" w14:textId="58E42748"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Jurlander et al., 1994</w:t>
            </w:r>
          </w:p>
        </w:tc>
        <w:tc>
          <w:tcPr>
            <w:tcW w:w="384" w:type="pct"/>
          </w:tcPr>
          <w:p w14:paraId="255B328B" w14:textId="6E9D0DB5"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Time series</w:t>
            </w:r>
          </w:p>
        </w:tc>
        <w:tc>
          <w:tcPr>
            <w:tcW w:w="341" w:type="pct"/>
          </w:tcPr>
          <w:p w14:paraId="36AEBF4F" w14:textId="42803BA6"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RoB: moderate (SIGN)</w:t>
            </w:r>
          </w:p>
        </w:tc>
        <w:tc>
          <w:tcPr>
            <w:tcW w:w="340" w:type="pct"/>
          </w:tcPr>
          <w:p w14:paraId="68EE181B" w14:textId="6A1C39C9"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N=15</w:t>
            </w:r>
          </w:p>
        </w:tc>
        <w:tc>
          <w:tcPr>
            <w:tcW w:w="596" w:type="pct"/>
          </w:tcPr>
          <w:p w14:paraId="111FBEEB" w14:textId="57E1B114"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CLL</w:t>
            </w:r>
          </w:p>
        </w:tc>
        <w:tc>
          <w:tcPr>
            <w:tcW w:w="794" w:type="pct"/>
          </w:tcPr>
          <w:p w14:paraId="08533D09"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10g total IVIg</w:t>
            </w:r>
            <w:r w:rsidRPr="00EA04CD">
              <w:rPr>
                <w:rFonts w:ascii="Arial Narrow" w:hAnsi="Arial Narrow"/>
                <w:sz w:val="20"/>
                <w:szCs w:val="20"/>
              </w:rPr>
              <w:br/>
              <w:t>3-weekly</w:t>
            </w:r>
          </w:p>
          <w:p w14:paraId="09EC018F" w14:textId="01A3308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[No duration specified]</w:t>
            </w:r>
          </w:p>
        </w:tc>
        <w:tc>
          <w:tcPr>
            <w:tcW w:w="588" w:type="pct"/>
            <w:gridSpan w:val="2"/>
          </w:tcPr>
          <w:p w14:paraId="3E0489AA" w14:textId="078EF99F"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Median 19.5 infusions (or ~13 mo)</w:t>
            </w:r>
          </w:p>
        </w:tc>
        <w:tc>
          <w:tcPr>
            <w:tcW w:w="1095" w:type="pct"/>
          </w:tcPr>
          <w:p w14:paraId="4F2219DF" w14:textId="130AF041"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Serum IgG levels; infection status; antibiotic use; hospital admission for infection; febrile episodes</w:t>
            </w:r>
          </w:p>
        </w:tc>
        <w:tc>
          <w:tcPr>
            <w:tcW w:w="353" w:type="pct"/>
          </w:tcPr>
          <w:p w14:paraId="6A47550E" w14:textId="149BB2C5"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Yes</w:t>
            </w:r>
          </w:p>
        </w:tc>
      </w:tr>
      <w:tr w:rsidR="00A63715" w:rsidRPr="00EA04CD" w14:paraId="78BB7441" w14:textId="77777777" w:rsidTr="00B1400F">
        <w:tc>
          <w:tcPr>
            <w:tcW w:w="5000" w:type="pct"/>
            <w:gridSpan w:val="10"/>
            <w:shd w:val="clear" w:color="auto" w:fill="000000" w:themeFill="text1"/>
          </w:tcPr>
          <w:p w14:paraId="42C7740A" w14:textId="42202843" w:rsidR="00A63715" w:rsidRPr="00EA04CD" w:rsidRDefault="00A63715" w:rsidP="00A63715">
            <w:pPr>
              <w:keepNext/>
              <w:spacing w:after="40" w:line="240" w:lineRule="auto"/>
              <w:rPr>
                <w:rFonts w:ascii="Arial Narrow" w:hAnsi="Arial Narrow"/>
                <w:b/>
                <w:color w:val="FFFFFF" w:themeColor="background1"/>
                <w:sz w:val="20"/>
                <w:szCs w:val="20"/>
              </w:rPr>
            </w:pPr>
            <w:r w:rsidRPr="00EA04CD">
              <w:rPr>
                <w:rFonts w:ascii="Arial Narrow" w:hAnsi="Arial Narrow"/>
                <w:b/>
                <w:color w:val="FFFFFF" w:themeColor="background1"/>
                <w:sz w:val="20"/>
                <w:szCs w:val="20"/>
              </w:rPr>
              <w:t>Non-comparative studies – SCIg case series</w:t>
            </w:r>
          </w:p>
        </w:tc>
      </w:tr>
      <w:tr w:rsidR="00A63715" w:rsidRPr="00EA04CD" w14:paraId="25AB0BC9" w14:textId="77777777" w:rsidTr="00B1400F">
        <w:tc>
          <w:tcPr>
            <w:tcW w:w="509" w:type="pct"/>
          </w:tcPr>
          <w:p w14:paraId="57EB9187" w14:textId="4E4BE498"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Dimou et al. 2018</w:t>
            </w:r>
          </w:p>
        </w:tc>
        <w:tc>
          <w:tcPr>
            <w:tcW w:w="384" w:type="pct"/>
          </w:tcPr>
          <w:p w14:paraId="033AD2BF" w14:textId="508D8AC9"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Before/after time series</w:t>
            </w:r>
          </w:p>
        </w:tc>
        <w:tc>
          <w:tcPr>
            <w:tcW w:w="341" w:type="pct"/>
          </w:tcPr>
          <w:p w14:paraId="02B38FAE" w14:textId="1F87A79C"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RoB: moderate (SIGN)</w:t>
            </w:r>
          </w:p>
        </w:tc>
        <w:tc>
          <w:tcPr>
            <w:tcW w:w="340" w:type="pct"/>
          </w:tcPr>
          <w:p w14:paraId="3D9BB2B9" w14:textId="11467CF2"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N=33</w:t>
            </w:r>
          </w:p>
        </w:tc>
        <w:tc>
          <w:tcPr>
            <w:tcW w:w="596" w:type="pct"/>
          </w:tcPr>
          <w:p w14:paraId="192429A3" w14:textId="583417B2"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CLL(25); MM(3); NHL(3); HL(1)</w:t>
            </w:r>
          </w:p>
        </w:tc>
        <w:tc>
          <w:tcPr>
            <w:tcW w:w="794" w:type="pct"/>
          </w:tcPr>
          <w:p w14:paraId="1B5E1A86" w14:textId="389349FD"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 xml:space="preserve">*0.4-0.8 g/kg/mo SCIg dose every 3-4 weeks. </w:t>
            </w:r>
          </w:p>
        </w:tc>
        <w:tc>
          <w:tcPr>
            <w:tcW w:w="588" w:type="pct"/>
            <w:gridSpan w:val="2"/>
          </w:tcPr>
          <w:p w14:paraId="042C4506" w14:textId="355222C3"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12 month protocol</w:t>
            </w:r>
          </w:p>
        </w:tc>
        <w:tc>
          <w:tcPr>
            <w:tcW w:w="1095" w:type="pct"/>
          </w:tcPr>
          <w:p w14:paraId="3160AF74" w14:textId="2B0C5381"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Incidence of infections; adverse reactions</w:t>
            </w:r>
          </w:p>
        </w:tc>
        <w:tc>
          <w:tcPr>
            <w:tcW w:w="353" w:type="pct"/>
          </w:tcPr>
          <w:p w14:paraId="6537B86D" w14:textId="456C5349"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Yes</w:t>
            </w:r>
          </w:p>
        </w:tc>
      </w:tr>
      <w:tr w:rsidR="00A63715" w:rsidRPr="00EA04CD" w14:paraId="79055B29" w14:textId="77777777" w:rsidTr="00B1400F">
        <w:tc>
          <w:tcPr>
            <w:tcW w:w="5000" w:type="pct"/>
            <w:gridSpan w:val="10"/>
            <w:shd w:val="clear" w:color="auto" w:fill="000000" w:themeFill="text1"/>
          </w:tcPr>
          <w:p w14:paraId="401B7932" w14:textId="5EAB8F2F" w:rsidR="00A63715" w:rsidRPr="00EA04CD" w:rsidRDefault="00A63715" w:rsidP="00A63715">
            <w:pPr>
              <w:keepNext/>
              <w:spacing w:after="40" w:line="240" w:lineRule="auto"/>
              <w:rPr>
                <w:rFonts w:ascii="Arial Narrow" w:hAnsi="Arial Narrow"/>
                <w:b/>
                <w:color w:val="FFFFFF" w:themeColor="background1"/>
                <w:sz w:val="20"/>
                <w:szCs w:val="20"/>
              </w:rPr>
            </w:pPr>
            <w:r w:rsidRPr="00EA04CD">
              <w:rPr>
                <w:rFonts w:ascii="Arial Narrow" w:hAnsi="Arial Narrow"/>
                <w:b/>
                <w:color w:val="FFFFFF" w:themeColor="background1"/>
                <w:sz w:val="20"/>
                <w:szCs w:val="20"/>
              </w:rPr>
              <w:lastRenderedPageBreak/>
              <w:t>Any IgG (IVIg and SCIg) case series</w:t>
            </w:r>
          </w:p>
        </w:tc>
      </w:tr>
      <w:tr w:rsidR="00A63715" w:rsidRPr="00EA04CD" w14:paraId="5BFE8F46" w14:textId="77777777" w:rsidTr="00B1400F">
        <w:tc>
          <w:tcPr>
            <w:tcW w:w="509" w:type="pct"/>
          </w:tcPr>
          <w:p w14:paraId="153E7622" w14:textId="06626B85"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Benbrahim et al., 2018</w:t>
            </w:r>
          </w:p>
          <w:p w14:paraId="4424E8A5" w14:textId="293092BF"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(preliminary report)</w:t>
            </w:r>
          </w:p>
        </w:tc>
        <w:tc>
          <w:tcPr>
            <w:tcW w:w="384" w:type="pct"/>
          </w:tcPr>
          <w:p w14:paraId="56FDE12D" w14:textId="1E48526D"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Case series (prospective)</w:t>
            </w:r>
          </w:p>
        </w:tc>
        <w:tc>
          <w:tcPr>
            <w:tcW w:w="341" w:type="pct"/>
          </w:tcPr>
          <w:p w14:paraId="5A01A143" w14:textId="48A8AB8A"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RoB: low (IHE)</w:t>
            </w:r>
          </w:p>
        </w:tc>
        <w:tc>
          <w:tcPr>
            <w:tcW w:w="340" w:type="pct"/>
          </w:tcPr>
          <w:p w14:paraId="64B45004" w14:textId="23499C65"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N=231</w:t>
            </w:r>
          </w:p>
        </w:tc>
        <w:tc>
          <w:tcPr>
            <w:tcW w:w="596" w:type="pct"/>
          </w:tcPr>
          <w:p w14:paraId="746E8D08" w14:textId="635735EC"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MM(64), CLL(84), NHL(71), AL(6); HL(6)</w:t>
            </w:r>
          </w:p>
        </w:tc>
        <w:tc>
          <w:tcPr>
            <w:tcW w:w="794" w:type="pct"/>
          </w:tcPr>
          <w:p w14:paraId="5025551B" w14:textId="2C168703"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385mg/k/mo IVIg</w:t>
            </w:r>
            <w:r w:rsidRPr="00EA04CD">
              <w:rPr>
                <w:rFonts w:ascii="Arial Narrow" w:hAnsi="Arial Narrow"/>
                <w:sz w:val="20"/>
                <w:szCs w:val="20"/>
              </w:rPr>
              <w:br/>
              <w:t>99 mg/kg/wk SCIg</w:t>
            </w:r>
          </w:p>
        </w:tc>
        <w:tc>
          <w:tcPr>
            <w:tcW w:w="588" w:type="pct"/>
            <w:gridSpan w:val="2"/>
          </w:tcPr>
          <w:p w14:paraId="433EC78C" w14:textId="6E9D6C4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Reported in Benbrahim 2019</w:t>
            </w:r>
          </w:p>
        </w:tc>
        <w:tc>
          <w:tcPr>
            <w:tcW w:w="1095" w:type="pct"/>
          </w:tcPr>
          <w:p w14:paraId="5A7A1E6C" w14:textId="284FCD91"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Reported in Benbrahim 2019.</w:t>
            </w:r>
          </w:p>
        </w:tc>
        <w:tc>
          <w:tcPr>
            <w:tcW w:w="353" w:type="pct"/>
          </w:tcPr>
          <w:p w14:paraId="19EE09E6" w14:textId="6205E24D"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w:t>
            </w:r>
          </w:p>
        </w:tc>
      </w:tr>
      <w:tr w:rsidR="00A63715" w:rsidRPr="00EA04CD" w14:paraId="08562321" w14:textId="77777777" w:rsidTr="00B1400F">
        <w:tc>
          <w:tcPr>
            <w:tcW w:w="509" w:type="pct"/>
          </w:tcPr>
          <w:p w14:paraId="477A6FAB" w14:textId="08C386A4"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Benbrahim et al., 2019</w:t>
            </w:r>
          </w:p>
          <w:p w14:paraId="5379852F" w14:textId="3F1ADB7F"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(Follow-up report)</w:t>
            </w:r>
          </w:p>
        </w:tc>
        <w:tc>
          <w:tcPr>
            <w:tcW w:w="384" w:type="pct"/>
          </w:tcPr>
          <w:p w14:paraId="77F73C21" w14:textId="0FEC3432"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Case series (prospective)</w:t>
            </w:r>
          </w:p>
        </w:tc>
        <w:tc>
          <w:tcPr>
            <w:tcW w:w="341" w:type="pct"/>
          </w:tcPr>
          <w:p w14:paraId="57582842" w14:textId="02E6CBC1" w:rsidR="00A63715" w:rsidRPr="00EA04CD" w:rsidRDefault="00A63715" w:rsidP="00F814DE">
            <w:pPr>
              <w:tabs>
                <w:tab w:val="left" w:pos="458"/>
              </w:tabs>
              <w:spacing w:before="0" w:after="20" w:line="240" w:lineRule="auto"/>
              <w:ind w:left="-57"/>
              <w:jc w:val="left"/>
              <w:rPr>
                <w:rFonts w:ascii="Arial Narrow" w:hAnsi="Arial Narrow"/>
                <w:sz w:val="20"/>
                <w:szCs w:val="20"/>
              </w:rPr>
            </w:pPr>
            <w:r w:rsidRPr="00EA04CD">
              <w:rPr>
                <w:rFonts w:ascii="Arial Narrow" w:hAnsi="Arial Narrow"/>
                <w:sz w:val="20"/>
                <w:szCs w:val="20"/>
              </w:rPr>
              <w:t>As above.</w:t>
            </w:r>
          </w:p>
        </w:tc>
        <w:tc>
          <w:tcPr>
            <w:tcW w:w="340" w:type="pct"/>
          </w:tcPr>
          <w:p w14:paraId="62CAB8F2" w14:textId="0B9467A0"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N=160</w:t>
            </w:r>
          </w:p>
        </w:tc>
        <w:tc>
          <w:tcPr>
            <w:tcW w:w="596" w:type="pct"/>
          </w:tcPr>
          <w:p w14:paraId="1625F89A" w14:textId="3D21A77C"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MM(54), CLL(54), aggressive NHL(19), indolent NHL(29), HL(4)</w:t>
            </w:r>
          </w:p>
        </w:tc>
        <w:tc>
          <w:tcPr>
            <w:tcW w:w="794" w:type="pct"/>
          </w:tcPr>
          <w:p w14:paraId="6729747D" w14:textId="0D0F3F6F"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 xml:space="preserve">IVIg dose 387±78mg/kg/mo </w:t>
            </w:r>
          </w:p>
          <w:p w14:paraId="49BEF9DF" w14:textId="50B1527A"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97±45mg/kg/wk SCIg (equals 388mg/kg/mo)</w:t>
            </w:r>
          </w:p>
        </w:tc>
        <w:tc>
          <w:tcPr>
            <w:tcW w:w="588" w:type="pct"/>
            <w:gridSpan w:val="2"/>
          </w:tcPr>
          <w:p w14:paraId="62300813"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12 month protocol</w:t>
            </w:r>
          </w:p>
          <w:p w14:paraId="3E84B641" w14:textId="09A9C034"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Mean exposure 8.4±4.0 mo (median 8.8 mo).</w:t>
            </w:r>
          </w:p>
        </w:tc>
        <w:tc>
          <w:tcPr>
            <w:tcW w:w="1095" w:type="pct"/>
          </w:tcPr>
          <w:p w14:paraId="0450B814" w14:textId="182E9033"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Change in serum IgG from baseline; annual incidence of infections. Also infections requiring antibiotics, requiring IV antibiotics, and requiring hospitalisation. Incidence of WHO grade &gt;2 infections</w:t>
            </w:r>
          </w:p>
        </w:tc>
        <w:tc>
          <w:tcPr>
            <w:tcW w:w="353" w:type="pct"/>
          </w:tcPr>
          <w:p w14:paraId="27B2904A" w14:textId="454C0BA3" w:rsidR="00A63715" w:rsidRPr="00EA04CD" w:rsidRDefault="00A63715" w:rsidP="00F814DE">
            <w:pPr>
              <w:spacing w:before="0" w:after="20" w:line="240" w:lineRule="auto"/>
              <w:ind w:left="-57"/>
              <w:jc w:val="left"/>
              <w:rPr>
                <w:rFonts w:ascii="Arial Narrow" w:hAnsi="Arial Narrow"/>
                <w:sz w:val="20"/>
                <w:szCs w:val="20"/>
                <w:highlight w:val="yellow"/>
              </w:rPr>
            </w:pPr>
            <w:r w:rsidRPr="00EA04CD">
              <w:rPr>
                <w:rFonts w:ascii="Arial Narrow" w:hAnsi="Arial Narrow"/>
                <w:sz w:val="20"/>
                <w:szCs w:val="20"/>
              </w:rPr>
              <w:t>Yes</w:t>
            </w:r>
          </w:p>
        </w:tc>
      </w:tr>
      <w:tr w:rsidR="00A63715" w:rsidRPr="00EA04CD" w14:paraId="18B573BA" w14:textId="77777777" w:rsidTr="00B1400F">
        <w:tc>
          <w:tcPr>
            <w:tcW w:w="509" w:type="pct"/>
          </w:tcPr>
          <w:p w14:paraId="7AF473B6" w14:textId="79CED8A8"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Duraisingham et al., 2014</w:t>
            </w:r>
          </w:p>
        </w:tc>
        <w:tc>
          <w:tcPr>
            <w:tcW w:w="384" w:type="pct"/>
          </w:tcPr>
          <w:p w14:paraId="0F07FDF6" w14:textId="764674CE"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Case series (PID vs SID)</w:t>
            </w:r>
          </w:p>
        </w:tc>
        <w:tc>
          <w:tcPr>
            <w:tcW w:w="341" w:type="pct"/>
          </w:tcPr>
          <w:p w14:paraId="588C02EF" w14:textId="44EDA5BB"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RoB: moderate (IHE)</w:t>
            </w:r>
          </w:p>
        </w:tc>
        <w:tc>
          <w:tcPr>
            <w:tcW w:w="340" w:type="pct"/>
          </w:tcPr>
          <w:p w14:paraId="40A68F1F" w14:textId="3B877D54"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N=39 SID patients, of which 15 had HM</w:t>
            </w:r>
          </w:p>
        </w:tc>
        <w:tc>
          <w:tcPr>
            <w:tcW w:w="596" w:type="pct"/>
          </w:tcPr>
          <w:p w14:paraId="50CD8069" w14:textId="67054B4C"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 xml:space="preserve">CLL(1), MM(1), NHL(11); MDS(1); MGUS(1) </w:t>
            </w:r>
          </w:p>
        </w:tc>
        <w:tc>
          <w:tcPr>
            <w:tcW w:w="794" w:type="pct"/>
          </w:tcPr>
          <w:p w14:paraId="5126831E" w14:textId="4FBF60E9"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Median IgG dose 0.53g/kg (range 0.35–1.03)</w:t>
            </w:r>
            <w:r w:rsidRPr="00EA04CD">
              <w:rPr>
                <w:rFonts w:ascii="Arial Narrow" w:hAnsi="Arial Narrow"/>
                <w:sz w:val="20"/>
                <w:szCs w:val="20"/>
              </w:rPr>
              <w:br/>
              <w:t>4-weekly, 12 mo</w:t>
            </w:r>
          </w:p>
          <w:p w14:paraId="24B29CD7" w14:textId="4D80EDF0"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SID patients had IVIg (n=13, 33%) or SCIg (n=26, 67%)</w:t>
            </w:r>
          </w:p>
        </w:tc>
        <w:tc>
          <w:tcPr>
            <w:tcW w:w="588" w:type="pct"/>
            <w:gridSpan w:val="2"/>
          </w:tcPr>
          <w:p w14:paraId="73379B66" w14:textId="6634FA6F"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12 month observation (median tx, 1 yr [range &lt;1-9] – incl. existing patients)</w:t>
            </w:r>
          </w:p>
        </w:tc>
        <w:tc>
          <w:tcPr>
            <w:tcW w:w="1095" w:type="pct"/>
          </w:tcPr>
          <w:p w14:paraId="37519A35" w14:textId="197863E5"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Patient demographics, causes of immunodeficiency, diagnostic delay, clinical and laboratory features, infection frequency</w:t>
            </w:r>
          </w:p>
        </w:tc>
        <w:tc>
          <w:tcPr>
            <w:tcW w:w="353" w:type="pct"/>
          </w:tcPr>
          <w:p w14:paraId="5095AA5C" w14:textId="59771B38"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Yes</w:t>
            </w:r>
          </w:p>
        </w:tc>
      </w:tr>
      <w:tr w:rsidR="00A63715" w:rsidRPr="00EA04CD" w14:paraId="5C5D0D66" w14:textId="77777777" w:rsidTr="00B1400F">
        <w:tc>
          <w:tcPr>
            <w:tcW w:w="509" w:type="pct"/>
          </w:tcPr>
          <w:p w14:paraId="680991B4" w14:textId="30388969"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Reiser et al., 2017</w:t>
            </w:r>
          </w:p>
        </w:tc>
        <w:tc>
          <w:tcPr>
            <w:tcW w:w="384" w:type="pct"/>
          </w:tcPr>
          <w:p w14:paraId="522784B9" w14:textId="03FC5C69"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Case series</w:t>
            </w:r>
          </w:p>
        </w:tc>
        <w:tc>
          <w:tcPr>
            <w:tcW w:w="341" w:type="pct"/>
          </w:tcPr>
          <w:p w14:paraId="49F60FF9" w14:textId="6BFBDB7C"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RoB: moderate (IHE)</w:t>
            </w:r>
          </w:p>
        </w:tc>
        <w:tc>
          <w:tcPr>
            <w:tcW w:w="340" w:type="pct"/>
          </w:tcPr>
          <w:p w14:paraId="511BA158" w14:textId="0371E4C4"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N=307</w:t>
            </w:r>
          </w:p>
        </w:tc>
        <w:tc>
          <w:tcPr>
            <w:tcW w:w="596" w:type="pct"/>
          </w:tcPr>
          <w:p w14:paraId="2C099BA4" w14:textId="68526B8A" w:rsidR="00A63715" w:rsidRPr="0046676A" w:rsidRDefault="00A63715" w:rsidP="0046676A">
            <w:pPr>
              <w:spacing w:before="0" w:after="20" w:line="240" w:lineRule="auto"/>
              <w:ind w:left="-57"/>
              <w:jc w:val="left"/>
              <w:rPr>
                <w:rFonts w:ascii="Arial Narrow" w:hAnsi="Arial Narrow"/>
                <w:sz w:val="20"/>
                <w:szCs w:val="20"/>
              </w:rPr>
            </w:pPr>
            <w:r w:rsidRPr="0046676A">
              <w:rPr>
                <w:rFonts w:ascii="Arial Narrow" w:hAnsi="Arial Narrow"/>
                <w:sz w:val="20"/>
                <w:szCs w:val="20"/>
              </w:rPr>
              <w:t>CLL(130); MM(43); NHL(</w:t>
            </w:r>
            <w:r w:rsidR="0046676A" w:rsidRPr="0046676A">
              <w:rPr>
                <w:rFonts w:ascii="Arial Narrow" w:hAnsi="Arial Narrow"/>
                <w:sz w:val="20"/>
                <w:szCs w:val="20"/>
              </w:rPr>
              <w:t>99</w:t>
            </w:r>
            <w:r w:rsidRPr="0046676A">
              <w:rPr>
                <w:rFonts w:ascii="Arial Narrow" w:hAnsi="Arial Narrow"/>
                <w:sz w:val="20"/>
                <w:szCs w:val="20"/>
              </w:rPr>
              <w:t>); other(35)</w:t>
            </w:r>
          </w:p>
        </w:tc>
        <w:tc>
          <w:tcPr>
            <w:tcW w:w="794" w:type="pct"/>
          </w:tcPr>
          <w:p w14:paraId="1D8DD661"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Variable. Median (IQR) 4-weekly dose:</w:t>
            </w:r>
          </w:p>
          <w:p w14:paraId="6565F671"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IVIg (n=287); 163mg/kg (116-258)</w:t>
            </w:r>
          </w:p>
          <w:p w14:paraId="51BE3601" w14:textId="13AC378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SCIg (n=20); 330mg/kg (255-420)</w:t>
            </w:r>
          </w:p>
        </w:tc>
        <w:tc>
          <w:tcPr>
            <w:tcW w:w="588" w:type="pct"/>
            <w:gridSpan w:val="2"/>
          </w:tcPr>
          <w:p w14:paraId="092AAE04" w14:textId="7C51A6F4"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Duration of on-study treatment (mean, median or total months) not described.</w:t>
            </w:r>
          </w:p>
        </w:tc>
        <w:tc>
          <w:tcPr>
            <w:tcW w:w="1095" w:type="pct"/>
          </w:tcPr>
          <w:p w14:paraId="45628746" w14:textId="2632FD65"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Infection rate; serious bacterial infections; IgG trough levels; side-effects; QoL; mortality; IgG utilisation</w:t>
            </w:r>
          </w:p>
        </w:tc>
        <w:tc>
          <w:tcPr>
            <w:tcW w:w="353" w:type="pct"/>
          </w:tcPr>
          <w:p w14:paraId="6FEC6EA1" w14:textId="257766E4" w:rsidR="00A63715" w:rsidRPr="00EA04CD" w:rsidRDefault="00A63715" w:rsidP="00F814DE">
            <w:pPr>
              <w:spacing w:before="0" w:after="20" w:line="240" w:lineRule="auto"/>
              <w:ind w:left="-57"/>
              <w:jc w:val="left"/>
              <w:rPr>
                <w:rFonts w:ascii="Arial Narrow" w:hAnsi="Arial Narrow"/>
                <w:sz w:val="20"/>
                <w:szCs w:val="20"/>
                <w:highlight w:val="yellow"/>
              </w:rPr>
            </w:pPr>
            <w:r w:rsidRPr="00EA04CD">
              <w:rPr>
                <w:rFonts w:ascii="Arial Narrow" w:hAnsi="Arial Narrow"/>
                <w:sz w:val="20"/>
                <w:szCs w:val="20"/>
              </w:rPr>
              <w:t>Yes</w:t>
            </w:r>
          </w:p>
        </w:tc>
      </w:tr>
      <w:tr w:rsidR="00A63715" w:rsidRPr="00EA04CD" w14:paraId="4D37D589" w14:textId="77777777" w:rsidTr="00B1400F">
        <w:tc>
          <w:tcPr>
            <w:tcW w:w="2964" w:type="pct"/>
            <w:gridSpan w:val="6"/>
            <w:shd w:val="clear" w:color="auto" w:fill="000000" w:themeFill="text1"/>
          </w:tcPr>
          <w:p w14:paraId="2BC30BA8" w14:textId="77777777" w:rsidR="00A63715" w:rsidRPr="00EA04CD" w:rsidRDefault="00A63715" w:rsidP="00A63715">
            <w:pPr>
              <w:keepNext/>
              <w:spacing w:before="0" w:after="0" w:line="240" w:lineRule="auto"/>
              <w:rPr>
                <w:rFonts w:ascii="Arial Narrow" w:hAnsi="Arial Narrow"/>
                <w:b/>
                <w:color w:val="FFFFFF" w:themeColor="background1"/>
                <w:sz w:val="20"/>
                <w:szCs w:val="20"/>
              </w:rPr>
            </w:pPr>
            <w:r w:rsidRPr="00EA04CD">
              <w:rPr>
                <w:rFonts w:ascii="Arial Narrow" w:hAnsi="Arial Narrow"/>
                <w:b/>
                <w:color w:val="FFFFFF" w:themeColor="background1"/>
                <w:sz w:val="20"/>
                <w:szCs w:val="20"/>
              </w:rPr>
              <w:t>Non-comparative studies – IVIg v SCIg case series</w:t>
            </w:r>
          </w:p>
        </w:tc>
        <w:tc>
          <w:tcPr>
            <w:tcW w:w="211" w:type="pct"/>
            <w:shd w:val="clear" w:color="auto" w:fill="000000" w:themeFill="text1"/>
          </w:tcPr>
          <w:p w14:paraId="74A2E400" w14:textId="77777777" w:rsidR="00A63715" w:rsidRPr="00EA04CD" w:rsidRDefault="00A63715" w:rsidP="00A63715">
            <w:pPr>
              <w:keepNext/>
              <w:spacing w:before="0" w:after="0" w:line="240" w:lineRule="auto"/>
              <w:rPr>
                <w:rFonts w:ascii="Arial Narrow" w:hAnsi="Arial Narrow"/>
                <w:b/>
                <w:color w:val="FFFFFF" w:themeColor="background1"/>
                <w:sz w:val="20"/>
                <w:szCs w:val="20"/>
              </w:rPr>
            </w:pPr>
          </w:p>
        </w:tc>
        <w:tc>
          <w:tcPr>
            <w:tcW w:w="1825" w:type="pct"/>
            <w:gridSpan w:val="3"/>
            <w:shd w:val="clear" w:color="auto" w:fill="000000" w:themeFill="text1"/>
          </w:tcPr>
          <w:p w14:paraId="2811C824" w14:textId="77777777" w:rsidR="00A63715" w:rsidRPr="00EA04CD" w:rsidRDefault="00A63715" w:rsidP="00A63715">
            <w:pPr>
              <w:keepNext/>
              <w:spacing w:before="0" w:after="0" w:line="240" w:lineRule="auto"/>
              <w:rPr>
                <w:rFonts w:ascii="Arial Narrow" w:hAnsi="Arial Narrow"/>
                <w:b/>
                <w:color w:val="FFFFFF" w:themeColor="background1"/>
                <w:sz w:val="20"/>
                <w:szCs w:val="20"/>
              </w:rPr>
            </w:pPr>
          </w:p>
        </w:tc>
      </w:tr>
      <w:tr w:rsidR="00A63715" w:rsidRPr="00EA04CD" w14:paraId="32103C7F" w14:textId="77777777" w:rsidTr="00B1400F">
        <w:tc>
          <w:tcPr>
            <w:tcW w:w="509" w:type="pct"/>
          </w:tcPr>
          <w:p w14:paraId="5CC8AEF8" w14:textId="16B3A997" w:rsidR="00A63715" w:rsidRPr="00EA04CD" w:rsidRDefault="00A63715" w:rsidP="00F814DE">
            <w:pPr>
              <w:spacing w:after="20" w:line="240" w:lineRule="auto"/>
              <w:ind w:left="-57"/>
              <w:jc w:val="left"/>
              <w:rPr>
                <w:rFonts w:ascii="Arial Narrow" w:hAnsi="Arial Narrow"/>
                <w:sz w:val="20"/>
                <w:szCs w:val="20"/>
              </w:rPr>
            </w:pPr>
            <w:r w:rsidRPr="00EA04CD">
              <w:rPr>
                <w:rFonts w:ascii="Arial Narrow" w:hAnsi="Arial Narrow"/>
                <w:sz w:val="20"/>
                <w:szCs w:val="20"/>
              </w:rPr>
              <w:t>Sundin et al., 2012</w:t>
            </w:r>
          </w:p>
        </w:tc>
        <w:tc>
          <w:tcPr>
            <w:tcW w:w="384" w:type="pct"/>
          </w:tcPr>
          <w:p w14:paraId="19ED5163" w14:textId="057DD642" w:rsidR="00A63715" w:rsidRPr="00EA04CD" w:rsidRDefault="00A63715" w:rsidP="00F814DE">
            <w:pPr>
              <w:spacing w:after="20" w:line="240" w:lineRule="auto"/>
              <w:ind w:left="-57"/>
              <w:jc w:val="left"/>
              <w:rPr>
                <w:rFonts w:ascii="Arial Narrow" w:hAnsi="Arial Narrow"/>
                <w:sz w:val="20"/>
                <w:szCs w:val="20"/>
              </w:rPr>
            </w:pPr>
            <w:r w:rsidRPr="00EA04CD">
              <w:rPr>
                <w:rFonts w:ascii="Arial Narrow" w:hAnsi="Arial Narrow"/>
                <w:sz w:val="20"/>
                <w:szCs w:val="20"/>
              </w:rPr>
              <w:t>Case series (IVIg v SCIg cohort study design)</w:t>
            </w:r>
          </w:p>
        </w:tc>
        <w:tc>
          <w:tcPr>
            <w:tcW w:w="341" w:type="pct"/>
          </w:tcPr>
          <w:p w14:paraId="40580F04" w14:textId="479151A1" w:rsidR="00A63715" w:rsidRPr="00EA04CD" w:rsidRDefault="00A63715" w:rsidP="00F814DE">
            <w:pPr>
              <w:spacing w:after="20" w:line="240" w:lineRule="auto"/>
              <w:ind w:left="-57"/>
              <w:jc w:val="left"/>
              <w:rPr>
                <w:rFonts w:ascii="Arial Narrow" w:hAnsi="Arial Narrow"/>
                <w:sz w:val="20"/>
                <w:szCs w:val="20"/>
              </w:rPr>
            </w:pPr>
            <w:r w:rsidRPr="00EA04CD">
              <w:rPr>
                <w:rFonts w:ascii="Arial Narrow" w:hAnsi="Arial Narrow"/>
                <w:sz w:val="20"/>
                <w:szCs w:val="20"/>
              </w:rPr>
              <w:t>RoB: moderate</w:t>
            </w:r>
          </w:p>
        </w:tc>
        <w:tc>
          <w:tcPr>
            <w:tcW w:w="340" w:type="pct"/>
          </w:tcPr>
          <w:p w14:paraId="0D44F44F" w14:textId="2CF57B69" w:rsidR="00A63715" w:rsidRPr="00EA04CD" w:rsidRDefault="00A63715" w:rsidP="00F814DE">
            <w:pPr>
              <w:spacing w:after="20" w:line="240" w:lineRule="auto"/>
              <w:ind w:left="-57"/>
              <w:jc w:val="left"/>
              <w:rPr>
                <w:rFonts w:ascii="Arial Narrow" w:hAnsi="Arial Narrow"/>
                <w:sz w:val="20"/>
                <w:szCs w:val="20"/>
              </w:rPr>
            </w:pPr>
            <w:r w:rsidRPr="00EA04CD">
              <w:rPr>
                <w:rFonts w:ascii="Arial Narrow" w:hAnsi="Arial Narrow"/>
                <w:sz w:val="20"/>
                <w:szCs w:val="20"/>
              </w:rPr>
              <w:t>N=58, of which 26 had HM</w:t>
            </w:r>
          </w:p>
        </w:tc>
        <w:tc>
          <w:tcPr>
            <w:tcW w:w="596" w:type="pct"/>
          </w:tcPr>
          <w:p w14:paraId="295D24BC" w14:textId="608C3087" w:rsidR="00A63715" w:rsidRPr="00EA04CD" w:rsidRDefault="00A63715" w:rsidP="00F814DE">
            <w:pPr>
              <w:spacing w:after="20" w:line="240" w:lineRule="auto"/>
              <w:ind w:left="-57"/>
              <w:jc w:val="left"/>
              <w:rPr>
                <w:rFonts w:ascii="Arial Narrow" w:hAnsi="Arial Narrow"/>
                <w:sz w:val="20"/>
                <w:szCs w:val="20"/>
              </w:rPr>
            </w:pPr>
            <w:r w:rsidRPr="00EA04CD">
              <w:rPr>
                <w:rFonts w:ascii="Arial Narrow" w:hAnsi="Arial Narrow"/>
                <w:sz w:val="20"/>
                <w:szCs w:val="20"/>
              </w:rPr>
              <w:t>HSCT</w:t>
            </w:r>
          </w:p>
        </w:tc>
        <w:tc>
          <w:tcPr>
            <w:tcW w:w="794" w:type="pct"/>
          </w:tcPr>
          <w:p w14:paraId="7D2E8C85"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IVIg: 0.3–0.5 g/kg, every 2-4 weeks, OR</w:t>
            </w:r>
          </w:p>
          <w:p w14:paraId="75571650" w14:textId="7DD1D694" w:rsidR="00A63715" w:rsidRPr="00EA04CD" w:rsidRDefault="00A63715" w:rsidP="00F814DE">
            <w:pPr>
              <w:spacing w:after="20" w:line="240" w:lineRule="auto"/>
              <w:ind w:left="-57"/>
              <w:jc w:val="left"/>
              <w:rPr>
                <w:rFonts w:ascii="Arial Narrow" w:hAnsi="Arial Narrow"/>
                <w:sz w:val="20"/>
                <w:szCs w:val="20"/>
              </w:rPr>
            </w:pPr>
            <w:r w:rsidRPr="00EA04CD">
              <w:rPr>
                <w:rFonts w:ascii="Arial Narrow" w:hAnsi="Arial Narrow"/>
                <w:sz w:val="20"/>
                <w:szCs w:val="20"/>
              </w:rPr>
              <w:t>SCIg: 0.1–0.2g/kg every 1-2 weeks</w:t>
            </w:r>
          </w:p>
        </w:tc>
        <w:tc>
          <w:tcPr>
            <w:tcW w:w="588" w:type="pct"/>
            <w:gridSpan w:val="2"/>
          </w:tcPr>
          <w:p w14:paraId="7621ED2A"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SCIg: Median 9 (range 6-20 months)</w:t>
            </w:r>
          </w:p>
          <w:p w14:paraId="28FFE8FC" w14:textId="0E9458C6" w:rsidR="00A63715" w:rsidRPr="00EA04CD" w:rsidRDefault="00A63715" w:rsidP="00F814DE">
            <w:pPr>
              <w:spacing w:after="20" w:line="240" w:lineRule="auto"/>
              <w:ind w:left="-57"/>
              <w:jc w:val="left"/>
              <w:rPr>
                <w:rFonts w:ascii="Arial Narrow" w:hAnsi="Arial Narrow"/>
                <w:sz w:val="20"/>
                <w:szCs w:val="20"/>
              </w:rPr>
            </w:pPr>
            <w:r w:rsidRPr="00EA04CD">
              <w:rPr>
                <w:rFonts w:ascii="Arial Narrow" w:hAnsi="Arial Narrow"/>
                <w:sz w:val="20"/>
                <w:szCs w:val="20"/>
              </w:rPr>
              <w:t>IVIg: Median 5 months (range 3-47 months)</w:t>
            </w:r>
          </w:p>
        </w:tc>
        <w:tc>
          <w:tcPr>
            <w:tcW w:w="1095" w:type="pct"/>
          </w:tcPr>
          <w:p w14:paraId="7C99D101" w14:textId="6C1E68C9" w:rsidR="00A63715" w:rsidRPr="00EA04CD" w:rsidRDefault="00A63715" w:rsidP="00F814DE">
            <w:pPr>
              <w:spacing w:after="20" w:line="240" w:lineRule="auto"/>
              <w:ind w:left="-57"/>
              <w:jc w:val="left"/>
              <w:rPr>
                <w:rFonts w:ascii="Arial Narrow" w:hAnsi="Arial Narrow"/>
                <w:sz w:val="20"/>
                <w:szCs w:val="20"/>
              </w:rPr>
            </w:pPr>
            <w:r w:rsidRPr="00EA04CD">
              <w:rPr>
                <w:rFonts w:ascii="Arial Narrow" w:hAnsi="Arial Narrow"/>
                <w:sz w:val="20"/>
                <w:szCs w:val="20"/>
              </w:rPr>
              <w:t>Rate of infections, IgG trough levels, GVHD; adverse events</w:t>
            </w:r>
          </w:p>
        </w:tc>
        <w:tc>
          <w:tcPr>
            <w:tcW w:w="353" w:type="pct"/>
          </w:tcPr>
          <w:p w14:paraId="33F3FBD0" w14:textId="12240DB4" w:rsidR="00A63715" w:rsidRPr="00EA04CD" w:rsidRDefault="00A63715" w:rsidP="00F814DE">
            <w:pPr>
              <w:spacing w:after="20" w:line="240" w:lineRule="auto"/>
              <w:ind w:left="-57"/>
              <w:jc w:val="left"/>
              <w:rPr>
                <w:rFonts w:ascii="Arial Narrow" w:hAnsi="Arial Narrow"/>
                <w:sz w:val="20"/>
                <w:szCs w:val="20"/>
              </w:rPr>
            </w:pPr>
            <w:r w:rsidRPr="00EA04CD">
              <w:rPr>
                <w:rFonts w:ascii="Arial Narrow" w:hAnsi="Arial Narrow"/>
                <w:sz w:val="20"/>
                <w:szCs w:val="20"/>
              </w:rPr>
              <w:t>Compari</w:t>
            </w:r>
            <w:r w:rsidR="00DF00D5">
              <w:rPr>
                <w:rFonts w:ascii="Arial Narrow" w:hAnsi="Arial Narrow"/>
                <w:sz w:val="20"/>
                <w:szCs w:val="20"/>
              </w:rPr>
              <w:t>-</w:t>
            </w:r>
            <w:r w:rsidRPr="00EA04CD">
              <w:rPr>
                <w:rFonts w:ascii="Arial Narrow" w:hAnsi="Arial Narrow"/>
                <w:sz w:val="20"/>
                <w:szCs w:val="20"/>
              </w:rPr>
              <w:t>son not possible</w:t>
            </w:r>
          </w:p>
        </w:tc>
      </w:tr>
      <w:tr w:rsidR="00A63715" w:rsidRPr="00EA04CD" w14:paraId="30029480" w14:textId="77777777" w:rsidTr="00B1400F">
        <w:tc>
          <w:tcPr>
            <w:tcW w:w="509" w:type="pct"/>
          </w:tcPr>
          <w:p w14:paraId="0B677453" w14:textId="6FB3D4C5"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Windegger et al. 2019</w:t>
            </w:r>
          </w:p>
        </w:tc>
        <w:tc>
          <w:tcPr>
            <w:tcW w:w="384" w:type="pct"/>
          </w:tcPr>
          <w:p w14:paraId="1AE646F5" w14:textId="60F66DE5"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Before/after time series</w:t>
            </w:r>
          </w:p>
        </w:tc>
        <w:tc>
          <w:tcPr>
            <w:tcW w:w="341" w:type="pct"/>
          </w:tcPr>
          <w:p w14:paraId="0F3CDE54" w14:textId="3A0F381C"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RoB: moderate (IHE)</w:t>
            </w:r>
          </w:p>
        </w:tc>
        <w:tc>
          <w:tcPr>
            <w:tcW w:w="340" w:type="pct"/>
          </w:tcPr>
          <w:p w14:paraId="2D29EE45" w14:textId="46F26A9C"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 xml:space="preserve">N=13 </w:t>
            </w:r>
            <w:r w:rsidRPr="00EA04CD">
              <w:rPr>
                <w:rFonts w:ascii="Arial Narrow" w:hAnsi="Arial Narrow"/>
                <w:sz w:val="20"/>
                <w:szCs w:val="20"/>
              </w:rPr>
              <w:br/>
              <w:t>(N=84 for QoL survey)</w:t>
            </w:r>
          </w:p>
        </w:tc>
        <w:tc>
          <w:tcPr>
            <w:tcW w:w="596" w:type="pct"/>
          </w:tcPr>
          <w:p w14:paraId="3CA697EC" w14:textId="49C0854C"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Haem. malignancy (undefined)</w:t>
            </w:r>
          </w:p>
        </w:tc>
        <w:tc>
          <w:tcPr>
            <w:tcW w:w="794" w:type="pct"/>
          </w:tcPr>
          <w:p w14:paraId="6FBC6677" w14:textId="234ED3CE"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IVIg 4 weekly: mean: 29.46g/mo</w:t>
            </w:r>
          </w:p>
          <w:p w14:paraId="29B3CA8F"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followed by</w:t>
            </w:r>
          </w:p>
          <w:p w14:paraId="5E1EFDD1" w14:textId="3A980705"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SCIg weekly: mean: 31.15g/mo</w:t>
            </w:r>
          </w:p>
        </w:tc>
        <w:tc>
          <w:tcPr>
            <w:tcW w:w="588" w:type="pct"/>
            <w:gridSpan w:val="2"/>
          </w:tcPr>
          <w:p w14:paraId="65FC26E5" w14:textId="2E63AC18"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12 months each IVIg then SCIg crossover</w:t>
            </w:r>
          </w:p>
        </w:tc>
        <w:tc>
          <w:tcPr>
            <w:tcW w:w="1095" w:type="pct"/>
          </w:tcPr>
          <w:p w14:paraId="156D1595" w14:textId="002ACB7F"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Utilities associated with disease and infections</w:t>
            </w:r>
          </w:p>
        </w:tc>
        <w:tc>
          <w:tcPr>
            <w:tcW w:w="353" w:type="pct"/>
          </w:tcPr>
          <w:p w14:paraId="14E1A84F" w14:textId="0C2E7C93"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Compari</w:t>
            </w:r>
            <w:r w:rsidR="00DF00D5">
              <w:rPr>
                <w:rFonts w:ascii="Arial Narrow" w:hAnsi="Arial Narrow"/>
                <w:sz w:val="20"/>
                <w:szCs w:val="20"/>
              </w:rPr>
              <w:t>-</w:t>
            </w:r>
            <w:r w:rsidRPr="00EA04CD">
              <w:rPr>
                <w:rFonts w:ascii="Arial Narrow" w:hAnsi="Arial Narrow"/>
                <w:sz w:val="20"/>
                <w:szCs w:val="20"/>
              </w:rPr>
              <w:t>son not possible</w:t>
            </w:r>
          </w:p>
        </w:tc>
      </w:tr>
      <w:tr w:rsidR="00A63715" w:rsidRPr="00EA04CD" w14:paraId="71317107" w14:textId="77777777" w:rsidTr="00B1400F">
        <w:tc>
          <w:tcPr>
            <w:tcW w:w="5000" w:type="pct"/>
            <w:gridSpan w:val="10"/>
            <w:shd w:val="clear" w:color="auto" w:fill="000000" w:themeFill="text1"/>
          </w:tcPr>
          <w:p w14:paraId="30ACD343" w14:textId="32D95B33" w:rsidR="00A63715" w:rsidRPr="00EA04CD" w:rsidRDefault="00A63715" w:rsidP="00A63715">
            <w:pPr>
              <w:keepNext/>
              <w:spacing w:after="40" w:line="240" w:lineRule="auto"/>
              <w:rPr>
                <w:rFonts w:ascii="Arial Narrow" w:hAnsi="Arial Narrow"/>
                <w:b/>
                <w:color w:val="FFFFFF" w:themeColor="background1"/>
                <w:sz w:val="20"/>
                <w:szCs w:val="20"/>
              </w:rPr>
            </w:pPr>
            <w:r w:rsidRPr="00EA04CD">
              <w:rPr>
                <w:rFonts w:ascii="Arial Narrow" w:hAnsi="Arial Narrow"/>
                <w:b/>
                <w:color w:val="FFFFFF" w:themeColor="background1"/>
                <w:sz w:val="20"/>
                <w:szCs w:val="20"/>
              </w:rPr>
              <w:lastRenderedPageBreak/>
              <w:t>Other (IVIg and SCIg) – dosing studies</w:t>
            </w:r>
          </w:p>
        </w:tc>
      </w:tr>
      <w:tr w:rsidR="00A63715" w:rsidRPr="00EA04CD" w14:paraId="0EFC9C26" w14:textId="77777777" w:rsidTr="00B1400F">
        <w:tc>
          <w:tcPr>
            <w:tcW w:w="509" w:type="pct"/>
          </w:tcPr>
          <w:p w14:paraId="6ACCB6FC"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Chapel, Dicato et al. 1994</w:t>
            </w:r>
          </w:p>
        </w:tc>
        <w:tc>
          <w:tcPr>
            <w:tcW w:w="384" w:type="pct"/>
          </w:tcPr>
          <w:p w14:paraId="4A94C37A"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Case series</w:t>
            </w:r>
          </w:p>
        </w:tc>
        <w:tc>
          <w:tcPr>
            <w:tcW w:w="341" w:type="pct"/>
          </w:tcPr>
          <w:p w14:paraId="481C08BF" w14:textId="4C0EBB80"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RoB: low</w:t>
            </w:r>
          </w:p>
        </w:tc>
        <w:tc>
          <w:tcPr>
            <w:tcW w:w="340" w:type="pct"/>
          </w:tcPr>
          <w:p w14:paraId="768850AA"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N=34</w:t>
            </w:r>
          </w:p>
        </w:tc>
        <w:tc>
          <w:tcPr>
            <w:tcW w:w="596" w:type="pct"/>
          </w:tcPr>
          <w:p w14:paraId="668B7C52"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CLL</w:t>
            </w:r>
          </w:p>
        </w:tc>
        <w:tc>
          <w:tcPr>
            <w:tcW w:w="794" w:type="pct"/>
          </w:tcPr>
          <w:p w14:paraId="102D4BA8"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500mg/kg or 250 mg/kg</w:t>
            </w:r>
          </w:p>
        </w:tc>
        <w:tc>
          <w:tcPr>
            <w:tcW w:w="588" w:type="pct"/>
            <w:gridSpan w:val="2"/>
          </w:tcPr>
          <w:p w14:paraId="34BC14CB"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12 month protocol</w:t>
            </w:r>
          </w:p>
        </w:tc>
        <w:tc>
          <w:tcPr>
            <w:tcW w:w="1095" w:type="pct"/>
          </w:tcPr>
          <w:p w14:paraId="2E768265"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Incidence of infections; adverse reactions</w:t>
            </w:r>
          </w:p>
        </w:tc>
        <w:tc>
          <w:tcPr>
            <w:tcW w:w="353" w:type="pct"/>
          </w:tcPr>
          <w:p w14:paraId="13751D95" w14:textId="6E6DCBA2" w:rsidR="00A63715" w:rsidRPr="00EA04CD" w:rsidRDefault="00A63715" w:rsidP="00F814DE">
            <w:pPr>
              <w:spacing w:before="0" w:after="20" w:line="240" w:lineRule="auto"/>
              <w:ind w:left="-57"/>
              <w:jc w:val="left"/>
              <w:rPr>
                <w:rFonts w:ascii="Arial Narrow" w:hAnsi="Arial Narrow"/>
                <w:sz w:val="20"/>
                <w:szCs w:val="20"/>
                <w:highlight w:val="yellow"/>
              </w:rPr>
            </w:pPr>
            <w:r w:rsidRPr="00EA04CD">
              <w:rPr>
                <w:rFonts w:ascii="Arial Narrow" w:hAnsi="Arial Narrow"/>
                <w:sz w:val="20"/>
                <w:szCs w:val="20"/>
              </w:rPr>
              <w:t>Compari</w:t>
            </w:r>
            <w:r w:rsidR="00DF00D5">
              <w:rPr>
                <w:rFonts w:ascii="Arial Narrow" w:hAnsi="Arial Narrow"/>
                <w:sz w:val="20"/>
                <w:szCs w:val="20"/>
              </w:rPr>
              <w:t>-</w:t>
            </w:r>
            <w:r w:rsidRPr="00EA04CD">
              <w:rPr>
                <w:rFonts w:ascii="Arial Narrow" w:hAnsi="Arial Narrow"/>
                <w:sz w:val="20"/>
                <w:szCs w:val="20"/>
              </w:rPr>
              <w:t>son not possible</w:t>
            </w:r>
          </w:p>
        </w:tc>
      </w:tr>
      <w:tr w:rsidR="00A63715" w:rsidRPr="00EA04CD" w14:paraId="1481ADCE" w14:textId="77777777" w:rsidTr="00B1400F">
        <w:tc>
          <w:tcPr>
            <w:tcW w:w="509" w:type="pct"/>
          </w:tcPr>
          <w:p w14:paraId="670E4600" w14:textId="5082A79F"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Stump et al., 2017</w:t>
            </w:r>
          </w:p>
        </w:tc>
        <w:tc>
          <w:tcPr>
            <w:tcW w:w="384" w:type="pct"/>
          </w:tcPr>
          <w:p w14:paraId="29A056FA"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Case series</w:t>
            </w:r>
          </w:p>
        </w:tc>
        <w:tc>
          <w:tcPr>
            <w:tcW w:w="341" w:type="pct"/>
          </w:tcPr>
          <w:p w14:paraId="07357AA8" w14:textId="47C66896"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RoB: high</w:t>
            </w:r>
          </w:p>
        </w:tc>
        <w:tc>
          <w:tcPr>
            <w:tcW w:w="340" w:type="pct"/>
          </w:tcPr>
          <w:p w14:paraId="29AF3D99" w14:textId="7DD9352C"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N=79 (209 infusions)</w:t>
            </w:r>
          </w:p>
        </w:tc>
        <w:tc>
          <w:tcPr>
            <w:tcW w:w="596" w:type="pct"/>
          </w:tcPr>
          <w:p w14:paraId="42DAE3C2"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CLL(74); AL(65); MM(26); NHL(32); HL(7); CML(5)</w:t>
            </w:r>
          </w:p>
        </w:tc>
        <w:tc>
          <w:tcPr>
            <w:tcW w:w="794" w:type="pct"/>
          </w:tcPr>
          <w:p w14:paraId="626066C3"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Dose levels not reported. Comparison of actual vs ideal BW dosing.</w:t>
            </w:r>
          </w:p>
        </w:tc>
        <w:tc>
          <w:tcPr>
            <w:tcW w:w="588" w:type="pct"/>
            <w:gridSpan w:val="2"/>
          </w:tcPr>
          <w:p w14:paraId="27532627" w14:textId="26574AB1"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 xml:space="preserve">30 months or 2.5 years; median doses per patient 1 (range 1-18; mean 2.6) during this period </w:t>
            </w:r>
          </w:p>
        </w:tc>
        <w:tc>
          <w:tcPr>
            <w:tcW w:w="1095" w:type="pct"/>
          </w:tcPr>
          <w:p w14:paraId="3BEB5B71" w14:textId="77777777"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Primary outcome was infection rate within 30 days of IVIg administration; Secondary outcomes incl. 60-day infection rate, IgG-level response (&gt;400mg/dL), realised and potential IVIg savings.</w:t>
            </w:r>
          </w:p>
        </w:tc>
        <w:tc>
          <w:tcPr>
            <w:tcW w:w="353" w:type="pct"/>
          </w:tcPr>
          <w:p w14:paraId="729F2F47" w14:textId="0529FF34" w:rsidR="00A63715" w:rsidRPr="00EA04CD" w:rsidRDefault="00A63715" w:rsidP="00F814DE">
            <w:pPr>
              <w:spacing w:before="0" w:after="20" w:line="240" w:lineRule="auto"/>
              <w:ind w:left="-57"/>
              <w:jc w:val="left"/>
              <w:rPr>
                <w:rFonts w:ascii="Arial Narrow" w:hAnsi="Arial Narrow"/>
                <w:sz w:val="20"/>
                <w:szCs w:val="20"/>
              </w:rPr>
            </w:pPr>
            <w:r w:rsidRPr="00EA04CD">
              <w:rPr>
                <w:rFonts w:ascii="Arial Narrow" w:hAnsi="Arial Narrow"/>
                <w:sz w:val="20"/>
                <w:szCs w:val="20"/>
              </w:rPr>
              <w:t>Compari</w:t>
            </w:r>
            <w:r w:rsidR="00DF00D5">
              <w:rPr>
                <w:rFonts w:ascii="Arial Narrow" w:hAnsi="Arial Narrow"/>
                <w:sz w:val="20"/>
                <w:szCs w:val="20"/>
              </w:rPr>
              <w:t>-</w:t>
            </w:r>
            <w:r w:rsidRPr="00EA04CD">
              <w:rPr>
                <w:rFonts w:ascii="Arial Narrow" w:hAnsi="Arial Narrow"/>
                <w:sz w:val="20"/>
                <w:szCs w:val="20"/>
              </w:rPr>
              <w:t>son not possible</w:t>
            </w:r>
          </w:p>
        </w:tc>
      </w:tr>
    </w:tbl>
    <w:p w14:paraId="30D656D4" w14:textId="38767BDB" w:rsidR="0086413E" w:rsidRPr="00EA04CD" w:rsidRDefault="0086413E" w:rsidP="008742A1">
      <w:pPr>
        <w:pStyle w:val="Tablenotes1"/>
      </w:pPr>
      <w:r w:rsidRPr="00EA04CD">
        <w:rPr>
          <w:u w:val="single"/>
        </w:rPr>
        <w:t>Risk of Bias</w:t>
      </w:r>
      <w:r w:rsidR="00F215B6" w:rsidRPr="00EA04CD">
        <w:t xml:space="preserve"> was assessed using the </w:t>
      </w:r>
      <w:r w:rsidRPr="00EA04CD">
        <w:t xml:space="preserve">SIGN checklist for </w:t>
      </w:r>
      <w:r w:rsidR="00097820" w:rsidRPr="00EA04CD">
        <w:t>randomised</w:t>
      </w:r>
      <w:r w:rsidRPr="00EA04CD">
        <w:t xml:space="preserve"> trials</w:t>
      </w:r>
      <w:r w:rsidR="00F215B6" w:rsidRPr="00EA04CD">
        <w:t xml:space="preserve"> (for RCTs only)</w:t>
      </w:r>
      <w:r w:rsidRPr="00EA04CD">
        <w:t xml:space="preserve">; </w:t>
      </w:r>
      <w:r w:rsidR="00F215B6" w:rsidRPr="00EA04CD">
        <w:t>the SIGN checklist for cohort</w:t>
      </w:r>
      <w:r w:rsidRPr="00EA04CD">
        <w:t xml:space="preserve"> </w:t>
      </w:r>
      <w:r w:rsidR="00F215B6" w:rsidRPr="00EA04CD">
        <w:t>studies, and</w:t>
      </w:r>
      <w:r w:rsidRPr="00EA04CD">
        <w:t xml:space="preserve"> the IHE checklist</w:t>
      </w:r>
      <w:r w:rsidR="00F215B6" w:rsidRPr="00EA04CD">
        <w:t xml:space="preserve"> for case series</w:t>
      </w:r>
      <w:r w:rsidRPr="00EA04CD">
        <w:t xml:space="preserve">.  </w:t>
      </w:r>
    </w:p>
    <w:p w14:paraId="0C7CDAD0" w14:textId="41E2AD24" w:rsidR="003E1557" w:rsidRPr="00EA04CD" w:rsidRDefault="003E1557" w:rsidP="008742A1">
      <w:pPr>
        <w:pStyle w:val="Tablenotes1"/>
      </w:pPr>
      <w:r w:rsidRPr="00EA04CD">
        <w:t>*</w:t>
      </w:r>
      <w:r w:rsidR="003E7D3E" w:rsidRPr="00EA04CD">
        <w:rPr>
          <w:u w:val="single"/>
        </w:rPr>
        <w:t>Notes</w:t>
      </w:r>
      <w:r w:rsidR="003E7D3E" w:rsidRPr="00EA04CD">
        <w:t xml:space="preserve">: </w:t>
      </w:r>
      <w:r w:rsidR="001671CA" w:rsidRPr="00EA04CD">
        <w:rPr>
          <w:u w:val="single"/>
        </w:rPr>
        <w:t>Units conversion</w:t>
      </w:r>
      <w:r w:rsidR="001671CA" w:rsidRPr="00EA04CD">
        <w:t xml:space="preserve">: 100mg/dL (units used in older studies) equals 1g/L; </w:t>
      </w:r>
      <w:r w:rsidR="0066133F" w:rsidRPr="00EA04CD">
        <w:rPr>
          <w:u w:val="single"/>
        </w:rPr>
        <w:t>Benbrahim et al., 2018</w:t>
      </w:r>
      <w:r w:rsidR="0066133F" w:rsidRPr="00EA04CD">
        <w:t xml:space="preserve"> – 23% of all patients had received auto-HSCT, mostly MM patients (31/64 MM patients had HSCT). See study profile for definition of aggressive vs indolent NHL.  </w:t>
      </w:r>
      <w:r w:rsidR="00804836" w:rsidRPr="00EA04CD">
        <w:rPr>
          <w:u w:val="single"/>
        </w:rPr>
        <w:t>Dimou et al., 2018</w:t>
      </w:r>
      <w:r w:rsidR="00804836" w:rsidRPr="00EA04CD">
        <w:t xml:space="preserve"> – the dose units quoted in the paper should be ‘g/L’ not ‘mg/L’ – Maria Dimou (pers. comm., May 2019).  </w:t>
      </w:r>
      <w:r w:rsidR="007667B3" w:rsidRPr="00EA04CD">
        <w:rPr>
          <w:u w:val="single"/>
        </w:rPr>
        <w:t>Günther &amp; Dreger 2013</w:t>
      </w:r>
      <w:r w:rsidR="003E7D3E" w:rsidRPr="00EA04CD">
        <w:t xml:space="preserve"> – the p</w:t>
      </w:r>
      <w:r w:rsidRPr="00EA04CD">
        <w:t xml:space="preserve">lasmacytoma </w:t>
      </w:r>
      <w:r w:rsidR="003E7D3E" w:rsidRPr="00EA04CD">
        <w:t>case was IgA-secreting which is most likely not</w:t>
      </w:r>
      <w:r w:rsidRPr="00EA04CD">
        <w:t xml:space="preserve"> included in </w:t>
      </w:r>
      <w:r w:rsidR="003E7D3E" w:rsidRPr="00EA04CD">
        <w:t xml:space="preserve">the </w:t>
      </w:r>
      <w:r w:rsidRPr="00EA04CD">
        <w:t>WHO definition of MM</w:t>
      </w:r>
      <w:r w:rsidR="003E7D3E" w:rsidRPr="00EA04CD">
        <w:t xml:space="preserve"> depending on other clinical features (if </w:t>
      </w:r>
      <w:r w:rsidR="005B45C7" w:rsidRPr="00EA04CD">
        <w:t xml:space="preserve">solitary or </w:t>
      </w:r>
      <w:r w:rsidR="003E7D3E" w:rsidRPr="00EA04CD">
        <w:t xml:space="preserve">extramedullary), thus </w:t>
      </w:r>
      <w:r w:rsidR="003E7D3E" w:rsidRPr="00EA04CD">
        <w:rPr>
          <w:szCs w:val="20"/>
        </w:rPr>
        <w:t>is an ‘other haematological malignancy’</w:t>
      </w:r>
      <w:r w:rsidRPr="00EA04CD">
        <w:t xml:space="preserve">; FL </w:t>
      </w:r>
      <w:r w:rsidR="00680782" w:rsidRPr="00EA04CD">
        <w:t>is</w:t>
      </w:r>
      <w:r w:rsidRPr="00EA04CD">
        <w:t xml:space="preserve"> included in the WHO definition of NHL</w:t>
      </w:r>
      <w:r w:rsidR="00680782" w:rsidRPr="00EA04CD">
        <w:t>;</w:t>
      </w:r>
      <w:r w:rsidR="003E7D3E" w:rsidRPr="00EA04CD">
        <w:t xml:space="preserve"> the case of WM (described by authors as</w:t>
      </w:r>
      <w:r w:rsidR="00680782" w:rsidRPr="00EA04CD">
        <w:t xml:space="preserve"> </w:t>
      </w:r>
      <w:r w:rsidR="003E7D3E" w:rsidRPr="00EA04CD">
        <w:t xml:space="preserve">an </w:t>
      </w:r>
      <w:r w:rsidR="00680782" w:rsidRPr="00EA04CD">
        <w:rPr>
          <w:szCs w:val="20"/>
        </w:rPr>
        <w:t>IgM-secreting immunocytoma</w:t>
      </w:r>
      <w:r w:rsidR="003E7D3E" w:rsidRPr="00EA04CD">
        <w:rPr>
          <w:szCs w:val="20"/>
        </w:rPr>
        <w:t>)</w:t>
      </w:r>
      <w:r w:rsidR="00680782" w:rsidRPr="00EA04CD">
        <w:rPr>
          <w:szCs w:val="20"/>
        </w:rPr>
        <w:t xml:space="preserve"> is an ‘other haematological malignancy’</w:t>
      </w:r>
      <w:r w:rsidR="0066133F" w:rsidRPr="00EA04CD">
        <w:rPr>
          <w:szCs w:val="20"/>
        </w:rPr>
        <w:t xml:space="preserve">; </w:t>
      </w:r>
      <w:r w:rsidR="0066133F" w:rsidRPr="00EA04CD">
        <w:rPr>
          <w:szCs w:val="20"/>
          <w:u w:val="single"/>
        </w:rPr>
        <w:t>Paxton et al., 2016</w:t>
      </w:r>
      <w:r w:rsidR="0066133F" w:rsidRPr="00EA04CD">
        <w:rPr>
          <w:szCs w:val="20"/>
        </w:rPr>
        <w:t xml:space="preserve"> – 5 patients with ‘other’ malignancies were AML(1), amyloidosis(1), T-cell NHL(3); </w:t>
      </w:r>
      <w:r w:rsidR="0066133F" w:rsidRPr="00EA04CD">
        <w:rPr>
          <w:szCs w:val="20"/>
          <w:u w:val="single"/>
        </w:rPr>
        <w:t>Reiser et al., 2017</w:t>
      </w:r>
      <w:r w:rsidR="0066133F" w:rsidRPr="00EA04CD">
        <w:rPr>
          <w:szCs w:val="20"/>
        </w:rPr>
        <w:t xml:space="preserve"> – </w:t>
      </w:r>
      <w:r w:rsidR="0046676A" w:rsidRPr="0046676A">
        <w:rPr>
          <w:szCs w:val="20"/>
        </w:rPr>
        <w:t>NHL</w:t>
      </w:r>
      <w:r w:rsidR="0046676A">
        <w:rPr>
          <w:szCs w:val="20"/>
        </w:rPr>
        <w:t xml:space="preserve"> total was reported as 22 NHL patients and 77 indolent lymphoma</w:t>
      </w:r>
      <w:r w:rsidR="0066133F" w:rsidRPr="00EA04CD">
        <w:rPr>
          <w:szCs w:val="20"/>
        </w:rPr>
        <w:t xml:space="preserve"> (</w:t>
      </w:r>
      <w:r w:rsidR="0046676A">
        <w:rPr>
          <w:szCs w:val="20"/>
        </w:rPr>
        <w:t xml:space="preserve">the latter is </w:t>
      </w:r>
      <w:r w:rsidR="0066133F" w:rsidRPr="00EA04CD">
        <w:rPr>
          <w:szCs w:val="20"/>
        </w:rPr>
        <w:t>most likely FL</w:t>
      </w:r>
      <w:r w:rsidR="0046676A">
        <w:rPr>
          <w:szCs w:val="20"/>
        </w:rPr>
        <w:t>, a type of NHL</w:t>
      </w:r>
      <w:r w:rsidR="0066133F" w:rsidRPr="00EA04CD">
        <w:rPr>
          <w:szCs w:val="20"/>
        </w:rPr>
        <w:t xml:space="preserve">), ‘Other’: HIV(7), post-transplant(7), leukaemia (not CLL)(4), HL(2), 15 other malignant and non-malignant conditions (e.g. MGUS, MDS, AA, haemolytic anaemia, COPD); </w:t>
      </w:r>
      <w:r w:rsidR="0066133F" w:rsidRPr="00EA04CD">
        <w:rPr>
          <w:szCs w:val="20"/>
          <w:u w:val="single"/>
        </w:rPr>
        <w:t>Sundin et al., 2012</w:t>
      </w:r>
      <w:r w:rsidR="0066133F" w:rsidRPr="00EA04CD">
        <w:rPr>
          <w:szCs w:val="20"/>
        </w:rPr>
        <w:t xml:space="preserve"> – underlying diagnoses were ALL(11); AML(7); JMML(3); NHL(2); MDS(3); other 1° </w:t>
      </w:r>
      <w:r w:rsidR="00465460" w:rsidRPr="00EA04CD">
        <w:rPr>
          <w:szCs w:val="20"/>
        </w:rPr>
        <w:t>/ 2° causes of hypo-GG</w:t>
      </w:r>
      <w:r w:rsidR="003E7D3E" w:rsidRPr="00EA04CD">
        <w:rPr>
          <w:szCs w:val="20"/>
        </w:rPr>
        <w:t>.</w:t>
      </w:r>
      <w:r w:rsidRPr="00EA04CD">
        <w:t xml:space="preserve">  </w:t>
      </w:r>
    </w:p>
    <w:p w14:paraId="6B7662B5" w14:textId="77777777" w:rsidR="002A7E30" w:rsidRDefault="001671CA" w:rsidP="008742A1">
      <w:pPr>
        <w:pStyle w:val="Tablenotes1"/>
        <w:sectPr w:rsidR="002A7E30" w:rsidSect="003E1557">
          <w:footerReference w:type="default" r:id="rId30"/>
          <w:pgSz w:w="16838" w:h="11906" w:orient="landscape"/>
          <w:pgMar w:top="1440" w:right="1440" w:bottom="1440" w:left="1440" w:header="720" w:footer="720" w:gutter="0"/>
          <w:paperSrc w:first="2" w:other="2"/>
          <w:cols w:space="720"/>
          <w:docGrid w:linePitch="299"/>
        </w:sectPr>
      </w:pPr>
      <w:r w:rsidRPr="00EA04CD">
        <w:rPr>
          <w:u w:val="single"/>
        </w:rPr>
        <w:t>Abbreviations</w:t>
      </w:r>
      <w:r w:rsidRPr="00EA04CD">
        <w:t xml:space="preserve">: </w:t>
      </w:r>
      <w:r w:rsidR="003E1557" w:rsidRPr="00EA04CD">
        <w:t>AA=aplastic anaemia; AEs=adverse events; AML=acute myeloid leukaemia; BMT=bone marrow transplant</w:t>
      </w:r>
      <w:r w:rsidR="00486E0B">
        <w:t>;</w:t>
      </w:r>
      <w:r w:rsidR="003E1557" w:rsidRPr="00EA04CD">
        <w:t xml:space="preserve"> </w:t>
      </w:r>
      <w:r w:rsidR="00486E0B">
        <w:t xml:space="preserve">BW=body weight; </w:t>
      </w:r>
      <w:r w:rsidR="003E1557" w:rsidRPr="00EA04CD">
        <w:t xml:space="preserve">CLL=chronic lymphocytic leukaemia; </w:t>
      </w:r>
      <w:r w:rsidR="00F814DE">
        <w:t>CML=</w:t>
      </w:r>
      <w:r w:rsidR="00F814DE" w:rsidRPr="00F814DE">
        <w:t>chronic myeloid leukaemia</w:t>
      </w:r>
      <w:r w:rsidR="00F814DE">
        <w:t xml:space="preserve">; </w:t>
      </w:r>
      <w:r w:rsidR="003E1557" w:rsidRPr="00EA04CD">
        <w:t xml:space="preserve">CMV=cytomegalovirus; </w:t>
      </w:r>
      <w:r w:rsidR="0046676A">
        <w:t xml:space="preserve">COPD=chronic obstructive pulmonary disease; </w:t>
      </w:r>
      <w:r w:rsidR="003E1557" w:rsidRPr="00EA04CD">
        <w:t xml:space="preserve">FL=follicular lymphoma; G-CSF=granulocyte colony stimulating factor (filgrastim); GVHD=graft versus host disease; HBV=hepatitis B virus; HCV=hepatitis C virus; HIV=human immunodeficiency virus; </w:t>
      </w:r>
      <w:r w:rsidR="00B1400F" w:rsidRPr="00EA04CD">
        <w:t xml:space="preserve">HM=haematological malignancy; </w:t>
      </w:r>
      <w:r w:rsidR="003E1557" w:rsidRPr="00EA04CD">
        <w:t>HR=hazard ratio; HRQoL=health-related quality of life; HSCT=haematopoietic stem cell transplant; hypo-GG=hypogammaglobulinaemia; IgA=alpha immunoglobulin; IgG=gamma immunoglobulin; IgM=</w:t>
      </w:r>
      <w:r w:rsidR="00442151" w:rsidRPr="00EA04CD">
        <w:t>mu immunoglobulin</w:t>
      </w:r>
      <w:r w:rsidR="003E1557" w:rsidRPr="00EA04CD">
        <w:t xml:space="preserve">; IMIg=intramuscular immunoglobulin; IQR=interquartile range; IRB=institutional review board (USA); ITP=idiopathic thrombocytopenic purpura; IVIg=intravenous immunoglobulin; </w:t>
      </w:r>
      <w:r w:rsidR="00B024BB" w:rsidRPr="00EA04CD">
        <w:t xml:space="preserve">JMML=juvenile myelomonocytic leukaemia; </w:t>
      </w:r>
      <w:r w:rsidR="003E1557" w:rsidRPr="00EA04CD">
        <w:t>LLN=lower limit of normal (laboratory reference range); MDS=myelodysplastic syndrome;</w:t>
      </w:r>
      <w:r w:rsidR="0046676A">
        <w:t xml:space="preserve"> MGUS=monoclonal gammopathy of undetermined significance;</w:t>
      </w:r>
      <w:r w:rsidR="003E1557" w:rsidRPr="00EA04CD">
        <w:t xml:space="preserve"> MM=multiple myeloma; NHL=non-Hodgkin lymphoma; NNH=number needed to harm; PAPS=primary antiphospholipid syndrome; </w:t>
      </w:r>
      <w:r w:rsidR="00B1400F" w:rsidRPr="00EA04CD">
        <w:t xml:space="preserve">QoL=quality of life; </w:t>
      </w:r>
      <w:r w:rsidR="0086413E" w:rsidRPr="00EA04CD">
        <w:t xml:space="preserve">RCT=randomised controlled trial; </w:t>
      </w:r>
      <w:r w:rsidR="003E1557" w:rsidRPr="00EA04CD">
        <w:t xml:space="preserve">SCIg=subcutaneous immunoglobulin; sd=standard deviation; </w:t>
      </w:r>
      <w:r w:rsidR="00B1400F" w:rsidRPr="00EA04CD">
        <w:t xml:space="preserve">SID=secondary immunodeficiency; </w:t>
      </w:r>
      <w:r w:rsidR="003E1557" w:rsidRPr="00EA04CD">
        <w:t>S+T=sulfamethoxazole+</w:t>
      </w:r>
      <w:r w:rsidR="00B1400F" w:rsidRPr="00EA04CD">
        <w:t xml:space="preserve"> </w:t>
      </w:r>
      <w:r w:rsidR="003E1557" w:rsidRPr="00EA04CD">
        <w:t>trimethoprim; tx=treatment; TEEs= thromboembolic events; URT=upper respiratory tract</w:t>
      </w:r>
      <w:r w:rsidR="003E7D3E" w:rsidRPr="00EA04CD">
        <w:t xml:space="preserve">; </w:t>
      </w:r>
      <w:r w:rsidR="00486E0B">
        <w:t xml:space="preserve">WHO=World Health Organization; </w:t>
      </w:r>
      <w:r w:rsidR="003E7D3E" w:rsidRPr="00EA04CD">
        <w:t>WM=</w:t>
      </w:r>
      <w:r w:rsidR="003E7D3E" w:rsidRPr="00EA04CD">
        <w:rPr>
          <w:szCs w:val="20"/>
        </w:rPr>
        <w:t>Waldenström macroglobulinaemia</w:t>
      </w:r>
      <w:r w:rsidR="003E1557" w:rsidRPr="00EA04CD">
        <w:t>.</w:t>
      </w:r>
    </w:p>
    <w:p w14:paraId="669292A1" w14:textId="4B9F417C" w:rsidR="008D77C9" w:rsidRPr="00386411" w:rsidRDefault="008D77C9" w:rsidP="00331FB9">
      <w:pPr>
        <w:pStyle w:val="Heading2"/>
        <w:numPr>
          <w:ilvl w:val="1"/>
          <w:numId w:val="9"/>
        </w:numPr>
      </w:pPr>
      <w:bookmarkStart w:id="253" w:name="_Toc14431136"/>
      <w:bookmarkStart w:id="254" w:name="_Toc16856304"/>
      <w:r w:rsidRPr="00386411">
        <w:lastRenderedPageBreak/>
        <w:t>Outcome</w:t>
      </w:r>
      <w:r w:rsidR="0060025E" w:rsidRPr="00386411">
        <w:t xml:space="preserve"> Measure</w:t>
      </w:r>
      <w:r w:rsidRPr="00386411">
        <w:t>s</w:t>
      </w:r>
      <w:r w:rsidR="0060025E" w:rsidRPr="00386411">
        <w:t xml:space="preserve"> and Analysis</w:t>
      </w:r>
      <w:bookmarkEnd w:id="253"/>
      <w:bookmarkEnd w:id="254"/>
    </w:p>
    <w:p w14:paraId="20101291" w14:textId="546BAA9A" w:rsidR="0060025E" w:rsidRPr="007D0AA8" w:rsidRDefault="0016008C" w:rsidP="003C0114">
      <w:r w:rsidRPr="007D0AA8">
        <w:t xml:space="preserve">Study profiles in </w:t>
      </w:r>
      <w:r w:rsidR="0010116D" w:rsidRPr="007D0AA8">
        <w:fldChar w:fldCharType="begin"/>
      </w:r>
      <w:r w:rsidR="0010116D" w:rsidRPr="007D0AA8">
        <w:instrText xml:space="preserve"> REF _Ref421017583 \h </w:instrText>
      </w:r>
      <w:r w:rsidR="00386411" w:rsidRPr="007D0AA8">
        <w:instrText xml:space="preserve"> \* MERGEFORMAT </w:instrText>
      </w:r>
      <w:r w:rsidR="0010116D" w:rsidRPr="007D0AA8">
        <w:fldChar w:fldCharType="separate"/>
      </w:r>
      <w:r w:rsidR="00A7463B" w:rsidRPr="00386411">
        <w:t xml:space="preserve">Appendix </w:t>
      </w:r>
      <w:r w:rsidR="00A7463B">
        <w:rPr>
          <w:noProof/>
        </w:rPr>
        <w:t>D</w:t>
      </w:r>
      <w:r w:rsidR="0010116D" w:rsidRPr="007D0AA8">
        <w:fldChar w:fldCharType="end"/>
      </w:r>
      <w:r w:rsidR="0060025E" w:rsidRPr="007D0AA8">
        <w:t xml:space="preserve"> </w:t>
      </w:r>
      <w:r w:rsidRPr="007D0AA8">
        <w:t>include</w:t>
      </w:r>
      <w:r w:rsidR="0060025E" w:rsidRPr="007D0AA8">
        <w:t xml:space="preserve"> details on the outcomes measured in the included studies, along with the statistical methods used to analyse the results.</w:t>
      </w:r>
      <w:r w:rsidR="000A6A87" w:rsidRPr="007D0AA8">
        <w:t xml:space="preserve">  </w:t>
      </w:r>
    </w:p>
    <w:p w14:paraId="6ED4919A" w14:textId="1A851DBA" w:rsidR="000A6A87" w:rsidRPr="007D0AA8" w:rsidRDefault="000A6A87" w:rsidP="003C0114">
      <w:r w:rsidRPr="007D0AA8">
        <w:t>The principal outcomes reported by the included studies were limited to incidence or rates of infections. Infections were assessed, defined, analysed and reported in a wide range of ways in the studies included. A large proportion of these studies also reported resource use (or infections outcomes that are relevant to resource use), for example, hospitalisations due to infection, infections requiring antibiotics, days of hospitalisation, or similar. Consideration of transplant related outcomes such as GVHD and virus reactivation was limited by the small number of eligible HSCT studies that could be included in the evaluation.</w:t>
      </w:r>
    </w:p>
    <w:p w14:paraId="378FB8D1" w14:textId="538F3C6C" w:rsidR="000A6A87" w:rsidRPr="007D0AA8" w:rsidRDefault="000A6A87" w:rsidP="003C0114">
      <w:r w:rsidRPr="007D0AA8">
        <w:t xml:space="preserve">Of those studies reporting IgG use, only a subset reported safety data, often limited to systemic AEs observed in the intervention </w:t>
      </w:r>
      <w:r w:rsidR="0010116D" w:rsidRPr="007D0AA8">
        <w:t>arm, but not in the comparator.</w:t>
      </w:r>
      <w:r w:rsidRPr="007D0AA8">
        <w:t xml:space="preserve"> AEs were also typically reported immediately following the infusion and only in a few studies w</w:t>
      </w:r>
      <w:r w:rsidR="001855A6" w:rsidRPr="007D0AA8">
        <w:t>ere longer term outcomes such as</w:t>
      </w:r>
      <w:r w:rsidRPr="007D0AA8">
        <w:t xml:space="preserve"> risks considered. </w:t>
      </w:r>
    </w:p>
    <w:p w14:paraId="1D8D694A" w14:textId="1FB1EB7E" w:rsidR="00E8580A" w:rsidRPr="007D0AA8" w:rsidRDefault="000A6A87" w:rsidP="003C0114">
      <w:r w:rsidRPr="007D0AA8">
        <w:t>Retrospective studies relied on the completeness of physician’s notes and medical records for adequacy of all outcomes data.</w:t>
      </w:r>
    </w:p>
    <w:p w14:paraId="21C6065F" w14:textId="6110CFCC" w:rsidR="000A6A87" w:rsidRPr="007D0AA8" w:rsidRDefault="000A6A87" w:rsidP="003C0114">
      <w:r w:rsidRPr="007D0AA8">
        <w:t>As well as calculating infection rates per patient per month where possible, this evaluation undertook a meta-analysis of infection rates observed in the comparative studies (presented as a forest plot). This approach gave a relative risk of benefit in terms of infection with or without IgG. This provided a qualitative comparison of the included comparative studies given that each study defined and reported different types of infections and also evaluation of infections rates in each case suggests a wide variation in baseline risk of infection between studies.</w:t>
      </w:r>
    </w:p>
    <w:p w14:paraId="2E44B76F" w14:textId="77777777" w:rsidR="00E8580A" w:rsidRPr="00386411" w:rsidRDefault="00E8580A" w:rsidP="0060025E">
      <w:pPr>
        <w:rPr>
          <w:b/>
        </w:rPr>
      </w:pPr>
    </w:p>
    <w:p w14:paraId="37551A30" w14:textId="77777777" w:rsidR="000A6A87" w:rsidRPr="00386411" w:rsidRDefault="000A6A87" w:rsidP="00331FB9">
      <w:pPr>
        <w:pStyle w:val="Heading2"/>
        <w:numPr>
          <w:ilvl w:val="1"/>
          <w:numId w:val="9"/>
        </w:numPr>
        <w:sectPr w:rsidR="000A6A87" w:rsidRPr="00386411" w:rsidSect="0080059D">
          <w:headerReference w:type="even" r:id="rId31"/>
          <w:headerReference w:type="default" r:id="rId32"/>
          <w:footerReference w:type="even" r:id="rId33"/>
          <w:footerReference w:type="default" r:id="rId34"/>
          <w:headerReference w:type="first" r:id="rId35"/>
          <w:type w:val="oddPage"/>
          <w:pgSz w:w="11906" w:h="16838"/>
          <w:pgMar w:top="1440" w:right="1440" w:bottom="1440" w:left="1440" w:header="720" w:footer="720" w:gutter="0"/>
          <w:paperSrc w:first="7" w:other="7"/>
          <w:cols w:space="720"/>
        </w:sectPr>
      </w:pPr>
      <w:bookmarkStart w:id="255" w:name="_Toc122538326"/>
      <w:bookmarkStart w:id="256" w:name="_Toc143663862"/>
      <w:bookmarkStart w:id="257" w:name="_Ref144697268"/>
      <w:bookmarkStart w:id="258" w:name="_Ref144697275"/>
    </w:p>
    <w:p w14:paraId="505B4F11" w14:textId="6C453D7F" w:rsidR="00214F7B" w:rsidRPr="00386411" w:rsidRDefault="00214F7B" w:rsidP="00331FB9">
      <w:pPr>
        <w:pStyle w:val="Heading2"/>
        <w:numPr>
          <w:ilvl w:val="1"/>
          <w:numId w:val="9"/>
        </w:numPr>
      </w:pPr>
      <w:bookmarkStart w:id="259" w:name="_Toc14431137"/>
      <w:bookmarkStart w:id="260" w:name="_Toc16856305"/>
      <w:r w:rsidRPr="00386411">
        <w:lastRenderedPageBreak/>
        <w:t>Results of the Systematic Literature review</w:t>
      </w:r>
      <w:bookmarkEnd w:id="259"/>
      <w:bookmarkEnd w:id="260"/>
    </w:p>
    <w:p w14:paraId="59F531AA" w14:textId="04A6B399" w:rsidR="008F59A8" w:rsidRPr="00386411" w:rsidRDefault="008F59A8" w:rsidP="00DF343F">
      <w:pPr>
        <w:pStyle w:val="Heading2"/>
      </w:pPr>
      <w:bookmarkStart w:id="261" w:name="_Toc14431138"/>
      <w:bookmarkStart w:id="262" w:name="_Toc16856306"/>
      <w:bookmarkEnd w:id="230"/>
      <w:bookmarkEnd w:id="255"/>
      <w:bookmarkEnd w:id="256"/>
      <w:bookmarkEnd w:id="257"/>
      <w:bookmarkEnd w:id="258"/>
      <w:r w:rsidRPr="00386411">
        <w:t>Is it safe?</w:t>
      </w:r>
      <w:bookmarkEnd w:id="231"/>
      <w:bookmarkEnd w:id="261"/>
      <w:bookmarkEnd w:id="262"/>
      <w:r w:rsidRPr="00386411">
        <w:t xml:space="preserve"> </w:t>
      </w:r>
      <w:bookmarkEnd w:id="232"/>
    </w:p>
    <w:p w14:paraId="2E7F3594" w14:textId="3F004C61" w:rsidR="00A6596E" w:rsidRPr="00386411" w:rsidRDefault="00A6596E" w:rsidP="005C061E">
      <w:pPr>
        <w:pStyle w:val="Summaryboxheading"/>
        <w:pBdr>
          <w:top w:val="single" w:sz="4" w:space="1" w:color="auto"/>
          <w:left w:val="single" w:sz="4" w:space="4" w:color="auto"/>
          <w:bottom w:val="single" w:sz="4" w:space="1" w:color="auto"/>
          <w:right w:val="single" w:sz="4" w:space="4" w:color="auto"/>
        </w:pBdr>
      </w:pPr>
      <w:r w:rsidRPr="00386411">
        <w:t xml:space="preserve">Summary – </w:t>
      </w:r>
      <w:r w:rsidR="007057A3" w:rsidRPr="00386411">
        <w:t xml:space="preserve">Is IgG replacement therapy more safe, effective and cost-effective than no IgG?  </w:t>
      </w:r>
    </w:p>
    <w:p w14:paraId="0BD7EDBB" w14:textId="7832259E" w:rsidR="003F0BC4" w:rsidRPr="007D0AA8" w:rsidRDefault="003F0BC4" w:rsidP="003F0BC4">
      <w:pPr>
        <w:pStyle w:val="Summaryboxheading"/>
        <w:pBdr>
          <w:top w:val="single" w:sz="4" w:space="1" w:color="auto"/>
          <w:left w:val="single" w:sz="4" w:space="4" w:color="auto"/>
          <w:bottom w:val="single" w:sz="4" w:space="1" w:color="auto"/>
          <w:right w:val="single" w:sz="4" w:space="4" w:color="auto"/>
        </w:pBdr>
        <w:spacing w:after="240" w:afterAutospacing="0"/>
        <w:rPr>
          <w:b w:val="0"/>
        </w:rPr>
      </w:pPr>
      <w:r w:rsidRPr="007D0AA8">
        <w:rPr>
          <w:b w:val="0"/>
        </w:rPr>
        <w:t>AEs associated with IgG</w:t>
      </w:r>
      <w:r w:rsidR="00270836">
        <w:rPr>
          <w:b w:val="0"/>
        </w:rPr>
        <w:t xml:space="preserve"> infusion</w:t>
      </w:r>
      <w:r w:rsidRPr="007D0AA8">
        <w:rPr>
          <w:b w:val="0"/>
        </w:rPr>
        <w:t xml:space="preserve"> were frequent but generally mild (low grade) and were manageable with adjustments to infusion. Moderate AEs tended to be less frequent and were manageable with dose adjustment, cessation or corticosteroids. None of the included studies reported AEs greater than Grade 3 severity, nor were there any deaths or anaphylaxis due to IgG. </w:t>
      </w:r>
    </w:p>
    <w:p w14:paraId="3F8157F0" w14:textId="7F37C67A" w:rsidR="008E28F4" w:rsidRPr="007D0AA8" w:rsidRDefault="000A6A87" w:rsidP="005C061E">
      <w:pPr>
        <w:pStyle w:val="Summaryboxheading"/>
        <w:pBdr>
          <w:top w:val="single" w:sz="4" w:space="1" w:color="auto"/>
          <w:left w:val="single" w:sz="4" w:space="4" w:color="auto"/>
          <w:bottom w:val="single" w:sz="4" w:space="1" w:color="auto"/>
          <w:right w:val="single" w:sz="4" w:space="4" w:color="auto"/>
        </w:pBdr>
        <w:spacing w:after="240" w:afterAutospacing="0"/>
        <w:rPr>
          <w:b w:val="0"/>
        </w:rPr>
      </w:pPr>
      <w:r w:rsidRPr="007D0AA8">
        <w:rPr>
          <w:b w:val="0"/>
        </w:rPr>
        <w:t xml:space="preserve">Safety data were limited to reports of systemic AEs directly related to the infusion, with the exception of </w:t>
      </w:r>
      <w:r w:rsidR="00E51602" w:rsidRPr="007D0AA8">
        <w:rPr>
          <w:b w:val="0"/>
        </w:rPr>
        <w:t>a registry</w:t>
      </w:r>
      <w:r w:rsidR="00816960" w:rsidRPr="007D0AA8">
        <w:rPr>
          <w:b w:val="0"/>
        </w:rPr>
        <w:t xml:space="preserve"> </w:t>
      </w:r>
      <w:r w:rsidR="00816960" w:rsidRPr="00AE4873">
        <w:rPr>
          <w:b w:val="0"/>
        </w:rPr>
        <w:t>study</w:t>
      </w:r>
      <w:r w:rsidRPr="00AE4873">
        <w:rPr>
          <w:b w:val="0"/>
        </w:rPr>
        <w:t xml:space="preserve"> reporting TEE risk.</w:t>
      </w:r>
      <w:r w:rsidR="007E6878" w:rsidRPr="00AE4873">
        <w:rPr>
          <w:b w:val="0"/>
        </w:rPr>
        <w:t xml:space="preserve"> </w:t>
      </w:r>
      <w:r w:rsidR="00FA20FD" w:rsidRPr="00FA20FD">
        <w:rPr>
          <w:b w:val="0"/>
        </w:rPr>
        <w:t xml:space="preserve">Otherwise it was not feasible to consider long-term, rare or potentially unknown events. </w:t>
      </w:r>
      <w:r w:rsidR="008E28F4" w:rsidRPr="00AE4873">
        <w:rPr>
          <w:b w:val="0"/>
        </w:rPr>
        <w:t>A number of the</w:t>
      </w:r>
      <w:r w:rsidR="008E28F4" w:rsidRPr="007D0AA8">
        <w:rPr>
          <w:b w:val="0"/>
        </w:rPr>
        <w:t xml:space="preserve"> included studies reported no safety outcomes (</w:t>
      </w:r>
      <w:r w:rsidR="008E28F4" w:rsidRPr="007D0AA8">
        <w:rPr>
          <w:b w:val="0"/>
        </w:rPr>
        <w:fldChar w:fldCharType="begin"/>
      </w:r>
      <w:r w:rsidR="008E28F4" w:rsidRPr="007D0AA8">
        <w:rPr>
          <w:b w:val="0"/>
        </w:rPr>
        <w:instrText xml:space="preserve"> REF _Ref9248035 \h  \* MERGEFORMAT </w:instrText>
      </w:r>
      <w:r w:rsidR="008E28F4" w:rsidRPr="007D0AA8">
        <w:rPr>
          <w:b w:val="0"/>
        </w:rPr>
      </w:r>
      <w:r w:rsidR="008E28F4" w:rsidRPr="007D0AA8">
        <w:rPr>
          <w:b w:val="0"/>
        </w:rPr>
        <w:fldChar w:fldCharType="separate"/>
      </w:r>
      <w:r w:rsidR="00A7463B" w:rsidRPr="00A7463B">
        <w:rPr>
          <w:b w:val="0"/>
        </w:rPr>
        <w:t xml:space="preserve">Table </w:t>
      </w:r>
      <w:r w:rsidR="00A7463B" w:rsidRPr="00A7463B">
        <w:rPr>
          <w:b w:val="0"/>
          <w:noProof/>
        </w:rPr>
        <w:t>21</w:t>
      </w:r>
      <w:r w:rsidR="008E28F4" w:rsidRPr="007D0AA8">
        <w:rPr>
          <w:b w:val="0"/>
        </w:rPr>
        <w:fldChar w:fldCharType="end"/>
      </w:r>
      <w:r w:rsidR="008E28F4" w:rsidRPr="007D0AA8">
        <w:rPr>
          <w:b w:val="0"/>
        </w:rPr>
        <w:t xml:space="preserve">).  </w:t>
      </w:r>
    </w:p>
    <w:p w14:paraId="7EF5C71B" w14:textId="55844A5C" w:rsidR="003F0BC4" w:rsidRPr="007D0AA8" w:rsidRDefault="00DC1CE6" w:rsidP="003F0BC4">
      <w:pPr>
        <w:pStyle w:val="Summaryboxheading"/>
        <w:pBdr>
          <w:top w:val="single" w:sz="4" w:space="1" w:color="auto"/>
          <w:left w:val="single" w:sz="4" w:space="4" w:color="auto"/>
          <w:bottom w:val="single" w:sz="4" w:space="1" w:color="auto"/>
          <w:right w:val="single" w:sz="4" w:space="4" w:color="auto"/>
        </w:pBdr>
        <w:spacing w:after="240" w:afterAutospacing="0"/>
        <w:rPr>
          <w:b w:val="0"/>
        </w:rPr>
      </w:pPr>
      <w:r>
        <w:rPr>
          <w:b w:val="0"/>
        </w:rPr>
        <w:t>T</w:t>
      </w:r>
      <w:r w:rsidR="003F0BC4" w:rsidRPr="007D0AA8">
        <w:rPr>
          <w:b w:val="0"/>
        </w:rPr>
        <w:t>he included studies did not adequately describe antibiotic use</w:t>
      </w:r>
      <w:r>
        <w:rPr>
          <w:b w:val="0"/>
        </w:rPr>
        <w:t xml:space="preserve"> thus adverse events arising from</w:t>
      </w:r>
      <w:r w:rsidR="00E84357">
        <w:rPr>
          <w:b w:val="0"/>
        </w:rPr>
        <w:t xml:space="preserve"> </w:t>
      </w:r>
      <w:r>
        <w:rPr>
          <w:b w:val="0"/>
        </w:rPr>
        <w:t>antibiotic use could not be evaluated</w:t>
      </w:r>
      <w:r w:rsidR="00E84357">
        <w:rPr>
          <w:b w:val="0"/>
        </w:rPr>
        <w:t xml:space="preserve"> as specified in the PICO</w:t>
      </w:r>
      <w:r w:rsidR="003F0BC4" w:rsidRPr="007D0AA8">
        <w:rPr>
          <w:b w:val="0"/>
        </w:rPr>
        <w:t xml:space="preserve">.  </w:t>
      </w:r>
    </w:p>
    <w:p w14:paraId="1142B615" w14:textId="33093D69" w:rsidR="000A6A87" w:rsidRPr="007D0AA8" w:rsidRDefault="000A6A87" w:rsidP="005C061E">
      <w:pPr>
        <w:pStyle w:val="Summaryboxheading"/>
        <w:pBdr>
          <w:top w:val="single" w:sz="4" w:space="1" w:color="auto"/>
          <w:left w:val="single" w:sz="4" w:space="4" w:color="auto"/>
          <w:bottom w:val="single" w:sz="4" w:space="1" w:color="auto"/>
          <w:right w:val="single" w:sz="4" w:space="4" w:color="auto"/>
        </w:pBdr>
        <w:spacing w:after="240" w:afterAutospacing="0"/>
        <w:rPr>
          <w:b w:val="0"/>
        </w:rPr>
      </w:pPr>
      <w:r w:rsidRPr="007D0AA8">
        <w:rPr>
          <w:b w:val="0"/>
        </w:rPr>
        <w:t>Given that the ‘No IgG’ comparator was typically no intervention</w:t>
      </w:r>
      <w:r w:rsidR="007E6878" w:rsidRPr="007D0AA8">
        <w:rPr>
          <w:b w:val="0"/>
        </w:rPr>
        <w:t>,</w:t>
      </w:r>
      <w:r w:rsidRPr="007D0AA8">
        <w:rPr>
          <w:b w:val="0"/>
        </w:rPr>
        <w:t xml:space="preserve"> </w:t>
      </w:r>
      <w:r w:rsidR="007E6878" w:rsidRPr="007D0AA8">
        <w:rPr>
          <w:b w:val="0"/>
        </w:rPr>
        <w:t>safety of IgG wa</w:t>
      </w:r>
      <w:r w:rsidRPr="007D0AA8">
        <w:rPr>
          <w:b w:val="0"/>
        </w:rPr>
        <w:t>s worse</w:t>
      </w:r>
      <w:r w:rsidR="007E6878" w:rsidRPr="007D0AA8">
        <w:rPr>
          <w:b w:val="0"/>
        </w:rPr>
        <w:t xml:space="preserve"> than the comparator</w:t>
      </w:r>
      <w:r w:rsidRPr="007D0AA8">
        <w:rPr>
          <w:b w:val="0"/>
        </w:rPr>
        <w:t xml:space="preserve">, associated with injection site effects and systemic infusion reactions. </w:t>
      </w:r>
      <w:r w:rsidR="007E6878" w:rsidRPr="007D0AA8">
        <w:rPr>
          <w:b w:val="0"/>
        </w:rPr>
        <w:t xml:space="preserve">Occasionally recurrent infusion reactions lead to discontinuation of treatment. </w:t>
      </w:r>
      <w:r w:rsidRPr="007D0AA8">
        <w:rPr>
          <w:b w:val="0"/>
        </w:rPr>
        <w:t>Some of the older studies employed a sham injection of solu</w:t>
      </w:r>
      <w:r w:rsidR="007E6878" w:rsidRPr="007D0AA8">
        <w:rPr>
          <w:b w:val="0"/>
        </w:rPr>
        <w:t>tion such as albumin or saline – these were also associated with AEs, but at a lower rate than IgG.</w:t>
      </w:r>
    </w:p>
    <w:p w14:paraId="74DF7A2B" w14:textId="3BFC0FF7" w:rsidR="007E6878" w:rsidRPr="007D0AA8" w:rsidRDefault="007E6878" w:rsidP="005C061E">
      <w:pPr>
        <w:pStyle w:val="Summaryboxheading"/>
        <w:pBdr>
          <w:top w:val="single" w:sz="4" w:space="1" w:color="auto"/>
          <w:left w:val="single" w:sz="4" w:space="4" w:color="auto"/>
          <w:bottom w:val="single" w:sz="4" w:space="1" w:color="auto"/>
          <w:right w:val="single" w:sz="4" w:space="4" w:color="auto"/>
        </w:pBdr>
        <w:spacing w:after="240" w:afterAutospacing="0"/>
        <w:rPr>
          <w:b w:val="0"/>
        </w:rPr>
      </w:pPr>
      <w:r w:rsidRPr="007D0AA8">
        <w:rPr>
          <w:b w:val="0"/>
        </w:rPr>
        <w:t xml:space="preserve">A small number of studies compared IVIg and SCIg, which showed that SCIg is associated with different AEs (injection site reactions) but is generally more tolerable (fewer systemic infusion reactions).  </w:t>
      </w:r>
    </w:p>
    <w:p w14:paraId="555117FF" w14:textId="0EF56BB8" w:rsidR="00C77E7F" w:rsidRPr="00C77E7F" w:rsidRDefault="00270836" w:rsidP="00C77E7F">
      <w:pPr>
        <w:pStyle w:val="Summaryboxheading"/>
        <w:pBdr>
          <w:top w:val="single" w:sz="4" w:space="1" w:color="auto"/>
          <w:left w:val="single" w:sz="4" w:space="4" w:color="auto"/>
          <w:bottom w:val="single" w:sz="4" w:space="1" w:color="auto"/>
          <w:right w:val="single" w:sz="4" w:space="4" w:color="auto"/>
        </w:pBdr>
        <w:spacing w:after="240" w:afterAutospacing="0"/>
        <w:rPr>
          <w:b w:val="0"/>
        </w:rPr>
      </w:pPr>
      <w:r w:rsidRPr="007D0AA8">
        <w:rPr>
          <w:b w:val="0"/>
        </w:rPr>
        <w:t>IgG products have been in use in this population for some decades, thus the safety profile is well understood, even as regards rare events. In lieu of adequate safety data from the included studies, the safety data contained within approved Product Information</w:t>
      </w:r>
      <w:r w:rsidR="00C77E7F">
        <w:rPr>
          <w:b w:val="0"/>
        </w:rPr>
        <w:t xml:space="preserve"> </w:t>
      </w:r>
      <w:r w:rsidRPr="007D0AA8">
        <w:rPr>
          <w:b w:val="0"/>
        </w:rPr>
        <w:t xml:space="preserve">should provide a suitably comprehensive assessment of safety for IgG products. </w:t>
      </w:r>
      <w:r w:rsidR="00C77E7F">
        <w:rPr>
          <w:b w:val="0"/>
        </w:rPr>
        <w:t>According to core safety text for IgGs in Europe, a</w:t>
      </w:r>
      <w:r w:rsidR="00C77E7F" w:rsidRPr="00C77E7F">
        <w:rPr>
          <w:b w:val="0"/>
        </w:rPr>
        <w:t xml:space="preserve">dverse reactions </w:t>
      </w:r>
      <w:r w:rsidR="00C77E7F">
        <w:rPr>
          <w:b w:val="0"/>
        </w:rPr>
        <w:t>due to IgG</w:t>
      </w:r>
      <w:r w:rsidR="00C77E7F" w:rsidRPr="00C77E7F">
        <w:rPr>
          <w:b w:val="0"/>
        </w:rPr>
        <w:t xml:space="preserve"> </w:t>
      </w:r>
      <w:r w:rsidR="00C77E7F">
        <w:rPr>
          <w:b w:val="0"/>
        </w:rPr>
        <w:t xml:space="preserve">are </w:t>
      </w:r>
      <w:r w:rsidR="00C77E7F" w:rsidRPr="00C77E7F">
        <w:rPr>
          <w:b w:val="0"/>
        </w:rPr>
        <w:t>(in decreasing frequency):</w:t>
      </w:r>
    </w:p>
    <w:p w14:paraId="23127C43" w14:textId="77777777" w:rsidR="00C77E7F" w:rsidRPr="00C77E7F" w:rsidRDefault="00C77E7F" w:rsidP="00C77E7F">
      <w:pPr>
        <w:pStyle w:val="Summaryboxheading"/>
        <w:pBdr>
          <w:top w:val="single" w:sz="4" w:space="1" w:color="auto"/>
          <w:left w:val="single" w:sz="4" w:space="4" w:color="auto"/>
          <w:bottom w:val="single" w:sz="4" w:space="1" w:color="auto"/>
          <w:right w:val="single" w:sz="4" w:space="4" w:color="auto"/>
        </w:pBdr>
        <w:spacing w:after="0" w:afterAutospacing="0" w:line="240" w:lineRule="auto"/>
        <w:ind w:firstLine="284"/>
        <w:rPr>
          <w:b w:val="0"/>
        </w:rPr>
      </w:pPr>
      <w:r w:rsidRPr="00C77E7F">
        <w:rPr>
          <w:b w:val="0"/>
        </w:rPr>
        <w:t>• chills, headache, dizziness, fever, vomiting, allergic reactions, nausea, arthralgia, low blood pressure and moderate low back pain</w:t>
      </w:r>
    </w:p>
    <w:p w14:paraId="1735DC07" w14:textId="77777777" w:rsidR="00C77E7F" w:rsidRPr="00C77E7F" w:rsidRDefault="00C77E7F" w:rsidP="00C77E7F">
      <w:pPr>
        <w:pStyle w:val="Summaryboxheading"/>
        <w:pBdr>
          <w:top w:val="single" w:sz="4" w:space="1" w:color="auto"/>
          <w:left w:val="single" w:sz="4" w:space="4" w:color="auto"/>
          <w:bottom w:val="single" w:sz="4" w:space="1" w:color="auto"/>
          <w:right w:val="single" w:sz="4" w:space="4" w:color="auto"/>
        </w:pBdr>
        <w:spacing w:after="0" w:afterAutospacing="0" w:line="240" w:lineRule="auto"/>
        <w:ind w:firstLine="284"/>
        <w:rPr>
          <w:b w:val="0"/>
        </w:rPr>
      </w:pPr>
      <w:r w:rsidRPr="00C77E7F">
        <w:rPr>
          <w:b w:val="0"/>
        </w:rPr>
        <w:t>• reversible haemolytic reactions; especially in those patients with blood groups A, B, and AB and (rarely) haemolytic anaemia requiring transfusion</w:t>
      </w:r>
    </w:p>
    <w:p w14:paraId="0846A92D" w14:textId="77777777" w:rsidR="00C77E7F" w:rsidRPr="00C77E7F" w:rsidRDefault="00C77E7F" w:rsidP="00C77E7F">
      <w:pPr>
        <w:pStyle w:val="Summaryboxheading"/>
        <w:pBdr>
          <w:top w:val="single" w:sz="4" w:space="1" w:color="auto"/>
          <w:left w:val="single" w:sz="4" w:space="4" w:color="auto"/>
          <w:bottom w:val="single" w:sz="4" w:space="1" w:color="auto"/>
          <w:right w:val="single" w:sz="4" w:space="4" w:color="auto"/>
        </w:pBdr>
        <w:spacing w:after="0" w:afterAutospacing="0" w:line="240" w:lineRule="auto"/>
        <w:ind w:firstLine="284"/>
        <w:rPr>
          <w:b w:val="0"/>
        </w:rPr>
      </w:pPr>
      <w:r w:rsidRPr="00C77E7F">
        <w:rPr>
          <w:b w:val="0"/>
        </w:rPr>
        <w:t>• (rarely) a sudden fall in blood pressure and, in isolated cases, anaphylactic shock, even when the patient has shown no hypersensitivity to previous administration</w:t>
      </w:r>
    </w:p>
    <w:p w14:paraId="19D4D268" w14:textId="77777777" w:rsidR="00C77E7F" w:rsidRPr="00C77E7F" w:rsidRDefault="00C77E7F" w:rsidP="00C77E7F">
      <w:pPr>
        <w:pStyle w:val="Summaryboxheading"/>
        <w:pBdr>
          <w:top w:val="single" w:sz="4" w:space="1" w:color="auto"/>
          <w:left w:val="single" w:sz="4" w:space="4" w:color="auto"/>
          <w:bottom w:val="single" w:sz="4" w:space="1" w:color="auto"/>
          <w:right w:val="single" w:sz="4" w:space="4" w:color="auto"/>
        </w:pBdr>
        <w:spacing w:after="0" w:afterAutospacing="0" w:line="240" w:lineRule="auto"/>
        <w:ind w:firstLine="284"/>
        <w:rPr>
          <w:b w:val="0"/>
        </w:rPr>
      </w:pPr>
      <w:r w:rsidRPr="00C77E7F">
        <w:rPr>
          <w:b w:val="0"/>
        </w:rPr>
        <w:t>• (rarely) transient cutaneous reactions (including cutaneous lupus erythematosus - frequency unknown)</w:t>
      </w:r>
    </w:p>
    <w:p w14:paraId="149895F5" w14:textId="7C75172C" w:rsidR="00C77E7F" w:rsidRPr="00C77E7F" w:rsidRDefault="00C77E7F" w:rsidP="00C77E7F">
      <w:pPr>
        <w:pStyle w:val="Summaryboxheading"/>
        <w:pBdr>
          <w:top w:val="single" w:sz="4" w:space="1" w:color="auto"/>
          <w:left w:val="single" w:sz="4" w:space="4" w:color="auto"/>
          <w:bottom w:val="single" w:sz="4" w:space="1" w:color="auto"/>
          <w:right w:val="single" w:sz="4" w:space="4" w:color="auto"/>
        </w:pBdr>
        <w:spacing w:after="0" w:afterAutospacing="0" w:line="240" w:lineRule="auto"/>
        <w:ind w:firstLine="284"/>
        <w:rPr>
          <w:b w:val="0"/>
        </w:rPr>
      </w:pPr>
      <w:r w:rsidRPr="00C77E7F">
        <w:rPr>
          <w:b w:val="0"/>
        </w:rPr>
        <w:t xml:space="preserve">• (very rarely) thromboembolic reactions such as myocardial infarction, stroke, </w:t>
      </w:r>
      <w:r>
        <w:rPr>
          <w:b w:val="0"/>
        </w:rPr>
        <w:t>PE, DVT</w:t>
      </w:r>
    </w:p>
    <w:p w14:paraId="3CBD97FE" w14:textId="77777777" w:rsidR="00C77E7F" w:rsidRPr="00C77E7F" w:rsidRDefault="00C77E7F" w:rsidP="00C77E7F">
      <w:pPr>
        <w:pStyle w:val="Summaryboxheading"/>
        <w:pBdr>
          <w:top w:val="single" w:sz="4" w:space="1" w:color="auto"/>
          <w:left w:val="single" w:sz="4" w:space="4" w:color="auto"/>
          <w:bottom w:val="single" w:sz="4" w:space="1" w:color="auto"/>
          <w:right w:val="single" w:sz="4" w:space="4" w:color="auto"/>
        </w:pBdr>
        <w:spacing w:after="0" w:afterAutospacing="0" w:line="240" w:lineRule="auto"/>
        <w:ind w:firstLine="284"/>
        <w:rPr>
          <w:b w:val="0"/>
        </w:rPr>
      </w:pPr>
      <w:r w:rsidRPr="00C77E7F">
        <w:rPr>
          <w:b w:val="0"/>
        </w:rPr>
        <w:t>• cases of reversible aseptic meningitis</w:t>
      </w:r>
    </w:p>
    <w:p w14:paraId="507CC9C2" w14:textId="77777777" w:rsidR="00C77E7F" w:rsidRPr="00C77E7F" w:rsidRDefault="00C77E7F" w:rsidP="00C77E7F">
      <w:pPr>
        <w:pStyle w:val="Summaryboxheading"/>
        <w:pBdr>
          <w:top w:val="single" w:sz="4" w:space="1" w:color="auto"/>
          <w:left w:val="single" w:sz="4" w:space="4" w:color="auto"/>
          <w:bottom w:val="single" w:sz="4" w:space="1" w:color="auto"/>
          <w:right w:val="single" w:sz="4" w:space="4" w:color="auto"/>
        </w:pBdr>
        <w:spacing w:after="0" w:afterAutospacing="0" w:line="240" w:lineRule="auto"/>
        <w:ind w:firstLine="284"/>
        <w:rPr>
          <w:b w:val="0"/>
        </w:rPr>
      </w:pPr>
      <w:r w:rsidRPr="00C77E7F">
        <w:rPr>
          <w:b w:val="0"/>
        </w:rPr>
        <w:t>• cases of increased serum creatinine level and/or occurrence of acute renal failure</w:t>
      </w:r>
    </w:p>
    <w:p w14:paraId="2514F14F" w14:textId="5E54F330" w:rsidR="00C77E7F" w:rsidRPr="007D0AA8" w:rsidRDefault="00C77E7F" w:rsidP="00C77E7F">
      <w:pPr>
        <w:pStyle w:val="Summaryboxheading"/>
        <w:pBdr>
          <w:top w:val="single" w:sz="4" w:space="1" w:color="auto"/>
          <w:left w:val="single" w:sz="4" w:space="4" w:color="auto"/>
          <w:bottom w:val="single" w:sz="4" w:space="1" w:color="auto"/>
          <w:right w:val="single" w:sz="4" w:space="4" w:color="auto"/>
        </w:pBdr>
        <w:spacing w:after="0" w:afterAutospacing="0" w:line="240" w:lineRule="auto"/>
        <w:ind w:firstLine="284"/>
        <w:rPr>
          <w:b w:val="0"/>
        </w:rPr>
      </w:pPr>
      <w:r w:rsidRPr="00C77E7F">
        <w:rPr>
          <w:b w:val="0"/>
        </w:rPr>
        <w:t>• cases of Transfusion Related Acute Lung Injury (TRALI)</w:t>
      </w:r>
    </w:p>
    <w:p w14:paraId="536825CF" w14:textId="77777777" w:rsidR="007E6878" w:rsidRPr="007D0AA8" w:rsidRDefault="007E6878" w:rsidP="005C061E">
      <w:pPr>
        <w:pStyle w:val="Summaryboxheading"/>
        <w:pBdr>
          <w:top w:val="single" w:sz="4" w:space="1" w:color="auto"/>
          <w:left w:val="single" w:sz="4" w:space="4" w:color="auto"/>
          <w:bottom w:val="single" w:sz="4" w:space="1" w:color="auto"/>
          <w:right w:val="single" w:sz="4" w:space="4" w:color="auto"/>
        </w:pBdr>
        <w:spacing w:after="240" w:afterAutospacing="0"/>
        <w:rPr>
          <w:b w:val="0"/>
        </w:rPr>
      </w:pPr>
    </w:p>
    <w:p w14:paraId="1C3CD45F" w14:textId="3610BA56" w:rsidR="00F00D42" w:rsidRPr="00386411" w:rsidRDefault="00E8580A" w:rsidP="00096AAE">
      <w:pPr>
        <w:pStyle w:val="Heading3"/>
      </w:pPr>
      <w:bookmarkStart w:id="263" w:name="_Toc14431139"/>
      <w:bookmarkStart w:id="264" w:name="_Toc16856307"/>
      <w:r w:rsidRPr="00386411">
        <w:t xml:space="preserve">Systemic </w:t>
      </w:r>
      <w:r w:rsidR="00F61D54" w:rsidRPr="00386411">
        <w:t xml:space="preserve">and other </w:t>
      </w:r>
      <w:r w:rsidRPr="00386411">
        <w:t>AEs including infusion reactions</w:t>
      </w:r>
      <w:bookmarkEnd w:id="263"/>
      <w:bookmarkEnd w:id="264"/>
    </w:p>
    <w:p w14:paraId="28976194" w14:textId="540C6427" w:rsidR="0087347E" w:rsidRPr="007D0AA8" w:rsidRDefault="000A6A87" w:rsidP="002F69D7">
      <w:r w:rsidRPr="007D0AA8">
        <w:t>The majority of included studies reported AEs either in the time immediately after infusion or limited to the study period.</w:t>
      </w:r>
      <w:r w:rsidR="00624E2E" w:rsidRPr="007D0AA8">
        <w:t xml:space="preserve"> Two</w:t>
      </w:r>
      <w:r w:rsidR="002F69D7" w:rsidRPr="007D0AA8">
        <w:t xml:space="preserve"> of the randomised studies </w:t>
      </w:r>
      <w:r w:rsidR="00415ABC" w:rsidRPr="007D0AA8">
        <w:fldChar w:fldCharType="begin">
          <w:fldData xml:space="preserve">PEVuZE5vdGU+PENpdGU+PEF1dGhvcj5DaGFwZWw8L0F1dGhvcj48WWVhcj4xOTkxPC9ZZWFyPjxS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</w:fldData>
        </w:fldChar>
      </w:r>
      <w:r w:rsidR="00896BE2">
        <w:instrText xml:space="preserve"> ADDIN EN.CITE </w:instrText>
      </w:r>
      <w:r w:rsidR="00896BE2">
        <w:fldChar w:fldCharType="begin">
          <w:fldData xml:space="preserve">PEVuZE5vdGU+PENpdGU+PEF1dGhvcj5DaGFwZWw8L0F1dGhvcj48WWVhcj4xOTkxPC9ZZWFyPjxS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</w:fldData>
        </w:fldChar>
      </w:r>
      <w:r w:rsidR="00896BE2">
        <w:instrText xml:space="preserve"> ADDIN EN.CITE.DATA </w:instrText>
      </w:r>
      <w:r w:rsidR="00896BE2">
        <w:fldChar w:fldCharType="end"/>
      </w:r>
      <w:r w:rsidR="00415ABC" w:rsidRPr="007D0AA8">
        <w:fldChar w:fldCharType="separate"/>
      </w:r>
      <w:r w:rsidR="00415ABC" w:rsidRPr="007D0AA8">
        <w:rPr>
          <w:noProof/>
        </w:rPr>
        <w:t>(</w:t>
      </w:r>
      <w:hyperlink w:anchor="_ENREF_12" w:tooltip="Chapel, 1991 #32" w:history="1">
        <w:r w:rsidR="00BB0145" w:rsidRPr="007D0AA8">
          <w:rPr>
            <w:noProof/>
          </w:rPr>
          <w:t>Chapel et al. 1991</w:t>
        </w:r>
      </w:hyperlink>
      <w:r w:rsidR="00415ABC" w:rsidRPr="007D0AA8">
        <w:rPr>
          <w:noProof/>
        </w:rPr>
        <w:t xml:space="preserve">; </w:t>
      </w:r>
      <w:hyperlink w:anchor="_ENREF_31" w:tooltip="Molica, 1996 #33" w:history="1">
        <w:r w:rsidR="00BB0145" w:rsidRPr="007D0AA8">
          <w:rPr>
            <w:noProof/>
          </w:rPr>
          <w:t>Molica et al. 1996</w:t>
        </w:r>
      </w:hyperlink>
      <w:r w:rsidR="00415ABC" w:rsidRPr="007D0AA8">
        <w:rPr>
          <w:noProof/>
        </w:rPr>
        <w:t>)</w:t>
      </w:r>
      <w:r w:rsidR="00415ABC" w:rsidRPr="007D0AA8">
        <w:fldChar w:fldCharType="end"/>
      </w:r>
      <w:r w:rsidR="002F69D7" w:rsidRPr="007D0AA8">
        <w:t xml:space="preserve"> reported </w:t>
      </w:r>
      <w:r w:rsidR="00624E2E" w:rsidRPr="007D0AA8">
        <w:t xml:space="preserve">few or no </w:t>
      </w:r>
      <w:r w:rsidR="002F69D7" w:rsidRPr="007D0AA8">
        <w:t>AEs.</w:t>
      </w:r>
      <w:r w:rsidR="00FE2288" w:rsidRPr="007D0AA8">
        <w:t xml:space="preserve"> One RCT of IVIg in combination with an antibiotic reported AEs specific to the antibiotic and none associated with IVIg.</w:t>
      </w:r>
      <w:r w:rsidR="002F69D7" w:rsidRPr="007D0AA8">
        <w:t xml:space="preserve"> </w:t>
      </w:r>
      <w:r w:rsidR="00624E2E" w:rsidRPr="007D0AA8">
        <w:t>O</w:t>
      </w:r>
      <w:r w:rsidR="002F69D7" w:rsidRPr="007D0AA8">
        <w:t xml:space="preserve">nly one </w:t>
      </w:r>
      <w:r w:rsidR="00C141CE" w:rsidRPr="007D0AA8">
        <w:t>cohort study</w:t>
      </w:r>
      <w:r w:rsidR="002F69D7" w:rsidRPr="007D0AA8">
        <w:t xml:space="preserve"> presented AE data </w:t>
      </w:r>
      <w:r w:rsidR="00415ABC" w:rsidRPr="007D0AA8">
        <w:fldChar w:fldCharType="begin">
          <w:fldData xml:space="preserve">PEVuZE5vdGU+PENpdGU+PEF1dGhvcj5WYW4gV2lua2xlPC9BdXRob3I+PFllYXI+MjAxODwvWWVh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=
</w:fldData>
        </w:fldChar>
      </w:r>
      <w:r w:rsidR="00415ABC" w:rsidRPr="007D0AA8">
        <w:instrText xml:space="preserve"> ADDIN EN.CITE </w:instrText>
      </w:r>
      <w:r w:rsidR="00415ABC" w:rsidRPr="007D0AA8">
        <w:fldChar w:fldCharType="begin">
          <w:fldData xml:space="preserve">PEVuZE5vdGU+PENpdGU+PEF1dGhvcj5WYW4gV2lua2xlPC9BdXRob3I+PFllYXI+MjAxODwvWWVh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=
</w:fldData>
        </w:fldChar>
      </w:r>
      <w:r w:rsidR="00415ABC" w:rsidRPr="007D0AA8">
        <w:instrText xml:space="preserve"> ADDIN EN.CITE.DATA </w:instrText>
      </w:r>
      <w:r w:rsidR="00415ABC" w:rsidRPr="007D0AA8">
        <w:fldChar w:fldCharType="end"/>
      </w:r>
      <w:r w:rsidR="00415ABC" w:rsidRPr="007D0AA8">
        <w:fldChar w:fldCharType="separate"/>
      </w:r>
      <w:r w:rsidR="00415ABC" w:rsidRPr="007D0AA8">
        <w:rPr>
          <w:noProof/>
        </w:rPr>
        <w:t>(</w:t>
      </w:r>
      <w:hyperlink w:anchor="_ENREF_53" w:tooltip="Van Winkle, 2018 #26" w:history="1">
        <w:r w:rsidR="00BB0145" w:rsidRPr="007D0AA8">
          <w:rPr>
            <w:noProof/>
          </w:rPr>
          <w:t>Van Winkle et al. 2018</w:t>
        </w:r>
      </w:hyperlink>
      <w:r w:rsidR="00415ABC" w:rsidRPr="007D0AA8">
        <w:rPr>
          <w:noProof/>
        </w:rPr>
        <w:t>)</w:t>
      </w:r>
      <w:r w:rsidR="00415ABC" w:rsidRPr="007D0AA8">
        <w:fldChar w:fldCharType="end"/>
      </w:r>
      <w:r w:rsidR="00A81CAE" w:rsidRPr="007D0AA8">
        <w:t xml:space="preserve">. </w:t>
      </w:r>
      <w:r w:rsidR="0087347E" w:rsidRPr="007D0AA8">
        <w:t xml:space="preserve">Studies presenting no safety data are discussed further below (see </w:t>
      </w:r>
      <w:r w:rsidR="0087347E" w:rsidRPr="007D0AA8">
        <w:fldChar w:fldCharType="begin"/>
      </w:r>
      <w:r w:rsidR="0087347E" w:rsidRPr="007D0AA8">
        <w:instrText xml:space="preserve"> REF _Ref9248035 \h  \* MERGEFORMAT </w:instrText>
      </w:r>
      <w:r w:rsidR="0087347E" w:rsidRPr="007D0AA8">
        <w:fldChar w:fldCharType="separate"/>
      </w:r>
      <w:r w:rsidR="00A7463B" w:rsidRPr="00386411">
        <w:t xml:space="preserve">Table </w:t>
      </w:r>
      <w:r w:rsidR="00A7463B">
        <w:rPr>
          <w:noProof/>
        </w:rPr>
        <w:t>21</w:t>
      </w:r>
      <w:r w:rsidR="0087347E" w:rsidRPr="007D0AA8">
        <w:fldChar w:fldCharType="end"/>
      </w:r>
      <w:r w:rsidR="0087347E" w:rsidRPr="007D0AA8">
        <w:t xml:space="preserve">). </w:t>
      </w:r>
    </w:p>
    <w:p w14:paraId="2871563A" w14:textId="44905826" w:rsidR="0087347E" w:rsidRDefault="0087347E" w:rsidP="002F69D7">
      <w:r w:rsidRPr="007D0AA8">
        <w:t xml:space="preserve">A small number of studies monitored renal </w:t>
      </w:r>
      <w:r w:rsidR="00415ABC" w:rsidRPr="007D0AA8">
        <w:fldChar w:fldCharType="begin">
          <w:fldData xml:space="preserve">PEVuZE5vdGU+PENpdGU+PEF1dGhvcj5CZW5icmFoaW08L0F1dGhvcj48WWVhcj4yMDE5PC9ZZWFy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</w:fldData>
        </w:fldChar>
      </w:r>
      <w:r w:rsidR="00896BE2">
        <w:instrText xml:space="preserve"> ADDIN EN.CITE </w:instrText>
      </w:r>
      <w:r w:rsidR="00896BE2">
        <w:fldChar w:fldCharType="begin">
          <w:fldData xml:space="preserve">PEVuZE5vdGU+PENpdGU+PEF1dGhvcj5CZW5icmFoaW08L0F1dGhvcj48WWVhcj4yMDE5PC9ZZWFy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</w:fldData>
        </w:fldChar>
      </w:r>
      <w:r w:rsidR="00896BE2">
        <w:instrText xml:space="preserve"> ADDIN EN.CITE.DATA </w:instrText>
      </w:r>
      <w:r w:rsidR="00896BE2">
        <w:fldChar w:fldCharType="end"/>
      </w:r>
      <w:r w:rsidR="00415ABC" w:rsidRPr="007D0AA8">
        <w:fldChar w:fldCharType="separate"/>
      </w:r>
      <w:r w:rsidR="00896BE2">
        <w:rPr>
          <w:noProof/>
        </w:rPr>
        <w:t>(</w:t>
      </w:r>
      <w:hyperlink w:anchor="_ENREF_3" w:tooltip="Benbrahim, 2019 #88" w:history="1">
        <w:r w:rsidR="00BB0145">
          <w:rPr>
            <w:noProof/>
          </w:rPr>
          <w:t>Benbrahim et al. 2019</w:t>
        </w:r>
      </w:hyperlink>
      <w:r w:rsidR="00896BE2">
        <w:rPr>
          <w:noProof/>
        </w:rPr>
        <w:t xml:space="preserve">; </w:t>
      </w:r>
      <w:hyperlink w:anchor="_ENREF_13" w:tooltip="Chapel, 1994 #56" w:history="1">
        <w:r w:rsidR="00BB0145">
          <w:rPr>
            <w:noProof/>
          </w:rPr>
          <w:t>Chapel et al. 1994b</w:t>
        </w:r>
      </w:hyperlink>
      <w:r w:rsidR="00896BE2">
        <w:rPr>
          <w:noProof/>
        </w:rPr>
        <w:t>)</w:t>
      </w:r>
      <w:r w:rsidR="00415ABC" w:rsidRPr="007D0AA8">
        <w:fldChar w:fldCharType="end"/>
      </w:r>
      <w:r w:rsidRPr="007D0AA8">
        <w:t xml:space="preserve"> and liver function </w:t>
      </w:r>
      <w:r w:rsidR="00415ABC" w:rsidRPr="007D0AA8">
        <w:fldChar w:fldCharType="begin">
          <w:fldData xml:space="preserve">PEVuZE5vdGU+PENpdGU+PEF1dGhvcj5Cb3VnaHRvbjwvQXV0aG9yPjxZZWFyPjE5OTU8L1llYXI+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</w:fldData>
        </w:fldChar>
      </w:r>
      <w:r w:rsidR="00415ABC" w:rsidRPr="007D0AA8">
        <w:instrText xml:space="preserve"> ADDIN EN.CITE </w:instrText>
      </w:r>
      <w:r w:rsidR="00415ABC" w:rsidRPr="007D0AA8">
        <w:fldChar w:fldCharType="begin">
          <w:fldData xml:space="preserve">PEVuZE5vdGU+PENpdGU+PEF1dGhvcj5Cb3VnaHRvbjwvQXV0aG9yPjxZZWFyPjE5OTU8L1llYXI+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</w:fldData>
        </w:fldChar>
      </w:r>
      <w:r w:rsidR="00415ABC" w:rsidRPr="007D0AA8">
        <w:instrText xml:space="preserve"> ADDIN EN.CITE.DATA </w:instrText>
      </w:r>
      <w:r w:rsidR="00415ABC" w:rsidRPr="007D0AA8">
        <w:fldChar w:fldCharType="end"/>
      </w:r>
      <w:r w:rsidR="00415ABC" w:rsidRPr="007D0AA8">
        <w:fldChar w:fldCharType="separate"/>
      </w:r>
      <w:r w:rsidR="00415ABC" w:rsidRPr="007D0AA8">
        <w:rPr>
          <w:noProof/>
        </w:rPr>
        <w:t>(</w:t>
      </w:r>
      <w:hyperlink w:anchor="_ENREF_7" w:tooltip="Boughton, 1995 #40" w:history="1">
        <w:r w:rsidR="00BB0145" w:rsidRPr="007D0AA8">
          <w:rPr>
            <w:noProof/>
          </w:rPr>
          <w:t>Boughton et al. 1995</w:t>
        </w:r>
      </w:hyperlink>
      <w:r w:rsidR="00415ABC" w:rsidRPr="007D0AA8">
        <w:rPr>
          <w:noProof/>
        </w:rPr>
        <w:t xml:space="preserve">; </w:t>
      </w:r>
      <w:hyperlink w:anchor="_ENREF_8" w:tooltip="Brenner, 1996 #15" w:history="1">
        <w:r w:rsidR="00BB0145" w:rsidRPr="007D0AA8">
          <w:rPr>
            <w:noProof/>
          </w:rPr>
          <w:t>Brenner 1996</w:t>
        </w:r>
      </w:hyperlink>
      <w:r w:rsidR="00415ABC" w:rsidRPr="007D0AA8">
        <w:rPr>
          <w:noProof/>
        </w:rPr>
        <w:t xml:space="preserve">; </w:t>
      </w:r>
      <w:hyperlink w:anchor="_ENREF_48" w:tooltip="Sullivan, 1990 #67" w:history="1">
        <w:r w:rsidR="00BB0145" w:rsidRPr="007D0AA8">
          <w:rPr>
            <w:noProof/>
          </w:rPr>
          <w:t>Sullivan et al. 1990</w:t>
        </w:r>
      </w:hyperlink>
      <w:r w:rsidR="00415ABC" w:rsidRPr="007D0AA8">
        <w:rPr>
          <w:noProof/>
        </w:rPr>
        <w:t>)</w:t>
      </w:r>
      <w:r w:rsidR="00415ABC" w:rsidRPr="007D0AA8">
        <w:fldChar w:fldCharType="end"/>
      </w:r>
      <w:r w:rsidRPr="007D0AA8">
        <w:t>, but each reported that there were no changes related to IgG</w:t>
      </w:r>
      <w:r w:rsidR="00396972" w:rsidRPr="007D0AA8">
        <w:t xml:space="preserve"> treatment</w:t>
      </w:r>
      <w:r w:rsidRPr="007D0AA8">
        <w:t xml:space="preserve"> in these markers and presented few or no data. </w:t>
      </w:r>
    </w:p>
    <w:p w14:paraId="1695A9B0" w14:textId="78341FF9" w:rsidR="00421DCA" w:rsidRPr="007D0AA8" w:rsidRDefault="00421DCA" w:rsidP="002F69D7">
      <w:r>
        <w:t xml:space="preserve">AEs reported in the included studies were typical of infusion reactions – fever, chills, headache/pains and nausea. These events, though mild in nature, often recurred and led to discontinuation in small numbers of patients. </w:t>
      </w:r>
    </w:p>
    <w:p w14:paraId="654F1AA4" w14:textId="675DDAA4" w:rsidR="00421DCA" w:rsidRPr="00386411" w:rsidRDefault="00421DCA" w:rsidP="00421DCA">
      <w:pPr>
        <w:pStyle w:val="Heading4"/>
      </w:pPr>
      <w:r w:rsidRPr="00386411">
        <w:t xml:space="preserve">Systemic and other AEs </w:t>
      </w:r>
      <w:r>
        <w:t>– comparative studies</w:t>
      </w:r>
    </w:p>
    <w:p w14:paraId="64ED1100" w14:textId="4662A880" w:rsidR="00B42022" w:rsidRPr="007D0AA8" w:rsidRDefault="00E8580A" w:rsidP="00B42022">
      <w:r w:rsidRPr="007D0AA8">
        <w:t xml:space="preserve">Comparative studies presenting systemic AEs including infusion reactions and other general AEs are summarised in </w:t>
      </w:r>
      <w:r w:rsidR="007623B8" w:rsidRPr="007D0AA8">
        <w:rPr>
          <w:highlight w:val="yellow"/>
        </w:rPr>
        <w:fldChar w:fldCharType="begin"/>
      </w:r>
      <w:r w:rsidR="007623B8" w:rsidRPr="007D0AA8">
        <w:instrText xml:space="preserve"> REF _Ref9247782 \h </w:instrText>
      </w:r>
      <w:r w:rsidR="00386411" w:rsidRPr="007D0AA8">
        <w:rPr>
          <w:highlight w:val="yellow"/>
        </w:rPr>
        <w:instrText xml:space="preserve"> \* MERGEFORMAT </w:instrText>
      </w:r>
      <w:r w:rsidR="007623B8" w:rsidRPr="007D0AA8">
        <w:rPr>
          <w:highlight w:val="yellow"/>
        </w:rPr>
      </w:r>
      <w:r w:rsidR="007623B8" w:rsidRPr="007D0AA8">
        <w:rPr>
          <w:highlight w:val="yellow"/>
        </w:rPr>
        <w:fldChar w:fldCharType="separate"/>
      </w:r>
      <w:r w:rsidR="00A7463B" w:rsidRPr="00386411">
        <w:t xml:space="preserve">Table </w:t>
      </w:r>
      <w:r w:rsidR="00A7463B">
        <w:rPr>
          <w:noProof/>
        </w:rPr>
        <w:t>16</w:t>
      </w:r>
      <w:r w:rsidR="007623B8" w:rsidRPr="007D0AA8">
        <w:rPr>
          <w:highlight w:val="yellow"/>
        </w:rPr>
        <w:fldChar w:fldCharType="end"/>
      </w:r>
      <w:r w:rsidR="00154ECF" w:rsidRPr="007D0AA8">
        <w:t xml:space="preserve"> (IVIg) and </w:t>
      </w:r>
      <w:r w:rsidR="00154ECF" w:rsidRPr="007D0AA8">
        <w:fldChar w:fldCharType="begin"/>
      </w:r>
      <w:r w:rsidR="00154ECF" w:rsidRPr="007D0AA8">
        <w:instrText xml:space="preserve"> REF _Ref10151744 \h </w:instrText>
      </w:r>
      <w:r w:rsidR="00386411" w:rsidRPr="007D0AA8">
        <w:instrText xml:space="preserve"> \* MERGEFORMAT </w:instrText>
      </w:r>
      <w:r w:rsidR="00154ECF" w:rsidRPr="007D0AA8">
        <w:fldChar w:fldCharType="separate"/>
      </w:r>
      <w:r w:rsidR="00A7463B" w:rsidRPr="00386411">
        <w:t xml:space="preserve">Table </w:t>
      </w:r>
      <w:r w:rsidR="00A7463B">
        <w:rPr>
          <w:noProof/>
        </w:rPr>
        <w:t>17</w:t>
      </w:r>
      <w:r w:rsidR="00154ECF" w:rsidRPr="007D0AA8">
        <w:fldChar w:fldCharType="end"/>
      </w:r>
      <w:r w:rsidR="00154ECF" w:rsidRPr="007D0AA8">
        <w:t xml:space="preserve"> (SCIg)</w:t>
      </w:r>
      <w:r w:rsidR="00C45731" w:rsidRPr="007D0AA8">
        <w:t xml:space="preserve">. </w:t>
      </w:r>
    </w:p>
    <w:p w14:paraId="6E6E189D" w14:textId="555A434C" w:rsidR="00E8580A" w:rsidRPr="00386411" w:rsidRDefault="007623B8" w:rsidP="00E8580A">
      <w:pPr>
        <w:pStyle w:val="Caption"/>
        <w:keepNext/>
        <w:rPr>
          <w:rFonts w:cs="Arial"/>
          <w:snapToGrid w:val="0"/>
          <w:szCs w:val="16"/>
          <w:lang w:eastAsia="en-US"/>
        </w:rPr>
      </w:pPr>
      <w:bookmarkStart w:id="265" w:name="_Ref9247782"/>
      <w:bookmarkStart w:id="266" w:name="_Toc14429559"/>
      <w:bookmarkStart w:id="267" w:name="_Toc16671614"/>
      <w:r w:rsidRPr="00386411">
        <w:t xml:space="preserve">Table </w:t>
      </w:r>
      <w:r w:rsidR="002E5B22" w:rsidRPr="00386411">
        <w:rPr>
          <w:noProof/>
        </w:rPr>
        <w:fldChar w:fldCharType="begin"/>
      </w:r>
      <w:r w:rsidR="002E5B22" w:rsidRPr="00386411">
        <w:rPr>
          <w:noProof/>
        </w:rPr>
        <w:instrText xml:space="preserve"> SEQ Table \* ARABIC </w:instrText>
      </w:r>
      <w:r w:rsidR="002E5B22" w:rsidRPr="00386411">
        <w:rPr>
          <w:noProof/>
        </w:rPr>
        <w:fldChar w:fldCharType="separate"/>
      </w:r>
      <w:r w:rsidR="00A7463B">
        <w:rPr>
          <w:noProof/>
        </w:rPr>
        <w:t>16</w:t>
      </w:r>
      <w:r w:rsidR="002E5B22" w:rsidRPr="00386411">
        <w:rPr>
          <w:noProof/>
        </w:rPr>
        <w:fldChar w:fldCharType="end"/>
      </w:r>
      <w:bookmarkEnd w:id="265"/>
      <w:r w:rsidRPr="00386411">
        <w:tab/>
      </w:r>
      <w:r w:rsidR="00E8580A" w:rsidRPr="00386411">
        <w:rPr>
          <w:rFonts w:cs="Arial"/>
          <w:snapToGrid w:val="0"/>
          <w:szCs w:val="16"/>
          <w:lang w:eastAsia="en-US"/>
        </w:rPr>
        <w:t>Comparative studies presenting systemic AE outcomes</w:t>
      </w:r>
      <w:r w:rsidR="00242504" w:rsidRPr="00386411">
        <w:rPr>
          <w:rFonts w:cs="Arial"/>
          <w:snapToGrid w:val="0"/>
          <w:szCs w:val="16"/>
          <w:lang w:eastAsia="en-US"/>
        </w:rPr>
        <w:t xml:space="preserve"> – IVIg vs No IVIg</w:t>
      </w:r>
      <w:bookmarkEnd w:id="266"/>
      <w:bookmarkEnd w:id="267"/>
    </w:p>
    <w:tbl>
      <w:tblPr>
        <w:tblW w:w="5028" w:type="pct"/>
        <w:tblLayout w:type="fixed"/>
        <w:tblLook w:val="04A0" w:firstRow="1" w:lastRow="0" w:firstColumn="1" w:lastColumn="0" w:noHBand="0" w:noVBand="1"/>
      </w:tblPr>
      <w:tblGrid>
        <w:gridCol w:w="2029"/>
        <w:gridCol w:w="2591"/>
        <w:gridCol w:w="24"/>
        <w:gridCol w:w="2325"/>
        <w:gridCol w:w="2325"/>
      </w:tblGrid>
      <w:tr w:rsidR="00B5564E" w:rsidRPr="00386411" w14:paraId="1E3A08AD" w14:textId="77777777" w:rsidTr="00B52A4F">
        <w:tc>
          <w:tcPr>
            <w:tcW w:w="10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163ABED" w14:textId="3C913173" w:rsidR="00B5564E" w:rsidRPr="00386411" w:rsidRDefault="00B5564E" w:rsidP="00154ECF">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Study</w:t>
            </w:r>
            <w:r w:rsidR="00BE5AFC" w:rsidRPr="00386411">
              <w:rPr>
                <w:rFonts w:ascii="Arial Narrow" w:hAnsi="Arial Narrow" w:cs="Calibri"/>
                <w:b/>
                <w:color w:val="000000"/>
                <w:sz w:val="20"/>
                <w:szCs w:val="20"/>
              </w:rPr>
              <w:t>, Indication</w:t>
            </w:r>
          </w:p>
        </w:tc>
        <w:tc>
          <w:tcPr>
            <w:tcW w:w="1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C7876D" w14:textId="0DBA36E3" w:rsidR="00B5564E" w:rsidRPr="00386411" w:rsidRDefault="00626315" w:rsidP="00154ECF">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Outcome</w:t>
            </w:r>
          </w:p>
        </w:tc>
        <w:tc>
          <w:tcPr>
            <w:tcW w:w="12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CA342C1" w14:textId="3BD84F0C" w:rsidR="00B5564E" w:rsidRPr="00386411" w:rsidRDefault="00626315" w:rsidP="00154ECF">
            <w:pPr>
              <w:keepNext/>
              <w:spacing w:after="0" w:line="240" w:lineRule="auto"/>
              <w:rPr>
                <w:rFonts w:ascii="Arial Narrow" w:hAnsi="Arial Narrow"/>
                <w:b/>
                <w:sz w:val="20"/>
                <w:szCs w:val="20"/>
              </w:rPr>
            </w:pPr>
            <w:r w:rsidRPr="00386411">
              <w:rPr>
                <w:rFonts w:ascii="Arial Narrow" w:hAnsi="Arial Narrow"/>
                <w:b/>
                <w:sz w:val="20"/>
                <w:szCs w:val="20"/>
              </w:rPr>
              <w:t>Intervention</w:t>
            </w:r>
          </w:p>
        </w:tc>
        <w:tc>
          <w:tcPr>
            <w:tcW w:w="125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E44BE01" w14:textId="76C15EB9" w:rsidR="00B5564E" w:rsidRPr="00386411" w:rsidRDefault="00626315" w:rsidP="00154ECF">
            <w:pPr>
              <w:keepNext/>
              <w:spacing w:after="0" w:line="240" w:lineRule="auto"/>
              <w:rPr>
                <w:rFonts w:ascii="Arial Narrow" w:hAnsi="Arial Narrow"/>
                <w:b/>
                <w:sz w:val="20"/>
                <w:szCs w:val="20"/>
              </w:rPr>
            </w:pPr>
            <w:r w:rsidRPr="00386411">
              <w:rPr>
                <w:rFonts w:ascii="Arial Narrow" w:hAnsi="Arial Narrow"/>
                <w:b/>
                <w:sz w:val="20"/>
                <w:szCs w:val="20"/>
              </w:rPr>
              <w:t xml:space="preserve">Comparator </w:t>
            </w:r>
          </w:p>
        </w:tc>
      </w:tr>
      <w:tr w:rsidR="00804E16" w:rsidRPr="00386411" w14:paraId="5FC81C1D" w14:textId="77777777" w:rsidTr="00804E16">
        <w:tc>
          <w:tcPr>
            <w:tcW w:w="1091" w:type="pct"/>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2E184369" w14:textId="1AEB7DB2" w:rsidR="00804E16" w:rsidRPr="00386411" w:rsidRDefault="00804E16" w:rsidP="00154ECF">
            <w:pPr>
              <w:keepNext/>
              <w:spacing w:after="0" w:line="240" w:lineRule="auto"/>
              <w:rPr>
                <w:rFonts w:ascii="Arial Narrow" w:hAnsi="Arial Narrow" w:cs="Calibri"/>
                <w:b/>
                <w:sz w:val="20"/>
                <w:szCs w:val="20"/>
              </w:rPr>
            </w:pPr>
            <w:r w:rsidRPr="00386411">
              <w:rPr>
                <w:rFonts w:ascii="Arial Narrow" w:hAnsi="Arial Narrow" w:cs="Calibri"/>
                <w:b/>
                <w:sz w:val="20"/>
                <w:szCs w:val="20"/>
              </w:rPr>
              <w:t>RCTs</w:t>
            </w:r>
          </w:p>
        </w:tc>
        <w:tc>
          <w:tcPr>
            <w:tcW w:w="1394" w:type="pct"/>
            <w:tcBorders>
              <w:top w:val="single" w:sz="4" w:space="0" w:color="auto"/>
              <w:left w:val="single" w:sz="4" w:space="0" w:color="auto"/>
              <w:bottom w:val="single" w:sz="4" w:space="0" w:color="auto"/>
              <w:right w:val="single" w:sz="4" w:space="0" w:color="auto"/>
            </w:tcBorders>
            <w:shd w:val="clear" w:color="auto" w:fill="000000" w:themeFill="text1"/>
          </w:tcPr>
          <w:p w14:paraId="73DEECD5" w14:textId="77777777" w:rsidR="00804E16" w:rsidRPr="00386411" w:rsidRDefault="00804E16" w:rsidP="00154ECF">
            <w:pPr>
              <w:keepNext/>
              <w:spacing w:after="0" w:line="240" w:lineRule="auto"/>
              <w:rPr>
                <w:rFonts w:ascii="Arial Narrow" w:hAnsi="Arial Narrow" w:cs="Calibri"/>
                <w:b/>
                <w:sz w:val="20"/>
                <w:szCs w:val="20"/>
              </w:rPr>
            </w:pPr>
          </w:p>
        </w:tc>
        <w:tc>
          <w:tcPr>
            <w:tcW w:w="1264" w:type="pct"/>
            <w:gridSpan w:val="2"/>
            <w:tcBorders>
              <w:top w:val="single" w:sz="4" w:space="0" w:color="auto"/>
              <w:left w:val="single" w:sz="4" w:space="0" w:color="auto"/>
              <w:bottom w:val="single" w:sz="4" w:space="0" w:color="auto"/>
              <w:right w:val="single" w:sz="4" w:space="0" w:color="auto"/>
            </w:tcBorders>
            <w:shd w:val="clear" w:color="auto" w:fill="000000" w:themeFill="text1"/>
            <w:noWrap/>
          </w:tcPr>
          <w:p w14:paraId="4A30917A" w14:textId="77777777" w:rsidR="00804E16" w:rsidRPr="00386411" w:rsidRDefault="00804E16" w:rsidP="00154ECF">
            <w:pPr>
              <w:keepNext/>
              <w:spacing w:after="0" w:line="240" w:lineRule="auto"/>
              <w:rPr>
                <w:rFonts w:ascii="Arial Narrow" w:hAnsi="Arial Narrow"/>
                <w:b/>
                <w:sz w:val="20"/>
                <w:szCs w:val="20"/>
              </w:rPr>
            </w:pPr>
          </w:p>
        </w:tc>
        <w:tc>
          <w:tcPr>
            <w:tcW w:w="1251" w:type="pct"/>
            <w:tcBorders>
              <w:top w:val="single" w:sz="4" w:space="0" w:color="auto"/>
              <w:left w:val="single" w:sz="4" w:space="0" w:color="auto"/>
              <w:bottom w:val="single" w:sz="4" w:space="0" w:color="auto"/>
              <w:right w:val="single" w:sz="4" w:space="0" w:color="auto"/>
            </w:tcBorders>
            <w:shd w:val="clear" w:color="auto" w:fill="000000" w:themeFill="text1"/>
            <w:noWrap/>
          </w:tcPr>
          <w:p w14:paraId="4449D6F4" w14:textId="77777777" w:rsidR="00804E16" w:rsidRPr="00386411" w:rsidRDefault="00804E16" w:rsidP="00154ECF">
            <w:pPr>
              <w:keepNext/>
              <w:spacing w:after="0" w:line="240" w:lineRule="auto"/>
              <w:rPr>
                <w:rFonts w:ascii="Arial Narrow" w:hAnsi="Arial Narrow"/>
                <w:b/>
                <w:sz w:val="20"/>
                <w:szCs w:val="20"/>
              </w:rPr>
            </w:pPr>
          </w:p>
        </w:tc>
      </w:tr>
      <w:tr w:rsidR="00A53303" w:rsidRPr="00386411" w14:paraId="3719B6D2" w14:textId="77777777" w:rsidTr="00B52A4F">
        <w:tc>
          <w:tcPr>
            <w:tcW w:w="10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4CA25C0" w14:textId="3167F2CF" w:rsidR="00A53303" w:rsidRPr="00386411" w:rsidRDefault="00A53303" w:rsidP="00B42022">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Boughton</w:t>
            </w:r>
            <w:r w:rsidR="00D13AB4" w:rsidRPr="00386411">
              <w:rPr>
                <w:rFonts w:ascii="Arial Narrow" w:hAnsi="Arial Narrow" w:cs="Calibri"/>
                <w:b/>
                <w:color w:val="000000"/>
                <w:sz w:val="20"/>
                <w:szCs w:val="20"/>
              </w:rPr>
              <w:t xml:space="preserve"> et al.</w:t>
            </w:r>
            <w:r w:rsidRPr="00386411">
              <w:rPr>
                <w:rFonts w:ascii="Arial Narrow" w:hAnsi="Arial Narrow" w:cs="Calibri"/>
                <w:b/>
                <w:color w:val="000000"/>
                <w:sz w:val="20"/>
                <w:szCs w:val="20"/>
              </w:rPr>
              <w:t>, 1995</w:t>
            </w:r>
          </w:p>
        </w:tc>
        <w:tc>
          <w:tcPr>
            <w:tcW w:w="1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170652" w14:textId="15BB8B53" w:rsidR="00A53303" w:rsidRPr="00386411" w:rsidRDefault="00A53303" w:rsidP="00B42022">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AEs</w:t>
            </w:r>
            <w:r w:rsidR="00763F47" w:rsidRPr="00386411">
              <w:rPr>
                <w:rFonts w:ascii="Arial Narrow" w:hAnsi="Arial Narrow" w:cs="Calibri"/>
                <w:b/>
                <w:color w:val="000000"/>
                <w:sz w:val="20"/>
                <w:szCs w:val="20"/>
              </w:rPr>
              <w:t xml:space="preserve"> (N=42)</w:t>
            </w:r>
          </w:p>
        </w:tc>
        <w:tc>
          <w:tcPr>
            <w:tcW w:w="12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05A743E" w14:textId="30C32FBF" w:rsidR="00A53303" w:rsidRPr="00386411" w:rsidRDefault="00A53303" w:rsidP="00B42022">
            <w:pPr>
              <w:spacing w:after="0" w:line="240" w:lineRule="auto"/>
              <w:rPr>
                <w:rFonts w:ascii="Arial Narrow" w:hAnsi="Arial Narrow" w:cs="Calibri"/>
                <w:b/>
                <w:color w:val="000000"/>
                <w:sz w:val="20"/>
                <w:szCs w:val="20"/>
              </w:rPr>
            </w:pPr>
            <w:r w:rsidRPr="00386411">
              <w:rPr>
                <w:rFonts w:ascii="Arial Narrow" w:hAnsi="Arial Narrow"/>
                <w:b/>
                <w:sz w:val="20"/>
                <w:szCs w:val="20"/>
              </w:rPr>
              <w:t>IVIg (n=24)</w:t>
            </w:r>
          </w:p>
        </w:tc>
        <w:tc>
          <w:tcPr>
            <w:tcW w:w="125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92A637D" w14:textId="52D4AF80" w:rsidR="00A53303" w:rsidRPr="00386411" w:rsidRDefault="00A53303" w:rsidP="00D73991">
            <w:pPr>
              <w:spacing w:after="0" w:line="240" w:lineRule="auto"/>
              <w:rPr>
                <w:rFonts w:ascii="Arial Narrow" w:hAnsi="Arial Narrow" w:cs="Calibri"/>
                <w:b/>
                <w:color w:val="000000"/>
                <w:sz w:val="20"/>
                <w:szCs w:val="20"/>
              </w:rPr>
            </w:pPr>
            <w:r w:rsidRPr="00386411">
              <w:rPr>
                <w:rFonts w:ascii="Arial Narrow" w:hAnsi="Arial Narrow"/>
                <w:b/>
                <w:sz w:val="20"/>
                <w:szCs w:val="20"/>
              </w:rPr>
              <w:t>No IVIg</w:t>
            </w:r>
            <w:r w:rsidR="00D73991" w:rsidRPr="00386411">
              <w:rPr>
                <w:rFonts w:ascii="Arial Narrow" w:hAnsi="Arial Narrow"/>
                <w:b/>
                <w:sz w:val="20"/>
                <w:szCs w:val="20"/>
              </w:rPr>
              <w:t xml:space="preserve"> (albumin)</w:t>
            </w:r>
            <w:r w:rsidRPr="00386411">
              <w:rPr>
                <w:rFonts w:ascii="Arial Narrow" w:hAnsi="Arial Narrow"/>
                <w:b/>
                <w:sz w:val="20"/>
                <w:szCs w:val="20"/>
              </w:rPr>
              <w:t xml:space="preserve"> (n=18)</w:t>
            </w:r>
          </w:p>
        </w:tc>
      </w:tr>
      <w:tr w:rsidR="00A53303" w:rsidRPr="007D0AA8" w14:paraId="56B913C1" w14:textId="77777777" w:rsidTr="00804E16">
        <w:tc>
          <w:tcPr>
            <w:tcW w:w="1091" w:type="pct"/>
            <w:tcBorders>
              <w:top w:val="single" w:sz="4" w:space="0" w:color="auto"/>
              <w:left w:val="single" w:sz="4" w:space="0" w:color="auto"/>
              <w:bottom w:val="nil"/>
              <w:right w:val="single" w:sz="4" w:space="0" w:color="auto"/>
            </w:tcBorders>
            <w:vAlign w:val="bottom"/>
          </w:tcPr>
          <w:p w14:paraId="375ECAC5" w14:textId="1E0838D1" w:rsidR="00A53303" w:rsidRPr="007D0AA8" w:rsidRDefault="00A53303" w:rsidP="00B42022">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CLL</w:t>
            </w:r>
          </w:p>
        </w:tc>
        <w:tc>
          <w:tcPr>
            <w:tcW w:w="1394" w:type="pct"/>
            <w:tcBorders>
              <w:top w:val="single" w:sz="4" w:space="0" w:color="auto"/>
              <w:left w:val="single" w:sz="4" w:space="0" w:color="auto"/>
              <w:bottom w:val="nil"/>
              <w:right w:val="single" w:sz="4" w:space="0" w:color="auto"/>
            </w:tcBorders>
          </w:tcPr>
          <w:p w14:paraId="4A95C108" w14:textId="3752493D" w:rsidR="00A53303" w:rsidRPr="007D0AA8" w:rsidRDefault="00A53303" w:rsidP="00331FB9">
            <w:pPr>
              <w:pStyle w:val="ListParagraph"/>
              <w:numPr>
                <w:ilvl w:val="0"/>
                <w:numId w:val="17"/>
              </w:numPr>
              <w:spacing w:after="0" w:line="240" w:lineRule="auto"/>
              <w:ind w:left="176" w:hanging="176"/>
              <w:rPr>
                <w:rFonts w:ascii="Arial Narrow" w:hAnsi="Arial Narrow"/>
                <w:sz w:val="20"/>
                <w:szCs w:val="20"/>
              </w:rPr>
            </w:pPr>
            <w:r w:rsidRPr="007D0AA8">
              <w:rPr>
                <w:rFonts w:ascii="Arial Narrow" w:hAnsi="Arial Narrow"/>
                <w:sz w:val="20"/>
                <w:szCs w:val="20"/>
              </w:rPr>
              <w:t>Pyrexia</w:t>
            </w:r>
          </w:p>
        </w:tc>
        <w:tc>
          <w:tcPr>
            <w:tcW w:w="1264" w:type="pct"/>
            <w:gridSpan w:val="2"/>
            <w:tcBorders>
              <w:top w:val="single" w:sz="4" w:space="0" w:color="auto"/>
              <w:left w:val="single" w:sz="4" w:space="0" w:color="auto"/>
              <w:bottom w:val="nil"/>
              <w:right w:val="nil"/>
            </w:tcBorders>
            <w:shd w:val="clear" w:color="auto" w:fill="auto"/>
            <w:noWrap/>
          </w:tcPr>
          <w:p w14:paraId="6E1B2519" w14:textId="35AD07A2" w:rsidR="00A53303" w:rsidRPr="007D0AA8" w:rsidRDefault="00A53303" w:rsidP="00B42022">
            <w:pPr>
              <w:spacing w:after="0" w:line="240" w:lineRule="auto"/>
              <w:rPr>
                <w:rFonts w:ascii="Arial Narrow" w:hAnsi="Arial Narrow"/>
                <w:sz w:val="20"/>
                <w:szCs w:val="20"/>
              </w:rPr>
            </w:pPr>
            <w:r w:rsidRPr="007D0AA8">
              <w:rPr>
                <w:rFonts w:ascii="Arial Narrow" w:hAnsi="Arial Narrow"/>
                <w:sz w:val="20"/>
                <w:szCs w:val="20"/>
              </w:rPr>
              <w:t>11</w:t>
            </w:r>
          </w:p>
        </w:tc>
        <w:tc>
          <w:tcPr>
            <w:tcW w:w="1251" w:type="pct"/>
            <w:tcBorders>
              <w:top w:val="single" w:sz="4" w:space="0" w:color="auto"/>
              <w:left w:val="nil"/>
              <w:bottom w:val="nil"/>
              <w:right w:val="single" w:sz="4" w:space="0" w:color="auto"/>
            </w:tcBorders>
            <w:shd w:val="clear" w:color="auto" w:fill="auto"/>
            <w:noWrap/>
          </w:tcPr>
          <w:p w14:paraId="226B1E14" w14:textId="689D0986" w:rsidR="00A53303" w:rsidRPr="007D0AA8" w:rsidRDefault="00A53303" w:rsidP="00B42022">
            <w:pPr>
              <w:spacing w:after="0" w:line="240" w:lineRule="auto"/>
              <w:rPr>
                <w:rFonts w:ascii="Arial Narrow" w:hAnsi="Arial Narrow"/>
                <w:sz w:val="20"/>
                <w:szCs w:val="20"/>
              </w:rPr>
            </w:pPr>
            <w:r w:rsidRPr="007D0AA8">
              <w:rPr>
                <w:rFonts w:ascii="Arial Narrow" w:hAnsi="Arial Narrow"/>
                <w:sz w:val="20"/>
                <w:szCs w:val="20"/>
              </w:rPr>
              <w:t>2</w:t>
            </w:r>
          </w:p>
        </w:tc>
      </w:tr>
      <w:tr w:rsidR="00A53303" w:rsidRPr="007D0AA8" w14:paraId="172E164E" w14:textId="77777777" w:rsidTr="00804E16">
        <w:tc>
          <w:tcPr>
            <w:tcW w:w="1091" w:type="pct"/>
            <w:tcBorders>
              <w:top w:val="nil"/>
              <w:left w:val="single" w:sz="4" w:space="0" w:color="auto"/>
              <w:bottom w:val="nil"/>
              <w:right w:val="single" w:sz="4" w:space="0" w:color="auto"/>
            </w:tcBorders>
            <w:vAlign w:val="bottom"/>
          </w:tcPr>
          <w:p w14:paraId="7B9C5460" w14:textId="77777777" w:rsidR="00A53303" w:rsidRPr="007D0AA8" w:rsidRDefault="00A53303" w:rsidP="00B42022">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375DD3D2" w14:textId="36582047" w:rsidR="00A53303" w:rsidRPr="007D0AA8" w:rsidRDefault="00A53303" w:rsidP="00331FB9">
            <w:pPr>
              <w:pStyle w:val="ListParagraph"/>
              <w:numPr>
                <w:ilvl w:val="0"/>
                <w:numId w:val="17"/>
              </w:numPr>
              <w:spacing w:after="0" w:line="240" w:lineRule="auto"/>
              <w:ind w:left="176" w:hanging="176"/>
              <w:rPr>
                <w:rFonts w:ascii="Arial Narrow" w:hAnsi="Arial Narrow" w:cs="Calibri"/>
                <w:color w:val="000000"/>
                <w:sz w:val="20"/>
                <w:szCs w:val="20"/>
              </w:rPr>
            </w:pPr>
            <w:r w:rsidRPr="007D0AA8">
              <w:rPr>
                <w:rFonts w:ascii="Arial Narrow" w:hAnsi="Arial Narrow"/>
                <w:sz w:val="20"/>
                <w:szCs w:val="20"/>
              </w:rPr>
              <w:t>Lethargy</w:t>
            </w:r>
          </w:p>
        </w:tc>
        <w:tc>
          <w:tcPr>
            <w:tcW w:w="1264" w:type="pct"/>
            <w:gridSpan w:val="2"/>
            <w:tcBorders>
              <w:top w:val="nil"/>
              <w:left w:val="single" w:sz="4" w:space="0" w:color="auto"/>
              <w:bottom w:val="nil"/>
              <w:right w:val="nil"/>
            </w:tcBorders>
            <w:shd w:val="clear" w:color="auto" w:fill="auto"/>
            <w:noWrap/>
          </w:tcPr>
          <w:p w14:paraId="2593FD53" w14:textId="4A0AA58C" w:rsidR="00A53303" w:rsidRPr="007D0AA8" w:rsidRDefault="00A53303" w:rsidP="00B42022">
            <w:pPr>
              <w:spacing w:after="0" w:line="240" w:lineRule="auto"/>
              <w:rPr>
                <w:rFonts w:ascii="Arial Narrow" w:hAnsi="Arial Narrow" w:cs="Calibri"/>
                <w:color w:val="000000"/>
                <w:sz w:val="20"/>
                <w:szCs w:val="20"/>
              </w:rPr>
            </w:pPr>
            <w:r w:rsidRPr="007D0AA8">
              <w:rPr>
                <w:rFonts w:ascii="Arial Narrow" w:hAnsi="Arial Narrow"/>
                <w:sz w:val="20"/>
                <w:szCs w:val="20"/>
              </w:rPr>
              <w:t>3</w:t>
            </w:r>
          </w:p>
        </w:tc>
        <w:tc>
          <w:tcPr>
            <w:tcW w:w="1251" w:type="pct"/>
            <w:tcBorders>
              <w:top w:val="nil"/>
              <w:left w:val="nil"/>
              <w:bottom w:val="nil"/>
              <w:right w:val="single" w:sz="4" w:space="0" w:color="auto"/>
            </w:tcBorders>
            <w:shd w:val="clear" w:color="auto" w:fill="auto"/>
            <w:noWrap/>
          </w:tcPr>
          <w:p w14:paraId="396A316B" w14:textId="6B833A1C" w:rsidR="00A53303" w:rsidRPr="007D0AA8" w:rsidRDefault="00A53303" w:rsidP="00B42022">
            <w:pPr>
              <w:spacing w:after="0" w:line="240" w:lineRule="auto"/>
              <w:rPr>
                <w:rFonts w:ascii="Arial Narrow" w:hAnsi="Arial Narrow" w:cs="Calibri"/>
                <w:color w:val="000000"/>
                <w:sz w:val="20"/>
                <w:szCs w:val="20"/>
              </w:rPr>
            </w:pPr>
            <w:r w:rsidRPr="007D0AA8">
              <w:rPr>
                <w:rFonts w:ascii="Arial Narrow" w:hAnsi="Arial Narrow"/>
                <w:sz w:val="20"/>
                <w:szCs w:val="20"/>
              </w:rPr>
              <w:t>0</w:t>
            </w:r>
          </w:p>
        </w:tc>
      </w:tr>
      <w:tr w:rsidR="00A53303" w:rsidRPr="007D0AA8" w14:paraId="71A73B9A" w14:textId="77777777" w:rsidTr="00804E16">
        <w:tc>
          <w:tcPr>
            <w:tcW w:w="1091" w:type="pct"/>
            <w:tcBorders>
              <w:top w:val="nil"/>
              <w:left w:val="single" w:sz="4" w:space="0" w:color="auto"/>
              <w:bottom w:val="nil"/>
              <w:right w:val="single" w:sz="4" w:space="0" w:color="auto"/>
            </w:tcBorders>
            <w:vAlign w:val="bottom"/>
          </w:tcPr>
          <w:p w14:paraId="6A1E4990" w14:textId="77777777" w:rsidR="00A53303" w:rsidRPr="007D0AA8" w:rsidRDefault="00A53303" w:rsidP="00B42022">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26F915FF" w14:textId="6DDB092D" w:rsidR="00A53303" w:rsidRPr="007D0AA8" w:rsidRDefault="00A53303" w:rsidP="00331FB9">
            <w:pPr>
              <w:pStyle w:val="ListParagraph"/>
              <w:numPr>
                <w:ilvl w:val="0"/>
                <w:numId w:val="17"/>
              </w:numPr>
              <w:spacing w:after="0" w:line="240" w:lineRule="auto"/>
              <w:ind w:left="176" w:hanging="176"/>
              <w:rPr>
                <w:rFonts w:ascii="Arial Narrow" w:hAnsi="Arial Narrow" w:cs="Calibri"/>
                <w:color w:val="000000"/>
                <w:sz w:val="20"/>
                <w:szCs w:val="20"/>
              </w:rPr>
            </w:pPr>
            <w:r w:rsidRPr="007D0AA8">
              <w:rPr>
                <w:rFonts w:ascii="Arial Narrow" w:hAnsi="Arial Narrow"/>
                <w:sz w:val="20"/>
                <w:szCs w:val="20"/>
              </w:rPr>
              <w:t>Rigors</w:t>
            </w:r>
          </w:p>
        </w:tc>
        <w:tc>
          <w:tcPr>
            <w:tcW w:w="1264" w:type="pct"/>
            <w:gridSpan w:val="2"/>
            <w:tcBorders>
              <w:top w:val="nil"/>
              <w:left w:val="single" w:sz="4" w:space="0" w:color="auto"/>
              <w:bottom w:val="nil"/>
              <w:right w:val="nil"/>
            </w:tcBorders>
            <w:shd w:val="clear" w:color="auto" w:fill="auto"/>
            <w:noWrap/>
          </w:tcPr>
          <w:p w14:paraId="3CCD94B4" w14:textId="157DC195" w:rsidR="00A53303" w:rsidRPr="007D0AA8" w:rsidRDefault="00A53303" w:rsidP="00B42022">
            <w:pPr>
              <w:spacing w:after="0" w:line="240" w:lineRule="auto"/>
              <w:rPr>
                <w:rFonts w:ascii="Arial Narrow" w:hAnsi="Arial Narrow" w:cs="Calibri"/>
                <w:color w:val="000000"/>
                <w:sz w:val="20"/>
                <w:szCs w:val="20"/>
              </w:rPr>
            </w:pPr>
            <w:r w:rsidRPr="007D0AA8">
              <w:rPr>
                <w:rFonts w:ascii="Arial Narrow" w:hAnsi="Arial Narrow"/>
                <w:sz w:val="20"/>
                <w:szCs w:val="20"/>
              </w:rPr>
              <w:t>2</w:t>
            </w:r>
          </w:p>
        </w:tc>
        <w:tc>
          <w:tcPr>
            <w:tcW w:w="1251" w:type="pct"/>
            <w:tcBorders>
              <w:top w:val="nil"/>
              <w:left w:val="nil"/>
              <w:bottom w:val="nil"/>
              <w:right w:val="single" w:sz="4" w:space="0" w:color="auto"/>
            </w:tcBorders>
            <w:shd w:val="clear" w:color="auto" w:fill="auto"/>
            <w:noWrap/>
          </w:tcPr>
          <w:p w14:paraId="35CE98A7" w14:textId="24593B9C" w:rsidR="00A53303" w:rsidRPr="007D0AA8" w:rsidRDefault="00A53303" w:rsidP="00B42022">
            <w:pPr>
              <w:spacing w:after="0" w:line="240" w:lineRule="auto"/>
              <w:rPr>
                <w:rFonts w:ascii="Arial Narrow" w:hAnsi="Arial Narrow" w:cs="Calibri"/>
                <w:color w:val="000000"/>
                <w:sz w:val="20"/>
                <w:szCs w:val="20"/>
              </w:rPr>
            </w:pPr>
            <w:r w:rsidRPr="007D0AA8">
              <w:rPr>
                <w:rFonts w:ascii="Arial Narrow" w:hAnsi="Arial Narrow"/>
                <w:sz w:val="20"/>
                <w:szCs w:val="20"/>
              </w:rPr>
              <w:t>1</w:t>
            </w:r>
          </w:p>
        </w:tc>
      </w:tr>
      <w:tr w:rsidR="00A53303" w:rsidRPr="007D0AA8" w14:paraId="3B1A3177" w14:textId="77777777" w:rsidTr="00804E16">
        <w:tc>
          <w:tcPr>
            <w:tcW w:w="1091" w:type="pct"/>
            <w:tcBorders>
              <w:top w:val="nil"/>
              <w:left w:val="single" w:sz="4" w:space="0" w:color="auto"/>
              <w:bottom w:val="nil"/>
              <w:right w:val="single" w:sz="4" w:space="0" w:color="auto"/>
            </w:tcBorders>
            <w:vAlign w:val="bottom"/>
          </w:tcPr>
          <w:p w14:paraId="3E758029" w14:textId="77777777" w:rsidR="00A53303" w:rsidRPr="007D0AA8" w:rsidRDefault="00A53303" w:rsidP="00B42022">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3CC28644" w14:textId="06FBE4D5" w:rsidR="00A53303" w:rsidRPr="007D0AA8" w:rsidRDefault="00A53303" w:rsidP="00331FB9">
            <w:pPr>
              <w:pStyle w:val="ListParagraph"/>
              <w:numPr>
                <w:ilvl w:val="0"/>
                <w:numId w:val="17"/>
              </w:numPr>
              <w:spacing w:after="0" w:line="240" w:lineRule="auto"/>
              <w:ind w:left="176" w:hanging="176"/>
              <w:rPr>
                <w:rFonts w:ascii="Arial Narrow" w:hAnsi="Arial Narrow" w:cs="Calibri"/>
                <w:color w:val="000000"/>
                <w:sz w:val="20"/>
                <w:szCs w:val="20"/>
              </w:rPr>
            </w:pPr>
            <w:r w:rsidRPr="007D0AA8">
              <w:rPr>
                <w:rFonts w:ascii="Arial Narrow" w:hAnsi="Arial Narrow"/>
                <w:sz w:val="20"/>
                <w:szCs w:val="20"/>
              </w:rPr>
              <w:t>Sweating</w:t>
            </w:r>
          </w:p>
        </w:tc>
        <w:tc>
          <w:tcPr>
            <w:tcW w:w="1264" w:type="pct"/>
            <w:gridSpan w:val="2"/>
            <w:tcBorders>
              <w:top w:val="nil"/>
              <w:left w:val="single" w:sz="4" w:space="0" w:color="auto"/>
              <w:bottom w:val="nil"/>
              <w:right w:val="nil"/>
            </w:tcBorders>
            <w:shd w:val="clear" w:color="auto" w:fill="auto"/>
            <w:noWrap/>
          </w:tcPr>
          <w:p w14:paraId="0DA5A6F0" w14:textId="14781CD1" w:rsidR="00A53303" w:rsidRPr="007D0AA8" w:rsidRDefault="00A53303" w:rsidP="00B42022">
            <w:pPr>
              <w:spacing w:after="0" w:line="240" w:lineRule="auto"/>
              <w:rPr>
                <w:rFonts w:ascii="Arial Narrow" w:hAnsi="Arial Narrow" w:cs="Calibri"/>
                <w:color w:val="000000"/>
                <w:sz w:val="20"/>
                <w:szCs w:val="20"/>
              </w:rPr>
            </w:pPr>
            <w:r w:rsidRPr="007D0AA8">
              <w:rPr>
                <w:rFonts w:ascii="Arial Narrow" w:hAnsi="Arial Narrow"/>
                <w:sz w:val="20"/>
                <w:szCs w:val="20"/>
              </w:rPr>
              <w:t>2</w:t>
            </w:r>
          </w:p>
        </w:tc>
        <w:tc>
          <w:tcPr>
            <w:tcW w:w="1251" w:type="pct"/>
            <w:tcBorders>
              <w:top w:val="nil"/>
              <w:left w:val="nil"/>
              <w:bottom w:val="nil"/>
              <w:right w:val="single" w:sz="4" w:space="0" w:color="auto"/>
            </w:tcBorders>
            <w:shd w:val="clear" w:color="auto" w:fill="auto"/>
            <w:noWrap/>
          </w:tcPr>
          <w:p w14:paraId="2701FC90" w14:textId="0E5097D5" w:rsidR="00A53303" w:rsidRPr="007D0AA8" w:rsidRDefault="00A53303" w:rsidP="00B42022">
            <w:pPr>
              <w:spacing w:after="0" w:line="240" w:lineRule="auto"/>
              <w:rPr>
                <w:rFonts w:ascii="Arial Narrow" w:hAnsi="Arial Narrow" w:cs="Calibri"/>
                <w:color w:val="000000"/>
                <w:sz w:val="20"/>
                <w:szCs w:val="20"/>
              </w:rPr>
            </w:pPr>
            <w:r w:rsidRPr="007D0AA8">
              <w:rPr>
                <w:rFonts w:ascii="Arial Narrow" w:hAnsi="Arial Narrow"/>
                <w:sz w:val="20"/>
                <w:szCs w:val="20"/>
              </w:rPr>
              <w:t>0</w:t>
            </w:r>
          </w:p>
        </w:tc>
      </w:tr>
      <w:tr w:rsidR="00A53303" w:rsidRPr="007D0AA8" w14:paraId="547B0ADD" w14:textId="77777777" w:rsidTr="00804E16">
        <w:tc>
          <w:tcPr>
            <w:tcW w:w="1091" w:type="pct"/>
            <w:tcBorders>
              <w:top w:val="nil"/>
              <w:left w:val="single" w:sz="4" w:space="0" w:color="auto"/>
              <w:bottom w:val="nil"/>
              <w:right w:val="single" w:sz="4" w:space="0" w:color="auto"/>
            </w:tcBorders>
            <w:vAlign w:val="bottom"/>
          </w:tcPr>
          <w:p w14:paraId="3824E5D0" w14:textId="77777777" w:rsidR="00A53303" w:rsidRPr="007D0AA8" w:rsidRDefault="00A53303" w:rsidP="00B42022">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7A913FFD" w14:textId="3155ED3B" w:rsidR="00A53303" w:rsidRPr="007D0AA8" w:rsidRDefault="00A53303" w:rsidP="00331FB9">
            <w:pPr>
              <w:pStyle w:val="ListParagraph"/>
              <w:numPr>
                <w:ilvl w:val="0"/>
                <w:numId w:val="17"/>
              </w:numPr>
              <w:spacing w:after="0" w:line="240" w:lineRule="auto"/>
              <w:ind w:left="176" w:hanging="176"/>
              <w:rPr>
                <w:rFonts w:ascii="Arial Narrow" w:hAnsi="Arial Narrow" w:cs="Calibri"/>
                <w:color w:val="000000"/>
                <w:sz w:val="20"/>
                <w:szCs w:val="20"/>
              </w:rPr>
            </w:pPr>
            <w:r w:rsidRPr="007D0AA8">
              <w:rPr>
                <w:rFonts w:ascii="Arial Narrow" w:hAnsi="Arial Narrow"/>
                <w:sz w:val="20"/>
                <w:szCs w:val="20"/>
              </w:rPr>
              <w:t>Inflamed cannula</w:t>
            </w:r>
          </w:p>
        </w:tc>
        <w:tc>
          <w:tcPr>
            <w:tcW w:w="1264" w:type="pct"/>
            <w:gridSpan w:val="2"/>
            <w:tcBorders>
              <w:top w:val="nil"/>
              <w:left w:val="single" w:sz="4" w:space="0" w:color="auto"/>
              <w:bottom w:val="nil"/>
              <w:right w:val="nil"/>
            </w:tcBorders>
            <w:shd w:val="clear" w:color="auto" w:fill="auto"/>
            <w:noWrap/>
          </w:tcPr>
          <w:p w14:paraId="3150CE8A" w14:textId="5EF62D6E" w:rsidR="00A53303" w:rsidRPr="007D0AA8" w:rsidRDefault="00A53303" w:rsidP="00B42022">
            <w:pPr>
              <w:spacing w:after="0" w:line="240" w:lineRule="auto"/>
              <w:rPr>
                <w:rFonts w:ascii="Arial Narrow" w:hAnsi="Arial Narrow" w:cs="Calibri"/>
                <w:color w:val="000000"/>
                <w:sz w:val="20"/>
                <w:szCs w:val="20"/>
              </w:rPr>
            </w:pPr>
            <w:r w:rsidRPr="007D0AA8">
              <w:rPr>
                <w:rFonts w:ascii="Arial Narrow" w:hAnsi="Arial Narrow"/>
                <w:sz w:val="20"/>
                <w:szCs w:val="20"/>
              </w:rPr>
              <w:t>1</w:t>
            </w:r>
          </w:p>
        </w:tc>
        <w:tc>
          <w:tcPr>
            <w:tcW w:w="1251" w:type="pct"/>
            <w:tcBorders>
              <w:top w:val="nil"/>
              <w:left w:val="nil"/>
              <w:bottom w:val="nil"/>
              <w:right w:val="single" w:sz="4" w:space="0" w:color="auto"/>
            </w:tcBorders>
            <w:shd w:val="clear" w:color="auto" w:fill="auto"/>
            <w:noWrap/>
          </w:tcPr>
          <w:p w14:paraId="041040E7" w14:textId="44DD76C8" w:rsidR="00A53303" w:rsidRPr="007D0AA8" w:rsidRDefault="00A53303" w:rsidP="00B42022">
            <w:pPr>
              <w:spacing w:after="0" w:line="240" w:lineRule="auto"/>
              <w:rPr>
                <w:rFonts w:ascii="Arial Narrow" w:hAnsi="Arial Narrow" w:cs="Calibri"/>
                <w:color w:val="000000"/>
                <w:sz w:val="20"/>
                <w:szCs w:val="20"/>
              </w:rPr>
            </w:pPr>
            <w:r w:rsidRPr="007D0AA8">
              <w:rPr>
                <w:rFonts w:ascii="Arial Narrow" w:hAnsi="Arial Narrow"/>
                <w:sz w:val="20"/>
                <w:szCs w:val="20"/>
              </w:rPr>
              <w:t>0</w:t>
            </w:r>
          </w:p>
        </w:tc>
      </w:tr>
      <w:tr w:rsidR="00A53303" w:rsidRPr="007D0AA8" w14:paraId="4C54F8DB" w14:textId="77777777" w:rsidTr="00804E16">
        <w:tc>
          <w:tcPr>
            <w:tcW w:w="1091" w:type="pct"/>
            <w:tcBorders>
              <w:top w:val="nil"/>
              <w:left w:val="single" w:sz="4" w:space="0" w:color="auto"/>
              <w:bottom w:val="nil"/>
              <w:right w:val="single" w:sz="4" w:space="0" w:color="auto"/>
            </w:tcBorders>
            <w:vAlign w:val="bottom"/>
          </w:tcPr>
          <w:p w14:paraId="30BF51AC" w14:textId="77777777" w:rsidR="00A53303" w:rsidRPr="007D0AA8" w:rsidRDefault="00A53303" w:rsidP="00B42022">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36AD121F" w14:textId="2AC2B848" w:rsidR="00A53303" w:rsidRPr="007D0AA8" w:rsidRDefault="00A53303" w:rsidP="00331FB9">
            <w:pPr>
              <w:pStyle w:val="ListParagraph"/>
              <w:numPr>
                <w:ilvl w:val="0"/>
                <w:numId w:val="17"/>
              </w:numPr>
              <w:spacing w:after="0" w:line="240" w:lineRule="auto"/>
              <w:ind w:left="176" w:hanging="176"/>
              <w:rPr>
                <w:rFonts w:ascii="Arial Narrow" w:hAnsi="Arial Narrow" w:cs="Calibri"/>
                <w:color w:val="000000"/>
                <w:sz w:val="20"/>
                <w:szCs w:val="20"/>
              </w:rPr>
            </w:pPr>
            <w:r w:rsidRPr="007D0AA8">
              <w:rPr>
                <w:rFonts w:ascii="Arial Narrow" w:hAnsi="Arial Narrow"/>
                <w:sz w:val="20"/>
                <w:szCs w:val="20"/>
              </w:rPr>
              <w:t>Hypothermia</w:t>
            </w:r>
          </w:p>
        </w:tc>
        <w:tc>
          <w:tcPr>
            <w:tcW w:w="1264" w:type="pct"/>
            <w:gridSpan w:val="2"/>
            <w:tcBorders>
              <w:top w:val="nil"/>
              <w:left w:val="single" w:sz="4" w:space="0" w:color="auto"/>
              <w:bottom w:val="nil"/>
              <w:right w:val="nil"/>
            </w:tcBorders>
            <w:shd w:val="clear" w:color="auto" w:fill="auto"/>
            <w:noWrap/>
          </w:tcPr>
          <w:p w14:paraId="289CF28D" w14:textId="2539B4F2" w:rsidR="00A53303" w:rsidRPr="007D0AA8" w:rsidRDefault="00A53303" w:rsidP="00B42022">
            <w:pPr>
              <w:spacing w:after="0" w:line="240" w:lineRule="auto"/>
              <w:rPr>
                <w:rFonts w:ascii="Arial Narrow" w:hAnsi="Arial Narrow" w:cs="Calibri"/>
                <w:color w:val="000000"/>
                <w:sz w:val="20"/>
                <w:szCs w:val="20"/>
              </w:rPr>
            </w:pPr>
            <w:r w:rsidRPr="007D0AA8">
              <w:rPr>
                <w:rFonts w:ascii="Arial Narrow" w:hAnsi="Arial Narrow"/>
                <w:sz w:val="20"/>
                <w:szCs w:val="20"/>
              </w:rPr>
              <w:t>1</w:t>
            </w:r>
          </w:p>
        </w:tc>
        <w:tc>
          <w:tcPr>
            <w:tcW w:w="1251" w:type="pct"/>
            <w:tcBorders>
              <w:top w:val="nil"/>
              <w:left w:val="nil"/>
              <w:bottom w:val="nil"/>
              <w:right w:val="single" w:sz="4" w:space="0" w:color="auto"/>
            </w:tcBorders>
            <w:shd w:val="clear" w:color="auto" w:fill="auto"/>
            <w:noWrap/>
          </w:tcPr>
          <w:p w14:paraId="2811C30C" w14:textId="7F22BD87" w:rsidR="00A53303" w:rsidRPr="007D0AA8" w:rsidRDefault="00A53303" w:rsidP="00B42022">
            <w:pPr>
              <w:spacing w:after="0" w:line="240" w:lineRule="auto"/>
              <w:rPr>
                <w:rFonts w:ascii="Arial Narrow" w:hAnsi="Arial Narrow" w:cs="Calibri"/>
                <w:color w:val="000000"/>
                <w:sz w:val="20"/>
                <w:szCs w:val="20"/>
              </w:rPr>
            </w:pPr>
            <w:r w:rsidRPr="007D0AA8">
              <w:rPr>
                <w:rFonts w:ascii="Arial Narrow" w:hAnsi="Arial Narrow"/>
                <w:sz w:val="20"/>
                <w:szCs w:val="20"/>
              </w:rPr>
              <w:t>0</w:t>
            </w:r>
          </w:p>
        </w:tc>
      </w:tr>
      <w:tr w:rsidR="00A53303" w:rsidRPr="007D0AA8" w14:paraId="0058CDBE" w14:textId="77777777" w:rsidTr="00804E16">
        <w:tc>
          <w:tcPr>
            <w:tcW w:w="1091" w:type="pct"/>
            <w:tcBorders>
              <w:top w:val="nil"/>
              <w:left w:val="single" w:sz="4" w:space="0" w:color="auto"/>
              <w:bottom w:val="nil"/>
              <w:right w:val="single" w:sz="4" w:space="0" w:color="auto"/>
            </w:tcBorders>
            <w:vAlign w:val="bottom"/>
          </w:tcPr>
          <w:p w14:paraId="05E50539" w14:textId="77777777" w:rsidR="00A53303" w:rsidRPr="007D0AA8" w:rsidRDefault="00A53303" w:rsidP="00B42022">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3E0603CB" w14:textId="0B246C1D" w:rsidR="00A53303" w:rsidRPr="007D0AA8" w:rsidRDefault="00A53303" w:rsidP="00331FB9">
            <w:pPr>
              <w:pStyle w:val="ListParagraph"/>
              <w:numPr>
                <w:ilvl w:val="0"/>
                <w:numId w:val="17"/>
              </w:numPr>
              <w:spacing w:after="0" w:line="240" w:lineRule="auto"/>
              <w:ind w:left="176" w:hanging="176"/>
              <w:rPr>
                <w:rFonts w:ascii="Arial Narrow" w:hAnsi="Arial Narrow" w:cs="Calibri"/>
                <w:color w:val="000000"/>
                <w:sz w:val="20"/>
                <w:szCs w:val="20"/>
              </w:rPr>
            </w:pPr>
            <w:r w:rsidRPr="007D0AA8">
              <w:rPr>
                <w:rFonts w:ascii="Arial Narrow" w:hAnsi="Arial Narrow"/>
                <w:sz w:val="20"/>
                <w:szCs w:val="20"/>
              </w:rPr>
              <w:t>Rigor</w:t>
            </w:r>
          </w:p>
        </w:tc>
        <w:tc>
          <w:tcPr>
            <w:tcW w:w="1264" w:type="pct"/>
            <w:gridSpan w:val="2"/>
            <w:tcBorders>
              <w:top w:val="nil"/>
              <w:left w:val="single" w:sz="4" w:space="0" w:color="auto"/>
              <w:bottom w:val="nil"/>
              <w:right w:val="nil"/>
            </w:tcBorders>
            <w:shd w:val="clear" w:color="auto" w:fill="auto"/>
            <w:noWrap/>
          </w:tcPr>
          <w:p w14:paraId="07CC6368" w14:textId="31DF758A" w:rsidR="00A53303" w:rsidRPr="007D0AA8" w:rsidRDefault="00A53303" w:rsidP="00B42022">
            <w:pPr>
              <w:spacing w:after="0" w:line="240" w:lineRule="auto"/>
              <w:rPr>
                <w:rFonts w:ascii="Arial Narrow" w:hAnsi="Arial Narrow" w:cs="Calibri"/>
                <w:color w:val="000000"/>
                <w:sz w:val="20"/>
                <w:szCs w:val="20"/>
              </w:rPr>
            </w:pPr>
            <w:r w:rsidRPr="007D0AA8">
              <w:rPr>
                <w:rFonts w:ascii="Arial Narrow" w:hAnsi="Arial Narrow"/>
                <w:sz w:val="20"/>
                <w:szCs w:val="20"/>
              </w:rPr>
              <w:t>1</w:t>
            </w:r>
          </w:p>
        </w:tc>
        <w:tc>
          <w:tcPr>
            <w:tcW w:w="1251" w:type="pct"/>
            <w:tcBorders>
              <w:top w:val="nil"/>
              <w:left w:val="nil"/>
              <w:bottom w:val="nil"/>
              <w:right w:val="single" w:sz="4" w:space="0" w:color="auto"/>
            </w:tcBorders>
            <w:shd w:val="clear" w:color="auto" w:fill="auto"/>
            <w:noWrap/>
          </w:tcPr>
          <w:p w14:paraId="470E4C65" w14:textId="72CDF34E" w:rsidR="00A53303" w:rsidRPr="007D0AA8" w:rsidRDefault="00A53303" w:rsidP="00B42022">
            <w:pPr>
              <w:spacing w:after="0" w:line="240" w:lineRule="auto"/>
              <w:rPr>
                <w:rFonts w:ascii="Arial Narrow" w:hAnsi="Arial Narrow" w:cs="Calibri"/>
                <w:color w:val="000000"/>
                <w:sz w:val="20"/>
                <w:szCs w:val="20"/>
              </w:rPr>
            </w:pPr>
            <w:r w:rsidRPr="007D0AA8">
              <w:rPr>
                <w:rFonts w:ascii="Arial Narrow" w:hAnsi="Arial Narrow"/>
                <w:sz w:val="20"/>
                <w:szCs w:val="20"/>
              </w:rPr>
              <w:t>0</w:t>
            </w:r>
          </w:p>
        </w:tc>
      </w:tr>
      <w:tr w:rsidR="00A53303" w:rsidRPr="007D0AA8" w14:paraId="13774885" w14:textId="77777777" w:rsidTr="00804E16">
        <w:tc>
          <w:tcPr>
            <w:tcW w:w="1091" w:type="pct"/>
            <w:tcBorders>
              <w:top w:val="nil"/>
              <w:left w:val="single" w:sz="4" w:space="0" w:color="auto"/>
              <w:bottom w:val="nil"/>
              <w:right w:val="single" w:sz="4" w:space="0" w:color="auto"/>
            </w:tcBorders>
            <w:vAlign w:val="bottom"/>
          </w:tcPr>
          <w:p w14:paraId="1B11A6CD" w14:textId="77777777" w:rsidR="00A53303" w:rsidRPr="007D0AA8" w:rsidRDefault="00A53303" w:rsidP="00B42022">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0F38CBEF" w14:textId="0F5452BB" w:rsidR="00A53303" w:rsidRPr="007D0AA8" w:rsidRDefault="00A53303" w:rsidP="00331FB9">
            <w:pPr>
              <w:pStyle w:val="ListParagraph"/>
              <w:numPr>
                <w:ilvl w:val="0"/>
                <w:numId w:val="17"/>
              </w:numPr>
              <w:spacing w:after="0" w:line="240" w:lineRule="auto"/>
              <w:ind w:left="176" w:hanging="176"/>
              <w:rPr>
                <w:rFonts w:ascii="Arial Narrow" w:hAnsi="Arial Narrow" w:cs="Calibri"/>
                <w:color w:val="000000"/>
                <w:sz w:val="20"/>
                <w:szCs w:val="20"/>
              </w:rPr>
            </w:pPr>
            <w:r w:rsidRPr="007D0AA8">
              <w:rPr>
                <w:rFonts w:ascii="Arial Narrow" w:hAnsi="Arial Narrow"/>
                <w:sz w:val="20"/>
                <w:szCs w:val="20"/>
              </w:rPr>
              <w:t>Headache</w:t>
            </w:r>
          </w:p>
        </w:tc>
        <w:tc>
          <w:tcPr>
            <w:tcW w:w="1264" w:type="pct"/>
            <w:gridSpan w:val="2"/>
            <w:tcBorders>
              <w:top w:val="nil"/>
              <w:left w:val="single" w:sz="4" w:space="0" w:color="auto"/>
              <w:bottom w:val="nil"/>
              <w:right w:val="nil"/>
            </w:tcBorders>
            <w:shd w:val="clear" w:color="auto" w:fill="auto"/>
            <w:noWrap/>
          </w:tcPr>
          <w:p w14:paraId="10F451EA" w14:textId="64AD0FDD" w:rsidR="00A53303" w:rsidRPr="007D0AA8" w:rsidRDefault="00A53303" w:rsidP="00B42022">
            <w:pPr>
              <w:spacing w:after="0" w:line="240" w:lineRule="auto"/>
              <w:rPr>
                <w:rFonts w:ascii="Arial Narrow" w:hAnsi="Arial Narrow" w:cs="Calibri"/>
                <w:color w:val="000000"/>
                <w:sz w:val="20"/>
                <w:szCs w:val="20"/>
              </w:rPr>
            </w:pPr>
            <w:r w:rsidRPr="007D0AA8">
              <w:rPr>
                <w:rFonts w:ascii="Arial Narrow" w:hAnsi="Arial Narrow"/>
                <w:sz w:val="20"/>
                <w:szCs w:val="20"/>
              </w:rPr>
              <w:t>0</w:t>
            </w:r>
          </w:p>
        </w:tc>
        <w:tc>
          <w:tcPr>
            <w:tcW w:w="1251" w:type="pct"/>
            <w:tcBorders>
              <w:top w:val="nil"/>
              <w:left w:val="nil"/>
              <w:bottom w:val="nil"/>
              <w:right w:val="single" w:sz="4" w:space="0" w:color="auto"/>
            </w:tcBorders>
            <w:shd w:val="clear" w:color="auto" w:fill="auto"/>
            <w:noWrap/>
          </w:tcPr>
          <w:p w14:paraId="07F7396E" w14:textId="61FBDC90" w:rsidR="00A53303" w:rsidRPr="007D0AA8" w:rsidRDefault="00A53303" w:rsidP="00B42022">
            <w:pPr>
              <w:spacing w:after="0" w:line="240" w:lineRule="auto"/>
              <w:rPr>
                <w:rFonts w:ascii="Arial Narrow" w:hAnsi="Arial Narrow" w:cs="Calibri"/>
                <w:color w:val="000000"/>
                <w:sz w:val="20"/>
                <w:szCs w:val="20"/>
              </w:rPr>
            </w:pPr>
            <w:r w:rsidRPr="007D0AA8">
              <w:rPr>
                <w:rFonts w:ascii="Arial Narrow" w:hAnsi="Arial Narrow"/>
                <w:sz w:val="20"/>
                <w:szCs w:val="20"/>
              </w:rPr>
              <w:t>1</w:t>
            </w:r>
          </w:p>
        </w:tc>
      </w:tr>
      <w:tr w:rsidR="00D13AB4" w:rsidRPr="007D0AA8" w14:paraId="367362B5" w14:textId="77777777" w:rsidTr="00804E16">
        <w:tc>
          <w:tcPr>
            <w:tcW w:w="1091" w:type="pct"/>
            <w:tcBorders>
              <w:top w:val="nil"/>
              <w:left w:val="single" w:sz="4" w:space="0" w:color="auto"/>
              <w:bottom w:val="single" w:sz="4" w:space="0" w:color="auto"/>
              <w:right w:val="single" w:sz="4" w:space="0" w:color="auto"/>
            </w:tcBorders>
            <w:vAlign w:val="bottom"/>
          </w:tcPr>
          <w:p w14:paraId="060F819C" w14:textId="77777777" w:rsidR="00D13AB4" w:rsidRPr="007D0AA8" w:rsidRDefault="00D13AB4" w:rsidP="00D13AB4">
            <w:pPr>
              <w:spacing w:after="0" w:line="240" w:lineRule="auto"/>
              <w:rPr>
                <w:rFonts w:ascii="Arial Narrow" w:hAnsi="Arial Narrow" w:cs="Calibri"/>
                <w:color w:val="000000"/>
                <w:sz w:val="20"/>
                <w:szCs w:val="20"/>
              </w:rPr>
            </w:pPr>
          </w:p>
        </w:tc>
        <w:tc>
          <w:tcPr>
            <w:tcW w:w="1394" w:type="pct"/>
            <w:tcBorders>
              <w:top w:val="nil"/>
              <w:left w:val="single" w:sz="4" w:space="0" w:color="auto"/>
              <w:bottom w:val="single" w:sz="4" w:space="0" w:color="auto"/>
              <w:right w:val="single" w:sz="4" w:space="0" w:color="auto"/>
            </w:tcBorders>
          </w:tcPr>
          <w:p w14:paraId="1BEBF98B" w14:textId="6DB64994" w:rsidR="00D13AB4" w:rsidRPr="007D0AA8" w:rsidRDefault="00D13AB4" w:rsidP="00D13AB4">
            <w:pPr>
              <w:spacing w:after="0" w:line="240" w:lineRule="auto"/>
              <w:rPr>
                <w:rFonts w:ascii="Arial Narrow" w:hAnsi="Arial Narrow" w:cs="Calibri"/>
                <w:color w:val="000000"/>
                <w:sz w:val="20"/>
                <w:szCs w:val="20"/>
              </w:rPr>
            </w:pPr>
            <w:r w:rsidRPr="007D0AA8">
              <w:rPr>
                <w:rFonts w:ascii="Arial Narrow" w:hAnsi="Arial Narrow"/>
                <w:sz w:val="20"/>
                <w:szCs w:val="20"/>
              </w:rPr>
              <w:t>Total patients with AEs</w:t>
            </w:r>
          </w:p>
        </w:tc>
        <w:tc>
          <w:tcPr>
            <w:tcW w:w="1264" w:type="pct"/>
            <w:gridSpan w:val="2"/>
            <w:tcBorders>
              <w:top w:val="nil"/>
              <w:left w:val="single" w:sz="4" w:space="0" w:color="auto"/>
              <w:bottom w:val="single" w:sz="4" w:space="0" w:color="auto"/>
              <w:right w:val="nil"/>
            </w:tcBorders>
            <w:shd w:val="clear" w:color="auto" w:fill="auto"/>
            <w:noWrap/>
          </w:tcPr>
          <w:p w14:paraId="46D101FE" w14:textId="59CEFDEA" w:rsidR="00D13AB4" w:rsidRPr="007D0AA8" w:rsidRDefault="00D13AB4" w:rsidP="00D13AB4">
            <w:pPr>
              <w:spacing w:after="0" w:line="240" w:lineRule="auto"/>
              <w:rPr>
                <w:rFonts w:ascii="Arial Narrow" w:hAnsi="Arial Narrow" w:cs="Calibri"/>
                <w:color w:val="000000"/>
                <w:sz w:val="20"/>
                <w:szCs w:val="20"/>
              </w:rPr>
            </w:pPr>
            <w:r w:rsidRPr="007D0AA8">
              <w:rPr>
                <w:rFonts w:ascii="Arial Narrow" w:hAnsi="Arial Narrow"/>
                <w:sz w:val="20"/>
              </w:rPr>
              <w:t>21</w:t>
            </w:r>
          </w:p>
        </w:tc>
        <w:tc>
          <w:tcPr>
            <w:tcW w:w="1251" w:type="pct"/>
            <w:tcBorders>
              <w:top w:val="nil"/>
              <w:left w:val="nil"/>
              <w:bottom w:val="single" w:sz="4" w:space="0" w:color="auto"/>
              <w:right w:val="single" w:sz="4" w:space="0" w:color="auto"/>
            </w:tcBorders>
            <w:shd w:val="clear" w:color="auto" w:fill="auto"/>
            <w:noWrap/>
            <w:vAlign w:val="bottom"/>
          </w:tcPr>
          <w:p w14:paraId="5B464576" w14:textId="2ED8A66E" w:rsidR="00D13AB4" w:rsidRPr="007D0AA8" w:rsidRDefault="00D13AB4" w:rsidP="00D13AB4">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4</w:t>
            </w:r>
          </w:p>
        </w:tc>
      </w:tr>
      <w:tr w:rsidR="00036778" w:rsidRPr="00386411" w14:paraId="33F22F18" w14:textId="77777777" w:rsidTr="00B52A4F">
        <w:tc>
          <w:tcPr>
            <w:tcW w:w="10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B4A1A2" w14:textId="2B71B28A" w:rsidR="00036778" w:rsidRPr="00386411" w:rsidRDefault="00036778" w:rsidP="00036778">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*Chapel</w:t>
            </w:r>
            <w:r w:rsidR="00730B34" w:rsidRPr="00386411">
              <w:rPr>
                <w:rFonts w:ascii="Arial Narrow" w:hAnsi="Arial Narrow" w:cs="Calibri"/>
                <w:b/>
                <w:color w:val="000000"/>
                <w:sz w:val="20"/>
                <w:szCs w:val="20"/>
              </w:rPr>
              <w:t xml:space="preserve"> et al.</w:t>
            </w:r>
            <w:r w:rsidRPr="00386411">
              <w:rPr>
                <w:rFonts w:ascii="Arial Narrow" w:hAnsi="Arial Narrow" w:cs="Calibri"/>
                <w:b/>
                <w:color w:val="000000"/>
                <w:sz w:val="20"/>
                <w:szCs w:val="20"/>
              </w:rPr>
              <w:t>, 1994</w:t>
            </w:r>
          </w:p>
        </w:tc>
        <w:tc>
          <w:tcPr>
            <w:tcW w:w="1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A97B13" w14:textId="68D951D9" w:rsidR="00036778" w:rsidRPr="00386411" w:rsidRDefault="00036778" w:rsidP="00036778">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AEs and Discontinuations</w:t>
            </w:r>
            <w:r w:rsidR="00763F47" w:rsidRPr="00386411">
              <w:rPr>
                <w:rFonts w:ascii="Arial Narrow" w:hAnsi="Arial Narrow" w:cs="Calibri"/>
                <w:b/>
                <w:color w:val="000000"/>
                <w:sz w:val="20"/>
                <w:szCs w:val="20"/>
              </w:rPr>
              <w:t xml:space="preserve"> (N=83)</w:t>
            </w:r>
          </w:p>
        </w:tc>
        <w:tc>
          <w:tcPr>
            <w:tcW w:w="12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3E35CB9" w14:textId="3E87C678" w:rsidR="00036778" w:rsidRPr="00386411" w:rsidRDefault="00036778" w:rsidP="00036778">
            <w:pPr>
              <w:spacing w:after="0" w:line="240" w:lineRule="auto"/>
              <w:rPr>
                <w:rFonts w:ascii="Arial Narrow" w:hAnsi="Arial Narrow" w:cs="Calibri"/>
                <w:b/>
                <w:color w:val="000000"/>
                <w:sz w:val="20"/>
                <w:szCs w:val="20"/>
              </w:rPr>
            </w:pPr>
            <w:r w:rsidRPr="00386411">
              <w:rPr>
                <w:rFonts w:ascii="Arial Narrow" w:hAnsi="Arial Narrow"/>
                <w:b/>
                <w:sz w:val="20"/>
                <w:szCs w:val="20"/>
              </w:rPr>
              <w:t>IVIg (n=42)</w:t>
            </w:r>
          </w:p>
        </w:tc>
        <w:tc>
          <w:tcPr>
            <w:tcW w:w="125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468F05D" w14:textId="657CF141" w:rsidR="00036778" w:rsidRPr="00386411" w:rsidRDefault="00D73991" w:rsidP="00D73991">
            <w:pPr>
              <w:spacing w:after="0" w:line="240" w:lineRule="auto"/>
              <w:rPr>
                <w:rFonts w:ascii="Arial Narrow" w:hAnsi="Arial Narrow" w:cs="Calibri"/>
                <w:b/>
                <w:color w:val="000000"/>
                <w:sz w:val="20"/>
                <w:szCs w:val="20"/>
              </w:rPr>
            </w:pPr>
            <w:r w:rsidRPr="00386411">
              <w:rPr>
                <w:rFonts w:ascii="Arial Narrow" w:hAnsi="Arial Narrow"/>
                <w:b/>
                <w:sz w:val="20"/>
                <w:szCs w:val="20"/>
              </w:rPr>
              <w:t>No IVIg (albumin)</w:t>
            </w:r>
            <w:r w:rsidR="00036778" w:rsidRPr="00386411">
              <w:rPr>
                <w:rFonts w:ascii="Arial Narrow" w:hAnsi="Arial Narrow"/>
                <w:b/>
                <w:sz w:val="20"/>
                <w:szCs w:val="20"/>
              </w:rPr>
              <w:t xml:space="preserve"> (n=41)</w:t>
            </w:r>
          </w:p>
        </w:tc>
      </w:tr>
      <w:tr w:rsidR="00036778" w:rsidRPr="007D0AA8" w14:paraId="53274D23" w14:textId="77777777" w:rsidTr="00804E16">
        <w:tc>
          <w:tcPr>
            <w:tcW w:w="1091" w:type="pct"/>
            <w:tcBorders>
              <w:top w:val="single" w:sz="4" w:space="0" w:color="auto"/>
              <w:left w:val="single" w:sz="4" w:space="0" w:color="auto"/>
              <w:bottom w:val="nil"/>
              <w:right w:val="single" w:sz="4" w:space="0" w:color="auto"/>
            </w:tcBorders>
            <w:vAlign w:val="bottom"/>
          </w:tcPr>
          <w:p w14:paraId="7C41D122" w14:textId="6A75332B"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MM</w:t>
            </w:r>
          </w:p>
        </w:tc>
        <w:tc>
          <w:tcPr>
            <w:tcW w:w="1394" w:type="pct"/>
            <w:tcBorders>
              <w:top w:val="single" w:sz="4" w:space="0" w:color="auto"/>
              <w:left w:val="single" w:sz="4" w:space="0" w:color="auto"/>
              <w:bottom w:val="single" w:sz="4" w:space="0" w:color="auto"/>
              <w:right w:val="single" w:sz="4" w:space="0" w:color="auto"/>
            </w:tcBorders>
          </w:tcPr>
          <w:p w14:paraId="0401039C" w14:textId="3FDBAE18"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rPr>
              <w:t>Evaluable patients</w:t>
            </w:r>
          </w:p>
        </w:tc>
        <w:tc>
          <w:tcPr>
            <w:tcW w:w="1264" w:type="pct"/>
            <w:gridSpan w:val="2"/>
            <w:tcBorders>
              <w:top w:val="single" w:sz="4" w:space="0" w:color="auto"/>
              <w:left w:val="single" w:sz="4" w:space="0" w:color="auto"/>
              <w:bottom w:val="single" w:sz="4" w:space="0" w:color="auto"/>
              <w:right w:val="single" w:sz="4" w:space="0" w:color="auto"/>
            </w:tcBorders>
            <w:shd w:val="clear" w:color="auto" w:fill="auto"/>
            <w:noWrap/>
          </w:tcPr>
          <w:p w14:paraId="35F42DB2" w14:textId="0A4D086D"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rPr>
              <w:t>42</w:t>
            </w:r>
          </w:p>
        </w:tc>
        <w:tc>
          <w:tcPr>
            <w:tcW w:w="1251" w:type="pct"/>
            <w:tcBorders>
              <w:top w:val="single" w:sz="4" w:space="0" w:color="auto"/>
              <w:left w:val="single" w:sz="4" w:space="0" w:color="auto"/>
              <w:bottom w:val="single" w:sz="4" w:space="0" w:color="auto"/>
              <w:right w:val="single" w:sz="4" w:space="0" w:color="auto"/>
            </w:tcBorders>
            <w:shd w:val="clear" w:color="auto" w:fill="auto"/>
            <w:noWrap/>
          </w:tcPr>
          <w:p w14:paraId="7389DE14" w14:textId="4848F592"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rPr>
              <w:t>41</w:t>
            </w:r>
          </w:p>
        </w:tc>
      </w:tr>
      <w:tr w:rsidR="00036778" w:rsidRPr="007D0AA8" w14:paraId="2548DCD5" w14:textId="77777777" w:rsidTr="00804E16">
        <w:tc>
          <w:tcPr>
            <w:tcW w:w="1091" w:type="pct"/>
            <w:tcBorders>
              <w:top w:val="nil"/>
              <w:left w:val="single" w:sz="4" w:space="0" w:color="auto"/>
              <w:bottom w:val="nil"/>
              <w:right w:val="single" w:sz="4" w:space="0" w:color="auto"/>
            </w:tcBorders>
            <w:vAlign w:val="bottom"/>
          </w:tcPr>
          <w:p w14:paraId="764496B3" w14:textId="77777777"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single" w:sz="4" w:space="0" w:color="auto"/>
              <w:left w:val="single" w:sz="4" w:space="0" w:color="auto"/>
              <w:bottom w:val="single" w:sz="4" w:space="0" w:color="auto"/>
              <w:right w:val="single" w:sz="4" w:space="0" w:color="auto"/>
            </w:tcBorders>
          </w:tcPr>
          <w:p w14:paraId="405650DB" w14:textId="095749FA" w:rsidR="00036778" w:rsidRPr="007D0AA8" w:rsidRDefault="00036778" w:rsidP="00036778">
            <w:pPr>
              <w:spacing w:after="0" w:line="240" w:lineRule="auto"/>
              <w:rPr>
                <w:rFonts w:ascii="Arial Narrow" w:hAnsi="Arial Narrow"/>
                <w:sz w:val="20"/>
                <w:szCs w:val="20"/>
              </w:rPr>
            </w:pPr>
            <w:r w:rsidRPr="007D0AA8">
              <w:rPr>
                <w:rFonts w:ascii="Arial Narrow" w:hAnsi="Arial Narrow"/>
                <w:sz w:val="20"/>
              </w:rPr>
              <w:t>Patients completing 12 mo study</w:t>
            </w:r>
          </w:p>
        </w:tc>
        <w:tc>
          <w:tcPr>
            <w:tcW w:w="1264" w:type="pct"/>
            <w:gridSpan w:val="2"/>
            <w:tcBorders>
              <w:top w:val="single" w:sz="4" w:space="0" w:color="auto"/>
              <w:left w:val="single" w:sz="4" w:space="0" w:color="auto"/>
              <w:bottom w:val="single" w:sz="4" w:space="0" w:color="auto"/>
              <w:right w:val="single" w:sz="4" w:space="0" w:color="auto"/>
            </w:tcBorders>
            <w:shd w:val="clear" w:color="auto" w:fill="auto"/>
            <w:noWrap/>
          </w:tcPr>
          <w:p w14:paraId="4A68B6E7" w14:textId="3201AFD1" w:rsidR="00036778" w:rsidRPr="007D0AA8" w:rsidRDefault="00036778" w:rsidP="00036778">
            <w:pPr>
              <w:spacing w:after="0" w:line="240" w:lineRule="auto"/>
              <w:rPr>
                <w:rFonts w:ascii="Arial Narrow" w:hAnsi="Arial Narrow"/>
                <w:sz w:val="20"/>
                <w:szCs w:val="20"/>
              </w:rPr>
            </w:pPr>
            <w:r w:rsidRPr="007D0AA8">
              <w:rPr>
                <w:rFonts w:ascii="Arial Narrow" w:hAnsi="Arial Narrow"/>
                <w:sz w:val="20"/>
              </w:rPr>
              <w:t>30</w:t>
            </w:r>
          </w:p>
        </w:tc>
        <w:tc>
          <w:tcPr>
            <w:tcW w:w="1251" w:type="pct"/>
            <w:tcBorders>
              <w:top w:val="single" w:sz="4" w:space="0" w:color="auto"/>
              <w:left w:val="single" w:sz="4" w:space="0" w:color="auto"/>
              <w:bottom w:val="single" w:sz="4" w:space="0" w:color="auto"/>
              <w:right w:val="single" w:sz="4" w:space="0" w:color="auto"/>
            </w:tcBorders>
            <w:shd w:val="clear" w:color="auto" w:fill="auto"/>
            <w:noWrap/>
          </w:tcPr>
          <w:p w14:paraId="2E3D917D" w14:textId="05C2AD3C" w:rsidR="00036778" w:rsidRPr="007D0AA8" w:rsidRDefault="00036778" w:rsidP="00036778">
            <w:pPr>
              <w:spacing w:after="0" w:line="240" w:lineRule="auto"/>
              <w:rPr>
                <w:rFonts w:ascii="Arial Narrow" w:hAnsi="Arial Narrow"/>
                <w:sz w:val="20"/>
                <w:szCs w:val="20"/>
              </w:rPr>
            </w:pPr>
            <w:r w:rsidRPr="007D0AA8">
              <w:rPr>
                <w:rFonts w:ascii="Arial Narrow" w:hAnsi="Arial Narrow"/>
                <w:sz w:val="20"/>
              </w:rPr>
              <w:t>31</w:t>
            </w:r>
          </w:p>
        </w:tc>
      </w:tr>
      <w:tr w:rsidR="00036778" w:rsidRPr="007D0AA8" w14:paraId="54B2E3DB" w14:textId="77777777" w:rsidTr="00804E16">
        <w:tc>
          <w:tcPr>
            <w:tcW w:w="1091" w:type="pct"/>
            <w:tcBorders>
              <w:top w:val="nil"/>
              <w:left w:val="single" w:sz="4" w:space="0" w:color="auto"/>
              <w:bottom w:val="nil"/>
              <w:right w:val="single" w:sz="4" w:space="0" w:color="auto"/>
            </w:tcBorders>
            <w:vAlign w:val="bottom"/>
          </w:tcPr>
          <w:p w14:paraId="77F1B4AB" w14:textId="77777777"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single" w:sz="4" w:space="0" w:color="auto"/>
              <w:left w:val="single" w:sz="4" w:space="0" w:color="auto"/>
              <w:bottom w:val="nil"/>
              <w:right w:val="single" w:sz="4" w:space="0" w:color="auto"/>
            </w:tcBorders>
          </w:tcPr>
          <w:p w14:paraId="0EAD0BD2" w14:textId="135B1AE6" w:rsidR="00036778" w:rsidRPr="007D0AA8" w:rsidRDefault="00036778" w:rsidP="00036778">
            <w:pPr>
              <w:spacing w:after="0" w:line="240" w:lineRule="auto"/>
              <w:rPr>
                <w:rFonts w:ascii="Arial Narrow" w:hAnsi="Arial Narrow"/>
                <w:sz w:val="20"/>
                <w:szCs w:val="20"/>
              </w:rPr>
            </w:pPr>
            <w:r w:rsidRPr="007D0AA8">
              <w:rPr>
                <w:rFonts w:ascii="Arial Narrow" w:hAnsi="Arial Narrow" w:cs="Calibri"/>
                <w:color w:val="000000"/>
                <w:sz w:val="20"/>
                <w:szCs w:val="20"/>
              </w:rPr>
              <w:t>Withdrawals and deaths</w:t>
            </w:r>
          </w:p>
        </w:tc>
        <w:tc>
          <w:tcPr>
            <w:tcW w:w="1264" w:type="pct"/>
            <w:gridSpan w:val="2"/>
            <w:tcBorders>
              <w:top w:val="single" w:sz="4" w:space="0" w:color="auto"/>
              <w:left w:val="single" w:sz="4" w:space="0" w:color="auto"/>
              <w:bottom w:val="nil"/>
              <w:right w:val="nil"/>
            </w:tcBorders>
            <w:shd w:val="clear" w:color="auto" w:fill="auto"/>
            <w:noWrap/>
          </w:tcPr>
          <w:p w14:paraId="1FAB28F8" w14:textId="2E3039E2" w:rsidR="00036778" w:rsidRPr="007D0AA8" w:rsidRDefault="00036778" w:rsidP="00036778">
            <w:pPr>
              <w:spacing w:after="0" w:line="240" w:lineRule="auto"/>
              <w:rPr>
                <w:rFonts w:ascii="Arial Narrow" w:hAnsi="Arial Narrow"/>
                <w:sz w:val="20"/>
                <w:szCs w:val="20"/>
              </w:rPr>
            </w:pPr>
            <w:r w:rsidRPr="007D0AA8">
              <w:rPr>
                <w:rFonts w:ascii="Arial Narrow" w:hAnsi="Arial Narrow"/>
                <w:sz w:val="20"/>
              </w:rPr>
              <w:t>12 (8)</w:t>
            </w:r>
          </w:p>
        </w:tc>
        <w:tc>
          <w:tcPr>
            <w:tcW w:w="1251" w:type="pct"/>
            <w:tcBorders>
              <w:top w:val="single" w:sz="4" w:space="0" w:color="auto"/>
              <w:left w:val="nil"/>
              <w:bottom w:val="nil"/>
              <w:right w:val="single" w:sz="4" w:space="0" w:color="auto"/>
            </w:tcBorders>
            <w:shd w:val="clear" w:color="auto" w:fill="auto"/>
            <w:noWrap/>
          </w:tcPr>
          <w:p w14:paraId="044F75FC" w14:textId="4A5D03BD" w:rsidR="00036778" w:rsidRPr="007D0AA8" w:rsidRDefault="00036778" w:rsidP="00036778">
            <w:pPr>
              <w:spacing w:after="0" w:line="240" w:lineRule="auto"/>
              <w:rPr>
                <w:rFonts w:ascii="Arial Narrow" w:hAnsi="Arial Narrow"/>
                <w:sz w:val="20"/>
                <w:szCs w:val="20"/>
              </w:rPr>
            </w:pPr>
            <w:r w:rsidRPr="007D0AA8">
              <w:rPr>
                <w:rFonts w:ascii="Arial Narrow" w:hAnsi="Arial Narrow"/>
                <w:sz w:val="20"/>
              </w:rPr>
              <w:t>10 (5)</w:t>
            </w:r>
          </w:p>
        </w:tc>
      </w:tr>
      <w:tr w:rsidR="00036778" w:rsidRPr="007D0AA8" w14:paraId="06957DCB" w14:textId="77777777" w:rsidTr="00804E16">
        <w:tc>
          <w:tcPr>
            <w:tcW w:w="1091" w:type="pct"/>
            <w:tcBorders>
              <w:top w:val="nil"/>
              <w:left w:val="single" w:sz="4" w:space="0" w:color="auto"/>
              <w:bottom w:val="nil"/>
              <w:right w:val="single" w:sz="4" w:space="0" w:color="auto"/>
            </w:tcBorders>
            <w:vAlign w:val="bottom"/>
          </w:tcPr>
          <w:p w14:paraId="17586ACB" w14:textId="77777777"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3605B2D5" w14:textId="25753946" w:rsidR="00036778" w:rsidRPr="007D0AA8" w:rsidRDefault="00036778" w:rsidP="00331FB9">
            <w:pPr>
              <w:pStyle w:val="ListParagraph"/>
              <w:numPr>
                <w:ilvl w:val="0"/>
                <w:numId w:val="16"/>
              </w:numPr>
              <w:spacing w:after="0" w:line="240" w:lineRule="auto"/>
              <w:ind w:left="176" w:hanging="176"/>
              <w:rPr>
                <w:rFonts w:ascii="Arial Narrow" w:hAnsi="Arial Narrow"/>
                <w:sz w:val="20"/>
                <w:szCs w:val="20"/>
              </w:rPr>
            </w:pPr>
            <w:r w:rsidRPr="007D0AA8">
              <w:rPr>
                <w:rFonts w:ascii="Arial Narrow" w:hAnsi="Arial Narrow"/>
                <w:sz w:val="20"/>
              </w:rPr>
              <w:t>recurrent infusion reactions</w:t>
            </w:r>
          </w:p>
        </w:tc>
        <w:tc>
          <w:tcPr>
            <w:tcW w:w="1264" w:type="pct"/>
            <w:gridSpan w:val="2"/>
            <w:tcBorders>
              <w:top w:val="nil"/>
              <w:left w:val="single" w:sz="4" w:space="0" w:color="auto"/>
              <w:bottom w:val="nil"/>
              <w:right w:val="nil"/>
            </w:tcBorders>
            <w:shd w:val="clear" w:color="auto" w:fill="auto"/>
            <w:noWrap/>
          </w:tcPr>
          <w:p w14:paraId="13AA5AFE" w14:textId="6076BBB2" w:rsidR="00036778" w:rsidRPr="007D0AA8" w:rsidRDefault="00036778" w:rsidP="00036778">
            <w:pPr>
              <w:spacing w:after="0" w:line="240" w:lineRule="auto"/>
              <w:rPr>
                <w:rFonts w:ascii="Arial Narrow" w:hAnsi="Arial Narrow"/>
                <w:sz w:val="20"/>
                <w:szCs w:val="20"/>
              </w:rPr>
            </w:pPr>
            <w:r w:rsidRPr="007D0AA8">
              <w:rPr>
                <w:rFonts w:ascii="Arial Narrow" w:hAnsi="Arial Narrow"/>
                <w:sz w:val="20"/>
              </w:rPr>
              <w:t>2</w:t>
            </w:r>
          </w:p>
        </w:tc>
        <w:tc>
          <w:tcPr>
            <w:tcW w:w="1251" w:type="pct"/>
            <w:tcBorders>
              <w:top w:val="nil"/>
              <w:left w:val="nil"/>
              <w:bottom w:val="nil"/>
              <w:right w:val="single" w:sz="4" w:space="0" w:color="auto"/>
            </w:tcBorders>
            <w:shd w:val="clear" w:color="auto" w:fill="auto"/>
            <w:noWrap/>
          </w:tcPr>
          <w:p w14:paraId="09716BF0" w14:textId="44F775E0" w:rsidR="00036778" w:rsidRPr="007D0AA8" w:rsidRDefault="00036778" w:rsidP="00036778">
            <w:pPr>
              <w:spacing w:after="0" w:line="240" w:lineRule="auto"/>
              <w:rPr>
                <w:rFonts w:ascii="Arial Narrow" w:hAnsi="Arial Narrow"/>
                <w:sz w:val="20"/>
                <w:szCs w:val="20"/>
              </w:rPr>
            </w:pPr>
            <w:r w:rsidRPr="007D0AA8">
              <w:rPr>
                <w:rFonts w:ascii="Arial Narrow" w:hAnsi="Arial Narrow"/>
                <w:sz w:val="20"/>
              </w:rPr>
              <w:t>0</w:t>
            </w:r>
          </w:p>
        </w:tc>
      </w:tr>
      <w:tr w:rsidR="00036778" w:rsidRPr="007D0AA8" w14:paraId="6DE56CA4" w14:textId="77777777" w:rsidTr="00804E16">
        <w:tc>
          <w:tcPr>
            <w:tcW w:w="1091" w:type="pct"/>
            <w:tcBorders>
              <w:top w:val="nil"/>
              <w:left w:val="single" w:sz="4" w:space="0" w:color="auto"/>
              <w:bottom w:val="nil"/>
              <w:right w:val="single" w:sz="4" w:space="0" w:color="auto"/>
            </w:tcBorders>
            <w:vAlign w:val="bottom"/>
          </w:tcPr>
          <w:p w14:paraId="31140495" w14:textId="77777777"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68008ABD" w14:textId="1D22EDDA" w:rsidR="00036778" w:rsidRPr="007D0AA8" w:rsidRDefault="00036778" w:rsidP="00331FB9">
            <w:pPr>
              <w:pStyle w:val="ListParagraph"/>
              <w:numPr>
                <w:ilvl w:val="0"/>
                <w:numId w:val="16"/>
              </w:numPr>
              <w:spacing w:after="0" w:line="240" w:lineRule="auto"/>
              <w:ind w:left="176" w:hanging="176"/>
              <w:rPr>
                <w:rFonts w:ascii="Arial Narrow" w:hAnsi="Arial Narrow"/>
                <w:sz w:val="20"/>
                <w:szCs w:val="20"/>
              </w:rPr>
            </w:pPr>
            <w:r w:rsidRPr="007D0AA8">
              <w:rPr>
                <w:rFonts w:ascii="Arial Narrow" w:hAnsi="Arial Narrow"/>
                <w:sz w:val="20"/>
              </w:rPr>
              <w:t>life threatening infections</w:t>
            </w:r>
          </w:p>
        </w:tc>
        <w:tc>
          <w:tcPr>
            <w:tcW w:w="1264" w:type="pct"/>
            <w:gridSpan w:val="2"/>
            <w:tcBorders>
              <w:top w:val="nil"/>
              <w:left w:val="single" w:sz="4" w:space="0" w:color="auto"/>
              <w:bottom w:val="nil"/>
              <w:right w:val="nil"/>
            </w:tcBorders>
            <w:shd w:val="clear" w:color="auto" w:fill="auto"/>
            <w:noWrap/>
          </w:tcPr>
          <w:p w14:paraId="77D760DB" w14:textId="7FFE9CFA" w:rsidR="00036778" w:rsidRPr="007D0AA8" w:rsidRDefault="00036778" w:rsidP="00036778">
            <w:pPr>
              <w:spacing w:after="0" w:line="240" w:lineRule="auto"/>
              <w:rPr>
                <w:rFonts w:ascii="Arial Narrow" w:hAnsi="Arial Narrow"/>
                <w:sz w:val="20"/>
                <w:szCs w:val="20"/>
              </w:rPr>
            </w:pPr>
            <w:r w:rsidRPr="007D0AA8">
              <w:rPr>
                <w:rFonts w:ascii="Arial Narrow" w:hAnsi="Arial Narrow"/>
                <w:sz w:val="20"/>
              </w:rPr>
              <w:t>0</w:t>
            </w:r>
          </w:p>
        </w:tc>
        <w:tc>
          <w:tcPr>
            <w:tcW w:w="1251" w:type="pct"/>
            <w:tcBorders>
              <w:top w:val="nil"/>
              <w:left w:val="nil"/>
              <w:bottom w:val="nil"/>
              <w:right w:val="single" w:sz="4" w:space="0" w:color="auto"/>
            </w:tcBorders>
            <w:shd w:val="clear" w:color="auto" w:fill="auto"/>
            <w:noWrap/>
          </w:tcPr>
          <w:p w14:paraId="1CAB967D" w14:textId="5854D594" w:rsidR="00036778" w:rsidRPr="007D0AA8" w:rsidRDefault="00036778" w:rsidP="00036778">
            <w:pPr>
              <w:spacing w:after="0" w:line="240" w:lineRule="auto"/>
              <w:rPr>
                <w:rFonts w:ascii="Arial Narrow" w:hAnsi="Arial Narrow"/>
                <w:sz w:val="20"/>
                <w:szCs w:val="20"/>
              </w:rPr>
            </w:pPr>
            <w:r w:rsidRPr="007D0AA8">
              <w:rPr>
                <w:rFonts w:ascii="Arial Narrow" w:hAnsi="Arial Narrow"/>
                <w:sz w:val="20"/>
              </w:rPr>
              <w:t>3 (1)</w:t>
            </w:r>
          </w:p>
        </w:tc>
      </w:tr>
      <w:tr w:rsidR="00036778" w:rsidRPr="007D0AA8" w14:paraId="783C3427" w14:textId="77777777" w:rsidTr="00804E16">
        <w:tc>
          <w:tcPr>
            <w:tcW w:w="1091" w:type="pct"/>
            <w:tcBorders>
              <w:top w:val="nil"/>
              <w:left w:val="single" w:sz="4" w:space="0" w:color="auto"/>
              <w:bottom w:val="nil"/>
              <w:right w:val="single" w:sz="4" w:space="0" w:color="auto"/>
            </w:tcBorders>
            <w:vAlign w:val="bottom"/>
          </w:tcPr>
          <w:p w14:paraId="1CD5131F" w14:textId="77777777"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354B479B" w14:textId="600B793E" w:rsidR="00036778" w:rsidRPr="007D0AA8" w:rsidRDefault="00036778" w:rsidP="00331FB9">
            <w:pPr>
              <w:pStyle w:val="ListParagraph"/>
              <w:numPr>
                <w:ilvl w:val="0"/>
                <w:numId w:val="16"/>
              </w:numPr>
              <w:spacing w:after="0" w:line="240" w:lineRule="auto"/>
              <w:ind w:left="176" w:hanging="176"/>
              <w:rPr>
                <w:rFonts w:ascii="Arial Narrow" w:hAnsi="Arial Narrow"/>
                <w:sz w:val="20"/>
                <w:szCs w:val="20"/>
              </w:rPr>
            </w:pPr>
            <w:r w:rsidRPr="007D0AA8">
              <w:rPr>
                <w:rFonts w:ascii="Arial Narrow" w:hAnsi="Arial Narrow"/>
                <w:sz w:val="20"/>
              </w:rPr>
              <w:t>disease progression</w:t>
            </w:r>
          </w:p>
        </w:tc>
        <w:tc>
          <w:tcPr>
            <w:tcW w:w="1264" w:type="pct"/>
            <w:gridSpan w:val="2"/>
            <w:tcBorders>
              <w:top w:val="nil"/>
              <w:left w:val="single" w:sz="4" w:space="0" w:color="auto"/>
              <w:bottom w:val="nil"/>
              <w:right w:val="nil"/>
            </w:tcBorders>
            <w:shd w:val="clear" w:color="auto" w:fill="auto"/>
            <w:noWrap/>
          </w:tcPr>
          <w:p w14:paraId="2406D9C1" w14:textId="116D6C5A" w:rsidR="00036778" w:rsidRPr="007D0AA8" w:rsidRDefault="00036778" w:rsidP="00036778">
            <w:pPr>
              <w:spacing w:after="0" w:line="240" w:lineRule="auto"/>
              <w:rPr>
                <w:rFonts w:ascii="Arial Narrow" w:hAnsi="Arial Narrow"/>
                <w:sz w:val="20"/>
                <w:szCs w:val="20"/>
              </w:rPr>
            </w:pPr>
            <w:r w:rsidRPr="007D0AA8">
              <w:rPr>
                <w:rFonts w:ascii="Arial Narrow" w:hAnsi="Arial Narrow"/>
                <w:sz w:val="20"/>
              </w:rPr>
              <w:t>9 (7)</w:t>
            </w:r>
          </w:p>
        </w:tc>
        <w:tc>
          <w:tcPr>
            <w:tcW w:w="1251" w:type="pct"/>
            <w:tcBorders>
              <w:top w:val="nil"/>
              <w:left w:val="nil"/>
              <w:bottom w:val="nil"/>
              <w:right w:val="single" w:sz="4" w:space="0" w:color="auto"/>
            </w:tcBorders>
            <w:shd w:val="clear" w:color="auto" w:fill="auto"/>
            <w:noWrap/>
          </w:tcPr>
          <w:p w14:paraId="35DC8FCA" w14:textId="6619DA97" w:rsidR="00036778" w:rsidRPr="007D0AA8" w:rsidRDefault="00036778" w:rsidP="00036778">
            <w:pPr>
              <w:spacing w:after="0" w:line="240" w:lineRule="auto"/>
              <w:rPr>
                <w:rFonts w:ascii="Arial Narrow" w:hAnsi="Arial Narrow"/>
                <w:sz w:val="20"/>
                <w:szCs w:val="20"/>
              </w:rPr>
            </w:pPr>
            <w:r w:rsidRPr="007D0AA8">
              <w:rPr>
                <w:rFonts w:ascii="Arial Narrow" w:hAnsi="Arial Narrow"/>
                <w:sz w:val="20"/>
              </w:rPr>
              <w:t>5 (3)</w:t>
            </w:r>
          </w:p>
        </w:tc>
      </w:tr>
      <w:tr w:rsidR="00036778" w:rsidRPr="007D0AA8" w14:paraId="1D0CD4E4" w14:textId="77777777" w:rsidTr="00804E16">
        <w:tc>
          <w:tcPr>
            <w:tcW w:w="1091" w:type="pct"/>
            <w:tcBorders>
              <w:top w:val="nil"/>
              <w:left w:val="single" w:sz="4" w:space="0" w:color="auto"/>
              <w:bottom w:val="nil"/>
              <w:right w:val="single" w:sz="4" w:space="0" w:color="auto"/>
            </w:tcBorders>
            <w:vAlign w:val="bottom"/>
          </w:tcPr>
          <w:p w14:paraId="665D10A7" w14:textId="77777777"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nil"/>
              <w:left w:val="single" w:sz="4" w:space="0" w:color="auto"/>
              <w:bottom w:val="single" w:sz="4" w:space="0" w:color="auto"/>
              <w:right w:val="single" w:sz="4" w:space="0" w:color="auto"/>
            </w:tcBorders>
          </w:tcPr>
          <w:p w14:paraId="1B54BDB2" w14:textId="33373071" w:rsidR="00036778" w:rsidRPr="007D0AA8" w:rsidRDefault="00036778" w:rsidP="00331FB9">
            <w:pPr>
              <w:pStyle w:val="ListParagraph"/>
              <w:numPr>
                <w:ilvl w:val="0"/>
                <w:numId w:val="16"/>
              </w:numPr>
              <w:spacing w:after="0" w:line="240" w:lineRule="auto"/>
              <w:ind w:left="176" w:hanging="176"/>
              <w:rPr>
                <w:rFonts w:ascii="Arial Narrow" w:hAnsi="Arial Narrow"/>
                <w:sz w:val="20"/>
                <w:szCs w:val="20"/>
              </w:rPr>
            </w:pPr>
            <w:r w:rsidRPr="007D0AA8">
              <w:rPr>
                <w:rFonts w:ascii="Arial Narrow" w:hAnsi="Arial Narrow"/>
                <w:sz w:val="20"/>
              </w:rPr>
              <w:t>other*</w:t>
            </w:r>
          </w:p>
        </w:tc>
        <w:tc>
          <w:tcPr>
            <w:tcW w:w="1264" w:type="pct"/>
            <w:gridSpan w:val="2"/>
            <w:tcBorders>
              <w:top w:val="nil"/>
              <w:left w:val="single" w:sz="4" w:space="0" w:color="auto"/>
              <w:bottom w:val="single" w:sz="4" w:space="0" w:color="auto"/>
              <w:right w:val="nil"/>
            </w:tcBorders>
            <w:shd w:val="clear" w:color="auto" w:fill="auto"/>
            <w:noWrap/>
          </w:tcPr>
          <w:p w14:paraId="1CFE2624" w14:textId="22A40BFC" w:rsidR="00036778" w:rsidRPr="007D0AA8" w:rsidRDefault="00036778" w:rsidP="00036778">
            <w:pPr>
              <w:spacing w:after="0" w:line="240" w:lineRule="auto"/>
              <w:rPr>
                <w:rFonts w:ascii="Arial Narrow" w:hAnsi="Arial Narrow"/>
                <w:sz w:val="20"/>
                <w:szCs w:val="20"/>
              </w:rPr>
            </w:pPr>
            <w:r w:rsidRPr="007D0AA8">
              <w:rPr>
                <w:rFonts w:ascii="Arial Narrow" w:hAnsi="Arial Narrow"/>
                <w:sz w:val="20"/>
              </w:rPr>
              <w:t>1 (1)</w:t>
            </w:r>
          </w:p>
        </w:tc>
        <w:tc>
          <w:tcPr>
            <w:tcW w:w="1251" w:type="pct"/>
            <w:tcBorders>
              <w:top w:val="nil"/>
              <w:left w:val="nil"/>
              <w:bottom w:val="single" w:sz="4" w:space="0" w:color="auto"/>
              <w:right w:val="single" w:sz="4" w:space="0" w:color="auto"/>
            </w:tcBorders>
            <w:shd w:val="clear" w:color="auto" w:fill="auto"/>
            <w:noWrap/>
          </w:tcPr>
          <w:p w14:paraId="5D09E9B3" w14:textId="7E577195" w:rsidR="00036778" w:rsidRPr="007D0AA8" w:rsidRDefault="00036778" w:rsidP="00036778">
            <w:pPr>
              <w:spacing w:after="0" w:line="240" w:lineRule="auto"/>
              <w:rPr>
                <w:rFonts w:ascii="Arial Narrow" w:hAnsi="Arial Narrow"/>
                <w:sz w:val="20"/>
                <w:szCs w:val="20"/>
              </w:rPr>
            </w:pPr>
            <w:r w:rsidRPr="007D0AA8">
              <w:rPr>
                <w:rFonts w:ascii="Arial Narrow" w:hAnsi="Arial Narrow"/>
                <w:sz w:val="20"/>
              </w:rPr>
              <w:t>2 (1)</w:t>
            </w:r>
          </w:p>
        </w:tc>
      </w:tr>
      <w:tr w:rsidR="00036778" w:rsidRPr="007D0AA8" w14:paraId="3FC6418A" w14:textId="77777777" w:rsidTr="00804E16">
        <w:tc>
          <w:tcPr>
            <w:tcW w:w="1091" w:type="pct"/>
            <w:tcBorders>
              <w:top w:val="nil"/>
              <w:left w:val="single" w:sz="4" w:space="0" w:color="auto"/>
              <w:bottom w:val="nil"/>
              <w:right w:val="single" w:sz="4" w:space="0" w:color="auto"/>
            </w:tcBorders>
          </w:tcPr>
          <w:p w14:paraId="22BE7E83" w14:textId="6AA87FAD"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single" w:sz="4" w:space="0" w:color="auto"/>
              <w:left w:val="single" w:sz="4" w:space="0" w:color="auto"/>
              <w:bottom w:val="nil"/>
              <w:right w:val="single" w:sz="4" w:space="0" w:color="auto"/>
            </w:tcBorders>
          </w:tcPr>
          <w:p w14:paraId="01082F60" w14:textId="1CCA8625"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Mild AEs</w:t>
            </w:r>
          </w:p>
        </w:tc>
        <w:tc>
          <w:tcPr>
            <w:tcW w:w="1264" w:type="pct"/>
            <w:gridSpan w:val="2"/>
            <w:tcBorders>
              <w:top w:val="single" w:sz="4" w:space="0" w:color="auto"/>
              <w:left w:val="single" w:sz="4" w:space="0" w:color="auto"/>
              <w:bottom w:val="nil"/>
              <w:right w:val="nil"/>
            </w:tcBorders>
            <w:shd w:val="clear" w:color="auto" w:fill="auto"/>
            <w:noWrap/>
          </w:tcPr>
          <w:p w14:paraId="320E29CD" w14:textId="77777777" w:rsidR="00036778" w:rsidRPr="007D0AA8" w:rsidRDefault="00036778" w:rsidP="00036778">
            <w:pPr>
              <w:spacing w:after="0" w:line="240" w:lineRule="auto"/>
              <w:rPr>
                <w:rFonts w:ascii="Arial Narrow" w:hAnsi="Arial Narrow" w:cs="Calibri"/>
                <w:color w:val="000000"/>
                <w:sz w:val="20"/>
                <w:szCs w:val="20"/>
              </w:rPr>
            </w:pPr>
          </w:p>
        </w:tc>
        <w:tc>
          <w:tcPr>
            <w:tcW w:w="1251" w:type="pct"/>
            <w:tcBorders>
              <w:top w:val="single" w:sz="4" w:space="0" w:color="auto"/>
              <w:left w:val="nil"/>
              <w:bottom w:val="nil"/>
              <w:right w:val="single" w:sz="4" w:space="0" w:color="auto"/>
            </w:tcBorders>
            <w:shd w:val="clear" w:color="auto" w:fill="auto"/>
            <w:noWrap/>
          </w:tcPr>
          <w:p w14:paraId="64667297" w14:textId="77777777" w:rsidR="00036778" w:rsidRPr="007D0AA8" w:rsidRDefault="00036778" w:rsidP="00036778">
            <w:pPr>
              <w:spacing w:after="0" w:line="240" w:lineRule="auto"/>
              <w:rPr>
                <w:rFonts w:ascii="Arial Narrow" w:hAnsi="Arial Narrow" w:cs="Calibri"/>
                <w:color w:val="000000"/>
                <w:sz w:val="20"/>
                <w:szCs w:val="20"/>
              </w:rPr>
            </w:pPr>
          </w:p>
        </w:tc>
      </w:tr>
      <w:tr w:rsidR="00036778" w:rsidRPr="007D0AA8" w14:paraId="19C5C2C6" w14:textId="77777777" w:rsidTr="00804E16">
        <w:tc>
          <w:tcPr>
            <w:tcW w:w="1091" w:type="pct"/>
            <w:tcBorders>
              <w:top w:val="nil"/>
              <w:left w:val="single" w:sz="4" w:space="0" w:color="auto"/>
              <w:bottom w:val="nil"/>
              <w:right w:val="single" w:sz="4" w:space="0" w:color="auto"/>
            </w:tcBorders>
          </w:tcPr>
          <w:p w14:paraId="7D0EDC5A" w14:textId="5D36FBE5"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3E286B39" w14:textId="2088F89C" w:rsidR="00036778" w:rsidRPr="007D0AA8" w:rsidRDefault="00036778" w:rsidP="00331FB9">
            <w:pPr>
              <w:pStyle w:val="ListParagraph"/>
              <w:numPr>
                <w:ilvl w:val="0"/>
                <w:numId w:val="16"/>
              </w:numPr>
              <w:spacing w:after="0" w:line="240" w:lineRule="auto"/>
              <w:ind w:left="176" w:hanging="176"/>
              <w:rPr>
                <w:rFonts w:ascii="Arial Narrow" w:hAnsi="Arial Narrow" w:cs="Calibri"/>
                <w:color w:val="000000"/>
                <w:sz w:val="20"/>
                <w:szCs w:val="20"/>
              </w:rPr>
            </w:pPr>
            <w:r w:rsidRPr="007D0AA8">
              <w:rPr>
                <w:rFonts w:ascii="Arial Narrow" w:hAnsi="Arial Narrow"/>
                <w:sz w:val="20"/>
                <w:szCs w:val="20"/>
              </w:rPr>
              <w:t>lethargy/malaise</w:t>
            </w:r>
          </w:p>
        </w:tc>
        <w:tc>
          <w:tcPr>
            <w:tcW w:w="1264" w:type="pct"/>
            <w:gridSpan w:val="2"/>
            <w:tcBorders>
              <w:top w:val="nil"/>
              <w:left w:val="single" w:sz="4" w:space="0" w:color="auto"/>
              <w:bottom w:val="nil"/>
              <w:right w:val="nil"/>
            </w:tcBorders>
            <w:shd w:val="clear" w:color="auto" w:fill="auto"/>
            <w:noWrap/>
          </w:tcPr>
          <w:p w14:paraId="2FA62D5E" w14:textId="2898C9AE"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14</w:t>
            </w:r>
          </w:p>
        </w:tc>
        <w:tc>
          <w:tcPr>
            <w:tcW w:w="1251" w:type="pct"/>
            <w:tcBorders>
              <w:top w:val="nil"/>
              <w:left w:val="nil"/>
              <w:bottom w:val="nil"/>
              <w:right w:val="single" w:sz="4" w:space="0" w:color="auto"/>
            </w:tcBorders>
            <w:shd w:val="clear" w:color="auto" w:fill="auto"/>
            <w:noWrap/>
          </w:tcPr>
          <w:p w14:paraId="152749D1" w14:textId="5FDBCF80"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7</w:t>
            </w:r>
          </w:p>
        </w:tc>
      </w:tr>
      <w:tr w:rsidR="00036778" w:rsidRPr="007D0AA8" w14:paraId="53AC960D" w14:textId="77777777" w:rsidTr="00804E16">
        <w:tc>
          <w:tcPr>
            <w:tcW w:w="1091" w:type="pct"/>
            <w:tcBorders>
              <w:top w:val="nil"/>
              <w:left w:val="single" w:sz="4" w:space="0" w:color="auto"/>
              <w:bottom w:val="nil"/>
              <w:right w:val="single" w:sz="4" w:space="0" w:color="auto"/>
            </w:tcBorders>
          </w:tcPr>
          <w:p w14:paraId="225F20C8" w14:textId="216A572F"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367967B5" w14:textId="41B630DE" w:rsidR="00036778" w:rsidRPr="007D0AA8" w:rsidRDefault="00036778" w:rsidP="00331FB9">
            <w:pPr>
              <w:pStyle w:val="ListParagraph"/>
              <w:numPr>
                <w:ilvl w:val="0"/>
                <w:numId w:val="16"/>
              </w:numPr>
              <w:spacing w:after="0" w:line="240" w:lineRule="auto"/>
              <w:ind w:left="176" w:hanging="176"/>
              <w:rPr>
                <w:rFonts w:ascii="Arial Narrow" w:hAnsi="Arial Narrow" w:cs="Calibri"/>
                <w:color w:val="000000"/>
                <w:sz w:val="20"/>
                <w:szCs w:val="20"/>
              </w:rPr>
            </w:pPr>
            <w:r w:rsidRPr="007D0AA8">
              <w:rPr>
                <w:rFonts w:ascii="Arial Narrow" w:hAnsi="Arial Narrow"/>
                <w:sz w:val="20"/>
                <w:szCs w:val="20"/>
              </w:rPr>
              <w:t>shivers</w:t>
            </w:r>
          </w:p>
        </w:tc>
        <w:tc>
          <w:tcPr>
            <w:tcW w:w="1264" w:type="pct"/>
            <w:gridSpan w:val="2"/>
            <w:tcBorders>
              <w:top w:val="nil"/>
              <w:left w:val="single" w:sz="4" w:space="0" w:color="auto"/>
              <w:bottom w:val="nil"/>
              <w:right w:val="nil"/>
            </w:tcBorders>
            <w:shd w:val="clear" w:color="auto" w:fill="auto"/>
            <w:noWrap/>
          </w:tcPr>
          <w:p w14:paraId="6A8C566E" w14:textId="3623E9F2"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7</w:t>
            </w:r>
          </w:p>
        </w:tc>
        <w:tc>
          <w:tcPr>
            <w:tcW w:w="1251" w:type="pct"/>
            <w:tcBorders>
              <w:top w:val="nil"/>
              <w:left w:val="nil"/>
              <w:bottom w:val="nil"/>
              <w:right w:val="single" w:sz="4" w:space="0" w:color="auto"/>
            </w:tcBorders>
            <w:shd w:val="clear" w:color="auto" w:fill="auto"/>
            <w:noWrap/>
          </w:tcPr>
          <w:p w14:paraId="24DCA556" w14:textId="2349AEFE"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6</w:t>
            </w:r>
          </w:p>
        </w:tc>
      </w:tr>
      <w:tr w:rsidR="00036778" w:rsidRPr="007D0AA8" w14:paraId="77C46A0E" w14:textId="77777777" w:rsidTr="00804E16">
        <w:tc>
          <w:tcPr>
            <w:tcW w:w="1091" w:type="pct"/>
            <w:tcBorders>
              <w:top w:val="nil"/>
              <w:left w:val="single" w:sz="4" w:space="0" w:color="auto"/>
              <w:bottom w:val="nil"/>
              <w:right w:val="single" w:sz="4" w:space="0" w:color="auto"/>
            </w:tcBorders>
          </w:tcPr>
          <w:p w14:paraId="667207EB" w14:textId="079F7B7F"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3FA6AE7E" w14:textId="057D9755" w:rsidR="00036778" w:rsidRPr="007D0AA8" w:rsidRDefault="00036778" w:rsidP="00331FB9">
            <w:pPr>
              <w:pStyle w:val="ListParagraph"/>
              <w:numPr>
                <w:ilvl w:val="0"/>
                <w:numId w:val="16"/>
              </w:numPr>
              <w:spacing w:after="0" w:line="240" w:lineRule="auto"/>
              <w:ind w:left="176" w:hanging="176"/>
              <w:rPr>
                <w:rFonts w:ascii="Arial Narrow" w:hAnsi="Arial Narrow" w:cs="Calibri"/>
                <w:color w:val="000000"/>
                <w:sz w:val="20"/>
                <w:szCs w:val="20"/>
              </w:rPr>
            </w:pPr>
            <w:r w:rsidRPr="007D0AA8">
              <w:rPr>
                <w:rFonts w:ascii="Arial Narrow" w:hAnsi="Arial Narrow"/>
                <w:sz w:val="20"/>
                <w:szCs w:val="20"/>
              </w:rPr>
              <w:t>headaches</w:t>
            </w:r>
          </w:p>
        </w:tc>
        <w:tc>
          <w:tcPr>
            <w:tcW w:w="1264" w:type="pct"/>
            <w:gridSpan w:val="2"/>
            <w:tcBorders>
              <w:top w:val="nil"/>
              <w:left w:val="single" w:sz="4" w:space="0" w:color="auto"/>
              <w:bottom w:val="nil"/>
              <w:right w:val="nil"/>
            </w:tcBorders>
            <w:shd w:val="clear" w:color="auto" w:fill="auto"/>
            <w:noWrap/>
          </w:tcPr>
          <w:p w14:paraId="7880F5BB" w14:textId="75CA1F28"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6</w:t>
            </w:r>
          </w:p>
        </w:tc>
        <w:tc>
          <w:tcPr>
            <w:tcW w:w="1251" w:type="pct"/>
            <w:tcBorders>
              <w:top w:val="nil"/>
              <w:left w:val="nil"/>
              <w:bottom w:val="nil"/>
              <w:right w:val="single" w:sz="4" w:space="0" w:color="auto"/>
            </w:tcBorders>
            <w:shd w:val="clear" w:color="auto" w:fill="auto"/>
            <w:noWrap/>
          </w:tcPr>
          <w:p w14:paraId="065FFE99" w14:textId="14D7C365"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1</w:t>
            </w:r>
          </w:p>
        </w:tc>
      </w:tr>
      <w:tr w:rsidR="00036778" w:rsidRPr="007D0AA8" w14:paraId="1F15A50B" w14:textId="77777777" w:rsidTr="00804E16">
        <w:tc>
          <w:tcPr>
            <w:tcW w:w="1091" w:type="pct"/>
            <w:tcBorders>
              <w:top w:val="nil"/>
              <w:left w:val="single" w:sz="4" w:space="0" w:color="auto"/>
              <w:bottom w:val="nil"/>
              <w:right w:val="single" w:sz="4" w:space="0" w:color="auto"/>
            </w:tcBorders>
          </w:tcPr>
          <w:p w14:paraId="6DEE4A22" w14:textId="0C516D50"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699EDADB" w14:textId="3E2353D2" w:rsidR="00036778" w:rsidRPr="007D0AA8" w:rsidRDefault="00036778" w:rsidP="00331FB9">
            <w:pPr>
              <w:pStyle w:val="ListParagraph"/>
              <w:numPr>
                <w:ilvl w:val="0"/>
                <w:numId w:val="16"/>
              </w:numPr>
              <w:spacing w:after="0" w:line="240" w:lineRule="auto"/>
              <w:ind w:left="176" w:hanging="176"/>
              <w:rPr>
                <w:rFonts w:ascii="Arial Narrow" w:hAnsi="Arial Narrow" w:cs="Calibri"/>
                <w:color w:val="000000"/>
                <w:sz w:val="20"/>
                <w:szCs w:val="20"/>
              </w:rPr>
            </w:pPr>
            <w:r w:rsidRPr="007D0AA8">
              <w:rPr>
                <w:rFonts w:ascii="Arial Narrow" w:hAnsi="Arial Narrow"/>
                <w:sz w:val="20"/>
                <w:szCs w:val="20"/>
              </w:rPr>
              <w:t>felt cold</w:t>
            </w:r>
          </w:p>
        </w:tc>
        <w:tc>
          <w:tcPr>
            <w:tcW w:w="1264" w:type="pct"/>
            <w:gridSpan w:val="2"/>
            <w:tcBorders>
              <w:top w:val="nil"/>
              <w:left w:val="single" w:sz="4" w:space="0" w:color="auto"/>
              <w:bottom w:val="nil"/>
              <w:right w:val="nil"/>
            </w:tcBorders>
            <w:shd w:val="clear" w:color="auto" w:fill="auto"/>
            <w:noWrap/>
          </w:tcPr>
          <w:p w14:paraId="0E3F01F7" w14:textId="3F440EE6"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9</w:t>
            </w:r>
          </w:p>
        </w:tc>
        <w:tc>
          <w:tcPr>
            <w:tcW w:w="1251" w:type="pct"/>
            <w:tcBorders>
              <w:top w:val="nil"/>
              <w:left w:val="nil"/>
              <w:bottom w:val="nil"/>
              <w:right w:val="single" w:sz="4" w:space="0" w:color="auto"/>
            </w:tcBorders>
            <w:shd w:val="clear" w:color="auto" w:fill="auto"/>
            <w:noWrap/>
          </w:tcPr>
          <w:p w14:paraId="223B249E" w14:textId="5FB82C9C"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5</w:t>
            </w:r>
          </w:p>
        </w:tc>
      </w:tr>
      <w:tr w:rsidR="00036778" w:rsidRPr="007D0AA8" w14:paraId="7DE5CFE5" w14:textId="77777777" w:rsidTr="00804E16">
        <w:tc>
          <w:tcPr>
            <w:tcW w:w="1091" w:type="pct"/>
            <w:tcBorders>
              <w:top w:val="nil"/>
              <w:left w:val="single" w:sz="4" w:space="0" w:color="auto"/>
              <w:bottom w:val="nil"/>
              <w:right w:val="single" w:sz="4" w:space="0" w:color="auto"/>
            </w:tcBorders>
          </w:tcPr>
          <w:p w14:paraId="7F4205BA" w14:textId="2ADB560E"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22E2A71C" w14:textId="6C53851D" w:rsidR="00036778" w:rsidRPr="007D0AA8" w:rsidRDefault="00036778" w:rsidP="00331FB9">
            <w:pPr>
              <w:pStyle w:val="ListParagraph"/>
              <w:numPr>
                <w:ilvl w:val="0"/>
                <w:numId w:val="16"/>
              </w:numPr>
              <w:spacing w:after="0" w:line="240" w:lineRule="auto"/>
              <w:ind w:left="176" w:hanging="176"/>
              <w:rPr>
                <w:rFonts w:ascii="Arial Narrow" w:hAnsi="Arial Narrow" w:cs="Calibri"/>
                <w:color w:val="000000"/>
                <w:sz w:val="20"/>
                <w:szCs w:val="20"/>
              </w:rPr>
            </w:pPr>
            <w:r w:rsidRPr="007D0AA8">
              <w:rPr>
                <w:rFonts w:ascii="Arial Narrow" w:hAnsi="Arial Narrow"/>
                <w:sz w:val="20"/>
                <w:szCs w:val="20"/>
              </w:rPr>
              <w:t>nausea/vomiting/diarrhoea</w:t>
            </w:r>
          </w:p>
        </w:tc>
        <w:tc>
          <w:tcPr>
            <w:tcW w:w="1264" w:type="pct"/>
            <w:gridSpan w:val="2"/>
            <w:tcBorders>
              <w:top w:val="nil"/>
              <w:left w:val="single" w:sz="4" w:space="0" w:color="auto"/>
              <w:bottom w:val="nil"/>
              <w:right w:val="nil"/>
            </w:tcBorders>
            <w:shd w:val="clear" w:color="auto" w:fill="auto"/>
            <w:noWrap/>
          </w:tcPr>
          <w:p w14:paraId="6C319E6F" w14:textId="4E5A95F9"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3</w:t>
            </w:r>
          </w:p>
        </w:tc>
        <w:tc>
          <w:tcPr>
            <w:tcW w:w="1251" w:type="pct"/>
            <w:tcBorders>
              <w:top w:val="nil"/>
              <w:left w:val="nil"/>
              <w:bottom w:val="nil"/>
              <w:right w:val="single" w:sz="4" w:space="0" w:color="auto"/>
            </w:tcBorders>
            <w:shd w:val="clear" w:color="auto" w:fill="auto"/>
            <w:noWrap/>
          </w:tcPr>
          <w:p w14:paraId="4697EA2E" w14:textId="0087BEF2"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1</w:t>
            </w:r>
          </w:p>
        </w:tc>
      </w:tr>
      <w:tr w:rsidR="00036778" w:rsidRPr="007D0AA8" w14:paraId="3C93A75A" w14:textId="77777777" w:rsidTr="00804E16">
        <w:tc>
          <w:tcPr>
            <w:tcW w:w="1091" w:type="pct"/>
            <w:tcBorders>
              <w:top w:val="nil"/>
              <w:left w:val="single" w:sz="4" w:space="0" w:color="auto"/>
              <w:bottom w:val="nil"/>
              <w:right w:val="single" w:sz="4" w:space="0" w:color="auto"/>
            </w:tcBorders>
          </w:tcPr>
          <w:p w14:paraId="63F4B95A" w14:textId="3B810F35"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3E779187" w14:textId="5B26A3F7" w:rsidR="00036778" w:rsidRPr="007D0AA8" w:rsidRDefault="00036778" w:rsidP="00331FB9">
            <w:pPr>
              <w:pStyle w:val="ListParagraph"/>
              <w:numPr>
                <w:ilvl w:val="0"/>
                <w:numId w:val="16"/>
              </w:numPr>
              <w:spacing w:after="0" w:line="240" w:lineRule="auto"/>
              <w:ind w:left="176" w:hanging="176"/>
              <w:rPr>
                <w:rFonts w:ascii="Arial Narrow" w:hAnsi="Arial Narrow" w:cs="Calibri"/>
                <w:color w:val="000000"/>
                <w:sz w:val="20"/>
                <w:szCs w:val="20"/>
              </w:rPr>
            </w:pPr>
            <w:r w:rsidRPr="007D0AA8">
              <w:rPr>
                <w:rFonts w:ascii="Arial Narrow" w:hAnsi="Arial Narrow"/>
                <w:sz w:val="20"/>
                <w:szCs w:val="20"/>
              </w:rPr>
              <w:t>epigastric pain</w:t>
            </w:r>
          </w:p>
        </w:tc>
        <w:tc>
          <w:tcPr>
            <w:tcW w:w="1264" w:type="pct"/>
            <w:gridSpan w:val="2"/>
            <w:tcBorders>
              <w:top w:val="nil"/>
              <w:left w:val="single" w:sz="4" w:space="0" w:color="auto"/>
              <w:bottom w:val="nil"/>
              <w:right w:val="nil"/>
            </w:tcBorders>
            <w:shd w:val="clear" w:color="auto" w:fill="auto"/>
            <w:noWrap/>
          </w:tcPr>
          <w:p w14:paraId="0C16CE19" w14:textId="25EDC58B"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5</w:t>
            </w:r>
          </w:p>
        </w:tc>
        <w:tc>
          <w:tcPr>
            <w:tcW w:w="1251" w:type="pct"/>
            <w:tcBorders>
              <w:top w:val="nil"/>
              <w:left w:val="nil"/>
              <w:bottom w:val="nil"/>
              <w:right w:val="single" w:sz="4" w:space="0" w:color="auto"/>
            </w:tcBorders>
            <w:shd w:val="clear" w:color="auto" w:fill="auto"/>
            <w:noWrap/>
          </w:tcPr>
          <w:p w14:paraId="61ED57B1" w14:textId="421425E2"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0</w:t>
            </w:r>
          </w:p>
        </w:tc>
      </w:tr>
      <w:tr w:rsidR="00036778" w:rsidRPr="007D0AA8" w14:paraId="14AE3325" w14:textId="77777777" w:rsidTr="00804E16">
        <w:tc>
          <w:tcPr>
            <w:tcW w:w="1091" w:type="pct"/>
            <w:tcBorders>
              <w:top w:val="nil"/>
              <w:left w:val="single" w:sz="4" w:space="0" w:color="auto"/>
              <w:bottom w:val="nil"/>
              <w:right w:val="single" w:sz="4" w:space="0" w:color="auto"/>
            </w:tcBorders>
          </w:tcPr>
          <w:p w14:paraId="504296B7" w14:textId="61313FF7"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259CB8EF" w14:textId="746D3370" w:rsidR="00036778" w:rsidRPr="007D0AA8" w:rsidRDefault="00036778" w:rsidP="00331FB9">
            <w:pPr>
              <w:pStyle w:val="ListParagraph"/>
              <w:numPr>
                <w:ilvl w:val="0"/>
                <w:numId w:val="16"/>
              </w:numPr>
              <w:spacing w:after="0" w:line="240" w:lineRule="auto"/>
              <w:ind w:left="176" w:hanging="176"/>
              <w:rPr>
                <w:rFonts w:ascii="Arial Narrow" w:hAnsi="Arial Narrow" w:cs="Calibri"/>
                <w:color w:val="000000"/>
                <w:sz w:val="20"/>
                <w:szCs w:val="20"/>
              </w:rPr>
            </w:pPr>
            <w:r w:rsidRPr="007D0AA8">
              <w:rPr>
                <w:rFonts w:ascii="Arial Narrow" w:hAnsi="Arial Narrow"/>
                <w:sz w:val="20"/>
                <w:szCs w:val="20"/>
              </w:rPr>
              <w:t>drowsy</w:t>
            </w:r>
          </w:p>
        </w:tc>
        <w:tc>
          <w:tcPr>
            <w:tcW w:w="1264" w:type="pct"/>
            <w:gridSpan w:val="2"/>
            <w:tcBorders>
              <w:top w:val="nil"/>
              <w:left w:val="single" w:sz="4" w:space="0" w:color="auto"/>
              <w:bottom w:val="nil"/>
              <w:right w:val="nil"/>
            </w:tcBorders>
            <w:shd w:val="clear" w:color="auto" w:fill="auto"/>
            <w:noWrap/>
          </w:tcPr>
          <w:p w14:paraId="086F631F" w14:textId="4419D262"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3</w:t>
            </w:r>
          </w:p>
        </w:tc>
        <w:tc>
          <w:tcPr>
            <w:tcW w:w="1251" w:type="pct"/>
            <w:tcBorders>
              <w:top w:val="nil"/>
              <w:left w:val="nil"/>
              <w:bottom w:val="nil"/>
              <w:right w:val="single" w:sz="4" w:space="0" w:color="auto"/>
            </w:tcBorders>
            <w:shd w:val="clear" w:color="auto" w:fill="auto"/>
            <w:noWrap/>
          </w:tcPr>
          <w:p w14:paraId="343A5BE0" w14:textId="3E2985BA"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0</w:t>
            </w:r>
          </w:p>
        </w:tc>
      </w:tr>
      <w:tr w:rsidR="00036778" w:rsidRPr="007D0AA8" w14:paraId="09569648" w14:textId="77777777" w:rsidTr="00804E16">
        <w:tc>
          <w:tcPr>
            <w:tcW w:w="1091" w:type="pct"/>
            <w:tcBorders>
              <w:top w:val="nil"/>
              <w:left w:val="single" w:sz="4" w:space="0" w:color="auto"/>
              <w:bottom w:val="nil"/>
              <w:right w:val="single" w:sz="4" w:space="0" w:color="auto"/>
            </w:tcBorders>
          </w:tcPr>
          <w:p w14:paraId="46570E64" w14:textId="396FCD28"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14CFDE9C" w14:textId="1C5B416E" w:rsidR="00036778" w:rsidRPr="007D0AA8" w:rsidRDefault="00036778" w:rsidP="00331FB9">
            <w:pPr>
              <w:pStyle w:val="ListParagraph"/>
              <w:numPr>
                <w:ilvl w:val="0"/>
                <w:numId w:val="16"/>
              </w:numPr>
              <w:spacing w:after="0" w:line="240" w:lineRule="auto"/>
              <w:ind w:left="176" w:hanging="176"/>
              <w:rPr>
                <w:rFonts w:ascii="Arial Narrow" w:hAnsi="Arial Narrow" w:cs="Calibri"/>
                <w:color w:val="000000"/>
                <w:sz w:val="20"/>
                <w:szCs w:val="20"/>
              </w:rPr>
            </w:pPr>
            <w:r w:rsidRPr="007D0AA8">
              <w:rPr>
                <w:rFonts w:ascii="Arial Narrow" w:hAnsi="Arial Narrow"/>
                <w:sz w:val="20"/>
                <w:szCs w:val="20"/>
              </w:rPr>
              <w:t>fever</w:t>
            </w:r>
          </w:p>
        </w:tc>
        <w:tc>
          <w:tcPr>
            <w:tcW w:w="1264" w:type="pct"/>
            <w:gridSpan w:val="2"/>
            <w:tcBorders>
              <w:top w:val="nil"/>
              <w:left w:val="single" w:sz="4" w:space="0" w:color="auto"/>
              <w:bottom w:val="nil"/>
              <w:right w:val="nil"/>
            </w:tcBorders>
            <w:shd w:val="clear" w:color="auto" w:fill="auto"/>
            <w:noWrap/>
          </w:tcPr>
          <w:p w14:paraId="059BC22B" w14:textId="34A3F5C4"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1</w:t>
            </w:r>
          </w:p>
        </w:tc>
        <w:tc>
          <w:tcPr>
            <w:tcW w:w="1251" w:type="pct"/>
            <w:tcBorders>
              <w:top w:val="nil"/>
              <w:left w:val="nil"/>
              <w:bottom w:val="nil"/>
              <w:right w:val="single" w:sz="4" w:space="0" w:color="auto"/>
            </w:tcBorders>
            <w:shd w:val="clear" w:color="auto" w:fill="auto"/>
            <w:noWrap/>
          </w:tcPr>
          <w:p w14:paraId="4374A7A4" w14:textId="69100E52"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0</w:t>
            </w:r>
          </w:p>
        </w:tc>
      </w:tr>
      <w:tr w:rsidR="00036778" w:rsidRPr="007D0AA8" w14:paraId="3BCDBDC9" w14:textId="77777777" w:rsidTr="00804E16">
        <w:tc>
          <w:tcPr>
            <w:tcW w:w="1091" w:type="pct"/>
            <w:tcBorders>
              <w:top w:val="nil"/>
              <w:left w:val="single" w:sz="4" w:space="0" w:color="auto"/>
              <w:bottom w:val="nil"/>
              <w:right w:val="single" w:sz="4" w:space="0" w:color="auto"/>
            </w:tcBorders>
          </w:tcPr>
          <w:p w14:paraId="62DDD44A" w14:textId="111E5CFD"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732617B6" w14:textId="73E9E89B" w:rsidR="00036778" w:rsidRPr="007D0AA8" w:rsidRDefault="00036778" w:rsidP="00331FB9">
            <w:pPr>
              <w:pStyle w:val="ListParagraph"/>
              <w:numPr>
                <w:ilvl w:val="0"/>
                <w:numId w:val="16"/>
              </w:numPr>
              <w:spacing w:after="0" w:line="240" w:lineRule="auto"/>
              <w:ind w:left="176" w:hanging="176"/>
              <w:rPr>
                <w:rFonts w:ascii="Arial Narrow" w:hAnsi="Arial Narrow" w:cs="Calibri"/>
                <w:color w:val="000000"/>
                <w:sz w:val="20"/>
                <w:szCs w:val="20"/>
              </w:rPr>
            </w:pPr>
            <w:r w:rsidRPr="007D0AA8">
              <w:rPr>
                <w:rFonts w:ascii="Arial Narrow" w:hAnsi="Arial Narrow"/>
                <w:sz w:val="20"/>
                <w:szCs w:val="20"/>
              </w:rPr>
              <w:t>blurred vision</w:t>
            </w:r>
          </w:p>
        </w:tc>
        <w:tc>
          <w:tcPr>
            <w:tcW w:w="1264" w:type="pct"/>
            <w:gridSpan w:val="2"/>
            <w:tcBorders>
              <w:top w:val="nil"/>
              <w:left w:val="single" w:sz="4" w:space="0" w:color="auto"/>
              <w:bottom w:val="nil"/>
              <w:right w:val="nil"/>
            </w:tcBorders>
            <w:shd w:val="clear" w:color="auto" w:fill="auto"/>
            <w:noWrap/>
          </w:tcPr>
          <w:p w14:paraId="1768927D" w14:textId="7D54AE83"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1</w:t>
            </w:r>
          </w:p>
        </w:tc>
        <w:tc>
          <w:tcPr>
            <w:tcW w:w="1251" w:type="pct"/>
            <w:tcBorders>
              <w:top w:val="nil"/>
              <w:left w:val="nil"/>
              <w:bottom w:val="nil"/>
              <w:right w:val="single" w:sz="4" w:space="0" w:color="auto"/>
            </w:tcBorders>
            <w:shd w:val="clear" w:color="auto" w:fill="auto"/>
            <w:noWrap/>
          </w:tcPr>
          <w:p w14:paraId="21C87225" w14:textId="0B825CA3"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0</w:t>
            </w:r>
          </w:p>
        </w:tc>
      </w:tr>
      <w:tr w:rsidR="00036778" w:rsidRPr="007D0AA8" w14:paraId="2B286AC9" w14:textId="77777777" w:rsidTr="00804E16">
        <w:tc>
          <w:tcPr>
            <w:tcW w:w="1091" w:type="pct"/>
            <w:tcBorders>
              <w:top w:val="nil"/>
              <w:left w:val="single" w:sz="4" w:space="0" w:color="auto"/>
              <w:bottom w:val="nil"/>
              <w:right w:val="single" w:sz="4" w:space="0" w:color="auto"/>
            </w:tcBorders>
          </w:tcPr>
          <w:p w14:paraId="76632388" w14:textId="54E20723"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545713D0" w14:textId="6F8D85BB" w:rsidR="00036778" w:rsidRPr="007D0AA8" w:rsidRDefault="00036778" w:rsidP="00331FB9">
            <w:pPr>
              <w:pStyle w:val="ListParagraph"/>
              <w:numPr>
                <w:ilvl w:val="0"/>
                <w:numId w:val="16"/>
              </w:numPr>
              <w:spacing w:after="0" w:line="240" w:lineRule="auto"/>
              <w:ind w:left="176" w:hanging="176"/>
              <w:rPr>
                <w:rFonts w:ascii="Arial Narrow" w:hAnsi="Arial Narrow" w:cs="Calibri"/>
                <w:color w:val="000000"/>
                <w:sz w:val="20"/>
                <w:szCs w:val="20"/>
              </w:rPr>
            </w:pPr>
            <w:r w:rsidRPr="007D0AA8">
              <w:rPr>
                <w:rFonts w:ascii="Arial Narrow" w:hAnsi="Arial Narrow"/>
                <w:sz w:val="20"/>
                <w:szCs w:val="20"/>
              </w:rPr>
              <w:t>tingling tongue</w:t>
            </w:r>
          </w:p>
        </w:tc>
        <w:tc>
          <w:tcPr>
            <w:tcW w:w="1264" w:type="pct"/>
            <w:gridSpan w:val="2"/>
            <w:tcBorders>
              <w:top w:val="nil"/>
              <w:left w:val="single" w:sz="4" w:space="0" w:color="auto"/>
              <w:bottom w:val="nil"/>
              <w:right w:val="nil"/>
            </w:tcBorders>
            <w:shd w:val="clear" w:color="auto" w:fill="auto"/>
            <w:noWrap/>
          </w:tcPr>
          <w:p w14:paraId="2B9FF2B2" w14:textId="63686DF7"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1</w:t>
            </w:r>
          </w:p>
        </w:tc>
        <w:tc>
          <w:tcPr>
            <w:tcW w:w="1251" w:type="pct"/>
            <w:tcBorders>
              <w:top w:val="nil"/>
              <w:left w:val="nil"/>
              <w:bottom w:val="nil"/>
              <w:right w:val="single" w:sz="4" w:space="0" w:color="auto"/>
            </w:tcBorders>
            <w:shd w:val="clear" w:color="auto" w:fill="auto"/>
            <w:noWrap/>
          </w:tcPr>
          <w:p w14:paraId="322E723A" w14:textId="5EDA4A4D"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0</w:t>
            </w:r>
          </w:p>
        </w:tc>
      </w:tr>
      <w:tr w:rsidR="00036778" w:rsidRPr="007D0AA8" w14:paraId="40E1D032" w14:textId="77777777" w:rsidTr="00804E16">
        <w:tc>
          <w:tcPr>
            <w:tcW w:w="1091" w:type="pct"/>
            <w:tcBorders>
              <w:top w:val="nil"/>
              <w:left w:val="single" w:sz="4" w:space="0" w:color="auto"/>
              <w:bottom w:val="nil"/>
              <w:right w:val="single" w:sz="4" w:space="0" w:color="auto"/>
            </w:tcBorders>
          </w:tcPr>
          <w:p w14:paraId="78DC313A" w14:textId="7E38B083"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32596BD7" w14:textId="235047DA" w:rsidR="00036778" w:rsidRPr="007D0AA8" w:rsidRDefault="00036778" w:rsidP="00331FB9">
            <w:pPr>
              <w:pStyle w:val="ListParagraph"/>
              <w:numPr>
                <w:ilvl w:val="0"/>
                <w:numId w:val="16"/>
              </w:numPr>
              <w:spacing w:after="0" w:line="240" w:lineRule="auto"/>
              <w:ind w:left="176" w:hanging="176"/>
              <w:rPr>
                <w:rFonts w:ascii="Arial Narrow" w:hAnsi="Arial Narrow" w:cs="Calibri"/>
                <w:color w:val="000000"/>
                <w:sz w:val="20"/>
                <w:szCs w:val="20"/>
              </w:rPr>
            </w:pPr>
            <w:r w:rsidRPr="007D0AA8">
              <w:rPr>
                <w:rFonts w:ascii="Arial Narrow" w:hAnsi="Arial Narrow"/>
                <w:sz w:val="20"/>
                <w:szCs w:val="20"/>
              </w:rPr>
              <w:t>joint pain</w:t>
            </w:r>
          </w:p>
        </w:tc>
        <w:tc>
          <w:tcPr>
            <w:tcW w:w="1264" w:type="pct"/>
            <w:gridSpan w:val="2"/>
            <w:tcBorders>
              <w:top w:val="nil"/>
              <w:left w:val="single" w:sz="4" w:space="0" w:color="auto"/>
              <w:bottom w:val="nil"/>
              <w:right w:val="nil"/>
            </w:tcBorders>
            <w:shd w:val="clear" w:color="auto" w:fill="auto"/>
            <w:noWrap/>
          </w:tcPr>
          <w:p w14:paraId="2B8AF4FE" w14:textId="6A3BA8AC"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0</w:t>
            </w:r>
          </w:p>
        </w:tc>
        <w:tc>
          <w:tcPr>
            <w:tcW w:w="1251" w:type="pct"/>
            <w:tcBorders>
              <w:top w:val="nil"/>
              <w:left w:val="nil"/>
              <w:bottom w:val="nil"/>
              <w:right w:val="single" w:sz="4" w:space="0" w:color="auto"/>
            </w:tcBorders>
            <w:shd w:val="clear" w:color="auto" w:fill="auto"/>
            <w:noWrap/>
          </w:tcPr>
          <w:p w14:paraId="0CE57E9B" w14:textId="01E27142"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1</w:t>
            </w:r>
          </w:p>
        </w:tc>
      </w:tr>
      <w:tr w:rsidR="00036778" w:rsidRPr="007D0AA8" w14:paraId="6105770E" w14:textId="77777777" w:rsidTr="00804E16">
        <w:tc>
          <w:tcPr>
            <w:tcW w:w="1091" w:type="pct"/>
            <w:tcBorders>
              <w:top w:val="nil"/>
              <w:left w:val="single" w:sz="4" w:space="0" w:color="auto"/>
              <w:bottom w:val="nil"/>
              <w:right w:val="single" w:sz="4" w:space="0" w:color="auto"/>
            </w:tcBorders>
          </w:tcPr>
          <w:p w14:paraId="7DA903F5" w14:textId="77777777" w:rsidR="00036778" w:rsidRPr="007D0AA8" w:rsidRDefault="00036778" w:rsidP="00036778">
            <w:pPr>
              <w:spacing w:after="0" w:line="240" w:lineRule="auto"/>
              <w:rPr>
                <w:rFonts w:ascii="Arial Narrow" w:hAnsi="Arial Narrow" w:cs="Calibri"/>
                <w:i/>
                <w:color w:val="000000"/>
                <w:sz w:val="20"/>
                <w:szCs w:val="20"/>
              </w:rPr>
            </w:pPr>
          </w:p>
        </w:tc>
        <w:tc>
          <w:tcPr>
            <w:tcW w:w="1394" w:type="pct"/>
            <w:tcBorders>
              <w:top w:val="nil"/>
              <w:left w:val="single" w:sz="4" w:space="0" w:color="auto"/>
              <w:bottom w:val="single" w:sz="4" w:space="0" w:color="auto"/>
              <w:right w:val="single" w:sz="4" w:space="0" w:color="auto"/>
            </w:tcBorders>
          </w:tcPr>
          <w:p w14:paraId="5809BE18" w14:textId="29B5441B" w:rsidR="00036778" w:rsidRPr="007D0AA8" w:rsidRDefault="00036778" w:rsidP="00036778">
            <w:pPr>
              <w:spacing w:after="0" w:line="240" w:lineRule="auto"/>
              <w:rPr>
                <w:rFonts w:ascii="Arial Narrow" w:hAnsi="Arial Narrow"/>
                <w:i/>
                <w:sz w:val="20"/>
                <w:szCs w:val="20"/>
              </w:rPr>
            </w:pPr>
            <w:r w:rsidRPr="007D0AA8">
              <w:rPr>
                <w:rFonts w:ascii="Arial Narrow" w:hAnsi="Arial Narrow"/>
                <w:i/>
                <w:sz w:val="20"/>
                <w:szCs w:val="20"/>
              </w:rPr>
              <w:t>Total mild AEs</w:t>
            </w:r>
          </w:p>
        </w:tc>
        <w:tc>
          <w:tcPr>
            <w:tcW w:w="1264" w:type="pct"/>
            <w:gridSpan w:val="2"/>
            <w:tcBorders>
              <w:top w:val="nil"/>
              <w:left w:val="single" w:sz="4" w:space="0" w:color="auto"/>
              <w:bottom w:val="single" w:sz="4" w:space="0" w:color="auto"/>
              <w:right w:val="nil"/>
            </w:tcBorders>
            <w:shd w:val="clear" w:color="auto" w:fill="auto"/>
            <w:noWrap/>
          </w:tcPr>
          <w:p w14:paraId="08CE94BC" w14:textId="31F3DF08" w:rsidR="00036778" w:rsidRPr="007D0AA8" w:rsidRDefault="00036778" w:rsidP="00036778">
            <w:pPr>
              <w:spacing w:after="0" w:line="240" w:lineRule="auto"/>
              <w:rPr>
                <w:rFonts w:ascii="Arial Narrow" w:hAnsi="Arial Narrow"/>
                <w:i/>
                <w:sz w:val="20"/>
                <w:szCs w:val="20"/>
              </w:rPr>
            </w:pPr>
            <w:r w:rsidRPr="007D0AA8">
              <w:rPr>
                <w:rFonts w:ascii="Arial Narrow" w:hAnsi="Arial Narrow"/>
                <w:i/>
                <w:sz w:val="20"/>
                <w:szCs w:val="20"/>
              </w:rPr>
              <w:t>50</w:t>
            </w:r>
          </w:p>
        </w:tc>
        <w:tc>
          <w:tcPr>
            <w:tcW w:w="1251" w:type="pct"/>
            <w:tcBorders>
              <w:top w:val="nil"/>
              <w:left w:val="nil"/>
              <w:bottom w:val="single" w:sz="4" w:space="0" w:color="auto"/>
              <w:right w:val="single" w:sz="4" w:space="0" w:color="auto"/>
            </w:tcBorders>
            <w:shd w:val="clear" w:color="auto" w:fill="auto"/>
            <w:noWrap/>
          </w:tcPr>
          <w:p w14:paraId="782CA6FE" w14:textId="73BFF7EA" w:rsidR="00036778" w:rsidRPr="007D0AA8" w:rsidRDefault="00036778" w:rsidP="00036778">
            <w:pPr>
              <w:spacing w:after="0" w:line="240" w:lineRule="auto"/>
              <w:rPr>
                <w:rFonts w:ascii="Arial Narrow" w:hAnsi="Arial Narrow"/>
                <w:i/>
                <w:sz w:val="20"/>
                <w:szCs w:val="20"/>
              </w:rPr>
            </w:pPr>
            <w:r w:rsidRPr="007D0AA8">
              <w:rPr>
                <w:rFonts w:ascii="Arial Narrow" w:hAnsi="Arial Narrow"/>
                <w:i/>
                <w:sz w:val="20"/>
                <w:szCs w:val="20"/>
              </w:rPr>
              <w:t>21</w:t>
            </w:r>
          </w:p>
        </w:tc>
      </w:tr>
      <w:tr w:rsidR="00036778" w:rsidRPr="007D0AA8" w14:paraId="6D316EDA" w14:textId="77777777" w:rsidTr="00804E16">
        <w:tc>
          <w:tcPr>
            <w:tcW w:w="1091" w:type="pct"/>
            <w:tcBorders>
              <w:top w:val="nil"/>
              <w:left w:val="single" w:sz="4" w:space="0" w:color="auto"/>
              <w:bottom w:val="nil"/>
              <w:right w:val="single" w:sz="4" w:space="0" w:color="auto"/>
            </w:tcBorders>
          </w:tcPr>
          <w:p w14:paraId="77C9A46D" w14:textId="5FD899E2"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single" w:sz="4" w:space="0" w:color="auto"/>
              <w:left w:val="single" w:sz="4" w:space="0" w:color="auto"/>
              <w:bottom w:val="nil"/>
              <w:right w:val="single" w:sz="4" w:space="0" w:color="auto"/>
            </w:tcBorders>
          </w:tcPr>
          <w:p w14:paraId="0DB5D3A0" w14:textId="59E145D8"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Moderate AEs</w:t>
            </w:r>
          </w:p>
        </w:tc>
        <w:tc>
          <w:tcPr>
            <w:tcW w:w="1264" w:type="pct"/>
            <w:gridSpan w:val="2"/>
            <w:tcBorders>
              <w:top w:val="single" w:sz="4" w:space="0" w:color="auto"/>
              <w:left w:val="single" w:sz="4" w:space="0" w:color="auto"/>
              <w:bottom w:val="nil"/>
              <w:right w:val="nil"/>
            </w:tcBorders>
            <w:shd w:val="clear" w:color="auto" w:fill="auto"/>
            <w:noWrap/>
          </w:tcPr>
          <w:p w14:paraId="13845581" w14:textId="77777777" w:rsidR="00036778" w:rsidRPr="007D0AA8" w:rsidRDefault="00036778" w:rsidP="00036778">
            <w:pPr>
              <w:spacing w:after="0" w:line="240" w:lineRule="auto"/>
              <w:rPr>
                <w:rFonts w:ascii="Arial Narrow" w:hAnsi="Arial Narrow" w:cs="Calibri"/>
                <w:color w:val="000000"/>
                <w:sz w:val="20"/>
                <w:szCs w:val="20"/>
              </w:rPr>
            </w:pPr>
          </w:p>
        </w:tc>
        <w:tc>
          <w:tcPr>
            <w:tcW w:w="1251" w:type="pct"/>
            <w:tcBorders>
              <w:top w:val="single" w:sz="4" w:space="0" w:color="auto"/>
              <w:left w:val="nil"/>
              <w:bottom w:val="nil"/>
              <w:right w:val="single" w:sz="4" w:space="0" w:color="auto"/>
            </w:tcBorders>
            <w:shd w:val="clear" w:color="auto" w:fill="auto"/>
            <w:noWrap/>
          </w:tcPr>
          <w:p w14:paraId="56D0E810" w14:textId="77777777" w:rsidR="00036778" w:rsidRPr="007D0AA8" w:rsidRDefault="00036778" w:rsidP="00036778">
            <w:pPr>
              <w:spacing w:after="0" w:line="240" w:lineRule="auto"/>
              <w:rPr>
                <w:rFonts w:ascii="Arial Narrow" w:hAnsi="Arial Narrow" w:cs="Calibri"/>
                <w:color w:val="000000"/>
                <w:sz w:val="20"/>
                <w:szCs w:val="20"/>
              </w:rPr>
            </w:pPr>
          </w:p>
        </w:tc>
      </w:tr>
      <w:tr w:rsidR="00036778" w:rsidRPr="007D0AA8" w14:paraId="35A53EFD" w14:textId="77777777" w:rsidTr="00804E16">
        <w:tc>
          <w:tcPr>
            <w:tcW w:w="1091" w:type="pct"/>
            <w:tcBorders>
              <w:top w:val="nil"/>
              <w:left w:val="single" w:sz="4" w:space="0" w:color="auto"/>
              <w:bottom w:val="nil"/>
              <w:right w:val="single" w:sz="4" w:space="0" w:color="auto"/>
            </w:tcBorders>
          </w:tcPr>
          <w:p w14:paraId="3D88CF31" w14:textId="13945C87"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44816FBB" w14:textId="32414C88" w:rsidR="00036778" w:rsidRPr="007D0AA8" w:rsidRDefault="00036778" w:rsidP="00331FB9">
            <w:pPr>
              <w:pStyle w:val="ListParagraph"/>
              <w:numPr>
                <w:ilvl w:val="0"/>
                <w:numId w:val="16"/>
              </w:numPr>
              <w:spacing w:after="0" w:line="240" w:lineRule="auto"/>
              <w:ind w:left="176" w:hanging="176"/>
              <w:rPr>
                <w:rFonts w:ascii="Arial Narrow" w:hAnsi="Arial Narrow" w:cs="Calibri"/>
                <w:color w:val="000000"/>
                <w:sz w:val="20"/>
                <w:szCs w:val="20"/>
              </w:rPr>
            </w:pPr>
            <w:r w:rsidRPr="007D0AA8">
              <w:rPr>
                <w:rFonts w:ascii="Arial Narrow" w:hAnsi="Arial Narrow"/>
                <w:sz w:val="20"/>
                <w:szCs w:val="20"/>
              </w:rPr>
              <w:t>Rigors and vomiting</w:t>
            </w:r>
          </w:p>
        </w:tc>
        <w:tc>
          <w:tcPr>
            <w:tcW w:w="1264" w:type="pct"/>
            <w:gridSpan w:val="2"/>
            <w:tcBorders>
              <w:top w:val="nil"/>
              <w:left w:val="single" w:sz="4" w:space="0" w:color="auto"/>
              <w:bottom w:val="nil"/>
              <w:right w:val="nil"/>
            </w:tcBorders>
            <w:shd w:val="clear" w:color="auto" w:fill="auto"/>
            <w:noWrap/>
          </w:tcPr>
          <w:p w14:paraId="34A8261C" w14:textId="4187E3C0"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2</w:t>
            </w:r>
          </w:p>
        </w:tc>
        <w:tc>
          <w:tcPr>
            <w:tcW w:w="1251" w:type="pct"/>
            <w:tcBorders>
              <w:top w:val="nil"/>
              <w:left w:val="nil"/>
              <w:bottom w:val="nil"/>
              <w:right w:val="single" w:sz="4" w:space="0" w:color="auto"/>
            </w:tcBorders>
            <w:shd w:val="clear" w:color="auto" w:fill="auto"/>
            <w:noWrap/>
          </w:tcPr>
          <w:p w14:paraId="31CADD75" w14:textId="48F0DE5D"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1</w:t>
            </w:r>
          </w:p>
        </w:tc>
      </w:tr>
      <w:tr w:rsidR="00036778" w:rsidRPr="007D0AA8" w14:paraId="535EE1B5" w14:textId="77777777" w:rsidTr="00804E16">
        <w:tc>
          <w:tcPr>
            <w:tcW w:w="1091" w:type="pct"/>
            <w:tcBorders>
              <w:top w:val="nil"/>
              <w:left w:val="single" w:sz="4" w:space="0" w:color="auto"/>
              <w:bottom w:val="nil"/>
              <w:right w:val="single" w:sz="4" w:space="0" w:color="auto"/>
            </w:tcBorders>
          </w:tcPr>
          <w:p w14:paraId="147CF927" w14:textId="3DAE7053"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196F18C6" w14:textId="0E21C7D0" w:rsidR="00036778" w:rsidRPr="007D0AA8" w:rsidRDefault="00036778" w:rsidP="00331FB9">
            <w:pPr>
              <w:pStyle w:val="ListParagraph"/>
              <w:numPr>
                <w:ilvl w:val="0"/>
                <w:numId w:val="16"/>
              </w:numPr>
              <w:spacing w:after="0" w:line="240" w:lineRule="auto"/>
              <w:ind w:left="176" w:hanging="176"/>
              <w:rPr>
                <w:rFonts w:ascii="Arial Narrow" w:hAnsi="Arial Narrow" w:cs="Calibri"/>
                <w:color w:val="000000"/>
                <w:sz w:val="20"/>
                <w:szCs w:val="20"/>
              </w:rPr>
            </w:pPr>
            <w:r w:rsidRPr="007D0AA8">
              <w:rPr>
                <w:rFonts w:ascii="Arial Narrow" w:hAnsi="Arial Narrow"/>
                <w:sz w:val="20"/>
                <w:szCs w:val="20"/>
              </w:rPr>
              <w:t>Hypotension</w:t>
            </w:r>
          </w:p>
        </w:tc>
        <w:tc>
          <w:tcPr>
            <w:tcW w:w="1264" w:type="pct"/>
            <w:gridSpan w:val="2"/>
            <w:tcBorders>
              <w:top w:val="nil"/>
              <w:left w:val="single" w:sz="4" w:space="0" w:color="auto"/>
              <w:bottom w:val="nil"/>
              <w:right w:val="nil"/>
            </w:tcBorders>
            <w:shd w:val="clear" w:color="auto" w:fill="auto"/>
            <w:noWrap/>
          </w:tcPr>
          <w:p w14:paraId="561621F8" w14:textId="2B801EDB"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1</w:t>
            </w:r>
          </w:p>
        </w:tc>
        <w:tc>
          <w:tcPr>
            <w:tcW w:w="1251" w:type="pct"/>
            <w:tcBorders>
              <w:top w:val="nil"/>
              <w:left w:val="nil"/>
              <w:bottom w:val="nil"/>
              <w:right w:val="single" w:sz="4" w:space="0" w:color="auto"/>
            </w:tcBorders>
            <w:shd w:val="clear" w:color="auto" w:fill="auto"/>
            <w:noWrap/>
          </w:tcPr>
          <w:p w14:paraId="2A221038" w14:textId="5EB0CBCF"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0</w:t>
            </w:r>
          </w:p>
        </w:tc>
      </w:tr>
      <w:tr w:rsidR="00036778" w:rsidRPr="007D0AA8" w14:paraId="3FA4361D" w14:textId="77777777" w:rsidTr="00804E16">
        <w:tc>
          <w:tcPr>
            <w:tcW w:w="1091" w:type="pct"/>
            <w:tcBorders>
              <w:top w:val="nil"/>
              <w:left w:val="single" w:sz="4" w:space="0" w:color="auto"/>
              <w:bottom w:val="nil"/>
              <w:right w:val="single" w:sz="4" w:space="0" w:color="auto"/>
            </w:tcBorders>
          </w:tcPr>
          <w:p w14:paraId="44A71815" w14:textId="6817EC5A"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nil"/>
              <w:left w:val="single" w:sz="4" w:space="0" w:color="auto"/>
              <w:bottom w:val="single" w:sz="4" w:space="0" w:color="auto"/>
              <w:right w:val="single" w:sz="4" w:space="0" w:color="auto"/>
            </w:tcBorders>
          </w:tcPr>
          <w:p w14:paraId="5953B691" w14:textId="03DABAF0" w:rsidR="00036778" w:rsidRPr="007D0AA8" w:rsidRDefault="00036778" w:rsidP="00036778">
            <w:pPr>
              <w:spacing w:after="0" w:line="240" w:lineRule="auto"/>
              <w:rPr>
                <w:rFonts w:ascii="Arial Narrow" w:hAnsi="Arial Narrow" w:cs="Calibri"/>
                <w:i/>
                <w:color w:val="000000"/>
                <w:sz w:val="20"/>
                <w:szCs w:val="20"/>
              </w:rPr>
            </w:pPr>
            <w:r w:rsidRPr="007D0AA8">
              <w:rPr>
                <w:rFonts w:ascii="Arial Narrow" w:hAnsi="Arial Narrow" w:cs="Calibri"/>
                <w:i/>
                <w:color w:val="000000"/>
                <w:sz w:val="20"/>
                <w:szCs w:val="20"/>
              </w:rPr>
              <w:t>Total moderate AEs</w:t>
            </w:r>
          </w:p>
        </w:tc>
        <w:tc>
          <w:tcPr>
            <w:tcW w:w="1264" w:type="pct"/>
            <w:gridSpan w:val="2"/>
            <w:tcBorders>
              <w:top w:val="nil"/>
              <w:left w:val="single" w:sz="4" w:space="0" w:color="auto"/>
              <w:bottom w:val="single" w:sz="4" w:space="0" w:color="auto"/>
              <w:right w:val="nil"/>
            </w:tcBorders>
            <w:shd w:val="clear" w:color="auto" w:fill="auto"/>
            <w:noWrap/>
          </w:tcPr>
          <w:p w14:paraId="7B8FC9D0" w14:textId="79423D7C" w:rsidR="00036778" w:rsidRPr="007D0AA8" w:rsidRDefault="00036778" w:rsidP="00036778">
            <w:pPr>
              <w:spacing w:after="0" w:line="240" w:lineRule="auto"/>
              <w:rPr>
                <w:rFonts w:ascii="Arial Narrow" w:hAnsi="Arial Narrow"/>
                <w:i/>
                <w:sz w:val="20"/>
                <w:szCs w:val="20"/>
              </w:rPr>
            </w:pPr>
            <w:r w:rsidRPr="007D0AA8">
              <w:rPr>
                <w:rFonts w:ascii="Arial Narrow" w:hAnsi="Arial Narrow"/>
                <w:i/>
                <w:sz w:val="20"/>
                <w:szCs w:val="20"/>
              </w:rPr>
              <w:t>3</w:t>
            </w:r>
          </w:p>
        </w:tc>
        <w:tc>
          <w:tcPr>
            <w:tcW w:w="1251" w:type="pct"/>
            <w:tcBorders>
              <w:top w:val="nil"/>
              <w:left w:val="nil"/>
              <w:bottom w:val="single" w:sz="4" w:space="0" w:color="auto"/>
              <w:right w:val="single" w:sz="4" w:space="0" w:color="auto"/>
            </w:tcBorders>
            <w:shd w:val="clear" w:color="auto" w:fill="auto"/>
            <w:noWrap/>
          </w:tcPr>
          <w:p w14:paraId="563E3B67" w14:textId="7D3DB601" w:rsidR="00036778" w:rsidRPr="007D0AA8" w:rsidRDefault="00036778" w:rsidP="00036778">
            <w:pPr>
              <w:spacing w:after="0" w:line="240" w:lineRule="auto"/>
              <w:rPr>
                <w:rFonts w:ascii="Arial Narrow" w:hAnsi="Arial Narrow"/>
                <w:i/>
                <w:sz w:val="20"/>
                <w:szCs w:val="20"/>
              </w:rPr>
            </w:pPr>
            <w:r w:rsidRPr="007D0AA8">
              <w:rPr>
                <w:rFonts w:ascii="Arial Narrow" w:hAnsi="Arial Narrow"/>
                <w:i/>
                <w:sz w:val="20"/>
                <w:szCs w:val="20"/>
              </w:rPr>
              <w:t>1</w:t>
            </w:r>
          </w:p>
        </w:tc>
      </w:tr>
      <w:tr w:rsidR="00036778" w:rsidRPr="007D0AA8" w14:paraId="31B8308D" w14:textId="77777777" w:rsidTr="00804E16">
        <w:tc>
          <w:tcPr>
            <w:tcW w:w="1091" w:type="pct"/>
            <w:tcBorders>
              <w:top w:val="nil"/>
              <w:left w:val="single" w:sz="4" w:space="0" w:color="auto"/>
              <w:bottom w:val="single" w:sz="4" w:space="0" w:color="auto"/>
              <w:right w:val="single" w:sz="4" w:space="0" w:color="auto"/>
            </w:tcBorders>
            <w:vAlign w:val="bottom"/>
          </w:tcPr>
          <w:p w14:paraId="2A289A11" w14:textId="77777777"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single" w:sz="4" w:space="0" w:color="auto"/>
              <w:left w:val="single" w:sz="4" w:space="0" w:color="auto"/>
              <w:bottom w:val="single" w:sz="4" w:space="0" w:color="auto"/>
              <w:right w:val="single" w:sz="4" w:space="0" w:color="auto"/>
            </w:tcBorders>
          </w:tcPr>
          <w:p w14:paraId="72AB3ED6" w14:textId="0E3AA6E6"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sz w:val="20"/>
                <w:szCs w:val="20"/>
              </w:rPr>
              <w:t>*Total AEs (% of infusions)</w:t>
            </w:r>
          </w:p>
        </w:tc>
        <w:tc>
          <w:tcPr>
            <w:tcW w:w="1264" w:type="pct"/>
            <w:gridSpan w:val="2"/>
            <w:tcBorders>
              <w:top w:val="single" w:sz="4" w:space="0" w:color="auto"/>
              <w:left w:val="single" w:sz="4" w:space="0" w:color="auto"/>
              <w:bottom w:val="single" w:sz="4" w:space="0" w:color="auto"/>
              <w:right w:val="single" w:sz="4" w:space="0" w:color="auto"/>
            </w:tcBorders>
            <w:shd w:val="clear" w:color="auto" w:fill="auto"/>
            <w:noWrap/>
          </w:tcPr>
          <w:p w14:paraId="2E968E94" w14:textId="5EFFDD18" w:rsidR="00036778" w:rsidRPr="007D0AA8" w:rsidRDefault="00036778" w:rsidP="00036778">
            <w:pPr>
              <w:spacing w:after="0" w:line="240" w:lineRule="auto"/>
            </w:pPr>
            <w:r w:rsidRPr="007D0AA8">
              <w:rPr>
                <w:rFonts w:ascii="Arial Narrow" w:hAnsi="Arial Narrow"/>
                <w:sz w:val="20"/>
                <w:szCs w:val="20"/>
              </w:rPr>
              <w:t>53 (12)</w:t>
            </w:r>
          </w:p>
        </w:tc>
        <w:tc>
          <w:tcPr>
            <w:tcW w:w="1251" w:type="pct"/>
            <w:tcBorders>
              <w:top w:val="single" w:sz="4" w:space="0" w:color="auto"/>
              <w:left w:val="single" w:sz="4" w:space="0" w:color="auto"/>
              <w:bottom w:val="single" w:sz="4" w:space="0" w:color="auto"/>
              <w:right w:val="single" w:sz="4" w:space="0" w:color="auto"/>
            </w:tcBorders>
            <w:shd w:val="clear" w:color="auto" w:fill="auto"/>
            <w:noWrap/>
          </w:tcPr>
          <w:p w14:paraId="60E8A0E6" w14:textId="18D1D722" w:rsidR="00036778" w:rsidRPr="007D0AA8" w:rsidRDefault="00036778" w:rsidP="00036778">
            <w:pPr>
              <w:spacing w:after="0" w:line="240" w:lineRule="auto"/>
            </w:pPr>
            <w:r w:rsidRPr="007D0AA8">
              <w:rPr>
                <w:rFonts w:ascii="Arial Narrow" w:hAnsi="Arial Narrow"/>
                <w:sz w:val="20"/>
                <w:szCs w:val="20"/>
              </w:rPr>
              <w:t>23* (5)</w:t>
            </w:r>
          </w:p>
        </w:tc>
      </w:tr>
      <w:tr w:rsidR="004A6D4F" w:rsidRPr="00386411" w14:paraId="7C678DB8" w14:textId="77777777" w:rsidTr="00B52A4F">
        <w:tc>
          <w:tcPr>
            <w:tcW w:w="10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E5E975" w14:textId="7D684179" w:rsidR="004A6D4F" w:rsidRPr="00386411" w:rsidRDefault="004A6D4F" w:rsidP="004A6D4F">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Kobayashi et al., 2014</w:t>
            </w:r>
          </w:p>
        </w:tc>
        <w:tc>
          <w:tcPr>
            <w:tcW w:w="1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39E2DA" w14:textId="43973171" w:rsidR="004A6D4F" w:rsidRPr="00386411" w:rsidRDefault="004A6D4F" w:rsidP="004A6D4F">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AEs (N=61; 146 episodes)</w:t>
            </w:r>
          </w:p>
        </w:tc>
        <w:tc>
          <w:tcPr>
            <w:tcW w:w="1264" w:type="pct"/>
            <w:gridSpan w:val="2"/>
            <w:tcBorders>
              <w:top w:val="single" w:sz="4" w:space="0" w:color="auto"/>
              <w:left w:val="single" w:sz="4" w:space="0" w:color="auto"/>
              <w:bottom w:val="single" w:sz="4" w:space="0" w:color="auto"/>
              <w:right w:val="nil"/>
            </w:tcBorders>
            <w:shd w:val="clear" w:color="auto" w:fill="D9D9D9" w:themeFill="background1" w:themeFillShade="D9"/>
            <w:noWrap/>
          </w:tcPr>
          <w:p w14:paraId="6FC0AB9F" w14:textId="2108F833" w:rsidR="004A6D4F" w:rsidRPr="00386411" w:rsidRDefault="004A6D4F" w:rsidP="004A6D4F">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 xml:space="preserve">MEPM+IVIg </w:t>
            </w:r>
            <w:r w:rsidRPr="00386411">
              <w:rPr>
                <w:rFonts w:ascii="Arial Narrow" w:hAnsi="Arial Narrow" w:cs="Calibri"/>
                <w:b/>
                <w:color w:val="000000"/>
                <w:sz w:val="20"/>
                <w:szCs w:val="20"/>
              </w:rPr>
              <w:br/>
              <w:t>(n=62 episodes)</w:t>
            </w:r>
          </w:p>
        </w:tc>
        <w:tc>
          <w:tcPr>
            <w:tcW w:w="1251" w:type="pct"/>
            <w:tcBorders>
              <w:top w:val="single" w:sz="4" w:space="0" w:color="auto"/>
              <w:left w:val="nil"/>
              <w:bottom w:val="single" w:sz="4" w:space="0" w:color="auto"/>
              <w:right w:val="single" w:sz="4" w:space="0" w:color="auto"/>
            </w:tcBorders>
            <w:shd w:val="clear" w:color="auto" w:fill="D9D9D9" w:themeFill="background1" w:themeFillShade="D9"/>
            <w:noWrap/>
          </w:tcPr>
          <w:p w14:paraId="4D84D837" w14:textId="5833F9E9" w:rsidR="004A6D4F" w:rsidRPr="00386411" w:rsidRDefault="004A6D4F" w:rsidP="00FA20FD">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 xml:space="preserve">MEPM alone </w:t>
            </w:r>
            <w:r w:rsidRPr="00386411">
              <w:rPr>
                <w:rFonts w:ascii="Arial Narrow" w:hAnsi="Arial Narrow" w:cs="Calibri"/>
                <w:b/>
                <w:color w:val="000000"/>
                <w:sz w:val="20"/>
                <w:szCs w:val="20"/>
              </w:rPr>
              <w:br/>
              <w:t>(n=84 epis</w:t>
            </w:r>
            <w:r w:rsidR="00FA20FD">
              <w:rPr>
                <w:rFonts w:ascii="Arial Narrow" w:hAnsi="Arial Narrow" w:cs="Calibri"/>
                <w:b/>
                <w:color w:val="000000"/>
                <w:sz w:val="20"/>
                <w:szCs w:val="20"/>
              </w:rPr>
              <w:t>od</w:t>
            </w:r>
            <w:r w:rsidRPr="00386411">
              <w:rPr>
                <w:rFonts w:ascii="Arial Narrow" w:hAnsi="Arial Narrow" w:cs="Calibri"/>
                <w:b/>
                <w:color w:val="000000"/>
                <w:sz w:val="20"/>
                <w:szCs w:val="20"/>
              </w:rPr>
              <w:t>es)</w:t>
            </w:r>
          </w:p>
        </w:tc>
      </w:tr>
      <w:tr w:rsidR="004A6D4F" w:rsidRPr="007D0AA8" w14:paraId="44FFA172" w14:textId="77777777" w:rsidTr="00804E16">
        <w:tc>
          <w:tcPr>
            <w:tcW w:w="1091" w:type="pct"/>
            <w:tcBorders>
              <w:top w:val="single" w:sz="4" w:space="0" w:color="auto"/>
              <w:left w:val="single" w:sz="4" w:space="0" w:color="auto"/>
              <w:bottom w:val="nil"/>
              <w:right w:val="single" w:sz="4" w:space="0" w:color="auto"/>
            </w:tcBorders>
          </w:tcPr>
          <w:p w14:paraId="2BB4C095" w14:textId="7E6CC6BB" w:rsidR="004A6D4F" w:rsidRPr="007D0AA8" w:rsidRDefault="004A6D4F" w:rsidP="004A6D4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ALL, AML, others</w:t>
            </w:r>
          </w:p>
        </w:tc>
        <w:tc>
          <w:tcPr>
            <w:tcW w:w="1394" w:type="pct"/>
            <w:tcBorders>
              <w:top w:val="single" w:sz="4" w:space="0" w:color="auto"/>
              <w:left w:val="single" w:sz="4" w:space="0" w:color="auto"/>
              <w:bottom w:val="nil"/>
              <w:right w:val="single" w:sz="4" w:space="0" w:color="auto"/>
            </w:tcBorders>
          </w:tcPr>
          <w:p w14:paraId="504CEDF8" w14:textId="6E48CD70" w:rsidR="004A6D4F" w:rsidRPr="007D0AA8" w:rsidRDefault="004A6D4F" w:rsidP="004A6D4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Patients with liver dysfunction</w:t>
            </w:r>
          </w:p>
        </w:tc>
        <w:tc>
          <w:tcPr>
            <w:tcW w:w="1264" w:type="pct"/>
            <w:gridSpan w:val="2"/>
            <w:tcBorders>
              <w:top w:val="single" w:sz="4" w:space="0" w:color="auto"/>
              <w:left w:val="single" w:sz="4" w:space="0" w:color="auto"/>
              <w:bottom w:val="nil"/>
              <w:right w:val="nil"/>
            </w:tcBorders>
            <w:shd w:val="clear" w:color="auto" w:fill="auto"/>
            <w:noWrap/>
          </w:tcPr>
          <w:p w14:paraId="325214C4" w14:textId="1A7C12A7" w:rsidR="004A6D4F" w:rsidRPr="007D0AA8" w:rsidRDefault="004A6D4F" w:rsidP="004A6D4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2</w:t>
            </w:r>
          </w:p>
        </w:tc>
        <w:tc>
          <w:tcPr>
            <w:tcW w:w="1251" w:type="pct"/>
            <w:tcBorders>
              <w:top w:val="single" w:sz="4" w:space="0" w:color="auto"/>
              <w:left w:val="nil"/>
              <w:bottom w:val="nil"/>
              <w:right w:val="single" w:sz="4" w:space="0" w:color="auto"/>
            </w:tcBorders>
            <w:shd w:val="clear" w:color="auto" w:fill="auto"/>
            <w:noWrap/>
          </w:tcPr>
          <w:p w14:paraId="11F37C99" w14:textId="19443E5D" w:rsidR="004A6D4F" w:rsidRPr="007D0AA8" w:rsidRDefault="004A6D4F" w:rsidP="004A6D4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4</w:t>
            </w:r>
          </w:p>
        </w:tc>
      </w:tr>
      <w:tr w:rsidR="004A6D4F" w:rsidRPr="007D0AA8" w14:paraId="1A6DAD65" w14:textId="77777777" w:rsidTr="00804E16">
        <w:tc>
          <w:tcPr>
            <w:tcW w:w="1091" w:type="pct"/>
            <w:tcBorders>
              <w:top w:val="nil"/>
              <w:left w:val="single" w:sz="4" w:space="0" w:color="auto"/>
              <w:bottom w:val="single" w:sz="4" w:space="0" w:color="auto"/>
              <w:right w:val="single" w:sz="4" w:space="0" w:color="auto"/>
            </w:tcBorders>
          </w:tcPr>
          <w:p w14:paraId="1DE15E2B" w14:textId="77777777" w:rsidR="004A6D4F" w:rsidRPr="007D0AA8" w:rsidRDefault="004A6D4F" w:rsidP="004A6D4F">
            <w:pPr>
              <w:spacing w:after="0" w:line="240" w:lineRule="auto"/>
              <w:rPr>
                <w:rFonts w:ascii="Arial Narrow" w:hAnsi="Arial Narrow" w:cs="Calibri"/>
                <w:color w:val="000000"/>
                <w:sz w:val="20"/>
                <w:szCs w:val="20"/>
              </w:rPr>
            </w:pPr>
          </w:p>
        </w:tc>
        <w:tc>
          <w:tcPr>
            <w:tcW w:w="1394" w:type="pct"/>
            <w:tcBorders>
              <w:top w:val="nil"/>
              <w:left w:val="single" w:sz="4" w:space="0" w:color="auto"/>
              <w:bottom w:val="single" w:sz="4" w:space="0" w:color="auto"/>
              <w:right w:val="single" w:sz="4" w:space="0" w:color="auto"/>
            </w:tcBorders>
          </w:tcPr>
          <w:p w14:paraId="69E66399" w14:textId="762A41F0" w:rsidR="004A6D4F" w:rsidRPr="007D0AA8" w:rsidRDefault="004A6D4F" w:rsidP="004A6D4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Deaths due to invasive fungal infection</w:t>
            </w:r>
          </w:p>
        </w:tc>
        <w:tc>
          <w:tcPr>
            <w:tcW w:w="1264" w:type="pct"/>
            <w:gridSpan w:val="2"/>
            <w:tcBorders>
              <w:top w:val="nil"/>
              <w:left w:val="single" w:sz="4" w:space="0" w:color="auto"/>
              <w:bottom w:val="single" w:sz="4" w:space="0" w:color="auto"/>
              <w:right w:val="nil"/>
            </w:tcBorders>
            <w:shd w:val="clear" w:color="auto" w:fill="auto"/>
            <w:noWrap/>
          </w:tcPr>
          <w:p w14:paraId="4687C577" w14:textId="4E308A20" w:rsidR="004A6D4F" w:rsidRPr="007D0AA8" w:rsidRDefault="004A6D4F" w:rsidP="004A6D4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0</w:t>
            </w:r>
          </w:p>
        </w:tc>
        <w:tc>
          <w:tcPr>
            <w:tcW w:w="1251" w:type="pct"/>
            <w:tcBorders>
              <w:top w:val="nil"/>
              <w:left w:val="nil"/>
              <w:bottom w:val="single" w:sz="4" w:space="0" w:color="auto"/>
              <w:right w:val="single" w:sz="4" w:space="0" w:color="auto"/>
            </w:tcBorders>
            <w:shd w:val="clear" w:color="auto" w:fill="auto"/>
            <w:noWrap/>
          </w:tcPr>
          <w:p w14:paraId="61AF3ABF" w14:textId="372FC3DE" w:rsidR="004A6D4F" w:rsidRPr="007D0AA8" w:rsidRDefault="004A6D4F" w:rsidP="004A6D4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2</w:t>
            </w:r>
          </w:p>
        </w:tc>
      </w:tr>
      <w:tr w:rsidR="004A6D4F" w:rsidRPr="00386411" w14:paraId="6B06F25F" w14:textId="77777777" w:rsidTr="00B52A4F">
        <w:tc>
          <w:tcPr>
            <w:tcW w:w="10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EB417E" w14:textId="77777777" w:rsidR="004A6D4F" w:rsidRPr="00386411" w:rsidRDefault="004A6D4F" w:rsidP="004A6D4F">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Molica et al., 1996</w:t>
            </w:r>
          </w:p>
        </w:tc>
        <w:tc>
          <w:tcPr>
            <w:tcW w:w="1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3C2D88" w14:textId="77777777" w:rsidR="004A6D4F" w:rsidRPr="00386411" w:rsidRDefault="004A6D4F" w:rsidP="00FA20FD">
            <w:pPr>
              <w:spacing w:after="0" w:line="240" w:lineRule="auto"/>
              <w:ind w:left="58"/>
              <w:jc w:val="left"/>
              <w:rPr>
                <w:rFonts w:ascii="Arial Narrow" w:hAnsi="Arial Narrow" w:cs="Calibri"/>
                <w:b/>
                <w:color w:val="000000"/>
                <w:sz w:val="20"/>
                <w:szCs w:val="20"/>
              </w:rPr>
            </w:pPr>
            <w:r w:rsidRPr="00386411">
              <w:rPr>
                <w:rFonts w:ascii="Arial Narrow" w:hAnsi="Arial Narrow" w:cs="Calibri"/>
                <w:b/>
                <w:color w:val="000000"/>
                <w:sz w:val="20"/>
                <w:szCs w:val="20"/>
              </w:rPr>
              <w:t>Withdrawals due to AEs (N=42)</w:t>
            </w:r>
          </w:p>
        </w:tc>
        <w:tc>
          <w:tcPr>
            <w:tcW w:w="1264" w:type="pct"/>
            <w:gridSpan w:val="2"/>
            <w:tcBorders>
              <w:top w:val="single" w:sz="4" w:space="0" w:color="auto"/>
              <w:left w:val="single" w:sz="4" w:space="0" w:color="auto"/>
              <w:bottom w:val="single" w:sz="4" w:space="0" w:color="auto"/>
              <w:right w:val="nil"/>
            </w:tcBorders>
            <w:shd w:val="clear" w:color="auto" w:fill="D9D9D9" w:themeFill="background1" w:themeFillShade="D9"/>
            <w:noWrap/>
          </w:tcPr>
          <w:p w14:paraId="1DAB7B13" w14:textId="77777777" w:rsidR="004A6D4F" w:rsidRPr="00386411" w:rsidRDefault="004A6D4F" w:rsidP="00FA20FD">
            <w:pPr>
              <w:spacing w:after="0" w:line="240" w:lineRule="auto"/>
              <w:jc w:val="left"/>
              <w:rPr>
                <w:rFonts w:ascii="Arial Narrow" w:hAnsi="Arial Narrow" w:cs="Calibri"/>
                <w:b/>
                <w:color w:val="000000"/>
                <w:sz w:val="20"/>
                <w:szCs w:val="20"/>
              </w:rPr>
            </w:pPr>
            <w:r w:rsidRPr="00386411">
              <w:rPr>
                <w:rFonts w:ascii="Arial Narrow" w:hAnsi="Arial Narrow"/>
                <w:b/>
                <w:sz w:val="20"/>
                <w:szCs w:val="20"/>
              </w:rPr>
              <w:t>IVIg therapy phase (N=21+21)</w:t>
            </w:r>
          </w:p>
        </w:tc>
        <w:tc>
          <w:tcPr>
            <w:tcW w:w="1251" w:type="pct"/>
            <w:tcBorders>
              <w:top w:val="single" w:sz="4" w:space="0" w:color="auto"/>
              <w:left w:val="nil"/>
              <w:bottom w:val="single" w:sz="4" w:space="0" w:color="auto"/>
              <w:right w:val="single" w:sz="4" w:space="0" w:color="auto"/>
            </w:tcBorders>
            <w:shd w:val="clear" w:color="auto" w:fill="D9D9D9" w:themeFill="background1" w:themeFillShade="D9"/>
            <w:noWrap/>
          </w:tcPr>
          <w:p w14:paraId="569D4904" w14:textId="77777777" w:rsidR="004A6D4F" w:rsidRPr="00386411" w:rsidRDefault="004A6D4F" w:rsidP="00FA20FD">
            <w:pPr>
              <w:spacing w:after="0" w:line="240" w:lineRule="auto"/>
              <w:jc w:val="left"/>
              <w:rPr>
                <w:rFonts w:ascii="Arial Narrow" w:hAnsi="Arial Narrow" w:cs="Calibri"/>
                <w:b/>
                <w:color w:val="000000"/>
                <w:sz w:val="20"/>
                <w:szCs w:val="20"/>
              </w:rPr>
            </w:pPr>
            <w:r w:rsidRPr="00386411">
              <w:rPr>
                <w:rFonts w:ascii="Arial Narrow" w:hAnsi="Arial Narrow"/>
                <w:b/>
                <w:sz w:val="20"/>
                <w:szCs w:val="20"/>
              </w:rPr>
              <w:t>Empirical phase (N=21+21)</w:t>
            </w:r>
          </w:p>
        </w:tc>
      </w:tr>
      <w:tr w:rsidR="004A6D4F" w:rsidRPr="007D0AA8" w14:paraId="0ADE9109" w14:textId="77777777" w:rsidTr="00804E16">
        <w:tc>
          <w:tcPr>
            <w:tcW w:w="1091" w:type="pct"/>
            <w:tcBorders>
              <w:top w:val="single" w:sz="4" w:space="0" w:color="auto"/>
              <w:left w:val="single" w:sz="4" w:space="0" w:color="auto"/>
              <w:bottom w:val="nil"/>
              <w:right w:val="single" w:sz="4" w:space="0" w:color="auto"/>
            </w:tcBorders>
          </w:tcPr>
          <w:p w14:paraId="048D1123" w14:textId="77777777" w:rsidR="004A6D4F" w:rsidRPr="007D0AA8" w:rsidRDefault="004A6D4F" w:rsidP="004A6D4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CLL</w:t>
            </w:r>
          </w:p>
        </w:tc>
        <w:tc>
          <w:tcPr>
            <w:tcW w:w="1394" w:type="pct"/>
            <w:tcBorders>
              <w:top w:val="single" w:sz="4" w:space="0" w:color="auto"/>
              <w:left w:val="single" w:sz="4" w:space="0" w:color="auto"/>
              <w:bottom w:val="single" w:sz="4" w:space="0" w:color="auto"/>
              <w:right w:val="single" w:sz="4" w:space="0" w:color="auto"/>
            </w:tcBorders>
          </w:tcPr>
          <w:p w14:paraId="32D73179" w14:textId="77777777" w:rsidR="004A6D4F" w:rsidRPr="007D0AA8" w:rsidRDefault="004A6D4F" w:rsidP="004A6D4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Patient withdrawn due to AEs (chills, fever and back pain)</w:t>
            </w:r>
          </w:p>
        </w:tc>
        <w:tc>
          <w:tcPr>
            <w:tcW w:w="1264" w:type="pct"/>
            <w:gridSpan w:val="2"/>
            <w:tcBorders>
              <w:top w:val="single" w:sz="4" w:space="0" w:color="auto"/>
              <w:left w:val="single" w:sz="4" w:space="0" w:color="auto"/>
              <w:bottom w:val="nil"/>
              <w:right w:val="nil"/>
            </w:tcBorders>
            <w:shd w:val="clear" w:color="auto" w:fill="auto"/>
            <w:noWrap/>
          </w:tcPr>
          <w:p w14:paraId="0491CCEC" w14:textId="77777777" w:rsidR="004A6D4F" w:rsidRPr="007D0AA8" w:rsidRDefault="004A6D4F" w:rsidP="004A6D4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2</w:t>
            </w:r>
          </w:p>
        </w:tc>
        <w:tc>
          <w:tcPr>
            <w:tcW w:w="1251" w:type="pct"/>
            <w:tcBorders>
              <w:top w:val="single" w:sz="4" w:space="0" w:color="auto"/>
              <w:left w:val="nil"/>
              <w:bottom w:val="nil"/>
              <w:right w:val="single" w:sz="4" w:space="0" w:color="auto"/>
            </w:tcBorders>
            <w:shd w:val="clear" w:color="auto" w:fill="auto"/>
            <w:noWrap/>
          </w:tcPr>
          <w:p w14:paraId="686F24AB" w14:textId="77777777" w:rsidR="004A6D4F" w:rsidRPr="007D0AA8" w:rsidRDefault="004A6D4F" w:rsidP="004A6D4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0</w:t>
            </w:r>
          </w:p>
        </w:tc>
      </w:tr>
      <w:tr w:rsidR="00036778" w:rsidRPr="00386411" w14:paraId="32CB62F9" w14:textId="77777777" w:rsidTr="00B52A4F">
        <w:tc>
          <w:tcPr>
            <w:tcW w:w="10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DEA2928" w14:textId="610E9916" w:rsidR="00036778" w:rsidRPr="00386411" w:rsidRDefault="00036778" w:rsidP="00036778">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Sullivan et al., 1990</w:t>
            </w:r>
          </w:p>
        </w:tc>
        <w:tc>
          <w:tcPr>
            <w:tcW w:w="1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398E2A" w14:textId="68DED6E7" w:rsidR="00036778" w:rsidRPr="00386411" w:rsidRDefault="00036778" w:rsidP="00036778">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AEs</w:t>
            </w:r>
            <w:r w:rsidR="00763F47" w:rsidRPr="00386411">
              <w:rPr>
                <w:rFonts w:ascii="Arial Narrow" w:hAnsi="Arial Narrow" w:cs="Calibri"/>
                <w:b/>
                <w:color w:val="000000"/>
                <w:sz w:val="20"/>
                <w:szCs w:val="20"/>
              </w:rPr>
              <w:t xml:space="preserve"> (N=369)</w:t>
            </w:r>
          </w:p>
        </w:tc>
        <w:tc>
          <w:tcPr>
            <w:tcW w:w="12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A0FC8A9" w14:textId="6C9BD2CC" w:rsidR="00036778" w:rsidRPr="00386411" w:rsidRDefault="00036778" w:rsidP="00036778">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IVIg (n=184)</w:t>
            </w:r>
          </w:p>
        </w:tc>
        <w:tc>
          <w:tcPr>
            <w:tcW w:w="125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A91C858" w14:textId="30F2D57F" w:rsidR="00036778" w:rsidRPr="00386411" w:rsidRDefault="00036778" w:rsidP="00036778">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No IVIg (n=185)</w:t>
            </w:r>
          </w:p>
        </w:tc>
      </w:tr>
      <w:tr w:rsidR="00036778" w:rsidRPr="007D0AA8" w14:paraId="26231103" w14:textId="77777777" w:rsidTr="00804E16">
        <w:tc>
          <w:tcPr>
            <w:tcW w:w="1091" w:type="pct"/>
            <w:tcBorders>
              <w:top w:val="single" w:sz="4" w:space="0" w:color="auto"/>
              <w:left w:val="single" w:sz="4" w:space="0" w:color="auto"/>
              <w:bottom w:val="nil"/>
              <w:right w:val="single" w:sz="4" w:space="0" w:color="auto"/>
            </w:tcBorders>
            <w:vAlign w:val="bottom"/>
          </w:tcPr>
          <w:p w14:paraId="3EB92D68" w14:textId="6EF52680"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BMT</w:t>
            </w:r>
          </w:p>
        </w:tc>
        <w:tc>
          <w:tcPr>
            <w:tcW w:w="1394" w:type="pct"/>
            <w:tcBorders>
              <w:top w:val="single" w:sz="4" w:space="0" w:color="auto"/>
              <w:left w:val="single" w:sz="4" w:space="0" w:color="auto"/>
              <w:bottom w:val="single" w:sz="4" w:space="0" w:color="auto"/>
              <w:right w:val="single" w:sz="4" w:space="0" w:color="auto"/>
            </w:tcBorders>
          </w:tcPr>
          <w:p w14:paraId="610FCF23" w14:textId="79188D52"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Total infusions</w:t>
            </w:r>
          </w:p>
        </w:tc>
        <w:tc>
          <w:tcPr>
            <w:tcW w:w="1264" w:type="pct"/>
            <w:gridSpan w:val="2"/>
            <w:tcBorders>
              <w:top w:val="single" w:sz="4" w:space="0" w:color="auto"/>
              <w:left w:val="single" w:sz="4" w:space="0" w:color="auto"/>
              <w:bottom w:val="single" w:sz="4" w:space="0" w:color="auto"/>
              <w:right w:val="single" w:sz="4" w:space="0" w:color="auto"/>
            </w:tcBorders>
            <w:shd w:val="clear" w:color="auto" w:fill="auto"/>
            <w:noWrap/>
          </w:tcPr>
          <w:p w14:paraId="368A622F" w14:textId="1A9287B7"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2226</w:t>
            </w: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E57133" w14:textId="3DF27C2C"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0</w:t>
            </w:r>
          </w:p>
        </w:tc>
      </w:tr>
      <w:tr w:rsidR="00036778" w:rsidRPr="007D0AA8" w14:paraId="6ACD470E" w14:textId="77777777" w:rsidTr="00804E16">
        <w:tc>
          <w:tcPr>
            <w:tcW w:w="1091" w:type="pct"/>
            <w:tcBorders>
              <w:top w:val="nil"/>
              <w:left w:val="single" w:sz="4" w:space="0" w:color="auto"/>
              <w:bottom w:val="nil"/>
              <w:right w:val="single" w:sz="4" w:space="0" w:color="auto"/>
            </w:tcBorders>
            <w:vAlign w:val="bottom"/>
          </w:tcPr>
          <w:p w14:paraId="5684E281" w14:textId="77777777"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single" w:sz="4" w:space="0" w:color="auto"/>
              <w:left w:val="single" w:sz="4" w:space="0" w:color="auto"/>
              <w:bottom w:val="nil"/>
              <w:right w:val="single" w:sz="4" w:space="0" w:color="auto"/>
            </w:tcBorders>
          </w:tcPr>
          <w:p w14:paraId="42F2639A" w14:textId="0372B28B"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Infusions with AEs, n (%)</w:t>
            </w:r>
          </w:p>
        </w:tc>
        <w:tc>
          <w:tcPr>
            <w:tcW w:w="1264" w:type="pct"/>
            <w:gridSpan w:val="2"/>
            <w:tcBorders>
              <w:top w:val="single" w:sz="4" w:space="0" w:color="auto"/>
              <w:left w:val="single" w:sz="4" w:space="0" w:color="auto"/>
              <w:bottom w:val="nil"/>
              <w:right w:val="nil"/>
            </w:tcBorders>
            <w:shd w:val="clear" w:color="auto" w:fill="auto"/>
            <w:noWrap/>
          </w:tcPr>
          <w:p w14:paraId="67E3E4A2" w14:textId="23C6247E"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14 (0.6%)</w:t>
            </w:r>
          </w:p>
        </w:tc>
        <w:tc>
          <w:tcPr>
            <w:tcW w:w="1251" w:type="pct"/>
            <w:tcBorders>
              <w:top w:val="single" w:sz="4" w:space="0" w:color="auto"/>
              <w:left w:val="nil"/>
              <w:bottom w:val="nil"/>
              <w:right w:val="single" w:sz="4" w:space="0" w:color="auto"/>
            </w:tcBorders>
            <w:shd w:val="clear" w:color="auto" w:fill="auto"/>
            <w:noWrap/>
            <w:vAlign w:val="bottom"/>
          </w:tcPr>
          <w:p w14:paraId="2CC704F4" w14:textId="1998E37E"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036778" w:rsidRPr="007D0AA8" w14:paraId="39C7098C" w14:textId="77777777" w:rsidTr="00804E16">
        <w:tc>
          <w:tcPr>
            <w:tcW w:w="1091" w:type="pct"/>
            <w:tcBorders>
              <w:top w:val="nil"/>
              <w:left w:val="single" w:sz="4" w:space="0" w:color="auto"/>
              <w:bottom w:val="nil"/>
              <w:right w:val="single" w:sz="4" w:space="0" w:color="auto"/>
            </w:tcBorders>
            <w:vAlign w:val="bottom"/>
          </w:tcPr>
          <w:p w14:paraId="522D0A30" w14:textId="77777777"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24ECAD6E" w14:textId="62383DE2" w:rsidR="00036778" w:rsidRPr="007D0AA8" w:rsidRDefault="00036778" w:rsidP="00331FB9">
            <w:pPr>
              <w:pStyle w:val="ListParagraph"/>
              <w:numPr>
                <w:ilvl w:val="0"/>
                <w:numId w:val="16"/>
              </w:numPr>
              <w:spacing w:after="0" w:line="240" w:lineRule="auto"/>
              <w:ind w:left="176" w:hanging="118"/>
              <w:rPr>
                <w:rFonts w:ascii="Arial Narrow" w:hAnsi="Arial Narrow" w:cs="Calibri"/>
                <w:color w:val="000000"/>
                <w:sz w:val="20"/>
                <w:szCs w:val="20"/>
              </w:rPr>
            </w:pPr>
            <w:r w:rsidRPr="007D0AA8">
              <w:rPr>
                <w:rFonts w:ascii="Arial Narrow" w:hAnsi="Arial Narrow" w:cs="Calibri"/>
                <w:color w:val="000000"/>
                <w:sz w:val="20"/>
                <w:szCs w:val="20"/>
              </w:rPr>
              <w:t>Chills</w:t>
            </w:r>
          </w:p>
        </w:tc>
        <w:tc>
          <w:tcPr>
            <w:tcW w:w="1264" w:type="pct"/>
            <w:gridSpan w:val="2"/>
            <w:tcBorders>
              <w:top w:val="nil"/>
              <w:left w:val="single" w:sz="4" w:space="0" w:color="auto"/>
              <w:bottom w:val="nil"/>
              <w:right w:val="nil"/>
            </w:tcBorders>
            <w:shd w:val="clear" w:color="auto" w:fill="auto"/>
            <w:noWrap/>
          </w:tcPr>
          <w:p w14:paraId="26C60E35" w14:textId="22AAFA91"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10</w:t>
            </w:r>
          </w:p>
        </w:tc>
        <w:tc>
          <w:tcPr>
            <w:tcW w:w="1251" w:type="pct"/>
            <w:tcBorders>
              <w:top w:val="nil"/>
              <w:left w:val="nil"/>
              <w:bottom w:val="nil"/>
              <w:right w:val="single" w:sz="4" w:space="0" w:color="auto"/>
            </w:tcBorders>
            <w:shd w:val="clear" w:color="auto" w:fill="auto"/>
            <w:noWrap/>
            <w:vAlign w:val="bottom"/>
          </w:tcPr>
          <w:p w14:paraId="171BD867" w14:textId="368FB65D"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036778" w:rsidRPr="007D0AA8" w14:paraId="42896517" w14:textId="77777777" w:rsidTr="00804E16">
        <w:tc>
          <w:tcPr>
            <w:tcW w:w="1091" w:type="pct"/>
            <w:tcBorders>
              <w:top w:val="nil"/>
              <w:left w:val="single" w:sz="4" w:space="0" w:color="auto"/>
              <w:bottom w:val="nil"/>
              <w:right w:val="single" w:sz="4" w:space="0" w:color="auto"/>
            </w:tcBorders>
            <w:vAlign w:val="bottom"/>
          </w:tcPr>
          <w:p w14:paraId="67B47F99" w14:textId="77777777"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128FECBF" w14:textId="10F18DB5" w:rsidR="00036778" w:rsidRPr="007D0AA8" w:rsidRDefault="00036778" w:rsidP="00331FB9">
            <w:pPr>
              <w:pStyle w:val="ListParagraph"/>
              <w:numPr>
                <w:ilvl w:val="0"/>
                <w:numId w:val="16"/>
              </w:numPr>
              <w:spacing w:after="0" w:line="240" w:lineRule="auto"/>
              <w:ind w:left="176" w:hanging="118"/>
              <w:rPr>
                <w:rFonts w:ascii="Arial Narrow" w:hAnsi="Arial Narrow" w:cs="Calibri"/>
                <w:color w:val="000000"/>
                <w:sz w:val="20"/>
                <w:szCs w:val="20"/>
              </w:rPr>
            </w:pPr>
            <w:r w:rsidRPr="007D0AA8">
              <w:rPr>
                <w:rFonts w:ascii="Arial Narrow" w:hAnsi="Arial Narrow" w:cs="Calibri"/>
                <w:color w:val="000000"/>
                <w:sz w:val="20"/>
                <w:szCs w:val="20"/>
              </w:rPr>
              <w:t>Fever</w:t>
            </w:r>
          </w:p>
        </w:tc>
        <w:tc>
          <w:tcPr>
            <w:tcW w:w="1264" w:type="pct"/>
            <w:gridSpan w:val="2"/>
            <w:tcBorders>
              <w:top w:val="nil"/>
              <w:left w:val="single" w:sz="4" w:space="0" w:color="auto"/>
              <w:bottom w:val="nil"/>
              <w:right w:val="nil"/>
            </w:tcBorders>
            <w:shd w:val="clear" w:color="auto" w:fill="auto"/>
            <w:noWrap/>
          </w:tcPr>
          <w:p w14:paraId="367A1EE6" w14:textId="145B62FF"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1</w:t>
            </w:r>
          </w:p>
        </w:tc>
        <w:tc>
          <w:tcPr>
            <w:tcW w:w="1251" w:type="pct"/>
            <w:tcBorders>
              <w:top w:val="nil"/>
              <w:left w:val="nil"/>
              <w:bottom w:val="nil"/>
              <w:right w:val="single" w:sz="4" w:space="0" w:color="auto"/>
            </w:tcBorders>
            <w:shd w:val="clear" w:color="auto" w:fill="auto"/>
            <w:noWrap/>
            <w:vAlign w:val="bottom"/>
          </w:tcPr>
          <w:p w14:paraId="06002A49" w14:textId="4253DE68"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036778" w:rsidRPr="007D0AA8" w14:paraId="5375DE5D" w14:textId="77777777" w:rsidTr="00804E16">
        <w:tc>
          <w:tcPr>
            <w:tcW w:w="1091" w:type="pct"/>
            <w:tcBorders>
              <w:top w:val="nil"/>
              <w:left w:val="single" w:sz="4" w:space="0" w:color="auto"/>
              <w:bottom w:val="nil"/>
              <w:right w:val="single" w:sz="4" w:space="0" w:color="auto"/>
            </w:tcBorders>
            <w:vAlign w:val="bottom"/>
          </w:tcPr>
          <w:p w14:paraId="221C3279" w14:textId="77777777"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2EC9008F" w14:textId="1DD60DA8" w:rsidR="00036778" w:rsidRPr="007D0AA8" w:rsidRDefault="00036778" w:rsidP="00331FB9">
            <w:pPr>
              <w:pStyle w:val="ListParagraph"/>
              <w:numPr>
                <w:ilvl w:val="0"/>
                <w:numId w:val="16"/>
              </w:numPr>
              <w:spacing w:after="0" w:line="240" w:lineRule="auto"/>
              <w:ind w:left="176" w:hanging="118"/>
              <w:rPr>
                <w:rFonts w:ascii="Arial Narrow" w:hAnsi="Arial Narrow" w:cs="Calibri"/>
                <w:color w:val="000000"/>
                <w:sz w:val="20"/>
                <w:szCs w:val="20"/>
              </w:rPr>
            </w:pPr>
            <w:r w:rsidRPr="007D0AA8">
              <w:rPr>
                <w:rFonts w:ascii="Arial Narrow" w:hAnsi="Arial Narrow" w:cs="Calibri"/>
                <w:color w:val="000000"/>
                <w:sz w:val="20"/>
                <w:szCs w:val="20"/>
              </w:rPr>
              <w:t>Headache</w:t>
            </w:r>
          </w:p>
        </w:tc>
        <w:tc>
          <w:tcPr>
            <w:tcW w:w="1264" w:type="pct"/>
            <w:gridSpan w:val="2"/>
            <w:tcBorders>
              <w:top w:val="nil"/>
              <w:left w:val="single" w:sz="4" w:space="0" w:color="auto"/>
              <w:bottom w:val="nil"/>
              <w:right w:val="nil"/>
            </w:tcBorders>
            <w:shd w:val="clear" w:color="auto" w:fill="auto"/>
            <w:noWrap/>
          </w:tcPr>
          <w:p w14:paraId="7027350E" w14:textId="7CEF38C8"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1</w:t>
            </w:r>
          </w:p>
        </w:tc>
        <w:tc>
          <w:tcPr>
            <w:tcW w:w="1251" w:type="pct"/>
            <w:tcBorders>
              <w:top w:val="nil"/>
              <w:left w:val="nil"/>
              <w:bottom w:val="nil"/>
              <w:right w:val="single" w:sz="4" w:space="0" w:color="auto"/>
            </w:tcBorders>
            <w:shd w:val="clear" w:color="auto" w:fill="auto"/>
            <w:noWrap/>
            <w:vAlign w:val="bottom"/>
          </w:tcPr>
          <w:p w14:paraId="2B2B4263" w14:textId="268826B5"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036778" w:rsidRPr="007D0AA8" w14:paraId="07D98E5F" w14:textId="77777777" w:rsidTr="00804E16">
        <w:tc>
          <w:tcPr>
            <w:tcW w:w="1091" w:type="pct"/>
            <w:tcBorders>
              <w:top w:val="nil"/>
              <w:left w:val="single" w:sz="4" w:space="0" w:color="auto"/>
              <w:bottom w:val="nil"/>
              <w:right w:val="single" w:sz="4" w:space="0" w:color="auto"/>
            </w:tcBorders>
            <w:vAlign w:val="bottom"/>
          </w:tcPr>
          <w:p w14:paraId="1060AEC2" w14:textId="77777777" w:rsidR="00036778" w:rsidRPr="007D0AA8" w:rsidRDefault="00036778" w:rsidP="00036778">
            <w:pPr>
              <w:spacing w:after="0" w:line="240" w:lineRule="auto"/>
              <w:rPr>
                <w:rFonts w:ascii="Arial Narrow" w:hAnsi="Arial Narrow" w:cs="Calibri"/>
                <w:color w:val="000000"/>
                <w:sz w:val="20"/>
                <w:szCs w:val="20"/>
              </w:rPr>
            </w:pPr>
          </w:p>
        </w:tc>
        <w:tc>
          <w:tcPr>
            <w:tcW w:w="1394" w:type="pct"/>
            <w:tcBorders>
              <w:top w:val="nil"/>
              <w:left w:val="single" w:sz="4" w:space="0" w:color="auto"/>
              <w:bottom w:val="nil"/>
              <w:right w:val="single" w:sz="4" w:space="0" w:color="auto"/>
            </w:tcBorders>
          </w:tcPr>
          <w:p w14:paraId="681CFF79" w14:textId="3C34849B" w:rsidR="00036778" w:rsidRPr="007D0AA8" w:rsidRDefault="00036778" w:rsidP="00331FB9">
            <w:pPr>
              <w:pStyle w:val="ListParagraph"/>
              <w:numPr>
                <w:ilvl w:val="0"/>
                <w:numId w:val="16"/>
              </w:numPr>
              <w:spacing w:after="0" w:line="240" w:lineRule="auto"/>
              <w:ind w:left="176" w:hanging="118"/>
              <w:rPr>
                <w:rFonts w:ascii="Arial Narrow" w:hAnsi="Arial Narrow" w:cs="Calibri"/>
                <w:color w:val="000000"/>
                <w:sz w:val="20"/>
                <w:szCs w:val="20"/>
              </w:rPr>
            </w:pPr>
            <w:r w:rsidRPr="007D0AA8">
              <w:rPr>
                <w:rFonts w:ascii="Arial Narrow" w:hAnsi="Arial Narrow" w:cs="Calibri"/>
                <w:color w:val="000000"/>
                <w:sz w:val="20"/>
                <w:szCs w:val="20"/>
              </w:rPr>
              <w:t>Pruritus</w:t>
            </w:r>
          </w:p>
        </w:tc>
        <w:tc>
          <w:tcPr>
            <w:tcW w:w="1264" w:type="pct"/>
            <w:gridSpan w:val="2"/>
            <w:tcBorders>
              <w:top w:val="nil"/>
              <w:left w:val="single" w:sz="4" w:space="0" w:color="auto"/>
              <w:bottom w:val="nil"/>
              <w:right w:val="nil"/>
            </w:tcBorders>
            <w:shd w:val="clear" w:color="auto" w:fill="auto"/>
            <w:noWrap/>
          </w:tcPr>
          <w:p w14:paraId="3B81AB3C" w14:textId="45D003E0"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1</w:t>
            </w:r>
          </w:p>
        </w:tc>
        <w:tc>
          <w:tcPr>
            <w:tcW w:w="1251" w:type="pct"/>
            <w:tcBorders>
              <w:top w:val="nil"/>
              <w:left w:val="nil"/>
              <w:bottom w:val="nil"/>
              <w:right w:val="single" w:sz="4" w:space="0" w:color="auto"/>
            </w:tcBorders>
            <w:shd w:val="clear" w:color="auto" w:fill="auto"/>
            <w:noWrap/>
            <w:vAlign w:val="bottom"/>
          </w:tcPr>
          <w:p w14:paraId="7892F44F" w14:textId="5041A8F2" w:rsidR="00036778" w:rsidRPr="007D0AA8" w:rsidRDefault="00036778" w:rsidP="00036778">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767BEA" w:rsidRPr="007D0AA8" w14:paraId="12799423" w14:textId="77777777" w:rsidTr="00804E16">
        <w:tc>
          <w:tcPr>
            <w:tcW w:w="1091" w:type="pct"/>
            <w:tcBorders>
              <w:top w:val="nil"/>
              <w:left w:val="single" w:sz="4" w:space="0" w:color="auto"/>
              <w:bottom w:val="single" w:sz="4" w:space="0" w:color="auto"/>
              <w:right w:val="single" w:sz="4" w:space="0" w:color="auto"/>
            </w:tcBorders>
            <w:vAlign w:val="bottom"/>
          </w:tcPr>
          <w:p w14:paraId="5DBFAD75" w14:textId="77777777" w:rsidR="00767BEA" w:rsidRPr="007D0AA8" w:rsidRDefault="00767BEA" w:rsidP="00036778">
            <w:pPr>
              <w:spacing w:after="0" w:line="240" w:lineRule="auto"/>
              <w:rPr>
                <w:rFonts w:ascii="Arial Narrow" w:hAnsi="Arial Narrow" w:cs="Calibri"/>
                <w:color w:val="000000"/>
                <w:sz w:val="20"/>
                <w:szCs w:val="20"/>
              </w:rPr>
            </w:pPr>
          </w:p>
        </w:tc>
        <w:tc>
          <w:tcPr>
            <w:tcW w:w="1394" w:type="pct"/>
            <w:tcBorders>
              <w:top w:val="nil"/>
              <w:left w:val="single" w:sz="4" w:space="0" w:color="auto"/>
              <w:bottom w:val="single" w:sz="4" w:space="0" w:color="auto"/>
              <w:right w:val="single" w:sz="4" w:space="0" w:color="auto"/>
            </w:tcBorders>
          </w:tcPr>
          <w:p w14:paraId="1D6E4131" w14:textId="2731AF5D" w:rsidR="00767BEA" w:rsidRPr="007D0AA8" w:rsidRDefault="00767BEA" w:rsidP="00331FB9">
            <w:pPr>
              <w:pStyle w:val="ListParagraph"/>
              <w:numPr>
                <w:ilvl w:val="0"/>
                <w:numId w:val="16"/>
              </w:numPr>
              <w:spacing w:after="0" w:line="240" w:lineRule="auto"/>
              <w:ind w:left="176" w:hanging="118"/>
              <w:rPr>
                <w:rFonts w:ascii="Arial Narrow" w:hAnsi="Arial Narrow" w:cs="Calibri"/>
                <w:color w:val="000000"/>
                <w:sz w:val="20"/>
                <w:szCs w:val="20"/>
              </w:rPr>
            </w:pPr>
            <w:r w:rsidRPr="007D0AA8">
              <w:rPr>
                <w:rFonts w:ascii="Arial Narrow" w:hAnsi="Arial Narrow" w:cs="Calibri"/>
                <w:color w:val="000000"/>
                <w:sz w:val="20"/>
                <w:szCs w:val="20"/>
              </w:rPr>
              <w:t>Flushing</w:t>
            </w:r>
          </w:p>
        </w:tc>
        <w:tc>
          <w:tcPr>
            <w:tcW w:w="1264" w:type="pct"/>
            <w:gridSpan w:val="2"/>
            <w:tcBorders>
              <w:top w:val="nil"/>
              <w:left w:val="single" w:sz="4" w:space="0" w:color="auto"/>
              <w:bottom w:val="single" w:sz="4" w:space="0" w:color="auto"/>
              <w:right w:val="nil"/>
            </w:tcBorders>
            <w:shd w:val="clear" w:color="auto" w:fill="auto"/>
            <w:noWrap/>
          </w:tcPr>
          <w:p w14:paraId="29C7A68E" w14:textId="5F3E1671" w:rsidR="00767BEA" w:rsidRPr="007D0AA8" w:rsidRDefault="006A66E5" w:rsidP="00036778">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1</w:t>
            </w:r>
          </w:p>
        </w:tc>
        <w:tc>
          <w:tcPr>
            <w:tcW w:w="1251" w:type="pct"/>
            <w:tcBorders>
              <w:top w:val="nil"/>
              <w:left w:val="nil"/>
              <w:bottom w:val="single" w:sz="4" w:space="0" w:color="auto"/>
              <w:right w:val="single" w:sz="4" w:space="0" w:color="auto"/>
            </w:tcBorders>
            <w:shd w:val="clear" w:color="auto" w:fill="auto"/>
            <w:noWrap/>
            <w:vAlign w:val="bottom"/>
          </w:tcPr>
          <w:p w14:paraId="6B4D6070" w14:textId="6BEFDD11" w:rsidR="00767BEA" w:rsidRPr="007D0AA8" w:rsidRDefault="006A66E5" w:rsidP="00036778">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804E16" w:rsidRPr="00386411" w14:paraId="7C9974C6" w14:textId="77777777" w:rsidTr="009B0175">
        <w:tc>
          <w:tcPr>
            <w:tcW w:w="1091" w:type="pct"/>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093F0030" w14:textId="18908A2C" w:rsidR="00804E16" w:rsidRPr="00386411" w:rsidRDefault="00804E16" w:rsidP="00AD467C">
            <w:pPr>
              <w:keepNext/>
              <w:spacing w:after="0" w:line="240" w:lineRule="auto"/>
              <w:rPr>
                <w:rFonts w:ascii="Arial Narrow" w:hAnsi="Arial Narrow" w:cs="Calibri"/>
                <w:b/>
                <w:sz w:val="20"/>
                <w:szCs w:val="20"/>
              </w:rPr>
            </w:pPr>
            <w:r w:rsidRPr="00386411">
              <w:rPr>
                <w:rFonts w:ascii="Arial Narrow" w:hAnsi="Arial Narrow" w:cs="Calibri"/>
                <w:b/>
                <w:sz w:val="20"/>
                <w:szCs w:val="20"/>
              </w:rPr>
              <w:t>Cohort studies</w:t>
            </w:r>
          </w:p>
        </w:tc>
        <w:tc>
          <w:tcPr>
            <w:tcW w:w="1394" w:type="pct"/>
            <w:tcBorders>
              <w:top w:val="single" w:sz="4" w:space="0" w:color="auto"/>
              <w:left w:val="single" w:sz="4" w:space="0" w:color="auto"/>
              <w:bottom w:val="single" w:sz="4" w:space="0" w:color="auto"/>
              <w:right w:val="single" w:sz="4" w:space="0" w:color="auto"/>
            </w:tcBorders>
            <w:shd w:val="clear" w:color="auto" w:fill="000000" w:themeFill="text1"/>
          </w:tcPr>
          <w:p w14:paraId="50F6E523" w14:textId="77777777" w:rsidR="00804E16" w:rsidRPr="00386411" w:rsidRDefault="00804E16" w:rsidP="00AD467C">
            <w:pPr>
              <w:keepNext/>
              <w:spacing w:after="0" w:line="240" w:lineRule="auto"/>
              <w:rPr>
                <w:rFonts w:ascii="Arial Narrow" w:hAnsi="Arial Narrow" w:cs="Calibri"/>
                <w:b/>
                <w:sz w:val="20"/>
                <w:szCs w:val="20"/>
              </w:rPr>
            </w:pPr>
          </w:p>
        </w:tc>
        <w:tc>
          <w:tcPr>
            <w:tcW w:w="1264" w:type="pct"/>
            <w:gridSpan w:val="2"/>
            <w:tcBorders>
              <w:top w:val="single" w:sz="4" w:space="0" w:color="auto"/>
              <w:left w:val="single" w:sz="4" w:space="0" w:color="auto"/>
              <w:bottom w:val="single" w:sz="4" w:space="0" w:color="auto"/>
              <w:right w:val="single" w:sz="4" w:space="0" w:color="auto"/>
            </w:tcBorders>
            <w:shd w:val="clear" w:color="auto" w:fill="000000" w:themeFill="text1"/>
            <w:noWrap/>
          </w:tcPr>
          <w:p w14:paraId="2AC1564B" w14:textId="77777777" w:rsidR="00804E16" w:rsidRPr="00386411" w:rsidRDefault="00804E16" w:rsidP="00AD467C">
            <w:pPr>
              <w:keepNext/>
              <w:spacing w:after="0" w:line="240" w:lineRule="auto"/>
              <w:rPr>
                <w:rFonts w:ascii="Arial Narrow" w:hAnsi="Arial Narrow"/>
                <w:b/>
                <w:sz w:val="20"/>
                <w:szCs w:val="20"/>
              </w:rPr>
            </w:pPr>
          </w:p>
        </w:tc>
        <w:tc>
          <w:tcPr>
            <w:tcW w:w="1251" w:type="pct"/>
            <w:tcBorders>
              <w:top w:val="single" w:sz="4" w:space="0" w:color="auto"/>
              <w:left w:val="single" w:sz="4" w:space="0" w:color="auto"/>
              <w:bottom w:val="single" w:sz="4" w:space="0" w:color="auto"/>
              <w:right w:val="single" w:sz="4" w:space="0" w:color="auto"/>
            </w:tcBorders>
            <w:shd w:val="clear" w:color="auto" w:fill="000000" w:themeFill="text1"/>
            <w:noWrap/>
          </w:tcPr>
          <w:p w14:paraId="56184845" w14:textId="77777777" w:rsidR="00804E16" w:rsidRPr="00386411" w:rsidRDefault="00804E16" w:rsidP="00AD467C">
            <w:pPr>
              <w:keepNext/>
              <w:spacing w:after="0" w:line="240" w:lineRule="auto"/>
              <w:rPr>
                <w:rFonts w:ascii="Arial Narrow" w:hAnsi="Arial Narrow"/>
                <w:b/>
                <w:sz w:val="20"/>
                <w:szCs w:val="20"/>
              </w:rPr>
            </w:pPr>
          </w:p>
        </w:tc>
      </w:tr>
      <w:tr w:rsidR="00804E16" w:rsidRPr="00386411" w14:paraId="467A448E" w14:textId="77777777" w:rsidTr="00B52A4F">
        <w:tc>
          <w:tcPr>
            <w:tcW w:w="10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13745E" w14:textId="77777777" w:rsidR="00804E16" w:rsidRPr="00386411" w:rsidRDefault="00804E16" w:rsidP="00AD467C">
            <w:pPr>
              <w:spacing w:after="0" w:line="240" w:lineRule="auto"/>
              <w:rPr>
                <w:rFonts w:ascii="Arial Narrow" w:hAnsi="Arial Narrow" w:cs="Calibri"/>
                <w:b/>
                <w:color w:val="000000"/>
                <w:sz w:val="20"/>
                <w:szCs w:val="20"/>
              </w:rPr>
            </w:pPr>
            <w:r w:rsidRPr="00386411">
              <w:rPr>
                <w:rFonts w:ascii="Arial Narrow" w:hAnsi="Arial Narrow"/>
                <w:b/>
                <w:sz w:val="20"/>
              </w:rPr>
              <w:t>Van Winkle et al., 2018</w:t>
            </w:r>
          </w:p>
        </w:tc>
        <w:tc>
          <w:tcPr>
            <w:tcW w:w="140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63E66E" w14:textId="1911058F" w:rsidR="00804E16" w:rsidRPr="00386411" w:rsidRDefault="00804E16" w:rsidP="00AD467C">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AEs</w:t>
            </w:r>
            <w:r w:rsidR="00763F47" w:rsidRPr="00386411">
              <w:rPr>
                <w:rFonts w:ascii="Arial Narrow" w:hAnsi="Arial Narrow" w:cs="Calibri"/>
                <w:b/>
                <w:color w:val="000000"/>
                <w:sz w:val="20"/>
                <w:szCs w:val="20"/>
              </w:rPr>
              <w:t xml:space="preserve"> (N=118)</w:t>
            </w:r>
          </w:p>
        </w:tc>
        <w:tc>
          <w:tcPr>
            <w:tcW w:w="1251" w:type="pct"/>
            <w:tcBorders>
              <w:top w:val="single" w:sz="4" w:space="0" w:color="auto"/>
              <w:left w:val="single" w:sz="4" w:space="0" w:color="auto"/>
              <w:bottom w:val="single" w:sz="4" w:space="0" w:color="auto"/>
              <w:right w:val="nil"/>
            </w:tcBorders>
            <w:shd w:val="clear" w:color="auto" w:fill="D9D9D9" w:themeFill="background1" w:themeFillShade="D9"/>
            <w:noWrap/>
          </w:tcPr>
          <w:p w14:paraId="768BF136" w14:textId="77777777" w:rsidR="00804E16" w:rsidRPr="00386411" w:rsidRDefault="00804E16" w:rsidP="00AD467C">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IVIg (n=36)</w:t>
            </w:r>
          </w:p>
        </w:tc>
        <w:tc>
          <w:tcPr>
            <w:tcW w:w="1251" w:type="pct"/>
            <w:tcBorders>
              <w:top w:val="single" w:sz="4" w:space="0" w:color="auto"/>
              <w:left w:val="nil"/>
              <w:bottom w:val="single" w:sz="4" w:space="0" w:color="auto"/>
              <w:right w:val="single" w:sz="4" w:space="0" w:color="auto"/>
            </w:tcBorders>
            <w:shd w:val="clear" w:color="auto" w:fill="D9D9D9" w:themeFill="background1" w:themeFillShade="D9"/>
            <w:noWrap/>
          </w:tcPr>
          <w:p w14:paraId="71B1A0FF" w14:textId="77777777" w:rsidR="00804E16" w:rsidRPr="00386411" w:rsidRDefault="00804E16" w:rsidP="00AD467C">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No IVIg (n=82)</w:t>
            </w:r>
          </w:p>
        </w:tc>
      </w:tr>
      <w:tr w:rsidR="00804E16" w:rsidRPr="007D0AA8" w14:paraId="16AF503F" w14:textId="77777777" w:rsidTr="009B0175">
        <w:tc>
          <w:tcPr>
            <w:tcW w:w="1091" w:type="pct"/>
            <w:tcBorders>
              <w:top w:val="single" w:sz="4" w:space="0" w:color="auto"/>
              <w:left w:val="single" w:sz="4" w:space="0" w:color="auto"/>
              <w:bottom w:val="nil"/>
              <w:right w:val="single" w:sz="4" w:space="0" w:color="auto"/>
            </w:tcBorders>
            <w:vAlign w:val="bottom"/>
          </w:tcPr>
          <w:p w14:paraId="5BA4E768" w14:textId="77777777" w:rsidR="00804E16" w:rsidRPr="007D0AA8" w:rsidRDefault="00804E16" w:rsidP="00AD467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ALL</w:t>
            </w:r>
          </w:p>
        </w:tc>
        <w:tc>
          <w:tcPr>
            <w:tcW w:w="1407" w:type="pct"/>
            <w:gridSpan w:val="2"/>
            <w:tcBorders>
              <w:top w:val="single" w:sz="4" w:space="0" w:color="auto"/>
              <w:left w:val="single" w:sz="4" w:space="0" w:color="auto"/>
              <w:bottom w:val="nil"/>
              <w:right w:val="single" w:sz="4" w:space="0" w:color="auto"/>
            </w:tcBorders>
          </w:tcPr>
          <w:p w14:paraId="604E693B" w14:textId="77777777" w:rsidR="00804E16" w:rsidRPr="007D0AA8" w:rsidRDefault="00804E16" w:rsidP="00AD467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Total infusions</w:t>
            </w:r>
          </w:p>
        </w:tc>
        <w:tc>
          <w:tcPr>
            <w:tcW w:w="1251" w:type="pct"/>
            <w:tcBorders>
              <w:top w:val="single" w:sz="4" w:space="0" w:color="auto"/>
              <w:left w:val="single" w:sz="4" w:space="0" w:color="auto"/>
              <w:bottom w:val="nil"/>
              <w:right w:val="nil"/>
            </w:tcBorders>
            <w:shd w:val="clear" w:color="auto" w:fill="auto"/>
            <w:noWrap/>
          </w:tcPr>
          <w:p w14:paraId="3B27DE37" w14:textId="77777777" w:rsidR="00804E16" w:rsidRPr="007D0AA8" w:rsidRDefault="00804E16" w:rsidP="00AD467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306</w:t>
            </w:r>
          </w:p>
        </w:tc>
        <w:tc>
          <w:tcPr>
            <w:tcW w:w="1251" w:type="pct"/>
            <w:tcBorders>
              <w:top w:val="single" w:sz="4" w:space="0" w:color="auto"/>
              <w:left w:val="nil"/>
              <w:bottom w:val="nil"/>
              <w:right w:val="single" w:sz="4" w:space="0" w:color="auto"/>
            </w:tcBorders>
            <w:shd w:val="clear" w:color="auto" w:fill="auto"/>
            <w:noWrap/>
            <w:vAlign w:val="bottom"/>
          </w:tcPr>
          <w:p w14:paraId="0384BF66" w14:textId="77777777" w:rsidR="00804E16" w:rsidRPr="007D0AA8" w:rsidRDefault="00804E16" w:rsidP="00AD467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804E16" w:rsidRPr="007D0AA8" w14:paraId="6CD1F4FF" w14:textId="77777777" w:rsidTr="009B0175">
        <w:tc>
          <w:tcPr>
            <w:tcW w:w="1091" w:type="pct"/>
            <w:tcBorders>
              <w:top w:val="nil"/>
              <w:left w:val="single" w:sz="4" w:space="0" w:color="auto"/>
              <w:bottom w:val="nil"/>
              <w:right w:val="single" w:sz="4" w:space="0" w:color="auto"/>
            </w:tcBorders>
            <w:vAlign w:val="bottom"/>
          </w:tcPr>
          <w:p w14:paraId="5EA65076" w14:textId="77777777" w:rsidR="00804E16" w:rsidRPr="007D0AA8" w:rsidRDefault="00804E16" w:rsidP="00AD467C">
            <w:pPr>
              <w:spacing w:after="0" w:line="240" w:lineRule="auto"/>
              <w:rPr>
                <w:rFonts w:ascii="Arial Narrow" w:hAnsi="Arial Narrow" w:cs="Calibri"/>
                <w:color w:val="000000"/>
                <w:sz w:val="20"/>
                <w:szCs w:val="20"/>
              </w:rPr>
            </w:pPr>
          </w:p>
        </w:tc>
        <w:tc>
          <w:tcPr>
            <w:tcW w:w="1407" w:type="pct"/>
            <w:gridSpan w:val="2"/>
            <w:tcBorders>
              <w:top w:val="nil"/>
              <w:left w:val="single" w:sz="4" w:space="0" w:color="auto"/>
              <w:bottom w:val="nil"/>
              <w:right w:val="single" w:sz="4" w:space="0" w:color="auto"/>
            </w:tcBorders>
          </w:tcPr>
          <w:p w14:paraId="2D6994F6" w14:textId="77777777" w:rsidR="00804E16" w:rsidRPr="007D0AA8" w:rsidRDefault="00804E16" w:rsidP="00AD467C">
            <w:pPr>
              <w:spacing w:after="0" w:line="240" w:lineRule="auto"/>
              <w:rPr>
                <w:rFonts w:ascii="Arial Narrow" w:hAnsi="Arial Narrow"/>
                <w:sz w:val="20"/>
              </w:rPr>
            </w:pPr>
            <w:r w:rsidRPr="007D0AA8">
              <w:rPr>
                <w:rFonts w:ascii="Arial Narrow" w:hAnsi="Arial Narrow"/>
                <w:sz w:val="20"/>
              </w:rPr>
              <w:t>Infusions with no AEs</w:t>
            </w:r>
          </w:p>
        </w:tc>
        <w:tc>
          <w:tcPr>
            <w:tcW w:w="1251" w:type="pct"/>
            <w:tcBorders>
              <w:top w:val="nil"/>
              <w:left w:val="single" w:sz="4" w:space="0" w:color="auto"/>
              <w:bottom w:val="nil"/>
              <w:right w:val="nil"/>
            </w:tcBorders>
            <w:shd w:val="clear" w:color="auto" w:fill="auto"/>
            <w:noWrap/>
          </w:tcPr>
          <w:p w14:paraId="46846FE4" w14:textId="77777777" w:rsidR="00804E16" w:rsidRPr="007D0AA8" w:rsidRDefault="00804E16" w:rsidP="00AD467C">
            <w:pPr>
              <w:spacing w:after="0" w:line="240" w:lineRule="auto"/>
              <w:rPr>
                <w:rFonts w:ascii="Arial Narrow" w:hAnsi="Arial Narrow"/>
                <w:sz w:val="20"/>
              </w:rPr>
            </w:pPr>
            <w:r w:rsidRPr="007D0AA8">
              <w:rPr>
                <w:rFonts w:ascii="Arial Narrow" w:hAnsi="Arial Narrow"/>
                <w:sz w:val="20"/>
              </w:rPr>
              <w:t>296 (96.8%)</w:t>
            </w:r>
          </w:p>
        </w:tc>
        <w:tc>
          <w:tcPr>
            <w:tcW w:w="1251" w:type="pct"/>
            <w:tcBorders>
              <w:top w:val="nil"/>
              <w:left w:val="nil"/>
              <w:bottom w:val="nil"/>
              <w:right w:val="single" w:sz="4" w:space="0" w:color="auto"/>
            </w:tcBorders>
            <w:shd w:val="clear" w:color="auto" w:fill="auto"/>
            <w:noWrap/>
            <w:vAlign w:val="bottom"/>
          </w:tcPr>
          <w:p w14:paraId="61C56574" w14:textId="77777777" w:rsidR="00804E16" w:rsidRPr="007D0AA8" w:rsidRDefault="00804E16" w:rsidP="00AD467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n.r.</w:t>
            </w:r>
          </w:p>
        </w:tc>
      </w:tr>
      <w:tr w:rsidR="00804E16" w:rsidRPr="007D0AA8" w14:paraId="5960F4A4" w14:textId="77777777" w:rsidTr="009B0175">
        <w:tc>
          <w:tcPr>
            <w:tcW w:w="1091" w:type="pct"/>
            <w:tcBorders>
              <w:top w:val="nil"/>
              <w:left w:val="single" w:sz="4" w:space="0" w:color="auto"/>
              <w:bottom w:val="single" w:sz="4" w:space="0" w:color="auto"/>
              <w:right w:val="single" w:sz="4" w:space="0" w:color="auto"/>
            </w:tcBorders>
            <w:vAlign w:val="bottom"/>
          </w:tcPr>
          <w:p w14:paraId="4DB0BD04" w14:textId="77777777" w:rsidR="00804E16" w:rsidRPr="007D0AA8" w:rsidRDefault="00804E16" w:rsidP="00AD467C">
            <w:pPr>
              <w:spacing w:after="0" w:line="240" w:lineRule="auto"/>
              <w:rPr>
                <w:rFonts w:ascii="Arial Narrow" w:hAnsi="Arial Narrow" w:cs="Calibri"/>
                <w:color w:val="000000"/>
                <w:sz w:val="20"/>
                <w:szCs w:val="20"/>
              </w:rPr>
            </w:pPr>
          </w:p>
        </w:tc>
        <w:tc>
          <w:tcPr>
            <w:tcW w:w="1407" w:type="pct"/>
            <w:gridSpan w:val="2"/>
            <w:tcBorders>
              <w:top w:val="nil"/>
              <w:left w:val="single" w:sz="4" w:space="0" w:color="auto"/>
              <w:bottom w:val="single" w:sz="4" w:space="0" w:color="auto"/>
              <w:right w:val="single" w:sz="4" w:space="0" w:color="auto"/>
            </w:tcBorders>
          </w:tcPr>
          <w:p w14:paraId="10502F54" w14:textId="69E77307" w:rsidR="00804E16" w:rsidRPr="007D0AA8" w:rsidRDefault="00804E16" w:rsidP="002E612A">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 xml:space="preserve">Patients with AEs, </w:t>
            </w:r>
            <w:r w:rsidR="002E612A" w:rsidRPr="007D0AA8">
              <w:rPr>
                <w:rFonts w:ascii="Arial Narrow" w:hAnsi="Arial Narrow" w:cs="Calibri"/>
                <w:color w:val="000000"/>
                <w:sz w:val="20"/>
                <w:szCs w:val="20"/>
              </w:rPr>
              <w:t>n</w:t>
            </w:r>
            <w:r w:rsidRPr="007D0AA8">
              <w:rPr>
                <w:rFonts w:ascii="Arial Narrow" w:hAnsi="Arial Narrow" w:cs="Calibri"/>
                <w:color w:val="000000"/>
                <w:sz w:val="20"/>
                <w:szCs w:val="20"/>
              </w:rPr>
              <w:t>/N (%) (1 Grade 3 event; none &gt;Grade 3)(AEs were fever, nausea/</w:t>
            </w:r>
            <w:r w:rsidR="00D55174" w:rsidRPr="007D0AA8">
              <w:rPr>
                <w:rFonts w:ascii="Arial Narrow" w:hAnsi="Arial Narrow" w:cs="Calibri"/>
                <w:color w:val="000000"/>
                <w:sz w:val="20"/>
                <w:szCs w:val="20"/>
              </w:rPr>
              <w:t xml:space="preserve"> </w:t>
            </w:r>
            <w:r w:rsidRPr="007D0AA8">
              <w:rPr>
                <w:rFonts w:ascii="Arial Narrow" w:hAnsi="Arial Narrow" w:cs="Calibri"/>
                <w:color w:val="000000"/>
                <w:sz w:val="20"/>
                <w:szCs w:val="20"/>
              </w:rPr>
              <w:t>vomiting, headache or chills).</w:t>
            </w:r>
          </w:p>
        </w:tc>
        <w:tc>
          <w:tcPr>
            <w:tcW w:w="1251" w:type="pct"/>
            <w:tcBorders>
              <w:top w:val="nil"/>
              <w:left w:val="single" w:sz="4" w:space="0" w:color="auto"/>
              <w:bottom w:val="single" w:sz="4" w:space="0" w:color="auto"/>
              <w:right w:val="nil"/>
            </w:tcBorders>
            <w:shd w:val="clear" w:color="auto" w:fill="auto"/>
            <w:noWrap/>
          </w:tcPr>
          <w:p w14:paraId="6F345A11" w14:textId="77777777" w:rsidR="00804E16" w:rsidRPr="007D0AA8" w:rsidRDefault="00804E16" w:rsidP="00AD467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10/36 (27.8%)</w:t>
            </w:r>
          </w:p>
        </w:tc>
        <w:tc>
          <w:tcPr>
            <w:tcW w:w="1251" w:type="pct"/>
            <w:tcBorders>
              <w:top w:val="nil"/>
              <w:left w:val="nil"/>
              <w:bottom w:val="single" w:sz="4" w:space="0" w:color="auto"/>
              <w:right w:val="single" w:sz="4" w:space="0" w:color="auto"/>
            </w:tcBorders>
            <w:shd w:val="clear" w:color="auto" w:fill="auto"/>
            <w:noWrap/>
            <w:vAlign w:val="bottom"/>
          </w:tcPr>
          <w:p w14:paraId="467032FD" w14:textId="77777777" w:rsidR="00804E16" w:rsidRPr="007D0AA8" w:rsidRDefault="00804E16" w:rsidP="00AD467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n.r.</w:t>
            </w:r>
          </w:p>
        </w:tc>
      </w:tr>
    </w:tbl>
    <w:p w14:paraId="125B54AD" w14:textId="369B9B28" w:rsidR="004A221A" w:rsidRPr="007D0AA8" w:rsidRDefault="004A221A" w:rsidP="004A221A">
      <w:pPr>
        <w:spacing w:after="0" w:line="240" w:lineRule="auto"/>
        <w:rPr>
          <w:rFonts w:ascii="Arial Narrow" w:hAnsi="Arial Narrow"/>
          <w:sz w:val="18"/>
        </w:rPr>
      </w:pPr>
      <w:r w:rsidRPr="007D0AA8">
        <w:rPr>
          <w:rFonts w:ascii="Arial Narrow" w:hAnsi="Arial Narrow"/>
          <w:sz w:val="18"/>
        </w:rPr>
        <w:t xml:space="preserve">*Notes: </w:t>
      </w:r>
      <w:r w:rsidRPr="007D0AA8">
        <w:rPr>
          <w:rFonts w:ascii="Arial Narrow" w:hAnsi="Arial Narrow"/>
          <w:sz w:val="18"/>
          <w:u w:val="single"/>
        </w:rPr>
        <w:t xml:space="preserve">Chapel </w:t>
      </w:r>
      <w:r w:rsidR="00730B34" w:rsidRPr="007D0AA8">
        <w:rPr>
          <w:rFonts w:ascii="Arial Narrow" w:hAnsi="Arial Narrow"/>
          <w:sz w:val="18"/>
          <w:u w:val="single"/>
        </w:rPr>
        <w:t xml:space="preserve">et al., </w:t>
      </w:r>
      <w:r w:rsidRPr="007D0AA8">
        <w:rPr>
          <w:rFonts w:ascii="Arial Narrow" w:hAnsi="Arial Narrow"/>
          <w:sz w:val="18"/>
          <w:u w:val="single"/>
        </w:rPr>
        <w:t>1994</w:t>
      </w:r>
      <w:r w:rsidRPr="007D0AA8">
        <w:rPr>
          <w:rFonts w:ascii="Arial Narrow" w:hAnsi="Arial Narrow"/>
          <w:sz w:val="18"/>
        </w:rPr>
        <w:t xml:space="preserve"> – placebo AE totals reported by the authors do not match mild and moderate AE totals.</w:t>
      </w:r>
      <w:r w:rsidR="00C0679B" w:rsidRPr="007D0AA8">
        <w:rPr>
          <w:rFonts w:ascii="Arial Narrow" w:hAnsi="Arial Narrow"/>
          <w:sz w:val="18"/>
        </w:rPr>
        <w:t xml:space="preserve"> *Other patient withdrawals: IVIg - 1 cardiac amyloid</w:t>
      </w:r>
      <w:r w:rsidR="009239FE" w:rsidRPr="007D0AA8">
        <w:rPr>
          <w:rFonts w:ascii="Arial Narrow" w:hAnsi="Arial Narrow"/>
          <w:sz w:val="18"/>
        </w:rPr>
        <w:t>osis death</w:t>
      </w:r>
      <w:r w:rsidR="00C0679B" w:rsidRPr="007D0AA8">
        <w:rPr>
          <w:rFonts w:ascii="Arial Narrow" w:hAnsi="Arial Narrow"/>
          <w:sz w:val="18"/>
        </w:rPr>
        <w:t>. Placebo - 1 unrelated cardiac death, 1 moved away.</w:t>
      </w:r>
      <w:r w:rsidR="00F75ABD" w:rsidRPr="007D0AA8">
        <w:rPr>
          <w:rFonts w:ascii="Arial Narrow" w:hAnsi="Arial Narrow"/>
          <w:sz w:val="18"/>
        </w:rPr>
        <w:t xml:space="preserve"> </w:t>
      </w:r>
      <w:r w:rsidR="004A6D4F" w:rsidRPr="007D0AA8">
        <w:rPr>
          <w:rFonts w:ascii="Arial Narrow" w:hAnsi="Arial Narrow"/>
          <w:sz w:val="18"/>
          <w:u w:val="single"/>
        </w:rPr>
        <w:t>Kobayashi et al., 2014</w:t>
      </w:r>
      <w:r w:rsidR="004A6D4F" w:rsidRPr="007D0AA8">
        <w:rPr>
          <w:rFonts w:ascii="Arial Narrow" w:hAnsi="Arial Narrow"/>
          <w:sz w:val="18"/>
        </w:rPr>
        <w:t xml:space="preserve"> – patient numbers not reported for the two groups, only episodes of febrile neutropenia; all instances of liver dysfunction were in patients receiving the higher 120mg/kg/day MEPM dose; liver dysfunction was Grade 2 in 5 patients and Grade 3 in 1 patient. </w:t>
      </w:r>
      <w:r w:rsidR="00767BEA" w:rsidRPr="007D0AA8">
        <w:rPr>
          <w:rFonts w:ascii="Arial Narrow" w:hAnsi="Arial Narrow"/>
          <w:sz w:val="18"/>
          <w:u w:val="single"/>
        </w:rPr>
        <w:t>Molica et al. 1996</w:t>
      </w:r>
      <w:r w:rsidR="00767BEA" w:rsidRPr="007D0AA8">
        <w:rPr>
          <w:rFonts w:ascii="Arial Narrow" w:hAnsi="Arial Narrow"/>
          <w:sz w:val="18"/>
        </w:rPr>
        <w:t xml:space="preserve"> – no AEs described other than </w:t>
      </w:r>
      <w:r w:rsidR="00154ECF" w:rsidRPr="007D0AA8">
        <w:rPr>
          <w:rFonts w:ascii="Arial Narrow" w:hAnsi="Arial Narrow"/>
          <w:sz w:val="18"/>
        </w:rPr>
        <w:t xml:space="preserve">representative AEs in </w:t>
      </w:r>
      <w:r w:rsidR="00767BEA" w:rsidRPr="007D0AA8">
        <w:rPr>
          <w:rFonts w:ascii="Arial Narrow" w:hAnsi="Arial Narrow"/>
          <w:sz w:val="18"/>
        </w:rPr>
        <w:t>these withdrawing patients.</w:t>
      </w:r>
      <w:r w:rsidR="00B439BC" w:rsidRPr="007D0AA8">
        <w:rPr>
          <w:rFonts w:ascii="Arial Narrow" w:hAnsi="Arial Narrow"/>
          <w:sz w:val="18"/>
        </w:rPr>
        <w:t xml:space="preserve"> </w:t>
      </w:r>
      <w:r w:rsidR="00B439BC" w:rsidRPr="007D0AA8">
        <w:rPr>
          <w:rFonts w:ascii="Arial Narrow" w:hAnsi="Arial Narrow"/>
          <w:sz w:val="18"/>
          <w:u w:val="single"/>
        </w:rPr>
        <w:t>Sullivan et al., 1990</w:t>
      </w:r>
      <w:r w:rsidR="00B439BC" w:rsidRPr="007D0AA8">
        <w:rPr>
          <w:rFonts w:ascii="Arial Narrow" w:hAnsi="Arial Narrow"/>
          <w:sz w:val="18"/>
        </w:rPr>
        <w:t xml:space="preserve"> &amp; </w:t>
      </w:r>
      <w:r w:rsidR="00B439BC" w:rsidRPr="007D0AA8">
        <w:rPr>
          <w:rFonts w:ascii="Arial Narrow" w:hAnsi="Arial Narrow"/>
          <w:sz w:val="18"/>
          <w:u w:val="single"/>
        </w:rPr>
        <w:t>Van Winkle et al., 2018</w:t>
      </w:r>
      <w:r w:rsidR="00B439BC" w:rsidRPr="007D0AA8">
        <w:rPr>
          <w:rFonts w:ascii="Arial Narrow" w:hAnsi="Arial Narrow"/>
          <w:sz w:val="18"/>
        </w:rPr>
        <w:t xml:space="preserve"> – in both studies, ‘No IVIg’ patients were untreated and received no placebo injection.</w:t>
      </w:r>
    </w:p>
    <w:p w14:paraId="39DD6994" w14:textId="6F34C821" w:rsidR="00B42022" w:rsidRPr="007D0AA8" w:rsidRDefault="00E8580A" w:rsidP="005570ED">
      <w:pPr>
        <w:spacing w:after="0" w:line="240" w:lineRule="auto"/>
        <w:rPr>
          <w:rFonts w:ascii="Arial Narrow" w:hAnsi="Arial Narrow"/>
          <w:sz w:val="18"/>
        </w:rPr>
      </w:pPr>
      <w:r w:rsidRPr="007D0AA8">
        <w:rPr>
          <w:rFonts w:ascii="Arial Narrow" w:hAnsi="Arial Narrow"/>
          <w:sz w:val="18"/>
        </w:rPr>
        <w:t>AEs=adverse events;</w:t>
      </w:r>
      <w:r w:rsidR="003735E3" w:rsidRPr="007D0AA8">
        <w:rPr>
          <w:rFonts w:ascii="Arial Narrow" w:hAnsi="Arial Narrow"/>
          <w:sz w:val="18"/>
        </w:rPr>
        <w:t xml:space="preserve"> </w:t>
      </w:r>
      <w:r w:rsidR="00F61D54" w:rsidRPr="007D0AA8">
        <w:rPr>
          <w:rFonts w:ascii="Arial Narrow" w:hAnsi="Arial Narrow"/>
          <w:sz w:val="18"/>
        </w:rPr>
        <w:t xml:space="preserve">ALL=acute lymphoblastic leukaemia; AML=acute myeloid leukaemia; </w:t>
      </w:r>
      <w:r w:rsidR="003735E3" w:rsidRPr="007D0AA8">
        <w:rPr>
          <w:rFonts w:ascii="Arial Narrow" w:hAnsi="Arial Narrow"/>
          <w:sz w:val="18"/>
        </w:rPr>
        <w:t>BMT=bone marrow transplant;</w:t>
      </w:r>
      <w:r w:rsidRPr="007D0AA8">
        <w:rPr>
          <w:rFonts w:ascii="Arial Narrow" w:hAnsi="Arial Narrow"/>
          <w:sz w:val="18"/>
        </w:rPr>
        <w:t xml:space="preserve"> CLL=chronic lymphocytic leukaemia</w:t>
      </w:r>
      <w:r w:rsidR="00D55174" w:rsidRPr="007D0AA8">
        <w:rPr>
          <w:rFonts w:ascii="Arial Narrow" w:hAnsi="Arial Narrow"/>
          <w:sz w:val="18"/>
        </w:rPr>
        <w:t>;</w:t>
      </w:r>
      <w:r w:rsidR="00D73991" w:rsidRPr="007D0AA8">
        <w:rPr>
          <w:rFonts w:ascii="Arial Narrow" w:hAnsi="Arial Narrow"/>
          <w:sz w:val="18"/>
        </w:rPr>
        <w:t xml:space="preserve"> </w:t>
      </w:r>
      <w:r w:rsidRPr="007D0AA8">
        <w:rPr>
          <w:rFonts w:ascii="Arial Narrow" w:hAnsi="Arial Narrow"/>
          <w:sz w:val="18"/>
        </w:rPr>
        <w:t xml:space="preserve">IVIg=intravenous immunoglobulin; </w:t>
      </w:r>
      <w:r w:rsidR="00804E16" w:rsidRPr="007D0AA8">
        <w:rPr>
          <w:rFonts w:ascii="Arial Narrow" w:hAnsi="Arial Narrow"/>
          <w:sz w:val="18"/>
        </w:rPr>
        <w:t>MEPM=</w:t>
      </w:r>
      <w:r w:rsidR="004A6D4F" w:rsidRPr="007D0AA8">
        <w:rPr>
          <w:rFonts w:ascii="Arial Narrow" w:hAnsi="Arial Narrow"/>
          <w:sz w:val="18"/>
        </w:rPr>
        <w:t xml:space="preserve">meropenem; </w:t>
      </w:r>
      <w:r w:rsidRPr="007D0AA8">
        <w:rPr>
          <w:rFonts w:ascii="Arial Narrow" w:hAnsi="Arial Narrow"/>
          <w:sz w:val="18"/>
        </w:rPr>
        <w:t>MM=multiple myeloma</w:t>
      </w:r>
      <w:r w:rsidR="002E612A" w:rsidRPr="007D0AA8">
        <w:rPr>
          <w:rFonts w:ascii="Arial Narrow" w:hAnsi="Arial Narrow"/>
          <w:sz w:val="18"/>
        </w:rPr>
        <w:t>; mo=month</w:t>
      </w:r>
      <w:r w:rsidR="003735E3" w:rsidRPr="007D0AA8">
        <w:rPr>
          <w:rFonts w:ascii="Arial Narrow" w:hAnsi="Arial Narrow"/>
          <w:sz w:val="18"/>
        </w:rPr>
        <w:t>.</w:t>
      </w:r>
    </w:p>
    <w:p w14:paraId="56C51795" w14:textId="77777777" w:rsidR="00804E16" w:rsidRPr="007D0AA8" w:rsidRDefault="00804E16" w:rsidP="005570ED">
      <w:pPr>
        <w:spacing w:after="0" w:line="240" w:lineRule="auto"/>
        <w:rPr>
          <w:rFonts w:ascii="Arial Narrow" w:hAnsi="Arial Narrow"/>
          <w:sz w:val="18"/>
        </w:rPr>
      </w:pPr>
    </w:p>
    <w:p w14:paraId="45B298CA" w14:textId="7DDF435D" w:rsidR="00002A42" w:rsidRDefault="00002A42" w:rsidP="003C0114">
      <w:r>
        <w:t xml:space="preserve">Of the RCTS, only two reported AEs for both IgG and No IgG arms. Both investigated IVIg versus a sham injection.  </w:t>
      </w:r>
    </w:p>
    <w:p w14:paraId="68D2CA56" w14:textId="351164DB" w:rsidR="003A062E" w:rsidRPr="007D0AA8" w:rsidRDefault="00002A42" w:rsidP="003C0114">
      <w:r>
        <w:t>One, a</w:t>
      </w:r>
      <w:r w:rsidR="00DF00D5">
        <w:t xml:space="preserve"> 1995 study </w:t>
      </w:r>
      <w:r>
        <w:t>in 42 CLL patients in</w:t>
      </w:r>
      <w:r w:rsidR="00DF00D5">
        <w:t xml:space="preserve"> the UK</w:t>
      </w:r>
      <w:r w:rsidR="003A062E" w:rsidRPr="007D0AA8">
        <w:t xml:space="preserve"> </w:t>
      </w:r>
      <w:r w:rsidR="00415ABC" w:rsidRPr="007D0AA8">
        <w:fldChar w:fldCharType="begin">
          <w:fldData xml:space="preserve">PEVuZE5vdGU+PENpdGU+PEF1dGhvcj5Cb3VnaHRvbjwvQXV0aG9yPjxZZWFyPjE5OTU8L1llYXI+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=
</w:fldData>
        </w:fldChar>
      </w:r>
      <w:r w:rsidR="00415ABC" w:rsidRPr="007D0AA8">
        <w:instrText xml:space="preserve"> ADDIN EN.CITE </w:instrText>
      </w:r>
      <w:r w:rsidR="00415ABC" w:rsidRPr="007D0AA8">
        <w:fldChar w:fldCharType="begin">
          <w:fldData xml:space="preserve">PEVuZE5vdGU+PENpdGU+PEF1dGhvcj5Cb3VnaHRvbjwvQXV0aG9yPjxZZWFyPjE5OTU8L1llYXI+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=
</w:fldData>
        </w:fldChar>
      </w:r>
      <w:r w:rsidR="00415ABC" w:rsidRPr="007D0AA8">
        <w:instrText xml:space="preserve"> ADDIN EN.CITE.DATA </w:instrText>
      </w:r>
      <w:r w:rsidR="00415ABC" w:rsidRPr="007D0AA8">
        <w:fldChar w:fldCharType="end"/>
      </w:r>
      <w:r w:rsidR="00415ABC" w:rsidRPr="007D0AA8">
        <w:fldChar w:fldCharType="separate"/>
      </w:r>
      <w:r w:rsidR="00415ABC" w:rsidRPr="007D0AA8">
        <w:rPr>
          <w:noProof/>
        </w:rPr>
        <w:t>(</w:t>
      </w:r>
      <w:hyperlink w:anchor="_ENREF_7" w:tooltip="Boughton, 1995 #40" w:history="1">
        <w:r w:rsidR="00BB0145" w:rsidRPr="007D0AA8">
          <w:rPr>
            <w:noProof/>
          </w:rPr>
          <w:t>Boughton et al. 1995</w:t>
        </w:r>
      </w:hyperlink>
      <w:r w:rsidR="00415ABC" w:rsidRPr="007D0AA8">
        <w:rPr>
          <w:noProof/>
        </w:rPr>
        <w:t>)</w:t>
      </w:r>
      <w:r w:rsidR="00415ABC" w:rsidRPr="007D0AA8">
        <w:fldChar w:fldCharType="end"/>
      </w:r>
      <w:r w:rsidR="003A062E" w:rsidRPr="007D0AA8">
        <w:t xml:space="preserve"> reported that AEs were mostly mild, although one patient withdrew due to a ‘tolerance conce</w:t>
      </w:r>
      <w:r w:rsidR="00BF1E9F" w:rsidRPr="007D0AA8">
        <w:t>rn’ (infusion-related pyrexia).</w:t>
      </w:r>
      <w:r w:rsidR="009255EC" w:rsidRPr="007D0AA8">
        <w:t xml:space="preserve"> </w:t>
      </w:r>
      <w:r w:rsidR="003A062E" w:rsidRPr="007D0AA8">
        <w:t>Three patients died in the s</w:t>
      </w:r>
      <w:r w:rsidR="00DF00D5">
        <w:t>tudy due to disease progression</w:t>
      </w:r>
      <w:r w:rsidR="00BF1E9F" w:rsidRPr="007D0AA8">
        <w:t xml:space="preserve">. AEs were higher in the IVIg group than the placebo which was an albumin sham injection (still associated with a low rate of AEs). No serious AEs were reported. </w:t>
      </w:r>
    </w:p>
    <w:p w14:paraId="34840B56" w14:textId="45354F5C" w:rsidR="003D20FC" w:rsidRPr="007D0AA8" w:rsidRDefault="00002A42" w:rsidP="003A062E">
      <w:r w:rsidRPr="00002A42">
        <w:lastRenderedPageBreak/>
        <w:t>T</w:t>
      </w:r>
      <w:r>
        <w:t>he second study was</w:t>
      </w:r>
      <w:r w:rsidRPr="00002A42">
        <w:t xml:space="preserve"> in 83 MM patients also in the UK </w:t>
      </w:r>
      <w:r w:rsidRPr="00002A42">
        <w:fldChar w:fldCharType="begin">
          <w:fldData xml:space="preserve">PEVuZE5vdGU+PENpdGU+PEF1dGhvcj5DaGFwZWw8L0F1dGhvcj48WWVhcj4xOTk0PC9ZZWFyPjxS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=
</w:fldData>
        </w:fldChar>
      </w:r>
      <w:r w:rsidRPr="00002A42">
        <w:instrText xml:space="preserve"> ADDIN EN.CITE </w:instrText>
      </w:r>
      <w:r w:rsidRPr="00002A42">
        <w:fldChar w:fldCharType="begin">
          <w:fldData xml:space="preserve">PEVuZE5vdGU+PENpdGU+PEF1dGhvcj5DaGFwZWw8L0F1dGhvcj48WWVhcj4xOTk0PC9ZZWFyPjxS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=
</w:fldData>
        </w:fldChar>
      </w:r>
      <w:r w:rsidRPr="00002A42">
        <w:instrText xml:space="preserve"> ADDIN EN.CITE.DATA </w:instrText>
      </w:r>
      <w:r w:rsidRPr="00002A42">
        <w:fldChar w:fldCharType="end"/>
      </w:r>
      <w:r w:rsidRPr="00002A42">
        <w:fldChar w:fldCharType="separate"/>
      </w:r>
      <w:r w:rsidRPr="00002A42">
        <w:rPr>
          <w:noProof/>
        </w:rPr>
        <w:t>(</w:t>
      </w:r>
      <w:hyperlink w:anchor="_ENREF_13" w:tooltip="Chapel, 1994 #56" w:history="1">
        <w:r w:rsidR="00BB0145" w:rsidRPr="00002A42">
          <w:rPr>
            <w:noProof/>
          </w:rPr>
          <w:t>Chapel et al. 1994b</w:t>
        </w:r>
      </w:hyperlink>
      <w:r w:rsidRPr="00002A42">
        <w:rPr>
          <w:noProof/>
        </w:rPr>
        <w:t>)</w:t>
      </w:r>
      <w:r w:rsidRPr="00002A42">
        <w:fldChar w:fldCharType="end"/>
      </w:r>
      <w:r w:rsidRPr="00002A42">
        <w:t xml:space="preserve">. </w:t>
      </w:r>
      <w:r w:rsidR="003D20FC" w:rsidRPr="007D0AA8">
        <w:t xml:space="preserve">The albumin placebo recipients experienced 5% AEs compared to the IVIg group who had a 12% rate of AEs. AEs were generally mild though where patients experience reactions, these tended to recur. One IVIg patient had nine reactions in 13 infusions; similarly, one placebo patient had seven reactions in 13 infusions. </w:t>
      </w:r>
      <w:r w:rsidRPr="007D0AA8">
        <w:t xml:space="preserve">Moderate reactions (in two patients with IVIg and one receiving albumin placebo) were managed with dose rate adjustment and hydrocortisone. </w:t>
      </w:r>
      <w:r w:rsidRPr="00002A42">
        <w:t xml:space="preserve">Three IVIg patients in the </w:t>
      </w:r>
      <w:r w:rsidRPr="007D0AA8">
        <w:t xml:space="preserve">study withdrew due to recurrent infusion reactions (although tabulated figures suggest it was only two patients). This did not include one further IVIg patient who did not complete the first infusion, due to a moderate reaction which led to their immediate withdrawal. </w:t>
      </w:r>
    </w:p>
    <w:p w14:paraId="787C42A6" w14:textId="50522609" w:rsidR="00535FCB" w:rsidRPr="007D0AA8" w:rsidRDefault="00F34FEF" w:rsidP="003A062E">
      <w:r w:rsidRPr="00002A42">
        <w:t>Two patients</w:t>
      </w:r>
      <w:r w:rsidR="003D20FC" w:rsidRPr="00002A42">
        <w:t xml:space="preserve"> in</w:t>
      </w:r>
      <w:r w:rsidR="00002A42" w:rsidRPr="00002A42">
        <w:t xml:space="preserve"> the Chapel et al</w:t>
      </w:r>
      <w:r w:rsidR="003D20FC" w:rsidRPr="00002A42">
        <w:t xml:space="preserve"> </w:t>
      </w:r>
      <w:r w:rsidR="00002A42" w:rsidRPr="00002A42">
        <w:t>study</w:t>
      </w:r>
      <w:r w:rsidRPr="00002A42">
        <w:t xml:space="preserve"> </w:t>
      </w:r>
      <w:r w:rsidR="00535FCB" w:rsidRPr="00002A42">
        <w:t>developed renal failure and were found</w:t>
      </w:r>
      <w:r w:rsidR="00AC7947" w:rsidRPr="00002A42">
        <w:t xml:space="preserve"> on emergency</w:t>
      </w:r>
      <w:r w:rsidR="00AC7947" w:rsidRPr="007D0AA8">
        <w:t xml:space="preserve"> unblinding</w:t>
      </w:r>
      <w:r w:rsidR="00535FCB" w:rsidRPr="007D0AA8">
        <w:t xml:space="preserve"> to be in the IVIg group, resulting in </w:t>
      </w:r>
      <w:r w:rsidR="00AC7947" w:rsidRPr="007D0AA8">
        <w:t>the study being on</w:t>
      </w:r>
      <w:r w:rsidR="00535FCB" w:rsidRPr="007D0AA8">
        <w:t xml:space="preserve"> </w:t>
      </w:r>
      <w:r w:rsidR="00AC7947" w:rsidRPr="007D0AA8">
        <w:t>clinical hold for 3 weeks. The study resumed after</w:t>
      </w:r>
      <w:r w:rsidR="009E3214" w:rsidRPr="007D0AA8">
        <w:t xml:space="preserve"> both cases of</w:t>
      </w:r>
      <w:r w:rsidR="00AC7947" w:rsidRPr="007D0AA8">
        <w:t xml:space="preserve"> renal failure </w:t>
      </w:r>
      <w:r w:rsidR="009E3214" w:rsidRPr="007D0AA8">
        <w:t>were</w:t>
      </w:r>
      <w:r w:rsidR="00AC7947" w:rsidRPr="007D0AA8">
        <w:t xml:space="preserve"> considered to have been caused in one patient by light chain disease and</w:t>
      </w:r>
      <w:r w:rsidR="009E3214" w:rsidRPr="007D0AA8">
        <w:t>,</w:t>
      </w:r>
      <w:r w:rsidR="00AC7947" w:rsidRPr="007D0AA8">
        <w:t xml:space="preserve"> </w:t>
      </w:r>
      <w:r w:rsidR="009E3214" w:rsidRPr="007D0AA8">
        <w:t xml:space="preserve">in </w:t>
      </w:r>
      <w:r w:rsidR="00AC7947" w:rsidRPr="007D0AA8">
        <w:t>the second</w:t>
      </w:r>
      <w:r w:rsidR="009E3214" w:rsidRPr="007D0AA8">
        <w:t>,</w:t>
      </w:r>
      <w:r w:rsidR="00AC7947" w:rsidRPr="007D0AA8">
        <w:t xml:space="preserve"> </w:t>
      </w:r>
      <w:r w:rsidR="009E3214" w:rsidRPr="007D0AA8">
        <w:t>by septicaemia</w:t>
      </w:r>
      <w:r w:rsidR="00AC7947" w:rsidRPr="007D0AA8">
        <w:t xml:space="preserve"> complicated by pre-existing (undetected) renal insufficiency. Serum creatinine was monitored prior to all remaining infusions</w:t>
      </w:r>
      <w:r w:rsidR="003D20FC" w:rsidRPr="007D0AA8">
        <w:t xml:space="preserve"> (in addition to monitoring in patients with existing renal impairment), however found no change greater than 20</w:t>
      </w:r>
      <w:r w:rsidR="006F6384">
        <w:t> </w:t>
      </w:r>
      <w:r w:rsidR="003D20FC" w:rsidRPr="007D0AA8">
        <w:rPr>
          <w:rFonts w:cs="Calibri"/>
        </w:rPr>
        <w:t>μ</w:t>
      </w:r>
      <w:r w:rsidR="003D20FC" w:rsidRPr="007D0AA8">
        <w:t xml:space="preserve">mol/L during the study period (data not shown).  </w:t>
      </w:r>
    </w:p>
    <w:p w14:paraId="200D2353" w14:textId="2739DF4B" w:rsidR="00C45731" w:rsidRPr="007D0AA8" w:rsidRDefault="00002A42" w:rsidP="003C0114">
      <w:r>
        <w:t>The remaining RCTs reported variable amounts of safety data. One</w:t>
      </w:r>
      <w:r w:rsidR="00EF56FE" w:rsidRPr="007D0AA8">
        <w:t xml:space="preserve"> investigated</w:t>
      </w:r>
      <w:r w:rsidR="00C45731" w:rsidRPr="007D0AA8">
        <w:t xml:space="preserve"> IgG in combination with </w:t>
      </w:r>
      <w:r w:rsidR="00EF56FE" w:rsidRPr="007D0AA8">
        <w:t xml:space="preserve">an antibiotic (meropenem) in </w:t>
      </w:r>
      <w:r>
        <w:t>Japanese children</w:t>
      </w:r>
      <w:r w:rsidR="00EF56FE" w:rsidRPr="007D0AA8">
        <w:t xml:space="preserve"> who had failed first line antibiotic prophylaxis</w:t>
      </w:r>
      <w:r w:rsidR="00FE2D78" w:rsidRPr="007D0AA8">
        <w:t xml:space="preserve"> </w:t>
      </w:r>
      <w:r w:rsidR="00FE2D78" w:rsidRPr="007D0AA8">
        <w:fldChar w:fldCharType="begin">
          <w:fldData xml:space="preserve">PEVuZE5vdGU+PENpdGU+PEF1dGhvcj5Lb2JheWFzaGk8L0F1dGhvcj48WWVhcj4yMDE0PC9ZZWFy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</w:fldData>
        </w:fldChar>
      </w:r>
      <w:r w:rsidR="00FE2D78" w:rsidRPr="007D0AA8">
        <w:instrText xml:space="preserve"> ADDIN EN.CITE </w:instrText>
      </w:r>
      <w:r w:rsidR="00FE2D78" w:rsidRPr="007D0AA8">
        <w:fldChar w:fldCharType="begin">
          <w:fldData xml:space="preserve">PEVuZE5vdGU+PENpdGU+PEF1dGhvcj5Lb2JheWFzaGk8L0F1dGhvcj48WWVhcj4yMDE0PC9ZZWFy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</w:fldData>
        </w:fldChar>
      </w:r>
      <w:r w:rsidR="00FE2D78" w:rsidRPr="007D0AA8">
        <w:instrText xml:space="preserve"> ADDIN EN.CITE.DATA </w:instrText>
      </w:r>
      <w:r w:rsidR="00FE2D78" w:rsidRPr="007D0AA8">
        <w:fldChar w:fldCharType="end"/>
      </w:r>
      <w:r w:rsidR="00FE2D78" w:rsidRPr="007D0AA8">
        <w:fldChar w:fldCharType="separate"/>
      </w:r>
      <w:r w:rsidR="00FE2D78" w:rsidRPr="007D0AA8">
        <w:rPr>
          <w:noProof/>
        </w:rPr>
        <w:t>(</w:t>
      </w:r>
      <w:hyperlink w:anchor="_ENREF_27" w:tooltip="Kobayashi, 2014 #79" w:history="1">
        <w:r w:rsidR="00BB0145" w:rsidRPr="007D0AA8">
          <w:rPr>
            <w:noProof/>
          </w:rPr>
          <w:t>Kobayashi et al. 2014</w:t>
        </w:r>
      </w:hyperlink>
      <w:r w:rsidR="00FE2D78" w:rsidRPr="007D0AA8">
        <w:rPr>
          <w:noProof/>
        </w:rPr>
        <w:t>)</w:t>
      </w:r>
      <w:r w:rsidR="00FE2D78" w:rsidRPr="007D0AA8">
        <w:fldChar w:fldCharType="end"/>
      </w:r>
      <w:r w:rsidR="00EF56FE" w:rsidRPr="007D0AA8">
        <w:t xml:space="preserve">. </w:t>
      </w:r>
      <w:r w:rsidRPr="007D0AA8">
        <w:t xml:space="preserve">AEs due to IVIg were not reported. </w:t>
      </w:r>
      <w:r w:rsidR="00EF56FE" w:rsidRPr="007D0AA8">
        <w:t>The study</w:t>
      </w:r>
      <w:r w:rsidR="00C45731" w:rsidRPr="007D0AA8">
        <w:t xml:space="preserve"> reported </w:t>
      </w:r>
      <w:r w:rsidR="00FE2D78" w:rsidRPr="007D0AA8">
        <w:t>liver AEs due to</w:t>
      </w:r>
      <w:r w:rsidR="00A06BAC" w:rsidRPr="007D0AA8">
        <w:t xml:space="preserve"> meropenem</w:t>
      </w:r>
      <w:r w:rsidR="00FE2D78" w:rsidRPr="007D0AA8">
        <w:t xml:space="preserve"> use</w:t>
      </w:r>
      <w:r w:rsidR="00C45731" w:rsidRPr="007D0AA8">
        <w:t xml:space="preserve">, as this was the target organ of toxicity for </w:t>
      </w:r>
      <w:r w:rsidR="00A06BAC" w:rsidRPr="007D0AA8">
        <w:t>this antibiotic</w:t>
      </w:r>
      <w:r w:rsidR="00C45731" w:rsidRPr="007D0AA8">
        <w:t xml:space="preserve">. These AEs were not representative of the safety profile or event rate from other antibiotics used in combination with IgG as each class of molecules will have its own </w:t>
      </w:r>
      <w:r w:rsidR="00EF56FE" w:rsidRPr="007D0AA8">
        <w:t xml:space="preserve">toxicological characteristics. </w:t>
      </w:r>
      <w:r w:rsidR="00E32BC7" w:rsidRPr="007D0AA8">
        <w:t xml:space="preserve">The authors considered the liver toxicity observed with meropenem as marginally preferable to renal toxicity observed with vancomycin, a potential alternative in this line of treatment. </w:t>
      </w:r>
    </w:p>
    <w:p w14:paraId="6B03C872" w14:textId="34F65563" w:rsidR="00AD2FDD" w:rsidRPr="007D0AA8" w:rsidRDefault="00DF00D5" w:rsidP="003C0114">
      <w:r>
        <w:t xml:space="preserve">An RCT of BMT recipients in the USA </w:t>
      </w:r>
      <w:r w:rsidR="00415ABC" w:rsidRPr="007D0AA8">
        <w:fldChar w:fldCharType="begin">
          <w:fldData xml:space="preserve">PEVuZE5vdGU+PENpdGU+PEF1dGhvcj5TdWxsaXZhbjwvQXV0aG9yPjxZZWFyPjE5OTA8L1llYXI+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</w:fldData>
        </w:fldChar>
      </w:r>
      <w:r w:rsidR="00415ABC" w:rsidRPr="007D0AA8">
        <w:instrText xml:space="preserve"> ADDIN EN.CITE </w:instrText>
      </w:r>
      <w:r w:rsidR="00415ABC" w:rsidRPr="007D0AA8">
        <w:fldChar w:fldCharType="begin">
          <w:fldData xml:space="preserve">PEVuZE5vdGU+PENpdGU+PEF1dGhvcj5TdWxsaXZhbjwvQXV0aG9yPjxZZWFyPjE5OTA8L1llYXI+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</w:fldData>
        </w:fldChar>
      </w:r>
      <w:r w:rsidR="00415ABC" w:rsidRPr="007D0AA8">
        <w:instrText xml:space="preserve"> ADDIN EN.CITE.DATA </w:instrText>
      </w:r>
      <w:r w:rsidR="00415ABC" w:rsidRPr="007D0AA8">
        <w:fldChar w:fldCharType="end"/>
      </w:r>
      <w:r w:rsidR="00415ABC" w:rsidRPr="007D0AA8">
        <w:fldChar w:fldCharType="separate"/>
      </w:r>
      <w:r w:rsidR="00415ABC" w:rsidRPr="007D0AA8">
        <w:rPr>
          <w:noProof/>
        </w:rPr>
        <w:t>(</w:t>
      </w:r>
      <w:hyperlink w:anchor="_ENREF_48" w:tooltip="Sullivan, 1990 #67" w:history="1">
        <w:r w:rsidR="00BB0145" w:rsidRPr="007D0AA8">
          <w:rPr>
            <w:noProof/>
          </w:rPr>
          <w:t>Sullivan et al. 1990</w:t>
        </w:r>
      </w:hyperlink>
      <w:r w:rsidR="00415ABC" w:rsidRPr="007D0AA8">
        <w:rPr>
          <w:noProof/>
        </w:rPr>
        <w:t>)</w:t>
      </w:r>
      <w:r w:rsidR="00415ABC" w:rsidRPr="007D0AA8">
        <w:fldChar w:fldCharType="end"/>
      </w:r>
      <w:r w:rsidR="006A66E5" w:rsidRPr="007D0AA8">
        <w:t xml:space="preserve"> recorded AEs </w:t>
      </w:r>
      <w:r w:rsidR="00FE2D78" w:rsidRPr="007D0AA8">
        <w:t>occurred in</w:t>
      </w:r>
      <w:r w:rsidR="006A66E5" w:rsidRPr="007D0AA8">
        <w:t xml:space="preserve"> 14 of 2226 (0.6%) </w:t>
      </w:r>
      <w:r w:rsidR="00B439BC" w:rsidRPr="007D0AA8">
        <w:t xml:space="preserve">IVIg </w:t>
      </w:r>
      <w:r w:rsidR="006A66E5" w:rsidRPr="007D0AA8">
        <w:t xml:space="preserve">infusions, noting </w:t>
      </w:r>
      <w:r w:rsidR="00B439BC" w:rsidRPr="007D0AA8">
        <w:t xml:space="preserve">only </w:t>
      </w:r>
      <w:r w:rsidR="006A66E5" w:rsidRPr="007D0AA8">
        <w:t xml:space="preserve">that </w:t>
      </w:r>
      <w:r w:rsidR="00B439BC" w:rsidRPr="007D0AA8">
        <w:t>‘</w:t>
      </w:r>
      <w:r w:rsidR="006A66E5" w:rsidRPr="007D0AA8">
        <w:t>toxicity of IVIg was minimal</w:t>
      </w:r>
      <w:r w:rsidR="00B439BC" w:rsidRPr="007D0AA8">
        <w:t>’</w:t>
      </w:r>
      <w:r w:rsidR="006A66E5" w:rsidRPr="007D0AA8">
        <w:t xml:space="preserve">. </w:t>
      </w:r>
    </w:p>
    <w:p w14:paraId="1AA2EC69" w14:textId="55C64A79" w:rsidR="00804E16" w:rsidRPr="007D0AA8" w:rsidRDefault="00DF00D5" w:rsidP="003C0114">
      <w:r>
        <w:t xml:space="preserve">A recent cohort study in US ALL patients </w:t>
      </w:r>
      <w:r w:rsidR="00415ABC" w:rsidRPr="007D0AA8">
        <w:fldChar w:fldCharType="begin">
          <w:fldData xml:space="preserve">PEVuZE5vdGU+PENpdGU+PEF1dGhvcj5WYW4gV2lua2xlPC9BdXRob3I+PFllYXI+MjAxODwvWWVh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=
</w:fldData>
        </w:fldChar>
      </w:r>
      <w:r w:rsidR="00415ABC" w:rsidRPr="007D0AA8">
        <w:instrText xml:space="preserve"> ADDIN EN.CITE </w:instrText>
      </w:r>
      <w:r w:rsidR="00415ABC" w:rsidRPr="007D0AA8">
        <w:fldChar w:fldCharType="begin">
          <w:fldData xml:space="preserve">PEVuZE5vdGU+PENpdGU+PEF1dGhvcj5WYW4gV2lua2xlPC9BdXRob3I+PFllYXI+MjAxODwvWWVh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=
</w:fldData>
        </w:fldChar>
      </w:r>
      <w:r w:rsidR="00415ABC" w:rsidRPr="007D0AA8">
        <w:instrText xml:space="preserve"> ADDIN EN.CITE.DATA </w:instrText>
      </w:r>
      <w:r w:rsidR="00415ABC" w:rsidRPr="007D0AA8">
        <w:fldChar w:fldCharType="end"/>
      </w:r>
      <w:r w:rsidR="00415ABC" w:rsidRPr="007D0AA8">
        <w:fldChar w:fldCharType="separate"/>
      </w:r>
      <w:r w:rsidR="00415ABC" w:rsidRPr="007D0AA8">
        <w:rPr>
          <w:noProof/>
        </w:rPr>
        <w:t>(</w:t>
      </w:r>
      <w:hyperlink w:anchor="_ENREF_53" w:tooltip="Van Winkle, 2018 #26" w:history="1">
        <w:r w:rsidR="00BB0145" w:rsidRPr="007D0AA8">
          <w:rPr>
            <w:noProof/>
          </w:rPr>
          <w:t>Van Winkle et al. 2018</w:t>
        </w:r>
      </w:hyperlink>
      <w:r w:rsidR="00415ABC" w:rsidRPr="007D0AA8">
        <w:rPr>
          <w:noProof/>
        </w:rPr>
        <w:t>)</w:t>
      </w:r>
      <w:r w:rsidR="00415ABC" w:rsidRPr="007D0AA8">
        <w:fldChar w:fldCharType="end"/>
      </w:r>
      <w:r w:rsidR="00B439BC" w:rsidRPr="007D0AA8">
        <w:t xml:space="preserve"> concluded that IVIg was safe, based on no reactions in 98.6% of infusions with the remaining eight events either minor or (in one case) due to underlying causes. The authors further noted that no patients </w:t>
      </w:r>
      <w:r w:rsidR="00FE2D78" w:rsidRPr="007D0AA8">
        <w:t xml:space="preserve">with reactions </w:t>
      </w:r>
      <w:r w:rsidR="00B439BC" w:rsidRPr="007D0AA8">
        <w:t xml:space="preserve">required corticosteroids or epinephrine. </w:t>
      </w:r>
    </w:p>
    <w:p w14:paraId="773DBFF4" w14:textId="34F80E89" w:rsidR="00154ECF" w:rsidRPr="00386411" w:rsidRDefault="00154ECF" w:rsidP="00154ECF">
      <w:pPr>
        <w:pStyle w:val="Caption"/>
        <w:keepNext/>
        <w:rPr>
          <w:rFonts w:cs="Arial"/>
          <w:snapToGrid w:val="0"/>
          <w:szCs w:val="16"/>
          <w:lang w:eastAsia="en-US"/>
        </w:rPr>
      </w:pPr>
      <w:bookmarkStart w:id="268" w:name="_Ref10151744"/>
      <w:bookmarkStart w:id="269" w:name="_Toc14429560"/>
      <w:bookmarkStart w:id="270" w:name="_Toc16671615"/>
      <w:r w:rsidRPr="00386411">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17</w:t>
      </w:r>
      <w:r w:rsidRPr="00386411">
        <w:rPr>
          <w:noProof/>
        </w:rPr>
        <w:fldChar w:fldCharType="end"/>
      </w:r>
      <w:bookmarkEnd w:id="268"/>
      <w:r w:rsidRPr="00386411">
        <w:tab/>
      </w:r>
      <w:r w:rsidRPr="00386411">
        <w:rPr>
          <w:rFonts w:cs="Arial"/>
          <w:snapToGrid w:val="0"/>
          <w:szCs w:val="16"/>
          <w:lang w:eastAsia="en-US"/>
        </w:rPr>
        <w:t xml:space="preserve">Comparative studies presenting systemic </w:t>
      </w:r>
      <w:r w:rsidR="002E612A" w:rsidRPr="00386411">
        <w:rPr>
          <w:rFonts w:cs="Arial"/>
          <w:snapToGrid w:val="0"/>
          <w:szCs w:val="16"/>
          <w:lang w:eastAsia="en-US"/>
        </w:rPr>
        <w:t xml:space="preserve">and other </w:t>
      </w:r>
      <w:r w:rsidRPr="00386411">
        <w:rPr>
          <w:rFonts w:cs="Arial"/>
          <w:snapToGrid w:val="0"/>
          <w:szCs w:val="16"/>
          <w:lang w:eastAsia="en-US"/>
        </w:rPr>
        <w:t>AE outcomes – SCIg vs No SCIg</w:t>
      </w:r>
      <w:bookmarkEnd w:id="269"/>
      <w:bookmarkEnd w:id="270"/>
    </w:p>
    <w:tbl>
      <w:tblPr>
        <w:tblW w:w="5000" w:type="pct"/>
        <w:tblLook w:val="04A0" w:firstRow="1" w:lastRow="0" w:firstColumn="1" w:lastColumn="0" w:noHBand="0" w:noVBand="1"/>
      </w:tblPr>
      <w:tblGrid>
        <w:gridCol w:w="1594"/>
        <w:gridCol w:w="3288"/>
        <w:gridCol w:w="1442"/>
        <w:gridCol w:w="1447"/>
        <w:gridCol w:w="1471"/>
      </w:tblGrid>
      <w:tr w:rsidR="00154ECF" w:rsidRPr="00386411" w14:paraId="622639D6" w14:textId="77777777" w:rsidTr="00B52A4F">
        <w:tc>
          <w:tcPr>
            <w:tcW w:w="8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E047328" w14:textId="2922D68E" w:rsidR="00154ECF" w:rsidRPr="00386411" w:rsidRDefault="00154ECF" w:rsidP="00BF0BF3">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Study</w:t>
            </w:r>
            <w:r w:rsidR="00BE5AFC" w:rsidRPr="00386411">
              <w:rPr>
                <w:rFonts w:ascii="Arial Narrow" w:hAnsi="Arial Narrow" w:cs="Calibri"/>
                <w:b/>
                <w:color w:val="000000"/>
                <w:sz w:val="20"/>
                <w:szCs w:val="20"/>
              </w:rPr>
              <w:t>, Indication</w:t>
            </w:r>
          </w:p>
        </w:tc>
        <w:tc>
          <w:tcPr>
            <w:tcW w:w="1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C2B494" w14:textId="77777777" w:rsidR="00154ECF" w:rsidRPr="00386411" w:rsidRDefault="00154ECF" w:rsidP="00BF0BF3">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Outcome</w:t>
            </w:r>
          </w:p>
        </w:tc>
        <w:tc>
          <w:tcPr>
            <w:tcW w:w="156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7964C96" w14:textId="77777777" w:rsidR="00154ECF" w:rsidRPr="00386411" w:rsidRDefault="00154ECF" w:rsidP="00BF0BF3">
            <w:pPr>
              <w:keepNext/>
              <w:spacing w:after="0" w:line="240" w:lineRule="auto"/>
              <w:rPr>
                <w:rFonts w:ascii="Arial Narrow" w:hAnsi="Arial Narrow"/>
                <w:b/>
                <w:sz w:val="20"/>
                <w:szCs w:val="20"/>
              </w:rPr>
            </w:pPr>
            <w:r w:rsidRPr="00386411">
              <w:rPr>
                <w:rFonts w:ascii="Arial Narrow" w:hAnsi="Arial Narrow"/>
                <w:b/>
                <w:sz w:val="20"/>
                <w:szCs w:val="20"/>
              </w:rPr>
              <w:t>Intervention</w:t>
            </w:r>
          </w:p>
        </w:tc>
        <w:tc>
          <w:tcPr>
            <w:tcW w:w="79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C04E085" w14:textId="77777777" w:rsidR="00154ECF" w:rsidRPr="00386411" w:rsidRDefault="00154ECF" w:rsidP="00BF0BF3">
            <w:pPr>
              <w:keepNext/>
              <w:spacing w:after="0" w:line="240" w:lineRule="auto"/>
              <w:rPr>
                <w:rFonts w:ascii="Arial Narrow" w:hAnsi="Arial Narrow"/>
                <w:b/>
                <w:sz w:val="20"/>
                <w:szCs w:val="20"/>
              </w:rPr>
            </w:pPr>
            <w:r w:rsidRPr="00386411">
              <w:rPr>
                <w:rFonts w:ascii="Arial Narrow" w:hAnsi="Arial Narrow"/>
                <w:b/>
                <w:sz w:val="20"/>
                <w:szCs w:val="20"/>
              </w:rPr>
              <w:t xml:space="preserve">Comparator </w:t>
            </w:r>
          </w:p>
        </w:tc>
      </w:tr>
      <w:tr w:rsidR="00326FC7" w:rsidRPr="00386411" w14:paraId="614CD810" w14:textId="77777777" w:rsidTr="00B52A4F">
        <w:tc>
          <w:tcPr>
            <w:tcW w:w="8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476D6A" w14:textId="6E70B061" w:rsidR="00154ECF" w:rsidRPr="00386411" w:rsidRDefault="00326FC7" w:rsidP="00763F47">
            <w:pPr>
              <w:spacing w:after="0" w:line="240" w:lineRule="auto"/>
              <w:ind w:left="-57" w:right="-57"/>
              <w:rPr>
                <w:rFonts w:ascii="Arial Narrow" w:hAnsi="Arial Narrow" w:cs="Calibri"/>
                <w:b/>
                <w:color w:val="000000"/>
                <w:sz w:val="20"/>
                <w:szCs w:val="20"/>
              </w:rPr>
            </w:pPr>
            <w:r w:rsidRPr="00386411">
              <w:rPr>
                <w:rFonts w:ascii="Arial Narrow" w:hAnsi="Arial Narrow" w:cs="Calibri"/>
                <w:b/>
                <w:color w:val="000000"/>
                <w:sz w:val="20"/>
                <w:szCs w:val="20"/>
              </w:rPr>
              <w:t>Vacca</w:t>
            </w:r>
            <w:r w:rsidR="00154ECF" w:rsidRPr="00386411">
              <w:rPr>
                <w:rFonts w:ascii="Arial Narrow" w:hAnsi="Arial Narrow" w:cs="Calibri"/>
                <w:b/>
                <w:color w:val="000000"/>
                <w:sz w:val="20"/>
                <w:szCs w:val="20"/>
              </w:rPr>
              <w:t xml:space="preserve"> et al., 2018</w:t>
            </w:r>
          </w:p>
        </w:tc>
        <w:tc>
          <w:tcPr>
            <w:tcW w:w="1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3D5F3D" w14:textId="3663E9C1" w:rsidR="00154ECF" w:rsidRPr="00386411" w:rsidRDefault="00154ECF" w:rsidP="00763F47">
            <w:pPr>
              <w:spacing w:after="0" w:line="240" w:lineRule="auto"/>
              <w:ind w:left="-57" w:right="-57"/>
              <w:rPr>
                <w:rFonts w:ascii="Arial Narrow" w:hAnsi="Arial Narrow" w:cs="Calibri"/>
                <w:b/>
                <w:color w:val="000000"/>
                <w:sz w:val="20"/>
                <w:szCs w:val="20"/>
              </w:rPr>
            </w:pPr>
            <w:r w:rsidRPr="00386411">
              <w:rPr>
                <w:rFonts w:ascii="Arial Narrow" w:hAnsi="Arial Narrow"/>
                <w:b/>
                <w:sz w:val="20"/>
              </w:rPr>
              <w:t>Event, number of patients (%)</w:t>
            </w:r>
            <w:r w:rsidR="00763F47" w:rsidRPr="00386411">
              <w:rPr>
                <w:rFonts w:ascii="Arial Narrow" w:hAnsi="Arial Narrow"/>
                <w:b/>
                <w:sz w:val="20"/>
              </w:rPr>
              <w:t xml:space="preserve"> (N=46)</w:t>
            </w:r>
          </w:p>
        </w:tc>
        <w:tc>
          <w:tcPr>
            <w:tcW w:w="780" w:type="pct"/>
            <w:tcBorders>
              <w:top w:val="single" w:sz="4" w:space="0" w:color="auto"/>
              <w:left w:val="single" w:sz="4" w:space="0" w:color="auto"/>
              <w:bottom w:val="single" w:sz="4" w:space="0" w:color="auto"/>
              <w:right w:val="nil"/>
            </w:tcBorders>
            <w:shd w:val="clear" w:color="auto" w:fill="D9D9D9" w:themeFill="background1" w:themeFillShade="D9"/>
            <w:noWrap/>
          </w:tcPr>
          <w:p w14:paraId="287B77EF" w14:textId="77777777" w:rsidR="00154ECF" w:rsidRPr="00386411" w:rsidRDefault="00154ECF" w:rsidP="00BF0BF3">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SCIg (n=24)</w:t>
            </w:r>
          </w:p>
        </w:tc>
        <w:tc>
          <w:tcPr>
            <w:tcW w:w="783" w:type="pct"/>
            <w:tcBorders>
              <w:top w:val="single" w:sz="4" w:space="0" w:color="auto"/>
              <w:left w:val="nil"/>
              <w:bottom w:val="single" w:sz="4" w:space="0" w:color="auto"/>
              <w:right w:val="nil"/>
            </w:tcBorders>
            <w:shd w:val="clear" w:color="auto" w:fill="D9D9D9" w:themeFill="background1" w:themeFillShade="D9"/>
            <w:noWrap/>
          </w:tcPr>
          <w:p w14:paraId="23B4DE53" w14:textId="77777777" w:rsidR="00154ECF" w:rsidRPr="00386411" w:rsidRDefault="00154ECF" w:rsidP="00BF0BF3">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SCIg (n=24)</w:t>
            </w:r>
          </w:p>
        </w:tc>
        <w:tc>
          <w:tcPr>
            <w:tcW w:w="796" w:type="pct"/>
            <w:tcBorders>
              <w:top w:val="single" w:sz="4" w:space="0" w:color="auto"/>
              <w:left w:val="nil"/>
              <w:bottom w:val="single" w:sz="4" w:space="0" w:color="auto"/>
              <w:right w:val="single" w:sz="4" w:space="0" w:color="auto"/>
            </w:tcBorders>
            <w:shd w:val="clear" w:color="auto" w:fill="D9D9D9" w:themeFill="background1" w:themeFillShade="D9"/>
          </w:tcPr>
          <w:p w14:paraId="6CC1C91A" w14:textId="77777777" w:rsidR="00154ECF" w:rsidRPr="00386411" w:rsidRDefault="00154ECF" w:rsidP="00BF0BF3">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No SCIg (n=24)</w:t>
            </w:r>
          </w:p>
        </w:tc>
      </w:tr>
      <w:tr w:rsidR="00326FC7" w:rsidRPr="007D0AA8" w14:paraId="69AED63A" w14:textId="77777777" w:rsidTr="00763F47">
        <w:tc>
          <w:tcPr>
            <w:tcW w:w="862" w:type="pct"/>
            <w:tcBorders>
              <w:top w:val="single" w:sz="4" w:space="0" w:color="auto"/>
              <w:left w:val="single" w:sz="4" w:space="0" w:color="auto"/>
              <w:bottom w:val="nil"/>
              <w:right w:val="single" w:sz="4" w:space="0" w:color="auto"/>
            </w:tcBorders>
          </w:tcPr>
          <w:p w14:paraId="5C09D41F" w14:textId="77777777" w:rsidR="00154ECF" w:rsidRPr="007D0AA8" w:rsidRDefault="00154ECF" w:rsidP="00BF0BF3">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MM</w:t>
            </w:r>
          </w:p>
        </w:tc>
        <w:tc>
          <w:tcPr>
            <w:tcW w:w="1779" w:type="pct"/>
            <w:tcBorders>
              <w:top w:val="single" w:sz="4" w:space="0" w:color="auto"/>
              <w:left w:val="single" w:sz="4" w:space="0" w:color="auto"/>
              <w:bottom w:val="nil"/>
              <w:right w:val="single" w:sz="4" w:space="0" w:color="auto"/>
            </w:tcBorders>
          </w:tcPr>
          <w:p w14:paraId="001BA233" w14:textId="77777777" w:rsidR="00154ECF" w:rsidRPr="007D0AA8" w:rsidRDefault="00154ECF" w:rsidP="00BF0BF3">
            <w:pPr>
              <w:spacing w:after="0" w:line="240" w:lineRule="auto"/>
              <w:rPr>
                <w:rFonts w:ascii="Arial Narrow" w:hAnsi="Arial Narrow"/>
                <w:sz w:val="20"/>
              </w:rPr>
            </w:pPr>
            <w:r w:rsidRPr="007D0AA8">
              <w:rPr>
                <w:rFonts w:ascii="Arial Narrow" w:hAnsi="Arial Narrow"/>
                <w:sz w:val="20"/>
              </w:rPr>
              <w:t>AEs</w:t>
            </w:r>
          </w:p>
        </w:tc>
        <w:tc>
          <w:tcPr>
            <w:tcW w:w="780" w:type="pct"/>
            <w:tcBorders>
              <w:top w:val="single" w:sz="4" w:space="0" w:color="auto"/>
              <w:left w:val="single" w:sz="4" w:space="0" w:color="auto"/>
              <w:bottom w:val="nil"/>
              <w:right w:val="nil"/>
            </w:tcBorders>
            <w:shd w:val="clear" w:color="auto" w:fill="auto"/>
            <w:noWrap/>
          </w:tcPr>
          <w:p w14:paraId="3F2A3873" w14:textId="77777777" w:rsidR="00154ECF" w:rsidRPr="007D0AA8" w:rsidRDefault="00154ECF" w:rsidP="00BF0BF3">
            <w:pPr>
              <w:spacing w:after="0" w:line="240" w:lineRule="auto"/>
              <w:rPr>
                <w:rFonts w:ascii="Arial Narrow" w:hAnsi="Arial Narrow" w:cs="Calibri"/>
                <w:color w:val="000000"/>
                <w:sz w:val="20"/>
                <w:szCs w:val="20"/>
              </w:rPr>
            </w:pPr>
            <w:r w:rsidRPr="007D0AA8">
              <w:rPr>
                <w:rFonts w:ascii="Arial Narrow" w:hAnsi="Arial Narrow"/>
                <w:sz w:val="20"/>
              </w:rPr>
              <w:t>Grade 3/4</w:t>
            </w:r>
          </w:p>
        </w:tc>
        <w:tc>
          <w:tcPr>
            <w:tcW w:w="783" w:type="pct"/>
            <w:tcBorders>
              <w:top w:val="single" w:sz="4" w:space="0" w:color="auto"/>
              <w:left w:val="nil"/>
              <w:bottom w:val="nil"/>
              <w:right w:val="nil"/>
            </w:tcBorders>
            <w:shd w:val="clear" w:color="auto" w:fill="auto"/>
            <w:noWrap/>
          </w:tcPr>
          <w:p w14:paraId="51C456EA" w14:textId="77777777" w:rsidR="00154ECF" w:rsidRPr="007D0AA8" w:rsidRDefault="00154ECF" w:rsidP="00BF0BF3">
            <w:pPr>
              <w:spacing w:after="0" w:line="240" w:lineRule="auto"/>
              <w:rPr>
                <w:rFonts w:ascii="Arial Narrow" w:hAnsi="Arial Narrow" w:cs="Calibri"/>
                <w:color w:val="000000"/>
                <w:sz w:val="20"/>
                <w:szCs w:val="20"/>
              </w:rPr>
            </w:pPr>
            <w:r w:rsidRPr="007D0AA8">
              <w:rPr>
                <w:rFonts w:ascii="Arial Narrow" w:hAnsi="Arial Narrow"/>
                <w:sz w:val="20"/>
              </w:rPr>
              <w:t>Grade 1/2</w:t>
            </w:r>
          </w:p>
        </w:tc>
        <w:tc>
          <w:tcPr>
            <w:tcW w:w="796" w:type="pct"/>
            <w:tcBorders>
              <w:top w:val="single" w:sz="4" w:space="0" w:color="auto"/>
              <w:left w:val="nil"/>
              <w:bottom w:val="nil"/>
              <w:right w:val="single" w:sz="4" w:space="0" w:color="auto"/>
            </w:tcBorders>
          </w:tcPr>
          <w:p w14:paraId="74472DA4" w14:textId="77777777" w:rsidR="00154ECF" w:rsidRPr="007D0AA8" w:rsidRDefault="00154ECF" w:rsidP="00BF0BF3">
            <w:pPr>
              <w:spacing w:after="0" w:line="240" w:lineRule="auto"/>
              <w:ind w:right="6"/>
              <w:rPr>
                <w:rFonts w:ascii="Arial Narrow" w:hAnsi="Arial Narrow" w:cs="Calibri"/>
                <w:color w:val="000000"/>
                <w:sz w:val="20"/>
                <w:szCs w:val="20"/>
              </w:rPr>
            </w:pPr>
            <w:r w:rsidRPr="007D0AA8">
              <w:rPr>
                <w:rFonts w:ascii="Arial Narrow" w:hAnsi="Arial Narrow" w:cs="Calibri"/>
                <w:color w:val="000000"/>
                <w:sz w:val="20"/>
                <w:szCs w:val="20"/>
              </w:rPr>
              <w:t>―</w:t>
            </w:r>
          </w:p>
        </w:tc>
      </w:tr>
      <w:tr w:rsidR="00D6742F" w:rsidRPr="007D0AA8" w14:paraId="6231DF80" w14:textId="77777777" w:rsidTr="008742A1">
        <w:tc>
          <w:tcPr>
            <w:tcW w:w="862" w:type="pct"/>
            <w:tcBorders>
              <w:top w:val="nil"/>
              <w:left w:val="single" w:sz="4" w:space="0" w:color="auto"/>
              <w:bottom w:val="nil"/>
              <w:right w:val="single" w:sz="4" w:space="0" w:color="auto"/>
            </w:tcBorders>
          </w:tcPr>
          <w:p w14:paraId="735D4D67" w14:textId="77777777" w:rsidR="00D6742F" w:rsidRPr="007D0AA8" w:rsidRDefault="00D6742F" w:rsidP="00D6742F">
            <w:pPr>
              <w:spacing w:after="0" w:line="240" w:lineRule="auto"/>
              <w:rPr>
                <w:rFonts w:ascii="Arial Narrow" w:hAnsi="Arial Narrow" w:cs="Calibri"/>
                <w:color w:val="000000"/>
                <w:sz w:val="20"/>
                <w:szCs w:val="20"/>
              </w:rPr>
            </w:pPr>
          </w:p>
        </w:tc>
        <w:tc>
          <w:tcPr>
            <w:tcW w:w="1779" w:type="pct"/>
            <w:tcBorders>
              <w:top w:val="nil"/>
              <w:left w:val="single" w:sz="4" w:space="0" w:color="auto"/>
              <w:bottom w:val="nil"/>
              <w:right w:val="single" w:sz="4" w:space="0" w:color="auto"/>
            </w:tcBorders>
          </w:tcPr>
          <w:p w14:paraId="5D6F5C8E" w14:textId="77777777" w:rsidR="00D6742F" w:rsidRPr="007D0AA8" w:rsidRDefault="00D6742F" w:rsidP="00331FB9">
            <w:pPr>
              <w:pStyle w:val="ListParagraph"/>
              <w:numPr>
                <w:ilvl w:val="0"/>
                <w:numId w:val="16"/>
              </w:numPr>
              <w:spacing w:after="0" w:line="240" w:lineRule="auto"/>
              <w:ind w:left="230" w:hanging="207"/>
              <w:rPr>
                <w:rFonts w:ascii="Arial Narrow" w:hAnsi="Arial Narrow" w:cs="Calibri"/>
                <w:color w:val="000000"/>
                <w:sz w:val="20"/>
                <w:szCs w:val="20"/>
              </w:rPr>
            </w:pPr>
            <w:r w:rsidRPr="007D0AA8">
              <w:rPr>
                <w:rFonts w:ascii="Arial Narrow" w:hAnsi="Arial Narrow"/>
                <w:sz w:val="20"/>
              </w:rPr>
              <w:t>Allergic skin reaction</w:t>
            </w:r>
          </w:p>
        </w:tc>
        <w:tc>
          <w:tcPr>
            <w:tcW w:w="780" w:type="pct"/>
            <w:tcBorders>
              <w:top w:val="nil"/>
              <w:left w:val="single" w:sz="4" w:space="0" w:color="auto"/>
              <w:bottom w:val="nil"/>
              <w:right w:val="nil"/>
            </w:tcBorders>
            <w:shd w:val="clear" w:color="auto" w:fill="auto"/>
            <w:noWrap/>
          </w:tcPr>
          <w:p w14:paraId="143EA268" w14:textId="77777777"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sz w:val="20"/>
              </w:rPr>
              <w:t>1 (4)</w:t>
            </w:r>
          </w:p>
        </w:tc>
        <w:tc>
          <w:tcPr>
            <w:tcW w:w="783" w:type="pct"/>
            <w:tcBorders>
              <w:top w:val="nil"/>
              <w:left w:val="nil"/>
              <w:bottom w:val="nil"/>
              <w:right w:val="nil"/>
            </w:tcBorders>
            <w:shd w:val="clear" w:color="auto" w:fill="auto"/>
            <w:noWrap/>
          </w:tcPr>
          <w:p w14:paraId="41E93C0F" w14:textId="77777777"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sz w:val="20"/>
              </w:rPr>
              <w:t>0</w:t>
            </w:r>
          </w:p>
        </w:tc>
        <w:tc>
          <w:tcPr>
            <w:tcW w:w="796" w:type="pct"/>
            <w:tcBorders>
              <w:top w:val="nil"/>
              <w:left w:val="nil"/>
              <w:bottom w:val="nil"/>
              <w:right w:val="single" w:sz="4" w:space="0" w:color="auto"/>
            </w:tcBorders>
            <w:vAlign w:val="bottom"/>
          </w:tcPr>
          <w:p w14:paraId="2BB1E1D8" w14:textId="673BCF72"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D6742F" w:rsidRPr="007D0AA8" w14:paraId="5778C003" w14:textId="77777777" w:rsidTr="008742A1">
        <w:tc>
          <w:tcPr>
            <w:tcW w:w="862" w:type="pct"/>
            <w:tcBorders>
              <w:top w:val="nil"/>
              <w:left w:val="single" w:sz="4" w:space="0" w:color="auto"/>
              <w:bottom w:val="nil"/>
              <w:right w:val="single" w:sz="4" w:space="0" w:color="auto"/>
            </w:tcBorders>
            <w:vAlign w:val="bottom"/>
          </w:tcPr>
          <w:p w14:paraId="2E582F02" w14:textId="77777777" w:rsidR="00D6742F" w:rsidRPr="007D0AA8" w:rsidRDefault="00D6742F" w:rsidP="00D6742F">
            <w:pPr>
              <w:spacing w:after="0" w:line="240" w:lineRule="auto"/>
              <w:rPr>
                <w:rFonts w:ascii="Arial Narrow" w:hAnsi="Arial Narrow" w:cs="Calibri"/>
                <w:color w:val="000000"/>
                <w:sz w:val="20"/>
                <w:szCs w:val="20"/>
              </w:rPr>
            </w:pPr>
          </w:p>
        </w:tc>
        <w:tc>
          <w:tcPr>
            <w:tcW w:w="1779" w:type="pct"/>
            <w:tcBorders>
              <w:top w:val="nil"/>
              <w:left w:val="single" w:sz="4" w:space="0" w:color="auto"/>
              <w:bottom w:val="nil"/>
              <w:right w:val="single" w:sz="4" w:space="0" w:color="auto"/>
            </w:tcBorders>
          </w:tcPr>
          <w:p w14:paraId="08101CB9" w14:textId="77777777" w:rsidR="00D6742F" w:rsidRPr="007D0AA8" w:rsidRDefault="00D6742F" w:rsidP="00331FB9">
            <w:pPr>
              <w:pStyle w:val="ListParagraph"/>
              <w:numPr>
                <w:ilvl w:val="0"/>
                <w:numId w:val="16"/>
              </w:numPr>
              <w:spacing w:after="0" w:line="240" w:lineRule="auto"/>
              <w:ind w:left="230" w:hanging="207"/>
              <w:rPr>
                <w:rFonts w:ascii="Arial Narrow" w:hAnsi="Arial Narrow" w:cs="Calibri"/>
                <w:color w:val="000000"/>
                <w:sz w:val="20"/>
                <w:szCs w:val="20"/>
              </w:rPr>
            </w:pPr>
            <w:r w:rsidRPr="007D0AA8">
              <w:rPr>
                <w:rFonts w:ascii="Arial Narrow" w:hAnsi="Arial Narrow"/>
                <w:sz w:val="20"/>
              </w:rPr>
              <w:t>Oedema of the injection site</w:t>
            </w:r>
          </w:p>
        </w:tc>
        <w:tc>
          <w:tcPr>
            <w:tcW w:w="780" w:type="pct"/>
            <w:tcBorders>
              <w:top w:val="nil"/>
              <w:left w:val="single" w:sz="4" w:space="0" w:color="auto"/>
              <w:bottom w:val="nil"/>
              <w:right w:val="nil"/>
            </w:tcBorders>
            <w:shd w:val="clear" w:color="auto" w:fill="auto"/>
            <w:noWrap/>
          </w:tcPr>
          <w:p w14:paraId="6D2A9323" w14:textId="77777777"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sz w:val="20"/>
              </w:rPr>
              <w:t>0</w:t>
            </w:r>
          </w:p>
        </w:tc>
        <w:tc>
          <w:tcPr>
            <w:tcW w:w="783" w:type="pct"/>
            <w:tcBorders>
              <w:top w:val="nil"/>
              <w:left w:val="nil"/>
              <w:bottom w:val="nil"/>
              <w:right w:val="nil"/>
            </w:tcBorders>
            <w:shd w:val="clear" w:color="auto" w:fill="auto"/>
            <w:noWrap/>
          </w:tcPr>
          <w:p w14:paraId="155B8CD2" w14:textId="77777777"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sz w:val="20"/>
              </w:rPr>
              <w:t>15 (62)</w:t>
            </w:r>
          </w:p>
        </w:tc>
        <w:tc>
          <w:tcPr>
            <w:tcW w:w="796" w:type="pct"/>
            <w:tcBorders>
              <w:top w:val="nil"/>
              <w:left w:val="nil"/>
              <w:bottom w:val="nil"/>
              <w:right w:val="single" w:sz="4" w:space="0" w:color="auto"/>
            </w:tcBorders>
            <w:vAlign w:val="bottom"/>
          </w:tcPr>
          <w:p w14:paraId="7436055D" w14:textId="7C923B0D"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D6742F" w:rsidRPr="007D0AA8" w14:paraId="71E1AA26" w14:textId="77777777" w:rsidTr="008742A1">
        <w:tc>
          <w:tcPr>
            <w:tcW w:w="862" w:type="pct"/>
            <w:tcBorders>
              <w:top w:val="nil"/>
              <w:left w:val="single" w:sz="4" w:space="0" w:color="auto"/>
              <w:bottom w:val="nil"/>
              <w:right w:val="single" w:sz="4" w:space="0" w:color="auto"/>
            </w:tcBorders>
            <w:vAlign w:val="bottom"/>
          </w:tcPr>
          <w:p w14:paraId="4E6B1D6A" w14:textId="77777777" w:rsidR="00D6742F" w:rsidRPr="007D0AA8" w:rsidRDefault="00D6742F" w:rsidP="00D6742F">
            <w:pPr>
              <w:spacing w:after="0" w:line="240" w:lineRule="auto"/>
              <w:rPr>
                <w:rFonts w:ascii="Arial Narrow" w:hAnsi="Arial Narrow" w:cs="Calibri"/>
                <w:color w:val="000000"/>
                <w:sz w:val="20"/>
                <w:szCs w:val="20"/>
              </w:rPr>
            </w:pPr>
          </w:p>
        </w:tc>
        <w:tc>
          <w:tcPr>
            <w:tcW w:w="1779" w:type="pct"/>
            <w:tcBorders>
              <w:top w:val="nil"/>
              <w:left w:val="single" w:sz="4" w:space="0" w:color="auto"/>
              <w:bottom w:val="nil"/>
              <w:right w:val="single" w:sz="4" w:space="0" w:color="auto"/>
            </w:tcBorders>
          </w:tcPr>
          <w:p w14:paraId="7E543BAD" w14:textId="77777777" w:rsidR="00D6742F" w:rsidRPr="007D0AA8" w:rsidRDefault="00D6742F" w:rsidP="00331FB9">
            <w:pPr>
              <w:pStyle w:val="ListParagraph"/>
              <w:numPr>
                <w:ilvl w:val="0"/>
                <w:numId w:val="16"/>
              </w:numPr>
              <w:spacing w:after="0" w:line="240" w:lineRule="auto"/>
              <w:ind w:left="230" w:hanging="207"/>
              <w:rPr>
                <w:rFonts w:ascii="Arial Narrow" w:hAnsi="Arial Narrow" w:cs="Calibri"/>
                <w:color w:val="000000"/>
                <w:sz w:val="20"/>
                <w:szCs w:val="20"/>
              </w:rPr>
            </w:pPr>
            <w:r w:rsidRPr="007D0AA8">
              <w:rPr>
                <w:rFonts w:ascii="Arial Narrow" w:hAnsi="Arial Narrow"/>
                <w:sz w:val="20"/>
              </w:rPr>
              <w:t>Oedema and erythema</w:t>
            </w:r>
          </w:p>
        </w:tc>
        <w:tc>
          <w:tcPr>
            <w:tcW w:w="780" w:type="pct"/>
            <w:tcBorders>
              <w:top w:val="nil"/>
              <w:left w:val="single" w:sz="4" w:space="0" w:color="auto"/>
              <w:bottom w:val="nil"/>
              <w:right w:val="nil"/>
            </w:tcBorders>
            <w:shd w:val="clear" w:color="auto" w:fill="auto"/>
            <w:noWrap/>
          </w:tcPr>
          <w:p w14:paraId="008269B1" w14:textId="77777777"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sz w:val="20"/>
              </w:rPr>
              <w:t>0</w:t>
            </w:r>
          </w:p>
        </w:tc>
        <w:tc>
          <w:tcPr>
            <w:tcW w:w="783" w:type="pct"/>
            <w:tcBorders>
              <w:top w:val="nil"/>
              <w:left w:val="nil"/>
              <w:bottom w:val="nil"/>
              <w:right w:val="nil"/>
            </w:tcBorders>
            <w:shd w:val="clear" w:color="auto" w:fill="auto"/>
            <w:noWrap/>
          </w:tcPr>
          <w:p w14:paraId="261D58EF" w14:textId="77777777"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sz w:val="20"/>
              </w:rPr>
              <w:t>8 (33)</w:t>
            </w:r>
          </w:p>
        </w:tc>
        <w:tc>
          <w:tcPr>
            <w:tcW w:w="796" w:type="pct"/>
            <w:tcBorders>
              <w:top w:val="nil"/>
              <w:left w:val="nil"/>
              <w:bottom w:val="nil"/>
              <w:right w:val="single" w:sz="4" w:space="0" w:color="auto"/>
            </w:tcBorders>
            <w:vAlign w:val="bottom"/>
          </w:tcPr>
          <w:p w14:paraId="4EE9940E" w14:textId="10F069F2"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D6742F" w:rsidRPr="007D0AA8" w14:paraId="500E9B73" w14:textId="77777777" w:rsidTr="008742A1">
        <w:tc>
          <w:tcPr>
            <w:tcW w:w="862" w:type="pct"/>
            <w:tcBorders>
              <w:top w:val="nil"/>
              <w:left w:val="single" w:sz="4" w:space="0" w:color="auto"/>
              <w:bottom w:val="nil"/>
              <w:right w:val="single" w:sz="4" w:space="0" w:color="auto"/>
            </w:tcBorders>
            <w:vAlign w:val="bottom"/>
          </w:tcPr>
          <w:p w14:paraId="794959DB" w14:textId="77777777" w:rsidR="00D6742F" w:rsidRPr="007D0AA8" w:rsidRDefault="00D6742F" w:rsidP="00D6742F">
            <w:pPr>
              <w:spacing w:after="0" w:line="240" w:lineRule="auto"/>
              <w:rPr>
                <w:rFonts w:ascii="Arial Narrow" w:hAnsi="Arial Narrow" w:cs="Calibri"/>
                <w:color w:val="000000"/>
                <w:sz w:val="20"/>
                <w:szCs w:val="20"/>
              </w:rPr>
            </w:pPr>
          </w:p>
        </w:tc>
        <w:tc>
          <w:tcPr>
            <w:tcW w:w="1779" w:type="pct"/>
            <w:tcBorders>
              <w:top w:val="nil"/>
              <w:left w:val="single" w:sz="4" w:space="0" w:color="auto"/>
              <w:bottom w:val="nil"/>
              <w:right w:val="single" w:sz="4" w:space="0" w:color="auto"/>
            </w:tcBorders>
          </w:tcPr>
          <w:p w14:paraId="0E090FB0" w14:textId="77777777" w:rsidR="00D6742F" w:rsidRPr="007D0AA8" w:rsidRDefault="00D6742F" w:rsidP="00331FB9">
            <w:pPr>
              <w:pStyle w:val="ListParagraph"/>
              <w:numPr>
                <w:ilvl w:val="0"/>
                <w:numId w:val="16"/>
              </w:numPr>
              <w:spacing w:after="0" w:line="240" w:lineRule="auto"/>
              <w:ind w:left="230" w:hanging="207"/>
              <w:rPr>
                <w:rFonts w:ascii="Arial Narrow" w:hAnsi="Arial Narrow" w:cs="Calibri"/>
                <w:color w:val="000000"/>
                <w:sz w:val="20"/>
                <w:szCs w:val="20"/>
              </w:rPr>
            </w:pPr>
            <w:r w:rsidRPr="007D0AA8">
              <w:rPr>
                <w:rFonts w:ascii="Arial Narrow" w:hAnsi="Arial Narrow"/>
                <w:sz w:val="20"/>
              </w:rPr>
              <w:t>Oedema and pain</w:t>
            </w:r>
          </w:p>
        </w:tc>
        <w:tc>
          <w:tcPr>
            <w:tcW w:w="780" w:type="pct"/>
            <w:tcBorders>
              <w:top w:val="nil"/>
              <w:left w:val="single" w:sz="4" w:space="0" w:color="auto"/>
              <w:bottom w:val="nil"/>
              <w:right w:val="nil"/>
            </w:tcBorders>
            <w:shd w:val="clear" w:color="auto" w:fill="auto"/>
            <w:noWrap/>
          </w:tcPr>
          <w:p w14:paraId="0CAB806C" w14:textId="77777777"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sz w:val="20"/>
              </w:rPr>
              <w:t>0</w:t>
            </w:r>
          </w:p>
        </w:tc>
        <w:tc>
          <w:tcPr>
            <w:tcW w:w="783" w:type="pct"/>
            <w:tcBorders>
              <w:top w:val="nil"/>
              <w:left w:val="nil"/>
              <w:bottom w:val="nil"/>
              <w:right w:val="nil"/>
            </w:tcBorders>
            <w:shd w:val="clear" w:color="auto" w:fill="auto"/>
            <w:noWrap/>
          </w:tcPr>
          <w:p w14:paraId="2A6A6C87" w14:textId="77777777"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sz w:val="20"/>
              </w:rPr>
              <w:t>5 (21)</w:t>
            </w:r>
          </w:p>
        </w:tc>
        <w:tc>
          <w:tcPr>
            <w:tcW w:w="796" w:type="pct"/>
            <w:tcBorders>
              <w:top w:val="nil"/>
              <w:left w:val="nil"/>
              <w:bottom w:val="nil"/>
              <w:right w:val="single" w:sz="4" w:space="0" w:color="auto"/>
            </w:tcBorders>
            <w:vAlign w:val="bottom"/>
          </w:tcPr>
          <w:p w14:paraId="4FD240D9" w14:textId="721D2514"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D6742F" w:rsidRPr="007D0AA8" w14:paraId="310C0067" w14:textId="77777777" w:rsidTr="008742A1">
        <w:tc>
          <w:tcPr>
            <w:tcW w:w="862" w:type="pct"/>
            <w:tcBorders>
              <w:top w:val="nil"/>
              <w:left w:val="single" w:sz="4" w:space="0" w:color="auto"/>
              <w:bottom w:val="nil"/>
              <w:right w:val="single" w:sz="4" w:space="0" w:color="auto"/>
            </w:tcBorders>
            <w:vAlign w:val="bottom"/>
          </w:tcPr>
          <w:p w14:paraId="5B6E63B7" w14:textId="77777777" w:rsidR="00D6742F" w:rsidRPr="007D0AA8" w:rsidRDefault="00D6742F" w:rsidP="00D6742F">
            <w:pPr>
              <w:spacing w:after="0" w:line="240" w:lineRule="auto"/>
              <w:rPr>
                <w:rFonts w:ascii="Arial Narrow" w:hAnsi="Arial Narrow" w:cs="Calibri"/>
                <w:color w:val="000000"/>
                <w:sz w:val="20"/>
                <w:szCs w:val="20"/>
              </w:rPr>
            </w:pPr>
          </w:p>
        </w:tc>
        <w:tc>
          <w:tcPr>
            <w:tcW w:w="1779" w:type="pct"/>
            <w:tcBorders>
              <w:top w:val="nil"/>
              <w:left w:val="single" w:sz="4" w:space="0" w:color="auto"/>
              <w:right w:val="single" w:sz="4" w:space="0" w:color="auto"/>
            </w:tcBorders>
          </w:tcPr>
          <w:p w14:paraId="34F454A0" w14:textId="77777777" w:rsidR="00D6742F" w:rsidRPr="007D0AA8" w:rsidRDefault="00D6742F" w:rsidP="00331FB9">
            <w:pPr>
              <w:pStyle w:val="ListParagraph"/>
              <w:numPr>
                <w:ilvl w:val="0"/>
                <w:numId w:val="16"/>
              </w:numPr>
              <w:spacing w:after="0" w:line="240" w:lineRule="auto"/>
              <w:ind w:left="230" w:hanging="207"/>
              <w:rPr>
                <w:rFonts w:ascii="Arial Narrow" w:hAnsi="Arial Narrow" w:cs="Calibri"/>
                <w:color w:val="000000"/>
                <w:sz w:val="20"/>
                <w:szCs w:val="20"/>
              </w:rPr>
            </w:pPr>
            <w:r w:rsidRPr="007D0AA8">
              <w:rPr>
                <w:rFonts w:ascii="Arial Narrow" w:hAnsi="Arial Narrow"/>
                <w:sz w:val="20"/>
              </w:rPr>
              <w:t>Oedema and pruritus</w:t>
            </w:r>
          </w:p>
        </w:tc>
        <w:tc>
          <w:tcPr>
            <w:tcW w:w="780" w:type="pct"/>
            <w:tcBorders>
              <w:top w:val="nil"/>
              <w:left w:val="single" w:sz="4" w:space="0" w:color="auto"/>
              <w:right w:val="nil"/>
            </w:tcBorders>
            <w:shd w:val="clear" w:color="auto" w:fill="auto"/>
            <w:noWrap/>
          </w:tcPr>
          <w:p w14:paraId="1C5F3C3E" w14:textId="77777777"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sz w:val="20"/>
              </w:rPr>
              <w:t>0</w:t>
            </w:r>
          </w:p>
        </w:tc>
        <w:tc>
          <w:tcPr>
            <w:tcW w:w="783" w:type="pct"/>
            <w:tcBorders>
              <w:top w:val="nil"/>
              <w:left w:val="nil"/>
              <w:right w:val="nil"/>
            </w:tcBorders>
            <w:shd w:val="clear" w:color="auto" w:fill="auto"/>
            <w:noWrap/>
          </w:tcPr>
          <w:p w14:paraId="0C96E042" w14:textId="77777777"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sz w:val="20"/>
              </w:rPr>
              <w:t>3 (12)</w:t>
            </w:r>
          </w:p>
        </w:tc>
        <w:tc>
          <w:tcPr>
            <w:tcW w:w="796" w:type="pct"/>
            <w:tcBorders>
              <w:top w:val="nil"/>
              <w:left w:val="nil"/>
              <w:right w:val="single" w:sz="4" w:space="0" w:color="auto"/>
            </w:tcBorders>
            <w:vAlign w:val="bottom"/>
          </w:tcPr>
          <w:p w14:paraId="1325ED44" w14:textId="63246AFF"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326FC7" w:rsidRPr="007D0AA8" w14:paraId="148884B4" w14:textId="77777777" w:rsidTr="00763F47">
        <w:tc>
          <w:tcPr>
            <w:tcW w:w="862" w:type="pct"/>
            <w:tcBorders>
              <w:top w:val="nil"/>
              <w:left w:val="single" w:sz="4" w:space="0" w:color="auto"/>
              <w:bottom w:val="nil"/>
              <w:right w:val="single" w:sz="4" w:space="0" w:color="auto"/>
            </w:tcBorders>
            <w:vAlign w:val="bottom"/>
          </w:tcPr>
          <w:p w14:paraId="347839D3" w14:textId="77777777" w:rsidR="00154ECF" w:rsidRPr="007D0AA8" w:rsidRDefault="00154ECF" w:rsidP="00BF0BF3">
            <w:pPr>
              <w:spacing w:after="0" w:line="240" w:lineRule="auto"/>
              <w:rPr>
                <w:rFonts w:ascii="Arial Narrow" w:hAnsi="Arial Narrow" w:cs="Calibri"/>
                <w:color w:val="000000"/>
                <w:sz w:val="20"/>
                <w:szCs w:val="20"/>
              </w:rPr>
            </w:pPr>
          </w:p>
        </w:tc>
        <w:tc>
          <w:tcPr>
            <w:tcW w:w="1779" w:type="pct"/>
            <w:tcBorders>
              <w:top w:val="nil"/>
              <w:left w:val="single" w:sz="4" w:space="0" w:color="auto"/>
              <w:bottom w:val="single" w:sz="4" w:space="0" w:color="auto"/>
              <w:right w:val="single" w:sz="4" w:space="0" w:color="auto"/>
            </w:tcBorders>
          </w:tcPr>
          <w:p w14:paraId="034F154B" w14:textId="77777777" w:rsidR="00154ECF" w:rsidRPr="007D0AA8" w:rsidRDefault="00154ECF" w:rsidP="00331FB9">
            <w:pPr>
              <w:pStyle w:val="ListParagraph"/>
              <w:numPr>
                <w:ilvl w:val="0"/>
                <w:numId w:val="16"/>
              </w:numPr>
              <w:spacing w:after="0" w:line="240" w:lineRule="auto"/>
              <w:ind w:left="230" w:hanging="207"/>
              <w:rPr>
                <w:rFonts w:ascii="Arial Narrow" w:hAnsi="Arial Narrow" w:cs="Calibri"/>
                <w:color w:val="000000"/>
                <w:sz w:val="20"/>
                <w:szCs w:val="20"/>
              </w:rPr>
            </w:pPr>
            <w:r w:rsidRPr="007D0AA8">
              <w:rPr>
                <w:rFonts w:ascii="Arial Narrow" w:hAnsi="Arial Narrow"/>
                <w:sz w:val="20"/>
              </w:rPr>
              <w:t xml:space="preserve">Skin induration and pain </w:t>
            </w:r>
          </w:p>
        </w:tc>
        <w:tc>
          <w:tcPr>
            <w:tcW w:w="780" w:type="pct"/>
            <w:tcBorders>
              <w:top w:val="nil"/>
              <w:left w:val="single" w:sz="4" w:space="0" w:color="auto"/>
              <w:bottom w:val="single" w:sz="4" w:space="0" w:color="auto"/>
              <w:right w:val="nil"/>
            </w:tcBorders>
            <w:shd w:val="clear" w:color="auto" w:fill="auto"/>
            <w:noWrap/>
          </w:tcPr>
          <w:p w14:paraId="0BF09639" w14:textId="77777777" w:rsidR="00154ECF" w:rsidRPr="007D0AA8" w:rsidRDefault="00154ECF" w:rsidP="00BF0BF3">
            <w:pPr>
              <w:spacing w:after="0" w:line="240" w:lineRule="auto"/>
              <w:rPr>
                <w:rFonts w:ascii="Arial Narrow" w:hAnsi="Arial Narrow" w:cs="Calibri"/>
                <w:color w:val="000000"/>
                <w:sz w:val="20"/>
                <w:szCs w:val="20"/>
              </w:rPr>
            </w:pPr>
            <w:r w:rsidRPr="007D0AA8">
              <w:rPr>
                <w:rFonts w:ascii="Arial Narrow" w:hAnsi="Arial Narrow"/>
                <w:sz w:val="20"/>
              </w:rPr>
              <w:t>2 (8)</w:t>
            </w:r>
          </w:p>
        </w:tc>
        <w:tc>
          <w:tcPr>
            <w:tcW w:w="783" w:type="pct"/>
            <w:tcBorders>
              <w:top w:val="nil"/>
              <w:left w:val="nil"/>
              <w:bottom w:val="single" w:sz="4" w:space="0" w:color="auto"/>
              <w:right w:val="nil"/>
            </w:tcBorders>
            <w:shd w:val="clear" w:color="auto" w:fill="auto"/>
            <w:noWrap/>
          </w:tcPr>
          <w:p w14:paraId="27BFB020" w14:textId="77777777" w:rsidR="00154ECF" w:rsidRPr="007D0AA8" w:rsidRDefault="00154ECF" w:rsidP="00BF0BF3">
            <w:pPr>
              <w:spacing w:after="0" w:line="240" w:lineRule="auto"/>
              <w:rPr>
                <w:rFonts w:ascii="Arial Narrow" w:hAnsi="Arial Narrow" w:cs="Calibri"/>
                <w:color w:val="000000"/>
                <w:sz w:val="20"/>
                <w:szCs w:val="20"/>
              </w:rPr>
            </w:pPr>
            <w:r w:rsidRPr="007D0AA8">
              <w:rPr>
                <w:rFonts w:ascii="Arial Narrow" w:hAnsi="Arial Narrow"/>
                <w:sz w:val="20"/>
              </w:rPr>
              <w:t>3 (12)</w:t>
            </w:r>
          </w:p>
        </w:tc>
        <w:tc>
          <w:tcPr>
            <w:tcW w:w="796" w:type="pct"/>
            <w:tcBorders>
              <w:top w:val="nil"/>
              <w:left w:val="nil"/>
              <w:bottom w:val="single" w:sz="4" w:space="0" w:color="auto"/>
              <w:right w:val="single" w:sz="4" w:space="0" w:color="auto"/>
            </w:tcBorders>
          </w:tcPr>
          <w:p w14:paraId="7FD4748F" w14:textId="0729A6DC" w:rsidR="00154ECF" w:rsidRPr="007D0AA8" w:rsidRDefault="00D6742F" w:rsidP="00BF0BF3">
            <w:pPr>
              <w:spacing w:after="0" w:line="240" w:lineRule="auto"/>
              <w:rPr>
                <w:rFonts w:ascii="Arial Narrow" w:hAnsi="Arial Narrow" w:cs="Calibri"/>
                <w:color w:val="000000"/>
                <w:sz w:val="20"/>
                <w:szCs w:val="20"/>
              </w:rPr>
            </w:pPr>
            <w:r>
              <w:rPr>
                <w:rFonts w:ascii="Arial Narrow" w:hAnsi="Arial Narrow" w:cs="Calibri"/>
                <w:color w:val="000000"/>
                <w:sz w:val="20"/>
                <w:szCs w:val="20"/>
              </w:rPr>
              <w:t>-</w:t>
            </w:r>
          </w:p>
        </w:tc>
      </w:tr>
      <w:tr w:rsidR="00D6742F" w:rsidRPr="007D0AA8" w14:paraId="7D5263DB" w14:textId="77777777" w:rsidTr="00763F47">
        <w:tc>
          <w:tcPr>
            <w:tcW w:w="862" w:type="pct"/>
            <w:tcBorders>
              <w:top w:val="nil"/>
              <w:left w:val="single" w:sz="4" w:space="0" w:color="auto"/>
              <w:bottom w:val="single" w:sz="4" w:space="0" w:color="auto"/>
              <w:right w:val="single" w:sz="4" w:space="0" w:color="auto"/>
            </w:tcBorders>
            <w:vAlign w:val="bottom"/>
          </w:tcPr>
          <w:p w14:paraId="5457BB17" w14:textId="77777777" w:rsidR="00D6742F" w:rsidRPr="007D0AA8" w:rsidRDefault="00D6742F" w:rsidP="00D6742F">
            <w:pPr>
              <w:spacing w:after="0" w:line="240" w:lineRule="auto"/>
              <w:rPr>
                <w:rFonts w:ascii="Arial Narrow" w:hAnsi="Arial Narrow" w:cs="Calibri"/>
                <w:color w:val="000000"/>
                <w:sz w:val="20"/>
                <w:szCs w:val="20"/>
              </w:rPr>
            </w:pPr>
          </w:p>
        </w:tc>
        <w:tc>
          <w:tcPr>
            <w:tcW w:w="1779" w:type="pct"/>
            <w:tcBorders>
              <w:top w:val="single" w:sz="4" w:space="0" w:color="auto"/>
              <w:left w:val="single" w:sz="4" w:space="0" w:color="auto"/>
              <w:bottom w:val="single" w:sz="4" w:space="0" w:color="auto"/>
              <w:right w:val="single" w:sz="4" w:space="0" w:color="auto"/>
            </w:tcBorders>
          </w:tcPr>
          <w:p w14:paraId="44B1490E" w14:textId="15835600"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Discontinuations due to AEs (%)</w:t>
            </w:r>
          </w:p>
        </w:tc>
        <w:tc>
          <w:tcPr>
            <w:tcW w:w="1563" w:type="pct"/>
            <w:gridSpan w:val="2"/>
            <w:tcBorders>
              <w:top w:val="single" w:sz="4" w:space="0" w:color="auto"/>
              <w:left w:val="single" w:sz="4" w:space="0" w:color="auto"/>
              <w:bottom w:val="single" w:sz="4" w:space="0" w:color="auto"/>
              <w:right w:val="nil"/>
            </w:tcBorders>
            <w:shd w:val="clear" w:color="auto" w:fill="auto"/>
            <w:noWrap/>
          </w:tcPr>
          <w:p w14:paraId="72E076E7" w14:textId="028DD079" w:rsidR="00D6742F" w:rsidRPr="007D0AA8" w:rsidRDefault="00D6742F" w:rsidP="00D6742F">
            <w:pPr>
              <w:spacing w:after="0" w:line="240" w:lineRule="auto"/>
              <w:jc w:val="center"/>
              <w:rPr>
                <w:rFonts w:ascii="Arial Narrow" w:hAnsi="Arial Narrow" w:cs="Calibri"/>
                <w:color w:val="000000"/>
                <w:sz w:val="20"/>
                <w:szCs w:val="20"/>
              </w:rPr>
            </w:pPr>
            <w:r w:rsidRPr="007D0AA8">
              <w:rPr>
                <w:rFonts w:ascii="Arial Narrow" w:hAnsi="Arial Narrow" w:cs="Calibri"/>
                <w:color w:val="000000"/>
                <w:sz w:val="20"/>
                <w:szCs w:val="20"/>
              </w:rPr>
              <w:t>3 (12.5)</w:t>
            </w:r>
          </w:p>
        </w:tc>
        <w:tc>
          <w:tcPr>
            <w:tcW w:w="796" w:type="pct"/>
            <w:tcBorders>
              <w:top w:val="single" w:sz="4" w:space="0" w:color="auto"/>
              <w:left w:val="nil"/>
              <w:bottom w:val="single" w:sz="4" w:space="0" w:color="auto"/>
              <w:right w:val="single" w:sz="4" w:space="0" w:color="auto"/>
            </w:tcBorders>
          </w:tcPr>
          <w:p w14:paraId="283E6917" w14:textId="17E7DC09"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bl>
    <w:p w14:paraId="74BDB504" w14:textId="55EB0A54" w:rsidR="00154ECF" w:rsidRPr="007D0AA8" w:rsidRDefault="002E612A" w:rsidP="008742A1">
      <w:pPr>
        <w:pStyle w:val="Tablenotes1"/>
      </w:pPr>
      <w:r w:rsidRPr="007D0AA8">
        <w:t>*Note</w:t>
      </w:r>
      <w:r w:rsidR="00154ECF" w:rsidRPr="007D0AA8">
        <w:t xml:space="preserve">: </w:t>
      </w:r>
      <w:r w:rsidR="00154ECF" w:rsidRPr="007D0AA8">
        <w:rPr>
          <w:u w:val="single"/>
        </w:rPr>
        <w:t>Vacca et al., 2018</w:t>
      </w:r>
      <w:r w:rsidR="00154ECF" w:rsidRPr="007D0AA8">
        <w:t xml:space="preserve"> – AEs only reported for SCIg and not for control group.  </w:t>
      </w:r>
    </w:p>
    <w:p w14:paraId="2CD656E9" w14:textId="1881B3DD" w:rsidR="00154ECF" w:rsidRPr="007D0AA8" w:rsidRDefault="00154ECF" w:rsidP="008742A1">
      <w:pPr>
        <w:pStyle w:val="Tablenotes1"/>
      </w:pPr>
      <w:r w:rsidRPr="007D0AA8">
        <w:t>AEs=adverse events;</w:t>
      </w:r>
      <w:r w:rsidR="002E612A" w:rsidRPr="007D0AA8">
        <w:t xml:space="preserve"> </w:t>
      </w:r>
      <w:r w:rsidRPr="007D0AA8">
        <w:t>MM=multiple myeloma; SCIg – subcutaneous immunoglobulin.</w:t>
      </w:r>
    </w:p>
    <w:p w14:paraId="3DA4D92D" w14:textId="44957746" w:rsidR="009F18BE" w:rsidRPr="007D0AA8" w:rsidRDefault="00D55174" w:rsidP="009F18BE">
      <w:r w:rsidRPr="007D0AA8">
        <w:t xml:space="preserve">One RCT compared SCIg to No SCIg in the clinical evidence </w:t>
      </w:r>
      <w:r w:rsidR="00AC4408" w:rsidRPr="007D0AA8">
        <w:fldChar w:fldCharType="begin">
          <w:fldData xml:space="preserve">PEVuZE5vdGU+PENpdGU+PEF1dGhvcj5WYWNjYTwvQXV0aG9yPjxZZWFyPjIwMTg8L1llYXI+PFJl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</w:fldData>
        </w:fldChar>
      </w:r>
      <w:r w:rsidR="00AC4408" w:rsidRPr="007D0AA8">
        <w:instrText xml:space="preserve"> ADDIN EN.CITE </w:instrText>
      </w:r>
      <w:r w:rsidR="00AC4408" w:rsidRPr="007D0AA8">
        <w:fldChar w:fldCharType="begin">
          <w:fldData xml:space="preserve">PEVuZE5vdGU+PENpdGU+PEF1dGhvcj5WYWNjYTwvQXV0aG9yPjxZZWFyPjIwMTg8L1llYXI+PFJl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</w:fldData>
        </w:fldChar>
      </w:r>
      <w:r w:rsidR="00AC4408" w:rsidRPr="007D0AA8">
        <w:instrText xml:space="preserve"> ADDIN EN.CITE.DATA </w:instrText>
      </w:r>
      <w:r w:rsidR="00AC4408" w:rsidRPr="007D0AA8">
        <w:fldChar w:fldCharType="end"/>
      </w:r>
      <w:r w:rsidR="00AC4408" w:rsidRPr="007D0AA8">
        <w:fldChar w:fldCharType="separate"/>
      </w:r>
      <w:r w:rsidR="00AC4408" w:rsidRPr="007D0AA8">
        <w:rPr>
          <w:noProof/>
        </w:rPr>
        <w:t>(</w:t>
      </w:r>
      <w:hyperlink w:anchor="_ENREF_52" w:tooltip="Vacca, 2018 #30" w:history="1">
        <w:r w:rsidR="00BB0145" w:rsidRPr="007D0AA8">
          <w:rPr>
            <w:noProof/>
          </w:rPr>
          <w:t>Vacca et al. 2018</w:t>
        </w:r>
      </w:hyperlink>
      <w:r w:rsidR="00AC4408" w:rsidRPr="007D0AA8">
        <w:rPr>
          <w:noProof/>
        </w:rPr>
        <w:t>)</w:t>
      </w:r>
      <w:r w:rsidR="00AC4408" w:rsidRPr="007D0AA8">
        <w:fldChar w:fldCharType="end"/>
      </w:r>
      <w:r w:rsidRPr="007D0AA8">
        <w:t xml:space="preserve">. </w:t>
      </w:r>
      <w:r w:rsidR="009F18BE" w:rsidRPr="007D0AA8">
        <w:t>The authors reported that three patients (3/24 [12.5%]) with Grade 3/4 events discontinued infusions and withdrew from the SCIg arm: two d</w:t>
      </w:r>
      <w:r w:rsidRPr="007D0AA8">
        <w:t xml:space="preserve">ue to injection site reactions; </w:t>
      </w:r>
      <w:r w:rsidR="009F18BE" w:rsidRPr="007D0AA8">
        <w:t>one had an extensive allergic skin reaction after</w:t>
      </w:r>
      <w:r w:rsidR="009F18BE" w:rsidRPr="00386411">
        <w:rPr>
          <w:b/>
        </w:rPr>
        <w:t xml:space="preserve"> </w:t>
      </w:r>
      <w:r w:rsidR="009F18BE" w:rsidRPr="007D0AA8">
        <w:t>the second infusion that resolved with steroid</w:t>
      </w:r>
      <w:r w:rsidRPr="007D0AA8">
        <w:t>s</w:t>
      </w:r>
      <w:r w:rsidR="009F18BE" w:rsidRPr="007D0AA8">
        <w:t xml:space="preserve"> and anti-histamines. Otherwise AEs due to SCIg were mild.  </w:t>
      </w:r>
    </w:p>
    <w:p w14:paraId="22DE0B7F" w14:textId="12E915DC" w:rsidR="00421DCA" w:rsidRPr="00386411" w:rsidRDefault="00421DCA" w:rsidP="00421DCA">
      <w:pPr>
        <w:pStyle w:val="Heading4"/>
      </w:pPr>
      <w:r w:rsidRPr="00386411">
        <w:t xml:space="preserve">Systemic and other AEs </w:t>
      </w:r>
      <w:r>
        <w:t>– case series</w:t>
      </w:r>
    </w:p>
    <w:p w14:paraId="18A9C7E8" w14:textId="0B87D639" w:rsidR="00E8580A" w:rsidRPr="007D0AA8" w:rsidRDefault="00DD6D33" w:rsidP="00E8580A">
      <w:r w:rsidRPr="007D0AA8">
        <w:t>Case series</w:t>
      </w:r>
      <w:r w:rsidR="007623B8" w:rsidRPr="007D0AA8">
        <w:t xml:space="preserve"> presenting safety data</w:t>
      </w:r>
      <w:r w:rsidR="00E8580A" w:rsidRPr="007D0AA8">
        <w:t xml:space="preserve"> </w:t>
      </w:r>
      <w:r w:rsidR="00FE40B0" w:rsidRPr="007D0AA8">
        <w:t>for IgG without a</w:t>
      </w:r>
      <w:r w:rsidRPr="007D0AA8">
        <w:t xml:space="preserve"> comparator group </w:t>
      </w:r>
      <w:r w:rsidR="00E8580A" w:rsidRPr="007D0AA8">
        <w:t>are summarised i</w:t>
      </w:r>
      <w:r w:rsidR="007623B8" w:rsidRPr="007D0AA8">
        <w:t xml:space="preserve">n </w:t>
      </w:r>
      <w:r w:rsidR="007623B8" w:rsidRPr="007D0AA8">
        <w:fldChar w:fldCharType="begin"/>
      </w:r>
      <w:r w:rsidR="007623B8" w:rsidRPr="007D0AA8">
        <w:instrText xml:space="preserve"> REF _Ref9247850 \h </w:instrText>
      </w:r>
      <w:r w:rsidR="00CC278A" w:rsidRPr="007D0AA8">
        <w:instrText xml:space="preserve"> \* MERGEFORMAT </w:instrText>
      </w:r>
      <w:r w:rsidR="007623B8" w:rsidRPr="007D0AA8">
        <w:fldChar w:fldCharType="separate"/>
      </w:r>
      <w:r w:rsidR="00A7463B" w:rsidRPr="00386411">
        <w:t xml:space="preserve">Table </w:t>
      </w:r>
      <w:r w:rsidR="00A7463B">
        <w:rPr>
          <w:noProof/>
        </w:rPr>
        <w:t>18</w:t>
      </w:r>
      <w:r w:rsidR="007623B8" w:rsidRPr="007D0AA8">
        <w:fldChar w:fldCharType="end"/>
      </w:r>
      <w:r w:rsidRPr="007D0AA8">
        <w:t xml:space="preserve"> (comparator indicated ‘N/A’ – these are studies that presented comparisons for efficacy outcomes based on untreated control patients or before/after data from IgG patients). </w:t>
      </w:r>
      <w:r w:rsidR="00FE40B0" w:rsidRPr="007D0AA8">
        <w:t>O</w:t>
      </w:r>
      <w:r w:rsidR="00CC278A" w:rsidRPr="007D0AA8">
        <w:t xml:space="preserve">ther </w:t>
      </w:r>
      <w:r w:rsidR="00FE40B0" w:rsidRPr="007D0AA8">
        <w:t xml:space="preserve">case </w:t>
      </w:r>
      <w:r w:rsidR="00CC278A" w:rsidRPr="007D0AA8">
        <w:t>studies</w:t>
      </w:r>
      <w:r w:rsidR="00FE40B0" w:rsidRPr="007D0AA8">
        <w:t xml:space="preserve"> presenting AEs from two IgG intervention groups are in </w:t>
      </w:r>
      <w:r w:rsidR="00FE40B0" w:rsidRPr="007D0AA8">
        <w:fldChar w:fldCharType="begin"/>
      </w:r>
      <w:r w:rsidR="00FE40B0" w:rsidRPr="007D0AA8">
        <w:instrText xml:space="preserve"> REF _Ref12276249 \h </w:instrText>
      </w:r>
      <w:r w:rsidR="00386411" w:rsidRPr="007D0AA8">
        <w:instrText xml:space="preserve"> \* MERGEFORMAT </w:instrText>
      </w:r>
      <w:r w:rsidR="00FE40B0" w:rsidRPr="007D0AA8">
        <w:fldChar w:fldCharType="separate"/>
      </w:r>
      <w:r w:rsidR="00A7463B" w:rsidRPr="00386411">
        <w:t xml:space="preserve">Table </w:t>
      </w:r>
      <w:r w:rsidR="00A7463B">
        <w:rPr>
          <w:noProof/>
        </w:rPr>
        <w:t>19</w:t>
      </w:r>
      <w:r w:rsidR="00FE40B0" w:rsidRPr="007D0AA8">
        <w:fldChar w:fldCharType="end"/>
      </w:r>
      <w:r w:rsidR="007623B8" w:rsidRPr="007D0AA8">
        <w:t>.</w:t>
      </w:r>
    </w:p>
    <w:p w14:paraId="66308986" w14:textId="2B526554" w:rsidR="00E8580A" w:rsidRPr="00386411" w:rsidRDefault="007623B8" w:rsidP="00E8580A">
      <w:pPr>
        <w:pStyle w:val="Caption"/>
        <w:keepNext/>
        <w:rPr>
          <w:rFonts w:cs="Arial"/>
          <w:snapToGrid w:val="0"/>
          <w:szCs w:val="16"/>
          <w:lang w:eastAsia="en-US"/>
        </w:rPr>
      </w:pPr>
      <w:bookmarkStart w:id="271" w:name="_Ref9247850"/>
      <w:bookmarkStart w:id="272" w:name="_Toc14429561"/>
      <w:bookmarkStart w:id="273" w:name="_Toc16671616"/>
      <w:r w:rsidRPr="00386411">
        <w:t xml:space="preserve">Table </w:t>
      </w:r>
      <w:r w:rsidR="002E5B22" w:rsidRPr="00386411">
        <w:rPr>
          <w:noProof/>
        </w:rPr>
        <w:fldChar w:fldCharType="begin"/>
      </w:r>
      <w:r w:rsidR="002E5B22" w:rsidRPr="00386411">
        <w:rPr>
          <w:noProof/>
        </w:rPr>
        <w:instrText xml:space="preserve"> SEQ Table \* ARABIC </w:instrText>
      </w:r>
      <w:r w:rsidR="002E5B22" w:rsidRPr="00386411">
        <w:rPr>
          <w:noProof/>
        </w:rPr>
        <w:fldChar w:fldCharType="separate"/>
      </w:r>
      <w:r w:rsidR="00A7463B">
        <w:rPr>
          <w:noProof/>
        </w:rPr>
        <w:t>18</w:t>
      </w:r>
      <w:r w:rsidR="002E5B22" w:rsidRPr="00386411">
        <w:rPr>
          <w:noProof/>
        </w:rPr>
        <w:fldChar w:fldCharType="end"/>
      </w:r>
      <w:bookmarkEnd w:id="271"/>
      <w:r w:rsidR="00E8580A" w:rsidRPr="00386411">
        <w:tab/>
      </w:r>
      <w:r w:rsidR="00CC278A" w:rsidRPr="00386411">
        <w:rPr>
          <w:rFonts w:cs="Arial"/>
          <w:snapToGrid w:val="0"/>
          <w:szCs w:val="16"/>
          <w:lang w:eastAsia="en-US"/>
        </w:rPr>
        <w:t>S</w:t>
      </w:r>
      <w:r w:rsidR="00E8580A" w:rsidRPr="00386411">
        <w:rPr>
          <w:rFonts w:cs="Arial"/>
          <w:snapToGrid w:val="0"/>
          <w:szCs w:val="16"/>
          <w:lang w:eastAsia="en-US"/>
        </w:rPr>
        <w:t xml:space="preserve">tudies presenting systemic </w:t>
      </w:r>
      <w:r w:rsidR="002E612A" w:rsidRPr="00386411">
        <w:rPr>
          <w:rFonts w:cs="Arial"/>
          <w:snapToGrid w:val="0"/>
          <w:szCs w:val="16"/>
          <w:lang w:eastAsia="en-US"/>
        </w:rPr>
        <w:t xml:space="preserve">and other </w:t>
      </w:r>
      <w:r w:rsidR="00E8580A" w:rsidRPr="00386411">
        <w:rPr>
          <w:rFonts w:cs="Arial"/>
          <w:snapToGrid w:val="0"/>
          <w:szCs w:val="16"/>
          <w:lang w:eastAsia="en-US"/>
        </w:rPr>
        <w:t>AE outcomes</w:t>
      </w:r>
      <w:r w:rsidR="008B2F9C" w:rsidRPr="00386411">
        <w:rPr>
          <w:rFonts w:cs="Arial"/>
          <w:snapToGrid w:val="0"/>
          <w:szCs w:val="16"/>
          <w:lang w:eastAsia="en-US"/>
        </w:rPr>
        <w:t xml:space="preserve"> for I</w:t>
      </w:r>
      <w:r w:rsidR="00CC278A" w:rsidRPr="00386411">
        <w:rPr>
          <w:rFonts w:cs="Arial"/>
          <w:snapToGrid w:val="0"/>
          <w:szCs w:val="16"/>
          <w:lang w:eastAsia="en-US"/>
        </w:rPr>
        <w:t>gG case series</w:t>
      </w:r>
      <w:bookmarkEnd w:id="272"/>
      <w:bookmarkEnd w:id="273"/>
    </w:p>
    <w:tbl>
      <w:tblPr>
        <w:tblW w:w="5000" w:type="pct"/>
        <w:tblLook w:val="04A0" w:firstRow="1" w:lastRow="0" w:firstColumn="1" w:lastColumn="0" w:noHBand="0" w:noVBand="1"/>
      </w:tblPr>
      <w:tblGrid>
        <w:gridCol w:w="1579"/>
        <w:gridCol w:w="7"/>
        <w:gridCol w:w="4184"/>
        <w:gridCol w:w="8"/>
        <w:gridCol w:w="1736"/>
        <w:gridCol w:w="39"/>
        <w:gridCol w:w="1689"/>
      </w:tblGrid>
      <w:tr w:rsidR="00CC278A" w:rsidRPr="00386411" w14:paraId="22C8A223" w14:textId="77777777" w:rsidTr="00B52A4F">
        <w:trPr>
          <w:tblHeader/>
        </w:trPr>
        <w:tc>
          <w:tcPr>
            <w:tcW w:w="858" w:type="pct"/>
            <w:gridSpan w:val="2"/>
            <w:tcBorders>
              <w:top w:val="single" w:sz="4" w:space="0" w:color="auto"/>
              <w:left w:val="single" w:sz="4" w:space="0" w:color="auto"/>
              <w:bottom w:val="nil"/>
              <w:right w:val="single" w:sz="4" w:space="0" w:color="auto"/>
            </w:tcBorders>
            <w:shd w:val="clear" w:color="auto" w:fill="D9D9D9" w:themeFill="background1" w:themeFillShade="D9"/>
            <w:vAlign w:val="bottom"/>
          </w:tcPr>
          <w:p w14:paraId="7A1D739B" w14:textId="77777777" w:rsidR="00CC278A" w:rsidRPr="00386411" w:rsidRDefault="00CC278A" w:rsidP="00CC278A">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Study, Indication</w:t>
            </w:r>
          </w:p>
        </w:tc>
        <w:tc>
          <w:tcPr>
            <w:tcW w:w="226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E8E8C9" w14:textId="77777777" w:rsidR="00CC278A" w:rsidRPr="00386411" w:rsidRDefault="00CC278A" w:rsidP="00CC278A">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Outcome</w:t>
            </w:r>
          </w:p>
        </w:tc>
        <w:tc>
          <w:tcPr>
            <w:tcW w:w="93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0373B04" w14:textId="77777777" w:rsidR="00CC278A" w:rsidRPr="00386411" w:rsidRDefault="00CC278A" w:rsidP="00CC278A">
            <w:pPr>
              <w:keepNext/>
              <w:spacing w:after="0" w:line="240" w:lineRule="auto"/>
              <w:rPr>
                <w:rFonts w:ascii="Arial Narrow" w:hAnsi="Arial Narrow"/>
                <w:b/>
                <w:sz w:val="20"/>
                <w:szCs w:val="20"/>
              </w:rPr>
            </w:pPr>
            <w:r w:rsidRPr="00386411">
              <w:rPr>
                <w:rFonts w:ascii="Arial Narrow" w:hAnsi="Arial Narrow"/>
                <w:b/>
                <w:sz w:val="20"/>
                <w:szCs w:val="20"/>
              </w:rPr>
              <w:t>Intervention</w:t>
            </w:r>
          </w:p>
        </w:tc>
        <w:tc>
          <w:tcPr>
            <w:tcW w:w="93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1DFD3AF" w14:textId="77777777" w:rsidR="00CC278A" w:rsidRPr="00386411" w:rsidRDefault="00CC278A" w:rsidP="00CC278A">
            <w:pPr>
              <w:keepNext/>
              <w:spacing w:after="0" w:line="240" w:lineRule="auto"/>
              <w:rPr>
                <w:rFonts w:ascii="Arial Narrow" w:hAnsi="Arial Narrow"/>
                <w:b/>
                <w:sz w:val="20"/>
                <w:szCs w:val="20"/>
              </w:rPr>
            </w:pPr>
            <w:r w:rsidRPr="00386411">
              <w:rPr>
                <w:rFonts w:ascii="Arial Narrow" w:hAnsi="Arial Narrow"/>
                <w:b/>
                <w:sz w:val="20"/>
                <w:szCs w:val="20"/>
              </w:rPr>
              <w:t xml:space="preserve">Comparator </w:t>
            </w:r>
          </w:p>
        </w:tc>
      </w:tr>
      <w:tr w:rsidR="009634B8" w:rsidRPr="00386411" w14:paraId="3A9B22DE" w14:textId="77777777" w:rsidTr="009634B8">
        <w:tc>
          <w:tcPr>
            <w:tcW w:w="5000" w:type="pct"/>
            <w:gridSpan w:val="7"/>
            <w:tcBorders>
              <w:top w:val="single" w:sz="4" w:space="0" w:color="auto"/>
              <w:left w:val="single" w:sz="4" w:space="0" w:color="auto"/>
              <w:bottom w:val="nil"/>
              <w:right w:val="single" w:sz="4" w:space="0" w:color="auto"/>
            </w:tcBorders>
            <w:shd w:val="clear" w:color="auto" w:fill="000000" w:themeFill="text1"/>
            <w:vAlign w:val="bottom"/>
          </w:tcPr>
          <w:p w14:paraId="306F584C" w14:textId="049CB8B8" w:rsidR="009634B8" w:rsidRPr="00386411" w:rsidRDefault="009634B8" w:rsidP="00CC278A">
            <w:pPr>
              <w:keepNext/>
              <w:spacing w:after="0" w:line="240" w:lineRule="auto"/>
              <w:rPr>
                <w:rFonts w:ascii="Arial Narrow" w:hAnsi="Arial Narrow"/>
                <w:b/>
                <w:sz w:val="20"/>
                <w:szCs w:val="20"/>
              </w:rPr>
            </w:pPr>
            <w:r w:rsidRPr="00386411">
              <w:rPr>
                <w:rFonts w:ascii="Arial Narrow" w:hAnsi="Arial Narrow"/>
                <w:b/>
                <w:color w:val="FFFFFF" w:themeColor="background1"/>
                <w:sz w:val="20"/>
                <w:szCs w:val="18"/>
              </w:rPr>
              <w:t>Non-comparative studies – IVIg case series</w:t>
            </w:r>
          </w:p>
        </w:tc>
      </w:tr>
      <w:tr w:rsidR="00CC278A" w:rsidRPr="00386411" w14:paraId="2D6129A6" w14:textId="77777777" w:rsidTr="00B52A4F">
        <w:tc>
          <w:tcPr>
            <w:tcW w:w="8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73DFE71" w14:textId="7FA1B7C5" w:rsidR="00CC278A" w:rsidRPr="00386411" w:rsidRDefault="00CC278A" w:rsidP="00CC278A">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*Brenner, 1996</w:t>
            </w:r>
          </w:p>
        </w:tc>
        <w:tc>
          <w:tcPr>
            <w:tcW w:w="226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5708C0" w14:textId="63A80668" w:rsidR="00CC278A" w:rsidRPr="00386411" w:rsidRDefault="00CC278A" w:rsidP="00CC278A">
            <w:pPr>
              <w:spacing w:after="0" w:line="240" w:lineRule="auto"/>
              <w:rPr>
                <w:rFonts w:ascii="Arial Narrow" w:hAnsi="Arial Narrow"/>
                <w:b/>
                <w:sz w:val="20"/>
              </w:rPr>
            </w:pPr>
            <w:r w:rsidRPr="00386411">
              <w:rPr>
                <w:rFonts w:ascii="Arial Narrow" w:hAnsi="Arial Narrow"/>
                <w:b/>
                <w:sz w:val="20"/>
              </w:rPr>
              <w:t>Total AEs (N=54)(SID=26; PID=28 patients)</w:t>
            </w:r>
          </w:p>
        </w:tc>
        <w:tc>
          <w:tcPr>
            <w:tcW w:w="943" w:type="pct"/>
            <w:gridSpan w:val="2"/>
            <w:tcBorders>
              <w:top w:val="single" w:sz="4" w:space="0" w:color="auto"/>
              <w:left w:val="single" w:sz="4" w:space="0" w:color="auto"/>
              <w:bottom w:val="single" w:sz="4" w:space="0" w:color="auto"/>
              <w:right w:val="nil"/>
            </w:tcBorders>
            <w:shd w:val="clear" w:color="auto" w:fill="D9D9D9" w:themeFill="background1" w:themeFillShade="D9"/>
            <w:noWrap/>
          </w:tcPr>
          <w:p w14:paraId="75F75D1A" w14:textId="400ABA3E" w:rsidR="00CC278A" w:rsidRPr="00386411" w:rsidRDefault="00CC278A" w:rsidP="00CC278A">
            <w:pPr>
              <w:spacing w:after="0" w:line="240" w:lineRule="auto"/>
              <w:rPr>
                <w:rFonts w:ascii="Arial Narrow" w:hAnsi="Arial Narrow"/>
                <w:b/>
                <w:sz w:val="20"/>
              </w:rPr>
            </w:pPr>
            <w:r w:rsidRPr="00386411">
              <w:rPr>
                <w:rFonts w:ascii="Arial Narrow" w:hAnsi="Arial Narrow"/>
                <w:b/>
                <w:sz w:val="20"/>
              </w:rPr>
              <w:t>IVIg (N=54)</w:t>
            </w:r>
          </w:p>
        </w:tc>
        <w:tc>
          <w:tcPr>
            <w:tcW w:w="935"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DBBA6DB" w14:textId="2C68421E" w:rsidR="00CC278A" w:rsidRPr="00386411" w:rsidRDefault="00DD6D33" w:rsidP="00DD6D33">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N/A</w:t>
            </w:r>
          </w:p>
        </w:tc>
      </w:tr>
      <w:tr w:rsidR="00CC278A" w:rsidRPr="007D0AA8" w14:paraId="059E8481" w14:textId="77777777" w:rsidTr="00B52A4F">
        <w:tc>
          <w:tcPr>
            <w:tcW w:w="855" w:type="pct"/>
            <w:tcBorders>
              <w:top w:val="single" w:sz="4" w:space="0" w:color="auto"/>
              <w:left w:val="single" w:sz="4" w:space="0" w:color="auto"/>
              <w:bottom w:val="nil"/>
              <w:right w:val="single" w:sz="4" w:space="0" w:color="auto"/>
            </w:tcBorders>
          </w:tcPr>
          <w:p w14:paraId="02F0A8A6" w14:textId="7A140FE7"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CLL(22), MM(4)</w:t>
            </w:r>
          </w:p>
        </w:tc>
        <w:tc>
          <w:tcPr>
            <w:tcW w:w="2267" w:type="pct"/>
            <w:gridSpan w:val="2"/>
            <w:tcBorders>
              <w:top w:val="single" w:sz="4" w:space="0" w:color="auto"/>
              <w:left w:val="single" w:sz="4" w:space="0" w:color="auto"/>
              <w:bottom w:val="nil"/>
              <w:right w:val="single" w:sz="4" w:space="0" w:color="auto"/>
            </w:tcBorders>
          </w:tcPr>
          <w:p w14:paraId="6582A3CC" w14:textId="68CEE77B" w:rsidR="00CC278A" w:rsidRPr="007D0AA8" w:rsidRDefault="00CC278A" w:rsidP="00CC278A">
            <w:pPr>
              <w:spacing w:after="0" w:line="240" w:lineRule="auto"/>
              <w:rPr>
                <w:rFonts w:ascii="Arial Narrow" w:hAnsi="Arial Narrow"/>
                <w:sz w:val="20"/>
              </w:rPr>
            </w:pPr>
            <w:r w:rsidRPr="007D0AA8">
              <w:rPr>
                <w:rFonts w:ascii="Arial Narrow" w:hAnsi="Arial Narrow"/>
                <w:sz w:val="20"/>
              </w:rPr>
              <w:t>No. of infusions with AEs (%) (N=301 infusions)</w:t>
            </w:r>
          </w:p>
        </w:tc>
        <w:tc>
          <w:tcPr>
            <w:tcW w:w="943" w:type="pct"/>
            <w:gridSpan w:val="2"/>
            <w:tcBorders>
              <w:top w:val="single" w:sz="4" w:space="0" w:color="auto"/>
              <w:left w:val="single" w:sz="4" w:space="0" w:color="auto"/>
              <w:bottom w:val="nil"/>
              <w:right w:val="nil"/>
            </w:tcBorders>
            <w:shd w:val="clear" w:color="auto" w:fill="auto"/>
            <w:noWrap/>
          </w:tcPr>
          <w:p w14:paraId="5FD2AB7E" w14:textId="649356F6" w:rsidR="00CC278A" w:rsidRPr="007D0AA8" w:rsidRDefault="00CC278A" w:rsidP="00CC278A">
            <w:pPr>
              <w:spacing w:after="0" w:line="240" w:lineRule="auto"/>
              <w:rPr>
                <w:rFonts w:ascii="Arial Narrow" w:hAnsi="Arial Narrow"/>
                <w:sz w:val="20"/>
              </w:rPr>
            </w:pPr>
            <w:r w:rsidRPr="007D0AA8">
              <w:rPr>
                <w:rFonts w:ascii="Arial Narrow" w:hAnsi="Arial Narrow"/>
                <w:sz w:val="20"/>
              </w:rPr>
              <w:t>41 (16%)</w:t>
            </w:r>
          </w:p>
        </w:tc>
        <w:tc>
          <w:tcPr>
            <w:tcW w:w="935" w:type="pct"/>
            <w:gridSpan w:val="2"/>
            <w:tcBorders>
              <w:top w:val="single" w:sz="4" w:space="0" w:color="auto"/>
              <w:left w:val="nil"/>
              <w:bottom w:val="nil"/>
              <w:right w:val="single" w:sz="4" w:space="0" w:color="auto"/>
            </w:tcBorders>
            <w:shd w:val="clear" w:color="auto" w:fill="auto"/>
            <w:noWrap/>
            <w:vAlign w:val="bottom"/>
          </w:tcPr>
          <w:p w14:paraId="3009DE36" w14:textId="037C102F"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CC278A" w:rsidRPr="007D0AA8" w14:paraId="366601FB" w14:textId="77777777" w:rsidTr="00B52A4F">
        <w:tc>
          <w:tcPr>
            <w:tcW w:w="855" w:type="pct"/>
            <w:tcBorders>
              <w:top w:val="nil"/>
              <w:left w:val="single" w:sz="4" w:space="0" w:color="auto"/>
              <w:bottom w:val="nil"/>
              <w:right w:val="single" w:sz="4" w:space="0" w:color="auto"/>
            </w:tcBorders>
          </w:tcPr>
          <w:p w14:paraId="3442F1E0" w14:textId="6EF03779" w:rsidR="00CC278A" w:rsidRPr="007D0AA8" w:rsidRDefault="00CC278A" w:rsidP="00CC278A">
            <w:pPr>
              <w:spacing w:after="0" w:line="240" w:lineRule="auto"/>
              <w:rPr>
                <w:rFonts w:ascii="Arial Narrow" w:hAnsi="Arial Narrow" w:cs="Calibri"/>
                <w:color w:val="000000"/>
                <w:sz w:val="20"/>
                <w:szCs w:val="20"/>
              </w:rPr>
            </w:pPr>
          </w:p>
        </w:tc>
        <w:tc>
          <w:tcPr>
            <w:tcW w:w="2267" w:type="pct"/>
            <w:gridSpan w:val="2"/>
            <w:tcBorders>
              <w:top w:val="nil"/>
              <w:left w:val="single" w:sz="4" w:space="0" w:color="auto"/>
              <w:bottom w:val="nil"/>
              <w:right w:val="single" w:sz="4" w:space="0" w:color="auto"/>
            </w:tcBorders>
          </w:tcPr>
          <w:p w14:paraId="0745DCF2" w14:textId="3FD3C462"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sz w:val="20"/>
              </w:rPr>
              <w:t>Infusions with mild AEs</w:t>
            </w:r>
          </w:p>
        </w:tc>
        <w:tc>
          <w:tcPr>
            <w:tcW w:w="943" w:type="pct"/>
            <w:gridSpan w:val="2"/>
            <w:tcBorders>
              <w:top w:val="nil"/>
              <w:left w:val="single" w:sz="4" w:space="0" w:color="auto"/>
              <w:bottom w:val="nil"/>
              <w:right w:val="nil"/>
            </w:tcBorders>
            <w:shd w:val="clear" w:color="auto" w:fill="auto"/>
            <w:noWrap/>
          </w:tcPr>
          <w:p w14:paraId="1E39D6BB" w14:textId="589B3739"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sz w:val="20"/>
              </w:rPr>
              <w:t>35 (65%)</w:t>
            </w:r>
          </w:p>
        </w:tc>
        <w:tc>
          <w:tcPr>
            <w:tcW w:w="935" w:type="pct"/>
            <w:gridSpan w:val="2"/>
            <w:tcBorders>
              <w:top w:val="nil"/>
              <w:left w:val="nil"/>
              <w:bottom w:val="nil"/>
              <w:right w:val="single" w:sz="4" w:space="0" w:color="auto"/>
            </w:tcBorders>
            <w:shd w:val="clear" w:color="auto" w:fill="auto"/>
            <w:noWrap/>
            <w:vAlign w:val="bottom"/>
          </w:tcPr>
          <w:p w14:paraId="2BEF7ADC" w14:textId="4B882E73"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CC278A" w:rsidRPr="007D0AA8" w14:paraId="254A1C70" w14:textId="77777777" w:rsidTr="00B52A4F">
        <w:tc>
          <w:tcPr>
            <w:tcW w:w="855" w:type="pct"/>
            <w:tcBorders>
              <w:top w:val="nil"/>
              <w:left w:val="single" w:sz="4" w:space="0" w:color="auto"/>
              <w:bottom w:val="nil"/>
              <w:right w:val="single" w:sz="4" w:space="0" w:color="auto"/>
            </w:tcBorders>
          </w:tcPr>
          <w:p w14:paraId="0266BD66" w14:textId="07A6521A" w:rsidR="00CC278A" w:rsidRPr="007D0AA8" w:rsidRDefault="00CC278A" w:rsidP="00CC278A">
            <w:pPr>
              <w:spacing w:after="0" w:line="240" w:lineRule="auto"/>
              <w:rPr>
                <w:rFonts w:ascii="Arial Narrow" w:hAnsi="Arial Narrow" w:cs="Calibri"/>
                <w:color w:val="000000"/>
                <w:sz w:val="20"/>
                <w:szCs w:val="20"/>
              </w:rPr>
            </w:pPr>
          </w:p>
        </w:tc>
        <w:tc>
          <w:tcPr>
            <w:tcW w:w="2267" w:type="pct"/>
            <w:gridSpan w:val="2"/>
            <w:tcBorders>
              <w:top w:val="nil"/>
              <w:left w:val="single" w:sz="4" w:space="0" w:color="auto"/>
              <w:bottom w:val="nil"/>
              <w:right w:val="single" w:sz="4" w:space="0" w:color="auto"/>
            </w:tcBorders>
          </w:tcPr>
          <w:p w14:paraId="3A7CA2E9" w14:textId="136D583F"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sz w:val="20"/>
              </w:rPr>
              <w:t>Infusions with moderate AEs</w:t>
            </w:r>
          </w:p>
        </w:tc>
        <w:tc>
          <w:tcPr>
            <w:tcW w:w="943" w:type="pct"/>
            <w:gridSpan w:val="2"/>
            <w:tcBorders>
              <w:top w:val="nil"/>
              <w:left w:val="single" w:sz="4" w:space="0" w:color="auto"/>
              <w:bottom w:val="nil"/>
              <w:right w:val="nil"/>
            </w:tcBorders>
            <w:shd w:val="clear" w:color="auto" w:fill="auto"/>
            <w:noWrap/>
          </w:tcPr>
          <w:p w14:paraId="5A82889B" w14:textId="55A26397"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sz w:val="20"/>
              </w:rPr>
              <w:t>6 (11%)</w:t>
            </w:r>
          </w:p>
        </w:tc>
        <w:tc>
          <w:tcPr>
            <w:tcW w:w="935" w:type="pct"/>
            <w:gridSpan w:val="2"/>
            <w:tcBorders>
              <w:top w:val="nil"/>
              <w:left w:val="nil"/>
              <w:bottom w:val="nil"/>
              <w:right w:val="single" w:sz="4" w:space="0" w:color="auto"/>
            </w:tcBorders>
            <w:shd w:val="clear" w:color="auto" w:fill="auto"/>
            <w:noWrap/>
            <w:vAlign w:val="bottom"/>
          </w:tcPr>
          <w:p w14:paraId="5CBF897C" w14:textId="426ADA14"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CC278A" w:rsidRPr="007D0AA8" w14:paraId="4C492B84" w14:textId="77777777" w:rsidTr="00B52A4F">
        <w:tc>
          <w:tcPr>
            <w:tcW w:w="855" w:type="pct"/>
            <w:tcBorders>
              <w:top w:val="nil"/>
              <w:left w:val="single" w:sz="4" w:space="0" w:color="auto"/>
              <w:bottom w:val="nil"/>
              <w:right w:val="single" w:sz="4" w:space="0" w:color="auto"/>
            </w:tcBorders>
            <w:vAlign w:val="bottom"/>
          </w:tcPr>
          <w:p w14:paraId="2731B368" w14:textId="77777777" w:rsidR="00CC278A" w:rsidRPr="007D0AA8" w:rsidRDefault="00CC278A" w:rsidP="00CC278A">
            <w:pPr>
              <w:spacing w:after="0" w:line="240" w:lineRule="auto"/>
              <w:rPr>
                <w:rFonts w:ascii="Arial Narrow" w:hAnsi="Arial Narrow" w:cs="Calibri"/>
                <w:color w:val="000000"/>
                <w:sz w:val="20"/>
                <w:szCs w:val="20"/>
              </w:rPr>
            </w:pPr>
          </w:p>
        </w:tc>
        <w:tc>
          <w:tcPr>
            <w:tcW w:w="2267" w:type="pct"/>
            <w:gridSpan w:val="2"/>
            <w:tcBorders>
              <w:top w:val="nil"/>
              <w:left w:val="single" w:sz="4" w:space="0" w:color="auto"/>
              <w:bottom w:val="nil"/>
              <w:right w:val="single" w:sz="4" w:space="0" w:color="auto"/>
            </w:tcBorders>
          </w:tcPr>
          <w:p w14:paraId="38BC5188" w14:textId="50DCD921"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sz w:val="20"/>
              </w:rPr>
              <w:t>Infusions with severe AEs</w:t>
            </w:r>
          </w:p>
        </w:tc>
        <w:tc>
          <w:tcPr>
            <w:tcW w:w="943" w:type="pct"/>
            <w:gridSpan w:val="2"/>
            <w:tcBorders>
              <w:top w:val="nil"/>
              <w:left w:val="single" w:sz="4" w:space="0" w:color="auto"/>
              <w:bottom w:val="nil"/>
              <w:right w:val="nil"/>
            </w:tcBorders>
            <w:shd w:val="clear" w:color="auto" w:fill="auto"/>
            <w:noWrap/>
          </w:tcPr>
          <w:p w14:paraId="2B90A374" w14:textId="77777777"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sz w:val="20"/>
              </w:rPr>
              <w:t>0</w:t>
            </w:r>
          </w:p>
        </w:tc>
        <w:tc>
          <w:tcPr>
            <w:tcW w:w="935" w:type="pct"/>
            <w:gridSpan w:val="2"/>
            <w:tcBorders>
              <w:top w:val="nil"/>
              <w:left w:val="nil"/>
              <w:bottom w:val="nil"/>
              <w:right w:val="single" w:sz="4" w:space="0" w:color="auto"/>
            </w:tcBorders>
            <w:shd w:val="clear" w:color="auto" w:fill="auto"/>
            <w:noWrap/>
            <w:vAlign w:val="bottom"/>
          </w:tcPr>
          <w:p w14:paraId="66DB52D5" w14:textId="183D051D"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CC278A" w:rsidRPr="007D0AA8" w14:paraId="2877BB30" w14:textId="77777777" w:rsidTr="00B52A4F">
        <w:tc>
          <w:tcPr>
            <w:tcW w:w="855" w:type="pct"/>
            <w:tcBorders>
              <w:top w:val="nil"/>
              <w:left w:val="single" w:sz="4" w:space="0" w:color="auto"/>
              <w:bottom w:val="nil"/>
              <w:right w:val="single" w:sz="4" w:space="0" w:color="auto"/>
            </w:tcBorders>
            <w:vAlign w:val="bottom"/>
          </w:tcPr>
          <w:p w14:paraId="2E174152" w14:textId="77777777" w:rsidR="00CC278A" w:rsidRPr="007D0AA8" w:rsidRDefault="00CC278A" w:rsidP="00CC278A">
            <w:pPr>
              <w:spacing w:after="0" w:line="240" w:lineRule="auto"/>
              <w:rPr>
                <w:rFonts w:ascii="Arial Narrow" w:hAnsi="Arial Narrow" w:cs="Calibri"/>
                <w:color w:val="000000"/>
                <w:sz w:val="20"/>
                <w:szCs w:val="20"/>
              </w:rPr>
            </w:pPr>
          </w:p>
        </w:tc>
        <w:tc>
          <w:tcPr>
            <w:tcW w:w="2267" w:type="pct"/>
            <w:gridSpan w:val="2"/>
            <w:tcBorders>
              <w:top w:val="nil"/>
              <w:left w:val="single" w:sz="4" w:space="0" w:color="auto"/>
              <w:bottom w:val="nil"/>
              <w:right w:val="single" w:sz="4" w:space="0" w:color="auto"/>
            </w:tcBorders>
          </w:tcPr>
          <w:p w14:paraId="4D31AAE6" w14:textId="4675F818"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sz w:val="20"/>
              </w:rPr>
              <w:t>Infusions with most common AE – fever</w:t>
            </w:r>
          </w:p>
        </w:tc>
        <w:tc>
          <w:tcPr>
            <w:tcW w:w="943" w:type="pct"/>
            <w:gridSpan w:val="2"/>
            <w:tcBorders>
              <w:top w:val="nil"/>
              <w:left w:val="single" w:sz="4" w:space="0" w:color="auto"/>
              <w:bottom w:val="nil"/>
              <w:right w:val="nil"/>
            </w:tcBorders>
            <w:shd w:val="clear" w:color="auto" w:fill="auto"/>
            <w:noWrap/>
          </w:tcPr>
          <w:p w14:paraId="057617AB" w14:textId="77777777"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sz w:val="20"/>
              </w:rPr>
              <w:t>12 (4%)</w:t>
            </w:r>
          </w:p>
        </w:tc>
        <w:tc>
          <w:tcPr>
            <w:tcW w:w="935" w:type="pct"/>
            <w:gridSpan w:val="2"/>
            <w:tcBorders>
              <w:top w:val="nil"/>
              <w:left w:val="nil"/>
              <w:bottom w:val="nil"/>
              <w:right w:val="single" w:sz="4" w:space="0" w:color="auto"/>
            </w:tcBorders>
            <w:shd w:val="clear" w:color="auto" w:fill="auto"/>
            <w:noWrap/>
            <w:vAlign w:val="bottom"/>
          </w:tcPr>
          <w:p w14:paraId="1E76B3FE" w14:textId="77F9E6D3"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CC278A" w:rsidRPr="007D0AA8" w14:paraId="13552B09" w14:textId="77777777" w:rsidTr="00B52A4F">
        <w:tc>
          <w:tcPr>
            <w:tcW w:w="855" w:type="pct"/>
            <w:tcBorders>
              <w:top w:val="nil"/>
              <w:left w:val="single" w:sz="4" w:space="0" w:color="auto"/>
              <w:bottom w:val="nil"/>
              <w:right w:val="single" w:sz="4" w:space="0" w:color="auto"/>
            </w:tcBorders>
            <w:vAlign w:val="bottom"/>
          </w:tcPr>
          <w:p w14:paraId="1454FB2E" w14:textId="77777777" w:rsidR="00CC278A" w:rsidRPr="007D0AA8" w:rsidRDefault="00CC278A" w:rsidP="00CC278A">
            <w:pPr>
              <w:spacing w:after="0" w:line="240" w:lineRule="auto"/>
              <w:rPr>
                <w:rFonts w:ascii="Arial Narrow" w:hAnsi="Arial Narrow" w:cs="Calibri"/>
                <w:color w:val="000000"/>
                <w:sz w:val="20"/>
                <w:szCs w:val="20"/>
              </w:rPr>
            </w:pPr>
          </w:p>
        </w:tc>
        <w:tc>
          <w:tcPr>
            <w:tcW w:w="2267" w:type="pct"/>
            <w:gridSpan w:val="2"/>
            <w:tcBorders>
              <w:top w:val="nil"/>
              <w:left w:val="single" w:sz="4" w:space="0" w:color="auto"/>
              <w:bottom w:val="nil"/>
              <w:right w:val="single" w:sz="4" w:space="0" w:color="auto"/>
            </w:tcBorders>
          </w:tcPr>
          <w:p w14:paraId="1B34C5EA" w14:textId="510AA0CA"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sz w:val="20"/>
              </w:rPr>
              <w:t>Infusions with AE – chills</w:t>
            </w:r>
          </w:p>
        </w:tc>
        <w:tc>
          <w:tcPr>
            <w:tcW w:w="943" w:type="pct"/>
            <w:gridSpan w:val="2"/>
            <w:tcBorders>
              <w:top w:val="nil"/>
              <w:left w:val="single" w:sz="4" w:space="0" w:color="auto"/>
              <w:bottom w:val="nil"/>
              <w:right w:val="nil"/>
            </w:tcBorders>
            <w:shd w:val="clear" w:color="auto" w:fill="auto"/>
            <w:noWrap/>
          </w:tcPr>
          <w:p w14:paraId="5299704F" w14:textId="77777777"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sz w:val="20"/>
              </w:rPr>
              <w:t>10 (3%)</w:t>
            </w:r>
          </w:p>
        </w:tc>
        <w:tc>
          <w:tcPr>
            <w:tcW w:w="935" w:type="pct"/>
            <w:gridSpan w:val="2"/>
            <w:tcBorders>
              <w:top w:val="nil"/>
              <w:left w:val="nil"/>
              <w:bottom w:val="nil"/>
              <w:right w:val="single" w:sz="4" w:space="0" w:color="auto"/>
            </w:tcBorders>
            <w:shd w:val="clear" w:color="auto" w:fill="auto"/>
            <w:noWrap/>
            <w:vAlign w:val="bottom"/>
          </w:tcPr>
          <w:p w14:paraId="6376596B" w14:textId="49191CD2"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CC278A" w:rsidRPr="007D0AA8" w14:paraId="71B5D9DA" w14:textId="77777777" w:rsidTr="00B52A4F">
        <w:tc>
          <w:tcPr>
            <w:tcW w:w="855" w:type="pct"/>
            <w:tcBorders>
              <w:top w:val="nil"/>
              <w:left w:val="single" w:sz="4" w:space="0" w:color="auto"/>
              <w:bottom w:val="nil"/>
              <w:right w:val="single" w:sz="4" w:space="0" w:color="auto"/>
            </w:tcBorders>
            <w:vAlign w:val="bottom"/>
          </w:tcPr>
          <w:p w14:paraId="4560B94F" w14:textId="77777777" w:rsidR="00CC278A" w:rsidRPr="007D0AA8" w:rsidRDefault="00CC278A" w:rsidP="00CC278A">
            <w:pPr>
              <w:spacing w:after="0" w:line="240" w:lineRule="auto"/>
              <w:rPr>
                <w:rFonts w:ascii="Arial Narrow" w:hAnsi="Arial Narrow" w:cs="Calibri"/>
                <w:color w:val="000000"/>
                <w:sz w:val="20"/>
                <w:szCs w:val="20"/>
              </w:rPr>
            </w:pPr>
          </w:p>
        </w:tc>
        <w:tc>
          <w:tcPr>
            <w:tcW w:w="2267" w:type="pct"/>
            <w:gridSpan w:val="2"/>
            <w:tcBorders>
              <w:top w:val="nil"/>
              <w:left w:val="single" w:sz="4" w:space="0" w:color="auto"/>
              <w:bottom w:val="nil"/>
              <w:right w:val="single" w:sz="4" w:space="0" w:color="auto"/>
            </w:tcBorders>
          </w:tcPr>
          <w:p w14:paraId="2AB1D8A7" w14:textId="367245CC"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sz w:val="20"/>
              </w:rPr>
              <w:t>Infusions with AE – nausea</w:t>
            </w:r>
          </w:p>
        </w:tc>
        <w:tc>
          <w:tcPr>
            <w:tcW w:w="943" w:type="pct"/>
            <w:gridSpan w:val="2"/>
            <w:tcBorders>
              <w:top w:val="nil"/>
              <w:left w:val="single" w:sz="4" w:space="0" w:color="auto"/>
              <w:bottom w:val="nil"/>
              <w:right w:val="nil"/>
            </w:tcBorders>
            <w:shd w:val="clear" w:color="auto" w:fill="auto"/>
            <w:noWrap/>
          </w:tcPr>
          <w:p w14:paraId="03D1470D" w14:textId="77777777"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sz w:val="20"/>
              </w:rPr>
              <w:t>n.r. (1.5%)</w:t>
            </w:r>
          </w:p>
        </w:tc>
        <w:tc>
          <w:tcPr>
            <w:tcW w:w="935" w:type="pct"/>
            <w:gridSpan w:val="2"/>
            <w:tcBorders>
              <w:top w:val="nil"/>
              <w:left w:val="nil"/>
              <w:bottom w:val="nil"/>
              <w:right w:val="single" w:sz="4" w:space="0" w:color="auto"/>
            </w:tcBorders>
            <w:shd w:val="clear" w:color="auto" w:fill="auto"/>
            <w:noWrap/>
            <w:vAlign w:val="bottom"/>
          </w:tcPr>
          <w:p w14:paraId="0E9F8309" w14:textId="63737AFB"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CC278A" w:rsidRPr="007D0AA8" w14:paraId="276B63B7" w14:textId="77777777" w:rsidTr="00B52A4F">
        <w:tc>
          <w:tcPr>
            <w:tcW w:w="855" w:type="pct"/>
            <w:tcBorders>
              <w:top w:val="nil"/>
              <w:left w:val="single" w:sz="4" w:space="0" w:color="auto"/>
              <w:bottom w:val="nil"/>
              <w:right w:val="single" w:sz="4" w:space="0" w:color="auto"/>
            </w:tcBorders>
            <w:vAlign w:val="bottom"/>
          </w:tcPr>
          <w:p w14:paraId="68737828" w14:textId="77777777" w:rsidR="00CC278A" w:rsidRPr="007D0AA8" w:rsidRDefault="00CC278A" w:rsidP="00CC278A">
            <w:pPr>
              <w:spacing w:after="0" w:line="240" w:lineRule="auto"/>
              <w:rPr>
                <w:rFonts w:ascii="Arial Narrow" w:hAnsi="Arial Narrow" w:cs="Calibri"/>
                <w:color w:val="000000"/>
                <w:sz w:val="20"/>
                <w:szCs w:val="20"/>
              </w:rPr>
            </w:pPr>
          </w:p>
        </w:tc>
        <w:tc>
          <w:tcPr>
            <w:tcW w:w="2267" w:type="pct"/>
            <w:gridSpan w:val="2"/>
            <w:tcBorders>
              <w:top w:val="nil"/>
              <w:left w:val="single" w:sz="4" w:space="0" w:color="auto"/>
              <w:bottom w:val="nil"/>
              <w:right w:val="single" w:sz="4" w:space="0" w:color="auto"/>
            </w:tcBorders>
          </w:tcPr>
          <w:p w14:paraId="30D57491" w14:textId="035A09C4"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sz w:val="20"/>
              </w:rPr>
              <w:t>Infusions with AE – headache</w:t>
            </w:r>
          </w:p>
        </w:tc>
        <w:tc>
          <w:tcPr>
            <w:tcW w:w="943" w:type="pct"/>
            <w:gridSpan w:val="2"/>
            <w:tcBorders>
              <w:top w:val="nil"/>
              <w:left w:val="single" w:sz="4" w:space="0" w:color="auto"/>
              <w:bottom w:val="nil"/>
              <w:right w:val="nil"/>
            </w:tcBorders>
            <w:shd w:val="clear" w:color="auto" w:fill="auto"/>
            <w:noWrap/>
          </w:tcPr>
          <w:p w14:paraId="07E5B6F2" w14:textId="77777777"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sz w:val="20"/>
              </w:rPr>
              <w:t>n.r. (1.5%)</w:t>
            </w:r>
          </w:p>
        </w:tc>
        <w:tc>
          <w:tcPr>
            <w:tcW w:w="935" w:type="pct"/>
            <w:gridSpan w:val="2"/>
            <w:tcBorders>
              <w:top w:val="nil"/>
              <w:left w:val="nil"/>
              <w:bottom w:val="nil"/>
              <w:right w:val="single" w:sz="4" w:space="0" w:color="auto"/>
            </w:tcBorders>
            <w:shd w:val="clear" w:color="auto" w:fill="auto"/>
            <w:noWrap/>
            <w:vAlign w:val="bottom"/>
          </w:tcPr>
          <w:p w14:paraId="12A81458" w14:textId="6041CF17"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CC278A" w:rsidRPr="007D0AA8" w14:paraId="109C9F14" w14:textId="77777777" w:rsidTr="00B52A4F">
        <w:tc>
          <w:tcPr>
            <w:tcW w:w="855" w:type="pct"/>
            <w:tcBorders>
              <w:top w:val="nil"/>
              <w:left w:val="single" w:sz="4" w:space="0" w:color="auto"/>
              <w:bottom w:val="nil"/>
              <w:right w:val="single" w:sz="4" w:space="0" w:color="auto"/>
            </w:tcBorders>
            <w:vAlign w:val="bottom"/>
          </w:tcPr>
          <w:p w14:paraId="5DDD3A52" w14:textId="77777777" w:rsidR="00CC278A" w:rsidRPr="007D0AA8" w:rsidRDefault="00CC278A" w:rsidP="00CC278A">
            <w:pPr>
              <w:spacing w:after="0" w:line="240" w:lineRule="auto"/>
              <w:rPr>
                <w:rFonts w:ascii="Arial Narrow" w:hAnsi="Arial Narrow" w:cs="Calibri"/>
                <w:color w:val="000000"/>
                <w:sz w:val="20"/>
                <w:szCs w:val="20"/>
              </w:rPr>
            </w:pPr>
          </w:p>
        </w:tc>
        <w:tc>
          <w:tcPr>
            <w:tcW w:w="2267" w:type="pct"/>
            <w:gridSpan w:val="2"/>
            <w:tcBorders>
              <w:top w:val="nil"/>
              <w:left w:val="single" w:sz="4" w:space="0" w:color="auto"/>
              <w:bottom w:val="nil"/>
              <w:right w:val="single" w:sz="4" w:space="0" w:color="auto"/>
            </w:tcBorders>
          </w:tcPr>
          <w:p w14:paraId="0B1349A3" w14:textId="69DBEEBE"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sz w:val="20"/>
              </w:rPr>
              <w:t>Other AEs*</w:t>
            </w:r>
          </w:p>
        </w:tc>
        <w:tc>
          <w:tcPr>
            <w:tcW w:w="943" w:type="pct"/>
            <w:gridSpan w:val="2"/>
            <w:tcBorders>
              <w:top w:val="nil"/>
              <w:left w:val="single" w:sz="4" w:space="0" w:color="auto"/>
              <w:bottom w:val="nil"/>
              <w:right w:val="nil"/>
            </w:tcBorders>
            <w:shd w:val="clear" w:color="auto" w:fill="auto"/>
            <w:noWrap/>
          </w:tcPr>
          <w:p w14:paraId="7DFCB0A0" w14:textId="77777777"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sz w:val="20"/>
              </w:rPr>
              <w:t>&lt;0.7%</w:t>
            </w:r>
          </w:p>
        </w:tc>
        <w:tc>
          <w:tcPr>
            <w:tcW w:w="935" w:type="pct"/>
            <w:gridSpan w:val="2"/>
            <w:tcBorders>
              <w:top w:val="nil"/>
              <w:left w:val="nil"/>
              <w:bottom w:val="nil"/>
              <w:right w:val="single" w:sz="4" w:space="0" w:color="auto"/>
            </w:tcBorders>
            <w:shd w:val="clear" w:color="auto" w:fill="auto"/>
            <w:noWrap/>
            <w:vAlign w:val="bottom"/>
          </w:tcPr>
          <w:p w14:paraId="6210F617" w14:textId="57B29260"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CC278A" w:rsidRPr="007D0AA8" w14:paraId="0711B1CB" w14:textId="77777777" w:rsidTr="00B52A4F">
        <w:tc>
          <w:tcPr>
            <w:tcW w:w="855" w:type="pct"/>
            <w:tcBorders>
              <w:top w:val="nil"/>
              <w:left w:val="single" w:sz="4" w:space="0" w:color="auto"/>
              <w:bottom w:val="nil"/>
              <w:right w:val="single" w:sz="4" w:space="0" w:color="auto"/>
            </w:tcBorders>
            <w:vAlign w:val="bottom"/>
          </w:tcPr>
          <w:p w14:paraId="0128020E" w14:textId="77777777" w:rsidR="00CC278A" w:rsidRPr="007D0AA8" w:rsidRDefault="00CC278A" w:rsidP="00CC278A">
            <w:pPr>
              <w:spacing w:after="0" w:line="240" w:lineRule="auto"/>
              <w:rPr>
                <w:rFonts w:ascii="Arial Narrow" w:hAnsi="Arial Narrow" w:cs="Calibri"/>
                <w:color w:val="000000"/>
                <w:sz w:val="20"/>
                <w:szCs w:val="20"/>
              </w:rPr>
            </w:pPr>
          </w:p>
        </w:tc>
        <w:tc>
          <w:tcPr>
            <w:tcW w:w="2267" w:type="pct"/>
            <w:gridSpan w:val="2"/>
            <w:tcBorders>
              <w:top w:val="nil"/>
              <w:left w:val="single" w:sz="4" w:space="0" w:color="auto"/>
              <w:bottom w:val="single" w:sz="4" w:space="0" w:color="auto"/>
              <w:right w:val="single" w:sz="4" w:space="0" w:color="auto"/>
            </w:tcBorders>
          </w:tcPr>
          <w:p w14:paraId="76E38A88" w14:textId="77777777" w:rsidR="00CC278A" w:rsidRPr="007D0AA8" w:rsidRDefault="00CC278A" w:rsidP="00CC278A">
            <w:pPr>
              <w:spacing w:after="0" w:line="240" w:lineRule="auto"/>
              <w:rPr>
                <w:rFonts w:ascii="Arial Narrow" w:hAnsi="Arial Narrow"/>
                <w:sz w:val="20"/>
              </w:rPr>
            </w:pPr>
            <w:r w:rsidRPr="007D0AA8">
              <w:rPr>
                <w:rFonts w:ascii="Arial Narrow" w:hAnsi="Arial Narrow"/>
                <w:sz w:val="20"/>
              </w:rPr>
              <w:t>Types of AEs reported</w:t>
            </w:r>
          </w:p>
        </w:tc>
        <w:tc>
          <w:tcPr>
            <w:tcW w:w="943" w:type="pct"/>
            <w:gridSpan w:val="2"/>
            <w:tcBorders>
              <w:top w:val="nil"/>
              <w:left w:val="single" w:sz="4" w:space="0" w:color="auto"/>
              <w:bottom w:val="single" w:sz="4" w:space="0" w:color="auto"/>
              <w:right w:val="nil"/>
            </w:tcBorders>
            <w:shd w:val="clear" w:color="auto" w:fill="auto"/>
            <w:noWrap/>
          </w:tcPr>
          <w:p w14:paraId="12466D22" w14:textId="77777777" w:rsidR="00CC278A" w:rsidRPr="007D0AA8" w:rsidRDefault="00CC278A" w:rsidP="00CC278A">
            <w:pPr>
              <w:spacing w:after="0" w:line="240" w:lineRule="auto"/>
              <w:rPr>
                <w:rFonts w:ascii="Arial Narrow" w:hAnsi="Arial Narrow"/>
                <w:sz w:val="20"/>
              </w:rPr>
            </w:pPr>
            <w:r w:rsidRPr="007D0AA8">
              <w:rPr>
                <w:rFonts w:ascii="Arial Narrow" w:hAnsi="Arial Narrow"/>
                <w:sz w:val="20"/>
              </w:rPr>
              <w:t>66</w:t>
            </w:r>
          </w:p>
        </w:tc>
        <w:tc>
          <w:tcPr>
            <w:tcW w:w="935" w:type="pct"/>
            <w:gridSpan w:val="2"/>
            <w:tcBorders>
              <w:top w:val="nil"/>
              <w:left w:val="nil"/>
              <w:bottom w:val="single" w:sz="4" w:space="0" w:color="auto"/>
              <w:right w:val="single" w:sz="4" w:space="0" w:color="auto"/>
            </w:tcBorders>
            <w:shd w:val="clear" w:color="auto" w:fill="auto"/>
            <w:noWrap/>
            <w:vAlign w:val="bottom"/>
          </w:tcPr>
          <w:p w14:paraId="32D57BC2" w14:textId="78A651BA"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CC278A" w:rsidRPr="007D0AA8" w14:paraId="57737968" w14:textId="77777777" w:rsidTr="00B52A4F">
        <w:tc>
          <w:tcPr>
            <w:tcW w:w="855" w:type="pct"/>
            <w:tcBorders>
              <w:top w:val="nil"/>
              <w:left w:val="single" w:sz="4" w:space="0" w:color="auto"/>
              <w:bottom w:val="nil"/>
              <w:right w:val="single" w:sz="4" w:space="0" w:color="auto"/>
            </w:tcBorders>
            <w:vAlign w:val="bottom"/>
          </w:tcPr>
          <w:p w14:paraId="638F7E48" w14:textId="77777777" w:rsidR="00CC278A" w:rsidRPr="007D0AA8" w:rsidRDefault="00CC278A" w:rsidP="00CC278A">
            <w:pPr>
              <w:spacing w:after="0" w:line="240" w:lineRule="auto"/>
              <w:rPr>
                <w:rFonts w:ascii="Arial Narrow" w:hAnsi="Arial Narrow" w:cs="Calibri"/>
                <w:color w:val="000000"/>
                <w:sz w:val="20"/>
                <w:szCs w:val="20"/>
              </w:rPr>
            </w:pPr>
          </w:p>
        </w:tc>
        <w:tc>
          <w:tcPr>
            <w:tcW w:w="2267" w:type="pct"/>
            <w:gridSpan w:val="2"/>
            <w:tcBorders>
              <w:top w:val="single" w:sz="4" w:space="0" w:color="auto"/>
              <w:left w:val="single" w:sz="4" w:space="0" w:color="auto"/>
              <w:bottom w:val="single" w:sz="4" w:space="0" w:color="auto"/>
              <w:right w:val="single" w:sz="4" w:space="0" w:color="auto"/>
            </w:tcBorders>
          </w:tcPr>
          <w:p w14:paraId="12EC7CF5" w14:textId="3F01EC8E"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sz w:val="20"/>
              </w:rPr>
              <w:t>AEs in CLL only (n=22 patients, 167 infusions)</w:t>
            </w:r>
          </w:p>
        </w:tc>
        <w:tc>
          <w:tcPr>
            <w:tcW w:w="943" w:type="pct"/>
            <w:gridSpan w:val="2"/>
            <w:tcBorders>
              <w:top w:val="single" w:sz="4" w:space="0" w:color="auto"/>
              <w:left w:val="single" w:sz="4" w:space="0" w:color="auto"/>
              <w:bottom w:val="single" w:sz="4" w:space="0" w:color="auto"/>
              <w:right w:val="nil"/>
            </w:tcBorders>
            <w:shd w:val="clear" w:color="auto" w:fill="auto"/>
            <w:noWrap/>
          </w:tcPr>
          <w:p w14:paraId="15826C98" w14:textId="77777777"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sz w:val="20"/>
              </w:rPr>
              <w:t>29 (17%)</w:t>
            </w:r>
          </w:p>
        </w:tc>
        <w:tc>
          <w:tcPr>
            <w:tcW w:w="935" w:type="pct"/>
            <w:gridSpan w:val="2"/>
            <w:tcBorders>
              <w:top w:val="single" w:sz="4" w:space="0" w:color="auto"/>
              <w:left w:val="nil"/>
              <w:bottom w:val="single" w:sz="4" w:space="0" w:color="auto"/>
              <w:right w:val="single" w:sz="4" w:space="0" w:color="auto"/>
            </w:tcBorders>
            <w:shd w:val="clear" w:color="auto" w:fill="auto"/>
            <w:noWrap/>
            <w:vAlign w:val="bottom"/>
          </w:tcPr>
          <w:p w14:paraId="478CAF6D" w14:textId="139B4B2C"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CC278A" w:rsidRPr="007D0AA8" w14:paraId="24007653" w14:textId="77777777" w:rsidTr="00B52A4F">
        <w:tc>
          <w:tcPr>
            <w:tcW w:w="855" w:type="pct"/>
            <w:tcBorders>
              <w:top w:val="nil"/>
              <w:left w:val="single" w:sz="4" w:space="0" w:color="auto"/>
              <w:bottom w:val="single" w:sz="4" w:space="0" w:color="auto"/>
              <w:right w:val="single" w:sz="4" w:space="0" w:color="auto"/>
            </w:tcBorders>
            <w:vAlign w:val="bottom"/>
          </w:tcPr>
          <w:p w14:paraId="0405793B" w14:textId="77777777" w:rsidR="00CC278A" w:rsidRPr="007D0AA8" w:rsidRDefault="00CC278A" w:rsidP="00CC278A">
            <w:pPr>
              <w:spacing w:after="0" w:line="240" w:lineRule="auto"/>
              <w:rPr>
                <w:rFonts w:ascii="Arial Narrow" w:hAnsi="Arial Narrow" w:cs="Calibri"/>
                <w:color w:val="000000"/>
                <w:sz w:val="20"/>
                <w:szCs w:val="20"/>
              </w:rPr>
            </w:pPr>
          </w:p>
        </w:tc>
        <w:tc>
          <w:tcPr>
            <w:tcW w:w="2267" w:type="pct"/>
            <w:gridSpan w:val="2"/>
            <w:tcBorders>
              <w:top w:val="single" w:sz="4" w:space="0" w:color="auto"/>
              <w:left w:val="single" w:sz="4" w:space="0" w:color="auto"/>
              <w:bottom w:val="single" w:sz="4" w:space="0" w:color="auto"/>
              <w:right w:val="single" w:sz="4" w:space="0" w:color="auto"/>
            </w:tcBorders>
          </w:tcPr>
          <w:p w14:paraId="610875DE" w14:textId="47DCDE79"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sz w:val="20"/>
              </w:rPr>
              <w:t>AEs in MM only (n=4 patients, 18 infusions)</w:t>
            </w:r>
          </w:p>
        </w:tc>
        <w:tc>
          <w:tcPr>
            <w:tcW w:w="943" w:type="pct"/>
            <w:gridSpan w:val="2"/>
            <w:tcBorders>
              <w:top w:val="single" w:sz="4" w:space="0" w:color="auto"/>
              <w:left w:val="single" w:sz="4" w:space="0" w:color="auto"/>
              <w:bottom w:val="single" w:sz="4" w:space="0" w:color="auto"/>
              <w:right w:val="nil"/>
            </w:tcBorders>
            <w:shd w:val="clear" w:color="auto" w:fill="auto"/>
            <w:noWrap/>
          </w:tcPr>
          <w:p w14:paraId="1C9EB0A6" w14:textId="77777777"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sz w:val="20"/>
              </w:rPr>
              <w:t>1 (6%)</w:t>
            </w:r>
          </w:p>
        </w:tc>
        <w:tc>
          <w:tcPr>
            <w:tcW w:w="935" w:type="pct"/>
            <w:gridSpan w:val="2"/>
            <w:tcBorders>
              <w:top w:val="single" w:sz="4" w:space="0" w:color="auto"/>
              <w:left w:val="nil"/>
              <w:bottom w:val="single" w:sz="4" w:space="0" w:color="auto"/>
              <w:right w:val="single" w:sz="4" w:space="0" w:color="auto"/>
            </w:tcBorders>
            <w:shd w:val="clear" w:color="auto" w:fill="auto"/>
            <w:noWrap/>
            <w:vAlign w:val="bottom"/>
          </w:tcPr>
          <w:p w14:paraId="0EEB9278" w14:textId="579C4691"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DD6D33" w:rsidRPr="00386411" w14:paraId="173AD4B2" w14:textId="77777777" w:rsidTr="00B52A4F">
        <w:tc>
          <w:tcPr>
            <w:tcW w:w="8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FCC291" w14:textId="4A2051F1" w:rsidR="00DD6D33" w:rsidRPr="00386411" w:rsidRDefault="00DD6D33" w:rsidP="00421DCA">
            <w:pPr>
              <w:spacing w:after="0" w:line="240" w:lineRule="auto"/>
              <w:jc w:val="left"/>
              <w:rPr>
                <w:rFonts w:ascii="Arial Narrow" w:hAnsi="Arial Narrow" w:cs="Calibri"/>
                <w:b/>
                <w:color w:val="000000"/>
                <w:sz w:val="20"/>
                <w:szCs w:val="20"/>
              </w:rPr>
            </w:pPr>
            <w:r w:rsidRPr="00386411">
              <w:rPr>
                <w:rFonts w:ascii="Arial Narrow" w:hAnsi="Arial Narrow" w:cs="Calibri"/>
                <w:b/>
                <w:color w:val="000000"/>
                <w:sz w:val="20"/>
                <w:szCs w:val="20"/>
              </w:rPr>
              <w:t>Günther &amp; Dreger 2013</w:t>
            </w:r>
          </w:p>
        </w:tc>
        <w:tc>
          <w:tcPr>
            <w:tcW w:w="2267" w:type="pct"/>
            <w:gridSpan w:val="2"/>
            <w:tcBorders>
              <w:top w:val="single" w:sz="4" w:space="0" w:color="auto"/>
              <w:left w:val="nil"/>
              <w:bottom w:val="single" w:sz="4" w:space="0" w:color="auto"/>
              <w:right w:val="single" w:sz="4" w:space="0" w:color="auto"/>
            </w:tcBorders>
            <w:shd w:val="clear" w:color="auto" w:fill="D9D9D9" w:themeFill="background1" w:themeFillShade="D9"/>
          </w:tcPr>
          <w:p w14:paraId="10C0F125" w14:textId="32211B26" w:rsidR="00DD6D33" w:rsidRPr="00386411" w:rsidRDefault="00DD6D33" w:rsidP="00421DCA">
            <w:pPr>
              <w:spacing w:after="0" w:line="240" w:lineRule="auto"/>
              <w:jc w:val="left"/>
              <w:rPr>
                <w:rFonts w:ascii="Arial Narrow" w:hAnsi="Arial Narrow"/>
                <w:b/>
                <w:sz w:val="20"/>
              </w:rPr>
            </w:pPr>
            <w:r w:rsidRPr="00386411">
              <w:rPr>
                <w:rFonts w:ascii="Arial Narrow" w:hAnsi="Arial Narrow"/>
                <w:b/>
                <w:sz w:val="20"/>
              </w:rPr>
              <w:t>Adverse Events (N=10)</w:t>
            </w:r>
          </w:p>
        </w:tc>
        <w:tc>
          <w:tcPr>
            <w:tcW w:w="943" w:type="pct"/>
            <w:gridSpan w:val="2"/>
            <w:tcBorders>
              <w:top w:val="single" w:sz="4" w:space="0" w:color="auto"/>
              <w:left w:val="single" w:sz="4" w:space="0" w:color="auto"/>
              <w:bottom w:val="single" w:sz="4" w:space="0" w:color="auto"/>
              <w:right w:val="nil"/>
            </w:tcBorders>
            <w:shd w:val="clear" w:color="auto" w:fill="D9D9D9" w:themeFill="background1" w:themeFillShade="D9"/>
            <w:noWrap/>
          </w:tcPr>
          <w:p w14:paraId="54EFE252" w14:textId="202CD01B" w:rsidR="00DD6D33" w:rsidRPr="00EA04CD" w:rsidRDefault="00EA04CD" w:rsidP="00421DCA">
            <w:pPr>
              <w:spacing w:after="0" w:line="240" w:lineRule="auto"/>
              <w:jc w:val="left"/>
              <w:rPr>
                <w:rFonts w:ascii="Arial Narrow" w:hAnsi="Arial Narrow"/>
                <w:b/>
                <w:sz w:val="20"/>
              </w:rPr>
            </w:pPr>
            <w:r w:rsidRPr="00EA04CD">
              <w:rPr>
                <w:rFonts w:ascii="Arial Narrow" w:hAnsi="Arial Narrow"/>
                <w:b/>
                <w:sz w:val="20"/>
              </w:rPr>
              <w:t xml:space="preserve">n </w:t>
            </w:r>
            <w:r w:rsidR="00DD6D33" w:rsidRPr="00EA04CD">
              <w:rPr>
                <w:rFonts w:ascii="Arial Narrow" w:hAnsi="Arial Narrow"/>
                <w:b/>
                <w:sz w:val="20"/>
              </w:rPr>
              <w:t xml:space="preserve">events </w:t>
            </w:r>
            <w:r w:rsidR="00DD6D33" w:rsidRPr="00EA04CD">
              <w:rPr>
                <w:rFonts w:ascii="Arial Narrow" w:hAnsi="Arial Narrow"/>
                <w:b/>
                <w:sz w:val="20"/>
              </w:rPr>
              <w:br/>
              <w:t>or n/N patients</w:t>
            </w:r>
          </w:p>
        </w:tc>
        <w:tc>
          <w:tcPr>
            <w:tcW w:w="935" w:type="pct"/>
            <w:gridSpan w:val="2"/>
            <w:tcBorders>
              <w:top w:val="single" w:sz="4" w:space="0" w:color="auto"/>
              <w:left w:val="nil"/>
              <w:bottom w:val="single" w:sz="4" w:space="0" w:color="auto"/>
              <w:right w:val="single" w:sz="4" w:space="0" w:color="auto"/>
            </w:tcBorders>
            <w:shd w:val="clear" w:color="auto" w:fill="D9D9D9" w:themeFill="background1" w:themeFillShade="D9"/>
            <w:noWrap/>
          </w:tcPr>
          <w:p w14:paraId="11CA4161" w14:textId="70FD0331" w:rsidR="00DD6D33" w:rsidRPr="00386411" w:rsidRDefault="00DD6D33" w:rsidP="00421DCA">
            <w:pPr>
              <w:spacing w:after="0" w:line="240" w:lineRule="auto"/>
              <w:jc w:val="left"/>
              <w:rPr>
                <w:rFonts w:ascii="Arial Narrow" w:hAnsi="Arial Narrow" w:cs="Calibri"/>
                <w:b/>
                <w:color w:val="000000"/>
                <w:sz w:val="20"/>
                <w:szCs w:val="20"/>
              </w:rPr>
            </w:pPr>
            <w:r w:rsidRPr="00386411">
              <w:rPr>
                <w:rFonts w:ascii="Arial Narrow" w:hAnsi="Arial Narrow" w:cs="Calibri"/>
                <w:b/>
                <w:color w:val="000000"/>
                <w:sz w:val="20"/>
                <w:szCs w:val="20"/>
              </w:rPr>
              <w:t>N/A</w:t>
            </w:r>
          </w:p>
        </w:tc>
      </w:tr>
      <w:tr w:rsidR="00D6742F" w:rsidRPr="007D0AA8" w14:paraId="155864B2" w14:textId="77777777" w:rsidTr="00B52A4F">
        <w:tc>
          <w:tcPr>
            <w:tcW w:w="855" w:type="pct"/>
            <w:tcBorders>
              <w:top w:val="single" w:sz="4" w:space="0" w:color="auto"/>
              <w:left w:val="single" w:sz="4" w:space="0" w:color="auto"/>
              <w:bottom w:val="nil"/>
              <w:right w:val="single" w:sz="4" w:space="0" w:color="auto"/>
            </w:tcBorders>
          </w:tcPr>
          <w:p w14:paraId="46FE7BD1" w14:textId="5896ED9E"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(various)*</w:t>
            </w:r>
          </w:p>
        </w:tc>
        <w:tc>
          <w:tcPr>
            <w:tcW w:w="2267" w:type="pct"/>
            <w:gridSpan w:val="2"/>
            <w:tcBorders>
              <w:top w:val="single" w:sz="4" w:space="0" w:color="auto"/>
              <w:left w:val="nil"/>
              <w:bottom w:val="nil"/>
              <w:right w:val="single" w:sz="4" w:space="0" w:color="auto"/>
            </w:tcBorders>
          </w:tcPr>
          <w:p w14:paraId="2BE0E1E2" w14:textId="56A87A83" w:rsidR="00D6742F" w:rsidRPr="007D0AA8" w:rsidRDefault="00D6742F" w:rsidP="00D6742F">
            <w:pPr>
              <w:spacing w:after="0" w:line="240" w:lineRule="auto"/>
              <w:rPr>
                <w:rFonts w:ascii="Arial Narrow" w:hAnsi="Arial Narrow"/>
                <w:sz w:val="20"/>
              </w:rPr>
            </w:pPr>
            <w:r w:rsidRPr="007D0AA8">
              <w:rPr>
                <w:rFonts w:ascii="Arial Narrow" w:hAnsi="Arial Narrow"/>
                <w:sz w:val="20"/>
              </w:rPr>
              <w:t>AEs related to IVIg (n patients)</w:t>
            </w:r>
            <w:r w:rsidRPr="007D0AA8">
              <w:rPr>
                <w:rFonts w:ascii="Arial Narrow" w:hAnsi="Arial Narrow"/>
                <w:sz w:val="20"/>
              </w:rPr>
              <w:br/>
              <w:t>(none of these were judged serious AEs)</w:t>
            </w:r>
          </w:p>
        </w:tc>
        <w:tc>
          <w:tcPr>
            <w:tcW w:w="943" w:type="pct"/>
            <w:gridSpan w:val="2"/>
            <w:tcBorders>
              <w:top w:val="single" w:sz="4" w:space="0" w:color="auto"/>
              <w:left w:val="single" w:sz="4" w:space="0" w:color="auto"/>
              <w:bottom w:val="nil"/>
              <w:right w:val="nil"/>
            </w:tcBorders>
            <w:shd w:val="clear" w:color="auto" w:fill="auto"/>
            <w:noWrap/>
          </w:tcPr>
          <w:p w14:paraId="6D467696" w14:textId="1870DD51" w:rsidR="00D6742F" w:rsidRPr="007D0AA8" w:rsidRDefault="00D6742F" w:rsidP="00D6742F">
            <w:pPr>
              <w:spacing w:after="0" w:line="240" w:lineRule="auto"/>
              <w:rPr>
                <w:rFonts w:ascii="Arial Narrow" w:hAnsi="Arial Narrow"/>
                <w:sz w:val="20"/>
              </w:rPr>
            </w:pPr>
            <w:r w:rsidRPr="007D0AA8">
              <w:rPr>
                <w:rFonts w:ascii="Arial Narrow" w:hAnsi="Arial Narrow"/>
                <w:sz w:val="20"/>
              </w:rPr>
              <w:t>8 (in 5/10 patients)</w:t>
            </w:r>
          </w:p>
        </w:tc>
        <w:tc>
          <w:tcPr>
            <w:tcW w:w="935" w:type="pct"/>
            <w:gridSpan w:val="2"/>
            <w:tcBorders>
              <w:top w:val="single" w:sz="4" w:space="0" w:color="auto"/>
              <w:left w:val="nil"/>
              <w:bottom w:val="nil"/>
              <w:right w:val="single" w:sz="4" w:space="0" w:color="auto"/>
            </w:tcBorders>
            <w:shd w:val="clear" w:color="auto" w:fill="auto"/>
            <w:noWrap/>
            <w:vAlign w:val="bottom"/>
          </w:tcPr>
          <w:p w14:paraId="43405061" w14:textId="65FA4A73"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D6742F" w:rsidRPr="007D0AA8" w14:paraId="01F04A40" w14:textId="77777777" w:rsidTr="00B52A4F">
        <w:tc>
          <w:tcPr>
            <w:tcW w:w="855" w:type="pct"/>
            <w:tcBorders>
              <w:top w:val="nil"/>
              <w:left w:val="single" w:sz="4" w:space="0" w:color="auto"/>
              <w:bottom w:val="nil"/>
              <w:right w:val="single" w:sz="4" w:space="0" w:color="auto"/>
            </w:tcBorders>
          </w:tcPr>
          <w:p w14:paraId="7B1BB0C4" w14:textId="77777777" w:rsidR="00D6742F" w:rsidRPr="007D0AA8" w:rsidRDefault="00D6742F" w:rsidP="00D6742F">
            <w:pPr>
              <w:spacing w:after="0" w:line="240" w:lineRule="auto"/>
              <w:rPr>
                <w:rFonts w:ascii="Arial Narrow" w:hAnsi="Arial Narrow" w:cs="Calibri"/>
                <w:color w:val="000000"/>
                <w:sz w:val="20"/>
                <w:szCs w:val="20"/>
              </w:rPr>
            </w:pPr>
          </w:p>
        </w:tc>
        <w:tc>
          <w:tcPr>
            <w:tcW w:w="2267" w:type="pct"/>
            <w:gridSpan w:val="2"/>
            <w:tcBorders>
              <w:top w:val="nil"/>
              <w:left w:val="single" w:sz="4" w:space="0" w:color="auto"/>
              <w:bottom w:val="nil"/>
              <w:right w:val="single" w:sz="4" w:space="0" w:color="auto"/>
            </w:tcBorders>
          </w:tcPr>
          <w:p w14:paraId="70594091" w14:textId="51EE5E63" w:rsidR="00D6742F" w:rsidRPr="007D0AA8" w:rsidRDefault="00D6742F" w:rsidP="00331FB9">
            <w:pPr>
              <w:pStyle w:val="ListParagraph"/>
              <w:numPr>
                <w:ilvl w:val="0"/>
                <w:numId w:val="16"/>
              </w:numPr>
              <w:spacing w:after="0" w:line="240" w:lineRule="auto"/>
              <w:ind w:left="259" w:hanging="178"/>
              <w:rPr>
                <w:rFonts w:ascii="Arial Narrow" w:hAnsi="Arial Narrow"/>
                <w:sz w:val="20"/>
              </w:rPr>
            </w:pPr>
            <w:r w:rsidRPr="007D0AA8">
              <w:rPr>
                <w:rFonts w:ascii="Arial Narrow" w:hAnsi="Arial Narrow"/>
                <w:sz w:val="20"/>
              </w:rPr>
              <w:t>Patients with shivering and fever</w:t>
            </w:r>
          </w:p>
        </w:tc>
        <w:tc>
          <w:tcPr>
            <w:tcW w:w="943" w:type="pct"/>
            <w:gridSpan w:val="2"/>
            <w:tcBorders>
              <w:top w:val="nil"/>
              <w:left w:val="single" w:sz="4" w:space="0" w:color="auto"/>
              <w:bottom w:val="nil"/>
              <w:right w:val="nil"/>
            </w:tcBorders>
            <w:shd w:val="clear" w:color="auto" w:fill="auto"/>
            <w:noWrap/>
          </w:tcPr>
          <w:p w14:paraId="2B0EF423" w14:textId="3CE72B37" w:rsidR="00D6742F" w:rsidRPr="007D0AA8" w:rsidRDefault="00D6742F" w:rsidP="00D6742F">
            <w:pPr>
              <w:spacing w:after="0" w:line="240" w:lineRule="auto"/>
              <w:rPr>
                <w:rFonts w:ascii="Arial Narrow" w:hAnsi="Arial Narrow"/>
                <w:sz w:val="20"/>
              </w:rPr>
            </w:pPr>
            <w:r w:rsidRPr="007D0AA8">
              <w:rPr>
                <w:rFonts w:ascii="Arial Narrow" w:hAnsi="Arial Narrow"/>
                <w:sz w:val="20"/>
              </w:rPr>
              <w:t>2/5</w:t>
            </w:r>
          </w:p>
        </w:tc>
        <w:tc>
          <w:tcPr>
            <w:tcW w:w="935" w:type="pct"/>
            <w:gridSpan w:val="2"/>
            <w:tcBorders>
              <w:top w:val="nil"/>
              <w:left w:val="nil"/>
              <w:bottom w:val="nil"/>
              <w:right w:val="single" w:sz="4" w:space="0" w:color="auto"/>
            </w:tcBorders>
            <w:shd w:val="clear" w:color="auto" w:fill="auto"/>
            <w:noWrap/>
            <w:vAlign w:val="bottom"/>
          </w:tcPr>
          <w:p w14:paraId="77B8A71F" w14:textId="4E06F85D"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D6742F" w:rsidRPr="007D0AA8" w14:paraId="3F5F8C43" w14:textId="77777777" w:rsidTr="00B52A4F">
        <w:tc>
          <w:tcPr>
            <w:tcW w:w="855" w:type="pct"/>
            <w:tcBorders>
              <w:top w:val="nil"/>
              <w:left w:val="single" w:sz="4" w:space="0" w:color="auto"/>
              <w:bottom w:val="nil"/>
              <w:right w:val="single" w:sz="4" w:space="0" w:color="auto"/>
            </w:tcBorders>
          </w:tcPr>
          <w:p w14:paraId="7A5D21A2" w14:textId="77777777" w:rsidR="00D6742F" w:rsidRPr="007D0AA8" w:rsidRDefault="00D6742F" w:rsidP="00D6742F">
            <w:pPr>
              <w:spacing w:after="0" w:line="240" w:lineRule="auto"/>
              <w:rPr>
                <w:rFonts w:ascii="Arial Narrow" w:hAnsi="Arial Narrow" w:cs="Calibri"/>
                <w:color w:val="000000"/>
                <w:sz w:val="20"/>
                <w:szCs w:val="20"/>
              </w:rPr>
            </w:pPr>
          </w:p>
        </w:tc>
        <w:tc>
          <w:tcPr>
            <w:tcW w:w="2267" w:type="pct"/>
            <w:gridSpan w:val="2"/>
            <w:tcBorders>
              <w:top w:val="nil"/>
              <w:left w:val="single" w:sz="4" w:space="0" w:color="auto"/>
              <w:bottom w:val="nil"/>
              <w:right w:val="single" w:sz="4" w:space="0" w:color="auto"/>
            </w:tcBorders>
          </w:tcPr>
          <w:p w14:paraId="61E04062" w14:textId="2DB171C0" w:rsidR="00D6742F" w:rsidRPr="007D0AA8" w:rsidRDefault="00D6742F" w:rsidP="00331FB9">
            <w:pPr>
              <w:pStyle w:val="ListParagraph"/>
              <w:numPr>
                <w:ilvl w:val="0"/>
                <w:numId w:val="16"/>
              </w:numPr>
              <w:spacing w:after="0" w:line="240" w:lineRule="auto"/>
              <w:ind w:left="259" w:hanging="178"/>
              <w:rPr>
                <w:rFonts w:ascii="Arial Narrow" w:hAnsi="Arial Narrow"/>
                <w:sz w:val="20"/>
              </w:rPr>
            </w:pPr>
            <w:r w:rsidRPr="007D0AA8">
              <w:rPr>
                <w:rFonts w:ascii="Arial Narrow" w:hAnsi="Arial Narrow"/>
                <w:sz w:val="20"/>
              </w:rPr>
              <w:t>Patients with shivering and fever, concomitant pruritus</w:t>
            </w:r>
          </w:p>
        </w:tc>
        <w:tc>
          <w:tcPr>
            <w:tcW w:w="943" w:type="pct"/>
            <w:gridSpan w:val="2"/>
            <w:tcBorders>
              <w:top w:val="nil"/>
              <w:left w:val="single" w:sz="4" w:space="0" w:color="auto"/>
              <w:bottom w:val="nil"/>
              <w:right w:val="nil"/>
            </w:tcBorders>
            <w:shd w:val="clear" w:color="auto" w:fill="auto"/>
            <w:noWrap/>
          </w:tcPr>
          <w:p w14:paraId="7312DC2B" w14:textId="0B71BF11" w:rsidR="00D6742F" w:rsidRPr="007D0AA8" w:rsidRDefault="00D6742F" w:rsidP="00D6742F">
            <w:pPr>
              <w:spacing w:after="0" w:line="240" w:lineRule="auto"/>
              <w:rPr>
                <w:rFonts w:ascii="Arial Narrow" w:hAnsi="Arial Narrow"/>
                <w:sz w:val="20"/>
              </w:rPr>
            </w:pPr>
            <w:r w:rsidRPr="007D0AA8">
              <w:rPr>
                <w:rFonts w:ascii="Arial Narrow" w:hAnsi="Arial Narrow"/>
                <w:sz w:val="20"/>
              </w:rPr>
              <w:t>1/5</w:t>
            </w:r>
          </w:p>
        </w:tc>
        <w:tc>
          <w:tcPr>
            <w:tcW w:w="935" w:type="pct"/>
            <w:gridSpan w:val="2"/>
            <w:tcBorders>
              <w:top w:val="nil"/>
              <w:left w:val="nil"/>
              <w:bottom w:val="nil"/>
              <w:right w:val="single" w:sz="4" w:space="0" w:color="auto"/>
            </w:tcBorders>
            <w:shd w:val="clear" w:color="auto" w:fill="auto"/>
            <w:noWrap/>
            <w:vAlign w:val="bottom"/>
          </w:tcPr>
          <w:p w14:paraId="35956564" w14:textId="7C72F8C6"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D6742F" w:rsidRPr="007D0AA8" w14:paraId="7C472815" w14:textId="77777777" w:rsidTr="00B52A4F">
        <w:tc>
          <w:tcPr>
            <w:tcW w:w="855" w:type="pct"/>
            <w:tcBorders>
              <w:top w:val="nil"/>
              <w:left w:val="single" w:sz="4" w:space="0" w:color="auto"/>
              <w:bottom w:val="nil"/>
              <w:right w:val="single" w:sz="4" w:space="0" w:color="auto"/>
            </w:tcBorders>
          </w:tcPr>
          <w:p w14:paraId="147733BE" w14:textId="77777777" w:rsidR="00D6742F" w:rsidRPr="007D0AA8" w:rsidRDefault="00D6742F" w:rsidP="00D6742F">
            <w:pPr>
              <w:spacing w:after="0" w:line="240" w:lineRule="auto"/>
              <w:rPr>
                <w:rFonts w:ascii="Arial Narrow" w:hAnsi="Arial Narrow" w:cs="Calibri"/>
                <w:color w:val="000000"/>
                <w:sz w:val="20"/>
                <w:szCs w:val="20"/>
              </w:rPr>
            </w:pPr>
          </w:p>
        </w:tc>
        <w:tc>
          <w:tcPr>
            <w:tcW w:w="2267" w:type="pct"/>
            <w:gridSpan w:val="2"/>
            <w:tcBorders>
              <w:top w:val="nil"/>
              <w:left w:val="single" w:sz="4" w:space="0" w:color="auto"/>
              <w:bottom w:val="nil"/>
              <w:right w:val="single" w:sz="4" w:space="0" w:color="auto"/>
            </w:tcBorders>
          </w:tcPr>
          <w:p w14:paraId="3C08C362" w14:textId="38182655" w:rsidR="00D6742F" w:rsidRPr="007D0AA8" w:rsidRDefault="00D6742F" w:rsidP="00331FB9">
            <w:pPr>
              <w:pStyle w:val="ListParagraph"/>
              <w:numPr>
                <w:ilvl w:val="0"/>
                <w:numId w:val="16"/>
              </w:numPr>
              <w:spacing w:after="0" w:line="240" w:lineRule="auto"/>
              <w:ind w:left="259" w:hanging="178"/>
              <w:rPr>
                <w:rFonts w:ascii="Arial Narrow" w:hAnsi="Arial Narrow"/>
                <w:sz w:val="20"/>
              </w:rPr>
            </w:pPr>
            <w:r w:rsidRPr="007D0AA8">
              <w:rPr>
                <w:rFonts w:ascii="Arial Narrow" w:hAnsi="Arial Narrow"/>
                <w:sz w:val="20"/>
              </w:rPr>
              <w:t>Patients with shivering, headache and nausea</w:t>
            </w:r>
          </w:p>
        </w:tc>
        <w:tc>
          <w:tcPr>
            <w:tcW w:w="943" w:type="pct"/>
            <w:gridSpan w:val="2"/>
            <w:tcBorders>
              <w:top w:val="nil"/>
              <w:left w:val="single" w:sz="4" w:space="0" w:color="auto"/>
              <w:bottom w:val="nil"/>
              <w:right w:val="nil"/>
            </w:tcBorders>
            <w:shd w:val="clear" w:color="auto" w:fill="auto"/>
            <w:noWrap/>
          </w:tcPr>
          <w:p w14:paraId="373C6BC1" w14:textId="25BB99BD" w:rsidR="00D6742F" w:rsidRPr="007D0AA8" w:rsidRDefault="00D6742F" w:rsidP="00D6742F">
            <w:pPr>
              <w:spacing w:after="0" w:line="240" w:lineRule="auto"/>
              <w:rPr>
                <w:rFonts w:ascii="Arial Narrow" w:hAnsi="Arial Narrow"/>
                <w:sz w:val="20"/>
              </w:rPr>
            </w:pPr>
            <w:r w:rsidRPr="007D0AA8">
              <w:rPr>
                <w:rFonts w:ascii="Arial Narrow" w:hAnsi="Arial Narrow"/>
                <w:sz w:val="20"/>
              </w:rPr>
              <w:t>1/5</w:t>
            </w:r>
          </w:p>
        </w:tc>
        <w:tc>
          <w:tcPr>
            <w:tcW w:w="935" w:type="pct"/>
            <w:gridSpan w:val="2"/>
            <w:tcBorders>
              <w:top w:val="nil"/>
              <w:left w:val="nil"/>
              <w:bottom w:val="nil"/>
              <w:right w:val="single" w:sz="4" w:space="0" w:color="auto"/>
            </w:tcBorders>
            <w:shd w:val="clear" w:color="auto" w:fill="auto"/>
            <w:noWrap/>
            <w:vAlign w:val="bottom"/>
          </w:tcPr>
          <w:p w14:paraId="23FEAD32" w14:textId="61BEC0D5"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D6742F" w:rsidRPr="007D0AA8" w14:paraId="35737174" w14:textId="77777777" w:rsidTr="00B52A4F">
        <w:tc>
          <w:tcPr>
            <w:tcW w:w="855" w:type="pct"/>
            <w:tcBorders>
              <w:top w:val="nil"/>
              <w:left w:val="single" w:sz="4" w:space="0" w:color="auto"/>
              <w:bottom w:val="nil"/>
              <w:right w:val="single" w:sz="4" w:space="0" w:color="auto"/>
            </w:tcBorders>
          </w:tcPr>
          <w:p w14:paraId="4F94C580" w14:textId="77777777" w:rsidR="00D6742F" w:rsidRPr="007D0AA8" w:rsidRDefault="00D6742F" w:rsidP="00D6742F">
            <w:pPr>
              <w:spacing w:after="0" w:line="240" w:lineRule="auto"/>
              <w:rPr>
                <w:rFonts w:ascii="Arial Narrow" w:hAnsi="Arial Narrow" w:cs="Calibri"/>
                <w:color w:val="000000"/>
                <w:sz w:val="20"/>
                <w:szCs w:val="20"/>
              </w:rPr>
            </w:pPr>
          </w:p>
        </w:tc>
        <w:tc>
          <w:tcPr>
            <w:tcW w:w="2267" w:type="pct"/>
            <w:gridSpan w:val="2"/>
            <w:tcBorders>
              <w:top w:val="nil"/>
              <w:left w:val="single" w:sz="4" w:space="0" w:color="auto"/>
              <w:bottom w:val="nil"/>
              <w:right w:val="single" w:sz="4" w:space="0" w:color="auto"/>
            </w:tcBorders>
          </w:tcPr>
          <w:p w14:paraId="19698D34" w14:textId="1D45F2A7" w:rsidR="00D6742F" w:rsidRPr="007D0AA8" w:rsidRDefault="00D6742F" w:rsidP="00331FB9">
            <w:pPr>
              <w:pStyle w:val="ListParagraph"/>
              <w:numPr>
                <w:ilvl w:val="0"/>
                <w:numId w:val="16"/>
              </w:numPr>
              <w:spacing w:after="0" w:line="240" w:lineRule="auto"/>
              <w:ind w:left="259" w:hanging="178"/>
              <w:rPr>
                <w:rFonts w:ascii="Arial Narrow" w:hAnsi="Arial Narrow"/>
                <w:sz w:val="20"/>
              </w:rPr>
            </w:pPr>
            <w:r w:rsidRPr="007D0AA8">
              <w:rPr>
                <w:rFonts w:ascii="Arial Narrow" w:hAnsi="Arial Narrow"/>
                <w:sz w:val="20"/>
              </w:rPr>
              <w:t>Patients with arthralgia</w:t>
            </w:r>
          </w:p>
        </w:tc>
        <w:tc>
          <w:tcPr>
            <w:tcW w:w="943" w:type="pct"/>
            <w:gridSpan w:val="2"/>
            <w:tcBorders>
              <w:top w:val="nil"/>
              <w:left w:val="single" w:sz="4" w:space="0" w:color="auto"/>
              <w:bottom w:val="nil"/>
              <w:right w:val="nil"/>
            </w:tcBorders>
            <w:shd w:val="clear" w:color="auto" w:fill="auto"/>
            <w:noWrap/>
          </w:tcPr>
          <w:p w14:paraId="015AC53B" w14:textId="07BCAC42" w:rsidR="00D6742F" w:rsidRPr="007D0AA8" w:rsidRDefault="00D6742F" w:rsidP="00D6742F">
            <w:pPr>
              <w:spacing w:after="0" w:line="240" w:lineRule="auto"/>
              <w:rPr>
                <w:rFonts w:ascii="Arial Narrow" w:hAnsi="Arial Narrow"/>
                <w:sz w:val="20"/>
              </w:rPr>
            </w:pPr>
            <w:r w:rsidRPr="007D0AA8">
              <w:rPr>
                <w:rFonts w:ascii="Arial Narrow" w:hAnsi="Arial Narrow"/>
                <w:sz w:val="20"/>
              </w:rPr>
              <w:t>1/5 (on 3 occasions)</w:t>
            </w:r>
          </w:p>
        </w:tc>
        <w:tc>
          <w:tcPr>
            <w:tcW w:w="935" w:type="pct"/>
            <w:gridSpan w:val="2"/>
            <w:tcBorders>
              <w:top w:val="nil"/>
              <w:left w:val="nil"/>
              <w:bottom w:val="nil"/>
              <w:right w:val="single" w:sz="4" w:space="0" w:color="auto"/>
            </w:tcBorders>
            <w:shd w:val="clear" w:color="auto" w:fill="auto"/>
            <w:noWrap/>
            <w:vAlign w:val="bottom"/>
          </w:tcPr>
          <w:p w14:paraId="124D2AE6" w14:textId="6DF8A3C9"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D6742F" w:rsidRPr="007D0AA8" w14:paraId="7522260F" w14:textId="77777777" w:rsidTr="00B52A4F">
        <w:tc>
          <w:tcPr>
            <w:tcW w:w="855" w:type="pct"/>
            <w:tcBorders>
              <w:top w:val="nil"/>
              <w:left w:val="single" w:sz="4" w:space="0" w:color="auto"/>
              <w:bottom w:val="single" w:sz="4" w:space="0" w:color="auto"/>
              <w:right w:val="single" w:sz="4" w:space="0" w:color="auto"/>
            </w:tcBorders>
          </w:tcPr>
          <w:p w14:paraId="7832D34C" w14:textId="77777777" w:rsidR="00D6742F" w:rsidRPr="007D0AA8" w:rsidRDefault="00D6742F" w:rsidP="00D6742F">
            <w:pPr>
              <w:spacing w:after="0" w:line="240" w:lineRule="auto"/>
              <w:rPr>
                <w:rFonts w:ascii="Arial Narrow" w:hAnsi="Arial Narrow" w:cs="Calibri"/>
                <w:color w:val="000000"/>
                <w:sz w:val="20"/>
                <w:szCs w:val="20"/>
              </w:rPr>
            </w:pPr>
          </w:p>
        </w:tc>
        <w:tc>
          <w:tcPr>
            <w:tcW w:w="2267" w:type="pct"/>
            <w:gridSpan w:val="2"/>
            <w:tcBorders>
              <w:top w:val="nil"/>
              <w:left w:val="single" w:sz="4" w:space="0" w:color="auto"/>
              <w:bottom w:val="single" w:sz="4" w:space="0" w:color="auto"/>
              <w:right w:val="single" w:sz="4" w:space="0" w:color="auto"/>
            </w:tcBorders>
          </w:tcPr>
          <w:p w14:paraId="50E102DE" w14:textId="471A4C82" w:rsidR="00D6742F" w:rsidRPr="007D0AA8" w:rsidRDefault="00D6742F" w:rsidP="00D6742F">
            <w:pPr>
              <w:spacing w:after="0" w:line="240" w:lineRule="auto"/>
              <w:rPr>
                <w:rFonts w:ascii="Arial Narrow" w:hAnsi="Arial Narrow"/>
                <w:sz w:val="20"/>
              </w:rPr>
            </w:pPr>
            <w:r w:rsidRPr="007D0AA8">
              <w:rPr>
                <w:rFonts w:ascii="Arial Narrow" w:hAnsi="Arial Narrow"/>
                <w:sz w:val="20"/>
              </w:rPr>
              <w:t>Patients with SAEs due to underlying disease (splenectomy[1]; renal failure[2]; death due to disease progression[5]; death during unrelated surgery[1])</w:t>
            </w:r>
          </w:p>
        </w:tc>
        <w:tc>
          <w:tcPr>
            <w:tcW w:w="943" w:type="pct"/>
            <w:gridSpan w:val="2"/>
            <w:tcBorders>
              <w:top w:val="nil"/>
              <w:left w:val="single" w:sz="4" w:space="0" w:color="auto"/>
              <w:bottom w:val="single" w:sz="4" w:space="0" w:color="auto"/>
              <w:right w:val="nil"/>
            </w:tcBorders>
            <w:shd w:val="clear" w:color="auto" w:fill="auto"/>
            <w:noWrap/>
          </w:tcPr>
          <w:p w14:paraId="6337ED04" w14:textId="5D87BF29" w:rsidR="00D6742F" w:rsidRPr="007D0AA8" w:rsidRDefault="00D6742F" w:rsidP="00D6742F">
            <w:pPr>
              <w:spacing w:after="0" w:line="240" w:lineRule="auto"/>
              <w:rPr>
                <w:rFonts w:ascii="Arial Narrow" w:hAnsi="Arial Narrow"/>
                <w:sz w:val="20"/>
              </w:rPr>
            </w:pPr>
            <w:r w:rsidRPr="007D0AA8">
              <w:rPr>
                <w:rFonts w:ascii="Arial Narrow" w:hAnsi="Arial Narrow"/>
                <w:sz w:val="20"/>
              </w:rPr>
              <w:t>8 (in 6/10 patients)</w:t>
            </w:r>
          </w:p>
        </w:tc>
        <w:tc>
          <w:tcPr>
            <w:tcW w:w="935" w:type="pct"/>
            <w:gridSpan w:val="2"/>
            <w:tcBorders>
              <w:top w:val="nil"/>
              <w:left w:val="nil"/>
              <w:bottom w:val="single" w:sz="4" w:space="0" w:color="auto"/>
              <w:right w:val="single" w:sz="4" w:space="0" w:color="auto"/>
            </w:tcBorders>
            <w:shd w:val="clear" w:color="auto" w:fill="auto"/>
            <w:noWrap/>
          </w:tcPr>
          <w:p w14:paraId="738CA1A5" w14:textId="72D3CD5F"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D6742F" w:rsidRPr="00386411" w14:paraId="3656921D" w14:textId="77777777" w:rsidTr="00B52A4F">
        <w:tc>
          <w:tcPr>
            <w:tcW w:w="8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B32B7E" w14:textId="0CE38F07" w:rsidR="00D6742F" w:rsidRPr="00386411" w:rsidRDefault="00D6742F" w:rsidP="00421DCA">
            <w:pPr>
              <w:spacing w:after="0" w:line="240" w:lineRule="auto"/>
              <w:jc w:val="left"/>
              <w:rPr>
                <w:rFonts w:ascii="Arial Narrow" w:hAnsi="Arial Narrow" w:cs="Calibri"/>
                <w:b/>
                <w:color w:val="000000"/>
                <w:sz w:val="20"/>
                <w:szCs w:val="20"/>
              </w:rPr>
            </w:pPr>
            <w:r w:rsidRPr="00386411">
              <w:rPr>
                <w:rFonts w:ascii="Arial Narrow" w:hAnsi="Arial Narrow"/>
                <w:b/>
                <w:sz w:val="20"/>
              </w:rPr>
              <w:t>Jurlander et al. 1994</w:t>
            </w:r>
          </w:p>
        </w:tc>
        <w:tc>
          <w:tcPr>
            <w:tcW w:w="226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986D1F" w14:textId="4A1FCD89" w:rsidR="00D6742F" w:rsidRPr="00386411" w:rsidRDefault="00D6742F" w:rsidP="00421DCA">
            <w:pPr>
              <w:spacing w:after="0" w:line="240" w:lineRule="auto"/>
              <w:jc w:val="left"/>
              <w:rPr>
                <w:rFonts w:ascii="Arial Narrow" w:hAnsi="Arial Narrow"/>
                <w:b/>
                <w:sz w:val="20"/>
              </w:rPr>
            </w:pPr>
            <w:r w:rsidRPr="00386411">
              <w:rPr>
                <w:rFonts w:ascii="Arial Narrow" w:hAnsi="Arial Narrow"/>
                <w:b/>
                <w:sz w:val="20"/>
              </w:rPr>
              <w:t>AEs (N=15 patients)</w:t>
            </w:r>
          </w:p>
        </w:tc>
        <w:tc>
          <w:tcPr>
            <w:tcW w:w="943" w:type="pct"/>
            <w:gridSpan w:val="2"/>
            <w:tcBorders>
              <w:top w:val="single" w:sz="4" w:space="0" w:color="auto"/>
              <w:left w:val="single" w:sz="4" w:space="0" w:color="auto"/>
              <w:bottom w:val="single" w:sz="4" w:space="0" w:color="auto"/>
              <w:right w:val="nil"/>
            </w:tcBorders>
            <w:shd w:val="clear" w:color="auto" w:fill="D9D9D9" w:themeFill="background1" w:themeFillShade="D9"/>
            <w:noWrap/>
          </w:tcPr>
          <w:p w14:paraId="1D9F0AC4" w14:textId="5988579C" w:rsidR="00D6742F" w:rsidRPr="00386411" w:rsidRDefault="00D6742F" w:rsidP="00421DCA">
            <w:pPr>
              <w:spacing w:after="0" w:line="240" w:lineRule="auto"/>
              <w:jc w:val="left"/>
              <w:rPr>
                <w:rFonts w:ascii="Arial Narrow" w:hAnsi="Arial Narrow"/>
                <w:b/>
                <w:sz w:val="20"/>
              </w:rPr>
            </w:pPr>
            <w:r w:rsidRPr="00386411">
              <w:rPr>
                <w:rFonts w:ascii="Arial Narrow" w:hAnsi="Arial Narrow"/>
                <w:b/>
                <w:sz w:val="20"/>
              </w:rPr>
              <w:t>During study</w:t>
            </w:r>
            <w:r w:rsidRPr="00386411">
              <w:rPr>
                <w:rFonts w:ascii="Arial Narrow" w:hAnsi="Arial Narrow"/>
                <w:b/>
                <w:sz w:val="20"/>
              </w:rPr>
              <w:br/>
              <w:t>Median 14mo</w:t>
            </w:r>
            <w:r w:rsidRPr="00386411">
              <w:rPr>
                <w:rFonts w:ascii="Arial Narrow" w:hAnsi="Arial Narrow"/>
                <w:b/>
                <w:sz w:val="20"/>
              </w:rPr>
              <w:br/>
              <w:t>(range 3-20)(N=14)</w:t>
            </w:r>
          </w:p>
        </w:tc>
        <w:tc>
          <w:tcPr>
            <w:tcW w:w="935" w:type="pct"/>
            <w:gridSpan w:val="2"/>
            <w:tcBorders>
              <w:top w:val="single" w:sz="4" w:space="0" w:color="auto"/>
              <w:left w:val="nil"/>
              <w:bottom w:val="single" w:sz="4" w:space="0" w:color="auto"/>
              <w:right w:val="single" w:sz="4" w:space="0" w:color="auto"/>
            </w:tcBorders>
            <w:shd w:val="clear" w:color="auto" w:fill="D9D9D9" w:themeFill="background1" w:themeFillShade="D9"/>
            <w:noWrap/>
          </w:tcPr>
          <w:p w14:paraId="796CC622" w14:textId="11A9409C" w:rsidR="00D6742F" w:rsidRPr="00386411" w:rsidRDefault="00D6742F" w:rsidP="00421DCA">
            <w:pPr>
              <w:spacing w:after="0" w:line="240" w:lineRule="auto"/>
              <w:jc w:val="left"/>
              <w:rPr>
                <w:rFonts w:ascii="Arial Narrow" w:hAnsi="Arial Narrow" w:cs="Calibri"/>
                <w:b/>
                <w:color w:val="000000"/>
                <w:sz w:val="20"/>
                <w:szCs w:val="20"/>
              </w:rPr>
            </w:pPr>
            <w:r w:rsidRPr="00386411">
              <w:rPr>
                <w:rFonts w:ascii="Arial Narrow" w:hAnsi="Arial Narrow" w:cs="Calibri"/>
                <w:b/>
                <w:color w:val="000000"/>
                <w:sz w:val="20"/>
                <w:szCs w:val="20"/>
              </w:rPr>
              <w:t>N/A</w:t>
            </w:r>
          </w:p>
        </w:tc>
      </w:tr>
      <w:tr w:rsidR="00D6742F" w:rsidRPr="007D0AA8" w14:paraId="088A3E18" w14:textId="77777777" w:rsidTr="00B52A4F">
        <w:tc>
          <w:tcPr>
            <w:tcW w:w="855" w:type="pct"/>
            <w:tcBorders>
              <w:top w:val="single" w:sz="4" w:space="0" w:color="auto"/>
              <w:left w:val="single" w:sz="4" w:space="0" w:color="auto"/>
              <w:bottom w:val="nil"/>
              <w:right w:val="single" w:sz="4" w:space="0" w:color="auto"/>
            </w:tcBorders>
            <w:vAlign w:val="bottom"/>
          </w:tcPr>
          <w:p w14:paraId="68253879" w14:textId="02DD2F03"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CLL (</w:t>
            </w:r>
            <w:r w:rsidRPr="007D0AA8">
              <w:rPr>
                <w:rFonts w:ascii="Arial Narrow" w:hAnsi="Arial Narrow"/>
                <w:sz w:val="20"/>
              </w:rPr>
              <w:t>N=15)</w:t>
            </w:r>
          </w:p>
        </w:tc>
        <w:tc>
          <w:tcPr>
            <w:tcW w:w="2267" w:type="pct"/>
            <w:gridSpan w:val="2"/>
            <w:tcBorders>
              <w:top w:val="single" w:sz="4" w:space="0" w:color="auto"/>
              <w:left w:val="single" w:sz="4" w:space="0" w:color="auto"/>
              <w:bottom w:val="nil"/>
              <w:right w:val="single" w:sz="4" w:space="0" w:color="auto"/>
            </w:tcBorders>
          </w:tcPr>
          <w:p w14:paraId="76F46FF7" w14:textId="40631B2A" w:rsidR="00D6742F" w:rsidRPr="007D0AA8" w:rsidRDefault="00D6742F" w:rsidP="00D6742F">
            <w:pPr>
              <w:spacing w:after="0" w:line="240" w:lineRule="auto"/>
              <w:rPr>
                <w:rFonts w:ascii="Arial Narrow" w:hAnsi="Arial Narrow"/>
                <w:sz w:val="20"/>
              </w:rPr>
            </w:pPr>
            <w:r w:rsidRPr="007D0AA8">
              <w:rPr>
                <w:rFonts w:ascii="Arial Narrow" w:hAnsi="Arial Narrow"/>
                <w:sz w:val="20"/>
              </w:rPr>
              <w:t>Total infusions</w:t>
            </w:r>
          </w:p>
        </w:tc>
        <w:tc>
          <w:tcPr>
            <w:tcW w:w="943" w:type="pct"/>
            <w:gridSpan w:val="2"/>
            <w:tcBorders>
              <w:top w:val="single" w:sz="4" w:space="0" w:color="auto"/>
              <w:left w:val="single" w:sz="4" w:space="0" w:color="auto"/>
              <w:bottom w:val="nil"/>
            </w:tcBorders>
            <w:shd w:val="clear" w:color="auto" w:fill="auto"/>
            <w:noWrap/>
          </w:tcPr>
          <w:p w14:paraId="1A785A28" w14:textId="3515F599" w:rsidR="00D6742F" w:rsidRPr="007D0AA8" w:rsidRDefault="00D6742F" w:rsidP="00D6742F">
            <w:pPr>
              <w:spacing w:after="0" w:line="240" w:lineRule="auto"/>
              <w:rPr>
                <w:rFonts w:ascii="Arial Narrow" w:hAnsi="Arial Narrow"/>
                <w:sz w:val="20"/>
              </w:rPr>
            </w:pPr>
            <w:r w:rsidRPr="007D0AA8">
              <w:rPr>
                <w:rFonts w:ascii="Arial Narrow" w:hAnsi="Arial Narrow"/>
                <w:sz w:val="20"/>
              </w:rPr>
              <w:t>225</w:t>
            </w:r>
          </w:p>
        </w:tc>
        <w:tc>
          <w:tcPr>
            <w:tcW w:w="935" w:type="pct"/>
            <w:gridSpan w:val="2"/>
            <w:tcBorders>
              <w:top w:val="single" w:sz="4" w:space="0" w:color="auto"/>
              <w:bottom w:val="nil"/>
              <w:right w:val="single" w:sz="4" w:space="0" w:color="auto"/>
            </w:tcBorders>
            <w:shd w:val="clear" w:color="auto" w:fill="auto"/>
            <w:noWrap/>
            <w:vAlign w:val="bottom"/>
          </w:tcPr>
          <w:p w14:paraId="16277B16" w14:textId="2AB8DFF3"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D6742F" w:rsidRPr="007D0AA8" w14:paraId="29BB1A1D" w14:textId="77777777" w:rsidTr="00B52A4F">
        <w:tc>
          <w:tcPr>
            <w:tcW w:w="855" w:type="pct"/>
            <w:tcBorders>
              <w:left w:val="single" w:sz="4" w:space="0" w:color="auto"/>
              <w:bottom w:val="nil"/>
              <w:right w:val="single" w:sz="4" w:space="0" w:color="auto"/>
            </w:tcBorders>
            <w:vAlign w:val="bottom"/>
          </w:tcPr>
          <w:p w14:paraId="12B37FA2" w14:textId="77777777" w:rsidR="00D6742F" w:rsidRPr="007D0AA8" w:rsidRDefault="00D6742F" w:rsidP="00D6742F">
            <w:pPr>
              <w:spacing w:after="0" w:line="240" w:lineRule="auto"/>
              <w:rPr>
                <w:rFonts w:ascii="Arial Narrow" w:hAnsi="Arial Narrow" w:cs="Calibri"/>
                <w:color w:val="000000"/>
                <w:sz w:val="20"/>
                <w:szCs w:val="20"/>
              </w:rPr>
            </w:pPr>
          </w:p>
        </w:tc>
        <w:tc>
          <w:tcPr>
            <w:tcW w:w="2267" w:type="pct"/>
            <w:gridSpan w:val="2"/>
            <w:tcBorders>
              <w:left w:val="single" w:sz="4" w:space="0" w:color="auto"/>
              <w:bottom w:val="nil"/>
              <w:right w:val="single" w:sz="4" w:space="0" w:color="auto"/>
            </w:tcBorders>
          </w:tcPr>
          <w:p w14:paraId="0B342D84" w14:textId="0BEC8648" w:rsidR="00D6742F" w:rsidRPr="007D0AA8" w:rsidRDefault="00D6742F" w:rsidP="00D6742F">
            <w:pPr>
              <w:spacing w:after="0" w:line="240" w:lineRule="auto"/>
              <w:rPr>
                <w:rFonts w:ascii="Arial Narrow" w:hAnsi="Arial Narrow"/>
                <w:sz w:val="20"/>
              </w:rPr>
            </w:pPr>
            <w:r w:rsidRPr="007D0AA8">
              <w:rPr>
                <w:rFonts w:ascii="Arial Narrow" w:hAnsi="Arial Narrow"/>
                <w:sz w:val="20"/>
              </w:rPr>
              <w:t>Total n events (%)</w:t>
            </w:r>
          </w:p>
        </w:tc>
        <w:tc>
          <w:tcPr>
            <w:tcW w:w="943" w:type="pct"/>
            <w:gridSpan w:val="2"/>
            <w:tcBorders>
              <w:left w:val="single" w:sz="4" w:space="0" w:color="auto"/>
              <w:bottom w:val="nil"/>
            </w:tcBorders>
            <w:shd w:val="clear" w:color="auto" w:fill="auto"/>
            <w:noWrap/>
          </w:tcPr>
          <w:p w14:paraId="6BC2D540" w14:textId="0BE831C8" w:rsidR="00D6742F" w:rsidRPr="007D0AA8" w:rsidRDefault="00D6742F" w:rsidP="00D6742F">
            <w:pPr>
              <w:spacing w:after="0" w:line="240" w:lineRule="auto"/>
              <w:rPr>
                <w:rFonts w:ascii="Arial Narrow" w:hAnsi="Arial Narrow"/>
                <w:sz w:val="20"/>
              </w:rPr>
            </w:pPr>
            <w:r w:rsidRPr="007D0AA8">
              <w:rPr>
                <w:rFonts w:ascii="Arial Narrow" w:hAnsi="Arial Narrow"/>
                <w:sz w:val="20"/>
              </w:rPr>
              <w:t>5 (2.2%)</w:t>
            </w:r>
          </w:p>
        </w:tc>
        <w:tc>
          <w:tcPr>
            <w:tcW w:w="935" w:type="pct"/>
            <w:gridSpan w:val="2"/>
            <w:tcBorders>
              <w:bottom w:val="nil"/>
              <w:right w:val="single" w:sz="4" w:space="0" w:color="auto"/>
            </w:tcBorders>
            <w:shd w:val="clear" w:color="auto" w:fill="auto"/>
            <w:noWrap/>
            <w:vAlign w:val="bottom"/>
          </w:tcPr>
          <w:p w14:paraId="2C7BF036" w14:textId="1174441F"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D6742F" w:rsidRPr="007D0AA8" w14:paraId="1620F1DA" w14:textId="77777777" w:rsidTr="00B52A4F">
        <w:tc>
          <w:tcPr>
            <w:tcW w:w="855" w:type="pct"/>
            <w:tcBorders>
              <w:top w:val="nil"/>
              <w:left w:val="single" w:sz="4" w:space="0" w:color="auto"/>
              <w:bottom w:val="nil"/>
              <w:right w:val="single" w:sz="4" w:space="0" w:color="auto"/>
            </w:tcBorders>
            <w:vAlign w:val="bottom"/>
          </w:tcPr>
          <w:p w14:paraId="1CC4C901" w14:textId="77777777" w:rsidR="00D6742F" w:rsidRPr="007D0AA8" w:rsidRDefault="00D6742F" w:rsidP="00D6742F">
            <w:pPr>
              <w:spacing w:after="0" w:line="240" w:lineRule="auto"/>
              <w:rPr>
                <w:rFonts w:ascii="Arial Narrow" w:hAnsi="Arial Narrow" w:cs="Calibri"/>
                <w:color w:val="000000"/>
                <w:sz w:val="20"/>
                <w:szCs w:val="20"/>
              </w:rPr>
            </w:pPr>
          </w:p>
        </w:tc>
        <w:tc>
          <w:tcPr>
            <w:tcW w:w="2267" w:type="pct"/>
            <w:gridSpan w:val="2"/>
            <w:tcBorders>
              <w:top w:val="nil"/>
              <w:left w:val="single" w:sz="4" w:space="0" w:color="auto"/>
              <w:bottom w:val="nil"/>
              <w:right w:val="single" w:sz="4" w:space="0" w:color="auto"/>
            </w:tcBorders>
          </w:tcPr>
          <w:p w14:paraId="445FDA32" w14:textId="0184D36A" w:rsidR="00D6742F" w:rsidRPr="00A30707" w:rsidRDefault="00D6742F" w:rsidP="00A30707">
            <w:pPr>
              <w:pStyle w:val="ListParagraph"/>
              <w:numPr>
                <w:ilvl w:val="0"/>
                <w:numId w:val="16"/>
              </w:numPr>
              <w:spacing w:after="0" w:line="240" w:lineRule="auto"/>
              <w:ind w:left="331" w:hanging="247"/>
              <w:rPr>
                <w:rFonts w:ascii="Arial Narrow" w:hAnsi="Arial Narrow"/>
                <w:sz w:val="20"/>
              </w:rPr>
            </w:pPr>
            <w:r w:rsidRPr="00A30707">
              <w:rPr>
                <w:rFonts w:ascii="Arial Narrow" w:hAnsi="Arial Narrow"/>
                <w:sz w:val="20"/>
              </w:rPr>
              <w:t>Chills (in 3 patients), n (%)</w:t>
            </w:r>
          </w:p>
        </w:tc>
        <w:tc>
          <w:tcPr>
            <w:tcW w:w="943" w:type="pct"/>
            <w:gridSpan w:val="2"/>
            <w:tcBorders>
              <w:top w:val="nil"/>
              <w:left w:val="single" w:sz="4" w:space="0" w:color="auto"/>
              <w:bottom w:val="nil"/>
              <w:right w:val="nil"/>
            </w:tcBorders>
            <w:shd w:val="clear" w:color="auto" w:fill="auto"/>
            <w:noWrap/>
          </w:tcPr>
          <w:p w14:paraId="2C4277CC" w14:textId="57A11F7C" w:rsidR="00D6742F" w:rsidRPr="007D0AA8" w:rsidRDefault="00D6742F" w:rsidP="00D6742F">
            <w:pPr>
              <w:spacing w:after="0" w:line="240" w:lineRule="auto"/>
              <w:rPr>
                <w:rFonts w:ascii="Arial Narrow" w:hAnsi="Arial Narrow"/>
                <w:sz w:val="20"/>
              </w:rPr>
            </w:pPr>
            <w:r w:rsidRPr="007D0AA8">
              <w:rPr>
                <w:rFonts w:ascii="Arial Narrow" w:hAnsi="Arial Narrow"/>
                <w:sz w:val="20"/>
              </w:rPr>
              <w:t>4 (1.8%)</w:t>
            </w:r>
          </w:p>
        </w:tc>
        <w:tc>
          <w:tcPr>
            <w:tcW w:w="935" w:type="pct"/>
            <w:gridSpan w:val="2"/>
            <w:tcBorders>
              <w:top w:val="nil"/>
              <w:left w:val="nil"/>
              <w:bottom w:val="nil"/>
              <w:right w:val="single" w:sz="4" w:space="0" w:color="auto"/>
            </w:tcBorders>
            <w:shd w:val="clear" w:color="auto" w:fill="auto"/>
            <w:noWrap/>
            <w:vAlign w:val="bottom"/>
          </w:tcPr>
          <w:p w14:paraId="0CFA9977" w14:textId="346620BF"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D6742F" w:rsidRPr="007D0AA8" w14:paraId="2AD611D0" w14:textId="77777777" w:rsidTr="00B52A4F">
        <w:tc>
          <w:tcPr>
            <w:tcW w:w="855" w:type="pct"/>
            <w:tcBorders>
              <w:top w:val="nil"/>
              <w:left w:val="single" w:sz="4" w:space="0" w:color="auto"/>
              <w:bottom w:val="nil"/>
              <w:right w:val="single" w:sz="4" w:space="0" w:color="auto"/>
            </w:tcBorders>
          </w:tcPr>
          <w:p w14:paraId="68ECAB6A" w14:textId="5E13DD88" w:rsidR="00D6742F" w:rsidRPr="007D0AA8" w:rsidRDefault="00D6742F" w:rsidP="00D6742F">
            <w:pPr>
              <w:spacing w:after="0" w:line="240" w:lineRule="auto"/>
              <w:rPr>
                <w:rFonts w:ascii="Arial Narrow" w:hAnsi="Arial Narrow" w:cs="Calibri"/>
                <w:color w:val="000000"/>
                <w:sz w:val="20"/>
                <w:szCs w:val="20"/>
              </w:rPr>
            </w:pPr>
          </w:p>
        </w:tc>
        <w:tc>
          <w:tcPr>
            <w:tcW w:w="2267" w:type="pct"/>
            <w:gridSpan w:val="2"/>
            <w:tcBorders>
              <w:top w:val="nil"/>
              <w:left w:val="single" w:sz="4" w:space="0" w:color="auto"/>
              <w:bottom w:val="nil"/>
              <w:right w:val="single" w:sz="4" w:space="0" w:color="auto"/>
            </w:tcBorders>
          </w:tcPr>
          <w:p w14:paraId="5A78E3BD" w14:textId="5FAF28E7" w:rsidR="00D6742F" w:rsidRPr="00A30707" w:rsidRDefault="00D6742F" w:rsidP="00A30707">
            <w:pPr>
              <w:pStyle w:val="ListParagraph"/>
              <w:numPr>
                <w:ilvl w:val="0"/>
                <w:numId w:val="16"/>
              </w:numPr>
              <w:spacing w:after="0" w:line="240" w:lineRule="auto"/>
              <w:ind w:left="331" w:hanging="247"/>
              <w:rPr>
                <w:rFonts w:ascii="Arial Narrow" w:hAnsi="Arial Narrow"/>
                <w:sz w:val="20"/>
              </w:rPr>
            </w:pPr>
            <w:r w:rsidRPr="00A30707">
              <w:rPr>
                <w:rFonts w:ascii="Arial Narrow" w:hAnsi="Arial Narrow"/>
                <w:sz w:val="20"/>
              </w:rPr>
              <w:t xml:space="preserve">Dizziness, headache and heat sensation (single </w:t>
            </w:r>
            <w:r w:rsidRPr="00A30707">
              <w:rPr>
                <w:rFonts w:ascii="Arial Narrow" w:hAnsi="Arial Narrow"/>
                <w:sz w:val="20"/>
              </w:rPr>
              <w:lastRenderedPageBreak/>
              <w:t>episode), n (%)</w:t>
            </w:r>
          </w:p>
        </w:tc>
        <w:tc>
          <w:tcPr>
            <w:tcW w:w="943" w:type="pct"/>
            <w:gridSpan w:val="2"/>
            <w:tcBorders>
              <w:top w:val="nil"/>
              <w:left w:val="single" w:sz="4" w:space="0" w:color="auto"/>
              <w:bottom w:val="nil"/>
              <w:right w:val="nil"/>
            </w:tcBorders>
            <w:shd w:val="clear" w:color="auto" w:fill="auto"/>
            <w:noWrap/>
          </w:tcPr>
          <w:p w14:paraId="6AC5A884" w14:textId="61407902" w:rsidR="00D6742F" w:rsidRPr="007D0AA8" w:rsidRDefault="00D6742F" w:rsidP="00D6742F">
            <w:pPr>
              <w:spacing w:after="0" w:line="240" w:lineRule="auto"/>
              <w:rPr>
                <w:rFonts w:ascii="Arial Narrow" w:hAnsi="Arial Narrow"/>
                <w:sz w:val="20"/>
              </w:rPr>
            </w:pPr>
            <w:r w:rsidRPr="007D0AA8">
              <w:rPr>
                <w:rFonts w:ascii="Arial Narrow" w:hAnsi="Arial Narrow"/>
                <w:sz w:val="20"/>
              </w:rPr>
              <w:lastRenderedPageBreak/>
              <w:t>1 (&lt;1%)</w:t>
            </w:r>
          </w:p>
        </w:tc>
        <w:tc>
          <w:tcPr>
            <w:tcW w:w="935" w:type="pct"/>
            <w:gridSpan w:val="2"/>
            <w:tcBorders>
              <w:top w:val="nil"/>
              <w:left w:val="nil"/>
              <w:bottom w:val="nil"/>
              <w:right w:val="single" w:sz="4" w:space="0" w:color="auto"/>
            </w:tcBorders>
            <w:shd w:val="clear" w:color="auto" w:fill="auto"/>
            <w:noWrap/>
            <w:vAlign w:val="bottom"/>
          </w:tcPr>
          <w:p w14:paraId="3BDECE82" w14:textId="4D02FDCD"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D6742F" w:rsidRPr="007D0AA8" w14:paraId="41F0EB2E" w14:textId="77777777" w:rsidTr="00B52A4F">
        <w:tc>
          <w:tcPr>
            <w:tcW w:w="855" w:type="pct"/>
            <w:tcBorders>
              <w:top w:val="nil"/>
              <w:left w:val="single" w:sz="4" w:space="0" w:color="auto"/>
              <w:bottom w:val="single" w:sz="4" w:space="0" w:color="auto"/>
              <w:right w:val="single" w:sz="4" w:space="0" w:color="auto"/>
            </w:tcBorders>
            <w:vAlign w:val="bottom"/>
          </w:tcPr>
          <w:p w14:paraId="1F292811" w14:textId="77777777" w:rsidR="00D6742F" w:rsidRPr="007D0AA8" w:rsidRDefault="00D6742F" w:rsidP="00D6742F">
            <w:pPr>
              <w:spacing w:after="0" w:line="240" w:lineRule="auto"/>
              <w:rPr>
                <w:rFonts w:ascii="Arial Narrow" w:hAnsi="Arial Narrow" w:cs="Calibri"/>
                <w:color w:val="000000"/>
                <w:sz w:val="20"/>
                <w:szCs w:val="20"/>
              </w:rPr>
            </w:pPr>
          </w:p>
        </w:tc>
        <w:tc>
          <w:tcPr>
            <w:tcW w:w="2267" w:type="pct"/>
            <w:gridSpan w:val="2"/>
            <w:tcBorders>
              <w:top w:val="nil"/>
              <w:left w:val="single" w:sz="4" w:space="0" w:color="auto"/>
              <w:bottom w:val="single" w:sz="4" w:space="0" w:color="auto"/>
              <w:right w:val="single" w:sz="4" w:space="0" w:color="auto"/>
            </w:tcBorders>
          </w:tcPr>
          <w:p w14:paraId="08F2D66B" w14:textId="69F59CDF" w:rsidR="00D6742F" w:rsidRPr="007D0AA8" w:rsidRDefault="00D6742F" w:rsidP="00D6742F">
            <w:pPr>
              <w:spacing w:after="0" w:line="240" w:lineRule="auto"/>
              <w:rPr>
                <w:rFonts w:ascii="Arial Narrow" w:hAnsi="Arial Narrow"/>
                <w:sz w:val="20"/>
              </w:rPr>
            </w:pPr>
            <w:r w:rsidRPr="007D0AA8">
              <w:rPr>
                <w:rFonts w:ascii="Arial Narrow" w:hAnsi="Arial Narrow"/>
                <w:sz w:val="20"/>
              </w:rPr>
              <w:t>Discontinuations due to AE (n/N=15 patients)</w:t>
            </w:r>
          </w:p>
        </w:tc>
        <w:tc>
          <w:tcPr>
            <w:tcW w:w="943" w:type="pct"/>
            <w:gridSpan w:val="2"/>
            <w:tcBorders>
              <w:top w:val="nil"/>
              <w:left w:val="single" w:sz="4" w:space="0" w:color="auto"/>
              <w:bottom w:val="single" w:sz="4" w:space="0" w:color="auto"/>
              <w:right w:val="nil"/>
            </w:tcBorders>
            <w:shd w:val="clear" w:color="auto" w:fill="auto"/>
            <w:noWrap/>
          </w:tcPr>
          <w:p w14:paraId="671869DC" w14:textId="3808C714" w:rsidR="00D6742F" w:rsidRPr="007D0AA8" w:rsidRDefault="00A30707" w:rsidP="00D6742F">
            <w:pPr>
              <w:spacing w:after="0" w:line="240" w:lineRule="auto"/>
              <w:rPr>
                <w:rFonts w:ascii="Arial Narrow" w:hAnsi="Arial Narrow"/>
                <w:sz w:val="20"/>
              </w:rPr>
            </w:pPr>
            <w:r>
              <w:rPr>
                <w:rFonts w:ascii="Arial Narrow" w:hAnsi="Arial Narrow"/>
                <w:sz w:val="20"/>
              </w:rPr>
              <w:t>1/15</w:t>
            </w:r>
            <w:r w:rsidR="00D6742F" w:rsidRPr="007D0AA8">
              <w:rPr>
                <w:rFonts w:ascii="Arial Narrow" w:hAnsi="Arial Narrow"/>
                <w:sz w:val="20"/>
              </w:rPr>
              <w:t xml:space="preserve"> (7%)</w:t>
            </w:r>
          </w:p>
        </w:tc>
        <w:tc>
          <w:tcPr>
            <w:tcW w:w="935" w:type="pct"/>
            <w:gridSpan w:val="2"/>
            <w:tcBorders>
              <w:top w:val="nil"/>
              <w:left w:val="nil"/>
              <w:bottom w:val="single" w:sz="4" w:space="0" w:color="auto"/>
              <w:right w:val="single" w:sz="4" w:space="0" w:color="auto"/>
            </w:tcBorders>
            <w:shd w:val="clear" w:color="auto" w:fill="auto"/>
            <w:noWrap/>
            <w:vAlign w:val="bottom"/>
          </w:tcPr>
          <w:p w14:paraId="2EA21675" w14:textId="06CF8714"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D6742F" w:rsidRPr="007D0AA8" w14:paraId="76C8560F" w14:textId="77777777" w:rsidTr="00B52A4F">
        <w:tc>
          <w:tcPr>
            <w:tcW w:w="855" w:type="pct"/>
            <w:tcBorders>
              <w:top w:val="nil"/>
              <w:left w:val="single" w:sz="4" w:space="0" w:color="auto"/>
              <w:bottom w:val="single" w:sz="4" w:space="0" w:color="auto"/>
              <w:right w:val="single" w:sz="4" w:space="0" w:color="auto"/>
            </w:tcBorders>
            <w:vAlign w:val="bottom"/>
          </w:tcPr>
          <w:p w14:paraId="5A193CEC" w14:textId="77777777" w:rsidR="00D6742F" w:rsidRPr="007D0AA8" w:rsidRDefault="00D6742F" w:rsidP="00D6742F">
            <w:pPr>
              <w:spacing w:after="0" w:line="240" w:lineRule="auto"/>
              <w:rPr>
                <w:rFonts w:ascii="Arial Narrow" w:hAnsi="Arial Narrow" w:cs="Calibri"/>
                <w:color w:val="000000"/>
                <w:sz w:val="20"/>
                <w:szCs w:val="20"/>
              </w:rPr>
            </w:pPr>
          </w:p>
        </w:tc>
        <w:tc>
          <w:tcPr>
            <w:tcW w:w="2267" w:type="pct"/>
            <w:gridSpan w:val="2"/>
            <w:tcBorders>
              <w:top w:val="nil"/>
              <w:left w:val="single" w:sz="4" w:space="0" w:color="auto"/>
              <w:bottom w:val="single" w:sz="4" w:space="0" w:color="auto"/>
              <w:right w:val="single" w:sz="4" w:space="0" w:color="auto"/>
            </w:tcBorders>
          </w:tcPr>
          <w:p w14:paraId="1542FDE2" w14:textId="415B8F97" w:rsidR="00D6742F" w:rsidRPr="007D0AA8" w:rsidRDefault="00D6742F" w:rsidP="00D6742F">
            <w:pPr>
              <w:spacing w:after="0" w:line="240" w:lineRule="auto"/>
              <w:rPr>
                <w:rFonts w:ascii="Arial Narrow" w:hAnsi="Arial Narrow"/>
                <w:sz w:val="20"/>
              </w:rPr>
            </w:pPr>
            <w:r w:rsidRPr="007D0AA8">
              <w:rPr>
                <w:rFonts w:ascii="Arial Narrow" w:hAnsi="Arial Narrow"/>
                <w:snapToGrid w:val="0"/>
                <w:sz w:val="20"/>
                <w:szCs w:val="20"/>
                <w:lang w:eastAsia="en-US"/>
              </w:rPr>
              <w:t>12 months during study (median 14 mo, range 3-20) (n=14)</w:t>
            </w:r>
          </w:p>
        </w:tc>
        <w:tc>
          <w:tcPr>
            <w:tcW w:w="943" w:type="pct"/>
            <w:gridSpan w:val="2"/>
            <w:tcBorders>
              <w:top w:val="nil"/>
              <w:left w:val="single" w:sz="4" w:space="0" w:color="auto"/>
              <w:bottom w:val="single" w:sz="4" w:space="0" w:color="auto"/>
              <w:right w:val="nil"/>
            </w:tcBorders>
            <w:shd w:val="clear" w:color="auto" w:fill="auto"/>
            <w:noWrap/>
          </w:tcPr>
          <w:p w14:paraId="461279E7" w14:textId="77777777" w:rsidR="00D6742F" w:rsidRPr="007D0AA8" w:rsidRDefault="00D6742F" w:rsidP="00D6742F">
            <w:pPr>
              <w:spacing w:after="0" w:line="240" w:lineRule="auto"/>
              <w:rPr>
                <w:rFonts w:ascii="Arial Narrow" w:hAnsi="Arial Narrow"/>
                <w:sz w:val="20"/>
              </w:rPr>
            </w:pPr>
          </w:p>
        </w:tc>
        <w:tc>
          <w:tcPr>
            <w:tcW w:w="935" w:type="pct"/>
            <w:gridSpan w:val="2"/>
            <w:tcBorders>
              <w:top w:val="nil"/>
              <w:left w:val="nil"/>
              <w:bottom w:val="single" w:sz="4" w:space="0" w:color="auto"/>
              <w:right w:val="single" w:sz="4" w:space="0" w:color="auto"/>
            </w:tcBorders>
            <w:shd w:val="clear" w:color="auto" w:fill="auto"/>
            <w:noWrap/>
            <w:vAlign w:val="bottom"/>
          </w:tcPr>
          <w:p w14:paraId="4DDB729A" w14:textId="627DC96E"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9634B8" w:rsidRPr="00386411" w14:paraId="24FEE4A4" w14:textId="77777777" w:rsidTr="009634B8">
        <w:tc>
          <w:tcPr>
            <w:tcW w:w="5000" w:type="pct"/>
            <w:gridSpan w:val="7"/>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57FD219A" w14:textId="31199DD4" w:rsidR="009634B8" w:rsidRPr="00386411" w:rsidRDefault="009634B8" w:rsidP="00D6742F">
            <w:pPr>
              <w:spacing w:after="0" w:line="240" w:lineRule="auto"/>
              <w:rPr>
                <w:rFonts w:ascii="Arial Narrow" w:hAnsi="Arial Narrow" w:cs="Calibri"/>
                <w:b/>
                <w:color w:val="000000"/>
                <w:sz w:val="20"/>
                <w:szCs w:val="20"/>
              </w:rPr>
            </w:pPr>
            <w:r w:rsidRPr="00386411">
              <w:rPr>
                <w:rFonts w:ascii="Arial Narrow" w:hAnsi="Arial Narrow"/>
                <w:b/>
                <w:color w:val="FFFFFF" w:themeColor="background1"/>
                <w:sz w:val="20"/>
                <w:szCs w:val="18"/>
              </w:rPr>
              <w:t>Non-comparative studies – SCIg case series</w:t>
            </w:r>
          </w:p>
        </w:tc>
      </w:tr>
      <w:tr w:rsidR="00CC278A" w:rsidRPr="00386411" w14:paraId="68B95652" w14:textId="77777777" w:rsidTr="00B52A4F">
        <w:tc>
          <w:tcPr>
            <w:tcW w:w="8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72208C" w14:textId="77777777" w:rsidR="00CC278A" w:rsidRPr="00386411" w:rsidRDefault="00CC278A" w:rsidP="00CC278A">
            <w:pPr>
              <w:spacing w:after="0" w:line="240" w:lineRule="auto"/>
              <w:rPr>
                <w:rFonts w:ascii="Arial Narrow" w:hAnsi="Arial Narrow" w:cs="Calibri"/>
                <w:b/>
                <w:color w:val="000000"/>
                <w:sz w:val="20"/>
                <w:szCs w:val="20"/>
              </w:rPr>
            </w:pPr>
            <w:r w:rsidRPr="00386411">
              <w:rPr>
                <w:rFonts w:ascii="Arial Narrow" w:hAnsi="Arial Narrow"/>
                <w:b/>
                <w:snapToGrid w:val="0"/>
                <w:sz w:val="20"/>
                <w:szCs w:val="20"/>
              </w:rPr>
              <w:t>Dimou et al. 2018</w:t>
            </w:r>
          </w:p>
        </w:tc>
        <w:tc>
          <w:tcPr>
            <w:tcW w:w="2268" w:type="pct"/>
            <w:gridSpan w:val="2"/>
            <w:tcBorders>
              <w:top w:val="single" w:sz="4" w:space="0" w:color="auto"/>
              <w:left w:val="single" w:sz="4" w:space="0" w:color="auto"/>
              <w:bottom w:val="single" w:sz="4" w:space="0" w:color="auto"/>
            </w:tcBorders>
            <w:shd w:val="clear" w:color="auto" w:fill="D9D9D9" w:themeFill="background1" w:themeFillShade="D9"/>
          </w:tcPr>
          <w:p w14:paraId="1257450C" w14:textId="77777777" w:rsidR="00CC278A" w:rsidRPr="00386411" w:rsidRDefault="00CC278A" w:rsidP="00CC278A">
            <w:pPr>
              <w:pStyle w:val="Tabletext1"/>
              <w:rPr>
                <w:b/>
              </w:rPr>
            </w:pPr>
            <w:r w:rsidRPr="00386411">
              <w:rPr>
                <w:b/>
                <w:snapToGrid w:val="0"/>
              </w:rPr>
              <w:t>Adverse Events, patients with event n/N (%)</w:t>
            </w:r>
          </w:p>
        </w:tc>
        <w:tc>
          <w:tcPr>
            <w:tcW w:w="960" w:type="pct"/>
            <w:gridSpan w:val="2"/>
            <w:tcBorders>
              <w:top w:val="single" w:sz="4" w:space="0" w:color="auto"/>
              <w:left w:val="nil"/>
              <w:bottom w:val="single" w:sz="4" w:space="0" w:color="auto"/>
              <w:right w:val="single" w:sz="4" w:space="0" w:color="auto"/>
            </w:tcBorders>
            <w:shd w:val="clear" w:color="auto" w:fill="D9D9D9" w:themeFill="background1" w:themeFillShade="D9"/>
            <w:noWrap/>
          </w:tcPr>
          <w:p w14:paraId="39009AF4" w14:textId="77777777" w:rsidR="00CC278A" w:rsidRPr="00386411" w:rsidRDefault="00CC278A" w:rsidP="00CC278A">
            <w:pPr>
              <w:spacing w:after="0" w:line="240" w:lineRule="auto"/>
              <w:rPr>
                <w:rFonts w:ascii="Arial Narrow" w:hAnsi="Arial Narrow"/>
                <w:b/>
                <w:sz w:val="20"/>
              </w:rPr>
            </w:pPr>
            <w:r w:rsidRPr="00386411">
              <w:rPr>
                <w:rFonts w:ascii="Arial Narrow" w:hAnsi="Arial Narrow"/>
                <w:b/>
                <w:sz w:val="20"/>
              </w:rPr>
              <w:t>During SCIg (N=33)</w:t>
            </w:r>
          </w:p>
        </w:tc>
        <w:tc>
          <w:tcPr>
            <w:tcW w:w="91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7454D74" w14:textId="252049F6" w:rsidR="00CC278A" w:rsidRPr="00386411" w:rsidRDefault="00DD6D33" w:rsidP="00CC278A">
            <w:pPr>
              <w:spacing w:after="0" w:line="240" w:lineRule="auto"/>
              <w:rPr>
                <w:rFonts w:ascii="Arial Narrow" w:hAnsi="Arial Narrow"/>
                <w:b/>
                <w:color w:val="000000"/>
                <w:sz w:val="20"/>
              </w:rPr>
            </w:pPr>
            <w:r w:rsidRPr="00386411">
              <w:rPr>
                <w:rFonts w:ascii="Arial Narrow" w:hAnsi="Arial Narrow"/>
                <w:b/>
                <w:color w:val="000000"/>
                <w:sz w:val="20"/>
              </w:rPr>
              <w:t>N/A</w:t>
            </w:r>
          </w:p>
        </w:tc>
      </w:tr>
      <w:tr w:rsidR="00D6742F" w:rsidRPr="007D0AA8" w14:paraId="6B16A2BD" w14:textId="77777777" w:rsidTr="00B52A4F">
        <w:tc>
          <w:tcPr>
            <w:tcW w:w="858" w:type="pct"/>
            <w:gridSpan w:val="2"/>
            <w:tcBorders>
              <w:top w:val="single" w:sz="4" w:space="0" w:color="auto"/>
              <w:left w:val="single" w:sz="4" w:space="0" w:color="auto"/>
              <w:right w:val="single" w:sz="4" w:space="0" w:color="auto"/>
            </w:tcBorders>
            <w:vAlign w:val="center"/>
          </w:tcPr>
          <w:p w14:paraId="2931794F" w14:textId="5967CA30" w:rsidR="00D6742F" w:rsidRPr="007D0AA8" w:rsidRDefault="00D6742F" w:rsidP="00D6742F">
            <w:pPr>
              <w:spacing w:after="0" w:line="240" w:lineRule="auto"/>
              <w:ind w:right="-162"/>
              <w:rPr>
                <w:rFonts w:ascii="Arial Narrow" w:hAnsi="Arial Narrow"/>
                <w:snapToGrid w:val="0"/>
                <w:sz w:val="20"/>
                <w:szCs w:val="20"/>
              </w:rPr>
            </w:pPr>
            <w:r>
              <w:rPr>
                <w:rFonts w:ascii="Arial Narrow" w:hAnsi="Arial Narrow"/>
                <w:snapToGrid w:val="0"/>
                <w:sz w:val="20"/>
                <w:szCs w:val="20"/>
              </w:rPr>
              <w:t>CLL(25), MM(3); NHL(3), HL(1)*</w:t>
            </w:r>
          </w:p>
        </w:tc>
        <w:tc>
          <w:tcPr>
            <w:tcW w:w="2268" w:type="pct"/>
            <w:gridSpan w:val="2"/>
            <w:tcBorders>
              <w:top w:val="single" w:sz="4" w:space="0" w:color="auto"/>
              <w:left w:val="single" w:sz="4" w:space="0" w:color="auto"/>
              <w:right w:val="single" w:sz="4" w:space="0" w:color="auto"/>
            </w:tcBorders>
          </w:tcPr>
          <w:p w14:paraId="6A07864A" w14:textId="77777777" w:rsidR="00D6742F" w:rsidRPr="007D0AA8" w:rsidRDefault="00D6742F" w:rsidP="00D6742F">
            <w:pPr>
              <w:spacing w:after="0" w:line="240" w:lineRule="auto"/>
              <w:rPr>
                <w:rFonts w:ascii="Arial Narrow" w:hAnsi="Arial Narrow"/>
                <w:sz w:val="20"/>
              </w:rPr>
            </w:pPr>
            <w:r w:rsidRPr="007D0AA8">
              <w:rPr>
                <w:rFonts w:ascii="Arial Narrow" w:hAnsi="Arial Narrow"/>
                <w:sz w:val="20"/>
              </w:rPr>
              <w:t>Mild (grade 1) AEs (low grade fever and headache after the 1</w:t>
            </w:r>
            <w:r w:rsidRPr="007D0AA8">
              <w:rPr>
                <w:rFonts w:ascii="Arial Narrow" w:hAnsi="Arial Narrow"/>
                <w:sz w:val="20"/>
                <w:vertAlign w:val="superscript"/>
              </w:rPr>
              <w:t>st</w:t>
            </w:r>
            <w:r w:rsidRPr="007D0AA8">
              <w:rPr>
                <w:rFonts w:ascii="Arial Narrow" w:hAnsi="Arial Narrow"/>
                <w:sz w:val="20"/>
              </w:rPr>
              <w:t xml:space="preserve"> and/or 2</w:t>
            </w:r>
            <w:r w:rsidRPr="007D0AA8">
              <w:rPr>
                <w:rFonts w:ascii="Arial Narrow" w:hAnsi="Arial Narrow"/>
                <w:sz w:val="20"/>
                <w:vertAlign w:val="superscript"/>
              </w:rPr>
              <w:t>nd</w:t>
            </w:r>
            <w:r w:rsidRPr="007D0AA8">
              <w:rPr>
                <w:rFonts w:ascii="Arial Narrow" w:hAnsi="Arial Narrow"/>
                <w:sz w:val="20"/>
              </w:rPr>
              <w:t xml:space="preserve"> infusion)</w:t>
            </w:r>
          </w:p>
        </w:tc>
        <w:tc>
          <w:tcPr>
            <w:tcW w:w="960" w:type="pct"/>
            <w:gridSpan w:val="2"/>
            <w:tcBorders>
              <w:top w:val="single" w:sz="4" w:space="0" w:color="auto"/>
              <w:left w:val="single" w:sz="4" w:space="0" w:color="auto"/>
              <w:bottom w:val="nil"/>
              <w:right w:val="nil"/>
            </w:tcBorders>
            <w:shd w:val="clear" w:color="auto" w:fill="auto"/>
            <w:noWrap/>
          </w:tcPr>
          <w:p w14:paraId="3DB7C6BC" w14:textId="77777777" w:rsidR="00D6742F" w:rsidRPr="007D0AA8" w:rsidRDefault="00D6742F" w:rsidP="00D6742F">
            <w:pPr>
              <w:spacing w:after="0" w:line="240" w:lineRule="auto"/>
              <w:rPr>
                <w:rFonts w:ascii="Arial Narrow" w:hAnsi="Arial Narrow"/>
                <w:sz w:val="20"/>
              </w:rPr>
            </w:pPr>
            <w:r w:rsidRPr="007D0AA8">
              <w:rPr>
                <w:rFonts w:ascii="Arial Narrow" w:hAnsi="Arial Narrow"/>
                <w:sz w:val="20"/>
              </w:rPr>
              <w:t>3/33 (9%)</w:t>
            </w:r>
          </w:p>
        </w:tc>
        <w:tc>
          <w:tcPr>
            <w:tcW w:w="914" w:type="pct"/>
            <w:tcBorders>
              <w:top w:val="single" w:sz="4" w:space="0" w:color="auto"/>
              <w:left w:val="nil"/>
              <w:bottom w:val="nil"/>
              <w:right w:val="single" w:sz="4" w:space="0" w:color="auto"/>
            </w:tcBorders>
            <w:shd w:val="clear" w:color="auto" w:fill="auto"/>
            <w:noWrap/>
            <w:vAlign w:val="bottom"/>
          </w:tcPr>
          <w:p w14:paraId="4E4FEBD1" w14:textId="73597BFD"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D6742F" w:rsidRPr="007D0AA8" w14:paraId="2AC69EED" w14:textId="77777777" w:rsidTr="00B52A4F">
        <w:tc>
          <w:tcPr>
            <w:tcW w:w="858" w:type="pct"/>
            <w:gridSpan w:val="2"/>
            <w:tcBorders>
              <w:left w:val="single" w:sz="4" w:space="0" w:color="auto"/>
              <w:right w:val="single" w:sz="4" w:space="0" w:color="auto"/>
            </w:tcBorders>
            <w:vAlign w:val="center"/>
          </w:tcPr>
          <w:p w14:paraId="5E6E297D" w14:textId="77777777" w:rsidR="00D6742F" w:rsidRPr="007D0AA8" w:rsidRDefault="00D6742F" w:rsidP="00D6742F">
            <w:pPr>
              <w:spacing w:after="0" w:line="240" w:lineRule="auto"/>
              <w:ind w:right="-162"/>
              <w:rPr>
                <w:rFonts w:ascii="Arial Narrow" w:hAnsi="Arial Narrow"/>
                <w:snapToGrid w:val="0"/>
                <w:sz w:val="20"/>
                <w:szCs w:val="20"/>
              </w:rPr>
            </w:pPr>
          </w:p>
        </w:tc>
        <w:tc>
          <w:tcPr>
            <w:tcW w:w="2268" w:type="pct"/>
            <w:gridSpan w:val="2"/>
            <w:tcBorders>
              <w:left w:val="single" w:sz="4" w:space="0" w:color="auto"/>
              <w:right w:val="single" w:sz="4" w:space="0" w:color="auto"/>
            </w:tcBorders>
          </w:tcPr>
          <w:p w14:paraId="433A91ED" w14:textId="77777777" w:rsidR="00D6742F" w:rsidRPr="007D0AA8" w:rsidRDefault="00D6742F" w:rsidP="00D6742F">
            <w:pPr>
              <w:spacing w:after="0" w:line="240" w:lineRule="auto"/>
              <w:rPr>
                <w:rFonts w:ascii="Arial Narrow" w:hAnsi="Arial Narrow"/>
                <w:sz w:val="20"/>
              </w:rPr>
            </w:pPr>
            <w:r w:rsidRPr="007D0AA8">
              <w:rPr>
                <w:rFonts w:ascii="Arial Narrow" w:hAnsi="Arial Narrow"/>
                <w:sz w:val="20"/>
              </w:rPr>
              <w:t>**Other AE: recurrent unilateral scrotal oedema (transient, no severity described)</w:t>
            </w:r>
          </w:p>
        </w:tc>
        <w:tc>
          <w:tcPr>
            <w:tcW w:w="960" w:type="pct"/>
            <w:gridSpan w:val="2"/>
            <w:tcBorders>
              <w:top w:val="nil"/>
              <w:left w:val="single" w:sz="4" w:space="0" w:color="auto"/>
              <w:bottom w:val="nil"/>
              <w:right w:val="nil"/>
            </w:tcBorders>
            <w:shd w:val="clear" w:color="auto" w:fill="auto"/>
            <w:noWrap/>
          </w:tcPr>
          <w:p w14:paraId="38FD120E" w14:textId="77777777" w:rsidR="00D6742F" w:rsidRPr="007D0AA8" w:rsidRDefault="00D6742F" w:rsidP="00D6742F">
            <w:pPr>
              <w:spacing w:after="0" w:line="240" w:lineRule="auto"/>
              <w:rPr>
                <w:rFonts w:ascii="Arial Narrow" w:hAnsi="Arial Narrow"/>
                <w:sz w:val="20"/>
              </w:rPr>
            </w:pPr>
            <w:r w:rsidRPr="007D0AA8">
              <w:rPr>
                <w:rFonts w:ascii="Arial Narrow" w:hAnsi="Arial Narrow"/>
                <w:sz w:val="20"/>
              </w:rPr>
              <w:t>1/33(3%)</w:t>
            </w:r>
          </w:p>
        </w:tc>
        <w:tc>
          <w:tcPr>
            <w:tcW w:w="914" w:type="pct"/>
            <w:tcBorders>
              <w:top w:val="nil"/>
              <w:left w:val="nil"/>
              <w:bottom w:val="nil"/>
              <w:right w:val="single" w:sz="4" w:space="0" w:color="auto"/>
            </w:tcBorders>
            <w:shd w:val="clear" w:color="auto" w:fill="auto"/>
            <w:noWrap/>
            <w:vAlign w:val="bottom"/>
          </w:tcPr>
          <w:p w14:paraId="5FAA7E92" w14:textId="4AF69B6F"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D6742F" w:rsidRPr="007D0AA8" w14:paraId="5FE34EC9" w14:textId="77777777" w:rsidTr="00B52A4F">
        <w:tc>
          <w:tcPr>
            <w:tcW w:w="858" w:type="pct"/>
            <w:gridSpan w:val="2"/>
            <w:tcBorders>
              <w:left w:val="single" w:sz="4" w:space="0" w:color="auto"/>
              <w:right w:val="single" w:sz="4" w:space="0" w:color="auto"/>
            </w:tcBorders>
            <w:vAlign w:val="center"/>
          </w:tcPr>
          <w:p w14:paraId="20CBB58D" w14:textId="77777777" w:rsidR="00D6742F" w:rsidRPr="007D0AA8" w:rsidRDefault="00D6742F" w:rsidP="00D6742F">
            <w:pPr>
              <w:spacing w:after="0" w:line="240" w:lineRule="auto"/>
              <w:rPr>
                <w:rFonts w:ascii="Arial Narrow" w:hAnsi="Arial Narrow"/>
                <w:snapToGrid w:val="0"/>
                <w:sz w:val="20"/>
                <w:szCs w:val="20"/>
              </w:rPr>
            </w:pPr>
          </w:p>
        </w:tc>
        <w:tc>
          <w:tcPr>
            <w:tcW w:w="2268" w:type="pct"/>
            <w:gridSpan w:val="2"/>
            <w:tcBorders>
              <w:left w:val="single" w:sz="4" w:space="0" w:color="auto"/>
              <w:right w:val="single" w:sz="4" w:space="0" w:color="auto"/>
            </w:tcBorders>
          </w:tcPr>
          <w:p w14:paraId="4200B8B1" w14:textId="77777777" w:rsidR="00D6742F" w:rsidRPr="007D0AA8" w:rsidRDefault="00D6742F" w:rsidP="00D6742F">
            <w:pPr>
              <w:spacing w:after="0" w:line="240" w:lineRule="auto"/>
              <w:rPr>
                <w:rFonts w:ascii="Arial Narrow" w:hAnsi="Arial Narrow"/>
                <w:sz w:val="20"/>
              </w:rPr>
            </w:pPr>
            <w:r w:rsidRPr="007D0AA8">
              <w:rPr>
                <w:rFonts w:ascii="Arial Narrow" w:hAnsi="Arial Narrow"/>
                <w:sz w:val="20"/>
              </w:rPr>
              <w:t>Discontinued SCIg due to AE</w:t>
            </w:r>
          </w:p>
        </w:tc>
        <w:tc>
          <w:tcPr>
            <w:tcW w:w="960" w:type="pct"/>
            <w:gridSpan w:val="2"/>
            <w:tcBorders>
              <w:top w:val="nil"/>
              <w:left w:val="single" w:sz="4" w:space="0" w:color="auto"/>
              <w:bottom w:val="nil"/>
              <w:right w:val="nil"/>
            </w:tcBorders>
            <w:shd w:val="clear" w:color="auto" w:fill="auto"/>
            <w:noWrap/>
          </w:tcPr>
          <w:p w14:paraId="30BA294E" w14:textId="77777777" w:rsidR="00D6742F" w:rsidRPr="007D0AA8" w:rsidRDefault="00D6742F" w:rsidP="00D6742F">
            <w:pPr>
              <w:spacing w:after="0" w:line="240" w:lineRule="auto"/>
              <w:rPr>
                <w:rFonts w:ascii="Arial Narrow" w:hAnsi="Arial Narrow"/>
                <w:sz w:val="20"/>
              </w:rPr>
            </w:pPr>
            <w:r w:rsidRPr="007D0AA8">
              <w:rPr>
                <w:rFonts w:ascii="Arial Narrow" w:hAnsi="Arial Narrow"/>
                <w:sz w:val="20"/>
              </w:rPr>
              <w:t>1/33 (3%)</w:t>
            </w:r>
          </w:p>
        </w:tc>
        <w:tc>
          <w:tcPr>
            <w:tcW w:w="914" w:type="pct"/>
            <w:tcBorders>
              <w:top w:val="nil"/>
              <w:left w:val="nil"/>
              <w:bottom w:val="nil"/>
              <w:right w:val="single" w:sz="4" w:space="0" w:color="auto"/>
            </w:tcBorders>
            <w:shd w:val="clear" w:color="auto" w:fill="auto"/>
            <w:noWrap/>
            <w:vAlign w:val="bottom"/>
          </w:tcPr>
          <w:p w14:paraId="70CF685B" w14:textId="71B5DB58"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r w:rsidR="00D6742F" w:rsidRPr="007D0AA8" w14:paraId="1F0AFCF5" w14:textId="77777777" w:rsidTr="00B52A4F">
        <w:tc>
          <w:tcPr>
            <w:tcW w:w="858" w:type="pct"/>
            <w:gridSpan w:val="2"/>
            <w:tcBorders>
              <w:left w:val="single" w:sz="4" w:space="0" w:color="auto"/>
              <w:bottom w:val="single" w:sz="4" w:space="0" w:color="auto"/>
              <w:right w:val="single" w:sz="4" w:space="0" w:color="auto"/>
            </w:tcBorders>
            <w:vAlign w:val="center"/>
          </w:tcPr>
          <w:p w14:paraId="2E526C3B" w14:textId="77777777" w:rsidR="00D6742F" w:rsidRPr="007D0AA8" w:rsidRDefault="00D6742F" w:rsidP="00D6742F">
            <w:pPr>
              <w:spacing w:after="0" w:line="240" w:lineRule="auto"/>
              <w:rPr>
                <w:rFonts w:ascii="Arial Narrow" w:hAnsi="Arial Narrow"/>
                <w:snapToGrid w:val="0"/>
                <w:sz w:val="20"/>
                <w:szCs w:val="20"/>
              </w:rPr>
            </w:pPr>
          </w:p>
        </w:tc>
        <w:tc>
          <w:tcPr>
            <w:tcW w:w="2268" w:type="pct"/>
            <w:gridSpan w:val="2"/>
            <w:tcBorders>
              <w:left w:val="single" w:sz="4" w:space="0" w:color="auto"/>
              <w:bottom w:val="single" w:sz="4" w:space="0" w:color="auto"/>
              <w:right w:val="single" w:sz="4" w:space="0" w:color="auto"/>
            </w:tcBorders>
          </w:tcPr>
          <w:p w14:paraId="2B0EECE6" w14:textId="77777777" w:rsidR="00D6742F" w:rsidRPr="007D0AA8" w:rsidRDefault="00D6742F" w:rsidP="00D6742F">
            <w:pPr>
              <w:spacing w:after="0" w:line="240" w:lineRule="auto"/>
              <w:rPr>
                <w:rFonts w:ascii="Arial Narrow" w:hAnsi="Arial Narrow"/>
                <w:sz w:val="20"/>
              </w:rPr>
            </w:pPr>
            <w:r w:rsidRPr="007D0AA8">
              <w:rPr>
                <w:rFonts w:ascii="Arial Narrow" w:hAnsi="Arial Narrow"/>
                <w:sz w:val="20"/>
              </w:rPr>
              <w:t>**Late AEs (not attributed to SCIg)</w:t>
            </w:r>
          </w:p>
        </w:tc>
        <w:tc>
          <w:tcPr>
            <w:tcW w:w="960" w:type="pct"/>
            <w:gridSpan w:val="2"/>
            <w:tcBorders>
              <w:top w:val="nil"/>
              <w:left w:val="single" w:sz="4" w:space="0" w:color="auto"/>
              <w:bottom w:val="single" w:sz="4" w:space="0" w:color="auto"/>
              <w:right w:val="nil"/>
            </w:tcBorders>
            <w:shd w:val="clear" w:color="auto" w:fill="auto"/>
            <w:noWrap/>
          </w:tcPr>
          <w:p w14:paraId="76A308BF" w14:textId="77777777" w:rsidR="00D6742F" w:rsidRPr="007D0AA8" w:rsidRDefault="00D6742F" w:rsidP="00D6742F">
            <w:pPr>
              <w:spacing w:after="0" w:line="240" w:lineRule="auto"/>
              <w:rPr>
                <w:rFonts w:ascii="Arial Narrow" w:hAnsi="Arial Narrow"/>
                <w:sz w:val="20"/>
              </w:rPr>
            </w:pPr>
            <w:r w:rsidRPr="007D0AA8">
              <w:rPr>
                <w:rFonts w:ascii="Arial Narrow" w:hAnsi="Arial Narrow"/>
                <w:sz w:val="20"/>
              </w:rPr>
              <w:t>2/33 (6%)</w:t>
            </w:r>
          </w:p>
        </w:tc>
        <w:tc>
          <w:tcPr>
            <w:tcW w:w="914" w:type="pct"/>
            <w:tcBorders>
              <w:top w:val="nil"/>
              <w:left w:val="nil"/>
              <w:bottom w:val="single" w:sz="4" w:space="0" w:color="auto"/>
              <w:right w:val="single" w:sz="4" w:space="0" w:color="auto"/>
            </w:tcBorders>
            <w:shd w:val="clear" w:color="auto" w:fill="auto"/>
            <w:noWrap/>
            <w:vAlign w:val="bottom"/>
          </w:tcPr>
          <w:p w14:paraId="67937561" w14:textId="68ACBFFE" w:rsidR="00D6742F" w:rsidRPr="007D0AA8" w:rsidRDefault="00D6742F" w:rsidP="00D6742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r>
    </w:tbl>
    <w:p w14:paraId="4EB143BD" w14:textId="0D8E05B7" w:rsidR="00CC278A" w:rsidRPr="007D0AA8" w:rsidRDefault="00CC278A" w:rsidP="008742A1">
      <w:pPr>
        <w:pStyle w:val="Tablenotes1"/>
      </w:pPr>
      <w:r w:rsidRPr="007D0AA8">
        <w:t xml:space="preserve">*Notes: </w:t>
      </w:r>
      <w:r w:rsidRPr="007D0AA8">
        <w:rPr>
          <w:u w:val="single"/>
        </w:rPr>
        <w:t>Brenner, 1996</w:t>
      </w:r>
      <w:r w:rsidRPr="007D0AA8">
        <w:t xml:space="preserve"> – N=54 patients included </w:t>
      </w:r>
      <w:r w:rsidR="006E04C1" w:rsidRPr="007D0AA8">
        <w:t>CLL (</w:t>
      </w:r>
      <w:r w:rsidRPr="007D0AA8">
        <w:t xml:space="preserve">22); </w:t>
      </w:r>
      <w:r w:rsidR="006E04C1" w:rsidRPr="007D0AA8">
        <w:t>MM (</w:t>
      </w:r>
      <w:r w:rsidRPr="007D0AA8">
        <w:t xml:space="preserve">4); </w:t>
      </w:r>
      <w:r w:rsidR="006E04C1" w:rsidRPr="007D0AA8">
        <w:t>ITP (</w:t>
      </w:r>
      <w:r w:rsidRPr="007D0AA8">
        <w:t xml:space="preserve">20) and </w:t>
      </w:r>
      <w:r w:rsidR="006E04C1" w:rsidRPr="007D0AA8">
        <w:t>PAPS (</w:t>
      </w:r>
      <w:r w:rsidRPr="007D0AA8">
        <w:t xml:space="preserve">8). Other AEs: dizziness, weakness, back pain, excessive salivation, sleepiness, palmar erythema, itching, flushing, chest pain or pressure, mild hypotension and mild hypertension, palpitations, vomiting, cold sweats, and dry cough. </w:t>
      </w:r>
      <w:r w:rsidRPr="007D0AA8">
        <w:rPr>
          <w:u w:val="single"/>
        </w:rPr>
        <w:t xml:space="preserve">Günther &amp; Dreger 2013 </w:t>
      </w:r>
      <w:r w:rsidRPr="007D0AA8">
        <w:t xml:space="preserve">– underlying disease types: </w:t>
      </w:r>
      <w:r w:rsidR="006E04C1" w:rsidRPr="007D0AA8">
        <w:t>CLL (</w:t>
      </w:r>
      <w:r w:rsidRPr="007D0AA8">
        <w:t xml:space="preserve">5), </w:t>
      </w:r>
      <w:r w:rsidR="006E04C1" w:rsidRPr="007D0AA8">
        <w:t>FL (</w:t>
      </w:r>
      <w:r w:rsidRPr="007D0AA8">
        <w:t xml:space="preserve">2), </w:t>
      </w:r>
      <w:r w:rsidR="006E04C1" w:rsidRPr="007D0AA8">
        <w:t>WM (</w:t>
      </w:r>
      <w:r w:rsidRPr="007D0AA8">
        <w:t xml:space="preserve">1), IgA-plasmacytoma (1), </w:t>
      </w:r>
      <w:r w:rsidR="006E04C1" w:rsidRPr="007D0AA8">
        <w:t>MDS (</w:t>
      </w:r>
      <w:r w:rsidRPr="007D0AA8">
        <w:t xml:space="preserve">1)].  </w:t>
      </w:r>
      <w:r w:rsidR="00763F47" w:rsidRPr="007D0AA8">
        <w:rPr>
          <w:u w:val="single"/>
        </w:rPr>
        <w:t>Jurlander et al., 1994</w:t>
      </w:r>
      <w:r w:rsidR="00763F47" w:rsidRPr="007D0AA8">
        <w:t xml:space="preserve"> – 1 of 15 patients discontinued after 4 infusions and is not included, thus N=14. </w:t>
      </w:r>
      <w:r w:rsidRPr="007D0AA8">
        <w:rPr>
          <w:u w:val="single"/>
        </w:rPr>
        <w:t>Dimou et al., 2018</w:t>
      </w:r>
      <w:r w:rsidRPr="007D0AA8">
        <w:t xml:space="preserve"> – the individual haematological malignancy totals do not add up to N=33. Scrotal oedema recurred in 1 patient after SCIg infusions (each time resolving within 24h) until timing changed to evening infusion; Discontinuation was due to rare rash, mucinosis, most likely irrelevant to SCIg; late AEs were 1 episode DVT after 1 yr of tx (patient was also receiving erythropoietin), and 1 maculopapular pruritic rash on abdomen + buttocks 3 days after 6</w:t>
      </w:r>
      <w:r w:rsidRPr="007D0AA8">
        <w:rPr>
          <w:vertAlign w:val="superscript"/>
        </w:rPr>
        <w:t>th</w:t>
      </w:r>
      <w:r w:rsidRPr="007D0AA8">
        <w:t xml:space="preserve"> infusion. </w:t>
      </w:r>
    </w:p>
    <w:p w14:paraId="34083635" w14:textId="5A356B1D" w:rsidR="00D55174" w:rsidRPr="007D0AA8" w:rsidRDefault="00D55174" w:rsidP="008742A1">
      <w:pPr>
        <w:pStyle w:val="Tablenotes1"/>
      </w:pPr>
      <w:r w:rsidRPr="007D0AA8">
        <w:rPr>
          <w:szCs w:val="18"/>
        </w:rPr>
        <w:t xml:space="preserve">AEs=adverse events; CLL=chronic lymphocytic leukaemia; DVT=deep vein thrombosis; FL=follicular lymphoma; HL=Hodgkin lymphoma; </w:t>
      </w:r>
      <w:r w:rsidRPr="007D0AA8">
        <w:t xml:space="preserve">ITP=idiopathic thrombocytopenic purpura; </w:t>
      </w:r>
      <w:r w:rsidRPr="007D0AA8">
        <w:rPr>
          <w:szCs w:val="18"/>
        </w:rPr>
        <w:t>IVIg=intrav</w:t>
      </w:r>
      <w:r w:rsidR="00D23CB4">
        <w:rPr>
          <w:szCs w:val="18"/>
        </w:rPr>
        <w:t>enous immunoglobulin; MDS=myelo</w:t>
      </w:r>
      <w:r w:rsidRPr="007D0AA8">
        <w:rPr>
          <w:szCs w:val="18"/>
        </w:rPr>
        <w:t>dysplastic syndrome; MM=multiple myeloma;</w:t>
      </w:r>
      <w:r w:rsidRPr="007D0AA8">
        <w:t xml:space="preserve"> NHL=non-Hodgkin lymphoma;</w:t>
      </w:r>
      <w:r w:rsidRPr="007D0AA8">
        <w:rPr>
          <w:szCs w:val="18"/>
        </w:rPr>
        <w:t xml:space="preserve"> n.r.=not reported; </w:t>
      </w:r>
      <w:r w:rsidR="00DF00D5">
        <w:t>PAPS=</w:t>
      </w:r>
      <w:r w:rsidRPr="007D0AA8">
        <w:t xml:space="preserve">primary antiphospholipid syndrome; PID=primary immunodeficiency; </w:t>
      </w:r>
      <w:r w:rsidR="00D23CB4" w:rsidRPr="007D0AA8">
        <w:rPr>
          <w:szCs w:val="18"/>
        </w:rPr>
        <w:t xml:space="preserve">SAE=serious adverse event; </w:t>
      </w:r>
      <w:r w:rsidRPr="007D0AA8">
        <w:t xml:space="preserve">SCIg=sub-cutaneous immunoglobulin; </w:t>
      </w:r>
      <w:r w:rsidRPr="007D0AA8">
        <w:rPr>
          <w:szCs w:val="18"/>
        </w:rPr>
        <w:t xml:space="preserve">SID=secondary immunodeficiency; </w:t>
      </w:r>
      <w:r w:rsidR="00D23CB4">
        <w:rPr>
          <w:szCs w:val="18"/>
        </w:rPr>
        <w:t xml:space="preserve">tx=treatment; </w:t>
      </w:r>
      <w:r w:rsidRPr="007D0AA8">
        <w:rPr>
          <w:rFonts w:eastAsia="Calibri" w:cs="Times New Roman"/>
          <w:szCs w:val="18"/>
        </w:rPr>
        <w:t xml:space="preserve">WM=Waldenström macroglobulinaemia. </w:t>
      </w:r>
      <w:r w:rsidRPr="007D0AA8">
        <w:t xml:space="preserve"> </w:t>
      </w:r>
    </w:p>
    <w:p w14:paraId="3CB3640B" w14:textId="6F15D69E" w:rsidR="00FE40B0" w:rsidRPr="007D0AA8" w:rsidRDefault="00EA04CD" w:rsidP="00FE40B0">
      <w:r>
        <w:t>A</w:t>
      </w:r>
      <w:r w:rsidR="002E612A" w:rsidRPr="007D0AA8">
        <w:t xml:space="preserve"> sponsor-funded study</w:t>
      </w:r>
      <w:r>
        <w:t xml:space="preserve"> </w:t>
      </w:r>
      <w:r w:rsidRPr="007D0AA8">
        <w:fldChar w:fldCharType="begin">
          <w:fldData xml:space="preserve">PEVuZE5vdGU+PENpdGU+PEF1dGhvcj5CcmVubmVyPC9BdXRob3I+PFllYXI+MTk5NjwvWWVhcj48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</w:fldData>
        </w:fldChar>
      </w:r>
      <w:r w:rsidRPr="007D0AA8">
        <w:instrText xml:space="preserve"> ADDIN EN.CITE </w:instrText>
      </w:r>
      <w:r w:rsidRPr="007D0AA8">
        <w:fldChar w:fldCharType="begin">
          <w:fldData xml:space="preserve">PEVuZE5vdGU+PENpdGU+PEF1dGhvcj5CcmVubmVyPC9BdXRob3I+PFllYXI+MTk5NjwvWWVhcj48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</w:fldData>
        </w:fldChar>
      </w:r>
      <w:r w:rsidRPr="007D0AA8">
        <w:instrText xml:space="preserve"> ADDIN EN.CITE.DATA </w:instrText>
      </w:r>
      <w:r w:rsidRPr="007D0AA8">
        <w:fldChar w:fldCharType="end"/>
      </w:r>
      <w:r w:rsidRPr="007D0AA8">
        <w:fldChar w:fldCharType="separate"/>
      </w:r>
      <w:r w:rsidRPr="007D0AA8">
        <w:rPr>
          <w:noProof/>
        </w:rPr>
        <w:t>(</w:t>
      </w:r>
      <w:hyperlink w:anchor="_ENREF_8" w:tooltip="Brenner, 1996 #15" w:history="1">
        <w:r w:rsidR="00BB0145" w:rsidRPr="007D0AA8">
          <w:rPr>
            <w:noProof/>
          </w:rPr>
          <w:t>Brenner 1996</w:t>
        </w:r>
      </w:hyperlink>
      <w:r w:rsidRPr="007D0AA8">
        <w:rPr>
          <w:noProof/>
        </w:rPr>
        <w:t>)</w:t>
      </w:r>
      <w:r w:rsidRPr="007D0AA8">
        <w:fldChar w:fldCharType="end"/>
      </w:r>
      <w:r w:rsidR="002E612A" w:rsidRPr="007D0AA8">
        <w:t xml:space="preserve"> of the efficacy and safety of an IVIg product, Octagam (Octapharma) studied </w:t>
      </w:r>
      <w:r w:rsidR="00D23CB4">
        <w:t>54</w:t>
      </w:r>
      <w:r w:rsidR="002E612A" w:rsidRPr="007D0AA8">
        <w:t xml:space="preserve"> patients </w:t>
      </w:r>
      <w:r w:rsidR="00D23CB4">
        <w:t xml:space="preserve">in the USA </w:t>
      </w:r>
      <w:r w:rsidR="002E612A" w:rsidRPr="007D0AA8">
        <w:t xml:space="preserve">with haematological malignancies (CLL and MM) </w:t>
      </w:r>
      <w:r w:rsidR="00D23CB4">
        <w:t>or</w:t>
      </w:r>
      <w:r w:rsidR="002E612A" w:rsidRPr="007D0AA8">
        <w:t xml:space="preserve"> primary immunodeficiency. The author found that AEs were similar to other IVIg products, most commonly fever and chills, and that reactions were generally mild or manageable with dose adjustment and medication. </w:t>
      </w:r>
    </w:p>
    <w:p w14:paraId="3C026404" w14:textId="08146200" w:rsidR="00FE40B0" w:rsidRPr="007D0AA8" w:rsidRDefault="000A54F1" w:rsidP="00FE40B0">
      <w:r>
        <w:t>A</w:t>
      </w:r>
      <w:r w:rsidR="00A30707">
        <w:t xml:space="preserve"> small</w:t>
      </w:r>
      <w:r>
        <w:t xml:space="preserve"> </w:t>
      </w:r>
      <w:r w:rsidRPr="007D0AA8">
        <w:t>sponsor</w:t>
      </w:r>
      <w:r w:rsidR="00D23CB4">
        <w:t>-funded study in Germany of</w:t>
      </w:r>
      <w:r>
        <w:t xml:space="preserve"> post-market</w:t>
      </w:r>
      <w:r w:rsidRPr="007D0AA8">
        <w:t xml:space="preserve"> </w:t>
      </w:r>
      <w:r>
        <w:t>experience with</w:t>
      </w:r>
      <w:r w:rsidRPr="007D0AA8">
        <w:t xml:space="preserve"> Alphaglobin/Flebogamma</w:t>
      </w:r>
      <w:r w:rsidR="00A30707">
        <w:t xml:space="preserve"> in 10 patients</w:t>
      </w:r>
      <w:r>
        <w:t xml:space="preserve"> </w:t>
      </w:r>
      <w:r w:rsidRPr="007D0AA8">
        <w:fldChar w:fldCharType="begin">
          <w:fldData xml:space="preserve">PEVuZE5vdGU+PENpdGU+PEF1dGhvcj5Hw7xudGhlcjwvQXV0aG9yPjxZZWFyPjIwMTM8L1llYXI+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</w:fldData>
        </w:fldChar>
      </w:r>
      <w:r w:rsidRPr="007D0AA8">
        <w:instrText xml:space="preserve"> ADDIN EN.CITE </w:instrText>
      </w:r>
      <w:r w:rsidRPr="007D0AA8">
        <w:fldChar w:fldCharType="begin">
          <w:fldData xml:space="preserve">PEVuZE5vdGU+PENpdGU+PEF1dGhvcj5Hw7xudGhlcjwvQXV0aG9yPjxZZWFyPjIwMTM8L1llYXI+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</w:fldData>
        </w:fldChar>
      </w:r>
      <w:r w:rsidRPr="007D0AA8">
        <w:instrText xml:space="preserve"> ADDIN EN.CITE.DATA </w:instrText>
      </w:r>
      <w:r w:rsidRPr="007D0AA8">
        <w:fldChar w:fldCharType="end"/>
      </w:r>
      <w:r w:rsidRPr="007D0AA8">
        <w:fldChar w:fldCharType="separate"/>
      </w:r>
      <w:r w:rsidRPr="007D0AA8">
        <w:rPr>
          <w:noProof/>
        </w:rPr>
        <w:t>(</w:t>
      </w:r>
      <w:hyperlink w:anchor="_ENREF_21" w:tooltip="Günther, 2013 #34" w:history="1">
        <w:r w:rsidR="00BB0145" w:rsidRPr="007D0AA8">
          <w:rPr>
            <w:noProof/>
          </w:rPr>
          <w:t>Günther &amp; Dreger 2013</w:t>
        </w:r>
      </w:hyperlink>
      <w:r w:rsidRPr="007D0AA8">
        <w:rPr>
          <w:noProof/>
        </w:rPr>
        <w:t>)</w:t>
      </w:r>
      <w:r w:rsidRPr="007D0AA8">
        <w:fldChar w:fldCharType="end"/>
      </w:r>
      <w:r w:rsidRPr="007D0AA8">
        <w:t xml:space="preserve"> </w:t>
      </w:r>
      <w:r>
        <w:t>reported</w:t>
      </w:r>
      <w:r w:rsidR="00A30707" w:rsidRPr="007D0AA8">
        <w:t xml:space="preserve"> 1.44%</w:t>
      </w:r>
      <w:r w:rsidR="00FE40B0" w:rsidRPr="007D0AA8">
        <w:t xml:space="preserve"> of infusions as</w:t>
      </w:r>
      <w:r w:rsidR="00A30707">
        <w:t>sociated with at least one AE</w:t>
      </w:r>
      <w:r w:rsidR="00A30707" w:rsidRPr="007D0AA8">
        <w:t xml:space="preserve"> (8/556 infusions)</w:t>
      </w:r>
      <w:r w:rsidR="00FE40B0" w:rsidRPr="007D0AA8">
        <w:t xml:space="preserve">. None of the AEs related to the IVIg product was considered serious. </w:t>
      </w:r>
    </w:p>
    <w:p w14:paraId="76AE3DBE" w14:textId="2102AC50" w:rsidR="00FE40B0" w:rsidRPr="007D0AA8" w:rsidRDefault="00A30707" w:rsidP="00FE40B0">
      <w:r>
        <w:t>A Danish study in 15 CLL patients</w:t>
      </w:r>
      <w:r w:rsidRPr="00D16524">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ADDIN EN.CITE &lt;EndNote&gt;&lt;Cite&gt;&lt;Author&gt;Jurlander&lt;/Author&gt;&lt;Year&gt;1995&lt;/Year&gt;&lt;RecNum&gt;11&lt;/RecNum&gt;&lt;DisplayText&gt;(Jurlander, Geisler &amp;amp; Hansen 1995)&lt;/DisplayText&gt;&lt;record&gt;&lt;rec-number&gt;11&lt;/rec-number&gt;&lt;foreign-keys&gt;&lt;key app="EN" db-id="z0vwsepdwpt20pewwts5z9eup9e2r2pd2tad" timestamp="1553825059"&gt;11&lt;/key&gt;&lt;/foreign-keys&gt;&lt;ref-type name="Journal Article"&gt;17&lt;/ref-type&gt;&lt;contributors&gt;&lt;authors&gt;&lt;author&gt;Jurlander, J.&lt;/author&gt;&lt;author&gt;Geisler, C. H.&lt;/author&gt;&lt;author&gt;Hansen, M. M.&lt;/author&gt;&lt;/authors&gt;&lt;/contributors&gt;&lt;auth-address&gt;Department of Haematology, Rigshospitalet, State University Hospital, Copenhagen, Denmark.&lt;/auth-address&gt;&lt;titles&gt;&lt;title&gt;Treatment of hypogammaglobulinaemia in chronic lymphocytic leukaemia by low-dose intravenous gammaglobulin&lt;/title&gt;&lt;secondary-title&gt;Eur J Haematol&lt;/secondary-title&gt;&lt;/titles&gt;&lt;periodical&gt;&lt;full-title&gt;Eur J Haematol&lt;/full-title&gt;&lt;/periodical&gt;&lt;pages&gt;114-8&lt;/pages&gt;&lt;volume&gt;53&lt;/volume&gt;&lt;number&gt;2&lt;/number&gt;&lt;keywords&gt;&lt;keyword&gt;Agammaglobulinemia/ complications/ drug therapy&lt;/keyword&gt;&lt;keyword&gt;Aged&lt;/keyword&gt;&lt;keyword&gt;Aged, 80 and over&lt;/keyword&gt;&lt;keyword&gt;Dose-Response Relationship, Drug&lt;/keyword&gt;&lt;keyword&gt;Female&lt;/keyword&gt;&lt;keyword&gt;Humans&lt;/keyword&gt;&lt;keyword&gt;Immunoglobulin G/blood&lt;/keyword&gt;&lt;keyword&gt;Immunoglobulins, Intravenous/ therapeutic use&lt;/keyword&gt;&lt;keyword&gt;Leukemia, Lymphocytic, Chronic, B-Cell/ blood/ complications&lt;/keyword&gt;&lt;keyword&gt;Male&lt;/keyword&gt;&lt;keyword&gt;Middle Aged&lt;/keyword&gt;&lt;/keywords&gt;&lt;dates&gt;&lt;year&gt;1995&lt;/year&gt;&lt;pub-dates&gt;&lt;date&gt;Aug&lt;/date&gt;&lt;/pub-dates&gt;&lt;/dates&gt;&lt;isbn&gt;0902-4441 (Print) 0902-4441 (Linking)&lt;/isbn&gt;&lt;accession-num&gt;8088382&lt;/accession-num&gt;&lt;urls&gt;&lt;/urls&gt;&lt;custom1&gt;RAYYAN-INCLUSION: {&amp;quot;Skye&amp;quot;=&amp;gt;&amp;quot;Included&amp;quot;}&lt;/custom1&gt;&lt;research-notes&gt;CLL before and after case series&lt;/research-notes&gt;&lt;language&gt;eng&lt;/language&gt;&lt;/record&gt;&lt;/Cite&gt;&lt;/EndNote&gt;</w:instrText>
      </w:r>
      <w:r>
        <w:rPr>
          <w:rFonts w:asciiTheme="minorHAnsi" w:hAnsiTheme="minorHAnsi" w:cstheme="minorHAnsi"/>
        </w:rPr>
        <w:fldChar w:fldCharType="separate"/>
      </w:r>
      <w:r>
        <w:rPr>
          <w:rFonts w:asciiTheme="minorHAnsi" w:hAnsiTheme="minorHAnsi" w:cstheme="minorHAnsi"/>
          <w:noProof/>
        </w:rPr>
        <w:t>(</w:t>
      </w:r>
      <w:hyperlink w:anchor="_ENREF_24" w:tooltip="Jurlander, 1995 #11" w:history="1">
        <w:r w:rsidR="00BB0145">
          <w:rPr>
            <w:rFonts w:asciiTheme="minorHAnsi" w:hAnsiTheme="minorHAnsi" w:cstheme="minorHAnsi"/>
            <w:noProof/>
          </w:rPr>
          <w:t>Jurlander, Geisler &amp; Hansen 1995</w:t>
        </w:r>
      </w:hyperlink>
      <w:r>
        <w:rPr>
          <w:rFonts w:asciiTheme="minorHAnsi" w:hAnsiTheme="minorHAnsi" w:cstheme="minorHAnsi"/>
          <w:noProof/>
        </w:rPr>
        <w:t>)</w:t>
      </w:r>
      <w:r>
        <w:rPr>
          <w:rFonts w:asciiTheme="minorHAnsi" w:hAnsiTheme="minorHAnsi" w:cstheme="minorHAnsi"/>
        </w:rPr>
        <w:fldChar w:fldCharType="end"/>
      </w:r>
      <w:r>
        <w:rPr>
          <w:rFonts w:asciiTheme="minorHAnsi" w:hAnsiTheme="minorHAnsi" w:cstheme="minorHAnsi"/>
        </w:rPr>
        <w:t xml:space="preserve"> reported 5 AEs in 15 patients who had received 225 IgG infusions; one patient discontinued due to AEs. </w:t>
      </w:r>
    </w:p>
    <w:p w14:paraId="42C3B8D5" w14:textId="23E8D22F" w:rsidR="00FE40B0" w:rsidRPr="007D0AA8" w:rsidRDefault="00A30707" w:rsidP="00FE40B0">
      <w:r>
        <w:t>A Greek study of 33 patients</w:t>
      </w:r>
      <w:r w:rsidR="00FE40B0" w:rsidRPr="007D0AA8">
        <w:t xml:space="preserve"> switching from IVIg to SCIg</w:t>
      </w:r>
      <w:r w:rsidR="000A54F1">
        <w:t xml:space="preserve"> </w:t>
      </w:r>
      <w:r w:rsidR="000A54F1" w:rsidRPr="007D0AA8">
        <w:fldChar w:fldCharType="begin">
          <w:fldData xml:space="preserve">PEVuZE5vdGU+PENpdGU+PEF1dGhvcj5EaW1vdTwvQXV0aG9yPjxZZWFyPjIwMTg8L1llYXI+PFJl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==
</w:fldData>
        </w:fldChar>
      </w:r>
      <w:r w:rsidR="000A54F1" w:rsidRPr="007D0AA8">
        <w:instrText xml:space="preserve"> ADDIN EN.CITE </w:instrText>
      </w:r>
      <w:r w:rsidR="000A54F1" w:rsidRPr="007D0AA8">
        <w:fldChar w:fldCharType="begin">
          <w:fldData xml:space="preserve">PEVuZE5vdGU+PENpdGU+PEF1dGhvcj5EaW1vdTwvQXV0aG9yPjxZZWFyPjIwMTg8L1llYXI+PFJl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==
</w:fldData>
        </w:fldChar>
      </w:r>
      <w:r w:rsidR="000A54F1" w:rsidRPr="007D0AA8">
        <w:instrText xml:space="preserve"> ADDIN EN.CITE.DATA </w:instrText>
      </w:r>
      <w:r w:rsidR="000A54F1" w:rsidRPr="007D0AA8">
        <w:fldChar w:fldCharType="end"/>
      </w:r>
      <w:r w:rsidR="000A54F1" w:rsidRPr="007D0AA8">
        <w:fldChar w:fldCharType="separate"/>
      </w:r>
      <w:r w:rsidR="000A54F1" w:rsidRPr="007D0AA8">
        <w:rPr>
          <w:noProof/>
        </w:rPr>
        <w:t>(</w:t>
      </w:r>
      <w:hyperlink w:anchor="_ENREF_15" w:tooltip="Dimou, 2018 #28" w:history="1">
        <w:r w:rsidR="00BB0145" w:rsidRPr="007D0AA8">
          <w:rPr>
            <w:noProof/>
          </w:rPr>
          <w:t>Dimou et al. 2018</w:t>
        </w:r>
      </w:hyperlink>
      <w:r w:rsidR="000A54F1" w:rsidRPr="007D0AA8">
        <w:rPr>
          <w:noProof/>
        </w:rPr>
        <w:t>)</w:t>
      </w:r>
      <w:r w:rsidR="000A54F1" w:rsidRPr="007D0AA8">
        <w:fldChar w:fldCharType="end"/>
      </w:r>
      <w:r>
        <w:t xml:space="preserve"> reported four AEs during the study period, one of which led to discontinuation</w:t>
      </w:r>
      <w:r w:rsidR="00DF00D5">
        <w:t>.</w:t>
      </w:r>
      <w:r w:rsidR="00FE40B0" w:rsidRPr="007D0AA8">
        <w:t xml:space="preserve"> T</w:t>
      </w:r>
      <w:r>
        <w:t>he authors noted with interest that t</w:t>
      </w:r>
      <w:r w:rsidR="00FE40B0" w:rsidRPr="007D0AA8">
        <w:t xml:space="preserve">wo patients who had had moderate AEs on IVIg (headache, chills, low grade fever after every infusion) tolerated SCIg without reactions. </w:t>
      </w:r>
    </w:p>
    <w:p w14:paraId="33F39A9D" w14:textId="13060CE7" w:rsidR="00FE40B0" w:rsidRPr="00386411" w:rsidRDefault="00FE40B0" w:rsidP="00FE40B0">
      <w:pPr>
        <w:pStyle w:val="Caption"/>
        <w:keepNext/>
        <w:rPr>
          <w:rFonts w:cs="Arial"/>
          <w:snapToGrid w:val="0"/>
          <w:szCs w:val="16"/>
          <w:lang w:eastAsia="en-US"/>
        </w:rPr>
      </w:pPr>
      <w:bookmarkStart w:id="274" w:name="_Ref12276249"/>
      <w:bookmarkStart w:id="275" w:name="_Toc14429562"/>
      <w:bookmarkStart w:id="276" w:name="_Toc16671617"/>
      <w:r w:rsidRPr="00386411">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19</w:t>
      </w:r>
      <w:r w:rsidRPr="00386411">
        <w:rPr>
          <w:noProof/>
        </w:rPr>
        <w:fldChar w:fldCharType="end"/>
      </w:r>
      <w:bookmarkEnd w:id="274"/>
      <w:r w:rsidRPr="00386411">
        <w:tab/>
      </w:r>
      <w:r w:rsidRPr="00386411">
        <w:rPr>
          <w:rFonts w:cs="Arial"/>
          <w:snapToGrid w:val="0"/>
          <w:szCs w:val="16"/>
          <w:lang w:eastAsia="en-US"/>
        </w:rPr>
        <w:t xml:space="preserve">Case series presenting systemic </w:t>
      </w:r>
      <w:r w:rsidR="002E612A" w:rsidRPr="00386411">
        <w:rPr>
          <w:rFonts w:cs="Arial"/>
          <w:snapToGrid w:val="0"/>
          <w:szCs w:val="16"/>
          <w:lang w:eastAsia="en-US"/>
        </w:rPr>
        <w:t xml:space="preserve">and other </w:t>
      </w:r>
      <w:r w:rsidRPr="00386411">
        <w:rPr>
          <w:rFonts w:cs="Arial"/>
          <w:snapToGrid w:val="0"/>
          <w:szCs w:val="16"/>
          <w:lang w:eastAsia="en-US"/>
        </w:rPr>
        <w:t>AE outcomes for more than one IgG group</w:t>
      </w:r>
      <w:bookmarkEnd w:id="275"/>
      <w:bookmarkEnd w:id="276"/>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119"/>
        <w:gridCol w:w="7"/>
        <w:gridCol w:w="9"/>
        <w:gridCol w:w="3423"/>
        <w:gridCol w:w="175"/>
        <w:gridCol w:w="37"/>
        <w:gridCol w:w="1904"/>
        <w:gridCol w:w="76"/>
        <w:gridCol w:w="56"/>
        <w:gridCol w:w="1889"/>
      </w:tblGrid>
      <w:tr w:rsidR="00CC278A" w:rsidRPr="00386411" w14:paraId="7B9D23A6" w14:textId="77777777" w:rsidTr="00B52A4F">
        <w:trPr>
          <w:tblHeader/>
        </w:trPr>
        <w:tc>
          <w:tcPr>
            <w:tcW w:w="934" w:type="pct"/>
            <w:gridSpan w:val="4"/>
            <w:shd w:val="clear" w:color="auto" w:fill="D9D9D9" w:themeFill="background1" w:themeFillShade="D9"/>
            <w:vAlign w:val="bottom"/>
          </w:tcPr>
          <w:p w14:paraId="3DDF2D88" w14:textId="77777777" w:rsidR="00CC278A" w:rsidRPr="00386411" w:rsidRDefault="00CC278A" w:rsidP="00A30707">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Study, Indication</w:t>
            </w:r>
          </w:p>
        </w:tc>
        <w:tc>
          <w:tcPr>
            <w:tcW w:w="1955" w:type="pct"/>
            <w:gridSpan w:val="3"/>
            <w:shd w:val="clear" w:color="auto" w:fill="D9D9D9" w:themeFill="background1" w:themeFillShade="D9"/>
          </w:tcPr>
          <w:p w14:paraId="35E27D2B" w14:textId="362007A0" w:rsidR="00CC278A" w:rsidRPr="00386411" w:rsidRDefault="00CC278A" w:rsidP="00A30707">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Outcome</w:t>
            </w:r>
          </w:p>
        </w:tc>
        <w:tc>
          <w:tcPr>
            <w:tcW w:w="1095" w:type="pct"/>
            <w:gridSpan w:val="3"/>
            <w:shd w:val="clear" w:color="auto" w:fill="D9D9D9" w:themeFill="background1" w:themeFillShade="D9"/>
            <w:noWrap/>
          </w:tcPr>
          <w:p w14:paraId="4CE8B9DB" w14:textId="5CE90BA6" w:rsidR="00CC278A" w:rsidRPr="00386411" w:rsidRDefault="00CC278A" w:rsidP="00A30707">
            <w:pPr>
              <w:keepNext/>
              <w:spacing w:after="0" w:line="240" w:lineRule="auto"/>
              <w:rPr>
                <w:rFonts w:ascii="Arial Narrow" w:hAnsi="Arial Narrow"/>
                <w:b/>
                <w:sz w:val="20"/>
                <w:szCs w:val="20"/>
              </w:rPr>
            </w:pPr>
            <w:r w:rsidRPr="00386411">
              <w:rPr>
                <w:rFonts w:ascii="Arial Narrow" w:hAnsi="Arial Narrow"/>
                <w:b/>
                <w:sz w:val="20"/>
                <w:szCs w:val="20"/>
              </w:rPr>
              <w:t>Intervention</w:t>
            </w:r>
            <w:r w:rsidR="00DD6D33" w:rsidRPr="00386411">
              <w:rPr>
                <w:rFonts w:ascii="Arial Narrow" w:hAnsi="Arial Narrow"/>
                <w:b/>
                <w:sz w:val="20"/>
                <w:szCs w:val="20"/>
              </w:rPr>
              <w:t xml:space="preserve"> 1</w:t>
            </w:r>
          </w:p>
        </w:tc>
        <w:tc>
          <w:tcPr>
            <w:tcW w:w="1016" w:type="pct"/>
            <w:shd w:val="clear" w:color="auto" w:fill="D9D9D9" w:themeFill="background1" w:themeFillShade="D9"/>
            <w:noWrap/>
          </w:tcPr>
          <w:p w14:paraId="172EDB3B" w14:textId="3C6DC5C9" w:rsidR="00CC278A" w:rsidRPr="00386411" w:rsidRDefault="00DD6D33" w:rsidP="00A30707">
            <w:pPr>
              <w:keepNext/>
              <w:spacing w:after="0" w:line="240" w:lineRule="auto"/>
              <w:rPr>
                <w:rFonts w:ascii="Arial Narrow" w:hAnsi="Arial Narrow"/>
                <w:b/>
                <w:sz w:val="20"/>
                <w:szCs w:val="20"/>
              </w:rPr>
            </w:pPr>
            <w:r w:rsidRPr="00386411">
              <w:rPr>
                <w:rFonts w:ascii="Arial Narrow" w:hAnsi="Arial Narrow"/>
                <w:b/>
                <w:sz w:val="20"/>
                <w:szCs w:val="20"/>
              </w:rPr>
              <w:t>Intervention 2</w:t>
            </w:r>
          </w:p>
        </w:tc>
      </w:tr>
      <w:tr w:rsidR="009634B8" w:rsidRPr="00386411" w14:paraId="2670F7D0" w14:textId="77777777" w:rsidTr="009634B8">
        <w:tc>
          <w:tcPr>
            <w:tcW w:w="5000" w:type="pct"/>
            <w:gridSpan w:val="11"/>
            <w:shd w:val="clear" w:color="auto" w:fill="000000" w:themeFill="text1"/>
            <w:vAlign w:val="bottom"/>
          </w:tcPr>
          <w:p w14:paraId="0C6C010D" w14:textId="09DF30E2" w:rsidR="009634B8" w:rsidRPr="00386411" w:rsidRDefault="009634B8" w:rsidP="00A30707">
            <w:pPr>
              <w:keepNext/>
              <w:spacing w:after="0" w:line="240" w:lineRule="auto"/>
              <w:rPr>
                <w:rFonts w:ascii="Arial Narrow" w:hAnsi="Arial Narrow"/>
                <w:b/>
                <w:sz w:val="20"/>
                <w:szCs w:val="20"/>
              </w:rPr>
            </w:pPr>
            <w:r w:rsidRPr="00386411">
              <w:rPr>
                <w:rFonts w:ascii="Arial Narrow" w:hAnsi="Arial Narrow"/>
                <w:b/>
                <w:color w:val="FFFFFF" w:themeColor="background1"/>
                <w:sz w:val="20"/>
                <w:szCs w:val="18"/>
              </w:rPr>
              <w:t>Non-comparative studies – Any IgG (IVIg and SCIg) case series</w:t>
            </w:r>
          </w:p>
        </w:tc>
      </w:tr>
      <w:tr w:rsidR="00DD6D33" w:rsidRPr="00386411" w14:paraId="6F54DA8B" w14:textId="77777777" w:rsidTr="00B52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9"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01CA6B" w14:textId="77777777" w:rsidR="00DD6D33" w:rsidRPr="00386411" w:rsidRDefault="00DD6D33" w:rsidP="00A30707">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Benbrahim et al., 2019</w:t>
            </w:r>
          </w:p>
        </w:tc>
        <w:tc>
          <w:tcPr>
            <w:tcW w:w="1960" w:type="pct"/>
            <w:gridSpan w:val="4"/>
            <w:tcBorders>
              <w:top w:val="single" w:sz="4" w:space="0" w:color="auto"/>
              <w:left w:val="single" w:sz="4" w:space="0" w:color="auto"/>
              <w:bottom w:val="single" w:sz="4" w:space="0" w:color="auto"/>
              <w:right w:val="nil"/>
            </w:tcBorders>
            <w:shd w:val="clear" w:color="auto" w:fill="D9D9D9" w:themeFill="background1" w:themeFillShade="D9"/>
          </w:tcPr>
          <w:p w14:paraId="53BF23F7" w14:textId="5E34C04F" w:rsidR="00DD6D33" w:rsidRPr="00386411" w:rsidRDefault="00DD6D33" w:rsidP="00A30707">
            <w:pPr>
              <w:keepNext/>
              <w:spacing w:after="0" w:line="240" w:lineRule="auto"/>
              <w:rPr>
                <w:rFonts w:ascii="Arial Narrow" w:hAnsi="Arial Narrow" w:cs="Calibri"/>
                <w:b/>
                <w:sz w:val="20"/>
                <w:szCs w:val="20"/>
              </w:rPr>
            </w:pPr>
            <w:r w:rsidRPr="00386411">
              <w:rPr>
                <w:rFonts w:ascii="Arial Narrow" w:hAnsi="Arial Narrow" w:cs="Calibri"/>
                <w:b/>
                <w:sz w:val="20"/>
                <w:szCs w:val="20"/>
              </w:rPr>
              <w:t>Tolerability of IgG-RT (N=160)</w:t>
            </w:r>
          </w:p>
        </w:tc>
        <w:tc>
          <w:tcPr>
            <w:tcW w:w="1095" w:type="pct"/>
            <w:gridSpan w:val="3"/>
            <w:tcBorders>
              <w:top w:val="single" w:sz="4" w:space="0" w:color="auto"/>
              <w:left w:val="nil"/>
              <w:bottom w:val="single" w:sz="4" w:space="0" w:color="auto"/>
              <w:right w:val="nil"/>
            </w:tcBorders>
            <w:shd w:val="clear" w:color="auto" w:fill="D9D9D9" w:themeFill="background1" w:themeFillShade="D9"/>
            <w:noWrap/>
          </w:tcPr>
          <w:p w14:paraId="66D3A44D" w14:textId="70B972F2" w:rsidR="00DD6D33" w:rsidRPr="00386411" w:rsidRDefault="00DD6D33" w:rsidP="00A30707">
            <w:pPr>
              <w:keepNext/>
              <w:spacing w:after="0" w:line="240" w:lineRule="auto"/>
              <w:rPr>
                <w:rFonts w:ascii="Arial Narrow" w:hAnsi="Arial Narrow" w:cs="Calibri"/>
                <w:b/>
                <w:sz w:val="20"/>
                <w:szCs w:val="20"/>
              </w:rPr>
            </w:pPr>
            <w:r w:rsidRPr="00386411">
              <w:rPr>
                <w:rFonts w:ascii="Arial Narrow" w:hAnsi="Arial Narrow"/>
                <w:b/>
                <w:sz w:val="20"/>
              </w:rPr>
              <w:t>IVIg (n=50)</w:t>
            </w:r>
          </w:p>
        </w:tc>
        <w:tc>
          <w:tcPr>
            <w:tcW w:w="1016" w:type="pct"/>
            <w:tcBorders>
              <w:top w:val="single" w:sz="4" w:space="0" w:color="auto"/>
              <w:left w:val="nil"/>
              <w:bottom w:val="single" w:sz="4" w:space="0" w:color="auto"/>
              <w:right w:val="single" w:sz="4" w:space="0" w:color="auto"/>
            </w:tcBorders>
            <w:shd w:val="clear" w:color="auto" w:fill="D9D9D9" w:themeFill="background1" w:themeFillShade="D9"/>
            <w:noWrap/>
          </w:tcPr>
          <w:p w14:paraId="60531B8D" w14:textId="07A66EC6" w:rsidR="00DD6D33" w:rsidRPr="00386411" w:rsidRDefault="00DD6D33" w:rsidP="00A30707">
            <w:pPr>
              <w:keepNext/>
              <w:spacing w:after="0" w:line="240" w:lineRule="auto"/>
              <w:rPr>
                <w:rFonts w:ascii="Arial Narrow" w:hAnsi="Arial Narrow" w:cs="Calibri"/>
                <w:b/>
                <w:color w:val="000000"/>
                <w:sz w:val="20"/>
                <w:szCs w:val="20"/>
              </w:rPr>
            </w:pPr>
            <w:r w:rsidRPr="00386411">
              <w:rPr>
                <w:rFonts w:ascii="Arial Narrow" w:hAnsi="Arial Narrow"/>
                <w:b/>
                <w:sz w:val="20"/>
              </w:rPr>
              <w:t>SCIg (n=110)</w:t>
            </w:r>
          </w:p>
        </w:tc>
      </w:tr>
      <w:tr w:rsidR="00DD6D33" w:rsidRPr="007D0AA8" w14:paraId="5898E5A3" w14:textId="77777777" w:rsidTr="00963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9" w:type="pct"/>
            <w:gridSpan w:val="3"/>
            <w:tcBorders>
              <w:top w:val="single" w:sz="4" w:space="0" w:color="auto"/>
              <w:left w:val="single" w:sz="4" w:space="0" w:color="auto"/>
              <w:bottom w:val="nil"/>
              <w:right w:val="single" w:sz="4" w:space="0" w:color="auto"/>
            </w:tcBorders>
          </w:tcPr>
          <w:p w14:paraId="2550FD09" w14:textId="77777777" w:rsidR="00DD6D33" w:rsidRPr="007D0AA8" w:rsidRDefault="00DD6D33" w:rsidP="00DD6D33">
            <w:pPr>
              <w:spacing w:after="0" w:line="240" w:lineRule="auto"/>
              <w:ind w:right="-193"/>
              <w:rPr>
                <w:rFonts w:ascii="Arial Narrow" w:hAnsi="Arial Narrow" w:cs="Calibri"/>
                <w:color w:val="000000"/>
                <w:sz w:val="20"/>
                <w:szCs w:val="20"/>
              </w:rPr>
            </w:pPr>
            <w:r w:rsidRPr="007D0AA8">
              <w:rPr>
                <w:rFonts w:ascii="Arial Narrow" w:hAnsi="Arial Narrow" w:cs="Calibri"/>
                <w:color w:val="000000"/>
                <w:sz w:val="20"/>
                <w:szCs w:val="20"/>
              </w:rPr>
              <w:t>MM(54), CLL(54), NHL(48), HL(4)</w:t>
            </w:r>
          </w:p>
        </w:tc>
        <w:tc>
          <w:tcPr>
            <w:tcW w:w="1960" w:type="pct"/>
            <w:gridSpan w:val="4"/>
            <w:tcBorders>
              <w:top w:val="single" w:sz="4" w:space="0" w:color="auto"/>
              <w:left w:val="single" w:sz="4" w:space="0" w:color="auto"/>
              <w:bottom w:val="single" w:sz="4" w:space="0" w:color="auto"/>
              <w:right w:val="nil"/>
            </w:tcBorders>
          </w:tcPr>
          <w:p w14:paraId="2F080389" w14:textId="77777777" w:rsidR="00DD6D33" w:rsidRPr="007D0AA8" w:rsidRDefault="00DD6D33" w:rsidP="00DD6D33">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Serious AEs</w:t>
            </w:r>
          </w:p>
        </w:tc>
        <w:tc>
          <w:tcPr>
            <w:tcW w:w="1095" w:type="pct"/>
            <w:gridSpan w:val="3"/>
            <w:tcBorders>
              <w:top w:val="single" w:sz="4" w:space="0" w:color="auto"/>
              <w:left w:val="nil"/>
              <w:bottom w:val="single" w:sz="4" w:space="0" w:color="auto"/>
              <w:right w:val="nil"/>
            </w:tcBorders>
            <w:shd w:val="clear" w:color="auto" w:fill="auto"/>
            <w:noWrap/>
          </w:tcPr>
          <w:p w14:paraId="617C5A43" w14:textId="157B95D8" w:rsidR="00DD6D33" w:rsidRPr="007D0AA8" w:rsidRDefault="00DD6D33" w:rsidP="00DD6D33">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0</w:t>
            </w:r>
          </w:p>
        </w:tc>
        <w:tc>
          <w:tcPr>
            <w:tcW w:w="1016" w:type="pct"/>
            <w:tcBorders>
              <w:top w:val="single" w:sz="4" w:space="0" w:color="auto"/>
              <w:left w:val="nil"/>
              <w:bottom w:val="single" w:sz="4" w:space="0" w:color="auto"/>
              <w:right w:val="single" w:sz="4" w:space="0" w:color="auto"/>
            </w:tcBorders>
            <w:shd w:val="clear" w:color="auto" w:fill="auto"/>
            <w:noWrap/>
          </w:tcPr>
          <w:p w14:paraId="7A9F9EB8" w14:textId="16F455EF" w:rsidR="00DD6D33" w:rsidRPr="007D0AA8" w:rsidRDefault="00DD6D33" w:rsidP="00DD6D33">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0</w:t>
            </w:r>
          </w:p>
        </w:tc>
      </w:tr>
      <w:tr w:rsidR="00DD6D33" w:rsidRPr="007D0AA8" w14:paraId="291E7821" w14:textId="77777777" w:rsidTr="00963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9" w:type="pct"/>
            <w:gridSpan w:val="3"/>
            <w:tcBorders>
              <w:top w:val="nil"/>
              <w:left w:val="single" w:sz="4" w:space="0" w:color="auto"/>
              <w:bottom w:val="nil"/>
              <w:right w:val="single" w:sz="4" w:space="0" w:color="auto"/>
            </w:tcBorders>
            <w:vAlign w:val="bottom"/>
          </w:tcPr>
          <w:p w14:paraId="7CAE9486" w14:textId="77777777" w:rsidR="00DD6D33" w:rsidRPr="007D0AA8" w:rsidRDefault="00DD6D33" w:rsidP="00DD6D33">
            <w:pPr>
              <w:spacing w:after="0" w:line="240" w:lineRule="auto"/>
              <w:rPr>
                <w:rFonts w:ascii="Arial Narrow" w:hAnsi="Arial Narrow" w:cs="Calibri"/>
                <w:color w:val="000000"/>
                <w:sz w:val="20"/>
                <w:szCs w:val="20"/>
              </w:rPr>
            </w:pPr>
          </w:p>
        </w:tc>
        <w:tc>
          <w:tcPr>
            <w:tcW w:w="1960" w:type="pct"/>
            <w:gridSpan w:val="4"/>
            <w:tcBorders>
              <w:top w:val="single" w:sz="4" w:space="0" w:color="auto"/>
              <w:left w:val="single" w:sz="4" w:space="0" w:color="auto"/>
              <w:bottom w:val="nil"/>
              <w:right w:val="nil"/>
            </w:tcBorders>
          </w:tcPr>
          <w:p w14:paraId="5084D19D" w14:textId="77777777" w:rsidR="00DD6D33" w:rsidRPr="007D0AA8" w:rsidRDefault="00DD6D33" w:rsidP="00DD6D33">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Patients with other AEs</w:t>
            </w:r>
          </w:p>
        </w:tc>
        <w:tc>
          <w:tcPr>
            <w:tcW w:w="1095" w:type="pct"/>
            <w:gridSpan w:val="3"/>
            <w:tcBorders>
              <w:top w:val="single" w:sz="4" w:space="0" w:color="auto"/>
              <w:left w:val="nil"/>
              <w:bottom w:val="nil"/>
              <w:right w:val="nil"/>
            </w:tcBorders>
            <w:shd w:val="clear" w:color="auto" w:fill="auto"/>
            <w:noWrap/>
          </w:tcPr>
          <w:p w14:paraId="126A5479" w14:textId="77777777" w:rsidR="00DD6D33" w:rsidRPr="007D0AA8" w:rsidRDefault="00DD6D33" w:rsidP="00DD6D33">
            <w:pPr>
              <w:spacing w:after="0" w:line="240" w:lineRule="auto"/>
              <w:rPr>
                <w:rFonts w:ascii="Arial Narrow" w:hAnsi="Arial Narrow" w:cs="Calibri"/>
                <w:color w:val="000000"/>
                <w:sz w:val="20"/>
                <w:szCs w:val="20"/>
              </w:rPr>
            </w:pPr>
          </w:p>
        </w:tc>
        <w:tc>
          <w:tcPr>
            <w:tcW w:w="1016" w:type="pct"/>
            <w:tcBorders>
              <w:top w:val="single" w:sz="4" w:space="0" w:color="auto"/>
              <w:left w:val="nil"/>
              <w:bottom w:val="nil"/>
              <w:right w:val="single" w:sz="4" w:space="0" w:color="auto"/>
            </w:tcBorders>
            <w:shd w:val="clear" w:color="auto" w:fill="auto"/>
            <w:noWrap/>
          </w:tcPr>
          <w:p w14:paraId="143750AB" w14:textId="77777777" w:rsidR="00DD6D33" w:rsidRPr="007D0AA8" w:rsidRDefault="00DD6D33" w:rsidP="00DD6D33">
            <w:pPr>
              <w:spacing w:after="0" w:line="240" w:lineRule="auto"/>
              <w:rPr>
                <w:rFonts w:ascii="Arial Narrow" w:hAnsi="Arial Narrow" w:cs="Calibri"/>
                <w:color w:val="000000"/>
                <w:sz w:val="20"/>
                <w:szCs w:val="20"/>
              </w:rPr>
            </w:pPr>
          </w:p>
        </w:tc>
      </w:tr>
      <w:tr w:rsidR="00DD6D33" w:rsidRPr="007D0AA8" w14:paraId="48142204" w14:textId="77777777" w:rsidTr="00963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9" w:type="pct"/>
            <w:gridSpan w:val="3"/>
            <w:tcBorders>
              <w:top w:val="nil"/>
              <w:left w:val="single" w:sz="4" w:space="0" w:color="auto"/>
              <w:bottom w:val="nil"/>
              <w:right w:val="single" w:sz="4" w:space="0" w:color="auto"/>
            </w:tcBorders>
            <w:vAlign w:val="bottom"/>
          </w:tcPr>
          <w:p w14:paraId="10F352D2" w14:textId="77777777" w:rsidR="00DD6D33" w:rsidRPr="007D0AA8" w:rsidRDefault="00DD6D33" w:rsidP="00DD6D33">
            <w:pPr>
              <w:spacing w:after="0" w:line="240" w:lineRule="auto"/>
              <w:rPr>
                <w:rFonts w:ascii="Arial Narrow" w:hAnsi="Arial Narrow" w:cs="Calibri"/>
                <w:color w:val="000000"/>
                <w:sz w:val="20"/>
                <w:szCs w:val="20"/>
              </w:rPr>
            </w:pPr>
          </w:p>
        </w:tc>
        <w:tc>
          <w:tcPr>
            <w:tcW w:w="1960" w:type="pct"/>
            <w:gridSpan w:val="4"/>
            <w:tcBorders>
              <w:top w:val="nil"/>
              <w:left w:val="single" w:sz="4" w:space="0" w:color="auto"/>
              <w:bottom w:val="nil"/>
              <w:right w:val="nil"/>
            </w:tcBorders>
          </w:tcPr>
          <w:p w14:paraId="61BD0B0B" w14:textId="77777777" w:rsidR="00DD6D33" w:rsidRPr="007D0AA8" w:rsidRDefault="00DD6D33" w:rsidP="00331FB9">
            <w:pPr>
              <w:pStyle w:val="ListParagraph"/>
              <w:numPr>
                <w:ilvl w:val="0"/>
                <w:numId w:val="16"/>
              </w:numPr>
              <w:spacing w:after="0" w:line="240" w:lineRule="auto"/>
              <w:ind w:left="173" w:hanging="121"/>
              <w:rPr>
                <w:rFonts w:ascii="Arial Narrow" w:hAnsi="Arial Narrow" w:cs="Calibri"/>
                <w:color w:val="000000"/>
                <w:sz w:val="20"/>
                <w:szCs w:val="20"/>
              </w:rPr>
            </w:pPr>
            <w:r w:rsidRPr="007D0AA8">
              <w:rPr>
                <w:rFonts w:ascii="Arial Narrow" w:hAnsi="Arial Narrow" w:cs="Calibri"/>
                <w:color w:val="000000"/>
                <w:sz w:val="20"/>
                <w:szCs w:val="20"/>
              </w:rPr>
              <w:t>Pneumonia*</w:t>
            </w:r>
          </w:p>
        </w:tc>
        <w:tc>
          <w:tcPr>
            <w:tcW w:w="1095" w:type="pct"/>
            <w:gridSpan w:val="3"/>
            <w:tcBorders>
              <w:top w:val="nil"/>
              <w:left w:val="nil"/>
              <w:bottom w:val="nil"/>
              <w:right w:val="nil"/>
            </w:tcBorders>
            <w:shd w:val="clear" w:color="auto" w:fill="auto"/>
            <w:noWrap/>
          </w:tcPr>
          <w:p w14:paraId="2C5D8D26" w14:textId="4130308C" w:rsidR="00DD6D33" w:rsidRPr="007D0AA8" w:rsidRDefault="00DD6D33" w:rsidP="00DD6D33">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1 (2%)</w:t>
            </w:r>
          </w:p>
        </w:tc>
        <w:tc>
          <w:tcPr>
            <w:tcW w:w="1016" w:type="pct"/>
            <w:tcBorders>
              <w:top w:val="nil"/>
              <w:left w:val="nil"/>
              <w:bottom w:val="nil"/>
              <w:right w:val="single" w:sz="4" w:space="0" w:color="auto"/>
            </w:tcBorders>
            <w:shd w:val="clear" w:color="auto" w:fill="auto"/>
            <w:noWrap/>
          </w:tcPr>
          <w:p w14:paraId="1BFCB0B7" w14:textId="36917E8B" w:rsidR="00DD6D33" w:rsidRPr="007D0AA8" w:rsidRDefault="00DD6D33" w:rsidP="00DD6D33">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0</w:t>
            </w:r>
          </w:p>
        </w:tc>
      </w:tr>
      <w:tr w:rsidR="00DD6D33" w:rsidRPr="007D0AA8" w14:paraId="0971A347" w14:textId="77777777" w:rsidTr="00963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9" w:type="pct"/>
            <w:gridSpan w:val="3"/>
            <w:tcBorders>
              <w:top w:val="nil"/>
              <w:left w:val="single" w:sz="4" w:space="0" w:color="auto"/>
              <w:bottom w:val="nil"/>
              <w:right w:val="single" w:sz="4" w:space="0" w:color="auto"/>
            </w:tcBorders>
            <w:vAlign w:val="bottom"/>
          </w:tcPr>
          <w:p w14:paraId="4769BC82" w14:textId="77777777" w:rsidR="00DD6D33" w:rsidRPr="007D0AA8" w:rsidRDefault="00DD6D33" w:rsidP="00DD6D33">
            <w:pPr>
              <w:spacing w:after="0" w:line="240" w:lineRule="auto"/>
              <w:rPr>
                <w:rFonts w:ascii="Arial Narrow" w:hAnsi="Arial Narrow" w:cs="Calibri"/>
                <w:color w:val="000000"/>
                <w:sz w:val="20"/>
                <w:szCs w:val="20"/>
              </w:rPr>
            </w:pPr>
          </w:p>
        </w:tc>
        <w:tc>
          <w:tcPr>
            <w:tcW w:w="1960" w:type="pct"/>
            <w:gridSpan w:val="4"/>
            <w:tcBorders>
              <w:top w:val="nil"/>
              <w:left w:val="single" w:sz="4" w:space="0" w:color="auto"/>
              <w:bottom w:val="nil"/>
              <w:right w:val="nil"/>
            </w:tcBorders>
          </w:tcPr>
          <w:p w14:paraId="3E71A4E3" w14:textId="77777777" w:rsidR="00DD6D33" w:rsidRPr="007D0AA8" w:rsidRDefault="00DD6D33" w:rsidP="00331FB9">
            <w:pPr>
              <w:pStyle w:val="ListParagraph"/>
              <w:numPr>
                <w:ilvl w:val="0"/>
                <w:numId w:val="16"/>
              </w:numPr>
              <w:spacing w:after="0" w:line="240" w:lineRule="auto"/>
              <w:ind w:left="173" w:hanging="121"/>
              <w:rPr>
                <w:rFonts w:ascii="Arial Narrow" w:hAnsi="Arial Narrow" w:cs="Calibri"/>
                <w:color w:val="000000"/>
                <w:sz w:val="20"/>
                <w:szCs w:val="20"/>
              </w:rPr>
            </w:pPr>
            <w:r w:rsidRPr="007D0AA8">
              <w:rPr>
                <w:rFonts w:ascii="Arial Narrow" w:hAnsi="Arial Narrow" w:cs="Calibri"/>
                <w:color w:val="000000"/>
                <w:sz w:val="20"/>
                <w:szCs w:val="20"/>
              </w:rPr>
              <w:t>Itching/swelling/redness</w:t>
            </w:r>
          </w:p>
        </w:tc>
        <w:tc>
          <w:tcPr>
            <w:tcW w:w="1095" w:type="pct"/>
            <w:gridSpan w:val="3"/>
            <w:tcBorders>
              <w:top w:val="nil"/>
              <w:left w:val="nil"/>
              <w:bottom w:val="nil"/>
              <w:right w:val="nil"/>
            </w:tcBorders>
            <w:shd w:val="clear" w:color="auto" w:fill="auto"/>
            <w:noWrap/>
          </w:tcPr>
          <w:p w14:paraId="28CF7441" w14:textId="70C343B9" w:rsidR="00DD6D33" w:rsidRPr="007D0AA8" w:rsidRDefault="00DD6D33" w:rsidP="00DD6D33">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0</w:t>
            </w:r>
          </w:p>
        </w:tc>
        <w:tc>
          <w:tcPr>
            <w:tcW w:w="1016" w:type="pct"/>
            <w:tcBorders>
              <w:top w:val="nil"/>
              <w:left w:val="nil"/>
              <w:bottom w:val="nil"/>
              <w:right w:val="single" w:sz="4" w:space="0" w:color="auto"/>
            </w:tcBorders>
            <w:shd w:val="clear" w:color="auto" w:fill="auto"/>
            <w:noWrap/>
          </w:tcPr>
          <w:p w14:paraId="39ABA8A5" w14:textId="06B06517" w:rsidR="00DD6D33" w:rsidRPr="007D0AA8" w:rsidRDefault="00DD6D33" w:rsidP="00DD6D33">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2 (1.8%)</w:t>
            </w:r>
          </w:p>
        </w:tc>
      </w:tr>
      <w:tr w:rsidR="00DD6D33" w:rsidRPr="007D0AA8" w14:paraId="7BD22FCD" w14:textId="77777777" w:rsidTr="00963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9" w:type="pct"/>
            <w:gridSpan w:val="3"/>
            <w:tcBorders>
              <w:top w:val="nil"/>
              <w:left w:val="single" w:sz="4" w:space="0" w:color="auto"/>
              <w:bottom w:val="nil"/>
              <w:right w:val="single" w:sz="4" w:space="0" w:color="auto"/>
            </w:tcBorders>
            <w:vAlign w:val="bottom"/>
          </w:tcPr>
          <w:p w14:paraId="67918C65" w14:textId="77777777" w:rsidR="00DD6D33" w:rsidRPr="007D0AA8" w:rsidRDefault="00DD6D33" w:rsidP="00DD6D33">
            <w:pPr>
              <w:spacing w:after="0" w:line="240" w:lineRule="auto"/>
              <w:rPr>
                <w:rFonts w:ascii="Arial Narrow" w:hAnsi="Arial Narrow" w:cs="Calibri"/>
                <w:color w:val="000000"/>
                <w:sz w:val="20"/>
                <w:szCs w:val="20"/>
              </w:rPr>
            </w:pPr>
          </w:p>
        </w:tc>
        <w:tc>
          <w:tcPr>
            <w:tcW w:w="1960" w:type="pct"/>
            <w:gridSpan w:val="4"/>
            <w:tcBorders>
              <w:top w:val="nil"/>
              <w:left w:val="single" w:sz="4" w:space="0" w:color="auto"/>
              <w:bottom w:val="nil"/>
              <w:right w:val="nil"/>
            </w:tcBorders>
          </w:tcPr>
          <w:p w14:paraId="55C3E1F8" w14:textId="77777777" w:rsidR="00DD6D33" w:rsidRPr="007D0AA8" w:rsidRDefault="00DD6D33" w:rsidP="00331FB9">
            <w:pPr>
              <w:pStyle w:val="ListParagraph"/>
              <w:numPr>
                <w:ilvl w:val="0"/>
                <w:numId w:val="16"/>
              </w:numPr>
              <w:spacing w:after="0" w:line="240" w:lineRule="auto"/>
              <w:ind w:left="173" w:hanging="121"/>
              <w:rPr>
                <w:rFonts w:ascii="Arial Narrow" w:hAnsi="Arial Narrow" w:cs="Calibri"/>
                <w:color w:val="000000"/>
                <w:sz w:val="20"/>
                <w:szCs w:val="20"/>
              </w:rPr>
            </w:pPr>
            <w:r w:rsidRPr="007D0AA8">
              <w:rPr>
                <w:rFonts w:ascii="Arial Narrow" w:hAnsi="Arial Narrow" w:cs="Calibri"/>
                <w:color w:val="000000"/>
                <w:sz w:val="20"/>
                <w:szCs w:val="20"/>
              </w:rPr>
              <w:t>Blood pressure increase</w:t>
            </w:r>
          </w:p>
        </w:tc>
        <w:tc>
          <w:tcPr>
            <w:tcW w:w="1095" w:type="pct"/>
            <w:gridSpan w:val="3"/>
            <w:tcBorders>
              <w:top w:val="nil"/>
              <w:left w:val="nil"/>
              <w:bottom w:val="nil"/>
              <w:right w:val="nil"/>
            </w:tcBorders>
            <w:shd w:val="clear" w:color="auto" w:fill="auto"/>
            <w:noWrap/>
          </w:tcPr>
          <w:p w14:paraId="56C0DAC8" w14:textId="0E09FA62" w:rsidR="00DD6D33" w:rsidRPr="007D0AA8" w:rsidRDefault="00DD6D33" w:rsidP="00DD6D33">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1 (2%)</w:t>
            </w:r>
          </w:p>
        </w:tc>
        <w:tc>
          <w:tcPr>
            <w:tcW w:w="1016" w:type="pct"/>
            <w:tcBorders>
              <w:top w:val="nil"/>
              <w:left w:val="nil"/>
              <w:bottom w:val="nil"/>
              <w:right w:val="single" w:sz="4" w:space="0" w:color="auto"/>
            </w:tcBorders>
            <w:shd w:val="clear" w:color="auto" w:fill="auto"/>
            <w:noWrap/>
          </w:tcPr>
          <w:p w14:paraId="3F9615E1" w14:textId="3822E332" w:rsidR="00DD6D33" w:rsidRPr="007D0AA8" w:rsidRDefault="00DD6D33" w:rsidP="00DD6D33">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0</w:t>
            </w:r>
          </w:p>
        </w:tc>
      </w:tr>
      <w:tr w:rsidR="00DD6D33" w:rsidRPr="007D0AA8" w14:paraId="5D361CAF" w14:textId="77777777" w:rsidTr="00963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9" w:type="pct"/>
            <w:gridSpan w:val="3"/>
            <w:tcBorders>
              <w:top w:val="nil"/>
              <w:left w:val="single" w:sz="4" w:space="0" w:color="auto"/>
              <w:bottom w:val="nil"/>
              <w:right w:val="single" w:sz="4" w:space="0" w:color="auto"/>
            </w:tcBorders>
            <w:vAlign w:val="bottom"/>
          </w:tcPr>
          <w:p w14:paraId="4980CE39" w14:textId="77777777" w:rsidR="00DD6D33" w:rsidRPr="007D0AA8" w:rsidRDefault="00DD6D33" w:rsidP="00DD6D33">
            <w:pPr>
              <w:spacing w:after="0" w:line="240" w:lineRule="auto"/>
              <w:rPr>
                <w:rFonts w:ascii="Arial Narrow" w:hAnsi="Arial Narrow" w:cs="Calibri"/>
                <w:color w:val="000000"/>
                <w:sz w:val="20"/>
                <w:szCs w:val="20"/>
              </w:rPr>
            </w:pPr>
          </w:p>
        </w:tc>
        <w:tc>
          <w:tcPr>
            <w:tcW w:w="1960" w:type="pct"/>
            <w:gridSpan w:val="4"/>
            <w:tcBorders>
              <w:top w:val="nil"/>
              <w:left w:val="single" w:sz="4" w:space="0" w:color="auto"/>
              <w:bottom w:val="nil"/>
              <w:right w:val="nil"/>
            </w:tcBorders>
          </w:tcPr>
          <w:p w14:paraId="6D743932" w14:textId="77777777" w:rsidR="00DD6D33" w:rsidRPr="007D0AA8" w:rsidRDefault="00DD6D33" w:rsidP="00331FB9">
            <w:pPr>
              <w:pStyle w:val="ListParagraph"/>
              <w:numPr>
                <w:ilvl w:val="0"/>
                <w:numId w:val="16"/>
              </w:numPr>
              <w:spacing w:after="0" w:line="240" w:lineRule="auto"/>
              <w:ind w:left="173" w:hanging="121"/>
              <w:rPr>
                <w:rFonts w:ascii="Arial Narrow" w:hAnsi="Arial Narrow" w:cs="Calibri"/>
                <w:color w:val="000000"/>
                <w:sz w:val="20"/>
                <w:szCs w:val="20"/>
              </w:rPr>
            </w:pPr>
            <w:r w:rsidRPr="007D0AA8">
              <w:rPr>
                <w:rFonts w:ascii="Arial Narrow" w:hAnsi="Arial Narrow" w:cs="Calibri"/>
                <w:color w:val="000000"/>
                <w:sz w:val="20"/>
                <w:szCs w:val="20"/>
              </w:rPr>
              <w:t>Rash</w:t>
            </w:r>
          </w:p>
        </w:tc>
        <w:tc>
          <w:tcPr>
            <w:tcW w:w="1095" w:type="pct"/>
            <w:gridSpan w:val="3"/>
            <w:tcBorders>
              <w:top w:val="nil"/>
              <w:left w:val="nil"/>
              <w:bottom w:val="nil"/>
              <w:right w:val="nil"/>
            </w:tcBorders>
            <w:shd w:val="clear" w:color="auto" w:fill="auto"/>
            <w:noWrap/>
          </w:tcPr>
          <w:p w14:paraId="1EC320DD" w14:textId="2FD743EA" w:rsidR="00DD6D33" w:rsidRPr="007D0AA8" w:rsidRDefault="00DD6D33" w:rsidP="00DD6D33">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0</w:t>
            </w:r>
          </w:p>
        </w:tc>
        <w:tc>
          <w:tcPr>
            <w:tcW w:w="1016" w:type="pct"/>
            <w:tcBorders>
              <w:top w:val="nil"/>
              <w:left w:val="nil"/>
              <w:bottom w:val="nil"/>
              <w:right w:val="single" w:sz="4" w:space="0" w:color="auto"/>
            </w:tcBorders>
            <w:shd w:val="clear" w:color="auto" w:fill="auto"/>
            <w:noWrap/>
          </w:tcPr>
          <w:p w14:paraId="3ED06EC4" w14:textId="2D72C5B7" w:rsidR="00DD6D33" w:rsidRPr="007D0AA8" w:rsidRDefault="00DD6D33" w:rsidP="00DD6D33">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1 (0.9%)</w:t>
            </w:r>
          </w:p>
        </w:tc>
      </w:tr>
      <w:tr w:rsidR="00DD6D33" w:rsidRPr="007D0AA8" w14:paraId="6DAD8E1C" w14:textId="77777777" w:rsidTr="00963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9" w:type="pct"/>
            <w:gridSpan w:val="3"/>
            <w:tcBorders>
              <w:top w:val="nil"/>
              <w:left w:val="single" w:sz="4" w:space="0" w:color="auto"/>
              <w:bottom w:val="nil"/>
              <w:right w:val="single" w:sz="4" w:space="0" w:color="auto"/>
            </w:tcBorders>
            <w:vAlign w:val="bottom"/>
          </w:tcPr>
          <w:p w14:paraId="7FF74A59" w14:textId="77777777" w:rsidR="00DD6D33" w:rsidRPr="007D0AA8" w:rsidRDefault="00DD6D33" w:rsidP="00DD6D33">
            <w:pPr>
              <w:spacing w:after="0" w:line="240" w:lineRule="auto"/>
              <w:rPr>
                <w:rFonts w:ascii="Arial Narrow" w:hAnsi="Arial Narrow" w:cs="Calibri"/>
                <w:color w:val="000000"/>
                <w:sz w:val="20"/>
                <w:szCs w:val="20"/>
              </w:rPr>
            </w:pPr>
          </w:p>
        </w:tc>
        <w:tc>
          <w:tcPr>
            <w:tcW w:w="1960" w:type="pct"/>
            <w:gridSpan w:val="4"/>
            <w:tcBorders>
              <w:top w:val="nil"/>
              <w:left w:val="single" w:sz="4" w:space="0" w:color="auto"/>
              <w:bottom w:val="nil"/>
              <w:right w:val="nil"/>
            </w:tcBorders>
          </w:tcPr>
          <w:p w14:paraId="4CEC444C" w14:textId="77777777" w:rsidR="00DD6D33" w:rsidRPr="007D0AA8" w:rsidRDefault="00DD6D33" w:rsidP="00331FB9">
            <w:pPr>
              <w:pStyle w:val="ListParagraph"/>
              <w:numPr>
                <w:ilvl w:val="0"/>
                <w:numId w:val="16"/>
              </w:numPr>
              <w:spacing w:after="0" w:line="240" w:lineRule="auto"/>
              <w:ind w:left="173" w:hanging="121"/>
              <w:rPr>
                <w:rFonts w:ascii="Arial Narrow" w:hAnsi="Arial Narrow" w:cs="Calibri"/>
                <w:color w:val="000000"/>
                <w:sz w:val="20"/>
                <w:szCs w:val="20"/>
              </w:rPr>
            </w:pPr>
            <w:r w:rsidRPr="007D0AA8">
              <w:rPr>
                <w:rFonts w:ascii="Arial Narrow" w:hAnsi="Arial Narrow" w:cs="Calibri"/>
                <w:color w:val="000000"/>
                <w:sz w:val="20"/>
                <w:szCs w:val="20"/>
              </w:rPr>
              <w:t>Cold sensation/asthenia</w:t>
            </w:r>
          </w:p>
        </w:tc>
        <w:tc>
          <w:tcPr>
            <w:tcW w:w="1095" w:type="pct"/>
            <w:gridSpan w:val="3"/>
            <w:tcBorders>
              <w:top w:val="nil"/>
              <w:left w:val="nil"/>
              <w:bottom w:val="nil"/>
              <w:right w:val="nil"/>
            </w:tcBorders>
            <w:shd w:val="clear" w:color="auto" w:fill="auto"/>
            <w:noWrap/>
          </w:tcPr>
          <w:p w14:paraId="1F04FD24" w14:textId="70553854" w:rsidR="00DD6D33" w:rsidRPr="007D0AA8" w:rsidRDefault="00DD6D33" w:rsidP="00DD6D33">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0</w:t>
            </w:r>
          </w:p>
        </w:tc>
        <w:tc>
          <w:tcPr>
            <w:tcW w:w="1016" w:type="pct"/>
            <w:tcBorders>
              <w:top w:val="nil"/>
              <w:left w:val="nil"/>
              <w:bottom w:val="nil"/>
              <w:right w:val="single" w:sz="4" w:space="0" w:color="auto"/>
            </w:tcBorders>
            <w:shd w:val="clear" w:color="auto" w:fill="auto"/>
            <w:noWrap/>
          </w:tcPr>
          <w:p w14:paraId="1D700647" w14:textId="2717BB13" w:rsidR="00DD6D33" w:rsidRPr="007D0AA8" w:rsidRDefault="00DD6D33" w:rsidP="00DD6D33">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1 (0.9%)</w:t>
            </w:r>
          </w:p>
        </w:tc>
      </w:tr>
      <w:tr w:rsidR="00DD6D33" w:rsidRPr="007D0AA8" w14:paraId="4DE7D8D8" w14:textId="77777777" w:rsidTr="00963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9" w:type="pct"/>
            <w:gridSpan w:val="3"/>
            <w:tcBorders>
              <w:top w:val="nil"/>
              <w:left w:val="single" w:sz="4" w:space="0" w:color="auto"/>
              <w:bottom w:val="nil"/>
              <w:right w:val="single" w:sz="4" w:space="0" w:color="auto"/>
            </w:tcBorders>
            <w:vAlign w:val="bottom"/>
          </w:tcPr>
          <w:p w14:paraId="3631AA7B" w14:textId="77777777" w:rsidR="00DD6D33" w:rsidRPr="007D0AA8" w:rsidRDefault="00DD6D33" w:rsidP="00DD6D33">
            <w:pPr>
              <w:spacing w:after="0" w:line="240" w:lineRule="auto"/>
              <w:rPr>
                <w:rFonts w:ascii="Arial Narrow" w:hAnsi="Arial Narrow" w:cs="Calibri"/>
                <w:color w:val="000000"/>
                <w:sz w:val="20"/>
                <w:szCs w:val="20"/>
              </w:rPr>
            </w:pPr>
          </w:p>
        </w:tc>
        <w:tc>
          <w:tcPr>
            <w:tcW w:w="1960" w:type="pct"/>
            <w:gridSpan w:val="4"/>
            <w:tcBorders>
              <w:top w:val="nil"/>
              <w:left w:val="single" w:sz="4" w:space="0" w:color="auto"/>
              <w:bottom w:val="single" w:sz="4" w:space="0" w:color="auto"/>
              <w:right w:val="nil"/>
            </w:tcBorders>
          </w:tcPr>
          <w:p w14:paraId="2A65F026" w14:textId="77777777" w:rsidR="00DD6D33" w:rsidRPr="007D0AA8" w:rsidRDefault="00DD6D33" w:rsidP="00DD6D33">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Total patients with AEs</w:t>
            </w:r>
          </w:p>
        </w:tc>
        <w:tc>
          <w:tcPr>
            <w:tcW w:w="1095" w:type="pct"/>
            <w:gridSpan w:val="3"/>
            <w:tcBorders>
              <w:top w:val="nil"/>
              <w:left w:val="nil"/>
              <w:bottom w:val="single" w:sz="4" w:space="0" w:color="auto"/>
              <w:right w:val="nil"/>
            </w:tcBorders>
            <w:shd w:val="clear" w:color="auto" w:fill="auto"/>
            <w:noWrap/>
          </w:tcPr>
          <w:p w14:paraId="23BAB5E0" w14:textId="105EE3EE" w:rsidR="00DD6D33" w:rsidRPr="007D0AA8" w:rsidRDefault="00DD6D33" w:rsidP="00DD6D33">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2 (4%)</w:t>
            </w:r>
          </w:p>
        </w:tc>
        <w:tc>
          <w:tcPr>
            <w:tcW w:w="1016" w:type="pct"/>
            <w:tcBorders>
              <w:top w:val="nil"/>
              <w:left w:val="nil"/>
              <w:bottom w:val="single" w:sz="4" w:space="0" w:color="auto"/>
              <w:right w:val="single" w:sz="4" w:space="0" w:color="auto"/>
            </w:tcBorders>
            <w:shd w:val="clear" w:color="auto" w:fill="auto"/>
            <w:noWrap/>
          </w:tcPr>
          <w:p w14:paraId="4CE02492" w14:textId="54708737" w:rsidR="00DD6D33" w:rsidRPr="007D0AA8" w:rsidRDefault="00DD6D33" w:rsidP="00DD6D33">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4 (3.6%)</w:t>
            </w:r>
          </w:p>
        </w:tc>
      </w:tr>
      <w:tr w:rsidR="00DD6D33" w:rsidRPr="007D0AA8" w14:paraId="13F279DD" w14:textId="77777777" w:rsidTr="00963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9" w:type="pct"/>
            <w:gridSpan w:val="3"/>
            <w:tcBorders>
              <w:top w:val="nil"/>
              <w:left w:val="single" w:sz="4" w:space="0" w:color="auto"/>
              <w:bottom w:val="single" w:sz="4" w:space="0" w:color="auto"/>
              <w:right w:val="single" w:sz="4" w:space="0" w:color="auto"/>
            </w:tcBorders>
            <w:vAlign w:val="bottom"/>
          </w:tcPr>
          <w:p w14:paraId="5276AE35" w14:textId="77777777" w:rsidR="00DD6D33" w:rsidRPr="007D0AA8" w:rsidRDefault="00DD6D33" w:rsidP="00DD6D33">
            <w:pPr>
              <w:spacing w:after="0" w:line="240" w:lineRule="auto"/>
              <w:rPr>
                <w:rFonts w:ascii="Arial Narrow" w:hAnsi="Arial Narrow" w:cs="Calibri"/>
                <w:color w:val="000000"/>
                <w:sz w:val="20"/>
                <w:szCs w:val="20"/>
              </w:rPr>
            </w:pPr>
          </w:p>
        </w:tc>
        <w:tc>
          <w:tcPr>
            <w:tcW w:w="1960" w:type="pct"/>
            <w:gridSpan w:val="4"/>
            <w:tcBorders>
              <w:top w:val="single" w:sz="4" w:space="0" w:color="auto"/>
              <w:left w:val="single" w:sz="4" w:space="0" w:color="auto"/>
              <w:bottom w:val="single" w:sz="4" w:space="0" w:color="auto"/>
              <w:right w:val="nil"/>
            </w:tcBorders>
          </w:tcPr>
          <w:p w14:paraId="2E061BFE" w14:textId="77777777" w:rsidR="00DD6D33" w:rsidRPr="007D0AA8" w:rsidRDefault="00DD6D33" w:rsidP="00DD6D33">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Discontinuation due to tolerance concern n=1 (group not reported)</w:t>
            </w:r>
          </w:p>
        </w:tc>
        <w:tc>
          <w:tcPr>
            <w:tcW w:w="1095" w:type="pct"/>
            <w:gridSpan w:val="3"/>
            <w:tcBorders>
              <w:top w:val="single" w:sz="4" w:space="0" w:color="auto"/>
              <w:left w:val="nil"/>
              <w:bottom w:val="single" w:sz="4" w:space="0" w:color="auto"/>
              <w:right w:val="nil"/>
            </w:tcBorders>
            <w:shd w:val="clear" w:color="auto" w:fill="auto"/>
            <w:noWrap/>
          </w:tcPr>
          <w:p w14:paraId="3B6CB8F7" w14:textId="235AED37" w:rsidR="00DD6D33" w:rsidRPr="007D0AA8" w:rsidRDefault="00DD6D33" w:rsidP="00DD6D33">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n.r.</w:t>
            </w:r>
          </w:p>
        </w:tc>
        <w:tc>
          <w:tcPr>
            <w:tcW w:w="1016" w:type="pct"/>
            <w:tcBorders>
              <w:top w:val="single" w:sz="4" w:space="0" w:color="auto"/>
              <w:left w:val="nil"/>
              <w:bottom w:val="single" w:sz="4" w:space="0" w:color="auto"/>
              <w:right w:val="single" w:sz="4" w:space="0" w:color="auto"/>
            </w:tcBorders>
            <w:shd w:val="clear" w:color="auto" w:fill="auto"/>
            <w:noWrap/>
          </w:tcPr>
          <w:p w14:paraId="55009F77" w14:textId="7C003579" w:rsidR="00DD6D33" w:rsidRPr="007D0AA8" w:rsidRDefault="00DD6D33" w:rsidP="00DD6D33">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n.r.</w:t>
            </w:r>
          </w:p>
        </w:tc>
      </w:tr>
      <w:tr w:rsidR="00DD6D33" w:rsidRPr="00386411" w14:paraId="32E752DC" w14:textId="77777777" w:rsidTr="00B52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9" w:type="pct"/>
            <w:gridSpan w:val="3"/>
            <w:tcBorders>
              <w:top w:val="single" w:sz="4" w:space="0" w:color="auto"/>
              <w:left w:val="single" w:sz="4" w:space="0" w:color="auto"/>
              <w:bottom w:val="nil"/>
              <w:right w:val="single" w:sz="4" w:space="0" w:color="auto"/>
            </w:tcBorders>
            <w:shd w:val="clear" w:color="auto" w:fill="D9D9D9" w:themeFill="background1" w:themeFillShade="D9"/>
          </w:tcPr>
          <w:p w14:paraId="36F6DC11" w14:textId="77777777" w:rsidR="00DD6D33" w:rsidRPr="00386411" w:rsidRDefault="00DD6D33" w:rsidP="00DD6D33">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Reiser et al., 2017</w:t>
            </w:r>
          </w:p>
        </w:tc>
        <w:tc>
          <w:tcPr>
            <w:tcW w:w="1960" w:type="pct"/>
            <w:gridSpan w:val="4"/>
            <w:tcBorders>
              <w:top w:val="single" w:sz="4" w:space="0" w:color="auto"/>
              <w:left w:val="single" w:sz="4" w:space="0" w:color="auto"/>
              <w:bottom w:val="nil"/>
              <w:right w:val="single" w:sz="4" w:space="0" w:color="auto"/>
            </w:tcBorders>
            <w:shd w:val="clear" w:color="auto" w:fill="D9D9D9" w:themeFill="background1" w:themeFillShade="D9"/>
          </w:tcPr>
          <w:p w14:paraId="376556E3" w14:textId="77777777" w:rsidR="00DD6D33" w:rsidRPr="00386411" w:rsidRDefault="00DD6D33" w:rsidP="00DD6D33">
            <w:pPr>
              <w:spacing w:after="0" w:line="240" w:lineRule="auto"/>
              <w:rPr>
                <w:rFonts w:ascii="Arial Narrow" w:hAnsi="Arial Narrow"/>
                <w:b/>
                <w:sz w:val="20"/>
              </w:rPr>
            </w:pPr>
            <w:r w:rsidRPr="00386411">
              <w:rPr>
                <w:rFonts w:ascii="Arial Narrow" w:hAnsi="Arial Narrow"/>
                <w:b/>
                <w:sz w:val="20"/>
              </w:rPr>
              <w:t>On-study AEs (N=307)</w:t>
            </w:r>
          </w:p>
        </w:tc>
        <w:tc>
          <w:tcPr>
            <w:tcW w:w="1095" w:type="pct"/>
            <w:gridSpan w:val="3"/>
            <w:tcBorders>
              <w:top w:val="single" w:sz="4" w:space="0" w:color="auto"/>
              <w:left w:val="single" w:sz="4" w:space="0" w:color="auto"/>
              <w:bottom w:val="nil"/>
              <w:right w:val="nil"/>
            </w:tcBorders>
            <w:shd w:val="clear" w:color="auto" w:fill="D9D9D9" w:themeFill="background1" w:themeFillShade="D9"/>
            <w:noWrap/>
          </w:tcPr>
          <w:p w14:paraId="45C30CB8" w14:textId="77777777" w:rsidR="00DD6D33" w:rsidRPr="00386411" w:rsidRDefault="00DD6D33" w:rsidP="00DD6D33">
            <w:pPr>
              <w:spacing w:after="0" w:line="240" w:lineRule="auto"/>
              <w:rPr>
                <w:rFonts w:ascii="Arial Narrow" w:hAnsi="Arial Narrow"/>
                <w:b/>
                <w:sz w:val="20"/>
              </w:rPr>
            </w:pPr>
            <w:r w:rsidRPr="00386411">
              <w:rPr>
                <w:rFonts w:ascii="Arial Narrow" w:hAnsi="Arial Narrow" w:cs="Calibri"/>
                <w:b/>
                <w:color w:val="000000"/>
                <w:sz w:val="20"/>
                <w:szCs w:val="20"/>
              </w:rPr>
              <w:t>IVIg (n=287)</w:t>
            </w:r>
          </w:p>
        </w:tc>
        <w:tc>
          <w:tcPr>
            <w:tcW w:w="1016" w:type="pct"/>
            <w:tcBorders>
              <w:top w:val="single" w:sz="4" w:space="0" w:color="auto"/>
              <w:left w:val="nil"/>
              <w:bottom w:val="nil"/>
              <w:right w:val="single" w:sz="4" w:space="0" w:color="auto"/>
            </w:tcBorders>
            <w:shd w:val="clear" w:color="auto" w:fill="D9D9D9" w:themeFill="background1" w:themeFillShade="D9"/>
            <w:noWrap/>
          </w:tcPr>
          <w:p w14:paraId="66CBC8E8" w14:textId="77777777" w:rsidR="00DD6D33" w:rsidRPr="00386411" w:rsidRDefault="00DD6D33" w:rsidP="00DD6D33">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SCIg (n=20)</w:t>
            </w:r>
          </w:p>
        </w:tc>
      </w:tr>
      <w:tr w:rsidR="00DD6D33" w:rsidRPr="007D0AA8" w14:paraId="5F377BD6" w14:textId="77777777" w:rsidTr="00963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9" w:type="pct"/>
            <w:gridSpan w:val="3"/>
            <w:tcBorders>
              <w:top w:val="single" w:sz="4" w:space="0" w:color="auto"/>
              <w:left w:val="single" w:sz="4" w:space="0" w:color="auto"/>
              <w:bottom w:val="nil"/>
              <w:right w:val="single" w:sz="4" w:space="0" w:color="auto"/>
            </w:tcBorders>
            <w:vAlign w:val="bottom"/>
          </w:tcPr>
          <w:p w14:paraId="6F628EF2" w14:textId="77777777" w:rsidR="00DD6D33" w:rsidRPr="007D0AA8" w:rsidRDefault="00DD6D33" w:rsidP="00DD6D33">
            <w:pPr>
              <w:spacing w:after="0" w:line="240" w:lineRule="auto"/>
              <w:ind w:left="-57" w:right="-57"/>
              <w:rPr>
                <w:rFonts w:ascii="Arial Narrow" w:hAnsi="Arial Narrow" w:cs="Calibri"/>
                <w:color w:val="000000"/>
                <w:sz w:val="20"/>
                <w:szCs w:val="20"/>
              </w:rPr>
            </w:pPr>
            <w:r w:rsidRPr="007D0AA8">
              <w:rPr>
                <w:rFonts w:ascii="Arial Narrow" w:hAnsi="Arial Narrow"/>
                <w:sz w:val="20"/>
                <w:szCs w:val="20"/>
              </w:rPr>
              <w:t>CLL(130); NHL(99); MM(43); other(35)</w:t>
            </w:r>
          </w:p>
        </w:tc>
        <w:tc>
          <w:tcPr>
            <w:tcW w:w="1960" w:type="pct"/>
            <w:gridSpan w:val="4"/>
            <w:tcBorders>
              <w:top w:val="single" w:sz="4" w:space="0" w:color="auto"/>
              <w:left w:val="single" w:sz="4" w:space="0" w:color="auto"/>
              <w:bottom w:val="nil"/>
              <w:right w:val="single" w:sz="4" w:space="0" w:color="auto"/>
            </w:tcBorders>
          </w:tcPr>
          <w:p w14:paraId="3312CFA1" w14:textId="77777777" w:rsidR="00DD6D33" w:rsidRPr="007D0AA8" w:rsidRDefault="00DD6D33" w:rsidP="00DD6D33">
            <w:pPr>
              <w:spacing w:after="0" w:line="240" w:lineRule="auto"/>
              <w:rPr>
                <w:rFonts w:ascii="Arial Narrow" w:hAnsi="Arial Narrow"/>
                <w:sz w:val="20"/>
                <w:szCs w:val="20"/>
              </w:rPr>
            </w:pPr>
            <w:r w:rsidRPr="007D0AA8">
              <w:rPr>
                <w:rFonts w:ascii="Arial Narrow" w:hAnsi="Arial Narrow"/>
                <w:sz w:val="20"/>
                <w:szCs w:val="20"/>
              </w:rPr>
              <w:t xml:space="preserve">*Total on-study AEs </w:t>
            </w:r>
            <w:r w:rsidRPr="007D0AA8">
              <w:rPr>
                <w:rFonts w:ascii="Arial Narrow" w:hAnsi="Arial Narrow"/>
                <w:sz w:val="20"/>
                <w:szCs w:val="20"/>
              </w:rPr>
              <w:br/>
              <w:t>(all in IVIg patients)</w:t>
            </w:r>
          </w:p>
        </w:tc>
        <w:tc>
          <w:tcPr>
            <w:tcW w:w="1095" w:type="pct"/>
            <w:gridSpan w:val="3"/>
            <w:tcBorders>
              <w:top w:val="single" w:sz="4" w:space="0" w:color="auto"/>
              <w:left w:val="single" w:sz="4" w:space="0" w:color="auto"/>
              <w:bottom w:val="nil"/>
              <w:right w:val="nil"/>
            </w:tcBorders>
            <w:shd w:val="clear" w:color="auto" w:fill="auto"/>
            <w:noWrap/>
          </w:tcPr>
          <w:p w14:paraId="73B414BF" w14:textId="77777777" w:rsidR="00DD6D33" w:rsidRPr="007D0AA8" w:rsidRDefault="00DD6D33" w:rsidP="00DD6D33">
            <w:pPr>
              <w:spacing w:after="0" w:line="240" w:lineRule="auto"/>
              <w:rPr>
                <w:rFonts w:ascii="Arial Narrow" w:hAnsi="Arial Narrow"/>
                <w:sz w:val="20"/>
                <w:szCs w:val="20"/>
              </w:rPr>
            </w:pPr>
            <w:r w:rsidRPr="007D0AA8">
              <w:rPr>
                <w:rFonts w:ascii="Arial Narrow" w:hAnsi="Arial Narrow"/>
                <w:sz w:val="20"/>
                <w:szCs w:val="20"/>
              </w:rPr>
              <w:t>15</w:t>
            </w:r>
          </w:p>
        </w:tc>
        <w:tc>
          <w:tcPr>
            <w:tcW w:w="1016" w:type="pct"/>
            <w:tcBorders>
              <w:top w:val="single" w:sz="4" w:space="0" w:color="auto"/>
              <w:left w:val="nil"/>
              <w:bottom w:val="nil"/>
              <w:right w:val="single" w:sz="4" w:space="0" w:color="auto"/>
            </w:tcBorders>
            <w:shd w:val="clear" w:color="auto" w:fill="auto"/>
            <w:noWrap/>
          </w:tcPr>
          <w:p w14:paraId="5E8CEB9B" w14:textId="77777777" w:rsidR="00DD6D33" w:rsidRPr="007D0AA8" w:rsidRDefault="00DD6D33" w:rsidP="00DD6D33">
            <w:pPr>
              <w:spacing w:after="0" w:line="240" w:lineRule="auto"/>
              <w:rPr>
                <w:rFonts w:ascii="Arial Narrow" w:hAnsi="Arial Narrow"/>
                <w:sz w:val="20"/>
                <w:szCs w:val="20"/>
              </w:rPr>
            </w:pPr>
            <w:r w:rsidRPr="007D0AA8">
              <w:rPr>
                <w:rFonts w:ascii="Arial Narrow" w:hAnsi="Arial Narrow"/>
                <w:sz w:val="20"/>
                <w:szCs w:val="20"/>
              </w:rPr>
              <w:t>―</w:t>
            </w:r>
          </w:p>
        </w:tc>
      </w:tr>
      <w:tr w:rsidR="00DD6D33" w:rsidRPr="007D0AA8" w14:paraId="62B23238" w14:textId="77777777" w:rsidTr="00963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9" w:type="pct"/>
            <w:gridSpan w:val="3"/>
            <w:tcBorders>
              <w:top w:val="nil"/>
              <w:left w:val="single" w:sz="4" w:space="0" w:color="auto"/>
              <w:bottom w:val="nil"/>
              <w:right w:val="single" w:sz="4" w:space="0" w:color="auto"/>
            </w:tcBorders>
            <w:vAlign w:val="bottom"/>
          </w:tcPr>
          <w:p w14:paraId="6E96BB79" w14:textId="77777777" w:rsidR="00DD6D33" w:rsidRPr="007D0AA8" w:rsidRDefault="00DD6D33" w:rsidP="00DD6D33">
            <w:pPr>
              <w:spacing w:after="0" w:line="240" w:lineRule="auto"/>
              <w:rPr>
                <w:rFonts w:ascii="Arial Narrow" w:hAnsi="Arial Narrow" w:cs="Calibri"/>
                <w:color w:val="000000"/>
                <w:sz w:val="20"/>
                <w:szCs w:val="20"/>
              </w:rPr>
            </w:pPr>
          </w:p>
        </w:tc>
        <w:tc>
          <w:tcPr>
            <w:tcW w:w="1960" w:type="pct"/>
            <w:gridSpan w:val="4"/>
            <w:tcBorders>
              <w:top w:val="nil"/>
              <w:left w:val="single" w:sz="4" w:space="0" w:color="auto"/>
              <w:bottom w:val="nil"/>
              <w:right w:val="single" w:sz="4" w:space="0" w:color="auto"/>
            </w:tcBorders>
          </w:tcPr>
          <w:p w14:paraId="27A2FF07" w14:textId="77777777" w:rsidR="00DD6D33" w:rsidRPr="007D0AA8" w:rsidRDefault="00DD6D33" w:rsidP="00DD6D33">
            <w:pPr>
              <w:spacing w:after="0" w:line="240" w:lineRule="auto"/>
              <w:rPr>
                <w:rFonts w:ascii="Arial Narrow" w:hAnsi="Arial Narrow"/>
                <w:sz w:val="20"/>
              </w:rPr>
            </w:pPr>
            <w:r w:rsidRPr="007D0AA8">
              <w:rPr>
                <w:rFonts w:ascii="Arial Narrow" w:hAnsi="Arial Narrow"/>
                <w:sz w:val="20"/>
              </w:rPr>
              <w:t>Serious AEs (leading to hospitalisation)</w:t>
            </w:r>
          </w:p>
        </w:tc>
        <w:tc>
          <w:tcPr>
            <w:tcW w:w="1095" w:type="pct"/>
            <w:gridSpan w:val="3"/>
            <w:tcBorders>
              <w:top w:val="nil"/>
              <w:left w:val="single" w:sz="4" w:space="0" w:color="auto"/>
              <w:bottom w:val="nil"/>
              <w:right w:val="nil"/>
            </w:tcBorders>
            <w:shd w:val="clear" w:color="auto" w:fill="auto"/>
            <w:noWrap/>
          </w:tcPr>
          <w:p w14:paraId="331E82F0" w14:textId="77777777" w:rsidR="00DD6D33" w:rsidRPr="007D0AA8" w:rsidRDefault="00DD6D33" w:rsidP="00DD6D33">
            <w:pPr>
              <w:spacing w:after="0" w:line="240" w:lineRule="auto"/>
              <w:rPr>
                <w:rFonts w:ascii="Arial Narrow" w:hAnsi="Arial Narrow"/>
                <w:sz w:val="20"/>
              </w:rPr>
            </w:pPr>
            <w:r w:rsidRPr="007D0AA8">
              <w:rPr>
                <w:rFonts w:ascii="Arial Narrow" w:hAnsi="Arial Narrow"/>
                <w:sz w:val="20"/>
              </w:rPr>
              <w:t>4</w:t>
            </w:r>
          </w:p>
        </w:tc>
        <w:tc>
          <w:tcPr>
            <w:tcW w:w="1016" w:type="pct"/>
            <w:tcBorders>
              <w:top w:val="nil"/>
              <w:left w:val="nil"/>
              <w:bottom w:val="nil"/>
              <w:right w:val="single" w:sz="4" w:space="0" w:color="auto"/>
            </w:tcBorders>
            <w:shd w:val="clear" w:color="auto" w:fill="auto"/>
            <w:noWrap/>
          </w:tcPr>
          <w:p w14:paraId="34921165" w14:textId="77777777" w:rsidR="00DD6D33" w:rsidRPr="007D0AA8" w:rsidRDefault="00DD6D33" w:rsidP="00DD6D33">
            <w:pPr>
              <w:spacing w:after="0" w:line="240" w:lineRule="auto"/>
              <w:rPr>
                <w:rFonts w:ascii="Arial Narrow" w:hAnsi="Arial Narrow" w:cs="Calibri"/>
                <w:color w:val="000000"/>
                <w:sz w:val="20"/>
                <w:szCs w:val="20"/>
              </w:rPr>
            </w:pPr>
          </w:p>
        </w:tc>
      </w:tr>
      <w:tr w:rsidR="00DD6D33" w:rsidRPr="007D0AA8" w14:paraId="2392990F" w14:textId="77777777" w:rsidTr="00963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9" w:type="pct"/>
            <w:gridSpan w:val="3"/>
            <w:tcBorders>
              <w:top w:val="nil"/>
              <w:left w:val="single" w:sz="4" w:space="0" w:color="auto"/>
              <w:bottom w:val="single" w:sz="4" w:space="0" w:color="auto"/>
              <w:right w:val="single" w:sz="4" w:space="0" w:color="auto"/>
            </w:tcBorders>
            <w:vAlign w:val="bottom"/>
          </w:tcPr>
          <w:p w14:paraId="693D8913" w14:textId="77777777" w:rsidR="00DD6D33" w:rsidRPr="007D0AA8" w:rsidRDefault="00DD6D33" w:rsidP="00DD6D33">
            <w:pPr>
              <w:spacing w:after="0" w:line="240" w:lineRule="auto"/>
              <w:rPr>
                <w:rFonts w:ascii="Arial Narrow" w:hAnsi="Arial Narrow" w:cs="Calibri"/>
                <w:color w:val="000000"/>
                <w:sz w:val="20"/>
                <w:szCs w:val="20"/>
              </w:rPr>
            </w:pPr>
          </w:p>
        </w:tc>
        <w:tc>
          <w:tcPr>
            <w:tcW w:w="1960" w:type="pct"/>
            <w:gridSpan w:val="4"/>
            <w:tcBorders>
              <w:top w:val="nil"/>
              <w:left w:val="single" w:sz="4" w:space="0" w:color="auto"/>
              <w:bottom w:val="single" w:sz="4" w:space="0" w:color="auto"/>
              <w:right w:val="single" w:sz="4" w:space="0" w:color="auto"/>
            </w:tcBorders>
          </w:tcPr>
          <w:p w14:paraId="78C08BF8" w14:textId="77777777" w:rsidR="00DD6D33" w:rsidRPr="007D0AA8" w:rsidRDefault="00DD6D33" w:rsidP="00DD6D33">
            <w:pPr>
              <w:spacing w:after="0" w:line="240" w:lineRule="auto"/>
              <w:rPr>
                <w:rFonts w:ascii="Arial Narrow" w:hAnsi="Arial Narrow"/>
                <w:sz w:val="20"/>
              </w:rPr>
            </w:pPr>
            <w:r w:rsidRPr="007D0AA8">
              <w:rPr>
                <w:rFonts w:ascii="Arial Narrow" w:hAnsi="Arial Narrow" w:cs="Calibri"/>
                <w:color w:val="000000"/>
                <w:sz w:val="20"/>
                <w:szCs w:val="20"/>
              </w:rPr>
              <w:t>Non-serious AEs</w:t>
            </w:r>
          </w:p>
        </w:tc>
        <w:tc>
          <w:tcPr>
            <w:tcW w:w="1095" w:type="pct"/>
            <w:gridSpan w:val="3"/>
            <w:tcBorders>
              <w:top w:val="nil"/>
              <w:left w:val="single" w:sz="4" w:space="0" w:color="auto"/>
              <w:bottom w:val="single" w:sz="4" w:space="0" w:color="auto"/>
              <w:right w:val="nil"/>
            </w:tcBorders>
            <w:shd w:val="clear" w:color="auto" w:fill="auto"/>
            <w:noWrap/>
          </w:tcPr>
          <w:p w14:paraId="0DC6A2C8" w14:textId="77777777" w:rsidR="00DD6D33" w:rsidRPr="007D0AA8" w:rsidRDefault="00DD6D33" w:rsidP="00DD6D33">
            <w:pPr>
              <w:spacing w:after="0" w:line="240" w:lineRule="auto"/>
              <w:rPr>
                <w:rFonts w:ascii="Arial Narrow" w:hAnsi="Arial Narrow"/>
                <w:sz w:val="20"/>
              </w:rPr>
            </w:pPr>
            <w:r w:rsidRPr="007D0AA8">
              <w:rPr>
                <w:rFonts w:ascii="Arial Narrow" w:hAnsi="Arial Narrow" w:cs="Calibri"/>
                <w:color w:val="000000"/>
                <w:sz w:val="20"/>
                <w:szCs w:val="20"/>
              </w:rPr>
              <w:t>11</w:t>
            </w:r>
          </w:p>
        </w:tc>
        <w:tc>
          <w:tcPr>
            <w:tcW w:w="1016" w:type="pct"/>
            <w:tcBorders>
              <w:top w:val="nil"/>
              <w:left w:val="nil"/>
              <w:bottom w:val="single" w:sz="4" w:space="0" w:color="auto"/>
              <w:right w:val="single" w:sz="4" w:space="0" w:color="auto"/>
            </w:tcBorders>
            <w:shd w:val="clear" w:color="auto" w:fill="auto"/>
            <w:noWrap/>
          </w:tcPr>
          <w:p w14:paraId="185F8589" w14:textId="77777777" w:rsidR="00DD6D33" w:rsidRPr="007D0AA8" w:rsidRDefault="00DD6D33" w:rsidP="00DD6D33">
            <w:pPr>
              <w:spacing w:after="0" w:line="240" w:lineRule="auto"/>
              <w:rPr>
                <w:rFonts w:ascii="Arial Narrow" w:hAnsi="Arial Narrow" w:cs="Calibri"/>
                <w:color w:val="000000"/>
                <w:sz w:val="20"/>
                <w:szCs w:val="20"/>
              </w:rPr>
            </w:pPr>
          </w:p>
        </w:tc>
      </w:tr>
      <w:tr w:rsidR="009634B8" w:rsidRPr="00386411" w14:paraId="73DAA00F" w14:textId="77777777" w:rsidTr="00963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11"/>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7B61D94F" w14:textId="3963D91E" w:rsidR="009634B8" w:rsidRPr="00386411" w:rsidRDefault="009634B8" w:rsidP="00DD6D33">
            <w:pPr>
              <w:spacing w:after="0" w:line="240" w:lineRule="auto"/>
              <w:rPr>
                <w:rFonts w:ascii="Arial Narrow" w:hAnsi="Arial Narrow" w:cs="Calibri"/>
                <w:b/>
                <w:color w:val="000000"/>
                <w:sz w:val="20"/>
                <w:szCs w:val="20"/>
              </w:rPr>
            </w:pPr>
            <w:r w:rsidRPr="00386411">
              <w:rPr>
                <w:rFonts w:ascii="Arial Narrow" w:hAnsi="Arial Narrow"/>
                <w:b/>
                <w:color w:val="FFFFFF" w:themeColor="background1"/>
                <w:sz w:val="20"/>
                <w:szCs w:val="18"/>
              </w:rPr>
              <w:t>Non-comparative studies – IVIg v SCIg case series</w:t>
            </w:r>
          </w:p>
        </w:tc>
      </w:tr>
      <w:tr w:rsidR="00FE40B0" w:rsidRPr="00386411" w14:paraId="4CFBB9F8" w14:textId="77777777" w:rsidTr="00B52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61" w:type="pct"/>
            <w:tcBorders>
              <w:top w:val="nil"/>
              <w:left w:val="single" w:sz="4" w:space="0" w:color="auto"/>
              <w:bottom w:val="nil"/>
              <w:right w:val="nil"/>
            </w:tcBorders>
            <w:shd w:val="clear" w:color="auto" w:fill="D9D9D9" w:themeFill="background1" w:themeFillShade="D9"/>
          </w:tcPr>
          <w:p w14:paraId="50E5D712" w14:textId="6FCCC112" w:rsidR="00FE40B0" w:rsidRPr="00386411" w:rsidRDefault="00FE40B0" w:rsidP="00FE40B0">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Sundin et al., 2012</w:t>
            </w:r>
          </w:p>
        </w:tc>
        <w:tc>
          <w:tcPr>
            <w:tcW w:w="1914" w:type="pct"/>
            <w:gridSpan w:val="4"/>
            <w:tcBorders>
              <w:top w:val="nil"/>
              <w:left w:val="nil"/>
              <w:bottom w:val="nil"/>
              <w:right w:val="nil"/>
            </w:tcBorders>
            <w:shd w:val="clear" w:color="auto" w:fill="D9D9D9" w:themeFill="background1" w:themeFillShade="D9"/>
          </w:tcPr>
          <w:p w14:paraId="1C78B9AA" w14:textId="6AF80CA0" w:rsidR="00FE40B0" w:rsidRPr="00386411" w:rsidRDefault="00FE40B0" w:rsidP="00FE40B0">
            <w:pPr>
              <w:spacing w:after="0" w:line="240" w:lineRule="auto"/>
              <w:rPr>
                <w:rFonts w:ascii="Arial Narrow" w:hAnsi="Arial Narrow" w:cs="Calibri"/>
                <w:b/>
                <w:color w:val="000000"/>
                <w:sz w:val="20"/>
                <w:szCs w:val="20"/>
              </w:rPr>
            </w:pPr>
            <w:r w:rsidRPr="00386411">
              <w:rPr>
                <w:rFonts w:ascii="Arial Narrow" w:hAnsi="Arial Narrow"/>
                <w:b/>
                <w:sz w:val="20"/>
              </w:rPr>
              <w:t>Side effects</w:t>
            </w:r>
            <w:r w:rsidR="00763F47" w:rsidRPr="00386411">
              <w:rPr>
                <w:rFonts w:ascii="Arial Narrow" w:hAnsi="Arial Narrow"/>
                <w:b/>
                <w:sz w:val="20"/>
              </w:rPr>
              <w:t xml:space="preserve"> (N=58)</w:t>
            </w:r>
          </w:p>
        </w:tc>
        <w:tc>
          <w:tcPr>
            <w:tcW w:w="1138" w:type="pct"/>
            <w:gridSpan w:val="3"/>
            <w:tcBorders>
              <w:top w:val="nil"/>
              <w:left w:val="nil"/>
              <w:bottom w:val="nil"/>
              <w:right w:val="nil"/>
            </w:tcBorders>
            <w:shd w:val="clear" w:color="auto" w:fill="D9D9D9" w:themeFill="background1" w:themeFillShade="D9"/>
            <w:noWrap/>
            <w:vAlign w:val="bottom"/>
          </w:tcPr>
          <w:p w14:paraId="00B57CBA" w14:textId="77777777" w:rsidR="00FE40B0" w:rsidRPr="00386411" w:rsidRDefault="00FE40B0" w:rsidP="00FE40B0">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IVIg (N=46)</w:t>
            </w:r>
          </w:p>
          <w:p w14:paraId="4D7E9B00" w14:textId="77777777" w:rsidR="00FE40B0" w:rsidRPr="00386411" w:rsidRDefault="00FE40B0" w:rsidP="00FE40B0">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N with event/N(%)</w:t>
            </w:r>
          </w:p>
          <w:p w14:paraId="5E77665A" w14:textId="0D0D2805" w:rsidR="00FE40B0" w:rsidRPr="00386411" w:rsidRDefault="00FE40B0" w:rsidP="00FE40B0">
            <w:pPr>
              <w:spacing w:after="0" w:line="240" w:lineRule="auto"/>
              <w:rPr>
                <w:rFonts w:ascii="Arial Narrow" w:hAnsi="Arial Narrow" w:cs="Calibri"/>
                <w:b/>
                <w:color w:val="000000"/>
                <w:sz w:val="20"/>
                <w:szCs w:val="20"/>
              </w:rPr>
            </w:pPr>
            <w:r w:rsidRPr="00386411">
              <w:rPr>
                <w:rFonts w:ascii="Arial Narrow" w:hAnsi="Arial Narrow" w:cs="Calibri"/>
                <w:b/>
                <w:i/>
                <w:color w:val="000000"/>
                <w:sz w:val="20"/>
                <w:szCs w:val="20"/>
              </w:rPr>
              <w:t>n=24 haem. malignancy</w:t>
            </w:r>
          </w:p>
        </w:tc>
        <w:tc>
          <w:tcPr>
            <w:tcW w:w="1087" w:type="pct"/>
            <w:gridSpan w:val="3"/>
            <w:tcBorders>
              <w:top w:val="nil"/>
              <w:left w:val="nil"/>
              <w:bottom w:val="nil"/>
              <w:right w:val="single" w:sz="4" w:space="0" w:color="auto"/>
            </w:tcBorders>
            <w:shd w:val="clear" w:color="auto" w:fill="D9D9D9" w:themeFill="background1" w:themeFillShade="D9"/>
            <w:noWrap/>
          </w:tcPr>
          <w:p w14:paraId="649D81B0" w14:textId="77777777" w:rsidR="00FE40B0" w:rsidRPr="00386411" w:rsidRDefault="00FE40B0" w:rsidP="00FE40B0">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SCIg (N=12)</w:t>
            </w:r>
          </w:p>
          <w:p w14:paraId="098532E1" w14:textId="77777777" w:rsidR="00FE40B0" w:rsidRPr="00386411" w:rsidRDefault="00FE40B0" w:rsidP="00FE40B0">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N with event/N(%)</w:t>
            </w:r>
          </w:p>
          <w:p w14:paraId="259E825C" w14:textId="55FD9177" w:rsidR="00FE40B0" w:rsidRPr="00386411" w:rsidRDefault="00FE40B0" w:rsidP="00FE40B0">
            <w:pPr>
              <w:spacing w:after="0" w:line="240" w:lineRule="auto"/>
              <w:rPr>
                <w:rFonts w:ascii="Arial Narrow" w:hAnsi="Arial Narrow" w:cs="Calibri"/>
                <w:b/>
                <w:color w:val="000000"/>
                <w:sz w:val="20"/>
                <w:szCs w:val="20"/>
              </w:rPr>
            </w:pPr>
            <w:r w:rsidRPr="00386411">
              <w:rPr>
                <w:rFonts w:ascii="Arial Narrow" w:hAnsi="Arial Narrow" w:cs="Calibri"/>
                <w:b/>
                <w:i/>
                <w:color w:val="000000"/>
                <w:sz w:val="20"/>
                <w:szCs w:val="20"/>
              </w:rPr>
              <w:t>n=2 haem. malignancy</w:t>
            </w:r>
          </w:p>
        </w:tc>
      </w:tr>
      <w:tr w:rsidR="00FE40B0" w:rsidRPr="007D0AA8" w14:paraId="27F6BAE2" w14:textId="77777777" w:rsidTr="00963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61" w:type="pct"/>
            <w:tcBorders>
              <w:top w:val="nil"/>
              <w:left w:val="single" w:sz="4" w:space="0" w:color="auto"/>
              <w:bottom w:val="nil"/>
              <w:right w:val="nil"/>
            </w:tcBorders>
            <w:vAlign w:val="bottom"/>
          </w:tcPr>
          <w:p w14:paraId="701A41EC" w14:textId="25EF59AE" w:rsidR="00FE40B0" w:rsidRPr="007D0AA8" w:rsidRDefault="00FE40B0" w:rsidP="00FE40B0">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HSCT</w:t>
            </w:r>
          </w:p>
        </w:tc>
        <w:tc>
          <w:tcPr>
            <w:tcW w:w="1914" w:type="pct"/>
            <w:gridSpan w:val="4"/>
            <w:tcBorders>
              <w:top w:val="nil"/>
              <w:left w:val="nil"/>
              <w:bottom w:val="nil"/>
              <w:right w:val="nil"/>
            </w:tcBorders>
          </w:tcPr>
          <w:p w14:paraId="3A5FEAFA" w14:textId="6A503456" w:rsidR="00FE40B0" w:rsidRPr="007D0AA8" w:rsidRDefault="00FE40B0" w:rsidP="00331FB9">
            <w:pPr>
              <w:pStyle w:val="ListParagraph"/>
              <w:numPr>
                <w:ilvl w:val="0"/>
                <w:numId w:val="16"/>
              </w:numPr>
              <w:spacing w:after="0" w:line="240" w:lineRule="auto"/>
              <w:ind w:left="133" w:hanging="162"/>
              <w:rPr>
                <w:rFonts w:ascii="Arial Narrow" w:hAnsi="Arial Narrow" w:cs="Calibri"/>
                <w:color w:val="000000"/>
                <w:sz w:val="20"/>
                <w:szCs w:val="20"/>
              </w:rPr>
            </w:pPr>
            <w:r w:rsidRPr="007D0AA8">
              <w:rPr>
                <w:rFonts w:ascii="Arial Narrow" w:hAnsi="Arial Narrow"/>
                <w:sz w:val="20"/>
              </w:rPr>
              <w:t>Allergic reaction</w:t>
            </w:r>
          </w:p>
        </w:tc>
        <w:tc>
          <w:tcPr>
            <w:tcW w:w="1138" w:type="pct"/>
            <w:gridSpan w:val="3"/>
            <w:tcBorders>
              <w:top w:val="nil"/>
              <w:left w:val="nil"/>
              <w:bottom w:val="nil"/>
              <w:right w:val="nil"/>
            </w:tcBorders>
            <w:shd w:val="clear" w:color="auto" w:fill="auto"/>
            <w:noWrap/>
          </w:tcPr>
          <w:p w14:paraId="0CC6568F" w14:textId="4CC4FEAA" w:rsidR="00FE40B0" w:rsidRPr="007D0AA8" w:rsidRDefault="00FE40B0" w:rsidP="00FE40B0">
            <w:pPr>
              <w:spacing w:after="0" w:line="240" w:lineRule="auto"/>
              <w:rPr>
                <w:rFonts w:ascii="Arial Narrow" w:hAnsi="Arial Narrow" w:cs="Calibri"/>
                <w:color w:val="000000"/>
                <w:sz w:val="20"/>
                <w:szCs w:val="20"/>
              </w:rPr>
            </w:pPr>
            <w:r w:rsidRPr="007D0AA8">
              <w:rPr>
                <w:rFonts w:ascii="Arial Narrow" w:hAnsi="Arial Narrow"/>
                <w:snapToGrid w:val="0"/>
                <w:sz w:val="20"/>
              </w:rPr>
              <w:t>6/46 (16.2%)</w:t>
            </w:r>
          </w:p>
        </w:tc>
        <w:tc>
          <w:tcPr>
            <w:tcW w:w="1087" w:type="pct"/>
            <w:gridSpan w:val="3"/>
            <w:tcBorders>
              <w:top w:val="nil"/>
              <w:left w:val="nil"/>
              <w:bottom w:val="nil"/>
              <w:right w:val="single" w:sz="4" w:space="0" w:color="auto"/>
            </w:tcBorders>
            <w:shd w:val="clear" w:color="auto" w:fill="auto"/>
            <w:noWrap/>
          </w:tcPr>
          <w:p w14:paraId="2FF36858" w14:textId="7BC2771E" w:rsidR="00FE40B0" w:rsidRPr="007D0AA8" w:rsidRDefault="00FE40B0" w:rsidP="00FE40B0">
            <w:pPr>
              <w:spacing w:after="0" w:line="240" w:lineRule="auto"/>
              <w:rPr>
                <w:rFonts w:ascii="Arial Narrow" w:hAnsi="Arial Narrow" w:cs="Calibri"/>
                <w:color w:val="000000"/>
                <w:sz w:val="20"/>
                <w:szCs w:val="20"/>
              </w:rPr>
            </w:pPr>
            <w:r w:rsidRPr="007D0AA8">
              <w:rPr>
                <w:rFonts w:ascii="Arial Narrow" w:hAnsi="Arial Narrow"/>
                <w:snapToGrid w:val="0"/>
                <w:sz w:val="20"/>
              </w:rPr>
              <w:t>0</w:t>
            </w:r>
          </w:p>
        </w:tc>
      </w:tr>
      <w:tr w:rsidR="00FE40B0" w:rsidRPr="007D0AA8" w14:paraId="3E663C45" w14:textId="77777777" w:rsidTr="00963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61" w:type="pct"/>
            <w:tcBorders>
              <w:top w:val="nil"/>
              <w:left w:val="single" w:sz="4" w:space="0" w:color="auto"/>
              <w:bottom w:val="nil"/>
              <w:right w:val="nil"/>
            </w:tcBorders>
            <w:vAlign w:val="bottom"/>
          </w:tcPr>
          <w:p w14:paraId="3F6C2B72" w14:textId="77777777" w:rsidR="00FE40B0" w:rsidRPr="007D0AA8" w:rsidRDefault="00FE40B0" w:rsidP="00FE40B0">
            <w:pPr>
              <w:spacing w:after="0" w:line="240" w:lineRule="auto"/>
              <w:rPr>
                <w:rFonts w:ascii="Arial Narrow" w:hAnsi="Arial Narrow" w:cs="Calibri"/>
                <w:color w:val="000000"/>
                <w:sz w:val="20"/>
                <w:szCs w:val="20"/>
              </w:rPr>
            </w:pPr>
          </w:p>
        </w:tc>
        <w:tc>
          <w:tcPr>
            <w:tcW w:w="1914" w:type="pct"/>
            <w:gridSpan w:val="4"/>
            <w:tcBorders>
              <w:top w:val="nil"/>
              <w:left w:val="nil"/>
              <w:bottom w:val="nil"/>
              <w:right w:val="nil"/>
            </w:tcBorders>
          </w:tcPr>
          <w:p w14:paraId="33CB88DC" w14:textId="4E8258BF" w:rsidR="00FE40B0" w:rsidRPr="007D0AA8" w:rsidRDefault="00FE40B0" w:rsidP="00331FB9">
            <w:pPr>
              <w:pStyle w:val="ListParagraph"/>
              <w:numPr>
                <w:ilvl w:val="0"/>
                <w:numId w:val="16"/>
              </w:numPr>
              <w:spacing w:after="0" w:line="240" w:lineRule="auto"/>
              <w:ind w:left="133" w:hanging="162"/>
              <w:rPr>
                <w:rFonts w:ascii="Arial Narrow" w:hAnsi="Arial Narrow" w:cs="Calibri"/>
                <w:color w:val="000000"/>
                <w:sz w:val="20"/>
                <w:szCs w:val="20"/>
              </w:rPr>
            </w:pPr>
            <w:r w:rsidRPr="007D0AA8">
              <w:rPr>
                <w:rFonts w:ascii="Arial Narrow" w:hAnsi="Arial Narrow"/>
                <w:sz w:val="20"/>
              </w:rPr>
              <w:t xml:space="preserve">Headache </w:t>
            </w:r>
          </w:p>
        </w:tc>
        <w:tc>
          <w:tcPr>
            <w:tcW w:w="1138" w:type="pct"/>
            <w:gridSpan w:val="3"/>
            <w:tcBorders>
              <w:top w:val="nil"/>
              <w:left w:val="nil"/>
              <w:bottom w:val="nil"/>
              <w:right w:val="nil"/>
            </w:tcBorders>
            <w:shd w:val="clear" w:color="auto" w:fill="auto"/>
            <w:noWrap/>
          </w:tcPr>
          <w:p w14:paraId="224E2E99" w14:textId="3C6A9819" w:rsidR="00FE40B0" w:rsidRPr="007D0AA8" w:rsidRDefault="00FE40B0" w:rsidP="00FE40B0">
            <w:pPr>
              <w:spacing w:after="0" w:line="240" w:lineRule="auto"/>
              <w:rPr>
                <w:rFonts w:ascii="Arial Narrow" w:hAnsi="Arial Narrow" w:cs="Calibri"/>
                <w:color w:val="000000"/>
                <w:sz w:val="20"/>
                <w:szCs w:val="20"/>
              </w:rPr>
            </w:pPr>
            <w:r w:rsidRPr="007D0AA8">
              <w:rPr>
                <w:rFonts w:ascii="Arial Narrow" w:hAnsi="Arial Narrow"/>
                <w:snapToGrid w:val="0"/>
                <w:sz w:val="20"/>
              </w:rPr>
              <w:t>40/46 (54.1%)</w:t>
            </w:r>
          </w:p>
        </w:tc>
        <w:tc>
          <w:tcPr>
            <w:tcW w:w="1087" w:type="pct"/>
            <w:gridSpan w:val="3"/>
            <w:tcBorders>
              <w:top w:val="nil"/>
              <w:left w:val="nil"/>
              <w:bottom w:val="nil"/>
              <w:right w:val="single" w:sz="4" w:space="0" w:color="auto"/>
            </w:tcBorders>
            <w:shd w:val="clear" w:color="auto" w:fill="auto"/>
            <w:noWrap/>
          </w:tcPr>
          <w:p w14:paraId="2C5E72C8" w14:textId="6E60A186" w:rsidR="00FE40B0" w:rsidRPr="007D0AA8" w:rsidRDefault="00FE40B0" w:rsidP="00FE40B0">
            <w:pPr>
              <w:spacing w:after="0" w:line="240" w:lineRule="auto"/>
              <w:rPr>
                <w:rFonts w:ascii="Arial Narrow" w:hAnsi="Arial Narrow" w:cs="Calibri"/>
                <w:color w:val="000000"/>
                <w:sz w:val="20"/>
                <w:szCs w:val="20"/>
              </w:rPr>
            </w:pPr>
            <w:r w:rsidRPr="007D0AA8">
              <w:rPr>
                <w:rFonts w:ascii="Arial Narrow" w:hAnsi="Arial Narrow"/>
                <w:snapToGrid w:val="0"/>
                <w:sz w:val="20"/>
              </w:rPr>
              <w:t>0</w:t>
            </w:r>
          </w:p>
        </w:tc>
      </w:tr>
      <w:tr w:rsidR="00FE40B0" w:rsidRPr="007D0AA8" w14:paraId="171B45A5" w14:textId="77777777" w:rsidTr="00963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61" w:type="pct"/>
            <w:tcBorders>
              <w:top w:val="nil"/>
              <w:left w:val="single" w:sz="4" w:space="0" w:color="auto"/>
              <w:bottom w:val="nil"/>
              <w:right w:val="nil"/>
            </w:tcBorders>
            <w:vAlign w:val="bottom"/>
          </w:tcPr>
          <w:p w14:paraId="73230632" w14:textId="77777777" w:rsidR="00FE40B0" w:rsidRPr="007D0AA8" w:rsidRDefault="00FE40B0" w:rsidP="00FE40B0">
            <w:pPr>
              <w:spacing w:after="0" w:line="240" w:lineRule="auto"/>
              <w:rPr>
                <w:rFonts w:ascii="Arial Narrow" w:hAnsi="Arial Narrow" w:cs="Calibri"/>
                <w:color w:val="000000"/>
                <w:sz w:val="20"/>
                <w:szCs w:val="20"/>
              </w:rPr>
            </w:pPr>
          </w:p>
        </w:tc>
        <w:tc>
          <w:tcPr>
            <w:tcW w:w="1914" w:type="pct"/>
            <w:gridSpan w:val="4"/>
            <w:tcBorders>
              <w:top w:val="nil"/>
              <w:left w:val="nil"/>
              <w:bottom w:val="nil"/>
              <w:right w:val="nil"/>
            </w:tcBorders>
          </w:tcPr>
          <w:p w14:paraId="21B191EB" w14:textId="743FAF52" w:rsidR="00FE40B0" w:rsidRPr="007D0AA8" w:rsidRDefault="00FE40B0" w:rsidP="00331FB9">
            <w:pPr>
              <w:pStyle w:val="ListParagraph"/>
              <w:numPr>
                <w:ilvl w:val="0"/>
                <w:numId w:val="16"/>
              </w:numPr>
              <w:spacing w:after="0" w:line="240" w:lineRule="auto"/>
              <w:ind w:left="133" w:hanging="162"/>
              <w:rPr>
                <w:rFonts w:ascii="Arial Narrow" w:hAnsi="Arial Narrow" w:cs="Calibri"/>
                <w:color w:val="000000"/>
                <w:sz w:val="20"/>
                <w:szCs w:val="20"/>
              </w:rPr>
            </w:pPr>
            <w:r w:rsidRPr="007D0AA8">
              <w:rPr>
                <w:rFonts w:ascii="Arial Narrow" w:hAnsi="Arial Narrow"/>
                <w:sz w:val="20"/>
              </w:rPr>
              <w:t xml:space="preserve">Hypertonia </w:t>
            </w:r>
          </w:p>
        </w:tc>
        <w:tc>
          <w:tcPr>
            <w:tcW w:w="1138" w:type="pct"/>
            <w:gridSpan w:val="3"/>
            <w:tcBorders>
              <w:top w:val="nil"/>
              <w:left w:val="nil"/>
              <w:bottom w:val="nil"/>
              <w:right w:val="nil"/>
            </w:tcBorders>
            <w:shd w:val="clear" w:color="auto" w:fill="auto"/>
            <w:noWrap/>
          </w:tcPr>
          <w:p w14:paraId="3437B1A0" w14:textId="6059D6D7" w:rsidR="00FE40B0" w:rsidRPr="007D0AA8" w:rsidRDefault="00FE40B0" w:rsidP="00FE40B0">
            <w:pPr>
              <w:spacing w:after="0" w:line="240" w:lineRule="auto"/>
              <w:rPr>
                <w:rFonts w:ascii="Arial Narrow" w:hAnsi="Arial Narrow" w:cs="Calibri"/>
                <w:color w:val="000000"/>
                <w:sz w:val="20"/>
                <w:szCs w:val="20"/>
              </w:rPr>
            </w:pPr>
            <w:r w:rsidRPr="007D0AA8">
              <w:rPr>
                <w:rFonts w:ascii="Arial Narrow" w:hAnsi="Arial Narrow"/>
                <w:snapToGrid w:val="0"/>
                <w:sz w:val="20"/>
              </w:rPr>
              <w:t>1/46 (2.7%)</w:t>
            </w:r>
          </w:p>
        </w:tc>
        <w:tc>
          <w:tcPr>
            <w:tcW w:w="1087" w:type="pct"/>
            <w:gridSpan w:val="3"/>
            <w:tcBorders>
              <w:top w:val="nil"/>
              <w:left w:val="nil"/>
              <w:bottom w:val="nil"/>
              <w:right w:val="single" w:sz="4" w:space="0" w:color="auto"/>
            </w:tcBorders>
            <w:shd w:val="clear" w:color="auto" w:fill="auto"/>
            <w:noWrap/>
          </w:tcPr>
          <w:p w14:paraId="57A60504" w14:textId="0C21739D" w:rsidR="00FE40B0" w:rsidRPr="007D0AA8" w:rsidRDefault="00FE40B0" w:rsidP="00FE40B0">
            <w:pPr>
              <w:spacing w:after="0" w:line="240" w:lineRule="auto"/>
              <w:rPr>
                <w:rFonts w:ascii="Arial Narrow" w:hAnsi="Arial Narrow" w:cs="Calibri"/>
                <w:color w:val="000000"/>
                <w:sz w:val="20"/>
                <w:szCs w:val="20"/>
              </w:rPr>
            </w:pPr>
            <w:r w:rsidRPr="007D0AA8">
              <w:rPr>
                <w:rFonts w:ascii="Arial Narrow" w:hAnsi="Arial Narrow"/>
                <w:snapToGrid w:val="0"/>
                <w:sz w:val="20"/>
              </w:rPr>
              <w:t>0</w:t>
            </w:r>
          </w:p>
        </w:tc>
      </w:tr>
      <w:tr w:rsidR="00FE40B0" w:rsidRPr="007D0AA8" w14:paraId="54EBF6C1" w14:textId="77777777" w:rsidTr="00963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61" w:type="pct"/>
            <w:tcBorders>
              <w:top w:val="nil"/>
              <w:left w:val="single" w:sz="4" w:space="0" w:color="auto"/>
              <w:bottom w:val="nil"/>
              <w:right w:val="nil"/>
            </w:tcBorders>
            <w:vAlign w:val="bottom"/>
          </w:tcPr>
          <w:p w14:paraId="0C4B8098" w14:textId="77777777" w:rsidR="00FE40B0" w:rsidRPr="007D0AA8" w:rsidRDefault="00FE40B0" w:rsidP="00FE40B0">
            <w:pPr>
              <w:spacing w:after="0" w:line="240" w:lineRule="auto"/>
              <w:rPr>
                <w:rFonts w:ascii="Arial Narrow" w:hAnsi="Arial Narrow" w:cs="Calibri"/>
                <w:color w:val="000000"/>
                <w:sz w:val="20"/>
                <w:szCs w:val="20"/>
              </w:rPr>
            </w:pPr>
          </w:p>
        </w:tc>
        <w:tc>
          <w:tcPr>
            <w:tcW w:w="1914" w:type="pct"/>
            <w:gridSpan w:val="4"/>
            <w:tcBorders>
              <w:top w:val="nil"/>
              <w:left w:val="nil"/>
              <w:bottom w:val="nil"/>
              <w:right w:val="nil"/>
            </w:tcBorders>
          </w:tcPr>
          <w:p w14:paraId="4790FCCB" w14:textId="650831F7" w:rsidR="00FE40B0" w:rsidRPr="007D0AA8" w:rsidRDefault="00FE40B0" w:rsidP="00331FB9">
            <w:pPr>
              <w:pStyle w:val="ListParagraph"/>
              <w:numPr>
                <w:ilvl w:val="0"/>
                <w:numId w:val="16"/>
              </w:numPr>
              <w:spacing w:after="0" w:line="240" w:lineRule="auto"/>
              <w:ind w:left="133" w:hanging="162"/>
              <w:rPr>
                <w:rFonts w:ascii="Arial Narrow" w:hAnsi="Arial Narrow" w:cs="Calibri"/>
                <w:color w:val="000000"/>
                <w:sz w:val="20"/>
                <w:szCs w:val="20"/>
              </w:rPr>
            </w:pPr>
            <w:r w:rsidRPr="007D0AA8">
              <w:rPr>
                <w:rFonts w:ascii="Arial Narrow" w:hAnsi="Arial Narrow"/>
                <w:sz w:val="20"/>
              </w:rPr>
              <w:t xml:space="preserve">Local infection/reaction </w:t>
            </w:r>
          </w:p>
        </w:tc>
        <w:tc>
          <w:tcPr>
            <w:tcW w:w="1138" w:type="pct"/>
            <w:gridSpan w:val="3"/>
            <w:tcBorders>
              <w:top w:val="nil"/>
              <w:left w:val="nil"/>
              <w:bottom w:val="nil"/>
              <w:right w:val="nil"/>
            </w:tcBorders>
            <w:shd w:val="clear" w:color="auto" w:fill="auto"/>
            <w:noWrap/>
          </w:tcPr>
          <w:p w14:paraId="203ECCB8" w14:textId="7193D530" w:rsidR="00FE40B0" w:rsidRPr="007D0AA8" w:rsidRDefault="00FE40B0" w:rsidP="00FE40B0">
            <w:pPr>
              <w:spacing w:after="0" w:line="240" w:lineRule="auto"/>
              <w:rPr>
                <w:rFonts w:ascii="Arial Narrow" w:hAnsi="Arial Narrow" w:cs="Calibri"/>
                <w:color w:val="000000"/>
                <w:sz w:val="20"/>
                <w:szCs w:val="20"/>
              </w:rPr>
            </w:pPr>
            <w:r w:rsidRPr="007D0AA8">
              <w:rPr>
                <w:rFonts w:ascii="Arial Narrow" w:hAnsi="Arial Narrow"/>
                <w:snapToGrid w:val="0"/>
                <w:sz w:val="20"/>
              </w:rPr>
              <w:t>0</w:t>
            </w:r>
          </w:p>
        </w:tc>
        <w:tc>
          <w:tcPr>
            <w:tcW w:w="1087" w:type="pct"/>
            <w:gridSpan w:val="3"/>
            <w:tcBorders>
              <w:top w:val="nil"/>
              <w:left w:val="nil"/>
              <w:bottom w:val="nil"/>
              <w:right w:val="single" w:sz="4" w:space="0" w:color="auto"/>
            </w:tcBorders>
            <w:shd w:val="clear" w:color="auto" w:fill="auto"/>
            <w:noWrap/>
          </w:tcPr>
          <w:p w14:paraId="24406192" w14:textId="7A5D1118" w:rsidR="00FE40B0" w:rsidRPr="007D0AA8" w:rsidRDefault="00FE40B0" w:rsidP="00FE40B0">
            <w:pPr>
              <w:spacing w:after="0" w:line="240" w:lineRule="auto"/>
              <w:rPr>
                <w:rFonts w:ascii="Arial Narrow" w:hAnsi="Arial Narrow" w:cs="Calibri"/>
                <w:color w:val="000000"/>
                <w:sz w:val="20"/>
                <w:szCs w:val="20"/>
              </w:rPr>
            </w:pPr>
            <w:r w:rsidRPr="007D0AA8">
              <w:rPr>
                <w:rFonts w:ascii="Arial Narrow" w:hAnsi="Arial Narrow"/>
                <w:snapToGrid w:val="0"/>
                <w:sz w:val="20"/>
              </w:rPr>
              <w:t>2/12 (16.7%)</w:t>
            </w:r>
          </w:p>
        </w:tc>
      </w:tr>
      <w:tr w:rsidR="00FE40B0" w:rsidRPr="007D0AA8" w14:paraId="0056947F" w14:textId="77777777" w:rsidTr="00963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61" w:type="pct"/>
            <w:tcBorders>
              <w:top w:val="nil"/>
              <w:left w:val="single" w:sz="4" w:space="0" w:color="auto"/>
              <w:bottom w:val="nil"/>
              <w:right w:val="nil"/>
            </w:tcBorders>
            <w:vAlign w:val="bottom"/>
          </w:tcPr>
          <w:p w14:paraId="7B662659" w14:textId="77777777" w:rsidR="00FE40B0" w:rsidRPr="007D0AA8" w:rsidRDefault="00FE40B0" w:rsidP="00FE40B0">
            <w:pPr>
              <w:spacing w:after="0" w:line="240" w:lineRule="auto"/>
              <w:rPr>
                <w:rFonts w:ascii="Arial Narrow" w:hAnsi="Arial Narrow" w:cs="Calibri"/>
                <w:color w:val="000000"/>
                <w:sz w:val="20"/>
                <w:szCs w:val="20"/>
              </w:rPr>
            </w:pPr>
          </w:p>
        </w:tc>
        <w:tc>
          <w:tcPr>
            <w:tcW w:w="1914" w:type="pct"/>
            <w:gridSpan w:val="4"/>
            <w:tcBorders>
              <w:top w:val="nil"/>
              <w:left w:val="nil"/>
              <w:bottom w:val="nil"/>
              <w:right w:val="nil"/>
            </w:tcBorders>
          </w:tcPr>
          <w:p w14:paraId="18DA152D" w14:textId="3F00BA1D" w:rsidR="00FE40B0" w:rsidRPr="007D0AA8" w:rsidRDefault="00FE40B0" w:rsidP="00331FB9">
            <w:pPr>
              <w:pStyle w:val="ListParagraph"/>
              <w:numPr>
                <w:ilvl w:val="0"/>
                <w:numId w:val="16"/>
              </w:numPr>
              <w:spacing w:after="0" w:line="240" w:lineRule="auto"/>
              <w:ind w:left="133" w:hanging="162"/>
              <w:rPr>
                <w:rFonts w:ascii="Arial Narrow" w:hAnsi="Arial Narrow" w:cs="Calibri"/>
                <w:color w:val="000000"/>
                <w:sz w:val="20"/>
                <w:szCs w:val="20"/>
              </w:rPr>
            </w:pPr>
            <w:r w:rsidRPr="007D0AA8">
              <w:rPr>
                <w:rFonts w:ascii="Arial Narrow" w:hAnsi="Arial Narrow"/>
                <w:sz w:val="20"/>
              </w:rPr>
              <w:t xml:space="preserve">Other </w:t>
            </w:r>
          </w:p>
        </w:tc>
        <w:tc>
          <w:tcPr>
            <w:tcW w:w="1138" w:type="pct"/>
            <w:gridSpan w:val="3"/>
            <w:tcBorders>
              <w:top w:val="nil"/>
              <w:left w:val="nil"/>
              <w:bottom w:val="nil"/>
              <w:right w:val="nil"/>
            </w:tcBorders>
            <w:shd w:val="clear" w:color="auto" w:fill="auto"/>
            <w:noWrap/>
          </w:tcPr>
          <w:p w14:paraId="016B281B" w14:textId="4F667F88" w:rsidR="00FE40B0" w:rsidRPr="007D0AA8" w:rsidRDefault="00FE40B0" w:rsidP="00FE40B0">
            <w:pPr>
              <w:spacing w:after="0" w:line="240" w:lineRule="auto"/>
              <w:rPr>
                <w:rFonts w:ascii="Arial Narrow" w:hAnsi="Arial Narrow" w:cs="Calibri"/>
                <w:color w:val="000000"/>
                <w:sz w:val="20"/>
                <w:szCs w:val="20"/>
              </w:rPr>
            </w:pPr>
            <w:r w:rsidRPr="007D0AA8">
              <w:rPr>
                <w:rFonts w:ascii="Arial Narrow" w:hAnsi="Arial Narrow"/>
                <w:snapToGrid w:val="0"/>
                <w:sz w:val="20"/>
              </w:rPr>
              <w:t>1/46 (2.7%)</w:t>
            </w:r>
          </w:p>
        </w:tc>
        <w:tc>
          <w:tcPr>
            <w:tcW w:w="1087" w:type="pct"/>
            <w:gridSpan w:val="3"/>
            <w:tcBorders>
              <w:top w:val="nil"/>
              <w:left w:val="nil"/>
              <w:bottom w:val="nil"/>
              <w:right w:val="single" w:sz="4" w:space="0" w:color="auto"/>
            </w:tcBorders>
            <w:shd w:val="clear" w:color="auto" w:fill="auto"/>
            <w:noWrap/>
          </w:tcPr>
          <w:p w14:paraId="06EE5599" w14:textId="5F65B55C" w:rsidR="00FE40B0" w:rsidRPr="007D0AA8" w:rsidRDefault="00FE40B0" w:rsidP="00FE40B0">
            <w:pPr>
              <w:spacing w:after="0" w:line="240" w:lineRule="auto"/>
              <w:rPr>
                <w:rFonts w:ascii="Arial Narrow" w:hAnsi="Arial Narrow" w:cs="Calibri"/>
                <w:color w:val="000000"/>
                <w:sz w:val="20"/>
                <w:szCs w:val="20"/>
              </w:rPr>
            </w:pPr>
            <w:r w:rsidRPr="007D0AA8">
              <w:rPr>
                <w:rFonts w:ascii="Arial Narrow" w:hAnsi="Arial Narrow"/>
                <w:snapToGrid w:val="0"/>
                <w:sz w:val="20"/>
              </w:rPr>
              <w:t>0</w:t>
            </w:r>
          </w:p>
        </w:tc>
      </w:tr>
      <w:tr w:rsidR="00FE40B0" w:rsidRPr="007D0AA8" w14:paraId="0F19E796" w14:textId="77777777" w:rsidTr="00963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61" w:type="pct"/>
            <w:tcBorders>
              <w:top w:val="nil"/>
              <w:left w:val="single" w:sz="4" w:space="0" w:color="auto"/>
              <w:bottom w:val="single" w:sz="4" w:space="0" w:color="auto"/>
              <w:right w:val="nil"/>
            </w:tcBorders>
            <w:vAlign w:val="bottom"/>
          </w:tcPr>
          <w:p w14:paraId="148B76D0" w14:textId="77777777" w:rsidR="00FE40B0" w:rsidRPr="007D0AA8" w:rsidRDefault="00FE40B0" w:rsidP="00FE40B0">
            <w:pPr>
              <w:spacing w:after="0" w:line="240" w:lineRule="auto"/>
              <w:rPr>
                <w:rFonts w:ascii="Arial Narrow" w:hAnsi="Arial Narrow" w:cs="Calibri"/>
                <w:color w:val="000000"/>
                <w:sz w:val="20"/>
                <w:szCs w:val="20"/>
              </w:rPr>
            </w:pPr>
          </w:p>
        </w:tc>
        <w:tc>
          <w:tcPr>
            <w:tcW w:w="1914" w:type="pct"/>
            <w:gridSpan w:val="4"/>
            <w:tcBorders>
              <w:top w:val="nil"/>
              <w:left w:val="nil"/>
              <w:bottom w:val="single" w:sz="4" w:space="0" w:color="auto"/>
              <w:right w:val="nil"/>
            </w:tcBorders>
          </w:tcPr>
          <w:p w14:paraId="4559BAE7" w14:textId="07B3782D" w:rsidR="00FE40B0" w:rsidRPr="007D0AA8" w:rsidRDefault="00FE40B0" w:rsidP="00FE40B0">
            <w:pPr>
              <w:spacing w:after="0" w:line="240" w:lineRule="auto"/>
              <w:rPr>
                <w:rFonts w:ascii="Arial Narrow" w:hAnsi="Arial Narrow" w:cs="Calibri"/>
                <w:color w:val="000000"/>
                <w:sz w:val="20"/>
                <w:szCs w:val="20"/>
              </w:rPr>
            </w:pPr>
            <w:r w:rsidRPr="007D0AA8">
              <w:rPr>
                <w:rFonts w:ascii="Arial Narrow" w:hAnsi="Arial Narrow"/>
                <w:sz w:val="20"/>
              </w:rPr>
              <w:t>No. patients with any side effect</w:t>
            </w:r>
          </w:p>
        </w:tc>
        <w:tc>
          <w:tcPr>
            <w:tcW w:w="1138" w:type="pct"/>
            <w:gridSpan w:val="3"/>
            <w:tcBorders>
              <w:top w:val="nil"/>
              <w:left w:val="nil"/>
              <w:bottom w:val="single" w:sz="4" w:space="0" w:color="auto"/>
              <w:right w:val="nil"/>
            </w:tcBorders>
            <w:shd w:val="clear" w:color="auto" w:fill="auto"/>
            <w:noWrap/>
          </w:tcPr>
          <w:p w14:paraId="1E641C5C" w14:textId="6EB9BECF" w:rsidR="00FE40B0" w:rsidRPr="007D0AA8" w:rsidRDefault="00FE40B0" w:rsidP="00FE40B0">
            <w:pPr>
              <w:spacing w:after="0" w:line="240" w:lineRule="auto"/>
              <w:rPr>
                <w:rFonts w:ascii="Arial Narrow" w:hAnsi="Arial Narrow" w:cs="Calibri"/>
                <w:color w:val="000000"/>
                <w:sz w:val="20"/>
                <w:szCs w:val="20"/>
              </w:rPr>
            </w:pPr>
            <w:r w:rsidRPr="007D0AA8">
              <w:rPr>
                <w:rFonts w:ascii="Arial Narrow" w:hAnsi="Arial Narrow"/>
                <w:snapToGrid w:val="0"/>
                <w:sz w:val="20"/>
              </w:rPr>
              <w:t>31/46 (67.4%)</w:t>
            </w:r>
          </w:p>
        </w:tc>
        <w:tc>
          <w:tcPr>
            <w:tcW w:w="1087" w:type="pct"/>
            <w:gridSpan w:val="3"/>
            <w:tcBorders>
              <w:top w:val="nil"/>
              <w:left w:val="nil"/>
              <w:bottom w:val="single" w:sz="4" w:space="0" w:color="auto"/>
              <w:right w:val="single" w:sz="4" w:space="0" w:color="auto"/>
            </w:tcBorders>
            <w:shd w:val="clear" w:color="auto" w:fill="auto"/>
            <w:noWrap/>
          </w:tcPr>
          <w:p w14:paraId="01A0C107" w14:textId="26875478" w:rsidR="00FE40B0" w:rsidRPr="007D0AA8" w:rsidRDefault="00FE40B0" w:rsidP="00FE40B0">
            <w:pPr>
              <w:spacing w:after="0" w:line="240" w:lineRule="auto"/>
              <w:rPr>
                <w:rFonts w:ascii="Arial Narrow" w:hAnsi="Arial Narrow" w:cs="Calibri"/>
                <w:color w:val="000000"/>
                <w:sz w:val="20"/>
                <w:szCs w:val="20"/>
              </w:rPr>
            </w:pPr>
            <w:r w:rsidRPr="007D0AA8">
              <w:rPr>
                <w:rFonts w:ascii="Arial Narrow" w:hAnsi="Arial Narrow"/>
                <w:snapToGrid w:val="0"/>
                <w:sz w:val="20"/>
              </w:rPr>
              <w:t>2/12 (16.7%)</w:t>
            </w:r>
          </w:p>
        </w:tc>
      </w:tr>
      <w:tr w:rsidR="009634B8" w:rsidRPr="007D0AA8" w14:paraId="6F15D513" w14:textId="77777777" w:rsidTr="00963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11"/>
            <w:tcBorders>
              <w:top w:val="single" w:sz="4" w:space="0" w:color="auto"/>
              <w:left w:val="single" w:sz="4" w:space="0" w:color="auto"/>
              <w:bottom w:val="nil"/>
              <w:right w:val="single" w:sz="4" w:space="0" w:color="auto"/>
            </w:tcBorders>
            <w:shd w:val="clear" w:color="auto" w:fill="000000" w:themeFill="text1"/>
            <w:vAlign w:val="bottom"/>
          </w:tcPr>
          <w:p w14:paraId="534A93D3" w14:textId="382FE606" w:rsidR="009634B8" w:rsidRPr="007D0AA8" w:rsidRDefault="009634B8" w:rsidP="00FE40B0">
            <w:pPr>
              <w:spacing w:after="0" w:line="240" w:lineRule="auto"/>
              <w:rPr>
                <w:rFonts w:ascii="Arial Narrow" w:hAnsi="Arial Narrow"/>
                <w:snapToGrid w:val="0"/>
                <w:sz w:val="20"/>
              </w:rPr>
            </w:pPr>
            <w:r w:rsidRPr="00386411">
              <w:rPr>
                <w:rFonts w:ascii="Arial Narrow" w:hAnsi="Arial Narrow"/>
                <w:b/>
                <w:color w:val="FFFFFF" w:themeColor="background1"/>
                <w:sz w:val="20"/>
                <w:szCs w:val="18"/>
              </w:rPr>
              <w:t>Other (IVIg and SCIg) – dosing studies</w:t>
            </w:r>
          </w:p>
        </w:tc>
      </w:tr>
      <w:tr w:rsidR="00B873DF" w:rsidRPr="00386411" w14:paraId="3D580680" w14:textId="77777777" w:rsidTr="00B52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5" w:type="pct"/>
            <w:gridSpan w:val="2"/>
            <w:tcBorders>
              <w:top w:val="single" w:sz="4" w:space="0" w:color="auto"/>
              <w:left w:val="single" w:sz="4" w:space="0" w:color="auto"/>
              <w:bottom w:val="nil"/>
              <w:right w:val="nil"/>
            </w:tcBorders>
            <w:shd w:val="clear" w:color="auto" w:fill="D9D9D9" w:themeFill="background1" w:themeFillShade="D9"/>
          </w:tcPr>
          <w:p w14:paraId="7442E5CD" w14:textId="77777777" w:rsidR="00B873DF" w:rsidRPr="00386411" w:rsidRDefault="00B873DF" w:rsidP="00421DCA">
            <w:pPr>
              <w:spacing w:after="0" w:line="240" w:lineRule="auto"/>
              <w:jc w:val="left"/>
              <w:rPr>
                <w:rFonts w:ascii="Arial Narrow" w:hAnsi="Arial Narrow" w:cs="Calibri"/>
                <w:b/>
                <w:color w:val="000000"/>
                <w:sz w:val="20"/>
                <w:szCs w:val="20"/>
              </w:rPr>
            </w:pPr>
            <w:r w:rsidRPr="00386411">
              <w:rPr>
                <w:rFonts w:ascii="Arial Narrow" w:hAnsi="Arial Narrow" w:cs="Calibri"/>
                <w:b/>
                <w:color w:val="000000"/>
                <w:sz w:val="20"/>
                <w:szCs w:val="20"/>
              </w:rPr>
              <w:t>Chapel, Dicato et al. 1994</w:t>
            </w:r>
          </w:p>
        </w:tc>
        <w:tc>
          <w:tcPr>
            <w:tcW w:w="1944" w:type="pct"/>
            <w:gridSpan w:val="4"/>
            <w:tcBorders>
              <w:top w:val="single" w:sz="4" w:space="0" w:color="auto"/>
              <w:left w:val="nil"/>
              <w:bottom w:val="nil"/>
              <w:right w:val="nil"/>
            </w:tcBorders>
            <w:shd w:val="clear" w:color="auto" w:fill="D9D9D9" w:themeFill="background1" w:themeFillShade="D9"/>
          </w:tcPr>
          <w:p w14:paraId="4576E0FC" w14:textId="3B67218B" w:rsidR="00B873DF" w:rsidRPr="00386411" w:rsidRDefault="00B873DF" w:rsidP="00421DCA">
            <w:pPr>
              <w:spacing w:after="0" w:line="240" w:lineRule="auto"/>
              <w:jc w:val="left"/>
              <w:rPr>
                <w:rFonts w:ascii="Arial Narrow" w:hAnsi="Arial Narrow"/>
                <w:b/>
                <w:sz w:val="20"/>
              </w:rPr>
            </w:pPr>
            <w:r w:rsidRPr="00386411">
              <w:rPr>
                <w:rFonts w:ascii="Arial Narrow" w:hAnsi="Arial Narrow"/>
                <w:b/>
                <w:sz w:val="20"/>
              </w:rPr>
              <w:t>AEs (</w:t>
            </w:r>
            <w:r w:rsidR="00944EED" w:rsidRPr="00386411">
              <w:rPr>
                <w:rFonts w:ascii="Arial Narrow" w:hAnsi="Arial Narrow"/>
                <w:b/>
                <w:sz w:val="20"/>
              </w:rPr>
              <w:t>N=34 patients</w:t>
            </w:r>
            <w:r w:rsidR="00763F47" w:rsidRPr="00386411">
              <w:rPr>
                <w:rFonts w:ascii="Arial Narrow" w:hAnsi="Arial Narrow"/>
                <w:b/>
                <w:sz w:val="20"/>
              </w:rPr>
              <w:t>; 378 infusions</w:t>
            </w:r>
            <w:r w:rsidRPr="00386411">
              <w:rPr>
                <w:rFonts w:ascii="Arial Narrow" w:hAnsi="Arial Narrow"/>
                <w:b/>
                <w:sz w:val="20"/>
              </w:rPr>
              <w:t>)</w:t>
            </w:r>
          </w:p>
        </w:tc>
        <w:tc>
          <w:tcPr>
            <w:tcW w:w="1085" w:type="pct"/>
            <w:gridSpan w:val="3"/>
            <w:tcBorders>
              <w:top w:val="single" w:sz="4" w:space="0" w:color="auto"/>
              <w:left w:val="nil"/>
              <w:bottom w:val="single" w:sz="4" w:space="0" w:color="auto"/>
              <w:right w:val="nil"/>
            </w:tcBorders>
            <w:shd w:val="clear" w:color="auto" w:fill="D9D9D9" w:themeFill="background1" w:themeFillShade="D9"/>
            <w:noWrap/>
          </w:tcPr>
          <w:p w14:paraId="7CA1F298" w14:textId="7BF38796" w:rsidR="00B873DF" w:rsidRPr="00386411" w:rsidRDefault="00B873DF" w:rsidP="00421DCA">
            <w:pPr>
              <w:spacing w:after="0" w:line="240" w:lineRule="auto"/>
              <w:jc w:val="left"/>
              <w:rPr>
                <w:rFonts w:ascii="Arial Narrow" w:hAnsi="Arial Narrow"/>
                <w:b/>
                <w:sz w:val="20"/>
                <w:highlight w:val="yellow"/>
              </w:rPr>
            </w:pPr>
            <w:r w:rsidRPr="00386411">
              <w:rPr>
                <w:rFonts w:ascii="Arial Narrow" w:hAnsi="Arial Narrow"/>
                <w:b/>
                <w:sz w:val="20"/>
              </w:rPr>
              <w:t>High dose</w:t>
            </w:r>
            <w:r w:rsidRPr="00386411">
              <w:rPr>
                <w:rFonts w:ascii="Arial Narrow" w:hAnsi="Arial Narrow"/>
                <w:b/>
                <w:sz w:val="20"/>
              </w:rPr>
              <w:br/>
              <w:t>IVIg 500mg/kg</w:t>
            </w:r>
            <w:r w:rsidR="00763F47" w:rsidRPr="00386411">
              <w:rPr>
                <w:rFonts w:ascii="Arial Narrow" w:hAnsi="Arial Narrow"/>
                <w:b/>
                <w:sz w:val="20"/>
              </w:rPr>
              <w:t xml:space="preserve"> </w:t>
            </w:r>
            <w:r w:rsidRPr="00386411">
              <w:rPr>
                <w:rFonts w:ascii="Arial Narrow" w:hAnsi="Arial Narrow"/>
                <w:b/>
                <w:sz w:val="20"/>
              </w:rPr>
              <w:t>(n=16)</w:t>
            </w:r>
          </w:p>
        </w:tc>
        <w:tc>
          <w:tcPr>
            <w:tcW w:w="1046" w:type="pct"/>
            <w:gridSpan w:val="2"/>
            <w:tcBorders>
              <w:top w:val="single" w:sz="4" w:space="0" w:color="auto"/>
              <w:left w:val="nil"/>
              <w:bottom w:val="single" w:sz="4" w:space="0" w:color="auto"/>
              <w:right w:val="single" w:sz="4" w:space="0" w:color="auto"/>
            </w:tcBorders>
            <w:shd w:val="clear" w:color="auto" w:fill="D9D9D9" w:themeFill="background1" w:themeFillShade="D9"/>
            <w:noWrap/>
          </w:tcPr>
          <w:p w14:paraId="6BE4A342" w14:textId="10A23F68" w:rsidR="00B873DF" w:rsidRPr="00386411" w:rsidRDefault="00B873DF" w:rsidP="00421DCA">
            <w:pPr>
              <w:spacing w:after="0" w:line="240" w:lineRule="auto"/>
              <w:jc w:val="left"/>
              <w:rPr>
                <w:rFonts w:ascii="Arial Narrow" w:hAnsi="Arial Narrow" w:cs="Calibri"/>
                <w:b/>
                <w:color w:val="000000"/>
                <w:sz w:val="20"/>
                <w:szCs w:val="20"/>
                <w:highlight w:val="yellow"/>
              </w:rPr>
            </w:pPr>
            <w:r w:rsidRPr="00386411">
              <w:rPr>
                <w:rFonts w:ascii="Arial Narrow" w:hAnsi="Arial Narrow"/>
                <w:b/>
                <w:sz w:val="20"/>
              </w:rPr>
              <w:t>Low dose</w:t>
            </w:r>
            <w:r w:rsidRPr="00386411">
              <w:rPr>
                <w:rFonts w:ascii="Arial Narrow" w:hAnsi="Arial Narrow"/>
                <w:b/>
                <w:sz w:val="20"/>
              </w:rPr>
              <w:br/>
              <w:t>IVIg 250 mg/kg</w:t>
            </w:r>
            <w:r w:rsidR="00763F47" w:rsidRPr="00386411">
              <w:rPr>
                <w:rFonts w:ascii="Arial Narrow" w:hAnsi="Arial Narrow"/>
                <w:b/>
                <w:sz w:val="20"/>
              </w:rPr>
              <w:t xml:space="preserve"> </w:t>
            </w:r>
            <w:r w:rsidRPr="00386411">
              <w:rPr>
                <w:rFonts w:ascii="Arial Narrow" w:hAnsi="Arial Narrow"/>
                <w:b/>
                <w:sz w:val="20"/>
              </w:rPr>
              <w:t>(n=18)</w:t>
            </w:r>
          </w:p>
        </w:tc>
      </w:tr>
      <w:tr w:rsidR="00CC278A" w:rsidRPr="007D0AA8" w14:paraId="58146F90" w14:textId="77777777" w:rsidTr="00963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5" w:type="pct"/>
            <w:gridSpan w:val="2"/>
            <w:tcBorders>
              <w:top w:val="nil"/>
              <w:left w:val="single" w:sz="4" w:space="0" w:color="auto"/>
              <w:bottom w:val="nil"/>
              <w:right w:val="nil"/>
            </w:tcBorders>
            <w:vAlign w:val="bottom"/>
          </w:tcPr>
          <w:p w14:paraId="74FE2926" w14:textId="77777777"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CLL</w:t>
            </w:r>
          </w:p>
        </w:tc>
        <w:tc>
          <w:tcPr>
            <w:tcW w:w="1944" w:type="pct"/>
            <w:gridSpan w:val="4"/>
            <w:tcBorders>
              <w:top w:val="nil"/>
              <w:left w:val="nil"/>
              <w:bottom w:val="nil"/>
              <w:right w:val="nil"/>
            </w:tcBorders>
          </w:tcPr>
          <w:p w14:paraId="557D900A" w14:textId="77777777"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Serious AEs</w:t>
            </w:r>
          </w:p>
        </w:tc>
        <w:tc>
          <w:tcPr>
            <w:tcW w:w="1085" w:type="pct"/>
            <w:gridSpan w:val="3"/>
            <w:tcBorders>
              <w:top w:val="nil"/>
              <w:left w:val="nil"/>
              <w:bottom w:val="nil"/>
              <w:right w:val="nil"/>
            </w:tcBorders>
            <w:shd w:val="clear" w:color="auto" w:fill="auto"/>
            <w:noWrap/>
          </w:tcPr>
          <w:p w14:paraId="4D0BA593" w14:textId="77777777" w:rsidR="00CC278A" w:rsidRPr="007D0AA8" w:rsidRDefault="00CC278A" w:rsidP="00CC278A">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0</w:t>
            </w:r>
          </w:p>
        </w:tc>
        <w:tc>
          <w:tcPr>
            <w:tcW w:w="1046" w:type="pct"/>
            <w:gridSpan w:val="2"/>
            <w:tcBorders>
              <w:top w:val="nil"/>
              <w:left w:val="nil"/>
              <w:bottom w:val="nil"/>
              <w:right w:val="single" w:sz="4" w:space="0" w:color="auto"/>
            </w:tcBorders>
            <w:shd w:val="clear" w:color="auto" w:fill="auto"/>
            <w:noWrap/>
            <w:vAlign w:val="bottom"/>
          </w:tcPr>
          <w:p w14:paraId="52DBDF5A" w14:textId="605CA317" w:rsidR="00CC278A" w:rsidRPr="007D0AA8" w:rsidRDefault="00B873DF" w:rsidP="00CC278A">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0</w:t>
            </w:r>
          </w:p>
        </w:tc>
      </w:tr>
      <w:tr w:rsidR="00B873DF" w:rsidRPr="007D0AA8" w14:paraId="771FA919" w14:textId="77777777" w:rsidTr="00963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5" w:type="pct"/>
            <w:gridSpan w:val="2"/>
            <w:tcBorders>
              <w:top w:val="nil"/>
              <w:left w:val="single" w:sz="4" w:space="0" w:color="auto"/>
              <w:bottom w:val="single" w:sz="4" w:space="0" w:color="auto"/>
              <w:right w:val="nil"/>
            </w:tcBorders>
          </w:tcPr>
          <w:p w14:paraId="191B1C87" w14:textId="77777777" w:rsidR="00B873DF" w:rsidRPr="007D0AA8" w:rsidRDefault="00B873DF" w:rsidP="00B873DF">
            <w:pPr>
              <w:spacing w:after="0" w:line="240" w:lineRule="auto"/>
              <w:rPr>
                <w:rFonts w:ascii="Arial Narrow" w:hAnsi="Arial Narrow" w:cs="Calibri"/>
                <w:color w:val="000000"/>
                <w:sz w:val="20"/>
                <w:szCs w:val="20"/>
              </w:rPr>
            </w:pPr>
          </w:p>
        </w:tc>
        <w:tc>
          <w:tcPr>
            <w:tcW w:w="1944" w:type="pct"/>
            <w:gridSpan w:val="4"/>
            <w:tcBorders>
              <w:top w:val="nil"/>
              <w:left w:val="nil"/>
              <w:bottom w:val="single" w:sz="4" w:space="0" w:color="auto"/>
              <w:right w:val="nil"/>
            </w:tcBorders>
          </w:tcPr>
          <w:p w14:paraId="4022386A" w14:textId="17CE9042" w:rsidR="00B873DF" w:rsidRPr="007D0AA8" w:rsidRDefault="00B873DF" w:rsidP="00B873DF">
            <w:pPr>
              <w:spacing w:after="0" w:line="240" w:lineRule="auto"/>
              <w:rPr>
                <w:rFonts w:ascii="Arial Narrow" w:hAnsi="Arial Narrow" w:cs="Calibri"/>
                <w:color w:val="000000"/>
                <w:sz w:val="20"/>
                <w:szCs w:val="20"/>
              </w:rPr>
            </w:pPr>
            <w:r w:rsidRPr="007D0AA8">
              <w:rPr>
                <w:rFonts w:ascii="Arial Narrow" w:hAnsi="Arial Narrow"/>
                <w:sz w:val="20"/>
              </w:rPr>
              <w:t xml:space="preserve">Mild AEs (chills, fever, back pain) </w:t>
            </w:r>
            <w:r w:rsidRPr="007D0AA8">
              <w:rPr>
                <w:rFonts w:ascii="Arial Narrow" w:hAnsi="Arial Narrow"/>
                <w:sz w:val="20"/>
              </w:rPr>
              <w:br/>
              <w:t>(events only; number of patients n.r.)</w:t>
            </w:r>
          </w:p>
        </w:tc>
        <w:tc>
          <w:tcPr>
            <w:tcW w:w="1085" w:type="pct"/>
            <w:gridSpan w:val="3"/>
            <w:tcBorders>
              <w:top w:val="nil"/>
              <w:left w:val="nil"/>
              <w:bottom w:val="single" w:sz="4" w:space="0" w:color="auto"/>
              <w:right w:val="nil"/>
            </w:tcBorders>
            <w:shd w:val="clear" w:color="auto" w:fill="auto"/>
            <w:noWrap/>
          </w:tcPr>
          <w:p w14:paraId="7BDB1E62" w14:textId="5822D73F" w:rsidR="00B873DF" w:rsidRPr="007D0AA8" w:rsidRDefault="00B873DF" w:rsidP="00B873DF">
            <w:pPr>
              <w:spacing w:after="0" w:line="240" w:lineRule="auto"/>
              <w:rPr>
                <w:rFonts w:ascii="Arial Narrow" w:hAnsi="Arial Narrow" w:cs="Calibri"/>
                <w:color w:val="000000"/>
                <w:sz w:val="20"/>
                <w:szCs w:val="20"/>
              </w:rPr>
            </w:pPr>
            <w:r w:rsidRPr="007D0AA8">
              <w:rPr>
                <w:rFonts w:ascii="Arial Narrow" w:hAnsi="Arial Narrow"/>
                <w:sz w:val="20"/>
              </w:rPr>
              <w:t>2</w:t>
            </w:r>
          </w:p>
        </w:tc>
        <w:tc>
          <w:tcPr>
            <w:tcW w:w="1046" w:type="pct"/>
            <w:gridSpan w:val="2"/>
            <w:tcBorders>
              <w:top w:val="nil"/>
              <w:left w:val="nil"/>
              <w:bottom w:val="single" w:sz="4" w:space="0" w:color="auto"/>
              <w:right w:val="single" w:sz="4" w:space="0" w:color="auto"/>
            </w:tcBorders>
            <w:shd w:val="clear" w:color="auto" w:fill="auto"/>
            <w:noWrap/>
          </w:tcPr>
          <w:p w14:paraId="20299AAD" w14:textId="4BA876BC" w:rsidR="00B873DF" w:rsidRPr="007D0AA8" w:rsidRDefault="00B873DF" w:rsidP="00B873D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8</w:t>
            </w:r>
          </w:p>
        </w:tc>
      </w:tr>
    </w:tbl>
    <w:p w14:paraId="05348D35" w14:textId="20564D66" w:rsidR="00E8580A" w:rsidRPr="007D0AA8" w:rsidRDefault="00CC278A" w:rsidP="00E8580A">
      <w:pPr>
        <w:spacing w:after="0" w:line="240" w:lineRule="auto"/>
        <w:rPr>
          <w:rFonts w:ascii="Arial Narrow" w:hAnsi="Arial Narrow"/>
          <w:sz w:val="18"/>
        </w:rPr>
      </w:pPr>
      <w:r w:rsidRPr="007D0AA8">
        <w:rPr>
          <w:rFonts w:ascii="Arial Narrow" w:hAnsi="Arial Narrow"/>
          <w:sz w:val="18"/>
        </w:rPr>
        <w:t xml:space="preserve">*Notes: </w:t>
      </w:r>
      <w:r w:rsidRPr="007D0AA8">
        <w:rPr>
          <w:rFonts w:ascii="Arial Narrow" w:hAnsi="Arial Narrow"/>
          <w:sz w:val="18"/>
          <w:u w:val="single"/>
        </w:rPr>
        <w:t>Benbrahim et al., 2019</w:t>
      </w:r>
      <w:r w:rsidRPr="007D0AA8">
        <w:rPr>
          <w:rFonts w:ascii="Arial Narrow" w:hAnsi="Arial Narrow"/>
          <w:sz w:val="18"/>
        </w:rPr>
        <w:t xml:space="preserve"> – the finding of pneumonia was reported as an AE rather than an infection; </w:t>
      </w:r>
      <w:r w:rsidRPr="007D0AA8">
        <w:rPr>
          <w:rFonts w:ascii="Arial Narrow" w:hAnsi="Arial Narrow"/>
          <w:sz w:val="18"/>
          <w:u w:val="single"/>
        </w:rPr>
        <w:t>Reiser et al., 2017</w:t>
      </w:r>
      <w:r w:rsidRPr="007D0AA8">
        <w:rPr>
          <w:rFonts w:ascii="Arial Narrow" w:hAnsi="Arial Narrow"/>
          <w:sz w:val="18"/>
        </w:rPr>
        <w:t xml:space="preserve"> – AEs specified as: allergic reactions (2), chill (5), back pain (1), thoracic pain (1), (severe) nausea (3), pleuritis (1), dizziness (1) and mild proctitis (1). Of these, the 4 AEs leading to hospitalisation were not identified. ‘Other’ underlying conditions were: HIV(7), post-transplant(7), leukaemia (not CLL)(4), HL(2), 15 other malignant and non-malignant conditions (e.g. MGUS, MDS, AA, haemolytic anaemia, COPD). </w:t>
      </w:r>
    </w:p>
    <w:p w14:paraId="25F0B572" w14:textId="0F738CE7" w:rsidR="00CC278A" w:rsidRPr="007D0AA8" w:rsidRDefault="00CC278A" w:rsidP="00CC278A">
      <w:pPr>
        <w:spacing w:after="0" w:line="240" w:lineRule="auto"/>
        <w:rPr>
          <w:rFonts w:ascii="Arial Narrow" w:hAnsi="Arial Narrow"/>
          <w:sz w:val="18"/>
        </w:rPr>
      </w:pPr>
      <w:r w:rsidRPr="007D0AA8">
        <w:rPr>
          <w:rFonts w:ascii="Arial Narrow" w:hAnsi="Arial Narrow"/>
          <w:sz w:val="18"/>
        </w:rPr>
        <w:t xml:space="preserve">AA=aplastic anaemia; </w:t>
      </w:r>
      <w:r w:rsidR="00E8580A" w:rsidRPr="007D0AA8">
        <w:rPr>
          <w:rFonts w:ascii="Arial Narrow" w:hAnsi="Arial Narrow"/>
          <w:sz w:val="18"/>
          <w:szCs w:val="18"/>
        </w:rPr>
        <w:t xml:space="preserve">AEs=adverse events; CLL=chronic lymphocytic leukaemia; </w:t>
      </w:r>
      <w:r w:rsidRPr="007D0AA8">
        <w:rPr>
          <w:rFonts w:ascii="Arial Narrow" w:hAnsi="Arial Narrow"/>
          <w:sz w:val="18"/>
        </w:rPr>
        <w:t xml:space="preserve">COPD=chronic obstructive pulmonary disease; </w:t>
      </w:r>
      <w:r w:rsidR="00FE7623" w:rsidRPr="007D0AA8">
        <w:rPr>
          <w:rFonts w:ascii="Arial Narrow" w:hAnsi="Arial Narrow"/>
          <w:sz w:val="18"/>
          <w:szCs w:val="18"/>
        </w:rPr>
        <w:t xml:space="preserve">FL=follicular lymphoma; </w:t>
      </w:r>
      <w:r w:rsidRPr="007D0AA8">
        <w:rPr>
          <w:rFonts w:ascii="Arial Narrow" w:hAnsi="Arial Narrow"/>
          <w:sz w:val="18"/>
        </w:rPr>
        <w:t xml:space="preserve">HIV=human immunodeficiency virus; HL=Hodgkin lymphoma; HSCT=haematopoietic stem cell transplant; </w:t>
      </w:r>
      <w:r w:rsidR="00E8580A" w:rsidRPr="007D0AA8">
        <w:rPr>
          <w:rFonts w:ascii="Arial Narrow" w:hAnsi="Arial Narrow"/>
          <w:sz w:val="18"/>
          <w:szCs w:val="18"/>
        </w:rPr>
        <w:t xml:space="preserve">IVIg=intravenous immunoglobulin; </w:t>
      </w:r>
      <w:r w:rsidR="00D55174" w:rsidRPr="007D0AA8">
        <w:rPr>
          <w:rFonts w:ascii="Arial Narrow" w:hAnsi="Arial Narrow"/>
          <w:sz w:val="18"/>
        </w:rPr>
        <w:t xml:space="preserve">IgG-RT=immunoglobulin gamma replacement therapy; </w:t>
      </w:r>
      <w:r w:rsidR="00FE7623" w:rsidRPr="007D0AA8">
        <w:rPr>
          <w:rFonts w:ascii="Arial Narrow" w:hAnsi="Arial Narrow"/>
          <w:sz w:val="18"/>
          <w:szCs w:val="18"/>
        </w:rPr>
        <w:t>MDS=myelo</w:t>
      </w:r>
      <w:r w:rsidR="00FE7623" w:rsidRPr="007D0AA8">
        <w:rPr>
          <w:rFonts w:ascii="Arial Narrow" w:hAnsi="Arial Narrow"/>
          <w:sz w:val="18"/>
          <w:szCs w:val="18"/>
        </w:rPr>
        <w:softHyphen/>
        <w:t xml:space="preserve">dysplastic syndrome; </w:t>
      </w:r>
      <w:r w:rsidRPr="007D0AA8">
        <w:rPr>
          <w:rFonts w:ascii="Arial Narrow" w:hAnsi="Arial Narrow"/>
          <w:sz w:val="18"/>
        </w:rPr>
        <w:t xml:space="preserve">MGUS=monoclonal gammopathy of undetermined significance; </w:t>
      </w:r>
      <w:r w:rsidR="00E8580A" w:rsidRPr="007D0AA8">
        <w:rPr>
          <w:rFonts w:ascii="Arial Narrow" w:hAnsi="Arial Narrow"/>
          <w:sz w:val="18"/>
          <w:szCs w:val="18"/>
        </w:rPr>
        <w:t>MM=multiple myeloma;</w:t>
      </w:r>
      <w:r w:rsidRPr="007D0AA8">
        <w:rPr>
          <w:rFonts w:ascii="Arial Narrow" w:hAnsi="Arial Narrow"/>
          <w:sz w:val="18"/>
        </w:rPr>
        <w:t xml:space="preserve"> NHL=non-Hodgkin lymphoma;</w:t>
      </w:r>
      <w:r w:rsidR="00E8580A" w:rsidRPr="007D0AA8">
        <w:rPr>
          <w:rFonts w:ascii="Arial Narrow" w:hAnsi="Arial Narrow"/>
          <w:sz w:val="18"/>
          <w:szCs w:val="18"/>
        </w:rPr>
        <w:t xml:space="preserve"> n.r.=not reported</w:t>
      </w:r>
      <w:r w:rsidR="00D77ABC" w:rsidRPr="007D0AA8">
        <w:rPr>
          <w:rFonts w:ascii="Arial Narrow" w:hAnsi="Arial Narrow"/>
          <w:sz w:val="18"/>
          <w:szCs w:val="18"/>
        </w:rPr>
        <w:t>;</w:t>
      </w:r>
      <w:r w:rsidR="00FE7623" w:rsidRPr="007D0AA8">
        <w:rPr>
          <w:rFonts w:ascii="Arial Narrow" w:hAnsi="Arial Narrow"/>
          <w:sz w:val="18"/>
          <w:szCs w:val="18"/>
        </w:rPr>
        <w:t xml:space="preserve"> </w:t>
      </w:r>
      <w:r w:rsidR="00D77ABC" w:rsidRPr="007D0AA8">
        <w:rPr>
          <w:rFonts w:ascii="Arial Narrow" w:hAnsi="Arial Narrow"/>
          <w:sz w:val="18"/>
          <w:szCs w:val="18"/>
        </w:rPr>
        <w:t xml:space="preserve">SAE=serious adverse event; </w:t>
      </w:r>
      <w:r w:rsidR="00D55174" w:rsidRPr="007D0AA8">
        <w:rPr>
          <w:rFonts w:ascii="Arial Narrow" w:hAnsi="Arial Narrow"/>
          <w:sz w:val="18"/>
          <w:szCs w:val="18"/>
        </w:rPr>
        <w:t xml:space="preserve">SCIg=subcutaneous immunoglobulin; </w:t>
      </w:r>
      <w:r w:rsidR="00D77ABC" w:rsidRPr="007D0AA8">
        <w:rPr>
          <w:rFonts w:ascii="Arial Narrow" w:eastAsia="Calibri" w:hAnsi="Arial Narrow" w:cs="Times New Roman"/>
          <w:sz w:val="18"/>
          <w:szCs w:val="18"/>
          <w:lang w:eastAsia="en-US"/>
        </w:rPr>
        <w:t xml:space="preserve">WM=Waldenström macroglobulinaemia. </w:t>
      </w:r>
    </w:p>
    <w:p w14:paraId="4C19EC1E" w14:textId="33DCDD3F" w:rsidR="00E8580A" w:rsidRPr="007D0AA8" w:rsidRDefault="00E8580A" w:rsidP="00E8580A">
      <w:pPr>
        <w:spacing w:line="240" w:lineRule="auto"/>
        <w:rPr>
          <w:rFonts w:ascii="Arial Narrow" w:hAnsi="Arial Narrow"/>
          <w:sz w:val="18"/>
          <w:szCs w:val="18"/>
        </w:rPr>
      </w:pPr>
    </w:p>
    <w:p w14:paraId="6A0ABA10" w14:textId="0FF8B7B1" w:rsidR="00CC278A" w:rsidRPr="00A30707" w:rsidRDefault="00763F47" w:rsidP="00CC278A">
      <w:r w:rsidRPr="00A30707">
        <w:t xml:space="preserve">A sponsor-funded study </w:t>
      </w:r>
      <w:r w:rsidR="00A30707" w:rsidRPr="00A30707">
        <w:t xml:space="preserve">in </w:t>
      </w:r>
      <w:r w:rsidR="00A30707">
        <w:t>160</w:t>
      </w:r>
      <w:r w:rsidR="00A30707" w:rsidRPr="00A30707">
        <w:t xml:space="preserve"> French patients</w:t>
      </w:r>
      <w:r w:rsidR="00A30707">
        <w:t xml:space="preserve"> published this year</w:t>
      </w:r>
      <w:r w:rsidR="00A30707" w:rsidRPr="00A30707">
        <w:t xml:space="preserve"> </w:t>
      </w:r>
      <w:r w:rsidR="00415ABC" w:rsidRPr="00A30707">
        <w:fldChar w:fldCharType="begin">
          <w:fldData xml:space="preserve">PEVuZE5vdGU+PENpdGU+PEF1dGhvcj5CZW5icmFoaW08L0F1dGhvcj48WWVhcj4yMDE5PC9ZZWFy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==
</w:fldData>
        </w:fldChar>
      </w:r>
      <w:r w:rsidR="00415ABC" w:rsidRPr="00A30707">
        <w:instrText xml:space="preserve"> ADDIN EN.CITE </w:instrText>
      </w:r>
      <w:r w:rsidR="00415ABC" w:rsidRPr="00A30707">
        <w:fldChar w:fldCharType="begin">
          <w:fldData xml:space="preserve">PEVuZE5vdGU+PENpdGU+PEF1dGhvcj5CZW5icmFoaW08L0F1dGhvcj48WWVhcj4yMDE5PC9ZZWFy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==
</w:fldData>
        </w:fldChar>
      </w:r>
      <w:r w:rsidR="00415ABC" w:rsidRPr="00A30707">
        <w:instrText xml:space="preserve"> ADDIN EN.CITE.DATA </w:instrText>
      </w:r>
      <w:r w:rsidR="00415ABC" w:rsidRPr="00A30707">
        <w:fldChar w:fldCharType="end"/>
      </w:r>
      <w:r w:rsidR="00415ABC" w:rsidRPr="00A30707">
        <w:fldChar w:fldCharType="separate"/>
      </w:r>
      <w:r w:rsidR="00415ABC" w:rsidRPr="00A30707">
        <w:rPr>
          <w:noProof/>
        </w:rPr>
        <w:t>(</w:t>
      </w:r>
      <w:hyperlink w:anchor="_ENREF_3" w:tooltip="Benbrahim, 2019 #88" w:history="1">
        <w:r w:rsidR="00BB0145" w:rsidRPr="00A30707">
          <w:rPr>
            <w:noProof/>
          </w:rPr>
          <w:t>Benbrahim et al. 2019</w:t>
        </w:r>
      </w:hyperlink>
      <w:r w:rsidR="00415ABC" w:rsidRPr="00A30707">
        <w:rPr>
          <w:noProof/>
        </w:rPr>
        <w:t>)</w:t>
      </w:r>
      <w:r w:rsidR="00415ABC" w:rsidRPr="00A30707">
        <w:fldChar w:fldCharType="end"/>
      </w:r>
      <w:r w:rsidR="00F61D54" w:rsidRPr="00A30707">
        <w:t xml:space="preserve"> compared two o</w:t>
      </w:r>
      <w:r w:rsidR="000A54F1" w:rsidRPr="00A30707">
        <w:t xml:space="preserve">f the company’s products, IVIg, Octagam, and SCIg, Gammanorm </w:t>
      </w:r>
      <w:r w:rsidRPr="00A30707">
        <w:t>(both Octapharma)</w:t>
      </w:r>
      <w:r w:rsidR="00F61D54" w:rsidRPr="00A30707">
        <w:t>. The authors reported that</w:t>
      </w:r>
      <w:r w:rsidR="00CC278A" w:rsidRPr="00A30707">
        <w:t xml:space="preserve"> no serious AEs were observed and IgG was well-tolerated by both routes of administration. </w:t>
      </w:r>
    </w:p>
    <w:p w14:paraId="3890DBC5" w14:textId="25A1E28F" w:rsidR="00CC278A" w:rsidRPr="00A30707" w:rsidRDefault="00A30707" w:rsidP="00CC278A">
      <w:r w:rsidRPr="00A30707">
        <w:t xml:space="preserve">A German registry study of 307 patients with a range of haematological malignancies only reported those AEs that were recorded in patient records </w:t>
      </w:r>
      <w:r w:rsidRPr="00A30707">
        <w:fldChar w:fldCharType="begin">
          <w:fldData xml:space="preserve">PEVuZE5vdGU+PENpdGU+PEF1dGhvcj5SZWlzZXI8L0F1dGhvcj48WWVhcj4yMDE3PC9ZZWFyPjxS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</w:fldData>
        </w:fldChar>
      </w:r>
      <w:r w:rsidRPr="00A30707">
        <w:instrText xml:space="preserve"> ADDIN EN.CITE </w:instrText>
      </w:r>
      <w:r w:rsidRPr="00A30707">
        <w:fldChar w:fldCharType="begin">
          <w:fldData xml:space="preserve">PEVuZE5vdGU+PENpdGU+PEF1dGhvcj5SZWlzZXI8L0F1dGhvcj48WWVhcj4yMDE3PC9ZZWFyPjxS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</w:fldData>
        </w:fldChar>
      </w:r>
      <w:r w:rsidRPr="00A30707">
        <w:instrText xml:space="preserve"> ADDIN EN.CITE.DATA </w:instrText>
      </w:r>
      <w:r w:rsidRPr="00A30707">
        <w:fldChar w:fldCharType="end"/>
      </w:r>
      <w:r w:rsidRPr="00A30707">
        <w:fldChar w:fldCharType="separate"/>
      </w:r>
      <w:r w:rsidRPr="00A30707">
        <w:rPr>
          <w:noProof/>
        </w:rPr>
        <w:t>(</w:t>
      </w:r>
      <w:hyperlink w:anchor="_ENREF_42" w:tooltip="Reiser, 2017 #91" w:history="1">
        <w:r w:rsidR="00BB0145" w:rsidRPr="00A30707">
          <w:rPr>
            <w:noProof/>
          </w:rPr>
          <w:t>Reiser et al. 2017</w:t>
        </w:r>
      </w:hyperlink>
      <w:r w:rsidRPr="00A30707">
        <w:rPr>
          <w:noProof/>
        </w:rPr>
        <w:t>)</w:t>
      </w:r>
      <w:r w:rsidRPr="00A30707">
        <w:fldChar w:fldCharType="end"/>
      </w:r>
      <w:r w:rsidRPr="00A30707">
        <w:t>. Four patients experienced AEs that required hospitalisation</w:t>
      </w:r>
      <w:r>
        <w:t xml:space="preserve"> (median follow-up was 10.8 months)</w:t>
      </w:r>
      <w:r w:rsidRPr="00A30707">
        <w:t xml:space="preserve">. </w:t>
      </w:r>
      <w:r w:rsidR="00763F47" w:rsidRPr="00A30707">
        <w:t xml:space="preserve">The </w:t>
      </w:r>
      <w:r w:rsidRPr="00A30707">
        <w:t>authors</w:t>
      </w:r>
      <w:r w:rsidR="00DB3D0B" w:rsidRPr="00A30707">
        <w:t xml:space="preserve"> </w:t>
      </w:r>
      <w:r w:rsidR="00763F47" w:rsidRPr="00A30707">
        <w:t xml:space="preserve">reported </w:t>
      </w:r>
      <w:r w:rsidR="00CC278A" w:rsidRPr="00A30707">
        <w:t>that “</w:t>
      </w:r>
      <w:r w:rsidR="00CC278A" w:rsidRPr="00A30707">
        <w:rPr>
          <w:i/>
        </w:rPr>
        <w:t>In view of the low drop-out rate in the study it can be assumed that IVIG and SCIG substitution therapies were overall well tolerated</w:t>
      </w:r>
      <w:r w:rsidR="00CC278A" w:rsidRPr="00A30707">
        <w:t xml:space="preserve">”. Actual numbers of discontinuations were not reported. </w:t>
      </w:r>
    </w:p>
    <w:p w14:paraId="481C68AA" w14:textId="7543120B" w:rsidR="00CC278A" w:rsidRPr="00AE4873" w:rsidRDefault="00415ABC" w:rsidP="00CC278A">
      <w:r w:rsidRPr="00A30707">
        <w:lastRenderedPageBreak/>
        <w:t xml:space="preserve">One </w:t>
      </w:r>
      <w:r w:rsidR="00A30707" w:rsidRPr="00A30707">
        <w:t xml:space="preserve">Swedish </w:t>
      </w:r>
      <w:r w:rsidRPr="00A30707">
        <w:t>case series</w:t>
      </w:r>
      <w:r w:rsidR="00CC278A" w:rsidRPr="00A30707">
        <w:t xml:space="preserve"> </w:t>
      </w:r>
      <w:r w:rsidRPr="00A30707">
        <w:fldChar w:fldCharType="begin">
          <w:fldData xml:space="preserve">PEVuZE5vdGU+PENpdGU+PEF1dGhvcj5TdW5kaW48L0F1dGhvcj48WWVhcj4yMDEyPC9ZZWFyPjxS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</w:fldData>
        </w:fldChar>
      </w:r>
      <w:r w:rsidRPr="00A30707">
        <w:instrText xml:space="preserve"> ADDIN EN.CITE </w:instrText>
      </w:r>
      <w:r w:rsidRPr="00A30707">
        <w:fldChar w:fldCharType="begin">
          <w:fldData xml:space="preserve">PEVuZE5vdGU+PENpdGU+PEF1dGhvcj5TdW5kaW48L0F1dGhvcj48WWVhcj4yMDEyPC9ZZWFyPjxS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</w:fldData>
        </w:fldChar>
      </w:r>
      <w:r w:rsidRPr="00A30707">
        <w:instrText xml:space="preserve"> ADDIN EN.CITE.DATA </w:instrText>
      </w:r>
      <w:r w:rsidRPr="00A30707">
        <w:fldChar w:fldCharType="end"/>
      </w:r>
      <w:r w:rsidRPr="00A30707">
        <w:fldChar w:fldCharType="separate"/>
      </w:r>
      <w:r w:rsidRPr="00A30707">
        <w:rPr>
          <w:noProof/>
        </w:rPr>
        <w:t>(</w:t>
      </w:r>
      <w:hyperlink w:anchor="_ENREF_50" w:tooltip="Sundin, 2012 #86" w:history="1">
        <w:r w:rsidR="00BB0145" w:rsidRPr="00A30707">
          <w:rPr>
            <w:noProof/>
          </w:rPr>
          <w:t>Sundin et al. 2012</w:t>
        </w:r>
      </w:hyperlink>
      <w:r w:rsidRPr="00A30707">
        <w:rPr>
          <w:noProof/>
        </w:rPr>
        <w:t>)</w:t>
      </w:r>
      <w:r w:rsidRPr="00A30707">
        <w:fldChar w:fldCharType="end"/>
      </w:r>
      <w:r w:rsidR="00CC278A" w:rsidRPr="00A30707">
        <w:t xml:space="preserve"> reported AEs for SCIg versus IVIg</w:t>
      </w:r>
      <w:r w:rsidR="00421DCA">
        <w:t xml:space="preserve"> in 58 children who had received HSCTs</w:t>
      </w:r>
      <w:r w:rsidR="00FE40B0" w:rsidRPr="00A30707">
        <w:t xml:space="preserve">. </w:t>
      </w:r>
      <w:r w:rsidR="00A30707">
        <w:t>Similar to the Greek study above</w:t>
      </w:r>
      <w:r w:rsidR="00421DCA">
        <w:t xml:space="preserve"> </w:t>
      </w:r>
      <w:r w:rsidR="00421DCA" w:rsidRPr="007D0AA8">
        <w:fldChar w:fldCharType="begin">
          <w:fldData xml:space="preserve">PEVuZE5vdGU+PENpdGU+PEF1dGhvcj5EaW1vdTwvQXV0aG9yPjxZZWFyPjIwMTg8L1llYXI+PFJl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==
</w:fldData>
        </w:fldChar>
      </w:r>
      <w:r w:rsidR="00421DCA" w:rsidRPr="007D0AA8">
        <w:instrText xml:space="preserve"> ADDIN EN.CITE </w:instrText>
      </w:r>
      <w:r w:rsidR="00421DCA" w:rsidRPr="007D0AA8">
        <w:fldChar w:fldCharType="begin">
          <w:fldData xml:space="preserve">PEVuZE5vdGU+PENpdGU+PEF1dGhvcj5EaW1vdTwvQXV0aG9yPjxZZWFyPjIwMTg8L1llYXI+PFJl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==
</w:fldData>
        </w:fldChar>
      </w:r>
      <w:r w:rsidR="00421DCA" w:rsidRPr="007D0AA8">
        <w:instrText xml:space="preserve"> ADDIN EN.CITE.DATA </w:instrText>
      </w:r>
      <w:r w:rsidR="00421DCA" w:rsidRPr="007D0AA8">
        <w:fldChar w:fldCharType="end"/>
      </w:r>
      <w:r w:rsidR="00421DCA" w:rsidRPr="007D0AA8">
        <w:fldChar w:fldCharType="separate"/>
      </w:r>
      <w:r w:rsidR="00421DCA" w:rsidRPr="007D0AA8">
        <w:rPr>
          <w:noProof/>
        </w:rPr>
        <w:t>(</w:t>
      </w:r>
      <w:hyperlink w:anchor="_ENREF_15" w:tooltip="Dimou, 2018 #28" w:history="1">
        <w:r w:rsidR="00BB0145" w:rsidRPr="007D0AA8">
          <w:rPr>
            <w:noProof/>
          </w:rPr>
          <w:t>Dimou et al. 2018</w:t>
        </w:r>
      </w:hyperlink>
      <w:r w:rsidR="00421DCA" w:rsidRPr="007D0AA8">
        <w:rPr>
          <w:noProof/>
        </w:rPr>
        <w:t>)</w:t>
      </w:r>
      <w:r w:rsidR="00421DCA" w:rsidRPr="007D0AA8">
        <w:fldChar w:fldCharType="end"/>
      </w:r>
      <w:r w:rsidR="00A30707">
        <w:t xml:space="preserve"> the authors noted</w:t>
      </w:r>
      <w:r w:rsidR="00DF00D5" w:rsidRPr="00DF00D5">
        <w:t xml:space="preserve"> that </w:t>
      </w:r>
      <w:r w:rsidR="00421DCA">
        <w:t xml:space="preserve">three </w:t>
      </w:r>
      <w:r w:rsidR="00DF00D5" w:rsidRPr="00DF00D5">
        <w:t xml:space="preserve">patients with a history of </w:t>
      </w:r>
      <w:r w:rsidR="00421DCA">
        <w:t>headaches</w:t>
      </w:r>
      <w:r w:rsidR="00DF00D5" w:rsidRPr="00DF00D5">
        <w:t xml:space="preserve"> due to IVIg infusions </w:t>
      </w:r>
      <w:r w:rsidR="00421DCA">
        <w:t>found these</w:t>
      </w:r>
      <w:r w:rsidR="00DF00D5" w:rsidRPr="00DF00D5">
        <w:t xml:space="preserve"> </w:t>
      </w:r>
      <w:r w:rsidR="00421DCA">
        <w:t>events</w:t>
      </w:r>
      <w:r w:rsidR="00DF00D5" w:rsidRPr="00DF00D5">
        <w:t xml:space="preserve"> </w:t>
      </w:r>
      <w:r w:rsidR="00421DCA">
        <w:t xml:space="preserve">resolved </w:t>
      </w:r>
      <w:r w:rsidR="00DF00D5" w:rsidRPr="00DF00D5">
        <w:t xml:space="preserve">with </w:t>
      </w:r>
      <w:r w:rsidR="00421DCA">
        <w:t xml:space="preserve">the switch to </w:t>
      </w:r>
      <w:r w:rsidR="00DF00D5" w:rsidRPr="00DF00D5">
        <w:t xml:space="preserve">SCIg. </w:t>
      </w:r>
    </w:p>
    <w:p w14:paraId="212ACDF8" w14:textId="62347F48" w:rsidR="00DF00D5" w:rsidRPr="007D0AA8" w:rsidRDefault="00421DCA" w:rsidP="00F35796">
      <w:r w:rsidRPr="00421DCA">
        <w:t>A UK study compared two doses of IgG i</w:t>
      </w:r>
      <w:r w:rsidR="003D20FC" w:rsidRPr="00421DCA">
        <w:t>n</w:t>
      </w:r>
      <w:r w:rsidRPr="00421DCA">
        <w:t xml:space="preserve"> in 34 CLL patients</w:t>
      </w:r>
      <w:r w:rsidR="003D20FC" w:rsidRPr="00421DCA">
        <w:t xml:space="preserve"> </w:t>
      </w:r>
      <w:r w:rsidR="00415ABC" w:rsidRPr="00421DCA">
        <w:fldChar w:fldCharType="begin"/>
      </w:r>
      <w:r w:rsidR="00896BE2" w:rsidRPr="00421DCA">
        <w:instrText xml:space="preserve"> ADDIN EN.CITE &lt;EndNote&gt;&lt;Cite&gt;&lt;Author&gt;Chapel&lt;/Author&gt;&lt;Year&gt;1994&lt;/Year&gt;&lt;RecNum&gt;47&lt;/RecNum&gt;&lt;DisplayText&gt;(Chapel et al. 1994a)&lt;/DisplayText&gt;&lt;record&gt;&lt;rec-number&gt;47&lt;/rec-number&gt;&lt;foreign-keys&gt;&lt;key app="EN" db-id="z0vwsepdwpt20pewwts5z9eup9e2r2pd2tad" timestamp="1554259107"&gt;47&lt;/key&gt;&lt;/foreign-keys&gt;&lt;ref-type name="Journal Article"&gt;17&lt;/ref-type&gt;&lt;contributors&gt;&lt;authors&gt;&lt;author&gt;Chapel, H. M.&lt;/author&gt;&lt;author&gt;Dicato, M.&lt;/author&gt;&lt;author&gt;Gamm, H.&lt;/author&gt;&lt;author&gt;Brennan, V.&lt;/author&gt;&lt;author&gt;Ries, F.&lt;/author&gt;&lt;author&gt;Bunch, C.&lt;/author&gt;&lt;author&gt;Lee, M.&lt;/author&gt;&lt;/authors&gt;&lt;/contributors&gt;&lt;auth-address&gt;Department of Immunology, John Radcliffe Hospital, Oxford.&lt;/auth-address&gt;&lt;titles&gt;&lt;title&gt;Immunoglobulin replacement in patients with chronic lymphocytic leukaemia: a comparison of two dose regimes&lt;/title&gt;&lt;secondary-title&gt;Br J Haematol&lt;/secondary-title&gt;&lt;/titles&gt;&lt;periodical&gt;&lt;full-title&gt;Br J Haematol&lt;/full-title&gt;&lt;/periodical&gt;&lt;pages&gt;209-12&lt;/pages&gt;&lt;volume&gt;88&lt;/volume&gt;&lt;number&gt;1&lt;/number&gt;&lt;edition&gt;1994/09/01&lt;/edition&gt;&lt;keywords&gt;&lt;keyword&gt;Aged&lt;/keyword&gt;&lt;keyword&gt;Critical Illness&lt;/keyword&gt;&lt;keyword&gt;Dose-Response Relationship, Immunologic&lt;/keyword&gt;&lt;keyword&gt;Double-Blind Method&lt;/keyword&gt;&lt;keyword&gt;Female&lt;/keyword&gt;&lt;keyword&gt;Humans&lt;/keyword&gt;&lt;keyword&gt;Immunoglobulin G/administration &amp;amp; dosage/ therapeutic use&lt;/keyword&gt;&lt;keyword&gt;Male&lt;/keyword&gt;&lt;keyword&gt;Middle Aged&lt;/keyword&gt;&lt;keyword&gt;Precursor Cell Lymphoblastic Leukemia-Lymphoma/ therapy&lt;/keyword&gt;&lt;keyword&gt;Treatment Outcome&lt;/keyword&gt;&lt;/keywords&gt;&lt;dates&gt;&lt;year&gt;1994&lt;/year&gt;&lt;pub-dates&gt;&lt;date&gt;Sep&lt;/date&gt;&lt;/pub-dates&gt;&lt;/dates&gt;&lt;isbn&gt;0007-1048 (Print)&amp;#xD;0007-1048 (Linking)&lt;/isbn&gt;&lt;accession-num&gt;7803248&lt;/accession-num&gt;&lt;urls&gt;&lt;/urls&gt;&lt;remote-database-provider&gt;NLM&lt;/remote-database-provider&gt;&lt;research-notes&gt;CLL dose comparison&lt;/research-notes&gt;&lt;language&gt;eng&lt;/language&gt;&lt;/record&gt;&lt;/Cite&gt;&lt;/EndNote&gt;</w:instrText>
      </w:r>
      <w:r w:rsidR="00415ABC" w:rsidRPr="00421DCA">
        <w:fldChar w:fldCharType="separate"/>
      </w:r>
      <w:r w:rsidR="00896BE2" w:rsidRPr="00421DCA">
        <w:rPr>
          <w:noProof/>
        </w:rPr>
        <w:t>(</w:t>
      </w:r>
      <w:hyperlink w:anchor="_ENREF_11" w:tooltip="Chapel, 1994 #47" w:history="1">
        <w:r w:rsidR="00BB0145" w:rsidRPr="00421DCA">
          <w:rPr>
            <w:noProof/>
          </w:rPr>
          <w:t>Chapel et al. 1994a</w:t>
        </w:r>
      </w:hyperlink>
      <w:r w:rsidR="00896BE2" w:rsidRPr="00421DCA">
        <w:rPr>
          <w:noProof/>
        </w:rPr>
        <w:t>)</w:t>
      </w:r>
      <w:r w:rsidR="00415ABC" w:rsidRPr="00421DCA">
        <w:fldChar w:fldCharType="end"/>
      </w:r>
      <w:r w:rsidRPr="00421DCA">
        <w:t>. N</w:t>
      </w:r>
      <w:r w:rsidR="003D20FC" w:rsidRPr="00421DCA">
        <w:t>o serious AEs were</w:t>
      </w:r>
      <w:r w:rsidR="003D20FC" w:rsidRPr="007D0AA8">
        <w:t xml:space="preserve"> observed</w:t>
      </w:r>
      <w:r>
        <w:t xml:space="preserve"> of 378 infusions</w:t>
      </w:r>
      <w:r w:rsidR="003D20FC" w:rsidRPr="007D0AA8">
        <w:t>, and of ten mild AEs that occurred</w:t>
      </w:r>
      <w:r w:rsidR="004521EA" w:rsidRPr="007D0AA8">
        <w:t>,</w:t>
      </w:r>
      <w:r w:rsidR="003D20FC" w:rsidRPr="007D0AA8">
        <w:t xml:space="preserve"> eight were in low dose patients and only two </w:t>
      </w:r>
      <w:r w:rsidR="004521EA" w:rsidRPr="007D0AA8">
        <w:t>in the</w:t>
      </w:r>
      <w:r w:rsidR="003D20FC" w:rsidRPr="007D0AA8">
        <w:t xml:space="preserve"> high dose IVIg group.  </w:t>
      </w:r>
    </w:p>
    <w:p w14:paraId="22677BFE" w14:textId="77777777" w:rsidR="00E8580A" w:rsidRPr="00386411" w:rsidRDefault="00E8580A" w:rsidP="00E8580A">
      <w:pPr>
        <w:pStyle w:val="Heading3"/>
      </w:pPr>
      <w:bookmarkStart w:id="277" w:name="_Toc14431140"/>
      <w:bookmarkStart w:id="278" w:name="_Toc16856308"/>
      <w:r w:rsidRPr="00386411">
        <w:t>Thromboembolic events (TEEs)</w:t>
      </w:r>
      <w:bookmarkEnd w:id="277"/>
      <w:bookmarkEnd w:id="278"/>
    </w:p>
    <w:p w14:paraId="38E7D127" w14:textId="753205FF" w:rsidR="00E8580A" w:rsidRPr="007D0AA8" w:rsidRDefault="00114624" w:rsidP="00E8580A">
      <w:bookmarkStart w:id="279" w:name="_Ref360617011"/>
      <w:r>
        <w:t>A US</w:t>
      </w:r>
      <w:r w:rsidR="00415ABC" w:rsidRPr="007D0AA8">
        <w:t xml:space="preserve"> registry study</w:t>
      </w:r>
      <w:r w:rsidRPr="007D0AA8">
        <w:t xml:space="preserve"> in </w:t>
      </w:r>
      <w:r>
        <w:t xml:space="preserve">over 10,000 </w:t>
      </w:r>
      <w:r w:rsidRPr="007D0AA8">
        <w:t xml:space="preserve">patients </w:t>
      </w:r>
      <w:r>
        <w:t>with CLL or MM</w:t>
      </w:r>
      <w:r w:rsidRPr="007D0AA8">
        <w:t xml:space="preserve"> </w:t>
      </w:r>
      <w:r w:rsidRPr="007D0AA8">
        <w:fldChar w:fldCharType="begin">
          <w:fldData xml:space="preserve">PEVuZE5vdGU+PENpdGU+PEF1dGhvcj5BbW1hbm48L0F1dGhvcj48WWVhcj4yMDE2PC9ZZWFyPjxS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</w:fldData>
        </w:fldChar>
      </w:r>
      <w:r w:rsidRPr="007D0AA8">
        <w:instrText xml:space="preserve"> ADDIN EN.CITE </w:instrText>
      </w:r>
      <w:r w:rsidRPr="007D0AA8">
        <w:fldChar w:fldCharType="begin">
          <w:fldData xml:space="preserve">PEVuZE5vdGU+PENpdGU+PEF1dGhvcj5BbW1hbm48L0F1dGhvcj48WWVhcj4yMDE2PC9ZZWFyPjxS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</w:fldData>
        </w:fldChar>
      </w:r>
      <w:r w:rsidRPr="007D0AA8">
        <w:instrText xml:space="preserve"> ADDIN EN.CITE.DATA </w:instrText>
      </w:r>
      <w:r w:rsidRPr="007D0AA8">
        <w:fldChar w:fldCharType="end"/>
      </w:r>
      <w:r w:rsidRPr="007D0AA8">
        <w:fldChar w:fldCharType="separate"/>
      </w:r>
      <w:r w:rsidRPr="007D0AA8">
        <w:rPr>
          <w:noProof/>
        </w:rPr>
        <w:t>(</w:t>
      </w:r>
      <w:hyperlink w:anchor="_ENREF_1" w:tooltip="Ammann, 2016 #1" w:history="1">
        <w:r w:rsidR="00BB0145" w:rsidRPr="007D0AA8">
          <w:rPr>
            <w:noProof/>
          </w:rPr>
          <w:t>Ammann et al. 2016</w:t>
        </w:r>
      </w:hyperlink>
      <w:r w:rsidRPr="007D0AA8">
        <w:rPr>
          <w:noProof/>
        </w:rPr>
        <w:t>)</w:t>
      </w:r>
      <w:r w:rsidRPr="007D0AA8">
        <w:fldChar w:fldCharType="end"/>
      </w:r>
      <w:r w:rsidR="005F30C2" w:rsidRPr="007D0AA8">
        <w:t xml:space="preserve"> investigated the risk of both arterial and venous</w:t>
      </w:r>
      <w:r w:rsidR="00E8580A" w:rsidRPr="007D0AA8">
        <w:t xml:space="preserve"> thromboembolic events (TEEs) </w:t>
      </w:r>
      <w:r w:rsidR="005F30C2" w:rsidRPr="007D0AA8">
        <w:t>associated with IgG administration</w:t>
      </w:r>
      <w:r>
        <w:t xml:space="preserve"> during 12 months of follow-up </w:t>
      </w:r>
      <w:r w:rsidR="005F30C2" w:rsidRPr="007D0AA8">
        <w:t>(</w:t>
      </w:r>
      <w:r w:rsidR="007623B8" w:rsidRPr="007D0AA8">
        <w:rPr>
          <w:highlight w:val="yellow"/>
        </w:rPr>
        <w:fldChar w:fldCharType="begin"/>
      </w:r>
      <w:r w:rsidR="007623B8" w:rsidRPr="007D0AA8">
        <w:instrText xml:space="preserve"> REF _Ref9248061 \h </w:instrText>
      </w:r>
      <w:r w:rsidR="00386411" w:rsidRPr="007D0AA8">
        <w:rPr>
          <w:highlight w:val="yellow"/>
        </w:rPr>
        <w:instrText xml:space="preserve"> \* MERGEFORMAT </w:instrText>
      </w:r>
      <w:r w:rsidR="007623B8" w:rsidRPr="007D0AA8">
        <w:rPr>
          <w:highlight w:val="yellow"/>
        </w:rPr>
      </w:r>
      <w:r w:rsidR="007623B8" w:rsidRPr="007D0AA8">
        <w:rPr>
          <w:highlight w:val="yellow"/>
        </w:rPr>
        <w:fldChar w:fldCharType="separate"/>
      </w:r>
      <w:r w:rsidR="00A7463B" w:rsidRPr="00386411">
        <w:t xml:space="preserve">Table </w:t>
      </w:r>
      <w:r w:rsidR="00A7463B">
        <w:rPr>
          <w:noProof/>
        </w:rPr>
        <w:t>20</w:t>
      </w:r>
      <w:r w:rsidR="007623B8" w:rsidRPr="007D0AA8">
        <w:rPr>
          <w:highlight w:val="yellow"/>
        </w:rPr>
        <w:fldChar w:fldCharType="end"/>
      </w:r>
      <w:r w:rsidR="005F30C2" w:rsidRPr="007D0AA8">
        <w:t>)</w:t>
      </w:r>
      <w:r w:rsidR="00E8580A" w:rsidRPr="007D0AA8">
        <w:t>.</w:t>
      </w:r>
    </w:p>
    <w:p w14:paraId="3815EDD2" w14:textId="17682632" w:rsidR="00E8580A" w:rsidRPr="00386411" w:rsidRDefault="007623B8" w:rsidP="00E8580A">
      <w:pPr>
        <w:pStyle w:val="Caption"/>
        <w:keepNext/>
        <w:rPr>
          <w:rFonts w:cs="Arial"/>
          <w:snapToGrid w:val="0"/>
          <w:szCs w:val="16"/>
          <w:lang w:eastAsia="en-US"/>
        </w:rPr>
      </w:pPr>
      <w:bookmarkStart w:id="280" w:name="_Ref9248061"/>
      <w:bookmarkStart w:id="281" w:name="_Toc14429563"/>
      <w:bookmarkStart w:id="282" w:name="_Toc16671618"/>
      <w:r w:rsidRPr="00386411">
        <w:t xml:space="preserve">Table </w:t>
      </w:r>
      <w:r w:rsidR="002E5B22" w:rsidRPr="00386411">
        <w:rPr>
          <w:noProof/>
        </w:rPr>
        <w:fldChar w:fldCharType="begin"/>
      </w:r>
      <w:r w:rsidR="002E5B22" w:rsidRPr="00386411">
        <w:rPr>
          <w:noProof/>
        </w:rPr>
        <w:instrText xml:space="preserve"> SEQ Table \* ARABIC </w:instrText>
      </w:r>
      <w:r w:rsidR="002E5B22" w:rsidRPr="00386411">
        <w:rPr>
          <w:noProof/>
        </w:rPr>
        <w:fldChar w:fldCharType="separate"/>
      </w:r>
      <w:r w:rsidR="00A7463B">
        <w:rPr>
          <w:noProof/>
        </w:rPr>
        <w:t>20</w:t>
      </w:r>
      <w:r w:rsidR="002E5B22" w:rsidRPr="00386411">
        <w:rPr>
          <w:noProof/>
        </w:rPr>
        <w:fldChar w:fldCharType="end"/>
      </w:r>
      <w:bookmarkEnd w:id="280"/>
      <w:r w:rsidRPr="00386411">
        <w:tab/>
      </w:r>
      <w:r w:rsidR="00E8580A" w:rsidRPr="00386411">
        <w:rPr>
          <w:rFonts w:cs="Arial"/>
          <w:snapToGrid w:val="0"/>
          <w:szCs w:val="16"/>
          <w:lang w:eastAsia="en-US"/>
        </w:rPr>
        <w:t>Studies presenting TEE outcomes</w:t>
      </w:r>
      <w:r w:rsidR="005F30C2" w:rsidRPr="00386411">
        <w:rPr>
          <w:rFonts w:cs="Arial"/>
          <w:snapToGrid w:val="0"/>
          <w:szCs w:val="16"/>
          <w:lang w:eastAsia="en-US"/>
        </w:rPr>
        <w:t xml:space="preserve"> – Ammann et al., 2016</w:t>
      </w:r>
      <w:bookmarkEnd w:id="281"/>
      <w:bookmarkEnd w:id="282"/>
    </w:p>
    <w:tbl>
      <w:tblPr>
        <w:tblW w:w="5043"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06"/>
        <w:gridCol w:w="2268"/>
        <w:gridCol w:w="1558"/>
        <w:gridCol w:w="1560"/>
        <w:gridCol w:w="1558"/>
        <w:gridCol w:w="1271"/>
      </w:tblGrid>
      <w:tr w:rsidR="00114624" w:rsidRPr="00386411" w14:paraId="664FD8A9" w14:textId="77777777" w:rsidTr="00B52A4F">
        <w:tc>
          <w:tcPr>
            <w:tcW w:w="593" w:type="pct"/>
            <w:tcBorders>
              <w:top w:val="single" w:sz="4" w:space="0" w:color="auto"/>
              <w:bottom w:val="single" w:sz="4" w:space="0" w:color="auto"/>
              <w:right w:val="single" w:sz="4" w:space="0" w:color="auto"/>
            </w:tcBorders>
            <w:shd w:val="clear" w:color="auto" w:fill="D9D9D9" w:themeFill="background1" w:themeFillShade="D9"/>
          </w:tcPr>
          <w:bookmarkEnd w:id="279"/>
          <w:p w14:paraId="3C517013" w14:textId="7E1D057D" w:rsidR="00114624" w:rsidRPr="00386411" w:rsidRDefault="00114624" w:rsidP="007D5317">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Study, Indication</w:t>
            </w:r>
          </w:p>
        </w:tc>
        <w:tc>
          <w:tcPr>
            <w:tcW w:w="12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455A21" w14:textId="6D484C5C" w:rsidR="00114624" w:rsidRPr="00386411" w:rsidRDefault="00114624" w:rsidP="007D5317">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Outcome</w:t>
            </w:r>
          </w:p>
        </w:tc>
        <w:tc>
          <w:tcPr>
            <w:tcW w:w="3191" w:type="pct"/>
            <w:gridSpan w:val="4"/>
            <w:tcBorders>
              <w:top w:val="single" w:sz="4" w:space="0" w:color="auto"/>
              <w:left w:val="single" w:sz="4" w:space="0" w:color="auto"/>
              <w:bottom w:val="single" w:sz="4" w:space="0" w:color="auto"/>
            </w:tcBorders>
            <w:shd w:val="clear" w:color="auto" w:fill="D9D9D9" w:themeFill="background1" w:themeFillShade="D9"/>
            <w:noWrap/>
          </w:tcPr>
          <w:p w14:paraId="5B339E61" w14:textId="7310454A" w:rsidR="00114624" w:rsidRPr="00386411" w:rsidRDefault="00114624" w:rsidP="00114624">
            <w:pPr>
              <w:spacing w:after="0" w:line="240" w:lineRule="auto"/>
              <w:jc w:val="center"/>
              <w:rPr>
                <w:rFonts w:ascii="Arial Narrow" w:hAnsi="Arial Narrow" w:cs="Calibri"/>
                <w:b/>
                <w:color w:val="000000"/>
                <w:sz w:val="20"/>
                <w:szCs w:val="20"/>
              </w:rPr>
            </w:pPr>
            <w:r w:rsidRPr="00386411">
              <w:rPr>
                <w:rFonts w:ascii="Arial Narrow" w:hAnsi="Arial Narrow" w:cs="Calibri"/>
                <w:b/>
                <w:color w:val="000000"/>
                <w:sz w:val="20"/>
                <w:szCs w:val="20"/>
              </w:rPr>
              <w:t>Results</w:t>
            </w:r>
          </w:p>
        </w:tc>
      </w:tr>
      <w:tr w:rsidR="00E8580A" w:rsidRPr="00386411" w14:paraId="557731A8" w14:textId="77777777" w:rsidTr="00B52A4F">
        <w:tc>
          <w:tcPr>
            <w:tcW w:w="593" w:type="pct"/>
            <w:tcBorders>
              <w:top w:val="single" w:sz="4" w:space="0" w:color="auto"/>
              <w:bottom w:val="single" w:sz="4" w:space="0" w:color="auto"/>
              <w:right w:val="single" w:sz="4" w:space="0" w:color="auto"/>
            </w:tcBorders>
            <w:shd w:val="clear" w:color="auto" w:fill="D9D9D9" w:themeFill="background1" w:themeFillShade="D9"/>
          </w:tcPr>
          <w:p w14:paraId="374FCFF4" w14:textId="77777777" w:rsidR="00E8580A" w:rsidRPr="00386411" w:rsidRDefault="00E8580A" w:rsidP="00114624">
            <w:pPr>
              <w:spacing w:after="0" w:line="240" w:lineRule="auto"/>
              <w:jc w:val="left"/>
              <w:rPr>
                <w:rFonts w:ascii="Arial Narrow" w:hAnsi="Arial Narrow" w:cs="Calibri"/>
                <w:b/>
                <w:color w:val="000000"/>
                <w:sz w:val="20"/>
                <w:szCs w:val="20"/>
              </w:rPr>
            </w:pPr>
            <w:r w:rsidRPr="00386411">
              <w:rPr>
                <w:rFonts w:ascii="Arial Narrow" w:hAnsi="Arial Narrow" w:cs="Calibri"/>
                <w:b/>
                <w:color w:val="000000"/>
                <w:sz w:val="20"/>
                <w:szCs w:val="20"/>
              </w:rPr>
              <w:t>Ammann 2016</w:t>
            </w:r>
          </w:p>
        </w:tc>
        <w:tc>
          <w:tcPr>
            <w:tcW w:w="12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E98655" w14:textId="668AE9AD" w:rsidR="00E8580A" w:rsidRPr="00386411" w:rsidRDefault="00E8580A" w:rsidP="00114624">
            <w:pPr>
              <w:spacing w:after="0" w:line="240" w:lineRule="auto"/>
              <w:jc w:val="left"/>
              <w:rPr>
                <w:rFonts w:ascii="Arial Narrow" w:hAnsi="Arial Narrow"/>
                <w:b/>
                <w:sz w:val="20"/>
                <w:szCs w:val="20"/>
              </w:rPr>
            </w:pPr>
            <w:r w:rsidRPr="00386411">
              <w:rPr>
                <w:rFonts w:ascii="Arial Narrow" w:hAnsi="Arial Narrow"/>
                <w:b/>
                <w:sz w:val="20"/>
                <w:szCs w:val="20"/>
              </w:rPr>
              <w:t xml:space="preserve">Event rate differences (propensity matched data) </w:t>
            </w:r>
            <w:r w:rsidR="00E46D25" w:rsidRPr="00386411">
              <w:rPr>
                <w:rFonts w:ascii="Arial Narrow" w:hAnsi="Arial Narrow"/>
                <w:b/>
                <w:sz w:val="20"/>
                <w:szCs w:val="20"/>
              </w:rPr>
              <w:t>–</w:t>
            </w:r>
            <w:r w:rsidRPr="00386411">
              <w:rPr>
                <w:rFonts w:ascii="Arial Narrow" w:hAnsi="Arial Narrow"/>
                <w:b/>
                <w:sz w:val="20"/>
                <w:szCs w:val="20"/>
              </w:rPr>
              <w:t xml:space="preserve"> 12 mo of monthly IVIg</w:t>
            </w:r>
          </w:p>
        </w:tc>
        <w:tc>
          <w:tcPr>
            <w:tcW w:w="836" w:type="pct"/>
            <w:tcBorders>
              <w:top w:val="single" w:sz="4" w:space="0" w:color="auto"/>
              <w:left w:val="single" w:sz="4" w:space="0" w:color="auto"/>
              <w:bottom w:val="single" w:sz="4" w:space="0" w:color="auto"/>
            </w:tcBorders>
            <w:shd w:val="clear" w:color="auto" w:fill="D9D9D9" w:themeFill="background1" w:themeFillShade="D9"/>
            <w:noWrap/>
          </w:tcPr>
          <w:p w14:paraId="18D31152" w14:textId="78A3BC22" w:rsidR="00E8580A" w:rsidRPr="00386411" w:rsidRDefault="00E8580A" w:rsidP="00114624">
            <w:pPr>
              <w:spacing w:after="0" w:line="240" w:lineRule="auto"/>
              <w:jc w:val="left"/>
              <w:rPr>
                <w:rFonts w:ascii="Arial Narrow" w:hAnsi="Arial Narrow" w:cs="Calibri"/>
                <w:b/>
                <w:color w:val="000000"/>
                <w:sz w:val="20"/>
                <w:szCs w:val="20"/>
              </w:rPr>
            </w:pPr>
            <w:r w:rsidRPr="00386411">
              <w:rPr>
                <w:rFonts w:ascii="Arial Narrow" w:hAnsi="Arial Narrow"/>
                <w:b/>
                <w:sz w:val="20"/>
                <w:szCs w:val="20"/>
              </w:rPr>
              <w:t xml:space="preserve">% 1-yr </w:t>
            </w:r>
            <w:r w:rsidR="00201054" w:rsidRPr="00386411">
              <w:rPr>
                <w:rFonts w:ascii="Arial Narrow" w:hAnsi="Arial Narrow"/>
                <w:b/>
                <w:sz w:val="20"/>
                <w:szCs w:val="20"/>
              </w:rPr>
              <w:t>incidence (</w:t>
            </w:r>
            <w:r w:rsidRPr="00386411">
              <w:rPr>
                <w:rFonts w:ascii="Arial Narrow" w:hAnsi="Arial Narrow"/>
                <w:b/>
                <w:sz w:val="20"/>
                <w:szCs w:val="20"/>
              </w:rPr>
              <w:t>cumulative</w:t>
            </w:r>
            <w:r w:rsidR="00201054" w:rsidRPr="00386411">
              <w:rPr>
                <w:rFonts w:ascii="Arial Narrow" w:hAnsi="Arial Narrow"/>
                <w:b/>
                <w:sz w:val="20"/>
                <w:szCs w:val="20"/>
              </w:rPr>
              <w:t>)</w:t>
            </w:r>
            <w:r w:rsidRPr="00386411">
              <w:rPr>
                <w:rFonts w:ascii="Arial Narrow" w:hAnsi="Arial Narrow"/>
                <w:b/>
                <w:sz w:val="20"/>
                <w:szCs w:val="20"/>
              </w:rPr>
              <w:t xml:space="preserve"> in unexposed</w:t>
            </w:r>
          </w:p>
        </w:tc>
        <w:tc>
          <w:tcPr>
            <w:tcW w:w="837" w:type="pct"/>
            <w:tcBorders>
              <w:top w:val="single" w:sz="4" w:space="0" w:color="auto"/>
              <w:bottom w:val="single" w:sz="4" w:space="0" w:color="auto"/>
            </w:tcBorders>
            <w:shd w:val="clear" w:color="auto" w:fill="D9D9D9" w:themeFill="background1" w:themeFillShade="D9"/>
            <w:noWrap/>
          </w:tcPr>
          <w:p w14:paraId="744C313B" w14:textId="3A864441" w:rsidR="00E8580A" w:rsidRPr="00386411" w:rsidRDefault="00157B14" w:rsidP="00114624">
            <w:pPr>
              <w:spacing w:after="0" w:line="240" w:lineRule="auto"/>
              <w:jc w:val="left"/>
              <w:rPr>
                <w:rFonts w:ascii="Arial Narrow" w:hAnsi="Arial Narrow" w:cs="Calibri"/>
                <w:b/>
                <w:color w:val="000000"/>
                <w:sz w:val="20"/>
                <w:szCs w:val="20"/>
              </w:rPr>
            </w:pPr>
            <w:r w:rsidRPr="00386411">
              <w:rPr>
                <w:rFonts w:ascii="Arial Narrow" w:hAnsi="Arial Narrow"/>
                <w:b/>
                <w:sz w:val="20"/>
                <w:szCs w:val="20"/>
              </w:rPr>
              <w:t>HR, d0-30 after IgG</w:t>
            </w:r>
            <w:r w:rsidR="00E8580A" w:rsidRPr="00386411">
              <w:rPr>
                <w:rFonts w:ascii="Arial Narrow" w:hAnsi="Arial Narrow"/>
                <w:b/>
                <w:sz w:val="20"/>
                <w:szCs w:val="20"/>
              </w:rPr>
              <w:t xml:space="preserve"> (95% CI)</w:t>
            </w:r>
          </w:p>
        </w:tc>
        <w:tc>
          <w:tcPr>
            <w:tcW w:w="836" w:type="pct"/>
            <w:tcBorders>
              <w:top w:val="single" w:sz="4" w:space="0" w:color="auto"/>
              <w:bottom w:val="single" w:sz="4" w:space="0" w:color="auto"/>
            </w:tcBorders>
            <w:shd w:val="clear" w:color="auto" w:fill="D9D9D9" w:themeFill="background1" w:themeFillShade="D9"/>
          </w:tcPr>
          <w:p w14:paraId="2A099859" w14:textId="77777777" w:rsidR="00E8580A" w:rsidRPr="00386411" w:rsidRDefault="00E8580A" w:rsidP="00114624">
            <w:pPr>
              <w:spacing w:after="0" w:line="240" w:lineRule="auto"/>
              <w:jc w:val="left"/>
              <w:rPr>
                <w:rFonts w:ascii="Arial Narrow" w:hAnsi="Arial Narrow" w:cs="Calibri"/>
                <w:b/>
                <w:color w:val="000000"/>
                <w:sz w:val="20"/>
                <w:szCs w:val="20"/>
              </w:rPr>
            </w:pPr>
            <w:r w:rsidRPr="00386411">
              <w:rPr>
                <w:rFonts w:ascii="Arial Narrow" w:hAnsi="Arial Narrow"/>
                <w:b/>
                <w:sz w:val="20"/>
                <w:szCs w:val="20"/>
              </w:rPr>
              <w:t>% Risk difference (95% CI), 1 yr tx</w:t>
            </w:r>
          </w:p>
        </w:tc>
        <w:tc>
          <w:tcPr>
            <w:tcW w:w="682" w:type="pct"/>
            <w:tcBorders>
              <w:top w:val="single" w:sz="4" w:space="0" w:color="auto"/>
              <w:bottom w:val="single" w:sz="4" w:space="0" w:color="auto"/>
            </w:tcBorders>
            <w:shd w:val="clear" w:color="auto" w:fill="D9D9D9" w:themeFill="background1" w:themeFillShade="D9"/>
          </w:tcPr>
          <w:p w14:paraId="4D26682C" w14:textId="77777777" w:rsidR="00E8580A" w:rsidRPr="00386411" w:rsidRDefault="00E8580A" w:rsidP="00114624">
            <w:pPr>
              <w:spacing w:after="0" w:line="240" w:lineRule="auto"/>
              <w:jc w:val="left"/>
              <w:rPr>
                <w:rFonts w:ascii="Arial Narrow" w:hAnsi="Arial Narrow" w:cs="Calibri"/>
                <w:b/>
                <w:color w:val="000000"/>
                <w:sz w:val="20"/>
                <w:szCs w:val="20"/>
              </w:rPr>
            </w:pPr>
            <w:r w:rsidRPr="00386411">
              <w:rPr>
                <w:rFonts w:ascii="Arial Narrow" w:hAnsi="Arial Narrow"/>
                <w:b/>
                <w:sz w:val="20"/>
                <w:szCs w:val="20"/>
              </w:rPr>
              <w:t>NNH (95% CI), 1 yr tx</w:t>
            </w:r>
          </w:p>
        </w:tc>
      </w:tr>
      <w:tr w:rsidR="00E8580A" w:rsidRPr="007D0AA8" w14:paraId="666647F7" w14:textId="77777777" w:rsidTr="00114624">
        <w:tc>
          <w:tcPr>
            <w:tcW w:w="593" w:type="pct"/>
            <w:tcBorders>
              <w:top w:val="single" w:sz="4" w:space="0" w:color="auto"/>
              <w:right w:val="single" w:sz="4" w:space="0" w:color="auto"/>
            </w:tcBorders>
            <w:vAlign w:val="bottom"/>
          </w:tcPr>
          <w:p w14:paraId="16B3DB2F" w14:textId="77777777" w:rsidR="00E66904" w:rsidRPr="007D0AA8" w:rsidRDefault="00E66904" w:rsidP="00E66904">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CLL</w:t>
            </w:r>
          </w:p>
          <w:p w14:paraId="58B8D36B" w14:textId="0CEC4E14" w:rsidR="00E8580A" w:rsidRPr="007D0AA8" w:rsidRDefault="00E66904" w:rsidP="00E66904">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MM</w:t>
            </w:r>
          </w:p>
        </w:tc>
        <w:tc>
          <w:tcPr>
            <w:tcW w:w="1216" w:type="pct"/>
            <w:tcBorders>
              <w:top w:val="single" w:sz="4" w:space="0" w:color="auto"/>
              <w:left w:val="single" w:sz="4" w:space="0" w:color="auto"/>
              <w:bottom w:val="nil"/>
              <w:right w:val="single" w:sz="4" w:space="0" w:color="auto"/>
            </w:tcBorders>
          </w:tcPr>
          <w:p w14:paraId="4593A476" w14:textId="130FB142" w:rsidR="00E8580A" w:rsidRPr="007D0AA8" w:rsidRDefault="00E8580A" w:rsidP="007D5317">
            <w:pPr>
              <w:spacing w:after="0" w:line="240" w:lineRule="auto"/>
              <w:rPr>
                <w:rFonts w:ascii="Arial Narrow" w:hAnsi="Arial Narrow"/>
                <w:sz w:val="20"/>
                <w:szCs w:val="20"/>
              </w:rPr>
            </w:pPr>
            <w:r w:rsidRPr="007D0AA8">
              <w:rPr>
                <w:rFonts w:ascii="Arial Narrow" w:hAnsi="Arial Narrow"/>
                <w:sz w:val="20"/>
                <w:szCs w:val="20"/>
              </w:rPr>
              <w:t>Arterial TEE (AMI or isch</w:t>
            </w:r>
            <w:r w:rsidR="005570ED" w:rsidRPr="007D0AA8">
              <w:rPr>
                <w:rFonts w:ascii="Arial Narrow" w:hAnsi="Arial Narrow"/>
                <w:sz w:val="20"/>
                <w:szCs w:val="20"/>
              </w:rPr>
              <w:t>a</w:t>
            </w:r>
            <w:r w:rsidRPr="007D0AA8">
              <w:rPr>
                <w:rFonts w:ascii="Arial Narrow" w:hAnsi="Arial Narrow"/>
                <w:sz w:val="20"/>
                <w:szCs w:val="20"/>
              </w:rPr>
              <w:t>emic stroke)</w:t>
            </w:r>
          </w:p>
        </w:tc>
        <w:tc>
          <w:tcPr>
            <w:tcW w:w="836" w:type="pct"/>
            <w:tcBorders>
              <w:top w:val="single" w:sz="4" w:space="0" w:color="auto"/>
              <w:left w:val="single" w:sz="4" w:space="0" w:color="auto"/>
              <w:bottom w:val="nil"/>
            </w:tcBorders>
            <w:shd w:val="clear" w:color="auto" w:fill="auto"/>
            <w:noWrap/>
          </w:tcPr>
          <w:p w14:paraId="4C190E9F" w14:textId="77777777" w:rsidR="00E8580A" w:rsidRPr="007D0AA8" w:rsidRDefault="00E8580A" w:rsidP="007D5317">
            <w:pPr>
              <w:spacing w:after="0" w:line="240" w:lineRule="auto"/>
              <w:rPr>
                <w:rFonts w:ascii="Arial Narrow" w:hAnsi="Arial Narrow" w:cs="Calibri"/>
                <w:color w:val="000000"/>
                <w:sz w:val="20"/>
                <w:szCs w:val="20"/>
              </w:rPr>
            </w:pPr>
            <w:r w:rsidRPr="007D0AA8">
              <w:rPr>
                <w:rFonts w:ascii="Arial Narrow" w:hAnsi="Arial Narrow"/>
                <w:sz w:val="20"/>
                <w:szCs w:val="20"/>
              </w:rPr>
              <w:t>1.8</w:t>
            </w:r>
          </w:p>
        </w:tc>
        <w:tc>
          <w:tcPr>
            <w:tcW w:w="837" w:type="pct"/>
            <w:tcBorders>
              <w:top w:val="single" w:sz="4" w:space="0" w:color="auto"/>
              <w:bottom w:val="nil"/>
            </w:tcBorders>
            <w:shd w:val="clear" w:color="auto" w:fill="auto"/>
            <w:noWrap/>
          </w:tcPr>
          <w:p w14:paraId="7852B5BC" w14:textId="77777777" w:rsidR="00E8580A" w:rsidRPr="007D0AA8" w:rsidRDefault="00E8580A" w:rsidP="007D5317">
            <w:pPr>
              <w:spacing w:after="0" w:line="240" w:lineRule="auto"/>
              <w:rPr>
                <w:rFonts w:ascii="Arial Narrow" w:hAnsi="Arial Narrow" w:cs="Calibri"/>
                <w:color w:val="000000"/>
                <w:sz w:val="20"/>
                <w:szCs w:val="20"/>
              </w:rPr>
            </w:pPr>
            <w:r w:rsidRPr="007D0AA8">
              <w:rPr>
                <w:rFonts w:ascii="Arial Narrow" w:hAnsi="Arial Narrow"/>
                <w:sz w:val="20"/>
                <w:szCs w:val="20"/>
              </w:rPr>
              <w:t>1.38 (0.89, 2.14)</w:t>
            </w:r>
          </w:p>
        </w:tc>
        <w:tc>
          <w:tcPr>
            <w:tcW w:w="836" w:type="pct"/>
            <w:tcBorders>
              <w:top w:val="single" w:sz="4" w:space="0" w:color="auto"/>
              <w:bottom w:val="nil"/>
            </w:tcBorders>
          </w:tcPr>
          <w:p w14:paraId="1812F48C" w14:textId="77777777" w:rsidR="00E8580A" w:rsidRPr="007D0AA8" w:rsidRDefault="00E8580A" w:rsidP="007D5317">
            <w:pPr>
              <w:spacing w:after="0" w:line="240" w:lineRule="auto"/>
              <w:rPr>
                <w:rFonts w:ascii="Arial Narrow" w:hAnsi="Arial Narrow" w:cs="Calibri"/>
                <w:color w:val="000000"/>
                <w:sz w:val="20"/>
                <w:szCs w:val="20"/>
              </w:rPr>
            </w:pPr>
            <w:r w:rsidRPr="007D0AA8">
              <w:rPr>
                <w:rFonts w:ascii="Arial Narrow" w:hAnsi="Arial Narrow"/>
                <w:sz w:val="20"/>
                <w:szCs w:val="20"/>
              </w:rPr>
              <w:t>0.7 (-0.2, 2.0)</w:t>
            </w:r>
          </w:p>
        </w:tc>
        <w:tc>
          <w:tcPr>
            <w:tcW w:w="682" w:type="pct"/>
            <w:tcBorders>
              <w:top w:val="single" w:sz="4" w:space="0" w:color="auto"/>
              <w:bottom w:val="nil"/>
            </w:tcBorders>
          </w:tcPr>
          <w:p w14:paraId="2A3C4D17" w14:textId="77777777" w:rsidR="00E8580A" w:rsidRPr="007D0AA8" w:rsidRDefault="00E8580A" w:rsidP="007D5317">
            <w:pPr>
              <w:spacing w:after="0" w:line="240" w:lineRule="auto"/>
              <w:rPr>
                <w:rFonts w:ascii="Arial Narrow" w:hAnsi="Arial Narrow" w:cs="Calibri"/>
                <w:color w:val="000000"/>
                <w:sz w:val="20"/>
                <w:szCs w:val="20"/>
              </w:rPr>
            </w:pPr>
            <w:r w:rsidRPr="007D0AA8">
              <w:rPr>
                <w:rFonts w:ascii="Arial Narrow" w:hAnsi="Arial Narrow"/>
                <w:sz w:val="20"/>
                <w:szCs w:val="20"/>
              </w:rPr>
              <w:t>150 (50, ∞)</w:t>
            </w:r>
          </w:p>
        </w:tc>
      </w:tr>
      <w:tr w:rsidR="00E8580A" w:rsidRPr="007D0AA8" w14:paraId="5133F566" w14:textId="77777777" w:rsidTr="00114624">
        <w:tc>
          <w:tcPr>
            <w:tcW w:w="593" w:type="pct"/>
            <w:tcBorders>
              <w:right w:val="single" w:sz="4" w:space="0" w:color="auto"/>
            </w:tcBorders>
            <w:vAlign w:val="bottom"/>
          </w:tcPr>
          <w:p w14:paraId="7CE3BC0C" w14:textId="77777777" w:rsidR="00E8580A" w:rsidRPr="007D0AA8" w:rsidRDefault="00E8580A" w:rsidP="007D5317">
            <w:pPr>
              <w:spacing w:after="0" w:line="240" w:lineRule="auto"/>
              <w:rPr>
                <w:rFonts w:ascii="Arial Narrow" w:hAnsi="Arial Narrow" w:cs="Calibri"/>
                <w:color w:val="000000"/>
                <w:sz w:val="20"/>
                <w:szCs w:val="20"/>
              </w:rPr>
            </w:pPr>
          </w:p>
        </w:tc>
        <w:tc>
          <w:tcPr>
            <w:tcW w:w="1216" w:type="pct"/>
            <w:tcBorders>
              <w:top w:val="nil"/>
              <w:left w:val="single" w:sz="4" w:space="0" w:color="auto"/>
              <w:bottom w:val="nil"/>
              <w:right w:val="single" w:sz="4" w:space="0" w:color="auto"/>
            </w:tcBorders>
          </w:tcPr>
          <w:p w14:paraId="47B21916" w14:textId="77777777" w:rsidR="00E8580A" w:rsidRPr="007D0AA8" w:rsidRDefault="00E8580A" w:rsidP="007D5317">
            <w:pPr>
              <w:spacing w:after="0" w:line="240" w:lineRule="auto"/>
              <w:rPr>
                <w:rFonts w:ascii="Arial Narrow" w:hAnsi="Arial Narrow"/>
                <w:sz w:val="20"/>
                <w:szCs w:val="20"/>
              </w:rPr>
            </w:pPr>
            <w:r w:rsidRPr="007D0AA8">
              <w:rPr>
                <w:rFonts w:ascii="Arial Narrow" w:hAnsi="Arial Narrow"/>
                <w:sz w:val="20"/>
                <w:szCs w:val="20"/>
              </w:rPr>
              <w:t>Venous TEE (DVT or PE)</w:t>
            </w:r>
          </w:p>
        </w:tc>
        <w:tc>
          <w:tcPr>
            <w:tcW w:w="836" w:type="pct"/>
            <w:tcBorders>
              <w:top w:val="nil"/>
              <w:left w:val="single" w:sz="4" w:space="0" w:color="auto"/>
              <w:bottom w:val="nil"/>
            </w:tcBorders>
            <w:shd w:val="clear" w:color="auto" w:fill="auto"/>
            <w:noWrap/>
          </w:tcPr>
          <w:p w14:paraId="16793D3B" w14:textId="77777777" w:rsidR="00E8580A" w:rsidRPr="007D0AA8" w:rsidRDefault="00E8580A" w:rsidP="007D5317">
            <w:pPr>
              <w:spacing w:after="0" w:line="240" w:lineRule="auto"/>
              <w:rPr>
                <w:rFonts w:ascii="Arial Narrow" w:hAnsi="Arial Narrow" w:cs="Calibri"/>
                <w:color w:val="000000"/>
                <w:sz w:val="20"/>
                <w:szCs w:val="20"/>
              </w:rPr>
            </w:pPr>
            <w:r w:rsidRPr="007D0AA8">
              <w:rPr>
                <w:rFonts w:ascii="Arial Narrow" w:hAnsi="Arial Narrow"/>
                <w:sz w:val="20"/>
                <w:szCs w:val="20"/>
              </w:rPr>
              <w:t>1.1</w:t>
            </w:r>
          </w:p>
        </w:tc>
        <w:tc>
          <w:tcPr>
            <w:tcW w:w="837" w:type="pct"/>
            <w:tcBorders>
              <w:top w:val="nil"/>
              <w:bottom w:val="nil"/>
            </w:tcBorders>
            <w:shd w:val="clear" w:color="auto" w:fill="auto"/>
            <w:noWrap/>
          </w:tcPr>
          <w:p w14:paraId="442ECAEA" w14:textId="77777777" w:rsidR="00E8580A" w:rsidRPr="007D0AA8" w:rsidRDefault="00E8580A" w:rsidP="007D5317">
            <w:pPr>
              <w:spacing w:after="0" w:line="240" w:lineRule="auto"/>
              <w:rPr>
                <w:rFonts w:ascii="Arial Narrow" w:hAnsi="Arial Narrow" w:cs="Calibri"/>
                <w:color w:val="000000"/>
                <w:sz w:val="20"/>
                <w:szCs w:val="20"/>
              </w:rPr>
            </w:pPr>
            <w:r w:rsidRPr="007D0AA8">
              <w:rPr>
                <w:rFonts w:ascii="Arial Narrow" w:hAnsi="Arial Narrow"/>
                <w:sz w:val="20"/>
                <w:szCs w:val="20"/>
              </w:rPr>
              <w:t>1.27 (0.67, 2.41)</w:t>
            </w:r>
          </w:p>
        </w:tc>
        <w:tc>
          <w:tcPr>
            <w:tcW w:w="836" w:type="pct"/>
            <w:tcBorders>
              <w:top w:val="nil"/>
              <w:bottom w:val="nil"/>
            </w:tcBorders>
          </w:tcPr>
          <w:p w14:paraId="522B3B9D" w14:textId="77777777" w:rsidR="00E8580A" w:rsidRPr="007D0AA8" w:rsidRDefault="00E8580A" w:rsidP="007D5317">
            <w:pPr>
              <w:spacing w:after="0" w:line="240" w:lineRule="auto"/>
              <w:rPr>
                <w:rFonts w:ascii="Arial Narrow" w:hAnsi="Arial Narrow" w:cs="Calibri"/>
                <w:color w:val="000000"/>
                <w:sz w:val="20"/>
                <w:szCs w:val="20"/>
              </w:rPr>
            </w:pPr>
            <w:r w:rsidRPr="007D0AA8">
              <w:rPr>
                <w:rFonts w:ascii="Arial Narrow" w:hAnsi="Arial Narrow"/>
                <w:sz w:val="20"/>
                <w:szCs w:val="20"/>
              </w:rPr>
              <w:t>0.3 (-0.4, 1.5)</w:t>
            </w:r>
          </w:p>
        </w:tc>
        <w:tc>
          <w:tcPr>
            <w:tcW w:w="682" w:type="pct"/>
            <w:tcBorders>
              <w:top w:val="nil"/>
              <w:bottom w:val="nil"/>
            </w:tcBorders>
          </w:tcPr>
          <w:p w14:paraId="5F9AD03F" w14:textId="77777777" w:rsidR="00E8580A" w:rsidRPr="007D0AA8" w:rsidRDefault="00E8580A" w:rsidP="007D5317">
            <w:pPr>
              <w:spacing w:after="0" w:line="240" w:lineRule="auto"/>
              <w:rPr>
                <w:rFonts w:ascii="Arial Narrow" w:hAnsi="Arial Narrow" w:cs="Calibri"/>
                <w:color w:val="000000"/>
                <w:sz w:val="20"/>
                <w:szCs w:val="20"/>
              </w:rPr>
            </w:pPr>
            <w:r w:rsidRPr="007D0AA8">
              <w:rPr>
                <w:rFonts w:ascii="Arial Narrow" w:hAnsi="Arial Narrow"/>
                <w:sz w:val="20"/>
                <w:szCs w:val="20"/>
              </w:rPr>
              <w:t>340 (66, ∞)</w:t>
            </w:r>
          </w:p>
        </w:tc>
      </w:tr>
      <w:tr w:rsidR="00E8580A" w:rsidRPr="007D0AA8" w14:paraId="0C7CFD4B" w14:textId="77777777" w:rsidTr="00114624">
        <w:tc>
          <w:tcPr>
            <w:tcW w:w="593" w:type="pct"/>
            <w:tcBorders>
              <w:right w:val="single" w:sz="4" w:space="0" w:color="auto"/>
            </w:tcBorders>
            <w:vAlign w:val="bottom"/>
          </w:tcPr>
          <w:p w14:paraId="515A3534" w14:textId="77777777" w:rsidR="00E8580A" w:rsidRPr="007D0AA8" w:rsidRDefault="00E8580A" w:rsidP="007D5317">
            <w:pPr>
              <w:spacing w:after="0" w:line="240" w:lineRule="auto"/>
              <w:rPr>
                <w:rFonts w:ascii="Arial Narrow" w:hAnsi="Arial Narrow" w:cs="Calibri"/>
                <w:color w:val="000000"/>
                <w:sz w:val="20"/>
                <w:szCs w:val="20"/>
              </w:rPr>
            </w:pPr>
          </w:p>
        </w:tc>
        <w:tc>
          <w:tcPr>
            <w:tcW w:w="1216" w:type="pct"/>
            <w:tcBorders>
              <w:top w:val="nil"/>
              <w:left w:val="single" w:sz="4" w:space="0" w:color="auto"/>
              <w:bottom w:val="single" w:sz="4" w:space="0" w:color="auto"/>
              <w:right w:val="single" w:sz="4" w:space="0" w:color="auto"/>
            </w:tcBorders>
          </w:tcPr>
          <w:p w14:paraId="0CB7DBFE" w14:textId="77777777" w:rsidR="00E8580A" w:rsidRPr="007D0AA8" w:rsidRDefault="00E8580A" w:rsidP="007D5317">
            <w:pPr>
              <w:spacing w:after="0" w:line="240" w:lineRule="auto"/>
              <w:rPr>
                <w:rFonts w:ascii="Arial Narrow" w:hAnsi="Arial Narrow"/>
                <w:sz w:val="20"/>
                <w:szCs w:val="20"/>
              </w:rPr>
            </w:pPr>
            <w:r w:rsidRPr="007D0AA8">
              <w:rPr>
                <w:rFonts w:ascii="Arial Narrow" w:hAnsi="Arial Narrow"/>
                <w:sz w:val="20"/>
                <w:szCs w:val="20"/>
              </w:rPr>
              <w:t>Composite end point (arterial or venous TEE)</w:t>
            </w:r>
          </w:p>
        </w:tc>
        <w:tc>
          <w:tcPr>
            <w:tcW w:w="836" w:type="pct"/>
            <w:tcBorders>
              <w:top w:val="nil"/>
              <w:left w:val="single" w:sz="4" w:space="0" w:color="auto"/>
              <w:bottom w:val="single" w:sz="4" w:space="0" w:color="auto"/>
            </w:tcBorders>
            <w:shd w:val="clear" w:color="auto" w:fill="auto"/>
            <w:noWrap/>
          </w:tcPr>
          <w:p w14:paraId="047F596C" w14:textId="77777777" w:rsidR="00E8580A" w:rsidRPr="007D0AA8" w:rsidRDefault="00E8580A" w:rsidP="007D5317">
            <w:pPr>
              <w:spacing w:after="0" w:line="240" w:lineRule="auto"/>
              <w:rPr>
                <w:rFonts w:ascii="Arial Narrow" w:hAnsi="Arial Narrow" w:cs="Calibri"/>
                <w:color w:val="000000"/>
                <w:sz w:val="20"/>
                <w:szCs w:val="20"/>
              </w:rPr>
            </w:pPr>
            <w:r w:rsidRPr="007D0AA8">
              <w:rPr>
                <w:rFonts w:ascii="Arial Narrow" w:hAnsi="Arial Narrow"/>
                <w:sz w:val="20"/>
                <w:szCs w:val="20"/>
              </w:rPr>
              <w:t>2.9</w:t>
            </w:r>
          </w:p>
        </w:tc>
        <w:tc>
          <w:tcPr>
            <w:tcW w:w="837" w:type="pct"/>
            <w:tcBorders>
              <w:top w:val="nil"/>
              <w:bottom w:val="single" w:sz="4" w:space="0" w:color="auto"/>
            </w:tcBorders>
            <w:shd w:val="clear" w:color="auto" w:fill="auto"/>
            <w:noWrap/>
          </w:tcPr>
          <w:p w14:paraId="249635EA" w14:textId="77777777" w:rsidR="00E8580A" w:rsidRPr="007D0AA8" w:rsidRDefault="00E8580A" w:rsidP="007D5317">
            <w:pPr>
              <w:spacing w:after="0" w:line="240" w:lineRule="auto"/>
              <w:rPr>
                <w:rFonts w:ascii="Arial Narrow" w:hAnsi="Arial Narrow" w:cs="Calibri"/>
                <w:color w:val="000000"/>
                <w:sz w:val="20"/>
                <w:szCs w:val="20"/>
              </w:rPr>
            </w:pPr>
            <w:r w:rsidRPr="007D0AA8">
              <w:rPr>
                <w:rFonts w:ascii="Arial Narrow" w:hAnsi="Arial Narrow"/>
                <w:sz w:val="20"/>
                <w:szCs w:val="20"/>
              </w:rPr>
              <w:t>1.36 (0.95, 1.96)</w:t>
            </w:r>
          </w:p>
        </w:tc>
        <w:tc>
          <w:tcPr>
            <w:tcW w:w="836" w:type="pct"/>
            <w:tcBorders>
              <w:top w:val="nil"/>
              <w:bottom w:val="single" w:sz="4" w:space="0" w:color="auto"/>
            </w:tcBorders>
          </w:tcPr>
          <w:p w14:paraId="319F15E5" w14:textId="77777777" w:rsidR="00E8580A" w:rsidRPr="007D0AA8" w:rsidRDefault="00E8580A" w:rsidP="007D5317">
            <w:pPr>
              <w:spacing w:after="0" w:line="240" w:lineRule="auto"/>
              <w:rPr>
                <w:rFonts w:ascii="Arial Narrow" w:hAnsi="Arial Narrow" w:cs="Calibri"/>
                <w:color w:val="000000"/>
                <w:sz w:val="20"/>
                <w:szCs w:val="20"/>
              </w:rPr>
            </w:pPr>
            <w:r w:rsidRPr="007D0AA8">
              <w:rPr>
                <w:rFonts w:ascii="Arial Narrow" w:hAnsi="Arial Narrow"/>
                <w:sz w:val="20"/>
                <w:szCs w:val="20"/>
              </w:rPr>
              <w:t>1.0 (-0.2, 2.7)</w:t>
            </w:r>
          </w:p>
        </w:tc>
        <w:tc>
          <w:tcPr>
            <w:tcW w:w="682" w:type="pct"/>
            <w:tcBorders>
              <w:top w:val="nil"/>
              <w:bottom w:val="single" w:sz="4" w:space="0" w:color="auto"/>
            </w:tcBorders>
          </w:tcPr>
          <w:p w14:paraId="3F17BB66" w14:textId="77777777" w:rsidR="00E8580A" w:rsidRPr="007D0AA8" w:rsidRDefault="00E8580A" w:rsidP="007D5317">
            <w:pPr>
              <w:spacing w:after="0" w:line="240" w:lineRule="auto"/>
              <w:rPr>
                <w:rFonts w:ascii="Arial Narrow" w:hAnsi="Arial Narrow" w:cs="Calibri"/>
                <w:color w:val="000000"/>
                <w:sz w:val="20"/>
                <w:szCs w:val="20"/>
              </w:rPr>
            </w:pPr>
            <w:r w:rsidRPr="007D0AA8">
              <w:rPr>
                <w:rFonts w:ascii="Arial Narrow" w:hAnsi="Arial Narrow"/>
                <w:sz w:val="20"/>
                <w:szCs w:val="20"/>
              </w:rPr>
              <w:t>98 (37, ∞)</w:t>
            </w:r>
          </w:p>
        </w:tc>
      </w:tr>
    </w:tbl>
    <w:p w14:paraId="592B6706" w14:textId="23EBF325" w:rsidR="00157B14" w:rsidRPr="007D0AA8" w:rsidRDefault="00157B14" w:rsidP="008742A1">
      <w:pPr>
        <w:pStyle w:val="Tablenotes1"/>
      </w:pPr>
      <w:r w:rsidRPr="007D0AA8">
        <w:t xml:space="preserve">Notes: </w:t>
      </w:r>
      <w:r w:rsidRPr="007D0AA8">
        <w:rPr>
          <w:u w:val="single"/>
        </w:rPr>
        <w:t>Amman et al., 2016</w:t>
      </w:r>
      <w:r w:rsidRPr="007D0AA8">
        <w:t xml:space="preserve"> – the study included patients receiving any of IVIg, SCIg and IMIg (proportions not reported).</w:t>
      </w:r>
    </w:p>
    <w:p w14:paraId="011B59C1" w14:textId="26E765A9" w:rsidR="00E8580A" w:rsidRPr="007D0AA8" w:rsidRDefault="00E8580A" w:rsidP="008742A1">
      <w:pPr>
        <w:pStyle w:val="Tablenotes1"/>
      </w:pPr>
      <w:r w:rsidRPr="007D0AA8">
        <w:t xml:space="preserve">AMI=acute myocardial infarction; </w:t>
      </w:r>
      <w:r w:rsidR="005570ED" w:rsidRPr="007D0AA8">
        <w:t xml:space="preserve">CI=confidence interval; d=day; </w:t>
      </w:r>
      <w:r w:rsidRPr="007D0AA8">
        <w:t xml:space="preserve">DVT=deep vein thrombosis; </w:t>
      </w:r>
      <w:r w:rsidR="005570ED" w:rsidRPr="007D0AA8">
        <w:t xml:space="preserve">HR=hazard ratio; IVIg=intravenous immunoglobulin; NNH=number needed to harm; </w:t>
      </w:r>
      <w:r w:rsidRPr="007D0AA8">
        <w:t>PE=pulmonary embolism; TEE=thromboembolic event</w:t>
      </w:r>
      <w:r w:rsidR="005570ED" w:rsidRPr="007D0AA8">
        <w:t>; tx=treatment; yr=year.</w:t>
      </w:r>
    </w:p>
    <w:p w14:paraId="5D938058" w14:textId="16BAEB1E" w:rsidR="005F30C2" w:rsidRPr="007D0AA8" w:rsidRDefault="007570E2" w:rsidP="003C0114">
      <w:r w:rsidRPr="007D0AA8">
        <w:t xml:space="preserve">Investigation of TEE risk was the primary </w:t>
      </w:r>
      <w:r w:rsidR="005F30C2" w:rsidRPr="007D0AA8">
        <w:t>objective</w:t>
      </w:r>
      <w:r w:rsidRPr="007D0AA8">
        <w:t xml:space="preserve"> of</w:t>
      </w:r>
      <w:r w:rsidR="00114624">
        <w:t xml:space="preserve"> this study</w:t>
      </w:r>
      <w:r w:rsidR="00D0272B" w:rsidRPr="007D0AA8">
        <w:t xml:space="preserve"> – risks due to TEE were considered in the context of a 30 day treatment cycle</w:t>
      </w:r>
      <w:r w:rsidRPr="007D0AA8">
        <w:t xml:space="preserve">. </w:t>
      </w:r>
      <w:r w:rsidR="005F30C2" w:rsidRPr="007D0AA8">
        <w:t xml:space="preserve">The </w:t>
      </w:r>
      <w:r w:rsidR="00114624">
        <w:t>number needed to harm (</w:t>
      </w:r>
      <w:r w:rsidR="005F30C2" w:rsidRPr="007D0AA8">
        <w:t>NN</w:t>
      </w:r>
      <w:r w:rsidR="00076029" w:rsidRPr="007D0AA8">
        <w:t>H</w:t>
      </w:r>
      <w:r w:rsidR="00114624">
        <w:t>)</w:t>
      </w:r>
      <w:r w:rsidR="00076029" w:rsidRPr="007D0AA8">
        <w:t xml:space="preserve"> for arterial and venous TEEs are given in </w:t>
      </w:r>
      <w:r w:rsidR="00406ED0" w:rsidRPr="007D0AA8">
        <w:fldChar w:fldCharType="begin"/>
      </w:r>
      <w:r w:rsidR="00406ED0" w:rsidRPr="007D0AA8">
        <w:instrText xml:space="preserve"> REF _Ref9248061 \h </w:instrText>
      </w:r>
      <w:r w:rsidR="00E94946" w:rsidRPr="007D0AA8">
        <w:instrText xml:space="preserve"> \* MERGEFORMAT </w:instrText>
      </w:r>
      <w:r w:rsidR="00406ED0" w:rsidRPr="007D0AA8">
        <w:fldChar w:fldCharType="separate"/>
      </w:r>
      <w:r w:rsidR="00A7463B" w:rsidRPr="00386411">
        <w:t xml:space="preserve">Table </w:t>
      </w:r>
      <w:r w:rsidR="00A7463B">
        <w:rPr>
          <w:noProof/>
        </w:rPr>
        <w:t>20</w:t>
      </w:r>
      <w:r w:rsidR="00406ED0" w:rsidRPr="007D0AA8">
        <w:fldChar w:fldCharType="end"/>
      </w:r>
      <w:r w:rsidR="001855A6" w:rsidRPr="007D0AA8">
        <w:t xml:space="preserve"> </w:t>
      </w:r>
      <w:r w:rsidR="005F30C2" w:rsidRPr="007D0AA8">
        <w:t>above – the composite NN</w:t>
      </w:r>
      <w:r w:rsidR="00076029" w:rsidRPr="007D0AA8">
        <w:t>H for any TEE was 98 (37, ∞)</w:t>
      </w:r>
      <w:r w:rsidR="00091BA3" w:rsidRPr="007D0AA8">
        <w:t>, noting that patients in the studied cohort were older and with a relatively high burden of risk factors for TEEs</w:t>
      </w:r>
      <w:r w:rsidR="00076029" w:rsidRPr="007D0AA8">
        <w:t xml:space="preserve">. </w:t>
      </w:r>
    </w:p>
    <w:p w14:paraId="06285002" w14:textId="581FB780" w:rsidR="00D0272B" w:rsidRPr="007D0AA8" w:rsidRDefault="005F30C2" w:rsidP="003C0114">
      <w:pPr>
        <w:rPr>
          <w:i/>
        </w:rPr>
      </w:pPr>
      <w:r w:rsidRPr="007D0AA8">
        <w:t>The authors concluded</w:t>
      </w:r>
      <w:r w:rsidR="00D0272B" w:rsidRPr="007D0AA8">
        <w:t>:</w:t>
      </w:r>
      <w:r w:rsidRPr="007D0AA8">
        <w:t xml:space="preserve"> </w:t>
      </w:r>
      <w:r w:rsidR="00D0272B" w:rsidRPr="007D0AA8">
        <w:rPr>
          <w:i/>
        </w:rPr>
        <w:t xml:space="preserve">“For the primary endpoint, arterial TEE, we observed a transient increased risk of TEE during the day of an IVIg infusion and the day afterward (HR 3.40; 95% CI: 1.25-9.25); this risk declined over the remainder of the 30-day treatment cycle. When considered in terms of absolute risk averaged over a 1-year treatment period, the increase in risk attributable to IVIg was estimated to be 0.7% (95% CI: </w:t>
      </w:r>
      <w:r w:rsidR="00D0272B" w:rsidRPr="007D0AA8">
        <w:rPr>
          <w:i/>
        </w:rPr>
        <w:noBreakHyphen/>
        <w:t>0.2 – 2.0%) compared with a baseline risk of 1.8% for the arterial TEE end point.”</w:t>
      </w:r>
    </w:p>
    <w:p w14:paraId="38235511" w14:textId="7F6B3A05" w:rsidR="00954A4C" w:rsidRDefault="00954A4C" w:rsidP="003C0114">
      <w:r>
        <w:t xml:space="preserve">The authors reported an overall increased risk of </w:t>
      </w:r>
      <w:r w:rsidRPr="00954A4C">
        <w:t>1.0% (</w:t>
      </w:r>
      <w:r>
        <w:t xml:space="preserve">95% CI </w:t>
      </w:r>
      <w:r w:rsidRPr="00954A4C">
        <w:t>-0.2%, 2.7%)</w:t>
      </w:r>
      <w:r>
        <w:t xml:space="preserve"> for a composite endpoint of arierial and venous TEE during 12 months’ IgG treatment.  </w:t>
      </w:r>
    </w:p>
    <w:p w14:paraId="1AA3904F" w14:textId="03B9C370" w:rsidR="004521EA" w:rsidRPr="007D0AA8" w:rsidRDefault="00421DCA" w:rsidP="003C0114">
      <w:r>
        <w:t>A recent study in Greece described above</w:t>
      </w:r>
      <w:r w:rsidR="00415ABC" w:rsidRPr="007D0AA8">
        <w:t xml:space="preserve"> </w:t>
      </w:r>
      <w:r w:rsidR="00415ABC" w:rsidRPr="007D0AA8">
        <w:fldChar w:fldCharType="begin">
          <w:fldData xml:space="preserve">PEVuZE5vdGU+PENpdGU+PEF1dGhvcj5EaW1vdTwvQXV0aG9yPjxZZWFyPjIwMTg8L1llYXI+PFJl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==
</w:fldData>
        </w:fldChar>
      </w:r>
      <w:r w:rsidR="00415ABC" w:rsidRPr="007D0AA8">
        <w:instrText xml:space="preserve"> ADDIN EN.CITE </w:instrText>
      </w:r>
      <w:r w:rsidR="00415ABC" w:rsidRPr="007D0AA8">
        <w:fldChar w:fldCharType="begin">
          <w:fldData xml:space="preserve">PEVuZE5vdGU+PENpdGU+PEF1dGhvcj5EaW1vdTwvQXV0aG9yPjxZZWFyPjIwMTg8L1llYXI+PFJl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==
</w:fldData>
        </w:fldChar>
      </w:r>
      <w:r w:rsidR="00415ABC" w:rsidRPr="007D0AA8">
        <w:instrText xml:space="preserve"> ADDIN EN.CITE.DATA </w:instrText>
      </w:r>
      <w:r w:rsidR="00415ABC" w:rsidRPr="007D0AA8">
        <w:fldChar w:fldCharType="end"/>
      </w:r>
      <w:r w:rsidR="00415ABC" w:rsidRPr="007D0AA8">
        <w:fldChar w:fldCharType="separate"/>
      </w:r>
      <w:r w:rsidR="00415ABC" w:rsidRPr="007D0AA8">
        <w:rPr>
          <w:noProof/>
        </w:rPr>
        <w:t>(</w:t>
      </w:r>
      <w:hyperlink w:anchor="_ENREF_15" w:tooltip="Dimou, 2018 #28" w:history="1">
        <w:r w:rsidR="00BB0145" w:rsidRPr="007D0AA8">
          <w:rPr>
            <w:noProof/>
          </w:rPr>
          <w:t>Dimou et al. 2018</w:t>
        </w:r>
      </w:hyperlink>
      <w:r w:rsidR="00415ABC" w:rsidRPr="007D0AA8">
        <w:rPr>
          <w:noProof/>
        </w:rPr>
        <w:t>)</w:t>
      </w:r>
      <w:r w:rsidR="00415ABC" w:rsidRPr="007D0AA8">
        <w:fldChar w:fldCharType="end"/>
      </w:r>
      <w:r w:rsidR="004521EA" w:rsidRPr="007D0AA8">
        <w:t xml:space="preserve"> </w:t>
      </w:r>
      <w:r>
        <w:t>also</w:t>
      </w:r>
      <w:r w:rsidR="004521EA" w:rsidRPr="007D0AA8">
        <w:t xml:space="preserve"> reported one DVT ‘late’ adverse event after one year of SCIg in a CLL patient who was also receiving erythropoietin. </w:t>
      </w:r>
      <w:r>
        <w:t>DVT is more often associated with the latter product than IgG – o</w:t>
      </w:r>
      <w:r w:rsidR="004521EA" w:rsidRPr="007D0AA8">
        <w:t>nly erythropoietin was discontinued</w:t>
      </w:r>
      <w:r>
        <w:t>. T</w:t>
      </w:r>
      <w:r w:rsidR="004521EA" w:rsidRPr="007D0AA8">
        <w:t xml:space="preserve">he </w:t>
      </w:r>
      <w:r w:rsidR="004521EA" w:rsidRPr="007D0AA8">
        <w:lastRenderedPageBreak/>
        <w:t>patient received 3 months of low molecular weight heparin and continued SCIg, remaining event-free 15 months after the DVT occurred. The authors concluded this could not be attributed to SCIg.</w:t>
      </w:r>
    </w:p>
    <w:p w14:paraId="7134A3F3" w14:textId="71412A84" w:rsidR="00421DCA" w:rsidRPr="00386411" w:rsidRDefault="00421DCA" w:rsidP="00421DCA">
      <w:pPr>
        <w:pStyle w:val="Heading3"/>
      </w:pPr>
      <w:bookmarkStart w:id="283" w:name="_Toc14431141"/>
      <w:bookmarkStart w:id="284" w:name="_Toc16856309"/>
      <w:r w:rsidRPr="00386411">
        <w:t>S</w:t>
      </w:r>
      <w:r>
        <w:t>tudies presenting no safety data</w:t>
      </w:r>
      <w:bookmarkEnd w:id="283"/>
      <w:bookmarkEnd w:id="284"/>
    </w:p>
    <w:p w14:paraId="0B82877C" w14:textId="2B9D5AD3" w:rsidR="00421DCA" w:rsidRPr="007D0AA8" w:rsidRDefault="00421DCA" w:rsidP="00421DCA">
      <w:r w:rsidRPr="007D0AA8">
        <w:t xml:space="preserve">The studies in </w:t>
      </w:r>
      <w:r w:rsidRPr="007D0AA8">
        <w:rPr>
          <w:highlight w:val="yellow"/>
        </w:rPr>
        <w:fldChar w:fldCharType="begin"/>
      </w:r>
      <w:r w:rsidRPr="007D0AA8">
        <w:instrText xml:space="preserve"> REF _Ref9248035 \h </w:instrText>
      </w:r>
      <w:r w:rsidRPr="007D0AA8">
        <w:rPr>
          <w:highlight w:val="yellow"/>
        </w:rPr>
        <w:instrText xml:space="preserve"> \* MERGEFORMAT </w:instrText>
      </w:r>
      <w:r w:rsidRPr="007D0AA8">
        <w:rPr>
          <w:highlight w:val="yellow"/>
        </w:rPr>
      </w:r>
      <w:r w:rsidRPr="007D0AA8">
        <w:rPr>
          <w:highlight w:val="yellow"/>
        </w:rPr>
        <w:fldChar w:fldCharType="separate"/>
      </w:r>
      <w:r w:rsidR="00A7463B" w:rsidRPr="00386411">
        <w:t xml:space="preserve">Table </w:t>
      </w:r>
      <w:r w:rsidR="00A7463B">
        <w:rPr>
          <w:noProof/>
        </w:rPr>
        <w:t>21</w:t>
      </w:r>
      <w:r w:rsidRPr="007D0AA8">
        <w:rPr>
          <w:highlight w:val="yellow"/>
        </w:rPr>
        <w:fldChar w:fldCharType="end"/>
      </w:r>
      <w:r w:rsidRPr="007D0AA8">
        <w:t xml:space="preserve"> only considered the effect of IgG products on infections and reported few or no safety outcomes. A number of these were retrospective studies were limited by the information contained in patients records.  </w:t>
      </w:r>
    </w:p>
    <w:p w14:paraId="29944A3C" w14:textId="77777777" w:rsidR="00421DCA" w:rsidRPr="00386411" w:rsidRDefault="00421DCA" w:rsidP="00421DCA">
      <w:pPr>
        <w:pStyle w:val="Caption"/>
        <w:keepNext/>
        <w:rPr>
          <w:rFonts w:cs="Arial"/>
          <w:snapToGrid w:val="0"/>
          <w:szCs w:val="16"/>
          <w:lang w:eastAsia="en-US"/>
        </w:rPr>
      </w:pPr>
      <w:bookmarkStart w:id="285" w:name="_Ref9248035"/>
      <w:bookmarkStart w:id="286" w:name="_Toc14429564"/>
      <w:bookmarkStart w:id="287" w:name="_Toc16671619"/>
      <w:r w:rsidRPr="00386411">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21</w:t>
      </w:r>
      <w:r w:rsidRPr="00386411">
        <w:rPr>
          <w:noProof/>
        </w:rPr>
        <w:fldChar w:fldCharType="end"/>
      </w:r>
      <w:bookmarkEnd w:id="285"/>
      <w:r w:rsidRPr="00386411">
        <w:tab/>
      </w:r>
      <w:r w:rsidRPr="00386411">
        <w:rPr>
          <w:rFonts w:cs="Arial"/>
          <w:snapToGrid w:val="0"/>
          <w:szCs w:val="16"/>
          <w:lang w:eastAsia="en-US"/>
        </w:rPr>
        <w:t>Included studies presenting no AE data</w:t>
      </w:r>
      <w:bookmarkEnd w:id="286"/>
      <w:bookmarkEnd w:id="287"/>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04"/>
        <w:gridCol w:w="1404"/>
        <w:gridCol w:w="1017"/>
        <w:gridCol w:w="5357"/>
      </w:tblGrid>
      <w:tr w:rsidR="00421DCA" w:rsidRPr="00386411" w14:paraId="028F5EAB" w14:textId="77777777" w:rsidTr="00B52A4F">
        <w:tc>
          <w:tcPr>
            <w:tcW w:w="718" w:type="pct"/>
            <w:shd w:val="clear" w:color="auto" w:fill="D9D9D9" w:themeFill="background1" w:themeFillShade="D9"/>
          </w:tcPr>
          <w:p w14:paraId="38F09D64" w14:textId="77777777" w:rsidR="00421DCA" w:rsidRPr="00386411" w:rsidRDefault="00421DCA" w:rsidP="00114624">
            <w:pPr>
              <w:pStyle w:val="TableHeading"/>
              <w:ind w:right="-30"/>
              <w:rPr>
                <w:snapToGrid w:val="0"/>
                <w:lang w:eastAsia="en-US"/>
              </w:rPr>
            </w:pPr>
            <w:r w:rsidRPr="00386411">
              <w:rPr>
                <w:snapToGrid w:val="0"/>
                <w:lang w:eastAsia="en-US"/>
              </w:rPr>
              <w:t>Study</w:t>
            </w:r>
          </w:p>
        </w:tc>
        <w:tc>
          <w:tcPr>
            <w:tcW w:w="773" w:type="pct"/>
            <w:shd w:val="clear" w:color="auto" w:fill="D9D9D9" w:themeFill="background1" w:themeFillShade="D9"/>
          </w:tcPr>
          <w:p w14:paraId="01D2C4A6" w14:textId="77777777" w:rsidR="00421DCA" w:rsidRPr="00386411" w:rsidRDefault="00421DCA" w:rsidP="00114624">
            <w:pPr>
              <w:pStyle w:val="TableHeading"/>
              <w:ind w:left="16" w:right="-30"/>
              <w:rPr>
                <w:snapToGrid w:val="0"/>
                <w:lang w:eastAsia="en-US"/>
              </w:rPr>
            </w:pPr>
            <w:r w:rsidRPr="00386411">
              <w:rPr>
                <w:snapToGrid w:val="0"/>
                <w:lang w:eastAsia="en-US"/>
              </w:rPr>
              <w:t>Indication</w:t>
            </w:r>
          </w:p>
        </w:tc>
        <w:tc>
          <w:tcPr>
            <w:tcW w:w="560" w:type="pct"/>
            <w:shd w:val="clear" w:color="auto" w:fill="D9D9D9" w:themeFill="background1" w:themeFillShade="D9"/>
          </w:tcPr>
          <w:p w14:paraId="0DCEB414" w14:textId="77777777" w:rsidR="00421DCA" w:rsidRPr="00386411" w:rsidRDefault="00421DCA" w:rsidP="00114624">
            <w:pPr>
              <w:pStyle w:val="TableHeading"/>
              <w:ind w:left="16" w:right="-30"/>
              <w:jc w:val="center"/>
              <w:rPr>
                <w:snapToGrid w:val="0"/>
                <w:lang w:eastAsia="en-US"/>
              </w:rPr>
            </w:pPr>
            <w:r w:rsidRPr="00386411">
              <w:rPr>
                <w:snapToGrid w:val="0"/>
                <w:lang w:eastAsia="en-US"/>
              </w:rPr>
              <w:t>N</w:t>
            </w:r>
          </w:p>
        </w:tc>
        <w:tc>
          <w:tcPr>
            <w:tcW w:w="2949" w:type="pct"/>
            <w:shd w:val="clear" w:color="auto" w:fill="D9D9D9" w:themeFill="background1" w:themeFillShade="D9"/>
          </w:tcPr>
          <w:p w14:paraId="4DDF1758" w14:textId="77777777" w:rsidR="00421DCA" w:rsidRPr="00386411" w:rsidRDefault="00421DCA" w:rsidP="00114624">
            <w:pPr>
              <w:pStyle w:val="TableHeading"/>
              <w:ind w:right="-30"/>
              <w:rPr>
                <w:snapToGrid w:val="0"/>
                <w:lang w:eastAsia="en-US"/>
              </w:rPr>
            </w:pPr>
            <w:r w:rsidRPr="00386411">
              <w:rPr>
                <w:snapToGrid w:val="0"/>
                <w:lang w:eastAsia="en-US"/>
              </w:rPr>
              <w:t>Comments regarding on-study AEs including death</w:t>
            </w:r>
          </w:p>
        </w:tc>
      </w:tr>
      <w:tr w:rsidR="00421DCA" w:rsidRPr="00386411" w14:paraId="2B85DAC0" w14:textId="77777777" w:rsidTr="00114624">
        <w:tc>
          <w:tcPr>
            <w:tcW w:w="718" w:type="pct"/>
            <w:shd w:val="clear" w:color="auto" w:fill="auto"/>
          </w:tcPr>
          <w:p w14:paraId="512F757A" w14:textId="77777777" w:rsidR="00421DCA" w:rsidRPr="007D0AA8" w:rsidRDefault="00421DCA" w:rsidP="00114624">
            <w:pPr>
              <w:pStyle w:val="Tabletext1"/>
              <w:jc w:val="left"/>
            </w:pPr>
            <w:r w:rsidRPr="007D0AA8">
              <w:t>Ammann et al., 2016</w:t>
            </w:r>
          </w:p>
        </w:tc>
        <w:tc>
          <w:tcPr>
            <w:tcW w:w="773" w:type="pct"/>
          </w:tcPr>
          <w:p w14:paraId="24BA9B5F" w14:textId="77777777" w:rsidR="00421DCA" w:rsidRPr="007D0AA8" w:rsidRDefault="00421DCA" w:rsidP="00114624">
            <w:pPr>
              <w:pStyle w:val="Tabletext1"/>
              <w:jc w:val="left"/>
              <w:rPr>
                <w:snapToGrid w:val="0"/>
              </w:rPr>
            </w:pPr>
            <w:r w:rsidRPr="007D0AA8">
              <w:rPr>
                <w:snapToGrid w:val="0"/>
              </w:rPr>
              <w:t>Various (undefined)</w:t>
            </w:r>
          </w:p>
        </w:tc>
        <w:tc>
          <w:tcPr>
            <w:tcW w:w="560" w:type="pct"/>
          </w:tcPr>
          <w:p w14:paraId="25E75205" w14:textId="77777777" w:rsidR="00421DCA" w:rsidRPr="007D0AA8" w:rsidRDefault="00421DCA" w:rsidP="00114624">
            <w:pPr>
              <w:pStyle w:val="Tabletext1"/>
              <w:jc w:val="left"/>
              <w:rPr>
                <w:snapToGrid w:val="0"/>
              </w:rPr>
            </w:pPr>
            <w:r w:rsidRPr="007D0AA8">
              <w:t>N= 10,759</w:t>
            </w:r>
          </w:p>
        </w:tc>
        <w:tc>
          <w:tcPr>
            <w:tcW w:w="2949" w:type="pct"/>
            <w:shd w:val="clear" w:color="auto" w:fill="auto"/>
          </w:tcPr>
          <w:p w14:paraId="364260BC" w14:textId="77777777" w:rsidR="00421DCA" w:rsidRPr="007D0AA8" w:rsidRDefault="00421DCA" w:rsidP="00114624">
            <w:pPr>
              <w:pStyle w:val="Tabletext1"/>
              <w:jc w:val="left"/>
              <w:rPr>
                <w:snapToGrid w:val="0"/>
              </w:rPr>
            </w:pPr>
            <w:r w:rsidRPr="007D0AA8">
              <w:rPr>
                <w:snapToGrid w:val="0"/>
              </w:rPr>
              <w:t>TEE events reported only, no systemic AEs or other IgG-related outcomes.</w:t>
            </w:r>
          </w:p>
        </w:tc>
      </w:tr>
      <w:tr w:rsidR="00421DCA" w:rsidRPr="00386411" w14:paraId="4F65FDA1" w14:textId="77777777" w:rsidTr="00114624">
        <w:tc>
          <w:tcPr>
            <w:tcW w:w="718" w:type="pct"/>
            <w:shd w:val="clear" w:color="auto" w:fill="auto"/>
          </w:tcPr>
          <w:p w14:paraId="4925B20B" w14:textId="77777777" w:rsidR="00421DCA" w:rsidRPr="007D0AA8" w:rsidRDefault="00421DCA" w:rsidP="00114624">
            <w:pPr>
              <w:pStyle w:val="Tabletext1"/>
              <w:jc w:val="left"/>
            </w:pPr>
            <w:r w:rsidRPr="007D0AA8">
              <w:t>Benbrahim et al., 2018</w:t>
            </w:r>
          </w:p>
        </w:tc>
        <w:tc>
          <w:tcPr>
            <w:tcW w:w="773" w:type="pct"/>
          </w:tcPr>
          <w:p w14:paraId="462C35F9" w14:textId="77777777" w:rsidR="00421DCA" w:rsidRPr="007D0AA8" w:rsidRDefault="00421DCA" w:rsidP="00114624">
            <w:pPr>
              <w:pStyle w:val="Tabletext1"/>
              <w:jc w:val="left"/>
              <w:rPr>
                <w:snapToGrid w:val="0"/>
              </w:rPr>
            </w:pPr>
            <w:r w:rsidRPr="007D0AA8">
              <w:rPr>
                <w:snapToGrid w:val="0"/>
              </w:rPr>
              <w:t>MM, NHL, CLL, HL</w:t>
            </w:r>
          </w:p>
        </w:tc>
        <w:tc>
          <w:tcPr>
            <w:tcW w:w="560" w:type="pct"/>
          </w:tcPr>
          <w:p w14:paraId="291F7377" w14:textId="77777777" w:rsidR="00421DCA" w:rsidRPr="007D0AA8" w:rsidRDefault="00421DCA" w:rsidP="00114624">
            <w:pPr>
              <w:pStyle w:val="Tabletext1"/>
              <w:jc w:val="left"/>
              <w:rPr>
                <w:snapToGrid w:val="0"/>
              </w:rPr>
            </w:pPr>
            <w:r w:rsidRPr="007D0AA8">
              <w:rPr>
                <w:snapToGrid w:val="0"/>
              </w:rPr>
              <w:t>231</w:t>
            </w:r>
          </w:p>
        </w:tc>
        <w:tc>
          <w:tcPr>
            <w:tcW w:w="2949" w:type="pct"/>
            <w:shd w:val="clear" w:color="auto" w:fill="auto"/>
          </w:tcPr>
          <w:p w14:paraId="369D6630" w14:textId="77777777" w:rsidR="00421DCA" w:rsidRPr="007D0AA8" w:rsidRDefault="00421DCA" w:rsidP="00114624">
            <w:pPr>
              <w:pStyle w:val="Tabletext1"/>
              <w:jc w:val="left"/>
              <w:rPr>
                <w:snapToGrid w:val="0"/>
              </w:rPr>
            </w:pPr>
            <w:r w:rsidRPr="007D0AA8">
              <w:rPr>
                <w:snapToGrid w:val="0"/>
              </w:rPr>
              <w:t xml:space="preserve">Preliminary report only – see Benbrahim et al., 2019 for AEs.  </w:t>
            </w:r>
          </w:p>
        </w:tc>
      </w:tr>
      <w:tr w:rsidR="00421DCA" w:rsidRPr="00386411" w14:paraId="334D0F42" w14:textId="77777777" w:rsidTr="00114624">
        <w:tc>
          <w:tcPr>
            <w:tcW w:w="718" w:type="pct"/>
            <w:shd w:val="clear" w:color="auto" w:fill="auto"/>
          </w:tcPr>
          <w:p w14:paraId="16BFDA30" w14:textId="77777777" w:rsidR="00421DCA" w:rsidRPr="007D0AA8" w:rsidRDefault="00421DCA" w:rsidP="00114624">
            <w:pPr>
              <w:pStyle w:val="Tabletext1"/>
              <w:jc w:val="left"/>
              <w:rPr>
                <w:snapToGrid w:val="0"/>
                <w:highlight w:val="cyan"/>
              </w:rPr>
            </w:pPr>
            <w:r w:rsidRPr="007D0AA8">
              <w:t>Besa, 1992</w:t>
            </w:r>
          </w:p>
        </w:tc>
        <w:tc>
          <w:tcPr>
            <w:tcW w:w="773" w:type="pct"/>
          </w:tcPr>
          <w:p w14:paraId="59222EF7" w14:textId="77777777" w:rsidR="00421DCA" w:rsidRPr="007D0AA8" w:rsidRDefault="00421DCA" w:rsidP="00114624">
            <w:pPr>
              <w:pStyle w:val="Tabletext1"/>
              <w:jc w:val="left"/>
              <w:rPr>
                <w:snapToGrid w:val="0"/>
              </w:rPr>
            </w:pPr>
            <w:r w:rsidRPr="007D0AA8">
              <w:rPr>
                <w:snapToGrid w:val="0"/>
              </w:rPr>
              <w:t>CLL</w:t>
            </w:r>
          </w:p>
        </w:tc>
        <w:tc>
          <w:tcPr>
            <w:tcW w:w="560" w:type="pct"/>
          </w:tcPr>
          <w:p w14:paraId="0F70972B" w14:textId="77777777" w:rsidR="00421DCA" w:rsidRPr="007D0AA8" w:rsidRDefault="00421DCA" w:rsidP="00114624">
            <w:pPr>
              <w:pStyle w:val="Tabletext1"/>
              <w:jc w:val="left"/>
              <w:rPr>
                <w:snapToGrid w:val="0"/>
              </w:rPr>
            </w:pPr>
            <w:r w:rsidRPr="007D0AA8">
              <w:rPr>
                <w:snapToGrid w:val="0"/>
              </w:rPr>
              <w:t>23</w:t>
            </w:r>
          </w:p>
        </w:tc>
        <w:tc>
          <w:tcPr>
            <w:tcW w:w="2949" w:type="pct"/>
            <w:shd w:val="clear" w:color="auto" w:fill="auto"/>
          </w:tcPr>
          <w:p w14:paraId="6D641380" w14:textId="77777777" w:rsidR="00421DCA" w:rsidRPr="007D0AA8" w:rsidRDefault="00421DCA" w:rsidP="00114624">
            <w:pPr>
              <w:pStyle w:val="Tabletext1"/>
              <w:jc w:val="left"/>
              <w:rPr>
                <w:snapToGrid w:val="0"/>
              </w:rPr>
            </w:pPr>
            <w:r w:rsidRPr="007D0AA8">
              <w:rPr>
                <w:snapToGrid w:val="0"/>
              </w:rPr>
              <w:t>No mention of on-study AEs or infusion tolerability.</w:t>
            </w:r>
          </w:p>
        </w:tc>
      </w:tr>
      <w:tr w:rsidR="00421DCA" w:rsidRPr="00386411" w14:paraId="20479A10" w14:textId="77777777" w:rsidTr="00114624">
        <w:tc>
          <w:tcPr>
            <w:tcW w:w="718" w:type="pct"/>
            <w:shd w:val="clear" w:color="auto" w:fill="auto"/>
          </w:tcPr>
          <w:p w14:paraId="2E4F3743" w14:textId="77777777" w:rsidR="00421DCA" w:rsidRPr="007D0AA8" w:rsidRDefault="00421DCA" w:rsidP="00114624">
            <w:pPr>
              <w:pStyle w:val="Tabletext1"/>
              <w:jc w:val="left"/>
            </w:pPr>
            <w:r w:rsidRPr="007D0AA8">
              <w:t>Blombery et al., 2011</w:t>
            </w:r>
          </w:p>
        </w:tc>
        <w:tc>
          <w:tcPr>
            <w:tcW w:w="773" w:type="pct"/>
          </w:tcPr>
          <w:p w14:paraId="3007C87A" w14:textId="77777777" w:rsidR="00421DCA" w:rsidRPr="007D0AA8" w:rsidRDefault="00421DCA" w:rsidP="00114624">
            <w:pPr>
              <w:pStyle w:val="Tabletext1"/>
              <w:jc w:val="left"/>
              <w:rPr>
                <w:snapToGrid w:val="0"/>
              </w:rPr>
            </w:pPr>
            <w:r w:rsidRPr="007D0AA8">
              <w:rPr>
                <w:snapToGrid w:val="0"/>
              </w:rPr>
              <w:t>MM+HSCT</w:t>
            </w:r>
          </w:p>
        </w:tc>
        <w:tc>
          <w:tcPr>
            <w:tcW w:w="560" w:type="pct"/>
          </w:tcPr>
          <w:p w14:paraId="35A2C092" w14:textId="77777777" w:rsidR="00421DCA" w:rsidRPr="007D0AA8" w:rsidRDefault="00421DCA" w:rsidP="00114624">
            <w:pPr>
              <w:pStyle w:val="Tabletext1"/>
              <w:jc w:val="left"/>
              <w:rPr>
                <w:snapToGrid w:val="0"/>
              </w:rPr>
            </w:pPr>
            <w:r w:rsidRPr="007D0AA8">
              <w:rPr>
                <w:snapToGrid w:val="0"/>
              </w:rPr>
              <w:t>240</w:t>
            </w:r>
          </w:p>
        </w:tc>
        <w:tc>
          <w:tcPr>
            <w:tcW w:w="2949" w:type="pct"/>
            <w:shd w:val="clear" w:color="auto" w:fill="auto"/>
          </w:tcPr>
          <w:p w14:paraId="3FC2691F" w14:textId="77777777" w:rsidR="00421DCA" w:rsidRPr="007D0AA8" w:rsidRDefault="00421DCA" w:rsidP="00114624">
            <w:pPr>
              <w:pStyle w:val="Tabletext1"/>
              <w:jc w:val="left"/>
              <w:rPr>
                <w:snapToGrid w:val="0"/>
              </w:rPr>
            </w:pPr>
            <w:r w:rsidRPr="007D0AA8">
              <w:rPr>
                <w:snapToGrid w:val="0"/>
              </w:rPr>
              <w:t>No mention of on-study AEs or infusion tolerability.</w:t>
            </w:r>
          </w:p>
        </w:tc>
      </w:tr>
      <w:tr w:rsidR="00421DCA" w:rsidRPr="00386411" w14:paraId="089D5D82" w14:textId="77777777" w:rsidTr="00114624">
        <w:tc>
          <w:tcPr>
            <w:tcW w:w="718" w:type="pct"/>
            <w:shd w:val="clear" w:color="auto" w:fill="auto"/>
          </w:tcPr>
          <w:p w14:paraId="75EE1C72" w14:textId="77777777" w:rsidR="00421DCA" w:rsidRPr="007D0AA8" w:rsidRDefault="00421DCA" w:rsidP="00114624">
            <w:pPr>
              <w:pStyle w:val="Tabletext1"/>
              <w:jc w:val="left"/>
            </w:pPr>
            <w:r w:rsidRPr="007D0AA8">
              <w:rPr>
                <w:snapToGrid w:val="0"/>
              </w:rPr>
              <w:t>Chapel et al., 1991</w:t>
            </w:r>
          </w:p>
        </w:tc>
        <w:tc>
          <w:tcPr>
            <w:tcW w:w="773" w:type="pct"/>
          </w:tcPr>
          <w:p w14:paraId="4AC629F0" w14:textId="77777777" w:rsidR="00421DCA" w:rsidRPr="007D0AA8" w:rsidRDefault="00421DCA" w:rsidP="00114624">
            <w:pPr>
              <w:pStyle w:val="Tabletext1"/>
              <w:jc w:val="left"/>
              <w:rPr>
                <w:snapToGrid w:val="0"/>
              </w:rPr>
            </w:pPr>
            <w:r w:rsidRPr="007D0AA8">
              <w:rPr>
                <w:snapToGrid w:val="0"/>
              </w:rPr>
              <w:t>CLL, NHL</w:t>
            </w:r>
          </w:p>
        </w:tc>
        <w:tc>
          <w:tcPr>
            <w:tcW w:w="560" w:type="pct"/>
          </w:tcPr>
          <w:p w14:paraId="2F43C503" w14:textId="77777777" w:rsidR="00421DCA" w:rsidRPr="007D0AA8" w:rsidRDefault="00421DCA" w:rsidP="00114624">
            <w:pPr>
              <w:pStyle w:val="Tabletext1"/>
              <w:jc w:val="left"/>
              <w:rPr>
                <w:snapToGrid w:val="0"/>
              </w:rPr>
            </w:pPr>
            <w:r w:rsidRPr="007D0AA8">
              <w:rPr>
                <w:snapToGrid w:val="0"/>
              </w:rPr>
              <w:t>12</w:t>
            </w:r>
          </w:p>
        </w:tc>
        <w:tc>
          <w:tcPr>
            <w:tcW w:w="2949" w:type="pct"/>
            <w:shd w:val="clear" w:color="auto" w:fill="auto"/>
          </w:tcPr>
          <w:p w14:paraId="55E9E259" w14:textId="77777777" w:rsidR="00421DCA" w:rsidRPr="007D0AA8" w:rsidRDefault="00421DCA" w:rsidP="00114624">
            <w:pPr>
              <w:pStyle w:val="Tabletext1"/>
              <w:jc w:val="left"/>
              <w:rPr>
                <w:snapToGrid w:val="0"/>
              </w:rPr>
            </w:pPr>
            <w:r w:rsidRPr="007D0AA8">
              <w:rPr>
                <w:snapToGrid w:val="0"/>
              </w:rPr>
              <w:t>Paper presents data from two studies, but only presents AEs for a similar earlier study (Gale et al., 1988). No mention of on-study AEs or infusion tolerability.</w:t>
            </w:r>
          </w:p>
        </w:tc>
      </w:tr>
      <w:tr w:rsidR="00421DCA" w:rsidRPr="00386411" w14:paraId="66695D99" w14:textId="77777777" w:rsidTr="00114624">
        <w:tc>
          <w:tcPr>
            <w:tcW w:w="718" w:type="pct"/>
            <w:shd w:val="clear" w:color="auto" w:fill="auto"/>
          </w:tcPr>
          <w:p w14:paraId="1818EA4B" w14:textId="77777777" w:rsidR="00421DCA" w:rsidRPr="007D0AA8" w:rsidRDefault="00421DCA" w:rsidP="00114624">
            <w:pPr>
              <w:pStyle w:val="Tabletext1"/>
              <w:jc w:val="left"/>
              <w:rPr>
                <w:snapToGrid w:val="0"/>
              </w:rPr>
            </w:pPr>
            <w:r w:rsidRPr="007D0AA8">
              <w:rPr>
                <w:snapToGrid w:val="0"/>
              </w:rPr>
              <w:t>Duraisingham et al., 2014</w:t>
            </w:r>
          </w:p>
        </w:tc>
        <w:tc>
          <w:tcPr>
            <w:tcW w:w="773" w:type="pct"/>
          </w:tcPr>
          <w:p w14:paraId="0EE0FD37" w14:textId="77777777" w:rsidR="00421DCA" w:rsidRPr="007D0AA8" w:rsidRDefault="00421DCA" w:rsidP="00114624">
            <w:pPr>
              <w:pStyle w:val="Tabletext1"/>
              <w:jc w:val="left"/>
              <w:rPr>
                <w:snapToGrid w:val="0"/>
              </w:rPr>
            </w:pPr>
            <w:r w:rsidRPr="007D0AA8">
              <w:t>CLL(1), MM(1), NHL(11); MDS(1); MGUS(1)</w:t>
            </w:r>
          </w:p>
        </w:tc>
        <w:tc>
          <w:tcPr>
            <w:tcW w:w="560" w:type="pct"/>
          </w:tcPr>
          <w:p w14:paraId="685EE2C5" w14:textId="77777777" w:rsidR="00421DCA" w:rsidRPr="007D0AA8" w:rsidRDefault="00421DCA" w:rsidP="00114624">
            <w:pPr>
              <w:pStyle w:val="Tabletext1"/>
              <w:jc w:val="left"/>
              <w:rPr>
                <w:snapToGrid w:val="0"/>
              </w:rPr>
            </w:pPr>
            <w:r w:rsidRPr="007D0AA8">
              <w:rPr>
                <w:snapToGrid w:val="0"/>
              </w:rPr>
              <w:t>39 (SID group)</w:t>
            </w:r>
          </w:p>
        </w:tc>
        <w:tc>
          <w:tcPr>
            <w:tcW w:w="2949" w:type="pct"/>
            <w:shd w:val="clear" w:color="auto" w:fill="auto"/>
          </w:tcPr>
          <w:p w14:paraId="1B2E9DD3" w14:textId="77777777" w:rsidR="00421DCA" w:rsidRPr="007D0AA8" w:rsidRDefault="00421DCA" w:rsidP="00114624">
            <w:pPr>
              <w:pStyle w:val="Tabletext1"/>
              <w:jc w:val="left"/>
              <w:rPr>
                <w:snapToGrid w:val="0"/>
              </w:rPr>
            </w:pPr>
            <w:r w:rsidRPr="007D0AA8">
              <w:rPr>
                <w:snapToGrid w:val="0"/>
              </w:rPr>
              <w:t>No mention of on-study AEs, infusion tolerability, deaths or discontinuations.</w:t>
            </w:r>
          </w:p>
        </w:tc>
      </w:tr>
      <w:tr w:rsidR="00421DCA" w:rsidRPr="00386411" w14:paraId="0EFB0241" w14:textId="77777777" w:rsidTr="00114624">
        <w:tc>
          <w:tcPr>
            <w:tcW w:w="718" w:type="pct"/>
            <w:shd w:val="clear" w:color="auto" w:fill="auto"/>
          </w:tcPr>
          <w:p w14:paraId="7338AE64" w14:textId="77777777" w:rsidR="00421DCA" w:rsidRPr="007D0AA8" w:rsidRDefault="00421DCA" w:rsidP="00114624">
            <w:pPr>
              <w:pStyle w:val="Tabletext1"/>
              <w:jc w:val="left"/>
            </w:pPr>
            <w:r w:rsidRPr="007D0AA8">
              <w:t>Musto et al., 1995</w:t>
            </w:r>
          </w:p>
        </w:tc>
        <w:tc>
          <w:tcPr>
            <w:tcW w:w="773" w:type="pct"/>
          </w:tcPr>
          <w:p w14:paraId="60871D2D" w14:textId="77777777" w:rsidR="00421DCA" w:rsidRPr="007D0AA8" w:rsidRDefault="00421DCA" w:rsidP="00114624">
            <w:pPr>
              <w:pStyle w:val="Tabletext1"/>
              <w:jc w:val="left"/>
              <w:rPr>
                <w:snapToGrid w:val="0"/>
              </w:rPr>
            </w:pPr>
            <w:r w:rsidRPr="007D0AA8">
              <w:rPr>
                <w:snapToGrid w:val="0"/>
              </w:rPr>
              <w:t>MM</w:t>
            </w:r>
          </w:p>
        </w:tc>
        <w:tc>
          <w:tcPr>
            <w:tcW w:w="560" w:type="pct"/>
          </w:tcPr>
          <w:p w14:paraId="3A772216" w14:textId="77777777" w:rsidR="00421DCA" w:rsidRPr="007D0AA8" w:rsidRDefault="00421DCA" w:rsidP="00114624">
            <w:pPr>
              <w:pStyle w:val="Tabletext1"/>
              <w:jc w:val="left"/>
              <w:rPr>
                <w:snapToGrid w:val="0"/>
              </w:rPr>
            </w:pPr>
            <w:r w:rsidRPr="007D0AA8">
              <w:rPr>
                <w:snapToGrid w:val="0"/>
              </w:rPr>
              <w:t>25</w:t>
            </w:r>
          </w:p>
        </w:tc>
        <w:tc>
          <w:tcPr>
            <w:tcW w:w="2949" w:type="pct"/>
            <w:shd w:val="clear" w:color="auto" w:fill="auto"/>
          </w:tcPr>
          <w:p w14:paraId="07637E90" w14:textId="77777777" w:rsidR="00421DCA" w:rsidRPr="007D0AA8" w:rsidRDefault="00421DCA" w:rsidP="00114624">
            <w:pPr>
              <w:pStyle w:val="Tabletext1"/>
              <w:jc w:val="left"/>
              <w:rPr>
                <w:snapToGrid w:val="0"/>
              </w:rPr>
            </w:pPr>
            <w:r w:rsidRPr="007D0AA8">
              <w:rPr>
                <w:snapToGrid w:val="0"/>
              </w:rPr>
              <w:t>“</w:t>
            </w:r>
            <w:r w:rsidRPr="00CB4DB8">
              <w:rPr>
                <w:i/>
                <w:snapToGrid w:val="0"/>
              </w:rPr>
              <w:t>No relevant adverse effect due to the infusion of IVIg was observed</w:t>
            </w:r>
            <w:r w:rsidRPr="007D0AA8">
              <w:rPr>
                <w:snapToGrid w:val="0"/>
              </w:rPr>
              <w:t>”. No discontinuations due to infusion were reported.</w:t>
            </w:r>
          </w:p>
        </w:tc>
      </w:tr>
      <w:tr w:rsidR="00421DCA" w:rsidRPr="00386411" w14:paraId="35AFD16C" w14:textId="77777777" w:rsidTr="00114624">
        <w:tc>
          <w:tcPr>
            <w:tcW w:w="718" w:type="pct"/>
            <w:shd w:val="clear" w:color="auto" w:fill="auto"/>
          </w:tcPr>
          <w:p w14:paraId="4E9223F8" w14:textId="77777777" w:rsidR="00421DCA" w:rsidRPr="007D0AA8" w:rsidRDefault="00421DCA" w:rsidP="00114624">
            <w:pPr>
              <w:pStyle w:val="Tabletext1"/>
              <w:jc w:val="left"/>
            </w:pPr>
            <w:r w:rsidRPr="007D0AA8">
              <w:t>Paxton et al., 2016</w:t>
            </w:r>
          </w:p>
        </w:tc>
        <w:tc>
          <w:tcPr>
            <w:tcW w:w="773" w:type="pct"/>
          </w:tcPr>
          <w:p w14:paraId="577ACF50" w14:textId="77777777" w:rsidR="00421DCA" w:rsidRPr="007D0AA8" w:rsidRDefault="00421DCA" w:rsidP="00114624">
            <w:pPr>
              <w:pStyle w:val="Tabletext1"/>
              <w:jc w:val="left"/>
              <w:rPr>
                <w:snapToGrid w:val="0"/>
              </w:rPr>
            </w:pPr>
            <w:r w:rsidRPr="007D0AA8">
              <w:t>CLL (42); MM (18); NHL (27); other (5)</w:t>
            </w:r>
          </w:p>
        </w:tc>
        <w:tc>
          <w:tcPr>
            <w:tcW w:w="560" w:type="pct"/>
          </w:tcPr>
          <w:p w14:paraId="1D701152" w14:textId="77777777" w:rsidR="00421DCA" w:rsidRPr="007D0AA8" w:rsidRDefault="00421DCA" w:rsidP="00114624">
            <w:pPr>
              <w:pStyle w:val="Tabletext1"/>
              <w:jc w:val="left"/>
              <w:rPr>
                <w:snapToGrid w:val="0"/>
              </w:rPr>
            </w:pPr>
            <w:r w:rsidRPr="007D0AA8">
              <w:rPr>
                <w:snapToGrid w:val="0"/>
              </w:rPr>
              <w:t>92</w:t>
            </w:r>
          </w:p>
        </w:tc>
        <w:tc>
          <w:tcPr>
            <w:tcW w:w="2949" w:type="pct"/>
            <w:shd w:val="clear" w:color="auto" w:fill="auto"/>
          </w:tcPr>
          <w:p w14:paraId="6F5547C9" w14:textId="77777777" w:rsidR="00421DCA" w:rsidRPr="007D0AA8" w:rsidRDefault="00421DCA" w:rsidP="00114624">
            <w:pPr>
              <w:pStyle w:val="Tabletext1"/>
              <w:jc w:val="left"/>
              <w:rPr>
                <w:snapToGrid w:val="0"/>
              </w:rPr>
            </w:pPr>
            <w:r w:rsidRPr="007D0AA8">
              <w:rPr>
                <w:snapToGrid w:val="0"/>
              </w:rPr>
              <w:t>No mention of on-study AEs or infusion tolerability.</w:t>
            </w:r>
          </w:p>
        </w:tc>
      </w:tr>
      <w:tr w:rsidR="00421DCA" w:rsidRPr="00386411" w14:paraId="5017C4B0" w14:textId="77777777" w:rsidTr="00114624">
        <w:tc>
          <w:tcPr>
            <w:tcW w:w="718" w:type="pct"/>
            <w:tcBorders>
              <w:bottom w:val="single" w:sz="4" w:space="0" w:color="auto"/>
            </w:tcBorders>
            <w:shd w:val="clear" w:color="auto" w:fill="auto"/>
          </w:tcPr>
          <w:p w14:paraId="3501E930" w14:textId="77777777" w:rsidR="00421DCA" w:rsidRPr="007D0AA8" w:rsidRDefault="00421DCA" w:rsidP="00114624">
            <w:pPr>
              <w:pStyle w:val="Tabletext1"/>
              <w:jc w:val="left"/>
            </w:pPr>
            <w:r w:rsidRPr="007D0AA8">
              <w:t>Stump et al., 2017</w:t>
            </w:r>
          </w:p>
        </w:tc>
        <w:tc>
          <w:tcPr>
            <w:tcW w:w="773" w:type="pct"/>
            <w:tcBorders>
              <w:bottom w:val="single" w:sz="4" w:space="0" w:color="auto"/>
            </w:tcBorders>
          </w:tcPr>
          <w:p w14:paraId="255B9ED2" w14:textId="77777777" w:rsidR="00421DCA" w:rsidRPr="007D0AA8" w:rsidRDefault="00421DCA" w:rsidP="00114624">
            <w:pPr>
              <w:pStyle w:val="Tabletext1"/>
              <w:jc w:val="left"/>
              <w:rPr>
                <w:snapToGrid w:val="0"/>
              </w:rPr>
            </w:pPr>
            <w:r w:rsidRPr="007D0AA8">
              <w:t>CLL(74); AL(65); MM(26); NHL(32); HL(7); CML(5)</w:t>
            </w:r>
          </w:p>
        </w:tc>
        <w:tc>
          <w:tcPr>
            <w:tcW w:w="560" w:type="pct"/>
            <w:tcBorders>
              <w:bottom w:val="single" w:sz="4" w:space="0" w:color="auto"/>
            </w:tcBorders>
          </w:tcPr>
          <w:p w14:paraId="46E8A399" w14:textId="77777777" w:rsidR="00421DCA" w:rsidRPr="007D0AA8" w:rsidRDefault="00421DCA" w:rsidP="00114624">
            <w:pPr>
              <w:pStyle w:val="Tabletext1"/>
              <w:jc w:val="left"/>
              <w:rPr>
                <w:snapToGrid w:val="0"/>
              </w:rPr>
            </w:pPr>
            <w:r w:rsidRPr="007D0AA8">
              <w:rPr>
                <w:snapToGrid w:val="0"/>
              </w:rPr>
              <w:t>209 infusions</w:t>
            </w:r>
          </w:p>
          <w:p w14:paraId="65D8FF18" w14:textId="77777777" w:rsidR="00421DCA" w:rsidRPr="007D0AA8" w:rsidRDefault="00421DCA" w:rsidP="00114624">
            <w:pPr>
              <w:pStyle w:val="Tabletext1"/>
              <w:jc w:val="left"/>
              <w:rPr>
                <w:snapToGrid w:val="0"/>
              </w:rPr>
            </w:pPr>
            <w:r w:rsidRPr="007D0AA8">
              <w:rPr>
                <w:snapToGrid w:val="0"/>
              </w:rPr>
              <w:t>(N=79 patients)</w:t>
            </w:r>
          </w:p>
        </w:tc>
        <w:tc>
          <w:tcPr>
            <w:tcW w:w="2949" w:type="pct"/>
            <w:tcBorders>
              <w:bottom w:val="single" w:sz="4" w:space="0" w:color="auto"/>
            </w:tcBorders>
            <w:shd w:val="clear" w:color="auto" w:fill="auto"/>
          </w:tcPr>
          <w:p w14:paraId="50BF25BE" w14:textId="77777777" w:rsidR="00421DCA" w:rsidRPr="00CB4DB8" w:rsidRDefault="00421DCA" w:rsidP="00114624">
            <w:pPr>
              <w:pStyle w:val="Tabletext1"/>
              <w:jc w:val="left"/>
              <w:rPr>
                <w:i/>
                <w:snapToGrid w:val="0"/>
              </w:rPr>
            </w:pPr>
            <w:r w:rsidRPr="00CB4DB8">
              <w:rPr>
                <w:i/>
                <w:snapToGrid w:val="0"/>
              </w:rPr>
              <w:t>“[O]f the 26 IVIG encounters excluded for death within 30 days [the observation period], 17 (65%) were for treatment of a pre-existing infection, and 9 (35%) were for infection prevention secondary to hypogammaglobulinemia.”</w:t>
            </w:r>
          </w:p>
        </w:tc>
      </w:tr>
      <w:tr w:rsidR="00421DCA" w:rsidRPr="007D0AA8" w14:paraId="50D05471" w14:textId="77777777" w:rsidTr="00114624">
        <w:tc>
          <w:tcPr>
            <w:tcW w:w="718" w:type="pct"/>
            <w:tcBorders>
              <w:bottom w:val="single" w:sz="4" w:space="0" w:color="auto"/>
            </w:tcBorders>
            <w:shd w:val="clear" w:color="auto" w:fill="auto"/>
          </w:tcPr>
          <w:p w14:paraId="3AE16589" w14:textId="77777777" w:rsidR="00421DCA" w:rsidRPr="007D0AA8" w:rsidRDefault="00421DCA" w:rsidP="00114624">
            <w:pPr>
              <w:pStyle w:val="Tabletext1"/>
              <w:jc w:val="left"/>
            </w:pPr>
            <w:r w:rsidRPr="007D0AA8">
              <w:t>Windegger et al. 2019</w:t>
            </w:r>
          </w:p>
        </w:tc>
        <w:tc>
          <w:tcPr>
            <w:tcW w:w="773" w:type="pct"/>
            <w:tcBorders>
              <w:bottom w:val="single" w:sz="4" w:space="0" w:color="auto"/>
            </w:tcBorders>
          </w:tcPr>
          <w:p w14:paraId="74010B30" w14:textId="77777777" w:rsidR="00421DCA" w:rsidRPr="007D0AA8" w:rsidRDefault="00421DCA" w:rsidP="00114624">
            <w:pPr>
              <w:pStyle w:val="Tabletext1"/>
              <w:jc w:val="left"/>
              <w:rPr>
                <w:sz w:val="18"/>
              </w:rPr>
            </w:pPr>
            <w:r w:rsidRPr="007D0AA8">
              <w:t>(undefined HM)</w:t>
            </w:r>
          </w:p>
        </w:tc>
        <w:tc>
          <w:tcPr>
            <w:tcW w:w="560" w:type="pct"/>
            <w:tcBorders>
              <w:bottom w:val="single" w:sz="4" w:space="0" w:color="auto"/>
            </w:tcBorders>
          </w:tcPr>
          <w:p w14:paraId="67172925" w14:textId="77777777" w:rsidR="00421DCA" w:rsidRPr="007D0AA8" w:rsidRDefault="00421DCA" w:rsidP="00114624">
            <w:pPr>
              <w:pStyle w:val="Tabletext1"/>
              <w:jc w:val="left"/>
              <w:rPr>
                <w:snapToGrid w:val="0"/>
              </w:rPr>
            </w:pPr>
            <w:r w:rsidRPr="007D0AA8">
              <w:rPr>
                <w:snapToGrid w:val="0"/>
              </w:rPr>
              <w:t>N=13</w:t>
            </w:r>
          </w:p>
        </w:tc>
        <w:tc>
          <w:tcPr>
            <w:tcW w:w="2949" w:type="pct"/>
            <w:tcBorders>
              <w:bottom w:val="single" w:sz="4" w:space="0" w:color="auto"/>
            </w:tcBorders>
            <w:shd w:val="clear" w:color="auto" w:fill="auto"/>
          </w:tcPr>
          <w:p w14:paraId="7E926241" w14:textId="77777777" w:rsidR="00421DCA" w:rsidRPr="00CB4DB8" w:rsidRDefault="00421DCA" w:rsidP="00114624">
            <w:pPr>
              <w:pStyle w:val="Tabletext1"/>
              <w:jc w:val="left"/>
              <w:rPr>
                <w:i/>
                <w:snapToGrid w:val="0"/>
              </w:rPr>
            </w:pPr>
            <w:r w:rsidRPr="00CB4DB8">
              <w:rPr>
                <w:i/>
                <w:snapToGrid w:val="0"/>
              </w:rPr>
              <w:t>“No serious adverse events requiring hospitalization due to [IgG] were reported in our cohort.”</w:t>
            </w:r>
            <w:r w:rsidRPr="00CB4DB8">
              <w:rPr>
                <w:i/>
                <w:snapToGrid w:val="0"/>
              </w:rPr>
              <w:br/>
              <w:t>“No patient developed bronchiectasis or died within the 24 months [study] period.”</w:t>
            </w:r>
          </w:p>
        </w:tc>
      </w:tr>
    </w:tbl>
    <w:p w14:paraId="63446491" w14:textId="77777777" w:rsidR="00421DCA" w:rsidRPr="007D0AA8" w:rsidRDefault="00421DCA" w:rsidP="00421DCA">
      <w:pPr>
        <w:pStyle w:val="Tablenotes1"/>
        <w:rPr>
          <w:snapToGrid w:val="0"/>
          <w:szCs w:val="20"/>
        </w:rPr>
      </w:pPr>
      <w:r w:rsidRPr="007D0AA8">
        <w:t>AE=adverse event; AL=acute leukaemia; CLL=chronic lymphocytic leukaemia; CML=chronic myeloid leukaemia; HL=Hodgkin lymphoma; HM=haematological malignancy; HSCT=haematological stem cell transplant; IVIg=intravenous immunoglobulin; MM=multiple myeloma; NHL=non-Hodgkin lymphoma</w:t>
      </w:r>
    </w:p>
    <w:p w14:paraId="32B4F976" w14:textId="77777777" w:rsidR="00157B14" w:rsidRPr="00386411" w:rsidRDefault="00157B14" w:rsidP="00D0272B">
      <w:pPr>
        <w:rPr>
          <w:b/>
          <w:i/>
        </w:rPr>
      </w:pPr>
    </w:p>
    <w:p w14:paraId="5CF4B447" w14:textId="77777777" w:rsidR="00157B14" w:rsidRPr="00386411" w:rsidRDefault="00157B14" w:rsidP="00DF343F">
      <w:pPr>
        <w:pStyle w:val="Heading2"/>
        <w:sectPr w:rsidR="00157B14" w:rsidRPr="00386411" w:rsidSect="000A6A87">
          <w:pgSz w:w="11906" w:h="16838"/>
          <w:pgMar w:top="1440" w:right="1440" w:bottom="1440" w:left="1440" w:header="720" w:footer="720" w:gutter="0"/>
          <w:paperSrc w:first="7" w:other="7"/>
          <w:cols w:space="720"/>
        </w:sectPr>
      </w:pPr>
      <w:bookmarkStart w:id="288" w:name="_Toc379118084"/>
      <w:bookmarkStart w:id="289" w:name="_Toc381796469"/>
    </w:p>
    <w:p w14:paraId="0739FD8D" w14:textId="2DDB9BCC" w:rsidR="008F59A8" w:rsidRPr="00386411" w:rsidRDefault="008F59A8" w:rsidP="00DF343F">
      <w:pPr>
        <w:pStyle w:val="Heading2"/>
      </w:pPr>
      <w:bookmarkStart w:id="290" w:name="_Toc14431142"/>
      <w:bookmarkStart w:id="291" w:name="_Toc16856310"/>
      <w:r w:rsidRPr="00386411">
        <w:lastRenderedPageBreak/>
        <w:t>Is it effective?</w:t>
      </w:r>
      <w:bookmarkEnd w:id="288"/>
      <w:bookmarkEnd w:id="289"/>
      <w:bookmarkEnd w:id="290"/>
      <w:bookmarkEnd w:id="291"/>
      <w:r w:rsidRPr="00386411">
        <w:t xml:space="preserve"> </w:t>
      </w:r>
    </w:p>
    <w:p w14:paraId="761C9E71" w14:textId="2B47C465" w:rsidR="00A56D77" w:rsidRPr="00386411" w:rsidRDefault="001E5BBE" w:rsidP="005C061E">
      <w:pPr>
        <w:pStyle w:val="Summaryboxheading"/>
        <w:pBdr>
          <w:top w:val="single" w:sz="4" w:space="1" w:color="auto"/>
          <w:left w:val="single" w:sz="4" w:space="4" w:color="auto"/>
          <w:bottom w:val="single" w:sz="4" w:space="1" w:color="auto"/>
          <w:right w:val="single" w:sz="4" w:space="4" w:color="auto"/>
        </w:pBdr>
      </w:pPr>
      <w:r w:rsidRPr="00386411">
        <w:t>Summary – Is IgG replacement therapy more safe, effective</w:t>
      </w:r>
      <w:r w:rsidR="00C77E7F">
        <w:t xml:space="preserve"> and cost-effective than no IgG</w:t>
      </w:r>
      <w:r w:rsidRPr="00386411">
        <w:t xml:space="preserve">?  </w:t>
      </w:r>
    </w:p>
    <w:p w14:paraId="638F82DC" w14:textId="0B1B0A79" w:rsidR="00AE4873" w:rsidRPr="007D0AA8" w:rsidRDefault="00270836" w:rsidP="00270836">
      <w:pPr>
        <w:pStyle w:val="Summaryboxheading"/>
        <w:pBdr>
          <w:top w:val="single" w:sz="4" w:space="1" w:color="auto"/>
          <w:left w:val="single" w:sz="4" w:space="4" w:color="auto"/>
          <w:bottom w:val="single" w:sz="4" w:space="1" w:color="auto"/>
          <w:right w:val="single" w:sz="4" w:space="4" w:color="auto"/>
        </w:pBdr>
        <w:rPr>
          <w:b w:val="0"/>
        </w:rPr>
      </w:pPr>
      <w:r w:rsidRPr="007D0AA8">
        <w:rPr>
          <w:b w:val="0"/>
        </w:rPr>
        <w:t>Six randomised trials reported that patients with acquired hypogammaglobulinaemia who received IVIg (k=5) or SCIg (k=1) had fewer infections than those who did not have Ig</w:t>
      </w:r>
      <w:r w:rsidR="00AE4873">
        <w:rPr>
          <w:b w:val="0"/>
        </w:rPr>
        <w:t>G</w:t>
      </w:r>
      <w:r w:rsidRPr="007D0AA8">
        <w:rPr>
          <w:b w:val="0"/>
        </w:rPr>
        <w:t xml:space="preserve"> therapy. These trials were in patients whose underlying conditions were CLL (k=3), MM (k=2); and those who underwent HSCT (k=1). </w:t>
      </w:r>
      <w:r>
        <w:rPr>
          <w:b w:val="0"/>
        </w:rPr>
        <w:t xml:space="preserve">Those patients who were randomised to receive IgG had significantly fewer infections than those who did not receive IgG. The difference in the number of severe/serious and life-threatening infections was large </w:t>
      </w:r>
      <w:r w:rsidRPr="00AE4873">
        <w:rPr>
          <w:b w:val="0"/>
        </w:rPr>
        <w:t>(weighted IRR=</w:t>
      </w:r>
      <w:r w:rsidR="00AE4873" w:rsidRPr="00AE4873">
        <w:rPr>
          <w:b w:val="0"/>
        </w:rPr>
        <w:t>0.14; 95%CI 0.05, 0.43</w:t>
      </w:r>
      <w:r w:rsidRPr="00AE4873">
        <w:rPr>
          <w:b w:val="0"/>
        </w:rPr>
        <w:t>), whereas there was less difference in mild or moderate infections (weighted IRR=</w:t>
      </w:r>
      <w:r w:rsidR="00AE4873" w:rsidRPr="00AE4873">
        <w:rPr>
          <w:b w:val="0"/>
        </w:rPr>
        <w:t>0</w:t>
      </w:r>
      <w:r w:rsidR="00AE4873">
        <w:rPr>
          <w:b w:val="0"/>
        </w:rPr>
        <w:t>.61;</w:t>
      </w:r>
      <w:r w:rsidR="00AE4873" w:rsidRPr="00AE4873">
        <w:rPr>
          <w:b w:val="0"/>
        </w:rPr>
        <w:t xml:space="preserve"> 95%CI 0.51, 0.72</w:t>
      </w:r>
      <w:r>
        <w:rPr>
          <w:b w:val="0"/>
        </w:rPr>
        <w:t>). These data were supported by before-and-after studies, where infection rates were available for patients prior to, and receiving IgG infusions (weight</w:t>
      </w:r>
      <w:r w:rsidRPr="00AE4873">
        <w:rPr>
          <w:b w:val="0"/>
        </w:rPr>
        <w:t>ed IRR=</w:t>
      </w:r>
      <w:r w:rsidR="00AE4873" w:rsidRPr="00AE4873">
        <w:rPr>
          <w:b w:val="0"/>
        </w:rPr>
        <w:t>0.6</w:t>
      </w:r>
      <w:r w:rsidR="00AE4873">
        <w:rPr>
          <w:b w:val="0"/>
        </w:rPr>
        <w:t>4;</w:t>
      </w:r>
      <w:r w:rsidR="00AE4873" w:rsidRPr="00AE4873">
        <w:rPr>
          <w:b w:val="0"/>
        </w:rPr>
        <w:t xml:space="preserve"> 95%CI 0.49, 0.84</w:t>
      </w:r>
      <w:r>
        <w:rPr>
          <w:b w:val="0"/>
        </w:rPr>
        <w:t xml:space="preserve">). </w:t>
      </w:r>
    </w:p>
    <w:p w14:paraId="562B5DDF" w14:textId="0BC479B3" w:rsidR="00467CB8" w:rsidRPr="007D0AA8" w:rsidRDefault="00467CB8" w:rsidP="005C061E">
      <w:pPr>
        <w:pStyle w:val="Summaryboxheading"/>
        <w:pBdr>
          <w:top w:val="single" w:sz="4" w:space="1" w:color="auto"/>
          <w:left w:val="single" w:sz="4" w:space="4" w:color="auto"/>
          <w:bottom w:val="single" w:sz="4" w:space="1" w:color="auto"/>
          <w:right w:val="single" w:sz="4" w:space="4" w:color="auto"/>
        </w:pBdr>
        <w:rPr>
          <w:b w:val="0"/>
        </w:rPr>
      </w:pPr>
      <w:r w:rsidRPr="007D0AA8">
        <w:rPr>
          <w:b w:val="0"/>
        </w:rPr>
        <w:t xml:space="preserve">One randomised trial compared transplant-related outcomes in patients who had undergone HSCT, with or without IVIg. </w:t>
      </w:r>
      <w:r w:rsidR="004B2C5D" w:rsidRPr="007D0AA8">
        <w:rPr>
          <w:b w:val="0"/>
        </w:rPr>
        <w:t xml:space="preserve">In those who received allografts, the rate of </w:t>
      </w:r>
      <w:r w:rsidR="00FA20FD">
        <w:rPr>
          <w:b w:val="0"/>
        </w:rPr>
        <w:t>GVHD</w:t>
      </w:r>
      <w:r w:rsidR="004B2C5D" w:rsidRPr="007D0AA8">
        <w:rPr>
          <w:b w:val="0"/>
        </w:rPr>
        <w:t xml:space="preserve"> and interstitial pneumonia was significantly less in those who received IVIg than those who did not receive </w:t>
      </w:r>
      <w:r w:rsidR="00FA20FD">
        <w:rPr>
          <w:b w:val="0"/>
        </w:rPr>
        <w:t>IVIg</w:t>
      </w:r>
      <w:r w:rsidR="004B2C5D" w:rsidRPr="007D0AA8">
        <w:rPr>
          <w:b w:val="0"/>
        </w:rPr>
        <w:t xml:space="preserve">. One cohort study compared the rate of GVHD in patients who received IVIg versus those who received SCIg. The rate of acute and chronic GVHD was higher in the IVIg group, however, given the study design, selection bias may have influenced these results.  </w:t>
      </w:r>
    </w:p>
    <w:p w14:paraId="3DE33828" w14:textId="31C29DDA" w:rsidR="005B6A6B" w:rsidRPr="007D0AA8" w:rsidRDefault="00072E7D" w:rsidP="005C061E">
      <w:pPr>
        <w:pStyle w:val="Summaryboxheading"/>
        <w:pBdr>
          <w:top w:val="single" w:sz="4" w:space="1" w:color="auto"/>
          <w:left w:val="single" w:sz="4" w:space="4" w:color="auto"/>
          <w:bottom w:val="single" w:sz="4" w:space="1" w:color="auto"/>
          <w:right w:val="single" w:sz="4" w:space="4" w:color="auto"/>
        </w:pBdr>
        <w:rPr>
          <w:b w:val="0"/>
        </w:rPr>
      </w:pPr>
      <w:r w:rsidRPr="007D0AA8">
        <w:rPr>
          <w:b w:val="0"/>
        </w:rPr>
        <w:t>IVIg did not appear to influence o</w:t>
      </w:r>
      <w:r w:rsidR="00CB0199" w:rsidRPr="007D0AA8">
        <w:rPr>
          <w:b w:val="0"/>
        </w:rPr>
        <w:t xml:space="preserve">verall survival in a single </w:t>
      </w:r>
      <w:r w:rsidRPr="007D0AA8">
        <w:rPr>
          <w:b w:val="0"/>
        </w:rPr>
        <w:t xml:space="preserve">trial and </w:t>
      </w:r>
      <w:r w:rsidR="00CB0199" w:rsidRPr="007D0AA8">
        <w:rPr>
          <w:b w:val="0"/>
        </w:rPr>
        <w:t xml:space="preserve">three </w:t>
      </w:r>
      <w:r w:rsidRPr="007D0AA8">
        <w:rPr>
          <w:b w:val="0"/>
        </w:rPr>
        <w:t>observational studies identified. However, in the subgroup of patients randomised to IVIg, who wer</w:t>
      </w:r>
      <w:r w:rsidR="00F814DE">
        <w:rPr>
          <w:b w:val="0"/>
        </w:rPr>
        <w:t>e over 20 years old, and had HLA</w:t>
      </w:r>
      <w:r w:rsidRPr="007D0AA8">
        <w:rPr>
          <w:b w:val="0"/>
        </w:rPr>
        <w:t xml:space="preserve">-identical bone marrow transplantation, the cumulative incidence of non-relapse mortality was significantly higher in those who did not receive IVIg (46%) than those who did (30%; p=0.023). </w:t>
      </w:r>
    </w:p>
    <w:p w14:paraId="44E9B50B" w14:textId="04FE3C33" w:rsidR="00072E7D" w:rsidRPr="007D0AA8" w:rsidRDefault="00072E7D" w:rsidP="005C061E">
      <w:pPr>
        <w:pStyle w:val="Summaryboxheading"/>
        <w:pBdr>
          <w:top w:val="single" w:sz="4" w:space="1" w:color="auto"/>
          <w:left w:val="single" w:sz="4" w:space="4" w:color="auto"/>
          <w:bottom w:val="single" w:sz="4" w:space="1" w:color="auto"/>
          <w:right w:val="single" w:sz="4" w:space="4" w:color="auto"/>
        </w:pBdr>
        <w:rPr>
          <w:b w:val="0"/>
        </w:rPr>
      </w:pPr>
      <w:r w:rsidRPr="007D0AA8">
        <w:rPr>
          <w:b w:val="0"/>
        </w:rPr>
        <w:t xml:space="preserve">Five observational studies reported that patients who received Ig therapy were also more likely to be hospitalised due to infections. The selection bias inherent in the study design mean that the influence of Ig on hospitalisation risk cannot be determined. </w:t>
      </w:r>
    </w:p>
    <w:p w14:paraId="7E6CC215" w14:textId="1BA6D90C" w:rsidR="00A031F3" w:rsidRPr="007D0AA8" w:rsidRDefault="00CB0199" w:rsidP="005C061E">
      <w:pPr>
        <w:pStyle w:val="Summaryboxheading"/>
        <w:pBdr>
          <w:top w:val="single" w:sz="4" w:space="1" w:color="auto"/>
          <w:left w:val="single" w:sz="4" w:space="4" w:color="auto"/>
          <w:bottom w:val="single" w:sz="4" w:space="1" w:color="auto"/>
          <w:right w:val="single" w:sz="4" w:space="4" w:color="auto"/>
        </w:pBdr>
        <w:rPr>
          <w:b w:val="0"/>
        </w:rPr>
      </w:pPr>
      <w:r w:rsidRPr="007D0AA8">
        <w:rPr>
          <w:b w:val="0"/>
        </w:rPr>
        <w:t>One trial randomised MM patients with hypogammaglobulinaemia to receive SCIg or no SCIg. They graphically reported that quality of life on the SF-36 was significantly higher in those receiving SCIg for the domains of general health, physical functioning, role-physical, vitality, social functioning, role-emotional and mental health. The only domain which was not signific</w:t>
      </w:r>
      <w:r w:rsidR="00D46C48" w:rsidRPr="007D0AA8">
        <w:rPr>
          <w:b w:val="0"/>
        </w:rPr>
        <w:t xml:space="preserve">ant, </w:t>
      </w:r>
      <w:r w:rsidRPr="007D0AA8">
        <w:rPr>
          <w:b w:val="0"/>
        </w:rPr>
        <w:t xml:space="preserve">was pain. </w:t>
      </w:r>
    </w:p>
    <w:p w14:paraId="26219874" w14:textId="1B1CF7CF" w:rsidR="006810ED" w:rsidRPr="007D0AA8" w:rsidRDefault="005D0372" w:rsidP="00CA3C41">
      <w:r w:rsidRPr="007D0AA8">
        <w:t xml:space="preserve">Infection risk characteristics and definitions of infections for all included studies are summarised in </w:t>
      </w:r>
      <w:r w:rsidRPr="007D0AA8">
        <w:fldChar w:fldCharType="begin"/>
      </w:r>
      <w:r w:rsidRPr="007D0AA8">
        <w:instrText xml:space="preserve"> REF _Ref9248112 \h  \* MERGEFORMAT </w:instrText>
      </w:r>
      <w:r w:rsidRPr="007D0AA8">
        <w:fldChar w:fldCharType="separate"/>
      </w:r>
      <w:r w:rsidR="00A7463B" w:rsidRPr="00386411">
        <w:t xml:space="preserve">Table </w:t>
      </w:r>
      <w:r w:rsidR="00A7463B">
        <w:t>22</w:t>
      </w:r>
      <w:r w:rsidRPr="007D0AA8">
        <w:fldChar w:fldCharType="end"/>
      </w:r>
      <w:r w:rsidRPr="007D0AA8">
        <w:t xml:space="preserve">. Policies for antibiotic use in each study are described in </w:t>
      </w:r>
      <w:r w:rsidRPr="007D0AA8">
        <w:fldChar w:fldCharType="begin"/>
      </w:r>
      <w:r w:rsidRPr="007D0AA8">
        <w:instrText xml:space="preserve"> REF _Ref11318489 \h  \* MERGEFORMAT </w:instrText>
      </w:r>
      <w:r w:rsidRPr="007D0AA8">
        <w:fldChar w:fldCharType="separate"/>
      </w:r>
      <w:r w:rsidR="00A7463B" w:rsidRPr="00386411">
        <w:t xml:space="preserve">Table </w:t>
      </w:r>
      <w:r w:rsidR="00A7463B">
        <w:t>84</w:t>
      </w:r>
      <w:r w:rsidRPr="007D0AA8">
        <w:fldChar w:fldCharType="end"/>
      </w:r>
      <w:r w:rsidRPr="007D0AA8">
        <w:t xml:space="preserve">, </w:t>
      </w:r>
      <w:r w:rsidRPr="007D0AA8">
        <w:fldChar w:fldCharType="begin"/>
      </w:r>
      <w:r w:rsidRPr="007D0AA8">
        <w:instrText xml:space="preserve"> REF _Ref10230975 \h </w:instrText>
      </w:r>
      <w:r w:rsidR="00386411" w:rsidRPr="007D0AA8">
        <w:instrText xml:space="preserve"> \* MERGEFORMAT </w:instrText>
      </w:r>
      <w:r w:rsidRPr="007D0AA8">
        <w:fldChar w:fldCharType="separate"/>
      </w:r>
      <w:r w:rsidR="00A7463B" w:rsidRPr="00386411">
        <w:t xml:space="preserve">Appendix </w:t>
      </w:r>
      <w:r w:rsidR="00A7463B">
        <w:rPr>
          <w:noProof/>
        </w:rPr>
        <w:t>F</w:t>
      </w:r>
      <w:r w:rsidRPr="007D0AA8">
        <w:fldChar w:fldCharType="end"/>
      </w:r>
      <w:r w:rsidRPr="007D0AA8">
        <w:t>.</w:t>
      </w:r>
    </w:p>
    <w:p w14:paraId="51E1B886" w14:textId="77777777" w:rsidR="00ED14D8" w:rsidRPr="00386411" w:rsidRDefault="00ED14D8" w:rsidP="0016008C">
      <w:pPr>
        <w:rPr>
          <w:b/>
        </w:rPr>
      </w:pPr>
    </w:p>
    <w:p w14:paraId="1BF28BCC" w14:textId="0039769F" w:rsidR="006810ED" w:rsidRPr="00386411" w:rsidRDefault="006810ED" w:rsidP="00816960">
      <w:pPr>
        <w:rPr>
          <w:b/>
        </w:rPr>
        <w:sectPr w:rsidR="006810ED" w:rsidRPr="00386411" w:rsidSect="00157B14">
          <w:pgSz w:w="11906" w:h="16838"/>
          <w:pgMar w:top="1440" w:right="1440" w:bottom="1440" w:left="1440" w:header="720" w:footer="720" w:gutter="0"/>
          <w:paperSrc w:first="7" w:other="7"/>
          <w:cols w:space="720"/>
        </w:sectPr>
      </w:pPr>
    </w:p>
    <w:p w14:paraId="7A5DE475" w14:textId="7F86A34A" w:rsidR="006810ED" w:rsidRPr="00386411" w:rsidRDefault="007623B8" w:rsidP="006810ED">
      <w:pPr>
        <w:pStyle w:val="Caption"/>
        <w:rPr>
          <w:snapToGrid w:val="0"/>
          <w:lang w:eastAsia="en-US"/>
        </w:rPr>
      </w:pPr>
      <w:bookmarkStart w:id="292" w:name="_Ref9248112"/>
      <w:bookmarkStart w:id="293" w:name="_Toc14429565"/>
      <w:bookmarkStart w:id="294" w:name="_Toc16671620"/>
      <w:r w:rsidRPr="00386411">
        <w:lastRenderedPageBreak/>
        <w:t xml:space="preserve">Table </w:t>
      </w:r>
      <w:r w:rsidR="002E5B22" w:rsidRPr="00386411">
        <w:rPr>
          <w:noProof/>
        </w:rPr>
        <w:fldChar w:fldCharType="begin"/>
      </w:r>
      <w:r w:rsidR="002E5B22" w:rsidRPr="00386411">
        <w:rPr>
          <w:noProof/>
        </w:rPr>
        <w:instrText xml:space="preserve"> SEQ Table \* ARABIC </w:instrText>
      </w:r>
      <w:r w:rsidR="002E5B22" w:rsidRPr="00386411">
        <w:rPr>
          <w:noProof/>
        </w:rPr>
        <w:fldChar w:fldCharType="separate"/>
      </w:r>
      <w:r w:rsidR="00A7463B">
        <w:rPr>
          <w:noProof/>
        </w:rPr>
        <w:t>22</w:t>
      </w:r>
      <w:r w:rsidR="002E5B22" w:rsidRPr="00386411">
        <w:rPr>
          <w:noProof/>
        </w:rPr>
        <w:fldChar w:fldCharType="end"/>
      </w:r>
      <w:bookmarkEnd w:id="292"/>
      <w:r w:rsidRPr="00386411">
        <w:tab/>
      </w:r>
      <w:r w:rsidR="00EE0AD8" w:rsidRPr="00386411">
        <w:t>Baseline risk of infection in</w:t>
      </w:r>
      <w:r w:rsidR="006810ED" w:rsidRPr="00386411">
        <w:t xml:space="preserve"> the included studies:</w:t>
      </w:r>
      <w:r w:rsidR="006810ED" w:rsidRPr="00386411">
        <w:rPr>
          <w:snapToGrid w:val="0"/>
          <w:lang w:eastAsia="en-US"/>
        </w:rPr>
        <w:t xml:space="preserve"> serum IgG and history of infections</w:t>
      </w:r>
      <w:bookmarkEnd w:id="293"/>
      <w:bookmarkEnd w:id="294"/>
      <w:r w:rsidR="006810ED" w:rsidRPr="00386411">
        <w:rPr>
          <w:snapToGrid w:val="0"/>
          <w:lang w:eastAsia="en-US"/>
        </w:rPr>
        <w:t xml:space="preserve"> </w:t>
      </w:r>
    </w:p>
    <w:tbl>
      <w:tblPr>
        <w:tblStyle w:val="TableGrid5"/>
        <w:tblW w:w="5000" w:type="pct"/>
        <w:tblLook w:val="04A0" w:firstRow="1" w:lastRow="0" w:firstColumn="1" w:lastColumn="0" w:noHBand="0" w:noVBand="1"/>
        <w:tblCaption w:val="Baseline risk of infection in the included studies: serum IgG and history of infections "/>
      </w:tblPr>
      <w:tblGrid>
        <w:gridCol w:w="1190"/>
        <w:gridCol w:w="1534"/>
        <w:gridCol w:w="1001"/>
        <w:gridCol w:w="1097"/>
        <w:gridCol w:w="2395"/>
        <w:gridCol w:w="1253"/>
        <w:gridCol w:w="411"/>
        <w:gridCol w:w="153"/>
        <w:gridCol w:w="1622"/>
        <w:gridCol w:w="3518"/>
      </w:tblGrid>
      <w:tr w:rsidR="007D0AA8" w:rsidRPr="00386411" w14:paraId="67F30110" w14:textId="77777777" w:rsidTr="00BE5103">
        <w:trPr>
          <w:tblHeader/>
        </w:trPr>
        <w:tc>
          <w:tcPr>
            <w:tcW w:w="420" w:type="pct"/>
          </w:tcPr>
          <w:p w14:paraId="7F125D3A" w14:textId="77777777" w:rsidR="006810ED" w:rsidRPr="00386411" w:rsidRDefault="006810ED" w:rsidP="00C14764">
            <w:pPr>
              <w:keepNext/>
              <w:spacing w:before="0" w:afterLines="20" w:after="48" w:line="240" w:lineRule="auto"/>
              <w:ind w:left="-57"/>
              <w:jc w:val="left"/>
              <w:rPr>
                <w:rFonts w:ascii="Arial Narrow" w:hAnsi="Arial Narrow"/>
                <w:b/>
                <w:sz w:val="20"/>
                <w:szCs w:val="20"/>
              </w:rPr>
            </w:pPr>
            <w:r w:rsidRPr="00386411">
              <w:rPr>
                <w:rFonts w:ascii="Arial Narrow" w:hAnsi="Arial Narrow"/>
                <w:b/>
                <w:sz w:val="20"/>
                <w:szCs w:val="20"/>
              </w:rPr>
              <w:t>Study</w:t>
            </w:r>
          </w:p>
          <w:p w14:paraId="7E8F880E" w14:textId="2672E09A" w:rsidR="006810ED" w:rsidRPr="00386411" w:rsidRDefault="00BE5AFC" w:rsidP="00C14764">
            <w:pPr>
              <w:keepNext/>
              <w:spacing w:before="0" w:afterLines="20" w:after="48" w:line="240" w:lineRule="auto"/>
              <w:ind w:left="-57"/>
              <w:jc w:val="left"/>
              <w:rPr>
                <w:rFonts w:ascii="Arial Narrow" w:hAnsi="Arial Narrow"/>
                <w:b/>
                <w:sz w:val="20"/>
                <w:szCs w:val="20"/>
              </w:rPr>
            </w:pPr>
            <w:r w:rsidRPr="00386411">
              <w:rPr>
                <w:rFonts w:ascii="Arial Narrow" w:hAnsi="Arial Narrow"/>
                <w:b/>
                <w:sz w:val="20"/>
                <w:szCs w:val="20"/>
              </w:rPr>
              <w:t>Indication</w:t>
            </w:r>
          </w:p>
        </w:tc>
        <w:tc>
          <w:tcPr>
            <w:tcW w:w="541" w:type="pct"/>
          </w:tcPr>
          <w:p w14:paraId="63638961" w14:textId="77777777" w:rsidR="006810ED" w:rsidRPr="00386411" w:rsidRDefault="006810ED" w:rsidP="00C14764">
            <w:pPr>
              <w:keepNext/>
              <w:spacing w:before="0" w:afterLines="20" w:after="48" w:line="240" w:lineRule="auto"/>
              <w:ind w:left="-57"/>
              <w:jc w:val="left"/>
              <w:rPr>
                <w:rFonts w:ascii="Arial Narrow" w:hAnsi="Arial Narrow"/>
                <w:b/>
                <w:sz w:val="20"/>
                <w:szCs w:val="20"/>
              </w:rPr>
            </w:pPr>
            <w:r w:rsidRPr="00386411">
              <w:rPr>
                <w:rFonts w:ascii="Arial Narrow" w:hAnsi="Arial Narrow"/>
                <w:b/>
                <w:sz w:val="20"/>
                <w:szCs w:val="20"/>
              </w:rPr>
              <w:t>Definition of hypo-GG</w:t>
            </w:r>
          </w:p>
        </w:tc>
        <w:tc>
          <w:tcPr>
            <w:tcW w:w="353" w:type="pct"/>
          </w:tcPr>
          <w:p w14:paraId="7C9A37A9" w14:textId="77777777" w:rsidR="006810ED" w:rsidRPr="00386411" w:rsidRDefault="006810ED" w:rsidP="00C14764">
            <w:pPr>
              <w:keepNext/>
              <w:spacing w:before="0" w:afterLines="20" w:after="48" w:line="240" w:lineRule="auto"/>
              <w:ind w:left="-57"/>
              <w:jc w:val="left"/>
              <w:rPr>
                <w:rFonts w:ascii="Arial Narrow" w:hAnsi="Arial Narrow"/>
                <w:b/>
                <w:sz w:val="20"/>
                <w:szCs w:val="20"/>
              </w:rPr>
            </w:pPr>
            <w:r w:rsidRPr="00386411">
              <w:rPr>
                <w:rFonts w:ascii="Arial Narrow" w:hAnsi="Arial Narrow"/>
                <w:b/>
                <w:sz w:val="20"/>
                <w:szCs w:val="20"/>
              </w:rPr>
              <w:t>Hypo-GG inclusion criterion?</w:t>
            </w:r>
          </w:p>
        </w:tc>
        <w:tc>
          <w:tcPr>
            <w:tcW w:w="387" w:type="pct"/>
          </w:tcPr>
          <w:p w14:paraId="43563E0A" w14:textId="77777777" w:rsidR="006810ED" w:rsidRPr="00386411" w:rsidRDefault="006810ED" w:rsidP="00C14764">
            <w:pPr>
              <w:keepNext/>
              <w:spacing w:before="0" w:afterLines="20" w:after="48" w:line="240" w:lineRule="auto"/>
              <w:ind w:left="-57"/>
              <w:jc w:val="left"/>
              <w:rPr>
                <w:rFonts w:ascii="Arial Narrow" w:hAnsi="Arial Narrow"/>
                <w:b/>
                <w:sz w:val="20"/>
                <w:szCs w:val="20"/>
              </w:rPr>
            </w:pPr>
            <w:r w:rsidRPr="00386411">
              <w:rPr>
                <w:rFonts w:ascii="Arial Narrow" w:hAnsi="Arial Narrow"/>
                <w:b/>
                <w:sz w:val="20"/>
                <w:szCs w:val="20"/>
              </w:rPr>
              <w:t>Infections inclusion criterion?</w:t>
            </w:r>
          </w:p>
        </w:tc>
        <w:tc>
          <w:tcPr>
            <w:tcW w:w="845" w:type="pct"/>
          </w:tcPr>
          <w:p w14:paraId="5E96D1FC" w14:textId="77777777" w:rsidR="006810ED" w:rsidRPr="00386411" w:rsidRDefault="006810ED" w:rsidP="00C14764">
            <w:pPr>
              <w:keepNext/>
              <w:spacing w:before="0" w:afterLines="20" w:after="48" w:line="240" w:lineRule="auto"/>
              <w:ind w:left="-57"/>
              <w:jc w:val="left"/>
              <w:rPr>
                <w:rFonts w:ascii="Arial Narrow" w:hAnsi="Arial Narrow"/>
                <w:b/>
                <w:sz w:val="20"/>
                <w:szCs w:val="20"/>
              </w:rPr>
            </w:pPr>
            <w:r w:rsidRPr="00386411">
              <w:rPr>
                <w:rFonts w:ascii="Arial Narrow" w:hAnsi="Arial Narrow"/>
                <w:b/>
                <w:sz w:val="20"/>
                <w:szCs w:val="20"/>
              </w:rPr>
              <w:t>Baseline IgG values</w:t>
            </w:r>
          </w:p>
        </w:tc>
        <w:tc>
          <w:tcPr>
            <w:tcW w:w="587" w:type="pct"/>
            <w:gridSpan w:val="2"/>
          </w:tcPr>
          <w:p w14:paraId="5B028DE8" w14:textId="77777777" w:rsidR="006810ED" w:rsidRPr="00386411" w:rsidRDefault="006810ED" w:rsidP="00C14764">
            <w:pPr>
              <w:keepNext/>
              <w:spacing w:before="0" w:afterLines="20" w:after="48" w:line="240" w:lineRule="auto"/>
              <w:ind w:left="-57"/>
              <w:jc w:val="left"/>
              <w:rPr>
                <w:rFonts w:ascii="Arial Narrow" w:hAnsi="Arial Narrow"/>
                <w:b/>
                <w:sz w:val="20"/>
                <w:szCs w:val="20"/>
              </w:rPr>
            </w:pPr>
            <w:r w:rsidRPr="00386411">
              <w:rPr>
                <w:rFonts w:ascii="Arial Narrow" w:hAnsi="Arial Narrow"/>
                <w:b/>
                <w:sz w:val="20"/>
                <w:szCs w:val="20"/>
              </w:rPr>
              <w:t>IgG values during study</w:t>
            </w:r>
          </w:p>
        </w:tc>
        <w:tc>
          <w:tcPr>
            <w:tcW w:w="626" w:type="pct"/>
            <w:gridSpan w:val="2"/>
          </w:tcPr>
          <w:p w14:paraId="0C0AE390" w14:textId="77777777" w:rsidR="006810ED" w:rsidRPr="00386411" w:rsidRDefault="006810ED" w:rsidP="00C14764">
            <w:pPr>
              <w:keepNext/>
              <w:spacing w:before="0" w:afterLines="20" w:after="48" w:line="240" w:lineRule="auto"/>
              <w:ind w:left="-57"/>
              <w:jc w:val="left"/>
              <w:rPr>
                <w:rFonts w:ascii="Arial Narrow" w:hAnsi="Arial Narrow"/>
                <w:b/>
                <w:sz w:val="20"/>
                <w:szCs w:val="20"/>
              </w:rPr>
            </w:pPr>
            <w:r w:rsidRPr="00386411">
              <w:rPr>
                <w:rFonts w:ascii="Arial Narrow" w:hAnsi="Arial Narrow"/>
                <w:b/>
                <w:sz w:val="20"/>
                <w:szCs w:val="20"/>
              </w:rPr>
              <w:t>Prior infection history</w:t>
            </w:r>
          </w:p>
        </w:tc>
        <w:tc>
          <w:tcPr>
            <w:tcW w:w="1241" w:type="pct"/>
          </w:tcPr>
          <w:p w14:paraId="18C8BC78" w14:textId="77777777" w:rsidR="006810ED" w:rsidRPr="00386411" w:rsidRDefault="006810ED" w:rsidP="00C14764">
            <w:pPr>
              <w:keepNext/>
              <w:spacing w:before="0" w:afterLines="20" w:after="48" w:line="240" w:lineRule="auto"/>
              <w:ind w:left="-57"/>
              <w:jc w:val="left"/>
              <w:rPr>
                <w:rFonts w:ascii="Arial Narrow" w:hAnsi="Arial Narrow"/>
                <w:b/>
                <w:sz w:val="20"/>
                <w:szCs w:val="20"/>
              </w:rPr>
            </w:pPr>
            <w:r w:rsidRPr="00386411">
              <w:rPr>
                <w:rFonts w:ascii="Arial Narrow" w:hAnsi="Arial Narrow"/>
                <w:b/>
                <w:sz w:val="20"/>
                <w:szCs w:val="20"/>
              </w:rPr>
              <w:t>Infections definitions</w:t>
            </w:r>
          </w:p>
        </w:tc>
      </w:tr>
      <w:tr w:rsidR="007A47A2" w:rsidRPr="00386411" w14:paraId="5E1F9F2D" w14:textId="77777777" w:rsidTr="00DB0176">
        <w:tc>
          <w:tcPr>
            <w:tcW w:w="5000" w:type="pct"/>
            <w:gridSpan w:val="10"/>
            <w:shd w:val="clear" w:color="auto" w:fill="000000" w:themeFill="text1"/>
          </w:tcPr>
          <w:p w14:paraId="0EF4BDBC" w14:textId="77777777" w:rsidR="007A47A2" w:rsidRPr="00386411" w:rsidRDefault="007A47A2" w:rsidP="00261F0E">
            <w:pPr>
              <w:keepNext/>
              <w:spacing w:after="40" w:line="240" w:lineRule="auto"/>
              <w:ind w:left="-57"/>
              <w:rPr>
                <w:rFonts w:ascii="Arial Narrow" w:hAnsi="Arial Narrow"/>
                <w:b/>
                <w:color w:val="FFFFFF" w:themeColor="background1"/>
                <w:sz w:val="20"/>
                <w:szCs w:val="20"/>
              </w:rPr>
            </w:pPr>
            <w:r w:rsidRPr="00386411">
              <w:rPr>
                <w:rFonts w:ascii="Arial Narrow" w:hAnsi="Arial Narrow"/>
                <w:b/>
                <w:color w:val="FFFFFF" w:themeColor="background1"/>
                <w:sz w:val="20"/>
                <w:szCs w:val="20"/>
              </w:rPr>
              <w:t>Randomised studies  – IVIg vs No IVIg</w:t>
            </w:r>
          </w:p>
        </w:tc>
      </w:tr>
      <w:tr w:rsidR="007D0AA8" w:rsidRPr="007D0AA8" w14:paraId="2D304ABC" w14:textId="77777777" w:rsidTr="00BE5103">
        <w:tc>
          <w:tcPr>
            <w:tcW w:w="420" w:type="pct"/>
          </w:tcPr>
          <w:p w14:paraId="0B2F226A" w14:textId="2DCBA823" w:rsidR="006810ED" w:rsidRPr="007D0AA8" w:rsidRDefault="006810E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Boughton</w:t>
            </w:r>
            <w:r w:rsidR="00730B34" w:rsidRPr="007D0AA8">
              <w:rPr>
                <w:rFonts w:ascii="Arial Narrow" w:hAnsi="Arial Narrow"/>
                <w:sz w:val="20"/>
                <w:szCs w:val="20"/>
              </w:rPr>
              <w:t xml:space="preserve"> et al.</w:t>
            </w:r>
            <w:r w:rsidRPr="007D0AA8">
              <w:rPr>
                <w:rFonts w:ascii="Arial Narrow" w:hAnsi="Arial Narrow"/>
                <w:sz w:val="20"/>
                <w:szCs w:val="20"/>
              </w:rPr>
              <w:t>, 1995</w:t>
            </w:r>
          </w:p>
          <w:p w14:paraId="2A47F11C" w14:textId="77777777" w:rsidR="006810ED" w:rsidRPr="007D0AA8" w:rsidRDefault="006810E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CLL</w:t>
            </w:r>
          </w:p>
        </w:tc>
        <w:tc>
          <w:tcPr>
            <w:tcW w:w="541" w:type="pct"/>
          </w:tcPr>
          <w:p w14:paraId="24F98648" w14:textId="77777777" w:rsidR="006810ED" w:rsidRPr="007D0AA8" w:rsidRDefault="006810E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Hypo-GG: serum IgG &lt;5.5g/L</w:t>
            </w:r>
          </w:p>
          <w:p w14:paraId="13A13A19" w14:textId="77777777" w:rsidR="006810ED" w:rsidRPr="007D0AA8" w:rsidRDefault="006810E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 xml:space="preserve">Severe hypo-GG: IgG &lt;3.0g/L </w:t>
            </w:r>
          </w:p>
          <w:p w14:paraId="2B3E7E91" w14:textId="77777777" w:rsidR="006810ED" w:rsidRPr="007D0AA8" w:rsidRDefault="006810E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 xml:space="preserve">(normal range: </w:t>
            </w:r>
            <w:r w:rsidRPr="007D0AA8">
              <w:rPr>
                <w:rFonts w:ascii="Arial Narrow" w:hAnsi="Arial Narrow"/>
                <w:sz w:val="20"/>
                <w:szCs w:val="20"/>
              </w:rPr>
              <w:br/>
              <w:t>8-18g/L)</w:t>
            </w:r>
          </w:p>
        </w:tc>
        <w:tc>
          <w:tcPr>
            <w:tcW w:w="353" w:type="pct"/>
          </w:tcPr>
          <w:p w14:paraId="178A3DF8" w14:textId="77777777" w:rsidR="006810ED" w:rsidRPr="007D0AA8" w:rsidRDefault="006810E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Yes.</w:t>
            </w:r>
          </w:p>
        </w:tc>
        <w:tc>
          <w:tcPr>
            <w:tcW w:w="387" w:type="pct"/>
          </w:tcPr>
          <w:p w14:paraId="2D781CE6" w14:textId="77777777" w:rsidR="006810ED" w:rsidRPr="007D0AA8" w:rsidRDefault="006810E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Yes.</w:t>
            </w:r>
          </w:p>
        </w:tc>
        <w:tc>
          <w:tcPr>
            <w:tcW w:w="845" w:type="pct"/>
          </w:tcPr>
          <w:p w14:paraId="73F97A2B" w14:textId="77777777" w:rsidR="006810ED" w:rsidRPr="007D0AA8" w:rsidRDefault="006810ED" w:rsidP="00C14764">
            <w:pPr>
              <w:spacing w:before="0" w:after="0" w:line="240" w:lineRule="auto"/>
              <w:ind w:left="-57"/>
              <w:jc w:val="left"/>
              <w:rPr>
                <w:rFonts w:ascii="Arial Narrow" w:hAnsi="Arial Narrow"/>
                <w:sz w:val="20"/>
                <w:szCs w:val="20"/>
              </w:rPr>
            </w:pPr>
            <w:r w:rsidRPr="007D0AA8">
              <w:rPr>
                <w:rFonts w:ascii="Arial Narrow" w:hAnsi="Arial Narrow"/>
                <w:sz w:val="20"/>
                <w:szCs w:val="20"/>
                <w:u w:val="single"/>
              </w:rPr>
              <w:t>Mean serum IgG</w:t>
            </w:r>
            <w:r w:rsidRPr="007D0AA8">
              <w:rPr>
                <w:rFonts w:ascii="Arial Narrow" w:hAnsi="Arial Narrow"/>
                <w:sz w:val="20"/>
                <w:szCs w:val="20"/>
              </w:rPr>
              <w:t xml:space="preserve">±sd, g/L: </w:t>
            </w:r>
            <w:r w:rsidRPr="007D0AA8">
              <w:rPr>
                <w:rFonts w:ascii="Arial Narrow" w:hAnsi="Arial Narrow"/>
                <w:sz w:val="20"/>
                <w:szCs w:val="20"/>
              </w:rPr>
              <w:br/>
              <w:t>IVIg: 3.5±0.7</w:t>
            </w:r>
            <w:r w:rsidRPr="007D0AA8">
              <w:rPr>
                <w:rFonts w:ascii="Arial Narrow" w:hAnsi="Arial Narrow"/>
                <w:sz w:val="20"/>
                <w:szCs w:val="20"/>
              </w:rPr>
              <w:br/>
              <w:t>No IVIg: 3.6±0.6</w:t>
            </w:r>
          </w:p>
        </w:tc>
        <w:tc>
          <w:tcPr>
            <w:tcW w:w="587" w:type="pct"/>
            <w:gridSpan w:val="2"/>
          </w:tcPr>
          <w:p w14:paraId="44D0C2ED" w14:textId="77777777" w:rsidR="006810ED" w:rsidRPr="007D0AA8" w:rsidRDefault="006810E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 xml:space="preserve">Measured 3-weekly for study duration. </w:t>
            </w:r>
          </w:p>
        </w:tc>
        <w:tc>
          <w:tcPr>
            <w:tcW w:w="626" w:type="pct"/>
            <w:gridSpan w:val="2"/>
          </w:tcPr>
          <w:p w14:paraId="17D2C8F4" w14:textId="77777777" w:rsidR="006810ED" w:rsidRPr="007D0AA8" w:rsidRDefault="006810E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(all patients had history of infections)</w:t>
            </w:r>
          </w:p>
        </w:tc>
        <w:tc>
          <w:tcPr>
            <w:tcW w:w="1241" w:type="pct"/>
          </w:tcPr>
          <w:p w14:paraId="0C73FDBA" w14:textId="77777777" w:rsidR="006810ED" w:rsidRPr="007D0AA8" w:rsidRDefault="006810E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History of infections: ≥2 documented infections in the preceding 12 months.</w:t>
            </w:r>
          </w:p>
          <w:p w14:paraId="58D98E2D" w14:textId="77777777" w:rsidR="006810ED" w:rsidRPr="007D0AA8" w:rsidRDefault="006810E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Life threatening infections such as septicaemias and pneumonias which required hospital admission for intravenous antibiotics, were classified as serious.</w:t>
            </w:r>
          </w:p>
        </w:tc>
      </w:tr>
      <w:tr w:rsidR="007D0AA8" w:rsidRPr="007D0AA8" w14:paraId="65FA925A" w14:textId="77777777" w:rsidTr="00BE5103">
        <w:tc>
          <w:tcPr>
            <w:tcW w:w="420" w:type="pct"/>
          </w:tcPr>
          <w:p w14:paraId="59FD2EB8" w14:textId="46088974" w:rsidR="00DF5031" w:rsidRPr="007D0AA8" w:rsidRDefault="00DF5031"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Chapel</w:t>
            </w:r>
            <w:r w:rsidR="00730B34" w:rsidRPr="007D0AA8">
              <w:rPr>
                <w:rFonts w:ascii="Arial Narrow" w:hAnsi="Arial Narrow"/>
                <w:sz w:val="20"/>
                <w:szCs w:val="20"/>
              </w:rPr>
              <w:t xml:space="preserve"> et al.</w:t>
            </w:r>
            <w:r w:rsidRPr="007D0AA8">
              <w:rPr>
                <w:rFonts w:ascii="Arial Narrow" w:hAnsi="Arial Narrow"/>
                <w:sz w:val="20"/>
                <w:szCs w:val="20"/>
              </w:rPr>
              <w:t>, 1991</w:t>
            </w:r>
          </w:p>
          <w:p w14:paraId="60F63A5C" w14:textId="77777777" w:rsidR="00DF5031" w:rsidRPr="007D0AA8" w:rsidRDefault="00DF5031"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CLL, NHL</w:t>
            </w:r>
          </w:p>
        </w:tc>
        <w:tc>
          <w:tcPr>
            <w:tcW w:w="541" w:type="pct"/>
          </w:tcPr>
          <w:p w14:paraId="6129BC61" w14:textId="3CFE2742" w:rsidR="00DF5031" w:rsidRPr="007D0AA8" w:rsidRDefault="00DF5031"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serum IgG &lt;50% of LLN (LLN defined as 6.4g/L)</w:t>
            </w:r>
          </w:p>
        </w:tc>
        <w:tc>
          <w:tcPr>
            <w:tcW w:w="353" w:type="pct"/>
          </w:tcPr>
          <w:p w14:paraId="192CB0BA" w14:textId="63C77285" w:rsidR="00DF5031" w:rsidRPr="007D0AA8" w:rsidRDefault="00DF5031"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Yes (OR 1 prior major infection).</w:t>
            </w:r>
          </w:p>
        </w:tc>
        <w:tc>
          <w:tcPr>
            <w:tcW w:w="387" w:type="pct"/>
          </w:tcPr>
          <w:p w14:paraId="6284A117" w14:textId="75589E8D" w:rsidR="00DF5031" w:rsidRPr="007D0AA8" w:rsidRDefault="00DF5031"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Yes (OR hypo-GG)</w:t>
            </w:r>
          </w:p>
        </w:tc>
        <w:tc>
          <w:tcPr>
            <w:tcW w:w="845" w:type="pct"/>
          </w:tcPr>
          <w:p w14:paraId="1524E12D" w14:textId="141690DA" w:rsidR="00DF5031" w:rsidRPr="007D0AA8" w:rsidRDefault="00DF5031"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 xml:space="preserve">Not reported. </w:t>
            </w:r>
          </w:p>
        </w:tc>
        <w:tc>
          <w:tcPr>
            <w:tcW w:w="587" w:type="pct"/>
            <w:gridSpan w:val="2"/>
          </w:tcPr>
          <w:p w14:paraId="42DF2B74" w14:textId="2945ACC0" w:rsidR="00DF5031" w:rsidRPr="007D0AA8" w:rsidRDefault="00DF5031" w:rsidP="00C14764">
            <w:pPr>
              <w:spacing w:before="0" w:after="0" w:line="240" w:lineRule="auto"/>
              <w:ind w:left="-57"/>
              <w:jc w:val="left"/>
              <w:rPr>
                <w:rFonts w:ascii="Arial Narrow" w:hAnsi="Arial Narrow"/>
                <w:sz w:val="20"/>
                <w:szCs w:val="20"/>
                <w:highlight w:val="yellow"/>
              </w:rPr>
            </w:pPr>
            <w:r w:rsidRPr="007D0AA8">
              <w:rPr>
                <w:rFonts w:ascii="Arial Narrow" w:hAnsi="Arial Narrow"/>
                <w:sz w:val="20"/>
                <w:szCs w:val="20"/>
              </w:rPr>
              <w:t xml:space="preserve">Measured but not reported. </w:t>
            </w:r>
          </w:p>
        </w:tc>
        <w:tc>
          <w:tcPr>
            <w:tcW w:w="626" w:type="pct"/>
            <w:gridSpan w:val="2"/>
          </w:tcPr>
          <w:p w14:paraId="0692CC26" w14:textId="55DCF008" w:rsidR="00DF5031" w:rsidRPr="007D0AA8" w:rsidRDefault="00DF5031"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Recorded at baseline but not reported.</w:t>
            </w:r>
          </w:p>
        </w:tc>
        <w:tc>
          <w:tcPr>
            <w:tcW w:w="1241" w:type="pct"/>
          </w:tcPr>
          <w:p w14:paraId="689CE498" w14:textId="74060F29" w:rsidR="00DF5031" w:rsidRPr="007D0AA8" w:rsidRDefault="00DF5031"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“Major” infections were life-threatening (septicaemia or pneumonia). “Moderate” infections required oral antibiotics and (bronchitis, otitis media, UTIs etc). “Trivial” infections required symptomatic/topical tx.</w:t>
            </w:r>
          </w:p>
        </w:tc>
      </w:tr>
      <w:tr w:rsidR="007D0AA8" w:rsidRPr="007D0AA8" w14:paraId="0E9C04E3" w14:textId="77777777" w:rsidTr="00BE5103">
        <w:tc>
          <w:tcPr>
            <w:tcW w:w="420" w:type="pct"/>
          </w:tcPr>
          <w:p w14:paraId="58CD7F8E" w14:textId="508E11B0" w:rsidR="00DF5031" w:rsidRPr="007D0AA8" w:rsidRDefault="00DF5031"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Chapel</w:t>
            </w:r>
            <w:r w:rsidR="00730B34" w:rsidRPr="007D0AA8">
              <w:rPr>
                <w:rFonts w:ascii="Arial Narrow" w:hAnsi="Arial Narrow"/>
                <w:sz w:val="20"/>
                <w:szCs w:val="20"/>
              </w:rPr>
              <w:t xml:space="preserve"> et al.</w:t>
            </w:r>
            <w:r w:rsidRPr="007D0AA8">
              <w:rPr>
                <w:rFonts w:ascii="Arial Narrow" w:hAnsi="Arial Narrow"/>
                <w:sz w:val="20"/>
                <w:szCs w:val="20"/>
              </w:rPr>
              <w:t>, 1994</w:t>
            </w:r>
          </w:p>
          <w:p w14:paraId="5EA343E6" w14:textId="77777777" w:rsidR="00DF5031" w:rsidRPr="007D0AA8" w:rsidRDefault="00DF5031"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MM</w:t>
            </w:r>
          </w:p>
        </w:tc>
        <w:tc>
          <w:tcPr>
            <w:tcW w:w="541" w:type="pct"/>
          </w:tcPr>
          <w:p w14:paraId="3870BC2D" w14:textId="77777777" w:rsidR="00DF5031" w:rsidRPr="007D0AA8" w:rsidRDefault="00DF5031"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Not defined.</w:t>
            </w:r>
          </w:p>
        </w:tc>
        <w:tc>
          <w:tcPr>
            <w:tcW w:w="353" w:type="pct"/>
          </w:tcPr>
          <w:p w14:paraId="57EFDA38" w14:textId="77777777" w:rsidR="00DF5031" w:rsidRPr="007D0AA8" w:rsidRDefault="00DF5031"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No.</w:t>
            </w:r>
          </w:p>
        </w:tc>
        <w:tc>
          <w:tcPr>
            <w:tcW w:w="387" w:type="pct"/>
          </w:tcPr>
          <w:p w14:paraId="27938850" w14:textId="77777777" w:rsidR="00DF5031" w:rsidRPr="007D0AA8" w:rsidRDefault="00DF5031"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No.</w:t>
            </w:r>
          </w:p>
        </w:tc>
        <w:tc>
          <w:tcPr>
            <w:tcW w:w="845" w:type="pct"/>
          </w:tcPr>
          <w:p w14:paraId="61E1231A" w14:textId="578F6FA9" w:rsidR="00DF5031" w:rsidRPr="007D0AA8" w:rsidRDefault="002A57F9"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P</w:t>
            </w:r>
            <w:r w:rsidR="00DF5031" w:rsidRPr="007D0AA8">
              <w:rPr>
                <w:rFonts w:ascii="Arial Narrow" w:hAnsi="Arial Narrow"/>
                <w:sz w:val="20"/>
                <w:szCs w:val="20"/>
              </w:rPr>
              <w:t>atients</w:t>
            </w:r>
            <w:r w:rsidRPr="007D0AA8">
              <w:rPr>
                <w:rFonts w:ascii="Arial Narrow" w:hAnsi="Arial Narrow"/>
                <w:sz w:val="20"/>
                <w:szCs w:val="20"/>
              </w:rPr>
              <w:t xml:space="preserve"> stratified at baseline according to</w:t>
            </w:r>
            <w:r w:rsidR="00DF5031" w:rsidRPr="007D0AA8">
              <w:rPr>
                <w:rFonts w:ascii="Arial Narrow" w:hAnsi="Arial Narrow"/>
                <w:sz w:val="20"/>
                <w:szCs w:val="20"/>
              </w:rPr>
              <w:t xml:space="preserve"> serum Ig &gt;LLN/&lt;LLN:</w:t>
            </w:r>
            <w:r w:rsidR="00DF5031" w:rsidRPr="007D0AA8">
              <w:rPr>
                <w:rFonts w:ascii="Arial Narrow" w:hAnsi="Arial Narrow"/>
                <w:sz w:val="20"/>
                <w:szCs w:val="20"/>
              </w:rPr>
              <w:br/>
              <w:t xml:space="preserve">IVIg </w:t>
            </w:r>
            <w:r w:rsidRPr="007D0AA8">
              <w:rPr>
                <w:rFonts w:ascii="Arial Narrow" w:hAnsi="Arial Narrow"/>
                <w:sz w:val="20"/>
                <w:szCs w:val="20"/>
              </w:rPr>
              <w:t>(n=42)</w:t>
            </w:r>
            <w:r w:rsidR="00DF5031" w:rsidRPr="007D0AA8">
              <w:rPr>
                <w:rFonts w:ascii="Arial Narrow" w:hAnsi="Arial Narrow"/>
                <w:sz w:val="20"/>
                <w:szCs w:val="20"/>
              </w:rPr>
              <w:t>, n/n: 10/32</w:t>
            </w:r>
            <w:r w:rsidR="00DF5031" w:rsidRPr="007D0AA8">
              <w:rPr>
                <w:rFonts w:ascii="Arial Narrow" w:hAnsi="Arial Narrow"/>
                <w:sz w:val="20"/>
                <w:szCs w:val="20"/>
              </w:rPr>
              <w:br/>
              <w:t xml:space="preserve">Placebo </w:t>
            </w:r>
            <w:r w:rsidRPr="007D0AA8">
              <w:rPr>
                <w:rFonts w:ascii="Arial Narrow" w:hAnsi="Arial Narrow"/>
                <w:sz w:val="20"/>
                <w:szCs w:val="20"/>
              </w:rPr>
              <w:t>(n=41)</w:t>
            </w:r>
            <w:r w:rsidR="00DF5031" w:rsidRPr="007D0AA8">
              <w:rPr>
                <w:rFonts w:ascii="Arial Narrow" w:hAnsi="Arial Narrow"/>
                <w:sz w:val="20"/>
                <w:szCs w:val="20"/>
              </w:rPr>
              <w:t>, n/n: 15/26</w:t>
            </w:r>
          </w:p>
        </w:tc>
        <w:tc>
          <w:tcPr>
            <w:tcW w:w="587" w:type="pct"/>
            <w:gridSpan w:val="2"/>
          </w:tcPr>
          <w:p w14:paraId="150C8593" w14:textId="77777777" w:rsidR="00DF5031" w:rsidRPr="007D0AA8" w:rsidRDefault="00DF5031"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Not reported.</w:t>
            </w:r>
          </w:p>
        </w:tc>
        <w:tc>
          <w:tcPr>
            <w:tcW w:w="626" w:type="pct"/>
            <w:gridSpan w:val="2"/>
          </w:tcPr>
          <w:p w14:paraId="1C6D05D0" w14:textId="77777777" w:rsidR="00DF5031" w:rsidRPr="007D0AA8" w:rsidRDefault="00DF5031"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Not reported.</w:t>
            </w:r>
          </w:p>
        </w:tc>
        <w:tc>
          <w:tcPr>
            <w:tcW w:w="1241" w:type="pct"/>
          </w:tcPr>
          <w:p w14:paraId="1D84B2E3" w14:textId="77777777" w:rsidR="00DF5031" w:rsidRPr="007D0AA8" w:rsidRDefault="00DF5031"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Serious infections: major or moderate.</w:t>
            </w:r>
          </w:p>
          <w:p w14:paraId="06CF7C65" w14:textId="77777777" w:rsidR="00DF5031" w:rsidRPr="007D0AA8" w:rsidRDefault="00DF5031"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“Major”: Life-threatening infections (hospitalisation + IV antibiotics).</w:t>
            </w:r>
          </w:p>
          <w:p w14:paraId="60E3DE92" w14:textId="77777777" w:rsidR="00DF5031" w:rsidRPr="007D0AA8" w:rsidRDefault="00DF5031"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 xml:space="preserve">“Moderate”: 2° bacterial infections (oral antibiotics), localised herpes zoster. </w:t>
            </w:r>
          </w:p>
          <w:p w14:paraId="20DE6381" w14:textId="77777777" w:rsidR="00DF5031" w:rsidRPr="007D0AA8" w:rsidRDefault="00DF5031"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“Minor” infections: not necessarily requiring antibiotics.</w:t>
            </w:r>
          </w:p>
        </w:tc>
      </w:tr>
      <w:tr w:rsidR="007D0AA8" w:rsidRPr="007D0AA8" w14:paraId="5517585D" w14:textId="77777777" w:rsidTr="00BE5103">
        <w:tc>
          <w:tcPr>
            <w:tcW w:w="420" w:type="pct"/>
          </w:tcPr>
          <w:p w14:paraId="36EE2CE8" w14:textId="77777777" w:rsidR="0097721B" w:rsidRPr="007D0AA8" w:rsidRDefault="0097721B"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 xml:space="preserve">Kobayashi et al., 2014 </w:t>
            </w:r>
          </w:p>
          <w:p w14:paraId="71476917" w14:textId="6BE3DD41" w:rsidR="004A6D4F" w:rsidRPr="007D0AA8" w:rsidRDefault="004A6D4F"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ALL(34); AML(12); other leukaemia(2); NHL(2); solid tumours(11)</w:t>
            </w:r>
          </w:p>
        </w:tc>
        <w:tc>
          <w:tcPr>
            <w:tcW w:w="541" w:type="pct"/>
          </w:tcPr>
          <w:p w14:paraId="5B9790AA" w14:textId="34F18923" w:rsidR="0097721B" w:rsidRPr="007D0AA8" w:rsidRDefault="004A6D4F"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Not defined.</w:t>
            </w:r>
          </w:p>
        </w:tc>
        <w:tc>
          <w:tcPr>
            <w:tcW w:w="353" w:type="pct"/>
          </w:tcPr>
          <w:p w14:paraId="6095A698" w14:textId="5DDE51B6" w:rsidR="0097721B" w:rsidRPr="007D0AA8" w:rsidRDefault="004A6D4F"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No</w:t>
            </w:r>
          </w:p>
        </w:tc>
        <w:tc>
          <w:tcPr>
            <w:tcW w:w="387" w:type="pct"/>
          </w:tcPr>
          <w:p w14:paraId="6824F114" w14:textId="4C2DCAB0" w:rsidR="0097721B" w:rsidRPr="007D0AA8" w:rsidRDefault="004A6D4F"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Yes</w:t>
            </w:r>
            <w:r w:rsidR="00B86211" w:rsidRPr="007D0AA8">
              <w:rPr>
                <w:rFonts w:ascii="Arial Narrow" w:hAnsi="Arial Narrow"/>
                <w:sz w:val="20"/>
                <w:szCs w:val="20"/>
              </w:rPr>
              <w:t xml:space="preserve"> (febrile neutropenia)</w:t>
            </w:r>
          </w:p>
        </w:tc>
        <w:tc>
          <w:tcPr>
            <w:tcW w:w="845" w:type="pct"/>
          </w:tcPr>
          <w:p w14:paraId="6C4180A0" w14:textId="0DC873D9" w:rsidR="0097721B" w:rsidRPr="007D0AA8" w:rsidRDefault="004A6D4F"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Serum IgG, mg/dL, median (range):</w:t>
            </w:r>
            <w:r w:rsidRPr="007D0AA8">
              <w:rPr>
                <w:rFonts w:ascii="Arial Narrow" w:hAnsi="Arial Narrow"/>
                <w:sz w:val="20"/>
                <w:szCs w:val="20"/>
              </w:rPr>
              <w:br/>
              <w:t xml:space="preserve">MEPM+IVIG: 673 (236–1344) </w:t>
            </w:r>
            <w:r w:rsidRPr="007D0AA8">
              <w:rPr>
                <w:rFonts w:ascii="Arial Narrow" w:hAnsi="Arial Narrow"/>
                <w:sz w:val="20"/>
                <w:szCs w:val="20"/>
              </w:rPr>
              <w:br/>
              <w:t>MEPM: 667.5 (292–2047)</w:t>
            </w:r>
          </w:p>
        </w:tc>
        <w:tc>
          <w:tcPr>
            <w:tcW w:w="587" w:type="pct"/>
            <w:gridSpan w:val="2"/>
          </w:tcPr>
          <w:p w14:paraId="27F07DB3" w14:textId="08A8B99A" w:rsidR="0097721B" w:rsidRPr="007D0AA8" w:rsidRDefault="004A6D4F"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 xml:space="preserve">(72h duration </w:t>
            </w:r>
            <w:r w:rsidR="008E01BA" w:rsidRPr="007D0AA8">
              <w:rPr>
                <w:rFonts w:ascii="Arial Narrow" w:hAnsi="Arial Narrow"/>
                <w:sz w:val="20"/>
                <w:szCs w:val="20"/>
              </w:rPr>
              <w:t>per episode</w:t>
            </w:r>
            <w:r w:rsidRPr="007D0AA8">
              <w:rPr>
                <w:rFonts w:ascii="Arial Narrow" w:hAnsi="Arial Narrow"/>
                <w:sz w:val="20"/>
                <w:szCs w:val="20"/>
              </w:rPr>
              <w:t>)</w:t>
            </w:r>
          </w:p>
        </w:tc>
        <w:tc>
          <w:tcPr>
            <w:tcW w:w="626" w:type="pct"/>
            <w:gridSpan w:val="2"/>
          </w:tcPr>
          <w:p w14:paraId="5013145E" w14:textId="3D72D0F2" w:rsidR="0097721B" w:rsidRPr="007D0AA8" w:rsidRDefault="004A6D4F"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Patients with febrile neutropenia not responding to 1</w:t>
            </w:r>
            <w:r w:rsidRPr="007D0AA8">
              <w:rPr>
                <w:rFonts w:ascii="Arial Narrow" w:hAnsi="Arial Narrow"/>
                <w:sz w:val="20"/>
                <w:szCs w:val="20"/>
                <w:vertAlign w:val="superscript"/>
              </w:rPr>
              <w:t>st</w:t>
            </w:r>
            <w:r w:rsidRPr="007D0AA8">
              <w:rPr>
                <w:rFonts w:ascii="Arial Narrow" w:hAnsi="Arial Narrow"/>
                <w:sz w:val="20"/>
                <w:szCs w:val="20"/>
              </w:rPr>
              <w:t xml:space="preserve"> line antibiotics. </w:t>
            </w:r>
          </w:p>
        </w:tc>
        <w:tc>
          <w:tcPr>
            <w:tcW w:w="1241" w:type="pct"/>
          </w:tcPr>
          <w:p w14:paraId="45568A22" w14:textId="77777777" w:rsidR="004A6D4F" w:rsidRPr="007D0AA8" w:rsidRDefault="004A6D4F"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Febrile neutropenia at entry defined (i) fever, temperature ≥37.5°C for≥1 h or a single temperature &gt;38°C; (ii) ANC &lt;0.5×10</w:t>
            </w:r>
            <w:r w:rsidRPr="007D0AA8">
              <w:rPr>
                <w:rFonts w:ascii="Arial Narrow" w:hAnsi="Arial Narrow"/>
                <w:sz w:val="20"/>
                <w:szCs w:val="20"/>
                <w:vertAlign w:val="superscript"/>
              </w:rPr>
              <w:t>9</w:t>
            </w:r>
            <w:r w:rsidRPr="007D0AA8">
              <w:rPr>
                <w:rFonts w:ascii="Arial Narrow" w:hAnsi="Arial Narrow"/>
                <w:sz w:val="20"/>
                <w:szCs w:val="20"/>
              </w:rPr>
              <w:t xml:space="preserve">/L. </w:t>
            </w:r>
          </w:p>
          <w:p w14:paraId="070139E9" w14:textId="33C8A581" w:rsidR="0097721B" w:rsidRPr="007D0AA8" w:rsidRDefault="00B87914"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Tx s</w:t>
            </w:r>
            <w:r w:rsidR="004A6D4F" w:rsidRPr="007D0AA8">
              <w:rPr>
                <w:rFonts w:ascii="Arial Narrow" w:hAnsi="Arial Narrow"/>
                <w:sz w:val="20"/>
                <w:szCs w:val="20"/>
              </w:rPr>
              <w:t>uccess:</w:t>
            </w:r>
            <w:r w:rsidR="0082005C" w:rsidRPr="007D0AA8">
              <w:rPr>
                <w:rFonts w:ascii="Arial Narrow" w:hAnsi="Arial Narrow"/>
                <w:sz w:val="20"/>
                <w:szCs w:val="20"/>
              </w:rPr>
              <w:t xml:space="preserve"> at 120h</w:t>
            </w:r>
            <w:r w:rsidR="004A6D4F" w:rsidRPr="007D0AA8">
              <w:rPr>
                <w:rFonts w:ascii="Arial Narrow" w:hAnsi="Arial Narrow"/>
                <w:sz w:val="20"/>
                <w:szCs w:val="20"/>
              </w:rPr>
              <w:t xml:space="preserve"> fever disappearance, clinical improvement, infecting organism eradicated, maintenance of response</w:t>
            </w:r>
            <w:r w:rsidRPr="007D0AA8">
              <w:rPr>
                <w:rFonts w:ascii="Arial Narrow" w:hAnsi="Arial Narrow"/>
                <w:sz w:val="20"/>
                <w:szCs w:val="20"/>
              </w:rPr>
              <w:t xml:space="preserve"> ≥7d after tx discontinuation. Tx f</w:t>
            </w:r>
            <w:r w:rsidR="004A6D4F" w:rsidRPr="007D0AA8">
              <w:rPr>
                <w:rFonts w:ascii="Arial Narrow" w:hAnsi="Arial Narrow"/>
                <w:sz w:val="20"/>
                <w:szCs w:val="20"/>
              </w:rPr>
              <w:t>ailure: persistent fever/ infecting organism, required modification of antibiotic tx, new infections, infection-related death.</w:t>
            </w:r>
          </w:p>
        </w:tc>
      </w:tr>
      <w:tr w:rsidR="007D0AA8" w:rsidRPr="007D0AA8" w14:paraId="148A8A9B" w14:textId="77777777" w:rsidTr="00BE5103">
        <w:tc>
          <w:tcPr>
            <w:tcW w:w="420" w:type="pct"/>
          </w:tcPr>
          <w:p w14:paraId="0B2155EC"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Molica et al., 1996</w:t>
            </w:r>
          </w:p>
          <w:p w14:paraId="18E9FF7A"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CLL</w:t>
            </w:r>
          </w:p>
        </w:tc>
        <w:tc>
          <w:tcPr>
            <w:tcW w:w="541" w:type="pct"/>
          </w:tcPr>
          <w:p w14:paraId="63FA9C65"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serum IgG &lt;600mg/dL</w:t>
            </w:r>
          </w:p>
        </w:tc>
        <w:tc>
          <w:tcPr>
            <w:tcW w:w="353" w:type="pct"/>
          </w:tcPr>
          <w:p w14:paraId="204ECDEC"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Yes (OR history of infection).</w:t>
            </w:r>
          </w:p>
        </w:tc>
        <w:tc>
          <w:tcPr>
            <w:tcW w:w="387" w:type="pct"/>
          </w:tcPr>
          <w:p w14:paraId="0A3E9A8C"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Yes (OR hypo-GG)</w:t>
            </w:r>
          </w:p>
        </w:tc>
        <w:tc>
          <w:tcPr>
            <w:tcW w:w="845" w:type="pct"/>
          </w:tcPr>
          <w:p w14:paraId="1EBBAF19"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u w:val="single"/>
              </w:rPr>
              <w:t>IgG level</w:t>
            </w:r>
            <w:r w:rsidRPr="007D0AA8">
              <w:rPr>
                <w:rFonts w:ascii="Arial Narrow" w:hAnsi="Arial Narrow"/>
                <w:sz w:val="20"/>
                <w:szCs w:val="20"/>
              </w:rPr>
              <w:t xml:space="preserve"> mg/dL(%):</w:t>
            </w:r>
            <w:r w:rsidRPr="007D0AA8">
              <w:rPr>
                <w:rFonts w:ascii="Arial Narrow" w:hAnsi="Arial Narrow"/>
                <w:sz w:val="20"/>
                <w:szCs w:val="20"/>
              </w:rPr>
              <w:br/>
              <w:t>&lt;500: 16 (38)</w:t>
            </w:r>
            <w:r w:rsidRPr="007D0AA8">
              <w:rPr>
                <w:rFonts w:ascii="Arial Narrow" w:hAnsi="Arial Narrow"/>
                <w:sz w:val="20"/>
                <w:szCs w:val="20"/>
              </w:rPr>
              <w:br/>
              <w:t>&gt;500&lt;650: 13 (30.9)</w:t>
            </w:r>
            <w:r w:rsidRPr="007D0AA8">
              <w:rPr>
                <w:rFonts w:ascii="Arial Narrow" w:hAnsi="Arial Narrow"/>
                <w:sz w:val="20"/>
                <w:szCs w:val="20"/>
              </w:rPr>
              <w:br/>
              <w:t>&gt;650: 13 (30.9)</w:t>
            </w:r>
          </w:p>
        </w:tc>
        <w:tc>
          <w:tcPr>
            <w:tcW w:w="587" w:type="pct"/>
            <w:gridSpan w:val="2"/>
          </w:tcPr>
          <w:p w14:paraId="21391B70" w14:textId="35AB1CD6"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Serum IgG tested in 25/42 patients 2-5 times during tx</w:t>
            </w:r>
            <w:r w:rsidR="00964D7C">
              <w:rPr>
                <w:rFonts w:ascii="Arial Narrow" w:hAnsi="Arial Narrow"/>
                <w:sz w:val="20"/>
                <w:szCs w:val="20"/>
              </w:rPr>
              <w:t xml:space="preserve">, but only % increases not </w:t>
            </w:r>
            <w:r w:rsidR="00964D7C">
              <w:rPr>
                <w:rFonts w:ascii="Arial Narrow" w:hAnsi="Arial Narrow"/>
                <w:sz w:val="20"/>
                <w:szCs w:val="20"/>
              </w:rPr>
              <w:lastRenderedPageBreak/>
              <w:t>g/L values reported</w:t>
            </w:r>
            <w:r w:rsidRPr="007D0AA8">
              <w:rPr>
                <w:rFonts w:ascii="Arial Narrow" w:hAnsi="Arial Narrow"/>
                <w:sz w:val="20"/>
                <w:szCs w:val="20"/>
              </w:rPr>
              <w:t>.</w:t>
            </w:r>
          </w:p>
        </w:tc>
        <w:tc>
          <w:tcPr>
            <w:tcW w:w="626" w:type="pct"/>
            <w:gridSpan w:val="2"/>
          </w:tcPr>
          <w:p w14:paraId="26DE6ADC"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lastRenderedPageBreak/>
              <w:t>Previous 6-mo. History of infections in 17/42 patients (40.4%)</w:t>
            </w:r>
          </w:p>
        </w:tc>
        <w:tc>
          <w:tcPr>
            <w:tcW w:w="1241" w:type="pct"/>
          </w:tcPr>
          <w:p w14:paraId="3DB6453A"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 xml:space="preserve">Infections graded as ‘severe or’ trivial’ (latter including those not requiring antibiotics). ‘Severe’ divided into major (usually IV antibiotics and hospitalisation needed; e.g. </w:t>
            </w:r>
            <w:r w:rsidRPr="007D0AA8">
              <w:rPr>
                <w:rFonts w:ascii="Arial Narrow" w:hAnsi="Arial Narrow"/>
                <w:sz w:val="20"/>
                <w:szCs w:val="20"/>
              </w:rPr>
              <w:lastRenderedPageBreak/>
              <w:t>sepsis, pneumonia). ‘Minor’ (requiring no IV antibiotics, hospitalisation, e.g. bronchitis, otitis, lower UTIs)</w:t>
            </w:r>
          </w:p>
        </w:tc>
      </w:tr>
      <w:tr w:rsidR="007D0AA8" w:rsidRPr="007D0AA8" w14:paraId="276B3F8F" w14:textId="77777777" w:rsidTr="00BE5103">
        <w:tc>
          <w:tcPr>
            <w:tcW w:w="420" w:type="pct"/>
          </w:tcPr>
          <w:p w14:paraId="21F40931"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lastRenderedPageBreak/>
              <w:t>Musto et al., 1995</w:t>
            </w:r>
          </w:p>
          <w:p w14:paraId="2A116F13"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MM</w:t>
            </w:r>
          </w:p>
        </w:tc>
        <w:tc>
          <w:tcPr>
            <w:tcW w:w="541" w:type="pct"/>
          </w:tcPr>
          <w:p w14:paraId="79DEF04F"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serum IgG &lt;LLN</w:t>
            </w:r>
          </w:p>
        </w:tc>
        <w:tc>
          <w:tcPr>
            <w:tcW w:w="353" w:type="pct"/>
          </w:tcPr>
          <w:p w14:paraId="78B600AE"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Yes (OR history of infection).</w:t>
            </w:r>
          </w:p>
        </w:tc>
        <w:tc>
          <w:tcPr>
            <w:tcW w:w="387" w:type="pct"/>
          </w:tcPr>
          <w:p w14:paraId="79450852"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Yes (OR hypo-GG)</w:t>
            </w:r>
          </w:p>
        </w:tc>
        <w:tc>
          <w:tcPr>
            <w:tcW w:w="845" w:type="pct"/>
          </w:tcPr>
          <w:p w14:paraId="685D2E65"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Not reported</w:t>
            </w:r>
          </w:p>
        </w:tc>
        <w:tc>
          <w:tcPr>
            <w:tcW w:w="587" w:type="pct"/>
            <w:gridSpan w:val="2"/>
          </w:tcPr>
          <w:p w14:paraId="59C9B53A"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Not reported</w:t>
            </w:r>
          </w:p>
        </w:tc>
        <w:tc>
          <w:tcPr>
            <w:tcW w:w="626" w:type="pct"/>
            <w:gridSpan w:val="2"/>
          </w:tcPr>
          <w:p w14:paraId="2A3A586D"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 xml:space="preserve">Infection risk prior to and during study compared in results. </w:t>
            </w:r>
          </w:p>
        </w:tc>
        <w:tc>
          <w:tcPr>
            <w:tcW w:w="1241" w:type="pct"/>
          </w:tcPr>
          <w:p w14:paraId="1B5F05B9" w14:textId="11C722FE"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 xml:space="preserve">Infections graded as serious or minor according to criteria in Chapel et al., 1994 </w:t>
            </w:r>
            <w:r w:rsidR="00B87914" w:rsidRPr="007D0AA8">
              <w:rPr>
                <w:rFonts w:ascii="Arial Narrow" w:hAnsi="Arial Narrow"/>
                <w:sz w:val="20"/>
                <w:szCs w:val="20"/>
              </w:rPr>
              <w:t>(above)</w:t>
            </w:r>
          </w:p>
        </w:tc>
      </w:tr>
      <w:tr w:rsidR="007D0AA8" w:rsidRPr="007D0AA8" w14:paraId="781555D0" w14:textId="77777777" w:rsidTr="00BE5103">
        <w:tc>
          <w:tcPr>
            <w:tcW w:w="420" w:type="pct"/>
          </w:tcPr>
          <w:p w14:paraId="537F1E0D"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Sullivan et al., 1990</w:t>
            </w:r>
          </w:p>
        </w:tc>
        <w:tc>
          <w:tcPr>
            <w:tcW w:w="541" w:type="pct"/>
          </w:tcPr>
          <w:p w14:paraId="4EB0B75B"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Severe hypo-GG: serum IgG&lt;4g/L IgG (5</w:t>
            </w:r>
            <w:r w:rsidRPr="007D0AA8">
              <w:rPr>
                <w:rFonts w:ascii="Arial Narrow" w:hAnsi="Arial Narrow"/>
                <w:sz w:val="20"/>
                <w:szCs w:val="20"/>
                <w:vertAlign w:val="superscript"/>
              </w:rPr>
              <w:t>th</w:t>
            </w:r>
            <w:r w:rsidRPr="007D0AA8">
              <w:rPr>
                <w:rFonts w:ascii="Arial Narrow" w:hAnsi="Arial Narrow"/>
                <w:sz w:val="20"/>
                <w:szCs w:val="20"/>
              </w:rPr>
              <w:t xml:space="preserve"> %ile is ~6g/L)</w:t>
            </w:r>
          </w:p>
        </w:tc>
        <w:tc>
          <w:tcPr>
            <w:tcW w:w="353" w:type="pct"/>
          </w:tcPr>
          <w:p w14:paraId="6C7707B5"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No.</w:t>
            </w:r>
          </w:p>
        </w:tc>
        <w:tc>
          <w:tcPr>
            <w:tcW w:w="387" w:type="pct"/>
          </w:tcPr>
          <w:p w14:paraId="2D6F88F1"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No.</w:t>
            </w:r>
          </w:p>
        </w:tc>
        <w:tc>
          <w:tcPr>
            <w:tcW w:w="845" w:type="pct"/>
          </w:tcPr>
          <w:p w14:paraId="2AE54577"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Pre-BMT levels recorded but presented as a figure (no values) suggesting pre-BMT values were low but within normal range. IgG d/L only dips below 5</w:t>
            </w:r>
            <w:r w:rsidRPr="007D0AA8">
              <w:rPr>
                <w:rFonts w:ascii="Arial Narrow" w:hAnsi="Arial Narrow"/>
                <w:sz w:val="20"/>
                <w:szCs w:val="20"/>
                <w:vertAlign w:val="superscript"/>
              </w:rPr>
              <w:t>th</w:t>
            </w:r>
            <w:r w:rsidRPr="007D0AA8">
              <w:rPr>
                <w:rFonts w:ascii="Arial Narrow" w:hAnsi="Arial Narrow"/>
                <w:sz w:val="20"/>
                <w:szCs w:val="20"/>
              </w:rPr>
              <w:t xml:space="preserve"> %ile after BMT (as indicated by levels in no IVIg group).  </w:t>
            </w:r>
          </w:p>
        </w:tc>
        <w:tc>
          <w:tcPr>
            <w:tcW w:w="587" w:type="pct"/>
            <w:gridSpan w:val="2"/>
          </w:tcPr>
          <w:p w14:paraId="38A6BDBF"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Measured d30, d60, d90 post-BMT, figure only no values reported. (IgG levels for ‘No IVIg’ group remain under 5</w:t>
            </w:r>
            <w:r w:rsidRPr="007D0AA8">
              <w:rPr>
                <w:rFonts w:ascii="Arial Narrow" w:hAnsi="Arial Narrow"/>
                <w:sz w:val="20"/>
                <w:szCs w:val="20"/>
                <w:vertAlign w:val="superscript"/>
              </w:rPr>
              <w:t xml:space="preserve">th </w:t>
            </w:r>
            <w:r w:rsidRPr="007D0AA8">
              <w:rPr>
                <w:rFonts w:ascii="Arial Narrow" w:hAnsi="Arial Narrow"/>
                <w:sz w:val="20"/>
                <w:szCs w:val="20"/>
              </w:rPr>
              <w:t xml:space="preserve">%ile until d90). </w:t>
            </w:r>
          </w:p>
        </w:tc>
        <w:tc>
          <w:tcPr>
            <w:tcW w:w="626" w:type="pct"/>
            <w:gridSpan w:val="2"/>
          </w:tcPr>
          <w:p w14:paraId="6FCA2838"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 xml:space="preserve">Not reported. </w:t>
            </w:r>
          </w:p>
        </w:tc>
        <w:tc>
          <w:tcPr>
            <w:tcW w:w="1241" w:type="pct"/>
          </w:tcPr>
          <w:p w14:paraId="1AF7DAB0" w14:textId="6CD06FB0" w:rsidR="00BE5103"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 xml:space="preserve">Incidence from d0-d100 or </w:t>
            </w:r>
            <w:r w:rsidR="00B87914" w:rsidRPr="007D0AA8">
              <w:rPr>
                <w:rFonts w:ascii="Arial Narrow" w:hAnsi="Arial Narrow"/>
                <w:sz w:val="20"/>
                <w:szCs w:val="20"/>
              </w:rPr>
              <w:t xml:space="preserve">until </w:t>
            </w:r>
            <w:r w:rsidRPr="007D0AA8">
              <w:rPr>
                <w:rFonts w:ascii="Arial Narrow" w:hAnsi="Arial Narrow"/>
                <w:sz w:val="20"/>
                <w:szCs w:val="20"/>
              </w:rPr>
              <w:t>discharge. Systemic infections culture-confirmed, as were local infections unless local site signs were adequate.</w:t>
            </w:r>
            <w:r w:rsidR="00BE5103">
              <w:rPr>
                <w:rFonts w:ascii="Arial Narrow" w:hAnsi="Arial Narrow"/>
                <w:sz w:val="20"/>
                <w:szCs w:val="20"/>
              </w:rPr>
              <w:t xml:space="preserve"> </w:t>
            </w:r>
            <w:r w:rsidR="00BE5103" w:rsidRPr="007D0AA8">
              <w:rPr>
                <w:rFonts w:ascii="Arial Narrow" w:hAnsi="Arial Narrow"/>
                <w:sz w:val="20"/>
                <w:szCs w:val="20"/>
              </w:rPr>
              <w:t xml:space="preserve">Infections of URT, oral cavity or herpes simplex </w:t>
            </w:r>
            <w:r w:rsidR="00BE5103">
              <w:rPr>
                <w:rFonts w:ascii="Arial Narrow" w:hAnsi="Arial Narrow"/>
                <w:sz w:val="20"/>
                <w:szCs w:val="20"/>
              </w:rPr>
              <w:t xml:space="preserve">were </w:t>
            </w:r>
            <w:r w:rsidR="00BE5103" w:rsidRPr="007D0AA8">
              <w:rPr>
                <w:rFonts w:ascii="Arial Narrow" w:hAnsi="Arial Narrow"/>
                <w:sz w:val="20"/>
                <w:szCs w:val="20"/>
              </w:rPr>
              <w:t xml:space="preserve">not recorded. </w:t>
            </w:r>
            <w:r w:rsidR="00BE5103" w:rsidRPr="00BE5103">
              <w:rPr>
                <w:rFonts w:ascii="Arial Narrow" w:hAnsi="Arial Narrow"/>
                <w:sz w:val="20"/>
                <w:szCs w:val="20"/>
                <w:u w:val="single"/>
              </w:rPr>
              <w:t>Bacteraemia</w:t>
            </w:r>
            <w:r w:rsidR="00BE5103">
              <w:rPr>
                <w:rFonts w:ascii="Arial Narrow" w:hAnsi="Arial Narrow"/>
                <w:sz w:val="20"/>
                <w:szCs w:val="20"/>
              </w:rPr>
              <w:t xml:space="preserve">: </w:t>
            </w:r>
            <w:r w:rsidR="00BE5103" w:rsidRPr="00BE5103">
              <w:rPr>
                <w:rFonts w:ascii="Arial Narrow" w:hAnsi="Arial Narrow"/>
                <w:sz w:val="20"/>
                <w:szCs w:val="20"/>
              </w:rPr>
              <w:t>more than one positive blood culture with the same organism o</w:t>
            </w:r>
            <w:r w:rsidR="00BE5103">
              <w:rPr>
                <w:rFonts w:ascii="Arial Narrow" w:hAnsi="Arial Narrow"/>
                <w:sz w:val="20"/>
                <w:szCs w:val="20"/>
              </w:rPr>
              <w:t xml:space="preserve">r positive blood culture+fever; </w:t>
            </w:r>
            <w:r w:rsidR="00BE5103" w:rsidRPr="00BE5103">
              <w:rPr>
                <w:rFonts w:ascii="Arial Narrow" w:hAnsi="Arial Narrow"/>
                <w:sz w:val="20"/>
                <w:szCs w:val="20"/>
                <w:u w:val="single"/>
              </w:rPr>
              <w:t>Septicaemia</w:t>
            </w:r>
            <w:r w:rsidR="00BE5103">
              <w:rPr>
                <w:rFonts w:ascii="Arial Narrow" w:hAnsi="Arial Narrow"/>
                <w:sz w:val="20"/>
                <w:szCs w:val="20"/>
              </w:rPr>
              <w:t xml:space="preserve">: </w:t>
            </w:r>
            <w:r w:rsidR="00BE5103" w:rsidRPr="00BE5103">
              <w:rPr>
                <w:rFonts w:ascii="Arial Narrow" w:hAnsi="Arial Narrow"/>
                <w:sz w:val="20"/>
                <w:szCs w:val="20"/>
              </w:rPr>
              <w:t xml:space="preserve">positive blood culture with hypotension, or positive blood culture with local infection </w:t>
            </w:r>
            <w:r w:rsidR="00BE5103">
              <w:rPr>
                <w:rFonts w:ascii="Arial Narrow" w:hAnsi="Arial Narrow"/>
                <w:sz w:val="20"/>
                <w:szCs w:val="20"/>
              </w:rPr>
              <w:t xml:space="preserve">both </w:t>
            </w:r>
            <w:r w:rsidR="00BE5103" w:rsidRPr="00BE5103">
              <w:rPr>
                <w:rFonts w:ascii="Arial Narrow" w:hAnsi="Arial Narrow"/>
                <w:sz w:val="20"/>
                <w:szCs w:val="20"/>
              </w:rPr>
              <w:t>char</w:t>
            </w:r>
            <w:r w:rsidR="00BE5103">
              <w:rPr>
                <w:rFonts w:ascii="Arial Narrow" w:hAnsi="Arial Narrow"/>
                <w:sz w:val="20"/>
                <w:szCs w:val="20"/>
              </w:rPr>
              <w:t xml:space="preserve">acterised by the same organism.  </w:t>
            </w:r>
          </w:p>
          <w:p w14:paraId="3975D266" w14:textId="13599A6B" w:rsidR="00BE5103"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 xml:space="preserve">Interstitial pneumonia based on pneumonitis with hypoxia + interstitial infiltrates on x-ray. CMV disease by viral culture or tissue evidence with clinical signs. Chest x-ray weekly until discharge. </w:t>
            </w:r>
          </w:p>
        </w:tc>
      </w:tr>
      <w:tr w:rsidR="007A47A2" w:rsidRPr="00386411" w14:paraId="13FFF361" w14:textId="77777777" w:rsidTr="00DB0176">
        <w:tc>
          <w:tcPr>
            <w:tcW w:w="5000" w:type="pct"/>
            <w:gridSpan w:val="10"/>
            <w:shd w:val="clear" w:color="auto" w:fill="000000" w:themeFill="text1"/>
          </w:tcPr>
          <w:p w14:paraId="7E2CB3F0" w14:textId="77777777" w:rsidR="007A47A2" w:rsidRPr="00386411" w:rsidRDefault="007A47A2" w:rsidP="00C14764">
            <w:pPr>
              <w:keepNext/>
              <w:spacing w:after="40" w:line="240" w:lineRule="auto"/>
              <w:ind w:left="-57"/>
              <w:jc w:val="left"/>
              <w:rPr>
                <w:rFonts w:ascii="Arial Narrow" w:hAnsi="Arial Narrow"/>
                <w:b/>
                <w:color w:val="FFFFFF" w:themeColor="background1"/>
                <w:sz w:val="20"/>
                <w:szCs w:val="20"/>
              </w:rPr>
            </w:pPr>
            <w:r w:rsidRPr="00386411">
              <w:rPr>
                <w:rFonts w:ascii="Arial Narrow" w:hAnsi="Arial Narrow"/>
                <w:b/>
                <w:color w:val="FFFFFF" w:themeColor="background1"/>
                <w:sz w:val="20"/>
                <w:szCs w:val="20"/>
              </w:rPr>
              <w:t>Randomised studies – SCIg vs No SCIg</w:t>
            </w:r>
          </w:p>
        </w:tc>
      </w:tr>
      <w:tr w:rsidR="007D0AA8" w:rsidRPr="007D0AA8" w14:paraId="28492BAA" w14:textId="77777777" w:rsidTr="00BE5103">
        <w:tc>
          <w:tcPr>
            <w:tcW w:w="420" w:type="pct"/>
          </w:tcPr>
          <w:p w14:paraId="36658B92"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Vacca et al., 2018</w:t>
            </w:r>
          </w:p>
          <w:p w14:paraId="70A82738"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MM</w:t>
            </w:r>
          </w:p>
        </w:tc>
        <w:tc>
          <w:tcPr>
            <w:tcW w:w="541" w:type="pct"/>
          </w:tcPr>
          <w:p w14:paraId="7DF57E9C"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Serum IgG &lt;500mg/dL</w:t>
            </w:r>
          </w:p>
        </w:tc>
        <w:tc>
          <w:tcPr>
            <w:tcW w:w="353" w:type="pct"/>
          </w:tcPr>
          <w:p w14:paraId="4E071CD5"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Yes</w:t>
            </w:r>
          </w:p>
        </w:tc>
        <w:tc>
          <w:tcPr>
            <w:tcW w:w="387" w:type="pct"/>
          </w:tcPr>
          <w:p w14:paraId="01EA0275"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No.</w:t>
            </w:r>
          </w:p>
        </w:tc>
        <w:tc>
          <w:tcPr>
            <w:tcW w:w="845" w:type="pct"/>
          </w:tcPr>
          <w:p w14:paraId="096CE546"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u w:val="single"/>
              </w:rPr>
              <w:t>IgG g/L</w:t>
            </w:r>
            <w:r w:rsidRPr="007D0AA8">
              <w:rPr>
                <w:rFonts w:ascii="Arial Narrow" w:hAnsi="Arial Narrow"/>
                <w:sz w:val="20"/>
                <w:szCs w:val="20"/>
              </w:rPr>
              <w:t xml:space="preserve">, mean (range): </w:t>
            </w:r>
            <w:r w:rsidRPr="007D0AA8">
              <w:rPr>
                <w:rFonts w:ascii="Arial Narrow" w:hAnsi="Arial Narrow"/>
                <w:sz w:val="20"/>
                <w:szCs w:val="20"/>
              </w:rPr>
              <w:br/>
              <w:t>All (N=46): 3.1 (1.3–5.2)</w:t>
            </w:r>
            <w:r w:rsidRPr="007D0AA8">
              <w:rPr>
                <w:rFonts w:ascii="Arial Narrow" w:hAnsi="Arial Narrow"/>
                <w:sz w:val="20"/>
                <w:szCs w:val="20"/>
              </w:rPr>
              <w:br/>
              <w:t>SCIg (n=24): 3.2 (1.4–5.7)</w:t>
            </w:r>
            <w:r w:rsidRPr="007D0AA8">
              <w:rPr>
                <w:rFonts w:ascii="Arial Narrow" w:hAnsi="Arial Narrow"/>
                <w:sz w:val="20"/>
                <w:szCs w:val="20"/>
              </w:rPr>
              <w:br/>
              <w:t>No SCIg (n=22): 3.2 (1.3–5.7)</w:t>
            </w:r>
          </w:p>
        </w:tc>
        <w:tc>
          <w:tcPr>
            <w:tcW w:w="587" w:type="pct"/>
            <w:gridSpan w:val="2"/>
          </w:tcPr>
          <w:p w14:paraId="31A46CB3"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Measured monthly.</w:t>
            </w:r>
          </w:p>
          <w:p w14:paraId="0BEAD754"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u w:val="single"/>
              </w:rPr>
              <w:t>Median IgG trough levels</w:t>
            </w:r>
            <w:r w:rsidRPr="007D0AA8">
              <w:rPr>
                <w:rFonts w:ascii="Arial Narrow" w:hAnsi="Arial Narrow"/>
                <w:sz w:val="20"/>
                <w:szCs w:val="20"/>
              </w:rPr>
              <w:t xml:space="preserve"> range g/L</w:t>
            </w:r>
            <w:r w:rsidRPr="007D0AA8">
              <w:rPr>
                <w:rFonts w:ascii="Arial Narrow" w:hAnsi="Arial Narrow"/>
                <w:sz w:val="20"/>
                <w:szCs w:val="20"/>
              </w:rPr>
              <w:br/>
              <w:t>SCIg: 8.3-9.5</w:t>
            </w:r>
            <w:r w:rsidRPr="007D0AA8">
              <w:rPr>
                <w:rFonts w:ascii="Arial Narrow" w:hAnsi="Arial Narrow"/>
                <w:sz w:val="20"/>
                <w:szCs w:val="20"/>
              </w:rPr>
              <w:br/>
              <w:t>No SCIg: 2.4-5.2</w:t>
            </w:r>
          </w:p>
        </w:tc>
        <w:tc>
          <w:tcPr>
            <w:tcW w:w="626" w:type="pct"/>
            <w:gridSpan w:val="2"/>
          </w:tcPr>
          <w:p w14:paraId="4B53609C"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Not reported.</w:t>
            </w:r>
          </w:p>
        </w:tc>
        <w:tc>
          <w:tcPr>
            <w:tcW w:w="1241" w:type="pct"/>
          </w:tcPr>
          <w:p w14:paraId="58AE0D82" w14:textId="77777777" w:rsidR="007A47A2" w:rsidRPr="007D0AA8" w:rsidRDefault="007A47A2" w:rsidP="00C14764">
            <w:pPr>
              <w:spacing w:before="0" w:after="0" w:line="240" w:lineRule="auto"/>
              <w:ind w:left="-57"/>
              <w:contextualSpacing/>
              <w:jc w:val="left"/>
              <w:rPr>
                <w:rFonts w:ascii="Arial Narrow" w:hAnsi="Arial Narrow"/>
                <w:sz w:val="20"/>
                <w:szCs w:val="20"/>
              </w:rPr>
            </w:pPr>
            <w:r w:rsidRPr="007D0AA8">
              <w:rPr>
                <w:rFonts w:ascii="Arial Narrow" w:hAnsi="Arial Narrow"/>
                <w:sz w:val="20"/>
                <w:szCs w:val="20"/>
              </w:rPr>
              <w:t xml:space="preserve">How infections were diagnosed or defined was not stated. Upper and lower respiratory tract infections were not defined. Infections were described variously as major or minor; mild/not serious vs serious; and severe. </w:t>
            </w:r>
          </w:p>
        </w:tc>
      </w:tr>
      <w:tr w:rsidR="007A47A2" w:rsidRPr="00386411" w14:paraId="721A8741" w14:textId="77777777" w:rsidTr="00DB0176">
        <w:tc>
          <w:tcPr>
            <w:tcW w:w="5000" w:type="pct"/>
            <w:gridSpan w:val="10"/>
            <w:shd w:val="clear" w:color="auto" w:fill="000000" w:themeFill="text1"/>
          </w:tcPr>
          <w:p w14:paraId="45F5646D" w14:textId="77777777" w:rsidR="007A47A2" w:rsidRPr="00386411" w:rsidRDefault="007A47A2" w:rsidP="00C14764">
            <w:pPr>
              <w:keepNext/>
              <w:spacing w:after="40" w:line="240" w:lineRule="auto"/>
              <w:ind w:left="-57"/>
              <w:jc w:val="left"/>
              <w:rPr>
                <w:rFonts w:ascii="Arial Narrow" w:hAnsi="Arial Narrow"/>
                <w:b/>
                <w:color w:val="FFFFFF" w:themeColor="background1"/>
                <w:sz w:val="20"/>
                <w:szCs w:val="20"/>
              </w:rPr>
            </w:pPr>
            <w:r w:rsidRPr="00386411">
              <w:rPr>
                <w:rFonts w:ascii="Arial Narrow" w:hAnsi="Arial Narrow"/>
                <w:b/>
                <w:color w:val="FFFFFF" w:themeColor="background1"/>
                <w:sz w:val="20"/>
                <w:szCs w:val="20"/>
              </w:rPr>
              <w:t>Other comparative studies – IVIg vs No IVIg</w:t>
            </w:r>
          </w:p>
        </w:tc>
      </w:tr>
      <w:tr w:rsidR="007D0AA8" w:rsidRPr="007D0AA8" w14:paraId="0F968797" w14:textId="77777777" w:rsidTr="00BE5103">
        <w:tc>
          <w:tcPr>
            <w:tcW w:w="420" w:type="pct"/>
          </w:tcPr>
          <w:p w14:paraId="53E03A18"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Ammann, 2016</w:t>
            </w:r>
          </w:p>
          <w:p w14:paraId="5C218382"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CLL, MM</w:t>
            </w:r>
          </w:p>
        </w:tc>
        <w:tc>
          <w:tcPr>
            <w:tcW w:w="541" w:type="pct"/>
          </w:tcPr>
          <w:p w14:paraId="0CBEF56F"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 xml:space="preserve">Not stated. </w:t>
            </w:r>
          </w:p>
        </w:tc>
        <w:tc>
          <w:tcPr>
            <w:tcW w:w="353" w:type="pct"/>
          </w:tcPr>
          <w:p w14:paraId="14DA69AF"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No.</w:t>
            </w:r>
          </w:p>
        </w:tc>
        <w:tc>
          <w:tcPr>
            <w:tcW w:w="387" w:type="pct"/>
          </w:tcPr>
          <w:p w14:paraId="1A15278F"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No.</w:t>
            </w:r>
          </w:p>
        </w:tc>
        <w:tc>
          <w:tcPr>
            <w:tcW w:w="845" w:type="pct"/>
          </w:tcPr>
          <w:p w14:paraId="389B4947" w14:textId="058CDBFC" w:rsidR="007A47A2" w:rsidRPr="007D0AA8" w:rsidRDefault="007A47A2" w:rsidP="00BB0145">
            <w:pPr>
              <w:spacing w:before="0" w:after="0" w:line="240" w:lineRule="auto"/>
              <w:ind w:left="-57"/>
              <w:jc w:val="left"/>
              <w:rPr>
                <w:rFonts w:ascii="Arial Narrow" w:hAnsi="Arial Narrow"/>
                <w:sz w:val="20"/>
                <w:szCs w:val="20"/>
              </w:rPr>
            </w:pPr>
            <w:r w:rsidRPr="007D0AA8">
              <w:rPr>
                <w:rFonts w:ascii="Arial Narrow" w:hAnsi="Arial Narrow"/>
                <w:sz w:val="20"/>
                <w:szCs w:val="20"/>
              </w:rPr>
              <w:t xml:space="preserve">Not reported. </w:t>
            </w:r>
            <w:r w:rsidRPr="007D0AA8">
              <w:rPr>
                <w:rFonts w:ascii="Arial Narrow" w:hAnsi="Arial Narrow"/>
                <w:i/>
                <w:sz w:val="20"/>
                <w:szCs w:val="20"/>
              </w:rPr>
              <w:t xml:space="preserve">The authors assume patients are hypo-GG, this seems to be based on dispensing for a ‘recognised indication’ (per </w:t>
            </w:r>
            <w:r w:rsidR="005E1360" w:rsidRPr="007D0AA8">
              <w:rPr>
                <w:rFonts w:ascii="Arial Narrow" w:hAnsi="Arial Narrow"/>
                <w:i/>
                <w:sz w:val="20"/>
                <w:szCs w:val="20"/>
              </w:rPr>
              <w:fldChar w:fldCharType="begin">
                <w:fldData xml:space="preserve">PEVuZE5vdGU+PENpdGU+PEF1dGhvcj5PcmFuZ2U8L0F1dGhvcj48WWVhcj4yMDA2PC9ZZWFyPjxS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==
</w:fldData>
              </w:fldChar>
            </w:r>
            <w:r w:rsidR="005E1360" w:rsidRPr="007D0AA8">
              <w:rPr>
                <w:rFonts w:ascii="Arial Narrow" w:hAnsi="Arial Narrow"/>
                <w:i/>
                <w:sz w:val="20"/>
                <w:szCs w:val="20"/>
              </w:rPr>
              <w:instrText xml:space="preserve"> ADDIN EN.CITE </w:instrText>
            </w:r>
            <w:r w:rsidR="005E1360" w:rsidRPr="007D0AA8">
              <w:rPr>
                <w:rFonts w:ascii="Arial Narrow" w:hAnsi="Arial Narrow"/>
                <w:i/>
                <w:sz w:val="20"/>
                <w:szCs w:val="20"/>
              </w:rPr>
              <w:fldChar w:fldCharType="begin">
                <w:fldData xml:space="preserve">PEVuZE5vdGU+PENpdGU+PEF1dGhvcj5PcmFuZ2U8L0F1dGhvcj48WWVhcj4yMDA2PC9ZZWFyPjxS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==
</w:fldData>
              </w:fldChar>
            </w:r>
            <w:r w:rsidR="005E1360" w:rsidRPr="007D0AA8">
              <w:rPr>
                <w:rFonts w:ascii="Arial Narrow" w:hAnsi="Arial Narrow"/>
                <w:i/>
                <w:sz w:val="20"/>
                <w:szCs w:val="20"/>
              </w:rPr>
              <w:instrText xml:space="preserve"> ADDIN EN.CITE.DATA </w:instrText>
            </w:r>
            <w:r w:rsidR="005E1360" w:rsidRPr="007D0AA8">
              <w:rPr>
                <w:rFonts w:ascii="Arial Narrow" w:hAnsi="Arial Narrow"/>
                <w:i/>
                <w:sz w:val="20"/>
                <w:szCs w:val="20"/>
              </w:rPr>
            </w:r>
            <w:r w:rsidR="005E1360" w:rsidRPr="007D0AA8">
              <w:rPr>
                <w:rFonts w:ascii="Arial Narrow" w:hAnsi="Arial Narrow"/>
                <w:i/>
                <w:sz w:val="20"/>
                <w:szCs w:val="20"/>
              </w:rPr>
              <w:fldChar w:fldCharType="end"/>
            </w:r>
            <w:r w:rsidR="005E1360" w:rsidRPr="007D0AA8">
              <w:rPr>
                <w:rFonts w:ascii="Arial Narrow" w:hAnsi="Arial Narrow"/>
                <w:i/>
                <w:sz w:val="20"/>
                <w:szCs w:val="20"/>
              </w:rPr>
            </w:r>
            <w:r w:rsidR="005E1360" w:rsidRPr="007D0AA8">
              <w:rPr>
                <w:rFonts w:ascii="Arial Narrow" w:hAnsi="Arial Narrow"/>
                <w:i/>
                <w:sz w:val="20"/>
                <w:szCs w:val="20"/>
              </w:rPr>
              <w:fldChar w:fldCharType="separate"/>
            </w:r>
            <w:r w:rsidR="005E1360" w:rsidRPr="007D0AA8">
              <w:rPr>
                <w:rFonts w:ascii="Arial Narrow" w:hAnsi="Arial Narrow"/>
                <w:i/>
                <w:noProof/>
                <w:sz w:val="20"/>
                <w:szCs w:val="20"/>
              </w:rPr>
              <w:t>(</w:t>
            </w:r>
            <w:hyperlink w:anchor="_ENREF_37" w:tooltip="Orange, 2006 #100" w:history="1">
              <w:r w:rsidR="00BB0145" w:rsidRPr="007D0AA8">
                <w:rPr>
                  <w:rFonts w:ascii="Arial Narrow" w:hAnsi="Arial Narrow"/>
                  <w:i/>
                  <w:noProof/>
                  <w:sz w:val="20"/>
                  <w:szCs w:val="20"/>
                </w:rPr>
                <w:t xml:space="preserve">Orange et al. </w:t>
              </w:r>
              <w:r w:rsidR="00BB0145" w:rsidRPr="007D0AA8">
                <w:rPr>
                  <w:rFonts w:ascii="Arial Narrow" w:hAnsi="Arial Narrow"/>
                  <w:i/>
                  <w:noProof/>
                  <w:sz w:val="20"/>
                  <w:szCs w:val="20"/>
                </w:rPr>
                <w:lastRenderedPageBreak/>
                <w:t>2006</w:t>
              </w:r>
            </w:hyperlink>
            <w:r w:rsidR="005E1360" w:rsidRPr="007D0AA8">
              <w:rPr>
                <w:rFonts w:ascii="Arial Narrow" w:hAnsi="Arial Narrow"/>
                <w:i/>
                <w:noProof/>
                <w:sz w:val="20"/>
                <w:szCs w:val="20"/>
              </w:rPr>
              <w:t>)</w:t>
            </w:r>
            <w:r w:rsidR="005E1360" w:rsidRPr="007D0AA8">
              <w:rPr>
                <w:rFonts w:ascii="Arial Narrow" w:hAnsi="Arial Narrow"/>
                <w:i/>
                <w:sz w:val="20"/>
                <w:szCs w:val="20"/>
              </w:rPr>
              <w:fldChar w:fldCharType="end"/>
            </w:r>
            <w:r w:rsidRPr="007D0AA8">
              <w:rPr>
                <w:rFonts w:ascii="Arial Narrow" w:hAnsi="Arial Narrow"/>
                <w:i/>
                <w:sz w:val="20"/>
                <w:szCs w:val="20"/>
              </w:rPr>
              <w:t xml:space="preserve"> and according to FDA labelling) ― not clear how/if this was assessed.</w:t>
            </w:r>
          </w:p>
        </w:tc>
        <w:tc>
          <w:tcPr>
            <w:tcW w:w="587" w:type="pct"/>
            <w:gridSpan w:val="2"/>
          </w:tcPr>
          <w:p w14:paraId="385708B4"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lastRenderedPageBreak/>
              <w:t xml:space="preserve">Not reported. </w:t>
            </w:r>
          </w:p>
        </w:tc>
        <w:tc>
          <w:tcPr>
            <w:tcW w:w="626" w:type="pct"/>
            <w:gridSpan w:val="2"/>
          </w:tcPr>
          <w:p w14:paraId="7DF5A80B"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 xml:space="preserve">Proportion reported with pneumonia, bronchitis, sepsis, UTI, influenza, other infections for prior </w:t>
            </w:r>
            <w:r w:rsidRPr="007D0AA8">
              <w:rPr>
                <w:rFonts w:ascii="Arial Narrow" w:hAnsi="Arial Narrow"/>
                <w:sz w:val="20"/>
                <w:szCs w:val="20"/>
              </w:rPr>
              <w:lastRenderedPageBreak/>
              <w:t>12mo.</w:t>
            </w:r>
          </w:p>
        </w:tc>
        <w:tc>
          <w:tcPr>
            <w:tcW w:w="1241" w:type="pct"/>
          </w:tcPr>
          <w:p w14:paraId="389A3957" w14:textId="5FBBA480"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lastRenderedPageBreak/>
              <w:t xml:space="preserve">History of infections: Infections in 12 months prior to IVIg (influenza, pneumonia, chronic bronchitis, sepsis/septic shock, UTI, other). </w:t>
            </w:r>
            <w:r w:rsidR="00B87914" w:rsidRPr="007D0AA8">
              <w:rPr>
                <w:rFonts w:ascii="Arial Narrow" w:hAnsi="Arial Narrow"/>
                <w:sz w:val="20"/>
                <w:szCs w:val="20"/>
              </w:rPr>
              <w:t>Extracted</w:t>
            </w:r>
            <w:r w:rsidRPr="007D0AA8">
              <w:rPr>
                <w:rFonts w:ascii="Arial Narrow" w:hAnsi="Arial Narrow"/>
                <w:sz w:val="20"/>
                <w:szCs w:val="20"/>
              </w:rPr>
              <w:t xml:space="preserve"> per patient records</w:t>
            </w:r>
            <w:r w:rsidR="00B87914" w:rsidRPr="007D0AA8">
              <w:rPr>
                <w:rFonts w:ascii="Arial Narrow" w:hAnsi="Arial Narrow"/>
                <w:sz w:val="20"/>
                <w:szCs w:val="20"/>
              </w:rPr>
              <w:t xml:space="preserve"> for study</w:t>
            </w:r>
            <w:r w:rsidRPr="007D0AA8">
              <w:rPr>
                <w:rFonts w:ascii="Arial Narrow" w:hAnsi="Arial Narrow"/>
                <w:sz w:val="20"/>
                <w:szCs w:val="20"/>
              </w:rPr>
              <w:t xml:space="preserve"> (ICD-9-CM codes)</w:t>
            </w:r>
            <w:r w:rsidR="00B87914" w:rsidRPr="007D0AA8">
              <w:rPr>
                <w:rFonts w:ascii="Arial Narrow" w:hAnsi="Arial Narrow"/>
                <w:sz w:val="20"/>
                <w:szCs w:val="20"/>
              </w:rPr>
              <w:t xml:space="preserve"> but not reported in article</w:t>
            </w:r>
            <w:r w:rsidRPr="007D0AA8">
              <w:rPr>
                <w:rFonts w:ascii="Arial Narrow" w:hAnsi="Arial Narrow"/>
                <w:sz w:val="20"/>
                <w:szCs w:val="20"/>
              </w:rPr>
              <w:t xml:space="preserve">. </w:t>
            </w:r>
            <w:r w:rsidRPr="007D0AA8">
              <w:rPr>
                <w:rFonts w:ascii="Arial Narrow" w:hAnsi="Arial Narrow"/>
                <w:sz w:val="20"/>
                <w:szCs w:val="20"/>
              </w:rPr>
              <w:lastRenderedPageBreak/>
              <w:t>Hospitalisation due to pneumonia and mortality during tx period compared.</w:t>
            </w:r>
          </w:p>
        </w:tc>
      </w:tr>
      <w:tr w:rsidR="007D0AA8" w:rsidRPr="007D0AA8" w14:paraId="628031B0" w14:textId="77777777" w:rsidTr="00BE5103">
        <w:tc>
          <w:tcPr>
            <w:tcW w:w="420" w:type="pct"/>
          </w:tcPr>
          <w:p w14:paraId="38E10540"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lastRenderedPageBreak/>
              <w:t>Blombery et al., 2011</w:t>
            </w:r>
          </w:p>
          <w:p w14:paraId="2B93483C"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MM+HSCT</w:t>
            </w:r>
          </w:p>
        </w:tc>
        <w:tc>
          <w:tcPr>
            <w:tcW w:w="541" w:type="pct"/>
          </w:tcPr>
          <w:p w14:paraId="4C46F36C"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Combined IgG/A/M &lt;8g/L (excluding paraprotein).</w:t>
            </w:r>
          </w:p>
        </w:tc>
        <w:tc>
          <w:tcPr>
            <w:tcW w:w="353" w:type="pct"/>
          </w:tcPr>
          <w:p w14:paraId="58F556F7"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Yes.</w:t>
            </w:r>
          </w:p>
        </w:tc>
        <w:tc>
          <w:tcPr>
            <w:tcW w:w="387" w:type="pct"/>
          </w:tcPr>
          <w:p w14:paraId="57162EAD"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No.</w:t>
            </w:r>
          </w:p>
        </w:tc>
        <w:tc>
          <w:tcPr>
            <w:tcW w:w="845" w:type="pct"/>
          </w:tcPr>
          <w:p w14:paraId="090980BD"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All had hypo-GG</w:t>
            </w:r>
          </w:p>
          <w:p w14:paraId="4C9C76A0"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u w:val="single"/>
              </w:rPr>
              <w:t>Median total Ig</w:t>
            </w:r>
            <w:r w:rsidRPr="007D0AA8">
              <w:rPr>
                <w:rFonts w:ascii="Arial Narrow" w:hAnsi="Arial Narrow"/>
                <w:sz w:val="20"/>
                <w:szCs w:val="20"/>
              </w:rPr>
              <w:t xml:space="preserve">, g/L (range) </w:t>
            </w:r>
            <w:r w:rsidRPr="007D0AA8">
              <w:rPr>
                <w:rFonts w:ascii="Arial Narrow" w:hAnsi="Arial Narrow"/>
                <w:sz w:val="20"/>
                <w:szCs w:val="20"/>
              </w:rPr>
              <w:br/>
              <w:t>IVIg: 3 (0–8)</w:t>
            </w:r>
            <w:r w:rsidRPr="007D0AA8">
              <w:rPr>
                <w:rFonts w:ascii="Arial Narrow" w:hAnsi="Arial Narrow"/>
                <w:sz w:val="20"/>
                <w:szCs w:val="20"/>
              </w:rPr>
              <w:br/>
              <w:t>No IVIg: 3 (1–7)</w:t>
            </w:r>
          </w:p>
        </w:tc>
        <w:tc>
          <w:tcPr>
            <w:tcW w:w="587" w:type="pct"/>
            <w:gridSpan w:val="2"/>
          </w:tcPr>
          <w:p w14:paraId="297FB929"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 xml:space="preserve">Not available from patient records. </w:t>
            </w:r>
          </w:p>
        </w:tc>
        <w:tc>
          <w:tcPr>
            <w:tcW w:w="626" w:type="pct"/>
            <w:gridSpan w:val="2"/>
          </w:tcPr>
          <w:p w14:paraId="23EF15FD"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 xml:space="preserve">Not reported for majority of patients (215/240 [90%]). </w:t>
            </w:r>
          </w:p>
          <w:p w14:paraId="262B5850"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History of infections in 25/240 subset (10%) already receiving IVIg as part of ongoing tx.</w:t>
            </w:r>
          </w:p>
        </w:tc>
        <w:tc>
          <w:tcPr>
            <w:tcW w:w="1241" w:type="pct"/>
          </w:tcPr>
          <w:p w14:paraId="67E7C0E3"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History of infections: ≥2 previous bacterial infections (period not specified).</w:t>
            </w:r>
          </w:p>
          <w:p w14:paraId="40DFBDC6" w14:textId="62A4114B" w:rsidR="007A47A2" w:rsidRPr="007D0AA8" w:rsidRDefault="007A47A2" w:rsidP="00BB0145">
            <w:pPr>
              <w:spacing w:before="0" w:after="0" w:line="240" w:lineRule="auto"/>
              <w:ind w:left="-57"/>
              <w:jc w:val="left"/>
              <w:rPr>
                <w:rFonts w:ascii="Arial Narrow" w:hAnsi="Arial Narrow"/>
                <w:sz w:val="20"/>
                <w:szCs w:val="20"/>
              </w:rPr>
            </w:pPr>
            <w:r w:rsidRPr="007D0AA8">
              <w:rPr>
                <w:rFonts w:ascii="Arial Narrow" w:hAnsi="Arial Narrow"/>
                <w:sz w:val="20"/>
                <w:szCs w:val="20"/>
              </w:rPr>
              <w:t xml:space="preserve">Infection definitions were based on </w:t>
            </w:r>
            <w:r w:rsidR="005E1360" w:rsidRPr="007D0AA8">
              <w:rPr>
                <w:rFonts w:ascii="Arial Narrow" w:hAnsi="Arial Narrow"/>
                <w:sz w:val="20"/>
                <w:szCs w:val="20"/>
              </w:rPr>
              <w:fldChar w:fldCharType="begin"/>
            </w:r>
            <w:r w:rsidR="005E1360" w:rsidRPr="007D0AA8">
              <w:rPr>
                <w:rFonts w:ascii="Arial Narrow" w:hAnsi="Arial Narrow"/>
                <w:sz w:val="20"/>
                <w:szCs w:val="20"/>
              </w:rPr>
              <w:instrText xml:space="preserve"> ADDIN EN.CITE &lt;EndNote&gt;&lt;Cite&gt;&lt;Author&gt;Carlisle&lt;/Author&gt;&lt;Year&gt;1993&lt;/Year&gt;&lt;RecNum&gt;101&lt;/RecNum&gt;&lt;DisplayText&gt;(Carlisle, Gucalp &amp;amp; Wiernik 1993)&lt;/DisplayText&gt;&lt;record&gt;&lt;rec-number&gt;101&lt;/rec-number&gt;&lt;foreign-keys&gt;&lt;key app="EN" db-id="z0vwsepdwpt20pewwts5z9eup9e2r2pd2tad" timestamp="1561969494"&gt;101&lt;/key&gt;&lt;/foreign-keys&gt;&lt;ref-type name="Journal Article"&gt;17&lt;/ref-type&gt;&lt;contributors&gt;&lt;authors&gt;&lt;author&gt;Carlisle, P. S.&lt;/author&gt;&lt;author&gt;Gucalp, R.&lt;/author&gt;&lt;author&gt;Wiernik, P. H.&lt;/author&gt;&lt;/authors&gt;&lt;/contributors&gt;&lt;auth-address&gt;Albert Einstein Cancer Center, Montefiore Medical Center, Bronx, New York.&lt;/auth-address&gt;&lt;titles&gt;&lt;title&gt;Nosocomial infections in neutropenic cancer patients&lt;/title&gt;&lt;secondary-title&gt;Infect Control Hosp Epidemiol&lt;/secondary-title&gt;&lt;/titles&gt;&lt;periodical&gt;&lt;full-title&gt;Infect Control Hosp Epidemiol&lt;/full-title&gt;&lt;/periodical&gt;&lt;pages&gt;320-4&lt;/pages&gt;&lt;volume&gt;14&lt;/volume&gt;&lt;number&gt;6&lt;/number&gt;&lt;keywords&gt;&lt;keyword&gt;Adult&lt;/keyword&gt;&lt;keyword&gt;Cross Infection/*epidemiology/etiology&lt;/keyword&gt;&lt;keyword&gt;Humans&lt;/keyword&gt;&lt;keyword&gt;Infection Control&lt;/keyword&gt;&lt;keyword&gt;Neoplasms/*complications&lt;/keyword&gt;&lt;keyword&gt;Neutropenia/*complications&lt;/keyword&gt;&lt;keyword&gt;New York City/epidemiology&lt;/keyword&gt;&lt;keyword&gt;Population Surveillance&lt;/keyword&gt;&lt;keyword&gt;Prospective Studies&lt;/keyword&gt;&lt;keyword&gt;Risk Factors&lt;/keyword&gt;&lt;/keywords&gt;&lt;dates&gt;&lt;year&gt;1993&lt;/year&gt;&lt;pub-dates&gt;&lt;date&gt;Jun&lt;/date&gt;&lt;/pub-dates&gt;&lt;/dates&gt;&lt;isbn&gt;0899-823X (Print)&amp;#xD;0899-823X (Linking)&lt;/isbn&gt;&lt;accession-num&gt;8360462&lt;/accession-num&gt;&lt;urls&gt;&lt;related-urls&gt;&lt;url&gt;https://www.ncbi.nlm.nih.gov/pubmed/8360462&lt;/url&gt;&lt;/related-urls&gt;&lt;/urls&gt;&lt;/record&gt;&lt;/Cite&gt;&lt;/EndNote&gt;</w:instrText>
            </w:r>
            <w:r w:rsidR="005E1360" w:rsidRPr="007D0AA8">
              <w:rPr>
                <w:rFonts w:ascii="Arial Narrow" w:hAnsi="Arial Narrow"/>
                <w:sz w:val="20"/>
                <w:szCs w:val="20"/>
              </w:rPr>
              <w:fldChar w:fldCharType="separate"/>
            </w:r>
            <w:r w:rsidR="005E1360" w:rsidRPr="007D0AA8">
              <w:rPr>
                <w:rFonts w:ascii="Arial Narrow" w:hAnsi="Arial Narrow"/>
                <w:noProof/>
                <w:sz w:val="20"/>
                <w:szCs w:val="20"/>
              </w:rPr>
              <w:t>(</w:t>
            </w:r>
            <w:hyperlink w:anchor="_ENREF_10" w:tooltip="Carlisle, 1993 #101" w:history="1">
              <w:r w:rsidR="00BB0145" w:rsidRPr="007D0AA8">
                <w:rPr>
                  <w:rFonts w:ascii="Arial Narrow" w:hAnsi="Arial Narrow"/>
                  <w:noProof/>
                  <w:sz w:val="20"/>
                  <w:szCs w:val="20"/>
                </w:rPr>
                <w:t>Carlisle, Gucalp &amp; Wiernik 1993</w:t>
              </w:r>
            </w:hyperlink>
            <w:r w:rsidR="005E1360" w:rsidRPr="007D0AA8">
              <w:rPr>
                <w:rFonts w:ascii="Arial Narrow" w:hAnsi="Arial Narrow"/>
                <w:noProof/>
                <w:sz w:val="20"/>
                <w:szCs w:val="20"/>
              </w:rPr>
              <w:t>)</w:t>
            </w:r>
            <w:r w:rsidR="005E1360" w:rsidRPr="007D0AA8">
              <w:rPr>
                <w:rFonts w:ascii="Arial Narrow" w:hAnsi="Arial Narrow"/>
                <w:sz w:val="20"/>
                <w:szCs w:val="20"/>
              </w:rPr>
              <w:fldChar w:fldCharType="end"/>
            </w:r>
            <w:r w:rsidRPr="007D0AA8">
              <w:rPr>
                <w:rFonts w:ascii="Arial Narrow" w:hAnsi="Arial Narrow"/>
                <w:sz w:val="20"/>
                <w:szCs w:val="20"/>
              </w:rPr>
              <w:t>, included bloodstream infection, pneumonia, urinary tract infection and gastrointestinal infection.</w:t>
            </w:r>
          </w:p>
        </w:tc>
      </w:tr>
      <w:tr w:rsidR="007D0AA8" w:rsidRPr="007D0AA8" w14:paraId="45D21D40" w14:textId="77777777" w:rsidTr="00BE5103">
        <w:tc>
          <w:tcPr>
            <w:tcW w:w="420" w:type="pct"/>
          </w:tcPr>
          <w:p w14:paraId="64496344" w14:textId="7CF47315" w:rsidR="007A47A2" w:rsidRPr="007D0AA8" w:rsidRDefault="007667B3"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Paxton et al., 2016</w:t>
            </w:r>
          </w:p>
          <w:p w14:paraId="6E721F10"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CLL (42); MM (18); NHL (27); other (5)</w:t>
            </w:r>
          </w:p>
        </w:tc>
        <w:tc>
          <w:tcPr>
            <w:tcW w:w="541" w:type="pct"/>
          </w:tcPr>
          <w:p w14:paraId="2B1E9037"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Serum IgG &lt;LLN</w:t>
            </w:r>
          </w:p>
          <w:p w14:paraId="4E8F5AEE"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(Severe hypo-GG serum IgG &lt;4 g/L)</w:t>
            </w:r>
          </w:p>
        </w:tc>
        <w:tc>
          <w:tcPr>
            <w:tcW w:w="353" w:type="pct"/>
          </w:tcPr>
          <w:p w14:paraId="6CA04B34"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Not for IVIg group; serum IgG &lt;LLN only inclusion for ‘No IVIg’.</w:t>
            </w:r>
          </w:p>
        </w:tc>
        <w:tc>
          <w:tcPr>
            <w:tcW w:w="387" w:type="pct"/>
          </w:tcPr>
          <w:p w14:paraId="5C71F590"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No.</w:t>
            </w:r>
          </w:p>
        </w:tc>
        <w:tc>
          <w:tcPr>
            <w:tcW w:w="845" w:type="pct"/>
          </w:tcPr>
          <w:p w14:paraId="1AE66FE7"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u w:val="single"/>
              </w:rPr>
              <w:t>Mean IgG</w:t>
            </w:r>
            <w:r w:rsidRPr="007D0AA8">
              <w:rPr>
                <w:rFonts w:ascii="Arial Narrow" w:hAnsi="Arial Narrow"/>
                <w:sz w:val="20"/>
                <w:szCs w:val="20"/>
              </w:rPr>
              <w:t xml:space="preserve"> g/L±sd</w:t>
            </w:r>
            <w:r w:rsidRPr="007D0AA8">
              <w:rPr>
                <w:rFonts w:ascii="Arial Narrow" w:hAnsi="Arial Narrow"/>
                <w:sz w:val="20"/>
                <w:szCs w:val="20"/>
              </w:rPr>
              <w:br/>
              <w:t>IVIg: 2.8±1.6</w:t>
            </w:r>
            <w:r w:rsidRPr="007D0AA8">
              <w:rPr>
                <w:rFonts w:ascii="Arial Narrow" w:hAnsi="Arial Narrow"/>
                <w:sz w:val="20"/>
                <w:szCs w:val="20"/>
              </w:rPr>
              <w:br/>
              <w:t>No IVIg: 4.0±1.6</w:t>
            </w:r>
          </w:p>
          <w:p w14:paraId="155FBB8D"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u w:val="single"/>
              </w:rPr>
              <w:t>IgG stratification groups</w:t>
            </w:r>
            <w:r w:rsidRPr="007D0AA8">
              <w:rPr>
                <w:rFonts w:ascii="Arial Narrow" w:hAnsi="Arial Narrow"/>
                <w:sz w:val="20"/>
                <w:szCs w:val="20"/>
              </w:rPr>
              <w:t>, n(%):</w:t>
            </w:r>
            <w:r w:rsidRPr="007D0AA8">
              <w:rPr>
                <w:rFonts w:ascii="Arial Narrow" w:hAnsi="Arial Narrow"/>
                <w:sz w:val="20"/>
                <w:szCs w:val="20"/>
              </w:rPr>
              <w:br/>
              <w:t>&lt;4g/L: 56 (61)</w:t>
            </w:r>
            <w:r w:rsidRPr="007D0AA8">
              <w:rPr>
                <w:rFonts w:ascii="Arial Narrow" w:hAnsi="Arial Narrow"/>
                <w:sz w:val="20"/>
                <w:szCs w:val="20"/>
              </w:rPr>
              <w:br/>
              <w:t>≥4g/L: 36 (39)</w:t>
            </w:r>
          </w:p>
        </w:tc>
        <w:tc>
          <w:tcPr>
            <w:tcW w:w="587" w:type="pct"/>
            <w:gridSpan w:val="2"/>
          </w:tcPr>
          <w:p w14:paraId="14AAC068"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Not reported.</w:t>
            </w:r>
          </w:p>
        </w:tc>
        <w:tc>
          <w:tcPr>
            <w:tcW w:w="626" w:type="pct"/>
            <w:gridSpan w:val="2"/>
          </w:tcPr>
          <w:p w14:paraId="75A40163" w14:textId="2638AC1C" w:rsidR="007A47A2" w:rsidRPr="007D0AA8" w:rsidRDefault="0076369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29 patients had prior history of severe infections (requiring IV antibiotics or hospitalisation);41 had &lt;3 infections in prior 24mo.</w:t>
            </w:r>
          </w:p>
        </w:tc>
        <w:tc>
          <w:tcPr>
            <w:tcW w:w="1241" w:type="pct"/>
          </w:tcPr>
          <w:p w14:paraId="2FD6283B" w14:textId="62F85CD6" w:rsidR="0076369D"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No standard definitions. Infections prior to and during study period were per patient records.</w:t>
            </w:r>
          </w:p>
        </w:tc>
      </w:tr>
      <w:tr w:rsidR="007D0AA8" w:rsidRPr="007D0AA8" w14:paraId="20AE966D" w14:textId="77777777" w:rsidTr="00BE5103">
        <w:tc>
          <w:tcPr>
            <w:tcW w:w="420" w:type="pct"/>
          </w:tcPr>
          <w:p w14:paraId="3BEE8FCD" w14:textId="5A9D8A2C" w:rsidR="007A47A2" w:rsidRPr="007D0AA8" w:rsidRDefault="007667B3"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Van Winkle et al., 2018</w:t>
            </w:r>
          </w:p>
          <w:p w14:paraId="4A0F7A4C"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ALL</w:t>
            </w:r>
          </w:p>
        </w:tc>
        <w:tc>
          <w:tcPr>
            <w:tcW w:w="541" w:type="pct"/>
          </w:tcPr>
          <w:p w14:paraId="4ED392BF"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Policy: IVIg tx at doctor’s discretion if serum IgG&lt;LLN</w:t>
            </w:r>
          </w:p>
          <w:p w14:paraId="25B17AC3"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Lab LLN varied from 501-757mg/dL</w:t>
            </w:r>
          </w:p>
        </w:tc>
        <w:tc>
          <w:tcPr>
            <w:tcW w:w="353" w:type="pct"/>
          </w:tcPr>
          <w:p w14:paraId="24BF485C"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No.</w:t>
            </w:r>
          </w:p>
        </w:tc>
        <w:tc>
          <w:tcPr>
            <w:tcW w:w="387" w:type="pct"/>
          </w:tcPr>
          <w:p w14:paraId="5947A9C4"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No.</w:t>
            </w:r>
          </w:p>
        </w:tc>
        <w:tc>
          <w:tcPr>
            <w:tcW w:w="845" w:type="pct"/>
          </w:tcPr>
          <w:p w14:paraId="2D48B4D2"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24 of 31 patients tested [68%]) in the IVIg group (n=36) had hypo-GG at baseline.</w:t>
            </w:r>
          </w:p>
        </w:tc>
        <w:tc>
          <w:tcPr>
            <w:tcW w:w="587" w:type="pct"/>
            <w:gridSpan w:val="2"/>
          </w:tcPr>
          <w:p w14:paraId="594DB65A"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IgG levels tested an average 7 times (range 2-33) per patient.</w:t>
            </w:r>
          </w:p>
          <w:p w14:paraId="15598146"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u w:val="single"/>
              </w:rPr>
              <w:t>Mean IgG</w:t>
            </w:r>
            <w:r w:rsidRPr="007D0AA8">
              <w:rPr>
                <w:rFonts w:ascii="Arial Narrow" w:hAnsi="Arial Narrow"/>
                <w:sz w:val="20"/>
                <w:szCs w:val="20"/>
              </w:rPr>
              <w:t xml:space="preserve"> 474 mg/dL (range 89-785); 31 of 36 IVIg patients tested.</w:t>
            </w:r>
          </w:p>
        </w:tc>
        <w:tc>
          <w:tcPr>
            <w:tcW w:w="626" w:type="pct"/>
            <w:gridSpan w:val="2"/>
          </w:tcPr>
          <w:p w14:paraId="25C12775"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21/36 (58%) patients in the IVIg group had a history of infections.</w:t>
            </w:r>
          </w:p>
          <w:p w14:paraId="7E1382D9"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Details compared for both IVIg and No IVIg groups.</w:t>
            </w:r>
          </w:p>
        </w:tc>
        <w:tc>
          <w:tcPr>
            <w:tcW w:w="1241" w:type="pct"/>
          </w:tcPr>
          <w:p w14:paraId="4D8FCCBF"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Infections reported as bacteraemia, fungaemia and hospitalisations per physician’s notes.</w:t>
            </w:r>
          </w:p>
        </w:tc>
      </w:tr>
      <w:tr w:rsidR="007A47A2" w:rsidRPr="00386411" w14:paraId="19714543" w14:textId="77777777" w:rsidTr="00DB0176">
        <w:tc>
          <w:tcPr>
            <w:tcW w:w="5000" w:type="pct"/>
            <w:gridSpan w:val="10"/>
            <w:shd w:val="clear" w:color="auto" w:fill="000000" w:themeFill="text1"/>
          </w:tcPr>
          <w:p w14:paraId="33DBFC78" w14:textId="77777777" w:rsidR="007A47A2" w:rsidRPr="00386411" w:rsidRDefault="007A47A2" w:rsidP="00261F0E">
            <w:pPr>
              <w:keepNext/>
              <w:spacing w:after="40" w:line="240" w:lineRule="auto"/>
              <w:ind w:left="-57"/>
              <w:rPr>
                <w:rFonts w:ascii="Arial Narrow" w:hAnsi="Arial Narrow"/>
                <w:b/>
                <w:color w:val="FFFFFF" w:themeColor="background1"/>
                <w:sz w:val="20"/>
                <w:szCs w:val="20"/>
              </w:rPr>
            </w:pPr>
            <w:r w:rsidRPr="00386411">
              <w:rPr>
                <w:rFonts w:ascii="Arial Narrow" w:hAnsi="Arial Narrow"/>
                <w:b/>
                <w:color w:val="FFFFFF" w:themeColor="background1"/>
                <w:sz w:val="20"/>
                <w:szCs w:val="20"/>
              </w:rPr>
              <w:t>Non-comparative studies – IVIg case series</w:t>
            </w:r>
          </w:p>
        </w:tc>
      </w:tr>
      <w:tr w:rsidR="007D0AA8" w:rsidRPr="007D0AA8" w14:paraId="0707EB30" w14:textId="77777777" w:rsidTr="00BE5103">
        <w:tc>
          <w:tcPr>
            <w:tcW w:w="420" w:type="pct"/>
          </w:tcPr>
          <w:p w14:paraId="73755D4D"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Besa, 1992</w:t>
            </w:r>
          </w:p>
          <w:p w14:paraId="7889361A"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CLL</w:t>
            </w:r>
          </w:p>
        </w:tc>
        <w:tc>
          <w:tcPr>
            <w:tcW w:w="541" w:type="pct"/>
          </w:tcPr>
          <w:p w14:paraId="42ED6946"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Serum IgG &lt;700mg/dL</w:t>
            </w:r>
          </w:p>
        </w:tc>
        <w:tc>
          <w:tcPr>
            <w:tcW w:w="353" w:type="pct"/>
          </w:tcPr>
          <w:p w14:paraId="28EC7693"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No.</w:t>
            </w:r>
          </w:p>
        </w:tc>
        <w:tc>
          <w:tcPr>
            <w:tcW w:w="387" w:type="pct"/>
          </w:tcPr>
          <w:p w14:paraId="128DBE92"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No.</w:t>
            </w:r>
          </w:p>
        </w:tc>
        <w:tc>
          <w:tcPr>
            <w:tcW w:w="845" w:type="pct"/>
          </w:tcPr>
          <w:p w14:paraId="62D4A05B"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u w:val="single"/>
              </w:rPr>
              <w:t>Serum IgG</w:t>
            </w:r>
            <w:r w:rsidRPr="007D0AA8">
              <w:rPr>
                <w:rFonts w:ascii="Arial Narrow" w:hAnsi="Arial Narrow"/>
                <w:sz w:val="20"/>
                <w:szCs w:val="20"/>
              </w:rPr>
              <w:t>, mean (range):</w:t>
            </w:r>
            <w:r w:rsidRPr="007D0AA8">
              <w:rPr>
                <w:rFonts w:ascii="Arial Narrow" w:hAnsi="Arial Narrow"/>
                <w:sz w:val="20"/>
                <w:szCs w:val="20"/>
              </w:rPr>
              <w:br/>
              <w:t>572 mg/dL (200–1720)</w:t>
            </w:r>
          </w:p>
          <w:p w14:paraId="1218C18A"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i/>
                <w:sz w:val="20"/>
                <w:szCs w:val="20"/>
              </w:rPr>
              <w:t>18/23 patients (78%) had hypo-GG.</w:t>
            </w:r>
          </w:p>
        </w:tc>
        <w:tc>
          <w:tcPr>
            <w:tcW w:w="587" w:type="pct"/>
            <w:gridSpan w:val="2"/>
          </w:tcPr>
          <w:p w14:paraId="5AC595FC"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 xml:space="preserve">Trough levels tested over 150 wks but values not reported. </w:t>
            </w:r>
          </w:p>
        </w:tc>
        <w:tc>
          <w:tcPr>
            <w:tcW w:w="626" w:type="pct"/>
            <w:gridSpan w:val="2"/>
          </w:tcPr>
          <w:p w14:paraId="6917CFFE"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13/23 patients (57%) had history of infections.</w:t>
            </w:r>
          </w:p>
        </w:tc>
        <w:tc>
          <w:tcPr>
            <w:tcW w:w="1241" w:type="pct"/>
          </w:tcPr>
          <w:p w14:paraId="51932F3F"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Infection history (3 yr prior to IVIg) compared to infections during 3 yr IVIg tx.</w:t>
            </w:r>
          </w:p>
          <w:p w14:paraId="168853EA"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 xml:space="preserve">Infections: bacterial (sinusitis, cellulitis, pneumonia, sepsis) or viral (zoster). </w:t>
            </w:r>
          </w:p>
        </w:tc>
      </w:tr>
      <w:tr w:rsidR="007D0AA8" w:rsidRPr="007D0AA8" w14:paraId="1CF03DEE" w14:textId="77777777" w:rsidTr="00BE5103">
        <w:tc>
          <w:tcPr>
            <w:tcW w:w="420" w:type="pct"/>
          </w:tcPr>
          <w:p w14:paraId="4CF7111C"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Brenner, 1996</w:t>
            </w:r>
          </w:p>
          <w:p w14:paraId="3D584560"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CLL, MM</w:t>
            </w:r>
          </w:p>
        </w:tc>
        <w:tc>
          <w:tcPr>
            <w:tcW w:w="541" w:type="pct"/>
          </w:tcPr>
          <w:p w14:paraId="7E6A446B"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serum IgG &lt;700mg/dL</w:t>
            </w:r>
          </w:p>
        </w:tc>
        <w:tc>
          <w:tcPr>
            <w:tcW w:w="353" w:type="pct"/>
          </w:tcPr>
          <w:p w14:paraId="4DCFC730"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Yes (OR history of infection).</w:t>
            </w:r>
          </w:p>
        </w:tc>
        <w:tc>
          <w:tcPr>
            <w:tcW w:w="387" w:type="pct"/>
          </w:tcPr>
          <w:p w14:paraId="37196244"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Yes (OR hypo-GG)</w:t>
            </w:r>
          </w:p>
        </w:tc>
        <w:tc>
          <w:tcPr>
            <w:tcW w:w="845" w:type="pct"/>
          </w:tcPr>
          <w:p w14:paraId="63DB9EC5"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Not reported.</w:t>
            </w:r>
          </w:p>
        </w:tc>
        <w:tc>
          <w:tcPr>
            <w:tcW w:w="587" w:type="pct"/>
            <w:gridSpan w:val="2"/>
          </w:tcPr>
          <w:p w14:paraId="7B66E41F"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Values monitored but data not shown.</w:t>
            </w:r>
          </w:p>
        </w:tc>
        <w:tc>
          <w:tcPr>
            <w:tcW w:w="626" w:type="pct"/>
            <w:gridSpan w:val="2"/>
          </w:tcPr>
          <w:p w14:paraId="354A836E"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 xml:space="preserve">CLL: 21 patients had a history of infections. </w:t>
            </w:r>
          </w:p>
          <w:p w14:paraId="06A0EAB5"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MM: not reported (only 3 evaluable patients).</w:t>
            </w:r>
          </w:p>
        </w:tc>
        <w:tc>
          <w:tcPr>
            <w:tcW w:w="1241" w:type="pct"/>
          </w:tcPr>
          <w:p w14:paraId="6658C9C3"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History of infection: recurrent infections with at least 1 hospitalisation (period not stated).</w:t>
            </w:r>
          </w:p>
          <w:p w14:paraId="77413DE4" w14:textId="77777777" w:rsidR="007A47A2" w:rsidRPr="007D0AA8" w:rsidRDefault="007A47A2"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 xml:space="preserve">Infections reported as either those requiring hospitalisation; or as ‘treated ambulatory’. Infections during study compared to prior </w:t>
            </w:r>
            <w:r w:rsidRPr="007D0AA8">
              <w:rPr>
                <w:rFonts w:ascii="Arial Narrow" w:hAnsi="Arial Narrow"/>
                <w:sz w:val="20"/>
                <w:szCs w:val="20"/>
              </w:rPr>
              <w:lastRenderedPageBreak/>
              <w:t xml:space="preserve">infections, adjusted to duration equivalent to study period.  </w:t>
            </w:r>
          </w:p>
        </w:tc>
      </w:tr>
      <w:tr w:rsidR="007D0AA8" w:rsidRPr="007D0AA8" w14:paraId="6C16CF68" w14:textId="77777777" w:rsidTr="00BE5103">
        <w:tc>
          <w:tcPr>
            <w:tcW w:w="420" w:type="pct"/>
          </w:tcPr>
          <w:p w14:paraId="0F2228AB" w14:textId="25239859" w:rsidR="00EA21BD" w:rsidRPr="007D0AA8" w:rsidRDefault="007667B3"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lastRenderedPageBreak/>
              <w:t>Günther &amp; Dreger 2013</w:t>
            </w:r>
          </w:p>
          <w:p w14:paraId="2C7ED8D3"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CLL, FL and other</w:t>
            </w:r>
          </w:p>
        </w:tc>
        <w:tc>
          <w:tcPr>
            <w:tcW w:w="541" w:type="pct"/>
          </w:tcPr>
          <w:p w14:paraId="1950F30B"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Secondary immune deficiency (definition not provided)</w:t>
            </w:r>
          </w:p>
        </w:tc>
        <w:tc>
          <w:tcPr>
            <w:tcW w:w="353" w:type="pct"/>
          </w:tcPr>
          <w:p w14:paraId="51889F0C"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Yes</w:t>
            </w:r>
          </w:p>
        </w:tc>
        <w:tc>
          <w:tcPr>
            <w:tcW w:w="387" w:type="pct"/>
          </w:tcPr>
          <w:p w14:paraId="014A7617"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Yes (recurrent serial bacterial infections)</w:t>
            </w:r>
          </w:p>
        </w:tc>
        <w:tc>
          <w:tcPr>
            <w:tcW w:w="845" w:type="pct"/>
          </w:tcPr>
          <w:p w14:paraId="20A104F5"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 xml:space="preserve">Not reported. </w:t>
            </w:r>
          </w:p>
        </w:tc>
        <w:tc>
          <w:tcPr>
            <w:tcW w:w="587" w:type="pct"/>
            <w:gridSpan w:val="2"/>
          </w:tcPr>
          <w:p w14:paraId="5C47F21C"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Most had normal IgG trough values (range: 600 – 1800 mg/dL)</w:t>
            </w:r>
          </w:p>
        </w:tc>
        <w:tc>
          <w:tcPr>
            <w:tcW w:w="626" w:type="pct"/>
            <w:gridSpan w:val="2"/>
          </w:tcPr>
          <w:p w14:paraId="4F200FF9"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All 10 patients had experienced severe bacterial infections within 3 months before IVIg treatment (24 infections total).</w:t>
            </w:r>
          </w:p>
        </w:tc>
        <w:tc>
          <w:tcPr>
            <w:tcW w:w="1241" w:type="pct"/>
          </w:tcPr>
          <w:p w14:paraId="1C11A5EA"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 xml:space="preserve">Bacterial infections (type, treatment and duration), and non-bacterial infections. No standard definitions. </w:t>
            </w:r>
          </w:p>
        </w:tc>
      </w:tr>
      <w:tr w:rsidR="007D0AA8" w:rsidRPr="007D0AA8" w14:paraId="213EBAD3" w14:textId="77777777" w:rsidTr="00BE5103">
        <w:tc>
          <w:tcPr>
            <w:tcW w:w="420" w:type="pct"/>
          </w:tcPr>
          <w:p w14:paraId="421FBAF9"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Jurlander et al., 1994</w:t>
            </w:r>
          </w:p>
          <w:p w14:paraId="5654B567"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CLL</w:t>
            </w:r>
          </w:p>
        </w:tc>
        <w:tc>
          <w:tcPr>
            <w:tcW w:w="541" w:type="pct"/>
          </w:tcPr>
          <w:p w14:paraId="0AC00D2F"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Serum IgG level below lower reference limit</w:t>
            </w:r>
          </w:p>
        </w:tc>
        <w:tc>
          <w:tcPr>
            <w:tcW w:w="353" w:type="pct"/>
          </w:tcPr>
          <w:p w14:paraId="04C6729C"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Yes</w:t>
            </w:r>
          </w:p>
        </w:tc>
        <w:tc>
          <w:tcPr>
            <w:tcW w:w="387" w:type="pct"/>
          </w:tcPr>
          <w:p w14:paraId="4C27766E"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Yes (history of recurrent infections)</w:t>
            </w:r>
          </w:p>
        </w:tc>
        <w:tc>
          <w:tcPr>
            <w:tcW w:w="845" w:type="pct"/>
          </w:tcPr>
          <w:p w14:paraId="20F736CD"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Mean: 12.5 micromoll/L</w:t>
            </w:r>
          </w:p>
        </w:tc>
        <w:tc>
          <w:tcPr>
            <w:tcW w:w="587" w:type="pct"/>
            <w:gridSpan w:val="2"/>
          </w:tcPr>
          <w:p w14:paraId="46FE0BF9"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Mean: 28.5 micromol/L</w:t>
            </w:r>
          </w:p>
        </w:tc>
        <w:tc>
          <w:tcPr>
            <w:tcW w:w="626" w:type="pct"/>
            <w:gridSpan w:val="2"/>
          </w:tcPr>
          <w:p w14:paraId="1B1E1D76"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In prior 168 months (total): 78 prior antibiotic prescriptions, 16 prior hospital admissions due to infections, 63 febrile episodes, 6 severe infections</w:t>
            </w:r>
          </w:p>
        </w:tc>
        <w:tc>
          <w:tcPr>
            <w:tcW w:w="1241" w:type="pct"/>
          </w:tcPr>
          <w:p w14:paraId="6D5CEEB6"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Infections requiring antibiotics, admission, febrile episodes or severe (no standard definition, but included septicaemia, pneumonia and meningitis)</w:t>
            </w:r>
          </w:p>
        </w:tc>
      </w:tr>
      <w:tr w:rsidR="00EA21BD" w:rsidRPr="00386411" w14:paraId="2B33EEF4" w14:textId="77777777" w:rsidTr="00DB0176">
        <w:tc>
          <w:tcPr>
            <w:tcW w:w="5000" w:type="pct"/>
            <w:gridSpan w:val="10"/>
            <w:shd w:val="clear" w:color="auto" w:fill="000000" w:themeFill="text1"/>
          </w:tcPr>
          <w:p w14:paraId="49BE78FA" w14:textId="77777777" w:rsidR="00EA21BD" w:rsidRPr="00386411" w:rsidRDefault="00EA21BD" w:rsidP="00261F0E">
            <w:pPr>
              <w:keepNext/>
              <w:spacing w:after="40" w:line="240" w:lineRule="auto"/>
              <w:ind w:left="-57"/>
              <w:rPr>
                <w:rFonts w:ascii="Arial Narrow" w:hAnsi="Arial Narrow"/>
                <w:b/>
                <w:color w:val="FFFFFF" w:themeColor="background1"/>
                <w:sz w:val="20"/>
                <w:szCs w:val="18"/>
              </w:rPr>
            </w:pPr>
            <w:r w:rsidRPr="00386411">
              <w:rPr>
                <w:rFonts w:ascii="Arial Narrow" w:hAnsi="Arial Narrow"/>
                <w:b/>
                <w:color w:val="FFFFFF" w:themeColor="background1"/>
                <w:sz w:val="20"/>
                <w:szCs w:val="18"/>
              </w:rPr>
              <w:t>Non-comparative studies – SCIg case series</w:t>
            </w:r>
          </w:p>
        </w:tc>
      </w:tr>
      <w:tr w:rsidR="007D0AA8" w:rsidRPr="007D0AA8" w14:paraId="31C9E0F1" w14:textId="77777777" w:rsidTr="00BE5103">
        <w:tc>
          <w:tcPr>
            <w:tcW w:w="420" w:type="pct"/>
          </w:tcPr>
          <w:p w14:paraId="4368DBF8"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Dimou et al. 2018</w:t>
            </w:r>
          </w:p>
          <w:p w14:paraId="28CB9B7A" w14:textId="11C6EC0F"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18"/>
              </w:rPr>
              <w:t>CLL, others</w:t>
            </w:r>
          </w:p>
        </w:tc>
        <w:tc>
          <w:tcPr>
            <w:tcW w:w="541" w:type="pct"/>
          </w:tcPr>
          <w:p w14:paraId="26185DC1"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Serum Ig&lt;LLN</w:t>
            </w:r>
          </w:p>
        </w:tc>
        <w:tc>
          <w:tcPr>
            <w:tcW w:w="353" w:type="pct"/>
          </w:tcPr>
          <w:p w14:paraId="0FD18511"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Yes.</w:t>
            </w:r>
          </w:p>
        </w:tc>
        <w:tc>
          <w:tcPr>
            <w:tcW w:w="387" w:type="pct"/>
          </w:tcPr>
          <w:p w14:paraId="73EA8961" w14:textId="4288EC7D"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Yes (≥2 severe episodes in last 12 months)</w:t>
            </w:r>
          </w:p>
        </w:tc>
        <w:tc>
          <w:tcPr>
            <w:tcW w:w="845" w:type="pct"/>
          </w:tcPr>
          <w:p w14:paraId="07A554E3"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Switching from IVIg to SCIg (n=13): Median pre-study trough level 532mg/dL (range 80-982)</w:t>
            </w:r>
          </w:p>
          <w:p w14:paraId="6CB64BAC"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IVIg naïve (n=18): Median pre-study trough level 403.5 mg/dL (range 102-632)</w:t>
            </w:r>
          </w:p>
        </w:tc>
        <w:tc>
          <w:tcPr>
            <w:tcW w:w="587" w:type="pct"/>
            <w:gridSpan w:val="2"/>
          </w:tcPr>
          <w:p w14:paraId="28820311"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Measured to permit tx goal trough of &gt;600mg/dL. Values at 3,6,12,24 mo reported.</w:t>
            </w:r>
          </w:p>
        </w:tc>
        <w:tc>
          <w:tcPr>
            <w:tcW w:w="626" w:type="pct"/>
            <w:gridSpan w:val="2"/>
          </w:tcPr>
          <w:p w14:paraId="1EBC6723"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26/33 patients had a history of severe recurrent infections.</w:t>
            </w:r>
          </w:p>
        </w:tc>
        <w:tc>
          <w:tcPr>
            <w:tcW w:w="1241" w:type="pct"/>
          </w:tcPr>
          <w:p w14:paraId="3CCD79E3" w14:textId="0EFE0816"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 xml:space="preserve">No standard definitions (infections listed in qualifying patients included LRT, URT; renal and soft tissue infections and </w:t>
            </w:r>
            <w:r w:rsidRPr="007D0AA8">
              <w:rPr>
                <w:rFonts w:ascii="Arial Narrow" w:hAnsi="Arial Narrow"/>
                <w:i/>
                <w:sz w:val="20"/>
                <w:szCs w:val="20"/>
              </w:rPr>
              <w:t>Herpes zoste</w:t>
            </w:r>
            <w:r w:rsidRPr="007D0AA8">
              <w:rPr>
                <w:rFonts w:ascii="Arial Narrow" w:hAnsi="Arial Narrow"/>
                <w:sz w:val="20"/>
                <w:szCs w:val="20"/>
              </w:rPr>
              <w:t xml:space="preserve">r reactivation). </w:t>
            </w:r>
          </w:p>
        </w:tc>
      </w:tr>
      <w:tr w:rsidR="00EA21BD" w:rsidRPr="00386411" w14:paraId="64524835" w14:textId="77777777" w:rsidTr="00DB0176">
        <w:tc>
          <w:tcPr>
            <w:tcW w:w="5000" w:type="pct"/>
            <w:gridSpan w:val="10"/>
            <w:shd w:val="clear" w:color="auto" w:fill="000000" w:themeFill="text1"/>
          </w:tcPr>
          <w:p w14:paraId="3B6D1F30" w14:textId="77777777" w:rsidR="00EA21BD" w:rsidRPr="00386411" w:rsidRDefault="00EA21BD" w:rsidP="00261F0E">
            <w:pPr>
              <w:keepNext/>
              <w:spacing w:after="40" w:line="240" w:lineRule="auto"/>
              <w:ind w:left="-57"/>
              <w:rPr>
                <w:rFonts w:ascii="Arial Narrow" w:hAnsi="Arial Narrow"/>
                <w:b/>
                <w:color w:val="FFFFFF" w:themeColor="background1"/>
                <w:sz w:val="20"/>
                <w:szCs w:val="18"/>
              </w:rPr>
            </w:pPr>
            <w:r w:rsidRPr="00386411">
              <w:rPr>
                <w:rFonts w:ascii="Arial Narrow" w:hAnsi="Arial Narrow"/>
                <w:b/>
                <w:color w:val="FFFFFF" w:themeColor="background1"/>
                <w:sz w:val="20"/>
                <w:szCs w:val="18"/>
              </w:rPr>
              <w:t>Any IgG (IVIg and SCIg) case series</w:t>
            </w:r>
          </w:p>
        </w:tc>
      </w:tr>
      <w:tr w:rsidR="007D0AA8" w:rsidRPr="007D0AA8" w14:paraId="77AFE574" w14:textId="77777777" w:rsidTr="00BE5103">
        <w:tc>
          <w:tcPr>
            <w:tcW w:w="420" w:type="pct"/>
          </w:tcPr>
          <w:p w14:paraId="2E5BC159" w14:textId="10E262F5"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Benbrahim</w:t>
            </w:r>
            <w:r w:rsidR="007667B3" w:rsidRPr="007D0AA8">
              <w:rPr>
                <w:rFonts w:ascii="Arial Narrow" w:hAnsi="Arial Narrow"/>
                <w:sz w:val="20"/>
                <w:szCs w:val="20"/>
              </w:rPr>
              <w:t xml:space="preserve"> et al.</w:t>
            </w:r>
            <w:r w:rsidRPr="007D0AA8">
              <w:rPr>
                <w:rFonts w:ascii="Arial Narrow" w:hAnsi="Arial Narrow"/>
                <w:sz w:val="20"/>
                <w:szCs w:val="20"/>
              </w:rPr>
              <w:t>, 2018</w:t>
            </w:r>
          </w:p>
          <w:p w14:paraId="11153CB1"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MM, CLL, NHL, other (AL, HL)</w:t>
            </w:r>
          </w:p>
        </w:tc>
        <w:tc>
          <w:tcPr>
            <w:tcW w:w="541" w:type="pct"/>
          </w:tcPr>
          <w:p w14:paraId="76C5FF1B"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Serum IgG trough levels &lt;5 g/L</w:t>
            </w:r>
          </w:p>
        </w:tc>
        <w:tc>
          <w:tcPr>
            <w:tcW w:w="353" w:type="pct"/>
          </w:tcPr>
          <w:p w14:paraId="24D8A07A"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No.</w:t>
            </w:r>
          </w:p>
        </w:tc>
        <w:tc>
          <w:tcPr>
            <w:tcW w:w="387" w:type="pct"/>
          </w:tcPr>
          <w:p w14:paraId="259130EE"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No.</w:t>
            </w:r>
          </w:p>
        </w:tc>
        <w:tc>
          <w:tcPr>
            <w:tcW w:w="845" w:type="pct"/>
          </w:tcPr>
          <w:p w14:paraId="4E0ECE50"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In 195 of 231 patients tested:</w:t>
            </w:r>
          </w:p>
          <w:p w14:paraId="290DA137"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134/195 (68.7%) patients had hypo-GG (serum Ig&lt; 5g/L)</w:t>
            </w:r>
          </w:p>
          <w:p w14:paraId="0AEE7FC5"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 xml:space="preserve">61/195 patients had Ig ≥5 g/L Of which, 59 had at least 1 infection within the previous 12 mo, 56 needed antibiotics. </w:t>
            </w:r>
          </w:p>
        </w:tc>
        <w:tc>
          <w:tcPr>
            <w:tcW w:w="587" w:type="pct"/>
            <w:gridSpan w:val="2"/>
          </w:tcPr>
          <w:p w14:paraId="7AA8524C"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Reported in Benbrahim 2019.</w:t>
            </w:r>
          </w:p>
        </w:tc>
        <w:tc>
          <w:tcPr>
            <w:tcW w:w="626" w:type="pct"/>
            <w:gridSpan w:val="2"/>
          </w:tcPr>
          <w:p w14:paraId="266A347B"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Mean 2.23±1.57 infections in 12 months before study.</w:t>
            </w:r>
          </w:p>
        </w:tc>
        <w:tc>
          <w:tcPr>
            <w:tcW w:w="1241" w:type="pct"/>
          </w:tcPr>
          <w:p w14:paraId="536C2AB9" w14:textId="77777777" w:rsidR="00EA21BD" w:rsidRPr="007D0AA8" w:rsidRDefault="00EA21BD" w:rsidP="00C14764">
            <w:pPr>
              <w:spacing w:before="0" w:after="0" w:line="240" w:lineRule="auto"/>
              <w:ind w:left="-57"/>
              <w:jc w:val="left"/>
              <w:rPr>
                <w:rFonts w:ascii="Arial Narrow" w:hAnsi="Arial Narrow"/>
                <w:sz w:val="20"/>
                <w:szCs w:val="20"/>
              </w:rPr>
            </w:pPr>
            <w:r w:rsidRPr="007D0AA8">
              <w:rPr>
                <w:rFonts w:ascii="Arial Narrow" w:hAnsi="Arial Narrow"/>
                <w:sz w:val="20"/>
                <w:szCs w:val="20"/>
              </w:rPr>
              <w:t>Reported in Benbrahim 2019.</w:t>
            </w:r>
          </w:p>
        </w:tc>
      </w:tr>
      <w:tr w:rsidR="007D0AA8" w:rsidRPr="007D0AA8" w14:paraId="6BEF64DA" w14:textId="77777777" w:rsidTr="00BE5103">
        <w:tc>
          <w:tcPr>
            <w:tcW w:w="420" w:type="pct"/>
          </w:tcPr>
          <w:p w14:paraId="320282B6" w14:textId="57FB0AB3" w:rsidR="00EA21BD" w:rsidRPr="007D0AA8" w:rsidRDefault="00EA21BD" w:rsidP="00261F0E">
            <w:pPr>
              <w:spacing w:before="0" w:after="0" w:line="240" w:lineRule="auto"/>
              <w:ind w:left="-57"/>
              <w:rPr>
                <w:rFonts w:ascii="Arial Narrow" w:hAnsi="Arial Narrow"/>
                <w:sz w:val="20"/>
                <w:szCs w:val="20"/>
              </w:rPr>
            </w:pPr>
            <w:r w:rsidRPr="007D0AA8">
              <w:rPr>
                <w:rFonts w:ascii="Arial Narrow" w:hAnsi="Arial Narrow"/>
                <w:sz w:val="20"/>
                <w:szCs w:val="20"/>
              </w:rPr>
              <w:t>Benbrahim</w:t>
            </w:r>
            <w:r w:rsidR="007667B3" w:rsidRPr="007D0AA8">
              <w:rPr>
                <w:rFonts w:ascii="Arial Narrow" w:hAnsi="Arial Narrow"/>
                <w:sz w:val="20"/>
                <w:szCs w:val="20"/>
              </w:rPr>
              <w:t xml:space="preserve"> et al.</w:t>
            </w:r>
            <w:r w:rsidRPr="007D0AA8">
              <w:rPr>
                <w:rFonts w:ascii="Arial Narrow" w:hAnsi="Arial Narrow"/>
                <w:sz w:val="20"/>
                <w:szCs w:val="20"/>
              </w:rPr>
              <w:t>, 2019</w:t>
            </w:r>
          </w:p>
          <w:p w14:paraId="255D456E" w14:textId="77777777" w:rsidR="00EA21BD" w:rsidRPr="007D0AA8" w:rsidRDefault="00EA21BD" w:rsidP="00261F0E">
            <w:pPr>
              <w:spacing w:before="0" w:after="0" w:line="240" w:lineRule="auto"/>
              <w:ind w:left="-57"/>
              <w:rPr>
                <w:rFonts w:ascii="Arial Narrow" w:hAnsi="Arial Narrow"/>
                <w:sz w:val="20"/>
                <w:szCs w:val="20"/>
              </w:rPr>
            </w:pPr>
            <w:r w:rsidRPr="007D0AA8">
              <w:rPr>
                <w:rFonts w:ascii="Arial Narrow" w:hAnsi="Arial Narrow"/>
                <w:sz w:val="20"/>
                <w:szCs w:val="20"/>
              </w:rPr>
              <w:lastRenderedPageBreak/>
              <w:t>MM, CLL, NHL, HL</w:t>
            </w:r>
          </w:p>
        </w:tc>
        <w:tc>
          <w:tcPr>
            <w:tcW w:w="541" w:type="pct"/>
          </w:tcPr>
          <w:p w14:paraId="063D411D" w14:textId="77777777" w:rsidR="00EA21BD" w:rsidRPr="007D0AA8" w:rsidRDefault="00EA21BD" w:rsidP="00261F0E">
            <w:pPr>
              <w:spacing w:before="0" w:after="0" w:line="240" w:lineRule="auto"/>
              <w:ind w:left="-57"/>
              <w:rPr>
                <w:rFonts w:ascii="Arial Narrow" w:hAnsi="Arial Narrow"/>
                <w:sz w:val="20"/>
                <w:szCs w:val="20"/>
              </w:rPr>
            </w:pPr>
            <w:r w:rsidRPr="007D0AA8">
              <w:rPr>
                <w:rFonts w:ascii="Arial Narrow" w:hAnsi="Arial Narrow"/>
                <w:sz w:val="20"/>
                <w:szCs w:val="20"/>
              </w:rPr>
              <w:lastRenderedPageBreak/>
              <w:t>Serum IgG trough levels &lt;5 g/L</w:t>
            </w:r>
          </w:p>
        </w:tc>
        <w:tc>
          <w:tcPr>
            <w:tcW w:w="353" w:type="pct"/>
          </w:tcPr>
          <w:p w14:paraId="76F7B931" w14:textId="77777777" w:rsidR="00EA21BD" w:rsidRPr="007D0AA8" w:rsidRDefault="00EA21BD" w:rsidP="00261F0E">
            <w:pPr>
              <w:spacing w:before="0" w:after="0" w:line="240" w:lineRule="auto"/>
              <w:ind w:left="-57"/>
              <w:rPr>
                <w:rFonts w:ascii="Arial Narrow" w:hAnsi="Arial Narrow"/>
                <w:sz w:val="20"/>
                <w:szCs w:val="20"/>
              </w:rPr>
            </w:pPr>
            <w:r w:rsidRPr="007D0AA8">
              <w:rPr>
                <w:rFonts w:ascii="Arial Narrow" w:hAnsi="Arial Narrow"/>
                <w:sz w:val="20"/>
                <w:szCs w:val="20"/>
              </w:rPr>
              <w:t>No.</w:t>
            </w:r>
          </w:p>
        </w:tc>
        <w:tc>
          <w:tcPr>
            <w:tcW w:w="387" w:type="pct"/>
          </w:tcPr>
          <w:p w14:paraId="18888DD4" w14:textId="77777777" w:rsidR="00EA21BD" w:rsidRPr="007D0AA8" w:rsidRDefault="00EA21BD" w:rsidP="00261F0E">
            <w:pPr>
              <w:spacing w:before="0" w:after="0" w:line="240" w:lineRule="auto"/>
              <w:ind w:left="-57"/>
              <w:rPr>
                <w:rFonts w:ascii="Arial Narrow" w:hAnsi="Arial Narrow"/>
                <w:sz w:val="20"/>
                <w:szCs w:val="20"/>
              </w:rPr>
            </w:pPr>
            <w:r w:rsidRPr="007D0AA8">
              <w:rPr>
                <w:rFonts w:ascii="Arial Narrow" w:hAnsi="Arial Narrow"/>
                <w:sz w:val="20"/>
                <w:szCs w:val="20"/>
              </w:rPr>
              <w:t>No.</w:t>
            </w:r>
          </w:p>
        </w:tc>
        <w:tc>
          <w:tcPr>
            <w:tcW w:w="845" w:type="pct"/>
          </w:tcPr>
          <w:p w14:paraId="49B5CFC3" w14:textId="77777777" w:rsidR="00EA21BD" w:rsidRPr="007D0AA8" w:rsidRDefault="00EA21BD" w:rsidP="00261F0E">
            <w:pPr>
              <w:spacing w:before="0" w:after="0" w:line="240" w:lineRule="auto"/>
              <w:ind w:left="-57"/>
              <w:rPr>
                <w:rFonts w:ascii="Arial Narrow" w:hAnsi="Arial Narrow"/>
                <w:sz w:val="20"/>
                <w:szCs w:val="20"/>
              </w:rPr>
            </w:pPr>
            <w:r w:rsidRPr="007D0AA8">
              <w:rPr>
                <w:rFonts w:ascii="Arial Narrow" w:hAnsi="Arial Narrow"/>
                <w:sz w:val="20"/>
                <w:szCs w:val="20"/>
              </w:rPr>
              <w:t xml:space="preserve">138/160 patients (86.3%) had Ig levels tested (median serum </w:t>
            </w:r>
            <w:r w:rsidRPr="007D0AA8">
              <w:rPr>
                <w:rFonts w:ascii="Arial Narrow" w:hAnsi="Arial Narrow"/>
                <w:sz w:val="20"/>
                <w:szCs w:val="20"/>
              </w:rPr>
              <w:lastRenderedPageBreak/>
              <w:t xml:space="preserve">IgG levels 4.2 g/L). </w:t>
            </w:r>
          </w:p>
          <w:p w14:paraId="5EF04C32" w14:textId="77777777" w:rsidR="00EA21BD" w:rsidRPr="007D0AA8" w:rsidRDefault="00EA21BD" w:rsidP="00261F0E">
            <w:pPr>
              <w:spacing w:before="0" w:after="0" w:line="240" w:lineRule="auto"/>
              <w:ind w:left="-57"/>
              <w:rPr>
                <w:rFonts w:ascii="Arial Narrow" w:hAnsi="Arial Narrow"/>
                <w:sz w:val="20"/>
                <w:szCs w:val="20"/>
              </w:rPr>
            </w:pPr>
            <w:r w:rsidRPr="007D0AA8">
              <w:rPr>
                <w:rFonts w:ascii="Arial Narrow" w:hAnsi="Arial Narrow"/>
                <w:sz w:val="20"/>
                <w:szCs w:val="20"/>
              </w:rPr>
              <w:t>91 patients were hypo-GG (65.9%) (IgG&lt;5g/L).</w:t>
            </w:r>
          </w:p>
        </w:tc>
        <w:tc>
          <w:tcPr>
            <w:tcW w:w="587" w:type="pct"/>
            <w:gridSpan w:val="2"/>
          </w:tcPr>
          <w:p w14:paraId="43A80AA2" w14:textId="77777777" w:rsidR="00EA21BD" w:rsidRPr="007D0AA8" w:rsidRDefault="00EA21BD" w:rsidP="00261F0E">
            <w:pPr>
              <w:spacing w:before="0" w:after="0" w:line="240" w:lineRule="auto"/>
              <w:ind w:left="-57"/>
              <w:rPr>
                <w:rFonts w:ascii="Arial Narrow" w:hAnsi="Arial Narrow"/>
                <w:sz w:val="20"/>
                <w:szCs w:val="20"/>
              </w:rPr>
            </w:pPr>
            <w:r w:rsidRPr="007D0AA8">
              <w:rPr>
                <w:rFonts w:ascii="Arial Narrow" w:hAnsi="Arial Narrow"/>
                <w:sz w:val="20"/>
                <w:szCs w:val="20"/>
              </w:rPr>
              <w:lastRenderedPageBreak/>
              <w:t xml:space="preserve">Mean serum IgG increase of 3.4±2.4 </w:t>
            </w:r>
            <w:r w:rsidRPr="007D0AA8">
              <w:rPr>
                <w:rFonts w:ascii="Arial Narrow" w:hAnsi="Arial Narrow"/>
                <w:sz w:val="20"/>
                <w:szCs w:val="20"/>
              </w:rPr>
              <w:lastRenderedPageBreak/>
              <w:t>g/L from baseline to last visit. Reduction in patients with hypo-GG from 69.2% at baseline to 15.9% at last visit (p=0.14).</w:t>
            </w:r>
          </w:p>
        </w:tc>
        <w:tc>
          <w:tcPr>
            <w:tcW w:w="626" w:type="pct"/>
            <w:gridSpan w:val="2"/>
          </w:tcPr>
          <w:p w14:paraId="20ACB4FB" w14:textId="3A12799D" w:rsidR="00EA21BD" w:rsidRPr="007D0AA8" w:rsidRDefault="00EA21BD" w:rsidP="00261F0E">
            <w:pPr>
              <w:spacing w:before="0" w:after="0" w:line="240" w:lineRule="auto"/>
              <w:ind w:left="-57"/>
              <w:rPr>
                <w:rFonts w:ascii="Arial Narrow" w:hAnsi="Arial Narrow"/>
                <w:sz w:val="20"/>
                <w:szCs w:val="20"/>
              </w:rPr>
            </w:pPr>
            <w:r w:rsidRPr="007D0AA8">
              <w:rPr>
                <w:rFonts w:ascii="Arial Narrow" w:hAnsi="Arial Narrow"/>
                <w:sz w:val="20"/>
                <w:szCs w:val="20"/>
              </w:rPr>
              <w:lastRenderedPageBreak/>
              <w:t>Reported</w:t>
            </w:r>
            <w:r w:rsidR="00405386" w:rsidRPr="007D0AA8">
              <w:rPr>
                <w:rFonts w:ascii="Arial Narrow" w:hAnsi="Arial Narrow"/>
                <w:sz w:val="20"/>
                <w:szCs w:val="20"/>
              </w:rPr>
              <w:t xml:space="preserve"> for larger group</w:t>
            </w:r>
            <w:r w:rsidRPr="007D0AA8">
              <w:rPr>
                <w:rFonts w:ascii="Arial Narrow" w:hAnsi="Arial Narrow"/>
                <w:sz w:val="20"/>
                <w:szCs w:val="20"/>
              </w:rPr>
              <w:t xml:space="preserve"> in Benbrahim </w:t>
            </w:r>
            <w:r w:rsidRPr="007D0AA8">
              <w:rPr>
                <w:rFonts w:ascii="Arial Narrow" w:hAnsi="Arial Narrow"/>
                <w:sz w:val="20"/>
                <w:szCs w:val="20"/>
              </w:rPr>
              <w:lastRenderedPageBreak/>
              <w:t>2018.</w:t>
            </w:r>
          </w:p>
        </w:tc>
        <w:tc>
          <w:tcPr>
            <w:tcW w:w="1241" w:type="pct"/>
          </w:tcPr>
          <w:p w14:paraId="1CA7C9A4" w14:textId="77777777" w:rsidR="00EA21BD" w:rsidRPr="007D0AA8" w:rsidRDefault="00EA21BD" w:rsidP="00261F0E">
            <w:pPr>
              <w:spacing w:before="0" w:after="0" w:line="240" w:lineRule="auto"/>
              <w:ind w:left="-57"/>
              <w:rPr>
                <w:rFonts w:ascii="Arial Narrow" w:hAnsi="Arial Narrow"/>
                <w:sz w:val="20"/>
                <w:szCs w:val="20"/>
              </w:rPr>
            </w:pPr>
            <w:r w:rsidRPr="007D0AA8">
              <w:rPr>
                <w:rFonts w:ascii="Arial Narrow" w:hAnsi="Arial Narrow"/>
                <w:sz w:val="20"/>
                <w:szCs w:val="20"/>
              </w:rPr>
              <w:lastRenderedPageBreak/>
              <w:t xml:space="preserve">Infections were classified according to the World Health Organization (WHO) grading with </w:t>
            </w:r>
            <w:r w:rsidRPr="007D0AA8">
              <w:rPr>
                <w:rFonts w:ascii="Arial Narrow" w:hAnsi="Arial Narrow"/>
                <w:sz w:val="20"/>
                <w:szCs w:val="20"/>
              </w:rPr>
              <w:lastRenderedPageBreak/>
              <w:t>severe infections being WHO grade&gt;2.</w:t>
            </w:r>
          </w:p>
        </w:tc>
      </w:tr>
      <w:tr w:rsidR="007D0AA8" w:rsidRPr="007D0AA8" w14:paraId="13439A09" w14:textId="77777777" w:rsidTr="00BE5103">
        <w:tc>
          <w:tcPr>
            <w:tcW w:w="420" w:type="pct"/>
          </w:tcPr>
          <w:p w14:paraId="28C75179" w14:textId="0F5AA370" w:rsidR="00EA21BD" w:rsidRPr="007D0AA8" w:rsidRDefault="00EA21BD" w:rsidP="00261F0E">
            <w:pPr>
              <w:spacing w:before="0" w:after="0" w:line="240" w:lineRule="auto"/>
              <w:ind w:left="-57"/>
              <w:rPr>
                <w:rFonts w:ascii="Arial Narrow" w:hAnsi="Arial Narrow"/>
                <w:sz w:val="20"/>
                <w:szCs w:val="20"/>
              </w:rPr>
            </w:pPr>
            <w:r w:rsidRPr="007D0AA8">
              <w:rPr>
                <w:rFonts w:ascii="Arial Narrow" w:hAnsi="Arial Narrow"/>
                <w:sz w:val="20"/>
                <w:szCs w:val="20"/>
              </w:rPr>
              <w:lastRenderedPageBreak/>
              <w:t>Duraisingham et al., 2014</w:t>
            </w:r>
          </w:p>
          <w:p w14:paraId="018D5339" w14:textId="7E7B2E2F" w:rsidR="00EA21BD" w:rsidRPr="007D0AA8" w:rsidRDefault="00EA21BD" w:rsidP="00261F0E">
            <w:pPr>
              <w:spacing w:before="0" w:after="0" w:line="240" w:lineRule="auto"/>
              <w:ind w:left="-57"/>
              <w:rPr>
                <w:rFonts w:ascii="Arial Narrow" w:hAnsi="Arial Narrow"/>
                <w:sz w:val="20"/>
                <w:szCs w:val="20"/>
              </w:rPr>
            </w:pPr>
            <w:r w:rsidRPr="007D0AA8">
              <w:rPr>
                <w:rFonts w:ascii="Arial Narrow" w:hAnsi="Arial Narrow"/>
                <w:sz w:val="20"/>
                <w:szCs w:val="20"/>
              </w:rPr>
              <w:t>(NHL, others)</w:t>
            </w:r>
          </w:p>
        </w:tc>
        <w:tc>
          <w:tcPr>
            <w:tcW w:w="541" w:type="pct"/>
          </w:tcPr>
          <w:p w14:paraId="25BE5107" w14:textId="77777777" w:rsidR="00EA21BD" w:rsidRPr="007D0AA8" w:rsidRDefault="00EA21BD" w:rsidP="00261F0E">
            <w:pPr>
              <w:spacing w:before="0" w:after="0" w:line="240" w:lineRule="auto"/>
              <w:ind w:left="-57"/>
              <w:rPr>
                <w:rFonts w:ascii="Arial Narrow" w:hAnsi="Arial Narrow"/>
                <w:sz w:val="20"/>
                <w:szCs w:val="20"/>
              </w:rPr>
            </w:pPr>
            <w:r w:rsidRPr="007D0AA8">
              <w:rPr>
                <w:rFonts w:ascii="Arial Narrow" w:hAnsi="Arial Narrow"/>
                <w:sz w:val="20"/>
                <w:szCs w:val="20"/>
              </w:rPr>
              <w:t>Serum IgG &lt;5.5g/L (LLN), with or without low IgA or IgM.</w:t>
            </w:r>
          </w:p>
        </w:tc>
        <w:tc>
          <w:tcPr>
            <w:tcW w:w="353" w:type="pct"/>
          </w:tcPr>
          <w:p w14:paraId="1137508A" w14:textId="77777777" w:rsidR="00EA21BD" w:rsidRPr="007D0AA8" w:rsidRDefault="00EA21BD" w:rsidP="00261F0E">
            <w:pPr>
              <w:spacing w:before="0" w:after="0" w:line="240" w:lineRule="auto"/>
              <w:ind w:left="-57"/>
              <w:rPr>
                <w:rFonts w:ascii="Arial Narrow" w:hAnsi="Arial Narrow"/>
                <w:sz w:val="20"/>
                <w:szCs w:val="20"/>
              </w:rPr>
            </w:pPr>
            <w:r w:rsidRPr="007D0AA8">
              <w:rPr>
                <w:rFonts w:ascii="Arial Narrow" w:hAnsi="Arial Narrow"/>
                <w:sz w:val="20"/>
                <w:szCs w:val="20"/>
              </w:rPr>
              <w:t>No.</w:t>
            </w:r>
          </w:p>
        </w:tc>
        <w:tc>
          <w:tcPr>
            <w:tcW w:w="387" w:type="pct"/>
          </w:tcPr>
          <w:p w14:paraId="121978B1" w14:textId="77777777" w:rsidR="00EA21BD" w:rsidRPr="007D0AA8" w:rsidRDefault="00EA21BD" w:rsidP="00261F0E">
            <w:pPr>
              <w:spacing w:before="0" w:after="0" w:line="240" w:lineRule="auto"/>
              <w:ind w:left="-57"/>
              <w:rPr>
                <w:rFonts w:ascii="Arial Narrow" w:hAnsi="Arial Narrow"/>
                <w:sz w:val="20"/>
                <w:szCs w:val="20"/>
              </w:rPr>
            </w:pPr>
            <w:r w:rsidRPr="007D0AA8">
              <w:rPr>
                <w:rFonts w:ascii="Arial Narrow" w:hAnsi="Arial Narrow"/>
                <w:sz w:val="20"/>
                <w:szCs w:val="20"/>
              </w:rPr>
              <w:t>No.</w:t>
            </w:r>
          </w:p>
        </w:tc>
        <w:tc>
          <w:tcPr>
            <w:tcW w:w="845" w:type="pct"/>
          </w:tcPr>
          <w:p w14:paraId="7637E31F" w14:textId="5D4620E4" w:rsidR="00EA21BD" w:rsidRPr="007D0AA8" w:rsidRDefault="00EA21BD" w:rsidP="00261F0E">
            <w:pPr>
              <w:spacing w:before="0" w:after="0" w:line="240" w:lineRule="auto"/>
              <w:ind w:left="-57"/>
              <w:rPr>
                <w:rFonts w:ascii="Arial Narrow" w:hAnsi="Arial Narrow"/>
                <w:sz w:val="20"/>
                <w:szCs w:val="20"/>
              </w:rPr>
            </w:pPr>
            <w:r w:rsidRPr="007D0AA8">
              <w:rPr>
                <w:rFonts w:ascii="Arial Narrow" w:hAnsi="Arial Narrow"/>
                <w:sz w:val="20"/>
                <w:szCs w:val="20"/>
              </w:rPr>
              <w:t>Serum IgG tested for 27 of 39 SID subjects</w:t>
            </w:r>
            <w:r w:rsidR="00B40DF8" w:rsidRPr="007D0AA8">
              <w:rPr>
                <w:rFonts w:ascii="Arial Narrow" w:hAnsi="Arial Narrow"/>
                <w:sz w:val="20"/>
                <w:szCs w:val="20"/>
              </w:rPr>
              <w:t>; 21 SID patients (of 26; 80.8%) and 9 ‘probable SID’ patients (of 13; 69.2%) had hypo-GG</w:t>
            </w:r>
            <w:r w:rsidR="006E101A" w:rsidRPr="007D0AA8">
              <w:rPr>
                <w:rFonts w:ascii="Arial Narrow" w:hAnsi="Arial Narrow"/>
                <w:sz w:val="20"/>
                <w:szCs w:val="20"/>
              </w:rPr>
              <w:t>.</w:t>
            </w:r>
          </w:p>
        </w:tc>
        <w:tc>
          <w:tcPr>
            <w:tcW w:w="587" w:type="pct"/>
            <w:gridSpan w:val="2"/>
          </w:tcPr>
          <w:p w14:paraId="59110306" w14:textId="77777777" w:rsidR="00EA21BD" w:rsidRPr="007D0AA8" w:rsidRDefault="00EA21BD" w:rsidP="00261F0E">
            <w:pPr>
              <w:spacing w:before="0" w:after="0" w:line="240" w:lineRule="auto"/>
              <w:ind w:left="-57"/>
              <w:rPr>
                <w:rFonts w:ascii="Arial Narrow" w:hAnsi="Arial Narrow"/>
                <w:sz w:val="20"/>
                <w:szCs w:val="20"/>
              </w:rPr>
            </w:pPr>
            <w:r w:rsidRPr="007D0AA8">
              <w:rPr>
                <w:rFonts w:ascii="Arial Narrow" w:hAnsi="Arial Narrow"/>
                <w:sz w:val="20"/>
                <w:szCs w:val="20"/>
              </w:rPr>
              <w:t>12mo median IgG trough levels (SID): 9.75 g/L</w:t>
            </w:r>
          </w:p>
        </w:tc>
        <w:tc>
          <w:tcPr>
            <w:tcW w:w="626" w:type="pct"/>
            <w:gridSpan w:val="2"/>
          </w:tcPr>
          <w:p w14:paraId="7CADEED8" w14:textId="10734EE6" w:rsidR="00EA21BD" w:rsidRPr="00C14764" w:rsidRDefault="006E101A" w:rsidP="00261F0E">
            <w:pPr>
              <w:spacing w:before="0" w:after="0" w:line="240" w:lineRule="auto"/>
              <w:ind w:left="-57"/>
              <w:rPr>
                <w:rFonts w:ascii="Arial Narrow" w:hAnsi="Arial Narrow"/>
                <w:sz w:val="20"/>
                <w:szCs w:val="20"/>
              </w:rPr>
            </w:pPr>
            <w:r w:rsidRPr="00C14764">
              <w:rPr>
                <w:rFonts w:ascii="Arial Narrow" w:hAnsi="Arial Narrow"/>
                <w:sz w:val="20"/>
                <w:szCs w:val="20"/>
              </w:rPr>
              <w:t>In 12mo</w:t>
            </w:r>
            <w:r w:rsidR="00EA21BD" w:rsidRPr="00C14764">
              <w:rPr>
                <w:rFonts w:ascii="Arial Narrow" w:hAnsi="Arial Narrow"/>
                <w:sz w:val="20"/>
                <w:szCs w:val="20"/>
              </w:rPr>
              <w:t xml:space="preserve"> preceding IgG-RT; </w:t>
            </w:r>
            <w:r w:rsidRPr="00C14764">
              <w:rPr>
                <w:rFonts w:ascii="Arial Narrow" w:hAnsi="Arial Narrow"/>
                <w:sz w:val="20"/>
                <w:szCs w:val="20"/>
              </w:rPr>
              <w:t>(01/06/12 to 31/05/13) 6 of the 15 HM patients had suffered 1 or more serious infections.</w:t>
            </w:r>
          </w:p>
        </w:tc>
        <w:tc>
          <w:tcPr>
            <w:tcW w:w="1241" w:type="pct"/>
          </w:tcPr>
          <w:p w14:paraId="37B0C35D" w14:textId="77777777" w:rsidR="00EA21BD" w:rsidRPr="007D0AA8" w:rsidRDefault="00EA21BD" w:rsidP="00261F0E">
            <w:pPr>
              <w:spacing w:before="0" w:after="0" w:line="240" w:lineRule="auto"/>
              <w:ind w:left="-57"/>
              <w:rPr>
                <w:rFonts w:ascii="Arial Narrow" w:hAnsi="Arial Narrow"/>
                <w:sz w:val="20"/>
                <w:szCs w:val="20"/>
              </w:rPr>
            </w:pPr>
            <w:r w:rsidRPr="007D0AA8">
              <w:rPr>
                <w:rFonts w:ascii="Arial Narrow" w:hAnsi="Arial Narrow"/>
                <w:sz w:val="20"/>
                <w:szCs w:val="20"/>
              </w:rPr>
              <w:t>Based on patient records. ‘Serious infections’ defined as requiring hospitalisation and/or IV antibiotics. ‘Non-serious’ infections – any mild or moderate infection, with or without antibiotics.</w:t>
            </w:r>
          </w:p>
        </w:tc>
      </w:tr>
      <w:tr w:rsidR="007D0AA8" w:rsidRPr="007D0AA8" w14:paraId="2F4DF40E" w14:textId="77777777" w:rsidTr="00BE5103">
        <w:tc>
          <w:tcPr>
            <w:tcW w:w="420" w:type="pct"/>
          </w:tcPr>
          <w:p w14:paraId="26E19A44" w14:textId="37E7FA25" w:rsidR="00EA21BD" w:rsidRPr="007D0AA8" w:rsidRDefault="00EA21BD" w:rsidP="00261F0E">
            <w:pPr>
              <w:spacing w:before="0" w:after="0" w:line="240" w:lineRule="auto"/>
              <w:ind w:left="-57"/>
              <w:rPr>
                <w:rFonts w:ascii="Arial Narrow" w:hAnsi="Arial Narrow"/>
                <w:sz w:val="20"/>
                <w:szCs w:val="20"/>
              </w:rPr>
            </w:pPr>
            <w:r w:rsidRPr="007D0AA8">
              <w:rPr>
                <w:rFonts w:ascii="Arial Narrow" w:hAnsi="Arial Narrow"/>
                <w:sz w:val="20"/>
                <w:szCs w:val="20"/>
              </w:rPr>
              <w:t>Reiser et al., 2017</w:t>
            </w:r>
          </w:p>
          <w:p w14:paraId="4C002897" w14:textId="35ADB6AF" w:rsidR="00EA21BD" w:rsidRPr="007D0AA8" w:rsidRDefault="00EA21BD" w:rsidP="00261F0E">
            <w:pPr>
              <w:spacing w:before="0" w:after="0" w:line="240" w:lineRule="auto"/>
              <w:ind w:left="-57"/>
              <w:rPr>
                <w:rFonts w:ascii="Arial Narrow" w:hAnsi="Arial Narrow"/>
                <w:sz w:val="20"/>
                <w:szCs w:val="20"/>
              </w:rPr>
            </w:pPr>
            <w:r w:rsidRPr="007D0AA8">
              <w:rPr>
                <w:rFonts w:ascii="Arial Narrow" w:hAnsi="Arial Narrow"/>
                <w:sz w:val="20"/>
                <w:szCs w:val="18"/>
              </w:rPr>
              <w:t>CLL(130); NHL(99); MM(43); other(35)</w:t>
            </w:r>
          </w:p>
        </w:tc>
        <w:tc>
          <w:tcPr>
            <w:tcW w:w="541" w:type="pct"/>
          </w:tcPr>
          <w:p w14:paraId="3D22047E" w14:textId="5D15565B" w:rsidR="00EA21BD" w:rsidRPr="007D0AA8" w:rsidRDefault="00EA21BD" w:rsidP="00261F0E">
            <w:pPr>
              <w:spacing w:before="0" w:after="0" w:line="240" w:lineRule="auto"/>
              <w:ind w:left="-57"/>
              <w:rPr>
                <w:rFonts w:ascii="Arial Narrow" w:hAnsi="Arial Narrow"/>
                <w:sz w:val="20"/>
                <w:szCs w:val="20"/>
              </w:rPr>
            </w:pPr>
            <w:r w:rsidRPr="007D0AA8">
              <w:rPr>
                <w:rFonts w:ascii="Arial Narrow" w:hAnsi="Arial Narrow"/>
                <w:sz w:val="20"/>
                <w:szCs w:val="20"/>
              </w:rPr>
              <w:t>Not defined.</w:t>
            </w:r>
          </w:p>
        </w:tc>
        <w:tc>
          <w:tcPr>
            <w:tcW w:w="353" w:type="pct"/>
          </w:tcPr>
          <w:p w14:paraId="5D13353B" w14:textId="060487EA" w:rsidR="00EA21BD" w:rsidRPr="007D0AA8" w:rsidRDefault="00EA21BD" w:rsidP="00261F0E">
            <w:pPr>
              <w:spacing w:before="0" w:after="0" w:line="240" w:lineRule="auto"/>
              <w:ind w:left="-57"/>
              <w:rPr>
                <w:rFonts w:ascii="Arial Narrow" w:hAnsi="Arial Narrow"/>
                <w:sz w:val="20"/>
                <w:szCs w:val="20"/>
              </w:rPr>
            </w:pPr>
            <w:r w:rsidRPr="007D0AA8">
              <w:rPr>
                <w:rFonts w:ascii="Arial Narrow" w:hAnsi="Arial Narrow"/>
                <w:sz w:val="20"/>
                <w:szCs w:val="20"/>
              </w:rPr>
              <w:t>No.</w:t>
            </w:r>
          </w:p>
        </w:tc>
        <w:tc>
          <w:tcPr>
            <w:tcW w:w="387" w:type="pct"/>
          </w:tcPr>
          <w:p w14:paraId="44EE0202" w14:textId="76DED16E" w:rsidR="00EA21BD" w:rsidRPr="007D0AA8" w:rsidRDefault="00EA21BD" w:rsidP="00261F0E">
            <w:pPr>
              <w:spacing w:before="0" w:after="0" w:line="240" w:lineRule="auto"/>
              <w:ind w:left="-57"/>
              <w:rPr>
                <w:rFonts w:ascii="Arial Narrow" w:hAnsi="Arial Narrow"/>
                <w:sz w:val="20"/>
                <w:szCs w:val="20"/>
              </w:rPr>
            </w:pPr>
            <w:r w:rsidRPr="007D0AA8">
              <w:rPr>
                <w:rFonts w:ascii="Arial Narrow" w:hAnsi="Arial Narrow"/>
                <w:sz w:val="20"/>
                <w:szCs w:val="20"/>
              </w:rPr>
              <w:t>No.</w:t>
            </w:r>
          </w:p>
        </w:tc>
        <w:tc>
          <w:tcPr>
            <w:tcW w:w="845" w:type="pct"/>
          </w:tcPr>
          <w:p w14:paraId="79CFDDF1" w14:textId="4FF39F36" w:rsidR="00EA21BD" w:rsidRPr="007D0AA8" w:rsidRDefault="00EA21BD" w:rsidP="00261F0E">
            <w:pPr>
              <w:spacing w:before="0" w:after="0" w:line="240" w:lineRule="auto"/>
              <w:ind w:left="-57"/>
              <w:rPr>
                <w:rFonts w:ascii="Arial Narrow" w:hAnsi="Arial Narrow"/>
                <w:sz w:val="20"/>
                <w:szCs w:val="18"/>
              </w:rPr>
            </w:pPr>
            <w:r w:rsidRPr="007D0AA8">
              <w:rPr>
                <w:rFonts w:ascii="Arial Narrow" w:hAnsi="Arial Narrow"/>
                <w:sz w:val="20"/>
                <w:szCs w:val="18"/>
              </w:rPr>
              <w:t xml:space="preserve">Median IgG level: 5.8g/L (mean 7.2±6.9 g/L). </w:t>
            </w:r>
          </w:p>
        </w:tc>
        <w:tc>
          <w:tcPr>
            <w:tcW w:w="587" w:type="pct"/>
            <w:gridSpan w:val="2"/>
          </w:tcPr>
          <w:p w14:paraId="368250E0" w14:textId="3A7187D2" w:rsidR="00EA21BD" w:rsidRPr="007D0AA8" w:rsidRDefault="00EA21BD" w:rsidP="00261F0E">
            <w:pPr>
              <w:spacing w:before="0" w:after="0" w:line="240" w:lineRule="auto"/>
              <w:ind w:left="-57"/>
              <w:rPr>
                <w:rFonts w:ascii="Arial Narrow" w:hAnsi="Arial Narrow"/>
                <w:sz w:val="20"/>
                <w:szCs w:val="20"/>
              </w:rPr>
            </w:pPr>
            <w:r w:rsidRPr="007D0AA8">
              <w:rPr>
                <w:rFonts w:ascii="Arial Narrow" w:hAnsi="Arial Narrow"/>
                <w:sz w:val="20"/>
                <w:szCs w:val="20"/>
              </w:rPr>
              <w:t>Measured every 6 mo for 2 years</w:t>
            </w:r>
          </w:p>
        </w:tc>
        <w:tc>
          <w:tcPr>
            <w:tcW w:w="626" w:type="pct"/>
            <w:gridSpan w:val="2"/>
          </w:tcPr>
          <w:p w14:paraId="406571A0" w14:textId="6D087683" w:rsidR="00EA21BD" w:rsidRPr="007D0AA8" w:rsidRDefault="00EA21BD" w:rsidP="00261F0E">
            <w:pPr>
              <w:spacing w:before="0" w:after="0" w:line="240" w:lineRule="auto"/>
              <w:ind w:left="-57"/>
              <w:rPr>
                <w:rFonts w:ascii="Arial Narrow" w:hAnsi="Arial Narrow"/>
                <w:sz w:val="20"/>
                <w:szCs w:val="20"/>
              </w:rPr>
            </w:pPr>
            <w:r w:rsidRPr="007D0AA8">
              <w:rPr>
                <w:rFonts w:ascii="Arial Narrow" w:hAnsi="Arial Narrow"/>
                <w:sz w:val="20"/>
                <w:szCs w:val="20"/>
              </w:rPr>
              <w:t>12mo infection history reported where available.</w:t>
            </w:r>
          </w:p>
        </w:tc>
        <w:tc>
          <w:tcPr>
            <w:tcW w:w="1241" w:type="pct"/>
          </w:tcPr>
          <w:p w14:paraId="0EC4CF36" w14:textId="3CF8B4DC" w:rsidR="00EA21BD" w:rsidRPr="007D0AA8" w:rsidRDefault="00EA21BD" w:rsidP="00261F0E">
            <w:pPr>
              <w:spacing w:before="0" w:after="0" w:line="240" w:lineRule="auto"/>
              <w:ind w:left="-57"/>
              <w:rPr>
                <w:rFonts w:ascii="Arial Narrow" w:hAnsi="Arial Narrow"/>
                <w:sz w:val="20"/>
                <w:szCs w:val="20"/>
              </w:rPr>
            </w:pPr>
            <w:r w:rsidRPr="007D0AA8">
              <w:rPr>
                <w:rFonts w:ascii="Arial Narrow" w:hAnsi="Arial Narrow"/>
                <w:sz w:val="20"/>
                <w:szCs w:val="20"/>
              </w:rPr>
              <w:t>The subgroup of serious bacterial infections comprised sepsis, osteomyelitis, and pneumonia. Other serious infections comprise e.g. Herpes zoster, otitis medi</w:t>
            </w:r>
            <w:r w:rsidR="00773123" w:rsidRPr="007D0AA8">
              <w:rPr>
                <w:rFonts w:ascii="Arial Narrow" w:hAnsi="Arial Narrow"/>
                <w:sz w:val="20"/>
                <w:szCs w:val="20"/>
              </w:rPr>
              <w:t>a or urinary tract infections. ‘General infections’ not defined, assumed to be same as those described as ‘non-serious’ or ‘other’ infections.</w:t>
            </w:r>
          </w:p>
        </w:tc>
      </w:tr>
      <w:tr w:rsidR="00EA21BD" w:rsidRPr="00386411" w14:paraId="34C50363" w14:textId="77777777" w:rsidTr="00261F0E">
        <w:tc>
          <w:tcPr>
            <w:tcW w:w="2988" w:type="pct"/>
            <w:gridSpan w:val="6"/>
            <w:shd w:val="clear" w:color="auto" w:fill="000000" w:themeFill="text1"/>
          </w:tcPr>
          <w:p w14:paraId="7960E2F7" w14:textId="77777777" w:rsidR="00EA21BD" w:rsidRPr="00386411" w:rsidRDefault="00EA21BD" w:rsidP="00261F0E">
            <w:pPr>
              <w:keepNext/>
              <w:spacing w:before="0" w:after="0" w:line="240" w:lineRule="auto"/>
              <w:ind w:left="-57"/>
              <w:rPr>
                <w:rFonts w:ascii="Arial Narrow" w:hAnsi="Arial Narrow"/>
                <w:b/>
                <w:color w:val="FFFFFF" w:themeColor="background1"/>
                <w:sz w:val="20"/>
                <w:szCs w:val="20"/>
              </w:rPr>
            </w:pPr>
            <w:r w:rsidRPr="00386411">
              <w:rPr>
                <w:rFonts w:ascii="Arial Narrow" w:hAnsi="Arial Narrow"/>
                <w:b/>
                <w:color w:val="FFFFFF" w:themeColor="background1"/>
                <w:sz w:val="20"/>
                <w:szCs w:val="20"/>
              </w:rPr>
              <w:t>Non-comparative studies – IVIg v SCIg case series</w:t>
            </w:r>
          </w:p>
        </w:tc>
        <w:tc>
          <w:tcPr>
            <w:tcW w:w="199" w:type="pct"/>
            <w:gridSpan w:val="2"/>
            <w:shd w:val="clear" w:color="auto" w:fill="000000" w:themeFill="text1"/>
          </w:tcPr>
          <w:p w14:paraId="14F005F5" w14:textId="77777777" w:rsidR="00EA21BD" w:rsidRPr="00386411" w:rsidRDefault="00EA21BD" w:rsidP="00261F0E">
            <w:pPr>
              <w:keepNext/>
              <w:spacing w:before="0" w:after="0" w:line="240" w:lineRule="auto"/>
              <w:ind w:left="-57"/>
              <w:rPr>
                <w:rFonts w:ascii="Arial Narrow" w:hAnsi="Arial Narrow"/>
                <w:b/>
                <w:color w:val="FFFFFF" w:themeColor="background1"/>
                <w:sz w:val="20"/>
                <w:szCs w:val="20"/>
              </w:rPr>
            </w:pPr>
          </w:p>
        </w:tc>
        <w:tc>
          <w:tcPr>
            <w:tcW w:w="1813" w:type="pct"/>
            <w:gridSpan w:val="2"/>
            <w:shd w:val="clear" w:color="auto" w:fill="000000" w:themeFill="text1"/>
          </w:tcPr>
          <w:p w14:paraId="572154F4" w14:textId="77777777" w:rsidR="00EA21BD" w:rsidRPr="00386411" w:rsidRDefault="00EA21BD" w:rsidP="00261F0E">
            <w:pPr>
              <w:keepNext/>
              <w:spacing w:before="0" w:after="0" w:line="240" w:lineRule="auto"/>
              <w:ind w:left="-57"/>
              <w:rPr>
                <w:rFonts w:ascii="Arial Narrow" w:hAnsi="Arial Narrow"/>
                <w:b/>
                <w:color w:val="FFFFFF" w:themeColor="background1"/>
                <w:sz w:val="20"/>
                <w:szCs w:val="20"/>
              </w:rPr>
            </w:pPr>
          </w:p>
        </w:tc>
      </w:tr>
      <w:tr w:rsidR="007D0AA8" w:rsidRPr="007D0AA8" w14:paraId="005A7C63" w14:textId="77777777" w:rsidTr="00BE5103">
        <w:tc>
          <w:tcPr>
            <w:tcW w:w="420" w:type="pct"/>
          </w:tcPr>
          <w:p w14:paraId="1F74A119" w14:textId="77777777" w:rsidR="00A316EA" w:rsidRPr="007D0AA8" w:rsidRDefault="00A316EA" w:rsidP="00261F0E">
            <w:pPr>
              <w:spacing w:afterLines="20" w:after="48" w:line="240" w:lineRule="auto"/>
              <w:ind w:left="-57"/>
              <w:rPr>
                <w:rFonts w:ascii="Arial Narrow" w:hAnsi="Arial Narrow"/>
                <w:sz w:val="20"/>
                <w:szCs w:val="20"/>
              </w:rPr>
            </w:pPr>
            <w:r w:rsidRPr="007D0AA8">
              <w:rPr>
                <w:rFonts w:ascii="Arial Narrow" w:hAnsi="Arial Narrow"/>
                <w:sz w:val="20"/>
                <w:szCs w:val="20"/>
              </w:rPr>
              <w:t>Sundin et al. 2012</w:t>
            </w:r>
          </w:p>
          <w:p w14:paraId="1598C972" w14:textId="58550C41" w:rsidR="00A316EA" w:rsidRPr="007D0AA8" w:rsidRDefault="00A316EA" w:rsidP="00261F0E">
            <w:pPr>
              <w:spacing w:afterLines="20" w:after="48" w:line="240" w:lineRule="auto"/>
              <w:ind w:left="-57"/>
              <w:rPr>
                <w:rFonts w:ascii="Arial Narrow" w:hAnsi="Arial Narrow"/>
                <w:sz w:val="20"/>
                <w:szCs w:val="20"/>
              </w:rPr>
            </w:pPr>
            <w:r w:rsidRPr="007D0AA8">
              <w:rPr>
                <w:rFonts w:ascii="Arial Narrow" w:hAnsi="Arial Narrow"/>
                <w:sz w:val="20"/>
                <w:szCs w:val="20"/>
              </w:rPr>
              <w:t>HSCT for 1° or 2° hypo-GG</w:t>
            </w:r>
          </w:p>
        </w:tc>
        <w:tc>
          <w:tcPr>
            <w:tcW w:w="541" w:type="pct"/>
          </w:tcPr>
          <w:p w14:paraId="2174D5E9" w14:textId="51C40117" w:rsidR="00A316EA" w:rsidRPr="007D0AA8" w:rsidRDefault="00A316EA" w:rsidP="00261F0E">
            <w:pPr>
              <w:spacing w:afterLines="20" w:after="48" w:line="240" w:lineRule="auto"/>
              <w:ind w:left="-57"/>
              <w:rPr>
                <w:rFonts w:ascii="Arial Narrow" w:hAnsi="Arial Narrow"/>
                <w:sz w:val="20"/>
                <w:szCs w:val="20"/>
              </w:rPr>
            </w:pPr>
            <w:r w:rsidRPr="007D0AA8">
              <w:rPr>
                <w:rFonts w:ascii="Arial Narrow" w:hAnsi="Arial Narrow"/>
                <w:sz w:val="20"/>
                <w:szCs w:val="20"/>
              </w:rPr>
              <w:t>Plasma IgG &lt;4g/L</w:t>
            </w:r>
          </w:p>
        </w:tc>
        <w:tc>
          <w:tcPr>
            <w:tcW w:w="353" w:type="pct"/>
          </w:tcPr>
          <w:p w14:paraId="1A3F07AA" w14:textId="676AA346" w:rsidR="00A316EA" w:rsidRPr="007D0AA8" w:rsidRDefault="00A316EA" w:rsidP="00261F0E">
            <w:pPr>
              <w:spacing w:afterLines="20" w:after="48" w:line="240" w:lineRule="auto"/>
              <w:ind w:left="-57"/>
              <w:rPr>
                <w:rFonts w:ascii="Arial Narrow" w:hAnsi="Arial Narrow"/>
                <w:sz w:val="20"/>
                <w:szCs w:val="20"/>
              </w:rPr>
            </w:pPr>
            <w:r w:rsidRPr="007D0AA8">
              <w:rPr>
                <w:rFonts w:ascii="Arial Narrow" w:hAnsi="Arial Narrow"/>
                <w:sz w:val="20"/>
                <w:szCs w:val="20"/>
              </w:rPr>
              <w:t>Yes, for at least 3 months post-SCT</w:t>
            </w:r>
          </w:p>
        </w:tc>
        <w:tc>
          <w:tcPr>
            <w:tcW w:w="387" w:type="pct"/>
          </w:tcPr>
          <w:p w14:paraId="7F15CB30" w14:textId="01069F0F" w:rsidR="00A316EA" w:rsidRPr="007D0AA8" w:rsidRDefault="00A316EA" w:rsidP="00261F0E">
            <w:pPr>
              <w:spacing w:afterLines="20" w:after="48" w:line="240" w:lineRule="auto"/>
              <w:ind w:left="-57"/>
              <w:rPr>
                <w:rFonts w:ascii="Arial Narrow" w:hAnsi="Arial Narrow"/>
                <w:sz w:val="20"/>
                <w:szCs w:val="20"/>
              </w:rPr>
            </w:pPr>
            <w:r w:rsidRPr="007D0AA8">
              <w:rPr>
                <w:rFonts w:ascii="Arial Narrow" w:hAnsi="Arial Narrow"/>
                <w:sz w:val="20"/>
                <w:szCs w:val="20"/>
              </w:rPr>
              <w:t>No.</w:t>
            </w:r>
          </w:p>
        </w:tc>
        <w:tc>
          <w:tcPr>
            <w:tcW w:w="845" w:type="pct"/>
          </w:tcPr>
          <w:p w14:paraId="0220E6C1" w14:textId="7610A1C4" w:rsidR="00A316EA" w:rsidRPr="007D0AA8" w:rsidRDefault="00A316EA" w:rsidP="00261F0E">
            <w:pPr>
              <w:spacing w:afterLines="20" w:after="48" w:line="240" w:lineRule="auto"/>
              <w:ind w:left="-57"/>
              <w:rPr>
                <w:rFonts w:ascii="Arial Narrow" w:hAnsi="Arial Narrow"/>
                <w:sz w:val="20"/>
                <w:szCs w:val="20"/>
              </w:rPr>
            </w:pPr>
            <w:r w:rsidRPr="007D0AA8">
              <w:rPr>
                <w:rFonts w:ascii="Arial Narrow" w:hAnsi="Arial Narrow"/>
                <w:sz w:val="20"/>
                <w:szCs w:val="20"/>
              </w:rPr>
              <w:t>Not reported (although all patients had to be &lt;4 g/L)</w:t>
            </w:r>
          </w:p>
        </w:tc>
        <w:tc>
          <w:tcPr>
            <w:tcW w:w="587" w:type="pct"/>
            <w:gridSpan w:val="2"/>
          </w:tcPr>
          <w:p w14:paraId="771AD98E" w14:textId="77777777" w:rsidR="00A316EA" w:rsidRPr="007D0AA8" w:rsidRDefault="00A316EA" w:rsidP="00261F0E">
            <w:pPr>
              <w:spacing w:afterLines="20" w:after="48" w:line="240" w:lineRule="auto"/>
              <w:ind w:left="-57"/>
              <w:rPr>
                <w:rFonts w:ascii="Arial Narrow" w:hAnsi="Arial Narrow"/>
                <w:sz w:val="20"/>
                <w:szCs w:val="20"/>
              </w:rPr>
            </w:pPr>
            <w:r w:rsidRPr="007D0AA8">
              <w:rPr>
                <w:rFonts w:ascii="Arial Narrow" w:hAnsi="Arial Narrow"/>
                <w:sz w:val="20"/>
                <w:szCs w:val="20"/>
              </w:rPr>
              <w:t>IgG trough levels measured prior to each infusion and after cessation of IgG-RT (values not reported).</w:t>
            </w:r>
          </w:p>
          <w:p w14:paraId="43412665" w14:textId="5C1923FB" w:rsidR="00A316EA" w:rsidRPr="007D0AA8" w:rsidRDefault="00A316EA" w:rsidP="00261F0E">
            <w:pPr>
              <w:spacing w:afterLines="20" w:after="48" w:line="240" w:lineRule="auto"/>
              <w:ind w:left="-57"/>
              <w:rPr>
                <w:rFonts w:ascii="Arial Narrow" w:hAnsi="Arial Narrow"/>
                <w:sz w:val="20"/>
                <w:szCs w:val="20"/>
              </w:rPr>
            </w:pPr>
            <w:r w:rsidRPr="007D0AA8">
              <w:rPr>
                <w:rFonts w:ascii="Arial Narrow" w:hAnsi="Arial Narrow"/>
                <w:sz w:val="20"/>
                <w:szCs w:val="20"/>
              </w:rPr>
              <w:t>64-96% reached IgG ≥4 g/L</w:t>
            </w:r>
          </w:p>
        </w:tc>
        <w:tc>
          <w:tcPr>
            <w:tcW w:w="626" w:type="pct"/>
            <w:gridSpan w:val="2"/>
          </w:tcPr>
          <w:p w14:paraId="356AD7F2" w14:textId="4B8636B7" w:rsidR="00A316EA" w:rsidRPr="007D0AA8" w:rsidRDefault="00A316EA" w:rsidP="00261F0E">
            <w:pPr>
              <w:spacing w:afterLines="20" w:after="48" w:line="240" w:lineRule="auto"/>
              <w:ind w:left="-57"/>
              <w:rPr>
                <w:rFonts w:ascii="Arial Narrow" w:hAnsi="Arial Narrow"/>
                <w:sz w:val="20"/>
                <w:szCs w:val="20"/>
              </w:rPr>
            </w:pPr>
            <w:r w:rsidRPr="007D0AA8">
              <w:rPr>
                <w:rFonts w:ascii="Arial Narrow" w:hAnsi="Arial Narrow"/>
                <w:sz w:val="20"/>
                <w:szCs w:val="20"/>
              </w:rPr>
              <w:t>Not reported.</w:t>
            </w:r>
          </w:p>
        </w:tc>
        <w:tc>
          <w:tcPr>
            <w:tcW w:w="1241" w:type="pct"/>
          </w:tcPr>
          <w:p w14:paraId="76EDDED9" w14:textId="77777777" w:rsidR="00A316EA" w:rsidRPr="007D0AA8" w:rsidRDefault="00A316EA" w:rsidP="00261F0E">
            <w:pPr>
              <w:spacing w:afterLines="20" w:after="48" w:line="240" w:lineRule="auto"/>
              <w:ind w:left="-57"/>
              <w:rPr>
                <w:rFonts w:ascii="Arial Narrow" w:hAnsi="Arial Narrow"/>
                <w:sz w:val="20"/>
                <w:szCs w:val="20"/>
              </w:rPr>
            </w:pPr>
            <w:r w:rsidRPr="007D0AA8">
              <w:rPr>
                <w:rFonts w:ascii="Arial Narrow" w:hAnsi="Arial Narrow"/>
                <w:sz w:val="20"/>
                <w:szCs w:val="20"/>
              </w:rPr>
              <w:t>Infections reported during IgG-RT (and are compared between SC and IV routes).</w:t>
            </w:r>
          </w:p>
          <w:p w14:paraId="5EEB34EE" w14:textId="1E8B18E7" w:rsidR="00A316EA" w:rsidRPr="007D0AA8" w:rsidRDefault="00A316EA" w:rsidP="00261F0E">
            <w:pPr>
              <w:spacing w:afterLines="20" w:after="48" w:line="240" w:lineRule="auto"/>
              <w:ind w:left="-57"/>
              <w:rPr>
                <w:rFonts w:ascii="Arial Narrow" w:hAnsi="Arial Narrow"/>
                <w:sz w:val="20"/>
                <w:szCs w:val="20"/>
              </w:rPr>
            </w:pPr>
            <w:r w:rsidRPr="007D0AA8">
              <w:rPr>
                <w:rFonts w:ascii="Arial Narrow" w:hAnsi="Arial Narrow"/>
                <w:sz w:val="20"/>
                <w:szCs w:val="20"/>
              </w:rPr>
              <w:t>Clinical infection defined as infectious symptoms requiring medical attention. Infections divided into bacterial, fungal, viral, and unidentified after microbiological testing.</w:t>
            </w:r>
          </w:p>
        </w:tc>
      </w:tr>
      <w:tr w:rsidR="007D0AA8" w:rsidRPr="007D0AA8" w14:paraId="6CBEE038" w14:textId="77777777" w:rsidTr="00BE5103">
        <w:tc>
          <w:tcPr>
            <w:tcW w:w="420" w:type="pct"/>
          </w:tcPr>
          <w:p w14:paraId="6C002090"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Windegger et al. 2019</w:t>
            </w:r>
          </w:p>
          <w:p w14:paraId="5BEE2813" w14:textId="2F44FF4D"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Haem. Malig. undefined</w:t>
            </w:r>
          </w:p>
        </w:tc>
        <w:tc>
          <w:tcPr>
            <w:tcW w:w="541" w:type="pct"/>
          </w:tcPr>
          <w:p w14:paraId="5A84532B"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Not specified, but would have met NBA criteria from March 2013 to December 2016.</w:t>
            </w:r>
          </w:p>
        </w:tc>
        <w:tc>
          <w:tcPr>
            <w:tcW w:w="353" w:type="pct"/>
          </w:tcPr>
          <w:p w14:paraId="2177728A"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Yes</w:t>
            </w:r>
          </w:p>
        </w:tc>
        <w:tc>
          <w:tcPr>
            <w:tcW w:w="387" w:type="pct"/>
          </w:tcPr>
          <w:p w14:paraId="7E71CA68"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Yes</w:t>
            </w:r>
          </w:p>
        </w:tc>
        <w:tc>
          <w:tcPr>
            <w:tcW w:w="845" w:type="pct"/>
          </w:tcPr>
          <w:p w14:paraId="6E6EF369"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 xml:space="preserve">Not reported. </w:t>
            </w:r>
          </w:p>
        </w:tc>
        <w:tc>
          <w:tcPr>
            <w:tcW w:w="587" w:type="pct"/>
            <w:gridSpan w:val="2"/>
          </w:tcPr>
          <w:p w14:paraId="317CF842" w14:textId="0140102F"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 xml:space="preserve">Mean serum IgG: </w:t>
            </w:r>
            <w:r w:rsidRPr="007D0AA8">
              <w:rPr>
                <w:rFonts w:ascii="Arial Narrow" w:hAnsi="Arial Narrow"/>
                <w:sz w:val="20"/>
                <w:szCs w:val="20"/>
              </w:rPr>
              <w:br/>
              <w:t>IVIg phase: 7.1g/L</w:t>
            </w:r>
            <w:r w:rsidRPr="007D0AA8">
              <w:rPr>
                <w:rFonts w:ascii="Arial Narrow" w:hAnsi="Arial Narrow"/>
                <w:sz w:val="20"/>
                <w:szCs w:val="20"/>
              </w:rPr>
              <w:br/>
              <w:t>SCIg phase: 8.4g/L</w:t>
            </w:r>
          </w:p>
        </w:tc>
        <w:tc>
          <w:tcPr>
            <w:tcW w:w="626" w:type="pct"/>
            <w:gridSpan w:val="2"/>
          </w:tcPr>
          <w:p w14:paraId="224CD239"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 xml:space="preserve">Not reported. </w:t>
            </w:r>
          </w:p>
        </w:tc>
        <w:tc>
          <w:tcPr>
            <w:tcW w:w="1241" w:type="pct"/>
          </w:tcPr>
          <w:p w14:paraId="78298ACD"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 xml:space="preserve">Number of infections (bacterial, viral and fungal), emergency department visits and hospitalisations from infection collected from medical charts and patient’s general practitioner. . </w:t>
            </w:r>
          </w:p>
        </w:tc>
      </w:tr>
      <w:tr w:rsidR="00A316EA" w:rsidRPr="00386411" w14:paraId="32CC0EF0" w14:textId="77777777" w:rsidTr="00DB0176">
        <w:tc>
          <w:tcPr>
            <w:tcW w:w="5000" w:type="pct"/>
            <w:gridSpan w:val="10"/>
            <w:shd w:val="clear" w:color="auto" w:fill="000000" w:themeFill="text1"/>
          </w:tcPr>
          <w:p w14:paraId="709F855C" w14:textId="77777777" w:rsidR="00A316EA" w:rsidRPr="00386411" w:rsidRDefault="00A316EA" w:rsidP="00261F0E">
            <w:pPr>
              <w:keepNext/>
              <w:spacing w:after="40" w:line="240" w:lineRule="auto"/>
              <w:ind w:left="-57"/>
              <w:rPr>
                <w:rFonts w:ascii="Arial Narrow" w:hAnsi="Arial Narrow"/>
                <w:b/>
                <w:color w:val="FFFFFF" w:themeColor="background1"/>
                <w:sz w:val="20"/>
                <w:szCs w:val="20"/>
              </w:rPr>
            </w:pPr>
            <w:r w:rsidRPr="00386411">
              <w:rPr>
                <w:rFonts w:ascii="Arial Narrow" w:hAnsi="Arial Narrow"/>
                <w:b/>
                <w:color w:val="FFFFFF" w:themeColor="background1"/>
                <w:sz w:val="20"/>
                <w:szCs w:val="20"/>
              </w:rPr>
              <w:lastRenderedPageBreak/>
              <w:t>Other (IVIg and SCIg) – dosing studies</w:t>
            </w:r>
          </w:p>
        </w:tc>
      </w:tr>
      <w:tr w:rsidR="007D0AA8" w:rsidRPr="007D0AA8" w14:paraId="3E6FF468" w14:textId="77777777" w:rsidTr="00BE5103">
        <w:tc>
          <w:tcPr>
            <w:tcW w:w="420" w:type="pct"/>
          </w:tcPr>
          <w:p w14:paraId="0C27A1F5"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Chapel &amp; Dicato et al., 1994</w:t>
            </w:r>
          </w:p>
          <w:p w14:paraId="677CD9D7"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CLL</w:t>
            </w:r>
          </w:p>
        </w:tc>
        <w:tc>
          <w:tcPr>
            <w:tcW w:w="541" w:type="pct"/>
          </w:tcPr>
          <w:p w14:paraId="3BBE02E5" w14:textId="5DE8767E"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S</w:t>
            </w:r>
            <w:r w:rsidR="00FA20FD">
              <w:rPr>
                <w:rFonts w:ascii="Arial Narrow" w:hAnsi="Arial Narrow"/>
                <w:sz w:val="20"/>
                <w:szCs w:val="20"/>
              </w:rPr>
              <w:t>erum IgG level &lt;LLN (IgG ≤6.4g/</w:t>
            </w:r>
            <w:r w:rsidRPr="007D0AA8">
              <w:rPr>
                <w:rFonts w:ascii="Arial Narrow" w:hAnsi="Arial Narrow"/>
                <w:sz w:val="20"/>
                <w:szCs w:val="20"/>
              </w:rPr>
              <w:t>L)</w:t>
            </w:r>
          </w:p>
        </w:tc>
        <w:tc>
          <w:tcPr>
            <w:tcW w:w="353" w:type="pct"/>
          </w:tcPr>
          <w:p w14:paraId="0381D35A"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Yes (OR history of infection)</w:t>
            </w:r>
          </w:p>
        </w:tc>
        <w:tc>
          <w:tcPr>
            <w:tcW w:w="387" w:type="pct"/>
          </w:tcPr>
          <w:p w14:paraId="2695D41A"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Yes (OR hypo-GG)</w:t>
            </w:r>
          </w:p>
        </w:tc>
        <w:tc>
          <w:tcPr>
            <w:tcW w:w="845" w:type="pct"/>
          </w:tcPr>
          <w:p w14:paraId="5CF6A9F5"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High dose group: 5.1±2.9 (g/L)</w:t>
            </w:r>
            <w:r w:rsidRPr="007D0AA8">
              <w:rPr>
                <w:rFonts w:ascii="Arial Narrow" w:hAnsi="Arial Narrow"/>
                <w:sz w:val="20"/>
                <w:szCs w:val="20"/>
              </w:rPr>
              <w:br/>
              <w:t>11 were ≤6.4; 6 were &gt;6.4 g/L</w:t>
            </w:r>
          </w:p>
          <w:p w14:paraId="7DE304E6"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Low dose group: 5.7±5.2</w:t>
            </w:r>
            <w:r w:rsidRPr="007D0AA8">
              <w:rPr>
                <w:rFonts w:ascii="Arial Narrow" w:hAnsi="Arial Narrow"/>
                <w:sz w:val="20"/>
                <w:szCs w:val="20"/>
              </w:rPr>
              <w:br/>
              <w:t>12 were ≤6.4; 6 were &gt;6.4</w:t>
            </w:r>
          </w:p>
        </w:tc>
        <w:tc>
          <w:tcPr>
            <w:tcW w:w="587" w:type="pct"/>
            <w:gridSpan w:val="2"/>
          </w:tcPr>
          <w:p w14:paraId="093FF726"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 xml:space="preserve">Not reported. </w:t>
            </w:r>
          </w:p>
        </w:tc>
        <w:tc>
          <w:tcPr>
            <w:tcW w:w="626" w:type="pct"/>
            <w:gridSpan w:val="2"/>
          </w:tcPr>
          <w:p w14:paraId="75F92F90"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High dose group: ≥1: 11; none: 5</w:t>
            </w:r>
          </w:p>
          <w:p w14:paraId="73A2A171" w14:textId="77777777" w:rsidR="00A316EA" w:rsidRPr="007D0AA8" w:rsidRDefault="00A316EA" w:rsidP="00261F0E">
            <w:pPr>
              <w:spacing w:before="0" w:after="0" w:line="240" w:lineRule="auto"/>
              <w:ind w:left="-57"/>
              <w:rPr>
                <w:rFonts w:ascii="Arial Narrow" w:hAnsi="Arial Narrow"/>
                <w:sz w:val="20"/>
                <w:szCs w:val="20"/>
              </w:rPr>
            </w:pPr>
          </w:p>
          <w:p w14:paraId="41186F40"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Low dose group: ≥11; none: 7</w:t>
            </w:r>
          </w:p>
        </w:tc>
        <w:tc>
          <w:tcPr>
            <w:tcW w:w="1241" w:type="pct"/>
          </w:tcPr>
          <w:p w14:paraId="6170C62F" w14:textId="15312D4D"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Infections were classified as major (usually requiring intravenous antibiotics and hospitalisation); moderate (requiring oral antibiotic therapy) and minor (requiring no antibiotic therapy).</w:t>
            </w:r>
            <w:r w:rsidR="004521EA" w:rsidRPr="007D0AA8">
              <w:rPr>
                <w:rFonts w:ascii="Arial Narrow" w:hAnsi="Arial Narrow"/>
                <w:sz w:val="20"/>
                <w:szCs w:val="20"/>
              </w:rPr>
              <w:t xml:space="preserve"> Serious infections were both ‘major’ and ‘moderate’ combined.</w:t>
            </w:r>
          </w:p>
        </w:tc>
      </w:tr>
      <w:tr w:rsidR="007D0AA8" w:rsidRPr="007D0AA8" w14:paraId="0561DAEC" w14:textId="77777777" w:rsidTr="00BE5103">
        <w:tc>
          <w:tcPr>
            <w:tcW w:w="420" w:type="pct"/>
          </w:tcPr>
          <w:p w14:paraId="0DF84D9C"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Stump et al., 2017</w:t>
            </w:r>
          </w:p>
          <w:p w14:paraId="09C60283"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CLL(74); AL(65); MM(26); NHL(32); HL(7); CML(5)</w:t>
            </w:r>
          </w:p>
        </w:tc>
        <w:tc>
          <w:tcPr>
            <w:tcW w:w="541" w:type="pct"/>
          </w:tcPr>
          <w:p w14:paraId="0C5B1A59"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Serum IgG &lt;400mg/dL</w:t>
            </w:r>
          </w:p>
        </w:tc>
        <w:tc>
          <w:tcPr>
            <w:tcW w:w="353" w:type="pct"/>
          </w:tcPr>
          <w:p w14:paraId="1E0E6D63"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No.</w:t>
            </w:r>
          </w:p>
        </w:tc>
        <w:tc>
          <w:tcPr>
            <w:tcW w:w="387" w:type="pct"/>
          </w:tcPr>
          <w:p w14:paraId="2A872EC5"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No.</w:t>
            </w:r>
          </w:p>
        </w:tc>
        <w:tc>
          <w:tcPr>
            <w:tcW w:w="845" w:type="pct"/>
          </w:tcPr>
          <w:p w14:paraId="1F19F573"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u w:val="single"/>
              </w:rPr>
              <w:t>Pre-infusion IgG levels</w:t>
            </w:r>
            <w:r w:rsidRPr="007D0AA8">
              <w:rPr>
                <w:rFonts w:ascii="Arial Narrow" w:hAnsi="Arial Narrow"/>
                <w:sz w:val="20"/>
                <w:szCs w:val="20"/>
              </w:rPr>
              <w:t xml:space="preserve"> (within 2 weeks prior to each dose, </w:t>
            </w:r>
            <w:r w:rsidRPr="007D0AA8">
              <w:rPr>
                <w:rFonts w:ascii="Arial Narrow" w:hAnsi="Arial Narrow"/>
                <w:sz w:val="20"/>
                <w:szCs w:val="20"/>
                <w:u w:val="single"/>
              </w:rPr>
              <w:t>not baseline</w:t>
            </w:r>
            <w:r w:rsidRPr="007D0AA8">
              <w:rPr>
                <w:rFonts w:ascii="Arial Narrow" w:hAnsi="Arial Narrow"/>
                <w:sz w:val="20"/>
                <w:szCs w:val="20"/>
              </w:rPr>
              <w:t>): tested prior to 133 of 238 infusions (56%) during study;</w:t>
            </w:r>
          </w:p>
          <w:p w14:paraId="41EA0F9C"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u w:val="single"/>
              </w:rPr>
              <w:t>Of which, hypo-GG</w:t>
            </w:r>
            <w:r w:rsidRPr="007D0AA8">
              <w:rPr>
                <w:rFonts w:ascii="Arial Narrow" w:hAnsi="Arial Narrow"/>
                <w:sz w:val="20"/>
                <w:szCs w:val="20"/>
              </w:rPr>
              <w:t xml:space="preserve"> (&lt;400mg/dL):</w:t>
            </w:r>
            <w:r w:rsidRPr="007D0AA8">
              <w:rPr>
                <w:rFonts w:ascii="Arial Narrow" w:hAnsi="Arial Narrow"/>
                <w:sz w:val="20"/>
                <w:szCs w:val="20"/>
              </w:rPr>
              <w:br/>
              <w:t>47/133 (35%);</w:t>
            </w:r>
          </w:p>
          <w:p w14:paraId="4B65B929"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u w:val="single"/>
              </w:rPr>
              <w:t>Of which, post-dose IgG</w:t>
            </w:r>
            <w:r w:rsidRPr="007D0AA8">
              <w:rPr>
                <w:rFonts w:ascii="Arial Narrow" w:hAnsi="Arial Narrow"/>
                <w:sz w:val="20"/>
                <w:szCs w:val="20"/>
              </w:rPr>
              <w:t xml:space="preserve"> values (within 2 weeks) were only taken after 14 infusions.</w:t>
            </w:r>
          </w:p>
        </w:tc>
        <w:tc>
          <w:tcPr>
            <w:tcW w:w="587" w:type="pct"/>
            <w:gridSpan w:val="2"/>
          </w:tcPr>
          <w:p w14:paraId="187D4831" w14:textId="4F4CC1BB" w:rsidR="00A316EA" w:rsidRPr="00C14764" w:rsidRDefault="00C14764" w:rsidP="00C14764">
            <w:pPr>
              <w:spacing w:before="0" w:after="0" w:line="240" w:lineRule="auto"/>
              <w:ind w:left="-57"/>
              <w:rPr>
                <w:rFonts w:ascii="Arial Narrow" w:hAnsi="Arial Narrow"/>
                <w:sz w:val="20"/>
                <w:szCs w:val="20"/>
              </w:rPr>
            </w:pPr>
            <w:r w:rsidRPr="00C14764">
              <w:rPr>
                <w:rFonts w:ascii="Arial Narrow" w:hAnsi="Arial Narrow"/>
                <w:sz w:val="20"/>
                <w:szCs w:val="20"/>
              </w:rPr>
              <w:t xml:space="preserve">Pre-infusion IgG values </w:t>
            </w:r>
            <w:r w:rsidR="00A316EA" w:rsidRPr="00C14764">
              <w:rPr>
                <w:rFonts w:ascii="Arial Narrow" w:hAnsi="Arial Narrow"/>
                <w:sz w:val="20"/>
                <w:szCs w:val="20"/>
              </w:rPr>
              <w:t>reported per infusion</w:t>
            </w:r>
            <w:r>
              <w:rPr>
                <w:rFonts w:ascii="Arial Narrow" w:hAnsi="Arial Narrow"/>
                <w:sz w:val="20"/>
                <w:szCs w:val="20"/>
              </w:rPr>
              <w:t>.</w:t>
            </w:r>
          </w:p>
        </w:tc>
        <w:tc>
          <w:tcPr>
            <w:tcW w:w="626" w:type="pct"/>
            <w:gridSpan w:val="2"/>
          </w:tcPr>
          <w:p w14:paraId="194741AA"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 xml:space="preserve">Existing infections reported in 51.2% of patients receiving IBW doses and 33.6% of ABW doses. Note these are pre-infusion </w:t>
            </w:r>
            <w:r w:rsidRPr="00C14764">
              <w:rPr>
                <w:rFonts w:ascii="Arial Narrow" w:hAnsi="Arial Narrow"/>
                <w:sz w:val="20"/>
                <w:szCs w:val="20"/>
              </w:rPr>
              <w:t xml:space="preserve">not per patient at baseline. </w:t>
            </w:r>
            <w:r w:rsidRPr="007D0AA8">
              <w:rPr>
                <w:rFonts w:ascii="Arial Narrow" w:hAnsi="Arial Narrow"/>
                <w:sz w:val="20"/>
                <w:szCs w:val="20"/>
              </w:rPr>
              <w:t xml:space="preserve"> </w:t>
            </w:r>
          </w:p>
        </w:tc>
        <w:tc>
          <w:tcPr>
            <w:tcW w:w="1241" w:type="pct"/>
          </w:tcPr>
          <w:p w14:paraId="5DAEE3A2"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Infections were reported for those patients who received a full dose, were alive at the end of the 30 day observation period and not lost to follow up, based on patient records.</w:t>
            </w:r>
          </w:p>
          <w:p w14:paraId="195FA5A1" w14:textId="77777777" w:rsidR="00A316EA" w:rsidRPr="007D0AA8" w:rsidRDefault="00A316EA" w:rsidP="00261F0E">
            <w:pPr>
              <w:spacing w:before="0" w:after="0" w:line="240" w:lineRule="auto"/>
              <w:ind w:left="-57"/>
              <w:rPr>
                <w:rFonts w:ascii="Arial Narrow" w:hAnsi="Arial Narrow"/>
                <w:sz w:val="20"/>
                <w:szCs w:val="20"/>
              </w:rPr>
            </w:pPr>
            <w:r w:rsidRPr="007D0AA8">
              <w:rPr>
                <w:rFonts w:ascii="Arial Narrow" w:hAnsi="Arial Narrow"/>
                <w:sz w:val="20"/>
                <w:szCs w:val="20"/>
              </w:rPr>
              <w:t xml:space="preserve">Existing infections recorded prior to dosing but not whether the recipient was IgG tx-naïve (or if this was part of ongoing IgG replacement). </w:t>
            </w:r>
          </w:p>
        </w:tc>
      </w:tr>
    </w:tbl>
    <w:p w14:paraId="28B82CF9" w14:textId="5E4C7404" w:rsidR="00261F0E" w:rsidRPr="00EA04CD" w:rsidRDefault="00261F0E" w:rsidP="008742A1">
      <w:pPr>
        <w:pStyle w:val="Tablenotes1"/>
      </w:pPr>
      <w:r w:rsidRPr="00EA04CD">
        <w:t>AA=aplastic anaemia; AEs=adverse events; AML=acute myeloid leukaemia; BMT=bone marrow transplant CLL=chronic lymphocytic leukaemia; CMV=cytomegalovirus; FL=follicular lymphoma; G-CSF=granulocyte colony stimulating factor (filgrastim); GVHD=graft versus host disease; HBV=hepatitis B virus; HCV=hepatitis C virus; HIV=human immunodeficiency virus; HM=haematological malignancy; HR=hazard ratio; HRQoL=health-related quality of life; HSA=human serum albumin; HSCT=haematopoietic stem cell transplant; hypo-GG=hypogammaglobulinaemia; IgA=alpha immunoglobulin; IgG=gamma immunoglobulin; IgM=mu immunoglobulin; IMIg=intramuscular immunoglobulin; IQR=interquartile range; IRB=institutional review board (USA); ITP=idiopathic thrombocytopenic purpura; IVIg=intravenous immunoglobulin; JMML=juvenile myelomonocytic leukaemia) falls into ‘other’.; LLN=lower limit of normal (laboratory reference range); MDS=myelodysplastic syndrome; MM=multiple myeloma; NHL=non-Hodgkin lymphoma; NNH=number needed to harm; PAPS=primary antiphospholipid syndrome; QoL=quality of life; RCT=randomised controlled trial; SCIg=subcutaneous immunoglobulin; sd=standard deviation; SID=secondary immunodeficiency; S+T=sulfamethoxazole+ trimethoprim; tx=treatment; TEEs= thromboembolic events; URT=upper respiratory tract; WM=</w:t>
      </w:r>
      <w:r w:rsidRPr="00EA04CD">
        <w:rPr>
          <w:szCs w:val="20"/>
        </w:rPr>
        <w:t>Waldenström macroglobulinaemia</w:t>
      </w:r>
      <w:r w:rsidRPr="00EA04CD">
        <w:t>.</w:t>
      </w:r>
    </w:p>
    <w:p w14:paraId="34BBDF8C" w14:textId="77777777" w:rsidR="00261F0E" w:rsidRPr="00386411" w:rsidRDefault="00261F0E" w:rsidP="006810ED">
      <w:pPr>
        <w:rPr>
          <w:b/>
        </w:rPr>
      </w:pPr>
    </w:p>
    <w:p w14:paraId="21E48997" w14:textId="77777777" w:rsidR="006810ED" w:rsidRPr="00386411" w:rsidRDefault="006810ED" w:rsidP="004C5A84">
      <w:pPr>
        <w:pStyle w:val="Heading3"/>
        <w:sectPr w:rsidR="006810ED" w:rsidRPr="00386411" w:rsidSect="006810ED">
          <w:footerReference w:type="default" r:id="rId36"/>
          <w:pgSz w:w="16838" w:h="11906" w:orient="landscape"/>
          <w:pgMar w:top="1440" w:right="1440" w:bottom="1440" w:left="1440" w:header="720" w:footer="720" w:gutter="0"/>
          <w:paperSrc w:first="7" w:other="7"/>
          <w:cols w:space="720"/>
          <w:docGrid w:linePitch="299"/>
        </w:sectPr>
      </w:pPr>
    </w:p>
    <w:p w14:paraId="4C3E5491" w14:textId="4FFD59B6" w:rsidR="00ED14D8" w:rsidRPr="00386411" w:rsidRDefault="00ED14D8" w:rsidP="00ED14D8">
      <w:pPr>
        <w:pStyle w:val="Heading3"/>
      </w:pPr>
      <w:bookmarkStart w:id="295" w:name="_Toc14431143"/>
      <w:bookmarkStart w:id="296" w:name="_Toc16856311"/>
      <w:r w:rsidRPr="00386411">
        <w:lastRenderedPageBreak/>
        <w:t>Infections</w:t>
      </w:r>
      <w:bookmarkEnd w:id="295"/>
      <w:bookmarkEnd w:id="296"/>
    </w:p>
    <w:p w14:paraId="0E3F0C14" w14:textId="77777777" w:rsidR="00ED14D8" w:rsidRPr="00386411" w:rsidRDefault="00ED14D8" w:rsidP="00ED14D8">
      <w:pPr>
        <w:pStyle w:val="Heading4"/>
      </w:pPr>
      <w:r w:rsidRPr="00386411">
        <w:t xml:space="preserve">Infections – overview </w:t>
      </w:r>
    </w:p>
    <w:p w14:paraId="51080066" w14:textId="3C5EE12C" w:rsidR="00E84357" w:rsidRDefault="00E84357" w:rsidP="00E84357">
      <w:r w:rsidRPr="007D0AA8">
        <w:t xml:space="preserve">The way in which infections were defined and reported was variable across all the included studies (see definitions in </w:t>
      </w:r>
      <w:r w:rsidRPr="007D0AA8">
        <w:fldChar w:fldCharType="begin"/>
      </w:r>
      <w:r w:rsidRPr="007D0AA8">
        <w:instrText xml:space="preserve"> REF _Ref9248112 \h  \* MERGEFORMAT </w:instrText>
      </w:r>
      <w:r w:rsidRPr="007D0AA8">
        <w:fldChar w:fldCharType="separate"/>
      </w:r>
      <w:r w:rsidR="00A7463B" w:rsidRPr="00386411">
        <w:t xml:space="preserve">Table </w:t>
      </w:r>
      <w:r w:rsidR="00A7463B">
        <w:rPr>
          <w:noProof/>
        </w:rPr>
        <w:t>22</w:t>
      </w:r>
      <w:r w:rsidRPr="007D0AA8">
        <w:fldChar w:fldCharType="end"/>
      </w:r>
      <w:r w:rsidRPr="007D0AA8">
        <w:t xml:space="preserve">). Infections were usually grouped together either by severity or site of </w:t>
      </w:r>
      <w:r w:rsidRPr="00C14764">
        <w:t>infection, but there was no approach common among the studies. Some studies excluded certain</w:t>
      </w:r>
      <w:r w:rsidRPr="007D0AA8">
        <w:t xml:space="preserve"> types of events – such as neutropenic episodes, localised infections, or infections not requiring IV antibiotics. </w:t>
      </w:r>
      <w:r w:rsidR="00C14764">
        <w:t>Infections reporting also varied according to treatment setting;</w:t>
      </w:r>
      <w:r w:rsidR="00C14764" w:rsidRPr="007D0AA8">
        <w:t xml:space="preserve"> </w:t>
      </w:r>
      <w:r w:rsidR="00C14764">
        <w:t xml:space="preserve">inpatient </w:t>
      </w:r>
      <w:r w:rsidR="00C14764" w:rsidRPr="007D0AA8">
        <w:t>data w</w:t>
      </w:r>
      <w:r w:rsidR="00C14764">
        <w:t>ere</w:t>
      </w:r>
      <w:r w:rsidR="00C14764" w:rsidRPr="007D0AA8">
        <w:t xml:space="preserve"> drawn from routine and relatively frequent observations by trained staff and were often supported by microbiological testing and imaging results</w:t>
      </w:r>
      <w:r w:rsidR="00C14764">
        <w:t>, whereas outpatient clinics</w:t>
      </w:r>
      <w:r w:rsidRPr="007D0AA8">
        <w:t xml:space="preserve"> relied on patient diaries or patient recollection for event data. Nevertheless, serious/major/severe infections </w:t>
      </w:r>
      <w:r>
        <w:t>was either</w:t>
      </w:r>
      <w:r w:rsidRPr="007D0AA8">
        <w:t xml:space="preserve"> defined similarly across studies</w:t>
      </w:r>
      <w:r>
        <w:t xml:space="preserve"> (or could be extracted for comparison)</w:t>
      </w:r>
      <w:r w:rsidRPr="007D0AA8">
        <w:t xml:space="preserve">, as requiring both antibiotics and hospitalisation or being systemic infections or infections of the lower respiratory tract (which would typically require IV antibiotics and hospitalisation). </w:t>
      </w:r>
    </w:p>
    <w:p w14:paraId="4B6094C1" w14:textId="4C30602D" w:rsidR="00937DFF" w:rsidRDefault="00ED14D8" w:rsidP="00ED14D8">
      <w:r w:rsidRPr="007D0AA8">
        <w:t xml:space="preserve">Studies that </w:t>
      </w:r>
      <w:r w:rsidR="00FD3322" w:rsidRPr="007D0AA8">
        <w:t xml:space="preserve">provided time periods and events </w:t>
      </w:r>
      <w:r w:rsidRPr="007D0AA8">
        <w:t>for both arms had the infection incidence rates calculated.</w:t>
      </w:r>
      <w:r w:rsidR="001274D7" w:rsidRPr="007D0AA8">
        <w:t xml:space="preserve"> </w:t>
      </w:r>
      <w:r w:rsidRPr="007D0AA8">
        <w:t>The infection incidence rates between groups were then compared using the incidence rate ratios</w:t>
      </w:r>
      <w:r w:rsidR="00B315BA">
        <w:t xml:space="preserve"> (IRR)</w:t>
      </w:r>
      <w:r w:rsidRPr="007D0AA8">
        <w:t xml:space="preserve">, which were plotted using Stata/IC 14.1 with the </w:t>
      </w:r>
      <w:r w:rsidRPr="00AB308F">
        <w:rPr>
          <w:i/>
        </w:rPr>
        <w:t>metan</w:t>
      </w:r>
      <w:r w:rsidRPr="007D0AA8">
        <w:t xml:space="preserve"> plug-in</w:t>
      </w:r>
      <w:r w:rsidR="005E1360" w:rsidRPr="007D0AA8">
        <w:t xml:space="preserve">. </w:t>
      </w:r>
      <w:r w:rsidR="00937DFF">
        <w:t xml:space="preserve">For the meta-analyses of serious infections (both randomised trials and non-randomised studies), the pooled estimates were estimated using a Poisson regression with random intervention effects, as zero events were observed in some study arms. </w:t>
      </w:r>
    </w:p>
    <w:p w14:paraId="2A5323D5" w14:textId="77777777" w:rsidR="00937DFF" w:rsidRPr="00386411" w:rsidRDefault="00937DFF" w:rsidP="00937DFF">
      <w:pPr>
        <w:pStyle w:val="Heading4"/>
      </w:pPr>
      <w:r w:rsidRPr="00386411">
        <w:t xml:space="preserve">Infections – randomised studies </w:t>
      </w:r>
    </w:p>
    <w:p w14:paraId="1F34F47B" w14:textId="16FF496F" w:rsidR="00ED14D8" w:rsidRDefault="00937DFF" w:rsidP="00937DFF">
      <w:r>
        <w:t>Results from the meta-analyses of the randomised studies we</w:t>
      </w:r>
      <w:r w:rsidRPr="007D0AA8">
        <w:t xml:space="preserve">re presented as forest plots </w:t>
      </w:r>
      <w:r>
        <w:t>for s</w:t>
      </w:r>
      <w:r w:rsidRPr="007D0AA8">
        <w:t xml:space="preserve">erious infections </w:t>
      </w:r>
      <w:r>
        <w:t>(</w:t>
      </w:r>
      <w:r w:rsidRPr="007D0AA8">
        <w:fldChar w:fldCharType="begin"/>
      </w:r>
      <w:r w:rsidRPr="007D0AA8">
        <w:instrText xml:space="preserve"> REF _Ref10205734 \h  \* MERGEFORMAT </w:instrText>
      </w:r>
      <w:r w:rsidRPr="007D0AA8">
        <w:fldChar w:fldCharType="separate"/>
      </w:r>
      <w:r w:rsidR="00A7463B" w:rsidRPr="00386411">
        <w:t xml:space="preserve">Figure </w:t>
      </w:r>
      <w:r w:rsidR="00A7463B">
        <w:rPr>
          <w:noProof/>
        </w:rPr>
        <w:t>3</w:t>
      </w:r>
      <w:r w:rsidRPr="007D0AA8">
        <w:fldChar w:fldCharType="end"/>
      </w:r>
      <w:r>
        <w:t>)</w:t>
      </w:r>
      <w:r w:rsidRPr="007D0AA8">
        <w:t xml:space="preserve"> </w:t>
      </w:r>
      <w:r>
        <w:t xml:space="preserve">and </w:t>
      </w:r>
      <w:r w:rsidRPr="007D0AA8">
        <w:t xml:space="preserve">for non-serious infections reported in the same studies, where available </w:t>
      </w:r>
      <w:r>
        <w:t>(</w:t>
      </w:r>
      <w:r w:rsidRPr="007D0AA8">
        <w:fldChar w:fldCharType="begin"/>
      </w:r>
      <w:r w:rsidRPr="007D0AA8">
        <w:instrText xml:space="preserve"> REF _Ref12898265 \h  \* MERGEFORMAT </w:instrText>
      </w:r>
      <w:r w:rsidRPr="007D0AA8">
        <w:fldChar w:fldCharType="separate"/>
      </w:r>
      <w:r w:rsidR="00A7463B" w:rsidRPr="00386411">
        <w:t xml:space="preserve">Figure </w:t>
      </w:r>
      <w:r w:rsidR="00A7463B">
        <w:rPr>
          <w:noProof/>
        </w:rPr>
        <w:t>4</w:t>
      </w:r>
      <w:r w:rsidRPr="007D0AA8">
        <w:fldChar w:fldCharType="end"/>
      </w:r>
      <w:r>
        <w:t>). These plots compared IgG versus No IgG groups. Summary data used to derive these plots</w:t>
      </w:r>
      <w:r w:rsidRPr="007D0AA8">
        <w:t xml:space="preserve"> are in </w:t>
      </w:r>
      <w:r w:rsidRPr="007D0AA8">
        <w:fldChar w:fldCharType="begin"/>
      </w:r>
      <w:r w:rsidRPr="007D0AA8">
        <w:instrText xml:space="preserve"> REF _Ref10230975 \h  \* MERGEFORMAT </w:instrText>
      </w:r>
      <w:r w:rsidRPr="007D0AA8">
        <w:fldChar w:fldCharType="separate"/>
      </w:r>
      <w:r w:rsidR="00A7463B" w:rsidRPr="00386411">
        <w:t xml:space="preserve">Appendix </w:t>
      </w:r>
      <w:r w:rsidR="00A7463B">
        <w:t>F</w:t>
      </w:r>
      <w:r w:rsidRPr="007D0AA8">
        <w:fldChar w:fldCharType="end"/>
      </w:r>
      <w:r w:rsidRPr="007D0AA8">
        <w:t xml:space="preserve"> </w:t>
      </w:r>
      <w:r w:rsidRPr="007D0AA8">
        <w:fldChar w:fldCharType="begin"/>
      </w:r>
      <w:r w:rsidRPr="007D0AA8">
        <w:instrText xml:space="preserve"> REF _Ref12611136 \h  \* MERGEFORMAT </w:instrText>
      </w:r>
      <w:r w:rsidRPr="007D0AA8">
        <w:fldChar w:fldCharType="separate"/>
      </w:r>
      <w:r w:rsidR="00A7463B" w:rsidRPr="00386411">
        <w:t xml:space="preserve">Table </w:t>
      </w:r>
      <w:r w:rsidR="00A7463B">
        <w:t>85</w:t>
      </w:r>
      <w:r w:rsidRPr="007D0AA8">
        <w:fldChar w:fldCharType="end"/>
      </w:r>
      <w:r w:rsidRPr="007D0AA8">
        <w:t xml:space="preserve"> (IVIg versus No IVIg) and </w:t>
      </w:r>
      <w:r w:rsidRPr="007D0AA8">
        <w:fldChar w:fldCharType="begin"/>
      </w:r>
      <w:r w:rsidRPr="007D0AA8">
        <w:instrText xml:space="preserve"> REF _Ref9898840 \h  \* MERGEFORMAT </w:instrText>
      </w:r>
      <w:r w:rsidRPr="007D0AA8">
        <w:fldChar w:fldCharType="separate"/>
      </w:r>
      <w:r w:rsidR="00A7463B" w:rsidRPr="00386411">
        <w:t xml:space="preserve">Table </w:t>
      </w:r>
      <w:r w:rsidR="00A7463B">
        <w:t>86</w:t>
      </w:r>
      <w:r w:rsidRPr="007D0AA8">
        <w:fldChar w:fldCharType="end"/>
      </w:r>
      <w:r w:rsidRPr="007D0AA8">
        <w:t xml:space="preserve"> (SCIg versus No SCIg). </w:t>
      </w:r>
    </w:p>
    <w:p w14:paraId="5B9D8424" w14:textId="79B72308" w:rsidR="00D538DE" w:rsidRPr="007D0AA8" w:rsidRDefault="00D538DE" w:rsidP="00D538DE">
      <w:r>
        <w:t>The r</w:t>
      </w:r>
      <w:r w:rsidRPr="007D0AA8">
        <w:t>andomised trials</w:t>
      </w:r>
      <w:r>
        <w:t xml:space="preserve"> had the least risk of bias due to their study design</w:t>
      </w:r>
      <w:r w:rsidRPr="007D0AA8">
        <w:t xml:space="preserve">, having either low risk </w:t>
      </w:r>
      <w:r w:rsidRPr="007D0AA8">
        <w:fldChar w:fldCharType="begin">
          <w:fldData xml:space="preserve">PEVuZE5vdGU+PENpdGU+PEF1dGhvcj5DaGFwZWw8L0F1dGhvcj48WWVhcj4xOTkxPC9ZZWFyPjxS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</w:fldData>
        </w:fldChar>
      </w:r>
      <w:r w:rsidR="00896BE2">
        <w:instrText xml:space="preserve"> ADDIN EN.CITE </w:instrText>
      </w:r>
      <w:r w:rsidR="00896BE2">
        <w:fldChar w:fldCharType="begin">
          <w:fldData xml:space="preserve">PEVuZE5vdGU+PENpdGU+PEF1dGhvcj5DaGFwZWw8L0F1dGhvcj48WWVhcj4xOTkxPC9ZZWFyPjxS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</w:fldData>
        </w:fldChar>
      </w:r>
      <w:r w:rsidR="00896BE2">
        <w:instrText xml:space="preserve"> ADDIN EN.CITE.DATA </w:instrText>
      </w:r>
      <w:r w:rsidR="00896BE2">
        <w:fldChar w:fldCharType="end"/>
      </w:r>
      <w:r w:rsidRPr="007D0AA8">
        <w:fldChar w:fldCharType="separate"/>
      </w:r>
      <w:r w:rsidR="00896BE2">
        <w:rPr>
          <w:noProof/>
        </w:rPr>
        <w:t>(</w:t>
      </w:r>
      <w:hyperlink w:anchor="_ENREF_12" w:tooltip="Chapel, 1991 #32" w:history="1">
        <w:r w:rsidR="00BB0145">
          <w:rPr>
            <w:noProof/>
          </w:rPr>
          <w:t>Chapel et al. 1991</w:t>
        </w:r>
      </w:hyperlink>
      <w:r w:rsidR="00896BE2">
        <w:rPr>
          <w:noProof/>
        </w:rPr>
        <w:t xml:space="preserve">; </w:t>
      </w:r>
      <w:hyperlink w:anchor="_ENREF_13" w:tooltip="Chapel, 1994 #56" w:history="1">
        <w:r w:rsidR="00BB0145">
          <w:rPr>
            <w:noProof/>
          </w:rPr>
          <w:t>Chapel et al. 1994b</w:t>
        </w:r>
      </w:hyperlink>
      <w:r w:rsidR="00896BE2">
        <w:rPr>
          <w:noProof/>
        </w:rPr>
        <w:t xml:space="preserve">; </w:t>
      </w:r>
      <w:hyperlink w:anchor="_ENREF_27" w:tooltip="Kobayashi, 2014 #79" w:history="1">
        <w:r w:rsidR="00BB0145">
          <w:rPr>
            <w:noProof/>
          </w:rPr>
          <w:t>Kobayashi et al. 2014</w:t>
        </w:r>
      </w:hyperlink>
      <w:r w:rsidR="00896BE2">
        <w:rPr>
          <w:noProof/>
        </w:rPr>
        <w:t xml:space="preserve">; </w:t>
      </w:r>
      <w:hyperlink w:anchor="_ENREF_48" w:tooltip="Sullivan, 1990 #67" w:history="1">
        <w:r w:rsidR="00BB0145">
          <w:rPr>
            <w:noProof/>
          </w:rPr>
          <w:t>Sullivan et al. 1990</w:t>
        </w:r>
      </w:hyperlink>
      <w:r w:rsidR="00896BE2">
        <w:rPr>
          <w:noProof/>
        </w:rPr>
        <w:t xml:space="preserve">; </w:t>
      </w:r>
      <w:hyperlink w:anchor="_ENREF_52" w:tooltip="Vacca, 2018 #30" w:history="1">
        <w:r w:rsidR="00BB0145">
          <w:rPr>
            <w:noProof/>
          </w:rPr>
          <w:t>Vacca et al. 2018</w:t>
        </w:r>
      </w:hyperlink>
      <w:r w:rsidR="00896BE2">
        <w:rPr>
          <w:noProof/>
        </w:rPr>
        <w:t>)</w:t>
      </w:r>
      <w:r w:rsidRPr="007D0AA8">
        <w:fldChar w:fldCharType="end"/>
      </w:r>
      <w:r w:rsidRPr="007D0AA8">
        <w:t xml:space="preserve"> or moderate risk </w:t>
      </w:r>
      <w:r w:rsidRPr="007D0AA8">
        <w:fldChar w:fldCharType="begin">
          <w:fldData xml:space="preserve">PEVuZE5vdGU+PENpdGU+PEF1dGhvcj5Cb3VnaHRvbjwvQXV0aG9yPjxZZWFyPjE5OTU8L1llYXI+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</w:fldData>
        </w:fldChar>
      </w:r>
      <w:r w:rsidRPr="007D0AA8">
        <w:instrText xml:space="preserve"> ADDIN EN.CITE </w:instrText>
      </w:r>
      <w:r w:rsidRPr="007D0AA8">
        <w:fldChar w:fldCharType="begin">
          <w:fldData xml:space="preserve">PEVuZE5vdGU+PENpdGU+PEF1dGhvcj5Cb3VnaHRvbjwvQXV0aG9yPjxZZWFyPjE5OTU8L1llYXI+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</w:fldData>
        </w:fldChar>
      </w:r>
      <w:r w:rsidRPr="007D0AA8">
        <w:instrText xml:space="preserve"> ADDIN EN.CITE.DATA </w:instrText>
      </w:r>
      <w:r w:rsidRPr="007D0AA8">
        <w:fldChar w:fldCharType="end"/>
      </w:r>
      <w:r w:rsidRPr="007D0AA8">
        <w:fldChar w:fldCharType="separate"/>
      </w:r>
      <w:r w:rsidRPr="007D0AA8">
        <w:rPr>
          <w:noProof/>
        </w:rPr>
        <w:t>(</w:t>
      </w:r>
      <w:hyperlink w:anchor="_ENREF_7" w:tooltip="Boughton, 1995 #40" w:history="1">
        <w:r w:rsidR="00BB0145" w:rsidRPr="007D0AA8">
          <w:rPr>
            <w:noProof/>
          </w:rPr>
          <w:t>Boughton et al. 1995</w:t>
        </w:r>
      </w:hyperlink>
      <w:r w:rsidRPr="007D0AA8">
        <w:rPr>
          <w:noProof/>
        </w:rPr>
        <w:t xml:space="preserve">; </w:t>
      </w:r>
      <w:hyperlink w:anchor="_ENREF_31" w:tooltip="Molica, 1996 #33" w:history="1">
        <w:r w:rsidR="00BB0145" w:rsidRPr="007D0AA8">
          <w:rPr>
            <w:noProof/>
          </w:rPr>
          <w:t>Molica et al. 1996</w:t>
        </w:r>
      </w:hyperlink>
      <w:r w:rsidRPr="007D0AA8">
        <w:rPr>
          <w:noProof/>
        </w:rPr>
        <w:t xml:space="preserve">; </w:t>
      </w:r>
      <w:hyperlink w:anchor="_ENREF_33" w:tooltip="Musto, 1995 #60" w:history="1">
        <w:r w:rsidR="00BB0145" w:rsidRPr="007D0AA8">
          <w:rPr>
            <w:noProof/>
          </w:rPr>
          <w:t>Musto, Brugiatelli &amp; Carotenuto 1995</w:t>
        </w:r>
      </w:hyperlink>
      <w:r w:rsidRPr="007D0AA8">
        <w:rPr>
          <w:noProof/>
        </w:rPr>
        <w:t>)</w:t>
      </w:r>
      <w:r w:rsidRPr="007D0AA8">
        <w:fldChar w:fldCharType="end"/>
      </w:r>
      <w:r w:rsidRPr="007D0AA8">
        <w:t>. Of these studies, the point estimates for major infections, serious infection and septicaemia all favoured the use of IgG (</w:t>
      </w:r>
      <w:r w:rsidRPr="007D0AA8">
        <w:fldChar w:fldCharType="begin"/>
      </w:r>
      <w:r w:rsidRPr="007D0AA8">
        <w:instrText xml:space="preserve"> REF _Ref10205734 \h  \* MERGEFORMAT </w:instrText>
      </w:r>
      <w:r w:rsidRPr="007D0AA8">
        <w:fldChar w:fldCharType="separate"/>
      </w:r>
      <w:r w:rsidR="00A7463B" w:rsidRPr="00386411">
        <w:t xml:space="preserve">Figure </w:t>
      </w:r>
      <w:r w:rsidR="00A7463B">
        <w:rPr>
          <w:noProof/>
        </w:rPr>
        <w:t>3</w:t>
      </w:r>
      <w:r w:rsidRPr="007D0AA8">
        <w:fldChar w:fldCharType="end"/>
      </w:r>
      <w:r w:rsidRPr="007D0AA8">
        <w:t xml:space="preserve">). Outcomes including all infections or mild/less serious infections were not always reported and </w:t>
      </w:r>
      <w:r>
        <w:t>a</w:t>
      </w:r>
      <w:r w:rsidRPr="007D0AA8">
        <w:t xml:space="preserve"> relationship with IgG treatment was</w:t>
      </w:r>
      <w:r>
        <w:t xml:space="preserve"> often</w:t>
      </w:r>
      <w:r w:rsidRPr="007D0AA8">
        <w:t xml:space="preserve"> less obvious.  </w:t>
      </w:r>
    </w:p>
    <w:p w14:paraId="72FB1409" w14:textId="55A7FDE6" w:rsidR="00937DFF" w:rsidRDefault="003876FD" w:rsidP="003876FD">
      <w:pPr>
        <w:spacing w:after="0"/>
      </w:pPr>
      <w:r>
        <w:rPr>
          <w:noProof/>
        </w:rPr>
        <w:lastRenderedPageBreak/>
        <w:drawing>
          <wp:inline distT="0" distB="0" distL="0" distR="0" wp14:anchorId="28C451FF" wp14:editId="0E8A7DA1">
            <wp:extent cx="5684520" cy="3083471"/>
            <wp:effectExtent l="0" t="0" r="0" b="3175"/>
            <wp:docPr id="2" name="Picture 9" title="Randomised trials presenting serious infections – IgG vs No IgG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7"/>
                    <a:stretch>
                      <a:fillRect/>
                    </a:stretch>
                  </pic:blipFill>
                  <pic:spPr>
                    <a:xfrm>
                      <a:off x="0" y="0"/>
                      <a:ext cx="5720802" cy="3103151"/>
                    </a:xfrm>
                    <a:prstGeom prst="rect">
                      <a:avLst/>
                    </a:prstGeom>
                  </pic:spPr>
                </pic:pic>
              </a:graphicData>
            </a:graphic>
          </wp:inline>
        </w:drawing>
      </w:r>
    </w:p>
    <w:p w14:paraId="216563E9" w14:textId="7D861B0A" w:rsidR="003876FD" w:rsidRDefault="003876FD" w:rsidP="003876FD">
      <w:pPr>
        <w:pStyle w:val="Caption"/>
        <w:rPr>
          <w:snapToGrid w:val="0"/>
          <w:lang w:eastAsia="en-US"/>
        </w:rPr>
      </w:pPr>
      <w:bookmarkStart w:id="297" w:name="_Ref10205734"/>
      <w:bookmarkStart w:id="298" w:name="_Toc14429640"/>
      <w:bookmarkStart w:id="299" w:name="_Toc16671699"/>
      <w:r w:rsidRPr="00386411">
        <w:t xml:space="preserve">Figure </w:t>
      </w:r>
      <w:r w:rsidRPr="00386411">
        <w:rPr>
          <w:noProof/>
        </w:rPr>
        <w:fldChar w:fldCharType="begin"/>
      </w:r>
      <w:r w:rsidRPr="00386411">
        <w:rPr>
          <w:noProof/>
        </w:rPr>
        <w:instrText xml:space="preserve"> SEQ Figure \* ARABIC </w:instrText>
      </w:r>
      <w:r w:rsidRPr="00386411">
        <w:rPr>
          <w:noProof/>
        </w:rPr>
        <w:fldChar w:fldCharType="separate"/>
      </w:r>
      <w:r w:rsidR="00A7463B">
        <w:rPr>
          <w:noProof/>
        </w:rPr>
        <w:t>3</w:t>
      </w:r>
      <w:r w:rsidRPr="00386411">
        <w:rPr>
          <w:noProof/>
        </w:rPr>
        <w:fldChar w:fldCharType="end"/>
      </w:r>
      <w:bookmarkEnd w:id="297"/>
      <w:r w:rsidRPr="00386411">
        <w:tab/>
      </w:r>
      <w:r w:rsidRPr="00386411">
        <w:rPr>
          <w:snapToGrid w:val="0"/>
          <w:lang w:eastAsia="en-US"/>
        </w:rPr>
        <w:t>Randomised trials presenting serious infections – IgG vs No IgG groups</w:t>
      </w:r>
      <w:bookmarkEnd w:id="298"/>
      <w:bookmarkEnd w:id="299"/>
    </w:p>
    <w:p w14:paraId="726D3674" w14:textId="77777777" w:rsidR="003876FD" w:rsidRPr="003876FD" w:rsidRDefault="003876FD" w:rsidP="003876FD">
      <w:pPr>
        <w:rPr>
          <w:lang w:eastAsia="en-US"/>
        </w:rPr>
      </w:pPr>
    </w:p>
    <w:p w14:paraId="331D0A23" w14:textId="7C1ABCCC" w:rsidR="003876FD" w:rsidRDefault="003876FD" w:rsidP="003876FD">
      <w:pPr>
        <w:spacing w:after="0"/>
        <w:rPr>
          <w:lang w:eastAsia="en-US"/>
        </w:rPr>
      </w:pPr>
      <w:r>
        <w:rPr>
          <w:noProof/>
        </w:rPr>
        <w:drawing>
          <wp:inline distT="0" distB="0" distL="0" distR="0" wp14:anchorId="28C9E761" wp14:editId="64BE4516">
            <wp:extent cx="5704121" cy="2909570"/>
            <wp:effectExtent l="0" t="0" r="0" b="5080"/>
            <wp:docPr id="14" name="Picture 13" title="Randomised trials presenting other infections – IgG vs No IgG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38"/>
                    <a:stretch>
                      <a:fillRect/>
                    </a:stretch>
                  </pic:blipFill>
                  <pic:spPr>
                    <a:xfrm>
                      <a:off x="0" y="0"/>
                      <a:ext cx="5714786" cy="2915010"/>
                    </a:xfrm>
                    <a:prstGeom prst="rect">
                      <a:avLst/>
                    </a:prstGeom>
                  </pic:spPr>
                </pic:pic>
              </a:graphicData>
            </a:graphic>
          </wp:inline>
        </w:drawing>
      </w:r>
    </w:p>
    <w:p w14:paraId="06CFFAA4" w14:textId="17FC169D" w:rsidR="003876FD" w:rsidRPr="003876FD" w:rsidRDefault="003876FD" w:rsidP="003876FD">
      <w:pPr>
        <w:pStyle w:val="Caption"/>
        <w:rPr>
          <w:lang w:eastAsia="en-US"/>
        </w:rPr>
      </w:pPr>
      <w:bookmarkStart w:id="300" w:name="_Ref12898265"/>
      <w:bookmarkStart w:id="301" w:name="_Toc14429641"/>
      <w:bookmarkStart w:id="302" w:name="_Toc16671700"/>
      <w:r w:rsidRPr="00386411">
        <w:t xml:space="preserve">Figure </w:t>
      </w:r>
      <w:r w:rsidRPr="00386411">
        <w:rPr>
          <w:noProof/>
        </w:rPr>
        <w:fldChar w:fldCharType="begin"/>
      </w:r>
      <w:r w:rsidRPr="00386411">
        <w:rPr>
          <w:noProof/>
        </w:rPr>
        <w:instrText xml:space="preserve"> SEQ Figure \* ARABIC </w:instrText>
      </w:r>
      <w:r w:rsidRPr="00386411">
        <w:rPr>
          <w:noProof/>
        </w:rPr>
        <w:fldChar w:fldCharType="separate"/>
      </w:r>
      <w:r w:rsidR="00A7463B">
        <w:rPr>
          <w:noProof/>
        </w:rPr>
        <w:t>4</w:t>
      </w:r>
      <w:r w:rsidRPr="00386411">
        <w:rPr>
          <w:noProof/>
        </w:rPr>
        <w:fldChar w:fldCharType="end"/>
      </w:r>
      <w:bookmarkEnd w:id="300"/>
      <w:r w:rsidRPr="00386411">
        <w:tab/>
      </w:r>
      <w:r w:rsidRPr="00386411">
        <w:rPr>
          <w:snapToGrid w:val="0"/>
          <w:lang w:eastAsia="en-US"/>
        </w:rPr>
        <w:t>Randomised trials presenting other infections – IgG vs No IgG groups</w:t>
      </w:r>
      <w:bookmarkEnd w:id="301"/>
      <w:bookmarkEnd w:id="302"/>
    </w:p>
    <w:p w14:paraId="4CC21E3E" w14:textId="77777777" w:rsidR="003E7652" w:rsidRDefault="003E7652" w:rsidP="00ED14D8">
      <w:pPr>
        <w:rPr>
          <w:b/>
        </w:rPr>
      </w:pPr>
    </w:p>
    <w:p w14:paraId="2214C1BB" w14:textId="1A7B5E67" w:rsidR="00937DFF" w:rsidRPr="007D0AA8" w:rsidRDefault="00937DFF" w:rsidP="00937DFF">
      <w:r w:rsidRPr="007D0AA8">
        <w:t xml:space="preserve">Two RCTs could not be included that reported infections according to number of episodes </w:t>
      </w:r>
      <w:r w:rsidRPr="007D0AA8">
        <w:fldChar w:fldCharType="begin">
          <w:fldData xml:space="preserve">PEVuZE5vdGU+PENpdGU+PEF1dGhvcj5Lb2JheWFzaGk8L0F1dGhvcj48WWVhcj4yMDE0PC9ZZWFy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</w:fldData>
        </w:fldChar>
      </w:r>
      <w:r w:rsidRPr="007D0AA8">
        <w:instrText xml:space="preserve"> ADDIN EN.CITE </w:instrText>
      </w:r>
      <w:r w:rsidRPr="007D0AA8">
        <w:fldChar w:fldCharType="begin">
          <w:fldData xml:space="preserve">PEVuZE5vdGU+PENpdGU+PEF1dGhvcj5Lb2JheWFzaGk8L0F1dGhvcj48WWVhcj4yMDE0PC9ZZWFy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</w:fldData>
        </w:fldChar>
      </w:r>
      <w:r w:rsidRPr="007D0AA8">
        <w:instrText xml:space="preserve"> ADDIN EN.CITE.DATA </w:instrText>
      </w:r>
      <w:r w:rsidRPr="007D0AA8">
        <w:fldChar w:fldCharType="end"/>
      </w:r>
      <w:r w:rsidRPr="007D0AA8">
        <w:fldChar w:fldCharType="separate"/>
      </w:r>
      <w:r w:rsidRPr="007D0AA8">
        <w:rPr>
          <w:noProof/>
        </w:rPr>
        <w:t>(</w:t>
      </w:r>
      <w:hyperlink w:anchor="_ENREF_27" w:tooltip="Kobayashi, 2014 #79" w:history="1">
        <w:r w:rsidR="00BB0145" w:rsidRPr="007D0AA8">
          <w:rPr>
            <w:noProof/>
          </w:rPr>
          <w:t>Kobayashi et al. 2014</w:t>
        </w:r>
      </w:hyperlink>
      <w:r w:rsidRPr="007D0AA8">
        <w:rPr>
          <w:noProof/>
        </w:rPr>
        <w:t>)</w:t>
      </w:r>
      <w:r w:rsidRPr="007D0AA8">
        <w:fldChar w:fldCharType="end"/>
      </w:r>
      <w:r w:rsidRPr="007D0AA8">
        <w:t xml:space="preserve"> or reported pooled events according to a semi-quantitative measure </w:t>
      </w:r>
      <w:r w:rsidRPr="007D0AA8">
        <w:fldChar w:fldCharType="begin">
          <w:fldData xml:space="preserve">PEVuZE5vdGU+PENpdGU+PEF1dGhvcj5Cb3VnaHRvbjwvQXV0aG9yPjxZZWFyPjE5OTU8L1llYXI+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=
</w:fldData>
        </w:fldChar>
      </w:r>
      <w:r w:rsidRPr="007D0AA8">
        <w:instrText xml:space="preserve"> ADDIN EN.CITE </w:instrText>
      </w:r>
      <w:r w:rsidRPr="007D0AA8">
        <w:fldChar w:fldCharType="begin">
          <w:fldData xml:space="preserve">PEVuZE5vdGU+PENpdGU+PEF1dGhvcj5Cb3VnaHRvbjwvQXV0aG9yPjxZZWFyPjE5OTU8L1llYXI+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=
</w:fldData>
        </w:fldChar>
      </w:r>
      <w:r w:rsidRPr="007D0AA8">
        <w:instrText xml:space="preserve"> ADDIN EN.CITE.DATA </w:instrText>
      </w:r>
      <w:r w:rsidRPr="007D0AA8">
        <w:fldChar w:fldCharType="end"/>
      </w:r>
      <w:r w:rsidRPr="007D0AA8">
        <w:fldChar w:fldCharType="separate"/>
      </w:r>
      <w:r w:rsidRPr="007D0AA8">
        <w:rPr>
          <w:noProof/>
        </w:rPr>
        <w:t>(</w:t>
      </w:r>
      <w:hyperlink w:anchor="_ENREF_7" w:tooltip="Boughton, 1995 #40" w:history="1">
        <w:r w:rsidR="00BB0145" w:rsidRPr="007D0AA8">
          <w:rPr>
            <w:noProof/>
          </w:rPr>
          <w:t>Boughton et al. 1995</w:t>
        </w:r>
      </w:hyperlink>
      <w:r w:rsidRPr="007D0AA8">
        <w:rPr>
          <w:noProof/>
        </w:rPr>
        <w:t>)</w:t>
      </w:r>
      <w:r w:rsidRPr="007D0AA8">
        <w:fldChar w:fldCharType="end"/>
      </w:r>
      <w:r w:rsidRPr="007D0AA8">
        <w:t xml:space="preserve"> thus rates per patient could not be derived. </w:t>
      </w:r>
    </w:p>
    <w:p w14:paraId="20722E7B" w14:textId="20DAAD45" w:rsidR="00937DFF" w:rsidRPr="00386411" w:rsidRDefault="00937DFF" w:rsidP="00937DFF">
      <w:pPr>
        <w:pStyle w:val="Heading4"/>
      </w:pPr>
      <w:r w:rsidRPr="00386411">
        <w:lastRenderedPageBreak/>
        <w:t xml:space="preserve">Infections – </w:t>
      </w:r>
      <w:r>
        <w:t>non-</w:t>
      </w:r>
      <w:r w:rsidRPr="00386411">
        <w:t xml:space="preserve">randomised studies </w:t>
      </w:r>
    </w:p>
    <w:p w14:paraId="194996A5" w14:textId="2F1320B4" w:rsidR="00937DFF" w:rsidRDefault="00937DFF" w:rsidP="00ED14D8">
      <w:r>
        <w:t>F</w:t>
      </w:r>
      <w:r w:rsidRPr="007D0AA8">
        <w:t>orest plots</w:t>
      </w:r>
      <w:r>
        <w:t xml:space="preserve"> for the non-randomised studies </w:t>
      </w:r>
      <w:r w:rsidRPr="00937DFF">
        <w:t>compared before and after IgG treatment</w:t>
      </w:r>
      <w:r>
        <w:t xml:space="preserve"> (rather than IgG versus No IgG groups as for the RCT data). Plots are in</w:t>
      </w:r>
      <w:r w:rsidRPr="007D0AA8">
        <w:t xml:space="preserve"> </w:t>
      </w:r>
      <w:r w:rsidRPr="007D0AA8">
        <w:fldChar w:fldCharType="begin"/>
      </w:r>
      <w:r w:rsidRPr="007D0AA8">
        <w:instrText xml:space="preserve"> REF _Ref12898205 \h  \* MERGEFORMAT </w:instrText>
      </w:r>
      <w:r w:rsidRPr="007D0AA8">
        <w:fldChar w:fldCharType="separate"/>
      </w:r>
      <w:r w:rsidR="00A7463B" w:rsidRPr="00386411">
        <w:t xml:space="preserve">Figure </w:t>
      </w:r>
      <w:r w:rsidR="00A7463B">
        <w:rPr>
          <w:noProof/>
        </w:rPr>
        <w:t>5</w:t>
      </w:r>
      <w:r w:rsidRPr="007D0AA8">
        <w:fldChar w:fldCharType="end"/>
      </w:r>
      <w:r>
        <w:t xml:space="preserve"> for s</w:t>
      </w:r>
      <w:r w:rsidRPr="007D0AA8">
        <w:t xml:space="preserve">erious infections </w:t>
      </w:r>
      <w:r>
        <w:t xml:space="preserve">and </w:t>
      </w:r>
      <w:r w:rsidRPr="007D0AA8">
        <w:fldChar w:fldCharType="begin"/>
      </w:r>
      <w:r w:rsidRPr="007D0AA8">
        <w:instrText xml:space="preserve"> REF _Ref12898267 \h  \* MERGEFORMAT </w:instrText>
      </w:r>
      <w:r w:rsidRPr="007D0AA8">
        <w:fldChar w:fldCharType="separate"/>
      </w:r>
      <w:r w:rsidR="00A7463B" w:rsidRPr="00386411">
        <w:t xml:space="preserve">Figure </w:t>
      </w:r>
      <w:r w:rsidR="00A7463B">
        <w:rPr>
          <w:noProof/>
        </w:rPr>
        <w:t>6</w:t>
      </w:r>
      <w:r w:rsidRPr="007D0AA8">
        <w:fldChar w:fldCharType="end"/>
      </w:r>
      <w:r>
        <w:t xml:space="preserve"> </w:t>
      </w:r>
      <w:r w:rsidRPr="007D0AA8">
        <w:t>for non-serious infections</w:t>
      </w:r>
      <w:r>
        <w:t xml:space="preserve">. </w:t>
      </w:r>
    </w:p>
    <w:p w14:paraId="097E1652" w14:textId="382384D2" w:rsidR="003876FD" w:rsidRDefault="003876FD" w:rsidP="003876FD">
      <w:pPr>
        <w:spacing w:after="0"/>
      </w:pPr>
      <w:r>
        <w:rPr>
          <w:noProof/>
        </w:rPr>
        <w:drawing>
          <wp:inline distT="0" distB="0" distL="0" distR="0" wp14:anchorId="45AB4EF8" wp14:editId="58016266">
            <wp:extent cx="5629093" cy="2792095"/>
            <wp:effectExtent l="0" t="0" r="0" b="8255"/>
            <wp:docPr id="7" name="Picture 1" title="Non-randomised trials presenting serious infections – before and after comparison of 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9"/>
                    <a:stretch>
                      <a:fillRect/>
                    </a:stretch>
                  </pic:blipFill>
                  <pic:spPr>
                    <a:xfrm>
                      <a:off x="0" y="0"/>
                      <a:ext cx="5644520" cy="2799747"/>
                    </a:xfrm>
                    <a:prstGeom prst="rect">
                      <a:avLst/>
                    </a:prstGeom>
                  </pic:spPr>
                </pic:pic>
              </a:graphicData>
            </a:graphic>
          </wp:inline>
        </w:drawing>
      </w:r>
    </w:p>
    <w:p w14:paraId="0EFCF485" w14:textId="60DE6AE3" w:rsidR="003876FD" w:rsidRDefault="003876FD" w:rsidP="003876FD">
      <w:pPr>
        <w:pStyle w:val="Caption"/>
        <w:rPr>
          <w:snapToGrid w:val="0"/>
          <w:lang w:eastAsia="en-US"/>
        </w:rPr>
      </w:pPr>
      <w:bookmarkStart w:id="303" w:name="_Ref12898205"/>
      <w:bookmarkStart w:id="304" w:name="_Toc14429642"/>
      <w:bookmarkStart w:id="305" w:name="_Toc16671701"/>
      <w:r w:rsidRPr="00386411">
        <w:t xml:space="preserve">Figure </w:t>
      </w:r>
      <w:r w:rsidRPr="00386411">
        <w:rPr>
          <w:noProof/>
        </w:rPr>
        <w:fldChar w:fldCharType="begin"/>
      </w:r>
      <w:r w:rsidRPr="00386411">
        <w:rPr>
          <w:noProof/>
        </w:rPr>
        <w:instrText xml:space="preserve"> SEQ Figure \* ARABIC </w:instrText>
      </w:r>
      <w:r w:rsidRPr="00386411">
        <w:rPr>
          <w:noProof/>
        </w:rPr>
        <w:fldChar w:fldCharType="separate"/>
      </w:r>
      <w:r w:rsidR="00A7463B">
        <w:rPr>
          <w:noProof/>
        </w:rPr>
        <w:t>5</w:t>
      </w:r>
      <w:r w:rsidRPr="00386411">
        <w:rPr>
          <w:noProof/>
        </w:rPr>
        <w:fldChar w:fldCharType="end"/>
      </w:r>
      <w:bookmarkEnd w:id="303"/>
      <w:r w:rsidRPr="00386411">
        <w:tab/>
      </w:r>
      <w:r w:rsidRPr="00386411">
        <w:rPr>
          <w:snapToGrid w:val="0"/>
          <w:lang w:eastAsia="en-US"/>
        </w:rPr>
        <w:t>Non-randomised trials presenting serious infections – before and after comparison of IgG</w:t>
      </w:r>
      <w:bookmarkEnd w:id="304"/>
      <w:bookmarkEnd w:id="305"/>
    </w:p>
    <w:p w14:paraId="1C7B8BF5" w14:textId="77777777" w:rsidR="003876FD" w:rsidRDefault="003876FD" w:rsidP="003876FD">
      <w:pPr>
        <w:rPr>
          <w:lang w:eastAsia="en-US"/>
        </w:rPr>
      </w:pPr>
    </w:p>
    <w:p w14:paraId="4AB4F85A" w14:textId="1BA87BB0" w:rsidR="003876FD" w:rsidRDefault="003876FD" w:rsidP="003876FD">
      <w:pPr>
        <w:spacing w:after="0"/>
        <w:rPr>
          <w:lang w:eastAsia="en-US"/>
        </w:rPr>
      </w:pPr>
      <w:r>
        <w:rPr>
          <w:b/>
          <w:noProof/>
        </w:rPr>
        <w:drawing>
          <wp:inline distT="0" distB="0" distL="0" distR="0" wp14:anchorId="299DC8C9" wp14:editId="252C8330">
            <wp:extent cx="5591175" cy="3022665"/>
            <wp:effectExtent l="0" t="0" r="0" b="6350"/>
            <wp:docPr id="8" name="Picture 8" title="Non-randomised trials presenting total infections – before and after comparison of 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0257" cy="3032981"/>
                    </a:xfrm>
                    <a:prstGeom prst="rect">
                      <a:avLst/>
                    </a:prstGeom>
                    <a:noFill/>
                  </pic:spPr>
                </pic:pic>
              </a:graphicData>
            </a:graphic>
          </wp:inline>
        </w:drawing>
      </w:r>
    </w:p>
    <w:p w14:paraId="572F002F" w14:textId="579E16D8" w:rsidR="003876FD" w:rsidRPr="003876FD" w:rsidRDefault="003876FD" w:rsidP="003876FD">
      <w:pPr>
        <w:pStyle w:val="Caption"/>
        <w:rPr>
          <w:lang w:eastAsia="en-US"/>
        </w:rPr>
      </w:pPr>
      <w:bookmarkStart w:id="306" w:name="_Ref12898267"/>
      <w:bookmarkStart w:id="307" w:name="_Toc14429643"/>
      <w:bookmarkStart w:id="308" w:name="_Toc16671702"/>
      <w:r w:rsidRPr="00386411">
        <w:t xml:space="preserve">Figure </w:t>
      </w:r>
      <w:r w:rsidRPr="00386411">
        <w:rPr>
          <w:noProof/>
        </w:rPr>
        <w:fldChar w:fldCharType="begin"/>
      </w:r>
      <w:r w:rsidRPr="00386411">
        <w:rPr>
          <w:noProof/>
        </w:rPr>
        <w:instrText xml:space="preserve"> SEQ Figure \* ARABIC </w:instrText>
      </w:r>
      <w:r w:rsidRPr="00386411">
        <w:rPr>
          <w:noProof/>
        </w:rPr>
        <w:fldChar w:fldCharType="separate"/>
      </w:r>
      <w:r w:rsidR="00A7463B">
        <w:rPr>
          <w:noProof/>
        </w:rPr>
        <w:t>6</w:t>
      </w:r>
      <w:r w:rsidRPr="00386411">
        <w:rPr>
          <w:noProof/>
        </w:rPr>
        <w:fldChar w:fldCharType="end"/>
      </w:r>
      <w:bookmarkEnd w:id="306"/>
      <w:r w:rsidRPr="00386411">
        <w:tab/>
      </w:r>
      <w:r w:rsidRPr="00386411">
        <w:rPr>
          <w:snapToGrid w:val="0"/>
          <w:lang w:eastAsia="en-US"/>
        </w:rPr>
        <w:t xml:space="preserve">Non-randomised trials presenting </w:t>
      </w:r>
      <w:r>
        <w:rPr>
          <w:snapToGrid w:val="0"/>
          <w:lang w:eastAsia="en-US"/>
        </w:rPr>
        <w:t>total</w:t>
      </w:r>
      <w:r w:rsidRPr="00386411">
        <w:rPr>
          <w:snapToGrid w:val="0"/>
          <w:lang w:eastAsia="en-US"/>
        </w:rPr>
        <w:t xml:space="preserve"> infections – before and after comparison of IgG</w:t>
      </w:r>
      <w:bookmarkEnd w:id="307"/>
      <w:bookmarkEnd w:id="308"/>
    </w:p>
    <w:p w14:paraId="44E349B2" w14:textId="77777777" w:rsidR="00D538DE" w:rsidRDefault="00D538DE" w:rsidP="00937DFF"/>
    <w:p w14:paraId="6AFC0C1B" w14:textId="5563FD09" w:rsidR="00937DFF" w:rsidRDefault="00937DFF" w:rsidP="00B315BA">
      <w:pPr>
        <w:keepNext/>
      </w:pPr>
      <w:r w:rsidRPr="00166EC0">
        <w:lastRenderedPageBreak/>
        <w:t>Summary data for infections from the non-randomised studies</w:t>
      </w:r>
      <w:r>
        <w:t xml:space="preserve"> used to derive these plots</w:t>
      </w:r>
      <w:r w:rsidRPr="00166EC0">
        <w:t xml:space="preserve"> are in </w:t>
      </w:r>
      <w:r w:rsidRPr="00166EC0">
        <w:fldChar w:fldCharType="begin"/>
      </w:r>
      <w:r w:rsidRPr="00166EC0">
        <w:instrText xml:space="preserve"> REF _Ref10230975 \h  \* MERGEFORMAT </w:instrText>
      </w:r>
      <w:r w:rsidRPr="00166EC0">
        <w:fldChar w:fldCharType="separate"/>
      </w:r>
      <w:r w:rsidR="00A7463B" w:rsidRPr="00386411">
        <w:t xml:space="preserve">Appendix </w:t>
      </w:r>
      <w:r w:rsidR="00A7463B">
        <w:t>F</w:t>
      </w:r>
      <w:r w:rsidRPr="00166EC0">
        <w:fldChar w:fldCharType="end"/>
      </w:r>
      <w:r w:rsidRPr="00166EC0">
        <w:t xml:space="preserve"> as follows:</w:t>
      </w:r>
    </w:p>
    <w:p w14:paraId="62695CFF" w14:textId="16BEA85B" w:rsidR="00937DFF" w:rsidRDefault="00937DFF" w:rsidP="00323096">
      <w:pPr>
        <w:pStyle w:val="ListParagraph"/>
        <w:numPr>
          <w:ilvl w:val="0"/>
          <w:numId w:val="16"/>
        </w:numPr>
        <w:spacing w:after="0" w:line="240" w:lineRule="auto"/>
        <w:ind w:left="284" w:hanging="284"/>
      </w:pPr>
      <w:r>
        <w:t>Cohort studies:</w:t>
      </w:r>
      <w:r w:rsidRPr="007D0AA8">
        <w:t xml:space="preserve"> </w:t>
      </w:r>
      <w:r w:rsidRPr="00166EC0">
        <w:fldChar w:fldCharType="begin"/>
      </w:r>
      <w:r w:rsidRPr="00166EC0">
        <w:instrText xml:space="preserve"> REF _Ref14101014 \h  \* MERGEFORMAT </w:instrText>
      </w:r>
      <w:r w:rsidRPr="00166EC0">
        <w:fldChar w:fldCharType="separate"/>
      </w:r>
      <w:r w:rsidR="00A7463B" w:rsidRPr="00386411">
        <w:t xml:space="preserve">Table </w:t>
      </w:r>
      <w:r w:rsidR="00A7463B">
        <w:t>87</w:t>
      </w:r>
      <w:r w:rsidRPr="00166EC0">
        <w:fldChar w:fldCharType="end"/>
      </w:r>
      <w:r>
        <w:t xml:space="preserve"> (data from a maintenance therapy sub-group </w:t>
      </w:r>
      <w:r w:rsidR="00896BE2">
        <w:fldChar w:fldCharType="begin">
          <w:fldData xml:space="preserve">PEVuZE5vdGU+PENpdGU+PEF1dGhvcj5CbG9tYmVyeTwvQXV0aG9yPjxZZWFyPjIwMTE8L1llYXI+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</w:fldData>
        </w:fldChar>
      </w:r>
      <w:r w:rsidR="00896BE2">
        <w:instrText xml:space="preserve"> ADDIN EN.CITE </w:instrText>
      </w:r>
      <w:r w:rsidR="00896BE2">
        <w:fldChar w:fldCharType="begin">
          <w:fldData xml:space="preserve">PEVuZE5vdGU+PENpdGU+PEF1dGhvcj5CbG9tYmVyeTwvQXV0aG9yPjxZZWFyPjIwMTE8L1llYXI+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</w:fldData>
        </w:fldChar>
      </w:r>
      <w:r w:rsidR="00896BE2">
        <w:instrText xml:space="preserve"> ADDIN EN.CITE.DATA </w:instrText>
      </w:r>
      <w:r w:rsidR="00896BE2">
        <w:fldChar w:fldCharType="end"/>
      </w:r>
      <w:r w:rsidR="00896BE2">
        <w:fldChar w:fldCharType="separate"/>
      </w:r>
      <w:r w:rsidR="00896BE2">
        <w:rPr>
          <w:noProof/>
        </w:rPr>
        <w:t>(</w:t>
      </w:r>
      <w:hyperlink w:anchor="_ENREF_6" w:tooltip="Blombery, 2011 #45" w:history="1">
        <w:r w:rsidR="00BB0145">
          <w:rPr>
            <w:noProof/>
          </w:rPr>
          <w:t>Blombery et al. 2011</w:t>
        </w:r>
      </w:hyperlink>
      <w:r w:rsidR="00896BE2">
        <w:rPr>
          <w:noProof/>
        </w:rPr>
        <w:t>)</w:t>
      </w:r>
      <w:r w:rsidR="00896BE2">
        <w:fldChar w:fldCharType="end"/>
      </w:r>
      <w:r>
        <w:t xml:space="preserve"> in </w:t>
      </w:r>
      <w:r>
        <w:fldChar w:fldCharType="begin"/>
      </w:r>
      <w:r>
        <w:instrText xml:space="preserve"> REF _Ref9453066 \h  \* MERGEFORMAT </w:instrText>
      </w:r>
      <w:r>
        <w:fldChar w:fldCharType="separate"/>
      </w:r>
      <w:r w:rsidR="00A7463B" w:rsidRPr="00386411">
        <w:t xml:space="preserve">Table </w:t>
      </w:r>
      <w:r w:rsidR="00A7463B">
        <w:rPr>
          <w:noProof/>
        </w:rPr>
        <w:t>88</w:t>
      </w:r>
      <w:r>
        <w:fldChar w:fldCharType="end"/>
      </w:r>
      <w:r>
        <w:t>).</w:t>
      </w:r>
    </w:p>
    <w:p w14:paraId="295CE586" w14:textId="12AE54A5" w:rsidR="00323096" w:rsidRPr="00323096" w:rsidRDefault="00937DFF" w:rsidP="00414134">
      <w:pPr>
        <w:pStyle w:val="ListParagraph"/>
        <w:numPr>
          <w:ilvl w:val="0"/>
          <w:numId w:val="16"/>
        </w:numPr>
        <w:spacing w:after="0"/>
        <w:ind w:left="284" w:hanging="284"/>
      </w:pPr>
      <w:r>
        <w:t xml:space="preserve">Case series including before/after time series: summary infections outcomes are in </w:t>
      </w:r>
      <w:r w:rsidRPr="007D0AA8">
        <w:fldChar w:fldCharType="begin"/>
      </w:r>
      <w:r w:rsidRPr="007D0AA8">
        <w:instrText xml:space="preserve"> REF _Ref9900139 \h  \* MERGEFORMAT </w:instrText>
      </w:r>
      <w:r w:rsidRPr="007D0AA8">
        <w:fldChar w:fldCharType="separate"/>
      </w:r>
      <w:r w:rsidR="00A7463B" w:rsidRPr="00386411">
        <w:t xml:space="preserve">Table </w:t>
      </w:r>
      <w:r w:rsidR="00A7463B">
        <w:rPr>
          <w:noProof/>
        </w:rPr>
        <w:t>89</w:t>
      </w:r>
      <w:r w:rsidRPr="007D0AA8">
        <w:fldChar w:fldCharType="end"/>
      </w:r>
      <w:r w:rsidRPr="007D0AA8">
        <w:t xml:space="preserve"> (IVIg) and </w:t>
      </w:r>
      <w:r w:rsidR="00505FCE">
        <w:fldChar w:fldCharType="begin"/>
      </w:r>
      <w:r w:rsidR="00505FCE">
        <w:instrText xml:space="preserve"> REF _Ref15306522 \h </w:instrText>
      </w:r>
      <w:r w:rsidR="00505FCE">
        <w:fldChar w:fldCharType="separate"/>
      </w:r>
      <w:r w:rsidR="00A7463B" w:rsidRPr="00386411">
        <w:t xml:space="preserve">Table </w:t>
      </w:r>
      <w:r w:rsidR="00A7463B">
        <w:rPr>
          <w:noProof/>
        </w:rPr>
        <w:t>90</w:t>
      </w:r>
      <w:r w:rsidR="00505FCE">
        <w:fldChar w:fldCharType="end"/>
      </w:r>
      <w:r w:rsidRPr="007D0AA8">
        <w:t xml:space="preserve"> (SCIg)</w:t>
      </w:r>
      <w:r>
        <w:t>.</w:t>
      </w:r>
      <w:r w:rsidRPr="00505FCE">
        <w:rPr>
          <w:rFonts w:asciiTheme="minorHAnsi" w:hAnsiTheme="minorHAnsi" w:cstheme="minorHAnsi"/>
        </w:rPr>
        <w:t xml:space="preserve"> </w:t>
      </w:r>
    </w:p>
    <w:p w14:paraId="432FA04D" w14:textId="44F20C04" w:rsidR="00937DFF" w:rsidRPr="007D0AA8" w:rsidRDefault="00937DFF" w:rsidP="00323096">
      <w:pPr>
        <w:pStyle w:val="ListParagraph"/>
        <w:numPr>
          <w:ilvl w:val="0"/>
          <w:numId w:val="16"/>
        </w:numPr>
        <w:spacing w:after="120"/>
        <w:ind w:left="284" w:hanging="284"/>
      </w:pPr>
      <w:r w:rsidRPr="00323096">
        <w:rPr>
          <w:rFonts w:asciiTheme="minorHAnsi" w:hAnsiTheme="minorHAnsi" w:cstheme="minorHAnsi"/>
        </w:rPr>
        <w:t xml:space="preserve">Case series of patients receiving IVIg and SCIg that reported results without differentiating between route of administration are summarised in </w:t>
      </w:r>
      <w:r w:rsidRPr="00323096">
        <w:rPr>
          <w:rFonts w:asciiTheme="minorHAnsi" w:hAnsiTheme="minorHAnsi" w:cstheme="minorHAnsi"/>
          <w:highlight w:val="yellow"/>
        </w:rPr>
        <w:fldChar w:fldCharType="begin"/>
      </w:r>
      <w:r w:rsidRPr="00323096">
        <w:rPr>
          <w:rFonts w:asciiTheme="minorHAnsi" w:hAnsiTheme="minorHAnsi" w:cstheme="minorHAnsi"/>
        </w:rPr>
        <w:instrText xml:space="preserve"> REF _Ref9453302 \h </w:instrText>
      </w:r>
      <w:r w:rsidRPr="00323096">
        <w:rPr>
          <w:rFonts w:asciiTheme="minorHAnsi" w:hAnsiTheme="minorHAnsi" w:cstheme="minorHAnsi"/>
          <w:highlight w:val="yellow"/>
        </w:rPr>
        <w:instrText xml:space="preserve"> \* MERGEFORMAT </w:instrText>
      </w:r>
      <w:r w:rsidRPr="00323096">
        <w:rPr>
          <w:rFonts w:asciiTheme="minorHAnsi" w:hAnsiTheme="minorHAnsi" w:cstheme="minorHAnsi"/>
          <w:highlight w:val="yellow"/>
        </w:rPr>
      </w:r>
      <w:r w:rsidRPr="00323096">
        <w:rPr>
          <w:rFonts w:asciiTheme="minorHAnsi" w:hAnsiTheme="minorHAnsi" w:cstheme="minorHAnsi"/>
          <w:highlight w:val="yellow"/>
        </w:rPr>
        <w:fldChar w:fldCharType="separate"/>
      </w:r>
      <w:r w:rsidR="00A7463B" w:rsidRPr="00386411">
        <w:t xml:space="preserve">Table </w:t>
      </w:r>
      <w:r w:rsidR="00A7463B">
        <w:rPr>
          <w:noProof/>
        </w:rPr>
        <w:t>91</w:t>
      </w:r>
      <w:r w:rsidRPr="00323096">
        <w:rPr>
          <w:rFonts w:asciiTheme="minorHAnsi" w:hAnsiTheme="minorHAnsi" w:cstheme="minorHAnsi"/>
          <w:highlight w:val="yellow"/>
        </w:rPr>
        <w:fldChar w:fldCharType="end"/>
      </w:r>
      <w:r w:rsidRPr="00323096">
        <w:rPr>
          <w:rFonts w:asciiTheme="minorHAnsi" w:hAnsiTheme="minorHAnsi" w:cstheme="minorHAnsi"/>
        </w:rPr>
        <w:t xml:space="preserve">.  </w:t>
      </w:r>
    </w:p>
    <w:p w14:paraId="58414E89" w14:textId="7A56F857" w:rsidR="00D43335" w:rsidRPr="007D0AA8" w:rsidRDefault="00D43335" w:rsidP="00937DFF">
      <w:pPr>
        <w:spacing w:before="240"/>
      </w:pPr>
      <w:r w:rsidRPr="007D0AA8">
        <w:t xml:space="preserve">Cohort studies were subject to selection bias, i.e. the patients with the highest risk of infections were most likely to receive IgG and this was evident in the difference in baseline incidence of infections </w:t>
      </w:r>
      <w:r w:rsidRPr="007D0AA8">
        <w:fldChar w:fldCharType="begin">
          <w:fldData xml:space="preserve">PEVuZE5vdGU+PENpdGU+PEF1dGhvcj5CbG9tYmVyeTwvQXV0aG9yPjxZZWFyPjIwMTE8L1llYXI+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</w:fldData>
        </w:fldChar>
      </w:r>
      <w:r w:rsidR="00896BE2">
        <w:instrText xml:space="preserve"> ADDIN EN.CITE </w:instrText>
      </w:r>
      <w:r w:rsidR="00896BE2">
        <w:fldChar w:fldCharType="begin">
          <w:fldData xml:space="preserve">PEVuZE5vdGU+PENpdGU+PEF1dGhvcj5CbG9tYmVyeTwvQXV0aG9yPjxZZWFyPjIwMTE8L1llYXI+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</w:fldData>
        </w:fldChar>
      </w:r>
      <w:r w:rsidR="00896BE2">
        <w:instrText xml:space="preserve"> ADDIN EN.CITE.DATA </w:instrText>
      </w:r>
      <w:r w:rsidR="00896BE2">
        <w:fldChar w:fldCharType="end"/>
      </w:r>
      <w:r w:rsidRPr="007D0AA8">
        <w:fldChar w:fldCharType="separate"/>
      </w:r>
      <w:r w:rsidR="00896BE2">
        <w:rPr>
          <w:noProof/>
        </w:rPr>
        <w:t>(</w:t>
      </w:r>
      <w:hyperlink w:anchor="_ENREF_1" w:tooltip="Ammann, 2016 #1" w:history="1">
        <w:r w:rsidR="00BB0145">
          <w:rPr>
            <w:noProof/>
          </w:rPr>
          <w:t>Ammann et al. 2016</w:t>
        </w:r>
      </w:hyperlink>
      <w:r w:rsidR="00896BE2">
        <w:rPr>
          <w:noProof/>
        </w:rPr>
        <w:t xml:space="preserve">; </w:t>
      </w:r>
      <w:hyperlink w:anchor="_ENREF_6" w:tooltip="Blombery, 2011 #45" w:history="1">
        <w:r w:rsidR="00BB0145">
          <w:rPr>
            <w:noProof/>
          </w:rPr>
          <w:t>Blombery et al. 2011</w:t>
        </w:r>
      </w:hyperlink>
      <w:r w:rsidR="00896BE2">
        <w:rPr>
          <w:noProof/>
        </w:rPr>
        <w:t xml:space="preserve">; </w:t>
      </w:r>
      <w:hyperlink w:anchor="_ENREF_39" w:tooltip="Paxton, 2016 #66" w:history="1">
        <w:r w:rsidR="00BB0145">
          <w:rPr>
            <w:noProof/>
          </w:rPr>
          <w:t>Paxton, Hawkins &amp; Crispin 2016</w:t>
        </w:r>
      </w:hyperlink>
      <w:r w:rsidR="00896BE2">
        <w:rPr>
          <w:noProof/>
        </w:rPr>
        <w:t xml:space="preserve">; </w:t>
      </w:r>
      <w:hyperlink w:anchor="_ENREF_53" w:tooltip="Van Winkle, 2018 #26" w:history="1">
        <w:r w:rsidR="00BB0145">
          <w:rPr>
            <w:noProof/>
          </w:rPr>
          <w:t>Van Winkle et al. 2018</w:t>
        </w:r>
      </w:hyperlink>
      <w:r w:rsidR="00896BE2">
        <w:rPr>
          <w:noProof/>
        </w:rPr>
        <w:t>)</w:t>
      </w:r>
      <w:r w:rsidRPr="007D0AA8">
        <w:fldChar w:fldCharType="end"/>
      </w:r>
      <w:r w:rsidRPr="007D0AA8">
        <w:t xml:space="preserve">, </w:t>
      </w:r>
      <w:r w:rsidR="00215C6B">
        <w:t xml:space="preserve">and </w:t>
      </w:r>
      <w:r w:rsidRPr="007D0AA8">
        <w:t xml:space="preserve">hence the studies showed misleading results. </w:t>
      </w:r>
      <w:r w:rsidR="00B315BA">
        <w:t xml:space="preserve">Data from these studies comparing IgG to No IgG was otherwise considered of limited value. </w:t>
      </w:r>
      <w:r w:rsidRPr="007D0AA8">
        <w:t xml:space="preserve">Only the Blombery and Van Winkle studies reported infections as an outcome. </w:t>
      </w:r>
      <w:r w:rsidR="00215C6B">
        <w:t>R</w:t>
      </w:r>
      <w:r w:rsidRPr="007D0AA8">
        <w:t xml:space="preserve">esource use due to infection was reported in the Paxton study and in the US registry study of CLL and MM patients </w:t>
      </w:r>
      <w:r w:rsidR="00896BE2">
        <w:fldChar w:fldCharType="begin">
          <w:fldData xml:space="preserve">PEVuZE5vdGU+PENpdGU+PEF1dGhvcj5BbW1hbm48L0F1dGhvcj48WWVhcj4yMDE2PC9ZZWFyPjxS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</w:fldData>
        </w:fldChar>
      </w:r>
      <w:r w:rsidR="00896BE2">
        <w:instrText xml:space="preserve"> ADDIN EN.CITE </w:instrText>
      </w:r>
      <w:r w:rsidR="00896BE2">
        <w:fldChar w:fldCharType="begin">
          <w:fldData xml:space="preserve">PEVuZE5vdGU+PENpdGU+PEF1dGhvcj5BbW1hbm48L0F1dGhvcj48WWVhcj4yMDE2PC9ZZWFyPjxS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</w:fldData>
        </w:fldChar>
      </w:r>
      <w:r w:rsidR="00896BE2">
        <w:instrText xml:space="preserve"> ADDIN EN.CITE.DATA </w:instrText>
      </w:r>
      <w:r w:rsidR="00896BE2">
        <w:fldChar w:fldCharType="end"/>
      </w:r>
      <w:r w:rsidR="00896BE2">
        <w:fldChar w:fldCharType="separate"/>
      </w:r>
      <w:r w:rsidR="00896BE2">
        <w:rPr>
          <w:noProof/>
        </w:rPr>
        <w:t>(</w:t>
      </w:r>
      <w:hyperlink w:anchor="_ENREF_1" w:tooltip="Ammann, 2016 #1" w:history="1">
        <w:r w:rsidR="00BB0145">
          <w:rPr>
            <w:noProof/>
          </w:rPr>
          <w:t>Ammann et al. 2016</w:t>
        </w:r>
      </w:hyperlink>
      <w:r w:rsidR="00896BE2">
        <w:rPr>
          <w:noProof/>
        </w:rPr>
        <w:t>)</w:t>
      </w:r>
      <w:r w:rsidR="00896BE2">
        <w:fldChar w:fldCharType="end"/>
      </w:r>
      <w:r w:rsidRPr="007D0AA8">
        <w:t xml:space="preserve">. </w:t>
      </w:r>
      <w:r w:rsidR="00EB4D73">
        <w:t>Data from these cohort studies were only included in the forest plots where before/after results were available</w:t>
      </w:r>
      <w:r w:rsidR="003F7B2F">
        <w:t xml:space="preserve"> from the IgG group</w:t>
      </w:r>
      <w:r w:rsidR="00EB4D73">
        <w:t xml:space="preserve">. </w:t>
      </w:r>
    </w:p>
    <w:p w14:paraId="18C2799C" w14:textId="28F2D0B3" w:rsidR="00270836" w:rsidRPr="007D0AA8" w:rsidRDefault="00270836" w:rsidP="00270836">
      <w:r>
        <w:t xml:space="preserve">Only patients who met certain criteria regarding infection rates were included in the </w:t>
      </w:r>
      <w:r w:rsidR="00B315BA">
        <w:t xml:space="preserve">pooling of results from </w:t>
      </w:r>
      <w:r>
        <w:t xml:space="preserve">before and after case series. Therefore, the results may be biased due to </w:t>
      </w:r>
      <w:r w:rsidRPr="007D0AA8">
        <w:t>regression to the mean</w:t>
      </w:r>
      <w:r>
        <w:t>.</w:t>
      </w:r>
      <w:r w:rsidRPr="007D0AA8">
        <w:t xml:space="preserve"> </w:t>
      </w:r>
      <w:r>
        <w:t>N</w:t>
      </w:r>
      <w:r w:rsidRPr="007D0AA8">
        <w:t xml:space="preserve">evertheless a comparison of before and after IgG treatment was undertaken at the request of the Ig Review Reference Group. The overall / combined value for each meta-analysis has been included with each plot, noting that these values are uncertain due to the differences between the infections outcomes reported for each study. </w:t>
      </w:r>
    </w:p>
    <w:p w14:paraId="78A83DC2" w14:textId="35A535F9" w:rsidR="005E1360" w:rsidRPr="007D0AA8" w:rsidRDefault="005E1360" w:rsidP="00ED14D8">
      <w:r w:rsidRPr="007D0AA8">
        <w:t xml:space="preserve">Tabulated results for infections outcomes </w:t>
      </w:r>
      <w:r w:rsidR="00166EC0">
        <w:t xml:space="preserve">for all studies </w:t>
      </w:r>
      <w:r w:rsidRPr="007D0AA8">
        <w:t xml:space="preserve">are presented in </w:t>
      </w:r>
      <w:r w:rsidRPr="007D0AA8">
        <w:fldChar w:fldCharType="begin"/>
      </w:r>
      <w:r w:rsidRPr="007D0AA8">
        <w:instrText xml:space="preserve"> REF _Ref10230975 \h  \* MERGEFORMAT </w:instrText>
      </w:r>
      <w:r w:rsidRPr="007D0AA8">
        <w:fldChar w:fldCharType="separate"/>
      </w:r>
      <w:r w:rsidR="00A7463B" w:rsidRPr="00386411">
        <w:t xml:space="preserve">Appendix </w:t>
      </w:r>
      <w:r w:rsidR="00A7463B">
        <w:t>F</w:t>
      </w:r>
      <w:r w:rsidRPr="007D0AA8">
        <w:fldChar w:fldCharType="end"/>
      </w:r>
      <w:r w:rsidRPr="007D0AA8">
        <w:t xml:space="preserve"> supportive to the forest plots above. These are described further in the following sections</w:t>
      </w:r>
      <w:r w:rsidR="008E57DD">
        <w:t xml:space="preserve"> according to indication</w:t>
      </w:r>
      <w:r w:rsidRPr="007D0AA8">
        <w:t xml:space="preserve">. </w:t>
      </w:r>
    </w:p>
    <w:p w14:paraId="0CBAF942" w14:textId="57921DE9" w:rsidR="00BF1E9F" w:rsidRPr="00386411" w:rsidRDefault="00937DFF" w:rsidP="00937DFF">
      <w:pPr>
        <w:pStyle w:val="Heading4"/>
      </w:pPr>
      <w:bookmarkStart w:id="309" w:name="_Toc395200783"/>
      <w:r>
        <w:t>Evidence in patients with</w:t>
      </w:r>
      <w:r w:rsidR="00FB36D8" w:rsidRPr="00386411">
        <w:t xml:space="preserve"> </w:t>
      </w:r>
      <w:r w:rsidR="00CE4884" w:rsidRPr="00386411">
        <w:t>CLL</w:t>
      </w:r>
    </w:p>
    <w:p w14:paraId="13F3D51A" w14:textId="046B9704" w:rsidR="002E1E25" w:rsidRDefault="002E1E25" w:rsidP="002E1E25">
      <w:pPr>
        <w:pStyle w:val="Heading5"/>
        <w:rPr>
          <w:sz w:val="20"/>
        </w:rPr>
      </w:pPr>
      <w:r>
        <w:rPr>
          <w:sz w:val="20"/>
        </w:rPr>
        <w:t>R</w:t>
      </w:r>
      <w:r w:rsidRPr="00386411">
        <w:rPr>
          <w:sz w:val="20"/>
        </w:rPr>
        <w:t>andomised studies</w:t>
      </w:r>
      <w:r>
        <w:rPr>
          <w:sz w:val="20"/>
        </w:rPr>
        <w:t xml:space="preserve"> – CLL</w:t>
      </w:r>
    </w:p>
    <w:p w14:paraId="696180E1" w14:textId="0068EC65" w:rsidR="00CE4884" w:rsidRPr="007D0AA8" w:rsidRDefault="00937DFF" w:rsidP="00CE4884">
      <w:r>
        <w:t xml:space="preserve">An RCT </w:t>
      </w:r>
      <w:r w:rsidR="00CE4884" w:rsidRPr="007D0AA8">
        <w:t>in 42 CLL patients</w:t>
      </w:r>
      <w:r w:rsidR="00D538DE">
        <w:t xml:space="preserve"> in Italy</w:t>
      </w:r>
      <w:r w:rsidR="00CE4884" w:rsidRPr="007D0AA8">
        <w:t xml:space="preserve"> </w:t>
      </w:r>
      <w:r w:rsidR="00CE4884" w:rsidRPr="007D0AA8">
        <w:fldChar w:fldCharType="begin">
          <w:fldData xml:space="preserve">PEVuZE5vdGU+PENpdGU+PEF1dGhvcj5Nb2xpY2E8L0F1dGhvcj48WWVhcj4xOTk2PC9ZZWFyPjxS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</w:fldData>
        </w:fldChar>
      </w:r>
      <w:r w:rsidR="00CE4884" w:rsidRPr="007D0AA8">
        <w:instrText xml:space="preserve"> ADDIN EN.CITE </w:instrText>
      </w:r>
      <w:r w:rsidR="00CE4884" w:rsidRPr="007D0AA8">
        <w:fldChar w:fldCharType="begin">
          <w:fldData xml:space="preserve">PEVuZE5vdGU+PENpdGU+PEF1dGhvcj5Nb2xpY2E8L0F1dGhvcj48WWVhcj4xOTk2PC9ZZWFyPjxS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</w:fldData>
        </w:fldChar>
      </w:r>
      <w:r w:rsidR="00CE4884" w:rsidRPr="007D0AA8">
        <w:instrText xml:space="preserve"> ADDIN EN.CITE.DATA </w:instrText>
      </w:r>
      <w:r w:rsidR="00CE4884" w:rsidRPr="007D0AA8">
        <w:fldChar w:fldCharType="end"/>
      </w:r>
      <w:r w:rsidR="00CE4884" w:rsidRPr="007D0AA8">
        <w:fldChar w:fldCharType="separate"/>
      </w:r>
      <w:r w:rsidR="00CE4884" w:rsidRPr="007D0AA8">
        <w:rPr>
          <w:noProof/>
        </w:rPr>
        <w:t>(</w:t>
      </w:r>
      <w:hyperlink w:anchor="_ENREF_31" w:tooltip="Molica, 1996 #33" w:history="1">
        <w:r w:rsidR="00BB0145" w:rsidRPr="007D0AA8">
          <w:rPr>
            <w:noProof/>
          </w:rPr>
          <w:t>Molica et al. 1996</w:t>
        </w:r>
      </w:hyperlink>
      <w:r w:rsidR="00CE4884" w:rsidRPr="007D0AA8">
        <w:rPr>
          <w:noProof/>
        </w:rPr>
        <w:t>)</w:t>
      </w:r>
      <w:r w:rsidR="00CE4884" w:rsidRPr="007D0AA8">
        <w:fldChar w:fldCharType="end"/>
      </w:r>
      <w:r w:rsidR="00CE4884" w:rsidRPr="007D0AA8">
        <w:t xml:space="preserve"> reported incidence of infections during the IVIg </w:t>
      </w:r>
      <w:r w:rsidR="000B18E3" w:rsidRPr="007D0AA8">
        <w:t xml:space="preserve">versus empirical treatment </w:t>
      </w:r>
      <w:r w:rsidR="00CE4884" w:rsidRPr="007D0AA8">
        <w:t xml:space="preserve">phases of a 24 month crossover study. </w:t>
      </w:r>
      <w:r w:rsidR="000B18E3" w:rsidRPr="007D0AA8">
        <w:t xml:space="preserve">Although patients were randomised into separate arms and received IVIg or observation according to a 6+12+6 months protocol, the authors pooled events for reporting into ‘IVIg’ or ‘empirical treatment’ and did not report which group they were originally randomised to nor how many patients completed the study. </w:t>
      </w:r>
      <w:r w:rsidR="00FB7B97" w:rsidRPr="007D0AA8">
        <w:t xml:space="preserve">It was not clear whether a washout period was employed at crossover. </w:t>
      </w:r>
      <w:r w:rsidR="000B18E3" w:rsidRPr="007D0AA8">
        <w:t xml:space="preserve">Nevertheless, patients who were in an IVIg phase of the study experienced 35 serious infections (including 5 major) </w:t>
      </w:r>
      <w:r w:rsidR="00D6410B" w:rsidRPr="007D0AA8">
        <w:t xml:space="preserve">and 6 minor infections </w:t>
      </w:r>
      <w:r w:rsidR="000B18E3" w:rsidRPr="007D0AA8">
        <w:t>versus 51 serious infections (including 9 major)</w:t>
      </w:r>
      <w:r w:rsidR="00D6410B" w:rsidRPr="007D0AA8">
        <w:t xml:space="preserve"> and 11 minor infections</w:t>
      </w:r>
      <w:r w:rsidR="000B18E3" w:rsidRPr="007D0AA8">
        <w:t xml:space="preserve"> for patients in </w:t>
      </w:r>
      <w:r w:rsidR="00D6410B" w:rsidRPr="007D0AA8">
        <w:t>an</w:t>
      </w:r>
      <w:r w:rsidR="000B18E3" w:rsidRPr="007D0AA8">
        <w:t xml:space="preserve"> empirical treatment </w:t>
      </w:r>
      <w:r w:rsidR="00D6410B" w:rsidRPr="007D0AA8">
        <w:t>phase</w:t>
      </w:r>
      <w:r w:rsidR="000B18E3" w:rsidRPr="007D0AA8">
        <w:t xml:space="preserve">. Ten of the IVIg phase patients remained infection free versus 22 patients </w:t>
      </w:r>
      <w:r w:rsidR="000B18E3" w:rsidRPr="007D0AA8">
        <w:lastRenderedPageBreak/>
        <w:t>during empirical treatment (p&lt;0.02). These results favour</w:t>
      </w:r>
      <w:r w:rsidR="001E1F48" w:rsidRPr="007D0AA8">
        <w:t>ed</w:t>
      </w:r>
      <w:r w:rsidR="000B18E3" w:rsidRPr="007D0AA8">
        <w:t xml:space="preserve"> IVIg, but g</w:t>
      </w:r>
      <w:r w:rsidR="00CE4884" w:rsidRPr="007D0AA8">
        <w:t>iven the</w:t>
      </w:r>
      <w:r w:rsidR="004C5869" w:rsidRPr="007D0AA8">
        <w:t xml:space="preserve"> crossover design, the</w:t>
      </w:r>
      <w:r w:rsidR="000B18E3" w:rsidRPr="007D0AA8">
        <w:t xml:space="preserve"> way events were reported</w:t>
      </w:r>
      <w:r w:rsidR="00CE4884" w:rsidRPr="007D0AA8">
        <w:t xml:space="preserve">, and moderate risk of bias for this study, this study’s conclusions should be interpreted with caution. </w:t>
      </w:r>
    </w:p>
    <w:p w14:paraId="50BD03CC" w14:textId="1514AE6E" w:rsidR="009D44C6" w:rsidRDefault="00FB36D8" w:rsidP="00FB36D8">
      <w:r w:rsidRPr="007D0AA8">
        <w:t>One randomised study in 42 CLL patients</w:t>
      </w:r>
      <w:r w:rsidR="00B315BA">
        <w:t xml:space="preserve"> in the United Kingdom</w:t>
      </w:r>
      <w:r w:rsidRPr="007D0AA8">
        <w:t xml:space="preserve"> </w:t>
      </w:r>
      <w:r w:rsidRPr="007D0AA8">
        <w:fldChar w:fldCharType="begin">
          <w:fldData xml:space="preserve">PEVuZE5vdGU+PENpdGU+PEF1dGhvcj5Cb3VnaHRvbjwvQXV0aG9yPjxZZWFyPjE5OTU8L1llYXI+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=
</w:fldData>
        </w:fldChar>
      </w:r>
      <w:r w:rsidRPr="007D0AA8">
        <w:instrText xml:space="preserve"> ADDIN EN.CITE </w:instrText>
      </w:r>
      <w:r w:rsidRPr="007D0AA8">
        <w:fldChar w:fldCharType="begin">
          <w:fldData xml:space="preserve">PEVuZE5vdGU+PENpdGU+PEF1dGhvcj5Cb3VnaHRvbjwvQXV0aG9yPjxZZWFyPjE5OTU8L1llYXI+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=
</w:fldData>
        </w:fldChar>
      </w:r>
      <w:r w:rsidRPr="007D0AA8">
        <w:instrText xml:space="preserve"> ADDIN EN.CITE.DATA </w:instrText>
      </w:r>
      <w:r w:rsidRPr="007D0AA8">
        <w:fldChar w:fldCharType="end"/>
      </w:r>
      <w:r w:rsidRPr="007D0AA8">
        <w:fldChar w:fldCharType="separate"/>
      </w:r>
      <w:r w:rsidRPr="007D0AA8">
        <w:rPr>
          <w:noProof/>
        </w:rPr>
        <w:t>(</w:t>
      </w:r>
      <w:hyperlink w:anchor="_ENREF_7" w:tooltip="Boughton, 1995 #40" w:history="1">
        <w:r w:rsidR="00BB0145" w:rsidRPr="007D0AA8">
          <w:rPr>
            <w:noProof/>
          </w:rPr>
          <w:t>Boughton et al. 1995</w:t>
        </w:r>
      </w:hyperlink>
      <w:r w:rsidRPr="007D0AA8">
        <w:rPr>
          <w:noProof/>
        </w:rPr>
        <w:t>)</w:t>
      </w:r>
      <w:r w:rsidRPr="007D0AA8">
        <w:fldChar w:fldCharType="end"/>
      </w:r>
      <w:r w:rsidRPr="007D0AA8">
        <w:t xml:space="preserve"> could not be included in the meta-analysis (</w:t>
      </w:r>
      <w:r w:rsidRPr="007D0AA8">
        <w:fldChar w:fldCharType="begin"/>
      </w:r>
      <w:r w:rsidRPr="007D0AA8">
        <w:instrText xml:space="preserve"> REF _Ref10205734 \h </w:instrText>
      </w:r>
      <w:r w:rsidR="00386411" w:rsidRPr="007D0AA8">
        <w:instrText xml:space="preserve"> \* MERGEFORMAT </w:instrText>
      </w:r>
      <w:r w:rsidRPr="007D0AA8">
        <w:fldChar w:fldCharType="separate"/>
      </w:r>
      <w:r w:rsidR="00A7463B" w:rsidRPr="00386411">
        <w:t xml:space="preserve">Figure </w:t>
      </w:r>
      <w:r w:rsidR="00A7463B">
        <w:rPr>
          <w:noProof/>
        </w:rPr>
        <w:t>3</w:t>
      </w:r>
      <w:r w:rsidRPr="007D0AA8">
        <w:fldChar w:fldCharType="end"/>
      </w:r>
      <w:r w:rsidRPr="007D0AA8">
        <w:t xml:space="preserve">) as numbers of infections per group were not reported. Instead, infections were converted into a measure of treatment success (less than 3 infections) or failure (3 or more infections), although the infections threshold was not justified. The authors did not comment on the contribution of serious infections versus any infection to ‘success’ and ‘failure’ thus it was possible that a patient with three mild short-lived infections could be considered a failure whereas a patient with two severe refractory infections could be a success. </w:t>
      </w:r>
    </w:p>
    <w:p w14:paraId="0EF391CD" w14:textId="262DDD96" w:rsidR="00FB36D8" w:rsidRPr="007D0AA8" w:rsidRDefault="00FB36D8" w:rsidP="00FB36D8">
      <w:r w:rsidRPr="007D0AA8">
        <w:t xml:space="preserve">Patients defined as failures </w:t>
      </w:r>
      <w:r w:rsidR="00EA04CD">
        <w:t xml:space="preserve">in the Boughton study </w:t>
      </w:r>
      <w:r w:rsidRPr="007D0AA8">
        <w:t>were switched</w:t>
      </w:r>
      <w:r w:rsidR="009D44C6">
        <w:t>,</w:t>
      </w:r>
      <w:r w:rsidRPr="007D0AA8">
        <w:t xml:space="preserve"> </w:t>
      </w:r>
      <w:r w:rsidR="009D44C6">
        <w:t xml:space="preserve">either </w:t>
      </w:r>
      <w:r w:rsidRPr="007D0AA8">
        <w:t xml:space="preserve">to a higher dose if already on </w:t>
      </w:r>
      <w:r w:rsidRPr="008E57DD">
        <w:t>IVIg (7 patients at 5-9 months)</w:t>
      </w:r>
      <w:r w:rsidR="009D44C6" w:rsidRPr="008E57DD">
        <w:t>,</w:t>
      </w:r>
      <w:r w:rsidRPr="008E57DD">
        <w:t xml:space="preserve"> or from placebo to IVIg (11 patients at 9-11 months). The article did not describe </w:t>
      </w:r>
      <w:r w:rsidR="00B315BA" w:rsidRPr="008E57DD">
        <w:t xml:space="preserve">to </w:t>
      </w:r>
      <w:r w:rsidRPr="008E57DD">
        <w:t>which group events were attributed after switching. The authors did however report</w:t>
      </w:r>
      <w:r w:rsidRPr="007D0AA8">
        <w:t xml:space="preserve"> that serious infections, for example, septicaemia and pneumonia were less frequent in IVIg recipients than placebo patients (21% versus 56%; p=0.02). Also, in the placebo group, ten patients had severe hypogammaglobulinaemia (IgG &lt;3</w:t>
      </w:r>
      <w:r w:rsidR="006F6384">
        <w:t xml:space="preserve"> </w:t>
      </w:r>
      <w:r w:rsidRPr="007D0AA8">
        <w:t>g/L) and seven of these experienced 80 (65%) of the total infections recorded in the study</w:t>
      </w:r>
      <w:r w:rsidR="009D44C6">
        <w:t>, noting that this was one of the few studies that required both history of infections and documented hypogammaglobulinaemia in all patients at recruitment</w:t>
      </w:r>
      <w:r w:rsidR="00B315BA">
        <w:t>. Only four</w:t>
      </w:r>
      <w:r w:rsidRPr="007D0AA8">
        <w:t xml:space="preserve"> infections coincided with neutropenic episodes. </w:t>
      </w:r>
      <w:r w:rsidR="00937DFF">
        <w:t>The study favoured</w:t>
      </w:r>
      <w:r w:rsidRPr="007D0AA8">
        <w:t xml:space="preserve"> use of IVIg in CLL patie</w:t>
      </w:r>
      <w:r w:rsidR="00937DFF">
        <w:t>nts, noting it</w:t>
      </w:r>
      <w:r w:rsidRPr="007D0AA8">
        <w:t xml:space="preserve"> was at moderate risk of bias. </w:t>
      </w:r>
    </w:p>
    <w:p w14:paraId="6C0353DF" w14:textId="6030A72D" w:rsidR="00937DFF" w:rsidRPr="007D0AA8" w:rsidRDefault="00B315BA" w:rsidP="00937DFF">
      <w:r>
        <w:t>A small RCT in UK patients (N=12, mostly CLL)</w:t>
      </w:r>
      <w:r w:rsidR="00937DFF" w:rsidRPr="007D0AA8">
        <w:t xml:space="preserve"> </w:t>
      </w:r>
      <w:r w:rsidR="00937DFF" w:rsidRPr="007D0AA8">
        <w:fldChar w:fldCharType="begin"/>
      </w:r>
      <w:r w:rsidR="00896BE2">
        <w:instrText xml:space="preserve"> ADDIN EN.CITE &lt;EndNote&gt;&lt;Cite&gt;&lt;Author&gt;Chapel&lt;/Author&gt;&lt;Year&gt;1991&lt;/Year&gt;&lt;RecNum&gt;32&lt;/RecNum&gt;&lt;DisplayText&gt;(Chapel et al. 1991)&lt;/DisplayText&gt;&lt;record&gt;&lt;rec-number&gt;32&lt;/rec-number&gt;&lt;foreign-keys&gt;&lt;key app="EN" db-id="z0vwsepdwpt20pewwts5z9eup9e2r2pd2tad" timestamp="1553825060"&gt;32&lt;/key&gt;&lt;/foreign-keys&gt;&lt;ref-type name="Journal Article"&gt;17&lt;/ref-type&gt;&lt;contributors&gt;&lt;authors&gt;&lt;author&gt;Chapel, H. M.&lt;/author&gt;&lt;author&gt;Griffiths, H.&lt;/author&gt;&lt;author&gt;Brennan, V.&lt;/author&gt;&lt;author&gt;Bunch, C.&lt;/author&gt;&lt;author&gt;Lea, J.&lt;/author&gt;&lt;author&gt;Lee, M.&lt;/author&gt;&lt;/authors&gt;&lt;/contributors&gt;&lt;titles&gt;&lt;title&gt;Hypogammaglobulinaemia in low grade B cell tumours; significance and therapy&lt;/title&gt;&lt;secondary-title&gt;Immunological investigations&lt;/secondary-title&gt;&lt;/titles&gt;&lt;periodical&gt;&lt;full-title&gt;Immunological investigations&lt;/full-title&gt;&lt;/periodical&gt;&lt;pages&gt;187‐191&lt;/pages&gt;&lt;volume&gt;20&lt;/volume&gt;&lt;number&gt;2&lt;/number&gt;&lt;keywords&gt;&lt;keyword&gt;Agammaglobulinemia [complications, *therapy]&lt;/keyword&gt;&lt;keyword&gt;Bacterial Infections [etiology, *prevention &amp;amp; control]&lt;/keyword&gt;&lt;keyword&gt;Humans&lt;/keyword&gt;&lt;keyword&gt;Immunoglobulin G [therapeutic use]&lt;/keyword&gt;&lt;keyword&gt;Immunotherapy&lt;/keyword&gt;&lt;keyword&gt;Infusions, Intravenous&lt;/keyword&gt;&lt;keyword&gt;Leukemia, Lymphocytic, Chronic, B‐Cell [complications]&lt;/keyword&gt;&lt;keyword&gt;Lymphoma, Non‐Hodgkin [complications]&lt;/keyword&gt;&lt;/keywords&gt;&lt;dates&gt;&lt;year&gt;1991&lt;/year&gt;&lt;pub-dates&gt;&lt;date&gt;1991&lt;/date&gt;&lt;/pub-dates&gt;&lt;/dates&gt;&lt;accession-num&gt;CN-00077281&lt;/accession-num&gt;&lt;urls&gt;&lt;related-urls&gt;&lt;url&gt;&lt;style face="underline" font="default" size="100%"&gt;https://www.cochranelibrary.com/central/doi/10.1002/central/CN-00077281/full&lt;/style&gt;&lt;/url&gt;&lt;/related-urls&gt;&lt;/urls&gt;&lt;custom1&gt;RAYYAN-INCLUSION: {&amp;quot;Skye&amp;quot;=&amp;gt;&amp;quot;Included&amp;quot;}&lt;/custom1&gt;&lt;research-notes&gt;CLL and NHL IVIg vs saline&lt;/research-notes&gt;&lt;/record&gt;&lt;/Cite&gt;&lt;/EndNote&gt;</w:instrText>
      </w:r>
      <w:r w:rsidR="00937DFF" w:rsidRPr="007D0AA8">
        <w:fldChar w:fldCharType="separate"/>
      </w:r>
      <w:r w:rsidR="00937DFF" w:rsidRPr="007D0AA8">
        <w:rPr>
          <w:noProof/>
        </w:rPr>
        <w:t>(</w:t>
      </w:r>
      <w:hyperlink w:anchor="_ENREF_12" w:tooltip="Chapel, 1991 #32" w:history="1">
        <w:r w:rsidR="00BB0145" w:rsidRPr="007D0AA8">
          <w:rPr>
            <w:noProof/>
          </w:rPr>
          <w:t>Chapel et al. 1991</w:t>
        </w:r>
      </w:hyperlink>
      <w:r w:rsidR="00937DFF" w:rsidRPr="007D0AA8">
        <w:rPr>
          <w:noProof/>
        </w:rPr>
        <w:t>)</w:t>
      </w:r>
      <w:r w:rsidR="00937DFF" w:rsidRPr="007D0AA8">
        <w:fldChar w:fldCharType="end"/>
      </w:r>
      <w:r w:rsidR="00937DFF" w:rsidRPr="007D0AA8">
        <w:t xml:space="preserve"> </w:t>
      </w:r>
      <w:r>
        <w:t>employed a</w:t>
      </w:r>
      <w:r w:rsidR="00937DFF" w:rsidRPr="007D0AA8">
        <w:t xml:space="preserve"> 24 months crossover protocol</w:t>
      </w:r>
      <w:r w:rsidR="00937DFF">
        <w:t xml:space="preserve"> </w:t>
      </w:r>
      <w:r>
        <w:t xml:space="preserve">which only 5 patients completed, </w:t>
      </w:r>
      <w:r w:rsidR="00937DFF">
        <w:t>although it did favour IgG</w:t>
      </w:r>
      <w:r w:rsidR="00937DFF" w:rsidRPr="007D0AA8">
        <w:t xml:space="preserve">. The </w:t>
      </w:r>
      <w:r w:rsidR="00937DFF">
        <w:t xml:space="preserve">article </w:t>
      </w:r>
      <w:r>
        <w:t>was very brief, drawing</w:t>
      </w:r>
      <w:r w:rsidR="00937DFF" w:rsidRPr="007D0AA8">
        <w:t xml:space="preserve"> its substance from discussion of an earlier study </w:t>
      </w:r>
      <w:r w:rsidR="00896BE2">
        <w:fldChar w:fldCharType="begin">
          <w:fldData xml:space="preserve">PEVuZE5vdGU+PENpdGU+PEF1dGhvcj5HYWxlPC9BdXRob3I+PFllYXI+MTk4ODwvWWVhcj48UmVj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</w:fldData>
        </w:fldChar>
      </w:r>
      <w:r w:rsidR="00896BE2">
        <w:instrText xml:space="preserve"> ADDIN EN.CITE </w:instrText>
      </w:r>
      <w:r w:rsidR="00896BE2">
        <w:fldChar w:fldCharType="begin">
          <w:fldData xml:space="preserve">PEVuZE5vdGU+PENpdGU+PEF1dGhvcj5HYWxlPC9BdXRob3I+PFllYXI+MTk4ODwvWWVhcj48UmVj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</w:fldData>
        </w:fldChar>
      </w:r>
      <w:r w:rsidR="00896BE2">
        <w:instrText xml:space="preserve"> ADDIN EN.CITE.DATA </w:instrText>
      </w:r>
      <w:r w:rsidR="00896BE2">
        <w:fldChar w:fldCharType="end"/>
      </w:r>
      <w:r w:rsidR="00896BE2">
        <w:fldChar w:fldCharType="separate"/>
      </w:r>
      <w:r w:rsidR="00896BE2">
        <w:rPr>
          <w:noProof/>
        </w:rPr>
        <w:t>(</w:t>
      </w:r>
      <w:hyperlink w:anchor="_ENREF_19" w:tooltip="Gale, 1988 #4" w:history="1">
        <w:r w:rsidR="00BB0145">
          <w:rPr>
            <w:noProof/>
          </w:rPr>
          <w:t>Gale et al. 1988</w:t>
        </w:r>
      </w:hyperlink>
      <w:r w:rsidR="00896BE2">
        <w:rPr>
          <w:noProof/>
        </w:rPr>
        <w:t>)</w:t>
      </w:r>
      <w:r w:rsidR="00896BE2">
        <w:fldChar w:fldCharType="end"/>
      </w:r>
      <w:r w:rsidR="00937DFF">
        <w:t xml:space="preserve"> on which the design of this</w:t>
      </w:r>
      <w:r w:rsidR="00937DFF" w:rsidRPr="007D0AA8">
        <w:t xml:space="preserve"> later study was based. </w:t>
      </w:r>
    </w:p>
    <w:p w14:paraId="6C06263D" w14:textId="24704410" w:rsidR="00EA04CD" w:rsidRDefault="00EA04CD" w:rsidP="00EA04CD">
      <w:r>
        <w:t xml:space="preserve">A supportive RCT that presented a dose comparison of IVIg in 34 CLL patients </w:t>
      </w:r>
      <w:r w:rsidR="00896BE2">
        <w:fldChar w:fldCharType="begin"/>
      </w:r>
      <w:r w:rsidR="00896BE2">
        <w:instrText xml:space="preserve"> ADDIN EN.CITE &lt;EndNote&gt;&lt;Cite&gt;&lt;Author&gt;Chapel&lt;/Author&gt;&lt;Year&gt;1994&lt;/Year&gt;&lt;RecNum&gt;47&lt;/RecNum&gt;&lt;DisplayText&gt;(Chapel et al. 1994a)&lt;/DisplayText&gt;&lt;record&gt;&lt;rec-number&gt;47&lt;/rec-number&gt;&lt;foreign-keys&gt;&lt;key app="EN" db-id="z0vwsepdwpt20pewwts5z9eup9e2r2pd2tad" timestamp="1554259107"&gt;47&lt;/key&gt;&lt;/foreign-keys&gt;&lt;ref-type name="Journal Article"&gt;17&lt;/ref-type&gt;&lt;contributors&gt;&lt;authors&gt;&lt;author&gt;Chapel, H. M.&lt;/author&gt;&lt;author&gt;Dicato, M.&lt;/author&gt;&lt;author&gt;Gamm, H.&lt;/author&gt;&lt;author&gt;Brennan, V.&lt;/author&gt;&lt;author&gt;Ries, F.&lt;/author&gt;&lt;author&gt;Bunch, C.&lt;/author&gt;&lt;author&gt;Lee, M.&lt;/author&gt;&lt;/authors&gt;&lt;/contributors&gt;&lt;auth-address&gt;Department of Immunology, John Radcliffe Hospital, Oxford.&lt;/auth-address&gt;&lt;titles&gt;&lt;title&gt;Immunoglobulin replacement in patients with chronic lymphocytic leukaemia: a comparison of two dose regimes&lt;/title&gt;&lt;secondary-title&gt;Br J Haematol&lt;/secondary-title&gt;&lt;/titles&gt;&lt;periodical&gt;&lt;full-title&gt;Br J Haematol&lt;/full-title&gt;&lt;/periodical&gt;&lt;pages&gt;209-12&lt;/pages&gt;&lt;volume&gt;88&lt;/volume&gt;&lt;number&gt;1&lt;/number&gt;&lt;edition&gt;1994/09/01&lt;/edition&gt;&lt;keywords&gt;&lt;keyword&gt;Aged&lt;/keyword&gt;&lt;keyword&gt;Critical Illness&lt;/keyword&gt;&lt;keyword&gt;Dose-Response Relationship, Immunologic&lt;/keyword&gt;&lt;keyword&gt;Double-Blind Method&lt;/keyword&gt;&lt;keyword&gt;Female&lt;/keyword&gt;&lt;keyword&gt;Humans&lt;/keyword&gt;&lt;keyword&gt;Immunoglobulin G/administration &amp;amp; dosage/ therapeutic use&lt;/keyword&gt;&lt;keyword&gt;Male&lt;/keyword&gt;&lt;keyword&gt;Middle Aged&lt;/keyword&gt;&lt;keyword&gt;Precursor Cell Lymphoblastic Leukemia-Lymphoma/ therapy&lt;/keyword&gt;&lt;keyword&gt;Treatment Outcome&lt;/keyword&gt;&lt;/keywords&gt;&lt;dates&gt;&lt;year&gt;1994&lt;/year&gt;&lt;pub-dates&gt;&lt;date&gt;Sep&lt;/date&gt;&lt;/pub-dates&gt;&lt;/dates&gt;&lt;isbn&gt;0007-1048 (Print)&amp;#xD;0007-1048 (Linking)&lt;/isbn&gt;&lt;accession-num&gt;7803248&lt;/accession-num&gt;&lt;urls&gt;&lt;/urls&gt;&lt;remote-database-provider&gt;NLM&lt;/remote-database-provider&gt;&lt;research-notes&gt;CLL dose comparison&lt;/research-notes&gt;&lt;language&gt;eng&lt;/language&gt;&lt;/record&gt;&lt;/Cite&gt;&lt;/EndNote&gt;</w:instrText>
      </w:r>
      <w:r w:rsidR="00896BE2">
        <w:fldChar w:fldCharType="separate"/>
      </w:r>
      <w:r w:rsidR="00896BE2">
        <w:rPr>
          <w:noProof/>
        </w:rPr>
        <w:t>(</w:t>
      </w:r>
      <w:hyperlink w:anchor="_ENREF_11" w:tooltip="Chapel, 1994 #47" w:history="1">
        <w:r w:rsidR="00BB0145">
          <w:rPr>
            <w:noProof/>
          </w:rPr>
          <w:t>Chapel et al. 1994a</w:t>
        </w:r>
      </w:hyperlink>
      <w:r w:rsidR="00896BE2">
        <w:rPr>
          <w:noProof/>
        </w:rPr>
        <w:t>)</w:t>
      </w:r>
      <w:r w:rsidR="00896BE2">
        <w:fldChar w:fldCharType="end"/>
      </w:r>
      <w:r w:rsidRPr="007D0AA8">
        <w:t xml:space="preserve"> reported that the infection rates in the 23 hypogammaglobulinaemic patients (IgG&lt;6.4</w:t>
      </w:r>
      <w:r w:rsidR="006F6384">
        <w:t xml:space="preserve"> </w:t>
      </w:r>
      <w:r w:rsidRPr="007D0AA8">
        <w:t>g/L</w:t>
      </w:r>
      <w:r>
        <w:t>) (regardless of dose level)</w:t>
      </w:r>
      <w:r w:rsidRPr="007D0AA8">
        <w:t xml:space="preserve"> showed that those with previous infections had a slightly higher rate of any infection (0.19 infections/patient-month) than those without prior infections (0.06 infections/patient-month), though the numbers were too small for meaningful analysis.  </w:t>
      </w:r>
    </w:p>
    <w:p w14:paraId="0DF5DB38" w14:textId="77777777" w:rsidR="002E0763" w:rsidRDefault="002E0763" w:rsidP="002E0763">
      <w:pPr>
        <w:pStyle w:val="Heading5"/>
        <w:rPr>
          <w:sz w:val="20"/>
        </w:rPr>
      </w:pPr>
      <w:r>
        <w:rPr>
          <w:sz w:val="20"/>
        </w:rPr>
        <w:t>Non-r</w:t>
      </w:r>
      <w:r w:rsidRPr="00386411">
        <w:rPr>
          <w:sz w:val="20"/>
        </w:rPr>
        <w:t>andomised studies</w:t>
      </w:r>
      <w:r>
        <w:rPr>
          <w:sz w:val="20"/>
        </w:rPr>
        <w:t xml:space="preserve"> – CLL</w:t>
      </w:r>
    </w:p>
    <w:p w14:paraId="2BE7B309" w14:textId="72F8DB95" w:rsidR="002E0763" w:rsidRDefault="002E0763" w:rsidP="002E0763">
      <w:pPr>
        <w:rPr>
          <w:rFonts w:asciiTheme="minorHAnsi" w:hAnsiTheme="minorHAnsi" w:cstheme="minorHAnsi"/>
        </w:rPr>
      </w:pPr>
      <w:r w:rsidRPr="009901BD">
        <w:rPr>
          <w:rFonts w:asciiTheme="minorHAnsi" w:hAnsiTheme="minorHAnsi" w:cstheme="minorHAnsi"/>
        </w:rPr>
        <w:t xml:space="preserve">Two case series reported infections in relatively large numbers of CLL patients </w:t>
      </w:r>
      <w:r w:rsidR="00896BE2">
        <w:rPr>
          <w:rFonts w:asciiTheme="minorHAnsi" w:hAnsiTheme="minorHAnsi" w:cstheme="minorHAnsi"/>
        </w:rPr>
        <w:fldChar w:fldCharType="begin">
          <w:fldData xml:space="preserve">PEVuZE5vdGU+PENpdGU+PEF1dGhvcj5SZWlzZXI8L0F1dGhvcj48WWVhcj4yMDE3PC9ZZWFyPjxS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</w:fldData>
        </w:fldChar>
      </w:r>
      <w:r w:rsidR="00896BE2">
        <w:rPr>
          <w:rFonts w:asciiTheme="minorHAnsi" w:hAnsiTheme="minorHAnsi" w:cstheme="minorHAnsi"/>
        </w:rPr>
        <w:instrText xml:space="preserve"> ADDIN EN.CITE </w:instrText>
      </w:r>
      <w:r w:rsidR="00896BE2">
        <w:rPr>
          <w:rFonts w:asciiTheme="minorHAnsi" w:hAnsiTheme="minorHAnsi" w:cstheme="minorHAnsi"/>
        </w:rPr>
        <w:fldChar w:fldCharType="begin">
          <w:fldData xml:space="preserve">PEVuZE5vdGU+PENpdGU+PEF1dGhvcj5SZWlzZXI8L0F1dGhvcj48WWVhcj4yMDE3PC9ZZWFyPjxS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</w:fldData>
        </w:fldChar>
      </w:r>
      <w:r w:rsidR="00896BE2">
        <w:rPr>
          <w:rFonts w:asciiTheme="minorHAnsi" w:hAnsiTheme="minorHAnsi" w:cstheme="minorHAnsi"/>
        </w:rPr>
        <w:instrText xml:space="preserve"> ADDIN EN.CITE.DATA </w:instrText>
      </w:r>
      <w:r w:rsidR="00896BE2">
        <w:rPr>
          <w:rFonts w:asciiTheme="minorHAnsi" w:hAnsiTheme="minorHAnsi" w:cstheme="minorHAnsi"/>
        </w:rPr>
      </w:r>
      <w:r w:rsidR="00896BE2">
        <w:rPr>
          <w:rFonts w:asciiTheme="minorHAnsi" w:hAnsiTheme="minorHAnsi" w:cstheme="minorHAnsi"/>
        </w:rPr>
        <w:fldChar w:fldCharType="end"/>
      </w:r>
      <w:r w:rsidR="00896BE2">
        <w:rPr>
          <w:rFonts w:asciiTheme="minorHAnsi" w:hAnsiTheme="minorHAnsi" w:cstheme="minorHAnsi"/>
        </w:rPr>
      </w:r>
      <w:r w:rsidR="00896BE2">
        <w:rPr>
          <w:rFonts w:asciiTheme="minorHAnsi" w:hAnsiTheme="minorHAnsi" w:cstheme="minorHAnsi"/>
        </w:rPr>
        <w:fldChar w:fldCharType="separate"/>
      </w:r>
      <w:r w:rsidR="00896BE2">
        <w:rPr>
          <w:rFonts w:asciiTheme="minorHAnsi" w:hAnsiTheme="minorHAnsi" w:cstheme="minorHAnsi"/>
          <w:noProof/>
        </w:rPr>
        <w:t>(</w:t>
      </w:r>
      <w:hyperlink w:anchor="_ENREF_42" w:tooltip="Reiser, 2017 #91" w:history="1">
        <w:r w:rsidR="00BB0145">
          <w:rPr>
            <w:rFonts w:asciiTheme="minorHAnsi" w:hAnsiTheme="minorHAnsi" w:cstheme="minorHAnsi"/>
            <w:noProof/>
          </w:rPr>
          <w:t>Reiser et al. 2017</w:t>
        </w:r>
      </w:hyperlink>
      <w:r w:rsidR="00896BE2">
        <w:rPr>
          <w:rFonts w:asciiTheme="minorHAnsi" w:hAnsiTheme="minorHAnsi" w:cstheme="minorHAnsi"/>
          <w:noProof/>
        </w:rPr>
        <w:t>)</w:t>
      </w:r>
      <w:r w:rsidR="00896BE2">
        <w:rPr>
          <w:rFonts w:asciiTheme="minorHAnsi" w:hAnsiTheme="minorHAnsi" w:cstheme="minorHAnsi"/>
        </w:rPr>
        <w:fldChar w:fldCharType="end"/>
      </w:r>
      <w:r w:rsidRPr="009901BD">
        <w:rPr>
          <w:rFonts w:asciiTheme="minorHAnsi" w:hAnsiTheme="minorHAnsi" w:cstheme="minorHAnsi"/>
        </w:rPr>
        <w:t xml:space="preserve">(130 CLL patients out of 307 in total) and </w:t>
      </w:r>
      <w:r w:rsidR="00896BE2">
        <w:rPr>
          <w:rFonts w:asciiTheme="minorHAnsi" w:hAnsiTheme="minorHAnsi" w:cstheme="minorHAnsi"/>
        </w:rPr>
        <w:fldChar w:fldCharType="begin">
          <w:fldData xml:space="preserve">PEVuZE5vdGU+PENpdGU+PEF1dGhvcj5CZW5icmFoaW08L0F1dGhvcj48WWVhcj4yMDE5PC9ZZWFy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==
</w:fldData>
        </w:fldChar>
      </w:r>
      <w:r w:rsidR="00896BE2">
        <w:rPr>
          <w:rFonts w:asciiTheme="minorHAnsi" w:hAnsiTheme="minorHAnsi" w:cstheme="minorHAnsi"/>
        </w:rPr>
        <w:instrText xml:space="preserve"> ADDIN EN.CITE </w:instrText>
      </w:r>
      <w:r w:rsidR="00896BE2">
        <w:rPr>
          <w:rFonts w:asciiTheme="minorHAnsi" w:hAnsiTheme="minorHAnsi" w:cstheme="minorHAnsi"/>
        </w:rPr>
        <w:fldChar w:fldCharType="begin">
          <w:fldData xml:space="preserve">PEVuZE5vdGU+PENpdGU+PEF1dGhvcj5CZW5icmFoaW08L0F1dGhvcj48WWVhcj4yMDE5PC9ZZWFy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==
</w:fldData>
        </w:fldChar>
      </w:r>
      <w:r w:rsidR="00896BE2">
        <w:rPr>
          <w:rFonts w:asciiTheme="minorHAnsi" w:hAnsiTheme="minorHAnsi" w:cstheme="minorHAnsi"/>
        </w:rPr>
        <w:instrText xml:space="preserve"> ADDIN EN.CITE.DATA </w:instrText>
      </w:r>
      <w:r w:rsidR="00896BE2">
        <w:rPr>
          <w:rFonts w:asciiTheme="minorHAnsi" w:hAnsiTheme="minorHAnsi" w:cstheme="minorHAnsi"/>
        </w:rPr>
      </w:r>
      <w:r w:rsidR="00896BE2">
        <w:rPr>
          <w:rFonts w:asciiTheme="minorHAnsi" w:hAnsiTheme="minorHAnsi" w:cstheme="minorHAnsi"/>
        </w:rPr>
        <w:fldChar w:fldCharType="end"/>
      </w:r>
      <w:r w:rsidR="00896BE2">
        <w:rPr>
          <w:rFonts w:asciiTheme="minorHAnsi" w:hAnsiTheme="minorHAnsi" w:cstheme="minorHAnsi"/>
        </w:rPr>
      </w:r>
      <w:r w:rsidR="00896BE2">
        <w:rPr>
          <w:rFonts w:asciiTheme="minorHAnsi" w:hAnsiTheme="minorHAnsi" w:cstheme="minorHAnsi"/>
        </w:rPr>
        <w:fldChar w:fldCharType="separate"/>
      </w:r>
      <w:r w:rsidR="00896BE2">
        <w:rPr>
          <w:rFonts w:asciiTheme="minorHAnsi" w:hAnsiTheme="minorHAnsi" w:cstheme="minorHAnsi"/>
          <w:noProof/>
        </w:rPr>
        <w:t>(</w:t>
      </w:r>
      <w:hyperlink w:anchor="_ENREF_3" w:tooltip="Benbrahim, 2019 #88" w:history="1">
        <w:r w:rsidR="00BB0145">
          <w:rPr>
            <w:rFonts w:asciiTheme="minorHAnsi" w:hAnsiTheme="minorHAnsi" w:cstheme="minorHAnsi"/>
            <w:noProof/>
          </w:rPr>
          <w:t>Benbrahim et al. 2019</w:t>
        </w:r>
      </w:hyperlink>
      <w:r w:rsidR="00896BE2">
        <w:rPr>
          <w:rFonts w:asciiTheme="minorHAnsi" w:hAnsiTheme="minorHAnsi" w:cstheme="minorHAnsi"/>
          <w:noProof/>
        </w:rPr>
        <w:t>)</w:t>
      </w:r>
      <w:r w:rsidR="00896BE2">
        <w:rPr>
          <w:rFonts w:asciiTheme="minorHAnsi" w:hAnsiTheme="minorHAnsi" w:cstheme="minorHAnsi"/>
        </w:rPr>
        <w:fldChar w:fldCharType="end"/>
      </w:r>
      <w:r w:rsidRPr="009901BD">
        <w:rPr>
          <w:rFonts w:asciiTheme="minorHAnsi" w:hAnsiTheme="minorHAnsi" w:cstheme="minorHAnsi"/>
        </w:rPr>
        <w:t>(54 CLL patients out of 160)</w:t>
      </w:r>
      <w:r>
        <w:rPr>
          <w:rFonts w:asciiTheme="minorHAnsi" w:hAnsiTheme="minorHAnsi" w:cstheme="minorHAnsi"/>
        </w:rPr>
        <w:t>. These recent studies were condu</w:t>
      </w:r>
      <w:r w:rsidR="00B315BA">
        <w:rPr>
          <w:rFonts w:asciiTheme="minorHAnsi" w:hAnsiTheme="minorHAnsi" w:cstheme="minorHAnsi"/>
        </w:rPr>
        <w:t>cted in Germany and France, resp</w:t>
      </w:r>
      <w:r>
        <w:rPr>
          <w:rFonts w:asciiTheme="minorHAnsi" w:hAnsiTheme="minorHAnsi" w:cstheme="minorHAnsi"/>
        </w:rPr>
        <w:t xml:space="preserve">ectively. Both studies also included a mix of patients receiving IVIg and SCIg (Reiser: </w:t>
      </w:r>
      <w:r w:rsidRPr="00FB19D5">
        <w:rPr>
          <w:rFonts w:asciiTheme="minorHAnsi" w:hAnsiTheme="minorHAnsi" w:cstheme="minorHAnsi"/>
        </w:rPr>
        <w:t>IVIg=287; SCIg=20</w:t>
      </w:r>
      <w:r>
        <w:rPr>
          <w:rFonts w:asciiTheme="minorHAnsi" w:hAnsiTheme="minorHAnsi" w:cstheme="minorHAnsi"/>
        </w:rPr>
        <w:t xml:space="preserve">; Benbrahim: </w:t>
      </w:r>
      <w:r w:rsidRPr="00FB19D5">
        <w:rPr>
          <w:rFonts w:asciiTheme="minorHAnsi" w:hAnsiTheme="minorHAnsi" w:cstheme="minorHAnsi"/>
        </w:rPr>
        <w:t>IVIg n=50, SCIg n=110</w:t>
      </w:r>
      <w:r>
        <w:rPr>
          <w:rFonts w:asciiTheme="minorHAnsi" w:hAnsiTheme="minorHAnsi" w:cstheme="minorHAnsi"/>
        </w:rPr>
        <w:t xml:space="preserve">). The Reiser study was a retrospective analysis of German registry patients and was at </w:t>
      </w:r>
      <w:r>
        <w:rPr>
          <w:rFonts w:asciiTheme="minorHAnsi" w:hAnsiTheme="minorHAnsi" w:cstheme="minorHAnsi"/>
        </w:rPr>
        <w:lastRenderedPageBreak/>
        <w:t xml:space="preserve">moderate risk of bias </w:t>
      </w:r>
      <w:r w:rsidRPr="008E57DD">
        <w:rPr>
          <w:rFonts w:asciiTheme="minorHAnsi" w:hAnsiTheme="minorHAnsi" w:cstheme="minorHAnsi"/>
        </w:rPr>
        <w:t xml:space="preserve">with similar selection bias issues as the cohort studies (see overview). The Benbrahim </w:t>
      </w:r>
      <w:r w:rsidR="008E57DD">
        <w:rPr>
          <w:rFonts w:asciiTheme="minorHAnsi" w:hAnsiTheme="minorHAnsi" w:cstheme="minorHAnsi"/>
        </w:rPr>
        <w:t>case series</w:t>
      </w:r>
      <w:r w:rsidRPr="008E57DD">
        <w:rPr>
          <w:rFonts w:asciiTheme="minorHAnsi" w:hAnsiTheme="minorHAnsi" w:cstheme="minorHAnsi"/>
        </w:rPr>
        <w:t xml:space="preserve"> had a low</w:t>
      </w:r>
      <w:r>
        <w:rPr>
          <w:rFonts w:asciiTheme="minorHAnsi" w:hAnsiTheme="minorHAnsi" w:cstheme="minorHAnsi"/>
        </w:rPr>
        <w:t xml:space="preserve"> risk of bias and was conducted prospectively. </w:t>
      </w:r>
    </w:p>
    <w:p w14:paraId="1C62FDF0" w14:textId="1FDB0CF2" w:rsidR="002E0763" w:rsidRDefault="002E0763" w:rsidP="002E0763">
      <w:pPr>
        <w:rPr>
          <w:rFonts w:asciiTheme="minorHAnsi" w:hAnsiTheme="minorHAnsi" w:cstheme="minorHAnsi"/>
        </w:rPr>
      </w:pPr>
      <w:r>
        <w:rPr>
          <w:rFonts w:asciiTheme="minorHAnsi" w:hAnsiTheme="minorHAnsi" w:cstheme="minorHAnsi"/>
        </w:rPr>
        <w:t>Benbrahim et al. reported incidence of sepsis and of infections of higher than WHO Grade 2 (that is, severe or life-threatening but not including mild or moderate). Both events were reduced on initiation of IgG compared with that during the ob</w:t>
      </w:r>
      <w:r w:rsidR="00B315BA">
        <w:rPr>
          <w:rFonts w:asciiTheme="minorHAnsi" w:hAnsiTheme="minorHAnsi" w:cstheme="minorHAnsi"/>
        </w:rPr>
        <w:t xml:space="preserve">servation period prior to IgG. </w:t>
      </w:r>
      <w:r>
        <w:rPr>
          <w:rFonts w:asciiTheme="minorHAnsi" w:hAnsiTheme="minorHAnsi" w:cstheme="minorHAnsi"/>
        </w:rPr>
        <w:t xml:space="preserve">However, sepsis </w:t>
      </w:r>
      <w:r w:rsidR="00B315BA">
        <w:rPr>
          <w:rFonts w:asciiTheme="minorHAnsi" w:hAnsiTheme="minorHAnsi" w:cstheme="minorHAnsi"/>
        </w:rPr>
        <w:t>events were</w:t>
      </w:r>
      <w:r>
        <w:rPr>
          <w:rFonts w:asciiTheme="minorHAnsi" w:hAnsiTheme="minorHAnsi" w:cstheme="minorHAnsi"/>
        </w:rPr>
        <w:t xml:space="preserve"> not included in the meta-analysis as the overall numbers were</w:t>
      </w:r>
      <w:r w:rsidRPr="00E908DF">
        <w:rPr>
          <w:rFonts w:asciiTheme="minorHAnsi" w:hAnsiTheme="minorHAnsi" w:cstheme="minorHAnsi"/>
        </w:rPr>
        <w:t xml:space="preserve"> </w:t>
      </w:r>
      <w:r>
        <w:rPr>
          <w:rFonts w:asciiTheme="minorHAnsi" w:hAnsiTheme="minorHAnsi" w:cstheme="minorHAnsi"/>
        </w:rPr>
        <w:t xml:space="preserve">high compared to other events reported in the same study which was considered likely to be a definition issue.  </w:t>
      </w:r>
    </w:p>
    <w:p w14:paraId="1CB49EC1" w14:textId="737AA025" w:rsidR="002E0763" w:rsidRPr="009901BD" w:rsidRDefault="002E0763" w:rsidP="002E0763">
      <w:pPr>
        <w:rPr>
          <w:rFonts w:asciiTheme="minorHAnsi" w:hAnsiTheme="minorHAnsi" w:cstheme="minorHAnsi"/>
        </w:rPr>
      </w:pPr>
      <w:r>
        <w:rPr>
          <w:rFonts w:asciiTheme="minorHAnsi" w:hAnsiTheme="minorHAnsi" w:cstheme="minorHAnsi"/>
        </w:rPr>
        <w:t>A retrospective German study reported infections for 307 patients (including 130 CLL patients) receiving either IVIg or SCIg prior to and during IgG treatment</w:t>
      </w:r>
      <w:r w:rsidRPr="009901BD">
        <w:rPr>
          <w:rFonts w:asciiTheme="minorHAnsi" w:hAnsiTheme="minorHAnsi" w:cstheme="minorHAnsi"/>
        </w:rPr>
        <w:t xml:space="preserve"> </w:t>
      </w:r>
      <w:r w:rsidR="00896BE2">
        <w:rPr>
          <w:rFonts w:asciiTheme="minorHAnsi" w:hAnsiTheme="minorHAnsi" w:cstheme="minorHAnsi"/>
        </w:rPr>
        <w:fldChar w:fldCharType="begin">
          <w:fldData xml:space="preserve">PEVuZE5vdGU+PENpdGU+PEF1dGhvcj5SZWlzZXI8L0F1dGhvcj48WWVhcj4yMDE3PC9ZZWFyPjxS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</w:fldData>
        </w:fldChar>
      </w:r>
      <w:r w:rsidR="00896BE2">
        <w:rPr>
          <w:rFonts w:asciiTheme="minorHAnsi" w:hAnsiTheme="minorHAnsi" w:cstheme="minorHAnsi"/>
        </w:rPr>
        <w:instrText xml:space="preserve"> ADDIN EN.CITE </w:instrText>
      </w:r>
      <w:r w:rsidR="00896BE2">
        <w:rPr>
          <w:rFonts w:asciiTheme="minorHAnsi" w:hAnsiTheme="minorHAnsi" w:cstheme="minorHAnsi"/>
        </w:rPr>
        <w:fldChar w:fldCharType="begin">
          <w:fldData xml:space="preserve">PEVuZE5vdGU+PENpdGU+PEF1dGhvcj5SZWlzZXI8L0F1dGhvcj48WWVhcj4yMDE3PC9ZZWFyPjxS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</w:fldData>
        </w:fldChar>
      </w:r>
      <w:r w:rsidR="00896BE2">
        <w:rPr>
          <w:rFonts w:asciiTheme="minorHAnsi" w:hAnsiTheme="minorHAnsi" w:cstheme="minorHAnsi"/>
        </w:rPr>
        <w:instrText xml:space="preserve"> ADDIN EN.CITE.DATA </w:instrText>
      </w:r>
      <w:r w:rsidR="00896BE2">
        <w:rPr>
          <w:rFonts w:asciiTheme="minorHAnsi" w:hAnsiTheme="minorHAnsi" w:cstheme="minorHAnsi"/>
        </w:rPr>
      </w:r>
      <w:r w:rsidR="00896BE2">
        <w:rPr>
          <w:rFonts w:asciiTheme="minorHAnsi" w:hAnsiTheme="minorHAnsi" w:cstheme="minorHAnsi"/>
        </w:rPr>
        <w:fldChar w:fldCharType="end"/>
      </w:r>
      <w:r w:rsidR="00896BE2">
        <w:rPr>
          <w:rFonts w:asciiTheme="minorHAnsi" w:hAnsiTheme="minorHAnsi" w:cstheme="minorHAnsi"/>
        </w:rPr>
      </w:r>
      <w:r w:rsidR="00896BE2">
        <w:rPr>
          <w:rFonts w:asciiTheme="minorHAnsi" w:hAnsiTheme="minorHAnsi" w:cstheme="minorHAnsi"/>
        </w:rPr>
        <w:fldChar w:fldCharType="separate"/>
      </w:r>
      <w:r w:rsidR="00896BE2">
        <w:rPr>
          <w:rFonts w:asciiTheme="minorHAnsi" w:hAnsiTheme="minorHAnsi" w:cstheme="minorHAnsi"/>
          <w:noProof/>
        </w:rPr>
        <w:t>(</w:t>
      </w:r>
      <w:hyperlink w:anchor="_ENREF_42" w:tooltip="Reiser, 2017 #91" w:history="1">
        <w:r w:rsidR="00BB0145">
          <w:rPr>
            <w:rFonts w:asciiTheme="minorHAnsi" w:hAnsiTheme="minorHAnsi" w:cstheme="minorHAnsi"/>
            <w:noProof/>
          </w:rPr>
          <w:t>Reiser et al. 2017</w:t>
        </w:r>
      </w:hyperlink>
      <w:r w:rsidR="00896BE2">
        <w:rPr>
          <w:rFonts w:asciiTheme="minorHAnsi" w:hAnsiTheme="minorHAnsi" w:cstheme="minorHAnsi"/>
          <w:noProof/>
        </w:rPr>
        <w:t>)</w:t>
      </w:r>
      <w:r w:rsidR="00896BE2">
        <w:rPr>
          <w:rFonts w:asciiTheme="minorHAnsi" w:hAnsiTheme="minorHAnsi" w:cstheme="minorHAnsi"/>
        </w:rPr>
        <w:fldChar w:fldCharType="end"/>
      </w:r>
      <w:r>
        <w:rPr>
          <w:rFonts w:asciiTheme="minorHAnsi" w:hAnsiTheme="minorHAnsi" w:cstheme="minorHAnsi"/>
        </w:rPr>
        <w:t>. Although patients with infections were only reported as a proportion for most infection outcomes, before/after IgG numbers of infection events were reported for serious bacterial infections (</w:t>
      </w:r>
      <w:r w:rsidRPr="00D775E5">
        <w:rPr>
          <w:rFonts w:asciiTheme="minorHAnsi" w:hAnsiTheme="minorHAnsi" w:cstheme="minorHAnsi"/>
        </w:rPr>
        <w:t xml:space="preserve">77 </w:t>
      </w:r>
      <w:r>
        <w:rPr>
          <w:rFonts w:asciiTheme="minorHAnsi" w:hAnsiTheme="minorHAnsi" w:cstheme="minorHAnsi"/>
        </w:rPr>
        <w:t>before versus 11 during 24 months of IgG treatment</w:t>
      </w:r>
      <w:r w:rsidRPr="00D775E5">
        <w:rPr>
          <w:rFonts w:asciiTheme="minorHAnsi" w:hAnsiTheme="minorHAnsi" w:cstheme="minorHAnsi"/>
        </w:rPr>
        <w:t>)</w:t>
      </w:r>
      <w:r>
        <w:rPr>
          <w:rFonts w:asciiTheme="minorHAnsi" w:hAnsiTheme="minorHAnsi" w:cstheme="minorHAnsi"/>
        </w:rPr>
        <w:t>. A similarly proportionate reduction in outcomes associated with IgG treatment was observed for other infections where only patient proportions were reported.</w:t>
      </w:r>
    </w:p>
    <w:p w14:paraId="583B1F4A" w14:textId="4C48CCEF" w:rsidR="002E0763" w:rsidRPr="007D0AA8" w:rsidRDefault="002E0763" w:rsidP="002E0763">
      <w:pPr>
        <w:rPr>
          <w:rFonts w:asciiTheme="minorHAnsi" w:hAnsiTheme="minorHAnsi" w:cstheme="minorHAnsi"/>
        </w:rPr>
      </w:pPr>
      <w:r>
        <w:rPr>
          <w:rFonts w:asciiTheme="minorHAnsi" w:hAnsiTheme="minorHAnsi" w:cstheme="minorHAnsi"/>
        </w:rPr>
        <w:t>Several other</w:t>
      </w:r>
      <w:r w:rsidRPr="00D16524">
        <w:rPr>
          <w:rFonts w:asciiTheme="minorHAnsi" w:hAnsiTheme="minorHAnsi" w:cstheme="minorHAnsi"/>
        </w:rPr>
        <w:t xml:space="preserve"> case series included CLL patients in only small or moderate numbers </w:t>
      </w:r>
      <w:r w:rsidR="00896BE2">
        <w:rPr>
          <w:rFonts w:asciiTheme="minorHAnsi" w:hAnsiTheme="minorHAnsi" w:cstheme="minorHAnsi"/>
        </w:rPr>
        <w:fldChar w:fldCharType="begin"/>
      </w:r>
      <w:r w:rsidR="00896BE2">
        <w:rPr>
          <w:rFonts w:asciiTheme="minorHAnsi" w:hAnsiTheme="minorHAnsi" w:cstheme="minorHAnsi"/>
        </w:rPr>
        <w:instrText xml:space="preserve"> ADDIN EN.CITE &lt;EndNote&gt;&lt;Cite&gt;&lt;Author&gt;Jurlander&lt;/Author&gt;&lt;Year&gt;1995&lt;/Year&gt;&lt;RecNum&gt;11&lt;/RecNum&gt;&lt;DisplayText&gt;(Jurlander, Geisler &amp;amp; Hansen 1995)&lt;/DisplayText&gt;&lt;record&gt;&lt;rec-number&gt;11&lt;/rec-number&gt;&lt;foreign-keys&gt;&lt;key app="EN" db-id="z0vwsepdwpt20pewwts5z9eup9e2r2pd2tad" timestamp="1553825059"&gt;11&lt;/key&gt;&lt;/foreign-keys&gt;&lt;ref-type name="Journal Article"&gt;17&lt;/ref-type&gt;&lt;contributors&gt;&lt;authors&gt;&lt;author&gt;Jurlander, J.&lt;/author&gt;&lt;author&gt;Geisler, C. H.&lt;/author&gt;&lt;author&gt;Hansen, M. M.&lt;/author&gt;&lt;/authors&gt;&lt;/contributors&gt;&lt;auth-address&gt;Department of Haematology, Rigshospitalet, State University Hospital, Copenhagen, Denmark.&lt;/auth-address&gt;&lt;titles&gt;&lt;title&gt;Treatment of hypogammaglobulinaemia in chronic lymphocytic leukaemia by low-dose intravenous gammaglobulin&lt;/title&gt;&lt;secondary-title&gt;Eur J Haematol&lt;/secondary-title&gt;&lt;/titles&gt;&lt;periodical&gt;&lt;full-title&gt;Eur J Haematol&lt;/full-title&gt;&lt;/periodical&gt;&lt;pages&gt;114-8&lt;/pages&gt;&lt;volume&gt;53&lt;/volume&gt;&lt;number&gt;2&lt;/number&gt;&lt;keywords&gt;&lt;keyword&gt;Agammaglobulinemia/ complications/ drug therapy&lt;/keyword&gt;&lt;keyword&gt;Aged&lt;/keyword&gt;&lt;keyword&gt;Aged, 80 and over&lt;/keyword&gt;&lt;keyword&gt;Dose-Response Relationship, Drug&lt;/keyword&gt;&lt;keyword&gt;Female&lt;/keyword&gt;&lt;keyword&gt;Humans&lt;/keyword&gt;&lt;keyword&gt;Immunoglobulin G/blood&lt;/keyword&gt;&lt;keyword&gt;Immunoglobulins, Intravenous/ therapeutic use&lt;/keyword&gt;&lt;keyword&gt;Leukemia, Lymphocytic, Chronic, B-Cell/ blood/ complications&lt;/keyword&gt;&lt;keyword&gt;Male&lt;/keyword&gt;&lt;keyword&gt;Middle Aged&lt;/keyword&gt;&lt;/keywords&gt;&lt;dates&gt;&lt;year&gt;1995&lt;/year&gt;&lt;pub-dates&gt;&lt;date&gt;Aug&lt;/date&gt;&lt;/pub-dates&gt;&lt;/dates&gt;&lt;isbn&gt;0902-4441 (Print) 0902-4441 (Linking)&lt;/isbn&gt;&lt;accession-num&gt;8088382&lt;/accession-num&gt;&lt;urls&gt;&lt;/urls&gt;&lt;custom1&gt;RAYYAN-INCLUSION: {&amp;quot;Skye&amp;quot;=&amp;gt;&amp;quot;Included&amp;quot;}&lt;/custom1&gt;&lt;research-notes&gt;CLL before and after case series&lt;/research-notes&gt;&lt;language&gt;eng&lt;/language&gt;&lt;/record&gt;&lt;/Cite&gt;&lt;/EndNote&gt;</w:instrText>
      </w:r>
      <w:r w:rsidR="00896BE2">
        <w:rPr>
          <w:rFonts w:asciiTheme="minorHAnsi" w:hAnsiTheme="minorHAnsi" w:cstheme="minorHAnsi"/>
        </w:rPr>
        <w:fldChar w:fldCharType="separate"/>
      </w:r>
      <w:r w:rsidR="00896BE2">
        <w:rPr>
          <w:rFonts w:asciiTheme="minorHAnsi" w:hAnsiTheme="minorHAnsi" w:cstheme="minorHAnsi"/>
          <w:noProof/>
        </w:rPr>
        <w:t>(</w:t>
      </w:r>
      <w:hyperlink w:anchor="_ENREF_24" w:tooltip="Jurlander, 1995 #11" w:history="1">
        <w:r w:rsidR="00BB0145">
          <w:rPr>
            <w:rFonts w:asciiTheme="minorHAnsi" w:hAnsiTheme="minorHAnsi" w:cstheme="minorHAnsi"/>
            <w:noProof/>
          </w:rPr>
          <w:t>Jurlander, Geisler &amp; Hansen 1995</w:t>
        </w:r>
      </w:hyperlink>
      <w:r w:rsidR="00896BE2">
        <w:rPr>
          <w:rFonts w:asciiTheme="minorHAnsi" w:hAnsiTheme="minorHAnsi" w:cstheme="minorHAnsi"/>
          <w:noProof/>
        </w:rPr>
        <w:t>)</w:t>
      </w:r>
      <w:r w:rsidR="00896BE2">
        <w:rPr>
          <w:rFonts w:asciiTheme="minorHAnsi" w:hAnsiTheme="minorHAnsi" w:cstheme="minorHAnsi"/>
        </w:rPr>
        <w:fldChar w:fldCharType="end"/>
      </w:r>
      <w:r w:rsidRPr="00D16524">
        <w:rPr>
          <w:rFonts w:asciiTheme="minorHAnsi" w:hAnsiTheme="minorHAnsi" w:cstheme="minorHAnsi"/>
        </w:rPr>
        <w:t xml:space="preserve">(15 </w:t>
      </w:r>
      <w:r>
        <w:rPr>
          <w:rFonts w:asciiTheme="minorHAnsi" w:hAnsiTheme="minorHAnsi" w:cstheme="minorHAnsi"/>
        </w:rPr>
        <w:t xml:space="preserve">CLL </w:t>
      </w:r>
      <w:r w:rsidRPr="00D16524">
        <w:rPr>
          <w:rFonts w:asciiTheme="minorHAnsi" w:hAnsiTheme="minorHAnsi" w:cstheme="minorHAnsi"/>
        </w:rPr>
        <w:t xml:space="preserve">patients), </w:t>
      </w:r>
      <w:r w:rsidR="00896BE2">
        <w:rPr>
          <w:rFonts w:asciiTheme="minorHAnsi" w:hAnsiTheme="minorHAnsi" w:cstheme="minorHAnsi"/>
        </w:rPr>
        <w:fldChar w:fldCharType="begin">
          <w:fldData xml:space="preserve">PEVuZE5vdGU+PENpdGU+PEF1dGhvcj5CZXNhPC9BdXRob3I+PFllYXI+MTk5MjwvWWVhcj48UmVj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</w:fldData>
        </w:fldChar>
      </w:r>
      <w:r w:rsidR="00896BE2">
        <w:rPr>
          <w:rFonts w:asciiTheme="minorHAnsi" w:hAnsiTheme="minorHAnsi" w:cstheme="minorHAnsi"/>
        </w:rPr>
        <w:instrText xml:space="preserve"> ADDIN EN.CITE </w:instrText>
      </w:r>
      <w:r w:rsidR="00896BE2">
        <w:rPr>
          <w:rFonts w:asciiTheme="minorHAnsi" w:hAnsiTheme="minorHAnsi" w:cstheme="minorHAnsi"/>
        </w:rPr>
        <w:fldChar w:fldCharType="begin">
          <w:fldData xml:space="preserve">PEVuZE5vdGU+PENpdGU+PEF1dGhvcj5CZXNhPC9BdXRob3I+PFllYXI+MTk5MjwvWWVhcj48UmVj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</w:fldData>
        </w:fldChar>
      </w:r>
      <w:r w:rsidR="00896BE2">
        <w:rPr>
          <w:rFonts w:asciiTheme="minorHAnsi" w:hAnsiTheme="minorHAnsi" w:cstheme="minorHAnsi"/>
        </w:rPr>
        <w:instrText xml:space="preserve"> ADDIN EN.CITE.DATA </w:instrText>
      </w:r>
      <w:r w:rsidR="00896BE2">
        <w:rPr>
          <w:rFonts w:asciiTheme="minorHAnsi" w:hAnsiTheme="minorHAnsi" w:cstheme="minorHAnsi"/>
        </w:rPr>
      </w:r>
      <w:r w:rsidR="00896BE2">
        <w:rPr>
          <w:rFonts w:asciiTheme="minorHAnsi" w:hAnsiTheme="minorHAnsi" w:cstheme="minorHAnsi"/>
        </w:rPr>
        <w:fldChar w:fldCharType="end"/>
      </w:r>
      <w:r w:rsidR="00896BE2">
        <w:rPr>
          <w:rFonts w:asciiTheme="minorHAnsi" w:hAnsiTheme="minorHAnsi" w:cstheme="minorHAnsi"/>
        </w:rPr>
      </w:r>
      <w:r w:rsidR="00896BE2">
        <w:rPr>
          <w:rFonts w:asciiTheme="minorHAnsi" w:hAnsiTheme="minorHAnsi" w:cstheme="minorHAnsi"/>
        </w:rPr>
        <w:fldChar w:fldCharType="separate"/>
      </w:r>
      <w:r w:rsidR="00896BE2">
        <w:rPr>
          <w:rFonts w:asciiTheme="minorHAnsi" w:hAnsiTheme="minorHAnsi" w:cstheme="minorHAnsi"/>
          <w:noProof/>
        </w:rPr>
        <w:t>(</w:t>
      </w:r>
      <w:hyperlink w:anchor="_ENREF_4" w:tooltip="Besa, 1992 #43" w:history="1">
        <w:r w:rsidR="00BB0145">
          <w:rPr>
            <w:rFonts w:asciiTheme="minorHAnsi" w:hAnsiTheme="minorHAnsi" w:cstheme="minorHAnsi"/>
            <w:noProof/>
          </w:rPr>
          <w:t>Besa 1992</w:t>
        </w:r>
      </w:hyperlink>
      <w:r w:rsidR="00896BE2">
        <w:rPr>
          <w:rFonts w:asciiTheme="minorHAnsi" w:hAnsiTheme="minorHAnsi" w:cstheme="minorHAnsi"/>
          <w:noProof/>
        </w:rPr>
        <w:t>)</w:t>
      </w:r>
      <w:r w:rsidR="00896BE2">
        <w:rPr>
          <w:rFonts w:asciiTheme="minorHAnsi" w:hAnsiTheme="minorHAnsi" w:cstheme="minorHAnsi"/>
        </w:rPr>
        <w:fldChar w:fldCharType="end"/>
      </w:r>
      <w:r w:rsidRPr="00D16524">
        <w:rPr>
          <w:rFonts w:asciiTheme="minorHAnsi" w:hAnsiTheme="minorHAnsi" w:cstheme="minorHAnsi"/>
        </w:rPr>
        <w:t xml:space="preserve">(23), </w:t>
      </w:r>
      <w:r w:rsidR="00896BE2">
        <w:rPr>
          <w:rFonts w:asciiTheme="minorHAnsi" w:hAnsiTheme="minorHAnsi" w:cstheme="minorHAnsi"/>
        </w:rPr>
        <w:fldChar w:fldCharType="begin">
          <w:fldData xml:space="preserve">PEVuZE5vdGU+PENpdGU+PEF1dGhvcj5CcmVubmVyPC9BdXRob3I+PFllYXI+MTk5NjwvWWVhcj48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</w:fldData>
        </w:fldChar>
      </w:r>
      <w:r w:rsidR="00896BE2">
        <w:rPr>
          <w:rFonts w:asciiTheme="minorHAnsi" w:hAnsiTheme="minorHAnsi" w:cstheme="minorHAnsi"/>
        </w:rPr>
        <w:instrText xml:space="preserve"> ADDIN EN.CITE </w:instrText>
      </w:r>
      <w:r w:rsidR="00896BE2">
        <w:rPr>
          <w:rFonts w:asciiTheme="minorHAnsi" w:hAnsiTheme="minorHAnsi" w:cstheme="minorHAnsi"/>
        </w:rPr>
        <w:fldChar w:fldCharType="begin">
          <w:fldData xml:space="preserve">PEVuZE5vdGU+PENpdGU+PEF1dGhvcj5CcmVubmVyPC9BdXRob3I+PFllYXI+MTk5NjwvWWVhcj48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</w:fldData>
        </w:fldChar>
      </w:r>
      <w:r w:rsidR="00896BE2">
        <w:rPr>
          <w:rFonts w:asciiTheme="minorHAnsi" w:hAnsiTheme="minorHAnsi" w:cstheme="minorHAnsi"/>
        </w:rPr>
        <w:instrText xml:space="preserve"> ADDIN EN.CITE.DATA </w:instrText>
      </w:r>
      <w:r w:rsidR="00896BE2">
        <w:rPr>
          <w:rFonts w:asciiTheme="minorHAnsi" w:hAnsiTheme="minorHAnsi" w:cstheme="minorHAnsi"/>
        </w:rPr>
      </w:r>
      <w:r w:rsidR="00896BE2">
        <w:rPr>
          <w:rFonts w:asciiTheme="minorHAnsi" w:hAnsiTheme="minorHAnsi" w:cstheme="minorHAnsi"/>
        </w:rPr>
        <w:fldChar w:fldCharType="end"/>
      </w:r>
      <w:r w:rsidR="00896BE2">
        <w:rPr>
          <w:rFonts w:asciiTheme="minorHAnsi" w:hAnsiTheme="minorHAnsi" w:cstheme="minorHAnsi"/>
        </w:rPr>
      </w:r>
      <w:r w:rsidR="00896BE2">
        <w:rPr>
          <w:rFonts w:asciiTheme="minorHAnsi" w:hAnsiTheme="minorHAnsi" w:cstheme="minorHAnsi"/>
        </w:rPr>
        <w:fldChar w:fldCharType="separate"/>
      </w:r>
      <w:r w:rsidR="00896BE2">
        <w:rPr>
          <w:rFonts w:asciiTheme="minorHAnsi" w:hAnsiTheme="minorHAnsi" w:cstheme="minorHAnsi"/>
          <w:noProof/>
        </w:rPr>
        <w:t>(</w:t>
      </w:r>
      <w:hyperlink w:anchor="_ENREF_8" w:tooltip="Brenner, 1996 #15" w:history="1">
        <w:r w:rsidR="00BB0145">
          <w:rPr>
            <w:rFonts w:asciiTheme="minorHAnsi" w:hAnsiTheme="minorHAnsi" w:cstheme="minorHAnsi"/>
            <w:noProof/>
          </w:rPr>
          <w:t>Brenner 1996</w:t>
        </w:r>
      </w:hyperlink>
      <w:r w:rsidR="00896BE2">
        <w:rPr>
          <w:rFonts w:asciiTheme="minorHAnsi" w:hAnsiTheme="minorHAnsi" w:cstheme="minorHAnsi"/>
          <w:noProof/>
        </w:rPr>
        <w:t>)</w:t>
      </w:r>
      <w:r w:rsidR="00896BE2">
        <w:rPr>
          <w:rFonts w:asciiTheme="minorHAnsi" w:hAnsiTheme="minorHAnsi" w:cstheme="minorHAnsi"/>
        </w:rPr>
        <w:fldChar w:fldCharType="end"/>
      </w:r>
      <w:r w:rsidRPr="00D16524">
        <w:rPr>
          <w:rFonts w:asciiTheme="minorHAnsi" w:hAnsiTheme="minorHAnsi" w:cstheme="minorHAnsi"/>
        </w:rPr>
        <w:t>(22)</w:t>
      </w:r>
      <w:r>
        <w:rPr>
          <w:rFonts w:asciiTheme="minorHAnsi" w:hAnsiTheme="minorHAnsi" w:cstheme="minorHAnsi"/>
        </w:rPr>
        <w:t xml:space="preserve"> and</w:t>
      </w:r>
      <w:r w:rsidRPr="00D16524">
        <w:rPr>
          <w:rFonts w:asciiTheme="minorHAnsi" w:hAnsiTheme="minorHAnsi" w:cstheme="minorHAnsi"/>
        </w:rPr>
        <w:t xml:space="preserve"> </w:t>
      </w:r>
      <w:r w:rsidR="00896BE2">
        <w:rPr>
          <w:rFonts w:asciiTheme="minorHAnsi" w:hAnsiTheme="minorHAnsi" w:cstheme="minorHAnsi"/>
        </w:rPr>
        <w:fldChar w:fldCharType="begin">
          <w:fldData xml:space="preserve">PEVuZE5vdGU+PENpdGU+PEF1dGhvcj5EaW1vdTwvQXV0aG9yPjxZZWFyPjIwMTg8L1llYXI+PFJl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==
</w:fldData>
        </w:fldChar>
      </w:r>
      <w:r w:rsidR="00896BE2">
        <w:rPr>
          <w:rFonts w:asciiTheme="minorHAnsi" w:hAnsiTheme="minorHAnsi" w:cstheme="minorHAnsi"/>
        </w:rPr>
        <w:instrText xml:space="preserve"> ADDIN EN.CITE </w:instrText>
      </w:r>
      <w:r w:rsidR="00896BE2">
        <w:rPr>
          <w:rFonts w:asciiTheme="minorHAnsi" w:hAnsiTheme="minorHAnsi" w:cstheme="minorHAnsi"/>
        </w:rPr>
        <w:fldChar w:fldCharType="begin">
          <w:fldData xml:space="preserve">PEVuZE5vdGU+PENpdGU+PEF1dGhvcj5EaW1vdTwvQXV0aG9yPjxZZWFyPjIwMTg8L1llYXI+PFJl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==
</w:fldData>
        </w:fldChar>
      </w:r>
      <w:r w:rsidR="00896BE2">
        <w:rPr>
          <w:rFonts w:asciiTheme="minorHAnsi" w:hAnsiTheme="minorHAnsi" w:cstheme="minorHAnsi"/>
        </w:rPr>
        <w:instrText xml:space="preserve"> ADDIN EN.CITE.DATA </w:instrText>
      </w:r>
      <w:r w:rsidR="00896BE2">
        <w:rPr>
          <w:rFonts w:asciiTheme="minorHAnsi" w:hAnsiTheme="minorHAnsi" w:cstheme="minorHAnsi"/>
        </w:rPr>
      </w:r>
      <w:r w:rsidR="00896BE2">
        <w:rPr>
          <w:rFonts w:asciiTheme="minorHAnsi" w:hAnsiTheme="minorHAnsi" w:cstheme="minorHAnsi"/>
        </w:rPr>
        <w:fldChar w:fldCharType="end"/>
      </w:r>
      <w:r w:rsidR="00896BE2">
        <w:rPr>
          <w:rFonts w:asciiTheme="minorHAnsi" w:hAnsiTheme="minorHAnsi" w:cstheme="minorHAnsi"/>
        </w:rPr>
      </w:r>
      <w:r w:rsidR="00896BE2">
        <w:rPr>
          <w:rFonts w:asciiTheme="minorHAnsi" w:hAnsiTheme="minorHAnsi" w:cstheme="minorHAnsi"/>
        </w:rPr>
        <w:fldChar w:fldCharType="separate"/>
      </w:r>
      <w:r w:rsidR="00896BE2">
        <w:rPr>
          <w:rFonts w:asciiTheme="minorHAnsi" w:hAnsiTheme="minorHAnsi" w:cstheme="minorHAnsi"/>
          <w:noProof/>
        </w:rPr>
        <w:t>(</w:t>
      </w:r>
      <w:hyperlink w:anchor="_ENREF_15" w:tooltip="Dimou, 2018 #28" w:history="1">
        <w:r w:rsidR="00BB0145">
          <w:rPr>
            <w:rFonts w:asciiTheme="minorHAnsi" w:hAnsiTheme="minorHAnsi" w:cstheme="minorHAnsi"/>
            <w:noProof/>
          </w:rPr>
          <w:t>Dimou et al. 2018</w:t>
        </w:r>
      </w:hyperlink>
      <w:r w:rsidR="00896BE2">
        <w:rPr>
          <w:rFonts w:asciiTheme="minorHAnsi" w:hAnsiTheme="minorHAnsi" w:cstheme="minorHAnsi"/>
          <w:noProof/>
        </w:rPr>
        <w:t>)</w:t>
      </w:r>
      <w:r w:rsidR="00896BE2">
        <w:rPr>
          <w:rFonts w:asciiTheme="minorHAnsi" w:hAnsiTheme="minorHAnsi" w:cstheme="minorHAnsi"/>
        </w:rPr>
        <w:fldChar w:fldCharType="end"/>
      </w:r>
      <w:r w:rsidRPr="00D16524">
        <w:rPr>
          <w:rFonts w:asciiTheme="minorHAnsi" w:hAnsiTheme="minorHAnsi" w:cstheme="minorHAnsi"/>
        </w:rPr>
        <w:t>(25).</w:t>
      </w:r>
      <w:r>
        <w:rPr>
          <w:rFonts w:asciiTheme="minorHAnsi" w:hAnsiTheme="minorHAnsi" w:cstheme="minorHAnsi"/>
        </w:rPr>
        <w:t xml:space="preserve"> These were each studies in only/mostly CLL patients. Each of these studies showed a reduction in </w:t>
      </w:r>
      <w:r w:rsidRPr="009901BD">
        <w:rPr>
          <w:rFonts w:asciiTheme="minorHAnsi" w:hAnsiTheme="minorHAnsi" w:cstheme="minorHAnsi"/>
        </w:rPr>
        <w:t>serious</w:t>
      </w:r>
      <w:r>
        <w:rPr>
          <w:rFonts w:asciiTheme="minorHAnsi" w:hAnsiTheme="minorHAnsi" w:cstheme="minorHAnsi"/>
        </w:rPr>
        <w:t xml:space="preserve"> infections during IgG treatment compared with a period of observation prior to IgG commencement. In each case, ‘serious infections’ comprised sepsis and pneumonia </w:t>
      </w:r>
      <w:r w:rsidR="00896BE2">
        <w:rPr>
          <w:rFonts w:asciiTheme="minorHAnsi" w:hAnsiTheme="minorHAnsi" w:cstheme="minorHAnsi"/>
        </w:rPr>
        <w:fldChar w:fldCharType="begin">
          <w:fldData xml:space="preserve">PEVuZE5vdGU+PENpdGU+PEF1dGhvcj5CZXNhPC9BdXRob3I+PFllYXI+MTk5MjwvWWVhcj48UmVj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</w:fldData>
        </w:fldChar>
      </w:r>
      <w:r w:rsidR="00896BE2">
        <w:rPr>
          <w:rFonts w:asciiTheme="minorHAnsi" w:hAnsiTheme="minorHAnsi" w:cstheme="minorHAnsi"/>
        </w:rPr>
        <w:instrText xml:space="preserve"> ADDIN EN.CITE </w:instrText>
      </w:r>
      <w:r w:rsidR="00896BE2">
        <w:rPr>
          <w:rFonts w:asciiTheme="minorHAnsi" w:hAnsiTheme="minorHAnsi" w:cstheme="minorHAnsi"/>
        </w:rPr>
        <w:fldChar w:fldCharType="begin">
          <w:fldData xml:space="preserve">PEVuZE5vdGU+PENpdGU+PEF1dGhvcj5CZXNhPC9BdXRob3I+PFllYXI+MTk5MjwvWWVhcj48UmVj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</w:fldData>
        </w:fldChar>
      </w:r>
      <w:r w:rsidR="00896BE2">
        <w:rPr>
          <w:rFonts w:asciiTheme="minorHAnsi" w:hAnsiTheme="minorHAnsi" w:cstheme="minorHAnsi"/>
        </w:rPr>
        <w:instrText xml:space="preserve"> ADDIN EN.CITE.DATA </w:instrText>
      </w:r>
      <w:r w:rsidR="00896BE2">
        <w:rPr>
          <w:rFonts w:asciiTheme="minorHAnsi" w:hAnsiTheme="minorHAnsi" w:cstheme="minorHAnsi"/>
        </w:rPr>
      </w:r>
      <w:r w:rsidR="00896BE2">
        <w:rPr>
          <w:rFonts w:asciiTheme="minorHAnsi" w:hAnsiTheme="minorHAnsi" w:cstheme="minorHAnsi"/>
        </w:rPr>
        <w:fldChar w:fldCharType="end"/>
      </w:r>
      <w:r w:rsidR="00896BE2">
        <w:rPr>
          <w:rFonts w:asciiTheme="minorHAnsi" w:hAnsiTheme="minorHAnsi" w:cstheme="minorHAnsi"/>
        </w:rPr>
      </w:r>
      <w:r w:rsidR="00896BE2">
        <w:rPr>
          <w:rFonts w:asciiTheme="minorHAnsi" w:hAnsiTheme="minorHAnsi" w:cstheme="minorHAnsi"/>
        </w:rPr>
        <w:fldChar w:fldCharType="separate"/>
      </w:r>
      <w:r w:rsidR="00896BE2">
        <w:rPr>
          <w:rFonts w:asciiTheme="minorHAnsi" w:hAnsiTheme="minorHAnsi" w:cstheme="minorHAnsi"/>
          <w:noProof/>
        </w:rPr>
        <w:t>(</w:t>
      </w:r>
      <w:hyperlink w:anchor="_ENREF_4" w:tooltip="Besa, 1992 #43" w:history="1">
        <w:r w:rsidR="00BB0145">
          <w:rPr>
            <w:rFonts w:asciiTheme="minorHAnsi" w:hAnsiTheme="minorHAnsi" w:cstheme="minorHAnsi"/>
            <w:noProof/>
          </w:rPr>
          <w:t>Besa 1992</w:t>
        </w:r>
      </w:hyperlink>
      <w:r w:rsidR="00896BE2">
        <w:rPr>
          <w:rFonts w:asciiTheme="minorHAnsi" w:hAnsiTheme="minorHAnsi" w:cstheme="minorHAnsi"/>
          <w:noProof/>
        </w:rPr>
        <w:t xml:space="preserve">; </w:t>
      </w:r>
      <w:hyperlink w:anchor="_ENREF_8" w:tooltip="Brenner, 1996 #15" w:history="1">
        <w:r w:rsidR="00BB0145">
          <w:rPr>
            <w:rFonts w:asciiTheme="minorHAnsi" w:hAnsiTheme="minorHAnsi" w:cstheme="minorHAnsi"/>
            <w:noProof/>
          </w:rPr>
          <w:t>Brenner 1996</w:t>
        </w:r>
      </w:hyperlink>
      <w:r w:rsidR="00896BE2">
        <w:rPr>
          <w:rFonts w:asciiTheme="minorHAnsi" w:hAnsiTheme="minorHAnsi" w:cstheme="minorHAnsi"/>
          <w:noProof/>
        </w:rPr>
        <w:t>)</w:t>
      </w:r>
      <w:r w:rsidR="00896BE2">
        <w:rPr>
          <w:rFonts w:asciiTheme="minorHAnsi" w:hAnsiTheme="minorHAnsi" w:cstheme="minorHAnsi"/>
        </w:rPr>
        <w:fldChar w:fldCharType="end"/>
      </w:r>
      <w:r>
        <w:rPr>
          <w:rFonts w:asciiTheme="minorHAnsi" w:hAnsiTheme="minorHAnsi" w:cstheme="minorHAnsi"/>
        </w:rPr>
        <w:t xml:space="preserve">, LRTIs </w:t>
      </w:r>
      <w:r w:rsidR="00896BE2">
        <w:rPr>
          <w:rFonts w:asciiTheme="minorHAnsi" w:hAnsiTheme="minorHAnsi" w:cstheme="minorHAnsi"/>
        </w:rPr>
        <w:fldChar w:fldCharType="begin">
          <w:fldData xml:space="preserve">PEVuZE5vdGU+PENpdGU+PEF1dGhvcj5EaW1vdTwvQXV0aG9yPjxZZWFyPjIwMTg8L1llYXI+PFJl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==
</w:fldData>
        </w:fldChar>
      </w:r>
      <w:r w:rsidR="00896BE2">
        <w:rPr>
          <w:rFonts w:asciiTheme="minorHAnsi" w:hAnsiTheme="minorHAnsi" w:cstheme="minorHAnsi"/>
        </w:rPr>
        <w:instrText xml:space="preserve"> ADDIN EN.CITE </w:instrText>
      </w:r>
      <w:r w:rsidR="00896BE2">
        <w:rPr>
          <w:rFonts w:asciiTheme="minorHAnsi" w:hAnsiTheme="minorHAnsi" w:cstheme="minorHAnsi"/>
        </w:rPr>
        <w:fldChar w:fldCharType="begin">
          <w:fldData xml:space="preserve">PEVuZE5vdGU+PENpdGU+PEF1dGhvcj5EaW1vdTwvQXV0aG9yPjxZZWFyPjIwMTg8L1llYXI+PFJl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==
</w:fldData>
        </w:fldChar>
      </w:r>
      <w:r w:rsidR="00896BE2">
        <w:rPr>
          <w:rFonts w:asciiTheme="minorHAnsi" w:hAnsiTheme="minorHAnsi" w:cstheme="minorHAnsi"/>
        </w:rPr>
        <w:instrText xml:space="preserve"> ADDIN EN.CITE.DATA </w:instrText>
      </w:r>
      <w:r w:rsidR="00896BE2">
        <w:rPr>
          <w:rFonts w:asciiTheme="minorHAnsi" w:hAnsiTheme="minorHAnsi" w:cstheme="minorHAnsi"/>
        </w:rPr>
      </w:r>
      <w:r w:rsidR="00896BE2">
        <w:rPr>
          <w:rFonts w:asciiTheme="minorHAnsi" w:hAnsiTheme="minorHAnsi" w:cstheme="minorHAnsi"/>
        </w:rPr>
        <w:fldChar w:fldCharType="end"/>
      </w:r>
      <w:r w:rsidR="00896BE2">
        <w:rPr>
          <w:rFonts w:asciiTheme="minorHAnsi" w:hAnsiTheme="minorHAnsi" w:cstheme="minorHAnsi"/>
        </w:rPr>
      </w:r>
      <w:r w:rsidR="00896BE2">
        <w:rPr>
          <w:rFonts w:asciiTheme="minorHAnsi" w:hAnsiTheme="minorHAnsi" w:cstheme="minorHAnsi"/>
        </w:rPr>
        <w:fldChar w:fldCharType="separate"/>
      </w:r>
      <w:r w:rsidR="00896BE2">
        <w:rPr>
          <w:rFonts w:asciiTheme="minorHAnsi" w:hAnsiTheme="minorHAnsi" w:cstheme="minorHAnsi"/>
          <w:noProof/>
        </w:rPr>
        <w:t>(</w:t>
      </w:r>
      <w:hyperlink w:anchor="_ENREF_15" w:tooltip="Dimou, 2018 #28" w:history="1">
        <w:r w:rsidR="00BB0145">
          <w:rPr>
            <w:rFonts w:asciiTheme="minorHAnsi" w:hAnsiTheme="minorHAnsi" w:cstheme="minorHAnsi"/>
            <w:noProof/>
          </w:rPr>
          <w:t>Dimou et al. 2018</w:t>
        </w:r>
      </w:hyperlink>
      <w:r w:rsidR="00896BE2">
        <w:rPr>
          <w:rFonts w:asciiTheme="minorHAnsi" w:hAnsiTheme="minorHAnsi" w:cstheme="minorHAnsi"/>
          <w:noProof/>
        </w:rPr>
        <w:t>)</w:t>
      </w:r>
      <w:r w:rsidR="00896BE2">
        <w:rPr>
          <w:rFonts w:asciiTheme="minorHAnsi" w:hAnsiTheme="minorHAnsi" w:cstheme="minorHAnsi"/>
        </w:rPr>
        <w:fldChar w:fldCharType="end"/>
      </w:r>
      <w:r>
        <w:rPr>
          <w:rFonts w:asciiTheme="minorHAnsi" w:hAnsiTheme="minorHAnsi" w:cstheme="minorHAnsi"/>
        </w:rPr>
        <w:t xml:space="preserve"> or septicaemia, meningitis and pneumonia </w:t>
      </w:r>
      <w:r w:rsidR="00896BE2">
        <w:rPr>
          <w:rFonts w:asciiTheme="minorHAnsi" w:hAnsiTheme="minorHAnsi" w:cstheme="minorHAnsi"/>
        </w:rPr>
        <w:fldChar w:fldCharType="begin"/>
      </w:r>
      <w:r w:rsidR="00896BE2">
        <w:rPr>
          <w:rFonts w:asciiTheme="minorHAnsi" w:hAnsiTheme="minorHAnsi" w:cstheme="minorHAnsi"/>
        </w:rPr>
        <w:instrText xml:space="preserve"> ADDIN EN.CITE &lt;EndNote&gt;&lt;Cite&gt;&lt;Author&gt;Jurlander&lt;/Author&gt;&lt;Year&gt;1995&lt;/Year&gt;&lt;RecNum&gt;11&lt;/RecNum&gt;&lt;DisplayText&gt;(Jurlander, Geisler &amp;amp; Hansen 1995)&lt;/DisplayText&gt;&lt;record&gt;&lt;rec-number&gt;11&lt;/rec-number&gt;&lt;foreign-keys&gt;&lt;key app="EN" db-id="z0vwsepdwpt20pewwts5z9eup9e2r2pd2tad" timestamp="1553825059"&gt;11&lt;/key&gt;&lt;/foreign-keys&gt;&lt;ref-type name="Journal Article"&gt;17&lt;/ref-type&gt;&lt;contributors&gt;&lt;authors&gt;&lt;author&gt;Jurlander, J.&lt;/author&gt;&lt;author&gt;Geisler, C. H.&lt;/author&gt;&lt;author&gt;Hansen, M. M.&lt;/author&gt;&lt;/authors&gt;&lt;/contributors&gt;&lt;auth-address&gt;Department of Haematology, Rigshospitalet, State University Hospital, Copenhagen, Denmark.&lt;/auth-address&gt;&lt;titles&gt;&lt;title&gt;Treatment of hypogammaglobulinaemia in chronic lymphocytic leukaemia by low-dose intravenous gammaglobulin&lt;/title&gt;&lt;secondary-title&gt;Eur J Haematol&lt;/secondary-title&gt;&lt;/titles&gt;&lt;periodical&gt;&lt;full-title&gt;Eur J Haematol&lt;/full-title&gt;&lt;/periodical&gt;&lt;pages&gt;114-8&lt;/pages&gt;&lt;volume&gt;53&lt;/volume&gt;&lt;number&gt;2&lt;/number&gt;&lt;keywords&gt;&lt;keyword&gt;Agammaglobulinemia/ complications/ drug therapy&lt;/keyword&gt;&lt;keyword&gt;Aged&lt;/keyword&gt;&lt;keyword&gt;Aged, 80 and over&lt;/keyword&gt;&lt;keyword&gt;Dose-Response Relationship, Drug&lt;/keyword&gt;&lt;keyword&gt;Female&lt;/keyword&gt;&lt;keyword&gt;Humans&lt;/keyword&gt;&lt;keyword&gt;Immunoglobulin G/blood&lt;/keyword&gt;&lt;keyword&gt;Immunoglobulins, Intravenous/ therapeutic use&lt;/keyword&gt;&lt;keyword&gt;Leukemia, Lymphocytic, Chronic, B-Cell/ blood/ complications&lt;/keyword&gt;&lt;keyword&gt;Male&lt;/keyword&gt;&lt;keyword&gt;Middle Aged&lt;/keyword&gt;&lt;/keywords&gt;&lt;dates&gt;&lt;year&gt;1995&lt;/year&gt;&lt;pub-dates&gt;&lt;date&gt;Aug&lt;/date&gt;&lt;/pub-dates&gt;&lt;/dates&gt;&lt;isbn&gt;0902-4441 (Print) 0902-4441 (Linking)&lt;/isbn&gt;&lt;accession-num&gt;8088382&lt;/accession-num&gt;&lt;urls&gt;&lt;/urls&gt;&lt;custom1&gt;RAYYAN-INCLUSION: {&amp;quot;Skye&amp;quot;=&amp;gt;&amp;quot;Included&amp;quot;}&lt;/custom1&gt;&lt;research-notes&gt;CLL before and after case series&lt;/research-notes&gt;&lt;language&gt;eng&lt;/language&gt;&lt;/record&gt;&lt;/Cite&gt;&lt;/EndNote&gt;</w:instrText>
      </w:r>
      <w:r w:rsidR="00896BE2">
        <w:rPr>
          <w:rFonts w:asciiTheme="minorHAnsi" w:hAnsiTheme="minorHAnsi" w:cstheme="minorHAnsi"/>
        </w:rPr>
        <w:fldChar w:fldCharType="separate"/>
      </w:r>
      <w:r w:rsidR="00896BE2">
        <w:rPr>
          <w:rFonts w:asciiTheme="minorHAnsi" w:hAnsiTheme="minorHAnsi" w:cstheme="minorHAnsi"/>
          <w:noProof/>
        </w:rPr>
        <w:t>(</w:t>
      </w:r>
      <w:hyperlink w:anchor="_ENREF_24" w:tooltip="Jurlander, 1995 #11" w:history="1">
        <w:r w:rsidR="00BB0145">
          <w:rPr>
            <w:rFonts w:asciiTheme="minorHAnsi" w:hAnsiTheme="minorHAnsi" w:cstheme="minorHAnsi"/>
            <w:noProof/>
          </w:rPr>
          <w:t>Jurlander, Geisler &amp; Hansen 1995</w:t>
        </w:r>
      </w:hyperlink>
      <w:r w:rsidR="00896BE2">
        <w:rPr>
          <w:rFonts w:asciiTheme="minorHAnsi" w:hAnsiTheme="minorHAnsi" w:cstheme="minorHAnsi"/>
          <w:noProof/>
        </w:rPr>
        <w:t>)</w:t>
      </w:r>
      <w:r w:rsidR="00896BE2">
        <w:rPr>
          <w:rFonts w:asciiTheme="minorHAnsi" w:hAnsiTheme="minorHAnsi" w:cstheme="minorHAnsi"/>
        </w:rPr>
        <w:fldChar w:fldCharType="end"/>
      </w:r>
      <w:r>
        <w:rPr>
          <w:rFonts w:asciiTheme="minorHAnsi" w:hAnsiTheme="minorHAnsi" w:cstheme="minorHAnsi"/>
        </w:rPr>
        <w:t xml:space="preserve">. Further details are presented in the summary tables.  </w:t>
      </w:r>
    </w:p>
    <w:p w14:paraId="6F2C372A" w14:textId="5E9B8796" w:rsidR="002E0763" w:rsidRDefault="002E0763" w:rsidP="002E0763">
      <w:r>
        <w:t xml:space="preserve">Two cohort studies </w:t>
      </w:r>
      <w:r w:rsidR="00896BE2">
        <w:fldChar w:fldCharType="begin">
          <w:fldData xml:space="preserve">PEVuZE5vdGU+PENpdGU+PEF1dGhvcj5QYXh0b248L0F1dGhvcj48WWVhcj4yMDE2PC9ZZWFyPjxS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</w:fldData>
        </w:fldChar>
      </w:r>
      <w:r w:rsidR="00896BE2">
        <w:instrText xml:space="preserve"> ADDIN EN.CITE </w:instrText>
      </w:r>
      <w:r w:rsidR="00896BE2">
        <w:fldChar w:fldCharType="begin">
          <w:fldData xml:space="preserve">PEVuZE5vdGU+PENpdGU+PEF1dGhvcj5QYXh0b248L0F1dGhvcj48WWVhcj4yMDE2PC9ZZWFyPjxS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</w:fldData>
        </w:fldChar>
      </w:r>
      <w:r w:rsidR="00896BE2">
        <w:instrText xml:space="preserve"> ADDIN EN.CITE.DATA </w:instrText>
      </w:r>
      <w:r w:rsidR="00896BE2">
        <w:fldChar w:fldCharType="end"/>
      </w:r>
      <w:r w:rsidR="00896BE2">
        <w:fldChar w:fldCharType="separate"/>
      </w:r>
      <w:r w:rsidR="00896BE2">
        <w:rPr>
          <w:noProof/>
        </w:rPr>
        <w:t>(</w:t>
      </w:r>
      <w:hyperlink w:anchor="_ENREF_39" w:tooltip="Paxton, 2016 #66" w:history="1">
        <w:r w:rsidR="00BB0145">
          <w:rPr>
            <w:noProof/>
          </w:rPr>
          <w:t>Paxton, Hawkins &amp; Crispin 2016</w:t>
        </w:r>
      </w:hyperlink>
      <w:r w:rsidR="00896BE2">
        <w:rPr>
          <w:noProof/>
        </w:rPr>
        <w:t>)</w:t>
      </w:r>
      <w:r w:rsidR="00896BE2">
        <w:fldChar w:fldCharType="end"/>
      </w:r>
      <w:r>
        <w:t xml:space="preserve"> and </w:t>
      </w:r>
      <w:r w:rsidR="00896BE2">
        <w:fldChar w:fldCharType="begin">
          <w:fldData xml:space="preserve">PEVuZE5vdGU+PENpdGU+PEF1dGhvcj5BbW1hbm48L0F1dGhvcj48WWVhcj4yMDE2PC9ZZWFyPjxS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</w:fldData>
        </w:fldChar>
      </w:r>
      <w:r w:rsidR="00896BE2">
        <w:instrText xml:space="preserve"> ADDIN EN.CITE </w:instrText>
      </w:r>
      <w:r w:rsidR="00896BE2">
        <w:fldChar w:fldCharType="begin">
          <w:fldData xml:space="preserve">PEVuZE5vdGU+PENpdGU+PEF1dGhvcj5BbW1hbm48L0F1dGhvcj48WWVhcj4yMDE2PC9ZZWFyPjxS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</w:fldData>
        </w:fldChar>
      </w:r>
      <w:r w:rsidR="00896BE2">
        <w:instrText xml:space="preserve"> ADDIN EN.CITE.DATA </w:instrText>
      </w:r>
      <w:r w:rsidR="00896BE2">
        <w:fldChar w:fldCharType="end"/>
      </w:r>
      <w:r w:rsidR="00896BE2">
        <w:fldChar w:fldCharType="separate"/>
      </w:r>
      <w:r w:rsidR="00896BE2">
        <w:rPr>
          <w:noProof/>
        </w:rPr>
        <w:t>(</w:t>
      </w:r>
      <w:hyperlink w:anchor="_ENREF_1" w:tooltip="Ammann, 2016 #1" w:history="1">
        <w:r w:rsidR="00BB0145">
          <w:rPr>
            <w:noProof/>
          </w:rPr>
          <w:t>Ammann et al. 2016</w:t>
        </w:r>
      </w:hyperlink>
      <w:r w:rsidR="00896BE2">
        <w:rPr>
          <w:noProof/>
        </w:rPr>
        <w:t>)</w:t>
      </w:r>
      <w:r w:rsidR="00896BE2">
        <w:fldChar w:fldCharType="end"/>
      </w:r>
      <w:r>
        <w:t xml:space="preserve"> reported resource use due to infectious complications in CLL patients rather than infections incidence – discussed further in the section below. For the Paxton study, this outcome (hospitalisation due to infection) was used in the forest plot in the absence of infections. </w:t>
      </w:r>
    </w:p>
    <w:p w14:paraId="0E4D4BEF" w14:textId="1E8022FE" w:rsidR="002E0763" w:rsidRDefault="002E0763" w:rsidP="002E0763">
      <w:r>
        <w:t xml:space="preserve">A United States dosing study in 79 patients included CLL patients (74 of 209 treatment episodes/infusions) </w:t>
      </w:r>
      <w:r w:rsidR="00896BE2">
        <w:fldChar w:fldCharType="begin">
          <w:fldData xml:space="preserve">PEVuZE5vdGU+PENpdGU+PEF1dGhvcj5TdHVtcDwvQXV0aG9yPjxZZWFyPjIwMTc8L1llYXI+PFJl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</w:fldData>
        </w:fldChar>
      </w:r>
      <w:r w:rsidR="00896BE2">
        <w:instrText xml:space="preserve"> ADDIN EN.CITE </w:instrText>
      </w:r>
      <w:r w:rsidR="00896BE2">
        <w:fldChar w:fldCharType="begin">
          <w:fldData xml:space="preserve">PEVuZE5vdGU+PENpdGU+PEF1dGhvcj5TdHVtcDwvQXV0aG9yPjxZZWFyPjIwMTc8L1llYXI+PFJl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</w:fldData>
        </w:fldChar>
      </w:r>
      <w:r w:rsidR="00896BE2">
        <w:instrText xml:space="preserve"> ADDIN EN.CITE.DATA </w:instrText>
      </w:r>
      <w:r w:rsidR="00896BE2">
        <w:fldChar w:fldCharType="end"/>
      </w:r>
      <w:r w:rsidR="00896BE2">
        <w:fldChar w:fldCharType="separate"/>
      </w:r>
      <w:r w:rsidR="00896BE2">
        <w:rPr>
          <w:noProof/>
        </w:rPr>
        <w:t>(</w:t>
      </w:r>
      <w:hyperlink w:anchor="_ENREF_47" w:tooltip="Stump, 2017 #84" w:history="1">
        <w:r w:rsidR="00BB0145">
          <w:rPr>
            <w:noProof/>
          </w:rPr>
          <w:t>Stump et al. 2017</w:t>
        </w:r>
      </w:hyperlink>
      <w:r w:rsidR="00896BE2">
        <w:rPr>
          <w:noProof/>
        </w:rPr>
        <w:t>)</w:t>
      </w:r>
      <w:r w:rsidR="00896BE2">
        <w:fldChar w:fldCharType="end"/>
      </w:r>
      <w:r>
        <w:t xml:space="preserve"> but included no control group or baseline values, thus no conclusion could be drawn in terms of infections reported compared with No IgG.  </w:t>
      </w:r>
    </w:p>
    <w:p w14:paraId="203C0E70" w14:textId="77FC3CE7" w:rsidR="00CE4884" w:rsidRPr="00386411" w:rsidRDefault="00937DFF" w:rsidP="00937DFF">
      <w:pPr>
        <w:pStyle w:val="Heading4"/>
      </w:pPr>
      <w:r>
        <w:t>Evidence in patients with</w:t>
      </w:r>
      <w:r w:rsidR="00CE4884" w:rsidRPr="00386411">
        <w:t xml:space="preserve"> MM</w:t>
      </w:r>
    </w:p>
    <w:p w14:paraId="132D6289" w14:textId="51F9B83C" w:rsidR="00912B91" w:rsidRPr="007D0AA8" w:rsidRDefault="00912B91" w:rsidP="00912B91">
      <w:r w:rsidRPr="007D0AA8">
        <w:t xml:space="preserve">A study in 83 MM patients from the </w:t>
      </w:r>
      <w:r w:rsidR="008E57DD">
        <w:t xml:space="preserve">UK </w:t>
      </w:r>
      <w:r w:rsidRPr="007D0AA8">
        <w:fldChar w:fldCharType="begin">
          <w:fldData xml:space="preserve">PEVuZE5vdGU+PENpdGU+PEF1dGhvcj5DaGFwZWw8L0F1dGhvcj48WWVhcj4xOTk0PC9ZZWFyPjxS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=
</w:fldData>
        </w:fldChar>
      </w:r>
      <w:r w:rsidR="00896BE2">
        <w:instrText xml:space="preserve"> ADDIN EN.CITE </w:instrText>
      </w:r>
      <w:r w:rsidR="00896BE2">
        <w:fldChar w:fldCharType="begin">
          <w:fldData xml:space="preserve">PEVuZE5vdGU+PENpdGU+PEF1dGhvcj5DaGFwZWw8L0F1dGhvcj48WWVhcj4xOTk0PC9ZZWFyPjxS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=
</w:fldData>
        </w:fldChar>
      </w:r>
      <w:r w:rsidR="00896BE2">
        <w:instrText xml:space="preserve"> ADDIN EN.CITE.DATA </w:instrText>
      </w:r>
      <w:r w:rsidR="00896BE2">
        <w:fldChar w:fldCharType="end"/>
      </w:r>
      <w:r w:rsidRPr="007D0AA8">
        <w:fldChar w:fldCharType="separate"/>
      </w:r>
      <w:r w:rsidR="00896BE2">
        <w:rPr>
          <w:noProof/>
        </w:rPr>
        <w:t>(</w:t>
      </w:r>
      <w:hyperlink w:anchor="_ENREF_13" w:tooltip="Chapel, 1994 #56" w:history="1">
        <w:r w:rsidR="00BB0145">
          <w:rPr>
            <w:noProof/>
          </w:rPr>
          <w:t>Chapel et al. 1994b</w:t>
        </w:r>
      </w:hyperlink>
      <w:r w:rsidR="00896BE2">
        <w:rPr>
          <w:noProof/>
        </w:rPr>
        <w:t>)</w:t>
      </w:r>
      <w:r w:rsidRPr="007D0AA8">
        <w:fldChar w:fldCharType="end"/>
      </w:r>
      <w:r w:rsidRPr="007D0AA8">
        <w:t xml:space="preserve"> recorded serious bacterial infections. </w:t>
      </w:r>
      <w:r>
        <w:t>The majority of patients in each arm had serum IgG below the lower limit of normal (LLN)</w:t>
      </w:r>
      <w:r w:rsidR="006F6384">
        <w:t xml:space="preserve"> </w:t>
      </w:r>
      <w:r>
        <w:t xml:space="preserve">(32/42 IVIg patients and 26/41 control patients). </w:t>
      </w:r>
      <w:r w:rsidRPr="007D0AA8">
        <w:t xml:space="preserve">The authors reported </w:t>
      </w:r>
      <w:r>
        <w:t xml:space="preserve">a </w:t>
      </w:r>
      <w:r w:rsidRPr="007D0AA8">
        <w:t xml:space="preserve">lower </w:t>
      </w:r>
      <w:r>
        <w:t>number of serious bacterial infections</w:t>
      </w:r>
      <w:r w:rsidRPr="007D0AA8">
        <w:t xml:space="preserve"> in the IVIg arm than the comparator (15 vs 29 respectively; p=0.05), including no cases of septicaemia or pneumonia, compared with 10</w:t>
      </w:r>
      <w:r>
        <w:t xml:space="preserve"> such</w:t>
      </w:r>
      <w:r w:rsidRPr="007D0AA8">
        <w:t xml:space="preserve"> instances in the comparator arm.</w:t>
      </w:r>
      <w:r w:rsidR="00D538DE">
        <w:t xml:space="preserve"> </w:t>
      </w:r>
      <w:r w:rsidRPr="007D0AA8">
        <w:t xml:space="preserve">Incidence of minor infections was not reported although it was noted </w:t>
      </w:r>
      <w:r w:rsidRPr="007D0AA8">
        <w:rPr>
          <w:i/>
        </w:rPr>
        <w:t>“there was no protection against minor infections, which were mainly viral infections of the upper respiratory tract”</w:t>
      </w:r>
      <w:r w:rsidRPr="007D0AA8">
        <w:t xml:space="preserve">. The authors concluded </w:t>
      </w:r>
      <w:r w:rsidRPr="007D0AA8">
        <w:lastRenderedPageBreak/>
        <w:t xml:space="preserve">that IVIg protected against serious infections, serious bacterial infections and recurrent serious infections. The relationship between neutropenia and infections was not evaluated as only 15 patients (of 82 evaluable) had neutropenic episodes during the study. </w:t>
      </w:r>
    </w:p>
    <w:p w14:paraId="114FC5FA" w14:textId="0E35F3F4" w:rsidR="000A4002" w:rsidRPr="007D0AA8" w:rsidRDefault="004C5869" w:rsidP="000A4002">
      <w:r w:rsidRPr="007D0AA8">
        <w:t>A small</w:t>
      </w:r>
      <w:r w:rsidR="008E57DD">
        <w:t xml:space="preserve"> Italian</w:t>
      </w:r>
      <w:r w:rsidRPr="007D0AA8">
        <w:t xml:space="preserve"> study in 25 MM patients </w:t>
      </w:r>
      <w:r w:rsidR="00896BE2">
        <w:fldChar w:fldCharType="begin"/>
      </w:r>
      <w:r w:rsidR="00896BE2">
        <w:instrText xml:space="preserve"> ADDIN EN.CITE &lt;EndNote&gt;&lt;Cite&gt;&lt;Author&gt;Musto&lt;/Author&gt;&lt;Year&gt;1995&lt;/Year&gt;&lt;RecNum&gt;60&lt;/RecNum&gt;&lt;DisplayText&gt;(Musto, Brugiatelli &amp;amp; Carotenuto 1995)&lt;/DisplayText&gt;&lt;record&gt;&lt;rec-number&gt;60&lt;/rec-number&gt;&lt;foreign-keys&gt;&lt;key app="EN" db-id="z0vwsepdwpt20pewwts5z9eup9e2r2pd2tad" timestamp="1554267573"&gt;60&lt;/key&gt;&lt;key app="ENWeb" db-id=""&gt;0&lt;/key&gt;&lt;/foreign-keys&gt;&lt;ref-type name="Journal Article"&gt;17&lt;/ref-type&gt;&lt;contributors&gt;&lt;authors&gt;&lt;author&gt;Musto, P.&lt;/author&gt;&lt;author&gt;Brugiatelli, M.&lt;/author&gt;&lt;author&gt;Carotenuto, M.&lt;/author&gt;&lt;/authors&gt;&lt;/contributors&gt;&lt;titles&gt;&lt;title&gt;Prophylaxis against infections with intravenous immunoglobulins in multiple myeloma&lt;/title&gt;&lt;secondary-title&gt;Br J Haematol&lt;/secondary-title&gt;&lt;/titles&gt;&lt;periodical&gt;&lt;full-title&gt;Br J Haematol&lt;/full-title&gt;&lt;/periodical&gt;&lt;dates&gt;&lt;year&gt;1995&lt;/year&gt;&lt;/dates&gt;&lt;urls&gt;&lt;/urls&gt;&lt;research-notes&gt;MM (pearled) cross-over study IVIG vs no prophylaxis&lt;/research-notes&gt;&lt;/record&gt;&lt;/Cite&gt;&lt;/EndNote&gt;</w:instrText>
      </w:r>
      <w:r w:rsidR="00896BE2">
        <w:fldChar w:fldCharType="separate"/>
      </w:r>
      <w:r w:rsidR="00896BE2">
        <w:rPr>
          <w:noProof/>
        </w:rPr>
        <w:t>(</w:t>
      </w:r>
      <w:hyperlink w:anchor="_ENREF_33" w:tooltip="Musto, 1995 #60" w:history="1">
        <w:r w:rsidR="00BB0145">
          <w:rPr>
            <w:noProof/>
          </w:rPr>
          <w:t>Musto, Brugiatelli &amp; Carotenuto 1995</w:t>
        </w:r>
      </w:hyperlink>
      <w:r w:rsidR="00896BE2">
        <w:rPr>
          <w:noProof/>
        </w:rPr>
        <w:t>)</w:t>
      </w:r>
      <w:r w:rsidR="00896BE2">
        <w:fldChar w:fldCharType="end"/>
      </w:r>
      <w:r w:rsidRPr="007D0AA8">
        <w:t xml:space="preserve"> featured similar </w:t>
      </w:r>
      <w:r w:rsidR="00D6410B" w:rsidRPr="007D0AA8">
        <w:t xml:space="preserve">a 6+12+6 month </w:t>
      </w:r>
      <w:r w:rsidRPr="007D0AA8">
        <w:t xml:space="preserve">crossover design and pooled reporting of infections as the Molica study </w:t>
      </w:r>
      <w:r w:rsidR="00FB36D8" w:rsidRPr="007D0AA8">
        <w:t xml:space="preserve">in CLL patients </w:t>
      </w:r>
      <w:r w:rsidRPr="007D0AA8">
        <w:t xml:space="preserve">above. </w:t>
      </w:r>
      <w:r w:rsidR="00D6410B" w:rsidRPr="007D0AA8">
        <w:t>The study reported 10 serious infections</w:t>
      </w:r>
      <w:r w:rsidR="00215C6B">
        <w:t xml:space="preserve"> (without any life-</w:t>
      </w:r>
      <w:r w:rsidR="00FA20FD">
        <w:t>threatening</w:t>
      </w:r>
      <w:r w:rsidR="00215C6B">
        <w:t xml:space="preserve"> septicaemia or pneumonia)</w:t>
      </w:r>
      <w:r w:rsidR="00D6410B" w:rsidRPr="007D0AA8">
        <w:t xml:space="preserve"> for patients in an IVIg phase versus 30 serious infections</w:t>
      </w:r>
      <w:r w:rsidR="00215C6B">
        <w:t xml:space="preserve"> (including 10 life-threatening septicaemia/pneumonia infections)</w:t>
      </w:r>
      <w:r w:rsidR="00D6410B" w:rsidRPr="007D0AA8">
        <w:t xml:space="preserve"> during observation. Minor infections were unaffected by treatment phases. The same </w:t>
      </w:r>
      <w:r w:rsidR="00D22E65">
        <w:t>caveats</w:t>
      </w:r>
      <w:r w:rsidR="00D6410B" w:rsidRPr="007D0AA8">
        <w:t xml:space="preserve"> should be applied to these findings as for the Molica study</w:t>
      </w:r>
      <w:r w:rsidR="00D538DE">
        <w:t xml:space="preserve"> in CLL patients</w:t>
      </w:r>
      <w:r w:rsidR="00D6410B" w:rsidRPr="007D0AA8">
        <w:t xml:space="preserve">. </w:t>
      </w:r>
    </w:p>
    <w:p w14:paraId="7419A8A8" w14:textId="15C91329" w:rsidR="00B857A3" w:rsidRDefault="008A7CB3" w:rsidP="00B857A3">
      <w:r w:rsidRPr="007D0AA8">
        <w:t>One randomised trial of SCIg was included</w:t>
      </w:r>
      <w:r w:rsidR="00B857A3" w:rsidRPr="007D0AA8">
        <w:t xml:space="preserve"> </w:t>
      </w:r>
      <w:r w:rsidR="00B857A3" w:rsidRPr="007D0AA8">
        <w:fldChar w:fldCharType="begin">
          <w:fldData xml:space="preserve">PEVuZE5vdGU+PENpdGU+PEF1dGhvcj5WYWNjYTwvQXV0aG9yPjxZZWFyPjIwMTg8L1llYXI+PFJl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</w:fldData>
        </w:fldChar>
      </w:r>
      <w:r w:rsidR="00B857A3" w:rsidRPr="007D0AA8">
        <w:instrText xml:space="preserve"> ADDIN EN.CITE </w:instrText>
      </w:r>
      <w:r w:rsidR="00B857A3" w:rsidRPr="007D0AA8">
        <w:fldChar w:fldCharType="begin">
          <w:fldData xml:space="preserve">PEVuZE5vdGU+PENpdGU+PEF1dGhvcj5WYWNjYTwvQXV0aG9yPjxZZWFyPjIwMTg8L1llYXI+PFJl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</w:fldData>
        </w:fldChar>
      </w:r>
      <w:r w:rsidR="00B857A3" w:rsidRPr="007D0AA8">
        <w:instrText xml:space="preserve"> ADDIN EN.CITE.DATA </w:instrText>
      </w:r>
      <w:r w:rsidR="00B857A3" w:rsidRPr="007D0AA8">
        <w:fldChar w:fldCharType="end"/>
      </w:r>
      <w:r w:rsidR="00B857A3" w:rsidRPr="007D0AA8">
        <w:fldChar w:fldCharType="separate"/>
      </w:r>
      <w:r w:rsidR="00B857A3" w:rsidRPr="007D0AA8">
        <w:rPr>
          <w:noProof/>
        </w:rPr>
        <w:t>(</w:t>
      </w:r>
      <w:hyperlink w:anchor="_ENREF_52" w:tooltip="Vacca, 2018 #30" w:history="1">
        <w:r w:rsidR="00BB0145" w:rsidRPr="007D0AA8">
          <w:rPr>
            <w:noProof/>
          </w:rPr>
          <w:t>Vacca et al. 2018</w:t>
        </w:r>
      </w:hyperlink>
      <w:r w:rsidR="00B857A3" w:rsidRPr="007D0AA8">
        <w:rPr>
          <w:noProof/>
        </w:rPr>
        <w:t>)</w:t>
      </w:r>
      <w:r w:rsidR="00B857A3" w:rsidRPr="007D0AA8">
        <w:fldChar w:fldCharType="end"/>
      </w:r>
      <w:r w:rsidRPr="007D0AA8">
        <w:t xml:space="preserve">, which studied 46 patients with MM. </w:t>
      </w:r>
      <w:r w:rsidR="00FA521E" w:rsidRPr="007D0AA8">
        <w:t>Major infections occurred overwhelmingly in the No SCIg group (190</w:t>
      </w:r>
      <w:r w:rsidR="00B30B66" w:rsidRPr="007D0AA8">
        <w:t>,</w:t>
      </w:r>
      <w:r w:rsidR="00FA521E" w:rsidRPr="007D0AA8">
        <w:t xml:space="preserve"> compared with </w:t>
      </w:r>
      <w:r w:rsidR="00B30B66" w:rsidRPr="007D0AA8">
        <w:t xml:space="preserve">only </w:t>
      </w:r>
      <w:r w:rsidR="00FA521E" w:rsidRPr="007D0AA8">
        <w:t>16 in the SCIg group</w:t>
      </w:r>
      <w:r w:rsidR="00B30B66" w:rsidRPr="007D0AA8">
        <w:t>)</w:t>
      </w:r>
      <w:r w:rsidR="00FA521E" w:rsidRPr="007D0AA8">
        <w:t xml:space="preserve">. A similar pattern was observed with upper respiratory tract infections as well as lower respiratory tract infections and minor infections. </w:t>
      </w:r>
      <w:r w:rsidR="00F40C0D">
        <w:t xml:space="preserve">Days of infections were markedly different in each arm, with </w:t>
      </w:r>
      <w:r w:rsidR="00F40C0D" w:rsidRPr="00F40C0D">
        <w:t>62</w:t>
      </w:r>
      <w:r w:rsidR="00F40C0D">
        <w:t xml:space="preserve"> days</w:t>
      </w:r>
      <w:r w:rsidR="00F40C0D" w:rsidRPr="00F40C0D">
        <w:t xml:space="preserve"> (</w:t>
      </w:r>
      <w:r w:rsidR="00F40C0D">
        <w:t xml:space="preserve">range </w:t>
      </w:r>
      <w:r w:rsidR="00F40C0D" w:rsidRPr="00F40C0D">
        <w:t>26-87)</w:t>
      </w:r>
      <w:r w:rsidR="00F40C0D">
        <w:t xml:space="preserve"> in SCIg patients versus </w:t>
      </w:r>
      <w:r w:rsidR="00F40C0D" w:rsidRPr="00F40C0D">
        <w:t>135 (88-194)</w:t>
      </w:r>
      <w:r w:rsidR="00F40C0D">
        <w:t xml:space="preserve"> in the control arm (p&lt;0.01). These were</w:t>
      </w:r>
      <w:r w:rsidR="00FA521E" w:rsidRPr="007D0AA8">
        <w:t xml:space="preserve"> consistent with</w:t>
      </w:r>
      <w:r w:rsidR="00F40C0D">
        <w:t xml:space="preserve"> </w:t>
      </w:r>
      <w:r w:rsidR="00FA521E" w:rsidRPr="007D0AA8">
        <w:t xml:space="preserve">results for other outcomes in the study (days of hospitalisation and antibiotics). </w:t>
      </w:r>
      <w:r w:rsidR="00B22A3B">
        <w:t xml:space="preserve">Serum IgG levels were measured </w:t>
      </w:r>
      <w:r w:rsidR="00C33C4C">
        <w:t>monthly during the study</w:t>
      </w:r>
      <w:r w:rsidR="00B22A3B">
        <w:t xml:space="preserve"> – median values in the SCIg arm were 8.3-9.5 g/L compared with 2.4-5.2 g/L in the control arm patients (p&lt;0.05)</w:t>
      </w:r>
      <w:r w:rsidR="003A2370">
        <w:t>, noting that mean values at enrolment had been consistently low across both arms (</w:t>
      </w:r>
      <w:r w:rsidR="003A2370" w:rsidRPr="003A2370">
        <w:t>3.2</w:t>
      </w:r>
      <w:r w:rsidR="006F6384">
        <w:t> </w:t>
      </w:r>
      <w:r w:rsidR="003A2370">
        <w:t>g/L</w:t>
      </w:r>
      <w:r w:rsidR="003A2370" w:rsidRPr="003A2370">
        <w:t xml:space="preserve"> (</w:t>
      </w:r>
      <w:r w:rsidR="003A2370">
        <w:t xml:space="preserve">range </w:t>
      </w:r>
      <w:r w:rsidR="003A2370" w:rsidRPr="003A2370">
        <w:t>1.4–5.7)</w:t>
      </w:r>
      <w:r w:rsidR="003A2370">
        <w:t xml:space="preserve"> versus </w:t>
      </w:r>
      <w:r w:rsidR="003A2370" w:rsidRPr="003A2370">
        <w:t>3.2</w:t>
      </w:r>
      <w:r w:rsidR="006F6384">
        <w:t> </w:t>
      </w:r>
      <w:r w:rsidR="003A2370">
        <w:t>g/L</w:t>
      </w:r>
      <w:r w:rsidR="003A2370" w:rsidRPr="003A2370">
        <w:t xml:space="preserve"> (1.3–5.7)</w:t>
      </w:r>
      <w:r w:rsidR="003A2370">
        <w:t>, respectively) although infection history had not been required as an entry criterion</w:t>
      </w:r>
      <w:r w:rsidR="00B22A3B">
        <w:t xml:space="preserve">.  </w:t>
      </w:r>
    </w:p>
    <w:p w14:paraId="61AD35DC" w14:textId="6408E36E" w:rsidR="002E0763" w:rsidRDefault="002E1E25" w:rsidP="002E0763">
      <w:r>
        <w:t>Of the non-randomised trials, s</w:t>
      </w:r>
      <w:r w:rsidR="002E0763">
        <w:t>everal cohort studies and case series described for CLL also included MM patients, and for whom the same observations regarding infections apply</w:t>
      </w:r>
      <w:r w:rsidR="008E57DD">
        <w:t xml:space="preserve"> as for CLL</w:t>
      </w:r>
      <w:r w:rsidR="002E0763">
        <w:t xml:space="preserve"> </w:t>
      </w:r>
      <w:r w:rsidR="00896BE2">
        <w:fldChar w:fldCharType="begin">
          <w:fldData xml:space="preserve">PEVuZE5vdGU+PENpdGU+PEF1dGhvcj5BbW1hbm48L0F1dGhvcj48WWVhcj4yMDE2PC9ZZWFyPjxS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</w:fldData>
        </w:fldChar>
      </w:r>
      <w:r w:rsidR="00896BE2">
        <w:instrText xml:space="preserve"> ADDIN EN.CITE </w:instrText>
      </w:r>
      <w:r w:rsidR="00896BE2">
        <w:fldChar w:fldCharType="begin">
          <w:fldData xml:space="preserve">PEVuZE5vdGU+PENpdGU+PEF1dGhvcj5BbW1hbm48L0F1dGhvcj48WWVhcj4yMDE2PC9ZZWFyPjxS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</w:fldData>
        </w:fldChar>
      </w:r>
      <w:r w:rsidR="00896BE2">
        <w:instrText xml:space="preserve"> ADDIN EN.CITE.DATA </w:instrText>
      </w:r>
      <w:r w:rsidR="00896BE2">
        <w:fldChar w:fldCharType="end"/>
      </w:r>
      <w:r w:rsidR="00896BE2">
        <w:fldChar w:fldCharType="separate"/>
      </w:r>
      <w:r w:rsidR="00896BE2">
        <w:rPr>
          <w:noProof/>
        </w:rPr>
        <w:t>(</w:t>
      </w:r>
      <w:hyperlink w:anchor="_ENREF_1" w:tooltip="Ammann, 2016 #1" w:history="1">
        <w:r w:rsidR="00BB0145">
          <w:rPr>
            <w:noProof/>
          </w:rPr>
          <w:t>Ammann et al. 2016</w:t>
        </w:r>
      </w:hyperlink>
      <w:r w:rsidR="00896BE2">
        <w:rPr>
          <w:noProof/>
        </w:rPr>
        <w:t xml:space="preserve">; </w:t>
      </w:r>
      <w:hyperlink w:anchor="_ENREF_3" w:tooltip="Benbrahim, 2019 #88" w:history="1">
        <w:r w:rsidR="00BB0145">
          <w:rPr>
            <w:noProof/>
          </w:rPr>
          <w:t>Benbrahim et al. 2019</w:t>
        </w:r>
      </w:hyperlink>
      <w:r w:rsidR="00896BE2">
        <w:rPr>
          <w:noProof/>
        </w:rPr>
        <w:t xml:space="preserve">; </w:t>
      </w:r>
      <w:hyperlink w:anchor="_ENREF_39" w:tooltip="Paxton, 2016 #66" w:history="1">
        <w:r w:rsidR="00BB0145">
          <w:rPr>
            <w:noProof/>
          </w:rPr>
          <w:t>Paxton, Hawkins &amp; Crispin 2016</w:t>
        </w:r>
      </w:hyperlink>
      <w:r w:rsidR="00896BE2">
        <w:rPr>
          <w:noProof/>
        </w:rPr>
        <w:t xml:space="preserve">; </w:t>
      </w:r>
      <w:hyperlink w:anchor="_ENREF_42" w:tooltip="Reiser, 2017 #91" w:history="1">
        <w:r w:rsidR="00BB0145">
          <w:rPr>
            <w:noProof/>
          </w:rPr>
          <w:t>Reiser et al. 2017</w:t>
        </w:r>
      </w:hyperlink>
      <w:r w:rsidR="00896BE2">
        <w:rPr>
          <w:noProof/>
        </w:rPr>
        <w:t xml:space="preserve">; </w:t>
      </w:r>
      <w:hyperlink w:anchor="_ENREF_47" w:tooltip="Stump, 2017 #84" w:history="1">
        <w:r w:rsidR="00BB0145">
          <w:rPr>
            <w:noProof/>
          </w:rPr>
          <w:t>Stump et al. 2017</w:t>
        </w:r>
      </w:hyperlink>
      <w:r w:rsidR="00896BE2">
        <w:rPr>
          <w:noProof/>
        </w:rPr>
        <w:t>)</w:t>
      </w:r>
      <w:r w:rsidR="00896BE2">
        <w:fldChar w:fldCharType="end"/>
      </w:r>
      <w:r w:rsidR="002E0763">
        <w:rPr>
          <w:rFonts w:asciiTheme="minorHAnsi" w:hAnsiTheme="minorHAnsi" w:cstheme="minorHAnsi"/>
        </w:rPr>
        <w:t>.</w:t>
      </w:r>
      <w:r w:rsidR="002E0763">
        <w:t xml:space="preserve"> </w:t>
      </w:r>
    </w:p>
    <w:p w14:paraId="3AB0C10C" w14:textId="553B1664" w:rsidR="00937DFF" w:rsidRPr="00386411" w:rsidRDefault="00937DFF" w:rsidP="00937DFF">
      <w:pPr>
        <w:pStyle w:val="Heading4"/>
      </w:pPr>
      <w:r>
        <w:t>Evidence in HSCT patients</w:t>
      </w:r>
    </w:p>
    <w:p w14:paraId="7E662161" w14:textId="163F7A3E" w:rsidR="000A4002" w:rsidRPr="007D0AA8" w:rsidRDefault="008E57DD" w:rsidP="000A4002">
      <w:pPr>
        <w:rPr>
          <w:i/>
        </w:rPr>
      </w:pPr>
      <w:r>
        <w:t>Only one RCT of</w:t>
      </w:r>
      <w:r w:rsidR="00912B91">
        <w:t xml:space="preserve"> HSCT</w:t>
      </w:r>
      <w:r>
        <w:t xml:space="preserve"> recipient</w:t>
      </w:r>
      <w:r w:rsidR="00912B91">
        <w:t xml:space="preserve">s was included, which studied 369 </w:t>
      </w:r>
      <w:r w:rsidR="00DA5153">
        <w:t xml:space="preserve">American </w:t>
      </w:r>
      <w:r w:rsidR="00912B91">
        <w:t>patients receiving BMT</w:t>
      </w:r>
      <w:r w:rsidR="00912B91" w:rsidRPr="007D0AA8">
        <w:t xml:space="preserve"> </w:t>
      </w:r>
      <w:r w:rsidR="00912B91" w:rsidRPr="007D0AA8">
        <w:fldChar w:fldCharType="begin">
          <w:fldData xml:space="preserve">PEVuZE5vdGU+PENpdGU+PEF1dGhvcj5TdWxsaXZhbjwvQXV0aG9yPjxZZWFyPjE5OTA8L1llYXI+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</w:fldData>
        </w:fldChar>
      </w:r>
      <w:r w:rsidR="00912B91" w:rsidRPr="007D0AA8">
        <w:instrText xml:space="preserve"> ADDIN EN.CITE </w:instrText>
      </w:r>
      <w:r w:rsidR="00912B91" w:rsidRPr="007D0AA8">
        <w:fldChar w:fldCharType="begin">
          <w:fldData xml:space="preserve">PEVuZE5vdGU+PENpdGU+PEF1dGhvcj5TdWxsaXZhbjwvQXV0aG9yPjxZZWFyPjE5OTA8L1llYXI+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</w:fldData>
        </w:fldChar>
      </w:r>
      <w:r w:rsidR="00912B91" w:rsidRPr="007D0AA8">
        <w:instrText xml:space="preserve"> ADDIN EN.CITE.DATA </w:instrText>
      </w:r>
      <w:r w:rsidR="00912B91" w:rsidRPr="007D0AA8">
        <w:fldChar w:fldCharType="end"/>
      </w:r>
      <w:r w:rsidR="00912B91" w:rsidRPr="007D0AA8">
        <w:fldChar w:fldCharType="separate"/>
      </w:r>
      <w:r w:rsidR="00912B91" w:rsidRPr="007D0AA8">
        <w:rPr>
          <w:noProof/>
        </w:rPr>
        <w:t>(</w:t>
      </w:r>
      <w:hyperlink w:anchor="_ENREF_48" w:tooltip="Sullivan, 1990 #67" w:history="1">
        <w:r w:rsidR="00BB0145" w:rsidRPr="007D0AA8">
          <w:rPr>
            <w:noProof/>
          </w:rPr>
          <w:t>Sullivan et al. 1990</w:t>
        </w:r>
      </w:hyperlink>
      <w:r w:rsidR="00912B91" w:rsidRPr="007D0AA8">
        <w:rPr>
          <w:noProof/>
        </w:rPr>
        <w:t>)</w:t>
      </w:r>
      <w:r w:rsidR="00912B91" w:rsidRPr="007D0AA8">
        <w:fldChar w:fldCharType="end"/>
      </w:r>
      <w:r w:rsidR="00912B91">
        <w:t xml:space="preserve">. </w:t>
      </w:r>
      <w:r w:rsidR="000A4002" w:rsidRPr="007D0AA8">
        <w:t xml:space="preserve">Although </w:t>
      </w:r>
      <w:r w:rsidR="00C33C4C">
        <w:t>neither hypogammaglobulinaemia nor history of infections were required at entry, serum IgG levels for the both IVIg and control groups were monitored every 30 days during the first 90 days post-transplant – the untreated group showed that patients remained under the 5</w:t>
      </w:r>
      <w:r w:rsidR="00C33C4C" w:rsidRPr="00C33C4C">
        <w:rPr>
          <w:vertAlign w:val="superscript"/>
        </w:rPr>
        <w:t>th</w:t>
      </w:r>
      <w:r w:rsidR="00C33C4C">
        <w:t xml:space="preserve"> percentile without IVIg after BMT. </w:t>
      </w:r>
      <w:r w:rsidR="00DA5153">
        <w:t>I</w:t>
      </w:r>
      <w:r w:rsidR="000A4002" w:rsidRPr="007D0AA8">
        <w:t>nfections were reported for the first 100 days post-</w:t>
      </w:r>
      <w:r w:rsidR="00C33C4C">
        <w:t>transplant or until discharge</w:t>
      </w:r>
      <w:r w:rsidR="00DA5153">
        <w:t xml:space="preserve"> of the 12 month protocol</w:t>
      </w:r>
      <w:r w:rsidR="00C33C4C">
        <w:t xml:space="preserve">. </w:t>
      </w:r>
      <w:r w:rsidR="00CA166A">
        <w:t xml:space="preserve">Two patients in the control group received IVIg </w:t>
      </w:r>
      <w:r w:rsidR="00A81B2A">
        <w:t xml:space="preserve">during the first 100 days </w:t>
      </w:r>
      <w:r w:rsidR="00CA166A">
        <w:t xml:space="preserve">after developing recurrent infections. </w:t>
      </w:r>
      <w:r w:rsidR="00C33C4C">
        <w:t xml:space="preserve">The authors reported an increased risk of septicaemia (relative risk </w:t>
      </w:r>
      <w:r w:rsidR="00C33C4C" w:rsidRPr="00C33C4C">
        <w:t>2.15 (</w:t>
      </w:r>
      <w:r w:rsidR="00C33C4C">
        <w:t>p=</w:t>
      </w:r>
      <w:r w:rsidR="00C33C4C" w:rsidRPr="00C33C4C">
        <w:t>0.0022)</w:t>
      </w:r>
      <w:r w:rsidR="00C33C4C">
        <w:t>) and local infections</w:t>
      </w:r>
      <w:r w:rsidR="000009B4">
        <w:t xml:space="preserve"> (relative risk </w:t>
      </w:r>
      <w:r w:rsidR="000009B4" w:rsidRPr="000009B4">
        <w:t xml:space="preserve">1.36 </w:t>
      </w:r>
      <w:r w:rsidR="000009B4" w:rsidRPr="000009B4">
        <w:lastRenderedPageBreak/>
        <w:t>(</w:t>
      </w:r>
      <w:r w:rsidR="000009B4">
        <w:t>p=</w:t>
      </w:r>
      <w:r w:rsidR="000009B4" w:rsidRPr="000009B4">
        <w:t>0.029)</w:t>
      </w:r>
      <w:r w:rsidR="000009B4">
        <w:t>)</w:t>
      </w:r>
      <w:r w:rsidR="00C33C4C">
        <w:t xml:space="preserve"> </w:t>
      </w:r>
      <w:r w:rsidR="000009B4">
        <w:t>but not bacteraemia</w:t>
      </w:r>
      <w:r w:rsidR="00D42D26">
        <w:rPr>
          <w:rStyle w:val="FootnoteReference"/>
        </w:rPr>
        <w:footnoteReference w:id="11"/>
      </w:r>
      <w:r w:rsidR="000009B4">
        <w:t xml:space="preserve"> </w:t>
      </w:r>
      <w:r w:rsidR="00C33C4C">
        <w:t>in patients who received no IVIg compared with IVIg</w:t>
      </w:r>
      <w:r w:rsidR="00CA166A">
        <w:t xml:space="preserve"> (note that infections were mostly culture confirmed)</w:t>
      </w:r>
      <w:r w:rsidR="000009B4">
        <w:t xml:space="preserve">. </w:t>
      </w:r>
      <w:r w:rsidR="00A81B2A">
        <w:t>The authors also concluded that differences in infection rates were unrelated to</w:t>
      </w:r>
      <w:r w:rsidR="00215C6B">
        <w:t xml:space="preserve"> rates of neutrophil recovery. </w:t>
      </w:r>
      <w:r w:rsidR="00BE5103">
        <w:t>This was</w:t>
      </w:r>
      <w:r w:rsidR="00A81B2A">
        <w:t xml:space="preserve"> the oldest</w:t>
      </w:r>
      <w:r w:rsidR="00BE5103">
        <w:t xml:space="preserve"> study </w:t>
      </w:r>
      <w:r w:rsidR="00A81B2A">
        <w:t xml:space="preserve">in the clinical evidence </w:t>
      </w:r>
      <w:r w:rsidR="00BE5103">
        <w:t>– patients were recruited between May 1986 and November 1987</w:t>
      </w:r>
      <w:r w:rsidR="00A81B2A">
        <w:t xml:space="preserve"> </w:t>
      </w:r>
      <w:r w:rsidR="00B10251">
        <w:t>and data cut-off was 1 May 198</w:t>
      </w:r>
      <w:r w:rsidR="002F0D11">
        <w:t>9</w:t>
      </w:r>
      <w:r w:rsidR="00A81B2A">
        <w:t xml:space="preserve">. </w:t>
      </w:r>
      <w:r w:rsidR="00215C6B">
        <w:t>Since then, o</w:t>
      </w:r>
      <w:r w:rsidR="00BE5103">
        <w:t>ver 30 years have elapsed in which time numero</w:t>
      </w:r>
      <w:r w:rsidR="00CA166A">
        <w:t>us changes</w:t>
      </w:r>
      <w:r w:rsidR="00215C6B">
        <w:t xml:space="preserve"> have occurred</w:t>
      </w:r>
      <w:r w:rsidR="00CA166A">
        <w:t xml:space="preserve"> to standard of care for underlying disease, conditioning/ablation treatments</w:t>
      </w:r>
      <w:r w:rsidR="00A81B2A">
        <w:t>, im</w:t>
      </w:r>
      <w:r w:rsidR="00644032">
        <w:t>m</w:t>
      </w:r>
      <w:r w:rsidR="00A81B2A">
        <w:t>unosupression</w:t>
      </w:r>
      <w:r w:rsidR="00CA166A">
        <w:t xml:space="preserve"> </w:t>
      </w:r>
      <w:r w:rsidR="00BE5103">
        <w:t xml:space="preserve">and transplant methodology.  </w:t>
      </w:r>
    </w:p>
    <w:p w14:paraId="59C0AC75" w14:textId="6F54EDDB" w:rsidR="002E0763" w:rsidRPr="007D0AA8" w:rsidRDefault="002E1E25" w:rsidP="002E0763">
      <w:pPr>
        <w:rPr>
          <w:rFonts w:asciiTheme="minorHAnsi" w:hAnsiTheme="minorHAnsi" w:cstheme="minorHAnsi"/>
        </w:rPr>
      </w:pPr>
      <w:r>
        <w:rPr>
          <w:rFonts w:asciiTheme="minorHAnsi" w:hAnsiTheme="minorHAnsi" w:cstheme="minorHAnsi"/>
        </w:rPr>
        <w:t>In terms of non-randomised evidence, o</w:t>
      </w:r>
      <w:r w:rsidR="002E0763">
        <w:rPr>
          <w:rFonts w:asciiTheme="minorHAnsi" w:hAnsiTheme="minorHAnsi" w:cstheme="minorHAnsi"/>
        </w:rPr>
        <w:t xml:space="preserve">ne Australian cohort study </w:t>
      </w:r>
      <w:r w:rsidR="00896BE2">
        <w:rPr>
          <w:rFonts w:asciiTheme="minorHAnsi" w:hAnsiTheme="minorHAnsi" w:cstheme="minorHAnsi"/>
        </w:rPr>
        <w:fldChar w:fldCharType="begin">
          <w:fldData xml:space="preserve">PEVuZE5vdGU+PENpdGU+PEF1dGhvcj5CbG9tYmVyeTwvQXV0aG9yPjxZZWFyPjIwMTE8L1llYXI+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</w:fldData>
        </w:fldChar>
      </w:r>
      <w:r w:rsidR="00896BE2">
        <w:rPr>
          <w:rFonts w:asciiTheme="minorHAnsi" w:hAnsiTheme="minorHAnsi" w:cstheme="minorHAnsi"/>
        </w:rPr>
        <w:instrText xml:space="preserve"> ADDIN EN.CITE </w:instrText>
      </w:r>
      <w:r w:rsidR="00896BE2">
        <w:rPr>
          <w:rFonts w:asciiTheme="minorHAnsi" w:hAnsiTheme="minorHAnsi" w:cstheme="minorHAnsi"/>
        </w:rPr>
        <w:fldChar w:fldCharType="begin">
          <w:fldData xml:space="preserve">PEVuZE5vdGU+PENpdGU+PEF1dGhvcj5CbG9tYmVyeTwvQXV0aG9yPjxZZWFyPjIwMTE8L1llYXI+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</w:fldData>
        </w:fldChar>
      </w:r>
      <w:r w:rsidR="00896BE2">
        <w:rPr>
          <w:rFonts w:asciiTheme="minorHAnsi" w:hAnsiTheme="minorHAnsi" w:cstheme="minorHAnsi"/>
        </w:rPr>
        <w:instrText xml:space="preserve"> ADDIN EN.CITE.DATA </w:instrText>
      </w:r>
      <w:r w:rsidR="00896BE2">
        <w:rPr>
          <w:rFonts w:asciiTheme="minorHAnsi" w:hAnsiTheme="minorHAnsi" w:cstheme="minorHAnsi"/>
        </w:rPr>
      </w:r>
      <w:r w:rsidR="00896BE2">
        <w:rPr>
          <w:rFonts w:asciiTheme="minorHAnsi" w:hAnsiTheme="minorHAnsi" w:cstheme="minorHAnsi"/>
        </w:rPr>
        <w:fldChar w:fldCharType="end"/>
      </w:r>
      <w:r w:rsidR="00896BE2">
        <w:rPr>
          <w:rFonts w:asciiTheme="minorHAnsi" w:hAnsiTheme="minorHAnsi" w:cstheme="minorHAnsi"/>
        </w:rPr>
      </w:r>
      <w:r w:rsidR="00896BE2">
        <w:rPr>
          <w:rFonts w:asciiTheme="minorHAnsi" w:hAnsiTheme="minorHAnsi" w:cstheme="minorHAnsi"/>
        </w:rPr>
        <w:fldChar w:fldCharType="separate"/>
      </w:r>
      <w:r w:rsidR="00896BE2">
        <w:rPr>
          <w:rFonts w:asciiTheme="minorHAnsi" w:hAnsiTheme="minorHAnsi" w:cstheme="minorHAnsi"/>
          <w:noProof/>
        </w:rPr>
        <w:t>(</w:t>
      </w:r>
      <w:hyperlink w:anchor="_ENREF_6" w:tooltip="Blombery, 2011 #45" w:history="1">
        <w:r w:rsidR="00BB0145">
          <w:rPr>
            <w:rFonts w:asciiTheme="minorHAnsi" w:hAnsiTheme="minorHAnsi" w:cstheme="minorHAnsi"/>
            <w:noProof/>
          </w:rPr>
          <w:t>Blombery et al. 2011</w:t>
        </w:r>
      </w:hyperlink>
      <w:r w:rsidR="00896BE2">
        <w:rPr>
          <w:rFonts w:asciiTheme="minorHAnsi" w:hAnsiTheme="minorHAnsi" w:cstheme="minorHAnsi"/>
          <w:noProof/>
        </w:rPr>
        <w:t>)</w:t>
      </w:r>
      <w:r w:rsidR="00896BE2">
        <w:rPr>
          <w:rFonts w:asciiTheme="minorHAnsi" w:hAnsiTheme="minorHAnsi" w:cstheme="minorHAnsi"/>
        </w:rPr>
        <w:fldChar w:fldCharType="end"/>
      </w:r>
      <w:r w:rsidR="002E0763" w:rsidRPr="007D0AA8">
        <w:rPr>
          <w:rFonts w:asciiTheme="minorHAnsi" w:hAnsiTheme="minorHAnsi" w:cstheme="minorHAnsi"/>
        </w:rPr>
        <w:t xml:space="preserve"> investigated whether a single</w:t>
      </w:r>
      <w:r w:rsidR="002E0763" w:rsidRPr="007D0AA8">
        <w:t xml:space="preserve"> ‘pre-emptive’</w:t>
      </w:r>
      <w:r w:rsidR="002E0763" w:rsidRPr="007D0AA8">
        <w:rPr>
          <w:rFonts w:asciiTheme="minorHAnsi" w:hAnsiTheme="minorHAnsi" w:cstheme="minorHAnsi"/>
        </w:rPr>
        <w:t xml:space="preserve"> peri-transplant dose was effective in reducing infections in HSCT recipients</w:t>
      </w:r>
      <w:r w:rsidR="002E0763" w:rsidRPr="007D0AA8">
        <w:t xml:space="preserve"> (IVIg received any time in a 30 day period per</w:t>
      </w:r>
      <w:r w:rsidR="002E0763">
        <w:t>i</w:t>
      </w:r>
      <w:r w:rsidR="002E0763" w:rsidRPr="007D0AA8">
        <w:t>-transplant)</w:t>
      </w:r>
      <w:r w:rsidR="00CD2543">
        <w:t xml:space="preserve"> </w:t>
      </w:r>
      <w:r w:rsidR="002E0763" w:rsidRPr="007D0AA8">
        <w:fldChar w:fldCharType="begin">
          <w:fldData xml:space="preserve">PEVuZE5vdGU+PENpdGU+PEF1dGhvcj5CbG9tYmVyeTwvQXV0aG9yPjxZZWFyPjIwMTE8L1llYXI+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</w:fldData>
        </w:fldChar>
      </w:r>
      <w:r w:rsidR="002E0763" w:rsidRPr="007D0AA8">
        <w:instrText xml:space="preserve"> ADDIN EN.CITE </w:instrText>
      </w:r>
      <w:r w:rsidR="002E0763" w:rsidRPr="007D0AA8">
        <w:fldChar w:fldCharType="begin">
          <w:fldData xml:space="preserve">PEVuZE5vdGU+PENpdGU+PEF1dGhvcj5CbG9tYmVyeTwvQXV0aG9yPjxZZWFyPjIwMTE8L1llYXI+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</w:fldData>
        </w:fldChar>
      </w:r>
      <w:r w:rsidR="002E0763" w:rsidRPr="007D0AA8">
        <w:instrText xml:space="preserve"> ADDIN EN.CITE.DATA </w:instrText>
      </w:r>
      <w:r w:rsidR="002E0763" w:rsidRPr="007D0AA8">
        <w:fldChar w:fldCharType="end"/>
      </w:r>
      <w:r w:rsidR="002E0763" w:rsidRPr="007D0AA8">
        <w:fldChar w:fldCharType="separate"/>
      </w:r>
      <w:r w:rsidR="002E0763" w:rsidRPr="007D0AA8">
        <w:rPr>
          <w:noProof/>
        </w:rPr>
        <w:t>(</w:t>
      </w:r>
      <w:hyperlink w:anchor="_ENREF_6" w:tooltip="Blombery, 2011 #45" w:history="1">
        <w:r w:rsidR="00BB0145" w:rsidRPr="007D0AA8">
          <w:rPr>
            <w:noProof/>
          </w:rPr>
          <w:t>Blombery et al. 2011</w:t>
        </w:r>
      </w:hyperlink>
      <w:r w:rsidR="002E0763" w:rsidRPr="007D0AA8">
        <w:rPr>
          <w:noProof/>
        </w:rPr>
        <w:t>)</w:t>
      </w:r>
      <w:r w:rsidR="002E0763" w:rsidRPr="007D0AA8">
        <w:fldChar w:fldCharType="end"/>
      </w:r>
      <w:r w:rsidR="002E0763" w:rsidRPr="007D0AA8">
        <w:rPr>
          <w:rFonts w:asciiTheme="minorHAnsi" w:hAnsiTheme="minorHAnsi" w:cstheme="minorHAnsi"/>
        </w:rPr>
        <w:t xml:space="preserve">. </w:t>
      </w:r>
      <w:r w:rsidR="002E0763" w:rsidRPr="007D0AA8">
        <w:t xml:space="preserve">This single dose study was not designed to investigate ongoing replacement therapy and reporting of infections was limited to the 30 day observation period. However, the study included a patient subset who received their single dose as part of NBA-funded IgG maintenance </w:t>
      </w:r>
      <w:r w:rsidR="002E0763">
        <w:t xml:space="preserve">therapy </w:t>
      </w:r>
      <w:r w:rsidR="002E0763" w:rsidRPr="007D0AA8">
        <w:t>(</w:t>
      </w:r>
      <w:r w:rsidR="002E0763" w:rsidRPr="007D0AA8">
        <w:fldChar w:fldCharType="begin"/>
      </w:r>
      <w:r w:rsidR="002E0763" w:rsidRPr="007D0AA8">
        <w:instrText xml:space="preserve"> REF _Ref9453066 \h  \* MERGEFORMAT </w:instrText>
      </w:r>
      <w:r w:rsidR="002E0763" w:rsidRPr="007D0AA8">
        <w:fldChar w:fldCharType="separate"/>
      </w:r>
      <w:r w:rsidR="00A7463B" w:rsidRPr="00386411">
        <w:t xml:space="preserve">Table </w:t>
      </w:r>
      <w:r w:rsidR="00A7463B">
        <w:rPr>
          <w:noProof/>
        </w:rPr>
        <w:t>88</w:t>
      </w:r>
      <w:r w:rsidR="002E0763" w:rsidRPr="007D0AA8">
        <w:fldChar w:fldCharType="end"/>
      </w:r>
      <w:r w:rsidR="002E0763" w:rsidRPr="007D0AA8">
        <w:t xml:space="preserve">). </w:t>
      </w:r>
      <w:r w:rsidR="002E0763" w:rsidRPr="007D0AA8">
        <w:rPr>
          <w:rFonts w:asciiTheme="minorHAnsi" w:hAnsiTheme="minorHAnsi" w:cstheme="minorHAnsi"/>
        </w:rPr>
        <w:t>The multi-dose sub-group shows an increased rate of pneumonia and GI infections compared to the single-dose recipients, however the authors noted these numbers were very small and that patients qualifying for replacement therapy likely had a higher baseline risk of infection. No further analysis was presented.</w:t>
      </w:r>
    </w:p>
    <w:p w14:paraId="4FA4D8A6" w14:textId="77777777" w:rsidR="002E0763" w:rsidRPr="007D0AA8" w:rsidRDefault="002E0763" w:rsidP="002E0763">
      <w:pPr>
        <w:rPr>
          <w:rFonts w:asciiTheme="minorHAnsi" w:hAnsiTheme="minorHAnsi" w:cstheme="minorHAnsi"/>
        </w:rPr>
      </w:pPr>
      <w:r w:rsidRPr="007D0AA8">
        <w:rPr>
          <w:rFonts w:asciiTheme="minorHAnsi" w:hAnsiTheme="minorHAnsi" w:cstheme="minorHAnsi"/>
        </w:rPr>
        <w:t xml:space="preserve">In the Blombery study overall, the infections were reported in the 240 patients enrolled who had hypogammaglobulinaemia at baseline. An additional 19 patients with normal IgG levels were not included in the author’s primary analysis but infections were compared in those 19 subjects with those in the No IVIg group (i.e. who had hypogammaglobulinaemia) – there was no different in infections between the two untreated groups (data not shown). This may have been due either to the single dose nature of the study or the presence of a group of patients in this population who do well in spite of their hypogammaglobulinaemia.  </w:t>
      </w:r>
    </w:p>
    <w:p w14:paraId="02183179" w14:textId="77777777" w:rsidR="002E0763" w:rsidRDefault="002E0763" w:rsidP="002E0763">
      <w:r>
        <w:rPr>
          <w:rFonts w:asciiTheme="minorHAnsi" w:hAnsiTheme="minorHAnsi" w:cstheme="minorHAnsi"/>
        </w:rPr>
        <w:t>The Blombery authors</w:t>
      </w:r>
      <w:r w:rsidRPr="007D0AA8">
        <w:rPr>
          <w:rFonts w:asciiTheme="minorHAnsi" w:hAnsiTheme="minorHAnsi" w:cstheme="minorHAnsi"/>
        </w:rPr>
        <w:t xml:space="preserve"> also looked at a range of factors between the IVIg and No IVIg groups to consider whether these predisposed patients to infections (e.g. duration of neutropenia, pre-transplant serum IgG, CD34</w:t>
      </w:r>
      <w:r w:rsidRPr="007D0AA8">
        <w:rPr>
          <w:rFonts w:asciiTheme="minorHAnsi" w:hAnsiTheme="minorHAnsi" w:cstheme="minorHAnsi"/>
          <w:vertAlign w:val="superscript"/>
        </w:rPr>
        <w:t>+</w:t>
      </w:r>
      <w:r w:rsidRPr="007D0AA8">
        <w:rPr>
          <w:rFonts w:asciiTheme="minorHAnsi" w:hAnsiTheme="minorHAnsi" w:cstheme="minorHAnsi"/>
        </w:rPr>
        <w:t xml:space="preserve"> progenitor cell dose, intensity of conditioning), but the patients’ history of infections was not considered</w:t>
      </w:r>
      <w:r w:rsidRPr="007D0AA8">
        <w:t xml:space="preserve">. </w:t>
      </w:r>
    </w:p>
    <w:p w14:paraId="754C736E" w14:textId="7B4610E8" w:rsidR="00D538DE" w:rsidRPr="00D538DE" w:rsidRDefault="002E0763" w:rsidP="002E0763">
      <w:r>
        <w:t>A supportive study comparing IVIg versus SCIg in 58 HSCT patients (including 26 with haematological malignancies)</w:t>
      </w:r>
      <w:r w:rsidR="009B0175">
        <w:t xml:space="preserve"> </w:t>
      </w:r>
      <w:r w:rsidR="00896BE2">
        <w:fldChar w:fldCharType="begin">
          <w:fldData xml:space="preserve">PEVuZE5vdGU+PENpdGU+PEF1dGhvcj5TdW5kaW48L0F1dGhvcj48WWVhcj4yMDEyPC9ZZWFyPjxS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</w:fldData>
        </w:fldChar>
      </w:r>
      <w:r w:rsidR="00896BE2">
        <w:instrText xml:space="preserve"> ADDIN EN.CITE </w:instrText>
      </w:r>
      <w:r w:rsidR="00896BE2">
        <w:fldChar w:fldCharType="begin">
          <w:fldData xml:space="preserve">PEVuZE5vdGU+PENpdGU+PEF1dGhvcj5TdW5kaW48L0F1dGhvcj48WWVhcj4yMDEyPC9ZZWFyPjxS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</w:fldData>
        </w:fldChar>
      </w:r>
      <w:r w:rsidR="00896BE2">
        <w:instrText xml:space="preserve"> ADDIN EN.CITE.DATA </w:instrText>
      </w:r>
      <w:r w:rsidR="00896BE2">
        <w:fldChar w:fldCharType="end"/>
      </w:r>
      <w:r w:rsidR="00896BE2">
        <w:fldChar w:fldCharType="separate"/>
      </w:r>
      <w:r w:rsidR="00896BE2">
        <w:rPr>
          <w:noProof/>
        </w:rPr>
        <w:t>(</w:t>
      </w:r>
      <w:hyperlink w:anchor="_ENREF_50" w:tooltip="Sundin, 2012 #86" w:history="1">
        <w:r w:rsidR="00BB0145">
          <w:rPr>
            <w:noProof/>
          </w:rPr>
          <w:t>Sundin et al. 2012</w:t>
        </w:r>
      </w:hyperlink>
      <w:r w:rsidR="00896BE2">
        <w:rPr>
          <w:noProof/>
        </w:rPr>
        <w:t>)</w:t>
      </w:r>
      <w:r w:rsidR="00896BE2">
        <w:fldChar w:fldCharType="end"/>
      </w:r>
      <w:r>
        <w:t xml:space="preserve"> reported infections but included no control group or baseline values, thus no conclusion could be drawn for this evaluation.  </w:t>
      </w:r>
    </w:p>
    <w:p w14:paraId="56D6E45A" w14:textId="09F5A43E" w:rsidR="00937DFF" w:rsidRPr="00386411" w:rsidRDefault="00937DFF" w:rsidP="00937DFF">
      <w:pPr>
        <w:pStyle w:val="Heading4"/>
      </w:pPr>
      <w:r>
        <w:lastRenderedPageBreak/>
        <w:t>Evidence in patients with</w:t>
      </w:r>
      <w:r w:rsidRPr="00386411">
        <w:t xml:space="preserve"> </w:t>
      </w:r>
      <w:r>
        <w:t>AL</w:t>
      </w:r>
    </w:p>
    <w:p w14:paraId="193ED50C" w14:textId="29E2AA44" w:rsidR="006511AC" w:rsidRPr="007D0AA8" w:rsidRDefault="002F0D11" w:rsidP="00BF1E9F">
      <w:r>
        <w:t>One</w:t>
      </w:r>
      <w:r w:rsidR="008E01BA" w:rsidRPr="007D0AA8">
        <w:t xml:space="preserve"> </w:t>
      </w:r>
      <w:r>
        <w:t>RCT</w:t>
      </w:r>
      <w:r w:rsidR="008E01BA" w:rsidRPr="007D0AA8">
        <w:t xml:space="preserve"> of </w:t>
      </w:r>
      <w:r w:rsidR="00B95C68" w:rsidRPr="007D0AA8">
        <w:t xml:space="preserve">61 </w:t>
      </w:r>
      <w:r w:rsidR="008E01BA" w:rsidRPr="007D0AA8">
        <w:t>children with AL</w:t>
      </w:r>
      <w:r w:rsidR="00BD58DD">
        <w:t>L or AML</w:t>
      </w:r>
      <w:r w:rsidR="008E01BA" w:rsidRPr="007D0AA8">
        <w:t xml:space="preserve"> in Japan explored IVIg in combination with a carpapenem antibiotic meropenem as second</w:t>
      </w:r>
      <w:r w:rsidR="00B95C68" w:rsidRPr="007D0AA8">
        <w:t>-line</w:t>
      </w:r>
      <w:r w:rsidR="008E01BA" w:rsidRPr="007D0AA8">
        <w:t xml:space="preserve"> treatment of febrile </w:t>
      </w:r>
      <w:r w:rsidR="00B95C68" w:rsidRPr="007D0AA8">
        <w:t>neutropenia after first-</w:t>
      </w:r>
      <w:r w:rsidR="008E01BA" w:rsidRPr="007D0AA8">
        <w:t xml:space="preserve">line antibiotics </w:t>
      </w:r>
      <w:r w:rsidR="00896BE2">
        <w:fldChar w:fldCharType="begin">
          <w:fldData xml:space="preserve">PEVuZE5vdGU+PENpdGU+PEF1dGhvcj5Lb2JheWFzaGk8L0F1dGhvcj48WWVhcj4yMDE0PC9ZZWFy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</w:fldData>
        </w:fldChar>
      </w:r>
      <w:r w:rsidR="00896BE2">
        <w:instrText xml:space="preserve"> ADDIN EN.CITE </w:instrText>
      </w:r>
      <w:r w:rsidR="00896BE2">
        <w:fldChar w:fldCharType="begin">
          <w:fldData xml:space="preserve">PEVuZE5vdGU+PENpdGU+PEF1dGhvcj5Lb2JheWFzaGk8L0F1dGhvcj48WWVhcj4yMDE0PC9ZZWFy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</w:fldData>
        </w:fldChar>
      </w:r>
      <w:r w:rsidR="00896BE2">
        <w:instrText xml:space="preserve"> ADDIN EN.CITE.DATA </w:instrText>
      </w:r>
      <w:r w:rsidR="00896BE2">
        <w:fldChar w:fldCharType="end"/>
      </w:r>
      <w:r w:rsidR="00896BE2">
        <w:fldChar w:fldCharType="separate"/>
      </w:r>
      <w:r w:rsidR="00896BE2">
        <w:rPr>
          <w:noProof/>
        </w:rPr>
        <w:t>(</w:t>
      </w:r>
      <w:hyperlink w:anchor="_ENREF_27" w:tooltip="Kobayashi, 2014 #79" w:history="1">
        <w:r w:rsidR="00BB0145">
          <w:rPr>
            <w:noProof/>
          </w:rPr>
          <w:t>Kobayashi et al. 2014</w:t>
        </w:r>
      </w:hyperlink>
      <w:r w:rsidR="00896BE2">
        <w:rPr>
          <w:noProof/>
        </w:rPr>
        <w:t>)</w:t>
      </w:r>
      <w:r w:rsidR="00896BE2">
        <w:fldChar w:fldCharType="end"/>
      </w:r>
      <w:r w:rsidR="008E01BA" w:rsidRPr="002F0D11">
        <w:t xml:space="preserve">. </w:t>
      </w:r>
      <w:r w:rsidR="006511AC" w:rsidRPr="002F0D11">
        <w:t xml:space="preserve">Patients received meropenem with or without IVIg </w:t>
      </w:r>
      <w:r>
        <w:t>for</w:t>
      </w:r>
      <w:r w:rsidR="006511AC" w:rsidRPr="002F0D11">
        <w:t xml:space="preserve"> 72 hours</w:t>
      </w:r>
      <w:r>
        <w:t xml:space="preserve"> for a given infection episode</w:t>
      </w:r>
      <w:r w:rsidR="006511AC" w:rsidRPr="002F0D11">
        <w:t xml:space="preserve"> – the authors reported</w:t>
      </w:r>
      <w:r>
        <w:t xml:space="preserve"> a range of 1-9 </w:t>
      </w:r>
      <w:r w:rsidR="006511AC" w:rsidRPr="007D0AA8">
        <w:t>episodes</w:t>
      </w:r>
      <w:r>
        <w:t xml:space="preserve"> per</w:t>
      </w:r>
      <w:r w:rsidR="006511AC" w:rsidRPr="007D0AA8">
        <w:t xml:space="preserve"> patient. </w:t>
      </w:r>
      <w:r w:rsidR="006B5E0B">
        <w:t>The study reported no infections data nor episodes per patient</w:t>
      </w:r>
      <w:r w:rsidR="00D34A94" w:rsidRPr="007D0AA8">
        <w:t xml:space="preserve"> </w:t>
      </w:r>
      <w:r>
        <w:t>– as such</w:t>
      </w:r>
      <w:r w:rsidR="00D34A94" w:rsidRPr="007D0AA8">
        <w:t xml:space="preserve"> </w:t>
      </w:r>
      <w:r w:rsidR="004E4553" w:rsidRPr="007D0AA8">
        <w:t xml:space="preserve">this RCT </w:t>
      </w:r>
      <w:r>
        <w:t>was not included in the meta-analysis</w:t>
      </w:r>
      <w:r w:rsidR="004E4553" w:rsidRPr="007D0AA8">
        <w:t xml:space="preserve">. </w:t>
      </w:r>
      <w:r>
        <w:t>T</w:t>
      </w:r>
      <w:r w:rsidR="00D34A94" w:rsidRPr="007D0AA8">
        <w:t xml:space="preserve">reatment outcome was reported as ‘success’ or ‘failure’ per episode based on eradication or not of febrile neutropenia symptoms </w:t>
      </w:r>
      <w:r w:rsidR="006511AC" w:rsidRPr="007D0AA8">
        <w:t>measured at 120</w:t>
      </w:r>
      <w:r w:rsidR="006F6384">
        <w:t xml:space="preserve"> </w:t>
      </w:r>
      <w:r w:rsidR="006511AC" w:rsidRPr="007D0AA8">
        <w:t xml:space="preserve">h and then </w:t>
      </w:r>
      <w:r w:rsidR="00D34A94" w:rsidRPr="007D0AA8">
        <w:t xml:space="preserve">maintained for at least a week. </w:t>
      </w:r>
      <w:r w:rsidR="006511AC" w:rsidRPr="007D0AA8">
        <w:t xml:space="preserve">There was a trend for patients with serum IgG </w:t>
      </w:r>
      <w:r w:rsidR="00D538DE">
        <w:t>&lt;</w:t>
      </w:r>
      <w:r w:rsidR="006511AC" w:rsidRPr="007D0AA8">
        <w:t>500</w:t>
      </w:r>
      <w:r w:rsidR="006F6384">
        <w:t xml:space="preserve"> </w:t>
      </w:r>
      <w:r w:rsidR="006511AC" w:rsidRPr="007D0AA8">
        <w:t>mg/dL to do better if they received IVIg (81.3% treatment success) than those with MEPM only (62.5</w:t>
      </w:r>
      <w:r w:rsidR="00D538DE">
        <w:t>% treatment success)</w:t>
      </w:r>
      <w:r w:rsidR="009B0175">
        <w:t xml:space="preserve"> </w:t>
      </w:r>
      <w:r w:rsidR="00D538DE">
        <w:t xml:space="preserve">(p=0.238). </w:t>
      </w:r>
      <w:r w:rsidR="006511AC" w:rsidRPr="007D0AA8">
        <w:t>The authors contended that although the difference was not statistically significant in the low IgG patients, this was</w:t>
      </w:r>
      <w:r>
        <w:t xml:space="preserve"> due to the sample size and that results for this subset could have been significant in a larger study. Otherwise, the authors drew no conclusions about the efficacy of IVIg being mostly concerned with the value of </w:t>
      </w:r>
      <w:r w:rsidRPr="002F0D11">
        <w:t xml:space="preserve">meropenem </w:t>
      </w:r>
      <w:r>
        <w:t xml:space="preserve">as an alternative to </w:t>
      </w:r>
      <w:r w:rsidR="006B5E0B">
        <w:t xml:space="preserve">other second line antibiotics for febrile neutropenia in this setting such as </w:t>
      </w:r>
      <w:r>
        <w:t xml:space="preserve">vancomycin. </w:t>
      </w:r>
    </w:p>
    <w:p w14:paraId="572EE646" w14:textId="67D5ED82" w:rsidR="002E0763" w:rsidRDefault="002E0763" w:rsidP="002E0763">
      <w:r>
        <w:t>One cohort study</w:t>
      </w:r>
      <w:r w:rsidRPr="007D0AA8">
        <w:t xml:space="preserve"> </w:t>
      </w:r>
      <w:r w:rsidR="00896BE2">
        <w:fldChar w:fldCharType="begin">
          <w:fldData xml:space="preserve">PEVuZE5vdGU+PENpdGU+PEF1dGhvcj5WYW4gV2lua2xlPC9BdXRob3I+PFllYXI+MjAxODwvWWVh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=
</w:fldData>
        </w:fldChar>
      </w:r>
      <w:r w:rsidR="00896BE2">
        <w:instrText xml:space="preserve"> ADDIN EN.CITE </w:instrText>
      </w:r>
      <w:r w:rsidR="00896BE2">
        <w:fldChar w:fldCharType="begin">
          <w:fldData xml:space="preserve">PEVuZE5vdGU+PENpdGU+PEF1dGhvcj5WYW4gV2lua2xlPC9BdXRob3I+PFllYXI+MjAxODwvWWVh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=
</w:fldData>
        </w:fldChar>
      </w:r>
      <w:r w:rsidR="00896BE2">
        <w:instrText xml:space="preserve"> ADDIN EN.CITE.DATA </w:instrText>
      </w:r>
      <w:r w:rsidR="00896BE2">
        <w:fldChar w:fldCharType="end"/>
      </w:r>
      <w:r w:rsidR="00896BE2">
        <w:fldChar w:fldCharType="separate"/>
      </w:r>
      <w:r w:rsidR="00896BE2">
        <w:rPr>
          <w:noProof/>
        </w:rPr>
        <w:t>(</w:t>
      </w:r>
      <w:hyperlink w:anchor="_ENREF_53" w:tooltip="Van Winkle, 2018 #26" w:history="1">
        <w:r w:rsidR="00BB0145">
          <w:rPr>
            <w:noProof/>
          </w:rPr>
          <w:t>Van Winkle et al. 2018</w:t>
        </w:r>
      </w:hyperlink>
      <w:r w:rsidR="00896BE2">
        <w:rPr>
          <w:noProof/>
        </w:rPr>
        <w:t>)</w:t>
      </w:r>
      <w:r w:rsidR="00896BE2">
        <w:fldChar w:fldCharType="end"/>
      </w:r>
      <w:r>
        <w:t xml:space="preserve"> in </w:t>
      </w:r>
      <w:r w:rsidR="00BD58DD">
        <w:t>118</w:t>
      </w:r>
      <w:r w:rsidR="00D538DE">
        <w:t xml:space="preserve"> </w:t>
      </w:r>
      <w:r>
        <w:t>children with AL</w:t>
      </w:r>
      <w:r w:rsidR="00BD58DD">
        <w:t>L</w:t>
      </w:r>
      <w:r w:rsidR="00D538DE">
        <w:t xml:space="preserve"> </w:t>
      </w:r>
      <w:r w:rsidRPr="007D0AA8">
        <w:t xml:space="preserve">found no significant differences in infectious complications (as measured by bacteraemia or infections requiring antibiotics) in the IVIG versus non-IVIG groups. However, the infection rates in the IVIg arm prior to, and then during IVIg administration, shows that patients had considerably higher rates of infections before treatment than the control arm </w:t>
      </w:r>
      <w:r w:rsidRPr="007D0AA8">
        <w:rPr>
          <w:rFonts w:cs="Calibri"/>
        </w:rPr>
        <w:t>―</w:t>
      </w:r>
      <w:r w:rsidRPr="007D0AA8">
        <w:t xml:space="preserve"> these infections nonetheless decreased on receipt of IVIg.</w:t>
      </w:r>
      <w:r w:rsidR="00D538DE">
        <w:t xml:space="preserve"> As neither infection rates nor firm conclusions </w:t>
      </w:r>
      <w:r w:rsidR="00BD58DD">
        <w:t xml:space="preserve">were </w:t>
      </w:r>
      <w:r w:rsidR="00D538DE">
        <w:t xml:space="preserve">available from the </w:t>
      </w:r>
      <w:r w:rsidR="00BD58DD">
        <w:t xml:space="preserve">Japanese </w:t>
      </w:r>
      <w:r w:rsidR="00D538DE">
        <w:t xml:space="preserve">RCT above, this is the key trial for AL.  </w:t>
      </w:r>
    </w:p>
    <w:p w14:paraId="3D44DF93" w14:textId="35CE109A" w:rsidR="002E0763" w:rsidRDefault="002E0763" w:rsidP="002E0763">
      <w:r>
        <w:t xml:space="preserve">The United States dosing study in 79 patients described above </w:t>
      </w:r>
      <w:r w:rsidR="00896BE2">
        <w:fldChar w:fldCharType="begin">
          <w:fldData xml:space="preserve">PEVuZE5vdGU+PENpdGU+PEF1dGhvcj5TdHVtcDwvQXV0aG9yPjxZZWFyPjIwMTc8L1llYXI+PFJl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</w:fldData>
        </w:fldChar>
      </w:r>
      <w:r w:rsidR="00896BE2">
        <w:instrText xml:space="preserve"> ADDIN EN.CITE </w:instrText>
      </w:r>
      <w:r w:rsidR="00896BE2">
        <w:fldChar w:fldCharType="begin">
          <w:fldData xml:space="preserve">PEVuZE5vdGU+PENpdGU+PEF1dGhvcj5TdHVtcDwvQXV0aG9yPjxZZWFyPjIwMTc8L1llYXI+PFJl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</w:fldData>
        </w:fldChar>
      </w:r>
      <w:r w:rsidR="00896BE2">
        <w:instrText xml:space="preserve"> ADDIN EN.CITE.DATA </w:instrText>
      </w:r>
      <w:r w:rsidR="00896BE2">
        <w:fldChar w:fldCharType="end"/>
      </w:r>
      <w:r w:rsidR="00896BE2">
        <w:fldChar w:fldCharType="separate"/>
      </w:r>
      <w:r w:rsidR="00896BE2">
        <w:rPr>
          <w:noProof/>
        </w:rPr>
        <w:t>(</w:t>
      </w:r>
      <w:hyperlink w:anchor="_ENREF_47" w:tooltip="Stump, 2017 #84" w:history="1">
        <w:r w:rsidR="00BB0145">
          <w:rPr>
            <w:noProof/>
          </w:rPr>
          <w:t>Stump et al. 2017</w:t>
        </w:r>
      </w:hyperlink>
      <w:r w:rsidR="00896BE2">
        <w:rPr>
          <w:noProof/>
        </w:rPr>
        <w:t>)</w:t>
      </w:r>
      <w:r w:rsidR="00896BE2">
        <w:fldChar w:fldCharType="end"/>
      </w:r>
      <w:r>
        <w:t xml:space="preserve"> included AL patients (65 of 209 treatment episodes/infusions) but included no control group or baseline values, thus no conclusion could be drawn in terms of infections reported compared with No IgG.  </w:t>
      </w:r>
    </w:p>
    <w:p w14:paraId="547F5FCC" w14:textId="13DC9B19" w:rsidR="00937DFF" w:rsidRDefault="00937DFF" w:rsidP="00937DFF">
      <w:pPr>
        <w:pStyle w:val="Heading4"/>
      </w:pPr>
      <w:r>
        <w:t>Evidence in patients with</w:t>
      </w:r>
      <w:r w:rsidRPr="00386411">
        <w:t xml:space="preserve"> </w:t>
      </w:r>
      <w:r>
        <w:t>NHL</w:t>
      </w:r>
    </w:p>
    <w:p w14:paraId="33555DFB" w14:textId="63B8726E" w:rsidR="002E0763" w:rsidRDefault="00937DFF" w:rsidP="002E0763">
      <w:r>
        <w:t>No RCTs were found for patients with NHL</w:t>
      </w:r>
      <w:r w:rsidR="002E0763">
        <w:t xml:space="preserve"> (see </w:t>
      </w:r>
      <w:r w:rsidR="002E0763">
        <w:fldChar w:fldCharType="begin"/>
      </w:r>
      <w:r w:rsidR="002E0763">
        <w:instrText xml:space="preserve"> REF _Ref10291298 \h  \* MERGEFORMAT </w:instrText>
      </w:r>
      <w:r w:rsidR="002E0763">
        <w:fldChar w:fldCharType="separate"/>
      </w:r>
      <w:r w:rsidR="00A7463B" w:rsidRPr="00386411">
        <w:t xml:space="preserve">Table </w:t>
      </w:r>
      <w:r w:rsidR="00A7463B">
        <w:rPr>
          <w:noProof/>
        </w:rPr>
        <w:t>78</w:t>
      </w:r>
      <w:r w:rsidR="002E0763">
        <w:fldChar w:fldCharType="end"/>
      </w:r>
      <w:r w:rsidR="002E0763">
        <w:t xml:space="preserve"> </w:t>
      </w:r>
      <w:r w:rsidR="002E0763">
        <w:fldChar w:fldCharType="begin"/>
      </w:r>
      <w:r w:rsidR="002E0763">
        <w:instrText xml:space="preserve"> REF _Ref10230975 \h  \* MERGEFORMAT </w:instrText>
      </w:r>
      <w:r w:rsidR="002E0763">
        <w:fldChar w:fldCharType="separate"/>
      </w:r>
      <w:r w:rsidR="00A7463B" w:rsidRPr="00386411">
        <w:t xml:space="preserve">Appendix </w:t>
      </w:r>
      <w:r w:rsidR="00A7463B">
        <w:rPr>
          <w:noProof/>
        </w:rPr>
        <w:t>F</w:t>
      </w:r>
      <w:r w:rsidR="002E0763">
        <w:fldChar w:fldCharType="end"/>
      </w:r>
      <w:r w:rsidR="002E0763">
        <w:t>)</w:t>
      </w:r>
      <w:r>
        <w:t xml:space="preserve">. </w:t>
      </w:r>
      <w:r w:rsidR="002E0763">
        <w:t xml:space="preserve">Although one RCT </w:t>
      </w:r>
      <w:r w:rsidR="00D538DE">
        <w:t>appeared to include</w:t>
      </w:r>
      <w:r w:rsidR="002E0763">
        <w:t xml:space="preserve"> NHL patients </w:t>
      </w:r>
      <w:r w:rsidR="002E0763" w:rsidRPr="007D0AA8">
        <w:fldChar w:fldCharType="begin"/>
      </w:r>
      <w:r w:rsidR="00896BE2">
        <w:instrText xml:space="preserve"> ADDIN EN.CITE &lt;EndNote&gt;&lt;Cite&gt;&lt;Author&gt;Chapel&lt;/Author&gt;&lt;Year&gt;1991&lt;/Year&gt;&lt;RecNum&gt;32&lt;/RecNum&gt;&lt;DisplayText&gt;(Chapel et al. 1991)&lt;/DisplayText&gt;&lt;record&gt;&lt;rec-number&gt;32&lt;/rec-number&gt;&lt;foreign-keys&gt;&lt;key app="EN" db-id="z0vwsepdwpt20pewwts5z9eup9e2r2pd2tad" timestamp="1553825060"&gt;32&lt;/key&gt;&lt;/foreign-keys&gt;&lt;ref-type name="Journal Article"&gt;17&lt;/ref-type&gt;&lt;contributors&gt;&lt;authors&gt;&lt;author&gt;Chapel, H. M.&lt;/author&gt;&lt;author&gt;Griffiths, H.&lt;/author&gt;&lt;author&gt;Brennan, V.&lt;/author&gt;&lt;author&gt;Bunch, C.&lt;/author&gt;&lt;author&gt;Lea, J.&lt;/author&gt;&lt;author&gt;Lee, M.&lt;/author&gt;&lt;/authors&gt;&lt;/contributors&gt;&lt;titles&gt;&lt;title&gt;Hypogammaglobulinaemia in low grade B cell tumours; significance and therapy&lt;/title&gt;&lt;secondary-title&gt;Immunological investigations&lt;/secondary-title&gt;&lt;/titles&gt;&lt;periodical&gt;&lt;full-title&gt;Immunological investigations&lt;/full-title&gt;&lt;/periodical&gt;&lt;pages&gt;187‐191&lt;/pages&gt;&lt;volume&gt;20&lt;/volume&gt;&lt;number&gt;2&lt;/number&gt;&lt;keywords&gt;&lt;keyword&gt;Agammaglobulinemia [complications, *therapy]&lt;/keyword&gt;&lt;keyword&gt;Bacterial Infections [etiology, *prevention &amp;amp; control]&lt;/keyword&gt;&lt;keyword&gt;Humans&lt;/keyword&gt;&lt;keyword&gt;Immunoglobulin G [therapeutic use]&lt;/keyword&gt;&lt;keyword&gt;Immunotherapy&lt;/keyword&gt;&lt;keyword&gt;Infusions, Intravenous&lt;/keyword&gt;&lt;keyword&gt;Leukemia, Lymphocytic, Chronic, B‐Cell [complications]&lt;/keyword&gt;&lt;keyword&gt;Lymphoma, Non‐Hodgkin [complications]&lt;/keyword&gt;&lt;/keywords&gt;&lt;dates&gt;&lt;year&gt;1991&lt;/year&gt;&lt;pub-dates&gt;&lt;date&gt;1991&lt;/date&gt;&lt;/pub-dates&gt;&lt;/dates&gt;&lt;accession-num&gt;CN-00077281&lt;/accession-num&gt;&lt;urls&gt;&lt;related-urls&gt;&lt;url&gt;&lt;style face="underline" font="default" size="100%"&gt;https://www.cochranelibrary.com/central/doi/10.1002/central/CN-00077281/full&lt;/style&gt;&lt;/url&gt;&lt;/related-urls&gt;&lt;/urls&gt;&lt;custom1&gt;RAYYAN-INCLUSION: {&amp;quot;Skye&amp;quot;=&amp;gt;&amp;quot;Included&amp;quot;}&lt;/custom1&gt;&lt;research-notes&gt;CLL and NHL IVIg vs saline&lt;/research-notes&gt;&lt;/record&gt;&lt;/Cite&gt;&lt;/EndNote&gt;</w:instrText>
      </w:r>
      <w:r w:rsidR="002E0763" w:rsidRPr="007D0AA8">
        <w:fldChar w:fldCharType="separate"/>
      </w:r>
      <w:r w:rsidR="002E0763" w:rsidRPr="007D0AA8">
        <w:rPr>
          <w:noProof/>
        </w:rPr>
        <w:t>(</w:t>
      </w:r>
      <w:hyperlink w:anchor="_ENREF_12" w:tooltip="Chapel, 1991 #32" w:history="1">
        <w:r w:rsidR="00BB0145" w:rsidRPr="007D0AA8">
          <w:rPr>
            <w:noProof/>
          </w:rPr>
          <w:t>Chapel et al. 1991</w:t>
        </w:r>
      </w:hyperlink>
      <w:r w:rsidR="002E0763" w:rsidRPr="007D0AA8">
        <w:rPr>
          <w:noProof/>
        </w:rPr>
        <w:t>)</w:t>
      </w:r>
      <w:r w:rsidR="002E0763" w:rsidRPr="007D0AA8">
        <w:fldChar w:fldCharType="end"/>
      </w:r>
      <w:r w:rsidR="002E0763">
        <w:t>, it</w:t>
      </w:r>
      <w:r w:rsidR="002E0763" w:rsidRPr="007D0AA8">
        <w:t xml:space="preserve"> was very small with only 12 patients</w:t>
      </w:r>
      <w:r w:rsidR="002E0763">
        <w:t xml:space="preserve"> (</w:t>
      </w:r>
      <w:r w:rsidR="002E0763" w:rsidRPr="007D0AA8">
        <w:t xml:space="preserve">mostly </w:t>
      </w:r>
      <w:r w:rsidR="002E0763">
        <w:t>CLL) and the proportion of NHL patients, though not reported, was likely to be less than 10% at study start (based on numbers from the preceding study on which this was based,</w:t>
      </w:r>
      <w:r w:rsidR="00896BE2">
        <w:t xml:space="preserve"> </w:t>
      </w:r>
      <w:r w:rsidR="00896BE2">
        <w:fldChar w:fldCharType="begin">
          <w:fldData xml:space="preserve">PEVuZE5vdGU+PENpdGU+PEF1dGhvcj5HYWxlPC9BdXRob3I+PFllYXI+MTk4ODwvWWVhcj48UmVj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</w:fldData>
        </w:fldChar>
      </w:r>
      <w:r w:rsidR="00896BE2">
        <w:instrText xml:space="preserve"> ADDIN EN.CITE </w:instrText>
      </w:r>
      <w:r w:rsidR="00896BE2">
        <w:fldChar w:fldCharType="begin">
          <w:fldData xml:space="preserve">PEVuZE5vdGU+PENpdGU+PEF1dGhvcj5HYWxlPC9BdXRob3I+PFllYXI+MTk4ODwvWWVhcj48UmVj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</w:fldData>
        </w:fldChar>
      </w:r>
      <w:r w:rsidR="00896BE2">
        <w:instrText xml:space="preserve"> ADDIN EN.CITE.DATA </w:instrText>
      </w:r>
      <w:r w:rsidR="00896BE2">
        <w:fldChar w:fldCharType="end"/>
      </w:r>
      <w:r w:rsidR="00896BE2">
        <w:fldChar w:fldCharType="separate"/>
      </w:r>
      <w:r w:rsidR="00896BE2">
        <w:rPr>
          <w:noProof/>
        </w:rPr>
        <w:t>(</w:t>
      </w:r>
      <w:hyperlink w:anchor="_ENREF_19" w:tooltip="Gale, 1988 #4" w:history="1">
        <w:r w:rsidR="00BB0145">
          <w:rPr>
            <w:noProof/>
          </w:rPr>
          <w:t>Gale et al. 1988</w:t>
        </w:r>
      </w:hyperlink>
      <w:r w:rsidR="00896BE2">
        <w:rPr>
          <w:noProof/>
        </w:rPr>
        <w:t>)</w:t>
      </w:r>
      <w:r w:rsidR="00896BE2">
        <w:fldChar w:fldCharType="end"/>
      </w:r>
      <w:r w:rsidR="002E0763">
        <w:t xml:space="preserve">. As such, the three non-randomised studies that report infections for IgG versus No IgG </w:t>
      </w:r>
      <w:r w:rsidR="00896BE2">
        <w:fldChar w:fldCharType="begin">
          <w:fldData xml:space="preserve">PEVuZE5vdGU+PENpdGU+PEF1dGhvcj5QYXh0b248L0F1dGhvcj48WWVhcj4yMDE2PC9ZZWFyPjxS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</w:fldData>
        </w:fldChar>
      </w:r>
      <w:r w:rsidR="00896BE2">
        <w:instrText xml:space="preserve"> ADDIN EN.CITE </w:instrText>
      </w:r>
      <w:r w:rsidR="00896BE2">
        <w:fldChar w:fldCharType="begin">
          <w:fldData xml:space="preserve">PEVuZE5vdGU+PENpdGU+PEF1dGhvcj5QYXh0b248L0F1dGhvcj48WWVhcj4yMDE2PC9ZZWFyPjxS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</w:fldData>
        </w:fldChar>
      </w:r>
      <w:r w:rsidR="00896BE2">
        <w:instrText xml:space="preserve"> ADDIN EN.CITE.DATA </w:instrText>
      </w:r>
      <w:r w:rsidR="00896BE2">
        <w:fldChar w:fldCharType="end"/>
      </w:r>
      <w:r w:rsidR="00896BE2">
        <w:fldChar w:fldCharType="separate"/>
      </w:r>
      <w:r w:rsidR="00896BE2">
        <w:rPr>
          <w:noProof/>
        </w:rPr>
        <w:t>(</w:t>
      </w:r>
      <w:hyperlink w:anchor="_ENREF_3" w:tooltip="Benbrahim, 2019 #88" w:history="1">
        <w:r w:rsidR="00BB0145">
          <w:rPr>
            <w:noProof/>
          </w:rPr>
          <w:t>Benbrahim et al. 2019</w:t>
        </w:r>
      </w:hyperlink>
      <w:r w:rsidR="00896BE2">
        <w:rPr>
          <w:noProof/>
        </w:rPr>
        <w:t xml:space="preserve">; </w:t>
      </w:r>
      <w:hyperlink w:anchor="_ENREF_39" w:tooltip="Paxton, 2016 #66" w:history="1">
        <w:r w:rsidR="00BB0145">
          <w:rPr>
            <w:noProof/>
          </w:rPr>
          <w:t>Paxton, Hawkins &amp; Crispin 2016</w:t>
        </w:r>
      </w:hyperlink>
      <w:r w:rsidR="00896BE2">
        <w:rPr>
          <w:noProof/>
        </w:rPr>
        <w:t xml:space="preserve">; </w:t>
      </w:r>
      <w:hyperlink w:anchor="_ENREF_42" w:tooltip="Reiser, 2017 #91" w:history="1">
        <w:r w:rsidR="00BB0145">
          <w:rPr>
            <w:noProof/>
          </w:rPr>
          <w:t>Reiser et al. 2017</w:t>
        </w:r>
      </w:hyperlink>
      <w:r w:rsidR="00896BE2">
        <w:rPr>
          <w:noProof/>
        </w:rPr>
        <w:t>)</w:t>
      </w:r>
      <w:r w:rsidR="00896BE2">
        <w:fldChar w:fldCharType="end"/>
      </w:r>
      <w:r w:rsidR="002E0763">
        <w:rPr>
          <w:rFonts w:asciiTheme="minorHAnsi" w:hAnsiTheme="minorHAnsi" w:cstheme="minorHAnsi"/>
        </w:rPr>
        <w:t xml:space="preserve"> </w:t>
      </w:r>
      <w:r w:rsidR="002E0763">
        <w:t xml:space="preserve">represent the key evidence for NHL. The same observations regarding infections </w:t>
      </w:r>
      <w:r w:rsidR="00323096">
        <w:t xml:space="preserve">in these studies </w:t>
      </w:r>
      <w:r w:rsidR="002E0763">
        <w:t>apply to NHL patients as already described for CLL and MM</w:t>
      </w:r>
      <w:r w:rsidR="006F6384">
        <w:t>.</w:t>
      </w:r>
    </w:p>
    <w:p w14:paraId="2FAA8A82" w14:textId="32206839" w:rsidR="00937DFF" w:rsidRPr="00386411" w:rsidRDefault="00937DFF" w:rsidP="00937DFF">
      <w:pPr>
        <w:pStyle w:val="Heading4"/>
      </w:pPr>
      <w:r>
        <w:lastRenderedPageBreak/>
        <w:t>Evidence in patients with</w:t>
      </w:r>
      <w:r w:rsidRPr="00386411">
        <w:t xml:space="preserve"> </w:t>
      </w:r>
      <w:r>
        <w:t>other haematological malignancies</w:t>
      </w:r>
    </w:p>
    <w:p w14:paraId="14B50FD5" w14:textId="6B7B28C8" w:rsidR="00D538DE" w:rsidRDefault="002F0D11" w:rsidP="006A1323">
      <w:r>
        <w:t xml:space="preserve">No </w:t>
      </w:r>
      <w:r w:rsidR="002E0763">
        <w:t xml:space="preserve">studies of any kind </w:t>
      </w:r>
      <w:r>
        <w:t xml:space="preserve">were found </w:t>
      </w:r>
      <w:r w:rsidR="002E0763">
        <w:t>that included more than a few patients with</w:t>
      </w:r>
      <w:r w:rsidR="00937DFF">
        <w:t xml:space="preserve"> </w:t>
      </w:r>
      <w:r>
        <w:t>‘</w:t>
      </w:r>
      <w:r w:rsidR="002E0763">
        <w:t>o</w:t>
      </w:r>
      <w:r>
        <w:t>ther haematological malignancies’</w:t>
      </w:r>
      <w:r w:rsidR="00D775E5">
        <w:t xml:space="preserve"> (for example, Hodgkin lymphoma</w:t>
      </w:r>
      <w:r w:rsidR="00F814DE">
        <w:t xml:space="preserve"> (HL)</w:t>
      </w:r>
      <w:r w:rsidR="00D775E5">
        <w:t xml:space="preserve">, amyloidosis, </w:t>
      </w:r>
      <w:r w:rsidR="00D775E5" w:rsidRPr="003874FD">
        <w:t>Waldenström macroglobulinaemia</w:t>
      </w:r>
      <w:r w:rsidR="00F814DE">
        <w:t xml:space="preserve"> (WM)</w:t>
      </w:r>
      <w:r w:rsidR="00D775E5">
        <w:t xml:space="preserve">, </w:t>
      </w:r>
      <w:r w:rsidR="00D775E5" w:rsidRPr="00F814DE">
        <w:t xml:space="preserve">heavy chain disease, </w:t>
      </w:r>
      <w:r w:rsidR="00F814DE" w:rsidRPr="00F814DE">
        <w:t>chronic myeloid leukaemia</w:t>
      </w:r>
      <w:r w:rsidR="00F814DE">
        <w:t xml:space="preserve"> (</w:t>
      </w:r>
      <w:r w:rsidR="00D775E5" w:rsidRPr="00F814DE">
        <w:t>CML</w:t>
      </w:r>
      <w:r w:rsidR="00F814DE">
        <w:t>)</w:t>
      </w:r>
      <w:r w:rsidR="00323096">
        <w:t>,</w:t>
      </w:r>
      <w:r w:rsidR="00D775E5" w:rsidRPr="00F814DE">
        <w:t xml:space="preserve"> MDS</w:t>
      </w:r>
      <w:r w:rsidR="00323096">
        <w:t xml:space="preserve"> and others</w:t>
      </w:r>
      <w:r w:rsidR="00D775E5" w:rsidRPr="00F814DE">
        <w:t>)</w:t>
      </w:r>
      <w:r w:rsidRPr="00F814DE">
        <w:t>.</w:t>
      </w:r>
      <w:r>
        <w:t xml:space="preserve"> </w:t>
      </w:r>
      <w:r w:rsidR="00D538DE">
        <w:br w:type="page"/>
      </w:r>
    </w:p>
    <w:p w14:paraId="179FFEC3" w14:textId="30C1C526" w:rsidR="00520095" w:rsidRPr="00386411" w:rsidRDefault="00C07D12" w:rsidP="00096AAE">
      <w:pPr>
        <w:pStyle w:val="Heading3"/>
      </w:pPr>
      <w:bookmarkStart w:id="310" w:name="_Toc14431144"/>
      <w:bookmarkStart w:id="311" w:name="_Toc16856312"/>
      <w:r w:rsidRPr="00386411">
        <w:lastRenderedPageBreak/>
        <w:t>Resource Use</w:t>
      </w:r>
      <w:r w:rsidR="00520095" w:rsidRPr="00386411">
        <w:t xml:space="preserve"> Outcome</w:t>
      </w:r>
      <w:bookmarkEnd w:id="309"/>
      <w:r w:rsidRPr="00386411">
        <w:t>s</w:t>
      </w:r>
      <w:r w:rsidR="00C54A0C" w:rsidRPr="00386411">
        <w:t xml:space="preserve"> Presented as Infectious Complications</w:t>
      </w:r>
      <w:bookmarkEnd w:id="310"/>
      <w:bookmarkEnd w:id="311"/>
    </w:p>
    <w:p w14:paraId="5AC2F9C8" w14:textId="662E8CCA" w:rsidR="00912B91" w:rsidRDefault="0076369D" w:rsidP="00C7338B">
      <w:r w:rsidRPr="007D0AA8">
        <w:t xml:space="preserve">Infection-related resource use outcomes such as hospitalisation for infection or antibiotic use were informative outcomes for efficacy </w:t>
      </w:r>
      <w:r w:rsidR="00237C7A" w:rsidRPr="007D0AA8">
        <w:t>and were frequently presented as infectious complications</w:t>
      </w:r>
      <w:r w:rsidRPr="007D0AA8">
        <w:t xml:space="preserve">. </w:t>
      </w:r>
      <w:r w:rsidR="00D12967" w:rsidRPr="007D0AA8">
        <w:t xml:space="preserve">One </w:t>
      </w:r>
      <w:r w:rsidR="00C7338B">
        <w:t xml:space="preserve">RCT </w:t>
      </w:r>
      <w:r w:rsidR="00896BE2">
        <w:fldChar w:fldCharType="begin">
          <w:fldData xml:space="preserve">PEVuZE5vdGU+PENpdGU+PEF1dGhvcj5WYWNjYTwvQXV0aG9yPjxZZWFyPjIwMTg8L1llYXI+PFJl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</w:fldData>
        </w:fldChar>
      </w:r>
      <w:r w:rsidR="00896BE2">
        <w:instrText xml:space="preserve"> ADDIN EN.CITE </w:instrText>
      </w:r>
      <w:r w:rsidR="00896BE2">
        <w:fldChar w:fldCharType="begin">
          <w:fldData xml:space="preserve">PEVuZE5vdGU+PENpdGU+PEF1dGhvcj5WYWNjYTwvQXV0aG9yPjxZZWFyPjIwMTg8L1llYXI+PFJl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</w:fldData>
        </w:fldChar>
      </w:r>
      <w:r w:rsidR="00896BE2">
        <w:instrText xml:space="preserve"> ADDIN EN.CITE.DATA </w:instrText>
      </w:r>
      <w:r w:rsidR="00896BE2">
        <w:fldChar w:fldCharType="end"/>
      </w:r>
      <w:r w:rsidR="00896BE2">
        <w:fldChar w:fldCharType="separate"/>
      </w:r>
      <w:r w:rsidR="00896BE2">
        <w:rPr>
          <w:noProof/>
        </w:rPr>
        <w:t>(</w:t>
      </w:r>
      <w:hyperlink w:anchor="_ENREF_52" w:tooltip="Vacca, 2018 #30" w:history="1">
        <w:r w:rsidR="00BB0145">
          <w:rPr>
            <w:noProof/>
          </w:rPr>
          <w:t>Vacca et al. 2018</w:t>
        </w:r>
      </w:hyperlink>
      <w:r w:rsidR="00896BE2">
        <w:rPr>
          <w:noProof/>
        </w:rPr>
        <w:t>)</w:t>
      </w:r>
      <w:r w:rsidR="00896BE2">
        <w:fldChar w:fldCharType="end"/>
      </w:r>
      <w:r w:rsidR="00D12967" w:rsidRPr="007D0AA8">
        <w:t xml:space="preserve"> and </w:t>
      </w:r>
      <w:r w:rsidR="00C7338B">
        <w:t>four cohort</w:t>
      </w:r>
      <w:r w:rsidR="00072E7D" w:rsidRPr="007D0AA8">
        <w:t xml:space="preserve"> studies</w:t>
      </w:r>
      <w:r w:rsidR="00C7338B">
        <w:t xml:space="preserve"> </w:t>
      </w:r>
      <w:r w:rsidR="00896BE2">
        <w:fldChar w:fldCharType="begin">
          <w:fldData xml:space="preserve">PEVuZE5vdGU+PENpdGU+PEF1dGhvcj5BbW1hbm48L0F1dGhvcj48WWVhcj4yMDE2PC9ZZWFyPjxS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</w:fldData>
        </w:fldChar>
      </w:r>
      <w:r w:rsidR="00896BE2">
        <w:instrText xml:space="preserve"> ADDIN EN.CITE </w:instrText>
      </w:r>
      <w:r w:rsidR="00896BE2">
        <w:fldChar w:fldCharType="begin">
          <w:fldData xml:space="preserve">PEVuZE5vdGU+PENpdGU+PEF1dGhvcj5BbW1hbm48L0F1dGhvcj48WWVhcj4yMDE2PC9ZZWFyPjxS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</w:fldData>
        </w:fldChar>
      </w:r>
      <w:r w:rsidR="00896BE2">
        <w:instrText xml:space="preserve"> ADDIN EN.CITE.DATA </w:instrText>
      </w:r>
      <w:r w:rsidR="00896BE2">
        <w:fldChar w:fldCharType="end"/>
      </w:r>
      <w:r w:rsidR="00896BE2">
        <w:fldChar w:fldCharType="separate"/>
      </w:r>
      <w:r w:rsidR="00896BE2">
        <w:rPr>
          <w:noProof/>
        </w:rPr>
        <w:t>(</w:t>
      </w:r>
      <w:hyperlink w:anchor="_ENREF_1" w:tooltip="Ammann, 2016 #1" w:history="1">
        <w:r w:rsidR="00BB0145">
          <w:rPr>
            <w:noProof/>
          </w:rPr>
          <w:t>Ammann et al. 2016</w:t>
        </w:r>
      </w:hyperlink>
      <w:r w:rsidR="00896BE2">
        <w:rPr>
          <w:noProof/>
        </w:rPr>
        <w:t xml:space="preserve">; </w:t>
      </w:r>
      <w:hyperlink w:anchor="_ENREF_6" w:tooltip="Blombery, 2011 #45" w:history="1">
        <w:r w:rsidR="00BB0145">
          <w:rPr>
            <w:noProof/>
          </w:rPr>
          <w:t>Blombery et al. 2011</w:t>
        </w:r>
      </w:hyperlink>
      <w:r w:rsidR="00896BE2">
        <w:rPr>
          <w:noProof/>
        </w:rPr>
        <w:t xml:space="preserve">; </w:t>
      </w:r>
      <w:hyperlink w:anchor="_ENREF_39" w:tooltip="Paxton, 2016 #66" w:history="1">
        <w:r w:rsidR="00BB0145">
          <w:rPr>
            <w:noProof/>
          </w:rPr>
          <w:t>Paxton, Hawkins &amp; Crispin 2016</w:t>
        </w:r>
      </w:hyperlink>
      <w:r w:rsidR="00896BE2">
        <w:rPr>
          <w:noProof/>
        </w:rPr>
        <w:t xml:space="preserve">; </w:t>
      </w:r>
      <w:hyperlink w:anchor="_ENREF_53" w:tooltip="Van Winkle, 2018 #26" w:history="1">
        <w:r w:rsidR="00BB0145">
          <w:rPr>
            <w:noProof/>
          </w:rPr>
          <w:t>Van Winkle et al. 2018</w:t>
        </w:r>
      </w:hyperlink>
      <w:r w:rsidR="00896BE2">
        <w:rPr>
          <w:noProof/>
        </w:rPr>
        <w:t>)</w:t>
      </w:r>
      <w:r w:rsidR="00896BE2">
        <w:fldChar w:fldCharType="end"/>
      </w:r>
      <w:r w:rsidR="00072E7D" w:rsidRPr="007D0AA8">
        <w:t xml:space="preserve"> </w:t>
      </w:r>
      <w:r w:rsidR="00C07D12" w:rsidRPr="007D0AA8">
        <w:t>r</w:t>
      </w:r>
      <w:r w:rsidR="005F30C2" w:rsidRPr="007D0AA8">
        <w:t>eport</w:t>
      </w:r>
      <w:r w:rsidRPr="007D0AA8">
        <w:t>ed</w:t>
      </w:r>
      <w:r w:rsidR="00C07D12" w:rsidRPr="007D0AA8">
        <w:t xml:space="preserve"> </w:t>
      </w:r>
      <w:r w:rsidRPr="007D0AA8">
        <w:t>these outcomes</w:t>
      </w:r>
      <w:r w:rsidR="00C7338B">
        <w:t xml:space="preserve"> (</w:t>
      </w:r>
      <w:r w:rsidR="00C7338B" w:rsidRPr="007D0AA8">
        <w:rPr>
          <w:highlight w:val="yellow"/>
        </w:rPr>
        <w:fldChar w:fldCharType="begin"/>
      </w:r>
      <w:r w:rsidR="00C7338B" w:rsidRPr="007D0AA8">
        <w:instrText xml:space="preserve"> REF _Ref9451841 \h </w:instrText>
      </w:r>
      <w:r w:rsidR="00C7338B" w:rsidRPr="007D0AA8">
        <w:rPr>
          <w:highlight w:val="yellow"/>
        </w:rPr>
        <w:instrText xml:space="preserve"> \* MERGEFORMAT </w:instrText>
      </w:r>
      <w:r w:rsidR="00C7338B" w:rsidRPr="007D0AA8">
        <w:rPr>
          <w:highlight w:val="yellow"/>
        </w:rPr>
      </w:r>
      <w:r w:rsidR="00C7338B" w:rsidRPr="007D0AA8">
        <w:rPr>
          <w:highlight w:val="yellow"/>
        </w:rPr>
        <w:fldChar w:fldCharType="separate"/>
      </w:r>
      <w:r w:rsidR="00A7463B" w:rsidRPr="00386411">
        <w:t xml:space="preserve">Table </w:t>
      </w:r>
      <w:r w:rsidR="00A7463B">
        <w:rPr>
          <w:noProof/>
        </w:rPr>
        <w:t>23</w:t>
      </w:r>
      <w:r w:rsidR="00C7338B" w:rsidRPr="007D0AA8">
        <w:rPr>
          <w:highlight w:val="yellow"/>
        </w:rPr>
        <w:fldChar w:fldCharType="end"/>
      </w:r>
      <w:r w:rsidR="00C7338B">
        <w:t>)</w:t>
      </w:r>
      <w:r w:rsidRPr="007D0AA8">
        <w:t xml:space="preserve">. </w:t>
      </w:r>
    </w:p>
    <w:p w14:paraId="0EE44466" w14:textId="43368423" w:rsidR="0076369D" w:rsidRPr="007D0AA8" w:rsidRDefault="00C7338B" w:rsidP="00981790">
      <w:r>
        <w:t>Case series reporting these outcomes</w:t>
      </w:r>
      <w:r w:rsidRPr="007D0AA8">
        <w:t xml:space="preserve"> </w:t>
      </w:r>
      <w:r>
        <w:t>are summarised in</w:t>
      </w:r>
      <w:r w:rsidR="00912B91">
        <w:t xml:space="preserve"> </w:t>
      </w:r>
      <w:r w:rsidR="00912B91">
        <w:fldChar w:fldCharType="begin"/>
      </w:r>
      <w:r w:rsidR="00912B91">
        <w:instrText xml:space="preserve"> REF _Ref14270452 \h </w:instrText>
      </w:r>
      <w:r w:rsidR="00912B91">
        <w:fldChar w:fldCharType="separate"/>
      </w:r>
      <w:r w:rsidR="00A7463B" w:rsidRPr="00386411">
        <w:t xml:space="preserve">Table </w:t>
      </w:r>
      <w:r w:rsidR="00A7463B">
        <w:rPr>
          <w:noProof/>
        </w:rPr>
        <w:t>24</w:t>
      </w:r>
      <w:r w:rsidR="00912B91">
        <w:fldChar w:fldCharType="end"/>
      </w:r>
      <w:r>
        <w:t xml:space="preserve"> including</w:t>
      </w:r>
      <w:r w:rsidR="00AF68A6">
        <w:t xml:space="preserve"> nine</w:t>
      </w:r>
      <w:r>
        <w:t xml:space="preserve"> before and after time comparisons </w:t>
      </w:r>
      <w:r w:rsidR="00896BE2">
        <w:fldChar w:fldCharType="begin">
          <w:fldData xml:space="preserve">PEVuZE5vdGU+PENpdGU+PEF1dGhvcj5CZW5icmFoaW08L0F1dGhvcj48WWVhcj4yMDE5PC9ZZWFy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</w:fldData>
        </w:fldChar>
      </w:r>
      <w:r w:rsidR="00896BE2">
        <w:instrText xml:space="preserve"> ADDIN EN.CITE </w:instrText>
      </w:r>
      <w:r w:rsidR="00896BE2">
        <w:fldChar w:fldCharType="begin">
          <w:fldData xml:space="preserve">PEVuZE5vdGU+PENpdGU+PEF1dGhvcj5CZW5icmFoaW08L0F1dGhvcj48WWVhcj4yMDE5PC9ZZWFy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</w:fldData>
        </w:fldChar>
      </w:r>
      <w:r w:rsidR="00896BE2">
        <w:instrText xml:space="preserve"> ADDIN EN.CITE.DATA </w:instrText>
      </w:r>
      <w:r w:rsidR="00896BE2">
        <w:fldChar w:fldCharType="end"/>
      </w:r>
      <w:r w:rsidR="00896BE2">
        <w:fldChar w:fldCharType="separate"/>
      </w:r>
      <w:r w:rsidR="00896BE2">
        <w:rPr>
          <w:noProof/>
        </w:rPr>
        <w:t>(</w:t>
      </w:r>
      <w:hyperlink w:anchor="_ENREF_3" w:tooltip="Benbrahim, 2019 #88" w:history="1">
        <w:r w:rsidR="00BB0145">
          <w:rPr>
            <w:noProof/>
          </w:rPr>
          <w:t>Benbrahim et al. 2019</w:t>
        </w:r>
      </w:hyperlink>
      <w:r w:rsidR="00896BE2">
        <w:rPr>
          <w:noProof/>
        </w:rPr>
        <w:t xml:space="preserve">; </w:t>
      </w:r>
      <w:hyperlink w:anchor="_ENREF_8" w:tooltip="Brenner, 1996 #15" w:history="1">
        <w:r w:rsidR="00BB0145">
          <w:rPr>
            <w:noProof/>
          </w:rPr>
          <w:t>Brenner 1996</w:t>
        </w:r>
      </w:hyperlink>
      <w:r w:rsidR="00896BE2">
        <w:rPr>
          <w:noProof/>
        </w:rPr>
        <w:t xml:space="preserve">; </w:t>
      </w:r>
      <w:hyperlink w:anchor="_ENREF_16" w:tooltip="Duraisingham, 2014 #20" w:history="1">
        <w:r w:rsidR="00BB0145">
          <w:rPr>
            <w:noProof/>
          </w:rPr>
          <w:t>Duraisingham et al. 2014</w:t>
        </w:r>
      </w:hyperlink>
      <w:r w:rsidR="00896BE2">
        <w:rPr>
          <w:noProof/>
        </w:rPr>
        <w:t xml:space="preserve">; </w:t>
      </w:r>
      <w:hyperlink w:anchor="_ENREF_21" w:tooltip="Günther, 2013 #34" w:history="1">
        <w:r w:rsidR="00BB0145">
          <w:rPr>
            <w:noProof/>
          </w:rPr>
          <w:t>Günther &amp; Dreger 2013</w:t>
        </w:r>
      </w:hyperlink>
      <w:r w:rsidR="00896BE2">
        <w:rPr>
          <w:noProof/>
        </w:rPr>
        <w:t xml:space="preserve">; </w:t>
      </w:r>
      <w:hyperlink w:anchor="_ENREF_24" w:tooltip="Jurlander, 1995 #11" w:history="1">
        <w:r w:rsidR="00BB0145">
          <w:rPr>
            <w:noProof/>
          </w:rPr>
          <w:t>Jurlander, Geisler &amp; Hansen 1995</w:t>
        </w:r>
      </w:hyperlink>
      <w:r w:rsidR="00896BE2">
        <w:rPr>
          <w:noProof/>
        </w:rPr>
        <w:t>)</w:t>
      </w:r>
      <w:r w:rsidR="00896BE2">
        <w:fldChar w:fldCharType="end"/>
      </w:r>
      <w:r>
        <w:t xml:space="preserve"> and one supportive study </w:t>
      </w:r>
      <w:r w:rsidR="00896BE2">
        <w:fldChar w:fldCharType="begin"/>
      </w:r>
      <w:r w:rsidR="00896BE2">
        <w:instrText xml:space="preserve"> ADDIN EN.CITE &lt;EndNote&gt;&lt;Cite&gt;&lt;Author&gt;Windegger&lt;/Author&gt;&lt;Year&gt;2019&lt;/Year&gt;&lt;RecNum&gt;55&lt;/RecNum&gt;&lt;DisplayText&gt;(Windegger et al. 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rsidR="00896BE2">
        <w:fldChar w:fldCharType="separate"/>
      </w:r>
      <w:r w:rsidR="00896BE2">
        <w:rPr>
          <w:noProof/>
        </w:rPr>
        <w:t>(</w:t>
      </w:r>
      <w:hyperlink w:anchor="_ENREF_57" w:tooltip="Windegger, 2019 #55" w:history="1">
        <w:r w:rsidR="00BB0145">
          <w:rPr>
            <w:noProof/>
          </w:rPr>
          <w:t>Windegger et al. 2019</w:t>
        </w:r>
      </w:hyperlink>
      <w:r w:rsidR="00896BE2">
        <w:rPr>
          <w:noProof/>
        </w:rPr>
        <w:t>)</w:t>
      </w:r>
      <w:r w:rsidR="00896BE2">
        <w:fldChar w:fldCharType="end"/>
      </w:r>
      <w:r>
        <w:t xml:space="preserve">.  </w:t>
      </w:r>
    </w:p>
    <w:p w14:paraId="3EB0BEE8" w14:textId="444D56C5" w:rsidR="00A55BF9" w:rsidRPr="00386411" w:rsidRDefault="00A55BF9" w:rsidP="00A55BF9">
      <w:pPr>
        <w:pStyle w:val="Caption"/>
        <w:keepNext/>
        <w:rPr>
          <w:rFonts w:cs="Arial"/>
          <w:snapToGrid w:val="0"/>
          <w:szCs w:val="16"/>
          <w:lang w:eastAsia="en-US"/>
        </w:rPr>
      </w:pPr>
      <w:bookmarkStart w:id="312" w:name="_Ref9451841"/>
      <w:bookmarkStart w:id="313" w:name="_Toc14429566"/>
      <w:bookmarkStart w:id="314" w:name="_Toc16671621"/>
      <w:r w:rsidRPr="00386411">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23</w:t>
      </w:r>
      <w:r w:rsidRPr="00386411">
        <w:rPr>
          <w:noProof/>
        </w:rPr>
        <w:fldChar w:fldCharType="end"/>
      </w:r>
      <w:bookmarkEnd w:id="312"/>
      <w:r w:rsidRPr="00386411">
        <w:tab/>
      </w:r>
      <w:r w:rsidRPr="00386411">
        <w:rPr>
          <w:rFonts w:cs="Arial"/>
          <w:snapToGrid w:val="0"/>
          <w:szCs w:val="16"/>
          <w:lang w:eastAsia="en-US"/>
        </w:rPr>
        <w:t>Studies presenting resource use</w:t>
      </w:r>
      <w:r w:rsidR="00440739" w:rsidRPr="00386411">
        <w:rPr>
          <w:rFonts w:cs="Arial"/>
          <w:snapToGrid w:val="0"/>
          <w:szCs w:val="16"/>
          <w:lang w:eastAsia="en-US"/>
        </w:rPr>
        <w:t xml:space="preserve"> – comparative studies </w:t>
      </w:r>
      <w:r w:rsidR="00C7338B">
        <w:rPr>
          <w:rFonts w:cs="Arial"/>
          <w:snapToGrid w:val="0"/>
          <w:szCs w:val="16"/>
          <w:lang w:eastAsia="en-US"/>
        </w:rPr>
        <w:t>(RCTs and cohort studies)</w:t>
      </w:r>
      <w:bookmarkEnd w:id="313"/>
      <w:bookmarkEnd w:id="314"/>
    </w:p>
    <w:tbl>
      <w:tblPr>
        <w:tblW w:w="5130" w:type="pct"/>
        <w:tblLayout w:type="fixed"/>
        <w:tblLook w:val="04A0" w:firstRow="1" w:lastRow="0" w:firstColumn="1" w:lastColumn="0" w:noHBand="0" w:noVBand="1"/>
      </w:tblPr>
      <w:tblGrid>
        <w:gridCol w:w="1309"/>
        <w:gridCol w:w="2763"/>
        <w:gridCol w:w="2133"/>
        <w:gridCol w:w="11"/>
        <w:gridCol w:w="1984"/>
        <w:gridCol w:w="11"/>
        <w:gridCol w:w="1271"/>
      </w:tblGrid>
      <w:tr w:rsidR="00586D5D" w:rsidRPr="00386411" w14:paraId="1186953E" w14:textId="77777777" w:rsidTr="00B52A4F">
        <w:tc>
          <w:tcPr>
            <w:tcW w:w="6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32C260" w14:textId="15CFE457" w:rsidR="00D534EF" w:rsidRPr="00386411" w:rsidRDefault="00D534EF" w:rsidP="00F67034">
            <w:pPr>
              <w:keepNext/>
              <w:spacing w:after="0" w:line="240" w:lineRule="auto"/>
              <w:rPr>
                <w:rFonts w:ascii="Arial Narrow" w:hAnsi="Arial Narrow"/>
                <w:b/>
                <w:sz w:val="20"/>
                <w:szCs w:val="20"/>
              </w:rPr>
            </w:pPr>
            <w:r w:rsidRPr="00386411">
              <w:rPr>
                <w:rFonts w:ascii="Arial Narrow" w:hAnsi="Arial Narrow" w:cs="Calibri"/>
                <w:b/>
                <w:color w:val="000000"/>
                <w:sz w:val="20"/>
                <w:szCs w:val="20"/>
              </w:rPr>
              <w:t>Study</w:t>
            </w:r>
            <w:r w:rsidR="00327817" w:rsidRPr="00386411">
              <w:rPr>
                <w:rFonts w:ascii="Arial Narrow" w:hAnsi="Arial Narrow" w:cs="Calibri"/>
                <w:b/>
                <w:color w:val="000000"/>
                <w:sz w:val="20"/>
                <w:szCs w:val="20"/>
              </w:rPr>
              <w:t>, Indication</w:t>
            </w:r>
          </w:p>
        </w:tc>
        <w:tc>
          <w:tcPr>
            <w:tcW w:w="1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57BB36" w14:textId="667C39C9" w:rsidR="00D534EF" w:rsidRPr="00386411" w:rsidRDefault="00D534EF" w:rsidP="00F67034">
            <w:pPr>
              <w:keepNext/>
              <w:spacing w:after="0" w:line="240" w:lineRule="auto"/>
              <w:rPr>
                <w:rFonts w:ascii="Arial Narrow" w:hAnsi="Arial Narrow"/>
                <w:b/>
                <w:sz w:val="20"/>
              </w:rPr>
            </w:pPr>
            <w:r w:rsidRPr="00386411">
              <w:rPr>
                <w:rFonts w:ascii="Arial Narrow" w:hAnsi="Arial Narrow"/>
                <w:b/>
                <w:sz w:val="20"/>
              </w:rPr>
              <w:t>Outcome</w:t>
            </w:r>
          </w:p>
        </w:tc>
        <w:tc>
          <w:tcPr>
            <w:tcW w:w="113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BB5D465" w14:textId="7195A826" w:rsidR="00D534EF" w:rsidRPr="00386411" w:rsidRDefault="00D534EF" w:rsidP="00F67034">
            <w:pPr>
              <w:keepNext/>
              <w:spacing w:after="0" w:line="240" w:lineRule="auto"/>
              <w:jc w:val="center"/>
              <w:rPr>
                <w:rFonts w:ascii="Arial Narrow" w:hAnsi="Arial Narrow"/>
                <w:b/>
                <w:sz w:val="20"/>
                <w:szCs w:val="20"/>
              </w:rPr>
            </w:pPr>
            <w:r w:rsidRPr="00386411">
              <w:rPr>
                <w:rFonts w:ascii="Arial Narrow" w:hAnsi="Arial Narrow"/>
                <w:b/>
                <w:sz w:val="20"/>
              </w:rPr>
              <w:t>Intervention</w:t>
            </w:r>
          </w:p>
        </w:tc>
        <w:tc>
          <w:tcPr>
            <w:tcW w:w="104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9A1EEFF" w14:textId="35026ED2" w:rsidR="00D534EF" w:rsidRPr="00386411" w:rsidRDefault="00D534EF" w:rsidP="00F67034">
            <w:pPr>
              <w:keepNext/>
              <w:spacing w:after="0" w:line="240" w:lineRule="auto"/>
              <w:jc w:val="center"/>
              <w:rPr>
                <w:rFonts w:ascii="Arial Narrow" w:hAnsi="Arial Narrow"/>
                <w:b/>
                <w:sz w:val="20"/>
                <w:szCs w:val="20"/>
              </w:rPr>
            </w:pPr>
            <w:r w:rsidRPr="00386411">
              <w:rPr>
                <w:rFonts w:ascii="Arial Narrow" w:hAnsi="Arial Narrow"/>
                <w:b/>
                <w:sz w:val="20"/>
              </w:rPr>
              <w:t>Comparator</w:t>
            </w:r>
          </w:p>
        </w:tc>
        <w:tc>
          <w:tcPr>
            <w:tcW w:w="67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5A9157" w14:textId="3BE8EB3F" w:rsidR="00D534EF" w:rsidRPr="00386411" w:rsidRDefault="00D534EF" w:rsidP="00F67034">
            <w:pPr>
              <w:keepNext/>
              <w:spacing w:after="0" w:line="240" w:lineRule="auto"/>
              <w:jc w:val="center"/>
              <w:rPr>
                <w:rFonts w:ascii="Arial Narrow" w:hAnsi="Arial Narrow"/>
                <w:b/>
                <w:sz w:val="20"/>
                <w:szCs w:val="20"/>
              </w:rPr>
            </w:pPr>
            <w:r w:rsidRPr="00386411">
              <w:rPr>
                <w:rFonts w:ascii="Arial Narrow" w:hAnsi="Arial Narrow"/>
                <w:b/>
                <w:sz w:val="20"/>
              </w:rPr>
              <w:t>Comparison</w:t>
            </w:r>
          </w:p>
        </w:tc>
      </w:tr>
      <w:tr w:rsidR="004F5B8A" w:rsidRPr="00386411" w14:paraId="7AC1AEBF" w14:textId="77777777" w:rsidTr="00B52A4F">
        <w:tc>
          <w:tcPr>
            <w:tcW w:w="690" w:type="pct"/>
            <w:tcBorders>
              <w:top w:val="single" w:sz="4" w:space="0" w:color="auto"/>
              <w:left w:val="single" w:sz="4" w:space="0" w:color="auto"/>
              <w:bottom w:val="single" w:sz="4" w:space="0" w:color="auto"/>
              <w:right w:val="single" w:sz="4" w:space="0" w:color="auto"/>
            </w:tcBorders>
            <w:shd w:val="clear" w:color="auto" w:fill="000000" w:themeFill="text1"/>
          </w:tcPr>
          <w:p w14:paraId="6E1D6338" w14:textId="205DCE57" w:rsidR="004F5B8A" w:rsidRPr="00386411" w:rsidRDefault="004F5B8A" w:rsidP="00F67034">
            <w:pPr>
              <w:keepNext/>
              <w:spacing w:after="0" w:line="240" w:lineRule="auto"/>
              <w:rPr>
                <w:rFonts w:ascii="Arial Narrow" w:hAnsi="Arial Narrow" w:cs="Calibri"/>
                <w:b/>
                <w:sz w:val="20"/>
                <w:szCs w:val="20"/>
              </w:rPr>
            </w:pPr>
            <w:r w:rsidRPr="00386411">
              <w:rPr>
                <w:rFonts w:ascii="Arial Narrow" w:hAnsi="Arial Narrow" w:cs="Calibri"/>
                <w:b/>
                <w:sz w:val="20"/>
                <w:szCs w:val="20"/>
              </w:rPr>
              <w:t>RCTs</w:t>
            </w:r>
          </w:p>
        </w:tc>
        <w:tc>
          <w:tcPr>
            <w:tcW w:w="1457" w:type="pct"/>
            <w:tcBorders>
              <w:top w:val="single" w:sz="4" w:space="0" w:color="auto"/>
              <w:left w:val="single" w:sz="4" w:space="0" w:color="auto"/>
              <w:bottom w:val="single" w:sz="4" w:space="0" w:color="auto"/>
              <w:right w:val="single" w:sz="4" w:space="0" w:color="auto"/>
            </w:tcBorders>
            <w:shd w:val="clear" w:color="auto" w:fill="000000" w:themeFill="text1"/>
          </w:tcPr>
          <w:p w14:paraId="78744CC8" w14:textId="77777777" w:rsidR="004F5B8A" w:rsidRPr="00386411" w:rsidRDefault="004F5B8A" w:rsidP="00F67034">
            <w:pPr>
              <w:keepNext/>
              <w:spacing w:after="0" w:line="240" w:lineRule="auto"/>
              <w:rPr>
                <w:rFonts w:ascii="Arial Narrow" w:hAnsi="Arial Narrow"/>
                <w:b/>
                <w:sz w:val="20"/>
              </w:rPr>
            </w:pPr>
          </w:p>
        </w:tc>
        <w:tc>
          <w:tcPr>
            <w:tcW w:w="1131" w:type="pct"/>
            <w:gridSpan w:val="2"/>
            <w:tcBorders>
              <w:top w:val="single" w:sz="4" w:space="0" w:color="auto"/>
              <w:left w:val="single" w:sz="4" w:space="0" w:color="auto"/>
              <w:bottom w:val="single" w:sz="4" w:space="0" w:color="auto"/>
              <w:right w:val="single" w:sz="4" w:space="0" w:color="auto"/>
            </w:tcBorders>
            <w:shd w:val="clear" w:color="auto" w:fill="000000" w:themeFill="text1"/>
            <w:noWrap/>
          </w:tcPr>
          <w:p w14:paraId="20B29529" w14:textId="77777777" w:rsidR="004F5B8A" w:rsidRPr="00386411" w:rsidRDefault="004F5B8A" w:rsidP="00F67034">
            <w:pPr>
              <w:keepNext/>
              <w:spacing w:after="0" w:line="240" w:lineRule="auto"/>
              <w:jc w:val="center"/>
              <w:rPr>
                <w:rFonts w:ascii="Arial Narrow" w:hAnsi="Arial Narrow"/>
                <w:b/>
                <w:sz w:val="20"/>
              </w:rPr>
            </w:pPr>
          </w:p>
        </w:tc>
        <w:tc>
          <w:tcPr>
            <w:tcW w:w="1046" w:type="pct"/>
            <w:tcBorders>
              <w:top w:val="single" w:sz="4" w:space="0" w:color="auto"/>
              <w:left w:val="single" w:sz="4" w:space="0" w:color="auto"/>
              <w:bottom w:val="single" w:sz="4" w:space="0" w:color="auto"/>
              <w:right w:val="single" w:sz="4" w:space="0" w:color="auto"/>
            </w:tcBorders>
            <w:shd w:val="clear" w:color="auto" w:fill="000000" w:themeFill="text1"/>
            <w:noWrap/>
          </w:tcPr>
          <w:p w14:paraId="7E110D26" w14:textId="77777777" w:rsidR="004F5B8A" w:rsidRPr="00386411" w:rsidRDefault="004F5B8A" w:rsidP="00F67034">
            <w:pPr>
              <w:keepNext/>
              <w:spacing w:after="0" w:line="240" w:lineRule="auto"/>
              <w:jc w:val="center"/>
              <w:rPr>
                <w:rFonts w:ascii="Arial Narrow" w:hAnsi="Arial Narrow"/>
                <w:b/>
                <w:sz w:val="20"/>
              </w:rPr>
            </w:pPr>
          </w:p>
        </w:tc>
        <w:tc>
          <w:tcPr>
            <w:tcW w:w="676" w:type="pct"/>
            <w:gridSpan w:val="2"/>
            <w:tcBorders>
              <w:top w:val="single" w:sz="4" w:space="0" w:color="auto"/>
              <w:left w:val="single" w:sz="4" w:space="0" w:color="auto"/>
              <w:bottom w:val="single" w:sz="4" w:space="0" w:color="auto"/>
              <w:right w:val="single" w:sz="4" w:space="0" w:color="auto"/>
            </w:tcBorders>
            <w:shd w:val="clear" w:color="auto" w:fill="000000" w:themeFill="text1"/>
          </w:tcPr>
          <w:p w14:paraId="6F32610A" w14:textId="77777777" w:rsidR="004F5B8A" w:rsidRPr="00386411" w:rsidRDefault="004F5B8A" w:rsidP="00F67034">
            <w:pPr>
              <w:keepNext/>
              <w:spacing w:after="0" w:line="240" w:lineRule="auto"/>
              <w:jc w:val="center"/>
              <w:rPr>
                <w:rFonts w:ascii="Arial Narrow" w:hAnsi="Arial Narrow"/>
                <w:b/>
                <w:sz w:val="20"/>
              </w:rPr>
            </w:pPr>
          </w:p>
        </w:tc>
      </w:tr>
      <w:tr w:rsidR="004F5B8A" w:rsidRPr="00386411" w14:paraId="0B643BBE" w14:textId="77777777" w:rsidTr="00B52A4F">
        <w:tc>
          <w:tcPr>
            <w:tcW w:w="6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8352FD" w14:textId="77777777" w:rsidR="004F5B8A" w:rsidRPr="00386411" w:rsidRDefault="004F5B8A" w:rsidP="00AD467C">
            <w:pPr>
              <w:spacing w:after="0" w:line="240" w:lineRule="auto"/>
              <w:rPr>
                <w:rFonts w:ascii="Arial Narrow" w:hAnsi="Arial Narrow"/>
                <w:b/>
                <w:sz w:val="20"/>
                <w:szCs w:val="20"/>
              </w:rPr>
            </w:pPr>
            <w:r w:rsidRPr="00386411">
              <w:rPr>
                <w:rFonts w:ascii="Arial Narrow" w:hAnsi="Arial Narrow" w:cs="Calibri"/>
                <w:b/>
                <w:color w:val="000000"/>
                <w:sz w:val="20"/>
                <w:szCs w:val="20"/>
              </w:rPr>
              <w:t>Vacca et al., 2018</w:t>
            </w:r>
          </w:p>
        </w:tc>
        <w:tc>
          <w:tcPr>
            <w:tcW w:w="1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1383DC" w14:textId="0E4D4FEC" w:rsidR="004F5B8A" w:rsidRPr="00386411" w:rsidRDefault="004F5B8A" w:rsidP="00AD467C">
            <w:pPr>
              <w:spacing w:after="0" w:line="240" w:lineRule="auto"/>
              <w:rPr>
                <w:rFonts w:ascii="Arial Narrow" w:hAnsi="Arial Narrow"/>
                <w:b/>
                <w:sz w:val="20"/>
              </w:rPr>
            </w:pPr>
            <w:r w:rsidRPr="00386411">
              <w:rPr>
                <w:rFonts w:ascii="Arial Narrow" w:hAnsi="Arial Narrow"/>
                <w:b/>
                <w:sz w:val="20"/>
              </w:rPr>
              <w:t>Duration of resource use</w:t>
            </w:r>
            <w:r w:rsidR="0090064D" w:rsidRPr="00386411">
              <w:rPr>
                <w:rFonts w:ascii="Arial Narrow" w:hAnsi="Arial Narrow"/>
                <w:b/>
                <w:sz w:val="20"/>
              </w:rPr>
              <w:br/>
              <w:t>mean days per patient per year</w:t>
            </w:r>
          </w:p>
        </w:tc>
        <w:tc>
          <w:tcPr>
            <w:tcW w:w="113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7B6617F" w14:textId="77777777" w:rsidR="004F5B8A" w:rsidRPr="00386411" w:rsidRDefault="004F5B8A" w:rsidP="00AD467C">
            <w:pPr>
              <w:spacing w:after="0" w:line="240" w:lineRule="auto"/>
              <w:jc w:val="right"/>
              <w:rPr>
                <w:rFonts w:ascii="Arial Narrow" w:hAnsi="Arial Narrow"/>
                <w:b/>
                <w:sz w:val="20"/>
                <w:szCs w:val="20"/>
              </w:rPr>
            </w:pPr>
            <w:r w:rsidRPr="00386411">
              <w:rPr>
                <w:rFonts w:ascii="Arial Narrow" w:hAnsi="Arial Narrow"/>
                <w:b/>
                <w:sz w:val="20"/>
              </w:rPr>
              <w:t>SCIg (n=24)</w:t>
            </w:r>
          </w:p>
        </w:tc>
        <w:tc>
          <w:tcPr>
            <w:tcW w:w="104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AC6FF0E" w14:textId="77777777" w:rsidR="004F5B8A" w:rsidRPr="00386411" w:rsidRDefault="004F5B8A" w:rsidP="00AD467C">
            <w:pPr>
              <w:spacing w:after="0" w:line="240" w:lineRule="auto"/>
              <w:jc w:val="right"/>
              <w:rPr>
                <w:rFonts w:ascii="Arial Narrow" w:hAnsi="Arial Narrow"/>
                <w:b/>
                <w:sz w:val="20"/>
                <w:szCs w:val="20"/>
              </w:rPr>
            </w:pPr>
            <w:r w:rsidRPr="00386411">
              <w:rPr>
                <w:rFonts w:ascii="Arial Narrow" w:hAnsi="Arial Narrow"/>
                <w:b/>
                <w:sz w:val="20"/>
              </w:rPr>
              <w:t>No SCIg (n=22)</w:t>
            </w:r>
          </w:p>
        </w:tc>
        <w:tc>
          <w:tcPr>
            <w:tcW w:w="67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33A596" w14:textId="77777777" w:rsidR="004F5B8A" w:rsidRPr="00386411" w:rsidRDefault="004F5B8A" w:rsidP="00AD467C">
            <w:pPr>
              <w:spacing w:after="0" w:line="240" w:lineRule="auto"/>
              <w:jc w:val="right"/>
              <w:rPr>
                <w:rFonts w:ascii="Arial Narrow" w:hAnsi="Arial Narrow"/>
                <w:b/>
                <w:sz w:val="20"/>
                <w:szCs w:val="20"/>
              </w:rPr>
            </w:pPr>
            <w:r w:rsidRPr="00386411">
              <w:rPr>
                <w:rFonts w:ascii="Arial Narrow" w:hAnsi="Arial Narrow"/>
                <w:b/>
                <w:sz w:val="20"/>
                <w:szCs w:val="20"/>
              </w:rPr>
              <w:t>p-value</w:t>
            </w:r>
          </w:p>
        </w:tc>
      </w:tr>
      <w:tr w:rsidR="004F5B8A" w:rsidRPr="007D0AA8" w14:paraId="77BBC9C6" w14:textId="77777777" w:rsidTr="00B52A4F">
        <w:tc>
          <w:tcPr>
            <w:tcW w:w="690" w:type="pct"/>
            <w:tcBorders>
              <w:top w:val="single" w:sz="4" w:space="0" w:color="auto"/>
              <w:left w:val="single" w:sz="4" w:space="0" w:color="auto"/>
              <w:bottom w:val="nil"/>
              <w:right w:val="single" w:sz="4" w:space="0" w:color="auto"/>
            </w:tcBorders>
          </w:tcPr>
          <w:p w14:paraId="1F54B01B" w14:textId="77777777" w:rsidR="004F5B8A" w:rsidRPr="007D0AA8" w:rsidRDefault="004F5B8A" w:rsidP="00AD467C">
            <w:pPr>
              <w:spacing w:after="0" w:line="240" w:lineRule="auto"/>
              <w:rPr>
                <w:rFonts w:ascii="Arial Narrow" w:hAnsi="Arial Narrow"/>
                <w:sz w:val="20"/>
                <w:szCs w:val="20"/>
              </w:rPr>
            </w:pPr>
            <w:r w:rsidRPr="007D0AA8">
              <w:rPr>
                <w:rFonts w:ascii="Arial Narrow" w:hAnsi="Arial Narrow" w:cs="Calibri"/>
                <w:color w:val="000000"/>
                <w:sz w:val="20"/>
                <w:szCs w:val="20"/>
              </w:rPr>
              <w:t>MM</w:t>
            </w:r>
          </w:p>
        </w:tc>
        <w:tc>
          <w:tcPr>
            <w:tcW w:w="1457" w:type="pct"/>
            <w:tcBorders>
              <w:top w:val="single" w:sz="4" w:space="0" w:color="auto"/>
              <w:left w:val="single" w:sz="4" w:space="0" w:color="auto"/>
              <w:bottom w:val="single" w:sz="4" w:space="0" w:color="auto"/>
              <w:right w:val="single" w:sz="4" w:space="0" w:color="auto"/>
            </w:tcBorders>
          </w:tcPr>
          <w:p w14:paraId="0EF4CB9C" w14:textId="6879F85B" w:rsidR="004F5B8A" w:rsidRPr="007D0AA8" w:rsidRDefault="004F5B8A" w:rsidP="0090064D">
            <w:pPr>
              <w:spacing w:after="0" w:line="240" w:lineRule="auto"/>
              <w:rPr>
                <w:rFonts w:ascii="Arial Narrow" w:hAnsi="Arial Narrow"/>
                <w:sz w:val="20"/>
              </w:rPr>
            </w:pPr>
            <w:r w:rsidRPr="007D0AA8">
              <w:rPr>
                <w:rFonts w:ascii="Arial Narrow" w:hAnsi="Arial Narrow"/>
                <w:sz w:val="20"/>
              </w:rPr>
              <w:t>Hospitalisation</w:t>
            </w:r>
            <w:r w:rsidR="0090064D" w:rsidRPr="007D0AA8">
              <w:rPr>
                <w:rFonts w:ascii="Arial Narrow" w:hAnsi="Arial Narrow"/>
                <w:sz w:val="20"/>
              </w:rPr>
              <w:t>s</w:t>
            </w:r>
          </w:p>
        </w:tc>
        <w:tc>
          <w:tcPr>
            <w:tcW w:w="1131" w:type="pct"/>
            <w:gridSpan w:val="2"/>
            <w:tcBorders>
              <w:top w:val="single" w:sz="4" w:space="0" w:color="auto"/>
              <w:left w:val="single" w:sz="4" w:space="0" w:color="auto"/>
              <w:bottom w:val="single" w:sz="4" w:space="0" w:color="auto"/>
              <w:right w:val="single" w:sz="4" w:space="0" w:color="auto"/>
            </w:tcBorders>
            <w:shd w:val="clear" w:color="auto" w:fill="auto"/>
            <w:noWrap/>
          </w:tcPr>
          <w:p w14:paraId="6033E44E" w14:textId="77777777" w:rsidR="004F5B8A" w:rsidRPr="007D0AA8" w:rsidRDefault="004F5B8A" w:rsidP="00AD467C">
            <w:pPr>
              <w:spacing w:after="0" w:line="240" w:lineRule="auto"/>
              <w:jc w:val="right"/>
              <w:rPr>
                <w:rFonts w:ascii="Arial Narrow" w:hAnsi="Arial Narrow"/>
                <w:sz w:val="20"/>
                <w:szCs w:val="20"/>
              </w:rPr>
            </w:pPr>
            <w:r w:rsidRPr="007D0AA8">
              <w:rPr>
                <w:rFonts w:ascii="Arial Narrow" w:hAnsi="Arial Narrow"/>
                <w:sz w:val="20"/>
              </w:rPr>
              <w:t>8</w:t>
            </w:r>
          </w:p>
        </w:tc>
        <w:tc>
          <w:tcPr>
            <w:tcW w:w="1046" w:type="pct"/>
            <w:tcBorders>
              <w:top w:val="single" w:sz="4" w:space="0" w:color="auto"/>
              <w:left w:val="single" w:sz="4" w:space="0" w:color="auto"/>
              <w:bottom w:val="single" w:sz="4" w:space="0" w:color="auto"/>
              <w:right w:val="single" w:sz="4" w:space="0" w:color="auto"/>
            </w:tcBorders>
            <w:shd w:val="clear" w:color="auto" w:fill="auto"/>
            <w:noWrap/>
          </w:tcPr>
          <w:p w14:paraId="41CA6CDC" w14:textId="77777777" w:rsidR="004F5B8A" w:rsidRPr="007D0AA8" w:rsidRDefault="004F5B8A" w:rsidP="00AD467C">
            <w:pPr>
              <w:spacing w:after="0" w:line="240" w:lineRule="auto"/>
              <w:jc w:val="right"/>
              <w:rPr>
                <w:rFonts w:ascii="Arial Narrow" w:hAnsi="Arial Narrow"/>
                <w:sz w:val="20"/>
                <w:szCs w:val="20"/>
              </w:rPr>
            </w:pPr>
            <w:r w:rsidRPr="007D0AA8">
              <w:rPr>
                <w:rFonts w:ascii="Arial Narrow" w:hAnsi="Arial Narrow"/>
                <w:sz w:val="20"/>
              </w:rPr>
              <w:t>121</w:t>
            </w:r>
          </w:p>
        </w:tc>
        <w:tc>
          <w:tcPr>
            <w:tcW w:w="676" w:type="pct"/>
            <w:gridSpan w:val="2"/>
            <w:tcBorders>
              <w:top w:val="single" w:sz="4" w:space="0" w:color="auto"/>
              <w:left w:val="single" w:sz="4" w:space="0" w:color="auto"/>
              <w:bottom w:val="single" w:sz="4" w:space="0" w:color="auto"/>
              <w:right w:val="single" w:sz="4" w:space="0" w:color="auto"/>
            </w:tcBorders>
          </w:tcPr>
          <w:p w14:paraId="0DBF1CAD" w14:textId="77777777" w:rsidR="004F5B8A" w:rsidRPr="007D0AA8" w:rsidRDefault="004F5B8A" w:rsidP="00AD467C">
            <w:pPr>
              <w:spacing w:after="0" w:line="240" w:lineRule="auto"/>
              <w:jc w:val="right"/>
              <w:rPr>
                <w:rFonts w:ascii="Arial Narrow" w:hAnsi="Arial Narrow"/>
                <w:sz w:val="20"/>
                <w:szCs w:val="20"/>
              </w:rPr>
            </w:pPr>
            <w:r w:rsidRPr="007D0AA8">
              <w:rPr>
                <w:sz w:val="20"/>
              </w:rPr>
              <w:t>&lt;0.001</w:t>
            </w:r>
          </w:p>
        </w:tc>
      </w:tr>
      <w:tr w:rsidR="004F5B8A" w:rsidRPr="007D0AA8" w14:paraId="68D7374D" w14:textId="77777777" w:rsidTr="00B52A4F">
        <w:tc>
          <w:tcPr>
            <w:tcW w:w="690" w:type="pct"/>
            <w:tcBorders>
              <w:top w:val="nil"/>
              <w:left w:val="single" w:sz="4" w:space="0" w:color="auto"/>
              <w:bottom w:val="single" w:sz="4" w:space="0" w:color="auto"/>
              <w:right w:val="single" w:sz="4" w:space="0" w:color="auto"/>
            </w:tcBorders>
          </w:tcPr>
          <w:p w14:paraId="7A38A238" w14:textId="77777777" w:rsidR="004F5B8A" w:rsidRPr="007D0AA8" w:rsidRDefault="004F5B8A" w:rsidP="00AD467C">
            <w:pPr>
              <w:spacing w:after="0" w:line="240" w:lineRule="auto"/>
              <w:rPr>
                <w:rFonts w:ascii="Arial Narrow" w:hAnsi="Arial Narrow"/>
                <w:sz w:val="20"/>
                <w:szCs w:val="20"/>
              </w:rPr>
            </w:pPr>
          </w:p>
        </w:tc>
        <w:tc>
          <w:tcPr>
            <w:tcW w:w="1457" w:type="pct"/>
            <w:tcBorders>
              <w:top w:val="single" w:sz="4" w:space="0" w:color="auto"/>
              <w:left w:val="single" w:sz="4" w:space="0" w:color="auto"/>
              <w:bottom w:val="single" w:sz="4" w:space="0" w:color="auto"/>
              <w:right w:val="single" w:sz="4" w:space="0" w:color="auto"/>
            </w:tcBorders>
          </w:tcPr>
          <w:p w14:paraId="69B430C2" w14:textId="2A399A85" w:rsidR="004F5B8A" w:rsidRPr="007D0AA8" w:rsidRDefault="004F5B8A" w:rsidP="0090064D">
            <w:pPr>
              <w:spacing w:after="0" w:line="240" w:lineRule="auto"/>
              <w:rPr>
                <w:rFonts w:ascii="Arial Narrow" w:hAnsi="Arial Narrow"/>
                <w:sz w:val="20"/>
              </w:rPr>
            </w:pPr>
            <w:r w:rsidRPr="007D0AA8">
              <w:rPr>
                <w:rFonts w:ascii="Arial Narrow" w:hAnsi="Arial Narrow"/>
                <w:sz w:val="20"/>
              </w:rPr>
              <w:t>Days of antibiotic treatment</w:t>
            </w:r>
          </w:p>
        </w:tc>
        <w:tc>
          <w:tcPr>
            <w:tcW w:w="1131" w:type="pct"/>
            <w:gridSpan w:val="2"/>
            <w:tcBorders>
              <w:top w:val="single" w:sz="4" w:space="0" w:color="auto"/>
              <w:left w:val="single" w:sz="4" w:space="0" w:color="auto"/>
              <w:bottom w:val="single" w:sz="4" w:space="0" w:color="auto"/>
              <w:right w:val="single" w:sz="4" w:space="0" w:color="auto"/>
            </w:tcBorders>
            <w:shd w:val="clear" w:color="auto" w:fill="auto"/>
            <w:noWrap/>
          </w:tcPr>
          <w:p w14:paraId="40BF6A67" w14:textId="77777777" w:rsidR="004F5B8A" w:rsidRPr="007D0AA8" w:rsidRDefault="004F5B8A" w:rsidP="00AD467C">
            <w:pPr>
              <w:spacing w:after="0" w:line="240" w:lineRule="auto"/>
              <w:jc w:val="right"/>
              <w:rPr>
                <w:rFonts w:ascii="Arial Narrow" w:hAnsi="Arial Narrow"/>
                <w:sz w:val="20"/>
                <w:szCs w:val="20"/>
              </w:rPr>
            </w:pPr>
            <w:r w:rsidRPr="007D0AA8">
              <w:rPr>
                <w:rFonts w:ascii="Arial Narrow" w:hAnsi="Arial Narrow"/>
                <w:sz w:val="20"/>
              </w:rPr>
              <w:t>28</w:t>
            </w:r>
          </w:p>
        </w:tc>
        <w:tc>
          <w:tcPr>
            <w:tcW w:w="1046" w:type="pct"/>
            <w:tcBorders>
              <w:top w:val="single" w:sz="4" w:space="0" w:color="auto"/>
              <w:left w:val="single" w:sz="4" w:space="0" w:color="auto"/>
              <w:bottom w:val="single" w:sz="4" w:space="0" w:color="auto"/>
              <w:right w:val="single" w:sz="4" w:space="0" w:color="auto"/>
            </w:tcBorders>
            <w:shd w:val="clear" w:color="auto" w:fill="auto"/>
            <w:noWrap/>
          </w:tcPr>
          <w:p w14:paraId="0A61C8CA" w14:textId="77777777" w:rsidR="004F5B8A" w:rsidRPr="007D0AA8" w:rsidRDefault="004F5B8A" w:rsidP="00AD467C">
            <w:pPr>
              <w:spacing w:after="0" w:line="240" w:lineRule="auto"/>
              <w:jc w:val="right"/>
              <w:rPr>
                <w:rFonts w:ascii="Arial Narrow" w:hAnsi="Arial Narrow"/>
                <w:sz w:val="20"/>
                <w:szCs w:val="20"/>
              </w:rPr>
            </w:pPr>
            <w:r w:rsidRPr="007D0AA8">
              <w:rPr>
                <w:rFonts w:ascii="Arial Narrow" w:hAnsi="Arial Narrow"/>
                <w:sz w:val="20"/>
              </w:rPr>
              <w:t>217</w:t>
            </w:r>
          </w:p>
        </w:tc>
        <w:tc>
          <w:tcPr>
            <w:tcW w:w="676" w:type="pct"/>
            <w:gridSpan w:val="2"/>
            <w:tcBorders>
              <w:top w:val="single" w:sz="4" w:space="0" w:color="auto"/>
              <w:left w:val="single" w:sz="4" w:space="0" w:color="auto"/>
              <w:bottom w:val="single" w:sz="4" w:space="0" w:color="auto"/>
              <w:right w:val="single" w:sz="4" w:space="0" w:color="auto"/>
            </w:tcBorders>
          </w:tcPr>
          <w:p w14:paraId="646098EA" w14:textId="77777777" w:rsidR="004F5B8A" w:rsidRPr="007D0AA8" w:rsidRDefault="004F5B8A" w:rsidP="00AD467C">
            <w:pPr>
              <w:spacing w:after="0" w:line="240" w:lineRule="auto"/>
              <w:jc w:val="right"/>
              <w:rPr>
                <w:rFonts w:ascii="Arial Narrow" w:hAnsi="Arial Narrow"/>
                <w:sz w:val="20"/>
                <w:szCs w:val="20"/>
              </w:rPr>
            </w:pPr>
            <w:r w:rsidRPr="007D0AA8">
              <w:rPr>
                <w:sz w:val="20"/>
              </w:rPr>
              <w:t>&lt;0.001</w:t>
            </w:r>
          </w:p>
        </w:tc>
      </w:tr>
      <w:tr w:rsidR="004B7CCA" w:rsidRPr="00386411" w14:paraId="0C9936D3" w14:textId="77777777" w:rsidTr="00B52A4F">
        <w:tc>
          <w:tcPr>
            <w:tcW w:w="5000" w:type="pct"/>
            <w:gridSpan w:val="7"/>
            <w:tcBorders>
              <w:top w:val="single" w:sz="4" w:space="0" w:color="auto"/>
              <w:left w:val="single" w:sz="4" w:space="0" w:color="auto"/>
              <w:bottom w:val="single" w:sz="4" w:space="0" w:color="auto"/>
              <w:right w:val="single" w:sz="4" w:space="0" w:color="auto"/>
            </w:tcBorders>
            <w:shd w:val="clear" w:color="auto" w:fill="000000" w:themeFill="text1"/>
          </w:tcPr>
          <w:p w14:paraId="799CBA04" w14:textId="6AB762C7" w:rsidR="004B7CCA" w:rsidRPr="00386411" w:rsidRDefault="004B7CCA" w:rsidP="00AF68A6">
            <w:pPr>
              <w:keepNext/>
              <w:spacing w:after="0" w:line="240" w:lineRule="auto"/>
              <w:rPr>
                <w:rFonts w:ascii="Arial Narrow" w:hAnsi="Arial Narrow"/>
                <w:b/>
                <w:sz w:val="20"/>
                <w:szCs w:val="20"/>
              </w:rPr>
            </w:pPr>
            <w:r w:rsidRPr="00386411">
              <w:rPr>
                <w:rFonts w:ascii="Arial Narrow" w:hAnsi="Arial Narrow"/>
                <w:b/>
                <w:sz w:val="20"/>
                <w:szCs w:val="20"/>
              </w:rPr>
              <w:t>Cohort studies</w:t>
            </w:r>
          </w:p>
        </w:tc>
      </w:tr>
      <w:tr w:rsidR="00A049C5" w:rsidRPr="00386411" w14:paraId="6021B9BE" w14:textId="77777777" w:rsidTr="00B52A4F">
        <w:tc>
          <w:tcPr>
            <w:tcW w:w="6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324B19" w14:textId="77777777" w:rsidR="00A049C5" w:rsidRPr="00386411" w:rsidRDefault="00A049C5" w:rsidP="00AF68A6">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Ammann et al., 2016</w:t>
            </w:r>
          </w:p>
        </w:tc>
        <w:tc>
          <w:tcPr>
            <w:tcW w:w="1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77BD66" w14:textId="77777777" w:rsidR="00A049C5" w:rsidRPr="00386411" w:rsidRDefault="00A049C5" w:rsidP="00AF68A6">
            <w:pPr>
              <w:keepNext/>
              <w:spacing w:after="0" w:line="240" w:lineRule="auto"/>
              <w:rPr>
                <w:rFonts w:ascii="Arial Narrow" w:hAnsi="Arial Narrow"/>
                <w:b/>
                <w:sz w:val="20"/>
              </w:rPr>
            </w:pPr>
            <w:r w:rsidRPr="00386411">
              <w:rPr>
                <w:rFonts w:ascii="Arial Narrow" w:hAnsi="Arial Narrow"/>
                <w:b/>
                <w:sz w:val="20"/>
              </w:rPr>
              <w:t>Hospitalisation for pneumonia (1-yr cumulative incidence)</w:t>
            </w:r>
          </w:p>
        </w:tc>
        <w:tc>
          <w:tcPr>
            <w:tcW w:w="1131" w:type="pct"/>
            <w:gridSpan w:val="2"/>
            <w:tcBorders>
              <w:top w:val="single" w:sz="4" w:space="0" w:color="auto"/>
              <w:left w:val="single" w:sz="4" w:space="0" w:color="auto"/>
              <w:bottom w:val="single" w:sz="4" w:space="0" w:color="auto"/>
              <w:right w:val="nil"/>
            </w:tcBorders>
            <w:shd w:val="clear" w:color="auto" w:fill="D9D9D9" w:themeFill="background1" w:themeFillShade="D9"/>
            <w:noWrap/>
          </w:tcPr>
          <w:p w14:paraId="65A9B830" w14:textId="77777777" w:rsidR="00A049C5" w:rsidRPr="00386411" w:rsidRDefault="00A049C5" w:rsidP="00AF68A6">
            <w:pPr>
              <w:keepNext/>
              <w:spacing w:after="0" w:line="240" w:lineRule="auto"/>
              <w:jc w:val="right"/>
              <w:rPr>
                <w:rFonts w:ascii="Arial Narrow" w:hAnsi="Arial Narrow"/>
                <w:b/>
                <w:sz w:val="20"/>
                <w:szCs w:val="20"/>
              </w:rPr>
            </w:pPr>
            <w:r w:rsidRPr="00386411">
              <w:rPr>
                <w:rFonts w:ascii="Arial Narrow" w:hAnsi="Arial Narrow"/>
                <w:b/>
                <w:sz w:val="20"/>
                <w:szCs w:val="20"/>
              </w:rPr>
              <w:t>IgG users (n=2724)</w:t>
            </w:r>
          </w:p>
        </w:tc>
        <w:tc>
          <w:tcPr>
            <w:tcW w:w="1052" w:type="pct"/>
            <w:gridSpan w:val="2"/>
            <w:tcBorders>
              <w:top w:val="single" w:sz="4" w:space="0" w:color="auto"/>
              <w:left w:val="nil"/>
              <w:bottom w:val="single" w:sz="4" w:space="0" w:color="auto"/>
              <w:right w:val="nil"/>
            </w:tcBorders>
            <w:shd w:val="clear" w:color="auto" w:fill="D9D9D9" w:themeFill="background1" w:themeFillShade="D9"/>
            <w:noWrap/>
          </w:tcPr>
          <w:p w14:paraId="3B0BE3E0" w14:textId="77777777" w:rsidR="00A049C5" w:rsidRPr="00386411" w:rsidRDefault="00A049C5" w:rsidP="00AF68A6">
            <w:pPr>
              <w:keepNext/>
              <w:spacing w:after="0" w:line="240" w:lineRule="auto"/>
              <w:jc w:val="right"/>
              <w:rPr>
                <w:rFonts w:ascii="Arial Narrow" w:hAnsi="Arial Narrow"/>
                <w:b/>
                <w:sz w:val="20"/>
                <w:szCs w:val="20"/>
              </w:rPr>
            </w:pPr>
            <w:r w:rsidRPr="00386411">
              <w:rPr>
                <w:rFonts w:ascii="Arial Narrow" w:hAnsi="Arial Narrow"/>
                <w:b/>
                <w:sz w:val="20"/>
                <w:szCs w:val="20"/>
              </w:rPr>
              <w:t>Non-users (n=8035)</w:t>
            </w:r>
          </w:p>
        </w:tc>
        <w:tc>
          <w:tcPr>
            <w:tcW w:w="670" w:type="pct"/>
            <w:tcBorders>
              <w:top w:val="single" w:sz="4" w:space="0" w:color="auto"/>
              <w:left w:val="nil"/>
              <w:bottom w:val="single" w:sz="4" w:space="0" w:color="auto"/>
              <w:right w:val="single" w:sz="4" w:space="0" w:color="auto"/>
            </w:tcBorders>
            <w:shd w:val="clear" w:color="auto" w:fill="D9D9D9" w:themeFill="background1" w:themeFillShade="D9"/>
          </w:tcPr>
          <w:p w14:paraId="5231EB6E" w14:textId="77777777" w:rsidR="00A049C5" w:rsidRPr="00386411" w:rsidRDefault="00A049C5" w:rsidP="00AF68A6">
            <w:pPr>
              <w:keepNext/>
              <w:spacing w:after="0" w:line="240" w:lineRule="auto"/>
              <w:jc w:val="right"/>
              <w:rPr>
                <w:rFonts w:ascii="Arial Narrow" w:hAnsi="Arial Narrow"/>
                <w:b/>
                <w:sz w:val="20"/>
                <w:szCs w:val="20"/>
              </w:rPr>
            </w:pPr>
          </w:p>
        </w:tc>
      </w:tr>
      <w:tr w:rsidR="00A049C5" w:rsidRPr="007D0AA8" w14:paraId="77DECA75" w14:textId="77777777" w:rsidTr="00B52A4F">
        <w:tc>
          <w:tcPr>
            <w:tcW w:w="690" w:type="pct"/>
            <w:tcBorders>
              <w:top w:val="single" w:sz="4" w:space="0" w:color="auto"/>
              <w:left w:val="single" w:sz="4" w:space="0" w:color="auto"/>
              <w:bottom w:val="nil"/>
              <w:right w:val="single" w:sz="4" w:space="0" w:color="auto"/>
            </w:tcBorders>
          </w:tcPr>
          <w:p w14:paraId="08DFA59D" w14:textId="77777777" w:rsidR="00A049C5" w:rsidRPr="007D0AA8" w:rsidRDefault="00A049C5" w:rsidP="00402B1A">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CLL, MM</w:t>
            </w:r>
          </w:p>
        </w:tc>
        <w:tc>
          <w:tcPr>
            <w:tcW w:w="1457" w:type="pct"/>
            <w:tcBorders>
              <w:top w:val="single" w:sz="4" w:space="0" w:color="auto"/>
              <w:left w:val="single" w:sz="4" w:space="0" w:color="auto"/>
              <w:bottom w:val="nil"/>
              <w:right w:val="single" w:sz="4" w:space="0" w:color="auto"/>
            </w:tcBorders>
          </w:tcPr>
          <w:p w14:paraId="06E1279E" w14:textId="77777777" w:rsidR="00A049C5" w:rsidRPr="007D0AA8" w:rsidRDefault="00A049C5" w:rsidP="00402B1A">
            <w:pPr>
              <w:spacing w:after="0" w:line="240" w:lineRule="auto"/>
              <w:rPr>
                <w:rFonts w:ascii="Arial Narrow" w:hAnsi="Arial Narrow"/>
                <w:sz w:val="20"/>
                <w:szCs w:val="20"/>
              </w:rPr>
            </w:pPr>
            <w:r w:rsidRPr="007D0AA8">
              <w:rPr>
                <w:rFonts w:ascii="Arial Narrow" w:hAnsi="Arial Narrow"/>
                <w:sz w:val="20"/>
              </w:rPr>
              <w:t>Propensity matched set</w:t>
            </w:r>
          </w:p>
        </w:tc>
        <w:tc>
          <w:tcPr>
            <w:tcW w:w="1131" w:type="pct"/>
            <w:gridSpan w:val="2"/>
            <w:tcBorders>
              <w:top w:val="single" w:sz="4" w:space="0" w:color="auto"/>
              <w:left w:val="single" w:sz="4" w:space="0" w:color="auto"/>
              <w:bottom w:val="nil"/>
              <w:right w:val="nil"/>
            </w:tcBorders>
            <w:shd w:val="clear" w:color="auto" w:fill="auto"/>
            <w:noWrap/>
          </w:tcPr>
          <w:p w14:paraId="06B998FE" w14:textId="77777777" w:rsidR="00A049C5" w:rsidRPr="007D0AA8" w:rsidRDefault="00A049C5" w:rsidP="00402B1A">
            <w:pPr>
              <w:spacing w:after="0" w:line="240" w:lineRule="auto"/>
              <w:jc w:val="right"/>
              <w:rPr>
                <w:rFonts w:ascii="Arial Narrow" w:hAnsi="Arial Narrow" w:cs="Calibri"/>
                <w:color w:val="000000"/>
                <w:sz w:val="20"/>
                <w:szCs w:val="20"/>
              </w:rPr>
            </w:pPr>
            <w:r w:rsidRPr="007D0AA8">
              <w:rPr>
                <w:rFonts w:ascii="Arial Narrow" w:hAnsi="Arial Narrow"/>
                <w:sz w:val="20"/>
                <w:szCs w:val="20"/>
              </w:rPr>
              <w:t>15%</w:t>
            </w:r>
          </w:p>
        </w:tc>
        <w:tc>
          <w:tcPr>
            <w:tcW w:w="1052" w:type="pct"/>
            <w:gridSpan w:val="2"/>
            <w:tcBorders>
              <w:top w:val="single" w:sz="4" w:space="0" w:color="auto"/>
              <w:left w:val="nil"/>
              <w:bottom w:val="nil"/>
              <w:right w:val="nil"/>
            </w:tcBorders>
            <w:shd w:val="clear" w:color="auto" w:fill="auto"/>
            <w:noWrap/>
          </w:tcPr>
          <w:p w14:paraId="192EEB6B" w14:textId="77777777" w:rsidR="00A049C5" w:rsidRPr="007D0AA8" w:rsidRDefault="00A049C5" w:rsidP="00402B1A">
            <w:pPr>
              <w:spacing w:after="0" w:line="240" w:lineRule="auto"/>
              <w:jc w:val="right"/>
              <w:rPr>
                <w:rFonts w:ascii="Arial Narrow" w:hAnsi="Arial Narrow" w:cs="Calibri"/>
                <w:color w:val="000000"/>
                <w:sz w:val="20"/>
                <w:szCs w:val="20"/>
              </w:rPr>
            </w:pPr>
            <w:r w:rsidRPr="007D0AA8">
              <w:rPr>
                <w:rFonts w:ascii="Arial Narrow" w:hAnsi="Arial Narrow"/>
                <w:sz w:val="20"/>
                <w:szCs w:val="20"/>
              </w:rPr>
              <w:t>12%</w:t>
            </w:r>
          </w:p>
        </w:tc>
        <w:tc>
          <w:tcPr>
            <w:tcW w:w="670" w:type="pct"/>
            <w:tcBorders>
              <w:top w:val="single" w:sz="4" w:space="0" w:color="auto"/>
              <w:left w:val="nil"/>
              <w:bottom w:val="nil"/>
              <w:right w:val="single" w:sz="4" w:space="0" w:color="auto"/>
            </w:tcBorders>
          </w:tcPr>
          <w:p w14:paraId="380A229E" w14:textId="77777777" w:rsidR="00A049C5" w:rsidRPr="007D0AA8" w:rsidRDefault="00A049C5" w:rsidP="00402B1A">
            <w:pPr>
              <w:spacing w:after="0" w:line="240" w:lineRule="auto"/>
              <w:jc w:val="right"/>
              <w:rPr>
                <w:rFonts w:ascii="Arial Narrow" w:hAnsi="Arial Narrow"/>
                <w:sz w:val="20"/>
                <w:szCs w:val="20"/>
              </w:rPr>
            </w:pPr>
          </w:p>
        </w:tc>
      </w:tr>
      <w:tr w:rsidR="00A049C5" w:rsidRPr="007D0AA8" w14:paraId="7CE716FB" w14:textId="77777777" w:rsidTr="00B52A4F">
        <w:tc>
          <w:tcPr>
            <w:tcW w:w="690" w:type="pct"/>
            <w:tcBorders>
              <w:top w:val="nil"/>
              <w:left w:val="single" w:sz="4" w:space="0" w:color="auto"/>
              <w:bottom w:val="nil"/>
              <w:right w:val="single" w:sz="4" w:space="0" w:color="auto"/>
            </w:tcBorders>
          </w:tcPr>
          <w:p w14:paraId="3909DA26" w14:textId="77777777" w:rsidR="00A049C5" w:rsidRPr="007D0AA8" w:rsidRDefault="00A049C5" w:rsidP="00402B1A">
            <w:pPr>
              <w:spacing w:after="0" w:line="240" w:lineRule="auto"/>
              <w:rPr>
                <w:rFonts w:ascii="Arial Narrow" w:hAnsi="Arial Narrow" w:cs="Calibri"/>
                <w:color w:val="000000"/>
                <w:sz w:val="20"/>
                <w:szCs w:val="20"/>
              </w:rPr>
            </w:pPr>
          </w:p>
        </w:tc>
        <w:tc>
          <w:tcPr>
            <w:tcW w:w="1457" w:type="pct"/>
            <w:tcBorders>
              <w:top w:val="nil"/>
              <w:left w:val="single" w:sz="4" w:space="0" w:color="auto"/>
              <w:bottom w:val="nil"/>
              <w:right w:val="single" w:sz="4" w:space="0" w:color="auto"/>
            </w:tcBorders>
          </w:tcPr>
          <w:p w14:paraId="4A02B028" w14:textId="77777777" w:rsidR="00A049C5" w:rsidRPr="007D0AA8" w:rsidRDefault="00A049C5" w:rsidP="00402B1A">
            <w:pPr>
              <w:spacing w:after="0" w:line="240" w:lineRule="auto"/>
              <w:rPr>
                <w:rFonts w:ascii="Arial Narrow" w:hAnsi="Arial Narrow"/>
                <w:i/>
                <w:sz w:val="20"/>
              </w:rPr>
            </w:pPr>
            <w:r w:rsidRPr="007D0AA8">
              <w:rPr>
                <w:rFonts w:ascii="Arial Narrow" w:hAnsi="Arial Narrow"/>
                <w:i/>
                <w:sz w:val="20"/>
              </w:rPr>
              <w:t>Rate hospitalisations/ patient mo</w:t>
            </w:r>
          </w:p>
        </w:tc>
        <w:tc>
          <w:tcPr>
            <w:tcW w:w="1125" w:type="pct"/>
            <w:tcBorders>
              <w:top w:val="nil"/>
              <w:left w:val="single" w:sz="4" w:space="0" w:color="auto"/>
              <w:bottom w:val="nil"/>
              <w:right w:val="nil"/>
            </w:tcBorders>
            <w:shd w:val="clear" w:color="auto" w:fill="auto"/>
            <w:noWrap/>
          </w:tcPr>
          <w:p w14:paraId="642CCBE4" w14:textId="77777777" w:rsidR="00A049C5" w:rsidRPr="007D0AA8" w:rsidRDefault="00A049C5" w:rsidP="00402B1A">
            <w:pPr>
              <w:spacing w:after="0" w:line="240" w:lineRule="auto"/>
              <w:jc w:val="right"/>
              <w:rPr>
                <w:rFonts w:ascii="Arial Narrow" w:hAnsi="Arial Narrow"/>
                <w:i/>
                <w:sz w:val="20"/>
                <w:szCs w:val="20"/>
              </w:rPr>
            </w:pPr>
            <w:r w:rsidRPr="007D0AA8">
              <w:rPr>
                <w:rFonts w:ascii="Arial Narrow" w:hAnsi="Arial Narrow"/>
                <w:i/>
                <w:sz w:val="20"/>
                <w:szCs w:val="20"/>
              </w:rPr>
              <w:t>0.013</w:t>
            </w:r>
          </w:p>
        </w:tc>
        <w:tc>
          <w:tcPr>
            <w:tcW w:w="1052" w:type="pct"/>
            <w:gridSpan w:val="2"/>
            <w:tcBorders>
              <w:top w:val="nil"/>
              <w:left w:val="nil"/>
              <w:bottom w:val="nil"/>
              <w:right w:val="nil"/>
            </w:tcBorders>
            <w:shd w:val="clear" w:color="auto" w:fill="auto"/>
            <w:noWrap/>
          </w:tcPr>
          <w:p w14:paraId="2596D01B" w14:textId="77777777" w:rsidR="00A049C5" w:rsidRPr="007D0AA8" w:rsidRDefault="00A049C5" w:rsidP="00402B1A">
            <w:pPr>
              <w:spacing w:after="0" w:line="240" w:lineRule="auto"/>
              <w:jc w:val="right"/>
              <w:rPr>
                <w:rFonts w:ascii="Arial Narrow" w:hAnsi="Arial Narrow"/>
                <w:i/>
                <w:sz w:val="20"/>
                <w:szCs w:val="20"/>
              </w:rPr>
            </w:pPr>
            <w:r w:rsidRPr="007D0AA8">
              <w:rPr>
                <w:rFonts w:ascii="Arial Narrow" w:hAnsi="Arial Narrow"/>
                <w:i/>
                <w:sz w:val="20"/>
                <w:szCs w:val="20"/>
              </w:rPr>
              <w:t>0.010</w:t>
            </w:r>
          </w:p>
        </w:tc>
        <w:tc>
          <w:tcPr>
            <w:tcW w:w="676" w:type="pct"/>
            <w:gridSpan w:val="2"/>
            <w:tcBorders>
              <w:top w:val="nil"/>
              <w:left w:val="nil"/>
              <w:bottom w:val="nil"/>
              <w:right w:val="single" w:sz="4" w:space="0" w:color="auto"/>
            </w:tcBorders>
          </w:tcPr>
          <w:p w14:paraId="25BA7354" w14:textId="77777777" w:rsidR="00A049C5" w:rsidRPr="007D0AA8" w:rsidRDefault="00A049C5" w:rsidP="00402B1A">
            <w:pPr>
              <w:spacing w:after="0" w:line="240" w:lineRule="auto"/>
              <w:jc w:val="right"/>
              <w:rPr>
                <w:rFonts w:ascii="Arial Narrow" w:hAnsi="Arial Narrow"/>
                <w:sz w:val="20"/>
                <w:szCs w:val="20"/>
              </w:rPr>
            </w:pPr>
          </w:p>
        </w:tc>
      </w:tr>
      <w:tr w:rsidR="00A049C5" w:rsidRPr="007D0AA8" w14:paraId="5BE5CC25" w14:textId="77777777" w:rsidTr="00B52A4F">
        <w:tc>
          <w:tcPr>
            <w:tcW w:w="690" w:type="pct"/>
            <w:tcBorders>
              <w:top w:val="nil"/>
              <w:left w:val="single" w:sz="4" w:space="0" w:color="auto"/>
              <w:right w:val="single" w:sz="4" w:space="0" w:color="auto"/>
            </w:tcBorders>
          </w:tcPr>
          <w:p w14:paraId="4869A799" w14:textId="77777777" w:rsidR="00A049C5" w:rsidRPr="007D0AA8" w:rsidRDefault="00A049C5" w:rsidP="00402B1A">
            <w:pPr>
              <w:spacing w:after="0" w:line="240" w:lineRule="auto"/>
              <w:rPr>
                <w:rFonts w:ascii="Arial Narrow" w:hAnsi="Arial Narrow" w:cs="Calibri"/>
                <w:color w:val="000000"/>
                <w:sz w:val="20"/>
                <w:szCs w:val="20"/>
              </w:rPr>
            </w:pPr>
          </w:p>
        </w:tc>
        <w:tc>
          <w:tcPr>
            <w:tcW w:w="1457" w:type="pct"/>
            <w:tcBorders>
              <w:top w:val="nil"/>
              <w:left w:val="single" w:sz="4" w:space="0" w:color="auto"/>
              <w:right w:val="single" w:sz="4" w:space="0" w:color="auto"/>
            </w:tcBorders>
          </w:tcPr>
          <w:p w14:paraId="184F81B6" w14:textId="77777777" w:rsidR="00A049C5" w:rsidRPr="007D0AA8" w:rsidRDefault="00A049C5" w:rsidP="00402B1A">
            <w:pPr>
              <w:spacing w:after="0" w:line="240" w:lineRule="auto"/>
              <w:rPr>
                <w:rFonts w:ascii="Arial Narrow" w:hAnsi="Arial Narrow"/>
                <w:sz w:val="20"/>
                <w:szCs w:val="20"/>
              </w:rPr>
            </w:pPr>
            <w:r w:rsidRPr="007D0AA8">
              <w:rPr>
                <w:rFonts w:ascii="Arial Narrow" w:hAnsi="Arial Narrow"/>
                <w:sz w:val="20"/>
              </w:rPr>
              <w:t>Hospitalisation for pneumonia</w:t>
            </w:r>
          </w:p>
        </w:tc>
        <w:tc>
          <w:tcPr>
            <w:tcW w:w="1125" w:type="pct"/>
            <w:tcBorders>
              <w:top w:val="nil"/>
              <w:left w:val="single" w:sz="4" w:space="0" w:color="auto"/>
              <w:right w:val="nil"/>
            </w:tcBorders>
            <w:shd w:val="clear" w:color="auto" w:fill="auto"/>
            <w:noWrap/>
          </w:tcPr>
          <w:p w14:paraId="3D2FD086" w14:textId="77777777" w:rsidR="00A049C5" w:rsidRPr="007D0AA8" w:rsidRDefault="00A049C5" w:rsidP="00402B1A">
            <w:pPr>
              <w:spacing w:after="0" w:line="240" w:lineRule="auto"/>
              <w:jc w:val="right"/>
              <w:rPr>
                <w:rFonts w:ascii="Arial Narrow" w:hAnsi="Arial Narrow" w:cs="Calibri"/>
                <w:color w:val="000000"/>
                <w:sz w:val="20"/>
                <w:szCs w:val="20"/>
              </w:rPr>
            </w:pPr>
            <w:r w:rsidRPr="007D0AA8">
              <w:rPr>
                <w:rFonts w:ascii="Arial Narrow" w:hAnsi="Arial Narrow"/>
                <w:sz w:val="20"/>
                <w:szCs w:val="20"/>
              </w:rPr>
              <w:t>IgG users (n=2771)</w:t>
            </w:r>
          </w:p>
        </w:tc>
        <w:tc>
          <w:tcPr>
            <w:tcW w:w="1052" w:type="pct"/>
            <w:gridSpan w:val="2"/>
            <w:tcBorders>
              <w:top w:val="nil"/>
              <w:left w:val="nil"/>
              <w:right w:val="nil"/>
            </w:tcBorders>
            <w:shd w:val="clear" w:color="auto" w:fill="auto"/>
            <w:noWrap/>
          </w:tcPr>
          <w:p w14:paraId="6E5F815D" w14:textId="77777777" w:rsidR="00A049C5" w:rsidRPr="007D0AA8" w:rsidRDefault="00A049C5" w:rsidP="00402B1A">
            <w:pPr>
              <w:spacing w:after="0" w:line="240" w:lineRule="auto"/>
              <w:jc w:val="right"/>
              <w:rPr>
                <w:rFonts w:ascii="Arial Narrow" w:hAnsi="Arial Narrow" w:cs="Calibri"/>
                <w:color w:val="000000"/>
                <w:sz w:val="20"/>
                <w:szCs w:val="20"/>
              </w:rPr>
            </w:pPr>
            <w:r w:rsidRPr="007D0AA8">
              <w:rPr>
                <w:rFonts w:ascii="Arial Narrow" w:hAnsi="Arial Narrow"/>
                <w:sz w:val="20"/>
                <w:szCs w:val="20"/>
              </w:rPr>
              <w:t>Non-users (n=8313)</w:t>
            </w:r>
          </w:p>
        </w:tc>
        <w:tc>
          <w:tcPr>
            <w:tcW w:w="676" w:type="pct"/>
            <w:gridSpan w:val="2"/>
            <w:tcBorders>
              <w:top w:val="nil"/>
              <w:left w:val="nil"/>
              <w:right w:val="single" w:sz="4" w:space="0" w:color="auto"/>
            </w:tcBorders>
          </w:tcPr>
          <w:p w14:paraId="60F2C112" w14:textId="77777777" w:rsidR="00A049C5" w:rsidRPr="007D0AA8" w:rsidRDefault="00A049C5" w:rsidP="00402B1A">
            <w:pPr>
              <w:spacing w:after="0" w:line="240" w:lineRule="auto"/>
              <w:jc w:val="right"/>
              <w:rPr>
                <w:rFonts w:ascii="Arial Narrow" w:hAnsi="Arial Narrow"/>
                <w:sz w:val="20"/>
                <w:szCs w:val="20"/>
              </w:rPr>
            </w:pPr>
          </w:p>
        </w:tc>
      </w:tr>
      <w:tr w:rsidR="00A049C5" w:rsidRPr="007D0AA8" w14:paraId="1FE0AA63" w14:textId="77777777" w:rsidTr="00B52A4F">
        <w:tc>
          <w:tcPr>
            <w:tcW w:w="690" w:type="pct"/>
            <w:tcBorders>
              <w:top w:val="nil"/>
              <w:left w:val="single" w:sz="4" w:space="0" w:color="auto"/>
              <w:right w:val="single" w:sz="4" w:space="0" w:color="auto"/>
            </w:tcBorders>
          </w:tcPr>
          <w:p w14:paraId="19D583E8" w14:textId="77777777" w:rsidR="00A049C5" w:rsidRPr="007D0AA8" w:rsidRDefault="00A049C5" w:rsidP="00402B1A">
            <w:pPr>
              <w:spacing w:after="0" w:line="240" w:lineRule="auto"/>
              <w:rPr>
                <w:rFonts w:ascii="Arial Narrow" w:hAnsi="Arial Narrow" w:cs="Calibri"/>
                <w:color w:val="000000"/>
                <w:sz w:val="20"/>
                <w:szCs w:val="20"/>
              </w:rPr>
            </w:pPr>
          </w:p>
        </w:tc>
        <w:tc>
          <w:tcPr>
            <w:tcW w:w="1457" w:type="pct"/>
            <w:tcBorders>
              <w:top w:val="nil"/>
              <w:left w:val="single" w:sz="4" w:space="0" w:color="auto"/>
              <w:right w:val="single" w:sz="4" w:space="0" w:color="auto"/>
            </w:tcBorders>
          </w:tcPr>
          <w:p w14:paraId="2F32144E" w14:textId="77777777" w:rsidR="00A049C5" w:rsidRPr="007D0AA8" w:rsidRDefault="00A049C5" w:rsidP="00402B1A">
            <w:pPr>
              <w:spacing w:after="0" w:line="240" w:lineRule="auto"/>
              <w:rPr>
                <w:rFonts w:ascii="Arial Narrow" w:hAnsi="Arial Narrow"/>
                <w:sz w:val="20"/>
                <w:szCs w:val="20"/>
              </w:rPr>
            </w:pPr>
            <w:r w:rsidRPr="007D0AA8">
              <w:rPr>
                <w:rFonts w:ascii="Arial Narrow" w:hAnsi="Arial Narrow"/>
                <w:sz w:val="20"/>
              </w:rPr>
              <w:t>Randomly matched set</w:t>
            </w:r>
          </w:p>
        </w:tc>
        <w:tc>
          <w:tcPr>
            <w:tcW w:w="1125" w:type="pct"/>
            <w:tcBorders>
              <w:top w:val="nil"/>
              <w:left w:val="single" w:sz="4" w:space="0" w:color="auto"/>
              <w:right w:val="nil"/>
            </w:tcBorders>
            <w:shd w:val="clear" w:color="auto" w:fill="auto"/>
            <w:noWrap/>
          </w:tcPr>
          <w:p w14:paraId="2F41B094" w14:textId="77777777" w:rsidR="00A049C5" w:rsidRPr="007D0AA8" w:rsidRDefault="00A049C5" w:rsidP="00402B1A">
            <w:pPr>
              <w:spacing w:after="0" w:line="240" w:lineRule="auto"/>
              <w:jc w:val="right"/>
              <w:rPr>
                <w:rFonts w:ascii="Arial Narrow" w:hAnsi="Arial Narrow" w:cs="Calibri"/>
                <w:color w:val="000000"/>
                <w:sz w:val="20"/>
                <w:szCs w:val="20"/>
              </w:rPr>
            </w:pPr>
            <w:r w:rsidRPr="007D0AA8">
              <w:rPr>
                <w:rFonts w:ascii="Arial Narrow" w:hAnsi="Arial Narrow"/>
                <w:sz w:val="20"/>
                <w:szCs w:val="20"/>
              </w:rPr>
              <w:t>15%</w:t>
            </w:r>
          </w:p>
        </w:tc>
        <w:tc>
          <w:tcPr>
            <w:tcW w:w="1052" w:type="pct"/>
            <w:gridSpan w:val="2"/>
            <w:tcBorders>
              <w:top w:val="nil"/>
              <w:left w:val="nil"/>
              <w:right w:val="nil"/>
            </w:tcBorders>
            <w:shd w:val="clear" w:color="auto" w:fill="auto"/>
            <w:noWrap/>
          </w:tcPr>
          <w:p w14:paraId="061FF91B" w14:textId="77777777" w:rsidR="00A049C5" w:rsidRPr="007D0AA8" w:rsidRDefault="00A049C5" w:rsidP="00402B1A">
            <w:pPr>
              <w:spacing w:after="0" w:line="240" w:lineRule="auto"/>
              <w:jc w:val="right"/>
              <w:rPr>
                <w:rFonts w:ascii="Arial Narrow" w:hAnsi="Arial Narrow" w:cs="Calibri"/>
                <w:color w:val="000000"/>
                <w:sz w:val="20"/>
                <w:szCs w:val="20"/>
              </w:rPr>
            </w:pPr>
            <w:r w:rsidRPr="007D0AA8">
              <w:rPr>
                <w:rFonts w:ascii="Arial Narrow" w:hAnsi="Arial Narrow"/>
                <w:sz w:val="20"/>
                <w:szCs w:val="20"/>
              </w:rPr>
              <w:t>6%</w:t>
            </w:r>
          </w:p>
        </w:tc>
        <w:tc>
          <w:tcPr>
            <w:tcW w:w="676" w:type="pct"/>
            <w:gridSpan w:val="2"/>
            <w:tcBorders>
              <w:top w:val="nil"/>
              <w:left w:val="nil"/>
              <w:right w:val="single" w:sz="4" w:space="0" w:color="auto"/>
            </w:tcBorders>
          </w:tcPr>
          <w:p w14:paraId="13A44466" w14:textId="77777777" w:rsidR="00A049C5" w:rsidRPr="007D0AA8" w:rsidRDefault="00A049C5" w:rsidP="00402B1A">
            <w:pPr>
              <w:spacing w:after="0" w:line="240" w:lineRule="auto"/>
              <w:jc w:val="right"/>
              <w:rPr>
                <w:rFonts w:ascii="Arial Narrow" w:hAnsi="Arial Narrow"/>
                <w:sz w:val="20"/>
                <w:szCs w:val="20"/>
              </w:rPr>
            </w:pPr>
          </w:p>
        </w:tc>
      </w:tr>
      <w:tr w:rsidR="00A049C5" w:rsidRPr="007D0AA8" w14:paraId="023538DE" w14:textId="77777777" w:rsidTr="00B52A4F">
        <w:tc>
          <w:tcPr>
            <w:tcW w:w="690" w:type="pct"/>
            <w:tcBorders>
              <w:top w:val="nil"/>
              <w:left w:val="single" w:sz="4" w:space="0" w:color="auto"/>
              <w:right w:val="single" w:sz="4" w:space="0" w:color="auto"/>
            </w:tcBorders>
          </w:tcPr>
          <w:p w14:paraId="08F56DB0" w14:textId="77777777" w:rsidR="00A049C5" w:rsidRPr="007D0AA8" w:rsidRDefault="00A049C5" w:rsidP="00402B1A">
            <w:pPr>
              <w:spacing w:after="0" w:line="240" w:lineRule="auto"/>
              <w:rPr>
                <w:rFonts w:ascii="Arial Narrow" w:hAnsi="Arial Narrow" w:cs="Calibri"/>
                <w:color w:val="000000"/>
                <w:sz w:val="20"/>
                <w:szCs w:val="20"/>
              </w:rPr>
            </w:pPr>
          </w:p>
        </w:tc>
        <w:tc>
          <w:tcPr>
            <w:tcW w:w="1457" w:type="pct"/>
            <w:tcBorders>
              <w:top w:val="nil"/>
              <w:left w:val="single" w:sz="4" w:space="0" w:color="auto"/>
              <w:bottom w:val="single" w:sz="4" w:space="0" w:color="auto"/>
              <w:right w:val="single" w:sz="4" w:space="0" w:color="auto"/>
            </w:tcBorders>
          </w:tcPr>
          <w:p w14:paraId="4A7DA49F" w14:textId="77777777" w:rsidR="00A049C5" w:rsidRPr="007D0AA8" w:rsidRDefault="00A049C5" w:rsidP="00402B1A">
            <w:pPr>
              <w:spacing w:after="0" w:line="240" w:lineRule="auto"/>
              <w:rPr>
                <w:rFonts w:ascii="Arial Narrow" w:hAnsi="Arial Narrow"/>
                <w:i/>
                <w:sz w:val="20"/>
              </w:rPr>
            </w:pPr>
            <w:r w:rsidRPr="007D0AA8">
              <w:rPr>
                <w:rFonts w:ascii="Arial Narrow" w:hAnsi="Arial Narrow"/>
                <w:i/>
                <w:sz w:val="20"/>
              </w:rPr>
              <w:t>Rate hospitalisations/ patient mo</w:t>
            </w:r>
          </w:p>
        </w:tc>
        <w:tc>
          <w:tcPr>
            <w:tcW w:w="1125" w:type="pct"/>
            <w:tcBorders>
              <w:top w:val="nil"/>
              <w:left w:val="single" w:sz="4" w:space="0" w:color="auto"/>
              <w:right w:val="nil"/>
            </w:tcBorders>
            <w:shd w:val="clear" w:color="auto" w:fill="auto"/>
            <w:noWrap/>
          </w:tcPr>
          <w:p w14:paraId="51213DA1" w14:textId="77777777" w:rsidR="00A049C5" w:rsidRPr="007D0AA8" w:rsidRDefault="00A049C5" w:rsidP="00402B1A">
            <w:pPr>
              <w:spacing w:after="0" w:line="240" w:lineRule="auto"/>
              <w:jc w:val="right"/>
              <w:rPr>
                <w:rFonts w:ascii="Arial Narrow" w:hAnsi="Arial Narrow"/>
                <w:i/>
                <w:sz w:val="20"/>
                <w:szCs w:val="20"/>
              </w:rPr>
            </w:pPr>
            <w:r w:rsidRPr="007D0AA8">
              <w:rPr>
                <w:rFonts w:ascii="Arial Narrow" w:hAnsi="Arial Narrow"/>
                <w:i/>
                <w:sz w:val="20"/>
                <w:szCs w:val="20"/>
              </w:rPr>
              <w:t>0.013</w:t>
            </w:r>
          </w:p>
        </w:tc>
        <w:tc>
          <w:tcPr>
            <w:tcW w:w="1052" w:type="pct"/>
            <w:gridSpan w:val="2"/>
            <w:tcBorders>
              <w:top w:val="nil"/>
              <w:left w:val="nil"/>
              <w:right w:val="nil"/>
            </w:tcBorders>
            <w:shd w:val="clear" w:color="auto" w:fill="auto"/>
            <w:noWrap/>
          </w:tcPr>
          <w:p w14:paraId="0346297A" w14:textId="77777777" w:rsidR="00A049C5" w:rsidRPr="007D0AA8" w:rsidRDefault="00A049C5" w:rsidP="00402B1A">
            <w:pPr>
              <w:spacing w:after="0" w:line="240" w:lineRule="auto"/>
              <w:jc w:val="right"/>
              <w:rPr>
                <w:rFonts w:ascii="Arial Narrow" w:hAnsi="Arial Narrow"/>
                <w:i/>
                <w:sz w:val="20"/>
                <w:szCs w:val="20"/>
              </w:rPr>
            </w:pPr>
            <w:r w:rsidRPr="007D0AA8">
              <w:rPr>
                <w:rFonts w:ascii="Arial Narrow" w:hAnsi="Arial Narrow"/>
                <w:i/>
                <w:sz w:val="20"/>
                <w:szCs w:val="20"/>
              </w:rPr>
              <w:t>0.005</w:t>
            </w:r>
          </w:p>
        </w:tc>
        <w:tc>
          <w:tcPr>
            <w:tcW w:w="676" w:type="pct"/>
            <w:gridSpan w:val="2"/>
            <w:tcBorders>
              <w:top w:val="nil"/>
              <w:left w:val="nil"/>
              <w:right w:val="single" w:sz="4" w:space="0" w:color="auto"/>
            </w:tcBorders>
          </w:tcPr>
          <w:p w14:paraId="35B1D495" w14:textId="77777777" w:rsidR="00A049C5" w:rsidRPr="007D0AA8" w:rsidRDefault="00A049C5" w:rsidP="00402B1A">
            <w:pPr>
              <w:spacing w:after="0" w:line="240" w:lineRule="auto"/>
              <w:jc w:val="right"/>
              <w:rPr>
                <w:rFonts w:ascii="Arial Narrow" w:hAnsi="Arial Narrow"/>
                <w:sz w:val="20"/>
                <w:szCs w:val="20"/>
              </w:rPr>
            </w:pPr>
          </w:p>
        </w:tc>
      </w:tr>
      <w:tr w:rsidR="00586D5D" w:rsidRPr="00386411" w14:paraId="7E88B975" w14:textId="77777777" w:rsidTr="00B52A4F">
        <w:tc>
          <w:tcPr>
            <w:tcW w:w="6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024A73" w14:textId="57D00BC5" w:rsidR="00586D5D" w:rsidRPr="00386411" w:rsidRDefault="00586D5D" w:rsidP="00586D5D">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Blombery</w:t>
            </w:r>
            <w:r w:rsidR="00863427" w:rsidRPr="00386411">
              <w:rPr>
                <w:rFonts w:ascii="Arial Narrow" w:hAnsi="Arial Narrow" w:cs="Calibri"/>
                <w:b/>
                <w:color w:val="000000"/>
                <w:sz w:val="20"/>
                <w:szCs w:val="20"/>
              </w:rPr>
              <w:t xml:space="preserve"> et al.</w:t>
            </w:r>
            <w:r w:rsidRPr="00386411">
              <w:rPr>
                <w:rFonts w:ascii="Arial Narrow" w:hAnsi="Arial Narrow" w:cs="Calibri"/>
                <w:b/>
                <w:color w:val="000000"/>
                <w:sz w:val="20"/>
                <w:szCs w:val="20"/>
              </w:rPr>
              <w:t>, 2011</w:t>
            </w:r>
          </w:p>
        </w:tc>
        <w:tc>
          <w:tcPr>
            <w:tcW w:w="1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EF1296" w14:textId="7362CE27" w:rsidR="00586D5D" w:rsidRPr="00386411" w:rsidRDefault="0090064D" w:rsidP="00586D5D">
            <w:pPr>
              <w:spacing w:after="0" w:line="240" w:lineRule="auto"/>
              <w:rPr>
                <w:rFonts w:ascii="Arial Narrow" w:hAnsi="Arial Narrow"/>
                <w:b/>
                <w:sz w:val="20"/>
              </w:rPr>
            </w:pPr>
            <w:r w:rsidRPr="00386411">
              <w:rPr>
                <w:rFonts w:ascii="Arial Narrow" w:hAnsi="Arial Narrow"/>
                <w:b/>
                <w:sz w:val="20"/>
              </w:rPr>
              <w:t>Duration of resource u</w:t>
            </w:r>
            <w:r w:rsidR="00586D5D" w:rsidRPr="00386411">
              <w:rPr>
                <w:rFonts w:ascii="Arial Narrow" w:hAnsi="Arial Narrow"/>
                <w:b/>
                <w:sz w:val="20"/>
              </w:rPr>
              <w:t>se</w:t>
            </w:r>
            <w:r w:rsidRPr="00386411">
              <w:rPr>
                <w:rFonts w:ascii="Arial Narrow" w:hAnsi="Arial Narrow"/>
                <w:b/>
                <w:sz w:val="20"/>
              </w:rPr>
              <w:br/>
              <w:t>median days [range]</w:t>
            </w:r>
          </w:p>
        </w:tc>
        <w:tc>
          <w:tcPr>
            <w:tcW w:w="113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2A90B84" w14:textId="031FEECB" w:rsidR="00586D5D" w:rsidRPr="00386411" w:rsidRDefault="00586D5D" w:rsidP="00586D5D">
            <w:pPr>
              <w:spacing w:after="0" w:line="240" w:lineRule="auto"/>
              <w:jc w:val="center"/>
              <w:rPr>
                <w:rFonts w:ascii="Arial Narrow" w:hAnsi="Arial Narrow"/>
                <w:b/>
                <w:sz w:val="20"/>
              </w:rPr>
            </w:pPr>
            <w:r w:rsidRPr="00386411">
              <w:rPr>
                <w:rFonts w:ascii="Arial Narrow" w:hAnsi="Arial Narrow"/>
                <w:b/>
                <w:sz w:val="20"/>
              </w:rPr>
              <w:t>IVIg (n=130)</w:t>
            </w:r>
          </w:p>
        </w:tc>
        <w:tc>
          <w:tcPr>
            <w:tcW w:w="104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A2B86B7" w14:textId="7B189BBD" w:rsidR="00586D5D" w:rsidRPr="00386411" w:rsidRDefault="00586D5D" w:rsidP="00586D5D">
            <w:pPr>
              <w:spacing w:after="0" w:line="240" w:lineRule="auto"/>
              <w:jc w:val="center"/>
              <w:rPr>
                <w:rFonts w:ascii="Arial Narrow" w:hAnsi="Arial Narrow"/>
                <w:b/>
                <w:sz w:val="20"/>
              </w:rPr>
            </w:pPr>
            <w:r w:rsidRPr="00386411">
              <w:rPr>
                <w:rFonts w:ascii="Arial Narrow" w:hAnsi="Arial Narrow"/>
                <w:b/>
                <w:sz w:val="20"/>
              </w:rPr>
              <w:t>No IVIg (n=110)</w:t>
            </w:r>
          </w:p>
        </w:tc>
        <w:tc>
          <w:tcPr>
            <w:tcW w:w="67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DC0A6C" w14:textId="7A1B9220" w:rsidR="00586D5D" w:rsidRPr="00386411" w:rsidRDefault="00586D5D" w:rsidP="00586D5D">
            <w:pPr>
              <w:spacing w:after="0" w:line="240" w:lineRule="auto"/>
              <w:jc w:val="center"/>
              <w:rPr>
                <w:rFonts w:ascii="Arial Narrow" w:hAnsi="Arial Narrow"/>
                <w:b/>
                <w:sz w:val="20"/>
              </w:rPr>
            </w:pPr>
            <w:r w:rsidRPr="00386411">
              <w:rPr>
                <w:rFonts w:ascii="Arial Narrow" w:hAnsi="Arial Narrow"/>
                <w:b/>
                <w:sz w:val="20"/>
              </w:rPr>
              <w:t>p value</w:t>
            </w:r>
          </w:p>
        </w:tc>
      </w:tr>
      <w:tr w:rsidR="00586D5D" w:rsidRPr="007D0AA8" w14:paraId="6D15AFEA" w14:textId="77777777" w:rsidTr="00B52A4F">
        <w:tc>
          <w:tcPr>
            <w:tcW w:w="690" w:type="pct"/>
            <w:tcBorders>
              <w:top w:val="single" w:sz="4" w:space="0" w:color="auto"/>
              <w:left w:val="single" w:sz="4" w:space="0" w:color="auto"/>
              <w:bottom w:val="single" w:sz="4" w:space="0" w:color="auto"/>
              <w:right w:val="single" w:sz="4" w:space="0" w:color="auto"/>
            </w:tcBorders>
          </w:tcPr>
          <w:p w14:paraId="7AAFF54C" w14:textId="0EC1DF1F" w:rsidR="00586D5D" w:rsidRPr="007D0AA8" w:rsidRDefault="00586D5D" w:rsidP="00586D5D">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MM+HSCT</w:t>
            </w:r>
          </w:p>
        </w:tc>
        <w:tc>
          <w:tcPr>
            <w:tcW w:w="1457" w:type="pct"/>
            <w:tcBorders>
              <w:top w:val="single" w:sz="4" w:space="0" w:color="auto"/>
              <w:left w:val="single" w:sz="4" w:space="0" w:color="auto"/>
              <w:bottom w:val="single" w:sz="4" w:space="0" w:color="auto"/>
              <w:right w:val="single" w:sz="4" w:space="0" w:color="auto"/>
            </w:tcBorders>
          </w:tcPr>
          <w:p w14:paraId="4B624F88" w14:textId="27619D64" w:rsidR="00586D5D" w:rsidRPr="007D0AA8" w:rsidRDefault="00586D5D" w:rsidP="0090064D">
            <w:pPr>
              <w:spacing w:after="0" w:line="240" w:lineRule="auto"/>
              <w:rPr>
                <w:rFonts w:ascii="Arial Narrow" w:hAnsi="Arial Narrow"/>
                <w:sz w:val="20"/>
              </w:rPr>
            </w:pPr>
            <w:r w:rsidRPr="007D0AA8">
              <w:rPr>
                <w:rFonts w:ascii="Arial Narrow" w:hAnsi="Arial Narrow"/>
                <w:sz w:val="20"/>
              </w:rPr>
              <w:t>IV antimicrobial agents</w:t>
            </w:r>
          </w:p>
        </w:tc>
        <w:tc>
          <w:tcPr>
            <w:tcW w:w="1131" w:type="pct"/>
            <w:gridSpan w:val="2"/>
            <w:tcBorders>
              <w:top w:val="single" w:sz="4" w:space="0" w:color="auto"/>
              <w:left w:val="single" w:sz="4" w:space="0" w:color="auto"/>
              <w:bottom w:val="single" w:sz="4" w:space="0" w:color="auto"/>
              <w:right w:val="single" w:sz="4" w:space="0" w:color="auto"/>
            </w:tcBorders>
            <w:shd w:val="clear" w:color="auto" w:fill="auto"/>
            <w:noWrap/>
          </w:tcPr>
          <w:p w14:paraId="1591F60A" w14:textId="1E2D1EA4" w:rsidR="00586D5D" w:rsidRPr="007D0AA8" w:rsidRDefault="00586D5D" w:rsidP="00586D5D">
            <w:pPr>
              <w:spacing w:after="0" w:line="240" w:lineRule="auto"/>
              <w:jc w:val="center"/>
              <w:rPr>
                <w:rFonts w:ascii="Arial Narrow" w:hAnsi="Arial Narrow"/>
                <w:sz w:val="20"/>
              </w:rPr>
            </w:pPr>
            <w:r w:rsidRPr="007D0AA8">
              <w:rPr>
                <w:rFonts w:ascii="Arial Narrow" w:hAnsi="Arial Narrow"/>
                <w:sz w:val="20"/>
              </w:rPr>
              <w:t>7 [0–28]</w:t>
            </w:r>
          </w:p>
        </w:tc>
        <w:tc>
          <w:tcPr>
            <w:tcW w:w="1046" w:type="pct"/>
            <w:tcBorders>
              <w:top w:val="single" w:sz="4" w:space="0" w:color="auto"/>
              <w:left w:val="single" w:sz="4" w:space="0" w:color="auto"/>
              <w:bottom w:val="single" w:sz="4" w:space="0" w:color="auto"/>
              <w:right w:val="single" w:sz="4" w:space="0" w:color="auto"/>
            </w:tcBorders>
            <w:shd w:val="clear" w:color="auto" w:fill="auto"/>
            <w:noWrap/>
          </w:tcPr>
          <w:p w14:paraId="1B98AB1C" w14:textId="43FD4BC6" w:rsidR="00586D5D" w:rsidRPr="007D0AA8" w:rsidRDefault="00586D5D" w:rsidP="00586D5D">
            <w:pPr>
              <w:spacing w:after="0" w:line="240" w:lineRule="auto"/>
              <w:jc w:val="center"/>
              <w:rPr>
                <w:rFonts w:ascii="Arial Narrow" w:hAnsi="Arial Narrow"/>
                <w:sz w:val="20"/>
              </w:rPr>
            </w:pPr>
            <w:r w:rsidRPr="007D0AA8">
              <w:rPr>
                <w:rFonts w:ascii="Arial Narrow" w:hAnsi="Arial Narrow"/>
                <w:sz w:val="20"/>
              </w:rPr>
              <w:t>6 [0–33]</w:t>
            </w:r>
          </w:p>
        </w:tc>
        <w:tc>
          <w:tcPr>
            <w:tcW w:w="676" w:type="pct"/>
            <w:gridSpan w:val="2"/>
            <w:tcBorders>
              <w:top w:val="single" w:sz="4" w:space="0" w:color="auto"/>
              <w:left w:val="single" w:sz="4" w:space="0" w:color="auto"/>
              <w:bottom w:val="single" w:sz="4" w:space="0" w:color="auto"/>
              <w:right w:val="single" w:sz="4" w:space="0" w:color="auto"/>
            </w:tcBorders>
          </w:tcPr>
          <w:p w14:paraId="4AE923F8" w14:textId="6750CEBB" w:rsidR="00586D5D" w:rsidRPr="007D0AA8" w:rsidRDefault="00586D5D" w:rsidP="00586D5D">
            <w:pPr>
              <w:spacing w:after="0" w:line="240" w:lineRule="auto"/>
              <w:jc w:val="center"/>
              <w:rPr>
                <w:rFonts w:ascii="Arial Narrow" w:hAnsi="Arial Narrow"/>
                <w:sz w:val="20"/>
              </w:rPr>
            </w:pPr>
            <w:r w:rsidRPr="007D0AA8">
              <w:rPr>
                <w:rFonts w:ascii="Arial Narrow" w:hAnsi="Arial Narrow"/>
                <w:sz w:val="20"/>
              </w:rPr>
              <w:t>p=0.046</w:t>
            </w:r>
          </w:p>
        </w:tc>
      </w:tr>
      <w:tr w:rsidR="00586D5D" w:rsidRPr="007D0AA8" w14:paraId="6DFF44E2" w14:textId="77777777" w:rsidTr="00B52A4F">
        <w:tc>
          <w:tcPr>
            <w:tcW w:w="690" w:type="pct"/>
            <w:tcBorders>
              <w:top w:val="single" w:sz="4" w:space="0" w:color="auto"/>
              <w:left w:val="single" w:sz="4" w:space="0" w:color="auto"/>
              <w:bottom w:val="single" w:sz="4" w:space="0" w:color="auto"/>
              <w:right w:val="single" w:sz="4" w:space="0" w:color="auto"/>
            </w:tcBorders>
          </w:tcPr>
          <w:p w14:paraId="0A19B2F3" w14:textId="77777777" w:rsidR="00586D5D" w:rsidRPr="007D0AA8" w:rsidRDefault="00586D5D" w:rsidP="00586D5D">
            <w:pPr>
              <w:spacing w:after="0" w:line="240" w:lineRule="auto"/>
              <w:rPr>
                <w:rFonts w:ascii="Arial Narrow" w:hAnsi="Arial Narrow" w:cs="Calibri"/>
                <w:color w:val="000000"/>
                <w:sz w:val="20"/>
                <w:szCs w:val="20"/>
              </w:rPr>
            </w:pPr>
          </w:p>
        </w:tc>
        <w:tc>
          <w:tcPr>
            <w:tcW w:w="1457" w:type="pct"/>
            <w:tcBorders>
              <w:top w:val="single" w:sz="4" w:space="0" w:color="auto"/>
              <w:left w:val="single" w:sz="4" w:space="0" w:color="auto"/>
              <w:bottom w:val="single" w:sz="4" w:space="0" w:color="auto"/>
              <w:right w:val="single" w:sz="4" w:space="0" w:color="auto"/>
            </w:tcBorders>
          </w:tcPr>
          <w:p w14:paraId="16F2DA6A" w14:textId="31A192E9" w:rsidR="00586D5D" w:rsidRPr="007D0AA8" w:rsidRDefault="0090064D" w:rsidP="0090064D">
            <w:pPr>
              <w:spacing w:after="0" w:line="240" w:lineRule="auto"/>
              <w:rPr>
                <w:rFonts w:ascii="Arial Narrow" w:hAnsi="Arial Narrow"/>
                <w:sz w:val="20"/>
              </w:rPr>
            </w:pPr>
            <w:r w:rsidRPr="007D0AA8">
              <w:rPr>
                <w:rFonts w:ascii="Arial Narrow" w:hAnsi="Arial Narrow"/>
                <w:sz w:val="20"/>
              </w:rPr>
              <w:t>H</w:t>
            </w:r>
            <w:r w:rsidR="00586D5D" w:rsidRPr="007D0AA8">
              <w:rPr>
                <w:rFonts w:ascii="Arial Narrow" w:hAnsi="Arial Narrow"/>
                <w:sz w:val="20"/>
              </w:rPr>
              <w:t>ospital admission</w:t>
            </w:r>
          </w:p>
        </w:tc>
        <w:tc>
          <w:tcPr>
            <w:tcW w:w="1131" w:type="pct"/>
            <w:gridSpan w:val="2"/>
            <w:tcBorders>
              <w:top w:val="single" w:sz="4" w:space="0" w:color="auto"/>
              <w:left w:val="single" w:sz="4" w:space="0" w:color="auto"/>
              <w:bottom w:val="single" w:sz="4" w:space="0" w:color="auto"/>
              <w:right w:val="single" w:sz="4" w:space="0" w:color="auto"/>
            </w:tcBorders>
            <w:shd w:val="clear" w:color="auto" w:fill="auto"/>
            <w:noWrap/>
          </w:tcPr>
          <w:p w14:paraId="7DB1C894" w14:textId="08148003" w:rsidR="00586D5D" w:rsidRPr="007D0AA8" w:rsidRDefault="00586D5D" w:rsidP="00586D5D">
            <w:pPr>
              <w:spacing w:after="0" w:line="240" w:lineRule="auto"/>
              <w:jc w:val="center"/>
              <w:rPr>
                <w:rFonts w:ascii="Arial Narrow" w:hAnsi="Arial Narrow"/>
                <w:sz w:val="20"/>
              </w:rPr>
            </w:pPr>
            <w:r w:rsidRPr="007D0AA8">
              <w:rPr>
                <w:rFonts w:ascii="Arial Narrow" w:hAnsi="Arial Narrow"/>
                <w:sz w:val="20"/>
              </w:rPr>
              <w:t>14 [6–38]</w:t>
            </w:r>
          </w:p>
        </w:tc>
        <w:tc>
          <w:tcPr>
            <w:tcW w:w="1046" w:type="pct"/>
            <w:tcBorders>
              <w:top w:val="single" w:sz="4" w:space="0" w:color="auto"/>
              <w:left w:val="single" w:sz="4" w:space="0" w:color="auto"/>
              <w:bottom w:val="single" w:sz="4" w:space="0" w:color="auto"/>
              <w:right w:val="single" w:sz="4" w:space="0" w:color="auto"/>
            </w:tcBorders>
            <w:shd w:val="clear" w:color="auto" w:fill="auto"/>
            <w:noWrap/>
          </w:tcPr>
          <w:p w14:paraId="2868DF30" w14:textId="157FA66B" w:rsidR="00586D5D" w:rsidRPr="007D0AA8" w:rsidRDefault="00586D5D" w:rsidP="00586D5D">
            <w:pPr>
              <w:spacing w:after="0" w:line="240" w:lineRule="auto"/>
              <w:jc w:val="center"/>
              <w:rPr>
                <w:rFonts w:ascii="Arial Narrow" w:hAnsi="Arial Narrow"/>
                <w:sz w:val="20"/>
              </w:rPr>
            </w:pPr>
            <w:r w:rsidRPr="007D0AA8">
              <w:rPr>
                <w:rFonts w:ascii="Arial Narrow" w:hAnsi="Arial Narrow"/>
                <w:sz w:val="20"/>
              </w:rPr>
              <w:t>13 [8–48]</w:t>
            </w:r>
          </w:p>
        </w:tc>
        <w:tc>
          <w:tcPr>
            <w:tcW w:w="676" w:type="pct"/>
            <w:gridSpan w:val="2"/>
            <w:tcBorders>
              <w:top w:val="single" w:sz="4" w:space="0" w:color="auto"/>
              <w:left w:val="single" w:sz="4" w:space="0" w:color="auto"/>
              <w:bottom w:val="single" w:sz="4" w:space="0" w:color="auto"/>
              <w:right w:val="single" w:sz="4" w:space="0" w:color="auto"/>
            </w:tcBorders>
          </w:tcPr>
          <w:p w14:paraId="5A46ED02" w14:textId="5D201A9B" w:rsidR="00586D5D" w:rsidRPr="007D0AA8" w:rsidRDefault="00586D5D" w:rsidP="00586D5D">
            <w:pPr>
              <w:spacing w:after="0" w:line="240" w:lineRule="auto"/>
              <w:jc w:val="center"/>
              <w:rPr>
                <w:rFonts w:ascii="Arial Narrow" w:hAnsi="Arial Narrow"/>
                <w:sz w:val="20"/>
              </w:rPr>
            </w:pPr>
            <w:r w:rsidRPr="007D0AA8">
              <w:rPr>
                <w:rFonts w:ascii="Arial Narrow" w:hAnsi="Arial Narrow"/>
                <w:sz w:val="20"/>
              </w:rPr>
              <w:t>p=0.16</w:t>
            </w:r>
          </w:p>
        </w:tc>
      </w:tr>
      <w:tr w:rsidR="00586D5D" w:rsidRPr="00386411" w14:paraId="415EA18E" w14:textId="77777777" w:rsidTr="00B52A4F">
        <w:tc>
          <w:tcPr>
            <w:tcW w:w="6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106309" w14:textId="40A08C0F" w:rsidR="00586D5D" w:rsidRPr="00386411" w:rsidRDefault="00586D5D" w:rsidP="00E66904">
            <w:pPr>
              <w:spacing w:after="0" w:line="240" w:lineRule="auto"/>
              <w:rPr>
                <w:rFonts w:ascii="Arial Narrow" w:hAnsi="Arial Narrow" w:cs="Calibri"/>
                <w:b/>
                <w:color w:val="000000"/>
                <w:sz w:val="20"/>
                <w:szCs w:val="20"/>
              </w:rPr>
            </w:pPr>
            <w:r w:rsidRPr="00386411">
              <w:rPr>
                <w:rFonts w:ascii="Arial Narrow" w:hAnsi="Arial Narrow"/>
                <w:b/>
                <w:sz w:val="20"/>
                <w:szCs w:val="20"/>
              </w:rPr>
              <w:t>Paxton et al., 2016</w:t>
            </w:r>
          </w:p>
        </w:tc>
        <w:tc>
          <w:tcPr>
            <w:tcW w:w="1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B41C19" w14:textId="3B07C4FF" w:rsidR="00586D5D" w:rsidRPr="00386411" w:rsidRDefault="00586D5D" w:rsidP="00E66904">
            <w:pPr>
              <w:spacing w:after="0" w:line="240" w:lineRule="auto"/>
              <w:rPr>
                <w:rFonts w:ascii="Arial Narrow" w:hAnsi="Arial Narrow"/>
                <w:b/>
                <w:sz w:val="20"/>
              </w:rPr>
            </w:pPr>
            <w:r w:rsidRPr="00386411">
              <w:rPr>
                <w:rFonts w:ascii="Arial Narrow" w:hAnsi="Arial Narrow"/>
                <w:b/>
                <w:sz w:val="20"/>
              </w:rPr>
              <w:t xml:space="preserve">Risk of hospitalisation for infection, </w:t>
            </w:r>
            <w:r w:rsidR="00E66904" w:rsidRPr="00386411">
              <w:rPr>
                <w:rFonts w:ascii="Arial Narrow" w:hAnsi="Arial Narrow"/>
                <w:b/>
                <w:sz w:val="20"/>
              </w:rPr>
              <w:t>/patient-years</w:t>
            </w:r>
            <w:r w:rsidRPr="00386411">
              <w:rPr>
                <w:rFonts w:ascii="Arial Narrow" w:hAnsi="Arial Narrow"/>
                <w:b/>
                <w:sz w:val="20"/>
              </w:rPr>
              <w:t xml:space="preserve"> (95% CI)</w:t>
            </w:r>
          </w:p>
        </w:tc>
        <w:tc>
          <w:tcPr>
            <w:tcW w:w="1131" w:type="pct"/>
            <w:gridSpan w:val="2"/>
            <w:tcBorders>
              <w:top w:val="single" w:sz="4" w:space="0" w:color="auto"/>
              <w:left w:val="single" w:sz="4" w:space="0" w:color="auto"/>
              <w:bottom w:val="single" w:sz="4" w:space="0" w:color="auto"/>
              <w:right w:val="nil"/>
            </w:tcBorders>
            <w:shd w:val="clear" w:color="auto" w:fill="D9D9D9" w:themeFill="background1" w:themeFillShade="D9"/>
            <w:noWrap/>
          </w:tcPr>
          <w:p w14:paraId="63A6BE07" w14:textId="77777777" w:rsidR="00586D5D" w:rsidRPr="00386411" w:rsidRDefault="00586D5D" w:rsidP="00586D5D">
            <w:pPr>
              <w:spacing w:after="0" w:line="240" w:lineRule="auto"/>
              <w:jc w:val="right"/>
              <w:rPr>
                <w:rFonts w:ascii="Arial Narrow" w:hAnsi="Arial Narrow" w:cs="Calibri"/>
                <w:b/>
                <w:sz w:val="20"/>
              </w:rPr>
            </w:pPr>
            <w:r w:rsidRPr="00386411">
              <w:rPr>
                <w:rFonts w:ascii="Arial Narrow" w:hAnsi="Arial Narrow"/>
                <w:b/>
                <w:sz w:val="20"/>
              </w:rPr>
              <w:t>IVIg (n=35)</w:t>
            </w:r>
          </w:p>
        </w:tc>
        <w:tc>
          <w:tcPr>
            <w:tcW w:w="1046" w:type="pct"/>
            <w:tcBorders>
              <w:top w:val="single" w:sz="4" w:space="0" w:color="auto"/>
              <w:left w:val="nil"/>
              <w:bottom w:val="single" w:sz="4" w:space="0" w:color="auto"/>
              <w:right w:val="nil"/>
            </w:tcBorders>
            <w:shd w:val="clear" w:color="auto" w:fill="D9D9D9" w:themeFill="background1" w:themeFillShade="D9"/>
            <w:noWrap/>
          </w:tcPr>
          <w:p w14:paraId="0ED4EF4F" w14:textId="77777777" w:rsidR="00586D5D" w:rsidRPr="00386411" w:rsidRDefault="00586D5D" w:rsidP="00586D5D">
            <w:pPr>
              <w:spacing w:after="0" w:line="240" w:lineRule="auto"/>
              <w:jc w:val="right"/>
              <w:rPr>
                <w:rFonts w:ascii="Arial Narrow" w:hAnsi="Arial Narrow"/>
                <w:b/>
                <w:sz w:val="20"/>
              </w:rPr>
            </w:pPr>
            <w:r w:rsidRPr="00386411">
              <w:rPr>
                <w:rFonts w:ascii="Arial Narrow" w:hAnsi="Arial Narrow"/>
                <w:b/>
                <w:sz w:val="20"/>
              </w:rPr>
              <w:t>No IVIg (n=57)</w:t>
            </w:r>
          </w:p>
        </w:tc>
        <w:tc>
          <w:tcPr>
            <w:tcW w:w="676" w:type="pct"/>
            <w:gridSpan w:val="2"/>
            <w:tcBorders>
              <w:top w:val="single" w:sz="4" w:space="0" w:color="auto"/>
              <w:left w:val="nil"/>
              <w:bottom w:val="single" w:sz="4" w:space="0" w:color="auto"/>
              <w:right w:val="single" w:sz="4" w:space="0" w:color="auto"/>
            </w:tcBorders>
            <w:shd w:val="clear" w:color="auto" w:fill="D9D9D9" w:themeFill="background1" w:themeFillShade="D9"/>
          </w:tcPr>
          <w:p w14:paraId="19ED583B" w14:textId="77777777" w:rsidR="00586D5D" w:rsidRPr="00386411" w:rsidRDefault="00586D5D" w:rsidP="00586D5D">
            <w:pPr>
              <w:spacing w:after="0" w:line="240" w:lineRule="auto"/>
              <w:jc w:val="right"/>
              <w:rPr>
                <w:rFonts w:ascii="Arial Narrow" w:hAnsi="Arial Narrow"/>
                <w:b/>
                <w:sz w:val="20"/>
                <w:szCs w:val="20"/>
              </w:rPr>
            </w:pPr>
            <w:r w:rsidRPr="00386411">
              <w:rPr>
                <w:rFonts w:ascii="Arial Narrow" w:hAnsi="Arial Narrow"/>
                <w:b/>
                <w:sz w:val="20"/>
              </w:rPr>
              <w:t xml:space="preserve">Relative risk for IVIg pts </w:t>
            </w:r>
          </w:p>
        </w:tc>
      </w:tr>
      <w:tr w:rsidR="00586D5D" w:rsidRPr="007D0AA8" w14:paraId="2B9F202D" w14:textId="77777777" w:rsidTr="00B52A4F">
        <w:tc>
          <w:tcPr>
            <w:tcW w:w="690" w:type="pct"/>
            <w:tcBorders>
              <w:top w:val="single" w:sz="4" w:space="0" w:color="auto"/>
              <w:left w:val="single" w:sz="4" w:space="0" w:color="auto"/>
              <w:bottom w:val="nil"/>
              <w:right w:val="single" w:sz="4" w:space="0" w:color="auto"/>
            </w:tcBorders>
          </w:tcPr>
          <w:p w14:paraId="6668A16C" w14:textId="6F13DFF7" w:rsidR="00586D5D" w:rsidRPr="007D0AA8" w:rsidRDefault="00AA3BD6" w:rsidP="00E66904">
            <w:pPr>
              <w:spacing w:after="0" w:line="240" w:lineRule="auto"/>
              <w:ind w:right="-108"/>
              <w:rPr>
                <w:rFonts w:ascii="Arial Narrow" w:hAnsi="Arial Narrow" w:cs="Calibri"/>
                <w:color w:val="000000"/>
                <w:sz w:val="20"/>
                <w:szCs w:val="20"/>
              </w:rPr>
            </w:pPr>
            <w:r w:rsidRPr="007D0AA8">
              <w:rPr>
                <w:rFonts w:ascii="Arial Narrow" w:hAnsi="Arial Narrow" w:cs="Calibri"/>
                <w:color w:val="000000"/>
                <w:sz w:val="20"/>
                <w:szCs w:val="20"/>
              </w:rPr>
              <w:t>Various*</w:t>
            </w:r>
          </w:p>
        </w:tc>
        <w:tc>
          <w:tcPr>
            <w:tcW w:w="1457" w:type="pct"/>
            <w:tcBorders>
              <w:top w:val="single" w:sz="4" w:space="0" w:color="auto"/>
              <w:left w:val="single" w:sz="4" w:space="0" w:color="auto"/>
              <w:bottom w:val="nil"/>
              <w:right w:val="single" w:sz="4" w:space="0" w:color="auto"/>
            </w:tcBorders>
            <w:shd w:val="clear" w:color="auto" w:fill="auto"/>
          </w:tcPr>
          <w:p w14:paraId="57058818" w14:textId="77777777" w:rsidR="00586D5D" w:rsidRPr="007D0AA8" w:rsidRDefault="00586D5D" w:rsidP="00586D5D">
            <w:pPr>
              <w:spacing w:after="0" w:line="240" w:lineRule="auto"/>
              <w:rPr>
                <w:rFonts w:ascii="Arial Narrow" w:hAnsi="Arial Narrow"/>
                <w:sz w:val="20"/>
              </w:rPr>
            </w:pPr>
            <w:r w:rsidRPr="007D0AA8">
              <w:rPr>
                <w:rFonts w:ascii="Arial Narrow" w:hAnsi="Arial Narrow"/>
                <w:sz w:val="20"/>
                <w:u w:val="single"/>
              </w:rPr>
              <w:t>Prior</w:t>
            </w:r>
            <w:r w:rsidRPr="007D0AA8">
              <w:rPr>
                <w:rFonts w:ascii="Arial Narrow" w:hAnsi="Arial Narrow"/>
                <w:sz w:val="20"/>
              </w:rPr>
              <w:t xml:space="preserve"> to study</w:t>
            </w:r>
          </w:p>
        </w:tc>
        <w:tc>
          <w:tcPr>
            <w:tcW w:w="1131" w:type="pct"/>
            <w:gridSpan w:val="2"/>
            <w:tcBorders>
              <w:top w:val="single" w:sz="4" w:space="0" w:color="auto"/>
              <w:left w:val="single" w:sz="4" w:space="0" w:color="auto"/>
              <w:bottom w:val="nil"/>
              <w:right w:val="nil"/>
            </w:tcBorders>
            <w:shd w:val="clear" w:color="auto" w:fill="auto"/>
            <w:noWrap/>
          </w:tcPr>
          <w:p w14:paraId="0A42F516" w14:textId="77777777" w:rsidR="00586D5D" w:rsidRPr="007D0AA8" w:rsidRDefault="00586D5D" w:rsidP="00586D5D">
            <w:pPr>
              <w:spacing w:after="0" w:line="240" w:lineRule="auto"/>
              <w:jc w:val="right"/>
              <w:rPr>
                <w:rFonts w:ascii="Arial Narrow" w:hAnsi="Arial Narrow" w:cs="Calibri"/>
                <w:sz w:val="20"/>
              </w:rPr>
            </w:pPr>
            <w:r w:rsidRPr="007D0AA8">
              <w:rPr>
                <w:rFonts w:ascii="Arial Narrow" w:hAnsi="Arial Narrow"/>
                <w:sz w:val="20"/>
              </w:rPr>
              <w:t>0.43 (0.29–0.63)</w:t>
            </w:r>
          </w:p>
        </w:tc>
        <w:tc>
          <w:tcPr>
            <w:tcW w:w="1046" w:type="pct"/>
            <w:tcBorders>
              <w:top w:val="single" w:sz="4" w:space="0" w:color="auto"/>
              <w:left w:val="nil"/>
              <w:bottom w:val="nil"/>
              <w:right w:val="nil"/>
            </w:tcBorders>
            <w:shd w:val="clear" w:color="auto" w:fill="auto"/>
            <w:noWrap/>
          </w:tcPr>
          <w:p w14:paraId="45C103D7" w14:textId="77777777" w:rsidR="00586D5D" w:rsidRPr="007D0AA8" w:rsidRDefault="00586D5D" w:rsidP="00586D5D">
            <w:pPr>
              <w:spacing w:after="0" w:line="240" w:lineRule="auto"/>
              <w:jc w:val="right"/>
              <w:rPr>
                <w:rFonts w:ascii="Arial Narrow" w:hAnsi="Arial Narrow"/>
                <w:sz w:val="20"/>
              </w:rPr>
            </w:pPr>
            <w:r w:rsidRPr="007D0AA8">
              <w:rPr>
                <w:rFonts w:ascii="Arial Narrow" w:hAnsi="Arial Narrow"/>
                <w:sz w:val="20"/>
              </w:rPr>
              <w:t>0.08 (0.05–0.13)</w:t>
            </w:r>
          </w:p>
        </w:tc>
        <w:tc>
          <w:tcPr>
            <w:tcW w:w="676" w:type="pct"/>
            <w:gridSpan w:val="2"/>
            <w:tcBorders>
              <w:top w:val="single" w:sz="4" w:space="0" w:color="auto"/>
              <w:left w:val="nil"/>
              <w:bottom w:val="nil"/>
              <w:right w:val="single" w:sz="4" w:space="0" w:color="auto"/>
            </w:tcBorders>
          </w:tcPr>
          <w:p w14:paraId="18BD2773" w14:textId="3A91FBD8" w:rsidR="00586D5D" w:rsidRPr="007D0AA8" w:rsidRDefault="00586D5D" w:rsidP="00586D5D">
            <w:pPr>
              <w:spacing w:after="0" w:line="240" w:lineRule="auto"/>
              <w:jc w:val="right"/>
              <w:rPr>
                <w:rFonts w:ascii="Arial Narrow" w:hAnsi="Arial Narrow"/>
                <w:sz w:val="20"/>
                <w:szCs w:val="20"/>
              </w:rPr>
            </w:pPr>
            <w:r w:rsidRPr="007D0AA8">
              <w:rPr>
                <w:rFonts w:ascii="Arial Narrow" w:hAnsi="Arial Narrow"/>
                <w:sz w:val="20"/>
              </w:rPr>
              <w:t>5.5 (</w:t>
            </w:r>
            <w:r w:rsidR="00E1076E" w:rsidRPr="007D0AA8">
              <w:rPr>
                <w:rFonts w:ascii="Arial Narrow" w:hAnsi="Arial Narrow"/>
                <w:sz w:val="20"/>
              </w:rPr>
              <w:t xml:space="preserve">95% CI </w:t>
            </w:r>
            <w:r w:rsidRPr="007D0AA8">
              <w:rPr>
                <w:rFonts w:ascii="Arial Narrow" w:hAnsi="Arial Narrow"/>
                <w:sz w:val="20"/>
              </w:rPr>
              <w:t>3.0–10)</w:t>
            </w:r>
          </w:p>
        </w:tc>
      </w:tr>
      <w:tr w:rsidR="00586D5D" w:rsidRPr="00E577CD" w14:paraId="0D241EB0" w14:textId="77777777" w:rsidTr="00B52A4F">
        <w:tc>
          <w:tcPr>
            <w:tcW w:w="690" w:type="pct"/>
            <w:tcBorders>
              <w:top w:val="nil"/>
              <w:left w:val="single" w:sz="4" w:space="0" w:color="auto"/>
              <w:bottom w:val="nil"/>
              <w:right w:val="single" w:sz="4" w:space="0" w:color="auto"/>
            </w:tcBorders>
          </w:tcPr>
          <w:p w14:paraId="12A21712" w14:textId="77777777" w:rsidR="00586D5D" w:rsidRPr="00E577CD" w:rsidRDefault="00586D5D" w:rsidP="00586D5D">
            <w:pPr>
              <w:spacing w:after="0" w:line="240" w:lineRule="auto"/>
              <w:rPr>
                <w:rFonts w:ascii="Arial Narrow" w:hAnsi="Arial Narrow" w:cs="Calibri"/>
                <w:i/>
                <w:color w:val="000000"/>
                <w:sz w:val="20"/>
                <w:szCs w:val="20"/>
              </w:rPr>
            </w:pPr>
          </w:p>
        </w:tc>
        <w:tc>
          <w:tcPr>
            <w:tcW w:w="1457" w:type="pct"/>
            <w:tcBorders>
              <w:top w:val="nil"/>
              <w:left w:val="single" w:sz="4" w:space="0" w:color="auto"/>
              <w:bottom w:val="nil"/>
              <w:right w:val="single" w:sz="4" w:space="0" w:color="auto"/>
            </w:tcBorders>
            <w:shd w:val="clear" w:color="auto" w:fill="auto"/>
          </w:tcPr>
          <w:p w14:paraId="6F5BD445" w14:textId="6C2C5971" w:rsidR="00586D5D" w:rsidRPr="00E577CD" w:rsidRDefault="00E577CD" w:rsidP="00586D5D">
            <w:pPr>
              <w:spacing w:after="0" w:line="240" w:lineRule="auto"/>
              <w:rPr>
                <w:rFonts w:ascii="Arial Narrow" w:hAnsi="Arial Narrow"/>
                <w:i/>
                <w:sz w:val="20"/>
              </w:rPr>
            </w:pPr>
            <w:r w:rsidRPr="00E577CD">
              <w:rPr>
                <w:rFonts w:ascii="Arial Narrow" w:hAnsi="Arial Narrow"/>
                <w:i/>
                <w:sz w:val="20"/>
              </w:rPr>
              <w:t>Inferred mean # hospitalisations</w:t>
            </w:r>
          </w:p>
        </w:tc>
        <w:tc>
          <w:tcPr>
            <w:tcW w:w="1131" w:type="pct"/>
            <w:gridSpan w:val="2"/>
            <w:tcBorders>
              <w:top w:val="nil"/>
              <w:left w:val="single" w:sz="4" w:space="0" w:color="auto"/>
              <w:bottom w:val="nil"/>
              <w:right w:val="nil"/>
            </w:tcBorders>
            <w:shd w:val="clear" w:color="auto" w:fill="auto"/>
            <w:noWrap/>
          </w:tcPr>
          <w:p w14:paraId="30EB46E4" w14:textId="7C7030B2" w:rsidR="00586D5D" w:rsidRPr="00E577CD" w:rsidRDefault="00E577CD" w:rsidP="00586D5D">
            <w:pPr>
              <w:spacing w:after="0" w:line="240" w:lineRule="auto"/>
              <w:jc w:val="right"/>
              <w:rPr>
                <w:rFonts w:ascii="Arial Narrow" w:hAnsi="Arial Narrow" w:cs="Calibri"/>
                <w:i/>
                <w:sz w:val="20"/>
              </w:rPr>
            </w:pPr>
            <w:r w:rsidRPr="00E577CD">
              <w:rPr>
                <w:rFonts w:ascii="Arial Narrow" w:hAnsi="Arial Narrow" w:cs="Calibri"/>
                <w:i/>
                <w:sz w:val="20"/>
              </w:rPr>
              <w:t>15.1</w:t>
            </w:r>
          </w:p>
        </w:tc>
        <w:tc>
          <w:tcPr>
            <w:tcW w:w="1046" w:type="pct"/>
            <w:tcBorders>
              <w:top w:val="nil"/>
              <w:left w:val="nil"/>
              <w:bottom w:val="nil"/>
              <w:right w:val="nil"/>
            </w:tcBorders>
            <w:shd w:val="clear" w:color="auto" w:fill="auto"/>
            <w:noWrap/>
          </w:tcPr>
          <w:p w14:paraId="4D0B5AFD" w14:textId="77090530" w:rsidR="00586D5D" w:rsidRPr="00E577CD" w:rsidRDefault="00E577CD" w:rsidP="00586D5D">
            <w:pPr>
              <w:spacing w:after="0" w:line="240" w:lineRule="auto"/>
              <w:jc w:val="right"/>
              <w:rPr>
                <w:rFonts w:ascii="Arial Narrow" w:hAnsi="Arial Narrow"/>
                <w:i/>
                <w:sz w:val="20"/>
              </w:rPr>
            </w:pPr>
            <w:r w:rsidRPr="00E577CD">
              <w:rPr>
                <w:rFonts w:ascii="Arial Narrow" w:hAnsi="Arial Narrow"/>
                <w:i/>
                <w:sz w:val="20"/>
              </w:rPr>
              <w:t>4.6</w:t>
            </w:r>
          </w:p>
        </w:tc>
        <w:tc>
          <w:tcPr>
            <w:tcW w:w="676" w:type="pct"/>
            <w:gridSpan w:val="2"/>
            <w:tcBorders>
              <w:top w:val="nil"/>
              <w:left w:val="nil"/>
              <w:bottom w:val="nil"/>
              <w:right w:val="single" w:sz="4" w:space="0" w:color="auto"/>
            </w:tcBorders>
          </w:tcPr>
          <w:p w14:paraId="47AE84A9" w14:textId="77777777" w:rsidR="00586D5D" w:rsidRPr="00E577CD" w:rsidRDefault="00586D5D" w:rsidP="00586D5D">
            <w:pPr>
              <w:spacing w:after="0" w:line="240" w:lineRule="auto"/>
              <w:jc w:val="right"/>
              <w:rPr>
                <w:rFonts w:ascii="Arial Narrow" w:hAnsi="Arial Narrow"/>
                <w:i/>
                <w:sz w:val="20"/>
                <w:szCs w:val="20"/>
              </w:rPr>
            </w:pPr>
          </w:p>
        </w:tc>
      </w:tr>
      <w:tr w:rsidR="00E577CD" w:rsidRPr="007D0AA8" w14:paraId="15836466" w14:textId="77777777" w:rsidTr="00B52A4F">
        <w:tc>
          <w:tcPr>
            <w:tcW w:w="690" w:type="pct"/>
            <w:tcBorders>
              <w:top w:val="nil"/>
              <w:left w:val="single" w:sz="4" w:space="0" w:color="auto"/>
              <w:bottom w:val="nil"/>
              <w:right w:val="single" w:sz="4" w:space="0" w:color="auto"/>
            </w:tcBorders>
          </w:tcPr>
          <w:p w14:paraId="14A68BC4" w14:textId="77777777" w:rsidR="00E577CD" w:rsidRPr="007D0AA8" w:rsidRDefault="00E577CD" w:rsidP="00E577CD">
            <w:pPr>
              <w:spacing w:after="0" w:line="240" w:lineRule="auto"/>
              <w:rPr>
                <w:rFonts w:ascii="Arial Narrow" w:hAnsi="Arial Narrow" w:cs="Calibri"/>
                <w:color w:val="000000"/>
                <w:sz w:val="20"/>
                <w:szCs w:val="20"/>
              </w:rPr>
            </w:pPr>
          </w:p>
        </w:tc>
        <w:tc>
          <w:tcPr>
            <w:tcW w:w="1457" w:type="pct"/>
            <w:tcBorders>
              <w:top w:val="nil"/>
              <w:left w:val="single" w:sz="4" w:space="0" w:color="auto"/>
              <w:bottom w:val="nil"/>
              <w:right w:val="single" w:sz="4" w:space="0" w:color="auto"/>
            </w:tcBorders>
            <w:shd w:val="clear" w:color="auto" w:fill="auto"/>
          </w:tcPr>
          <w:p w14:paraId="544C9307" w14:textId="08D6FF82" w:rsidR="00E577CD" w:rsidRPr="007D0AA8" w:rsidRDefault="00E577CD" w:rsidP="00E577CD">
            <w:pPr>
              <w:spacing w:after="0" w:line="240" w:lineRule="auto"/>
              <w:rPr>
                <w:rFonts w:ascii="Arial Narrow" w:hAnsi="Arial Narrow"/>
                <w:sz w:val="20"/>
                <w:u w:val="single"/>
              </w:rPr>
            </w:pPr>
            <w:r w:rsidRPr="007D0AA8">
              <w:rPr>
                <w:rFonts w:ascii="Arial Narrow" w:hAnsi="Arial Narrow"/>
                <w:sz w:val="20"/>
                <w:u w:val="single"/>
              </w:rPr>
              <w:t>During</w:t>
            </w:r>
            <w:r w:rsidRPr="007D0AA8">
              <w:rPr>
                <w:rFonts w:ascii="Arial Narrow" w:hAnsi="Arial Narrow"/>
                <w:sz w:val="20"/>
              </w:rPr>
              <w:t xml:space="preserve"> study</w:t>
            </w:r>
          </w:p>
        </w:tc>
        <w:tc>
          <w:tcPr>
            <w:tcW w:w="1131" w:type="pct"/>
            <w:gridSpan w:val="2"/>
            <w:tcBorders>
              <w:top w:val="nil"/>
              <w:left w:val="single" w:sz="4" w:space="0" w:color="auto"/>
              <w:bottom w:val="nil"/>
              <w:right w:val="nil"/>
            </w:tcBorders>
            <w:shd w:val="clear" w:color="auto" w:fill="auto"/>
            <w:noWrap/>
          </w:tcPr>
          <w:p w14:paraId="18B14F8F" w14:textId="3B14E569" w:rsidR="00E577CD" w:rsidRPr="007D0AA8" w:rsidRDefault="00E577CD" w:rsidP="00E577CD">
            <w:pPr>
              <w:spacing w:after="0" w:line="240" w:lineRule="auto"/>
              <w:jc w:val="right"/>
              <w:rPr>
                <w:rFonts w:ascii="Arial Narrow" w:hAnsi="Arial Narrow"/>
                <w:sz w:val="20"/>
              </w:rPr>
            </w:pPr>
            <w:r w:rsidRPr="007D0AA8">
              <w:rPr>
                <w:rFonts w:ascii="Arial Narrow" w:hAnsi="Arial Narrow"/>
                <w:sz w:val="20"/>
              </w:rPr>
              <w:t>0.14 (0.08–0.23)</w:t>
            </w:r>
          </w:p>
        </w:tc>
        <w:tc>
          <w:tcPr>
            <w:tcW w:w="1046" w:type="pct"/>
            <w:tcBorders>
              <w:top w:val="nil"/>
              <w:left w:val="nil"/>
              <w:bottom w:val="nil"/>
              <w:right w:val="nil"/>
            </w:tcBorders>
            <w:shd w:val="clear" w:color="auto" w:fill="auto"/>
            <w:noWrap/>
          </w:tcPr>
          <w:p w14:paraId="6545D685" w14:textId="2BB1B60D" w:rsidR="00E577CD" w:rsidRPr="007D0AA8" w:rsidRDefault="00E577CD" w:rsidP="00E577CD">
            <w:pPr>
              <w:spacing w:after="0" w:line="240" w:lineRule="auto"/>
              <w:jc w:val="right"/>
              <w:rPr>
                <w:rFonts w:ascii="Arial Narrow" w:hAnsi="Arial Narrow"/>
                <w:sz w:val="20"/>
              </w:rPr>
            </w:pPr>
            <w:r w:rsidRPr="007D0AA8">
              <w:rPr>
                <w:rFonts w:ascii="Arial Narrow" w:hAnsi="Arial Narrow"/>
                <w:sz w:val="20"/>
              </w:rPr>
              <w:t>(unchanged)</w:t>
            </w:r>
          </w:p>
        </w:tc>
        <w:tc>
          <w:tcPr>
            <w:tcW w:w="676" w:type="pct"/>
            <w:gridSpan w:val="2"/>
            <w:tcBorders>
              <w:top w:val="nil"/>
              <w:left w:val="nil"/>
              <w:bottom w:val="nil"/>
              <w:right w:val="single" w:sz="4" w:space="0" w:color="auto"/>
            </w:tcBorders>
          </w:tcPr>
          <w:p w14:paraId="4343A7A6" w14:textId="77777777" w:rsidR="00E577CD" w:rsidRPr="007D0AA8" w:rsidRDefault="00E577CD" w:rsidP="00E577CD">
            <w:pPr>
              <w:spacing w:after="0" w:line="240" w:lineRule="auto"/>
              <w:jc w:val="right"/>
              <w:rPr>
                <w:rFonts w:ascii="Arial Narrow" w:hAnsi="Arial Narrow"/>
                <w:sz w:val="20"/>
                <w:szCs w:val="20"/>
              </w:rPr>
            </w:pPr>
          </w:p>
        </w:tc>
      </w:tr>
      <w:tr w:rsidR="00E577CD" w:rsidRPr="007D0AA8" w14:paraId="0AC581DB" w14:textId="77777777" w:rsidTr="00B52A4F">
        <w:tc>
          <w:tcPr>
            <w:tcW w:w="690" w:type="pct"/>
            <w:tcBorders>
              <w:top w:val="nil"/>
              <w:left w:val="single" w:sz="4" w:space="0" w:color="auto"/>
              <w:bottom w:val="nil"/>
              <w:right w:val="single" w:sz="4" w:space="0" w:color="auto"/>
            </w:tcBorders>
          </w:tcPr>
          <w:p w14:paraId="3DBA10DE" w14:textId="77777777" w:rsidR="00E577CD" w:rsidRPr="007D0AA8" w:rsidRDefault="00E577CD" w:rsidP="00E577CD">
            <w:pPr>
              <w:spacing w:after="0" w:line="240" w:lineRule="auto"/>
              <w:rPr>
                <w:rFonts w:ascii="Arial Narrow" w:hAnsi="Arial Narrow" w:cs="Calibri"/>
                <w:color w:val="000000"/>
                <w:sz w:val="20"/>
                <w:szCs w:val="20"/>
              </w:rPr>
            </w:pPr>
          </w:p>
        </w:tc>
        <w:tc>
          <w:tcPr>
            <w:tcW w:w="1457" w:type="pct"/>
            <w:tcBorders>
              <w:top w:val="nil"/>
              <w:left w:val="single" w:sz="4" w:space="0" w:color="auto"/>
              <w:bottom w:val="nil"/>
              <w:right w:val="single" w:sz="4" w:space="0" w:color="auto"/>
            </w:tcBorders>
            <w:shd w:val="clear" w:color="auto" w:fill="auto"/>
          </w:tcPr>
          <w:p w14:paraId="2625E0B4" w14:textId="77777777" w:rsidR="00E577CD" w:rsidRPr="007D0AA8" w:rsidRDefault="00E577CD" w:rsidP="00E577CD">
            <w:pPr>
              <w:spacing w:after="0" w:line="240" w:lineRule="auto"/>
              <w:rPr>
                <w:rFonts w:ascii="Arial Narrow" w:hAnsi="Arial Narrow"/>
                <w:sz w:val="20"/>
              </w:rPr>
            </w:pPr>
            <w:r w:rsidRPr="007D0AA8">
              <w:rPr>
                <w:rFonts w:ascii="Arial Narrow" w:hAnsi="Arial Narrow"/>
                <w:i/>
                <w:sz w:val="20"/>
              </w:rPr>
              <w:t>Inferred mean # hospitalisations</w:t>
            </w:r>
          </w:p>
        </w:tc>
        <w:tc>
          <w:tcPr>
            <w:tcW w:w="1131" w:type="pct"/>
            <w:gridSpan w:val="2"/>
            <w:tcBorders>
              <w:top w:val="nil"/>
              <w:left w:val="single" w:sz="4" w:space="0" w:color="auto"/>
              <w:bottom w:val="nil"/>
              <w:right w:val="nil"/>
            </w:tcBorders>
            <w:shd w:val="clear" w:color="auto" w:fill="auto"/>
            <w:noWrap/>
          </w:tcPr>
          <w:p w14:paraId="162A1AE1" w14:textId="77777777" w:rsidR="00E577CD" w:rsidRPr="007D0AA8" w:rsidRDefault="00E577CD" w:rsidP="00E577CD">
            <w:pPr>
              <w:spacing w:after="0" w:line="240" w:lineRule="auto"/>
              <w:jc w:val="right"/>
              <w:rPr>
                <w:rFonts w:ascii="Arial Narrow" w:hAnsi="Arial Narrow"/>
                <w:i/>
                <w:sz w:val="20"/>
              </w:rPr>
            </w:pPr>
            <w:r w:rsidRPr="007D0AA8">
              <w:rPr>
                <w:rFonts w:ascii="Arial Narrow" w:hAnsi="Arial Narrow"/>
                <w:i/>
                <w:sz w:val="20"/>
              </w:rPr>
              <w:t>4.9</w:t>
            </w:r>
          </w:p>
        </w:tc>
        <w:tc>
          <w:tcPr>
            <w:tcW w:w="1046" w:type="pct"/>
            <w:tcBorders>
              <w:top w:val="nil"/>
              <w:left w:val="nil"/>
              <w:bottom w:val="nil"/>
              <w:right w:val="nil"/>
            </w:tcBorders>
            <w:shd w:val="clear" w:color="auto" w:fill="auto"/>
            <w:noWrap/>
          </w:tcPr>
          <w:p w14:paraId="6855FA22" w14:textId="77777777" w:rsidR="00E577CD" w:rsidRPr="007D0AA8" w:rsidRDefault="00E577CD" w:rsidP="00E577CD">
            <w:pPr>
              <w:spacing w:after="0" w:line="240" w:lineRule="auto"/>
              <w:jc w:val="right"/>
              <w:rPr>
                <w:rFonts w:ascii="Arial Narrow" w:hAnsi="Arial Narrow"/>
                <w:sz w:val="20"/>
              </w:rPr>
            </w:pPr>
            <w:r w:rsidRPr="007D0AA8">
              <w:rPr>
                <w:rFonts w:ascii="Arial Narrow" w:hAnsi="Arial Narrow"/>
                <w:sz w:val="20"/>
              </w:rPr>
              <w:t>4.6</w:t>
            </w:r>
          </w:p>
        </w:tc>
        <w:tc>
          <w:tcPr>
            <w:tcW w:w="676" w:type="pct"/>
            <w:gridSpan w:val="2"/>
            <w:tcBorders>
              <w:top w:val="nil"/>
              <w:left w:val="nil"/>
              <w:bottom w:val="nil"/>
              <w:right w:val="single" w:sz="4" w:space="0" w:color="auto"/>
            </w:tcBorders>
          </w:tcPr>
          <w:p w14:paraId="4569E6BC" w14:textId="77777777" w:rsidR="00E577CD" w:rsidRPr="007D0AA8" w:rsidRDefault="00E577CD" w:rsidP="00E577CD">
            <w:pPr>
              <w:spacing w:after="0" w:line="240" w:lineRule="auto"/>
              <w:jc w:val="right"/>
              <w:rPr>
                <w:rFonts w:ascii="Arial Narrow" w:hAnsi="Arial Narrow"/>
                <w:sz w:val="20"/>
                <w:szCs w:val="20"/>
              </w:rPr>
            </w:pPr>
          </w:p>
        </w:tc>
      </w:tr>
      <w:tr w:rsidR="00E577CD" w:rsidRPr="007D0AA8" w14:paraId="4BE5A9EC" w14:textId="77777777" w:rsidTr="00B52A4F">
        <w:tc>
          <w:tcPr>
            <w:tcW w:w="690" w:type="pct"/>
            <w:tcBorders>
              <w:top w:val="nil"/>
              <w:left w:val="single" w:sz="4" w:space="0" w:color="auto"/>
              <w:bottom w:val="nil"/>
              <w:right w:val="single" w:sz="4" w:space="0" w:color="auto"/>
            </w:tcBorders>
          </w:tcPr>
          <w:p w14:paraId="561373F1" w14:textId="77777777" w:rsidR="00E577CD" w:rsidRPr="007D0AA8" w:rsidRDefault="00E577CD" w:rsidP="00E577CD">
            <w:pPr>
              <w:spacing w:after="0" w:line="240" w:lineRule="auto"/>
              <w:rPr>
                <w:rFonts w:ascii="Arial Narrow" w:hAnsi="Arial Narrow" w:cs="Calibri"/>
                <w:color w:val="000000"/>
                <w:sz w:val="20"/>
                <w:szCs w:val="20"/>
              </w:rPr>
            </w:pPr>
          </w:p>
        </w:tc>
        <w:tc>
          <w:tcPr>
            <w:tcW w:w="1457" w:type="pct"/>
            <w:tcBorders>
              <w:top w:val="nil"/>
              <w:left w:val="single" w:sz="4" w:space="0" w:color="auto"/>
              <w:bottom w:val="nil"/>
              <w:right w:val="single" w:sz="4" w:space="0" w:color="auto"/>
            </w:tcBorders>
            <w:shd w:val="clear" w:color="auto" w:fill="auto"/>
          </w:tcPr>
          <w:p w14:paraId="4353C608" w14:textId="22E60ABA" w:rsidR="00E577CD" w:rsidRPr="007D0AA8" w:rsidRDefault="00E577CD" w:rsidP="00E577CD">
            <w:pPr>
              <w:spacing w:after="0" w:line="240" w:lineRule="auto"/>
              <w:rPr>
                <w:rFonts w:ascii="Arial Narrow" w:hAnsi="Arial Narrow"/>
                <w:sz w:val="20"/>
              </w:rPr>
            </w:pPr>
            <w:r w:rsidRPr="007D0AA8">
              <w:rPr>
                <w:rFonts w:ascii="Arial Narrow" w:hAnsi="Arial Narrow"/>
                <w:i/>
                <w:sz w:val="20"/>
              </w:rPr>
              <w:t xml:space="preserve">Rate / patient / month </w:t>
            </w:r>
          </w:p>
        </w:tc>
        <w:tc>
          <w:tcPr>
            <w:tcW w:w="1131" w:type="pct"/>
            <w:gridSpan w:val="2"/>
            <w:tcBorders>
              <w:top w:val="nil"/>
              <w:left w:val="single" w:sz="4" w:space="0" w:color="auto"/>
              <w:bottom w:val="nil"/>
              <w:right w:val="nil"/>
            </w:tcBorders>
            <w:shd w:val="clear" w:color="auto" w:fill="auto"/>
            <w:noWrap/>
          </w:tcPr>
          <w:p w14:paraId="7FE106CE" w14:textId="77777777" w:rsidR="00E577CD" w:rsidRPr="007D0AA8" w:rsidRDefault="00E577CD" w:rsidP="00E577CD">
            <w:pPr>
              <w:spacing w:after="0" w:line="240" w:lineRule="auto"/>
              <w:jc w:val="right"/>
              <w:rPr>
                <w:rFonts w:ascii="Arial Narrow" w:hAnsi="Arial Narrow"/>
                <w:i/>
                <w:sz w:val="20"/>
              </w:rPr>
            </w:pPr>
            <w:r w:rsidRPr="007D0AA8">
              <w:rPr>
                <w:rFonts w:ascii="Arial Narrow" w:hAnsi="Arial Narrow"/>
                <w:i/>
                <w:sz w:val="20"/>
              </w:rPr>
              <w:t>0.012</w:t>
            </w:r>
          </w:p>
        </w:tc>
        <w:tc>
          <w:tcPr>
            <w:tcW w:w="1046" w:type="pct"/>
            <w:tcBorders>
              <w:top w:val="nil"/>
              <w:left w:val="nil"/>
              <w:bottom w:val="nil"/>
              <w:right w:val="nil"/>
            </w:tcBorders>
            <w:shd w:val="clear" w:color="auto" w:fill="auto"/>
            <w:noWrap/>
          </w:tcPr>
          <w:p w14:paraId="76CF0E3C" w14:textId="77777777" w:rsidR="00E577CD" w:rsidRPr="007D0AA8" w:rsidRDefault="00E577CD" w:rsidP="00E577CD">
            <w:pPr>
              <w:spacing w:after="0" w:line="240" w:lineRule="auto"/>
              <w:jc w:val="right"/>
              <w:rPr>
                <w:rFonts w:ascii="Arial Narrow" w:hAnsi="Arial Narrow"/>
                <w:i/>
                <w:sz w:val="20"/>
              </w:rPr>
            </w:pPr>
            <w:r w:rsidRPr="007D0AA8">
              <w:rPr>
                <w:rFonts w:ascii="Arial Narrow" w:hAnsi="Arial Narrow"/>
                <w:i/>
                <w:sz w:val="20"/>
              </w:rPr>
              <w:t>0.007</w:t>
            </w:r>
          </w:p>
        </w:tc>
        <w:tc>
          <w:tcPr>
            <w:tcW w:w="676" w:type="pct"/>
            <w:gridSpan w:val="2"/>
            <w:tcBorders>
              <w:top w:val="nil"/>
              <w:left w:val="nil"/>
              <w:bottom w:val="nil"/>
              <w:right w:val="single" w:sz="4" w:space="0" w:color="auto"/>
            </w:tcBorders>
          </w:tcPr>
          <w:p w14:paraId="00620851" w14:textId="77777777" w:rsidR="00E577CD" w:rsidRPr="007D0AA8" w:rsidRDefault="00E577CD" w:rsidP="00E577CD">
            <w:pPr>
              <w:spacing w:after="0" w:line="240" w:lineRule="auto"/>
              <w:jc w:val="right"/>
              <w:rPr>
                <w:rFonts w:ascii="Arial Narrow" w:hAnsi="Arial Narrow"/>
                <w:sz w:val="20"/>
                <w:szCs w:val="20"/>
              </w:rPr>
            </w:pPr>
          </w:p>
        </w:tc>
      </w:tr>
      <w:tr w:rsidR="00E577CD" w:rsidRPr="007D0AA8" w14:paraId="5C50B88D" w14:textId="77777777" w:rsidTr="00B52A4F">
        <w:tc>
          <w:tcPr>
            <w:tcW w:w="690" w:type="pct"/>
            <w:tcBorders>
              <w:top w:val="nil"/>
              <w:left w:val="single" w:sz="4" w:space="0" w:color="auto"/>
              <w:bottom w:val="nil"/>
              <w:right w:val="single" w:sz="4" w:space="0" w:color="auto"/>
            </w:tcBorders>
          </w:tcPr>
          <w:p w14:paraId="44B499CD" w14:textId="77777777" w:rsidR="00E577CD" w:rsidRPr="007D0AA8" w:rsidRDefault="00E577CD" w:rsidP="00E577CD">
            <w:pPr>
              <w:spacing w:after="0" w:line="240" w:lineRule="auto"/>
              <w:rPr>
                <w:rFonts w:ascii="Arial Narrow" w:hAnsi="Arial Narrow" w:cs="Calibri"/>
                <w:color w:val="000000"/>
                <w:sz w:val="20"/>
                <w:szCs w:val="20"/>
              </w:rPr>
            </w:pPr>
          </w:p>
        </w:tc>
        <w:tc>
          <w:tcPr>
            <w:tcW w:w="1457" w:type="pct"/>
            <w:tcBorders>
              <w:top w:val="nil"/>
              <w:left w:val="single" w:sz="4" w:space="0" w:color="auto"/>
              <w:bottom w:val="single" w:sz="4" w:space="0" w:color="auto"/>
              <w:right w:val="single" w:sz="4" w:space="0" w:color="auto"/>
            </w:tcBorders>
            <w:shd w:val="clear" w:color="auto" w:fill="auto"/>
          </w:tcPr>
          <w:p w14:paraId="5F7D383E" w14:textId="77777777" w:rsidR="00E577CD" w:rsidRPr="007D0AA8" w:rsidRDefault="00E577CD" w:rsidP="00E577CD">
            <w:pPr>
              <w:spacing w:after="0" w:line="240" w:lineRule="auto"/>
              <w:rPr>
                <w:rFonts w:ascii="Arial Narrow" w:hAnsi="Arial Narrow"/>
                <w:sz w:val="20"/>
              </w:rPr>
            </w:pPr>
            <w:r w:rsidRPr="007D0AA8">
              <w:rPr>
                <w:rFonts w:ascii="Arial Narrow" w:hAnsi="Arial Narrow"/>
                <w:sz w:val="20"/>
              </w:rPr>
              <w:t>Relative Risk of hospitalisation prior to IVIg</w:t>
            </w:r>
          </w:p>
        </w:tc>
        <w:tc>
          <w:tcPr>
            <w:tcW w:w="1131" w:type="pct"/>
            <w:gridSpan w:val="2"/>
            <w:tcBorders>
              <w:top w:val="nil"/>
              <w:left w:val="single" w:sz="4" w:space="0" w:color="auto"/>
              <w:bottom w:val="single" w:sz="4" w:space="0" w:color="auto"/>
              <w:right w:val="nil"/>
            </w:tcBorders>
            <w:shd w:val="clear" w:color="auto" w:fill="auto"/>
            <w:noWrap/>
          </w:tcPr>
          <w:p w14:paraId="61E39C81" w14:textId="77777777" w:rsidR="00E577CD" w:rsidRPr="007D0AA8" w:rsidRDefault="00E577CD" w:rsidP="00E577CD">
            <w:pPr>
              <w:spacing w:after="0" w:line="240" w:lineRule="auto"/>
              <w:jc w:val="right"/>
              <w:rPr>
                <w:rFonts w:ascii="Arial Narrow" w:hAnsi="Arial Narrow" w:cs="Calibri"/>
                <w:sz w:val="20"/>
              </w:rPr>
            </w:pPr>
            <w:r w:rsidRPr="007D0AA8">
              <w:rPr>
                <w:rFonts w:ascii="Arial Narrow" w:hAnsi="Arial Narrow"/>
                <w:sz w:val="20"/>
              </w:rPr>
              <w:t>3.1 (1.6–5.9)</w:t>
            </w:r>
          </w:p>
        </w:tc>
        <w:tc>
          <w:tcPr>
            <w:tcW w:w="1046" w:type="pct"/>
            <w:tcBorders>
              <w:top w:val="nil"/>
              <w:left w:val="nil"/>
              <w:bottom w:val="single" w:sz="4" w:space="0" w:color="auto"/>
              <w:right w:val="nil"/>
            </w:tcBorders>
            <w:shd w:val="clear" w:color="auto" w:fill="auto"/>
            <w:noWrap/>
          </w:tcPr>
          <w:p w14:paraId="73F7F5F9" w14:textId="77777777" w:rsidR="00E577CD" w:rsidRPr="007D0AA8" w:rsidRDefault="00E577CD" w:rsidP="00E577CD">
            <w:pPr>
              <w:spacing w:after="0" w:line="240" w:lineRule="auto"/>
              <w:jc w:val="right"/>
              <w:rPr>
                <w:rFonts w:ascii="Arial Narrow" w:hAnsi="Arial Narrow"/>
                <w:sz w:val="20"/>
              </w:rPr>
            </w:pPr>
            <w:r w:rsidRPr="007D0AA8">
              <w:rPr>
                <w:rFonts w:ascii="Arial Narrow" w:hAnsi="Arial Narrow"/>
                <w:sz w:val="20"/>
              </w:rPr>
              <w:t>―</w:t>
            </w:r>
          </w:p>
        </w:tc>
        <w:tc>
          <w:tcPr>
            <w:tcW w:w="676" w:type="pct"/>
            <w:gridSpan w:val="2"/>
            <w:tcBorders>
              <w:top w:val="nil"/>
              <w:left w:val="nil"/>
              <w:bottom w:val="single" w:sz="4" w:space="0" w:color="auto"/>
              <w:right w:val="single" w:sz="4" w:space="0" w:color="auto"/>
            </w:tcBorders>
          </w:tcPr>
          <w:p w14:paraId="0AA44DFE" w14:textId="77777777" w:rsidR="00E577CD" w:rsidRPr="007D0AA8" w:rsidRDefault="00E577CD" w:rsidP="00E577CD">
            <w:pPr>
              <w:spacing w:after="0" w:line="240" w:lineRule="auto"/>
              <w:jc w:val="right"/>
              <w:rPr>
                <w:rFonts w:ascii="Arial Narrow" w:hAnsi="Arial Narrow"/>
                <w:sz w:val="20"/>
                <w:szCs w:val="20"/>
              </w:rPr>
            </w:pPr>
          </w:p>
        </w:tc>
      </w:tr>
      <w:tr w:rsidR="00E577CD" w:rsidRPr="007D0AA8" w14:paraId="5205FAF2" w14:textId="77777777" w:rsidTr="00B52A4F">
        <w:tc>
          <w:tcPr>
            <w:tcW w:w="690" w:type="pct"/>
            <w:tcBorders>
              <w:top w:val="nil"/>
              <w:left w:val="single" w:sz="4" w:space="0" w:color="auto"/>
              <w:bottom w:val="nil"/>
              <w:right w:val="single" w:sz="4" w:space="0" w:color="auto"/>
            </w:tcBorders>
          </w:tcPr>
          <w:p w14:paraId="0B66D535" w14:textId="77777777" w:rsidR="00E577CD" w:rsidRPr="007D0AA8" w:rsidRDefault="00E577CD" w:rsidP="00E577CD">
            <w:pPr>
              <w:spacing w:after="0" w:line="240" w:lineRule="auto"/>
              <w:rPr>
                <w:rFonts w:ascii="Arial Narrow" w:hAnsi="Arial Narrow" w:cs="Calibri"/>
                <w:color w:val="000000"/>
                <w:sz w:val="20"/>
                <w:szCs w:val="20"/>
              </w:rPr>
            </w:pPr>
          </w:p>
        </w:tc>
        <w:tc>
          <w:tcPr>
            <w:tcW w:w="1457" w:type="pct"/>
            <w:tcBorders>
              <w:top w:val="single" w:sz="4" w:space="0" w:color="auto"/>
              <w:left w:val="single" w:sz="4" w:space="0" w:color="auto"/>
              <w:bottom w:val="nil"/>
              <w:right w:val="single" w:sz="4" w:space="0" w:color="auto"/>
            </w:tcBorders>
            <w:shd w:val="clear" w:color="auto" w:fill="auto"/>
          </w:tcPr>
          <w:p w14:paraId="030E086E" w14:textId="77777777" w:rsidR="00E577CD" w:rsidRPr="007D0AA8" w:rsidRDefault="00E577CD" w:rsidP="00E577CD">
            <w:pPr>
              <w:spacing w:after="0" w:line="240" w:lineRule="auto"/>
              <w:rPr>
                <w:rFonts w:ascii="Arial Narrow" w:hAnsi="Arial Narrow"/>
                <w:sz w:val="20"/>
              </w:rPr>
            </w:pPr>
            <w:r w:rsidRPr="007D0AA8">
              <w:rPr>
                <w:rFonts w:ascii="Arial Narrow" w:hAnsi="Arial Narrow"/>
                <w:sz w:val="20"/>
              </w:rPr>
              <w:t>Risk of hospitalisation for infection prior to study, per patient-year (range)</w:t>
            </w:r>
          </w:p>
        </w:tc>
        <w:tc>
          <w:tcPr>
            <w:tcW w:w="1131" w:type="pct"/>
            <w:gridSpan w:val="2"/>
            <w:tcBorders>
              <w:top w:val="single" w:sz="4" w:space="0" w:color="auto"/>
              <w:left w:val="single" w:sz="4" w:space="0" w:color="auto"/>
              <w:bottom w:val="nil"/>
              <w:right w:val="nil"/>
            </w:tcBorders>
            <w:shd w:val="clear" w:color="auto" w:fill="auto"/>
            <w:noWrap/>
          </w:tcPr>
          <w:p w14:paraId="4C6623F3" w14:textId="77777777" w:rsidR="00E577CD" w:rsidRPr="007D0AA8" w:rsidRDefault="00E577CD" w:rsidP="00E577CD">
            <w:pPr>
              <w:spacing w:after="0" w:line="240" w:lineRule="auto"/>
              <w:jc w:val="right"/>
              <w:rPr>
                <w:rFonts w:ascii="Arial Narrow" w:hAnsi="Arial Narrow" w:cs="Calibri"/>
                <w:sz w:val="20"/>
              </w:rPr>
            </w:pPr>
            <w:r w:rsidRPr="007D0AA8">
              <w:rPr>
                <w:rFonts w:ascii="Arial Narrow" w:hAnsi="Arial Narrow"/>
                <w:sz w:val="20"/>
              </w:rPr>
              <w:t>IVIg (n=35)</w:t>
            </w:r>
          </w:p>
        </w:tc>
        <w:tc>
          <w:tcPr>
            <w:tcW w:w="1046" w:type="pct"/>
            <w:tcBorders>
              <w:top w:val="single" w:sz="4" w:space="0" w:color="auto"/>
              <w:left w:val="nil"/>
              <w:bottom w:val="nil"/>
              <w:right w:val="nil"/>
            </w:tcBorders>
            <w:shd w:val="clear" w:color="auto" w:fill="auto"/>
            <w:noWrap/>
          </w:tcPr>
          <w:p w14:paraId="057DFFC5" w14:textId="77777777" w:rsidR="00E577CD" w:rsidRPr="007D0AA8" w:rsidRDefault="00E577CD" w:rsidP="00E577CD">
            <w:pPr>
              <w:spacing w:after="0" w:line="240" w:lineRule="auto"/>
              <w:jc w:val="right"/>
              <w:rPr>
                <w:rFonts w:ascii="Arial Narrow" w:hAnsi="Arial Narrow"/>
                <w:sz w:val="20"/>
              </w:rPr>
            </w:pPr>
            <w:r w:rsidRPr="007D0AA8">
              <w:rPr>
                <w:rFonts w:ascii="Arial Narrow" w:hAnsi="Arial Narrow"/>
                <w:sz w:val="20"/>
              </w:rPr>
              <w:t>No IVIg (n=57)</w:t>
            </w:r>
          </w:p>
        </w:tc>
        <w:tc>
          <w:tcPr>
            <w:tcW w:w="676" w:type="pct"/>
            <w:gridSpan w:val="2"/>
            <w:tcBorders>
              <w:top w:val="single" w:sz="4" w:space="0" w:color="auto"/>
              <w:left w:val="nil"/>
              <w:bottom w:val="nil"/>
              <w:right w:val="single" w:sz="4" w:space="0" w:color="auto"/>
            </w:tcBorders>
          </w:tcPr>
          <w:p w14:paraId="4DC9CE8E" w14:textId="77777777" w:rsidR="00E577CD" w:rsidRPr="007D0AA8" w:rsidRDefault="00E577CD" w:rsidP="00E577CD">
            <w:pPr>
              <w:spacing w:after="0" w:line="240" w:lineRule="auto"/>
              <w:jc w:val="right"/>
              <w:rPr>
                <w:rFonts w:ascii="Arial Narrow" w:hAnsi="Arial Narrow"/>
                <w:sz w:val="20"/>
                <w:szCs w:val="20"/>
              </w:rPr>
            </w:pPr>
            <w:r w:rsidRPr="007D0AA8">
              <w:rPr>
                <w:rFonts w:ascii="Arial Narrow" w:hAnsi="Arial Narrow"/>
                <w:sz w:val="20"/>
                <w:szCs w:val="20"/>
              </w:rPr>
              <w:t>p-value</w:t>
            </w:r>
          </w:p>
        </w:tc>
      </w:tr>
      <w:tr w:rsidR="00E577CD" w:rsidRPr="007D0AA8" w14:paraId="07E10927" w14:textId="77777777" w:rsidTr="00B52A4F">
        <w:tc>
          <w:tcPr>
            <w:tcW w:w="690" w:type="pct"/>
            <w:tcBorders>
              <w:top w:val="nil"/>
              <w:left w:val="single" w:sz="4" w:space="0" w:color="auto"/>
              <w:bottom w:val="nil"/>
              <w:right w:val="single" w:sz="4" w:space="0" w:color="auto"/>
            </w:tcBorders>
          </w:tcPr>
          <w:p w14:paraId="4A78FC31" w14:textId="77777777" w:rsidR="00E577CD" w:rsidRPr="007D0AA8" w:rsidRDefault="00E577CD" w:rsidP="00E577CD">
            <w:pPr>
              <w:spacing w:after="0" w:line="240" w:lineRule="auto"/>
              <w:rPr>
                <w:rFonts w:ascii="Arial Narrow" w:hAnsi="Arial Narrow" w:cs="Calibri"/>
                <w:color w:val="000000"/>
                <w:sz w:val="20"/>
                <w:szCs w:val="20"/>
              </w:rPr>
            </w:pPr>
          </w:p>
        </w:tc>
        <w:tc>
          <w:tcPr>
            <w:tcW w:w="1457" w:type="pct"/>
            <w:tcBorders>
              <w:top w:val="nil"/>
              <w:left w:val="single" w:sz="4" w:space="0" w:color="auto"/>
              <w:bottom w:val="nil"/>
              <w:right w:val="single" w:sz="4" w:space="0" w:color="auto"/>
            </w:tcBorders>
            <w:shd w:val="clear" w:color="auto" w:fill="auto"/>
          </w:tcPr>
          <w:p w14:paraId="1E6FBB52" w14:textId="77777777" w:rsidR="00E577CD" w:rsidRPr="007D0AA8" w:rsidRDefault="00E577CD" w:rsidP="00E577CD">
            <w:pPr>
              <w:spacing w:after="0" w:line="240" w:lineRule="auto"/>
              <w:rPr>
                <w:rFonts w:ascii="Arial Narrow" w:hAnsi="Arial Narrow"/>
                <w:sz w:val="20"/>
              </w:rPr>
            </w:pPr>
            <w:r w:rsidRPr="007D0AA8">
              <w:rPr>
                <w:rFonts w:ascii="Arial Narrow" w:hAnsi="Arial Narrow"/>
                <w:sz w:val="20"/>
              </w:rPr>
              <w:t>IgG &lt;4 g/L</w:t>
            </w:r>
          </w:p>
        </w:tc>
        <w:tc>
          <w:tcPr>
            <w:tcW w:w="1131" w:type="pct"/>
            <w:gridSpan w:val="2"/>
            <w:tcBorders>
              <w:top w:val="nil"/>
              <w:left w:val="single" w:sz="4" w:space="0" w:color="auto"/>
              <w:bottom w:val="nil"/>
              <w:right w:val="nil"/>
            </w:tcBorders>
            <w:shd w:val="clear" w:color="auto" w:fill="auto"/>
            <w:noWrap/>
          </w:tcPr>
          <w:p w14:paraId="3F71F242" w14:textId="77777777" w:rsidR="00E577CD" w:rsidRPr="007D0AA8" w:rsidRDefault="00E577CD" w:rsidP="00E577CD">
            <w:pPr>
              <w:spacing w:after="0" w:line="240" w:lineRule="auto"/>
              <w:jc w:val="right"/>
              <w:rPr>
                <w:rFonts w:ascii="Arial Narrow" w:hAnsi="Arial Narrow" w:cs="Calibri"/>
                <w:sz w:val="20"/>
              </w:rPr>
            </w:pPr>
            <w:r w:rsidRPr="007D0AA8">
              <w:rPr>
                <w:rFonts w:ascii="Arial Narrow" w:hAnsi="Arial Narrow"/>
                <w:sz w:val="20"/>
              </w:rPr>
              <w:t>0.51 (0.27–0.90)</w:t>
            </w:r>
          </w:p>
        </w:tc>
        <w:tc>
          <w:tcPr>
            <w:tcW w:w="1046" w:type="pct"/>
            <w:tcBorders>
              <w:top w:val="nil"/>
              <w:left w:val="nil"/>
              <w:bottom w:val="nil"/>
              <w:right w:val="nil"/>
            </w:tcBorders>
            <w:shd w:val="clear" w:color="auto" w:fill="auto"/>
            <w:noWrap/>
          </w:tcPr>
          <w:p w14:paraId="1167B408" w14:textId="77777777" w:rsidR="00E577CD" w:rsidRPr="007D0AA8" w:rsidRDefault="00E577CD" w:rsidP="00E577CD">
            <w:pPr>
              <w:spacing w:after="0" w:line="240" w:lineRule="auto"/>
              <w:jc w:val="right"/>
              <w:rPr>
                <w:rFonts w:ascii="Arial Narrow" w:hAnsi="Arial Narrow"/>
                <w:sz w:val="20"/>
              </w:rPr>
            </w:pPr>
            <w:r w:rsidRPr="007D0AA8">
              <w:rPr>
                <w:rFonts w:ascii="Arial Narrow" w:hAnsi="Arial Narrow"/>
                <w:sz w:val="20"/>
              </w:rPr>
              <w:t>0.07 (0. 03–0.13)</w:t>
            </w:r>
          </w:p>
        </w:tc>
        <w:tc>
          <w:tcPr>
            <w:tcW w:w="676" w:type="pct"/>
            <w:gridSpan w:val="2"/>
            <w:tcBorders>
              <w:top w:val="nil"/>
              <w:left w:val="nil"/>
              <w:bottom w:val="nil"/>
              <w:right w:val="single" w:sz="4" w:space="0" w:color="auto"/>
            </w:tcBorders>
          </w:tcPr>
          <w:p w14:paraId="52725984" w14:textId="77777777" w:rsidR="00E577CD" w:rsidRPr="007D0AA8" w:rsidRDefault="00E577CD" w:rsidP="00E577CD">
            <w:pPr>
              <w:spacing w:after="0" w:line="240" w:lineRule="auto"/>
              <w:jc w:val="right"/>
              <w:rPr>
                <w:rFonts w:ascii="Arial Narrow" w:hAnsi="Arial Narrow"/>
                <w:sz w:val="20"/>
                <w:szCs w:val="20"/>
              </w:rPr>
            </w:pPr>
            <w:r w:rsidRPr="007D0AA8">
              <w:rPr>
                <w:rFonts w:ascii="Arial Narrow" w:hAnsi="Arial Narrow"/>
                <w:sz w:val="20"/>
              </w:rPr>
              <w:t>p&lt;0.001</w:t>
            </w:r>
          </w:p>
        </w:tc>
      </w:tr>
      <w:tr w:rsidR="00E577CD" w:rsidRPr="007D0AA8" w14:paraId="7FA2F7E9" w14:textId="77777777" w:rsidTr="00B52A4F">
        <w:tc>
          <w:tcPr>
            <w:tcW w:w="690" w:type="pct"/>
            <w:tcBorders>
              <w:top w:val="nil"/>
              <w:left w:val="single" w:sz="4" w:space="0" w:color="auto"/>
              <w:bottom w:val="nil"/>
              <w:right w:val="single" w:sz="4" w:space="0" w:color="auto"/>
            </w:tcBorders>
          </w:tcPr>
          <w:p w14:paraId="5F28DBBB" w14:textId="77777777" w:rsidR="00E577CD" w:rsidRPr="007D0AA8" w:rsidRDefault="00E577CD" w:rsidP="00E577CD">
            <w:pPr>
              <w:spacing w:after="0" w:line="240" w:lineRule="auto"/>
              <w:rPr>
                <w:rFonts w:ascii="Arial Narrow" w:hAnsi="Arial Narrow" w:cs="Calibri"/>
                <w:color w:val="000000"/>
                <w:sz w:val="20"/>
                <w:szCs w:val="20"/>
              </w:rPr>
            </w:pPr>
          </w:p>
        </w:tc>
        <w:tc>
          <w:tcPr>
            <w:tcW w:w="1457" w:type="pct"/>
            <w:tcBorders>
              <w:top w:val="nil"/>
              <w:left w:val="single" w:sz="4" w:space="0" w:color="auto"/>
              <w:bottom w:val="nil"/>
              <w:right w:val="single" w:sz="4" w:space="0" w:color="auto"/>
            </w:tcBorders>
            <w:shd w:val="clear" w:color="auto" w:fill="auto"/>
          </w:tcPr>
          <w:p w14:paraId="3D828879" w14:textId="77777777" w:rsidR="00E577CD" w:rsidRPr="007D0AA8" w:rsidRDefault="00E577CD" w:rsidP="00E577CD">
            <w:pPr>
              <w:spacing w:after="0" w:line="240" w:lineRule="auto"/>
              <w:rPr>
                <w:rFonts w:ascii="Arial Narrow" w:hAnsi="Arial Narrow"/>
                <w:i/>
                <w:sz w:val="20"/>
              </w:rPr>
            </w:pPr>
            <w:r w:rsidRPr="007D0AA8">
              <w:rPr>
                <w:rFonts w:ascii="Arial Narrow" w:hAnsi="Arial Narrow"/>
                <w:i/>
                <w:sz w:val="20"/>
              </w:rPr>
              <w:t>Patients with IgG &lt;4g/L</w:t>
            </w:r>
          </w:p>
        </w:tc>
        <w:tc>
          <w:tcPr>
            <w:tcW w:w="1131" w:type="pct"/>
            <w:gridSpan w:val="2"/>
            <w:tcBorders>
              <w:top w:val="nil"/>
              <w:left w:val="single" w:sz="4" w:space="0" w:color="auto"/>
              <w:bottom w:val="nil"/>
              <w:right w:val="nil"/>
            </w:tcBorders>
            <w:shd w:val="clear" w:color="auto" w:fill="auto"/>
            <w:noWrap/>
          </w:tcPr>
          <w:p w14:paraId="53BA673E" w14:textId="77777777" w:rsidR="00E577CD" w:rsidRPr="007D0AA8" w:rsidRDefault="00E577CD" w:rsidP="00E577CD">
            <w:pPr>
              <w:spacing w:after="0" w:line="240" w:lineRule="auto"/>
              <w:jc w:val="right"/>
              <w:rPr>
                <w:rFonts w:ascii="Arial Narrow" w:hAnsi="Arial Narrow"/>
                <w:i/>
                <w:sz w:val="20"/>
              </w:rPr>
            </w:pPr>
            <w:r w:rsidRPr="007D0AA8">
              <w:rPr>
                <w:rFonts w:ascii="Arial Narrow" w:hAnsi="Arial Narrow"/>
                <w:i/>
                <w:sz w:val="20"/>
              </w:rPr>
              <w:t>27</w:t>
            </w:r>
          </w:p>
        </w:tc>
        <w:tc>
          <w:tcPr>
            <w:tcW w:w="1046" w:type="pct"/>
            <w:tcBorders>
              <w:top w:val="nil"/>
              <w:left w:val="nil"/>
              <w:bottom w:val="nil"/>
              <w:right w:val="nil"/>
            </w:tcBorders>
            <w:shd w:val="clear" w:color="auto" w:fill="auto"/>
            <w:noWrap/>
          </w:tcPr>
          <w:p w14:paraId="311794D5" w14:textId="77777777" w:rsidR="00E577CD" w:rsidRPr="007D0AA8" w:rsidRDefault="00E577CD" w:rsidP="00E577CD">
            <w:pPr>
              <w:spacing w:after="0" w:line="240" w:lineRule="auto"/>
              <w:jc w:val="right"/>
              <w:rPr>
                <w:rFonts w:ascii="Arial Narrow" w:hAnsi="Arial Narrow"/>
                <w:i/>
                <w:sz w:val="20"/>
              </w:rPr>
            </w:pPr>
            <w:r w:rsidRPr="007D0AA8">
              <w:rPr>
                <w:rFonts w:ascii="Arial Narrow" w:hAnsi="Arial Narrow"/>
                <w:i/>
                <w:sz w:val="20"/>
              </w:rPr>
              <w:t>29</w:t>
            </w:r>
          </w:p>
        </w:tc>
        <w:tc>
          <w:tcPr>
            <w:tcW w:w="676" w:type="pct"/>
            <w:gridSpan w:val="2"/>
            <w:tcBorders>
              <w:top w:val="nil"/>
              <w:left w:val="nil"/>
              <w:bottom w:val="nil"/>
              <w:right w:val="single" w:sz="4" w:space="0" w:color="auto"/>
            </w:tcBorders>
          </w:tcPr>
          <w:p w14:paraId="70B58B03" w14:textId="77777777" w:rsidR="00E577CD" w:rsidRPr="007D0AA8" w:rsidRDefault="00E577CD" w:rsidP="00E577CD">
            <w:pPr>
              <w:spacing w:after="0" w:line="240" w:lineRule="auto"/>
              <w:jc w:val="right"/>
              <w:rPr>
                <w:rFonts w:ascii="Arial Narrow" w:hAnsi="Arial Narrow"/>
                <w:sz w:val="20"/>
              </w:rPr>
            </w:pPr>
          </w:p>
        </w:tc>
      </w:tr>
      <w:tr w:rsidR="00E577CD" w:rsidRPr="007D0AA8" w14:paraId="53124A56" w14:textId="77777777" w:rsidTr="00B52A4F">
        <w:tc>
          <w:tcPr>
            <w:tcW w:w="690" w:type="pct"/>
            <w:tcBorders>
              <w:top w:val="nil"/>
              <w:left w:val="single" w:sz="4" w:space="0" w:color="auto"/>
              <w:bottom w:val="nil"/>
              <w:right w:val="single" w:sz="4" w:space="0" w:color="auto"/>
            </w:tcBorders>
          </w:tcPr>
          <w:p w14:paraId="2A0D8F5F" w14:textId="77777777" w:rsidR="00E577CD" w:rsidRPr="007D0AA8" w:rsidRDefault="00E577CD" w:rsidP="00E577CD">
            <w:pPr>
              <w:spacing w:after="0" w:line="240" w:lineRule="auto"/>
              <w:rPr>
                <w:rFonts w:ascii="Arial Narrow" w:hAnsi="Arial Narrow" w:cs="Calibri"/>
                <w:color w:val="000000"/>
                <w:sz w:val="20"/>
                <w:szCs w:val="20"/>
              </w:rPr>
            </w:pPr>
          </w:p>
        </w:tc>
        <w:tc>
          <w:tcPr>
            <w:tcW w:w="1457" w:type="pct"/>
            <w:tcBorders>
              <w:top w:val="nil"/>
              <w:left w:val="single" w:sz="4" w:space="0" w:color="auto"/>
              <w:bottom w:val="nil"/>
              <w:right w:val="single" w:sz="4" w:space="0" w:color="auto"/>
            </w:tcBorders>
            <w:shd w:val="clear" w:color="auto" w:fill="auto"/>
          </w:tcPr>
          <w:p w14:paraId="6541EE60" w14:textId="77777777" w:rsidR="00E577CD" w:rsidRPr="007D0AA8" w:rsidRDefault="00E577CD" w:rsidP="00E577CD">
            <w:pPr>
              <w:spacing w:after="0" w:line="240" w:lineRule="auto"/>
              <w:rPr>
                <w:rFonts w:ascii="Arial Narrow" w:hAnsi="Arial Narrow"/>
                <w:i/>
                <w:sz w:val="20"/>
              </w:rPr>
            </w:pPr>
            <w:r w:rsidRPr="007D0AA8">
              <w:rPr>
                <w:rFonts w:ascii="Arial Narrow" w:hAnsi="Arial Narrow"/>
                <w:i/>
                <w:sz w:val="20"/>
              </w:rPr>
              <w:t>Inferred mean # hospitalisations</w:t>
            </w:r>
          </w:p>
        </w:tc>
        <w:tc>
          <w:tcPr>
            <w:tcW w:w="1131" w:type="pct"/>
            <w:gridSpan w:val="2"/>
            <w:tcBorders>
              <w:top w:val="nil"/>
              <w:left w:val="single" w:sz="4" w:space="0" w:color="auto"/>
              <w:bottom w:val="nil"/>
              <w:right w:val="nil"/>
            </w:tcBorders>
            <w:shd w:val="clear" w:color="auto" w:fill="auto"/>
            <w:noWrap/>
          </w:tcPr>
          <w:p w14:paraId="2D62C1ED" w14:textId="77777777" w:rsidR="00E577CD" w:rsidRPr="007D0AA8" w:rsidRDefault="00E577CD" w:rsidP="00E577CD">
            <w:pPr>
              <w:spacing w:after="0" w:line="240" w:lineRule="auto"/>
              <w:jc w:val="right"/>
              <w:rPr>
                <w:rFonts w:ascii="Arial Narrow" w:hAnsi="Arial Narrow"/>
                <w:i/>
                <w:sz w:val="20"/>
              </w:rPr>
            </w:pPr>
            <w:r w:rsidRPr="007D0AA8">
              <w:rPr>
                <w:rFonts w:ascii="Arial Narrow" w:hAnsi="Arial Narrow"/>
                <w:i/>
                <w:sz w:val="20"/>
              </w:rPr>
              <w:t>13.8</w:t>
            </w:r>
          </w:p>
        </w:tc>
        <w:tc>
          <w:tcPr>
            <w:tcW w:w="1046" w:type="pct"/>
            <w:tcBorders>
              <w:top w:val="nil"/>
              <w:left w:val="nil"/>
              <w:bottom w:val="nil"/>
              <w:right w:val="nil"/>
            </w:tcBorders>
            <w:shd w:val="clear" w:color="auto" w:fill="auto"/>
            <w:noWrap/>
          </w:tcPr>
          <w:p w14:paraId="40B66DE6" w14:textId="77777777" w:rsidR="00E577CD" w:rsidRPr="007D0AA8" w:rsidRDefault="00E577CD" w:rsidP="00E577CD">
            <w:pPr>
              <w:spacing w:after="0" w:line="240" w:lineRule="auto"/>
              <w:jc w:val="right"/>
              <w:rPr>
                <w:rFonts w:ascii="Arial Narrow" w:hAnsi="Arial Narrow"/>
                <w:i/>
                <w:sz w:val="20"/>
              </w:rPr>
            </w:pPr>
            <w:r w:rsidRPr="007D0AA8">
              <w:rPr>
                <w:rFonts w:ascii="Arial Narrow" w:hAnsi="Arial Narrow"/>
                <w:i/>
                <w:sz w:val="20"/>
              </w:rPr>
              <w:t>2.0</w:t>
            </w:r>
          </w:p>
        </w:tc>
        <w:tc>
          <w:tcPr>
            <w:tcW w:w="676" w:type="pct"/>
            <w:gridSpan w:val="2"/>
            <w:tcBorders>
              <w:top w:val="nil"/>
              <w:left w:val="nil"/>
              <w:bottom w:val="nil"/>
              <w:right w:val="single" w:sz="4" w:space="0" w:color="auto"/>
            </w:tcBorders>
          </w:tcPr>
          <w:p w14:paraId="31A2F15D" w14:textId="77777777" w:rsidR="00E577CD" w:rsidRPr="007D0AA8" w:rsidRDefault="00E577CD" w:rsidP="00E577CD">
            <w:pPr>
              <w:spacing w:after="0" w:line="240" w:lineRule="auto"/>
              <w:jc w:val="right"/>
              <w:rPr>
                <w:rFonts w:ascii="Arial Narrow" w:hAnsi="Arial Narrow"/>
                <w:sz w:val="20"/>
              </w:rPr>
            </w:pPr>
          </w:p>
        </w:tc>
      </w:tr>
      <w:tr w:rsidR="00E577CD" w:rsidRPr="007D0AA8" w14:paraId="5A20B4BE" w14:textId="77777777" w:rsidTr="00B52A4F">
        <w:tc>
          <w:tcPr>
            <w:tcW w:w="690" w:type="pct"/>
            <w:tcBorders>
              <w:top w:val="nil"/>
              <w:left w:val="single" w:sz="4" w:space="0" w:color="auto"/>
              <w:bottom w:val="nil"/>
              <w:right w:val="single" w:sz="4" w:space="0" w:color="auto"/>
            </w:tcBorders>
          </w:tcPr>
          <w:p w14:paraId="7FBA9F01" w14:textId="77777777" w:rsidR="00E577CD" w:rsidRPr="007D0AA8" w:rsidRDefault="00E577CD" w:rsidP="00E577CD">
            <w:pPr>
              <w:spacing w:after="0" w:line="240" w:lineRule="auto"/>
              <w:rPr>
                <w:rFonts w:ascii="Arial Narrow" w:hAnsi="Arial Narrow" w:cs="Calibri"/>
                <w:color w:val="000000"/>
                <w:sz w:val="20"/>
                <w:szCs w:val="20"/>
              </w:rPr>
            </w:pPr>
          </w:p>
        </w:tc>
        <w:tc>
          <w:tcPr>
            <w:tcW w:w="1457" w:type="pct"/>
            <w:tcBorders>
              <w:top w:val="nil"/>
              <w:left w:val="single" w:sz="4" w:space="0" w:color="auto"/>
              <w:bottom w:val="nil"/>
              <w:right w:val="single" w:sz="4" w:space="0" w:color="auto"/>
            </w:tcBorders>
            <w:shd w:val="clear" w:color="auto" w:fill="auto"/>
          </w:tcPr>
          <w:p w14:paraId="3572DA6E" w14:textId="5EAFE8F3" w:rsidR="00E577CD" w:rsidRPr="007D0AA8" w:rsidRDefault="00E577CD" w:rsidP="00E577CD">
            <w:pPr>
              <w:spacing w:after="0" w:line="240" w:lineRule="auto"/>
              <w:rPr>
                <w:rFonts w:ascii="Arial Narrow" w:hAnsi="Arial Narrow"/>
                <w:i/>
                <w:sz w:val="20"/>
              </w:rPr>
            </w:pPr>
            <w:r w:rsidRPr="007D0AA8">
              <w:rPr>
                <w:rFonts w:ascii="Arial Narrow" w:hAnsi="Arial Narrow"/>
                <w:i/>
                <w:sz w:val="20"/>
              </w:rPr>
              <w:t xml:space="preserve">Rate / patient / month </w:t>
            </w:r>
          </w:p>
        </w:tc>
        <w:tc>
          <w:tcPr>
            <w:tcW w:w="1131" w:type="pct"/>
            <w:gridSpan w:val="2"/>
            <w:tcBorders>
              <w:top w:val="nil"/>
              <w:left w:val="single" w:sz="4" w:space="0" w:color="auto"/>
              <w:bottom w:val="nil"/>
              <w:right w:val="nil"/>
            </w:tcBorders>
            <w:shd w:val="clear" w:color="auto" w:fill="auto"/>
            <w:noWrap/>
          </w:tcPr>
          <w:p w14:paraId="12328B8D" w14:textId="77777777" w:rsidR="00E577CD" w:rsidRPr="007D0AA8" w:rsidRDefault="00E577CD" w:rsidP="00E577CD">
            <w:pPr>
              <w:spacing w:after="0" w:line="240" w:lineRule="auto"/>
              <w:jc w:val="right"/>
              <w:rPr>
                <w:rFonts w:ascii="Arial Narrow" w:hAnsi="Arial Narrow"/>
                <w:i/>
                <w:sz w:val="20"/>
              </w:rPr>
            </w:pPr>
            <w:r w:rsidRPr="007D0AA8">
              <w:rPr>
                <w:rFonts w:ascii="Arial Narrow" w:hAnsi="Arial Narrow"/>
                <w:i/>
                <w:sz w:val="20"/>
              </w:rPr>
              <w:t>0.043</w:t>
            </w:r>
          </w:p>
        </w:tc>
        <w:tc>
          <w:tcPr>
            <w:tcW w:w="1046" w:type="pct"/>
            <w:tcBorders>
              <w:top w:val="nil"/>
              <w:left w:val="nil"/>
              <w:bottom w:val="nil"/>
              <w:right w:val="nil"/>
            </w:tcBorders>
            <w:shd w:val="clear" w:color="auto" w:fill="auto"/>
            <w:noWrap/>
          </w:tcPr>
          <w:p w14:paraId="38204EAE" w14:textId="77777777" w:rsidR="00E577CD" w:rsidRPr="007D0AA8" w:rsidRDefault="00E577CD" w:rsidP="00E577CD">
            <w:pPr>
              <w:spacing w:after="0" w:line="240" w:lineRule="auto"/>
              <w:jc w:val="right"/>
              <w:rPr>
                <w:rFonts w:ascii="Arial Narrow" w:hAnsi="Arial Narrow"/>
                <w:i/>
                <w:sz w:val="20"/>
              </w:rPr>
            </w:pPr>
            <w:r w:rsidRPr="007D0AA8">
              <w:rPr>
                <w:rFonts w:ascii="Arial Narrow" w:hAnsi="Arial Narrow"/>
                <w:i/>
                <w:sz w:val="20"/>
              </w:rPr>
              <w:t>0.006</w:t>
            </w:r>
          </w:p>
        </w:tc>
        <w:tc>
          <w:tcPr>
            <w:tcW w:w="676" w:type="pct"/>
            <w:gridSpan w:val="2"/>
            <w:tcBorders>
              <w:top w:val="nil"/>
              <w:left w:val="nil"/>
              <w:bottom w:val="nil"/>
              <w:right w:val="single" w:sz="4" w:space="0" w:color="auto"/>
            </w:tcBorders>
          </w:tcPr>
          <w:p w14:paraId="4A77345D" w14:textId="77777777" w:rsidR="00E577CD" w:rsidRPr="007D0AA8" w:rsidRDefault="00E577CD" w:rsidP="00E577CD">
            <w:pPr>
              <w:spacing w:after="0" w:line="240" w:lineRule="auto"/>
              <w:jc w:val="right"/>
              <w:rPr>
                <w:rFonts w:ascii="Arial Narrow" w:hAnsi="Arial Narrow"/>
                <w:sz w:val="20"/>
              </w:rPr>
            </w:pPr>
          </w:p>
        </w:tc>
      </w:tr>
      <w:tr w:rsidR="00E577CD" w:rsidRPr="007D0AA8" w14:paraId="66EF0B49" w14:textId="77777777" w:rsidTr="00B52A4F">
        <w:tc>
          <w:tcPr>
            <w:tcW w:w="690" w:type="pct"/>
            <w:tcBorders>
              <w:top w:val="nil"/>
              <w:left w:val="single" w:sz="4" w:space="0" w:color="auto"/>
              <w:bottom w:val="nil"/>
              <w:right w:val="single" w:sz="4" w:space="0" w:color="auto"/>
            </w:tcBorders>
          </w:tcPr>
          <w:p w14:paraId="33C2B883" w14:textId="77777777" w:rsidR="00E577CD" w:rsidRPr="007D0AA8" w:rsidRDefault="00E577CD" w:rsidP="00E577CD">
            <w:pPr>
              <w:spacing w:after="0" w:line="240" w:lineRule="auto"/>
              <w:rPr>
                <w:rFonts w:ascii="Arial Narrow" w:hAnsi="Arial Narrow" w:cs="Calibri"/>
                <w:color w:val="000000"/>
                <w:sz w:val="20"/>
                <w:szCs w:val="20"/>
              </w:rPr>
            </w:pPr>
          </w:p>
        </w:tc>
        <w:tc>
          <w:tcPr>
            <w:tcW w:w="1457" w:type="pct"/>
            <w:tcBorders>
              <w:top w:val="nil"/>
              <w:left w:val="single" w:sz="4" w:space="0" w:color="auto"/>
              <w:bottom w:val="nil"/>
              <w:right w:val="single" w:sz="4" w:space="0" w:color="auto"/>
            </w:tcBorders>
            <w:shd w:val="clear" w:color="auto" w:fill="auto"/>
          </w:tcPr>
          <w:p w14:paraId="502D4B1C" w14:textId="77777777" w:rsidR="00E577CD" w:rsidRPr="007D0AA8" w:rsidRDefault="00E577CD" w:rsidP="00E577CD">
            <w:pPr>
              <w:spacing w:after="0" w:line="240" w:lineRule="auto"/>
              <w:rPr>
                <w:rFonts w:ascii="Arial Narrow" w:hAnsi="Arial Narrow"/>
                <w:sz w:val="20"/>
              </w:rPr>
            </w:pPr>
            <w:r w:rsidRPr="007D0AA8">
              <w:rPr>
                <w:rFonts w:ascii="Arial Narrow" w:hAnsi="Arial Narrow"/>
                <w:sz w:val="20"/>
              </w:rPr>
              <w:t>IgG ≥4 g/L</w:t>
            </w:r>
          </w:p>
        </w:tc>
        <w:tc>
          <w:tcPr>
            <w:tcW w:w="1131" w:type="pct"/>
            <w:gridSpan w:val="2"/>
            <w:tcBorders>
              <w:top w:val="nil"/>
              <w:left w:val="single" w:sz="4" w:space="0" w:color="auto"/>
              <w:bottom w:val="nil"/>
              <w:right w:val="nil"/>
            </w:tcBorders>
            <w:shd w:val="clear" w:color="auto" w:fill="auto"/>
            <w:noWrap/>
          </w:tcPr>
          <w:p w14:paraId="74A762FC" w14:textId="77777777" w:rsidR="00E577CD" w:rsidRPr="007D0AA8" w:rsidRDefault="00E577CD" w:rsidP="00E577CD">
            <w:pPr>
              <w:spacing w:after="0" w:line="240" w:lineRule="auto"/>
              <w:jc w:val="right"/>
              <w:rPr>
                <w:rFonts w:ascii="Arial Narrow" w:hAnsi="Arial Narrow" w:cs="Calibri"/>
                <w:sz w:val="20"/>
              </w:rPr>
            </w:pPr>
            <w:r w:rsidRPr="007D0AA8">
              <w:rPr>
                <w:rFonts w:ascii="Arial Narrow" w:hAnsi="Arial Narrow"/>
                <w:sz w:val="20"/>
              </w:rPr>
              <w:t>0.40 (0.25–0.59)</w:t>
            </w:r>
          </w:p>
        </w:tc>
        <w:tc>
          <w:tcPr>
            <w:tcW w:w="1046" w:type="pct"/>
            <w:tcBorders>
              <w:top w:val="nil"/>
              <w:left w:val="nil"/>
              <w:bottom w:val="nil"/>
              <w:right w:val="nil"/>
            </w:tcBorders>
            <w:shd w:val="clear" w:color="auto" w:fill="auto"/>
            <w:noWrap/>
          </w:tcPr>
          <w:p w14:paraId="548D5A60" w14:textId="77777777" w:rsidR="00E577CD" w:rsidRPr="007D0AA8" w:rsidRDefault="00E577CD" w:rsidP="00E577CD">
            <w:pPr>
              <w:spacing w:after="0" w:line="240" w:lineRule="auto"/>
              <w:jc w:val="right"/>
              <w:rPr>
                <w:rFonts w:ascii="Arial Narrow" w:hAnsi="Arial Narrow"/>
                <w:sz w:val="20"/>
              </w:rPr>
            </w:pPr>
            <w:r w:rsidRPr="007D0AA8">
              <w:rPr>
                <w:rFonts w:ascii="Arial Narrow" w:hAnsi="Arial Narrow"/>
                <w:sz w:val="20"/>
              </w:rPr>
              <w:t>0.08 (0.04–0.15)</w:t>
            </w:r>
          </w:p>
        </w:tc>
        <w:tc>
          <w:tcPr>
            <w:tcW w:w="676" w:type="pct"/>
            <w:gridSpan w:val="2"/>
            <w:tcBorders>
              <w:top w:val="nil"/>
              <w:left w:val="nil"/>
              <w:bottom w:val="nil"/>
              <w:right w:val="single" w:sz="4" w:space="0" w:color="auto"/>
            </w:tcBorders>
          </w:tcPr>
          <w:p w14:paraId="4DD10664" w14:textId="77777777" w:rsidR="00E577CD" w:rsidRPr="007D0AA8" w:rsidRDefault="00E577CD" w:rsidP="00E577CD">
            <w:pPr>
              <w:spacing w:after="0" w:line="240" w:lineRule="auto"/>
              <w:jc w:val="right"/>
              <w:rPr>
                <w:rFonts w:ascii="Arial Narrow" w:hAnsi="Arial Narrow"/>
                <w:sz w:val="20"/>
                <w:szCs w:val="20"/>
              </w:rPr>
            </w:pPr>
          </w:p>
        </w:tc>
      </w:tr>
      <w:tr w:rsidR="00E577CD" w:rsidRPr="007D0AA8" w14:paraId="75DE1928" w14:textId="77777777" w:rsidTr="00B52A4F">
        <w:tc>
          <w:tcPr>
            <w:tcW w:w="690" w:type="pct"/>
            <w:tcBorders>
              <w:top w:val="nil"/>
              <w:left w:val="single" w:sz="4" w:space="0" w:color="auto"/>
              <w:bottom w:val="nil"/>
              <w:right w:val="single" w:sz="4" w:space="0" w:color="auto"/>
            </w:tcBorders>
          </w:tcPr>
          <w:p w14:paraId="7B90CB01" w14:textId="77777777" w:rsidR="00E577CD" w:rsidRPr="007D0AA8" w:rsidRDefault="00E577CD" w:rsidP="00E577CD">
            <w:pPr>
              <w:spacing w:after="0" w:line="240" w:lineRule="auto"/>
              <w:rPr>
                <w:rFonts w:ascii="Arial Narrow" w:hAnsi="Arial Narrow" w:cs="Calibri"/>
                <w:i/>
                <w:color w:val="000000"/>
                <w:sz w:val="20"/>
                <w:szCs w:val="20"/>
              </w:rPr>
            </w:pPr>
          </w:p>
        </w:tc>
        <w:tc>
          <w:tcPr>
            <w:tcW w:w="1457" w:type="pct"/>
            <w:tcBorders>
              <w:top w:val="nil"/>
              <w:left w:val="single" w:sz="4" w:space="0" w:color="auto"/>
              <w:bottom w:val="nil"/>
              <w:right w:val="single" w:sz="4" w:space="0" w:color="auto"/>
            </w:tcBorders>
            <w:shd w:val="clear" w:color="auto" w:fill="auto"/>
          </w:tcPr>
          <w:p w14:paraId="7CC8DD3F" w14:textId="77777777" w:rsidR="00E577CD" w:rsidRPr="007D0AA8" w:rsidRDefault="00E577CD" w:rsidP="00E577CD">
            <w:pPr>
              <w:spacing w:after="0" w:line="240" w:lineRule="auto"/>
              <w:rPr>
                <w:rFonts w:ascii="Arial Narrow" w:hAnsi="Arial Narrow"/>
                <w:i/>
                <w:sz w:val="20"/>
              </w:rPr>
            </w:pPr>
            <w:r w:rsidRPr="007D0AA8">
              <w:rPr>
                <w:rFonts w:ascii="Arial Narrow" w:hAnsi="Arial Narrow"/>
                <w:i/>
                <w:sz w:val="20"/>
              </w:rPr>
              <w:t>Patients with IgG ≥4g/L</w:t>
            </w:r>
          </w:p>
        </w:tc>
        <w:tc>
          <w:tcPr>
            <w:tcW w:w="1131" w:type="pct"/>
            <w:gridSpan w:val="2"/>
            <w:tcBorders>
              <w:top w:val="nil"/>
              <w:left w:val="single" w:sz="4" w:space="0" w:color="auto"/>
              <w:bottom w:val="nil"/>
              <w:right w:val="nil"/>
            </w:tcBorders>
            <w:shd w:val="clear" w:color="auto" w:fill="auto"/>
            <w:noWrap/>
          </w:tcPr>
          <w:p w14:paraId="40DCABB4" w14:textId="77777777" w:rsidR="00E577CD" w:rsidRPr="007D0AA8" w:rsidRDefault="00E577CD" w:rsidP="00E577CD">
            <w:pPr>
              <w:spacing w:after="0" w:line="240" w:lineRule="auto"/>
              <w:jc w:val="right"/>
              <w:rPr>
                <w:rFonts w:ascii="Arial Narrow" w:hAnsi="Arial Narrow"/>
                <w:i/>
                <w:sz w:val="20"/>
              </w:rPr>
            </w:pPr>
            <w:r w:rsidRPr="007D0AA8">
              <w:rPr>
                <w:rFonts w:ascii="Arial Narrow" w:hAnsi="Arial Narrow"/>
                <w:i/>
                <w:sz w:val="20"/>
              </w:rPr>
              <w:t>8</w:t>
            </w:r>
          </w:p>
        </w:tc>
        <w:tc>
          <w:tcPr>
            <w:tcW w:w="1046" w:type="pct"/>
            <w:tcBorders>
              <w:top w:val="nil"/>
              <w:left w:val="nil"/>
              <w:bottom w:val="nil"/>
              <w:right w:val="nil"/>
            </w:tcBorders>
            <w:shd w:val="clear" w:color="auto" w:fill="auto"/>
            <w:noWrap/>
          </w:tcPr>
          <w:p w14:paraId="6CB3EEEE" w14:textId="77777777" w:rsidR="00E577CD" w:rsidRPr="007D0AA8" w:rsidRDefault="00E577CD" w:rsidP="00E577CD">
            <w:pPr>
              <w:spacing w:after="0" w:line="240" w:lineRule="auto"/>
              <w:jc w:val="right"/>
              <w:rPr>
                <w:rFonts w:ascii="Arial Narrow" w:hAnsi="Arial Narrow"/>
                <w:i/>
                <w:sz w:val="20"/>
              </w:rPr>
            </w:pPr>
            <w:r w:rsidRPr="007D0AA8">
              <w:rPr>
                <w:rFonts w:ascii="Arial Narrow" w:hAnsi="Arial Narrow"/>
                <w:i/>
                <w:sz w:val="20"/>
              </w:rPr>
              <w:t>28</w:t>
            </w:r>
          </w:p>
        </w:tc>
        <w:tc>
          <w:tcPr>
            <w:tcW w:w="676" w:type="pct"/>
            <w:gridSpan w:val="2"/>
            <w:tcBorders>
              <w:top w:val="nil"/>
              <w:left w:val="nil"/>
              <w:bottom w:val="nil"/>
              <w:right w:val="single" w:sz="4" w:space="0" w:color="auto"/>
            </w:tcBorders>
          </w:tcPr>
          <w:p w14:paraId="4DE218CC" w14:textId="77777777" w:rsidR="00E577CD" w:rsidRPr="007D0AA8" w:rsidRDefault="00E577CD" w:rsidP="00E577CD">
            <w:pPr>
              <w:spacing w:after="0" w:line="240" w:lineRule="auto"/>
              <w:jc w:val="right"/>
              <w:rPr>
                <w:rFonts w:ascii="Arial Narrow" w:hAnsi="Arial Narrow"/>
                <w:i/>
                <w:sz w:val="20"/>
                <w:szCs w:val="20"/>
              </w:rPr>
            </w:pPr>
          </w:p>
        </w:tc>
      </w:tr>
      <w:tr w:rsidR="00E577CD" w:rsidRPr="007D0AA8" w14:paraId="2B1B6741" w14:textId="77777777" w:rsidTr="00B52A4F">
        <w:tc>
          <w:tcPr>
            <w:tcW w:w="690" w:type="pct"/>
            <w:tcBorders>
              <w:top w:val="nil"/>
              <w:left w:val="single" w:sz="4" w:space="0" w:color="auto"/>
              <w:bottom w:val="nil"/>
              <w:right w:val="single" w:sz="4" w:space="0" w:color="auto"/>
            </w:tcBorders>
          </w:tcPr>
          <w:p w14:paraId="64780592" w14:textId="77777777" w:rsidR="00E577CD" w:rsidRPr="007D0AA8" w:rsidRDefault="00E577CD" w:rsidP="00E577CD">
            <w:pPr>
              <w:spacing w:after="0" w:line="240" w:lineRule="auto"/>
              <w:rPr>
                <w:rFonts w:ascii="Arial Narrow" w:hAnsi="Arial Narrow" w:cs="Calibri"/>
                <w:i/>
                <w:color w:val="000000"/>
                <w:sz w:val="20"/>
                <w:szCs w:val="20"/>
              </w:rPr>
            </w:pPr>
          </w:p>
        </w:tc>
        <w:tc>
          <w:tcPr>
            <w:tcW w:w="1457" w:type="pct"/>
            <w:tcBorders>
              <w:top w:val="nil"/>
              <w:left w:val="single" w:sz="4" w:space="0" w:color="auto"/>
              <w:bottom w:val="nil"/>
              <w:right w:val="single" w:sz="4" w:space="0" w:color="auto"/>
            </w:tcBorders>
            <w:shd w:val="clear" w:color="auto" w:fill="auto"/>
          </w:tcPr>
          <w:p w14:paraId="6B7A9D8F" w14:textId="77777777" w:rsidR="00E577CD" w:rsidRPr="007D0AA8" w:rsidRDefault="00E577CD" w:rsidP="00E577CD">
            <w:pPr>
              <w:spacing w:after="0" w:line="240" w:lineRule="auto"/>
              <w:rPr>
                <w:rFonts w:ascii="Arial Narrow" w:hAnsi="Arial Narrow"/>
                <w:i/>
                <w:sz w:val="20"/>
              </w:rPr>
            </w:pPr>
            <w:r w:rsidRPr="007D0AA8">
              <w:rPr>
                <w:rFonts w:ascii="Arial Narrow" w:hAnsi="Arial Narrow"/>
                <w:i/>
                <w:sz w:val="20"/>
              </w:rPr>
              <w:t>Inferred mean # hospitalisations</w:t>
            </w:r>
          </w:p>
        </w:tc>
        <w:tc>
          <w:tcPr>
            <w:tcW w:w="1131" w:type="pct"/>
            <w:gridSpan w:val="2"/>
            <w:tcBorders>
              <w:top w:val="nil"/>
              <w:left w:val="single" w:sz="4" w:space="0" w:color="auto"/>
              <w:bottom w:val="nil"/>
              <w:right w:val="nil"/>
            </w:tcBorders>
            <w:shd w:val="clear" w:color="auto" w:fill="auto"/>
            <w:noWrap/>
          </w:tcPr>
          <w:p w14:paraId="59FB69E3" w14:textId="77777777" w:rsidR="00E577CD" w:rsidRPr="007D0AA8" w:rsidRDefault="00E577CD" w:rsidP="00E577CD">
            <w:pPr>
              <w:spacing w:after="0" w:line="240" w:lineRule="auto"/>
              <w:jc w:val="right"/>
              <w:rPr>
                <w:rFonts w:ascii="Arial Narrow" w:hAnsi="Arial Narrow"/>
                <w:i/>
                <w:sz w:val="20"/>
              </w:rPr>
            </w:pPr>
            <w:r w:rsidRPr="007D0AA8">
              <w:rPr>
                <w:rFonts w:ascii="Arial Narrow" w:hAnsi="Arial Narrow"/>
                <w:i/>
                <w:sz w:val="20"/>
              </w:rPr>
              <w:t>3.2</w:t>
            </w:r>
          </w:p>
        </w:tc>
        <w:tc>
          <w:tcPr>
            <w:tcW w:w="1046" w:type="pct"/>
            <w:tcBorders>
              <w:top w:val="nil"/>
              <w:left w:val="nil"/>
              <w:bottom w:val="nil"/>
              <w:right w:val="nil"/>
            </w:tcBorders>
            <w:shd w:val="clear" w:color="auto" w:fill="auto"/>
            <w:noWrap/>
          </w:tcPr>
          <w:p w14:paraId="1D1A1BE2" w14:textId="77777777" w:rsidR="00E577CD" w:rsidRPr="007D0AA8" w:rsidRDefault="00E577CD" w:rsidP="00E577CD">
            <w:pPr>
              <w:spacing w:after="0" w:line="240" w:lineRule="auto"/>
              <w:jc w:val="right"/>
              <w:rPr>
                <w:rFonts w:ascii="Arial Narrow" w:hAnsi="Arial Narrow"/>
                <w:i/>
                <w:sz w:val="20"/>
              </w:rPr>
            </w:pPr>
            <w:r w:rsidRPr="007D0AA8">
              <w:rPr>
                <w:rFonts w:ascii="Arial Narrow" w:hAnsi="Arial Narrow"/>
                <w:i/>
                <w:sz w:val="20"/>
              </w:rPr>
              <w:t>2.2</w:t>
            </w:r>
          </w:p>
        </w:tc>
        <w:tc>
          <w:tcPr>
            <w:tcW w:w="676" w:type="pct"/>
            <w:gridSpan w:val="2"/>
            <w:tcBorders>
              <w:top w:val="nil"/>
              <w:left w:val="nil"/>
              <w:bottom w:val="nil"/>
              <w:right w:val="single" w:sz="4" w:space="0" w:color="auto"/>
            </w:tcBorders>
          </w:tcPr>
          <w:p w14:paraId="0DAC6E98" w14:textId="77777777" w:rsidR="00E577CD" w:rsidRPr="007D0AA8" w:rsidRDefault="00E577CD" w:rsidP="00E577CD">
            <w:pPr>
              <w:spacing w:after="0" w:line="240" w:lineRule="auto"/>
              <w:jc w:val="right"/>
              <w:rPr>
                <w:rFonts w:ascii="Arial Narrow" w:hAnsi="Arial Narrow"/>
                <w:i/>
                <w:sz w:val="20"/>
                <w:szCs w:val="20"/>
              </w:rPr>
            </w:pPr>
          </w:p>
        </w:tc>
      </w:tr>
      <w:tr w:rsidR="00E577CD" w:rsidRPr="007D0AA8" w14:paraId="7D55162A" w14:textId="77777777" w:rsidTr="00B52A4F">
        <w:tc>
          <w:tcPr>
            <w:tcW w:w="690" w:type="pct"/>
            <w:tcBorders>
              <w:top w:val="nil"/>
              <w:left w:val="single" w:sz="4" w:space="0" w:color="auto"/>
              <w:bottom w:val="nil"/>
              <w:right w:val="single" w:sz="4" w:space="0" w:color="auto"/>
            </w:tcBorders>
          </w:tcPr>
          <w:p w14:paraId="5554FEA1" w14:textId="77777777" w:rsidR="00E577CD" w:rsidRPr="007D0AA8" w:rsidRDefault="00E577CD" w:rsidP="00E577CD">
            <w:pPr>
              <w:spacing w:after="0" w:line="240" w:lineRule="auto"/>
              <w:rPr>
                <w:rFonts w:ascii="Arial Narrow" w:hAnsi="Arial Narrow" w:cs="Calibri"/>
                <w:color w:val="000000"/>
                <w:sz w:val="20"/>
                <w:szCs w:val="20"/>
              </w:rPr>
            </w:pPr>
          </w:p>
        </w:tc>
        <w:tc>
          <w:tcPr>
            <w:tcW w:w="1457" w:type="pct"/>
            <w:tcBorders>
              <w:top w:val="nil"/>
              <w:left w:val="single" w:sz="4" w:space="0" w:color="auto"/>
              <w:bottom w:val="nil"/>
              <w:right w:val="single" w:sz="4" w:space="0" w:color="auto"/>
            </w:tcBorders>
            <w:shd w:val="clear" w:color="auto" w:fill="auto"/>
          </w:tcPr>
          <w:p w14:paraId="38B95469" w14:textId="17B4116D" w:rsidR="00E577CD" w:rsidRPr="007D0AA8" w:rsidRDefault="00E577CD" w:rsidP="00E577CD">
            <w:pPr>
              <w:spacing w:after="0" w:line="240" w:lineRule="auto"/>
              <w:rPr>
                <w:rFonts w:ascii="Arial Narrow" w:hAnsi="Arial Narrow"/>
                <w:sz w:val="20"/>
              </w:rPr>
            </w:pPr>
            <w:r w:rsidRPr="007D0AA8">
              <w:rPr>
                <w:rFonts w:ascii="Arial Narrow" w:hAnsi="Arial Narrow"/>
                <w:i/>
                <w:sz w:val="20"/>
              </w:rPr>
              <w:t xml:space="preserve">Crude rate per patient month </w:t>
            </w:r>
          </w:p>
        </w:tc>
        <w:tc>
          <w:tcPr>
            <w:tcW w:w="1131" w:type="pct"/>
            <w:gridSpan w:val="2"/>
            <w:tcBorders>
              <w:top w:val="nil"/>
              <w:left w:val="single" w:sz="4" w:space="0" w:color="auto"/>
              <w:bottom w:val="nil"/>
              <w:right w:val="nil"/>
            </w:tcBorders>
            <w:shd w:val="clear" w:color="auto" w:fill="auto"/>
            <w:noWrap/>
          </w:tcPr>
          <w:p w14:paraId="38E80587" w14:textId="77777777" w:rsidR="00E577CD" w:rsidRPr="007D0AA8" w:rsidRDefault="00E577CD" w:rsidP="00E577CD">
            <w:pPr>
              <w:spacing w:after="0" w:line="240" w:lineRule="auto"/>
              <w:jc w:val="right"/>
              <w:rPr>
                <w:rFonts w:ascii="Arial Narrow" w:hAnsi="Arial Narrow"/>
                <w:i/>
                <w:sz w:val="20"/>
              </w:rPr>
            </w:pPr>
            <w:r w:rsidRPr="007D0AA8">
              <w:rPr>
                <w:rFonts w:ascii="Arial Narrow" w:hAnsi="Arial Narrow"/>
                <w:i/>
                <w:sz w:val="20"/>
              </w:rPr>
              <w:t>0.033</w:t>
            </w:r>
          </w:p>
        </w:tc>
        <w:tc>
          <w:tcPr>
            <w:tcW w:w="1046" w:type="pct"/>
            <w:tcBorders>
              <w:top w:val="nil"/>
              <w:left w:val="nil"/>
              <w:bottom w:val="nil"/>
              <w:right w:val="nil"/>
            </w:tcBorders>
            <w:shd w:val="clear" w:color="auto" w:fill="auto"/>
            <w:noWrap/>
          </w:tcPr>
          <w:p w14:paraId="3828ED87" w14:textId="77777777" w:rsidR="00E577CD" w:rsidRPr="007D0AA8" w:rsidRDefault="00E577CD" w:rsidP="00E577CD">
            <w:pPr>
              <w:spacing w:after="0" w:line="240" w:lineRule="auto"/>
              <w:jc w:val="right"/>
              <w:rPr>
                <w:rFonts w:ascii="Arial Narrow" w:hAnsi="Arial Narrow"/>
                <w:i/>
                <w:sz w:val="20"/>
              </w:rPr>
            </w:pPr>
            <w:r w:rsidRPr="007D0AA8">
              <w:rPr>
                <w:rFonts w:ascii="Arial Narrow" w:hAnsi="Arial Narrow"/>
                <w:i/>
                <w:sz w:val="20"/>
              </w:rPr>
              <w:t>0.007</w:t>
            </w:r>
          </w:p>
        </w:tc>
        <w:tc>
          <w:tcPr>
            <w:tcW w:w="676" w:type="pct"/>
            <w:gridSpan w:val="2"/>
            <w:tcBorders>
              <w:top w:val="nil"/>
              <w:left w:val="nil"/>
              <w:bottom w:val="nil"/>
              <w:right w:val="single" w:sz="4" w:space="0" w:color="auto"/>
            </w:tcBorders>
          </w:tcPr>
          <w:p w14:paraId="152D1396" w14:textId="77777777" w:rsidR="00E577CD" w:rsidRPr="007D0AA8" w:rsidRDefault="00E577CD" w:rsidP="00E577CD">
            <w:pPr>
              <w:spacing w:after="0" w:line="240" w:lineRule="auto"/>
              <w:jc w:val="right"/>
              <w:rPr>
                <w:rFonts w:ascii="Arial Narrow" w:hAnsi="Arial Narrow"/>
                <w:sz w:val="20"/>
                <w:szCs w:val="20"/>
              </w:rPr>
            </w:pPr>
          </w:p>
        </w:tc>
      </w:tr>
      <w:tr w:rsidR="00E577CD" w:rsidRPr="007D0AA8" w14:paraId="2A1E1975" w14:textId="77777777" w:rsidTr="00B52A4F">
        <w:tc>
          <w:tcPr>
            <w:tcW w:w="690" w:type="pct"/>
            <w:tcBorders>
              <w:top w:val="nil"/>
              <w:left w:val="single" w:sz="4" w:space="0" w:color="auto"/>
              <w:bottom w:val="single" w:sz="4" w:space="0" w:color="auto"/>
              <w:right w:val="single" w:sz="4" w:space="0" w:color="auto"/>
            </w:tcBorders>
          </w:tcPr>
          <w:p w14:paraId="44403DB2" w14:textId="77777777" w:rsidR="00E577CD" w:rsidRPr="007D0AA8" w:rsidRDefault="00E577CD" w:rsidP="00E577CD">
            <w:pPr>
              <w:spacing w:after="0" w:line="240" w:lineRule="auto"/>
              <w:rPr>
                <w:rFonts w:ascii="Arial Narrow" w:hAnsi="Arial Narrow" w:cs="Calibri"/>
                <w:color w:val="000000"/>
                <w:sz w:val="20"/>
                <w:szCs w:val="20"/>
              </w:rPr>
            </w:pPr>
          </w:p>
        </w:tc>
        <w:tc>
          <w:tcPr>
            <w:tcW w:w="1457" w:type="pct"/>
            <w:tcBorders>
              <w:top w:val="nil"/>
              <w:left w:val="single" w:sz="4" w:space="0" w:color="auto"/>
              <w:bottom w:val="single" w:sz="4" w:space="0" w:color="auto"/>
              <w:right w:val="single" w:sz="4" w:space="0" w:color="auto"/>
            </w:tcBorders>
            <w:shd w:val="clear" w:color="auto" w:fill="auto"/>
          </w:tcPr>
          <w:p w14:paraId="6F8BB9FE" w14:textId="77777777" w:rsidR="00E577CD" w:rsidRPr="007D0AA8" w:rsidRDefault="00E577CD" w:rsidP="00E577CD">
            <w:pPr>
              <w:spacing w:after="0" w:line="240" w:lineRule="auto"/>
              <w:rPr>
                <w:rFonts w:ascii="Arial Narrow" w:hAnsi="Arial Narrow"/>
                <w:sz w:val="20"/>
              </w:rPr>
            </w:pPr>
            <w:r w:rsidRPr="007D0AA8">
              <w:rPr>
                <w:rFonts w:ascii="Arial Narrow" w:hAnsi="Arial Narrow"/>
                <w:sz w:val="20"/>
                <w:szCs w:val="20"/>
              </w:rPr>
              <w:t>p-value</w:t>
            </w:r>
          </w:p>
        </w:tc>
        <w:tc>
          <w:tcPr>
            <w:tcW w:w="1131" w:type="pct"/>
            <w:gridSpan w:val="2"/>
            <w:tcBorders>
              <w:top w:val="nil"/>
              <w:left w:val="single" w:sz="4" w:space="0" w:color="auto"/>
              <w:bottom w:val="single" w:sz="4" w:space="0" w:color="auto"/>
              <w:right w:val="nil"/>
            </w:tcBorders>
            <w:shd w:val="clear" w:color="auto" w:fill="auto"/>
            <w:noWrap/>
          </w:tcPr>
          <w:p w14:paraId="5E6B276E" w14:textId="77777777" w:rsidR="00E577CD" w:rsidRPr="007D0AA8" w:rsidRDefault="00E577CD" w:rsidP="00E577CD">
            <w:pPr>
              <w:spacing w:after="0" w:line="240" w:lineRule="auto"/>
              <w:jc w:val="right"/>
              <w:rPr>
                <w:rFonts w:ascii="Arial Narrow" w:hAnsi="Arial Narrow" w:cs="Calibri"/>
                <w:sz w:val="20"/>
              </w:rPr>
            </w:pPr>
            <w:r w:rsidRPr="007D0AA8">
              <w:rPr>
                <w:rFonts w:ascii="Arial Narrow" w:hAnsi="Arial Narrow"/>
                <w:sz w:val="20"/>
              </w:rPr>
              <w:t>p&gt;0.05</w:t>
            </w:r>
          </w:p>
        </w:tc>
        <w:tc>
          <w:tcPr>
            <w:tcW w:w="1046" w:type="pct"/>
            <w:tcBorders>
              <w:top w:val="nil"/>
              <w:left w:val="nil"/>
              <w:bottom w:val="single" w:sz="4" w:space="0" w:color="auto"/>
              <w:right w:val="nil"/>
            </w:tcBorders>
            <w:shd w:val="clear" w:color="auto" w:fill="auto"/>
            <w:noWrap/>
          </w:tcPr>
          <w:p w14:paraId="4FD47F00" w14:textId="77777777" w:rsidR="00E577CD" w:rsidRPr="007D0AA8" w:rsidRDefault="00E577CD" w:rsidP="00E577CD">
            <w:pPr>
              <w:spacing w:after="0" w:line="240" w:lineRule="auto"/>
              <w:jc w:val="right"/>
              <w:rPr>
                <w:rFonts w:ascii="Arial Narrow" w:hAnsi="Arial Narrow"/>
                <w:sz w:val="20"/>
              </w:rPr>
            </w:pPr>
            <w:r w:rsidRPr="007D0AA8">
              <w:rPr>
                <w:rFonts w:ascii="Arial Narrow" w:hAnsi="Arial Narrow"/>
                <w:sz w:val="20"/>
              </w:rPr>
              <w:t>p&gt;0.05</w:t>
            </w:r>
          </w:p>
        </w:tc>
        <w:tc>
          <w:tcPr>
            <w:tcW w:w="676" w:type="pct"/>
            <w:gridSpan w:val="2"/>
            <w:tcBorders>
              <w:top w:val="nil"/>
              <w:left w:val="nil"/>
              <w:bottom w:val="single" w:sz="4" w:space="0" w:color="auto"/>
              <w:right w:val="single" w:sz="4" w:space="0" w:color="auto"/>
            </w:tcBorders>
          </w:tcPr>
          <w:p w14:paraId="26190D40" w14:textId="77777777" w:rsidR="00E577CD" w:rsidRPr="007D0AA8" w:rsidRDefault="00E577CD" w:rsidP="00E577CD">
            <w:pPr>
              <w:spacing w:after="0" w:line="240" w:lineRule="auto"/>
              <w:jc w:val="right"/>
              <w:rPr>
                <w:rFonts w:ascii="Arial Narrow" w:hAnsi="Arial Narrow"/>
                <w:sz w:val="20"/>
                <w:szCs w:val="20"/>
              </w:rPr>
            </w:pPr>
          </w:p>
        </w:tc>
      </w:tr>
      <w:tr w:rsidR="00E577CD" w:rsidRPr="00386411" w14:paraId="3F0D8374" w14:textId="77777777" w:rsidTr="00B52A4F">
        <w:tc>
          <w:tcPr>
            <w:tcW w:w="6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1CF6CF" w14:textId="4DD428F2" w:rsidR="00E577CD" w:rsidRPr="00386411" w:rsidRDefault="00E577CD" w:rsidP="00FA20FD">
            <w:pPr>
              <w:spacing w:after="0" w:line="240" w:lineRule="auto"/>
              <w:jc w:val="left"/>
              <w:rPr>
                <w:rFonts w:ascii="Arial Narrow" w:hAnsi="Arial Narrow"/>
                <w:b/>
                <w:sz w:val="18"/>
                <w:szCs w:val="20"/>
              </w:rPr>
            </w:pPr>
            <w:r w:rsidRPr="00386411">
              <w:rPr>
                <w:rFonts w:ascii="Arial Narrow" w:hAnsi="Arial Narrow"/>
                <w:b/>
                <w:sz w:val="20"/>
                <w:szCs w:val="20"/>
              </w:rPr>
              <w:t>Van Winkle et al., 2018</w:t>
            </w:r>
          </w:p>
        </w:tc>
        <w:tc>
          <w:tcPr>
            <w:tcW w:w="1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F351E78" w14:textId="77777777" w:rsidR="00E577CD" w:rsidRPr="00386411" w:rsidRDefault="00E577CD" w:rsidP="00FA20FD">
            <w:pPr>
              <w:spacing w:after="0" w:line="240" w:lineRule="auto"/>
              <w:jc w:val="left"/>
              <w:rPr>
                <w:rFonts w:ascii="Arial Narrow" w:hAnsi="Arial Narrow"/>
                <w:b/>
                <w:sz w:val="20"/>
              </w:rPr>
            </w:pPr>
            <w:r w:rsidRPr="00386411">
              <w:rPr>
                <w:rFonts w:ascii="Arial Narrow" w:hAnsi="Arial Narrow"/>
                <w:b/>
                <w:sz w:val="20"/>
              </w:rPr>
              <w:t xml:space="preserve">Infectious complications during maintenance chemo.±IVIg, </w:t>
            </w:r>
            <w:r w:rsidRPr="00386411">
              <w:rPr>
                <w:rFonts w:ascii="Arial Narrow" w:hAnsi="Arial Narrow"/>
                <w:b/>
                <w:sz w:val="20"/>
              </w:rPr>
              <w:br/>
            </w:r>
            <w:r w:rsidRPr="00386411">
              <w:rPr>
                <w:rFonts w:ascii="Arial Narrow" w:hAnsi="Arial Narrow"/>
                <w:b/>
                <w:sz w:val="20"/>
              </w:rPr>
              <w:lastRenderedPageBreak/>
              <w:t>All values mean (SEM)</w:t>
            </w:r>
          </w:p>
        </w:tc>
        <w:tc>
          <w:tcPr>
            <w:tcW w:w="113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3DEC612" w14:textId="77777777" w:rsidR="00E577CD" w:rsidRPr="00386411" w:rsidRDefault="00E577CD" w:rsidP="00FA20FD">
            <w:pPr>
              <w:spacing w:after="0" w:line="240" w:lineRule="auto"/>
              <w:jc w:val="left"/>
              <w:rPr>
                <w:rFonts w:ascii="Arial Narrow" w:hAnsi="Arial Narrow"/>
                <w:b/>
                <w:sz w:val="20"/>
                <w:szCs w:val="20"/>
              </w:rPr>
            </w:pPr>
            <w:r w:rsidRPr="00386411">
              <w:rPr>
                <w:rFonts w:ascii="Arial Narrow" w:hAnsi="Arial Narrow"/>
                <w:b/>
                <w:sz w:val="20"/>
              </w:rPr>
              <w:lastRenderedPageBreak/>
              <w:t>IVIg (N=36)</w:t>
            </w:r>
          </w:p>
        </w:tc>
        <w:tc>
          <w:tcPr>
            <w:tcW w:w="104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46190B4" w14:textId="77777777" w:rsidR="00E577CD" w:rsidRPr="00386411" w:rsidRDefault="00E577CD" w:rsidP="00FA20FD">
            <w:pPr>
              <w:spacing w:after="0" w:line="240" w:lineRule="auto"/>
              <w:jc w:val="left"/>
              <w:rPr>
                <w:rFonts w:ascii="Arial Narrow" w:hAnsi="Arial Narrow"/>
                <w:b/>
                <w:sz w:val="20"/>
                <w:szCs w:val="20"/>
              </w:rPr>
            </w:pPr>
            <w:r w:rsidRPr="00386411">
              <w:rPr>
                <w:rFonts w:ascii="Arial Narrow" w:hAnsi="Arial Narrow"/>
                <w:b/>
                <w:sz w:val="20"/>
              </w:rPr>
              <w:t>No IVIg (N=82)</w:t>
            </w:r>
          </w:p>
        </w:tc>
        <w:tc>
          <w:tcPr>
            <w:tcW w:w="67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F9465F" w14:textId="77777777" w:rsidR="00E577CD" w:rsidRPr="00386411" w:rsidRDefault="00E577CD" w:rsidP="00FA20FD">
            <w:pPr>
              <w:spacing w:after="0" w:line="240" w:lineRule="auto"/>
              <w:jc w:val="left"/>
              <w:rPr>
                <w:rFonts w:ascii="Arial Narrow" w:hAnsi="Arial Narrow"/>
                <w:b/>
                <w:sz w:val="20"/>
                <w:szCs w:val="20"/>
              </w:rPr>
            </w:pPr>
            <w:r w:rsidRPr="00386411">
              <w:rPr>
                <w:rFonts w:ascii="Arial Narrow" w:hAnsi="Arial Narrow"/>
                <w:b/>
                <w:sz w:val="20"/>
              </w:rPr>
              <w:t>p-value</w:t>
            </w:r>
          </w:p>
        </w:tc>
      </w:tr>
      <w:tr w:rsidR="00E577CD" w:rsidRPr="007D0AA8" w14:paraId="0577132F" w14:textId="77777777" w:rsidTr="00B52A4F">
        <w:tc>
          <w:tcPr>
            <w:tcW w:w="690" w:type="pct"/>
            <w:tcBorders>
              <w:top w:val="single" w:sz="4" w:space="0" w:color="auto"/>
              <w:left w:val="single" w:sz="4" w:space="0" w:color="auto"/>
              <w:right w:val="single" w:sz="4" w:space="0" w:color="auto"/>
            </w:tcBorders>
          </w:tcPr>
          <w:p w14:paraId="0478C3EC" w14:textId="4CB2A5B3" w:rsidR="00E577CD" w:rsidRPr="007D0AA8" w:rsidRDefault="00E577CD" w:rsidP="00E577CD">
            <w:pPr>
              <w:spacing w:after="0" w:line="240" w:lineRule="auto"/>
              <w:rPr>
                <w:rFonts w:ascii="Arial Narrow" w:hAnsi="Arial Narrow"/>
                <w:sz w:val="20"/>
                <w:szCs w:val="20"/>
              </w:rPr>
            </w:pPr>
            <w:r w:rsidRPr="007D0AA8">
              <w:rPr>
                <w:rFonts w:ascii="Arial Narrow" w:hAnsi="Arial Narrow"/>
                <w:sz w:val="20"/>
                <w:szCs w:val="20"/>
              </w:rPr>
              <w:lastRenderedPageBreak/>
              <w:t>ALL</w:t>
            </w:r>
          </w:p>
        </w:tc>
        <w:tc>
          <w:tcPr>
            <w:tcW w:w="1457" w:type="pct"/>
            <w:tcBorders>
              <w:top w:val="single" w:sz="4" w:space="0" w:color="auto"/>
              <w:left w:val="single" w:sz="4" w:space="0" w:color="auto"/>
              <w:right w:val="single" w:sz="4" w:space="0" w:color="auto"/>
            </w:tcBorders>
            <w:vAlign w:val="bottom"/>
          </w:tcPr>
          <w:p w14:paraId="1E37844F" w14:textId="68B86888" w:rsidR="00E577CD" w:rsidRDefault="00E577CD" w:rsidP="00E577CD">
            <w:pPr>
              <w:spacing w:after="0" w:line="240" w:lineRule="auto"/>
              <w:rPr>
                <w:rFonts w:ascii="Arial Narrow" w:hAnsi="Arial Narrow" w:cs="Calibri"/>
                <w:sz w:val="20"/>
              </w:rPr>
            </w:pPr>
            <w:r w:rsidRPr="007D0AA8">
              <w:rPr>
                <w:rFonts w:ascii="Arial Narrow" w:hAnsi="Arial Narrow" w:cs="Calibri"/>
                <w:sz w:val="20"/>
              </w:rPr>
              <w:t xml:space="preserve">Hospitalisations </w:t>
            </w:r>
            <w:r>
              <w:rPr>
                <w:rFonts w:ascii="Arial Narrow" w:hAnsi="Arial Narrow" w:cs="Calibri"/>
                <w:sz w:val="20"/>
                <w:u w:val="single"/>
              </w:rPr>
              <w:t>prior to</w:t>
            </w:r>
            <w:r w:rsidRPr="00E577CD">
              <w:rPr>
                <w:rFonts w:ascii="Arial Narrow" w:hAnsi="Arial Narrow" w:cs="Calibri"/>
                <w:sz w:val="20"/>
                <w:u w:val="single"/>
              </w:rPr>
              <w:t xml:space="preserve"> study</w:t>
            </w:r>
          </w:p>
          <w:p w14:paraId="2800F2DA" w14:textId="52DB86CA" w:rsidR="00E577CD" w:rsidRPr="007D0AA8" w:rsidRDefault="00E577CD" w:rsidP="00E577CD">
            <w:pPr>
              <w:spacing w:after="0" w:line="240" w:lineRule="auto"/>
              <w:rPr>
                <w:rFonts w:ascii="Arial Narrow" w:hAnsi="Arial Narrow"/>
                <w:sz w:val="20"/>
              </w:rPr>
            </w:pPr>
            <w:r>
              <w:rPr>
                <w:rFonts w:ascii="Arial Narrow" w:hAnsi="Arial Narrow" w:cs="Calibri"/>
                <w:sz w:val="20"/>
              </w:rPr>
              <w:t>(</w:t>
            </w:r>
            <w:r w:rsidRPr="00E577CD">
              <w:rPr>
                <w:rFonts w:ascii="Arial Narrow" w:hAnsi="Arial Narrow" w:cs="Calibri"/>
                <w:i/>
                <w:sz w:val="20"/>
              </w:rPr>
              <w:t>inferred total events)</w:t>
            </w:r>
          </w:p>
        </w:tc>
        <w:tc>
          <w:tcPr>
            <w:tcW w:w="1131" w:type="pct"/>
            <w:gridSpan w:val="2"/>
            <w:tcBorders>
              <w:top w:val="single" w:sz="4" w:space="0" w:color="auto"/>
              <w:left w:val="single" w:sz="4" w:space="0" w:color="auto"/>
              <w:right w:val="single" w:sz="4" w:space="0" w:color="auto"/>
            </w:tcBorders>
            <w:shd w:val="clear" w:color="auto" w:fill="auto"/>
            <w:noWrap/>
          </w:tcPr>
          <w:p w14:paraId="47715EED" w14:textId="4FDC4D6F" w:rsidR="00E577CD" w:rsidRPr="007D0AA8" w:rsidRDefault="00E577CD" w:rsidP="00E577CD">
            <w:pPr>
              <w:spacing w:after="0" w:line="240" w:lineRule="auto"/>
              <w:jc w:val="right"/>
              <w:rPr>
                <w:rFonts w:ascii="Arial Narrow" w:hAnsi="Arial Narrow"/>
                <w:sz w:val="20"/>
                <w:szCs w:val="20"/>
              </w:rPr>
            </w:pPr>
            <w:r>
              <w:rPr>
                <w:rFonts w:ascii="Arial Narrow" w:hAnsi="Arial Narrow"/>
                <w:sz w:val="20"/>
              </w:rPr>
              <w:t>2.3 (0.4</w:t>
            </w:r>
            <w:r w:rsidRPr="007D0AA8">
              <w:rPr>
                <w:rFonts w:ascii="Arial Narrow" w:hAnsi="Arial Narrow"/>
                <w:sz w:val="20"/>
              </w:rPr>
              <w:t>)</w:t>
            </w:r>
            <w:r>
              <w:rPr>
                <w:rFonts w:ascii="Arial Narrow" w:hAnsi="Arial Narrow"/>
                <w:sz w:val="20"/>
              </w:rPr>
              <w:br/>
            </w:r>
            <w:r>
              <w:rPr>
                <w:rFonts w:ascii="Arial Narrow" w:hAnsi="Arial Narrow"/>
                <w:i/>
                <w:sz w:val="20"/>
              </w:rPr>
              <w:t>82.3</w:t>
            </w:r>
            <w:r w:rsidRPr="00E577CD">
              <w:rPr>
                <w:rFonts w:ascii="Arial Narrow" w:hAnsi="Arial Narrow"/>
                <w:i/>
                <w:sz w:val="20"/>
              </w:rPr>
              <w:t xml:space="preserve"> </w:t>
            </w:r>
          </w:p>
        </w:tc>
        <w:tc>
          <w:tcPr>
            <w:tcW w:w="1046" w:type="pct"/>
            <w:tcBorders>
              <w:top w:val="single" w:sz="4" w:space="0" w:color="auto"/>
              <w:left w:val="single" w:sz="4" w:space="0" w:color="auto"/>
              <w:right w:val="single" w:sz="4" w:space="0" w:color="auto"/>
            </w:tcBorders>
            <w:shd w:val="clear" w:color="auto" w:fill="auto"/>
            <w:noWrap/>
          </w:tcPr>
          <w:p w14:paraId="635379BF" w14:textId="3AE28949" w:rsidR="00E577CD" w:rsidRPr="007D0AA8" w:rsidRDefault="00E577CD" w:rsidP="00E577CD">
            <w:pPr>
              <w:spacing w:after="0" w:line="240" w:lineRule="auto"/>
              <w:jc w:val="right"/>
              <w:rPr>
                <w:rFonts w:ascii="Arial Narrow" w:hAnsi="Arial Narrow"/>
                <w:sz w:val="20"/>
                <w:szCs w:val="20"/>
              </w:rPr>
            </w:pPr>
            <w:r>
              <w:rPr>
                <w:rFonts w:ascii="Arial Narrow" w:hAnsi="Arial Narrow"/>
                <w:sz w:val="20"/>
              </w:rPr>
              <w:t>1.9</w:t>
            </w:r>
            <w:r w:rsidRPr="007D0AA8">
              <w:rPr>
                <w:rFonts w:ascii="Arial Narrow" w:hAnsi="Arial Narrow"/>
                <w:sz w:val="20"/>
              </w:rPr>
              <w:t xml:space="preserve"> (0.2) </w:t>
            </w:r>
            <w:r>
              <w:rPr>
                <w:rFonts w:ascii="Arial Narrow" w:hAnsi="Arial Narrow"/>
                <w:sz w:val="20"/>
              </w:rPr>
              <w:br/>
            </w:r>
            <w:r>
              <w:rPr>
                <w:rFonts w:ascii="Arial Narrow" w:hAnsi="Arial Narrow"/>
                <w:i/>
                <w:sz w:val="20"/>
              </w:rPr>
              <w:t>155.8</w:t>
            </w:r>
          </w:p>
        </w:tc>
        <w:tc>
          <w:tcPr>
            <w:tcW w:w="676" w:type="pct"/>
            <w:gridSpan w:val="2"/>
            <w:tcBorders>
              <w:top w:val="single" w:sz="4" w:space="0" w:color="auto"/>
              <w:left w:val="single" w:sz="4" w:space="0" w:color="auto"/>
              <w:right w:val="single" w:sz="4" w:space="0" w:color="auto"/>
            </w:tcBorders>
          </w:tcPr>
          <w:p w14:paraId="14727173" w14:textId="3BA3B5E8" w:rsidR="00E577CD" w:rsidRPr="007D0AA8" w:rsidRDefault="0097711C" w:rsidP="00E577CD">
            <w:pPr>
              <w:spacing w:after="0" w:line="240" w:lineRule="auto"/>
              <w:jc w:val="right"/>
              <w:rPr>
                <w:rFonts w:ascii="Arial Narrow" w:hAnsi="Arial Narrow"/>
                <w:sz w:val="20"/>
                <w:szCs w:val="20"/>
              </w:rPr>
            </w:pPr>
            <w:r>
              <w:rPr>
                <w:rFonts w:ascii="Arial Narrow" w:hAnsi="Arial Narrow"/>
                <w:sz w:val="20"/>
              </w:rPr>
              <w:t>―</w:t>
            </w:r>
          </w:p>
        </w:tc>
      </w:tr>
      <w:tr w:rsidR="00E577CD" w:rsidRPr="007D0AA8" w14:paraId="1874AAC6" w14:textId="77777777" w:rsidTr="00B52A4F">
        <w:tc>
          <w:tcPr>
            <w:tcW w:w="690" w:type="pct"/>
            <w:tcBorders>
              <w:left w:val="single" w:sz="4" w:space="0" w:color="auto"/>
              <w:bottom w:val="nil"/>
              <w:right w:val="single" w:sz="4" w:space="0" w:color="auto"/>
            </w:tcBorders>
          </w:tcPr>
          <w:p w14:paraId="612BDF39" w14:textId="77777777" w:rsidR="00E577CD" w:rsidRPr="007D0AA8" w:rsidRDefault="00E577CD" w:rsidP="00E577CD">
            <w:pPr>
              <w:spacing w:after="0" w:line="240" w:lineRule="auto"/>
              <w:rPr>
                <w:rFonts w:ascii="Arial Narrow" w:hAnsi="Arial Narrow"/>
                <w:sz w:val="20"/>
                <w:szCs w:val="20"/>
              </w:rPr>
            </w:pPr>
          </w:p>
        </w:tc>
        <w:tc>
          <w:tcPr>
            <w:tcW w:w="1457" w:type="pct"/>
            <w:tcBorders>
              <w:left w:val="single" w:sz="4" w:space="0" w:color="auto"/>
              <w:bottom w:val="single" w:sz="4" w:space="0" w:color="auto"/>
              <w:right w:val="single" w:sz="4" w:space="0" w:color="auto"/>
            </w:tcBorders>
            <w:vAlign w:val="bottom"/>
          </w:tcPr>
          <w:p w14:paraId="6976B6B7" w14:textId="2BD58EDC" w:rsidR="00E577CD" w:rsidRDefault="00E577CD" w:rsidP="00E577CD">
            <w:pPr>
              <w:spacing w:after="0" w:line="240" w:lineRule="auto"/>
              <w:rPr>
                <w:rFonts w:ascii="Arial Narrow" w:hAnsi="Arial Narrow" w:cs="Calibri"/>
                <w:sz w:val="20"/>
              </w:rPr>
            </w:pPr>
            <w:r w:rsidRPr="007D0AA8">
              <w:rPr>
                <w:rFonts w:ascii="Arial Narrow" w:hAnsi="Arial Narrow" w:cs="Calibri"/>
                <w:sz w:val="20"/>
              </w:rPr>
              <w:t xml:space="preserve">Hospitalisations </w:t>
            </w:r>
            <w:r w:rsidRPr="00E577CD">
              <w:rPr>
                <w:rFonts w:ascii="Arial Narrow" w:hAnsi="Arial Narrow" w:cs="Calibri"/>
                <w:sz w:val="20"/>
                <w:u w:val="single"/>
              </w:rPr>
              <w:t>during study</w:t>
            </w:r>
          </w:p>
          <w:p w14:paraId="6B1F6DD6" w14:textId="0A4C8717" w:rsidR="00E577CD" w:rsidRPr="007D0AA8" w:rsidRDefault="00E577CD" w:rsidP="00E577CD">
            <w:pPr>
              <w:spacing w:after="0" w:line="240" w:lineRule="auto"/>
              <w:rPr>
                <w:rFonts w:ascii="Arial Narrow" w:hAnsi="Arial Narrow" w:cs="Calibri"/>
                <w:sz w:val="20"/>
              </w:rPr>
            </w:pPr>
            <w:r>
              <w:rPr>
                <w:rFonts w:ascii="Arial Narrow" w:hAnsi="Arial Narrow" w:cs="Calibri"/>
                <w:sz w:val="20"/>
              </w:rPr>
              <w:t>(</w:t>
            </w:r>
            <w:r w:rsidRPr="00E577CD">
              <w:rPr>
                <w:rFonts w:ascii="Arial Narrow" w:hAnsi="Arial Narrow" w:cs="Calibri"/>
                <w:i/>
                <w:sz w:val="20"/>
              </w:rPr>
              <w:t>inferred total events)</w:t>
            </w:r>
          </w:p>
        </w:tc>
        <w:tc>
          <w:tcPr>
            <w:tcW w:w="1131" w:type="pct"/>
            <w:gridSpan w:val="2"/>
            <w:tcBorders>
              <w:left w:val="single" w:sz="4" w:space="0" w:color="auto"/>
              <w:bottom w:val="single" w:sz="4" w:space="0" w:color="auto"/>
              <w:right w:val="single" w:sz="4" w:space="0" w:color="auto"/>
            </w:tcBorders>
            <w:shd w:val="clear" w:color="auto" w:fill="auto"/>
            <w:noWrap/>
          </w:tcPr>
          <w:p w14:paraId="2FC5ACAB" w14:textId="34E73374" w:rsidR="00E577CD" w:rsidRPr="007D0AA8" w:rsidRDefault="00E577CD" w:rsidP="00E577CD">
            <w:pPr>
              <w:spacing w:after="0" w:line="240" w:lineRule="auto"/>
              <w:jc w:val="right"/>
              <w:rPr>
                <w:rFonts w:ascii="Arial Narrow" w:hAnsi="Arial Narrow"/>
                <w:sz w:val="20"/>
              </w:rPr>
            </w:pPr>
            <w:r w:rsidRPr="007D0AA8">
              <w:rPr>
                <w:rFonts w:ascii="Arial Narrow" w:hAnsi="Arial Narrow"/>
                <w:sz w:val="20"/>
              </w:rPr>
              <w:t>1.9 (0.3)</w:t>
            </w:r>
            <w:r>
              <w:rPr>
                <w:rFonts w:ascii="Arial Narrow" w:hAnsi="Arial Narrow"/>
                <w:sz w:val="20"/>
              </w:rPr>
              <w:br/>
            </w:r>
            <w:r w:rsidRPr="00E577CD">
              <w:rPr>
                <w:rFonts w:ascii="Arial Narrow" w:hAnsi="Arial Narrow"/>
                <w:i/>
                <w:sz w:val="20"/>
              </w:rPr>
              <w:t xml:space="preserve">68.4 </w:t>
            </w:r>
          </w:p>
        </w:tc>
        <w:tc>
          <w:tcPr>
            <w:tcW w:w="1046" w:type="pct"/>
            <w:tcBorders>
              <w:left w:val="single" w:sz="4" w:space="0" w:color="auto"/>
              <w:bottom w:val="single" w:sz="4" w:space="0" w:color="auto"/>
              <w:right w:val="single" w:sz="4" w:space="0" w:color="auto"/>
            </w:tcBorders>
            <w:shd w:val="clear" w:color="auto" w:fill="auto"/>
            <w:noWrap/>
          </w:tcPr>
          <w:p w14:paraId="4D7DF4C3" w14:textId="24ADC887" w:rsidR="00E577CD" w:rsidRPr="007D0AA8" w:rsidRDefault="00E577CD" w:rsidP="00E577CD">
            <w:pPr>
              <w:spacing w:after="0" w:line="240" w:lineRule="auto"/>
              <w:jc w:val="right"/>
              <w:rPr>
                <w:rFonts w:ascii="Arial Narrow" w:hAnsi="Arial Narrow"/>
                <w:sz w:val="20"/>
              </w:rPr>
            </w:pPr>
            <w:r w:rsidRPr="007D0AA8">
              <w:rPr>
                <w:rFonts w:ascii="Arial Narrow" w:hAnsi="Arial Narrow"/>
                <w:sz w:val="20"/>
              </w:rPr>
              <w:t xml:space="preserve">1.7 (0.2) </w:t>
            </w:r>
            <w:r>
              <w:rPr>
                <w:rFonts w:ascii="Arial Narrow" w:hAnsi="Arial Narrow"/>
                <w:sz w:val="20"/>
              </w:rPr>
              <w:br/>
            </w:r>
            <w:r w:rsidRPr="00E577CD">
              <w:rPr>
                <w:rFonts w:ascii="Arial Narrow" w:hAnsi="Arial Narrow"/>
                <w:i/>
                <w:sz w:val="20"/>
              </w:rPr>
              <w:t>139.4</w:t>
            </w:r>
          </w:p>
        </w:tc>
        <w:tc>
          <w:tcPr>
            <w:tcW w:w="676" w:type="pct"/>
            <w:gridSpan w:val="2"/>
            <w:tcBorders>
              <w:left w:val="single" w:sz="4" w:space="0" w:color="auto"/>
              <w:bottom w:val="single" w:sz="4" w:space="0" w:color="auto"/>
              <w:right w:val="single" w:sz="4" w:space="0" w:color="auto"/>
            </w:tcBorders>
          </w:tcPr>
          <w:p w14:paraId="7423B21B" w14:textId="39F29F49" w:rsidR="00E577CD" w:rsidRPr="007D0AA8" w:rsidRDefault="00E577CD" w:rsidP="00E577CD">
            <w:pPr>
              <w:spacing w:after="0" w:line="240" w:lineRule="auto"/>
              <w:jc w:val="right"/>
              <w:rPr>
                <w:rFonts w:ascii="Arial Narrow" w:hAnsi="Arial Narrow"/>
                <w:sz w:val="20"/>
              </w:rPr>
            </w:pPr>
            <w:r w:rsidRPr="007D0AA8">
              <w:rPr>
                <w:rFonts w:ascii="Arial Narrow" w:hAnsi="Arial Narrow"/>
                <w:sz w:val="20"/>
              </w:rPr>
              <w:t>0.302</w:t>
            </w:r>
          </w:p>
        </w:tc>
      </w:tr>
      <w:tr w:rsidR="00E577CD" w:rsidRPr="007D0AA8" w14:paraId="59F929DB" w14:textId="77777777" w:rsidTr="00B52A4F">
        <w:tc>
          <w:tcPr>
            <w:tcW w:w="690" w:type="pct"/>
            <w:tcBorders>
              <w:top w:val="nil"/>
              <w:left w:val="single" w:sz="4" w:space="0" w:color="auto"/>
              <w:bottom w:val="single" w:sz="4" w:space="0" w:color="auto"/>
              <w:right w:val="single" w:sz="4" w:space="0" w:color="auto"/>
            </w:tcBorders>
          </w:tcPr>
          <w:p w14:paraId="4427B3B6" w14:textId="77777777" w:rsidR="00E577CD" w:rsidRPr="007D0AA8" w:rsidRDefault="00E577CD" w:rsidP="00E577CD">
            <w:pPr>
              <w:spacing w:after="0" w:line="240" w:lineRule="auto"/>
              <w:rPr>
                <w:rFonts w:ascii="Arial Narrow" w:hAnsi="Arial Narrow"/>
                <w:sz w:val="20"/>
                <w:szCs w:val="20"/>
              </w:rPr>
            </w:pPr>
          </w:p>
        </w:tc>
        <w:tc>
          <w:tcPr>
            <w:tcW w:w="1457" w:type="pct"/>
            <w:tcBorders>
              <w:top w:val="single" w:sz="4" w:space="0" w:color="auto"/>
              <w:left w:val="single" w:sz="4" w:space="0" w:color="auto"/>
              <w:bottom w:val="single" w:sz="4" w:space="0" w:color="auto"/>
              <w:right w:val="single" w:sz="4" w:space="0" w:color="auto"/>
            </w:tcBorders>
            <w:vAlign w:val="bottom"/>
          </w:tcPr>
          <w:p w14:paraId="42262B74" w14:textId="2B87334F" w:rsidR="00E577CD" w:rsidRPr="007D0AA8" w:rsidRDefault="00E577CD" w:rsidP="00E577CD">
            <w:pPr>
              <w:spacing w:after="0" w:line="240" w:lineRule="auto"/>
              <w:rPr>
                <w:rFonts w:ascii="Arial Narrow" w:hAnsi="Arial Narrow"/>
                <w:sz w:val="20"/>
              </w:rPr>
            </w:pPr>
            <w:r w:rsidRPr="007D0AA8">
              <w:rPr>
                <w:rFonts w:ascii="Arial Narrow" w:hAnsi="Arial Narrow" w:cs="Calibri"/>
                <w:color w:val="000000"/>
                <w:sz w:val="20"/>
              </w:rPr>
              <w:t>Days of hospitalisation</w:t>
            </w:r>
          </w:p>
        </w:tc>
        <w:tc>
          <w:tcPr>
            <w:tcW w:w="1131" w:type="pct"/>
            <w:gridSpan w:val="2"/>
            <w:tcBorders>
              <w:top w:val="single" w:sz="4" w:space="0" w:color="auto"/>
              <w:left w:val="single" w:sz="4" w:space="0" w:color="auto"/>
              <w:bottom w:val="single" w:sz="4" w:space="0" w:color="auto"/>
              <w:right w:val="single" w:sz="4" w:space="0" w:color="auto"/>
            </w:tcBorders>
            <w:shd w:val="clear" w:color="auto" w:fill="auto"/>
            <w:noWrap/>
          </w:tcPr>
          <w:p w14:paraId="4D5DCEEA" w14:textId="77777777" w:rsidR="00E577CD" w:rsidRPr="007D0AA8" w:rsidRDefault="00E577CD" w:rsidP="00E577CD">
            <w:pPr>
              <w:spacing w:after="0" w:line="240" w:lineRule="auto"/>
              <w:jc w:val="right"/>
              <w:rPr>
                <w:rFonts w:ascii="Arial Narrow" w:hAnsi="Arial Narrow"/>
                <w:sz w:val="20"/>
                <w:szCs w:val="20"/>
              </w:rPr>
            </w:pPr>
            <w:r w:rsidRPr="007D0AA8">
              <w:rPr>
                <w:rFonts w:ascii="Arial Narrow" w:hAnsi="Arial Narrow"/>
                <w:sz w:val="20"/>
              </w:rPr>
              <w:t xml:space="preserve">11.1 (2.3) </w:t>
            </w:r>
          </w:p>
        </w:tc>
        <w:tc>
          <w:tcPr>
            <w:tcW w:w="1046" w:type="pct"/>
            <w:tcBorders>
              <w:top w:val="single" w:sz="4" w:space="0" w:color="auto"/>
              <w:left w:val="single" w:sz="4" w:space="0" w:color="auto"/>
              <w:bottom w:val="single" w:sz="4" w:space="0" w:color="auto"/>
              <w:right w:val="single" w:sz="4" w:space="0" w:color="auto"/>
            </w:tcBorders>
            <w:shd w:val="clear" w:color="auto" w:fill="auto"/>
            <w:noWrap/>
          </w:tcPr>
          <w:p w14:paraId="22D7D5AE" w14:textId="77777777" w:rsidR="00E577CD" w:rsidRPr="007D0AA8" w:rsidRDefault="00E577CD" w:rsidP="00E577CD">
            <w:pPr>
              <w:spacing w:after="0" w:line="240" w:lineRule="auto"/>
              <w:jc w:val="right"/>
              <w:rPr>
                <w:rFonts w:ascii="Arial Narrow" w:hAnsi="Arial Narrow"/>
                <w:sz w:val="20"/>
                <w:szCs w:val="20"/>
              </w:rPr>
            </w:pPr>
            <w:r w:rsidRPr="007D0AA8">
              <w:rPr>
                <w:rFonts w:ascii="Arial Narrow" w:hAnsi="Arial Narrow"/>
                <w:sz w:val="20"/>
              </w:rPr>
              <w:t xml:space="preserve">6.7 (0.9) </w:t>
            </w:r>
          </w:p>
        </w:tc>
        <w:tc>
          <w:tcPr>
            <w:tcW w:w="676" w:type="pct"/>
            <w:gridSpan w:val="2"/>
            <w:tcBorders>
              <w:top w:val="single" w:sz="4" w:space="0" w:color="auto"/>
              <w:left w:val="single" w:sz="4" w:space="0" w:color="auto"/>
              <w:bottom w:val="single" w:sz="4" w:space="0" w:color="auto"/>
              <w:right w:val="single" w:sz="4" w:space="0" w:color="auto"/>
            </w:tcBorders>
          </w:tcPr>
          <w:p w14:paraId="4D2D328D" w14:textId="77777777" w:rsidR="00E577CD" w:rsidRPr="007D0AA8" w:rsidRDefault="00E577CD" w:rsidP="00E577CD">
            <w:pPr>
              <w:spacing w:after="0" w:line="240" w:lineRule="auto"/>
              <w:jc w:val="right"/>
              <w:rPr>
                <w:rFonts w:ascii="Arial Narrow" w:hAnsi="Arial Narrow"/>
                <w:sz w:val="20"/>
                <w:szCs w:val="20"/>
              </w:rPr>
            </w:pPr>
            <w:r w:rsidRPr="007D0AA8">
              <w:rPr>
                <w:rFonts w:ascii="Arial Narrow" w:hAnsi="Arial Narrow"/>
                <w:sz w:val="20"/>
              </w:rPr>
              <w:t>0.112</w:t>
            </w:r>
          </w:p>
        </w:tc>
      </w:tr>
    </w:tbl>
    <w:p w14:paraId="1950EE5E" w14:textId="6EF0ABA7" w:rsidR="005570ED" w:rsidRPr="007D0AA8" w:rsidRDefault="00AA3BD6" w:rsidP="00331FB9">
      <w:pPr>
        <w:pStyle w:val="Tablenotes1"/>
      </w:pPr>
      <w:r w:rsidRPr="007D0AA8">
        <w:t>*</w:t>
      </w:r>
      <w:r w:rsidR="00091BA3" w:rsidRPr="007D0AA8">
        <w:t xml:space="preserve">Notes: </w:t>
      </w:r>
      <w:r w:rsidR="00E66904" w:rsidRPr="007D0AA8">
        <w:rPr>
          <w:u w:val="single"/>
        </w:rPr>
        <w:t>Ammann (2016)</w:t>
      </w:r>
      <w:r w:rsidR="00E66904" w:rsidRPr="007D0AA8">
        <w:t xml:space="preserve"> – </w:t>
      </w:r>
      <w:r w:rsidR="00157B14" w:rsidRPr="007D0AA8">
        <w:t>The study included patients receiving IVIg, SCIg or IMIg but proportions of each were not reported</w:t>
      </w:r>
      <w:r w:rsidRPr="007D0AA8">
        <w:t xml:space="preserve">. </w:t>
      </w:r>
      <w:r w:rsidRPr="007D0AA8">
        <w:rPr>
          <w:u w:val="single"/>
        </w:rPr>
        <w:t>Paxton et al., 2016</w:t>
      </w:r>
      <w:r w:rsidRPr="007D0AA8">
        <w:t xml:space="preserve"> – </w:t>
      </w:r>
      <w:r w:rsidR="0090064D" w:rsidRPr="007D0AA8">
        <w:t xml:space="preserve">‘various’ </w:t>
      </w:r>
      <w:r w:rsidRPr="007D0AA8">
        <w:t>haematological malignancies</w:t>
      </w:r>
      <w:r w:rsidR="0090064D" w:rsidRPr="007D0AA8">
        <w:t xml:space="preserve"> were</w:t>
      </w:r>
      <w:r w:rsidRPr="007D0AA8">
        <w:t>: CLL (42); MM (18); NHL (27); other (</w:t>
      </w:r>
      <w:r w:rsidR="009F1CC3" w:rsidRPr="007D0AA8">
        <w:t>AML+allo-HSCT; amyloidosis; T-cell NHL</w:t>
      </w:r>
      <w:r w:rsidRPr="007D0AA8">
        <w:t>).</w:t>
      </w:r>
      <w:r w:rsidR="00E66904" w:rsidRPr="007D0AA8">
        <w:t xml:space="preserve"> </w:t>
      </w:r>
      <w:r w:rsidR="00091BA3" w:rsidRPr="007D0AA8">
        <w:br/>
      </w:r>
      <w:r w:rsidR="00A6772A" w:rsidRPr="007D0AA8">
        <w:t xml:space="preserve">ALL=acute lymphoblastic leukaemia; </w:t>
      </w:r>
      <w:r w:rsidR="0090064D" w:rsidRPr="007D0AA8">
        <w:t xml:space="preserve">AML=acute myeloid leukaemia; </w:t>
      </w:r>
      <w:r w:rsidR="00C7338B">
        <w:t xml:space="preserve">CI=confidence interval; </w:t>
      </w:r>
      <w:r w:rsidR="005570ED" w:rsidRPr="007D0AA8">
        <w:t xml:space="preserve">CLL=chronic lymphocytic leukaemia; d=days; HSCT=haematopoietic stem cell transplant; </w:t>
      </w:r>
      <w:r w:rsidR="00C7338B">
        <w:t xml:space="preserve">IV=intravenous; </w:t>
      </w:r>
      <w:r w:rsidR="005570ED" w:rsidRPr="007D0AA8">
        <w:t>IVIg=intravenous immu</w:t>
      </w:r>
      <w:r w:rsidR="00A6772A" w:rsidRPr="007D0AA8">
        <w:t xml:space="preserve">noglobulin; MM=multiple myeloma; </w:t>
      </w:r>
      <w:r w:rsidR="0090064D" w:rsidRPr="007D0AA8">
        <w:t>NHL=non</w:t>
      </w:r>
      <w:r w:rsidR="00FA20FD">
        <w:t>-</w:t>
      </w:r>
      <w:r w:rsidR="0090064D" w:rsidRPr="007D0AA8">
        <w:t xml:space="preserve">Hodgkin lymphoma; </w:t>
      </w:r>
      <w:r w:rsidR="00A6772A" w:rsidRPr="007D0AA8">
        <w:t xml:space="preserve">SCIg=subcutaneous immunoglobulin; SEM=standard error of the mean; yr=year.  </w:t>
      </w:r>
    </w:p>
    <w:p w14:paraId="41C3E237" w14:textId="396DB768" w:rsidR="004F5B8A" w:rsidRDefault="00C7338B" w:rsidP="004F5B8A">
      <w:r>
        <w:t xml:space="preserve">The </w:t>
      </w:r>
      <w:r w:rsidR="00AF68A6">
        <w:t xml:space="preserve">one </w:t>
      </w:r>
      <w:r>
        <w:t xml:space="preserve">RCT reporting </w:t>
      </w:r>
      <w:r w:rsidR="00AF68A6">
        <w:t>resource use</w:t>
      </w:r>
      <w:r>
        <w:t xml:space="preserve"> </w:t>
      </w:r>
      <w:r w:rsidR="00896BE2">
        <w:fldChar w:fldCharType="begin">
          <w:fldData xml:space="preserve">PEVuZE5vdGU+PENpdGU+PEF1dGhvcj5WYWNjYTwvQXV0aG9yPjxZZWFyPjIwMTg8L1llYXI+PFJl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</w:fldData>
        </w:fldChar>
      </w:r>
      <w:r w:rsidR="00896BE2">
        <w:instrText xml:space="preserve"> ADDIN EN.CITE </w:instrText>
      </w:r>
      <w:r w:rsidR="00896BE2">
        <w:fldChar w:fldCharType="begin">
          <w:fldData xml:space="preserve">PEVuZE5vdGU+PENpdGU+PEF1dGhvcj5WYWNjYTwvQXV0aG9yPjxZZWFyPjIwMTg8L1llYXI+PFJl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</w:fldData>
        </w:fldChar>
      </w:r>
      <w:r w:rsidR="00896BE2">
        <w:instrText xml:space="preserve"> ADDIN EN.CITE.DATA </w:instrText>
      </w:r>
      <w:r w:rsidR="00896BE2">
        <w:fldChar w:fldCharType="end"/>
      </w:r>
      <w:r w:rsidR="00896BE2">
        <w:fldChar w:fldCharType="separate"/>
      </w:r>
      <w:r w:rsidR="00896BE2">
        <w:rPr>
          <w:noProof/>
        </w:rPr>
        <w:t>(</w:t>
      </w:r>
      <w:hyperlink w:anchor="_ENREF_52" w:tooltip="Vacca, 2018 #30" w:history="1">
        <w:r w:rsidR="00BB0145">
          <w:rPr>
            <w:noProof/>
          </w:rPr>
          <w:t>Vacca et al. 2018</w:t>
        </w:r>
      </w:hyperlink>
      <w:r w:rsidR="00896BE2">
        <w:rPr>
          <w:noProof/>
        </w:rPr>
        <w:t>)</w:t>
      </w:r>
      <w:r w:rsidR="00896BE2">
        <w:fldChar w:fldCharType="end"/>
      </w:r>
      <w:r w:rsidR="004F5B8A" w:rsidRPr="007D0AA8">
        <w:t xml:space="preserve"> </w:t>
      </w:r>
      <w:r>
        <w:t xml:space="preserve">studied </w:t>
      </w:r>
      <w:r w:rsidR="004F5B8A" w:rsidRPr="007D0AA8">
        <w:t xml:space="preserve">patients with MM </w:t>
      </w:r>
      <w:r w:rsidRPr="007D0AA8">
        <w:t xml:space="preserve">randomised </w:t>
      </w:r>
      <w:r w:rsidR="004F5B8A" w:rsidRPr="007D0AA8">
        <w:t xml:space="preserve">to receive SCIg or </w:t>
      </w:r>
      <w:r>
        <w:t>No SCIg</w:t>
      </w:r>
      <w:r w:rsidR="004F5B8A" w:rsidRPr="007D0AA8">
        <w:t xml:space="preserve">. Those in the control </w:t>
      </w:r>
      <w:r w:rsidR="00AF68A6">
        <w:t>group</w:t>
      </w:r>
      <w:r w:rsidR="004F5B8A" w:rsidRPr="007D0AA8">
        <w:t xml:space="preserve"> received significantly more days of antibiotics (217 vs 28 days, p&lt;0.001) than those on SCIg, and had more days of hospitalisation (121 vs 8 days, p&lt;0.001). </w:t>
      </w:r>
      <w:r w:rsidR="0090064D" w:rsidRPr="007D0AA8">
        <w:t xml:space="preserve">This </w:t>
      </w:r>
      <w:r w:rsidR="00707344" w:rsidRPr="007D0AA8">
        <w:t xml:space="preserve">large </w:t>
      </w:r>
      <w:r w:rsidR="0090064D" w:rsidRPr="007D0AA8">
        <w:t xml:space="preserve">effect size </w:t>
      </w:r>
      <w:r w:rsidR="00707344" w:rsidRPr="007D0AA8">
        <w:t>was</w:t>
      </w:r>
      <w:r w:rsidR="0090064D" w:rsidRPr="007D0AA8">
        <w:t xml:space="preserve"> consistent with the difference between groups for</w:t>
      </w:r>
      <w:r w:rsidR="00707344" w:rsidRPr="007D0AA8">
        <w:t xml:space="preserve"> other infectious </w:t>
      </w:r>
      <w:r w:rsidR="00707344" w:rsidRPr="00D67A6E">
        <w:t>complications</w:t>
      </w:r>
      <w:r w:rsidR="0090064D" w:rsidRPr="00D67A6E">
        <w:t xml:space="preserve"> described in the Infections </w:t>
      </w:r>
      <w:r w:rsidR="00707344" w:rsidRPr="00D67A6E">
        <w:t>outcomes</w:t>
      </w:r>
      <w:r w:rsidR="0090064D" w:rsidRPr="00D67A6E">
        <w:t xml:space="preserve"> above.</w:t>
      </w:r>
      <w:r w:rsidR="0090064D" w:rsidRPr="007D0AA8">
        <w:t xml:space="preserve"> </w:t>
      </w:r>
    </w:p>
    <w:p w14:paraId="373E5B0B" w14:textId="64BD2F62" w:rsidR="00C7338B" w:rsidRDefault="00C7338B" w:rsidP="00C7338B">
      <w:r w:rsidRPr="007D0AA8">
        <w:t>One further RCT</w:t>
      </w:r>
      <w:r>
        <w:t>,</w:t>
      </w:r>
      <w:r w:rsidRPr="007D0AA8">
        <w:t xml:space="preserve"> a cross-over study in 42 CLL patients</w:t>
      </w:r>
      <w:r>
        <w:t>,</w:t>
      </w:r>
      <w:r w:rsidRPr="007D0AA8">
        <w:t xml:space="preserve"> measured antibiotic use without reporting data </w:t>
      </w:r>
      <w:r w:rsidR="00896BE2">
        <w:fldChar w:fldCharType="begin">
          <w:fldData xml:space="preserve">PEVuZE5vdGU+PENpdGU+PEF1dGhvcj5Nb2xpY2E8L0F1dGhvcj48WWVhcj4xOTk2PC9ZZWFyPjxS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</w:fldData>
        </w:fldChar>
      </w:r>
      <w:r w:rsidR="00896BE2">
        <w:instrText xml:space="preserve"> ADDIN EN.CITE </w:instrText>
      </w:r>
      <w:r w:rsidR="00896BE2">
        <w:fldChar w:fldCharType="begin">
          <w:fldData xml:space="preserve">PEVuZE5vdGU+PENpdGU+PEF1dGhvcj5Nb2xpY2E8L0F1dGhvcj48WWVhcj4xOTk2PC9ZZWFyPjxS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</w:fldData>
        </w:fldChar>
      </w:r>
      <w:r w:rsidR="00896BE2">
        <w:instrText xml:space="preserve"> ADDIN EN.CITE.DATA </w:instrText>
      </w:r>
      <w:r w:rsidR="00896BE2">
        <w:fldChar w:fldCharType="end"/>
      </w:r>
      <w:r w:rsidR="00896BE2">
        <w:fldChar w:fldCharType="separate"/>
      </w:r>
      <w:r w:rsidR="00896BE2">
        <w:rPr>
          <w:noProof/>
        </w:rPr>
        <w:t>(</w:t>
      </w:r>
      <w:hyperlink w:anchor="_ENREF_31" w:tooltip="Molica, 1996 #33" w:history="1">
        <w:r w:rsidR="00BB0145">
          <w:rPr>
            <w:noProof/>
          </w:rPr>
          <w:t>Molica et al. 1996</w:t>
        </w:r>
      </w:hyperlink>
      <w:r w:rsidR="00896BE2">
        <w:rPr>
          <w:noProof/>
        </w:rPr>
        <w:t>)</w:t>
      </w:r>
      <w:r w:rsidR="00896BE2">
        <w:fldChar w:fldCharType="end"/>
      </w:r>
      <w:r w:rsidRPr="007D0AA8">
        <w:t xml:space="preserve">. </w:t>
      </w:r>
      <w:r>
        <w:t xml:space="preserve">The authors noted </w:t>
      </w:r>
      <w:r w:rsidRPr="007D0AA8">
        <w:t>only there was no apparent difference in the mean number of antibiotic prescriptions during the No IVIg phase</w:t>
      </w:r>
      <w:r w:rsidR="00AF68A6">
        <w:t>s</w:t>
      </w:r>
      <w:r w:rsidRPr="007D0AA8">
        <w:t xml:space="preserve"> of the study versus the IVIg therapy phase</w:t>
      </w:r>
      <w:r w:rsidR="00AF68A6">
        <w:t>s</w:t>
      </w:r>
      <w:r w:rsidRPr="007D0AA8">
        <w:t xml:space="preserve">.  </w:t>
      </w:r>
    </w:p>
    <w:p w14:paraId="064E5D44" w14:textId="78DFBAAE" w:rsidR="00CA3FC4" w:rsidRPr="007D0AA8" w:rsidRDefault="00C7338B" w:rsidP="004F5B8A">
      <w:r>
        <w:t xml:space="preserve">Of the cohort studies, one Australian study </w:t>
      </w:r>
      <w:r w:rsidR="00896BE2">
        <w:fldChar w:fldCharType="begin">
          <w:fldData xml:space="preserve">PEVuZE5vdGU+PENpdGU+PEF1dGhvcj5CbG9tYmVyeTwvQXV0aG9yPjxZZWFyPjIwMTE8L1llYXI+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</w:fldData>
        </w:fldChar>
      </w:r>
      <w:r w:rsidR="00896BE2">
        <w:instrText xml:space="preserve"> ADDIN EN.CITE </w:instrText>
      </w:r>
      <w:r w:rsidR="00896BE2">
        <w:fldChar w:fldCharType="begin">
          <w:fldData xml:space="preserve">PEVuZE5vdGU+PENpdGU+PEF1dGhvcj5CbG9tYmVyeTwvQXV0aG9yPjxZZWFyPjIwMTE8L1llYXI+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</w:fldData>
        </w:fldChar>
      </w:r>
      <w:r w:rsidR="00896BE2">
        <w:instrText xml:space="preserve"> ADDIN EN.CITE.DATA </w:instrText>
      </w:r>
      <w:r w:rsidR="00896BE2">
        <w:fldChar w:fldCharType="end"/>
      </w:r>
      <w:r w:rsidR="00896BE2">
        <w:fldChar w:fldCharType="separate"/>
      </w:r>
      <w:r w:rsidR="00896BE2">
        <w:rPr>
          <w:noProof/>
        </w:rPr>
        <w:t>(</w:t>
      </w:r>
      <w:hyperlink w:anchor="_ENREF_6" w:tooltip="Blombery, 2011 #45" w:history="1">
        <w:r w:rsidR="00BB0145">
          <w:rPr>
            <w:noProof/>
          </w:rPr>
          <w:t>Blombery et al. 2011</w:t>
        </w:r>
      </w:hyperlink>
      <w:r w:rsidR="00896BE2">
        <w:rPr>
          <w:noProof/>
        </w:rPr>
        <w:t>)</w:t>
      </w:r>
      <w:r w:rsidR="00896BE2">
        <w:fldChar w:fldCharType="end"/>
      </w:r>
      <w:r w:rsidR="00CA3FC4" w:rsidRPr="007D0AA8">
        <w:t xml:space="preserve"> investigated a single peri-transplant dose in HSCT recipients, thus it was not representative of current clinical practice as it applies to use IgG within the NBA arrangements. The study found no difference in days of hospital admissions between</w:t>
      </w:r>
      <w:r w:rsidR="00EE3B81" w:rsidRPr="007D0AA8">
        <w:t xml:space="preserve"> IVIg and No IVIg groups</w:t>
      </w:r>
      <w:r w:rsidR="00A603CB">
        <w:t xml:space="preserve"> (p=0.16) and but higher days of IV antimicrobials in IVIg patients compared to No IVIg (p=0.046)</w:t>
      </w:r>
      <w:r w:rsidR="00EE3B81" w:rsidRPr="007D0AA8">
        <w:t>. This wa</w:t>
      </w:r>
      <w:r w:rsidR="00CA3FC4" w:rsidRPr="007D0AA8">
        <w:t>s likely due to higher risk of infection at baseline</w:t>
      </w:r>
      <w:r w:rsidR="00EE3B81" w:rsidRPr="007D0AA8">
        <w:t xml:space="preserve"> in the IVIg </w:t>
      </w:r>
      <w:r w:rsidR="00EE3B81" w:rsidRPr="00D67A6E">
        <w:t>group</w:t>
      </w:r>
      <w:r w:rsidR="00CA3FC4" w:rsidRPr="00D67A6E">
        <w:t>. This study is discussed further in the section above on infections, which was the main outcome</w:t>
      </w:r>
      <w:r w:rsidR="00CA3FC4" w:rsidRPr="007D0AA8">
        <w:t xml:space="preserve"> reported for this study. </w:t>
      </w:r>
    </w:p>
    <w:p w14:paraId="0C817F7A" w14:textId="6D1E0B8F" w:rsidR="00B16221" w:rsidRPr="007D0AA8" w:rsidRDefault="00C7338B" w:rsidP="004F5B8A">
      <w:r>
        <w:t xml:space="preserve">A second Australian cohort study </w:t>
      </w:r>
      <w:r w:rsidR="00896BE2">
        <w:fldChar w:fldCharType="begin">
          <w:fldData xml:space="preserve">PEVuZE5vdGU+PENpdGU+PEF1dGhvcj5QYXh0b248L0F1dGhvcj48WWVhcj4yMDE2PC9ZZWFyPjxS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</w:fldData>
        </w:fldChar>
      </w:r>
      <w:r w:rsidR="00896BE2">
        <w:instrText xml:space="preserve"> ADDIN EN.CITE </w:instrText>
      </w:r>
      <w:r w:rsidR="00896BE2">
        <w:fldChar w:fldCharType="begin">
          <w:fldData xml:space="preserve">PEVuZE5vdGU+PENpdGU+PEF1dGhvcj5QYXh0b248L0F1dGhvcj48WWVhcj4yMDE2PC9ZZWFyPjxS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</w:fldData>
        </w:fldChar>
      </w:r>
      <w:r w:rsidR="00896BE2">
        <w:instrText xml:space="preserve"> ADDIN EN.CITE.DATA </w:instrText>
      </w:r>
      <w:r w:rsidR="00896BE2">
        <w:fldChar w:fldCharType="end"/>
      </w:r>
      <w:r w:rsidR="00896BE2">
        <w:fldChar w:fldCharType="separate"/>
      </w:r>
      <w:r w:rsidR="00896BE2">
        <w:rPr>
          <w:noProof/>
        </w:rPr>
        <w:t>(</w:t>
      </w:r>
      <w:hyperlink w:anchor="_ENREF_39" w:tooltip="Paxton, 2016 #66" w:history="1">
        <w:r w:rsidR="00BB0145">
          <w:rPr>
            <w:noProof/>
          </w:rPr>
          <w:t>Paxton, Hawkins &amp; Crispin 2016</w:t>
        </w:r>
      </w:hyperlink>
      <w:r w:rsidR="00896BE2">
        <w:rPr>
          <w:noProof/>
        </w:rPr>
        <w:t>)</w:t>
      </w:r>
      <w:r w:rsidR="00896BE2">
        <w:fldChar w:fldCharType="end"/>
      </w:r>
      <w:r w:rsidR="00824451" w:rsidRPr="007D0AA8">
        <w:t xml:space="preserve"> </w:t>
      </w:r>
      <w:r w:rsidR="00237C7A" w:rsidRPr="007D0AA8">
        <w:t>was considered representative of</w:t>
      </w:r>
      <w:r w:rsidR="00824451" w:rsidRPr="007D0AA8">
        <w:t xml:space="preserve"> recent clinical practice for use of </w:t>
      </w:r>
      <w:r w:rsidR="00B16221" w:rsidRPr="007D0AA8">
        <w:t>IVIg</w:t>
      </w:r>
      <w:r w:rsidR="00824451" w:rsidRPr="007D0AA8">
        <w:t xml:space="preserve"> in this population. </w:t>
      </w:r>
      <w:r w:rsidR="00B16221" w:rsidRPr="007D0AA8">
        <w:t xml:space="preserve">Hospitalisation for infection was reported as the main outcome, rather than infections themselves. </w:t>
      </w:r>
      <w:r w:rsidR="00824451" w:rsidRPr="007D0AA8">
        <w:t>The a</w:t>
      </w:r>
      <w:r w:rsidR="0076369D" w:rsidRPr="007D0AA8">
        <w:t xml:space="preserve">uthors of the article observed that, patients who went on to receive </w:t>
      </w:r>
      <w:r w:rsidR="00B16221" w:rsidRPr="007D0AA8">
        <w:t>IVIg</w:t>
      </w:r>
      <w:r w:rsidR="0076369D" w:rsidRPr="007D0AA8">
        <w:t xml:space="preserve"> had a higher </w:t>
      </w:r>
      <w:r w:rsidR="00824451" w:rsidRPr="007D0AA8">
        <w:t>rate</w:t>
      </w:r>
      <w:r w:rsidR="0076369D" w:rsidRPr="007D0AA8">
        <w:t xml:space="preserve"> of hospitalisation</w:t>
      </w:r>
      <w:r w:rsidR="00B16221" w:rsidRPr="007D0AA8">
        <w:t xml:space="preserve"> for infections at baseline</w:t>
      </w:r>
      <w:r w:rsidR="0076369D" w:rsidRPr="007D0AA8">
        <w:t xml:space="preserve"> than those who never received </w:t>
      </w:r>
      <w:r w:rsidR="00B16221" w:rsidRPr="007D0AA8">
        <w:t>IVIg</w:t>
      </w:r>
      <w:r w:rsidR="0076369D" w:rsidRPr="007D0AA8">
        <w:t>, highlighting the selection bias which was a feature of essentially all the retrospective studies in the clinical evidence.</w:t>
      </w:r>
      <w:r w:rsidR="00824451" w:rsidRPr="007D0AA8">
        <w:t xml:space="preserve"> Prior to </w:t>
      </w:r>
      <w:r w:rsidR="00B16221" w:rsidRPr="007D0AA8">
        <w:t>IVIg</w:t>
      </w:r>
      <w:r w:rsidR="00824451" w:rsidRPr="007D0AA8">
        <w:t xml:space="preserve">, the treated patients had a relative risk of hospitalisation of 3.1 (95% CI 1.6-4.9) compared with after </w:t>
      </w:r>
      <w:r w:rsidR="00B16221" w:rsidRPr="007D0AA8">
        <w:t>IVIg</w:t>
      </w:r>
      <w:r w:rsidR="00824451" w:rsidRPr="007D0AA8">
        <w:t xml:space="preserve"> treatment. In contrast, prior to treatment these same patients had a relative risk of 5.5 (95% CI 3.0-10) compared with the never treated group. Thus the treated group was at higher risk of hospitalisation but this did improve with </w:t>
      </w:r>
      <w:r w:rsidR="00B16221" w:rsidRPr="007D0AA8">
        <w:t>IVIg</w:t>
      </w:r>
      <w:r w:rsidR="00824451" w:rsidRPr="007D0AA8">
        <w:t xml:space="preserve"> treatment, though not to the same level as the never treated patients. </w:t>
      </w:r>
    </w:p>
    <w:p w14:paraId="20DC1E4A" w14:textId="0FE46BB3" w:rsidR="00824451" w:rsidRPr="007D0AA8" w:rsidRDefault="00B16221" w:rsidP="004F5B8A">
      <w:r w:rsidRPr="007D0AA8">
        <w:t xml:space="preserve">When the groups </w:t>
      </w:r>
      <w:r w:rsidR="0047474A">
        <w:t xml:space="preserve">in the Paxton study </w:t>
      </w:r>
      <w:r w:rsidRPr="007D0AA8">
        <w:t xml:space="preserve">were divided by serum IgG levels prior to the study period, never treated patients (regardless of serum IgG levels) had broadly similar rates of hospitalisation as the rates observed in treated patients whose serum </w:t>
      </w:r>
      <w:r w:rsidR="00DD763B" w:rsidRPr="007D0AA8">
        <w:t xml:space="preserve">IgG </w:t>
      </w:r>
      <w:r w:rsidRPr="007D0AA8">
        <w:t>was above the 4</w:t>
      </w:r>
      <w:r w:rsidR="006F6384">
        <w:t xml:space="preserve"> </w:t>
      </w:r>
      <w:r w:rsidRPr="007D0AA8">
        <w:t xml:space="preserve">g/L threshold. In contrast, </w:t>
      </w:r>
      <w:r w:rsidRPr="007D0AA8">
        <w:lastRenderedPageBreak/>
        <w:t>the patients who had serum IgG&lt;4</w:t>
      </w:r>
      <w:r w:rsidR="006F6384">
        <w:t xml:space="preserve"> </w:t>
      </w:r>
      <w:r w:rsidRPr="007D0AA8">
        <w:t xml:space="preserve">g/L who also went on to receive IVIg had very high rates of hospitalisation at baseline. </w:t>
      </w:r>
    </w:p>
    <w:p w14:paraId="1E35B20E" w14:textId="10315D0B" w:rsidR="0076369D" w:rsidRPr="007D0AA8" w:rsidRDefault="00DD763B" w:rsidP="00824451">
      <w:r w:rsidRPr="007D0AA8">
        <w:t xml:space="preserve">Although the treated and untreated patients had essentially the same risk of hospitalisation during the study, Paxton </w:t>
      </w:r>
      <w:r w:rsidR="0047474A">
        <w:t>authors</w:t>
      </w:r>
      <w:r w:rsidRPr="007D0AA8">
        <w:t xml:space="preserve"> did not conclude a lack of efficacy of IVIg. Instead, t</w:t>
      </w:r>
      <w:r w:rsidR="00824451" w:rsidRPr="007D0AA8">
        <w:t>he</w:t>
      </w:r>
      <w:r w:rsidR="009F1CC3" w:rsidRPr="007D0AA8">
        <w:t xml:space="preserve"> authors c</w:t>
      </w:r>
      <w:r w:rsidRPr="007D0AA8">
        <w:t>onsidered these results identified a population of hypogammaglobulinaemic patients who were unlikely to develop infections and that this</w:t>
      </w:r>
      <w:r w:rsidR="00824451" w:rsidRPr="007D0AA8">
        <w:t xml:space="preserve"> suppor</w:t>
      </w:r>
      <w:r w:rsidR="009F1CC3" w:rsidRPr="007D0AA8">
        <w:t>ted</w:t>
      </w:r>
      <w:r w:rsidR="00824451" w:rsidRPr="007D0AA8">
        <w:t xml:space="preserve"> withholding IVIg unless </w:t>
      </w:r>
      <w:r w:rsidR="009F1CC3" w:rsidRPr="007D0AA8">
        <w:t>the patient ha</w:t>
      </w:r>
      <w:r w:rsidRPr="007D0AA8">
        <w:t>d</w:t>
      </w:r>
      <w:r w:rsidR="00824451" w:rsidRPr="007D0AA8">
        <w:t xml:space="preserve"> an infection history.  </w:t>
      </w:r>
    </w:p>
    <w:p w14:paraId="3A87A9F9" w14:textId="2ACC8BA2" w:rsidR="0076369D" w:rsidRPr="007D0AA8" w:rsidRDefault="00C7338B" w:rsidP="004F5B8A">
      <w:r>
        <w:t>One retrospective cohort</w:t>
      </w:r>
      <w:r w:rsidR="00EE3B81" w:rsidRPr="007D0AA8">
        <w:t xml:space="preserve"> study</w:t>
      </w:r>
      <w:r>
        <w:t xml:space="preserve"> in children in the USA </w:t>
      </w:r>
      <w:r w:rsidR="00896BE2">
        <w:fldChar w:fldCharType="begin">
          <w:fldData xml:space="preserve">PEVuZE5vdGU+PENpdGU+PEF1dGhvcj5WYW4gV2lua2xlPC9BdXRob3I+PFllYXI+MjAxODwvWWVh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=
</w:fldData>
        </w:fldChar>
      </w:r>
      <w:r w:rsidR="00896BE2">
        <w:instrText xml:space="preserve"> ADDIN EN.CITE </w:instrText>
      </w:r>
      <w:r w:rsidR="00896BE2">
        <w:fldChar w:fldCharType="begin">
          <w:fldData xml:space="preserve">PEVuZE5vdGU+PENpdGU+PEF1dGhvcj5WYW4gV2lua2xlPC9BdXRob3I+PFllYXI+MjAxODwvWWVh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=
</w:fldData>
        </w:fldChar>
      </w:r>
      <w:r w:rsidR="00896BE2">
        <w:instrText xml:space="preserve"> ADDIN EN.CITE.DATA </w:instrText>
      </w:r>
      <w:r w:rsidR="00896BE2">
        <w:fldChar w:fldCharType="end"/>
      </w:r>
      <w:r w:rsidR="00896BE2">
        <w:fldChar w:fldCharType="separate"/>
      </w:r>
      <w:r w:rsidR="00896BE2">
        <w:rPr>
          <w:noProof/>
        </w:rPr>
        <w:t>(</w:t>
      </w:r>
      <w:hyperlink w:anchor="_ENREF_53" w:tooltip="Van Winkle, 2018 #26" w:history="1">
        <w:r w:rsidR="00BB0145">
          <w:rPr>
            <w:noProof/>
          </w:rPr>
          <w:t>Van Winkle et al. 2018</w:t>
        </w:r>
      </w:hyperlink>
      <w:r w:rsidR="00896BE2">
        <w:rPr>
          <w:noProof/>
        </w:rPr>
        <w:t>)</w:t>
      </w:r>
      <w:r w:rsidR="00896BE2">
        <w:fldChar w:fldCharType="end"/>
      </w:r>
      <w:r w:rsidR="00EE3B81" w:rsidRPr="007D0AA8">
        <w:t xml:space="preserve"> was one of the few included studies of </w:t>
      </w:r>
      <w:r>
        <w:t>patients</w:t>
      </w:r>
      <w:r w:rsidR="00EE3B81" w:rsidRPr="007D0AA8">
        <w:t xml:space="preserve"> with ALL. The authors reported</w:t>
      </w:r>
      <w:r>
        <w:t xml:space="preserve"> </w:t>
      </w:r>
      <w:r w:rsidR="00EE3B81" w:rsidRPr="007D0AA8">
        <w:t xml:space="preserve">incidence and days of hospitalisation as part of infectious complications outcomes, concluding that there was no difference between the IVIg and No IVIg groups. As with the Blombery study, this was likely due to higher risk of infection at </w:t>
      </w:r>
      <w:r w:rsidR="00EE3B81" w:rsidRPr="00D67A6E">
        <w:t>baseline in the IVIg group. This study is discussed further in the section above on infections</w:t>
      </w:r>
      <w:r w:rsidR="00EE3B81" w:rsidRPr="007D0AA8">
        <w:t xml:space="preserve">.  </w:t>
      </w:r>
    </w:p>
    <w:p w14:paraId="3E3F2844" w14:textId="4E6A46DD" w:rsidR="00C7338B" w:rsidRDefault="00C7338B" w:rsidP="00C7338B">
      <w:pPr>
        <w:rPr>
          <w:rFonts w:asciiTheme="minorHAnsi" w:hAnsiTheme="minorHAnsi" w:cstheme="minorHAnsi"/>
        </w:rPr>
      </w:pPr>
      <w:bookmarkStart w:id="315" w:name="_Ref9943670"/>
      <w:bookmarkStart w:id="316" w:name="_Ref12899473"/>
      <w:r>
        <w:t>A</w:t>
      </w:r>
      <w:r w:rsidRPr="007D0AA8">
        <w:t xml:space="preserve"> large registry study of CLL and MM patients </w:t>
      </w:r>
      <w:r>
        <w:t>aimed to evaluate</w:t>
      </w:r>
      <w:r w:rsidRPr="007D0AA8">
        <w:t xml:space="preserve"> TEE risks associated with IgG (any route of administration)</w:t>
      </w:r>
      <w:r w:rsidR="006F6384">
        <w:t xml:space="preserve"> </w:t>
      </w:r>
      <w:r w:rsidR="00896BE2">
        <w:fldChar w:fldCharType="begin">
          <w:fldData xml:space="preserve">PEVuZE5vdGU+PENpdGU+PEF1dGhvcj5BbW1hbm48L0F1dGhvcj48WWVhcj4yMDE2PC9ZZWFyPjxS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</w:fldData>
        </w:fldChar>
      </w:r>
      <w:r w:rsidR="00896BE2">
        <w:instrText xml:space="preserve"> ADDIN EN.CITE </w:instrText>
      </w:r>
      <w:r w:rsidR="00896BE2">
        <w:fldChar w:fldCharType="begin">
          <w:fldData xml:space="preserve">PEVuZE5vdGU+PENpdGU+PEF1dGhvcj5BbW1hbm48L0F1dGhvcj48WWVhcj4yMDE2PC9ZZWFyPjxS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</w:fldData>
        </w:fldChar>
      </w:r>
      <w:r w:rsidR="00896BE2">
        <w:instrText xml:space="preserve"> ADDIN EN.CITE.DATA </w:instrText>
      </w:r>
      <w:r w:rsidR="00896BE2">
        <w:fldChar w:fldCharType="end"/>
      </w:r>
      <w:r w:rsidR="00896BE2">
        <w:fldChar w:fldCharType="separate"/>
      </w:r>
      <w:r w:rsidR="00896BE2">
        <w:rPr>
          <w:noProof/>
        </w:rPr>
        <w:t>(</w:t>
      </w:r>
      <w:hyperlink w:anchor="_ENREF_1" w:tooltip="Ammann, 2016 #1" w:history="1">
        <w:r w:rsidR="00BB0145">
          <w:rPr>
            <w:noProof/>
          </w:rPr>
          <w:t>Ammann et al. 2016</w:t>
        </w:r>
      </w:hyperlink>
      <w:r w:rsidR="00896BE2">
        <w:rPr>
          <w:noProof/>
        </w:rPr>
        <w:t>)</w:t>
      </w:r>
      <w:r w:rsidR="00896BE2">
        <w:fldChar w:fldCharType="end"/>
      </w:r>
      <w:r w:rsidRPr="007D0AA8">
        <w:t xml:space="preserve">. Hospitalisation for pneumonia was the only infection-related parameter reported in the study, though as a covariate rather than an outcome.  </w:t>
      </w:r>
      <w:r w:rsidR="00D67A6E">
        <w:t>F</w:t>
      </w:r>
      <w:r w:rsidRPr="00D67A6E">
        <w:t xml:space="preserve">or the rates of hospitalisation for pneumonia there was essentially no difference between IgG and control groups. </w:t>
      </w:r>
      <w:r w:rsidRPr="00D67A6E">
        <w:rPr>
          <w:rFonts w:asciiTheme="minorHAnsi" w:hAnsiTheme="minorHAnsi" w:cstheme="minorHAnsi"/>
        </w:rPr>
        <w:t>The</w:t>
      </w:r>
      <w:r w:rsidRPr="007D0AA8">
        <w:rPr>
          <w:rFonts w:asciiTheme="minorHAnsi" w:hAnsiTheme="minorHAnsi" w:cstheme="minorHAnsi"/>
        </w:rPr>
        <w:t xml:space="preserve"> propensity-matched set of patients had corresponding 12 month rates of prior infections (influenza, pneumonia, bronchitis, UTIs, sepsis and others), however there were no data regarding baseline levels of serum IgG and – as with other retrospective studies – the patients that received IgG likely had a higher risk of infection prior to treatment. </w:t>
      </w:r>
    </w:p>
    <w:p w14:paraId="7834273A" w14:textId="77777777" w:rsidR="00440739" w:rsidRPr="00386411" w:rsidRDefault="00440739" w:rsidP="00440739">
      <w:pPr>
        <w:pStyle w:val="Caption"/>
        <w:keepNext/>
        <w:rPr>
          <w:rFonts w:cs="Arial"/>
          <w:snapToGrid w:val="0"/>
          <w:szCs w:val="16"/>
          <w:lang w:eastAsia="en-US"/>
        </w:rPr>
      </w:pPr>
      <w:bookmarkStart w:id="317" w:name="_Ref14270452"/>
      <w:bookmarkStart w:id="318" w:name="_Toc14429567"/>
      <w:bookmarkStart w:id="319" w:name="_Toc16671622"/>
      <w:r w:rsidRPr="00386411">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24</w:t>
      </w:r>
      <w:r w:rsidRPr="00386411">
        <w:rPr>
          <w:noProof/>
        </w:rPr>
        <w:fldChar w:fldCharType="end"/>
      </w:r>
      <w:bookmarkEnd w:id="315"/>
      <w:bookmarkEnd w:id="316"/>
      <w:bookmarkEnd w:id="317"/>
      <w:r w:rsidRPr="00386411">
        <w:tab/>
      </w:r>
      <w:r w:rsidRPr="00386411">
        <w:rPr>
          <w:rFonts w:cs="Arial"/>
          <w:snapToGrid w:val="0"/>
          <w:szCs w:val="16"/>
          <w:lang w:eastAsia="en-US"/>
        </w:rPr>
        <w:t>Studies presenting resource use – non-comparative studies</w:t>
      </w:r>
      <w:bookmarkEnd w:id="318"/>
      <w:bookmarkEnd w:id="319"/>
      <w:r w:rsidRPr="00386411">
        <w:rPr>
          <w:rFonts w:cs="Arial"/>
          <w:snapToGrid w:val="0"/>
          <w:szCs w:val="16"/>
          <w:lang w:eastAsia="en-US"/>
        </w:rPr>
        <w:t xml:space="preserve"> </w:t>
      </w:r>
    </w:p>
    <w:tbl>
      <w:tblPr>
        <w:tblW w:w="5121" w:type="pct"/>
        <w:tblLayout w:type="fixed"/>
        <w:tblLook w:val="04A0" w:firstRow="1" w:lastRow="0" w:firstColumn="1" w:lastColumn="0" w:noHBand="0" w:noVBand="1"/>
      </w:tblPr>
      <w:tblGrid>
        <w:gridCol w:w="1442"/>
        <w:gridCol w:w="1891"/>
        <w:gridCol w:w="865"/>
        <w:gridCol w:w="11"/>
        <w:gridCol w:w="1984"/>
        <w:gridCol w:w="15"/>
        <w:gridCol w:w="1952"/>
        <w:gridCol w:w="21"/>
        <w:gridCol w:w="1285"/>
      </w:tblGrid>
      <w:tr w:rsidR="00072426" w:rsidRPr="00386411" w14:paraId="7145C72B" w14:textId="77777777" w:rsidTr="00B52A4F">
        <w:tc>
          <w:tcPr>
            <w:tcW w:w="7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C0FFB1" w14:textId="77777777" w:rsidR="00072426" w:rsidRPr="00386411" w:rsidRDefault="00072426" w:rsidP="002E0763">
            <w:pPr>
              <w:spacing w:after="0" w:line="240" w:lineRule="auto"/>
              <w:rPr>
                <w:rFonts w:ascii="Arial Narrow" w:hAnsi="Arial Narrow"/>
                <w:b/>
                <w:sz w:val="20"/>
                <w:szCs w:val="20"/>
              </w:rPr>
            </w:pPr>
            <w:r w:rsidRPr="00386411">
              <w:rPr>
                <w:rFonts w:ascii="Arial Narrow" w:hAnsi="Arial Narrow" w:cs="Calibri"/>
                <w:b/>
                <w:color w:val="000000"/>
                <w:sz w:val="20"/>
                <w:szCs w:val="20"/>
              </w:rPr>
              <w:t>Study, Indication</w:t>
            </w:r>
          </w:p>
        </w:tc>
        <w:tc>
          <w:tcPr>
            <w:tcW w:w="146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1E02B2" w14:textId="77777777" w:rsidR="00072426" w:rsidRPr="00386411" w:rsidRDefault="00072426" w:rsidP="002E0763">
            <w:pPr>
              <w:spacing w:after="0" w:line="240" w:lineRule="auto"/>
              <w:rPr>
                <w:rFonts w:ascii="Arial Narrow" w:hAnsi="Arial Narrow"/>
                <w:b/>
                <w:sz w:val="20"/>
              </w:rPr>
            </w:pPr>
            <w:r w:rsidRPr="00386411">
              <w:rPr>
                <w:rFonts w:ascii="Arial Narrow" w:hAnsi="Arial Narrow"/>
                <w:b/>
                <w:sz w:val="20"/>
              </w:rPr>
              <w:t>Outcome</w:t>
            </w:r>
          </w:p>
        </w:tc>
        <w:tc>
          <w:tcPr>
            <w:tcW w:w="105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15A0E87" w14:textId="77777777" w:rsidR="00072426" w:rsidRPr="00386411" w:rsidRDefault="00072426" w:rsidP="002E0763">
            <w:pPr>
              <w:spacing w:after="0" w:line="240" w:lineRule="auto"/>
              <w:jc w:val="center"/>
              <w:rPr>
                <w:rFonts w:ascii="Arial Narrow" w:hAnsi="Arial Narrow"/>
                <w:b/>
                <w:sz w:val="20"/>
                <w:szCs w:val="20"/>
              </w:rPr>
            </w:pPr>
            <w:r w:rsidRPr="00386411">
              <w:rPr>
                <w:rFonts w:ascii="Arial Narrow" w:hAnsi="Arial Narrow"/>
                <w:b/>
                <w:sz w:val="20"/>
              </w:rPr>
              <w:t>Comparator (prior IgG)</w:t>
            </w:r>
          </w:p>
        </w:tc>
        <w:tc>
          <w:tcPr>
            <w:tcW w:w="103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6EC1CCC" w14:textId="77777777" w:rsidR="00072426" w:rsidRPr="00386411" w:rsidRDefault="00072426" w:rsidP="002E0763">
            <w:pPr>
              <w:spacing w:after="0" w:line="240" w:lineRule="auto"/>
              <w:jc w:val="center"/>
              <w:rPr>
                <w:rFonts w:ascii="Arial Narrow" w:hAnsi="Arial Narrow"/>
                <w:b/>
                <w:sz w:val="20"/>
                <w:szCs w:val="20"/>
              </w:rPr>
            </w:pPr>
            <w:r w:rsidRPr="00386411">
              <w:rPr>
                <w:rFonts w:ascii="Arial Narrow" w:hAnsi="Arial Narrow"/>
                <w:b/>
                <w:sz w:val="20"/>
              </w:rPr>
              <w:t>Intervention (after IgG)</w:t>
            </w:r>
          </w:p>
        </w:tc>
        <w:tc>
          <w:tcPr>
            <w:tcW w:w="69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19A118" w14:textId="77777777" w:rsidR="00072426" w:rsidRPr="00386411" w:rsidRDefault="00072426" w:rsidP="002E0763">
            <w:pPr>
              <w:spacing w:after="0" w:line="240" w:lineRule="auto"/>
              <w:jc w:val="center"/>
              <w:rPr>
                <w:rFonts w:ascii="Arial Narrow" w:hAnsi="Arial Narrow"/>
                <w:b/>
                <w:sz w:val="20"/>
                <w:szCs w:val="20"/>
              </w:rPr>
            </w:pPr>
            <w:r w:rsidRPr="00386411">
              <w:rPr>
                <w:rFonts w:ascii="Arial Narrow" w:hAnsi="Arial Narrow"/>
                <w:b/>
                <w:sz w:val="20"/>
              </w:rPr>
              <w:t>Comparison</w:t>
            </w:r>
          </w:p>
        </w:tc>
      </w:tr>
      <w:tr w:rsidR="00072426" w:rsidRPr="00386411" w14:paraId="400A4429" w14:textId="77777777" w:rsidTr="002E0763">
        <w:tc>
          <w:tcPr>
            <w:tcW w:w="5000" w:type="pct"/>
            <w:gridSpan w:val="9"/>
            <w:tcBorders>
              <w:top w:val="single" w:sz="4" w:space="0" w:color="auto"/>
              <w:left w:val="single" w:sz="4" w:space="0" w:color="auto"/>
              <w:bottom w:val="single" w:sz="4" w:space="0" w:color="auto"/>
              <w:right w:val="single" w:sz="4" w:space="0" w:color="auto"/>
            </w:tcBorders>
            <w:shd w:val="clear" w:color="auto" w:fill="000000" w:themeFill="text1"/>
          </w:tcPr>
          <w:p w14:paraId="1CF6B855" w14:textId="77777777" w:rsidR="00072426" w:rsidRPr="00386411" w:rsidRDefault="00072426" w:rsidP="002E0763">
            <w:pPr>
              <w:spacing w:after="0" w:line="240" w:lineRule="auto"/>
              <w:rPr>
                <w:rFonts w:ascii="Arial Narrow" w:hAnsi="Arial Narrow"/>
                <w:b/>
                <w:sz w:val="20"/>
                <w:szCs w:val="20"/>
              </w:rPr>
            </w:pPr>
            <w:r>
              <w:rPr>
                <w:rFonts w:ascii="Arial Narrow" w:hAnsi="Arial Narrow"/>
                <w:b/>
                <w:sz w:val="20"/>
                <w:szCs w:val="20"/>
              </w:rPr>
              <w:t>Case</w:t>
            </w:r>
            <w:r w:rsidRPr="00386411">
              <w:rPr>
                <w:rFonts w:ascii="Arial Narrow" w:hAnsi="Arial Narrow"/>
                <w:b/>
                <w:sz w:val="20"/>
                <w:szCs w:val="20"/>
              </w:rPr>
              <w:t xml:space="preserve"> series</w:t>
            </w:r>
          </w:p>
        </w:tc>
      </w:tr>
      <w:tr w:rsidR="00072426" w:rsidRPr="00386411" w14:paraId="765B007B" w14:textId="77777777" w:rsidTr="00B52A4F">
        <w:tc>
          <w:tcPr>
            <w:tcW w:w="7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E5A3F9" w14:textId="77777777" w:rsidR="00072426" w:rsidRPr="00386411" w:rsidRDefault="00072426" w:rsidP="002E0763">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Benbrahim et al., 2019</w:t>
            </w:r>
          </w:p>
        </w:tc>
        <w:tc>
          <w:tcPr>
            <w:tcW w:w="145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D06172" w14:textId="77777777" w:rsidR="00072426" w:rsidRPr="00386411" w:rsidRDefault="00072426" w:rsidP="002E0763">
            <w:pPr>
              <w:spacing w:after="0" w:line="240" w:lineRule="auto"/>
              <w:rPr>
                <w:rFonts w:ascii="Arial Narrow" w:hAnsi="Arial Narrow"/>
                <w:b/>
                <w:sz w:val="20"/>
              </w:rPr>
            </w:pPr>
            <w:r w:rsidRPr="00386411">
              <w:rPr>
                <w:rFonts w:ascii="Arial Narrow" w:hAnsi="Arial Narrow"/>
                <w:b/>
                <w:sz w:val="20"/>
              </w:rPr>
              <w:t>Infectious episodes</w:t>
            </w:r>
          </w:p>
        </w:tc>
        <w:tc>
          <w:tcPr>
            <w:tcW w:w="1054" w:type="pct"/>
            <w:gridSpan w:val="2"/>
            <w:tcBorders>
              <w:top w:val="single" w:sz="4" w:space="0" w:color="auto"/>
              <w:left w:val="single" w:sz="4" w:space="0" w:color="auto"/>
              <w:bottom w:val="single" w:sz="4" w:space="0" w:color="auto"/>
            </w:tcBorders>
            <w:shd w:val="clear" w:color="auto" w:fill="D9D9D9" w:themeFill="background1" w:themeFillShade="D9"/>
            <w:noWrap/>
          </w:tcPr>
          <w:p w14:paraId="4D373206" w14:textId="77777777" w:rsidR="00072426" w:rsidRPr="00386411" w:rsidRDefault="00072426" w:rsidP="002E0763">
            <w:pPr>
              <w:spacing w:after="0" w:line="240" w:lineRule="auto"/>
              <w:ind w:right="-106"/>
              <w:jc w:val="center"/>
              <w:rPr>
                <w:rFonts w:ascii="Arial Narrow" w:hAnsi="Arial Narrow"/>
                <w:b/>
                <w:sz w:val="20"/>
              </w:rPr>
            </w:pPr>
            <w:r w:rsidRPr="00386411">
              <w:rPr>
                <w:rFonts w:ascii="Arial Narrow" w:hAnsi="Arial Narrow"/>
                <w:b/>
                <w:sz w:val="20"/>
              </w:rPr>
              <w:t>Baseline Total (N=160)</w:t>
            </w:r>
            <w:r w:rsidRPr="00386411">
              <w:rPr>
                <w:rFonts w:ascii="Arial Narrow" w:hAnsi="Arial Narrow"/>
                <w:b/>
                <w:sz w:val="20"/>
              </w:rPr>
              <w:br/>
              <w:t>(IVIg n=50, SCIg n=110)</w:t>
            </w:r>
          </w:p>
        </w:tc>
        <w:tc>
          <w:tcPr>
            <w:tcW w:w="1050" w:type="pct"/>
            <w:gridSpan w:val="3"/>
            <w:tcBorders>
              <w:top w:val="single" w:sz="4" w:space="0" w:color="auto"/>
              <w:bottom w:val="single" w:sz="4" w:space="0" w:color="auto"/>
            </w:tcBorders>
            <w:shd w:val="clear" w:color="auto" w:fill="D9D9D9" w:themeFill="background1" w:themeFillShade="D9"/>
            <w:noWrap/>
          </w:tcPr>
          <w:p w14:paraId="5986E153" w14:textId="77777777" w:rsidR="00072426" w:rsidRPr="00386411" w:rsidRDefault="00072426" w:rsidP="002E0763">
            <w:pPr>
              <w:spacing w:after="0" w:line="240" w:lineRule="auto"/>
              <w:ind w:right="-106"/>
              <w:jc w:val="center"/>
              <w:rPr>
                <w:rFonts w:ascii="Arial Narrow" w:hAnsi="Arial Narrow"/>
                <w:b/>
                <w:sz w:val="20"/>
              </w:rPr>
            </w:pPr>
            <w:r w:rsidRPr="00386411">
              <w:rPr>
                <w:rFonts w:ascii="Arial Narrow" w:hAnsi="Arial Narrow"/>
                <w:b/>
                <w:sz w:val="20"/>
                <w:szCs w:val="20"/>
              </w:rPr>
              <w:t xml:space="preserve">Last visit </w:t>
            </w:r>
            <w:r w:rsidRPr="00386411">
              <w:rPr>
                <w:rFonts w:ascii="Arial Narrow" w:hAnsi="Arial Narrow"/>
                <w:b/>
                <w:sz w:val="20"/>
              </w:rPr>
              <w:t>(N=160)</w:t>
            </w:r>
            <w:r w:rsidRPr="00386411">
              <w:rPr>
                <w:rFonts w:ascii="Arial Narrow" w:hAnsi="Arial Narrow"/>
                <w:b/>
                <w:sz w:val="20"/>
              </w:rPr>
              <w:br/>
              <w:t>(IVIg n=50, SCIg n=110)</w:t>
            </w:r>
          </w:p>
        </w:tc>
        <w:tc>
          <w:tcPr>
            <w:tcW w:w="679" w:type="pct"/>
            <w:tcBorders>
              <w:top w:val="single" w:sz="4" w:space="0" w:color="auto"/>
              <w:bottom w:val="single" w:sz="4" w:space="0" w:color="auto"/>
              <w:right w:val="single" w:sz="4" w:space="0" w:color="auto"/>
            </w:tcBorders>
            <w:shd w:val="clear" w:color="auto" w:fill="D9D9D9" w:themeFill="background1" w:themeFillShade="D9"/>
          </w:tcPr>
          <w:p w14:paraId="267F227E" w14:textId="77777777" w:rsidR="00072426" w:rsidRPr="00386411" w:rsidRDefault="00072426" w:rsidP="002E0763">
            <w:pPr>
              <w:spacing w:after="0" w:line="240" w:lineRule="auto"/>
              <w:jc w:val="center"/>
              <w:rPr>
                <w:rFonts w:ascii="Arial Narrow" w:hAnsi="Arial Narrow"/>
                <w:b/>
                <w:sz w:val="20"/>
              </w:rPr>
            </w:pPr>
          </w:p>
        </w:tc>
      </w:tr>
      <w:tr w:rsidR="00072426" w:rsidRPr="007D0AA8" w14:paraId="7DFD0904" w14:textId="77777777" w:rsidTr="002E0763">
        <w:tc>
          <w:tcPr>
            <w:tcW w:w="761" w:type="pct"/>
            <w:tcBorders>
              <w:top w:val="single" w:sz="4" w:space="0" w:color="auto"/>
              <w:left w:val="single" w:sz="4" w:space="0" w:color="auto"/>
              <w:right w:val="single" w:sz="4" w:space="0" w:color="auto"/>
            </w:tcBorders>
          </w:tcPr>
          <w:p w14:paraId="1C2E5E2E" w14:textId="77777777" w:rsidR="00072426" w:rsidRPr="007D0AA8" w:rsidRDefault="00072426" w:rsidP="002E0763">
            <w:pPr>
              <w:spacing w:after="0" w:line="240" w:lineRule="auto"/>
              <w:ind w:left="-57" w:right="-108"/>
              <w:rPr>
                <w:rFonts w:ascii="Arial Narrow" w:hAnsi="Arial Narrow" w:cs="Calibri"/>
                <w:color w:val="000000"/>
                <w:sz w:val="20"/>
                <w:szCs w:val="20"/>
              </w:rPr>
            </w:pPr>
            <w:r w:rsidRPr="007D0AA8">
              <w:rPr>
                <w:rFonts w:ascii="Arial Narrow" w:hAnsi="Arial Narrow"/>
                <w:sz w:val="18"/>
                <w:szCs w:val="20"/>
              </w:rPr>
              <w:t>MM(54), CLL(54), NHL(48), HL(4)</w:t>
            </w:r>
          </w:p>
        </w:tc>
        <w:tc>
          <w:tcPr>
            <w:tcW w:w="1456" w:type="pct"/>
            <w:gridSpan w:val="2"/>
            <w:tcBorders>
              <w:top w:val="single" w:sz="4" w:space="0" w:color="auto"/>
              <w:left w:val="single" w:sz="4" w:space="0" w:color="auto"/>
              <w:bottom w:val="single" w:sz="4" w:space="0" w:color="auto"/>
              <w:right w:val="single" w:sz="4" w:space="0" w:color="auto"/>
            </w:tcBorders>
          </w:tcPr>
          <w:p w14:paraId="39DFC8FA" w14:textId="77777777" w:rsidR="00072426" w:rsidRPr="007D0AA8" w:rsidRDefault="00072426" w:rsidP="002E0763">
            <w:pPr>
              <w:spacing w:after="0" w:line="240" w:lineRule="auto"/>
              <w:rPr>
                <w:rFonts w:ascii="Arial Narrow" w:hAnsi="Arial Narrow"/>
                <w:sz w:val="20"/>
              </w:rPr>
            </w:pPr>
            <w:r w:rsidRPr="007D0AA8">
              <w:rPr>
                <w:rFonts w:ascii="Arial Narrow" w:hAnsi="Arial Narrow"/>
                <w:sz w:val="20"/>
              </w:rPr>
              <w:t>Patients with hypo-GG</w:t>
            </w:r>
          </w:p>
        </w:tc>
        <w:tc>
          <w:tcPr>
            <w:tcW w:w="1054" w:type="pct"/>
            <w:gridSpan w:val="2"/>
            <w:tcBorders>
              <w:top w:val="single" w:sz="4" w:space="0" w:color="auto"/>
              <w:left w:val="single" w:sz="4" w:space="0" w:color="auto"/>
              <w:bottom w:val="single" w:sz="4" w:space="0" w:color="auto"/>
            </w:tcBorders>
            <w:shd w:val="clear" w:color="auto" w:fill="auto"/>
            <w:noWrap/>
          </w:tcPr>
          <w:p w14:paraId="592DF67C" w14:textId="77777777" w:rsidR="00072426" w:rsidRPr="007D0AA8" w:rsidRDefault="00072426" w:rsidP="002E0763">
            <w:pPr>
              <w:spacing w:after="0" w:line="240" w:lineRule="auto"/>
              <w:jc w:val="center"/>
              <w:rPr>
                <w:rFonts w:ascii="Arial Narrow" w:hAnsi="Arial Narrow"/>
                <w:sz w:val="20"/>
              </w:rPr>
            </w:pPr>
            <w:r w:rsidRPr="007D0AA8">
              <w:rPr>
                <w:rFonts w:ascii="Arial Narrow" w:hAnsi="Arial Narrow"/>
                <w:sz w:val="20"/>
              </w:rPr>
              <w:t>69.2%</w:t>
            </w:r>
          </w:p>
        </w:tc>
        <w:tc>
          <w:tcPr>
            <w:tcW w:w="1050" w:type="pct"/>
            <w:gridSpan w:val="3"/>
            <w:tcBorders>
              <w:top w:val="single" w:sz="4" w:space="0" w:color="auto"/>
              <w:bottom w:val="single" w:sz="4" w:space="0" w:color="auto"/>
            </w:tcBorders>
            <w:shd w:val="clear" w:color="auto" w:fill="auto"/>
            <w:noWrap/>
          </w:tcPr>
          <w:p w14:paraId="5355E0D1" w14:textId="77777777" w:rsidR="00072426" w:rsidRPr="007D0AA8" w:rsidRDefault="00072426" w:rsidP="002E0763">
            <w:pPr>
              <w:spacing w:after="0" w:line="240" w:lineRule="auto"/>
              <w:jc w:val="center"/>
              <w:rPr>
                <w:rFonts w:ascii="Arial Narrow" w:hAnsi="Arial Narrow"/>
                <w:sz w:val="20"/>
              </w:rPr>
            </w:pPr>
            <w:r w:rsidRPr="007D0AA8">
              <w:rPr>
                <w:rFonts w:ascii="Arial Narrow" w:hAnsi="Arial Narrow"/>
                <w:sz w:val="20"/>
              </w:rPr>
              <w:t>15.9%</w:t>
            </w:r>
          </w:p>
        </w:tc>
        <w:tc>
          <w:tcPr>
            <w:tcW w:w="679" w:type="pct"/>
            <w:tcBorders>
              <w:top w:val="single" w:sz="4" w:space="0" w:color="auto"/>
              <w:bottom w:val="single" w:sz="4" w:space="0" w:color="auto"/>
              <w:right w:val="single" w:sz="4" w:space="0" w:color="auto"/>
            </w:tcBorders>
          </w:tcPr>
          <w:p w14:paraId="209E8FBD" w14:textId="77777777" w:rsidR="00072426" w:rsidRPr="007D0AA8" w:rsidRDefault="00072426" w:rsidP="002E0763">
            <w:pPr>
              <w:spacing w:after="0" w:line="240" w:lineRule="auto"/>
              <w:jc w:val="center"/>
              <w:rPr>
                <w:rFonts w:ascii="Arial Narrow" w:hAnsi="Arial Narrow"/>
                <w:sz w:val="20"/>
              </w:rPr>
            </w:pPr>
            <w:r w:rsidRPr="007D0AA8">
              <w:rPr>
                <w:rFonts w:ascii="Arial Narrow" w:hAnsi="Arial Narrow"/>
                <w:sz w:val="20"/>
              </w:rPr>
              <w:t>p=0.14</w:t>
            </w:r>
          </w:p>
        </w:tc>
      </w:tr>
      <w:tr w:rsidR="00072426" w:rsidRPr="007D0AA8" w14:paraId="54DFEC59" w14:textId="77777777" w:rsidTr="002E0763">
        <w:tc>
          <w:tcPr>
            <w:tcW w:w="761" w:type="pct"/>
            <w:tcBorders>
              <w:left w:val="single" w:sz="4" w:space="0" w:color="auto"/>
              <w:right w:val="single" w:sz="4" w:space="0" w:color="auto"/>
            </w:tcBorders>
          </w:tcPr>
          <w:p w14:paraId="6F4FE9F8" w14:textId="77777777" w:rsidR="00072426" w:rsidRPr="007D0AA8" w:rsidRDefault="00072426" w:rsidP="002E0763">
            <w:pPr>
              <w:spacing w:after="0" w:line="240" w:lineRule="auto"/>
              <w:rPr>
                <w:rFonts w:ascii="Arial Narrow" w:hAnsi="Arial Narrow" w:cs="Calibri"/>
                <w:color w:val="000000"/>
                <w:sz w:val="20"/>
                <w:szCs w:val="20"/>
              </w:rPr>
            </w:pPr>
          </w:p>
        </w:tc>
        <w:tc>
          <w:tcPr>
            <w:tcW w:w="1456" w:type="pct"/>
            <w:gridSpan w:val="2"/>
            <w:tcBorders>
              <w:top w:val="single" w:sz="4" w:space="0" w:color="auto"/>
              <w:left w:val="single" w:sz="4" w:space="0" w:color="auto"/>
              <w:bottom w:val="single" w:sz="4" w:space="0" w:color="auto"/>
              <w:right w:val="single" w:sz="4" w:space="0" w:color="auto"/>
            </w:tcBorders>
          </w:tcPr>
          <w:p w14:paraId="67CFB153" w14:textId="77777777" w:rsidR="00072426" w:rsidRPr="00AB2E0B" w:rsidRDefault="00072426" w:rsidP="002E0763">
            <w:pPr>
              <w:spacing w:after="0" w:line="240" w:lineRule="auto"/>
              <w:rPr>
                <w:rFonts w:ascii="Arial Narrow" w:hAnsi="Arial Narrow"/>
                <w:b/>
                <w:sz w:val="20"/>
              </w:rPr>
            </w:pPr>
            <w:r w:rsidRPr="00AB2E0B">
              <w:rPr>
                <w:rFonts w:ascii="Arial Narrow" w:hAnsi="Arial Narrow"/>
                <w:b/>
                <w:sz w:val="20"/>
                <w:szCs w:val="20"/>
              </w:rPr>
              <w:t>Incidence of infectious episodes per patient*year</w:t>
            </w:r>
          </w:p>
        </w:tc>
        <w:tc>
          <w:tcPr>
            <w:tcW w:w="1054" w:type="pct"/>
            <w:gridSpan w:val="2"/>
            <w:tcBorders>
              <w:top w:val="single" w:sz="4" w:space="0" w:color="auto"/>
              <w:left w:val="single" w:sz="4" w:space="0" w:color="auto"/>
              <w:bottom w:val="single" w:sz="4" w:space="0" w:color="auto"/>
            </w:tcBorders>
            <w:shd w:val="clear" w:color="auto" w:fill="auto"/>
            <w:noWrap/>
          </w:tcPr>
          <w:p w14:paraId="25D29C17" w14:textId="77777777" w:rsidR="00072426" w:rsidRPr="00AB2E0B" w:rsidRDefault="00072426" w:rsidP="002E0763">
            <w:pPr>
              <w:spacing w:after="0" w:line="240" w:lineRule="auto"/>
              <w:jc w:val="center"/>
              <w:rPr>
                <w:rFonts w:ascii="Arial Narrow" w:hAnsi="Arial Narrow"/>
                <w:b/>
                <w:sz w:val="20"/>
              </w:rPr>
            </w:pPr>
            <w:r w:rsidRPr="00AB2E0B">
              <w:rPr>
                <w:rFonts w:ascii="Arial Narrow" w:hAnsi="Arial Narrow"/>
                <w:b/>
                <w:sz w:val="20"/>
                <w:szCs w:val="20"/>
              </w:rPr>
              <w:t>Prior to study</w:t>
            </w:r>
            <w:r w:rsidRPr="00AB2E0B">
              <w:rPr>
                <w:rFonts w:ascii="Arial Narrow" w:hAnsi="Arial Narrow"/>
                <w:b/>
                <w:sz w:val="20"/>
                <w:szCs w:val="20"/>
              </w:rPr>
              <w:br/>
              <w:t>(95% CI)</w:t>
            </w:r>
          </w:p>
        </w:tc>
        <w:tc>
          <w:tcPr>
            <w:tcW w:w="1050" w:type="pct"/>
            <w:gridSpan w:val="3"/>
            <w:tcBorders>
              <w:top w:val="single" w:sz="4" w:space="0" w:color="auto"/>
              <w:bottom w:val="single" w:sz="4" w:space="0" w:color="auto"/>
            </w:tcBorders>
            <w:shd w:val="clear" w:color="auto" w:fill="auto"/>
            <w:noWrap/>
          </w:tcPr>
          <w:p w14:paraId="1BBAD727" w14:textId="77777777" w:rsidR="00072426" w:rsidRPr="00AB2E0B" w:rsidRDefault="00072426" w:rsidP="002E0763">
            <w:pPr>
              <w:spacing w:after="0" w:line="240" w:lineRule="auto"/>
              <w:jc w:val="center"/>
              <w:rPr>
                <w:rFonts w:ascii="Arial Narrow" w:hAnsi="Arial Narrow"/>
                <w:b/>
                <w:sz w:val="20"/>
              </w:rPr>
            </w:pPr>
            <w:r w:rsidRPr="00AB2E0B">
              <w:rPr>
                <w:rFonts w:ascii="Arial Narrow" w:hAnsi="Arial Narrow"/>
                <w:b/>
                <w:sz w:val="20"/>
                <w:szCs w:val="20"/>
              </w:rPr>
              <w:t xml:space="preserve">During follow-up </w:t>
            </w:r>
            <w:r w:rsidRPr="00AB2E0B">
              <w:rPr>
                <w:rFonts w:ascii="Arial Narrow" w:hAnsi="Arial Narrow"/>
                <w:b/>
                <w:sz w:val="20"/>
                <w:szCs w:val="20"/>
              </w:rPr>
              <w:br/>
              <w:t>(95% CI)</w:t>
            </w:r>
          </w:p>
        </w:tc>
        <w:tc>
          <w:tcPr>
            <w:tcW w:w="679" w:type="pct"/>
            <w:tcBorders>
              <w:top w:val="single" w:sz="4" w:space="0" w:color="auto"/>
              <w:bottom w:val="single" w:sz="4" w:space="0" w:color="auto"/>
              <w:right w:val="single" w:sz="4" w:space="0" w:color="auto"/>
            </w:tcBorders>
          </w:tcPr>
          <w:p w14:paraId="69DCC0DE" w14:textId="77777777" w:rsidR="00072426" w:rsidRPr="00AB2E0B" w:rsidRDefault="00072426" w:rsidP="002E0763">
            <w:pPr>
              <w:spacing w:after="0" w:line="240" w:lineRule="auto"/>
              <w:jc w:val="center"/>
              <w:rPr>
                <w:rFonts w:ascii="Arial Narrow" w:hAnsi="Arial Narrow"/>
                <w:b/>
                <w:sz w:val="20"/>
              </w:rPr>
            </w:pPr>
            <w:r w:rsidRPr="00AB2E0B">
              <w:rPr>
                <w:rFonts w:ascii="Arial Narrow" w:hAnsi="Arial Narrow"/>
                <w:b/>
                <w:sz w:val="20"/>
                <w:szCs w:val="20"/>
              </w:rPr>
              <w:t>p-value</w:t>
            </w:r>
          </w:p>
        </w:tc>
      </w:tr>
      <w:tr w:rsidR="00072426" w:rsidRPr="007D0AA8" w14:paraId="4A2639B6" w14:textId="77777777" w:rsidTr="002E0763">
        <w:tc>
          <w:tcPr>
            <w:tcW w:w="761" w:type="pct"/>
            <w:tcBorders>
              <w:left w:val="single" w:sz="4" w:space="0" w:color="auto"/>
              <w:right w:val="single" w:sz="4" w:space="0" w:color="auto"/>
            </w:tcBorders>
          </w:tcPr>
          <w:p w14:paraId="2D7AFB28" w14:textId="77777777" w:rsidR="00072426" w:rsidRPr="007D0AA8" w:rsidRDefault="00072426" w:rsidP="002E0763">
            <w:pPr>
              <w:spacing w:after="0" w:line="240" w:lineRule="auto"/>
              <w:rPr>
                <w:rFonts w:ascii="Arial Narrow" w:hAnsi="Arial Narrow" w:cs="Calibri"/>
                <w:color w:val="000000"/>
                <w:sz w:val="20"/>
                <w:szCs w:val="20"/>
              </w:rPr>
            </w:pPr>
          </w:p>
        </w:tc>
        <w:tc>
          <w:tcPr>
            <w:tcW w:w="1456" w:type="pct"/>
            <w:gridSpan w:val="2"/>
            <w:tcBorders>
              <w:top w:val="single" w:sz="4" w:space="0" w:color="auto"/>
              <w:left w:val="single" w:sz="4" w:space="0" w:color="auto"/>
              <w:right w:val="single" w:sz="4" w:space="0" w:color="auto"/>
            </w:tcBorders>
          </w:tcPr>
          <w:p w14:paraId="62020BCA" w14:textId="77777777" w:rsidR="00072426" w:rsidRPr="007D0AA8" w:rsidRDefault="00072426" w:rsidP="002E0763">
            <w:pPr>
              <w:spacing w:after="0" w:line="240" w:lineRule="auto"/>
              <w:rPr>
                <w:rFonts w:ascii="Arial Narrow" w:hAnsi="Arial Narrow"/>
                <w:sz w:val="20"/>
              </w:rPr>
            </w:pPr>
            <w:r w:rsidRPr="007D0AA8">
              <w:rPr>
                <w:rFonts w:ascii="Arial Narrow" w:hAnsi="Arial Narrow"/>
                <w:sz w:val="20"/>
              </w:rPr>
              <w:t>Infections requiring antibiotics</w:t>
            </w:r>
            <w:r w:rsidRPr="007D0AA8">
              <w:rPr>
                <w:rFonts w:ascii="Arial Narrow" w:hAnsi="Arial Narrow"/>
                <w:sz w:val="20"/>
              </w:rPr>
              <w:br/>
            </w:r>
            <w:r>
              <w:rPr>
                <w:rFonts w:ascii="Arial Narrow" w:hAnsi="Arial Narrow"/>
                <w:i/>
                <w:sz w:val="20"/>
                <w:szCs w:val="20"/>
              </w:rPr>
              <w:t>total events (12mo)</w:t>
            </w:r>
            <w:r>
              <w:rPr>
                <w:rFonts w:ascii="Arial Narrow" w:hAnsi="Arial Narrow"/>
                <w:i/>
                <w:sz w:val="20"/>
                <w:szCs w:val="20"/>
              </w:rPr>
              <w:br/>
            </w:r>
            <w:r w:rsidRPr="007D0AA8">
              <w:rPr>
                <w:rFonts w:ascii="Arial Narrow" w:hAnsi="Arial Narrow"/>
                <w:i/>
                <w:sz w:val="20"/>
                <w:szCs w:val="20"/>
              </w:rPr>
              <w:t>rate /patient/month</w:t>
            </w:r>
          </w:p>
        </w:tc>
        <w:tc>
          <w:tcPr>
            <w:tcW w:w="1054" w:type="pct"/>
            <w:gridSpan w:val="2"/>
            <w:tcBorders>
              <w:top w:val="single" w:sz="4" w:space="0" w:color="auto"/>
              <w:left w:val="single" w:sz="4" w:space="0" w:color="auto"/>
            </w:tcBorders>
            <w:shd w:val="clear" w:color="auto" w:fill="auto"/>
            <w:noWrap/>
          </w:tcPr>
          <w:p w14:paraId="038B318F" w14:textId="77777777" w:rsidR="00072426" w:rsidRPr="007D0AA8" w:rsidRDefault="00072426" w:rsidP="002E0763">
            <w:pPr>
              <w:spacing w:after="0" w:line="240" w:lineRule="auto"/>
              <w:jc w:val="center"/>
              <w:rPr>
                <w:rFonts w:ascii="Arial Narrow" w:hAnsi="Arial Narrow"/>
                <w:sz w:val="20"/>
              </w:rPr>
            </w:pPr>
            <w:r w:rsidRPr="007D0AA8">
              <w:rPr>
                <w:rFonts w:ascii="Arial Narrow" w:hAnsi="Arial Narrow"/>
                <w:sz w:val="20"/>
              </w:rPr>
              <w:t>2.06 (1.82–2.33)</w:t>
            </w:r>
          </w:p>
          <w:p w14:paraId="0DF8E104" w14:textId="77777777" w:rsidR="00072426" w:rsidRPr="007D0AA8" w:rsidRDefault="00072426" w:rsidP="002E0763">
            <w:pPr>
              <w:spacing w:after="0" w:line="240" w:lineRule="auto"/>
              <w:jc w:val="center"/>
              <w:rPr>
                <w:rFonts w:ascii="Arial Narrow" w:hAnsi="Arial Narrow"/>
                <w:sz w:val="20"/>
              </w:rPr>
            </w:pPr>
            <w:r>
              <w:rPr>
                <w:rFonts w:ascii="Arial Narrow" w:hAnsi="Arial Narrow"/>
                <w:i/>
                <w:sz w:val="20"/>
              </w:rPr>
              <w:t>330</w:t>
            </w:r>
            <w:r>
              <w:rPr>
                <w:rFonts w:ascii="Arial Narrow" w:hAnsi="Arial Narrow"/>
                <w:i/>
                <w:sz w:val="20"/>
              </w:rPr>
              <w:br/>
            </w:r>
            <w:r w:rsidRPr="007D0AA8">
              <w:rPr>
                <w:rFonts w:ascii="Arial Narrow" w:hAnsi="Arial Narrow"/>
                <w:i/>
                <w:sz w:val="20"/>
              </w:rPr>
              <w:t>0.172</w:t>
            </w:r>
          </w:p>
        </w:tc>
        <w:tc>
          <w:tcPr>
            <w:tcW w:w="1050" w:type="pct"/>
            <w:gridSpan w:val="3"/>
            <w:tcBorders>
              <w:top w:val="single" w:sz="4" w:space="0" w:color="auto"/>
            </w:tcBorders>
            <w:shd w:val="clear" w:color="auto" w:fill="auto"/>
            <w:noWrap/>
          </w:tcPr>
          <w:p w14:paraId="1FDD146C" w14:textId="77777777" w:rsidR="00072426" w:rsidRPr="007D0AA8" w:rsidRDefault="00072426" w:rsidP="002E0763">
            <w:pPr>
              <w:spacing w:after="0" w:line="240" w:lineRule="auto"/>
              <w:jc w:val="center"/>
              <w:rPr>
                <w:rFonts w:ascii="Arial Narrow" w:hAnsi="Arial Narrow"/>
                <w:sz w:val="20"/>
              </w:rPr>
            </w:pPr>
            <w:r w:rsidRPr="007D0AA8">
              <w:rPr>
                <w:rFonts w:ascii="Arial Narrow" w:hAnsi="Arial Narrow"/>
                <w:sz w:val="20"/>
              </w:rPr>
              <w:t>1.28 (0.99–1.66)</w:t>
            </w:r>
          </w:p>
          <w:p w14:paraId="7F652F06" w14:textId="77777777" w:rsidR="00072426" w:rsidRPr="007D0AA8" w:rsidRDefault="00072426" w:rsidP="002E0763">
            <w:pPr>
              <w:spacing w:after="0" w:line="240" w:lineRule="auto"/>
              <w:jc w:val="center"/>
              <w:rPr>
                <w:rFonts w:ascii="Arial Narrow" w:hAnsi="Arial Narrow"/>
                <w:sz w:val="20"/>
              </w:rPr>
            </w:pPr>
            <w:r>
              <w:rPr>
                <w:rFonts w:ascii="Arial Narrow" w:hAnsi="Arial Narrow"/>
                <w:i/>
                <w:sz w:val="20"/>
                <w:szCs w:val="20"/>
              </w:rPr>
              <w:t>205</w:t>
            </w:r>
            <w:r>
              <w:rPr>
                <w:rFonts w:ascii="Arial Narrow" w:hAnsi="Arial Narrow"/>
                <w:i/>
                <w:sz w:val="20"/>
                <w:szCs w:val="20"/>
              </w:rPr>
              <w:br/>
            </w:r>
            <w:r w:rsidRPr="007D0AA8">
              <w:rPr>
                <w:rFonts w:ascii="Arial Narrow" w:hAnsi="Arial Narrow"/>
                <w:i/>
                <w:sz w:val="20"/>
                <w:szCs w:val="20"/>
              </w:rPr>
              <w:t>0.107</w:t>
            </w:r>
          </w:p>
        </w:tc>
        <w:tc>
          <w:tcPr>
            <w:tcW w:w="679" w:type="pct"/>
            <w:tcBorders>
              <w:top w:val="single" w:sz="4" w:space="0" w:color="auto"/>
              <w:right w:val="single" w:sz="4" w:space="0" w:color="auto"/>
            </w:tcBorders>
          </w:tcPr>
          <w:p w14:paraId="67C9F76F" w14:textId="77777777" w:rsidR="00072426" w:rsidRPr="007D0AA8" w:rsidRDefault="00072426" w:rsidP="002E0763">
            <w:pPr>
              <w:spacing w:after="0" w:line="240" w:lineRule="auto"/>
              <w:jc w:val="center"/>
              <w:rPr>
                <w:rFonts w:ascii="Arial Narrow" w:hAnsi="Arial Narrow"/>
                <w:sz w:val="20"/>
              </w:rPr>
            </w:pPr>
            <w:r w:rsidRPr="007D0AA8">
              <w:rPr>
                <w:rFonts w:ascii="Arial Narrow" w:hAnsi="Arial Narrow"/>
                <w:sz w:val="20"/>
              </w:rPr>
              <w:t>p&lt;0.0001</w:t>
            </w:r>
          </w:p>
        </w:tc>
      </w:tr>
      <w:tr w:rsidR="00072426" w:rsidRPr="007D0AA8" w14:paraId="4E8F6B1D" w14:textId="77777777" w:rsidTr="002E0763">
        <w:tc>
          <w:tcPr>
            <w:tcW w:w="761" w:type="pct"/>
            <w:tcBorders>
              <w:left w:val="single" w:sz="4" w:space="0" w:color="auto"/>
              <w:right w:val="single" w:sz="4" w:space="0" w:color="auto"/>
            </w:tcBorders>
          </w:tcPr>
          <w:p w14:paraId="3780D389" w14:textId="77777777" w:rsidR="00072426" w:rsidRPr="007D0AA8" w:rsidRDefault="00072426" w:rsidP="002E0763">
            <w:pPr>
              <w:spacing w:after="0" w:line="240" w:lineRule="auto"/>
              <w:rPr>
                <w:rFonts w:ascii="Arial Narrow" w:hAnsi="Arial Narrow" w:cs="Calibri"/>
                <w:color w:val="000000"/>
                <w:sz w:val="20"/>
                <w:szCs w:val="20"/>
              </w:rPr>
            </w:pPr>
          </w:p>
        </w:tc>
        <w:tc>
          <w:tcPr>
            <w:tcW w:w="1456" w:type="pct"/>
            <w:gridSpan w:val="2"/>
            <w:tcBorders>
              <w:left w:val="single" w:sz="4" w:space="0" w:color="auto"/>
              <w:right w:val="single" w:sz="4" w:space="0" w:color="auto"/>
            </w:tcBorders>
          </w:tcPr>
          <w:p w14:paraId="643FEF22" w14:textId="77777777" w:rsidR="00072426" w:rsidRPr="007D0AA8" w:rsidRDefault="00072426" w:rsidP="002E0763">
            <w:pPr>
              <w:spacing w:after="0" w:line="240" w:lineRule="auto"/>
              <w:rPr>
                <w:rFonts w:ascii="Arial Narrow" w:hAnsi="Arial Narrow"/>
                <w:sz w:val="20"/>
              </w:rPr>
            </w:pPr>
            <w:r w:rsidRPr="007D0AA8">
              <w:rPr>
                <w:rFonts w:ascii="Arial Narrow" w:hAnsi="Arial Narrow"/>
                <w:sz w:val="20"/>
              </w:rPr>
              <w:t>Infections requiring IV antibiotics</w:t>
            </w:r>
            <w:r>
              <w:rPr>
                <w:rFonts w:ascii="Arial Narrow" w:hAnsi="Arial Narrow"/>
                <w:sz w:val="20"/>
              </w:rPr>
              <w:br/>
            </w:r>
            <w:r w:rsidRPr="00AB2E0B">
              <w:rPr>
                <w:rFonts w:ascii="Arial Narrow" w:hAnsi="Arial Narrow"/>
                <w:i/>
                <w:sz w:val="20"/>
              </w:rPr>
              <w:t>total events</w:t>
            </w:r>
            <w:r>
              <w:rPr>
                <w:rFonts w:ascii="Arial Narrow" w:hAnsi="Arial Narrow"/>
                <w:i/>
                <w:sz w:val="20"/>
              </w:rPr>
              <w:t xml:space="preserve"> (12mo)</w:t>
            </w:r>
            <w:r w:rsidRPr="007D0AA8">
              <w:rPr>
                <w:rFonts w:ascii="Arial Narrow" w:hAnsi="Arial Narrow"/>
                <w:sz w:val="20"/>
              </w:rPr>
              <w:br/>
            </w:r>
            <w:r w:rsidRPr="007D0AA8">
              <w:rPr>
                <w:rFonts w:ascii="Arial Narrow" w:hAnsi="Arial Narrow"/>
                <w:i/>
                <w:sz w:val="20"/>
                <w:szCs w:val="20"/>
              </w:rPr>
              <w:t>rate /patient/month</w:t>
            </w:r>
          </w:p>
        </w:tc>
        <w:tc>
          <w:tcPr>
            <w:tcW w:w="1054" w:type="pct"/>
            <w:gridSpan w:val="2"/>
            <w:tcBorders>
              <w:left w:val="single" w:sz="4" w:space="0" w:color="auto"/>
            </w:tcBorders>
            <w:shd w:val="clear" w:color="auto" w:fill="auto"/>
            <w:noWrap/>
          </w:tcPr>
          <w:p w14:paraId="03C5C652" w14:textId="77777777" w:rsidR="00072426" w:rsidRPr="007D0AA8" w:rsidRDefault="00072426" w:rsidP="002E0763">
            <w:pPr>
              <w:spacing w:after="0" w:line="240" w:lineRule="auto"/>
              <w:jc w:val="center"/>
              <w:rPr>
                <w:rFonts w:ascii="Arial Narrow" w:hAnsi="Arial Narrow"/>
                <w:sz w:val="20"/>
              </w:rPr>
            </w:pPr>
            <w:r w:rsidRPr="007D0AA8">
              <w:rPr>
                <w:rFonts w:ascii="Arial Narrow" w:hAnsi="Arial Narrow"/>
                <w:sz w:val="20"/>
              </w:rPr>
              <w:t>0.45 [0.36–0.57]</w:t>
            </w:r>
          </w:p>
          <w:p w14:paraId="5555D888" w14:textId="77777777" w:rsidR="00072426" w:rsidRPr="007D0AA8" w:rsidRDefault="00072426" w:rsidP="002E0763">
            <w:pPr>
              <w:spacing w:after="0" w:line="240" w:lineRule="auto"/>
              <w:jc w:val="center"/>
              <w:rPr>
                <w:rFonts w:ascii="Arial Narrow" w:hAnsi="Arial Narrow"/>
                <w:sz w:val="20"/>
              </w:rPr>
            </w:pPr>
            <w:r>
              <w:rPr>
                <w:rFonts w:ascii="Arial Narrow" w:hAnsi="Arial Narrow"/>
                <w:i/>
                <w:sz w:val="20"/>
              </w:rPr>
              <w:t>72</w:t>
            </w:r>
            <w:r>
              <w:rPr>
                <w:rFonts w:ascii="Arial Narrow" w:hAnsi="Arial Narrow"/>
                <w:i/>
                <w:sz w:val="20"/>
              </w:rPr>
              <w:br/>
            </w:r>
            <w:r w:rsidRPr="007D0AA8">
              <w:rPr>
                <w:rFonts w:ascii="Arial Narrow" w:hAnsi="Arial Narrow"/>
                <w:i/>
                <w:sz w:val="20"/>
              </w:rPr>
              <w:t>0.034</w:t>
            </w:r>
          </w:p>
        </w:tc>
        <w:tc>
          <w:tcPr>
            <w:tcW w:w="1050" w:type="pct"/>
            <w:gridSpan w:val="3"/>
            <w:shd w:val="clear" w:color="auto" w:fill="auto"/>
            <w:noWrap/>
          </w:tcPr>
          <w:p w14:paraId="5960C1B5" w14:textId="77777777" w:rsidR="00072426" w:rsidRPr="007D0AA8" w:rsidRDefault="00072426" w:rsidP="002E0763">
            <w:pPr>
              <w:spacing w:after="0" w:line="240" w:lineRule="auto"/>
              <w:jc w:val="center"/>
              <w:rPr>
                <w:rFonts w:ascii="Arial Narrow" w:hAnsi="Arial Narrow"/>
                <w:sz w:val="20"/>
              </w:rPr>
            </w:pPr>
            <w:r w:rsidRPr="007D0AA8">
              <w:rPr>
                <w:rFonts w:ascii="Arial Narrow" w:hAnsi="Arial Narrow"/>
                <w:sz w:val="20"/>
              </w:rPr>
              <w:t>0.27 [0.19–0.39]</w:t>
            </w:r>
          </w:p>
          <w:p w14:paraId="6FF41099" w14:textId="77777777" w:rsidR="00072426" w:rsidRPr="007D0AA8" w:rsidRDefault="00072426" w:rsidP="002E0763">
            <w:pPr>
              <w:spacing w:after="0" w:line="240" w:lineRule="auto"/>
              <w:jc w:val="center"/>
              <w:rPr>
                <w:rFonts w:ascii="Arial Narrow" w:hAnsi="Arial Narrow"/>
                <w:sz w:val="20"/>
              </w:rPr>
            </w:pPr>
            <w:r>
              <w:rPr>
                <w:rFonts w:ascii="Arial Narrow" w:hAnsi="Arial Narrow"/>
                <w:i/>
                <w:sz w:val="20"/>
              </w:rPr>
              <w:t>43</w:t>
            </w:r>
            <w:r>
              <w:rPr>
                <w:rFonts w:ascii="Arial Narrow" w:hAnsi="Arial Narrow"/>
                <w:i/>
                <w:sz w:val="20"/>
              </w:rPr>
              <w:br/>
            </w:r>
            <w:r w:rsidRPr="007D0AA8">
              <w:rPr>
                <w:rFonts w:ascii="Arial Narrow" w:hAnsi="Arial Narrow"/>
                <w:i/>
                <w:sz w:val="20"/>
              </w:rPr>
              <w:t>0.023</w:t>
            </w:r>
          </w:p>
        </w:tc>
        <w:tc>
          <w:tcPr>
            <w:tcW w:w="679" w:type="pct"/>
            <w:tcBorders>
              <w:right w:val="single" w:sz="4" w:space="0" w:color="auto"/>
            </w:tcBorders>
          </w:tcPr>
          <w:p w14:paraId="012DA13E" w14:textId="77777777" w:rsidR="00072426" w:rsidRPr="007D0AA8" w:rsidRDefault="00072426" w:rsidP="002E0763">
            <w:pPr>
              <w:spacing w:after="0" w:line="240" w:lineRule="auto"/>
              <w:jc w:val="center"/>
              <w:rPr>
                <w:rFonts w:ascii="Arial Narrow" w:hAnsi="Arial Narrow"/>
                <w:sz w:val="20"/>
              </w:rPr>
            </w:pPr>
            <w:r w:rsidRPr="007D0AA8">
              <w:rPr>
                <w:rFonts w:ascii="Arial Narrow" w:hAnsi="Arial Narrow"/>
                <w:sz w:val="20"/>
              </w:rPr>
              <w:t>p=0.09</w:t>
            </w:r>
          </w:p>
        </w:tc>
      </w:tr>
      <w:tr w:rsidR="00072426" w:rsidRPr="007D0AA8" w14:paraId="1C542FBB" w14:textId="77777777" w:rsidTr="002E0763">
        <w:tc>
          <w:tcPr>
            <w:tcW w:w="761" w:type="pct"/>
            <w:tcBorders>
              <w:left w:val="single" w:sz="4" w:space="0" w:color="auto"/>
              <w:bottom w:val="single" w:sz="4" w:space="0" w:color="auto"/>
              <w:right w:val="single" w:sz="4" w:space="0" w:color="auto"/>
            </w:tcBorders>
          </w:tcPr>
          <w:p w14:paraId="6F0D1C16" w14:textId="77777777" w:rsidR="00072426" w:rsidRPr="007D0AA8" w:rsidRDefault="00072426" w:rsidP="002E0763">
            <w:pPr>
              <w:spacing w:after="0" w:line="240" w:lineRule="auto"/>
              <w:rPr>
                <w:rFonts w:ascii="Arial Narrow" w:hAnsi="Arial Narrow" w:cs="Calibri"/>
                <w:color w:val="000000"/>
                <w:sz w:val="20"/>
                <w:szCs w:val="20"/>
              </w:rPr>
            </w:pPr>
          </w:p>
        </w:tc>
        <w:tc>
          <w:tcPr>
            <w:tcW w:w="1456" w:type="pct"/>
            <w:gridSpan w:val="2"/>
            <w:tcBorders>
              <w:left w:val="single" w:sz="4" w:space="0" w:color="auto"/>
              <w:bottom w:val="single" w:sz="4" w:space="0" w:color="auto"/>
              <w:right w:val="single" w:sz="4" w:space="0" w:color="auto"/>
            </w:tcBorders>
          </w:tcPr>
          <w:p w14:paraId="64FB7A84" w14:textId="77777777" w:rsidR="00072426" w:rsidRPr="007D0AA8" w:rsidRDefault="00072426" w:rsidP="002E0763">
            <w:pPr>
              <w:spacing w:after="0" w:line="240" w:lineRule="auto"/>
              <w:rPr>
                <w:rFonts w:ascii="Arial Narrow" w:hAnsi="Arial Narrow"/>
                <w:sz w:val="20"/>
              </w:rPr>
            </w:pPr>
            <w:r w:rsidRPr="007D0AA8">
              <w:rPr>
                <w:rFonts w:ascii="Arial Narrow" w:hAnsi="Arial Narrow"/>
                <w:sz w:val="20"/>
              </w:rPr>
              <w:t>Infections requiring hospitalisation</w:t>
            </w:r>
            <w:r>
              <w:rPr>
                <w:rFonts w:ascii="Arial Narrow" w:hAnsi="Arial Narrow"/>
                <w:sz w:val="20"/>
              </w:rPr>
              <w:br/>
            </w:r>
            <w:r w:rsidRPr="00AB2E0B">
              <w:rPr>
                <w:rFonts w:ascii="Arial Narrow" w:hAnsi="Arial Narrow"/>
                <w:i/>
                <w:sz w:val="20"/>
              </w:rPr>
              <w:t>total events</w:t>
            </w:r>
            <w:r>
              <w:rPr>
                <w:rFonts w:ascii="Arial Narrow" w:hAnsi="Arial Narrow"/>
                <w:i/>
                <w:sz w:val="20"/>
              </w:rPr>
              <w:t xml:space="preserve"> (12mo)</w:t>
            </w:r>
            <w:r w:rsidRPr="007D0AA8">
              <w:rPr>
                <w:rFonts w:ascii="Arial Narrow" w:hAnsi="Arial Narrow"/>
                <w:sz w:val="20"/>
              </w:rPr>
              <w:br/>
            </w:r>
            <w:r w:rsidRPr="007D0AA8">
              <w:rPr>
                <w:rFonts w:ascii="Arial Narrow" w:hAnsi="Arial Narrow"/>
                <w:i/>
                <w:sz w:val="20"/>
                <w:szCs w:val="20"/>
              </w:rPr>
              <w:t>rate /patient/month</w:t>
            </w:r>
          </w:p>
        </w:tc>
        <w:tc>
          <w:tcPr>
            <w:tcW w:w="1054" w:type="pct"/>
            <w:gridSpan w:val="2"/>
            <w:tcBorders>
              <w:left w:val="single" w:sz="4" w:space="0" w:color="auto"/>
              <w:bottom w:val="single" w:sz="4" w:space="0" w:color="auto"/>
            </w:tcBorders>
            <w:shd w:val="clear" w:color="auto" w:fill="auto"/>
            <w:noWrap/>
          </w:tcPr>
          <w:p w14:paraId="1E9803FB" w14:textId="77777777" w:rsidR="00072426" w:rsidRPr="007D0AA8" w:rsidRDefault="00072426" w:rsidP="002E0763">
            <w:pPr>
              <w:spacing w:after="0" w:line="240" w:lineRule="auto"/>
              <w:jc w:val="center"/>
              <w:rPr>
                <w:rFonts w:ascii="Arial Narrow" w:hAnsi="Arial Narrow"/>
                <w:sz w:val="20"/>
              </w:rPr>
            </w:pPr>
            <w:r w:rsidRPr="007D0AA8">
              <w:rPr>
                <w:rFonts w:ascii="Arial Narrow" w:hAnsi="Arial Narrow"/>
                <w:sz w:val="20"/>
              </w:rPr>
              <w:t>0.58 [0.45–0.73]</w:t>
            </w:r>
          </w:p>
          <w:p w14:paraId="48DD687C" w14:textId="77777777" w:rsidR="00072426" w:rsidRPr="007D0AA8" w:rsidRDefault="00072426" w:rsidP="002E0763">
            <w:pPr>
              <w:spacing w:after="0" w:line="240" w:lineRule="auto"/>
              <w:jc w:val="center"/>
              <w:rPr>
                <w:rFonts w:ascii="Arial Narrow" w:hAnsi="Arial Narrow"/>
                <w:sz w:val="20"/>
              </w:rPr>
            </w:pPr>
            <w:r>
              <w:rPr>
                <w:rFonts w:ascii="Arial Narrow" w:hAnsi="Arial Narrow"/>
                <w:i/>
                <w:sz w:val="20"/>
              </w:rPr>
              <w:t>93</w:t>
            </w:r>
            <w:r>
              <w:rPr>
                <w:rFonts w:ascii="Arial Narrow" w:hAnsi="Arial Narrow"/>
                <w:i/>
                <w:sz w:val="20"/>
              </w:rPr>
              <w:br/>
            </w:r>
            <w:r w:rsidRPr="007D0AA8">
              <w:rPr>
                <w:rFonts w:ascii="Arial Narrow" w:hAnsi="Arial Narrow"/>
                <w:i/>
                <w:sz w:val="20"/>
              </w:rPr>
              <w:t>0.048</w:t>
            </w:r>
          </w:p>
        </w:tc>
        <w:tc>
          <w:tcPr>
            <w:tcW w:w="1050" w:type="pct"/>
            <w:gridSpan w:val="3"/>
            <w:tcBorders>
              <w:bottom w:val="single" w:sz="4" w:space="0" w:color="auto"/>
            </w:tcBorders>
            <w:shd w:val="clear" w:color="auto" w:fill="auto"/>
            <w:noWrap/>
          </w:tcPr>
          <w:p w14:paraId="70FE2EA4" w14:textId="77777777" w:rsidR="00072426" w:rsidRPr="007D0AA8" w:rsidRDefault="00072426" w:rsidP="002E0763">
            <w:pPr>
              <w:spacing w:after="0" w:line="240" w:lineRule="auto"/>
              <w:jc w:val="center"/>
              <w:rPr>
                <w:rFonts w:ascii="Arial Narrow" w:hAnsi="Arial Narrow"/>
                <w:sz w:val="20"/>
              </w:rPr>
            </w:pPr>
            <w:r w:rsidRPr="007D0AA8">
              <w:rPr>
                <w:rFonts w:ascii="Arial Narrow" w:hAnsi="Arial Narrow"/>
                <w:sz w:val="20"/>
              </w:rPr>
              <w:t>0.31 [0.22–0.44]</w:t>
            </w:r>
          </w:p>
          <w:p w14:paraId="6250425C" w14:textId="77777777" w:rsidR="00072426" w:rsidRPr="007D0AA8" w:rsidRDefault="00072426" w:rsidP="002E0763">
            <w:pPr>
              <w:spacing w:after="0" w:line="240" w:lineRule="auto"/>
              <w:jc w:val="center"/>
              <w:rPr>
                <w:rFonts w:ascii="Arial Narrow" w:hAnsi="Arial Narrow"/>
                <w:sz w:val="20"/>
              </w:rPr>
            </w:pPr>
            <w:r>
              <w:rPr>
                <w:rFonts w:ascii="Arial Narrow" w:hAnsi="Arial Narrow"/>
                <w:i/>
                <w:sz w:val="20"/>
              </w:rPr>
              <w:t>50</w:t>
            </w:r>
            <w:r>
              <w:rPr>
                <w:rFonts w:ascii="Arial Narrow" w:hAnsi="Arial Narrow"/>
                <w:i/>
                <w:sz w:val="20"/>
              </w:rPr>
              <w:br/>
            </w:r>
            <w:r w:rsidRPr="007D0AA8">
              <w:rPr>
                <w:rFonts w:ascii="Arial Narrow" w:hAnsi="Arial Narrow"/>
                <w:i/>
                <w:sz w:val="20"/>
              </w:rPr>
              <w:t>0.026</w:t>
            </w:r>
          </w:p>
        </w:tc>
        <w:tc>
          <w:tcPr>
            <w:tcW w:w="679" w:type="pct"/>
            <w:tcBorders>
              <w:bottom w:val="single" w:sz="4" w:space="0" w:color="auto"/>
              <w:right w:val="single" w:sz="4" w:space="0" w:color="auto"/>
            </w:tcBorders>
          </w:tcPr>
          <w:p w14:paraId="3C0EBC22" w14:textId="77777777" w:rsidR="00072426" w:rsidRPr="007D0AA8" w:rsidRDefault="00072426" w:rsidP="002E0763">
            <w:pPr>
              <w:spacing w:after="0" w:line="240" w:lineRule="auto"/>
              <w:jc w:val="center"/>
              <w:rPr>
                <w:rFonts w:ascii="Arial Narrow" w:hAnsi="Arial Narrow"/>
                <w:sz w:val="20"/>
              </w:rPr>
            </w:pPr>
            <w:r w:rsidRPr="007D0AA8">
              <w:rPr>
                <w:rFonts w:ascii="Arial Narrow" w:hAnsi="Arial Narrow"/>
                <w:sz w:val="20"/>
              </w:rPr>
              <w:t>p=0.04</w:t>
            </w:r>
          </w:p>
        </w:tc>
      </w:tr>
      <w:tr w:rsidR="00072426" w:rsidRPr="00386411" w14:paraId="41EDC3D3" w14:textId="77777777" w:rsidTr="00B52A4F">
        <w:tc>
          <w:tcPr>
            <w:tcW w:w="7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055879" w14:textId="77777777" w:rsidR="00072426" w:rsidRPr="00386411" w:rsidRDefault="00072426" w:rsidP="00D67A6E">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Brenner, 1996</w:t>
            </w:r>
          </w:p>
        </w:tc>
        <w:tc>
          <w:tcPr>
            <w:tcW w:w="9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1FD1A2" w14:textId="77777777" w:rsidR="00072426" w:rsidRPr="00386411" w:rsidRDefault="00072426" w:rsidP="00D67A6E">
            <w:pPr>
              <w:keepNext/>
              <w:spacing w:after="0" w:line="240" w:lineRule="auto"/>
              <w:rPr>
                <w:rFonts w:ascii="Arial Narrow" w:hAnsi="Arial Narrow"/>
                <w:b/>
                <w:sz w:val="20"/>
              </w:rPr>
            </w:pPr>
            <w:r w:rsidRPr="00386411">
              <w:rPr>
                <w:rFonts w:ascii="Arial Narrow" w:hAnsi="Arial Narrow"/>
                <w:b/>
                <w:sz w:val="20"/>
              </w:rPr>
              <w:t>Infections in CLL patients (N=54)</w:t>
            </w:r>
          </w:p>
        </w:tc>
        <w:tc>
          <w:tcPr>
            <w:tcW w:w="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B9E5C2" w14:textId="77777777" w:rsidR="00072426" w:rsidRPr="00386411" w:rsidRDefault="00072426" w:rsidP="00D67A6E">
            <w:pPr>
              <w:keepNext/>
              <w:spacing w:after="0" w:line="240" w:lineRule="auto"/>
              <w:jc w:val="center"/>
              <w:rPr>
                <w:rFonts w:ascii="Arial Narrow" w:hAnsi="Arial Narrow"/>
                <w:b/>
                <w:sz w:val="20"/>
              </w:rPr>
            </w:pPr>
            <w:r w:rsidRPr="00386411">
              <w:rPr>
                <w:rFonts w:ascii="Arial Narrow" w:hAnsi="Arial Narrow"/>
                <w:b/>
                <w:sz w:val="20"/>
              </w:rPr>
              <w:t>Patient history</w:t>
            </w:r>
          </w:p>
        </w:tc>
        <w:tc>
          <w:tcPr>
            <w:tcW w:w="1054" w:type="pct"/>
            <w:gridSpan w:val="2"/>
            <w:tcBorders>
              <w:top w:val="single" w:sz="4" w:space="0" w:color="auto"/>
              <w:left w:val="single" w:sz="4" w:space="0" w:color="auto"/>
              <w:bottom w:val="single" w:sz="4" w:space="0" w:color="auto"/>
              <w:right w:val="nil"/>
            </w:tcBorders>
            <w:shd w:val="clear" w:color="auto" w:fill="D9D9D9" w:themeFill="background1" w:themeFillShade="D9"/>
            <w:noWrap/>
          </w:tcPr>
          <w:p w14:paraId="53AFF5E7" w14:textId="77777777" w:rsidR="00072426" w:rsidRPr="00386411" w:rsidRDefault="00072426" w:rsidP="00D67A6E">
            <w:pPr>
              <w:keepNext/>
              <w:spacing w:after="0" w:line="240" w:lineRule="auto"/>
              <w:jc w:val="center"/>
              <w:rPr>
                <w:rFonts w:ascii="Arial Narrow" w:hAnsi="Arial Narrow"/>
                <w:b/>
                <w:sz w:val="20"/>
              </w:rPr>
            </w:pPr>
            <w:r w:rsidRPr="00386411">
              <w:rPr>
                <w:rFonts w:ascii="Arial Narrow" w:hAnsi="Arial Narrow"/>
                <w:b/>
                <w:sz w:val="20"/>
              </w:rPr>
              <w:t>Equivalent to study period (no IVIg)</w:t>
            </w:r>
          </w:p>
        </w:tc>
        <w:tc>
          <w:tcPr>
            <w:tcW w:w="1050" w:type="pct"/>
            <w:gridSpan w:val="3"/>
            <w:tcBorders>
              <w:top w:val="single" w:sz="4" w:space="0" w:color="auto"/>
              <w:left w:val="single" w:sz="4" w:space="0" w:color="auto"/>
              <w:bottom w:val="single" w:sz="4" w:space="0" w:color="auto"/>
              <w:right w:val="nil"/>
            </w:tcBorders>
            <w:shd w:val="clear" w:color="auto" w:fill="D9D9D9" w:themeFill="background1" w:themeFillShade="D9"/>
            <w:noWrap/>
          </w:tcPr>
          <w:p w14:paraId="20798221" w14:textId="77777777" w:rsidR="00072426" w:rsidRPr="00386411" w:rsidRDefault="00072426" w:rsidP="00D67A6E">
            <w:pPr>
              <w:keepNext/>
              <w:spacing w:after="0" w:line="240" w:lineRule="auto"/>
              <w:jc w:val="center"/>
              <w:rPr>
                <w:rFonts w:ascii="Arial Narrow" w:hAnsi="Arial Narrow"/>
                <w:b/>
                <w:sz w:val="20"/>
              </w:rPr>
            </w:pPr>
            <w:r w:rsidRPr="00386411">
              <w:rPr>
                <w:rFonts w:ascii="Arial Narrow" w:hAnsi="Arial Narrow"/>
                <w:b/>
                <w:sz w:val="20"/>
              </w:rPr>
              <w:t>During study</w:t>
            </w:r>
            <w:r w:rsidRPr="00386411">
              <w:rPr>
                <w:rFonts w:ascii="Arial Narrow" w:hAnsi="Arial Narrow"/>
                <w:b/>
                <w:sz w:val="20"/>
              </w:rPr>
              <w:br/>
              <w:t>period (~12mo)(+IVIg)</w:t>
            </w:r>
          </w:p>
        </w:tc>
        <w:tc>
          <w:tcPr>
            <w:tcW w:w="679" w:type="pct"/>
            <w:tcBorders>
              <w:top w:val="single" w:sz="4" w:space="0" w:color="auto"/>
              <w:left w:val="nil"/>
              <w:bottom w:val="single" w:sz="4" w:space="0" w:color="auto"/>
              <w:right w:val="single" w:sz="4" w:space="0" w:color="auto"/>
            </w:tcBorders>
            <w:shd w:val="clear" w:color="auto" w:fill="D9D9D9" w:themeFill="background1" w:themeFillShade="D9"/>
          </w:tcPr>
          <w:p w14:paraId="7081E2FC" w14:textId="77777777" w:rsidR="00072426" w:rsidRPr="00386411" w:rsidRDefault="00072426" w:rsidP="00D67A6E">
            <w:pPr>
              <w:keepNext/>
              <w:spacing w:after="0" w:line="240" w:lineRule="auto"/>
              <w:jc w:val="center"/>
              <w:rPr>
                <w:rFonts w:ascii="Arial Narrow" w:hAnsi="Arial Narrow"/>
                <w:b/>
                <w:sz w:val="20"/>
              </w:rPr>
            </w:pPr>
          </w:p>
        </w:tc>
      </w:tr>
      <w:tr w:rsidR="00072426" w:rsidRPr="007D0AA8" w14:paraId="51C6A6EA" w14:textId="77777777" w:rsidTr="009B0175">
        <w:tc>
          <w:tcPr>
            <w:tcW w:w="761" w:type="pct"/>
            <w:tcBorders>
              <w:top w:val="single" w:sz="4" w:space="0" w:color="auto"/>
              <w:left w:val="single" w:sz="4" w:space="0" w:color="auto"/>
              <w:right w:val="single" w:sz="4" w:space="0" w:color="auto"/>
            </w:tcBorders>
          </w:tcPr>
          <w:p w14:paraId="597E4D3E" w14:textId="77777777" w:rsidR="00072426" w:rsidRPr="007D0AA8" w:rsidRDefault="00072426" w:rsidP="002E0763">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CLL, MM*</w:t>
            </w:r>
          </w:p>
        </w:tc>
        <w:tc>
          <w:tcPr>
            <w:tcW w:w="999" w:type="pct"/>
            <w:tcBorders>
              <w:top w:val="single" w:sz="4" w:space="0" w:color="auto"/>
              <w:left w:val="single" w:sz="4" w:space="0" w:color="auto"/>
              <w:right w:val="single" w:sz="4" w:space="0" w:color="auto"/>
            </w:tcBorders>
          </w:tcPr>
          <w:p w14:paraId="5D662A53" w14:textId="77777777" w:rsidR="00072426" w:rsidRPr="007D0AA8" w:rsidRDefault="00072426" w:rsidP="002E0763">
            <w:pPr>
              <w:spacing w:after="0" w:line="240" w:lineRule="auto"/>
              <w:rPr>
                <w:rFonts w:ascii="Arial Narrow" w:hAnsi="Arial Narrow"/>
                <w:sz w:val="20"/>
              </w:rPr>
            </w:pPr>
            <w:r w:rsidRPr="007D0AA8">
              <w:rPr>
                <w:rFonts w:ascii="Arial Narrow" w:hAnsi="Arial Narrow"/>
                <w:sz w:val="20"/>
              </w:rPr>
              <w:t>Evaluable patients, N</w:t>
            </w:r>
          </w:p>
        </w:tc>
        <w:tc>
          <w:tcPr>
            <w:tcW w:w="457" w:type="pct"/>
            <w:tcBorders>
              <w:top w:val="single" w:sz="4" w:space="0" w:color="auto"/>
              <w:left w:val="single" w:sz="4" w:space="0" w:color="auto"/>
              <w:right w:val="single" w:sz="4" w:space="0" w:color="auto"/>
            </w:tcBorders>
          </w:tcPr>
          <w:p w14:paraId="33729416" w14:textId="77777777" w:rsidR="00072426" w:rsidRPr="007D0AA8" w:rsidRDefault="00072426" w:rsidP="002E0763">
            <w:pPr>
              <w:spacing w:after="0" w:line="240" w:lineRule="auto"/>
              <w:jc w:val="center"/>
              <w:rPr>
                <w:rFonts w:ascii="Arial Narrow" w:hAnsi="Arial Narrow"/>
                <w:sz w:val="20"/>
              </w:rPr>
            </w:pPr>
            <w:r w:rsidRPr="007D0AA8">
              <w:rPr>
                <w:rFonts w:ascii="Arial Narrow" w:hAnsi="Arial Narrow"/>
                <w:sz w:val="20"/>
              </w:rPr>
              <w:t>21</w:t>
            </w:r>
          </w:p>
        </w:tc>
        <w:tc>
          <w:tcPr>
            <w:tcW w:w="1054" w:type="pct"/>
            <w:gridSpan w:val="2"/>
            <w:tcBorders>
              <w:top w:val="single" w:sz="4" w:space="0" w:color="auto"/>
              <w:left w:val="single" w:sz="4" w:space="0" w:color="auto"/>
              <w:right w:val="nil"/>
            </w:tcBorders>
            <w:shd w:val="clear" w:color="auto" w:fill="auto"/>
            <w:noWrap/>
          </w:tcPr>
          <w:p w14:paraId="4DA7D2FA" w14:textId="77777777" w:rsidR="00072426" w:rsidRPr="007D0AA8" w:rsidRDefault="00072426" w:rsidP="002E0763">
            <w:pPr>
              <w:spacing w:after="0" w:line="240" w:lineRule="auto"/>
              <w:jc w:val="center"/>
              <w:rPr>
                <w:rFonts w:ascii="Arial Narrow" w:hAnsi="Arial Narrow"/>
                <w:sz w:val="20"/>
              </w:rPr>
            </w:pPr>
            <w:r w:rsidRPr="007D0AA8">
              <w:rPr>
                <w:rFonts w:ascii="Arial Narrow" w:hAnsi="Arial Narrow"/>
                <w:sz w:val="20"/>
              </w:rPr>
              <w:t>21</w:t>
            </w:r>
          </w:p>
        </w:tc>
        <w:tc>
          <w:tcPr>
            <w:tcW w:w="1050" w:type="pct"/>
            <w:gridSpan w:val="3"/>
            <w:tcBorders>
              <w:top w:val="single" w:sz="4" w:space="0" w:color="auto"/>
              <w:left w:val="single" w:sz="4" w:space="0" w:color="auto"/>
              <w:right w:val="nil"/>
            </w:tcBorders>
            <w:shd w:val="clear" w:color="auto" w:fill="auto"/>
            <w:noWrap/>
          </w:tcPr>
          <w:p w14:paraId="3A55A97F" w14:textId="77777777" w:rsidR="00072426" w:rsidRPr="007D0AA8" w:rsidRDefault="00072426" w:rsidP="002E0763">
            <w:pPr>
              <w:spacing w:after="0" w:line="240" w:lineRule="auto"/>
              <w:jc w:val="center"/>
              <w:rPr>
                <w:rFonts w:ascii="Arial Narrow" w:hAnsi="Arial Narrow"/>
                <w:sz w:val="20"/>
              </w:rPr>
            </w:pPr>
            <w:r w:rsidRPr="007D0AA8">
              <w:rPr>
                <w:rFonts w:ascii="Arial Narrow" w:hAnsi="Arial Narrow"/>
                <w:sz w:val="20"/>
                <w:szCs w:val="20"/>
              </w:rPr>
              <w:t>21</w:t>
            </w:r>
          </w:p>
        </w:tc>
        <w:tc>
          <w:tcPr>
            <w:tcW w:w="679" w:type="pct"/>
            <w:tcBorders>
              <w:top w:val="single" w:sz="4" w:space="0" w:color="auto"/>
              <w:left w:val="nil"/>
              <w:right w:val="single" w:sz="4" w:space="0" w:color="auto"/>
            </w:tcBorders>
            <w:shd w:val="clear" w:color="auto" w:fill="auto"/>
          </w:tcPr>
          <w:p w14:paraId="03543D77" w14:textId="77777777" w:rsidR="00072426" w:rsidRPr="007D0AA8" w:rsidRDefault="00072426" w:rsidP="002E0763">
            <w:pPr>
              <w:spacing w:after="0" w:line="240" w:lineRule="auto"/>
              <w:jc w:val="center"/>
              <w:rPr>
                <w:rFonts w:ascii="Arial Narrow" w:hAnsi="Arial Narrow"/>
                <w:sz w:val="20"/>
              </w:rPr>
            </w:pPr>
          </w:p>
        </w:tc>
      </w:tr>
      <w:tr w:rsidR="00072426" w:rsidRPr="007D0AA8" w14:paraId="5164939A" w14:textId="77777777" w:rsidTr="009B0175">
        <w:tc>
          <w:tcPr>
            <w:tcW w:w="761" w:type="pct"/>
            <w:tcBorders>
              <w:top w:val="nil"/>
              <w:left w:val="single" w:sz="4" w:space="0" w:color="auto"/>
              <w:bottom w:val="single" w:sz="4" w:space="0" w:color="auto"/>
              <w:right w:val="single" w:sz="4" w:space="0" w:color="auto"/>
            </w:tcBorders>
          </w:tcPr>
          <w:p w14:paraId="4CFE510D" w14:textId="77777777" w:rsidR="00072426" w:rsidRPr="007D0AA8" w:rsidRDefault="00072426" w:rsidP="002E0763">
            <w:pPr>
              <w:spacing w:after="0" w:line="240" w:lineRule="auto"/>
              <w:rPr>
                <w:rFonts w:ascii="Arial Narrow" w:hAnsi="Arial Narrow" w:cs="Calibri"/>
                <w:color w:val="000000"/>
                <w:sz w:val="20"/>
                <w:szCs w:val="20"/>
              </w:rPr>
            </w:pPr>
          </w:p>
        </w:tc>
        <w:tc>
          <w:tcPr>
            <w:tcW w:w="999" w:type="pct"/>
            <w:tcBorders>
              <w:top w:val="nil"/>
              <w:left w:val="single" w:sz="4" w:space="0" w:color="auto"/>
              <w:bottom w:val="single" w:sz="4" w:space="0" w:color="auto"/>
              <w:right w:val="single" w:sz="4" w:space="0" w:color="auto"/>
            </w:tcBorders>
          </w:tcPr>
          <w:p w14:paraId="53783BBC" w14:textId="77777777" w:rsidR="00072426" w:rsidRPr="007D0AA8" w:rsidRDefault="00072426" w:rsidP="002E0763">
            <w:pPr>
              <w:spacing w:after="0" w:line="240" w:lineRule="auto"/>
              <w:rPr>
                <w:rFonts w:ascii="Arial Narrow" w:hAnsi="Arial Narrow"/>
                <w:sz w:val="20"/>
              </w:rPr>
            </w:pPr>
            <w:r w:rsidRPr="007D0AA8">
              <w:rPr>
                <w:rFonts w:ascii="Arial Narrow" w:hAnsi="Arial Narrow"/>
                <w:sz w:val="20"/>
              </w:rPr>
              <w:t>Infections requiring hospitalisation</w:t>
            </w:r>
          </w:p>
        </w:tc>
        <w:tc>
          <w:tcPr>
            <w:tcW w:w="457" w:type="pct"/>
            <w:tcBorders>
              <w:top w:val="nil"/>
              <w:left w:val="single" w:sz="4" w:space="0" w:color="auto"/>
              <w:bottom w:val="single" w:sz="4" w:space="0" w:color="auto"/>
              <w:right w:val="single" w:sz="4" w:space="0" w:color="auto"/>
            </w:tcBorders>
          </w:tcPr>
          <w:p w14:paraId="4698773C" w14:textId="77777777" w:rsidR="00072426" w:rsidRPr="007D0AA8" w:rsidRDefault="00072426" w:rsidP="002E0763">
            <w:pPr>
              <w:spacing w:after="0" w:line="240" w:lineRule="auto"/>
              <w:jc w:val="center"/>
              <w:rPr>
                <w:rFonts w:ascii="Arial Narrow" w:hAnsi="Arial Narrow"/>
                <w:sz w:val="20"/>
              </w:rPr>
            </w:pPr>
            <w:r w:rsidRPr="007D0AA8">
              <w:rPr>
                <w:rFonts w:ascii="Arial Narrow" w:hAnsi="Arial Narrow"/>
                <w:sz w:val="20"/>
              </w:rPr>
              <w:t>32</w:t>
            </w:r>
          </w:p>
        </w:tc>
        <w:tc>
          <w:tcPr>
            <w:tcW w:w="1054" w:type="pct"/>
            <w:gridSpan w:val="2"/>
            <w:tcBorders>
              <w:top w:val="nil"/>
              <w:left w:val="single" w:sz="4" w:space="0" w:color="auto"/>
              <w:bottom w:val="single" w:sz="4" w:space="0" w:color="auto"/>
              <w:right w:val="nil"/>
            </w:tcBorders>
            <w:shd w:val="clear" w:color="auto" w:fill="auto"/>
            <w:noWrap/>
          </w:tcPr>
          <w:p w14:paraId="62230DC4" w14:textId="77777777" w:rsidR="00072426" w:rsidRPr="007D0AA8" w:rsidRDefault="00072426" w:rsidP="002E0763">
            <w:pPr>
              <w:spacing w:after="0" w:line="240" w:lineRule="auto"/>
              <w:jc w:val="center"/>
              <w:rPr>
                <w:rFonts w:ascii="Arial Narrow" w:hAnsi="Arial Narrow"/>
                <w:sz w:val="20"/>
              </w:rPr>
            </w:pPr>
            <w:r w:rsidRPr="007D0AA8">
              <w:rPr>
                <w:rFonts w:ascii="Arial Narrow" w:hAnsi="Arial Narrow"/>
                <w:sz w:val="20"/>
              </w:rPr>
              <w:t>21</w:t>
            </w:r>
          </w:p>
        </w:tc>
        <w:tc>
          <w:tcPr>
            <w:tcW w:w="1050" w:type="pct"/>
            <w:gridSpan w:val="3"/>
            <w:tcBorders>
              <w:top w:val="nil"/>
              <w:left w:val="single" w:sz="4" w:space="0" w:color="auto"/>
              <w:bottom w:val="single" w:sz="4" w:space="0" w:color="auto"/>
              <w:right w:val="nil"/>
            </w:tcBorders>
            <w:shd w:val="clear" w:color="auto" w:fill="auto"/>
            <w:noWrap/>
          </w:tcPr>
          <w:p w14:paraId="75D3F14A" w14:textId="77777777" w:rsidR="00072426" w:rsidRPr="007D0AA8" w:rsidRDefault="00072426" w:rsidP="002E0763">
            <w:pPr>
              <w:spacing w:after="0" w:line="240" w:lineRule="auto"/>
              <w:jc w:val="center"/>
              <w:rPr>
                <w:rFonts w:ascii="Arial Narrow" w:hAnsi="Arial Narrow"/>
                <w:sz w:val="20"/>
              </w:rPr>
            </w:pPr>
            <w:r w:rsidRPr="007D0AA8">
              <w:rPr>
                <w:rFonts w:ascii="Arial Narrow" w:hAnsi="Arial Narrow"/>
                <w:sz w:val="20"/>
                <w:szCs w:val="20"/>
              </w:rPr>
              <w:t>14</w:t>
            </w:r>
          </w:p>
        </w:tc>
        <w:tc>
          <w:tcPr>
            <w:tcW w:w="679" w:type="pct"/>
            <w:tcBorders>
              <w:top w:val="nil"/>
              <w:left w:val="nil"/>
              <w:bottom w:val="single" w:sz="4" w:space="0" w:color="auto"/>
              <w:right w:val="single" w:sz="4" w:space="0" w:color="auto"/>
            </w:tcBorders>
            <w:shd w:val="clear" w:color="auto" w:fill="auto"/>
          </w:tcPr>
          <w:p w14:paraId="5EDCA2F6" w14:textId="77777777" w:rsidR="00072426" w:rsidRPr="007D0AA8" w:rsidRDefault="00072426" w:rsidP="002E0763">
            <w:pPr>
              <w:spacing w:after="0" w:line="240" w:lineRule="auto"/>
              <w:jc w:val="center"/>
              <w:rPr>
                <w:rFonts w:ascii="Arial Narrow" w:hAnsi="Arial Narrow"/>
                <w:sz w:val="20"/>
              </w:rPr>
            </w:pPr>
          </w:p>
        </w:tc>
      </w:tr>
      <w:tr w:rsidR="00072426" w:rsidRPr="00386411" w14:paraId="15E48796" w14:textId="77777777" w:rsidTr="00B52A4F">
        <w:tc>
          <w:tcPr>
            <w:tcW w:w="7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750F4C" w14:textId="77777777" w:rsidR="00072426" w:rsidRPr="00386411" w:rsidRDefault="00072426" w:rsidP="002E0763">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 xml:space="preserve">Duraisingham </w:t>
            </w:r>
            <w:r w:rsidRPr="00386411">
              <w:rPr>
                <w:rFonts w:ascii="Arial Narrow" w:hAnsi="Arial Narrow" w:cs="Calibri"/>
                <w:b/>
                <w:color w:val="000000"/>
                <w:sz w:val="20"/>
                <w:szCs w:val="20"/>
              </w:rPr>
              <w:lastRenderedPageBreak/>
              <w:t>et al., 2014</w:t>
            </w:r>
          </w:p>
        </w:tc>
        <w:tc>
          <w:tcPr>
            <w:tcW w:w="145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D88849" w14:textId="77777777" w:rsidR="00072426" w:rsidRPr="00386411" w:rsidRDefault="00072426" w:rsidP="002E0763">
            <w:pPr>
              <w:spacing w:after="0" w:line="240" w:lineRule="auto"/>
              <w:rPr>
                <w:rFonts w:ascii="Arial Narrow" w:hAnsi="Arial Narrow"/>
                <w:b/>
                <w:snapToGrid w:val="0"/>
                <w:sz w:val="20"/>
              </w:rPr>
            </w:pPr>
            <w:r w:rsidRPr="00386411">
              <w:rPr>
                <w:rFonts w:ascii="Arial Narrow" w:hAnsi="Arial Narrow"/>
                <w:b/>
                <w:sz w:val="20"/>
                <w:szCs w:val="20"/>
              </w:rPr>
              <w:lastRenderedPageBreak/>
              <w:t xml:space="preserve">Prophylactic antibiotics (SID </w:t>
            </w:r>
            <w:r w:rsidRPr="00386411">
              <w:rPr>
                <w:rFonts w:ascii="Arial Narrow" w:hAnsi="Arial Narrow"/>
                <w:b/>
                <w:sz w:val="20"/>
                <w:szCs w:val="20"/>
              </w:rPr>
              <w:lastRenderedPageBreak/>
              <w:t>group N=39; 15 of which HM)</w:t>
            </w:r>
          </w:p>
        </w:tc>
        <w:tc>
          <w:tcPr>
            <w:tcW w:w="105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FF142C5" w14:textId="77777777" w:rsidR="00072426" w:rsidRPr="00386411" w:rsidRDefault="00072426" w:rsidP="002E0763">
            <w:pPr>
              <w:pStyle w:val="TableHeading"/>
              <w:spacing w:before="0" w:after="0"/>
              <w:ind w:left="111" w:right="117"/>
              <w:rPr>
                <w:snapToGrid w:val="0"/>
              </w:rPr>
            </w:pPr>
            <w:r w:rsidRPr="00386411">
              <w:rPr>
                <w:rFonts w:cs="Arial"/>
                <w:bCs/>
                <w:lang w:val="en-GB" w:eastAsia="en-GB"/>
              </w:rPr>
              <w:lastRenderedPageBreak/>
              <w:t xml:space="preserve">Antibiotics before </w:t>
            </w:r>
            <w:r w:rsidRPr="00386411">
              <w:rPr>
                <w:rFonts w:cs="Arial"/>
                <w:bCs/>
                <w:lang w:val="en-GB" w:eastAsia="en-GB"/>
              </w:rPr>
              <w:br/>
            </w:r>
            <w:r w:rsidRPr="00386411">
              <w:rPr>
                <w:rFonts w:cs="Arial"/>
                <w:bCs/>
                <w:lang w:val="en-GB" w:eastAsia="en-GB"/>
              </w:rPr>
              <w:lastRenderedPageBreak/>
              <w:t>IgG (1 yr)</w:t>
            </w:r>
          </w:p>
        </w:tc>
        <w:tc>
          <w:tcPr>
            <w:tcW w:w="105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59B48EC" w14:textId="77777777" w:rsidR="00072426" w:rsidRPr="00386411" w:rsidRDefault="00072426" w:rsidP="002E0763">
            <w:pPr>
              <w:pStyle w:val="TableHeading"/>
              <w:spacing w:before="0" w:after="0"/>
              <w:ind w:left="77" w:right="117"/>
              <w:rPr>
                <w:snapToGrid w:val="0"/>
              </w:rPr>
            </w:pPr>
            <w:r w:rsidRPr="00386411">
              <w:rPr>
                <w:rFonts w:cs="Arial"/>
                <w:bCs/>
                <w:lang w:val="en-GB" w:eastAsia="en-GB"/>
              </w:rPr>
              <w:lastRenderedPageBreak/>
              <w:t>Antibiotics during</w:t>
            </w:r>
            <w:r w:rsidRPr="00386411">
              <w:rPr>
                <w:rFonts w:cs="Arial"/>
                <w:bCs/>
                <w:lang w:val="en-GB" w:eastAsia="en-GB"/>
              </w:rPr>
              <w:br/>
            </w:r>
            <w:r w:rsidRPr="00386411">
              <w:rPr>
                <w:rFonts w:cs="Arial"/>
                <w:bCs/>
                <w:lang w:val="en-GB" w:eastAsia="en-GB"/>
              </w:rPr>
              <w:lastRenderedPageBreak/>
              <w:t>IgG (1 yr)</w:t>
            </w:r>
          </w:p>
        </w:tc>
        <w:tc>
          <w:tcPr>
            <w:tcW w:w="679" w:type="pct"/>
            <w:tcBorders>
              <w:top w:val="single" w:sz="4" w:space="0" w:color="auto"/>
              <w:left w:val="nil"/>
              <w:bottom w:val="single" w:sz="4" w:space="0" w:color="auto"/>
              <w:right w:val="single" w:sz="4" w:space="0" w:color="auto"/>
            </w:tcBorders>
            <w:shd w:val="clear" w:color="auto" w:fill="D9D9D9" w:themeFill="background1" w:themeFillShade="D9"/>
          </w:tcPr>
          <w:p w14:paraId="214958E8" w14:textId="77777777" w:rsidR="00072426" w:rsidRPr="00386411" w:rsidRDefault="00072426" w:rsidP="002E0763">
            <w:pPr>
              <w:spacing w:after="0" w:line="240" w:lineRule="auto"/>
              <w:jc w:val="right"/>
              <w:rPr>
                <w:rFonts w:ascii="Arial Narrow" w:hAnsi="Arial Narrow"/>
                <w:b/>
                <w:sz w:val="20"/>
                <w:szCs w:val="20"/>
              </w:rPr>
            </w:pPr>
          </w:p>
        </w:tc>
      </w:tr>
      <w:tr w:rsidR="00072426" w:rsidRPr="007D0AA8" w14:paraId="78CC9382" w14:textId="77777777" w:rsidTr="002E0763">
        <w:tc>
          <w:tcPr>
            <w:tcW w:w="761" w:type="pct"/>
            <w:tcBorders>
              <w:top w:val="single" w:sz="4" w:space="0" w:color="auto"/>
              <w:left w:val="single" w:sz="4" w:space="0" w:color="auto"/>
              <w:right w:val="single" w:sz="4" w:space="0" w:color="auto"/>
            </w:tcBorders>
            <w:shd w:val="clear" w:color="auto" w:fill="FFFFFF" w:themeFill="background1"/>
          </w:tcPr>
          <w:p w14:paraId="7B324E05" w14:textId="77777777" w:rsidR="00072426" w:rsidRPr="007D0AA8" w:rsidRDefault="00072426" w:rsidP="002E0763">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lastRenderedPageBreak/>
              <w:t>Various*</w:t>
            </w:r>
          </w:p>
        </w:tc>
        <w:tc>
          <w:tcPr>
            <w:tcW w:w="1456" w:type="pct"/>
            <w:gridSpan w:val="2"/>
            <w:tcBorders>
              <w:top w:val="single" w:sz="4" w:space="0" w:color="auto"/>
              <w:left w:val="single" w:sz="4" w:space="0" w:color="auto"/>
              <w:right w:val="single" w:sz="4" w:space="0" w:color="auto"/>
            </w:tcBorders>
            <w:shd w:val="clear" w:color="auto" w:fill="FFFFFF" w:themeFill="background1"/>
          </w:tcPr>
          <w:p w14:paraId="53E80F6D" w14:textId="77777777" w:rsidR="00072426" w:rsidRPr="007D0AA8" w:rsidRDefault="00072426" w:rsidP="002E0763">
            <w:pPr>
              <w:spacing w:after="0" w:line="240" w:lineRule="auto"/>
              <w:rPr>
                <w:rFonts w:ascii="Arial Narrow" w:hAnsi="Arial Narrow"/>
                <w:snapToGrid w:val="0"/>
                <w:sz w:val="20"/>
              </w:rPr>
            </w:pPr>
            <w:r w:rsidRPr="007D0AA8">
              <w:rPr>
                <w:rFonts w:ascii="Arial Narrow" w:hAnsi="Arial Narrow"/>
                <w:snapToGrid w:val="0"/>
                <w:sz w:val="20"/>
              </w:rPr>
              <w:t>SID patients, n patients (%)</w:t>
            </w:r>
          </w:p>
        </w:tc>
        <w:tc>
          <w:tcPr>
            <w:tcW w:w="1054" w:type="pct"/>
            <w:gridSpan w:val="2"/>
            <w:tcBorders>
              <w:top w:val="single" w:sz="4" w:space="0" w:color="auto"/>
              <w:left w:val="single" w:sz="4" w:space="0" w:color="auto"/>
            </w:tcBorders>
            <w:shd w:val="clear" w:color="auto" w:fill="FFFFFF" w:themeFill="background1"/>
            <w:noWrap/>
          </w:tcPr>
          <w:p w14:paraId="08A49AF3" w14:textId="77777777" w:rsidR="00072426" w:rsidRPr="007D0AA8" w:rsidRDefault="00072426" w:rsidP="002E0763">
            <w:pPr>
              <w:pStyle w:val="TableHeading"/>
              <w:spacing w:before="0" w:after="0"/>
              <w:ind w:left="111" w:right="117"/>
              <w:rPr>
                <w:b w:val="0"/>
                <w:snapToGrid w:val="0"/>
              </w:rPr>
            </w:pPr>
            <w:r w:rsidRPr="007D0AA8">
              <w:rPr>
                <w:b w:val="0"/>
                <w:snapToGrid w:val="0"/>
              </w:rPr>
              <w:t>27 (69.2%)</w:t>
            </w:r>
          </w:p>
        </w:tc>
        <w:tc>
          <w:tcPr>
            <w:tcW w:w="1050" w:type="pct"/>
            <w:gridSpan w:val="3"/>
            <w:tcBorders>
              <w:top w:val="single" w:sz="4" w:space="0" w:color="auto"/>
            </w:tcBorders>
            <w:shd w:val="clear" w:color="auto" w:fill="FFFFFF" w:themeFill="background1"/>
            <w:noWrap/>
          </w:tcPr>
          <w:p w14:paraId="2DD9014B" w14:textId="77777777" w:rsidR="00072426" w:rsidRPr="007D0AA8" w:rsidRDefault="00072426" w:rsidP="002E0763">
            <w:pPr>
              <w:pStyle w:val="TableHeading"/>
              <w:spacing w:before="0" w:after="0"/>
              <w:ind w:left="77" w:right="117"/>
              <w:rPr>
                <w:b w:val="0"/>
                <w:snapToGrid w:val="0"/>
              </w:rPr>
            </w:pPr>
            <w:r w:rsidRPr="007D0AA8">
              <w:rPr>
                <w:b w:val="0"/>
                <w:snapToGrid w:val="0"/>
              </w:rPr>
              <w:t>23 (60.0%)</w:t>
            </w:r>
          </w:p>
        </w:tc>
        <w:tc>
          <w:tcPr>
            <w:tcW w:w="679" w:type="pct"/>
            <w:tcBorders>
              <w:top w:val="single" w:sz="4" w:space="0" w:color="auto"/>
              <w:right w:val="single" w:sz="4" w:space="0" w:color="auto"/>
            </w:tcBorders>
            <w:shd w:val="clear" w:color="auto" w:fill="FFFFFF" w:themeFill="background1"/>
          </w:tcPr>
          <w:p w14:paraId="791369BE" w14:textId="77777777" w:rsidR="00072426" w:rsidRPr="007D0AA8" w:rsidRDefault="00072426" w:rsidP="002E0763">
            <w:pPr>
              <w:spacing w:after="0" w:line="240" w:lineRule="auto"/>
              <w:jc w:val="right"/>
              <w:rPr>
                <w:rFonts w:ascii="Arial Narrow" w:hAnsi="Arial Narrow"/>
                <w:sz w:val="20"/>
                <w:szCs w:val="20"/>
              </w:rPr>
            </w:pPr>
          </w:p>
        </w:tc>
      </w:tr>
      <w:tr w:rsidR="00072426" w:rsidRPr="007D0AA8" w14:paraId="6A891D30" w14:textId="77777777" w:rsidTr="002E0763">
        <w:tc>
          <w:tcPr>
            <w:tcW w:w="761" w:type="pct"/>
            <w:tcBorders>
              <w:left w:val="single" w:sz="4" w:space="0" w:color="auto"/>
              <w:bottom w:val="single" w:sz="4" w:space="0" w:color="auto"/>
              <w:right w:val="single" w:sz="4" w:space="0" w:color="auto"/>
            </w:tcBorders>
            <w:shd w:val="clear" w:color="auto" w:fill="FFFFFF" w:themeFill="background1"/>
          </w:tcPr>
          <w:p w14:paraId="5B43DB3C" w14:textId="77777777" w:rsidR="00072426" w:rsidRPr="007D0AA8" w:rsidRDefault="00072426" w:rsidP="002E0763">
            <w:pPr>
              <w:spacing w:after="0" w:line="240" w:lineRule="auto"/>
              <w:rPr>
                <w:rFonts w:ascii="Arial Narrow" w:hAnsi="Arial Narrow" w:cs="Calibri"/>
                <w:color w:val="000000"/>
                <w:sz w:val="20"/>
                <w:szCs w:val="20"/>
              </w:rPr>
            </w:pPr>
          </w:p>
        </w:tc>
        <w:tc>
          <w:tcPr>
            <w:tcW w:w="1456" w:type="pct"/>
            <w:gridSpan w:val="2"/>
            <w:tcBorders>
              <w:left w:val="single" w:sz="4" w:space="0" w:color="auto"/>
              <w:bottom w:val="single" w:sz="4" w:space="0" w:color="auto"/>
              <w:right w:val="single" w:sz="4" w:space="0" w:color="auto"/>
            </w:tcBorders>
            <w:shd w:val="clear" w:color="auto" w:fill="FFFFFF" w:themeFill="background1"/>
          </w:tcPr>
          <w:p w14:paraId="553E741F" w14:textId="77777777" w:rsidR="00072426" w:rsidRPr="007D0AA8" w:rsidRDefault="00072426" w:rsidP="002E0763">
            <w:pPr>
              <w:spacing w:after="0" w:line="240" w:lineRule="auto"/>
              <w:rPr>
                <w:rFonts w:ascii="Arial Narrow" w:hAnsi="Arial Narrow"/>
                <w:snapToGrid w:val="0"/>
                <w:sz w:val="20"/>
              </w:rPr>
            </w:pPr>
            <w:r w:rsidRPr="007D0AA8">
              <w:rPr>
                <w:rFonts w:ascii="Arial Narrow" w:hAnsi="Arial Narrow"/>
                <w:snapToGrid w:val="0"/>
                <w:sz w:val="20"/>
              </w:rPr>
              <w:t xml:space="preserve">Patients with HM+hypo-GG, </w:t>
            </w:r>
            <w:r w:rsidRPr="007D0AA8">
              <w:rPr>
                <w:rFonts w:ascii="Arial Narrow" w:hAnsi="Arial Narrow"/>
                <w:snapToGrid w:val="0"/>
                <w:sz w:val="20"/>
              </w:rPr>
              <w:br/>
              <w:t>n patients with event/N patients</w:t>
            </w:r>
          </w:p>
        </w:tc>
        <w:tc>
          <w:tcPr>
            <w:tcW w:w="1054" w:type="pct"/>
            <w:gridSpan w:val="2"/>
            <w:tcBorders>
              <w:left w:val="single" w:sz="4" w:space="0" w:color="auto"/>
              <w:bottom w:val="single" w:sz="4" w:space="0" w:color="auto"/>
            </w:tcBorders>
            <w:shd w:val="clear" w:color="auto" w:fill="FFFFFF" w:themeFill="background1"/>
            <w:noWrap/>
          </w:tcPr>
          <w:p w14:paraId="57F9B59B" w14:textId="77777777" w:rsidR="00072426" w:rsidRPr="007D0AA8" w:rsidRDefault="00072426" w:rsidP="002E0763">
            <w:pPr>
              <w:pStyle w:val="TableHeading"/>
              <w:spacing w:before="0" w:after="0"/>
              <w:ind w:left="111" w:right="117"/>
              <w:rPr>
                <w:b w:val="0"/>
                <w:snapToGrid w:val="0"/>
              </w:rPr>
            </w:pPr>
            <w:r w:rsidRPr="007D0AA8">
              <w:rPr>
                <w:b w:val="0"/>
                <w:snapToGrid w:val="0"/>
              </w:rPr>
              <w:t>12/15</w:t>
            </w:r>
          </w:p>
        </w:tc>
        <w:tc>
          <w:tcPr>
            <w:tcW w:w="1050" w:type="pct"/>
            <w:gridSpan w:val="3"/>
            <w:tcBorders>
              <w:bottom w:val="single" w:sz="4" w:space="0" w:color="auto"/>
            </w:tcBorders>
            <w:shd w:val="clear" w:color="auto" w:fill="FFFFFF" w:themeFill="background1"/>
            <w:noWrap/>
          </w:tcPr>
          <w:p w14:paraId="21B8EE2D" w14:textId="77777777" w:rsidR="00072426" w:rsidRPr="007D0AA8" w:rsidRDefault="00072426" w:rsidP="002E0763">
            <w:pPr>
              <w:pStyle w:val="TableHeading"/>
              <w:spacing w:before="0" w:after="0"/>
              <w:ind w:left="77" w:right="117"/>
              <w:rPr>
                <w:b w:val="0"/>
                <w:snapToGrid w:val="0"/>
              </w:rPr>
            </w:pPr>
            <w:r w:rsidRPr="007D0AA8">
              <w:rPr>
                <w:b w:val="0"/>
                <w:snapToGrid w:val="0"/>
              </w:rPr>
              <w:t>11/15</w:t>
            </w:r>
          </w:p>
        </w:tc>
        <w:tc>
          <w:tcPr>
            <w:tcW w:w="679" w:type="pct"/>
            <w:tcBorders>
              <w:bottom w:val="single" w:sz="4" w:space="0" w:color="auto"/>
              <w:right w:val="single" w:sz="4" w:space="0" w:color="auto"/>
            </w:tcBorders>
            <w:shd w:val="clear" w:color="auto" w:fill="FFFFFF" w:themeFill="background1"/>
          </w:tcPr>
          <w:p w14:paraId="4E95F948" w14:textId="77777777" w:rsidR="00072426" w:rsidRPr="007D0AA8" w:rsidRDefault="00072426" w:rsidP="002E0763">
            <w:pPr>
              <w:spacing w:after="0" w:line="240" w:lineRule="auto"/>
              <w:jc w:val="right"/>
              <w:rPr>
                <w:rFonts w:ascii="Arial Narrow" w:hAnsi="Arial Narrow"/>
                <w:sz w:val="20"/>
                <w:szCs w:val="20"/>
              </w:rPr>
            </w:pPr>
          </w:p>
        </w:tc>
      </w:tr>
      <w:tr w:rsidR="00072426" w:rsidRPr="00386411" w14:paraId="0A6F0981" w14:textId="77777777" w:rsidTr="00B52A4F">
        <w:tc>
          <w:tcPr>
            <w:tcW w:w="7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D3BF05" w14:textId="77777777" w:rsidR="00072426" w:rsidRPr="00386411" w:rsidRDefault="00072426" w:rsidP="002E0763">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Günther &amp; Dreger 2013</w:t>
            </w:r>
          </w:p>
        </w:tc>
        <w:tc>
          <w:tcPr>
            <w:tcW w:w="145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53E97A" w14:textId="77777777" w:rsidR="00072426" w:rsidRPr="00386411" w:rsidRDefault="00072426" w:rsidP="002E0763">
            <w:pPr>
              <w:spacing w:after="0" w:line="240" w:lineRule="auto"/>
              <w:rPr>
                <w:rFonts w:ascii="Arial Narrow" w:hAnsi="Arial Narrow"/>
                <w:b/>
                <w:snapToGrid w:val="0"/>
                <w:sz w:val="20"/>
              </w:rPr>
            </w:pPr>
            <w:r w:rsidRPr="00386411">
              <w:rPr>
                <w:rFonts w:ascii="Arial Narrow" w:hAnsi="Arial Narrow"/>
                <w:b/>
                <w:snapToGrid w:val="0"/>
                <w:sz w:val="20"/>
                <w:szCs w:val="20"/>
                <w:lang w:eastAsia="en-US"/>
              </w:rPr>
              <w:t>Infections compared before/during IVIg (N=10)</w:t>
            </w:r>
          </w:p>
        </w:tc>
        <w:tc>
          <w:tcPr>
            <w:tcW w:w="1054" w:type="pct"/>
            <w:gridSpan w:val="2"/>
            <w:tcBorders>
              <w:top w:val="single" w:sz="4" w:space="0" w:color="auto"/>
              <w:left w:val="single" w:sz="4" w:space="0" w:color="auto"/>
              <w:bottom w:val="single" w:sz="4" w:space="0" w:color="auto"/>
              <w:right w:val="nil"/>
            </w:tcBorders>
            <w:shd w:val="clear" w:color="auto" w:fill="D9D9D9" w:themeFill="background1" w:themeFillShade="D9"/>
            <w:noWrap/>
          </w:tcPr>
          <w:p w14:paraId="0B30ABD0" w14:textId="77777777" w:rsidR="00072426" w:rsidRPr="00386411" w:rsidRDefault="00072426" w:rsidP="002E0763">
            <w:pPr>
              <w:pStyle w:val="TableHeading"/>
              <w:spacing w:before="0" w:after="0"/>
              <w:ind w:left="111" w:right="117"/>
              <w:rPr>
                <w:snapToGrid w:val="0"/>
              </w:rPr>
            </w:pPr>
            <w:r w:rsidRPr="00386411">
              <w:rPr>
                <w:snapToGrid w:val="0"/>
                <w:lang w:eastAsia="en-US"/>
              </w:rPr>
              <w:t xml:space="preserve">Prior to IVIg </w:t>
            </w:r>
            <w:r w:rsidRPr="00386411">
              <w:rPr>
                <w:snapToGrid w:val="0"/>
                <w:lang w:eastAsia="en-US"/>
              </w:rPr>
              <w:br/>
              <w:t>(3 mo) (N=10)</w:t>
            </w:r>
          </w:p>
        </w:tc>
        <w:tc>
          <w:tcPr>
            <w:tcW w:w="1050" w:type="pct"/>
            <w:gridSpan w:val="3"/>
            <w:tcBorders>
              <w:top w:val="single" w:sz="4" w:space="0" w:color="auto"/>
              <w:left w:val="nil"/>
              <w:bottom w:val="single" w:sz="4" w:space="0" w:color="auto"/>
              <w:right w:val="nil"/>
            </w:tcBorders>
            <w:shd w:val="clear" w:color="auto" w:fill="D9D9D9" w:themeFill="background1" w:themeFillShade="D9"/>
            <w:noWrap/>
          </w:tcPr>
          <w:p w14:paraId="653C10C5" w14:textId="77777777" w:rsidR="00072426" w:rsidRPr="00386411" w:rsidRDefault="00072426" w:rsidP="002E0763">
            <w:pPr>
              <w:pStyle w:val="TableHeading"/>
              <w:spacing w:before="0" w:after="0"/>
              <w:ind w:left="77" w:right="117"/>
              <w:rPr>
                <w:snapToGrid w:val="0"/>
              </w:rPr>
            </w:pPr>
            <w:r w:rsidRPr="00386411">
              <w:rPr>
                <w:snapToGrid w:val="0"/>
                <w:lang w:eastAsia="en-US"/>
              </w:rPr>
              <w:t xml:space="preserve">During IVIg </w:t>
            </w:r>
            <w:r w:rsidRPr="00386411">
              <w:rPr>
                <w:snapToGrid w:val="0"/>
                <w:lang w:eastAsia="en-US"/>
              </w:rPr>
              <w:br/>
              <w:t>(mean tx 51.2±25.4 mo)(N=10)</w:t>
            </w:r>
          </w:p>
        </w:tc>
        <w:tc>
          <w:tcPr>
            <w:tcW w:w="679" w:type="pct"/>
            <w:tcBorders>
              <w:top w:val="single" w:sz="4" w:space="0" w:color="auto"/>
              <w:left w:val="nil"/>
              <w:bottom w:val="single" w:sz="4" w:space="0" w:color="auto"/>
              <w:right w:val="single" w:sz="4" w:space="0" w:color="auto"/>
            </w:tcBorders>
            <w:shd w:val="clear" w:color="auto" w:fill="D9D9D9" w:themeFill="background1" w:themeFillShade="D9"/>
          </w:tcPr>
          <w:p w14:paraId="4C5C4279" w14:textId="77777777" w:rsidR="00072426" w:rsidRPr="00386411" w:rsidRDefault="00072426" w:rsidP="002E0763">
            <w:pPr>
              <w:spacing w:after="0" w:line="240" w:lineRule="auto"/>
              <w:jc w:val="right"/>
              <w:rPr>
                <w:rFonts w:ascii="Arial Narrow" w:hAnsi="Arial Narrow"/>
                <w:b/>
                <w:sz w:val="20"/>
                <w:szCs w:val="20"/>
              </w:rPr>
            </w:pPr>
          </w:p>
        </w:tc>
      </w:tr>
      <w:tr w:rsidR="00072426" w:rsidRPr="007D0AA8" w14:paraId="0DAC31CB" w14:textId="77777777" w:rsidTr="002E0763">
        <w:tc>
          <w:tcPr>
            <w:tcW w:w="761" w:type="pct"/>
            <w:tcBorders>
              <w:top w:val="single" w:sz="4" w:space="0" w:color="auto"/>
              <w:left w:val="single" w:sz="4" w:space="0" w:color="auto"/>
              <w:bottom w:val="single" w:sz="4" w:space="0" w:color="auto"/>
              <w:right w:val="single" w:sz="4" w:space="0" w:color="auto"/>
            </w:tcBorders>
            <w:shd w:val="clear" w:color="auto" w:fill="FFFFFF" w:themeFill="background1"/>
          </w:tcPr>
          <w:p w14:paraId="60CC62C4" w14:textId="77777777" w:rsidR="00072426" w:rsidRPr="007D0AA8" w:rsidRDefault="00072426" w:rsidP="002E0763">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Various*</w:t>
            </w:r>
          </w:p>
        </w:tc>
        <w:tc>
          <w:tcPr>
            <w:tcW w:w="145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F5EF4B" w14:textId="77777777" w:rsidR="00072426" w:rsidRPr="007D0AA8" w:rsidRDefault="00072426" w:rsidP="002E0763">
            <w:pPr>
              <w:spacing w:after="0" w:line="240" w:lineRule="auto"/>
              <w:rPr>
                <w:rFonts w:ascii="Arial Narrow" w:hAnsi="Arial Narrow"/>
                <w:snapToGrid w:val="0"/>
                <w:sz w:val="20"/>
              </w:rPr>
            </w:pPr>
            <w:r w:rsidRPr="007D0AA8">
              <w:rPr>
                <w:rFonts w:ascii="Arial Narrow" w:hAnsi="Arial Narrow"/>
                <w:snapToGrid w:val="0"/>
                <w:sz w:val="20"/>
              </w:rPr>
              <w:t>Courses of antibiotics</w:t>
            </w:r>
          </w:p>
        </w:tc>
        <w:tc>
          <w:tcPr>
            <w:tcW w:w="1054" w:type="pct"/>
            <w:gridSpan w:val="2"/>
            <w:tcBorders>
              <w:top w:val="single" w:sz="4" w:space="0" w:color="auto"/>
              <w:left w:val="single" w:sz="4" w:space="0" w:color="auto"/>
              <w:bottom w:val="single" w:sz="4" w:space="0" w:color="auto"/>
              <w:right w:val="nil"/>
            </w:tcBorders>
            <w:shd w:val="clear" w:color="auto" w:fill="FFFFFF" w:themeFill="background1"/>
            <w:noWrap/>
          </w:tcPr>
          <w:p w14:paraId="44E9CDE9" w14:textId="77777777" w:rsidR="00072426" w:rsidRPr="007D0AA8" w:rsidRDefault="00072426" w:rsidP="002E0763">
            <w:pPr>
              <w:pStyle w:val="TableHeading"/>
              <w:spacing w:before="0" w:after="0"/>
              <w:ind w:left="111" w:right="117"/>
              <w:rPr>
                <w:b w:val="0"/>
                <w:snapToGrid w:val="0"/>
              </w:rPr>
            </w:pPr>
            <w:r w:rsidRPr="007D0AA8">
              <w:rPr>
                <w:b w:val="0"/>
                <w:snapToGrid w:val="0"/>
              </w:rPr>
              <w:t>n.r.</w:t>
            </w:r>
          </w:p>
        </w:tc>
        <w:tc>
          <w:tcPr>
            <w:tcW w:w="1050" w:type="pct"/>
            <w:gridSpan w:val="3"/>
            <w:tcBorders>
              <w:top w:val="single" w:sz="4" w:space="0" w:color="auto"/>
              <w:left w:val="nil"/>
              <w:bottom w:val="single" w:sz="4" w:space="0" w:color="auto"/>
              <w:right w:val="nil"/>
            </w:tcBorders>
            <w:shd w:val="clear" w:color="auto" w:fill="FFFFFF" w:themeFill="background1"/>
            <w:noWrap/>
          </w:tcPr>
          <w:p w14:paraId="588D504A" w14:textId="77777777" w:rsidR="00072426" w:rsidRPr="007D0AA8" w:rsidRDefault="00072426" w:rsidP="002E0763">
            <w:pPr>
              <w:pStyle w:val="TableHeading"/>
              <w:spacing w:before="0" w:after="0"/>
              <w:ind w:left="77" w:right="117"/>
              <w:rPr>
                <w:b w:val="0"/>
                <w:snapToGrid w:val="0"/>
              </w:rPr>
            </w:pPr>
            <w:r w:rsidRPr="007D0AA8">
              <w:rPr>
                <w:b w:val="0"/>
                <w:snapToGrid w:val="0"/>
              </w:rPr>
              <w:t>26</w:t>
            </w:r>
          </w:p>
        </w:tc>
        <w:tc>
          <w:tcPr>
            <w:tcW w:w="679" w:type="pct"/>
            <w:tcBorders>
              <w:top w:val="single" w:sz="4" w:space="0" w:color="auto"/>
              <w:left w:val="nil"/>
              <w:bottom w:val="single" w:sz="4" w:space="0" w:color="auto"/>
              <w:right w:val="single" w:sz="4" w:space="0" w:color="auto"/>
            </w:tcBorders>
            <w:shd w:val="clear" w:color="auto" w:fill="FFFFFF" w:themeFill="background1"/>
          </w:tcPr>
          <w:p w14:paraId="404E0F42" w14:textId="77777777" w:rsidR="00072426" w:rsidRPr="007D0AA8" w:rsidRDefault="00072426" w:rsidP="002E0763">
            <w:pPr>
              <w:spacing w:after="0" w:line="240" w:lineRule="auto"/>
              <w:jc w:val="right"/>
              <w:rPr>
                <w:rFonts w:ascii="Arial Narrow" w:hAnsi="Arial Narrow"/>
                <w:sz w:val="20"/>
                <w:szCs w:val="20"/>
              </w:rPr>
            </w:pPr>
          </w:p>
        </w:tc>
      </w:tr>
      <w:tr w:rsidR="00072426" w:rsidRPr="00386411" w14:paraId="402302FB" w14:textId="77777777" w:rsidTr="00B52A4F">
        <w:tc>
          <w:tcPr>
            <w:tcW w:w="7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6C8C8E" w14:textId="77777777" w:rsidR="00072426" w:rsidRPr="00386411" w:rsidRDefault="00072426" w:rsidP="002E0763">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Jurlander et al., 1994</w:t>
            </w:r>
          </w:p>
        </w:tc>
        <w:tc>
          <w:tcPr>
            <w:tcW w:w="145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58F389" w14:textId="77777777" w:rsidR="00072426" w:rsidRPr="00386411" w:rsidRDefault="00072426" w:rsidP="002E0763">
            <w:pPr>
              <w:spacing w:after="0" w:line="240" w:lineRule="auto"/>
              <w:rPr>
                <w:rFonts w:ascii="Arial Narrow" w:hAnsi="Arial Narrow"/>
                <w:b/>
                <w:sz w:val="20"/>
              </w:rPr>
            </w:pPr>
            <w:r w:rsidRPr="00386411">
              <w:rPr>
                <w:rFonts w:ascii="Arial Narrow" w:hAnsi="Arial Narrow" w:cs="Calibri"/>
                <w:b/>
                <w:color w:val="000000"/>
                <w:sz w:val="20"/>
                <w:szCs w:val="20"/>
              </w:rPr>
              <w:t>Infection-related outcomes (</w:t>
            </w:r>
            <w:r>
              <w:rPr>
                <w:rFonts w:ascii="Arial Narrow" w:hAnsi="Arial Narrow"/>
                <w:b/>
                <w:sz w:val="20"/>
                <w:szCs w:val="20"/>
              </w:rPr>
              <w:t>N=15)</w:t>
            </w:r>
          </w:p>
        </w:tc>
        <w:tc>
          <w:tcPr>
            <w:tcW w:w="105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783A157" w14:textId="77777777" w:rsidR="00072426" w:rsidRPr="00386411" w:rsidRDefault="00072426" w:rsidP="002E0763">
            <w:pPr>
              <w:spacing w:after="0" w:line="240" w:lineRule="auto"/>
              <w:jc w:val="center"/>
              <w:rPr>
                <w:rFonts w:ascii="Arial Narrow" w:hAnsi="Arial Narrow"/>
                <w:b/>
                <w:sz w:val="20"/>
              </w:rPr>
            </w:pPr>
            <w:r w:rsidRPr="00386411">
              <w:rPr>
                <w:rFonts w:ascii="Arial Narrow" w:hAnsi="Arial Narrow"/>
                <w:b/>
                <w:snapToGrid w:val="0"/>
                <w:sz w:val="20"/>
                <w:szCs w:val="20"/>
                <w:lang w:eastAsia="en-US"/>
              </w:rPr>
              <w:t>12 mo prior to study (N=14)</w:t>
            </w:r>
          </w:p>
        </w:tc>
        <w:tc>
          <w:tcPr>
            <w:tcW w:w="105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FD166E3" w14:textId="77777777" w:rsidR="00072426" w:rsidRPr="00386411" w:rsidRDefault="00072426" w:rsidP="002E0763">
            <w:pPr>
              <w:spacing w:after="0" w:line="240" w:lineRule="auto"/>
              <w:jc w:val="center"/>
              <w:rPr>
                <w:rFonts w:ascii="Arial Narrow" w:hAnsi="Arial Narrow"/>
                <w:b/>
                <w:sz w:val="20"/>
              </w:rPr>
            </w:pPr>
            <w:r w:rsidRPr="00386411">
              <w:rPr>
                <w:rFonts w:ascii="Arial Narrow" w:hAnsi="Arial Narrow"/>
                <w:b/>
                <w:snapToGrid w:val="0"/>
                <w:sz w:val="20"/>
                <w:szCs w:val="20"/>
                <w:lang w:eastAsia="en-US"/>
              </w:rPr>
              <w:t>12 mo during study (median 14 mo, range 3-20) (n=14)</w:t>
            </w:r>
          </w:p>
        </w:tc>
        <w:tc>
          <w:tcPr>
            <w:tcW w:w="6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64FBF6" w14:textId="77777777" w:rsidR="00072426" w:rsidRPr="00386411" w:rsidRDefault="00072426" w:rsidP="002E0763">
            <w:pPr>
              <w:spacing w:after="0" w:line="240" w:lineRule="auto"/>
              <w:jc w:val="center"/>
              <w:rPr>
                <w:rFonts w:ascii="Arial Narrow" w:hAnsi="Arial Narrow"/>
                <w:b/>
                <w:sz w:val="20"/>
              </w:rPr>
            </w:pPr>
            <w:r w:rsidRPr="00386411">
              <w:rPr>
                <w:rFonts w:ascii="Arial Narrow" w:hAnsi="Arial Narrow"/>
                <w:b/>
                <w:snapToGrid w:val="0"/>
                <w:sz w:val="20"/>
                <w:szCs w:val="20"/>
                <w:lang w:eastAsia="en-US"/>
              </w:rPr>
              <w:t>p-value</w:t>
            </w:r>
          </w:p>
        </w:tc>
      </w:tr>
      <w:tr w:rsidR="00072426" w:rsidRPr="007D0AA8" w14:paraId="3EEFCEBC" w14:textId="77777777" w:rsidTr="002E0763">
        <w:tc>
          <w:tcPr>
            <w:tcW w:w="761" w:type="pct"/>
            <w:tcBorders>
              <w:top w:val="single" w:sz="4" w:space="0" w:color="auto"/>
              <w:left w:val="single" w:sz="4" w:space="0" w:color="auto"/>
              <w:bottom w:val="single" w:sz="4" w:space="0" w:color="auto"/>
              <w:right w:val="single" w:sz="4" w:space="0" w:color="auto"/>
            </w:tcBorders>
          </w:tcPr>
          <w:p w14:paraId="1A361F44" w14:textId="77777777" w:rsidR="00072426" w:rsidRPr="007D0AA8" w:rsidRDefault="00072426" w:rsidP="002E0763">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CLL</w:t>
            </w:r>
          </w:p>
        </w:tc>
        <w:tc>
          <w:tcPr>
            <w:tcW w:w="1456" w:type="pct"/>
            <w:gridSpan w:val="2"/>
            <w:tcBorders>
              <w:top w:val="single" w:sz="4" w:space="0" w:color="auto"/>
              <w:left w:val="single" w:sz="4" w:space="0" w:color="auto"/>
              <w:bottom w:val="single" w:sz="4" w:space="0" w:color="auto"/>
              <w:right w:val="single" w:sz="4" w:space="0" w:color="auto"/>
            </w:tcBorders>
          </w:tcPr>
          <w:p w14:paraId="295A4381" w14:textId="77777777" w:rsidR="00072426" w:rsidRPr="007D0AA8" w:rsidRDefault="00072426" w:rsidP="002E0763">
            <w:pPr>
              <w:spacing w:after="0" w:line="240" w:lineRule="auto"/>
              <w:rPr>
                <w:rFonts w:ascii="Arial Narrow" w:hAnsi="Arial Narrow"/>
                <w:sz w:val="20"/>
              </w:rPr>
            </w:pPr>
            <w:r w:rsidRPr="007D0AA8">
              <w:rPr>
                <w:rFonts w:ascii="Arial Narrow" w:hAnsi="Arial Narrow"/>
                <w:snapToGrid w:val="0"/>
                <w:sz w:val="20"/>
                <w:szCs w:val="20"/>
                <w:lang w:eastAsia="en-US"/>
              </w:rPr>
              <w:t>Patient months</w:t>
            </w:r>
          </w:p>
        </w:tc>
        <w:tc>
          <w:tcPr>
            <w:tcW w:w="1054" w:type="pct"/>
            <w:gridSpan w:val="2"/>
            <w:tcBorders>
              <w:top w:val="single" w:sz="4" w:space="0" w:color="auto"/>
              <w:left w:val="single" w:sz="4" w:space="0" w:color="auto"/>
              <w:bottom w:val="single" w:sz="4" w:space="0" w:color="auto"/>
              <w:right w:val="single" w:sz="4" w:space="0" w:color="auto"/>
            </w:tcBorders>
            <w:shd w:val="clear" w:color="auto" w:fill="auto"/>
            <w:noWrap/>
          </w:tcPr>
          <w:p w14:paraId="06DC7080" w14:textId="77777777" w:rsidR="00072426" w:rsidRPr="007D0AA8" w:rsidRDefault="00072426" w:rsidP="002E0763">
            <w:pPr>
              <w:spacing w:after="0" w:line="240" w:lineRule="auto"/>
              <w:jc w:val="center"/>
              <w:rPr>
                <w:rFonts w:ascii="Arial Narrow" w:hAnsi="Arial Narrow"/>
                <w:sz w:val="20"/>
              </w:rPr>
            </w:pPr>
            <w:r w:rsidRPr="007D0AA8">
              <w:rPr>
                <w:rFonts w:ascii="Arial Narrow" w:hAnsi="Arial Narrow"/>
                <w:snapToGrid w:val="0"/>
                <w:sz w:val="20"/>
                <w:szCs w:val="20"/>
                <w:lang w:eastAsia="en-US"/>
              </w:rPr>
              <w:t>168</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noWrap/>
          </w:tcPr>
          <w:p w14:paraId="51D4A0A9" w14:textId="77777777" w:rsidR="00072426" w:rsidRPr="007D0AA8" w:rsidRDefault="00072426" w:rsidP="002E0763">
            <w:pPr>
              <w:spacing w:after="0" w:line="240" w:lineRule="auto"/>
              <w:jc w:val="center"/>
              <w:rPr>
                <w:rFonts w:ascii="Arial Narrow" w:hAnsi="Arial Narrow"/>
                <w:sz w:val="20"/>
              </w:rPr>
            </w:pPr>
            <w:r w:rsidRPr="007D0AA8">
              <w:rPr>
                <w:rFonts w:ascii="Arial Narrow" w:hAnsi="Arial Narrow"/>
                <w:snapToGrid w:val="0"/>
                <w:sz w:val="20"/>
                <w:szCs w:val="20"/>
                <w:lang w:eastAsia="en-US"/>
              </w:rPr>
              <w:t>169</w:t>
            </w:r>
          </w:p>
        </w:tc>
        <w:tc>
          <w:tcPr>
            <w:tcW w:w="679" w:type="pct"/>
            <w:tcBorders>
              <w:top w:val="single" w:sz="4" w:space="0" w:color="auto"/>
              <w:left w:val="single" w:sz="4" w:space="0" w:color="auto"/>
              <w:bottom w:val="single" w:sz="4" w:space="0" w:color="auto"/>
              <w:right w:val="single" w:sz="4" w:space="0" w:color="auto"/>
            </w:tcBorders>
          </w:tcPr>
          <w:p w14:paraId="65245C24" w14:textId="77777777" w:rsidR="00072426" w:rsidRPr="007D0AA8" w:rsidRDefault="00072426" w:rsidP="002E0763">
            <w:pPr>
              <w:spacing w:after="0" w:line="240" w:lineRule="auto"/>
              <w:jc w:val="center"/>
              <w:rPr>
                <w:rFonts w:ascii="Arial Narrow" w:hAnsi="Arial Narrow"/>
                <w:sz w:val="20"/>
              </w:rPr>
            </w:pPr>
          </w:p>
        </w:tc>
      </w:tr>
      <w:tr w:rsidR="00072426" w:rsidRPr="007D0AA8" w14:paraId="6CEF7306" w14:textId="77777777" w:rsidTr="002E0763">
        <w:tc>
          <w:tcPr>
            <w:tcW w:w="761" w:type="pct"/>
            <w:tcBorders>
              <w:top w:val="single" w:sz="4" w:space="0" w:color="auto"/>
              <w:left w:val="single" w:sz="4" w:space="0" w:color="auto"/>
              <w:bottom w:val="single" w:sz="4" w:space="0" w:color="auto"/>
              <w:right w:val="single" w:sz="4" w:space="0" w:color="auto"/>
            </w:tcBorders>
          </w:tcPr>
          <w:p w14:paraId="10DACD3A" w14:textId="77777777" w:rsidR="00072426" w:rsidRPr="007D0AA8" w:rsidRDefault="00072426" w:rsidP="002E0763">
            <w:pPr>
              <w:spacing w:after="0" w:line="240" w:lineRule="auto"/>
              <w:rPr>
                <w:rFonts w:ascii="Arial Narrow" w:hAnsi="Arial Narrow" w:cs="Calibri"/>
                <w:color w:val="000000"/>
                <w:sz w:val="20"/>
                <w:szCs w:val="20"/>
              </w:rPr>
            </w:pPr>
          </w:p>
        </w:tc>
        <w:tc>
          <w:tcPr>
            <w:tcW w:w="1456" w:type="pct"/>
            <w:gridSpan w:val="2"/>
            <w:tcBorders>
              <w:top w:val="single" w:sz="4" w:space="0" w:color="auto"/>
              <w:left w:val="single" w:sz="4" w:space="0" w:color="auto"/>
              <w:bottom w:val="single" w:sz="4" w:space="0" w:color="auto"/>
              <w:right w:val="single" w:sz="4" w:space="0" w:color="auto"/>
            </w:tcBorders>
          </w:tcPr>
          <w:p w14:paraId="34FFF620" w14:textId="77777777" w:rsidR="00072426" w:rsidRPr="007D0AA8" w:rsidRDefault="00072426" w:rsidP="002E0763">
            <w:pPr>
              <w:spacing w:after="0" w:line="240" w:lineRule="auto"/>
              <w:rPr>
                <w:rFonts w:ascii="Arial Narrow" w:hAnsi="Arial Narrow"/>
                <w:sz w:val="20"/>
              </w:rPr>
            </w:pPr>
            <w:r w:rsidRPr="007D0AA8">
              <w:rPr>
                <w:rFonts w:ascii="Arial Narrow" w:hAnsi="Arial Narrow"/>
                <w:snapToGrid w:val="0"/>
                <w:sz w:val="20"/>
                <w:szCs w:val="20"/>
                <w:lang w:eastAsia="en-US"/>
              </w:rPr>
              <w:t>Hospital admissions due to infections</w:t>
            </w:r>
          </w:p>
        </w:tc>
        <w:tc>
          <w:tcPr>
            <w:tcW w:w="1054" w:type="pct"/>
            <w:gridSpan w:val="2"/>
            <w:tcBorders>
              <w:top w:val="single" w:sz="4" w:space="0" w:color="auto"/>
              <w:left w:val="single" w:sz="4" w:space="0" w:color="auto"/>
              <w:bottom w:val="single" w:sz="4" w:space="0" w:color="auto"/>
              <w:right w:val="single" w:sz="4" w:space="0" w:color="auto"/>
            </w:tcBorders>
            <w:shd w:val="clear" w:color="auto" w:fill="auto"/>
            <w:noWrap/>
          </w:tcPr>
          <w:p w14:paraId="5A91EB1C" w14:textId="77777777" w:rsidR="00072426" w:rsidRPr="007D0AA8" w:rsidRDefault="00072426" w:rsidP="002E0763">
            <w:pPr>
              <w:spacing w:after="0" w:line="240" w:lineRule="auto"/>
              <w:jc w:val="center"/>
              <w:rPr>
                <w:rFonts w:ascii="Arial Narrow" w:hAnsi="Arial Narrow"/>
                <w:sz w:val="20"/>
              </w:rPr>
            </w:pPr>
            <w:r w:rsidRPr="007D0AA8">
              <w:rPr>
                <w:rFonts w:ascii="Arial Narrow" w:hAnsi="Arial Narrow"/>
                <w:snapToGrid w:val="0"/>
                <w:sz w:val="20"/>
                <w:szCs w:val="20"/>
                <w:lang w:eastAsia="en-US"/>
              </w:rPr>
              <w:t>16</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noWrap/>
          </w:tcPr>
          <w:p w14:paraId="2AF587EF" w14:textId="77777777" w:rsidR="00072426" w:rsidRPr="007D0AA8" w:rsidRDefault="00072426" w:rsidP="002E0763">
            <w:pPr>
              <w:spacing w:after="0" w:line="240" w:lineRule="auto"/>
              <w:jc w:val="center"/>
              <w:rPr>
                <w:rFonts w:ascii="Arial Narrow" w:hAnsi="Arial Narrow"/>
                <w:sz w:val="20"/>
              </w:rPr>
            </w:pPr>
            <w:r w:rsidRPr="007D0AA8">
              <w:rPr>
                <w:rFonts w:ascii="Arial Narrow" w:hAnsi="Arial Narrow"/>
                <w:snapToGrid w:val="0"/>
                <w:sz w:val="20"/>
                <w:szCs w:val="20"/>
                <w:lang w:eastAsia="en-US"/>
              </w:rPr>
              <w:t>5</w:t>
            </w:r>
          </w:p>
        </w:tc>
        <w:tc>
          <w:tcPr>
            <w:tcW w:w="679" w:type="pct"/>
            <w:tcBorders>
              <w:top w:val="single" w:sz="4" w:space="0" w:color="auto"/>
              <w:left w:val="single" w:sz="4" w:space="0" w:color="auto"/>
              <w:bottom w:val="single" w:sz="4" w:space="0" w:color="auto"/>
              <w:right w:val="single" w:sz="4" w:space="0" w:color="auto"/>
            </w:tcBorders>
          </w:tcPr>
          <w:p w14:paraId="286CB1D8" w14:textId="77777777" w:rsidR="00072426" w:rsidRPr="007D0AA8" w:rsidRDefault="00072426" w:rsidP="002E0763">
            <w:pPr>
              <w:spacing w:after="0" w:line="240" w:lineRule="auto"/>
              <w:jc w:val="center"/>
              <w:rPr>
                <w:rFonts w:ascii="Arial Narrow" w:hAnsi="Arial Narrow"/>
                <w:sz w:val="20"/>
              </w:rPr>
            </w:pPr>
            <w:r w:rsidRPr="007D0AA8">
              <w:rPr>
                <w:rFonts w:ascii="Arial Narrow" w:hAnsi="Arial Narrow"/>
                <w:snapToGrid w:val="0"/>
                <w:sz w:val="20"/>
                <w:szCs w:val="20"/>
                <w:lang w:eastAsia="en-US"/>
              </w:rPr>
              <w:t>p=0.047</w:t>
            </w:r>
          </w:p>
        </w:tc>
      </w:tr>
      <w:tr w:rsidR="00072426" w:rsidRPr="007D0AA8" w14:paraId="5F0CC602" w14:textId="77777777" w:rsidTr="002E0763">
        <w:tc>
          <w:tcPr>
            <w:tcW w:w="761" w:type="pct"/>
            <w:tcBorders>
              <w:top w:val="single" w:sz="4" w:space="0" w:color="auto"/>
              <w:left w:val="single" w:sz="4" w:space="0" w:color="auto"/>
              <w:bottom w:val="single" w:sz="4" w:space="0" w:color="auto"/>
              <w:right w:val="single" w:sz="4" w:space="0" w:color="auto"/>
            </w:tcBorders>
            <w:vAlign w:val="bottom"/>
          </w:tcPr>
          <w:p w14:paraId="391C98ED" w14:textId="77777777" w:rsidR="00072426" w:rsidRPr="007D0AA8" w:rsidRDefault="00072426" w:rsidP="002E0763">
            <w:pPr>
              <w:spacing w:after="0" w:line="240" w:lineRule="auto"/>
              <w:rPr>
                <w:rFonts w:ascii="Arial Narrow" w:hAnsi="Arial Narrow" w:cs="Calibri"/>
                <w:color w:val="000000"/>
                <w:sz w:val="20"/>
                <w:szCs w:val="20"/>
              </w:rPr>
            </w:pPr>
          </w:p>
        </w:tc>
        <w:tc>
          <w:tcPr>
            <w:tcW w:w="1456" w:type="pct"/>
            <w:gridSpan w:val="2"/>
            <w:tcBorders>
              <w:top w:val="single" w:sz="4" w:space="0" w:color="auto"/>
              <w:left w:val="single" w:sz="4" w:space="0" w:color="auto"/>
              <w:bottom w:val="single" w:sz="4" w:space="0" w:color="auto"/>
              <w:right w:val="single" w:sz="4" w:space="0" w:color="auto"/>
            </w:tcBorders>
          </w:tcPr>
          <w:p w14:paraId="19239DBB" w14:textId="77777777" w:rsidR="00072426" w:rsidRPr="007D0AA8" w:rsidRDefault="00072426" w:rsidP="002E0763">
            <w:pPr>
              <w:spacing w:after="0" w:line="240" w:lineRule="auto"/>
              <w:rPr>
                <w:rFonts w:ascii="Arial Narrow" w:hAnsi="Arial Narrow"/>
                <w:sz w:val="20"/>
              </w:rPr>
            </w:pPr>
            <w:r w:rsidRPr="007D0AA8">
              <w:rPr>
                <w:rFonts w:ascii="Arial Narrow" w:hAnsi="Arial Narrow"/>
                <w:snapToGrid w:val="0"/>
                <w:sz w:val="20"/>
                <w:szCs w:val="20"/>
                <w:lang w:eastAsia="en-US"/>
              </w:rPr>
              <w:t>Antibiotic prescriptions</w:t>
            </w:r>
          </w:p>
        </w:tc>
        <w:tc>
          <w:tcPr>
            <w:tcW w:w="1054" w:type="pct"/>
            <w:gridSpan w:val="2"/>
            <w:tcBorders>
              <w:top w:val="single" w:sz="4" w:space="0" w:color="auto"/>
              <w:left w:val="single" w:sz="4" w:space="0" w:color="auto"/>
              <w:bottom w:val="single" w:sz="4" w:space="0" w:color="auto"/>
              <w:right w:val="single" w:sz="4" w:space="0" w:color="auto"/>
            </w:tcBorders>
            <w:shd w:val="clear" w:color="auto" w:fill="auto"/>
            <w:noWrap/>
          </w:tcPr>
          <w:p w14:paraId="0666DC6A" w14:textId="77777777" w:rsidR="00072426" w:rsidRPr="007D0AA8" w:rsidRDefault="00072426" w:rsidP="002E0763">
            <w:pPr>
              <w:spacing w:after="0" w:line="240" w:lineRule="auto"/>
              <w:jc w:val="center"/>
              <w:rPr>
                <w:rFonts w:ascii="Arial Narrow" w:hAnsi="Arial Narrow"/>
                <w:sz w:val="20"/>
              </w:rPr>
            </w:pPr>
            <w:r w:rsidRPr="007D0AA8">
              <w:rPr>
                <w:rFonts w:ascii="Arial Narrow" w:hAnsi="Arial Narrow"/>
                <w:snapToGrid w:val="0"/>
                <w:sz w:val="20"/>
                <w:szCs w:val="20"/>
                <w:lang w:eastAsia="en-US"/>
              </w:rPr>
              <w:t>78</w:t>
            </w:r>
          </w:p>
        </w:tc>
        <w:tc>
          <w:tcPr>
            <w:tcW w:w="1050" w:type="pct"/>
            <w:gridSpan w:val="3"/>
            <w:tcBorders>
              <w:top w:val="single" w:sz="4" w:space="0" w:color="auto"/>
              <w:left w:val="single" w:sz="4" w:space="0" w:color="auto"/>
              <w:bottom w:val="single" w:sz="4" w:space="0" w:color="auto"/>
              <w:right w:val="single" w:sz="4" w:space="0" w:color="auto"/>
            </w:tcBorders>
            <w:shd w:val="clear" w:color="auto" w:fill="auto"/>
            <w:noWrap/>
          </w:tcPr>
          <w:p w14:paraId="33227AF1" w14:textId="77777777" w:rsidR="00072426" w:rsidRPr="007D0AA8" w:rsidRDefault="00072426" w:rsidP="002E0763">
            <w:pPr>
              <w:spacing w:after="0" w:line="240" w:lineRule="auto"/>
              <w:jc w:val="center"/>
              <w:rPr>
                <w:rFonts w:ascii="Arial Narrow" w:hAnsi="Arial Narrow"/>
                <w:sz w:val="20"/>
              </w:rPr>
            </w:pPr>
            <w:r w:rsidRPr="007D0AA8">
              <w:rPr>
                <w:rFonts w:ascii="Arial Narrow" w:hAnsi="Arial Narrow"/>
                <w:snapToGrid w:val="0"/>
                <w:sz w:val="20"/>
                <w:szCs w:val="20"/>
                <w:lang w:eastAsia="en-US"/>
              </w:rPr>
              <w:t>54</w:t>
            </w:r>
          </w:p>
        </w:tc>
        <w:tc>
          <w:tcPr>
            <w:tcW w:w="679" w:type="pct"/>
            <w:tcBorders>
              <w:top w:val="single" w:sz="4" w:space="0" w:color="auto"/>
              <w:left w:val="single" w:sz="4" w:space="0" w:color="auto"/>
              <w:bottom w:val="single" w:sz="4" w:space="0" w:color="auto"/>
              <w:right w:val="single" w:sz="4" w:space="0" w:color="auto"/>
            </w:tcBorders>
          </w:tcPr>
          <w:p w14:paraId="4CD33E60" w14:textId="77777777" w:rsidR="00072426" w:rsidRPr="007D0AA8" w:rsidRDefault="00072426" w:rsidP="002E0763">
            <w:pPr>
              <w:spacing w:after="0" w:line="240" w:lineRule="auto"/>
              <w:jc w:val="center"/>
              <w:rPr>
                <w:rFonts w:ascii="Arial Narrow" w:hAnsi="Arial Narrow"/>
                <w:sz w:val="20"/>
              </w:rPr>
            </w:pPr>
            <w:r w:rsidRPr="007D0AA8">
              <w:rPr>
                <w:rFonts w:ascii="Arial Narrow" w:hAnsi="Arial Narrow"/>
                <w:snapToGrid w:val="0"/>
                <w:sz w:val="20"/>
                <w:szCs w:val="20"/>
                <w:lang w:eastAsia="en-US"/>
              </w:rPr>
              <w:t>p&gt;0.05</w:t>
            </w:r>
          </w:p>
        </w:tc>
      </w:tr>
      <w:tr w:rsidR="00072426" w:rsidRPr="00386411" w14:paraId="03F50091" w14:textId="77777777" w:rsidTr="002E0763">
        <w:tc>
          <w:tcPr>
            <w:tcW w:w="5000" w:type="pct"/>
            <w:gridSpan w:val="9"/>
            <w:tcBorders>
              <w:top w:val="single" w:sz="4" w:space="0" w:color="auto"/>
              <w:left w:val="single" w:sz="4" w:space="0" w:color="auto"/>
              <w:bottom w:val="single" w:sz="4" w:space="0" w:color="auto"/>
              <w:right w:val="single" w:sz="4" w:space="0" w:color="auto"/>
            </w:tcBorders>
            <w:shd w:val="clear" w:color="auto" w:fill="000000" w:themeFill="text1"/>
          </w:tcPr>
          <w:p w14:paraId="2744581C" w14:textId="77777777" w:rsidR="00072426" w:rsidRPr="00386411" w:rsidRDefault="00072426" w:rsidP="002E0763">
            <w:pPr>
              <w:keepNext/>
              <w:spacing w:after="0" w:line="240" w:lineRule="auto"/>
              <w:rPr>
                <w:rFonts w:ascii="Arial Narrow" w:hAnsi="Arial Narrow"/>
                <w:b/>
                <w:sz w:val="20"/>
                <w:szCs w:val="20"/>
              </w:rPr>
            </w:pPr>
            <w:r>
              <w:rPr>
                <w:rFonts w:ascii="Arial Narrow" w:hAnsi="Arial Narrow"/>
                <w:b/>
                <w:sz w:val="20"/>
                <w:szCs w:val="20"/>
              </w:rPr>
              <w:t>[Supportive] Case</w:t>
            </w:r>
            <w:r w:rsidRPr="00386411">
              <w:rPr>
                <w:rFonts w:ascii="Arial Narrow" w:hAnsi="Arial Narrow"/>
                <w:b/>
                <w:sz w:val="20"/>
                <w:szCs w:val="20"/>
              </w:rPr>
              <w:t xml:space="preserve"> series</w:t>
            </w:r>
          </w:p>
        </w:tc>
      </w:tr>
      <w:tr w:rsidR="00072426" w:rsidRPr="00386411" w14:paraId="07E1678F" w14:textId="77777777" w:rsidTr="00B52A4F">
        <w:tc>
          <w:tcPr>
            <w:tcW w:w="7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237EB5" w14:textId="77777777" w:rsidR="00072426" w:rsidRPr="00386411" w:rsidRDefault="00072426" w:rsidP="002E0763">
            <w:pPr>
              <w:spacing w:after="0" w:line="240" w:lineRule="auto"/>
              <w:rPr>
                <w:rFonts w:ascii="Arial Narrow" w:hAnsi="Arial Narrow"/>
                <w:b/>
                <w:sz w:val="20"/>
                <w:szCs w:val="20"/>
              </w:rPr>
            </w:pPr>
            <w:r w:rsidRPr="00386411">
              <w:rPr>
                <w:rFonts w:ascii="Arial Narrow" w:hAnsi="Arial Narrow" w:cs="Calibri"/>
                <w:b/>
                <w:color w:val="000000"/>
                <w:sz w:val="20"/>
                <w:szCs w:val="20"/>
              </w:rPr>
              <w:t>Windegger et al., 2019</w:t>
            </w:r>
          </w:p>
        </w:tc>
        <w:tc>
          <w:tcPr>
            <w:tcW w:w="145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C0E343" w14:textId="77777777" w:rsidR="00072426" w:rsidRPr="00386411" w:rsidRDefault="00072426" w:rsidP="002E0763">
            <w:pPr>
              <w:spacing w:after="0" w:line="240" w:lineRule="auto"/>
              <w:rPr>
                <w:rFonts w:ascii="Arial Narrow" w:hAnsi="Arial Narrow"/>
                <w:b/>
                <w:sz w:val="20"/>
              </w:rPr>
            </w:pPr>
            <w:r w:rsidRPr="00386411">
              <w:rPr>
                <w:rFonts w:ascii="Arial Narrow" w:hAnsi="Arial Narrow"/>
                <w:b/>
                <w:snapToGrid w:val="0"/>
                <w:sz w:val="20"/>
              </w:rPr>
              <w:t>Infection requiring hospitalisation/total annual (N=13)</w:t>
            </w:r>
          </w:p>
        </w:tc>
        <w:tc>
          <w:tcPr>
            <w:tcW w:w="1054" w:type="pct"/>
            <w:gridSpan w:val="2"/>
            <w:tcBorders>
              <w:top w:val="single" w:sz="4" w:space="0" w:color="auto"/>
              <w:left w:val="single" w:sz="4" w:space="0" w:color="auto"/>
              <w:bottom w:val="single" w:sz="4" w:space="0" w:color="auto"/>
              <w:right w:val="nil"/>
            </w:tcBorders>
            <w:shd w:val="clear" w:color="auto" w:fill="D9D9D9" w:themeFill="background1" w:themeFillShade="D9"/>
            <w:noWrap/>
          </w:tcPr>
          <w:p w14:paraId="2FDB3E55" w14:textId="77777777" w:rsidR="00072426" w:rsidRPr="00386411" w:rsidRDefault="00072426" w:rsidP="002E0763">
            <w:pPr>
              <w:pStyle w:val="TableHeading"/>
              <w:spacing w:before="0" w:after="0"/>
              <w:ind w:left="111" w:right="117"/>
              <w:jc w:val="center"/>
              <w:rPr>
                <w:snapToGrid w:val="0"/>
                <w:lang w:eastAsia="en-US"/>
              </w:rPr>
            </w:pPr>
            <w:r w:rsidRPr="00386411">
              <w:rPr>
                <w:snapToGrid w:val="0"/>
                <w:lang w:eastAsia="en-US"/>
              </w:rPr>
              <w:t>Initial 12 mo IVIg</w:t>
            </w:r>
          </w:p>
          <w:p w14:paraId="08F3172D" w14:textId="77777777" w:rsidR="00072426" w:rsidRPr="00386411" w:rsidRDefault="00072426" w:rsidP="002E0763">
            <w:pPr>
              <w:spacing w:after="0" w:line="240" w:lineRule="auto"/>
              <w:jc w:val="center"/>
              <w:rPr>
                <w:rFonts w:ascii="Arial Narrow" w:hAnsi="Arial Narrow"/>
                <w:b/>
                <w:sz w:val="20"/>
                <w:szCs w:val="20"/>
              </w:rPr>
            </w:pPr>
            <w:r w:rsidRPr="00386411">
              <w:rPr>
                <w:rFonts w:ascii="Arial Narrow" w:hAnsi="Arial Narrow"/>
                <w:b/>
                <w:snapToGrid w:val="0"/>
                <w:sz w:val="20"/>
                <w:szCs w:val="20"/>
                <w:lang w:eastAsia="en-US"/>
              </w:rPr>
              <w:t>Mean per patient</w:t>
            </w:r>
          </w:p>
        </w:tc>
        <w:tc>
          <w:tcPr>
            <w:tcW w:w="1050" w:type="pct"/>
            <w:gridSpan w:val="3"/>
            <w:tcBorders>
              <w:top w:val="single" w:sz="4" w:space="0" w:color="auto"/>
              <w:left w:val="nil"/>
              <w:bottom w:val="single" w:sz="4" w:space="0" w:color="auto"/>
              <w:right w:val="nil"/>
            </w:tcBorders>
            <w:shd w:val="clear" w:color="auto" w:fill="D9D9D9" w:themeFill="background1" w:themeFillShade="D9"/>
            <w:noWrap/>
          </w:tcPr>
          <w:p w14:paraId="70CCDA15" w14:textId="77777777" w:rsidR="00072426" w:rsidRPr="00386411" w:rsidRDefault="00072426" w:rsidP="002E0763">
            <w:pPr>
              <w:pStyle w:val="TableHeading"/>
              <w:spacing w:before="0" w:after="0"/>
              <w:ind w:left="77" w:right="117"/>
              <w:jc w:val="center"/>
              <w:rPr>
                <w:snapToGrid w:val="0"/>
                <w:lang w:eastAsia="en-US"/>
              </w:rPr>
            </w:pPr>
            <w:r w:rsidRPr="00386411">
              <w:rPr>
                <w:snapToGrid w:val="0"/>
                <w:lang w:eastAsia="en-US"/>
              </w:rPr>
              <w:t>Subsequent 12 mo SCIg</w:t>
            </w:r>
          </w:p>
          <w:p w14:paraId="7DD7556E" w14:textId="77777777" w:rsidR="00072426" w:rsidRPr="00386411" w:rsidRDefault="00072426" w:rsidP="002E0763">
            <w:pPr>
              <w:spacing w:after="0" w:line="240" w:lineRule="auto"/>
              <w:jc w:val="center"/>
              <w:rPr>
                <w:rFonts w:ascii="Arial Narrow" w:hAnsi="Arial Narrow"/>
                <w:b/>
                <w:sz w:val="20"/>
                <w:szCs w:val="20"/>
              </w:rPr>
            </w:pPr>
            <w:r w:rsidRPr="00386411">
              <w:rPr>
                <w:rFonts w:ascii="Arial Narrow" w:hAnsi="Arial Narrow"/>
                <w:b/>
                <w:snapToGrid w:val="0"/>
                <w:sz w:val="20"/>
                <w:szCs w:val="20"/>
                <w:lang w:eastAsia="en-US"/>
              </w:rPr>
              <w:t>Mean per patient</w:t>
            </w:r>
          </w:p>
        </w:tc>
        <w:tc>
          <w:tcPr>
            <w:tcW w:w="679" w:type="pct"/>
            <w:tcBorders>
              <w:top w:val="single" w:sz="4" w:space="0" w:color="auto"/>
              <w:left w:val="nil"/>
              <w:bottom w:val="single" w:sz="4" w:space="0" w:color="auto"/>
              <w:right w:val="single" w:sz="4" w:space="0" w:color="auto"/>
            </w:tcBorders>
            <w:shd w:val="clear" w:color="auto" w:fill="D9D9D9" w:themeFill="background1" w:themeFillShade="D9"/>
          </w:tcPr>
          <w:p w14:paraId="48F55C44" w14:textId="77777777" w:rsidR="00072426" w:rsidRPr="00386411" w:rsidRDefault="00072426" w:rsidP="002E0763">
            <w:pPr>
              <w:spacing w:after="0" w:line="240" w:lineRule="auto"/>
              <w:jc w:val="right"/>
              <w:rPr>
                <w:rFonts w:ascii="Arial Narrow" w:hAnsi="Arial Narrow"/>
                <w:b/>
                <w:sz w:val="20"/>
                <w:szCs w:val="20"/>
              </w:rPr>
            </w:pPr>
          </w:p>
        </w:tc>
      </w:tr>
      <w:tr w:rsidR="00072426" w:rsidRPr="007D0AA8" w14:paraId="44BC2706" w14:textId="77777777" w:rsidTr="002E0763">
        <w:tc>
          <w:tcPr>
            <w:tcW w:w="761" w:type="pct"/>
            <w:tcBorders>
              <w:top w:val="single" w:sz="4" w:space="0" w:color="auto"/>
              <w:left w:val="single" w:sz="4" w:space="0" w:color="auto"/>
              <w:right w:val="single" w:sz="4" w:space="0" w:color="auto"/>
            </w:tcBorders>
            <w:shd w:val="clear" w:color="auto" w:fill="FFFFFF" w:themeFill="background1"/>
          </w:tcPr>
          <w:p w14:paraId="6D4E9E08" w14:textId="77777777" w:rsidR="00072426" w:rsidRPr="007D0AA8" w:rsidRDefault="00072426" w:rsidP="002E0763">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(undefined)</w:t>
            </w:r>
          </w:p>
        </w:tc>
        <w:tc>
          <w:tcPr>
            <w:tcW w:w="1456" w:type="pct"/>
            <w:gridSpan w:val="2"/>
            <w:tcBorders>
              <w:top w:val="single" w:sz="4" w:space="0" w:color="auto"/>
              <w:left w:val="single" w:sz="4" w:space="0" w:color="auto"/>
              <w:right w:val="single" w:sz="4" w:space="0" w:color="auto"/>
            </w:tcBorders>
            <w:shd w:val="clear" w:color="auto" w:fill="FFFFFF" w:themeFill="background1"/>
          </w:tcPr>
          <w:p w14:paraId="7C1184E0" w14:textId="77777777" w:rsidR="00072426" w:rsidRPr="007D0AA8" w:rsidRDefault="00072426" w:rsidP="002E0763">
            <w:pPr>
              <w:spacing w:after="0" w:line="240" w:lineRule="auto"/>
              <w:rPr>
                <w:rFonts w:ascii="Arial Narrow" w:hAnsi="Arial Narrow"/>
                <w:snapToGrid w:val="0"/>
                <w:sz w:val="20"/>
              </w:rPr>
            </w:pPr>
            <w:r w:rsidRPr="007D0AA8">
              <w:rPr>
                <w:rFonts w:ascii="Arial Narrow" w:hAnsi="Arial Narrow"/>
                <w:snapToGrid w:val="0"/>
                <w:sz w:val="20"/>
              </w:rPr>
              <w:t>Treatment sought for infection (hospital emergency or GP)</w:t>
            </w:r>
          </w:p>
        </w:tc>
        <w:tc>
          <w:tcPr>
            <w:tcW w:w="1054" w:type="pct"/>
            <w:gridSpan w:val="2"/>
            <w:tcBorders>
              <w:top w:val="single" w:sz="4" w:space="0" w:color="auto"/>
              <w:left w:val="single" w:sz="4" w:space="0" w:color="auto"/>
              <w:right w:val="nil"/>
            </w:tcBorders>
            <w:shd w:val="clear" w:color="auto" w:fill="FFFFFF" w:themeFill="background1"/>
            <w:noWrap/>
          </w:tcPr>
          <w:p w14:paraId="47237BD6" w14:textId="77777777" w:rsidR="00072426" w:rsidRPr="007D0AA8" w:rsidRDefault="00072426" w:rsidP="002E0763">
            <w:pPr>
              <w:pStyle w:val="TableHeading"/>
              <w:spacing w:before="0" w:after="0"/>
              <w:ind w:left="111" w:right="117"/>
              <w:rPr>
                <w:b w:val="0"/>
                <w:snapToGrid w:val="0"/>
                <w:lang w:eastAsia="en-US"/>
              </w:rPr>
            </w:pPr>
            <w:r w:rsidRPr="007D0AA8">
              <w:rPr>
                <w:b w:val="0"/>
                <w:snapToGrid w:val="0"/>
              </w:rPr>
              <w:t xml:space="preserve">3/24 </w:t>
            </w:r>
          </w:p>
        </w:tc>
        <w:tc>
          <w:tcPr>
            <w:tcW w:w="1050" w:type="pct"/>
            <w:gridSpan w:val="3"/>
            <w:tcBorders>
              <w:top w:val="single" w:sz="4" w:space="0" w:color="auto"/>
              <w:left w:val="nil"/>
              <w:right w:val="nil"/>
            </w:tcBorders>
            <w:shd w:val="clear" w:color="auto" w:fill="FFFFFF" w:themeFill="background1"/>
            <w:noWrap/>
          </w:tcPr>
          <w:p w14:paraId="3752A153" w14:textId="77777777" w:rsidR="00072426" w:rsidRPr="007D0AA8" w:rsidRDefault="00072426" w:rsidP="002E0763">
            <w:pPr>
              <w:pStyle w:val="TableHeading"/>
              <w:spacing w:before="0" w:after="0"/>
              <w:ind w:left="77" w:right="117"/>
              <w:rPr>
                <w:b w:val="0"/>
                <w:snapToGrid w:val="0"/>
                <w:lang w:eastAsia="en-US"/>
              </w:rPr>
            </w:pPr>
            <w:r w:rsidRPr="007D0AA8">
              <w:rPr>
                <w:b w:val="0"/>
                <w:snapToGrid w:val="0"/>
              </w:rPr>
              <w:t xml:space="preserve">1/30 </w:t>
            </w:r>
          </w:p>
        </w:tc>
        <w:tc>
          <w:tcPr>
            <w:tcW w:w="679" w:type="pct"/>
            <w:tcBorders>
              <w:top w:val="single" w:sz="4" w:space="0" w:color="auto"/>
              <w:left w:val="nil"/>
              <w:right w:val="single" w:sz="4" w:space="0" w:color="auto"/>
            </w:tcBorders>
            <w:shd w:val="clear" w:color="auto" w:fill="FFFFFF" w:themeFill="background1"/>
          </w:tcPr>
          <w:p w14:paraId="7803CC29" w14:textId="77777777" w:rsidR="00072426" w:rsidRPr="007D0AA8" w:rsidRDefault="00072426" w:rsidP="002E0763">
            <w:pPr>
              <w:spacing w:after="0" w:line="240" w:lineRule="auto"/>
              <w:jc w:val="right"/>
              <w:rPr>
                <w:rFonts w:ascii="Arial Narrow" w:hAnsi="Arial Narrow"/>
                <w:sz w:val="20"/>
                <w:szCs w:val="20"/>
              </w:rPr>
            </w:pPr>
          </w:p>
        </w:tc>
      </w:tr>
      <w:tr w:rsidR="00072426" w:rsidRPr="007D0AA8" w14:paraId="51E9DDE5" w14:textId="77777777" w:rsidTr="002E0763">
        <w:tc>
          <w:tcPr>
            <w:tcW w:w="761" w:type="pct"/>
            <w:tcBorders>
              <w:left w:val="single" w:sz="4" w:space="0" w:color="auto"/>
              <w:right w:val="single" w:sz="4" w:space="0" w:color="auto"/>
            </w:tcBorders>
            <w:shd w:val="clear" w:color="auto" w:fill="FFFFFF" w:themeFill="background1"/>
          </w:tcPr>
          <w:p w14:paraId="0131DAD7" w14:textId="77777777" w:rsidR="00072426" w:rsidRPr="007D0AA8" w:rsidRDefault="00072426" w:rsidP="002E0763">
            <w:pPr>
              <w:spacing w:after="0" w:line="240" w:lineRule="auto"/>
              <w:rPr>
                <w:rFonts w:ascii="Arial Narrow" w:hAnsi="Arial Narrow" w:cs="Calibri"/>
                <w:color w:val="000000"/>
                <w:sz w:val="20"/>
                <w:szCs w:val="20"/>
              </w:rPr>
            </w:pPr>
          </w:p>
        </w:tc>
        <w:tc>
          <w:tcPr>
            <w:tcW w:w="1456" w:type="pct"/>
            <w:gridSpan w:val="2"/>
            <w:tcBorders>
              <w:left w:val="single" w:sz="4" w:space="0" w:color="auto"/>
              <w:right w:val="single" w:sz="4" w:space="0" w:color="auto"/>
            </w:tcBorders>
            <w:shd w:val="clear" w:color="auto" w:fill="FFFFFF" w:themeFill="background1"/>
          </w:tcPr>
          <w:p w14:paraId="70A50C6C" w14:textId="77777777" w:rsidR="00072426" w:rsidRPr="007D0AA8" w:rsidRDefault="00072426" w:rsidP="002E0763">
            <w:pPr>
              <w:spacing w:after="0" w:line="240" w:lineRule="auto"/>
              <w:rPr>
                <w:rFonts w:ascii="Arial Narrow" w:hAnsi="Arial Narrow"/>
                <w:snapToGrid w:val="0"/>
                <w:sz w:val="20"/>
              </w:rPr>
            </w:pPr>
            <w:r w:rsidRPr="007D0AA8">
              <w:rPr>
                <w:rFonts w:ascii="Arial Narrow" w:hAnsi="Arial Narrow"/>
                <w:snapToGrid w:val="0"/>
                <w:sz w:val="20"/>
              </w:rPr>
              <w:t>LoS per infection without bronchiectasis, mean</w:t>
            </w:r>
          </w:p>
        </w:tc>
        <w:tc>
          <w:tcPr>
            <w:tcW w:w="1054" w:type="pct"/>
            <w:gridSpan w:val="2"/>
            <w:tcBorders>
              <w:left w:val="single" w:sz="4" w:space="0" w:color="auto"/>
              <w:right w:val="nil"/>
            </w:tcBorders>
            <w:shd w:val="clear" w:color="auto" w:fill="FFFFFF" w:themeFill="background1"/>
            <w:noWrap/>
          </w:tcPr>
          <w:p w14:paraId="06DA6C6C" w14:textId="77777777" w:rsidR="00072426" w:rsidRPr="007D0AA8" w:rsidRDefault="00072426" w:rsidP="002E0763">
            <w:pPr>
              <w:pStyle w:val="TableHeading"/>
              <w:spacing w:before="0" w:after="0"/>
              <w:ind w:left="111" w:right="117"/>
              <w:rPr>
                <w:b w:val="0"/>
                <w:snapToGrid w:val="0"/>
                <w:lang w:eastAsia="en-US"/>
              </w:rPr>
            </w:pPr>
            <w:r w:rsidRPr="007D0AA8">
              <w:rPr>
                <w:b w:val="0"/>
                <w:snapToGrid w:val="0"/>
              </w:rPr>
              <w:t xml:space="preserve">9/15 </w:t>
            </w:r>
          </w:p>
        </w:tc>
        <w:tc>
          <w:tcPr>
            <w:tcW w:w="1050" w:type="pct"/>
            <w:gridSpan w:val="3"/>
            <w:tcBorders>
              <w:left w:val="nil"/>
              <w:right w:val="nil"/>
            </w:tcBorders>
            <w:shd w:val="clear" w:color="auto" w:fill="FFFFFF" w:themeFill="background1"/>
            <w:noWrap/>
          </w:tcPr>
          <w:p w14:paraId="047E1A85" w14:textId="77777777" w:rsidR="00072426" w:rsidRPr="007D0AA8" w:rsidRDefault="00072426" w:rsidP="002E0763">
            <w:pPr>
              <w:pStyle w:val="TableHeading"/>
              <w:spacing w:before="0" w:after="0"/>
              <w:ind w:left="77" w:right="117"/>
              <w:rPr>
                <w:b w:val="0"/>
                <w:snapToGrid w:val="0"/>
                <w:lang w:eastAsia="en-US"/>
              </w:rPr>
            </w:pPr>
            <w:r w:rsidRPr="007D0AA8">
              <w:rPr>
                <w:b w:val="0"/>
                <w:snapToGrid w:val="0"/>
              </w:rPr>
              <w:t>8/22</w:t>
            </w:r>
          </w:p>
        </w:tc>
        <w:tc>
          <w:tcPr>
            <w:tcW w:w="679" w:type="pct"/>
            <w:tcBorders>
              <w:left w:val="nil"/>
              <w:right w:val="single" w:sz="4" w:space="0" w:color="auto"/>
            </w:tcBorders>
            <w:shd w:val="clear" w:color="auto" w:fill="FFFFFF" w:themeFill="background1"/>
          </w:tcPr>
          <w:p w14:paraId="74CC0507" w14:textId="77777777" w:rsidR="00072426" w:rsidRPr="007D0AA8" w:rsidRDefault="00072426" w:rsidP="002E0763">
            <w:pPr>
              <w:spacing w:after="0" w:line="240" w:lineRule="auto"/>
              <w:jc w:val="right"/>
              <w:rPr>
                <w:rFonts w:ascii="Arial Narrow" w:hAnsi="Arial Narrow"/>
                <w:sz w:val="20"/>
                <w:szCs w:val="20"/>
              </w:rPr>
            </w:pPr>
          </w:p>
        </w:tc>
      </w:tr>
      <w:tr w:rsidR="00072426" w:rsidRPr="007D0AA8" w14:paraId="569FA31D" w14:textId="77777777" w:rsidTr="002E0763">
        <w:tc>
          <w:tcPr>
            <w:tcW w:w="761" w:type="pct"/>
            <w:tcBorders>
              <w:left w:val="single" w:sz="4" w:space="0" w:color="auto"/>
              <w:right w:val="single" w:sz="4" w:space="0" w:color="auto"/>
            </w:tcBorders>
            <w:shd w:val="clear" w:color="auto" w:fill="FFFFFF" w:themeFill="background1"/>
          </w:tcPr>
          <w:p w14:paraId="13F279E1" w14:textId="77777777" w:rsidR="00072426" w:rsidRPr="007D0AA8" w:rsidRDefault="00072426" w:rsidP="002E0763">
            <w:pPr>
              <w:spacing w:after="0" w:line="240" w:lineRule="auto"/>
              <w:rPr>
                <w:rFonts w:ascii="Arial Narrow" w:hAnsi="Arial Narrow" w:cs="Calibri"/>
                <w:color w:val="000000"/>
                <w:sz w:val="20"/>
                <w:szCs w:val="20"/>
              </w:rPr>
            </w:pPr>
          </w:p>
        </w:tc>
        <w:tc>
          <w:tcPr>
            <w:tcW w:w="1456" w:type="pct"/>
            <w:gridSpan w:val="2"/>
            <w:tcBorders>
              <w:left w:val="single" w:sz="4" w:space="0" w:color="auto"/>
              <w:right w:val="single" w:sz="4" w:space="0" w:color="auto"/>
            </w:tcBorders>
            <w:shd w:val="clear" w:color="auto" w:fill="FFFFFF" w:themeFill="background1"/>
          </w:tcPr>
          <w:p w14:paraId="583A5E7D" w14:textId="77777777" w:rsidR="00072426" w:rsidRPr="007D0AA8" w:rsidRDefault="00072426" w:rsidP="002E0763">
            <w:pPr>
              <w:spacing w:after="0" w:line="240" w:lineRule="auto"/>
              <w:rPr>
                <w:rFonts w:ascii="Arial Narrow" w:hAnsi="Arial Narrow"/>
                <w:snapToGrid w:val="0"/>
                <w:sz w:val="20"/>
              </w:rPr>
            </w:pPr>
            <w:r w:rsidRPr="007D0AA8">
              <w:rPr>
                <w:rFonts w:ascii="Arial Narrow" w:hAnsi="Arial Narrow"/>
                <w:snapToGrid w:val="0"/>
                <w:sz w:val="20"/>
              </w:rPr>
              <w:t>LoS per infection with bronchiectasis, mean</w:t>
            </w:r>
          </w:p>
        </w:tc>
        <w:tc>
          <w:tcPr>
            <w:tcW w:w="1054" w:type="pct"/>
            <w:gridSpan w:val="2"/>
            <w:tcBorders>
              <w:left w:val="single" w:sz="4" w:space="0" w:color="auto"/>
              <w:right w:val="nil"/>
            </w:tcBorders>
            <w:shd w:val="clear" w:color="auto" w:fill="FFFFFF" w:themeFill="background1"/>
            <w:noWrap/>
          </w:tcPr>
          <w:p w14:paraId="5247D2A0" w14:textId="77777777" w:rsidR="00072426" w:rsidRPr="007D0AA8" w:rsidRDefault="00072426" w:rsidP="002E0763">
            <w:pPr>
              <w:pStyle w:val="TableHeading"/>
              <w:spacing w:before="0" w:after="0"/>
              <w:ind w:left="111" w:right="117"/>
              <w:rPr>
                <w:b w:val="0"/>
                <w:snapToGrid w:val="0"/>
                <w:lang w:eastAsia="en-US"/>
              </w:rPr>
            </w:pPr>
            <w:r w:rsidRPr="007D0AA8">
              <w:rPr>
                <w:b w:val="0"/>
                <w:snapToGrid w:val="0"/>
              </w:rPr>
              <w:t>3.75 days</w:t>
            </w:r>
          </w:p>
        </w:tc>
        <w:tc>
          <w:tcPr>
            <w:tcW w:w="1050" w:type="pct"/>
            <w:gridSpan w:val="3"/>
            <w:tcBorders>
              <w:left w:val="nil"/>
              <w:right w:val="nil"/>
            </w:tcBorders>
            <w:shd w:val="clear" w:color="auto" w:fill="FFFFFF" w:themeFill="background1"/>
            <w:noWrap/>
          </w:tcPr>
          <w:p w14:paraId="28682F93" w14:textId="77777777" w:rsidR="00072426" w:rsidRPr="007D0AA8" w:rsidRDefault="00072426" w:rsidP="002E0763">
            <w:pPr>
              <w:pStyle w:val="TableHeading"/>
              <w:spacing w:before="0" w:after="0"/>
              <w:ind w:left="77" w:right="117"/>
              <w:rPr>
                <w:b w:val="0"/>
                <w:snapToGrid w:val="0"/>
                <w:lang w:eastAsia="en-US"/>
              </w:rPr>
            </w:pPr>
            <w:r w:rsidRPr="007D0AA8">
              <w:rPr>
                <w:b w:val="0"/>
                <w:snapToGrid w:val="0"/>
              </w:rPr>
              <w:t>2.67 days</w:t>
            </w:r>
          </w:p>
        </w:tc>
        <w:tc>
          <w:tcPr>
            <w:tcW w:w="679" w:type="pct"/>
            <w:tcBorders>
              <w:left w:val="nil"/>
              <w:right w:val="single" w:sz="4" w:space="0" w:color="auto"/>
            </w:tcBorders>
            <w:shd w:val="clear" w:color="auto" w:fill="FFFFFF" w:themeFill="background1"/>
          </w:tcPr>
          <w:p w14:paraId="3FF5E003" w14:textId="77777777" w:rsidR="00072426" w:rsidRPr="007D0AA8" w:rsidRDefault="00072426" w:rsidP="002E0763">
            <w:pPr>
              <w:spacing w:after="0" w:line="240" w:lineRule="auto"/>
              <w:jc w:val="right"/>
              <w:rPr>
                <w:rFonts w:ascii="Arial Narrow" w:hAnsi="Arial Narrow"/>
                <w:sz w:val="20"/>
                <w:szCs w:val="20"/>
              </w:rPr>
            </w:pPr>
          </w:p>
        </w:tc>
      </w:tr>
      <w:tr w:rsidR="00072426" w:rsidRPr="007D0AA8" w14:paraId="503A6125" w14:textId="77777777" w:rsidTr="002E0763">
        <w:tc>
          <w:tcPr>
            <w:tcW w:w="761" w:type="pct"/>
            <w:tcBorders>
              <w:left w:val="single" w:sz="4" w:space="0" w:color="auto"/>
              <w:bottom w:val="single" w:sz="4" w:space="0" w:color="auto"/>
              <w:right w:val="single" w:sz="4" w:space="0" w:color="auto"/>
            </w:tcBorders>
            <w:shd w:val="clear" w:color="auto" w:fill="FFFFFF" w:themeFill="background1"/>
          </w:tcPr>
          <w:p w14:paraId="45416913" w14:textId="77777777" w:rsidR="00072426" w:rsidRPr="007D0AA8" w:rsidRDefault="00072426" w:rsidP="002E0763">
            <w:pPr>
              <w:spacing w:after="0" w:line="240" w:lineRule="auto"/>
              <w:rPr>
                <w:rFonts w:ascii="Arial Narrow" w:hAnsi="Arial Narrow" w:cs="Calibri"/>
                <w:color w:val="000000"/>
                <w:sz w:val="20"/>
                <w:szCs w:val="20"/>
              </w:rPr>
            </w:pPr>
          </w:p>
        </w:tc>
        <w:tc>
          <w:tcPr>
            <w:tcW w:w="1456" w:type="pct"/>
            <w:gridSpan w:val="2"/>
            <w:tcBorders>
              <w:left w:val="single" w:sz="4" w:space="0" w:color="auto"/>
              <w:bottom w:val="single" w:sz="4" w:space="0" w:color="auto"/>
              <w:right w:val="single" w:sz="4" w:space="0" w:color="auto"/>
            </w:tcBorders>
            <w:shd w:val="clear" w:color="auto" w:fill="FFFFFF" w:themeFill="background1"/>
            <w:vAlign w:val="center"/>
          </w:tcPr>
          <w:p w14:paraId="7968DA10" w14:textId="77777777" w:rsidR="00072426" w:rsidRPr="007D0AA8" w:rsidRDefault="00072426" w:rsidP="002E0763">
            <w:pPr>
              <w:spacing w:after="0" w:line="240" w:lineRule="auto"/>
              <w:rPr>
                <w:rFonts w:ascii="Arial Narrow" w:hAnsi="Arial Narrow"/>
                <w:snapToGrid w:val="0"/>
                <w:sz w:val="20"/>
              </w:rPr>
            </w:pPr>
            <w:r w:rsidRPr="007D0AA8">
              <w:rPr>
                <w:rFonts w:ascii="Arial Narrow" w:hAnsi="Arial Narrow" w:cs="Arial"/>
                <w:sz w:val="20"/>
                <w:szCs w:val="20"/>
                <w:lang w:val="en-GB" w:eastAsia="en-GB"/>
              </w:rPr>
              <w:t>Rate of hospitalisation due to infection</w:t>
            </w:r>
          </w:p>
        </w:tc>
        <w:tc>
          <w:tcPr>
            <w:tcW w:w="1054" w:type="pct"/>
            <w:gridSpan w:val="2"/>
            <w:tcBorders>
              <w:left w:val="single" w:sz="4" w:space="0" w:color="auto"/>
              <w:bottom w:val="single" w:sz="4" w:space="0" w:color="auto"/>
              <w:right w:val="nil"/>
            </w:tcBorders>
            <w:shd w:val="clear" w:color="auto" w:fill="FFFFFF" w:themeFill="background1"/>
            <w:noWrap/>
            <w:vAlign w:val="center"/>
          </w:tcPr>
          <w:p w14:paraId="468281B0" w14:textId="77777777" w:rsidR="00072426" w:rsidRPr="007D0AA8" w:rsidRDefault="00072426" w:rsidP="002E0763">
            <w:pPr>
              <w:pStyle w:val="TableHeading"/>
              <w:spacing w:before="0" w:after="0"/>
              <w:ind w:left="111" w:right="117"/>
              <w:rPr>
                <w:b w:val="0"/>
                <w:snapToGrid w:val="0"/>
                <w:lang w:eastAsia="en-US"/>
              </w:rPr>
            </w:pPr>
            <w:r w:rsidRPr="007D0AA8">
              <w:rPr>
                <w:rFonts w:cs="Arial"/>
                <w:b w:val="0"/>
                <w:lang w:val="en-GB" w:eastAsia="en-GB"/>
              </w:rPr>
              <w:t>0.13</w:t>
            </w:r>
          </w:p>
        </w:tc>
        <w:tc>
          <w:tcPr>
            <w:tcW w:w="1050" w:type="pct"/>
            <w:gridSpan w:val="3"/>
            <w:tcBorders>
              <w:left w:val="nil"/>
              <w:bottom w:val="single" w:sz="4" w:space="0" w:color="auto"/>
              <w:right w:val="nil"/>
            </w:tcBorders>
            <w:shd w:val="clear" w:color="auto" w:fill="FFFFFF" w:themeFill="background1"/>
            <w:noWrap/>
            <w:vAlign w:val="center"/>
          </w:tcPr>
          <w:p w14:paraId="17B609BE" w14:textId="77777777" w:rsidR="00072426" w:rsidRPr="007D0AA8" w:rsidRDefault="00072426" w:rsidP="002E0763">
            <w:pPr>
              <w:pStyle w:val="TableHeading"/>
              <w:spacing w:before="0" w:after="0"/>
              <w:ind w:left="77" w:right="117"/>
              <w:rPr>
                <w:b w:val="0"/>
                <w:snapToGrid w:val="0"/>
                <w:lang w:eastAsia="en-US"/>
              </w:rPr>
            </w:pPr>
            <w:r w:rsidRPr="007D0AA8">
              <w:rPr>
                <w:rFonts w:cs="Arial"/>
                <w:b w:val="0"/>
                <w:lang w:val="en-GB" w:eastAsia="en-GB"/>
              </w:rPr>
              <w:t>0.03</w:t>
            </w:r>
          </w:p>
        </w:tc>
        <w:tc>
          <w:tcPr>
            <w:tcW w:w="679" w:type="pct"/>
            <w:tcBorders>
              <w:left w:val="nil"/>
              <w:bottom w:val="single" w:sz="4" w:space="0" w:color="auto"/>
              <w:right w:val="single" w:sz="4" w:space="0" w:color="auto"/>
            </w:tcBorders>
            <w:shd w:val="clear" w:color="auto" w:fill="FFFFFF" w:themeFill="background1"/>
          </w:tcPr>
          <w:p w14:paraId="3DA07878" w14:textId="77777777" w:rsidR="00072426" w:rsidRPr="007D0AA8" w:rsidRDefault="00072426" w:rsidP="002E0763">
            <w:pPr>
              <w:spacing w:after="0" w:line="240" w:lineRule="auto"/>
              <w:jc w:val="right"/>
              <w:rPr>
                <w:rFonts w:ascii="Arial Narrow" w:hAnsi="Arial Narrow"/>
                <w:sz w:val="20"/>
                <w:szCs w:val="20"/>
              </w:rPr>
            </w:pPr>
          </w:p>
        </w:tc>
      </w:tr>
    </w:tbl>
    <w:p w14:paraId="0BE93237" w14:textId="0156A565" w:rsidR="00B71723" w:rsidRPr="007D0AA8" w:rsidRDefault="00AD309D" w:rsidP="00331FB9">
      <w:pPr>
        <w:pStyle w:val="Tablenotes1"/>
        <w:rPr>
          <w:szCs w:val="18"/>
        </w:rPr>
      </w:pPr>
      <w:r w:rsidRPr="007D0AA8">
        <w:rPr>
          <w:rFonts w:cstheme="minorHAnsi"/>
        </w:rPr>
        <w:t>Notes:</w:t>
      </w:r>
      <w:r w:rsidR="00F96E47" w:rsidRPr="007D0AA8">
        <w:rPr>
          <w:rFonts w:cstheme="minorHAnsi"/>
        </w:rPr>
        <w:t xml:space="preserve"> </w:t>
      </w:r>
      <w:r w:rsidR="00F051F9" w:rsidRPr="007D0AA8">
        <w:rPr>
          <w:u w:val="single"/>
        </w:rPr>
        <w:t>Brenner, 1996</w:t>
      </w:r>
      <w:r w:rsidR="00F051F9" w:rsidRPr="007D0AA8">
        <w:t xml:space="preserve"> studied a population (N=54) of CLL(n=22), MM(n=4) and also ITP and PAPS patients. The CLL and MM patient results are reported separately where possible. For CLL, the total numbers of infections requiring hospitalisation did not correspond with the individual contributing infections but this was not explained by the authors. No further MM data were presented</w:t>
      </w:r>
      <w:r w:rsidR="00B71723" w:rsidRPr="007D0AA8">
        <w:t xml:space="preserve"> due to small patient numbers. </w:t>
      </w:r>
      <w:r w:rsidR="00B71723" w:rsidRPr="007D0AA8">
        <w:rPr>
          <w:szCs w:val="18"/>
          <w:u w:val="single"/>
        </w:rPr>
        <w:t>Duraisingham et al., 2014</w:t>
      </w:r>
      <w:r w:rsidR="00B71723" w:rsidRPr="007D0AA8">
        <w:rPr>
          <w:szCs w:val="18"/>
        </w:rPr>
        <w:t xml:space="preserve"> – only data from n=39 SID patients presented; figures for n=15 haematological malignancy subset in italics extracted from raw data in supplementary spreadsheet, note this includes one patient with MGUS and excludes another with WM. </w:t>
      </w:r>
    </w:p>
    <w:p w14:paraId="657093CF" w14:textId="0274157D" w:rsidR="00AD309D" w:rsidRPr="007D0AA8" w:rsidRDefault="00F35796" w:rsidP="00331FB9">
      <w:pPr>
        <w:pStyle w:val="Tablenotes1"/>
        <w:rPr>
          <w:rFonts w:cstheme="minorHAnsi"/>
        </w:rPr>
      </w:pPr>
      <w:r w:rsidRPr="007D0AA8">
        <w:rPr>
          <w:u w:val="single"/>
        </w:rPr>
        <w:t xml:space="preserve">Günther &amp; Dreger 2013 </w:t>
      </w:r>
      <w:r w:rsidRPr="007D0AA8">
        <w:t xml:space="preserve">– underlying disease types: CLL(5), FL(2), WM(1), IgA-plasmacytoma (1), MDS(1)].  </w:t>
      </w:r>
      <w:r w:rsidR="00AD309D" w:rsidRPr="007D0AA8">
        <w:rPr>
          <w:rFonts w:cstheme="minorHAnsi"/>
          <w:u w:val="single"/>
        </w:rPr>
        <w:t>Sundin et al., 2012</w:t>
      </w:r>
      <w:r w:rsidR="00AD309D" w:rsidRPr="007D0AA8">
        <w:rPr>
          <w:rFonts w:cstheme="minorHAnsi"/>
        </w:rPr>
        <w:t xml:space="preserve"> – no observation period for events was reported thus infection rate per pati</w:t>
      </w:r>
      <w:r w:rsidR="00F96E47" w:rsidRPr="007D0AA8">
        <w:rPr>
          <w:rFonts w:cstheme="minorHAnsi"/>
        </w:rPr>
        <w:t>ent month could not be derived.</w:t>
      </w:r>
      <w:r w:rsidRPr="007D0AA8">
        <w:rPr>
          <w:rFonts w:cstheme="minorHAnsi"/>
        </w:rPr>
        <w:tab/>
      </w:r>
      <w:r w:rsidR="00AD309D" w:rsidRPr="007D0AA8">
        <w:rPr>
          <w:rFonts w:cstheme="minorHAnsi"/>
        </w:rPr>
        <w:br/>
      </w:r>
      <w:r w:rsidRPr="007D0AA8">
        <w:t xml:space="preserve">CLL=chronic lymphocytic leukaemia; FL=follicular lymphoma; </w:t>
      </w:r>
      <w:r w:rsidR="00AD309D" w:rsidRPr="007D0AA8">
        <w:rPr>
          <w:rFonts w:cstheme="minorHAnsi"/>
        </w:rPr>
        <w:t>GP=general practitioner; IgG-RT=immunoglobulin gamma replacement therapy;</w:t>
      </w:r>
      <w:r w:rsidRPr="007D0AA8">
        <w:rPr>
          <w:rFonts w:cstheme="minorHAnsi"/>
        </w:rPr>
        <w:t xml:space="preserve"> </w:t>
      </w:r>
      <w:r w:rsidRPr="007D0AA8">
        <w:t>IVIg=intravenous immunoglobulin;</w:t>
      </w:r>
      <w:r w:rsidR="00AD309D" w:rsidRPr="007D0AA8">
        <w:rPr>
          <w:rFonts w:cstheme="minorHAnsi"/>
        </w:rPr>
        <w:t xml:space="preserve"> LoS = length of hospital stay; </w:t>
      </w:r>
      <w:r w:rsidRPr="007D0AA8">
        <w:t>MDS=myelo</w:t>
      </w:r>
      <w:r w:rsidRPr="007D0AA8">
        <w:softHyphen/>
        <w:t xml:space="preserve">dysplastic syndrome; MM=multiple myeloma; </w:t>
      </w:r>
      <w:r w:rsidR="003B6667">
        <w:t xml:space="preserve">mo=month; </w:t>
      </w:r>
      <w:r w:rsidRPr="007D0AA8">
        <w:t xml:space="preserve">n.r.=not reported; </w:t>
      </w:r>
      <w:r w:rsidR="00AD309D" w:rsidRPr="007D0AA8">
        <w:rPr>
          <w:rFonts w:cstheme="minorHAnsi"/>
        </w:rPr>
        <w:t>n.s.=not statistically significant</w:t>
      </w:r>
      <w:r w:rsidRPr="007D0AA8">
        <w:rPr>
          <w:rFonts w:cstheme="minorHAnsi"/>
        </w:rPr>
        <w:t xml:space="preserve">; n.r.=not reported; </w:t>
      </w:r>
      <w:r w:rsidRPr="007D0AA8">
        <w:t>SAE=serious adverse event;</w:t>
      </w:r>
      <w:r w:rsidR="00B71723" w:rsidRPr="007D0AA8">
        <w:t xml:space="preserve"> SID=secondary immunodeficiency;</w:t>
      </w:r>
      <w:r w:rsidRPr="007D0AA8">
        <w:t xml:space="preserve"> </w:t>
      </w:r>
      <w:r w:rsidR="003B6667">
        <w:t xml:space="preserve">tx=treatment; </w:t>
      </w:r>
      <w:r w:rsidRPr="007D0AA8">
        <w:rPr>
          <w:rFonts w:eastAsia="Calibri" w:cs="Times New Roman"/>
          <w:sz w:val="20"/>
        </w:rPr>
        <w:t>WM=</w:t>
      </w:r>
      <w:r w:rsidRPr="007D0AA8">
        <w:rPr>
          <w:rFonts w:eastAsia="Calibri" w:cs="Times New Roman"/>
          <w:sz w:val="20"/>
          <w:szCs w:val="20"/>
        </w:rPr>
        <w:t>Waldenström macroglobulinaemia</w:t>
      </w:r>
      <w:r w:rsidRPr="007D0AA8">
        <w:t xml:space="preserve">. </w:t>
      </w:r>
    </w:p>
    <w:p w14:paraId="77ED8407" w14:textId="300897E3" w:rsidR="00892934" w:rsidRPr="007D0AA8" w:rsidRDefault="00892934" w:rsidP="00986B13">
      <w:pPr>
        <w:rPr>
          <w:rFonts w:asciiTheme="minorHAnsi" w:hAnsiTheme="minorHAnsi" w:cstheme="minorHAnsi"/>
        </w:rPr>
      </w:pPr>
      <w:r w:rsidRPr="007D0AA8">
        <w:rPr>
          <w:rFonts w:asciiTheme="minorHAnsi" w:hAnsiTheme="minorHAnsi" w:cstheme="minorHAnsi"/>
        </w:rPr>
        <w:t xml:space="preserve">The </w:t>
      </w:r>
      <w:r w:rsidR="005F08CE">
        <w:rPr>
          <w:rFonts w:asciiTheme="minorHAnsi" w:hAnsiTheme="minorHAnsi" w:cstheme="minorHAnsi"/>
        </w:rPr>
        <w:t xml:space="preserve">before/after </w:t>
      </w:r>
      <w:r w:rsidRPr="007D0AA8">
        <w:rPr>
          <w:rFonts w:asciiTheme="minorHAnsi" w:hAnsiTheme="minorHAnsi" w:cstheme="minorHAnsi"/>
        </w:rPr>
        <w:t xml:space="preserve">time </w:t>
      </w:r>
      <w:r w:rsidR="005F08CE">
        <w:rPr>
          <w:rFonts w:asciiTheme="minorHAnsi" w:hAnsiTheme="minorHAnsi" w:cstheme="minorHAnsi"/>
        </w:rPr>
        <w:t>comparison</w:t>
      </w:r>
      <w:r w:rsidRPr="007D0AA8">
        <w:rPr>
          <w:rFonts w:asciiTheme="minorHAnsi" w:hAnsiTheme="minorHAnsi" w:cstheme="minorHAnsi"/>
        </w:rPr>
        <w:t xml:space="preserve"> studies tended to show an improvement in resource use as a measure of infectious complications after IgG compared with before treatment. </w:t>
      </w:r>
      <w:r w:rsidR="00237C7A" w:rsidRPr="007D0AA8">
        <w:rPr>
          <w:rFonts w:asciiTheme="minorHAnsi" w:hAnsiTheme="minorHAnsi" w:cstheme="minorHAnsi"/>
        </w:rPr>
        <w:t>This was true of two of the older studies</w:t>
      </w:r>
      <w:r w:rsidR="009A1DA6">
        <w:rPr>
          <w:rFonts w:asciiTheme="minorHAnsi" w:hAnsiTheme="minorHAnsi" w:cstheme="minorHAnsi"/>
        </w:rPr>
        <w:t xml:space="preserve"> </w:t>
      </w:r>
      <w:r w:rsidR="0047474A">
        <w:rPr>
          <w:rFonts w:asciiTheme="minorHAnsi" w:hAnsiTheme="minorHAnsi" w:cstheme="minorHAnsi"/>
        </w:rPr>
        <w:t xml:space="preserve">in CLL patients </w:t>
      </w:r>
      <w:r w:rsidR="00896BE2">
        <w:rPr>
          <w:rFonts w:asciiTheme="minorHAnsi" w:hAnsiTheme="minorHAnsi" w:cstheme="minorHAnsi"/>
        </w:rPr>
        <w:fldChar w:fldCharType="begin">
          <w:fldData xml:space="preserve">PEVuZE5vdGU+PENpdGU+PEF1dGhvcj5CcmVubmVyPC9BdXRob3I+PFllYXI+MTk5NjwvWWVhcj48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</w:fldData>
        </w:fldChar>
      </w:r>
      <w:r w:rsidR="00896BE2">
        <w:rPr>
          <w:rFonts w:asciiTheme="minorHAnsi" w:hAnsiTheme="minorHAnsi" w:cstheme="minorHAnsi"/>
        </w:rPr>
        <w:instrText xml:space="preserve"> ADDIN EN.CITE </w:instrText>
      </w:r>
      <w:r w:rsidR="00896BE2">
        <w:rPr>
          <w:rFonts w:asciiTheme="minorHAnsi" w:hAnsiTheme="minorHAnsi" w:cstheme="minorHAnsi"/>
        </w:rPr>
        <w:fldChar w:fldCharType="begin">
          <w:fldData xml:space="preserve">PEVuZE5vdGU+PENpdGU+PEF1dGhvcj5CcmVubmVyPC9BdXRob3I+PFllYXI+MTk5NjwvWWVhcj48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</w:fldData>
        </w:fldChar>
      </w:r>
      <w:r w:rsidR="00896BE2">
        <w:rPr>
          <w:rFonts w:asciiTheme="minorHAnsi" w:hAnsiTheme="minorHAnsi" w:cstheme="minorHAnsi"/>
        </w:rPr>
        <w:instrText xml:space="preserve"> ADDIN EN.CITE.DATA </w:instrText>
      </w:r>
      <w:r w:rsidR="00896BE2">
        <w:rPr>
          <w:rFonts w:asciiTheme="minorHAnsi" w:hAnsiTheme="minorHAnsi" w:cstheme="minorHAnsi"/>
        </w:rPr>
      </w:r>
      <w:r w:rsidR="00896BE2">
        <w:rPr>
          <w:rFonts w:asciiTheme="minorHAnsi" w:hAnsiTheme="minorHAnsi" w:cstheme="minorHAnsi"/>
        </w:rPr>
        <w:fldChar w:fldCharType="end"/>
      </w:r>
      <w:r w:rsidR="00896BE2">
        <w:rPr>
          <w:rFonts w:asciiTheme="minorHAnsi" w:hAnsiTheme="minorHAnsi" w:cstheme="minorHAnsi"/>
        </w:rPr>
      </w:r>
      <w:r w:rsidR="00896BE2">
        <w:rPr>
          <w:rFonts w:asciiTheme="minorHAnsi" w:hAnsiTheme="minorHAnsi" w:cstheme="minorHAnsi"/>
        </w:rPr>
        <w:fldChar w:fldCharType="separate"/>
      </w:r>
      <w:r w:rsidR="00896BE2">
        <w:rPr>
          <w:rFonts w:asciiTheme="minorHAnsi" w:hAnsiTheme="minorHAnsi" w:cstheme="minorHAnsi"/>
          <w:noProof/>
        </w:rPr>
        <w:t>(</w:t>
      </w:r>
      <w:hyperlink w:anchor="_ENREF_8" w:tooltip="Brenner, 1996 #15" w:history="1">
        <w:r w:rsidR="00BB0145">
          <w:rPr>
            <w:rFonts w:asciiTheme="minorHAnsi" w:hAnsiTheme="minorHAnsi" w:cstheme="minorHAnsi"/>
            <w:noProof/>
          </w:rPr>
          <w:t>Brenner 1996</w:t>
        </w:r>
      </w:hyperlink>
      <w:r w:rsidR="00896BE2">
        <w:rPr>
          <w:rFonts w:asciiTheme="minorHAnsi" w:hAnsiTheme="minorHAnsi" w:cstheme="minorHAnsi"/>
          <w:noProof/>
        </w:rPr>
        <w:t xml:space="preserve">; </w:t>
      </w:r>
      <w:hyperlink w:anchor="_ENREF_24" w:tooltip="Jurlander, 1995 #11" w:history="1">
        <w:r w:rsidR="00BB0145">
          <w:rPr>
            <w:rFonts w:asciiTheme="minorHAnsi" w:hAnsiTheme="minorHAnsi" w:cstheme="minorHAnsi"/>
            <w:noProof/>
          </w:rPr>
          <w:t>Jurlander, Geisler &amp; Hansen 1995</w:t>
        </w:r>
      </w:hyperlink>
      <w:r w:rsidR="00896BE2">
        <w:rPr>
          <w:rFonts w:asciiTheme="minorHAnsi" w:hAnsiTheme="minorHAnsi" w:cstheme="minorHAnsi"/>
          <w:noProof/>
        </w:rPr>
        <w:t>)</w:t>
      </w:r>
      <w:r w:rsidR="00896BE2">
        <w:rPr>
          <w:rFonts w:asciiTheme="minorHAnsi" w:hAnsiTheme="minorHAnsi" w:cstheme="minorHAnsi"/>
        </w:rPr>
        <w:fldChar w:fldCharType="end"/>
      </w:r>
      <w:r w:rsidR="0047474A">
        <w:rPr>
          <w:rFonts w:asciiTheme="minorHAnsi" w:hAnsiTheme="minorHAnsi" w:cstheme="minorHAnsi"/>
        </w:rPr>
        <w:t>, though numbers of patients and/or number of events were relatively small</w:t>
      </w:r>
      <w:r w:rsidR="005F08CE">
        <w:rPr>
          <w:rFonts w:asciiTheme="minorHAnsi" w:hAnsiTheme="minorHAnsi" w:cstheme="minorHAnsi"/>
        </w:rPr>
        <w:t xml:space="preserve">. </w:t>
      </w:r>
    </w:p>
    <w:p w14:paraId="154E0228" w14:textId="5F731FC3" w:rsidR="00405386" w:rsidRDefault="00DA4AFC" w:rsidP="00DA4AFC">
      <w:r>
        <w:t>A recent French study</w:t>
      </w:r>
      <w:r w:rsidR="005F08CE">
        <w:t xml:space="preserve"> </w:t>
      </w:r>
      <w:r w:rsidR="00405386" w:rsidRPr="007D0AA8">
        <w:t>published in two parts</w:t>
      </w:r>
      <w:r>
        <w:t xml:space="preserve"> </w:t>
      </w:r>
      <w:r w:rsidR="00896BE2">
        <w:fldChar w:fldCharType="begin">
          <w:fldData xml:space="preserve">PEVuZE5vdGU+PENpdGU+PEF1dGhvcj5CZW5icmFoaW08L0F1dGhvcj48WWVhcj4yMDE4PC9ZZWFy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</w:fldData>
        </w:fldChar>
      </w:r>
      <w:r w:rsidR="00896BE2">
        <w:instrText xml:space="preserve"> ADDIN EN.CITE </w:instrText>
      </w:r>
      <w:r w:rsidR="00896BE2">
        <w:fldChar w:fldCharType="begin">
          <w:fldData xml:space="preserve">PEVuZE5vdGU+PENpdGU+PEF1dGhvcj5CZW5icmFoaW08L0F1dGhvcj48WWVhcj4yMDE4PC9ZZWFy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</w:fldData>
        </w:fldChar>
      </w:r>
      <w:r w:rsidR="00896BE2">
        <w:instrText xml:space="preserve"> ADDIN EN.CITE.DATA </w:instrText>
      </w:r>
      <w:r w:rsidR="00896BE2">
        <w:fldChar w:fldCharType="end"/>
      </w:r>
      <w:r w:rsidR="00896BE2">
        <w:fldChar w:fldCharType="separate"/>
      </w:r>
      <w:r w:rsidR="00896BE2">
        <w:rPr>
          <w:noProof/>
        </w:rPr>
        <w:t>(</w:t>
      </w:r>
      <w:hyperlink w:anchor="_ENREF_2" w:tooltip="Benbrahim, 2018 #89" w:history="1">
        <w:r w:rsidR="00BB0145">
          <w:rPr>
            <w:noProof/>
          </w:rPr>
          <w:t>Benbrahim et al. 2018</w:t>
        </w:r>
      </w:hyperlink>
      <w:r w:rsidR="00896BE2">
        <w:rPr>
          <w:noProof/>
        </w:rPr>
        <w:t xml:space="preserve">, </w:t>
      </w:r>
      <w:hyperlink w:anchor="_ENREF_3" w:tooltip="Benbrahim, 2019 #88" w:history="1">
        <w:r w:rsidR="00BB0145">
          <w:rPr>
            <w:noProof/>
          </w:rPr>
          <w:t>2019</w:t>
        </w:r>
      </w:hyperlink>
      <w:r w:rsidR="00896BE2">
        <w:rPr>
          <w:noProof/>
        </w:rPr>
        <w:t>)</w:t>
      </w:r>
      <w:r w:rsidR="00896BE2">
        <w:fldChar w:fldCharType="end"/>
      </w:r>
      <w:r w:rsidR="00405386" w:rsidRPr="007D0AA8">
        <w:t xml:space="preserve"> </w:t>
      </w:r>
      <w:r w:rsidR="005F08CE">
        <w:t xml:space="preserve">studied 160 patients, mostly with CLL, MM and NHL. The authors </w:t>
      </w:r>
      <w:r w:rsidR="00405386" w:rsidRPr="007D0AA8">
        <w:t>showed a consistent difference in antibiotic use, IV antibiotic use and hospitalisations for infection</w:t>
      </w:r>
      <w:r w:rsidR="004D61C1" w:rsidRPr="007D0AA8">
        <w:t xml:space="preserve"> when</w:t>
      </w:r>
      <w:r w:rsidR="00405386" w:rsidRPr="007D0AA8">
        <w:t xml:space="preserve"> </w:t>
      </w:r>
      <w:r w:rsidR="004D61C1" w:rsidRPr="007D0AA8">
        <w:t xml:space="preserve">comparing results </w:t>
      </w:r>
      <w:r w:rsidR="00405386" w:rsidRPr="007D0AA8">
        <w:t>before (at baseline) and after IgG therapy</w:t>
      </w:r>
      <w:r w:rsidR="004D61C1" w:rsidRPr="007D0AA8">
        <w:t xml:space="preserve"> (last visit)</w:t>
      </w:r>
      <w:r w:rsidR="00405386" w:rsidRPr="007D0AA8">
        <w:t>. This was one of the few</w:t>
      </w:r>
      <w:r w:rsidR="005F08CE">
        <w:t xml:space="preserve"> case</w:t>
      </w:r>
      <w:r w:rsidR="00405386" w:rsidRPr="007D0AA8">
        <w:t xml:space="preserve"> studies judged to be at low risk of bias. Although hypogammaglobulinaemia and infection history were not inclusion criteria,</w:t>
      </w:r>
      <w:r w:rsidR="004D61C1" w:rsidRPr="007D0AA8">
        <w:t xml:space="preserve"> mean values at baseline for serum IgG and infection history (see </w:t>
      </w:r>
      <w:r w:rsidR="004D61C1" w:rsidRPr="007D0AA8">
        <w:fldChar w:fldCharType="begin"/>
      </w:r>
      <w:r w:rsidR="004D61C1" w:rsidRPr="007D0AA8">
        <w:instrText xml:space="preserve"> REF _Ref9248112 \h </w:instrText>
      </w:r>
      <w:r w:rsidR="00386411" w:rsidRPr="007D0AA8">
        <w:instrText xml:space="preserve"> \* MERGEFORMAT </w:instrText>
      </w:r>
      <w:r w:rsidR="004D61C1" w:rsidRPr="007D0AA8">
        <w:fldChar w:fldCharType="separate"/>
      </w:r>
      <w:r w:rsidR="00A7463B" w:rsidRPr="00386411">
        <w:t xml:space="preserve">Table </w:t>
      </w:r>
      <w:r w:rsidR="00A7463B">
        <w:rPr>
          <w:noProof/>
        </w:rPr>
        <w:t>22</w:t>
      </w:r>
      <w:r w:rsidR="004D61C1" w:rsidRPr="007D0AA8">
        <w:fldChar w:fldCharType="end"/>
      </w:r>
      <w:r w:rsidR="004D61C1" w:rsidRPr="007D0AA8">
        <w:t xml:space="preserve">) suggested the majority of patients had symptomatic hypogammaglobulinaemia at entry. </w:t>
      </w:r>
    </w:p>
    <w:p w14:paraId="1CFFF7B8" w14:textId="3C00B38E" w:rsidR="009A1DA6" w:rsidRPr="007D0AA8" w:rsidRDefault="009A1DA6" w:rsidP="00B52A4F">
      <w:pPr>
        <w:keepNext/>
        <w:keepLines/>
        <w:spacing w:after="120"/>
      </w:pPr>
      <w:r>
        <w:lastRenderedPageBreak/>
        <w:t>For three other recent studies, no conclusion could be drawn for IgG versus No IgG:</w:t>
      </w:r>
    </w:p>
    <w:p w14:paraId="16CBE328" w14:textId="65A7F4C0" w:rsidR="00E112A7" w:rsidRPr="007D0AA8" w:rsidRDefault="0047474A" w:rsidP="00B52A4F">
      <w:pPr>
        <w:pStyle w:val="ListParagraph"/>
        <w:keepNext/>
        <w:keepLines/>
        <w:numPr>
          <w:ilvl w:val="0"/>
          <w:numId w:val="23"/>
        </w:numPr>
        <w:spacing w:after="120" w:line="240" w:lineRule="auto"/>
        <w:ind w:left="357" w:hanging="357"/>
      </w:pPr>
      <w:r>
        <w:t xml:space="preserve">A UK study </w:t>
      </w:r>
      <w:r w:rsidR="00896BE2">
        <w:fldChar w:fldCharType="begin">
          <w:fldData xml:space="preserve">PEVuZE5vdGU+PENpdGU+PEF1dGhvcj5EdXJhaXNpbmdoYW08L0F1dGhvcj48WWVhcj4yMDE0PC9Z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</w:fldData>
        </w:fldChar>
      </w:r>
      <w:r w:rsidR="00896BE2">
        <w:instrText xml:space="preserve"> ADDIN EN.CITE </w:instrText>
      </w:r>
      <w:r w:rsidR="00896BE2">
        <w:fldChar w:fldCharType="begin">
          <w:fldData xml:space="preserve">PEVuZE5vdGU+PENpdGU+PEF1dGhvcj5EdXJhaXNpbmdoYW08L0F1dGhvcj48WWVhcj4yMDE0PC9Z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</w:fldData>
        </w:fldChar>
      </w:r>
      <w:r w:rsidR="00896BE2">
        <w:instrText xml:space="preserve"> ADDIN EN.CITE.DATA </w:instrText>
      </w:r>
      <w:r w:rsidR="00896BE2">
        <w:fldChar w:fldCharType="end"/>
      </w:r>
      <w:r w:rsidR="00896BE2">
        <w:fldChar w:fldCharType="separate"/>
      </w:r>
      <w:r w:rsidR="00896BE2">
        <w:rPr>
          <w:noProof/>
        </w:rPr>
        <w:t>(</w:t>
      </w:r>
      <w:hyperlink w:anchor="_ENREF_16" w:tooltip="Duraisingham, 2014 #20" w:history="1">
        <w:r w:rsidR="00BB0145">
          <w:rPr>
            <w:noProof/>
          </w:rPr>
          <w:t>Duraisingham et al. 2014</w:t>
        </w:r>
      </w:hyperlink>
      <w:r w:rsidR="00896BE2">
        <w:rPr>
          <w:noProof/>
        </w:rPr>
        <w:t>)</w:t>
      </w:r>
      <w:r w:rsidR="00896BE2">
        <w:fldChar w:fldCharType="end"/>
      </w:r>
      <w:r>
        <w:t xml:space="preserve"> reported o</w:t>
      </w:r>
      <w:r w:rsidR="009A1DA6">
        <w:t xml:space="preserve">nly antibiotic prophylaxis </w:t>
      </w:r>
      <w:r>
        <w:t>not in response to infections</w:t>
      </w:r>
      <w:r w:rsidR="00E962E2">
        <w:t xml:space="preserve">.  </w:t>
      </w:r>
    </w:p>
    <w:p w14:paraId="07320ADE" w14:textId="01A8D923" w:rsidR="009A1DA6" w:rsidRDefault="009A1DA6" w:rsidP="00331FB9">
      <w:pPr>
        <w:pStyle w:val="ListParagraph"/>
        <w:numPr>
          <w:ilvl w:val="0"/>
          <w:numId w:val="23"/>
        </w:numPr>
        <w:spacing w:after="120" w:line="240" w:lineRule="auto"/>
        <w:ind w:left="357" w:hanging="357"/>
      </w:pPr>
      <w:r>
        <w:t xml:space="preserve">A very small study of 10 patients </w:t>
      </w:r>
      <w:r w:rsidR="00896BE2">
        <w:fldChar w:fldCharType="begin">
          <w:fldData xml:space="preserve">PEVuZE5vdGU+PENpdGU+PEF1dGhvcj5Hw7xudGhlcjwvQXV0aG9yPjxZZWFyPjIwMTM8L1llYXI+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</w:fldData>
        </w:fldChar>
      </w:r>
      <w:r w:rsidR="00896BE2">
        <w:instrText xml:space="preserve"> ADDIN EN.CITE </w:instrText>
      </w:r>
      <w:r w:rsidR="00896BE2">
        <w:fldChar w:fldCharType="begin">
          <w:fldData xml:space="preserve">PEVuZE5vdGU+PENpdGU+PEF1dGhvcj5Hw7xudGhlcjwvQXV0aG9yPjxZZWFyPjIwMTM8L1llYXI+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</w:fldData>
        </w:fldChar>
      </w:r>
      <w:r w:rsidR="00896BE2">
        <w:instrText xml:space="preserve"> ADDIN EN.CITE.DATA </w:instrText>
      </w:r>
      <w:r w:rsidR="00896BE2">
        <w:fldChar w:fldCharType="end"/>
      </w:r>
      <w:r w:rsidR="00896BE2">
        <w:fldChar w:fldCharType="separate"/>
      </w:r>
      <w:r w:rsidR="00896BE2">
        <w:rPr>
          <w:noProof/>
        </w:rPr>
        <w:t>(</w:t>
      </w:r>
      <w:hyperlink w:anchor="_ENREF_21" w:tooltip="Günther, 2013 #34" w:history="1">
        <w:r w:rsidR="00BB0145">
          <w:rPr>
            <w:noProof/>
          </w:rPr>
          <w:t>Günther &amp; Dreger 2013</w:t>
        </w:r>
      </w:hyperlink>
      <w:r w:rsidR="00896BE2">
        <w:rPr>
          <w:noProof/>
        </w:rPr>
        <w:t>)</w:t>
      </w:r>
      <w:r w:rsidR="00896BE2">
        <w:fldChar w:fldCharType="end"/>
      </w:r>
      <w:r>
        <w:t xml:space="preserve"> reported on-study </w:t>
      </w:r>
      <w:r w:rsidR="00892934" w:rsidRPr="007D0AA8">
        <w:t xml:space="preserve">numbers of antibiotic prescriptions </w:t>
      </w:r>
      <w:r>
        <w:t xml:space="preserve">but no </w:t>
      </w:r>
      <w:r w:rsidR="00892934" w:rsidRPr="007D0AA8">
        <w:t>pre-study value</w:t>
      </w:r>
      <w:r>
        <w:t>s</w:t>
      </w:r>
      <w:r w:rsidR="00892934" w:rsidRPr="007D0AA8">
        <w:t xml:space="preserve">. </w:t>
      </w:r>
    </w:p>
    <w:p w14:paraId="063E62A7" w14:textId="6A94B839" w:rsidR="00892934" w:rsidRPr="007D0AA8" w:rsidRDefault="009A1DA6" w:rsidP="00331FB9">
      <w:pPr>
        <w:pStyle w:val="ListParagraph"/>
        <w:numPr>
          <w:ilvl w:val="0"/>
          <w:numId w:val="23"/>
        </w:numPr>
        <w:spacing w:after="120" w:line="240" w:lineRule="auto"/>
        <w:ind w:left="357" w:hanging="357"/>
      </w:pPr>
      <w:r>
        <w:t>A supportive study</w:t>
      </w:r>
      <w:r w:rsidR="00892934" w:rsidRPr="007D0AA8">
        <w:t xml:space="preserve"> </w:t>
      </w:r>
      <w:r w:rsidR="00896BE2">
        <w:fldChar w:fldCharType="begin"/>
      </w:r>
      <w:r w:rsidR="00896BE2">
        <w:instrText xml:space="preserve"> ADDIN EN.CITE &lt;EndNote&gt;&lt;Cite&gt;&lt;Author&gt;Windegger&lt;/Author&gt;&lt;Year&gt;2019&lt;/Year&gt;&lt;RecNum&gt;55&lt;/RecNum&gt;&lt;DisplayText&gt;(Windegger et al. 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rsidR="00896BE2">
        <w:fldChar w:fldCharType="separate"/>
      </w:r>
      <w:r w:rsidR="00896BE2">
        <w:rPr>
          <w:noProof/>
        </w:rPr>
        <w:t>(</w:t>
      </w:r>
      <w:hyperlink w:anchor="_ENREF_57" w:tooltip="Windegger, 2019 #55" w:history="1">
        <w:r w:rsidR="00BB0145">
          <w:rPr>
            <w:noProof/>
          </w:rPr>
          <w:t>Windegger et al. 2019</w:t>
        </w:r>
      </w:hyperlink>
      <w:r w:rsidR="00896BE2">
        <w:rPr>
          <w:noProof/>
        </w:rPr>
        <w:t>)</w:t>
      </w:r>
      <w:r w:rsidR="00896BE2">
        <w:fldChar w:fldCharType="end"/>
      </w:r>
      <w:r w:rsidR="00892934" w:rsidRPr="007D0AA8">
        <w:t xml:space="preserve"> compared IVIg to SCIg </w:t>
      </w:r>
      <w:r>
        <w:t xml:space="preserve">in 13 Australian patients but </w:t>
      </w:r>
      <w:r w:rsidR="00892934" w:rsidRPr="007D0AA8">
        <w:t xml:space="preserve">without an untreated group or values at baseline. </w:t>
      </w:r>
    </w:p>
    <w:p w14:paraId="63D61ACB" w14:textId="77777777" w:rsidR="00D67A6E" w:rsidRDefault="00D67A6E" w:rsidP="00D67A6E"/>
    <w:p w14:paraId="42999D95" w14:textId="77777777" w:rsidR="00C54A0C" w:rsidRPr="00386411" w:rsidRDefault="00C54A0C" w:rsidP="00C54A0C">
      <w:pPr>
        <w:pStyle w:val="Heading3"/>
      </w:pPr>
      <w:bookmarkStart w:id="320" w:name="_Toc14431145"/>
      <w:bookmarkStart w:id="321" w:name="_Toc16856313"/>
      <w:r w:rsidRPr="00386411">
        <w:t>Survival and/or Mortality</w:t>
      </w:r>
      <w:bookmarkEnd w:id="320"/>
      <w:bookmarkEnd w:id="321"/>
    </w:p>
    <w:p w14:paraId="1A3F3566" w14:textId="71645AD0" w:rsidR="00C54A0C" w:rsidRPr="007D0AA8" w:rsidRDefault="00C54A0C" w:rsidP="00C54A0C">
      <w:r w:rsidRPr="007D0AA8">
        <w:t>A total of four studies reported survival or mortality in patients who received IgG (</w:t>
      </w:r>
      <w:r w:rsidRPr="007D0AA8">
        <w:fldChar w:fldCharType="begin"/>
      </w:r>
      <w:r w:rsidRPr="007D0AA8">
        <w:instrText xml:space="preserve"> REF _Ref11850104 \h </w:instrText>
      </w:r>
      <w:r w:rsidR="00386411" w:rsidRPr="007D0AA8">
        <w:instrText xml:space="preserve"> \* MERGEFORMAT </w:instrText>
      </w:r>
      <w:r w:rsidRPr="007D0AA8">
        <w:fldChar w:fldCharType="separate"/>
      </w:r>
      <w:r w:rsidR="00A7463B" w:rsidRPr="00386411">
        <w:t xml:space="preserve">Table </w:t>
      </w:r>
      <w:r w:rsidR="00A7463B">
        <w:rPr>
          <w:noProof/>
        </w:rPr>
        <w:t>25</w:t>
      </w:r>
      <w:r w:rsidRPr="007D0AA8">
        <w:fldChar w:fldCharType="end"/>
      </w:r>
      <w:r w:rsidRPr="007D0AA8">
        <w:t xml:space="preserve">). </w:t>
      </w:r>
    </w:p>
    <w:p w14:paraId="05F03C7C" w14:textId="77777777" w:rsidR="00C54A0C" w:rsidRPr="00386411" w:rsidRDefault="00C54A0C" w:rsidP="00C54A0C">
      <w:pPr>
        <w:pStyle w:val="Caption"/>
        <w:keepNext/>
        <w:rPr>
          <w:rFonts w:cs="Arial"/>
          <w:snapToGrid w:val="0"/>
          <w:szCs w:val="16"/>
          <w:lang w:eastAsia="en-US"/>
        </w:rPr>
      </w:pPr>
      <w:bookmarkStart w:id="322" w:name="_Ref11850104"/>
      <w:bookmarkStart w:id="323" w:name="_Toc14429568"/>
      <w:bookmarkStart w:id="324" w:name="_Toc16671623"/>
      <w:r w:rsidRPr="00386411">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25</w:t>
      </w:r>
      <w:r w:rsidRPr="00386411">
        <w:rPr>
          <w:noProof/>
        </w:rPr>
        <w:fldChar w:fldCharType="end"/>
      </w:r>
      <w:bookmarkEnd w:id="322"/>
      <w:r w:rsidRPr="00386411">
        <w:tab/>
      </w:r>
      <w:r w:rsidRPr="00386411">
        <w:rPr>
          <w:rFonts w:cs="Arial"/>
          <w:snapToGrid w:val="0"/>
          <w:szCs w:val="16"/>
          <w:lang w:eastAsia="en-US"/>
        </w:rPr>
        <w:t>Studies presenting survival and mortality</w:t>
      </w:r>
      <w:bookmarkEnd w:id="323"/>
      <w:bookmarkEnd w:id="324"/>
    </w:p>
    <w:tbl>
      <w:tblPr>
        <w:tblW w:w="5000" w:type="pct"/>
        <w:tblLayout w:type="fixed"/>
        <w:tblLook w:val="04A0" w:firstRow="1" w:lastRow="0" w:firstColumn="1" w:lastColumn="0" w:noHBand="0" w:noVBand="1"/>
      </w:tblPr>
      <w:tblGrid>
        <w:gridCol w:w="1594"/>
        <w:gridCol w:w="2104"/>
        <w:gridCol w:w="1848"/>
        <w:gridCol w:w="1848"/>
        <w:gridCol w:w="1848"/>
      </w:tblGrid>
      <w:tr w:rsidR="00C54A0C" w:rsidRPr="00386411" w14:paraId="121958A5" w14:textId="77777777" w:rsidTr="00B52A4F">
        <w:tc>
          <w:tcPr>
            <w:tcW w:w="8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4D1DE3" w14:textId="77777777" w:rsidR="00C54A0C" w:rsidRPr="00386411" w:rsidRDefault="00C54A0C" w:rsidP="00C54A0C">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Study, Indication</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5807A2F" w14:textId="77777777" w:rsidR="00C54A0C" w:rsidRPr="00386411" w:rsidRDefault="00C54A0C" w:rsidP="00C54A0C">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Outcome</w:t>
            </w:r>
          </w:p>
        </w:tc>
        <w:tc>
          <w:tcPr>
            <w:tcW w:w="1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CDC4C7F" w14:textId="77777777" w:rsidR="00C54A0C" w:rsidRPr="00386411" w:rsidRDefault="00C54A0C" w:rsidP="00C54A0C">
            <w:pPr>
              <w:keepNext/>
              <w:spacing w:after="0" w:line="240" w:lineRule="auto"/>
              <w:jc w:val="right"/>
              <w:rPr>
                <w:rFonts w:ascii="Arial Narrow" w:hAnsi="Arial Narrow" w:cs="Calibri"/>
                <w:b/>
                <w:color w:val="000000"/>
                <w:sz w:val="20"/>
                <w:szCs w:val="20"/>
              </w:rPr>
            </w:pPr>
            <w:r w:rsidRPr="00386411">
              <w:rPr>
                <w:rFonts w:ascii="Arial Narrow" w:hAnsi="Arial Narrow" w:cs="Calibri"/>
                <w:b/>
                <w:color w:val="000000"/>
                <w:sz w:val="20"/>
                <w:szCs w:val="20"/>
              </w:rPr>
              <w:t>Intervention</w:t>
            </w:r>
          </w:p>
        </w:tc>
        <w:tc>
          <w:tcPr>
            <w:tcW w:w="1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A6F5B6E" w14:textId="77777777" w:rsidR="00C54A0C" w:rsidRPr="00386411" w:rsidRDefault="00C54A0C" w:rsidP="00C54A0C">
            <w:pPr>
              <w:keepNext/>
              <w:spacing w:after="0" w:line="240" w:lineRule="auto"/>
              <w:jc w:val="right"/>
              <w:rPr>
                <w:rFonts w:ascii="Arial Narrow" w:hAnsi="Arial Narrow" w:cs="Calibri"/>
                <w:b/>
                <w:color w:val="000000"/>
                <w:sz w:val="20"/>
                <w:szCs w:val="20"/>
              </w:rPr>
            </w:pPr>
            <w:r w:rsidRPr="00386411">
              <w:rPr>
                <w:rFonts w:ascii="Arial Narrow" w:hAnsi="Arial Narrow" w:cs="Calibri"/>
                <w:b/>
                <w:color w:val="000000"/>
                <w:sz w:val="20"/>
                <w:szCs w:val="20"/>
              </w:rPr>
              <w:t>Comparator</w:t>
            </w:r>
          </w:p>
        </w:tc>
        <w:tc>
          <w:tcPr>
            <w:tcW w:w="1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138D1D" w14:textId="77777777" w:rsidR="00C54A0C" w:rsidRPr="00386411" w:rsidRDefault="00C54A0C" w:rsidP="00C54A0C">
            <w:pPr>
              <w:keepNext/>
              <w:spacing w:after="0" w:line="240" w:lineRule="auto"/>
              <w:jc w:val="right"/>
              <w:rPr>
                <w:rFonts w:ascii="Arial Narrow" w:hAnsi="Arial Narrow" w:cs="Calibri"/>
                <w:b/>
                <w:color w:val="000000"/>
                <w:sz w:val="20"/>
                <w:szCs w:val="20"/>
              </w:rPr>
            </w:pPr>
            <w:r w:rsidRPr="00386411">
              <w:rPr>
                <w:rFonts w:ascii="Arial Narrow" w:hAnsi="Arial Narrow" w:cs="Calibri"/>
                <w:b/>
                <w:color w:val="000000"/>
                <w:sz w:val="20"/>
                <w:szCs w:val="20"/>
              </w:rPr>
              <w:t xml:space="preserve">Comparison </w:t>
            </w:r>
          </w:p>
        </w:tc>
      </w:tr>
      <w:tr w:rsidR="00C54A0C" w:rsidRPr="00386411" w14:paraId="31752E36" w14:textId="77777777" w:rsidTr="00B52A4F">
        <w:tc>
          <w:tcPr>
            <w:tcW w:w="8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16A73E0" w14:textId="77777777" w:rsidR="00C54A0C" w:rsidRPr="00386411" w:rsidRDefault="00C54A0C" w:rsidP="00C54A0C">
            <w:pPr>
              <w:spacing w:after="0" w:line="240" w:lineRule="auto"/>
              <w:rPr>
                <w:rFonts w:ascii="Arial Narrow" w:hAnsi="Arial Narrow"/>
                <w:b/>
                <w:sz w:val="20"/>
                <w:szCs w:val="20"/>
              </w:rPr>
            </w:pPr>
            <w:r w:rsidRPr="00386411">
              <w:rPr>
                <w:rFonts w:ascii="Arial Narrow" w:hAnsi="Arial Narrow" w:cs="Calibri"/>
                <w:b/>
                <w:color w:val="000000"/>
                <w:sz w:val="20"/>
                <w:szCs w:val="20"/>
              </w:rPr>
              <w:t>Sullivan et al., 1990</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EC5296" w14:textId="77777777" w:rsidR="00C54A0C" w:rsidRPr="00386411" w:rsidRDefault="00C54A0C" w:rsidP="00C54A0C">
            <w:pPr>
              <w:spacing w:after="0" w:line="240" w:lineRule="auto"/>
              <w:rPr>
                <w:rFonts w:ascii="Arial Narrow" w:hAnsi="Arial Narrow"/>
                <w:b/>
                <w:sz w:val="20"/>
              </w:rPr>
            </w:pPr>
            <w:r w:rsidRPr="00386411">
              <w:rPr>
                <w:rFonts w:ascii="Arial Narrow" w:hAnsi="Arial Narrow"/>
                <w:b/>
                <w:sz w:val="20"/>
              </w:rPr>
              <w:t>Survival</w:t>
            </w:r>
          </w:p>
        </w:tc>
        <w:tc>
          <w:tcPr>
            <w:tcW w:w="1000" w:type="pct"/>
            <w:tcBorders>
              <w:top w:val="single" w:sz="4" w:space="0" w:color="auto"/>
              <w:left w:val="single" w:sz="4" w:space="0" w:color="auto"/>
              <w:bottom w:val="single" w:sz="4" w:space="0" w:color="auto"/>
              <w:right w:val="nil"/>
            </w:tcBorders>
            <w:shd w:val="clear" w:color="auto" w:fill="D9D9D9" w:themeFill="background1" w:themeFillShade="D9"/>
            <w:noWrap/>
          </w:tcPr>
          <w:p w14:paraId="542901DC" w14:textId="77777777" w:rsidR="00C54A0C" w:rsidRPr="00386411" w:rsidRDefault="00C54A0C" w:rsidP="00C54A0C">
            <w:pPr>
              <w:spacing w:after="0" w:line="240" w:lineRule="auto"/>
              <w:jc w:val="right"/>
              <w:rPr>
                <w:rFonts w:ascii="Arial Narrow" w:hAnsi="Arial Narrow"/>
                <w:b/>
                <w:sz w:val="20"/>
                <w:szCs w:val="20"/>
              </w:rPr>
            </w:pPr>
            <w:r w:rsidRPr="00386411">
              <w:rPr>
                <w:rFonts w:ascii="Arial Narrow" w:hAnsi="Arial Narrow" w:cs="Calibri"/>
                <w:b/>
                <w:color w:val="000000"/>
                <w:sz w:val="20"/>
                <w:szCs w:val="20"/>
              </w:rPr>
              <w:t>IVIg (n=184)</w:t>
            </w:r>
          </w:p>
        </w:tc>
        <w:tc>
          <w:tcPr>
            <w:tcW w:w="1000" w:type="pct"/>
            <w:tcBorders>
              <w:top w:val="single" w:sz="4" w:space="0" w:color="auto"/>
              <w:left w:val="nil"/>
              <w:bottom w:val="single" w:sz="4" w:space="0" w:color="auto"/>
              <w:right w:val="nil"/>
            </w:tcBorders>
            <w:shd w:val="clear" w:color="auto" w:fill="D9D9D9" w:themeFill="background1" w:themeFillShade="D9"/>
            <w:noWrap/>
          </w:tcPr>
          <w:p w14:paraId="443925B2" w14:textId="77777777" w:rsidR="00C54A0C" w:rsidRPr="00386411" w:rsidRDefault="00C54A0C" w:rsidP="00C54A0C">
            <w:pPr>
              <w:spacing w:after="0" w:line="240" w:lineRule="auto"/>
              <w:jc w:val="right"/>
              <w:rPr>
                <w:rFonts w:ascii="Arial Narrow" w:hAnsi="Arial Narrow"/>
                <w:b/>
                <w:sz w:val="20"/>
                <w:szCs w:val="20"/>
              </w:rPr>
            </w:pPr>
            <w:r w:rsidRPr="00386411">
              <w:rPr>
                <w:rFonts w:ascii="Arial Narrow" w:hAnsi="Arial Narrow" w:cs="Calibri"/>
                <w:b/>
                <w:color w:val="000000"/>
                <w:sz w:val="20"/>
                <w:szCs w:val="20"/>
              </w:rPr>
              <w:t>No IVIg (n=185)</w:t>
            </w:r>
          </w:p>
        </w:tc>
        <w:tc>
          <w:tcPr>
            <w:tcW w:w="1000" w:type="pct"/>
            <w:tcBorders>
              <w:top w:val="single" w:sz="4" w:space="0" w:color="auto"/>
              <w:left w:val="nil"/>
              <w:bottom w:val="single" w:sz="4" w:space="0" w:color="auto"/>
              <w:right w:val="single" w:sz="4" w:space="0" w:color="auto"/>
            </w:tcBorders>
            <w:shd w:val="clear" w:color="auto" w:fill="D9D9D9" w:themeFill="background1" w:themeFillShade="D9"/>
          </w:tcPr>
          <w:p w14:paraId="5F67F029" w14:textId="77777777" w:rsidR="00C54A0C" w:rsidRPr="00386411" w:rsidRDefault="00C54A0C" w:rsidP="00C54A0C">
            <w:pPr>
              <w:spacing w:after="0" w:line="240" w:lineRule="auto"/>
              <w:jc w:val="right"/>
              <w:rPr>
                <w:rFonts w:ascii="Arial Narrow" w:hAnsi="Arial Narrow"/>
                <w:b/>
                <w:sz w:val="20"/>
                <w:szCs w:val="20"/>
              </w:rPr>
            </w:pPr>
            <w:r w:rsidRPr="00386411">
              <w:rPr>
                <w:rFonts w:ascii="Arial Narrow" w:hAnsi="Arial Narrow"/>
                <w:b/>
                <w:sz w:val="20"/>
                <w:szCs w:val="20"/>
              </w:rPr>
              <w:t>p-value</w:t>
            </w:r>
          </w:p>
        </w:tc>
      </w:tr>
      <w:tr w:rsidR="00C54A0C" w:rsidRPr="007D0AA8" w14:paraId="76F0B7ED" w14:textId="77777777" w:rsidTr="00C54A0C">
        <w:tc>
          <w:tcPr>
            <w:tcW w:w="862" w:type="pct"/>
            <w:tcBorders>
              <w:top w:val="single" w:sz="4" w:space="0" w:color="auto"/>
              <w:left w:val="single" w:sz="4" w:space="0" w:color="auto"/>
              <w:bottom w:val="nil"/>
              <w:right w:val="single" w:sz="4" w:space="0" w:color="auto"/>
            </w:tcBorders>
            <w:vAlign w:val="bottom"/>
          </w:tcPr>
          <w:p w14:paraId="777A94DF" w14:textId="77777777" w:rsidR="00C54A0C" w:rsidRPr="007D0AA8" w:rsidRDefault="00C54A0C" w:rsidP="00C54A0C">
            <w:pPr>
              <w:spacing w:after="0" w:line="240" w:lineRule="auto"/>
              <w:rPr>
                <w:rFonts w:ascii="Arial Narrow" w:hAnsi="Arial Narrow"/>
                <w:sz w:val="20"/>
                <w:szCs w:val="20"/>
              </w:rPr>
            </w:pPr>
            <w:r w:rsidRPr="007D0AA8">
              <w:rPr>
                <w:rFonts w:ascii="Arial Narrow" w:hAnsi="Arial Narrow" w:cs="Calibri"/>
                <w:color w:val="000000"/>
                <w:sz w:val="20"/>
                <w:szCs w:val="20"/>
              </w:rPr>
              <w:t>BMT</w:t>
            </w:r>
          </w:p>
        </w:tc>
        <w:tc>
          <w:tcPr>
            <w:tcW w:w="1138" w:type="pct"/>
            <w:tcBorders>
              <w:top w:val="single" w:sz="4" w:space="0" w:color="auto"/>
              <w:left w:val="single" w:sz="4" w:space="0" w:color="auto"/>
              <w:bottom w:val="nil"/>
              <w:right w:val="single" w:sz="4" w:space="0" w:color="auto"/>
            </w:tcBorders>
          </w:tcPr>
          <w:p w14:paraId="34AE2540" w14:textId="77777777" w:rsidR="00C54A0C" w:rsidRPr="007D0AA8" w:rsidRDefault="00C54A0C" w:rsidP="00C54A0C">
            <w:pPr>
              <w:spacing w:after="0" w:line="240" w:lineRule="auto"/>
              <w:rPr>
                <w:rFonts w:ascii="Arial Narrow" w:hAnsi="Arial Narrow"/>
                <w:sz w:val="20"/>
              </w:rPr>
            </w:pPr>
            <w:r w:rsidRPr="007D0AA8">
              <w:rPr>
                <w:rFonts w:ascii="Arial Narrow" w:hAnsi="Arial Narrow"/>
                <w:sz w:val="20"/>
              </w:rPr>
              <w:t>Survivors at follow-up</w:t>
            </w:r>
          </w:p>
        </w:tc>
        <w:tc>
          <w:tcPr>
            <w:tcW w:w="1000" w:type="pct"/>
            <w:tcBorders>
              <w:top w:val="single" w:sz="4" w:space="0" w:color="auto"/>
              <w:left w:val="single" w:sz="4" w:space="0" w:color="auto"/>
              <w:bottom w:val="nil"/>
              <w:right w:val="nil"/>
            </w:tcBorders>
            <w:shd w:val="clear" w:color="auto" w:fill="auto"/>
            <w:noWrap/>
          </w:tcPr>
          <w:p w14:paraId="17D7D401"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66</w:t>
            </w:r>
          </w:p>
        </w:tc>
        <w:tc>
          <w:tcPr>
            <w:tcW w:w="1000" w:type="pct"/>
            <w:tcBorders>
              <w:top w:val="single" w:sz="4" w:space="0" w:color="auto"/>
              <w:left w:val="nil"/>
              <w:bottom w:val="nil"/>
              <w:right w:val="nil"/>
            </w:tcBorders>
            <w:shd w:val="clear" w:color="auto" w:fill="auto"/>
            <w:noWrap/>
          </w:tcPr>
          <w:p w14:paraId="4DECF657"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69</w:t>
            </w:r>
          </w:p>
        </w:tc>
        <w:tc>
          <w:tcPr>
            <w:tcW w:w="1000" w:type="pct"/>
            <w:tcBorders>
              <w:top w:val="single" w:sz="4" w:space="0" w:color="auto"/>
              <w:left w:val="nil"/>
              <w:bottom w:val="nil"/>
              <w:right w:val="single" w:sz="4" w:space="0" w:color="auto"/>
            </w:tcBorders>
          </w:tcPr>
          <w:p w14:paraId="16B3487E" w14:textId="77777777" w:rsidR="00C54A0C" w:rsidRPr="007D0AA8" w:rsidRDefault="00C54A0C" w:rsidP="00C54A0C">
            <w:pPr>
              <w:spacing w:after="0" w:line="240" w:lineRule="auto"/>
              <w:jc w:val="right"/>
              <w:rPr>
                <w:rFonts w:ascii="Arial Narrow" w:hAnsi="Arial Narrow"/>
                <w:sz w:val="20"/>
                <w:szCs w:val="20"/>
              </w:rPr>
            </w:pPr>
          </w:p>
        </w:tc>
      </w:tr>
      <w:tr w:rsidR="00C54A0C" w:rsidRPr="007D0AA8" w14:paraId="19390FE7" w14:textId="77777777" w:rsidTr="00C54A0C">
        <w:tc>
          <w:tcPr>
            <w:tcW w:w="862" w:type="pct"/>
            <w:tcBorders>
              <w:top w:val="nil"/>
              <w:left w:val="single" w:sz="4" w:space="0" w:color="auto"/>
              <w:bottom w:val="nil"/>
              <w:right w:val="single" w:sz="4" w:space="0" w:color="auto"/>
            </w:tcBorders>
          </w:tcPr>
          <w:p w14:paraId="0BCCFB1C" w14:textId="77777777" w:rsidR="00C54A0C" w:rsidRPr="007D0AA8" w:rsidRDefault="00C54A0C" w:rsidP="00C54A0C">
            <w:pPr>
              <w:spacing w:after="0" w:line="240" w:lineRule="auto"/>
              <w:rPr>
                <w:rFonts w:ascii="Arial Narrow" w:hAnsi="Arial Narrow"/>
                <w:sz w:val="20"/>
                <w:szCs w:val="20"/>
              </w:rPr>
            </w:pPr>
          </w:p>
        </w:tc>
        <w:tc>
          <w:tcPr>
            <w:tcW w:w="1138" w:type="pct"/>
            <w:tcBorders>
              <w:top w:val="nil"/>
              <w:left w:val="single" w:sz="4" w:space="0" w:color="auto"/>
              <w:bottom w:val="nil"/>
              <w:right w:val="single" w:sz="4" w:space="0" w:color="auto"/>
            </w:tcBorders>
          </w:tcPr>
          <w:p w14:paraId="51CA05F6" w14:textId="77777777" w:rsidR="00C54A0C" w:rsidRPr="007D0AA8" w:rsidRDefault="00C54A0C" w:rsidP="00C54A0C">
            <w:pPr>
              <w:spacing w:after="0" w:line="240" w:lineRule="auto"/>
              <w:rPr>
                <w:rFonts w:ascii="Arial Narrow" w:hAnsi="Arial Narrow"/>
                <w:sz w:val="20"/>
              </w:rPr>
            </w:pPr>
            <w:r w:rsidRPr="007D0AA8">
              <w:rPr>
                <w:rFonts w:ascii="Arial Narrow" w:hAnsi="Arial Narrow"/>
                <w:sz w:val="20"/>
              </w:rPr>
              <w:t>Median duration of follow-up, yr, since randomisation</w:t>
            </w:r>
          </w:p>
        </w:tc>
        <w:tc>
          <w:tcPr>
            <w:tcW w:w="1000" w:type="pct"/>
            <w:tcBorders>
              <w:top w:val="nil"/>
              <w:left w:val="single" w:sz="4" w:space="0" w:color="auto"/>
              <w:bottom w:val="nil"/>
              <w:right w:val="nil"/>
            </w:tcBorders>
            <w:shd w:val="clear" w:color="auto" w:fill="auto"/>
            <w:noWrap/>
          </w:tcPr>
          <w:p w14:paraId="4E538F53"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1.9</w:t>
            </w:r>
          </w:p>
        </w:tc>
        <w:tc>
          <w:tcPr>
            <w:tcW w:w="1000" w:type="pct"/>
            <w:tcBorders>
              <w:top w:val="nil"/>
              <w:left w:val="nil"/>
              <w:bottom w:val="nil"/>
              <w:right w:val="nil"/>
            </w:tcBorders>
            <w:shd w:val="clear" w:color="auto" w:fill="auto"/>
            <w:noWrap/>
          </w:tcPr>
          <w:p w14:paraId="76AE3EA3"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2.0</w:t>
            </w:r>
          </w:p>
        </w:tc>
        <w:tc>
          <w:tcPr>
            <w:tcW w:w="1000" w:type="pct"/>
            <w:tcBorders>
              <w:top w:val="nil"/>
              <w:left w:val="nil"/>
              <w:bottom w:val="nil"/>
              <w:right w:val="single" w:sz="4" w:space="0" w:color="auto"/>
            </w:tcBorders>
          </w:tcPr>
          <w:p w14:paraId="15A5EB1A" w14:textId="77777777" w:rsidR="00C54A0C" w:rsidRPr="007D0AA8" w:rsidRDefault="00C54A0C" w:rsidP="00C54A0C">
            <w:pPr>
              <w:spacing w:after="0" w:line="240" w:lineRule="auto"/>
              <w:jc w:val="right"/>
              <w:rPr>
                <w:rFonts w:ascii="Arial Narrow" w:hAnsi="Arial Narrow"/>
                <w:sz w:val="20"/>
                <w:szCs w:val="20"/>
              </w:rPr>
            </w:pPr>
          </w:p>
        </w:tc>
      </w:tr>
      <w:tr w:rsidR="00C54A0C" w:rsidRPr="007D0AA8" w14:paraId="235F2FB9" w14:textId="77777777" w:rsidTr="00C54A0C">
        <w:tc>
          <w:tcPr>
            <w:tcW w:w="862" w:type="pct"/>
            <w:tcBorders>
              <w:top w:val="nil"/>
              <w:left w:val="single" w:sz="4" w:space="0" w:color="auto"/>
              <w:bottom w:val="nil"/>
              <w:right w:val="single" w:sz="4" w:space="0" w:color="auto"/>
            </w:tcBorders>
          </w:tcPr>
          <w:p w14:paraId="3D23C106" w14:textId="77777777" w:rsidR="00C54A0C" w:rsidRPr="007D0AA8" w:rsidRDefault="00C54A0C" w:rsidP="00C54A0C">
            <w:pPr>
              <w:spacing w:after="0" w:line="240" w:lineRule="auto"/>
              <w:rPr>
                <w:rFonts w:ascii="Arial Narrow" w:hAnsi="Arial Narrow"/>
                <w:sz w:val="20"/>
                <w:szCs w:val="20"/>
              </w:rPr>
            </w:pPr>
          </w:p>
        </w:tc>
        <w:tc>
          <w:tcPr>
            <w:tcW w:w="1138" w:type="pct"/>
            <w:tcBorders>
              <w:top w:val="nil"/>
              <w:left w:val="single" w:sz="4" w:space="0" w:color="auto"/>
              <w:right w:val="single" w:sz="4" w:space="0" w:color="auto"/>
            </w:tcBorders>
          </w:tcPr>
          <w:p w14:paraId="1FB0CE2F" w14:textId="77777777" w:rsidR="00C54A0C" w:rsidRPr="007D0AA8" w:rsidRDefault="00C54A0C" w:rsidP="00C54A0C">
            <w:pPr>
              <w:spacing w:after="0" w:line="240" w:lineRule="auto"/>
              <w:rPr>
                <w:rFonts w:ascii="Arial Narrow" w:hAnsi="Arial Narrow"/>
                <w:sz w:val="20"/>
              </w:rPr>
            </w:pPr>
            <w:r w:rsidRPr="007D0AA8">
              <w:rPr>
                <w:rFonts w:ascii="Arial Narrow" w:hAnsi="Arial Narrow"/>
                <w:sz w:val="20"/>
              </w:rPr>
              <w:t>Actuarial survival, % after 2 years</w:t>
            </w:r>
          </w:p>
        </w:tc>
        <w:tc>
          <w:tcPr>
            <w:tcW w:w="1000" w:type="pct"/>
            <w:tcBorders>
              <w:top w:val="nil"/>
              <w:left w:val="single" w:sz="4" w:space="0" w:color="auto"/>
              <w:right w:val="nil"/>
            </w:tcBorders>
            <w:shd w:val="clear" w:color="auto" w:fill="auto"/>
            <w:noWrap/>
          </w:tcPr>
          <w:p w14:paraId="5CE2B418"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33±4</w:t>
            </w:r>
          </w:p>
        </w:tc>
        <w:tc>
          <w:tcPr>
            <w:tcW w:w="1000" w:type="pct"/>
            <w:tcBorders>
              <w:top w:val="nil"/>
              <w:left w:val="nil"/>
              <w:right w:val="nil"/>
            </w:tcBorders>
            <w:shd w:val="clear" w:color="auto" w:fill="auto"/>
            <w:noWrap/>
          </w:tcPr>
          <w:p w14:paraId="0023E074"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35±4</w:t>
            </w:r>
          </w:p>
        </w:tc>
        <w:tc>
          <w:tcPr>
            <w:tcW w:w="1000" w:type="pct"/>
            <w:tcBorders>
              <w:top w:val="nil"/>
              <w:left w:val="nil"/>
              <w:right w:val="single" w:sz="4" w:space="0" w:color="auto"/>
            </w:tcBorders>
          </w:tcPr>
          <w:p w14:paraId="7B666C8C"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p=0.79</w:t>
            </w:r>
          </w:p>
        </w:tc>
      </w:tr>
      <w:tr w:rsidR="00C54A0C" w:rsidRPr="007D0AA8" w14:paraId="4F590A5B" w14:textId="77777777" w:rsidTr="00C54A0C">
        <w:tc>
          <w:tcPr>
            <w:tcW w:w="862" w:type="pct"/>
            <w:tcBorders>
              <w:top w:val="nil"/>
              <w:left w:val="single" w:sz="4" w:space="0" w:color="auto"/>
              <w:bottom w:val="nil"/>
              <w:right w:val="single" w:sz="4" w:space="0" w:color="auto"/>
            </w:tcBorders>
          </w:tcPr>
          <w:p w14:paraId="15B68D9F" w14:textId="77777777" w:rsidR="00C54A0C" w:rsidRPr="007D0AA8" w:rsidRDefault="00C54A0C" w:rsidP="00C54A0C">
            <w:pPr>
              <w:spacing w:after="0" w:line="240" w:lineRule="auto"/>
              <w:rPr>
                <w:rFonts w:ascii="Arial Narrow" w:hAnsi="Arial Narrow"/>
                <w:sz w:val="20"/>
                <w:szCs w:val="20"/>
              </w:rPr>
            </w:pPr>
          </w:p>
        </w:tc>
        <w:tc>
          <w:tcPr>
            <w:tcW w:w="1138" w:type="pct"/>
            <w:tcBorders>
              <w:left w:val="single" w:sz="4" w:space="0" w:color="auto"/>
              <w:bottom w:val="nil"/>
              <w:right w:val="single" w:sz="4" w:space="0" w:color="auto"/>
            </w:tcBorders>
          </w:tcPr>
          <w:p w14:paraId="1763D632" w14:textId="77777777" w:rsidR="00C54A0C" w:rsidRPr="007D0AA8" w:rsidRDefault="00C54A0C" w:rsidP="00C54A0C">
            <w:pPr>
              <w:spacing w:after="0" w:line="240" w:lineRule="auto"/>
              <w:rPr>
                <w:rFonts w:ascii="Arial Narrow" w:hAnsi="Arial Narrow"/>
                <w:sz w:val="20"/>
              </w:rPr>
            </w:pPr>
            <w:r w:rsidRPr="007D0AA8">
              <w:rPr>
                <w:rFonts w:ascii="Arial Narrow" w:hAnsi="Arial Narrow"/>
                <w:sz w:val="20"/>
              </w:rPr>
              <w:t>Cumulative incidence of non-relapse mortality</w:t>
            </w:r>
          </w:p>
        </w:tc>
        <w:tc>
          <w:tcPr>
            <w:tcW w:w="1000" w:type="pct"/>
            <w:tcBorders>
              <w:left w:val="single" w:sz="4" w:space="0" w:color="auto"/>
              <w:bottom w:val="nil"/>
              <w:right w:val="nil"/>
            </w:tcBorders>
            <w:shd w:val="clear" w:color="auto" w:fill="auto"/>
            <w:noWrap/>
          </w:tcPr>
          <w:p w14:paraId="6C1CEFF0" w14:textId="77777777" w:rsidR="00C54A0C" w:rsidRPr="007D0AA8" w:rsidRDefault="00C54A0C" w:rsidP="00C54A0C">
            <w:pPr>
              <w:spacing w:after="0" w:line="240" w:lineRule="auto"/>
              <w:jc w:val="right"/>
              <w:rPr>
                <w:rFonts w:ascii="Arial Narrow" w:hAnsi="Arial Narrow"/>
                <w:sz w:val="20"/>
                <w:szCs w:val="20"/>
              </w:rPr>
            </w:pPr>
          </w:p>
        </w:tc>
        <w:tc>
          <w:tcPr>
            <w:tcW w:w="1000" w:type="pct"/>
            <w:tcBorders>
              <w:left w:val="nil"/>
              <w:bottom w:val="nil"/>
              <w:right w:val="nil"/>
            </w:tcBorders>
            <w:shd w:val="clear" w:color="auto" w:fill="auto"/>
            <w:noWrap/>
          </w:tcPr>
          <w:p w14:paraId="2D2DB7BC" w14:textId="77777777" w:rsidR="00C54A0C" w:rsidRPr="007D0AA8" w:rsidRDefault="00C54A0C" w:rsidP="00C54A0C">
            <w:pPr>
              <w:spacing w:after="0" w:line="240" w:lineRule="auto"/>
              <w:jc w:val="right"/>
              <w:rPr>
                <w:rFonts w:ascii="Arial Narrow" w:hAnsi="Arial Narrow"/>
                <w:sz w:val="20"/>
                <w:szCs w:val="20"/>
              </w:rPr>
            </w:pPr>
          </w:p>
        </w:tc>
        <w:tc>
          <w:tcPr>
            <w:tcW w:w="1000" w:type="pct"/>
            <w:tcBorders>
              <w:left w:val="nil"/>
              <w:bottom w:val="nil"/>
              <w:right w:val="single" w:sz="4" w:space="0" w:color="auto"/>
            </w:tcBorders>
          </w:tcPr>
          <w:p w14:paraId="4DEE705A" w14:textId="77777777" w:rsidR="00C54A0C" w:rsidRPr="007D0AA8" w:rsidRDefault="00C54A0C" w:rsidP="00C54A0C">
            <w:pPr>
              <w:spacing w:after="0" w:line="240" w:lineRule="auto"/>
              <w:jc w:val="right"/>
              <w:rPr>
                <w:rFonts w:ascii="Arial Narrow" w:hAnsi="Arial Narrow"/>
                <w:sz w:val="20"/>
                <w:szCs w:val="20"/>
              </w:rPr>
            </w:pPr>
          </w:p>
        </w:tc>
      </w:tr>
      <w:tr w:rsidR="00C54A0C" w:rsidRPr="007D0AA8" w14:paraId="57234393" w14:textId="77777777" w:rsidTr="00C54A0C">
        <w:tc>
          <w:tcPr>
            <w:tcW w:w="862" w:type="pct"/>
            <w:tcBorders>
              <w:top w:val="nil"/>
              <w:left w:val="single" w:sz="4" w:space="0" w:color="auto"/>
              <w:bottom w:val="nil"/>
              <w:right w:val="single" w:sz="4" w:space="0" w:color="auto"/>
            </w:tcBorders>
          </w:tcPr>
          <w:p w14:paraId="25EF20D9" w14:textId="77777777" w:rsidR="00C54A0C" w:rsidRPr="007D0AA8" w:rsidRDefault="00C54A0C" w:rsidP="00C54A0C">
            <w:pPr>
              <w:spacing w:after="0" w:line="240" w:lineRule="auto"/>
              <w:rPr>
                <w:rFonts w:ascii="Arial Narrow" w:hAnsi="Arial Narrow"/>
                <w:sz w:val="20"/>
                <w:szCs w:val="20"/>
              </w:rPr>
            </w:pPr>
          </w:p>
        </w:tc>
        <w:tc>
          <w:tcPr>
            <w:tcW w:w="1138" w:type="pct"/>
            <w:tcBorders>
              <w:top w:val="nil"/>
              <w:left w:val="single" w:sz="4" w:space="0" w:color="auto"/>
              <w:bottom w:val="nil"/>
              <w:right w:val="single" w:sz="4" w:space="0" w:color="auto"/>
            </w:tcBorders>
          </w:tcPr>
          <w:p w14:paraId="61CBEBDD" w14:textId="77777777" w:rsidR="00C54A0C" w:rsidRPr="007D0AA8" w:rsidRDefault="00C54A0C" w:rsidP="00C54A0C">
            <w:pPr>
              <w:spacing w:after="0" w:line="240" w:lineRule="auto"/>
              <w:rPr>
                <w:rFonts w:ascii="Arial Narrow" w:hAnsi="Arial Narrow"/>
                <w:sz w:val="20"/>
              </w:rPr>
            </w:pPr>
            <w:r w:rsidRPr="007D0AA8">
              <w:rPr>
                <w:rFonts w:ascii="Arial Narrow" w:hAnsi="Arial Narrow"/>
                <w:sz w:val="20"/>
              </w:rPr>
              <w:t>Patients &lt;20 yo</w:t>
            </w:r>
          </w:p>
        </w:tc>
        <w:tc>
          <w:tcPr>
            <w:tcW w:w="1000" w:type="pct"/>
            <w:tcBorders>
              <w:top w:val="nil"/>
              <w:left w:val="single" w:sz="4" w:space="0" w:color="auto"/>
              <w:bottom w:val="nil"/>
              <w:right w:val="nil"/>
            </w:tcBorders>
            <w:shd w:val="clear" w:color="auto" w:fill="auto"/>
            <w:noWrap/>
          </w:tcPr>
          <w:p w14:paraId="67245E9D" w14:textId="77777777" w:rsidR="00C54A0C" w:rsidRPr="007D0AA8" w:rsidRDefault="00C54A0C" w:rsidP="00C54A0C">
            <w:pPr>
              <w:spacing w:after="0" w:line="240" w:lineRule="auto"/>
              <w:jc w:val="right"/>
              <w:rPr>
                <w:rFonts w:ascii="Arial Narrow" w:hAnsi="Arial Narrow"/>
                <w:sz w:val="20"/>
                <w:szCs w:val="20"/>
              </w:rPr>
            </w:pPr>
          </w:p>
        </w:tc>
        <w:tc>
          <w:tcPr>
            <w:tcW w:w="1000" w:type="pct"/>
            <w:tcBorders>
              <w:top w:val="nil"/>
              <w:left w:val="nil"/>
              <w:bottom w:val="nil"/>
              <w:right w:val="nil"/>
            </w:tcBorders>
            <w:shd w:val="clear" w:color="auto" w:fill="auto"/>
            <w:noWrap/>
          </w:tcPr>
          <w:p w14:paraId="794EAB5C" w14:textId="77777777" w:rsidR="00C54A0C" w:rsidRPr="007D0AA8" w:rsidRDefault="00C54A0C" w:rsidP="00C54A0C">
            <w:pPr>
              <w:spacing w:after="0" w:line="240" w:lineRule="auto"/>
              <w:jc w:val="right"/>
              <w:rPr>
                <w:rFonts w:ascii="Arial Narrow" w:hAnsi="Arial Narrow"/>
                <w:sz w:val="20"/>
                <w:szCs w:val="20"/>
              </w:rPr>
            </w:pPr>
          </w:p>
        </w:tc>
        <w:tc>
          <w:tcPr>
            <w:tcW w:w="1000" w:type="pct"/>
            <w:tcBorders>
              <w:top w:val="nil"/>
              <w:left w:val="nil"/>
              <w:bottom w:val="nil"/>
              <w:right w:val="single" w:sz="4" w:space="0" w:color="auto"/>
            </w:tcBorders>
          </w:tcPr>
          <w:p w14:paraId="5A10F210" w14:textId="77777777" w:rsidR="00C54A0C" w:rsidRPr="007D0AA8" w:rsidRDefault="00C54A0C" w:rsidP="00C54A0C">
            <w:pPr>
              <w:spacing w:after="0" w:line="240" w:lineRule="auto"/>
              <w:jc w:val="right"/>
              <w:rPr>
                <w:rFonts w:ascii="Arial Narrow" w:hAnsi="Arial Narrow"/>
                <w:sz w:val="20"/>
                <w:szCs w:val="20"/>
              </w:rPr>
            </w:pPr>
          </w:p>
        </w:tc>
      </w:tr>
      <w:tr w:rsidR="00C54A0C" w:rsidRPr="007D0AA8" w14:paraId="5534CF33" w14:textId="77777777" w:rsidTr="00C54A0C">
        <w:tc>
          <w:tcPr>
            <w:tcW w:w="862" w:type="pct"/>
            <w:tcBorders>
              <w:top w:val="nil"/>
              <w:left w:val="single" w:sz="4" w:space="0" w:color="auto"/>
              <w:bottom w:val="nil"/>
              <w:right w:val="single" w:sz="4" w:space="0" w:color="auto"/>
            </w:tcBorders>
          </w:tcPr>
          <w:p w14:paraId="7EE45097" w14:textId="77777777" w:rsidR="00C54A0C" w:rsidRPr="007D0AA8" w:rsidRDefault="00C54A0C" w:rsidP="00C54A0C">
            <w:pPr>
              <w:spacing w:after="0" w:line="240" w:lineRule="auto"/>
              <w:rPr>
                <w:rFonts w:ascii="Arial Narrow" w:hAnsi="Arial Narrow"/>
                <w:sz w:val="20"/>
                <w:szCs w:val="20"/>
              </w:rPr>
            </w:pPr>
          </w:p>
        </w:tc>
        <w:tc>
          <w:tcPr>
            <w:tcW w:w="1138" w:type="pct"/>
            <w:tcBorders>
              <w:top w:val="nil"/>
              <w:left w:val="single" w:sz="4" w:space="0" w:color="auto"/>
              <w:bottom w:val="nil"/>
              <w:right w:val="single" w:sz="4" w:space="0" w:color="auto"/>
            </w:tcBorders>
          </w:tcPr>
          <w:p w14:paraId="17F4AA2B" w14:textId="77777777" w:rsidR="00C54A0C" w:rsidRPr="007D0AA8" w:rsidRDefault="00C54A0C" w:rsidP="00C54A0C">
            <w:pPr>
              <w:spacing w:after="0" w:line="240" w:lineRule="auto"/>
              <w:rPr>
                <w:rFonts w:ascii="Arial Narrow" w:hAnsi="Arial Narrow"/>
                <w:sz w:val="20"/>
              </w:rPr>
            </w:pPr>
            <w:r w:rsidRPr="007D0AA8">
              <w:rPr>
                <w:rFonts w:ascii="Arial Narrow" w:hAnsi="Arial Narrow"/>
                <w:sz w:val="20"/>
              </w:rPr>
              <w:t>Patients ≥20 yo</w:t>
            </w:r>
          </w:p>
        </w:tc>
        <w:tc>
          <w:tcPr>
            <w:tcW w:w="1000" w:type="pct"/>
            <w:tcBorders>
              <w:top w:val="nil"/>
              <w:left w:val="single" w:sz="4" w:space="0" w:color="auto"/>
              <w:bottom w:val="nil"/>
              <w:right w:val="nil"/>
            </w:tcBorders>
            <w:shd w:val="clear" w:color="auto" w:fill="auto"/>
            <w:noWrap/>
          </w:tcPr>
          <w:p w14:paraId="2030EA19"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36%</w:t>
            </w:r>
          </w:p>
        </w:tc>
        <w:tc>
          <w:tcPr>
            <w:tcW w:w="1000" w:type="pct"/>
            <w:tcBorders>
              <w:top w:val="nil"/>
              <w:left w:val="nil"/>
              <w:bottom w:val="nil"/>
              <w:right w:val="nil"/>
            </w:tcBorders>
            <w:shd w:val="clear" w:color="auto" w:fill="auto"/>
            <w:noWrap/>
          </w:tcPr>
          <w:p w14:paraId="0F917696"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48%</w:t>
            </w:r>
          </w:p>
        </w:tc>
        <w:tc>
          <w:tcPr>
            <w:tcW w:w="1000" w:type="pct"/>
            <w:tcBorders>
              <w:top w:val="nil"/>
              <w:left w:val="nil"/>
              <w:bottom w:val="nil"/>
              <w:right w:val="single" w:sz="4" w:space="0" w:color="auto"/>
            </w:tcBorders>
          </w:tcPr>
          <w:p w14:paraId="5A7F0021"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p=0.083</w:t>
            </w:r>
          </w:p>
        </w:tc>
      </w:tr>
      <w:tr w:rsidR="00C54A0C" w:rsidRPr="007D0AA8" w14:paraId="5B60F6E6" w14:textId="77777777" w:rsidTr="00C54A0C">
        <w:tc>
          <w:tcPr>
            <w:tcW w:w="862" w:type="pct"/>
            <w:tcBorders>
              <w:top w:val="nil"/>
              <w:left w:val="single" w:sz="4" w:space="0" w:color="auto"/>
              <w:bottom w:val="single" w:sz="4" w:space="0" w:color="auto"/>
              <w:right w:val="single" w:sz="4" w:space="0" w:color="auto"/>
            </w:tcBorders>
          </w:tcPr>
          <w:p w14:paraId="65FDAFDE" w14:textId="77777777" w:rsidR="00C54A0C" w:rsidRPr="007D0AA8" w:rsidRDefault="00C54A0C" w:rsidP="00C54A0C">
            <w:pPr>
              <w:spacing w:after="0" w:line="240" w:lineRule="auto"/>
              <w:rPr>
                <w:rFonts w:ascii="Arial Narrow" w:hAnsi="Arial Narrow"/>
                <w:sz w:val="20"/>
                <w:szCs w:val="20"/>
              </w:rPr>
            </w:pPr>
          </w:p>
        </w:tc>
        <w:tc>
          <w:tcPr>
            <w:tcW w:w="1138" w:type="pct"/>
            <w:tcBorders>
              <w:top w:val="nil"/>
              <w:left w:val="single" w:sz="4" w:space="0" w:color="auto"/>
              <w:bottom w:val="single" w:sz="4" w:space="0" w:color="auto"/>
              <w:right w:val="single" w:sz="4" w:space="0" w:color="auto"/>
            </w:tcBorders>
          </w:tcPr>
          <w:p w14:paraId="5050B768" w14:textId="77777777" w:rsidR="00C54A0C" w:rsidRPr="007D0AA8" w:rsidRDefault="00C54A0C" w:rsidP="00331FB9">
            <w:pPr>
              <w:pStyle w:val="ListParagraph"/>
              <w:numPr>
                <w:ilvl w:val="0"/>
                <w:numId w:val="16"/>
              </w:numPr>
              <w:spacing w:after="0" w:line="240" w:lineRule="auto"/>
              <w:ind w:left="174" w:hanging="120"/>
              <w:rPr>
                <w:rFonts w:ascii="Arial Narrow" w:hAnsi="Arial Narrow"/>
                <w:sz w:val="20"/>
              </w:rPr>
            </w:pPr>
            <w:r w:rsidRPr="007D0AA8">
              <w:rPr>
                <w:rFonts w:ascii="Arial Narrow" w:hAnsi="Arial Narrow"/>
                <w:sz w:val="20"/>
              </w:rPr>
              <w:t>Patients ≥20 yo, who received HLA-identical BMT</w:t>
            </w:r>
          </w:p>
        </w:tc>
        <w:tc>
          <w:tcPr>
            <w:tcW w:w="1000" w:type="pct"/>
            <w:tcBorders>
              <w:top w:val="nil"/>
              <w:left w:val="single" w:sz="4" w:space="0" w:color="auto"/>
              <w:bottom w:val="single" w:sz="4" w:space="0" w:color="auto"/>
              <w:right w:val="nil"/>
            </w:tcBorders>
            <w:shd w:val="clear" w:color="auto" w:fill="auto"/>
            <w:noWrap/>
          </w:tcPr>
          <w:p w14:paraId="4398EFDE"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30%</w:t>
            </w:r>
            <w:r w:rsidRPr="007D0AA8">
              <w:rPr>
                <w:rFonts w:ascii="Arial Narrow" w:hAnsi="Arial Narrow"/>
                <w:sz w:val="20"/>
                <w:szCs w:val="20"/>
              </w:rPr>
              <w:br/>
              <w:t>(n=88)</w:t>
            </w:r>
          </w:p>
        </w:tc>
        <w:tc>
          <w:tcPr>
            <w:tcW w:w="1000" w:type="pct"/>
            <w:tcBorders>
              <w:top w:val="nil"/>
              <w:left w:val="nil"/>
              <w:bottom w:val="single" w:sz="4" w:space="0" w:color="auto"/>
              <w:right w:val="nil"/>
            </w:tcBorders>
            <w:shd w:val="clear" w:color="auto" w:fill="auto"/>
            <w:noWrap/>
          </w:tcPr>
          <w:p w14:paraId="5D36DE61"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46%</w:t>
            </w:r>
            <w:r w:rsidRPr="007D0AA8">
              <w:rPr>
                <w:rFonts w:ascii="Arial Narrow" w:hAnsi="Arial Narrow"/>
                <w:sz w:val="20"/>
                <w:szCs w:val="20"/>
              </w:rPr>
              <w:br/>
              <w:t>(n=89)</w:t>
            </w:r>
          </w:p>
        </w:tc>
        <w:tc>
          <w:tcPr>
            <w:tcW w:w="1000" w:type="pct"/>
            <w:tcBorders>
              <w:top w:val="nil"/>
              <w:left w:val="nil"/>
              <w:bottom w:val="single" w:sz="4" w:space="0" w:color="auto"/>
              <w:right w:val="single" w:sz="4" w:space="0" w:color="auto"/>
            </w:tcBorders>
          </w:tcPr>
          <w:p w14:paraId="1CFE1B10"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p=0.023</w:t>
            </w:r>
          </w:p>
        </w:tc>
      </w:tr>
      <w:tr w:rsidR="00C54A0C" w:rsidRPr="00386411" w14:paraId="179591E1" w14:textId="77777777" w:rsidTr="00B52A4F">
        <w:tc>
          <w:tcPr>
            <w:tcW w:w="8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82C97B" w14:textId="77777777" w:rsidR="00C54A0C" w:rsidRPr="00386411" w:rsidRDefault="00C54A0C" w:rsidP="00C54A0C">
            <w:pPr>
              <w:spacing w:after="0" w:line="240" w:lineRule="auto"/>
              <w:rPr>
                <w:rFonts w:ascii="Arial Narrow" w:hAnsi="Arial Narrow"/>
                <w:b/>
                <w:sz w:val="20"/>
                <w:szCs w:val="20"/>
              </w:rPr>
            </w:pPr>
            <w:r w:rsidRPr="00386411">
              <w:rPr>
                <w:rFonts w:ascii="Arial Narrow" w:hAnsi="Arial Narrow" w:cs="Calibri"/>
                <w:b/>
                <w:color w:val="000000"/>
                <w:sz w:val="20"/>
                <w:szCs w:val="20"/>
              </w:rPr>
              <w:t>Blombery et al., 2011</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78558A" w14:textId="77777777" w:rsidR="00C54A0C" w:rsidRPr="00386411" w:rsidRDefault="00C54A0C" w:rsidP="00C54A0C">
            <w:pPr>
              <w:spacing w:after="0" w:line="240" w:lineRule="auto"/>
              <w:rPr>
                <w:rFonts w:ascii="Arial Narrow" w:hAnsi="Arial Narrow"/>
                <w:b/>
                <w:sz w:val="20"/>
              </w:rPr>
            </w:pPr>
            <w:r w:rsidRPr="00386411">
              <w:rPr>
                <w:rFonts w:ascii="Arial Narrow" w:hAnsi="Arial Narrow"/>
                <w:b/>
                <w:sz w:val="20"/>
              </w:rPr>
              <w:t>Survival post-HSCT</w:t>
            </w:r>
          </w:p>
        </w:tc>
        <w:tc>
          <w:tcPr>
            <w:tcW w:w="1000" w:type="pct"/>
            <w:tcBorders>
              <w:top w:val="single" w:sz="4" w:space="0" w:color="auto"/>
              <w:left w:val="single" w:sz="4" w:space="0" w:color="auto"/>
              <w:bottom w:val="single" w:sz="4" w:space="0" w:color="auto"/>
              <w:right w:val="nil"/>
            </w:tcBorders>
            <w:shd w:val="clear" w:color="auto" w:fill="D9D9D9" w:themeFill="background1" w:themeFillShade="D9"/>
            <w:noWrap/>
          </w:tcPr>
          <w:p w14:paraId="537671AA" w14:textId="77777777" w:rsidR="00C54A0C" w:rsidRPr="00386411" w:rsidRDefault="00C54A0C" w:rsidP="00C54A0C">
            <w:pPr>
              <w:spacing w:after="0" w:line="240" w:lineRule="auto"/>
              <w:jc w:val="right"/>
              <w:rPr>
                <w:rFonts w:ascii="Arial Narrow" w:hAnsi="Arial Narrow"/>
                <w:b/>
                <w:sz w:val="20"/>
                <w:szCs w:val="20"/>
              </w:rPr>
            </w:pPr>
            <w:r w:rsidRPr="00386411">
              <w:rPr>
                <w:rFonts w:ascii="Arial Narrow" w:hAnsi="Arial Narrow"/>
                <w:b/>
                <w:sz w:val="20"/>
              </w:rPr>
              <w:t>IVIg (n=130)</w:t>
            </w:r>
          </w:p>
        </w:tc>
        <w:tc>
          <w:tcPr>
            <w:tcW w:w="1000" w:type="pct"/>
            <w:tcBorders>
              <w:top w:val="single" w:sz="4" w:space="0" w:color="auto"/>
              <w:left w:val="nil"/>
              <w:bottom w:val="single" w:sz="4" w:space="0" w:color="auto"/>
              <w:right w:val="nil"/>
            </w:tcBorders>
            <w:shd w:val="clear" w:color="auto" w:fill="D9D9D9" w:themeFill="background1" w:themeFillShade="D9"/>
            <w:noWrap/>
          </w:tcPr>
          <w:p w14:paraId="01F35B35" w14:textId="77777777" w:rsidR="00C54A0C" w:rsidRPr="00386411" w:rsidRDefault="00C54A0C" w:rsidP="00C54A0C">
            <w:pPr>
              <w:spacing w:after="0" w:line="240" w:lineRule="auto"/>
              <w:jc w:val="right"/>
              <w:rPr>
                <w:rFonts w:ascii="Arial Narrow" w:hAnsi="Arial Narrow"/>
                <w:b/>
                <w:sz w:val="20"/>
                <w:szCs w:val="20"/>
              </w:rPr>
            </w:pPr>
            <w:r w:rsidRPr="00386411">
              <w:rPr>
                <w:rFonts w:ascii="Arial Narrow" w:hAnsi="Arial Narrow"/>
                <w:b/>
                <w:sz w:val="20"/>
              </w:rPr>
              <w:t>No IVIg (n=110)</w:t>
            </w:r>
          </w:p>
        </w:tc>
        <w:tc>
          <w:tcPr>
            <w:tcW w:w="1000" w:type="pct"/>
            <w:tcBorders>
              <w:top w:val="single" w:sz="4" w:space="0" w:color="auto"/>
              <w:left w:val="nil"/>
              <w:bottom w:val="single" w:sz="4" w:space="0" w:color="auto"/>
              <w:right w:val="single" w:sz="4" w:space="0" w:color="auto"/>
            </w:tcBorders>
            <w:shd w:val="clear" w:color="auto" w:fill="D9D9D9" w:themeFill="background1" w:themeFillShade="D9"/>
          </w:tcPr>
          <w:p w14:paraId="6FFEA890" w14:textId="77777777" w:rsidR="00C54A0C" w:rsidRPr="00386411" w:rsidRDefault="00C54A0C" w:rsidP="00C54A0C">
            <w:pPr>
              <w:spacing w:after="0" w:line="240" w:lineRule="auto"/>
              <w:jc w:val="right"/>
              <w:rPr>
                <w:rFonts w:ascii="Arial Narrow" w:hAnsi="Arial Narrow"/>
                <w:b/>
                <w:sz w:val="20"/>
                <w:szCs w:val="20"/>
              </w:rPr>
            </w:pPr>
            <w:r w:rsidRPr="00386411">
              <w:rPr>
                <w:rFonts w:ascii="Arial Narrow" w:hAnsi="Arial Narrow"/>
                <w:b/>
                <w:sz w:val="20"/>
              </w:rPr>
              <w:t>p-value</w:t>
            </w:r>
          </w:p>
        </w:tc>
      </w:tr>
      <w:tr w:rsidR="00C54A0C" w:rsidRPr="007D0AA8" w14:paraId="19C0AFC8" w14:textId="77777777" w:rsidTr="00C54A0C">
        <w:trPr>
          <w:trHeight w:val="57"/>
        </w:trPr>
        <w:tc>
          <w:tcPr>
            <w:tcW w:w="862" w:type="pct"/>
            <w:tcBorders>
              <w:top w:val="single" w:sz="4" w:space="0" w:color="auto"/>
              <w:left w:val="single" w:sz="4" w:space="0" w:color="auto"/>
              <w:bottom w:val="single" w:sz="4" w:space="0" w:color="auto"/>
              <w:right w:val="single" w:sz="4" w:space="0" w:color="auto"/>
            </w:tcBorders>
          </w:tcPr>
          <w:p w14:paraId="600A2EFE" w14:textId="77777777" w:rsidR="00C54A0C" w:rsidRPr="007D0AA8" w:rsidRDefault="00C54A0C" w:rsidP="00C54A0C">
            <w:pPr>
              <w:spacing w:after="0" w:line="240" w:lineRule="auto"/>
              <w:rPr>
                <w:rFonts w:ascii="Arial Narrow" w:hAnsi="Arial Narrow"/>
                <w:sz w:val="20"/>
                <w:szCs w:val="20"/>
              </w:rPr>
            </w:pPr>
            <w:r w:rsidRPr="007D0AA8">
              <w:rPr>
                <w:rFonts w:ascii="Arial Narrow" w:hAnsi="Arial Narrow" w:cs="Calibri"/>
                <w:color w:val="000000"/>
                <w:sz w:val="20"/>
                <w:szCs w:val="20"/>
              </w:rPr>
              <w:t>MM+HSCT</w:t>
            </w:r>
          </w:p>
        </w:tc>
        <w:tc>
          <w:tcPr>
            <w:tcW w:w="1138" w:type="pct"/>
            <w:tcBorders>
              <w:top w:val="single" w:sz="4" w:space="0" w:color="auto"/>
              <w:left w:val="single" w:sz="4" w:space="0" w:color="auto"/>
              <w:bottom w:val="single" w:sz="4" w:space="0" w:color="auto"/>
              <w:right w:val="single" w:sz="4" w:space="0" w:color="auto"/>
            </w:tcBorders>
          </w:tcPr>
          <w:p w14:paraId="01B9A057" w14:textId="77777777" w:rsidR="00C54A0C" w:rsidRPr="007D0AA8" w:rsidRDefault="00C54A0C" w:rsidP="00C54A0C">
            <w:pPr>
              <w:spacing w:after="0" w:line="240" w:lineRule="auto"/>
              <w:rPr>
                <w:rFonts w:ascii="Arial Narrow" w:hAnsi="Arial Narrow"/>
                <w:sz w:val="20"/>
              </w:rPr>
            </w:pPr>
            <w:r w:rsidRPr="007D0AA8">
              <w:rPr>
                <w:rFonts w:ascii="Arial Narrow" w:hAnsi="Arial Narrow"/>
                <w:sz w:val="20"/>
              </w:rPr>
              <w:t xml:space="preserve">Median survival post-HSCT, mo [range] </w:t>
            </w:r>
          </w:p>
        </w:tc>
        <w:tc>
          <w:tcPr>
            <w:tcW w:w="1000" w:type="pct"/>
            <w:tcBorders>
              <w:top w:val="single" w:sz="4" w:space="0" w:color="auto"/>
              <w:left w:val="single" w:sz="4" w:space="0" w:color="auto"/>
              <w:bottom w:val="single" w:sz="4" w:space="0" w:color="auto"/>
              <w:right w:val="nil"/>
            </w:tcBorders>
            <w:shd w:val="clear" w:color="auto" w:fill="auto"/>
            <w:noWrap/>
          </w:tcPr>
          <w:p w14:paraId="4948E9D2"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rPr>
              <w:t>45.0 [0.3–104.7]</w:t>
            </w:r>
          </w:p>
        </w:tc>
        <w:tc>
          <w:tcPr>
            <w:tcW w:w="1000" w:type="pct"/>
            <w:tcBorders>
              <w:top w:val="single" w:sz="4" w:space="0" w:color="auto"/>
              <w:left w:val="nil"/>
              <w:bottom w:val="single" w:sz="4" w:space="0" w:color="auto"/>
              <w:right w:val="nil"/>
            </w:tcBorders>
            <w:shd w:val="clear" w:color="auto" w:fill="auto"/>
            <w:noWrap/>
          </w:tcPr>
          <w:p w14:paraId="0D3EEA52"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rPr>
              <w:t>44.8 [0.6–118.4]</w:t>
            </w:r>
          </w:p>
        </w:tc>
        <w:tc>
          <w:tcPr>
            <w:tcW w:w="1000" w:type="pct"/>
            <w:tcBorders>
              <w:top w:val="single" w:sz="4" w:space="0" w:color="auto"/>
              <w:left w:val="nil"/>
              <w:bottom w:val="single" w:sz="4" w:space="0" w:color="auto"/>
              <w:right w:val="single" w:sz="4" w:space="0" w:color="auto"/>
            </w:tcBorders>
          </w:tcPr>
          <w:p w14:paraId="41B00BC7"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rPr>
              <w:t>p=0.75</w:t>
            </w:r>
          </w:p>
        </w:tc>
      </w:tr>
      <w:tr w:rsidR="00C54A0C" w:rsidRPr="00386411" w14:paraId="44BC8A32" w14:textId="77777777" w:rsidTr="00B52A4F">
        <w:tc>
          <w:tcPr>
            <w:tcW w:w="8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C59966E" w14:textId="77777777" w:rsidR="00C54A0C" w:rsidRPr="00386411" w:rsidRDefault="00C54A0C" w:rsidP="00C54A0C">
            <w:pPr>
              <w:keepNext/>
              <w:spacing w:after="0" w:line="240" w:lineRule="auto"/>
              <w:rPr>
                <w:rFonts w:ascii="Arial Narrow" w:hAnsi="Arial Narrow"/>
                <w:b/>
                <w:sz w:val="20"/>
                <w:szCs w:val="20"/>
              </w:rPr>
            </w:pPr>
            <w:r w:rsidRPr="00386411">
              <w:rPr>
                <w:rFonts w:ascii="Arial Narrow" w:hAnsi="Arial Narrow" w:cs="Calibri"/>
                <w:b/>
                <w:color w:val="000000"/>
                <w:sz w:val="20"/>
                <w:szCs w:val="20"/>
              </w:rPr>
              <w:t>Ammann 2016</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ECBC46" w14:textId="77777777" w:rsidR="00C54A0C" w:rsidRPr="00386411" w:rsidRDefault="00C54A0C" w:rsidP="00C54A0C">
            <w:pPr>
              <w:keepNext/>
              <w:spacing w:after="0" w:line="240" w:lineRule="auto"/>
              <w:rPr>
                <w:rFonts w:ascii="Arial Narrow" w:hAnsi="Arial Narrow"/>
                <w:b/>
                <w:sz w:val="20"/>
                <w:szCs w:val="20"/>
              </w:rPr>
            </w:pPr>
            <w:r w:rsidRPr="00386411">
              <w:rPr>
                <w:rFonts w:ascii="Arial Narrow" w:hAnsi="Arial Narrow"/>
                <w:b/>
                <w:sz w:val="20"/>
              </w:rPr>
              <w:t>All cause mortality</w:t>
            </w:r>
          </w:p>
        </w:tc>
        <w:tc>
          <w:tcPr>
            <w:tcW w:w="1000" w:type="pct"/>
            <w:tcBorders>
              <w:top w:val="single" w:sz="4" w:space="0" w:color="auto"/>
              <w:left w:val="single" w:sz="4" w:space="0" w:color="auto"/>
              <w:bottom w:val="single" w:sz="4" w:space="0" w:color="auto"/>
              <w:right w:val="nil"/>
            </w:tcBorders>
            <w:shd w:val="clear" w:color="auto" w:fill="D9D9D9" w:themeFill="background1" w:themeFillShade="D9"/>
            <w:noWrap/>
          </w:tcPr>
          <w:p w14:paraId="1BFF99C1" w14:textId="77777777" w:rsidR="00C54A0C" w:rsidRPr="00386411" w:rsidRDefault="00C54A0C" w:rsidP="00C54A0C">
            <w:pPr>
              <w:keepNext/>
              <w:spacing w:after="0" w:line="240" w:lineRule="auto"/>
              <w:jc w:val="right"/>
              <w:rPr>
                <w:rFonts w:ascii="Arial Narrow" w:hAnsi="Arial Narrow" w:cs="Calibri"/>
                <w:b/>
                <w:color w:val="000000"/>
                <w:sz w:val="20"/>
                <w:szCs w:val="20"/>
              </w:rPr>
            </w:pPr>
            <w:r w:rsidRPr="00386411">
              <w:rPr>
                <w:rFonts w:ascii="Arial Narrow" w:hAnsi="Arial Narrow"/>
                <w:b/>
                <w:sz w:val="20"/>
                <w:szCs w:val="20"/>
              </w:rPr>
              <w:t>IgG users (n=2724)</w:t>
            </w:r>
          </w:p>
        </w:tc>
        <w:tc>
          <w:tcPr>
            <w:tcW w:w="1000" w:type="pct"/>
            <w:tcBorders>
              <w:top w:val="single" w:sz="4" w:space="0" w:color="auto"/>
              <w:left w:val="nil"/>
              <w:bottom w:val="single" w:sz="4" w:space="0" w:color="auto"/>
              <w:right w:val="nil"/>
            </w:tcBorders>
            <w:shd w:val="clear" w:color="auto" w:fill="D9D9D9" w:themeFill="background1" w:themeFillShade="D9"/>
            <w:noWrap/>
          </w:tcPr>
          <w:p w14:paraId="37BA502A" w14:textId="77777777" w:rsidR="00C54A0C" w:rsidRPr="00386411" w:rsidRDefault="00C54A0C" w:rsidP="00C54A0C">
            <w:pPr>
              <w:keepNext/>
              <w:spacing w:after="0" w:line="240" w:lineRule="auto"/>
              <w:jc w:val="right"/>
              <w:rPr>
                <w:rFonts w:ascii="Arial Narrow" w:hAnsi="Arial Narrow" w:cs="Calibri"/>
                <w:b/>
                <w:color w:val="000000"/>
                <w:sz w:val="20"/>
                <w:szCs w:val="20"/>
              </w:rPr>
            </w:pPr>
            <w:r w:rsidRPr="00386411">
              <w:rPr>
                <w:rFonts w:ascii="Arial Narrow" w:hAnsi="Arial Narrow"/>
                <w:b/>
                <w:sz w:val="20"/>
                <w:szCs w:val="20"/>
              </w:rPr>
              <w:t>Non-users (n=8035)</w:t>
            </w:r>
          </w:p>
        </w:tc>
        <w:tc>
          <w:tcPr>
            <w:tcW w:w="1000" w:type="pct"/>
            <w:tcBorders>
              <w:top w:val="single" w:sz="4" w:space="0" w:color="auto"/>
              <w:left w:val="nil"/>
              <w:bottom w:val="single" w:sz="4" w:space="0" w:color="auto"/>
              <w:right w:val="single" w:sz="4" w:space="0" w:color="auto"/>
            </w:tcBorders>
            <w:shd w:val="clear" w:color="auto" w:fill="D9D9D9" w:themeFill="background1" w:themeFillShade="D9"/>
          </w:tcPr>
          <w:p w14:paraId="01A226F1" w14:textId="77777777" w:rsidR="00C54A0C" w:rsidRPr="00386411" w:rsidRDefault="00C54A0C" w:rsidP="00C54A0C">
            <w:pPr>
              <w:keepNext/>
              <w:spacing w:after="0" w:line="240" w:lineRule="auto"/>
              <w:jc w:val="right"/>
              <w:rPr>
                <w:rFonts w:ascii="Arial Narrow" w:hAnsi="Arial Narrow"/>
                <w:b/>
                <w:sz w:val="20"/>
                <w:szCs w:val="20"/>
              </w:rPr>
            </w:pPr>
          </w:p>
        </w:tc>
      </w:tr>
      <w:tr w:rsidR="00C54A0C" w:rsidRPr="007D0AA8" w14:paraId="23AF4C73" w14:textId="77777777" w:rsidTr="00C54A0C">
        <w:tc>
          <w:tcPr>
            <w:tcW w:w="862" w:type="pct"/>
            <w:tcBorders>
              <w:top w:val="single" w:sz="4" w:space="0" w:color="auto"/>
              <w:left w:val="single" w:sz="4" w:space="0" w:color="auto"/>
              <w:bottom w:val="nil"/>
              <w:right w:val="single" w:sz="4" w:space="0" w:color="auto"/>
            </w:tcBorders>
          </w:tcPr>
          <w:p w14:paraId="100E852C" w14:textId="77777777" w:rsidR="00C54A0C" w:rsidRPr="007D0AA8" w:rsidRDefault="00C54A0C" w:rsidP="00C54A0C">
            <w:pPr>
              <w:spacing w:after="0" w:line="240" w:lineRule="auto"/>
              <w:rPr>
                <w:rFonts w:ascii="Arial Narrow" w:hAnsi="Arial Narrow"/>
                <w:sz w:val="20"/>
                <w:szCs w:val="20"/>
              </w:rPr>
            </w:pPr>
            <w:r w:rsidRPr="007D0AA8">
              <w:rPr>
                <w:rFonts w:ascii="Arial Narrow" w:hAnsi="Arial Narrow" w:cs="Calibri"/>
                <w:color w:val="000000"/>
                <w:sz w:val="20"/>
                <w:szCs w:val="20"/>
              </w:rPr>
              <w:t>CLL, MM</w:t>
            </w:r>
          </w:p>
        </w:tc>
        <w:tc>
          <w:tcPr>
            <w:tcW w:w="1138" w:type="pct"/>
            <w:tcBorders>
              <w:top w:val="single" w:sz="4" w:space="0" w:color="auto"/>
              <w:left w:val="single" w:sz="4" w:space="0" w:color="auto"/>
              <w:bottom w:val="nil"/>
              <w:right w:val="single" w:sz="4" w:space="0" w:color="auto"/>
            </w:tcBorders>
          </w:tcPr>
          <w:p w14:paraId="1817A23B" w14:textId="77777777" w:rsidR="00C54A0C" w:rsidRPr="007D0AA8" w:rsidRDefault="00C54A0C" w:rsidP="00C54A0C">
            <w:pPr>
              <w:spacing w:after="0" w:line="240" w:lineRule="auto"/>
              <w:rPr>
                <w:rFonts w:ascii="Arial Narrow" w:hAnsi="Arial Narrow"/>
                <w:sz w:val="20"/>
                <w:szCs w:val="20"/>
              </w:rPr>
            </w:pPr>
            <w:r w:rsidRPr="007D0AA8">
              <w:rPr>
                <w:rFonts w:ascii="Arial Narrow" w:hAnsi="Arial Narrow"/>
                <w:sz w:val="20"/>
              </w:rPr>
              <w:t>Propensity matched set (1-yr cumulative incidence)</w:t>
            </w:r>
          </w:p>
        </w:tc>
        <w:tc>
          <w:tcPr>
            <w:tcW w:w="1000" w:type="pct"/>
            <w:tcBorders>
              <w:top w:val="single" w:sz="4" w:space="0" w:color="auto"/>
              <w:left w:val="single" w:sz="4" w:space="0" w:color="auto"/>
              <w:bottom w:val="nil"/>
              <w:right w:val="nil"/>
            </w:tcBorders>
            <w:shd w:val="clear" w:color="auto" w:fill="auto"/>
            <w:noWrap/>
          </w:tcPr>
          <w:p w14:paraId="5DB78294" w14:textId="77777777" w:rsidR="00C54A0C" w:rsidRPr="007D0AA8" w:rsidRDefault="00C54A0C" w:rsidP="00C54A0C">
            <w:pPr>
              <w:spacing w:after="0" w:line="240" w:lineRule="auto"/>
              <w:jc w:val="right"/>
              <w:rPr>
                <w:rFonts w:ascii="Arial Narrow" w:hAnsi="Arial Narrow" w:cs="Calibri"/>
                <w:color w:val="000000"/>
                <w:sz w:val="20"/>
                <w:szCs w:val="20"/>
              </w:rPr>
            </w:pPr>
            <w:r w:rsidRPr="007D0AA8">
              <w:rPr>
                <w:rFonts w:ascii="Arial Narrow" w:hAnsi="Arial Narrow"/>
                <w:sz w:val="20"/>
                <w:szCs w:val="20"/>
              </w:rPr>
              <w:t>26%</w:t>
            </w:r>
          </w:p>
        </w:tc>
        <w:tc>
          <w:tcPr>
            <w:tcW w:w="1000" w:type="pct"/>
            <w:tcBorders>
              <w:top w:val="single" w:sz="4" w:space="0" w:color="auto"/>
              <w:left w:val="nil"/>
              <w:bottom w:val="nil"/>
              <w:right w:val="nil"/>
            </w:tcBorders>
            <w:shd w:val="clear" w:color="auto" w:fill="auto"/>
            <w:noWrap/>
          </w:tcPr>
          <w:p w14:paraId="64195D1A" w14:textId="77777777" w:rsidR="00C54A0C" w:rsidRPr="007D0AA8" w:rsidRDefault="00C54A0C" w:rsidP="00C54A0C">
            <w:pPr>
              <w:spacing w:after="0" w:line="240" w:lineRule="auto"/>
              <w:jc w:val="right"/>
              <w:rPr>
                <w:rFonts w:ascii="Arial Narrow" w:hAnsi="Arial Narrow" w:cs="Calibri"/>
                <w:color w:val="000000"/>
                <w:sz w:val="20"/>
                <w:szCs w:val="20"/>
              </w:rPr>
            </w:pPr>
            <w:r w:rsidRPr="007D0AA8">
              <w:rPr>
                <w:rFonts w:ascii="Arial Narrow" w:hAnsi="Arial Narrow"/>
                <w:sz w:val="20"/>
                <w:szCs w:val="20"/>
              </w:rPr>
              <w:t>26%</w:t>
            </w:r>
          </w:p>
        </w:tc>
        <w:tc>
          <w:tcPr>
            <w:tcW w:w="1000" w:type="pct"/>
            <w:tcBorders>
              <w:top w:val="single" w:sz="4" w:space="0" w:color="auto"/>
              <w:left w:val="nil"/>
              <w:bottom w:val="nil"/>
              <w:right w:val="single" w:sz="4" w:space="0" w:color="auto"/>
            </w:tcBorders>
          </w:tcPr>
          <w:p w14:paraId="3C159985" w14:textId="77777777" w:rsidR="00C54A0C" w:rsidRPr="007D0AA8" w:rsidRDefault="00C54A0C" w:rsidP="00C54A0C">
            <w:pPr>
              <w:spacing w:after="0" w:line="240" w:lineRule="auto"/>
              <w:jc w:val="right"/>
              <w:rPr>
                <w:rFonts w:ascii="Arial Narrow" w:hAnsi="Arial Narrow"/>
                <w:sz w:val="20"/>
                <w:szCs w:val="20"/>
              </w:rPr>
            </w:pPr>
          </w:p>
        </w:tc>
      </w:tr>
      <w:tr w:rsidR="00C54A0C" w:rsidRPr="007D0AA8" w14:paraId="32583EB6" w14:textId="77777777" w:rsidTr="00C54A0C">
        <w:tc>
          <w:tcPr>
            <w:tcW w:w="862" w:type="pct"/>
            <w:tcBorders>
              <w:top w:val="nil"/>
              <w:left w:val="single" w:sz="4" w:space="0" w:color="auto"/>
              <w:bottom w:val="nil"/>
              <w:right w:val="single" w:sz="4" w:space="0" w:color="auto"/>
            </w:tcBorders>
          </w:tcPr>
          <w:p w14:paraId="1714960C" w14:textId="77777777" w:rsidR="00C54A0C" w:rsidRPr="007D0AA8" w:rsidRDefault="00C54A0C" w:rsidP="00C54A0C">
            <w:pPr>
              <w:spacing w:after="0" w:line="240" w:lineRule="auto"/>
              <w:rPr>
                <w:rFonts w:ascii="Arial Narrow" w:hAnsi="Arial Narrow"/>
                <w:sz w:val="20"/>
                <w:szCs w:val="20"/>
              </w:rPr>
            </w:pPr>
          </w:p>
        </w:tc>
        <w:tc>
          <w:tcPr>
            <w:tcW w:w="1138" w:type="pct"/>
            <w:tcBorders>
              <w:top w:val="nil"/>
              <w:left w:val="single" w:sz="4" w:space="0" w:color="auto"/>
              <w:bottom w:val="nil"/>
              <w:right w:val="single" w:sz="4" w:space="0" w:color="auto"/>
            </w:tcBorders>
          </w:tcPr>
          <w:p w14:paraId="0BCCFBAA" w14:textId="77777777" w:rsidR="00C54A0C" w:rsidRPr="007D0AA8" w:rsidRDefault="00C54A0C" w:rsidP="00C54A0C">
            <w:pPr>
              <w:spacing w:after="0" w:line="240" w:lineRule="auto"/>
              <w:rPr>
                <w:rFonts w:ascii="Arial Narrow" w:hAnsi="Arial Narrow"/>
                <w:sz w:val="20"/>
                <w:szCs w:val="20"/>
              </w:rPr>
            </w:pPr>
            <w:r w:rsidRPr="007D0AA8">
              <w:rPr>
                <w:rFonts w:ascii="Arial Narrow" w:hAnsi="Arial Narrow"/>
                <w:sz w:val="20"/>
              </w:rPr>
              <w:t>All cause mortality</w:t>
            </w:r>
          </w:p>
        </w:tc>
        <w:tc>
          <w:tcPr>
            <w:tcW w:w="1000" w:type="pct"/>
            <w:tcBorders>
              <w:top w:val="nil"/>
              <w:left w:val="single" w:sz="4" w:space="0" w:color="auto"/>
              <w:bottom w:val="nil"/>
              <w:right w:val="nil"/>
            </w:tcBorders>
            <w:shd w:val="clear" w:color="auto" w:fill="auto"/>
            <w:noWrap/>
          </w:tcPr>
          <w:p w14:paraId="51DF702A" w14:textId="77777777" w:rsidR="00C54A0C" w:rsidRPr="007D0AA8" w:rsidRDefault="00C54A0C" w:rsidP="00C54A0C">
            <w:pPr>
              <w:spacing w:after="0" w:line="240" w:lineRule="auto"/>
              <w:jc w:val="right"/>
              <w:rPr>
                <w:rFonts w:ascii="Arial Narrow" w:hAnsi="Arial Narrow" w:cs="Calibri"/>
                <w:color w:val="000000"/>
                <w:sz w:val="20"/>
                <w:szCs w:val="20"/>
              </w:rPr>
            </w:pPr>
            <w:r w:rsidRPr="007D0AA8">
              <w:rPr>
                <w:rFonts w:ascii="Arial Narrow" w:hAnsi="Arial Narrow"/>
                <w:sz w:val="20"/>
                <w:szCs w:val="20"/>
              </w:rPr>
              <w:t>IgG users (n=2771)</w:t>
            </w:r>
          </w:p>
        </w:tc>
        <w:tc>
          <w:tcPr>
            <w:tcW w:w="1000" w:type="pct"/>
            <w:tcBorders>
              <w:top w:val="nil"/>
              <w:left w:val="nil"/>
              <w:bottom w:val="nil"/>
              <w:right w:val="nil"/>
            </w:tcBorders>
            <w:shd w:val="clear" w:color="auto" w:fill="auto"/>
            <w:noWrap/>
          </w:tcPr>
          <w:p w14:paraId="03DED912" w14:textId="77777777" w:rsidR="00C54A0C" w:rsidRPr="007D0AA8" w:rsidRDefault="00C54A0C" w:rsidP="00C54A0C">
            <w:pPr>
              <w:spacing w:after="0" w:line="240" w:lineRule="auto"/>
              <w:jc w:val="right"/>
              <w:rPr>
                <w:rFonts w:ascii="Arial Narrow" w:hAnsi="Arial Narrow" w:cs="Calibri"/>
                <w:color w:val="000000"/>
                <w:sz w:val="20"/>
                <w:szCs w:val="20"/>
              </w:rPr>
            </w:pPr>
            <w:r w:rsidRPr="007D0AA8">
              <w:rPr>
                <w:rFonts w:ascii="Arial Narrow" w:hAnsi="Arial Narrow"/>
                <w:sz w:val="20"/>
                <w:szCs w:val="20"/>
              </w:rPr>
              <w:t>Non-users (n=8313)</w:t>
            </w:r>
          </w:p>
        </w:tc>
        <w:tc>
          <w:tcPr>
            <w:tcW w:w="1000" w:type="pct"/>
            <w:tcBorders>
              <w:top w:val="nil"/>
              <w:left w:val="nil"/>
              <w:bottom w:val="nil"/>
              <w:right w:val="single" w:sz="4" w:space="0" w:color="auto"/>
            </w:tcBorders>
          </w:tcPr>
          <w:p w14:paraId="173A4AE7" w14:textId="77777777" w:rsidR="00C54A0C" w:rsidRPr="007D0AA8" w:rsidRDefault="00C54A0C" w:rsidP="00C54A0C">
            <w:pPr>
              <w:spacing w:after="0" w:line="240" w:lineRule="auto"/>
              <w:jc w:val="right"/>
              <w:rPr>
                <w:rFonts w:ascii="Arial Narrow" w:hAnsi="Arial Narrow"/>
                <w:sz w:val="20"/>
                <w:szCs w:val="20"/>
              </w:rPr>
            </w:pPr>
          </w:p>
        </w:tc>
      </w:tr>
      <w:tr w:rsidR="00C54A0C" w:rsidRPr="007D0AA8" w14:paraId="08E87470" w14:textId="77777777" w:rsidTr="00C54A0C">
        <w:tc>
          <w:tcPr>
            <w:tcW w:w="862" w:type="pct"/>
            <w:tcBorders>
              <w:top w:val="nil"/>
              <w:left w:val="single" w:sz="4" w:space="0" w:color="auto"/>
              <w:bottom w:val="single" w:sz="4" w:space="0" w:color="auto"/>
              <w:right w:val="single" w:sz="4" w:space="0" w:color="auto"/>
            </w:tcBorders>
          </w:tcPr>
          <w:p w14:paraId="7E6A87D5" w14:textId="77777777" w:rsidR="00C54A0C" w:rsidRPr="007D0AA8" w:rsidRDefault="00C54A0C" w:rsidP="00C54A0C">
            <w:pPr>
              <w:spacing w:after="0" w:line="240" w:lineRule="auto"/>
              <w:rPr>
                <w:rFonts w:ascii="Arial Narrow" w:hAnsi="Arial Narrow"/>
                <w:sz w:val="20"/>
                <w:szCs w:val="20"/>
              </w:rPr>
            </w:pPr>
          </w:p>
        </w:tc>
        <w:tc>
          <w:tcPr>
            <w:tcW w:w="1138" w:type="pct"/>
            <w:tcBorders>
              <w:top w:val="nil"/>
              <w:left w:val="single" w:sz="4" w:space="0" w:color="auto"/>
              <w:bottom w:val="single" w:sz="4" w:space="0" w:color="auto"/>
              <w:right w:val="single" w:sz="4" w:space="0" w:color="auto"/>
            </w:tcBorders>
          </w:tcPr>
          <w:p w14:paraId="57E9EDAA" w14:textId="77777777" w:rsidR="00C54A0C" w:rsidRPr="007D0AA8" w:rsidRDefault="00C54A0C" w:rsidP="00C54A0C">
            <w:pPr>
              <w:spacing w:after="0" w:line="240" w:lineRule="auto"/>
              <w:rPr>
                <w:rFonts w:ascii="Arial Narrow" w:hAnsi="Arial Narrow"/>
                <w:sz w:val="20"/>
                <w:szCs w:val="20"/>
              </w:rPr>
            </w:pPr>
            <w:r w:rsidRPr="007D0AA8">
              <w:rPr>
                <w:rFonts w:ascii="Arial Narrow" w:hAnsi="Arial Narrow"/>
                <w:sz w:val="20"/>
              </w:rPr>
              <w:t>Randomly matched set (1-yr cumulative incidence)</w:t>
            </w:r>
          </w:p>
        </w:tc>
        <w:tc>
          <w:tcPr>
            <w:tcW w:w="1000" w:type="pct"/>
            <w:tcBorders>
              <w:top w:val="nil"/>
              <w:left w:val="single" w:sz="4" w:space="0" w:color="auto"/>
              <w:bottom w:val="single" w:sz="4" w:space="0" w:color="auto"/>
              <w:right w:val="nil"/>
            </w:tcBorders>
            <w:shd w:val="clear" w:color="auto" w:fill="auto"/>
            <w:noWrap/>
          </w:tcPr>
          <w:p w14:paraId="444F7331" w14:textId="77777777" w:rsidR="00C54A0C" w:rsidRPr="007D0AA8" w:rsidRDefault="00C54A0C" w:rsidP="00C54A0C">
            <w:pPr>
              <w:spacing w:after="0" w:line="240" w:lineRule="auto"/>
              <w:jc w:val="right"/>
              <w:rPr>
                <w:rFonts w:ascii="Arial Narrow" w:hAnsi="Arial Narrow" w:cs="Calibri"/>
                <w:color w:val="000000"/>
                <w:sz w:val="20"/>
                <w:szCs w:val="20"/>
              </w:rPr>
            </w:pPr>
            <w:r w:rsidRPr="007D0AA8">
              <w:rPr>
                <w:rFonts w:ascii="Arial Narrow" w:hAnsi="Arial Narrow"/>
                <w:sz w:val="20"/>
                <w:szCs w:val="20"/>
              </w:rPr>
              <w:t>26%</w:t>
            </w:r>
          </w:p>
        </w:tc>
        <w:tc>
          <w:tcPr>
            <w:tcW w:w="1000" w:type="pct"/>
            <w:tcBorders>
              <w:top w:val="nil"/>
              <w:left w:val="nil"/>
              <w:bottom w:val="single" w:sz="4" w:space="0" w:color="auto"/>
              <w:right w:val="nil"/>
            </w:tcBorders>
            <w:shd w:val="clear" w:color="auto" w:fill="auto"/>
            <w:noWrap/>
          </w:tcPr>
          <w:p w14:paraId="3702EFE0" w14:textId="77777777" w:rsidR="00C54A0C" w:rsidRPr="007D0AA8" w:rsidRDefault="00C54A0C" w:rsidP="00C54A0C">
            <w:pPr>
              <w:spacing w:after="0" w:line="240" w:lineRule="auto"/>
              <w:jc w:val="right"/>
              <w:rPr>
                <w:rFonts w:ascii="Arial Narrow" w:hAnsi="Arial Narrow" w:cs="Calibri"/>
                <w:color w:val="000000"/>
                <w:sz w:val="20"/>
                <w:szCs w:val="20"/>
              </w:rPr>
            </w:pPr>
            <w:r w:rsidRPr="007D0AA8">
              <w:rPr>
                <w:rFonts w:ascii="Arial Narrow" w:hAnsi="Arial Narrow"/>
                <w:sz w:val="20"/>
                <w:szCs w:val="20"/>
              </w:rPr>
              <w:t>14%</w:t>
            </w:r>
          </w:p>
        </w:tc>
        <w:tc>
          <w:tcPr>
            <w:tcW w:w="1000" w:type="pct"/>
            <w:tcBorders>
              <w:top w:val="nil"/>
              <w:left w:val="nil"/>
              <w:bottom w:val="single" w:sz="4" w:space="0" w:color="auto"/>
              <w:right w:val="single" w:sz="4" w:space="0" w:color="auto"/>
            </w:tcBorders>
          </w:tcPr>
          <w:p w14:paraId="06B92C63" w14:textId="77777777" w:rsidR="00C54A0C" w:rsidRPr="007D0AA8" w:rsidRDefault="00C54A0C" w:rsidP="00C54A0C">
            <w:pPr>
              <w:spacing w:after="0" w:line="240" w:lineRule="auto"/>
              <w:jc w:val="right"/>
              <w:rPr>
                <w:rFonts w:ascii="Arial Narrow" w:hAnsi="Arial Narrow"/>
                <w:sz w:val="20"/>
                <w:szCs w:val="20"/>
              </w:rPr>
            </w:pPr>
          </w:p>
        </w:tc>
      </w:tr>
      <w:tr w:rsidR="00C54A0C" w:rsidRPr="00386411" w14:paraId="2770F109" w14:textId="77777777" w:rsidTr="00B52A4F">
        <w:tc>
          <w:tcPr>
            <w:tcW w:w="8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16F956" w14:textId="77777777" w:rsidR="00C54A0C" w:rsidRPr="00386411" w:rsidRDefault="00C54A0C" w:rsidP="00D67A6E">
            <w:pPr>
              <w:keepNext/>
              <w:spacing w:after="0" w:line="240" w:lineRule="auto"/>
              <w:rPr>
                <w:rFonts w:ascii="Arial Narrow" w:hAnsi="Arial Narrow"/>
                <w:b/>
                <w:sz w:val="20"/>
                <w:szCs w:val="20"/>
              </w:rPr>
            </w:pPr>
            <w:r w:rsidRPr="00386411">
              <w:rPr>
                <w:rFonts w:ascii="Arial Narrow" w:hAnsi="Arial Narrow"/>
                <w:b/>
                <w:sz w:val="20"/>
                <w:szCs w:val="20"/>
              </w:rPr>
              <w:t>Reiser et al., 2017</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681BC1" w14:textId="77777777" w:rsidR="00C54A0C" w:rsidRPr="00386411" w:rsidRDefault="00C54A0C" w:rsidP="00D67A6E">
            <w:pPr>
              <w:keepNext/>
              <w:spacing w:after="0" w:line="240" w:lineRule="auto"/>
              <w:rPr>
                <w:rFonts w:ascii="Arial Narrow" w:hAnsi="Arial Narrow"/>
                <w:b/>
                <w:sz w:val="20"/>
              </w:rPr>
            </w:pPr>
            <w:r w:rsidRPr="00386411">
              <w:rPr>
                <w:rFonts w:ascii="Arial Narrow" w:hAnsi="Arial Narrow"/>
                <w:b/>
                <w:sz w:val="20"/>
              </w:rPr>
              <w:t>Average follow-up – overall (N=307)</w:t>
            </w:r>
          </w:p>
        </w:tc>
        <w:tc>
          <w:tcPr>
            <w:tcW w:w="1000" w:type="pct"/>
            <w:tcBorders>
              <w:top w:val="single" w:sz="4" w:space="0" w:color="auto"/>
              <w:left w:val="single" w:sz="4" w:space="0" w:color="auto"/>
              <w:bottom w:val="single" w:sz="4" w:space="0" w:color="auto"/>
              <w:right w:val="nil"/>
            </w:tcBorders>
            <w:shd w:val="clear" w:color="auto" w:fill="D9D9D9" w:themeFill="background1" w:themeFillShade="D9"/>
            <w:noWrap/>
          </w:tcPr>
          <w:p w14:paraId="0CFD87D8" w14:textId="77777777" w:rsidR="00C54A0C" w:rsidRPr="00386411" w:rsidRDefault="00C54A0C" w:rsidP="00D67A6E">
            <w:pPr>
              <w:keepNext/>
              <w:spacing w:after="0" w:line="240" w:lineRule="auto"/>
              <w:jc w:val="right"/>
              <w:rPr>
                <w:rFonts w:ascii="Arial Narrow" w:hAnsi="Arial Narrow"/>
                <w:b/>
                <w:sz w:val="20"/>
                <w:szCs w:val="20"/>
              </w:rPr>
            </w:pPr>
            <w:r w:rsidRPr="00386411">
              <w:rPr>
                <w:rFonts w:ascii="Arial Narrow" w:hAnsi="Arial Narrow"/>
                <w:b/>
                <w:sz w:val="20"/>
              </w:rPr>
              <w:t>20.5 months</w:t>
            </w:r>
          </w:p>
        </w:tc>
        <w:tc>
          <w:tcPr>
            <w:tcW w:w="1000" w:type="pct"/>
            <w:tcBorders>
              <w:top w:val="single" w:sz="4" w:space="0" w:color="auto"/>
              <w:left w:val="nil"/>
              <w:bottom w:val="single" w:sz="4" w:space="0" w:color="auto"/>
              <w:right w:val="nil"/>
            </w:tcBorders>
            <w:shd w:val="clear" w:color="auto" w:fill="D9D9D9" w:themeFill="background1" w:themeFillShade="D9"/>
            <w:noWrap/>
          </w:tcPr>
          <w:p w14:paraId="75511CF1" w14:textId="77777777" w:rsidR="00C54A0C" w:rsidRPr="00386411" w:rsidRDefault="00C54A0C" w:rsidP="00D67A6E">
            <w:pPr>
              <w:keepNext/>
              <w:spacing w:after="0" w:line="240" w:lineRule="auto"/>
              <w:jc w:val="right"/>
              <w:rPr>
                <w:rFonts w:ascii="Arial Narrow" w:hAnsi="Arial Narrow"/>
                <w:b/>
                <w:sz w:val="20"/>
                <w:szCs w:val="20"/>
              </w:rPr>
            </w:pPr>
            <w:r w:rsidRPr="00386411">
              <w:rPr>
                <w:rFonts w:ascii="Arial Narrow" w:hAnsi="Arial Narrow"/>
                <w:b/>
                <w:sz w:val="20"/>
                <w:szCs w:val="20"/>
              </w:rPr>
              <w:t>N/A</w:t>
            </w:r>
          </w:p>
        </w:tc>
        <w:tc>
          <w:tcPr>
            <w:tcW w:w="1000" w:type="pct"/>
            <w:tcBorders>
              <w:top w:val="single" w:sz="4" w:space="0" w:color="auto"/>
              <w:left w:val="nil"/>
              <w:bottom w:val="single" w:sz="4" w:space="0" w:color="auto"/>
              <w:right w:val="single" w:sz="4" w:space="0" w:color="auto"/>
            </w:tcBorders>
            <w:shd w:val="clear" w:color="auto" w:fill="D9D9D9" w:themeFill="background1" w:themeFillShade="D9"/>
          </w:tcPr>
          <w:p w14:paraId="43D04196" w14:textId="77777777" w:rsidR="00C54A0C" w:rsidRPr="00386411" w:rsidRDefault="00C54A0C" w:rsidP="00D67A6E">
            <w:pPr>
              <w:keepNext/>
              <w:spacing w:after="0" w:line="240" w:lineRule="auto"/>
              <w:jc w:val="right"/>
              <w:rPr>
                <w:rFonts w:ascii="Arial Narrow" w:hAnsi="Arial Narrow"/>
                <w:b/>
                <w:sz w:val="20"/>
                <w:szCs w:val="20"/>
              </w:rPr>
            </w:pPr>
          </w:p>
        </w:tc>
      </w:tr>
      <w:tr w:rsidR="00D538DE" w:rsidRPr="007D0AA8" w14:paraId="7AC5A913" w14:textId="77777777" w:rsidTr="00AF7CAB">
        <w:tc>
          <w:tcPr>
            <w:tcW w:w="862" w:type="pct"/>
            <w:tcBorders>
              <w:top w:val="single" w:sz="4" w:space="0" w:color="auto"/>
              <w:left w:val="single" w:sz="4" w:space="0" w:color="auto"/>
              <w:right w:val="single" w:sz="4" w:space="0" w:color="auto"/>
            </w:tcBorders>
            <w:vAlign w:val="bottom"/>
          </w:tcPr>
          <w:p w14:paraId="32DB9C12" w14:textId="64F09A36" w:rsidR="00D538DE" w:rsidRPr="007D0AA8" w:rsidRDefault="00D538DE" w:rsidP="00D538DE">
            <w:pPr>
              <w:spacing w:after="0" w:line="240" w:lineRule="auto"/>
              <w:ind w:left="-113" w:right="-57"/>
              <w:rPr>
                <w:rFonts w:ascii="Arial Narrow" w:hAnsi="Arial Narrow"/>
                <w:sz w:val="20"/>
                <w:szCs w:val="20"/>
              </w:rPr>
            </w:pPr>
            <w:r w:rsidRPr="007D0AA8">
              <w:rPr>
                <w:rFonts w:ascii="Arial Narrow" w:hAnsi="Arial Narrow"/>
                <w:sz w:val="20"/>
                <w:szCs w:val="20"/>
              </w:rPr>
              <w:t>CLL(130); NHL(99); MM(43); other(35)</w:t>
            </w:r>
          </w:p>
        </w:tc>
        <w:tc>
          <w:tcPr>
            <w:tcW w:w="1138" w:type="pct"/>
            <w:tcBorders>
              <w:top w:val="single" w:sz="4" w:space="0" w:color="auto"/>
              <w:left w:val="single" w:sz="4" w:space="0" w:color="auto"/>
              <w:right w:val="single" w:sz="4" w:space="0" w:color="auto"/>
            </w:tcBorders>
          </w:tcPr>
          <w:p w14:paraId="2DFF220D" w14:textId="77777777" w:rsidR="00D538DE" w:rsidRPr="007D0AA8" w:rsidRDefault="00D538DE" w:rsidP="00331FB9">
            <w:pPr>
              <w:pStyle w:val="ListParagraph"/>
              <w:numPr>
                <w:ilvl w:val="0"/>
                <w:numId w:val="16"/>
              </w:numPr>
              <w:spacing w:after="0" w:line="240" w:lineRule="auto"/>
              <w:ind w:left="135" w:hanging="160"/>
              <w:rPr>
                <w:rFonts w:ascii="Arial Narrow" w:hAnsi="Arial Narrow"/>
                <w:sz w:val="20"/>
              </w:rPr>
            </w:pPr>
            <w:r w:rsidRPr="007D0AA8">
              <w:rPr>
                <w:rFonts w:ascii="Arial Narrow" w:hAnsi="Arial Narrow"/>
                <w:sz w:val="20"/>
              </w:rPr>
              <w:t>CLL</w:t>
            </w:r>
          </w:p>
        </w:tc>
        <w:tc>
          <w:tcPr>
            <w:tcW w:w="1000" w:type="pct"/>
            <w:tcBorders>
              <w:top w:val="single" w:sz="4" w:space="0" w:color="auto"/>
              <w:left w:val="single" w:sz="4" w:space="0" w:color="auto"/>
              <w:right w:val="nil"/>
            </w:tcBorders>
            <w:shd w:val="clear" w:color="auto" w:fill="auto"/>
            <w:noWrap/>
          </w:tcPr>
          <w:p w14:paraId="2FCA1973" w14:textId="77777777" w:rsidR="00D538DE" w:rsidRPr="007D0AA8" w:rsidRDefault="00D538DE" w:rsidP="00D538DE">
            <w:pPr>
              <w:spacing w:after="0" w:line="240" w:lineRule="auto"/>
              <w:jc w:val="right"/>
              <w:rPr>
                <w:rFonts w:ascii="Arial Narrow" w:hAnsi="Arial Narrow"/>
                <w:sz w:val="20"/>
                <w:szCs w:val="20"/>
              </w:rPr>
            </w:pPr>
            <w:r w:rsidRPr="007D0AA8">
              <w:rPr>
                <w:rFonts w:ascii="Arial Narrow" w:hAnsi="Arial Narrow"/>
                <w:sz w:val="20"/>
              </w:rPr>
              <w:t>21.4 months</w:t>
            </w:r>
          </w:p>
        </w:tc>
        <w:tc>
          <w:tcPr>
            <w:tcW w:w="1000" w:type="pct"/>
            <w:tcBorders>
              <w:top w:val="single" w:sz="4" w:space="0" w:color="auto"/>
              <w:left w:val="nil"/>
              <w:right w:val="nil"/>
            </w:tcBorders>
            <w:shd w:val="clear" w:color="auto" w:fill="auto"/>
            <w:noWrap/>
          </w:tcPr>
          <w:p w14:paraId="773F2A9D" w14:textId="77777777" w:rsidR="00D538DE" w:rsidRPr="007D0AA8" w:rsidRDefault="00D538DE" w:rsidP="00D538DE">
            <w:pPr>
              <w:spacing w:after="0" w:line="240" w:lineRule="auto"/>
              <w:jc w:val="right"/>
              <w:rPr>
                <w:rFonts w:ascii="Arial Narrow" w:hAnsi="Arial Narrow"/>
                <w:sz w:val="20"/>
                <w:szCs w:val="20"/>
              </w:rPr>
            </w:pPr>
          </w:p>
        </w:tc>
        <w:tc>
          <w:tcPr>
            <w:tcW w:w="1000" w:type="pct"/>
            <w:tcBorders>
              <w:top w:val="single" w:sz="4" w:space="0" w:color="auto"/>
              <w:left w:val="nil"/>
              <w:right w:val="single" w:sz="4" w:space="0" w:color="auto"/>
            </w:tcBorders>
          </w:tcPr>
          <w:p w14:paraId="4D52C112" w14:textId="77777777" w:rsidR="00D538DE" w:rsidRPr="007D0AA8" w:rsidRDefault="00D538DE" w:rsidP="00D538DE">
            <w:pPr>
              <w:spacing w:after="0" w:line="240" w:lineRule="auto"/>
              <w:jc w:val="right"/>
              <w:rPr>
                <w:rFonts w:ascii="Arial Narrow" w:hAnsi="Arial Narrow"/>
                <w:sz w:val="20"/>
                <w:szCs w:val="20"/>
              </w:rPr>
            </w:pPr>
          </w:p>
        </w:tc>
      </w:tr>
      <w:tr w:rsidR="00C54A0C" w:rsidRPr="007D0AA8" w14:paraId="2F1310D7" w14:textId="77777777" w:rsidTr="00C54A0C">
        <w:tc>
          <w:tcPr>
            <w:tcW w:w="862" w:type="pct"/>
            <w:tcBorders>
              <w:left w:val="single" w:sz="4" w:space="0" w:color="auto"/>
              <w:right w:val="single" w:sz="4" w:space="0" w:color="auto"/>
            </w:tcBorders>
          </w:tcPr>
          <w:p w14:paraId="0BF4406E" w14:textId="77777777" w:rsidR="00C54A0C" w:rsidRPr="007D0AA8" w:rsidRDefault="00C54A0C" w:rsidP="00C54A0C">
            <w:pPr>
              <w:spacing w:after="0" w:line="240" w:lineRule="auto"/>
              <w:rPr>
                <w:rFonts w:ascii="Arial Narrow" w:hAnsi="Arial Narrow"/>
                <w:sz w:val="20"/>
                <w:szCs w:val="20"/>
              </w:rPr>
            </w:pPr>
          </w:p>
        </w:tc>
        <w:tc>
          <w:tcPr>
            <w:tcW w:w="1138" w:type="pct"/>
            <w:tcBorders>
              <w:left w:val="single" w:sz="4" w:space="0" w:color="auto"/>
              <w:right w:val="single" w:sz="4" w:space="0" w:color="auto"/>
            </w:tcBorders>
          </w:tcPr>
          <w:p w14:paraId="34587F9F" w14:textId="77777777" w:rsidR="00C54A0C" w:rsidRPr="007D0AA8" w:rsidRDefault="00C54A0C" w:rsidP="00331FB9">
            <w:pPr>
              <w:pStyle w:val="ListParagraph"/>
              <w:numPr>
                <w:ilvl w:val="0"/>
                <w:numId w:val="16"/>
              </w:numPr>
              <w:spacing w:after="0" w:line="240" w:lineRule="auto"/>
              <w:ind w:left="135" w:hanging="160"/>
              <w:rPr>
                <w:rFonts w:ascii="Arial Narrow" w:hAnsi="Arial Narrow"/>
                <w:sz w:val="20"/>
              </w:rPr>
            </w:pPr>
            <w:r w:rsidRPr="007D0AA8">
              <w:rPr>
                <w:rFonts w:ascii="Arial Narrow" w:hAnsi="Arial Narrow"/>
                <w:sz w:val="20"/>
              </w:rPr>
              <w:t xml:space="preserve">MM </w:t>
            </w:r>
          </w:p>
        </w:tc>
        <w:tc>
          <w:tcPr>
            <w:tcW w:w="1000" w:type="pct"/>
            <w:tcBorders>
              <w:left w:val="single" w:sz="4" w:space="0" w:color="auto"/>
              <w:right w:val="nil"/>
            </w:tcBorders>
            <w:shd w:val="clear" w:color="auto" w:fill="auto"/>
            <w:noWrap/>
          </w:tcPr>
          <w:p w14:paraId="4224D16D"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rPr>
              <w:t>21.6 months</w:t>
            </w:r>
          </w:p>
        </w:tc>
        <w:tc>
          <w:tcPr>
            <w:tcW w:w="1000" w:type="pct"/>
            <w:tcBorders>
              <w:left w:val="nil"/>
              <w:right w:val="nil"/>
            </w:tcBorders>
            <w:shd w:val="clear" w:color="auto" w:fill="auto"/>
            <w:noWrap/>
          </w:tcPr>
          <w:p w14:paraId="19831432" w14:textId="77777777" w:rsidR="00C54A0C" w:rsidRPr="007D0AA8" w:rsidRDefault="00C54A0C" w:rsidP="00C54A0C">
            <w:pPr>
              <w:spacing w:after="0" w:line="240" w:lineRule="auto"/>
              <w:jc w:val="right"/>
              <w:rPr>
                <w:rFonts w:ascii="Arial Narrow" w:hAnsi="Arial Narrow"/>
                <w:sz w:val="20"/>
                <w:szCs w:val="20"/>
              </w:rPr>
            </w:pPr>
          </w:p>
        </w:tc>
        <w:tc>
          <w:tcPr>
            <w:tcW w:w="1000" w:type="pct"/>
            <w:tcBorders>
              <w:left w:val="nil"/>
              <w:right w:val="single" w:sz="4" w:space="0" w:color="auto"/>
            </w:tcBorders>
          </w:tcPr>
          <w:p w14:paraId="54AA9496" w14:textId="77777777" w:rsidR="00C54A0C" w:rsidRPr="007D0AA8" w:rsidRDefault="00C54A0C" w:rsidP="00C54A0C">
            <w:pPr>
              <w:spacing w:after="0" w:line="240" w:lineRule="auto"/>
              <w:jc w:val="right"/>
              <w:rPr>
                <w:rFonts w:ascii="Arial Narrow" w:hAnsi="Arial Narrow"/>
                <w:sz w:val="20"/>
                <w:szCs w:val="20"/>
              </w:rPr>
            </w:pPr>
          </w:p>
        </w:tc>
      </w:tr>
      <w:tr w:rsidR="00C54A0C" w:rsidRPr="007D0AA8" w14:paraId="148648F9" w14:textId="77777777" w:rsidTr="00C54A0C">
        <w:tc>
          <w:tcPr>
            <w:tcW w:w="862" w:type="pct"/>
            <w:tcBorders>
              <w:left w:val="single" w:sz="4" w:space="0" w:color="auto"/>
              <w:right w:val="single" w:sz="4" w:space="0" w:color="auto"/>
            </w:tcBorders>
          </w:tcPr>
          <w:p w14:paraId="0979D37D" w14:textId="77777777" w:rsidR="00C54A0C" w:rsidRPr="007D0AA8" w:rsidRDefault="00C54A0C" w:rsidP="00C54A0C">
            <w:pPr>
              <w:spacing w:after="0" w:line="240" w:lineRule="auto"/>
              <w:rPr>
                <w:rFonts w:ascii="Arial Narrow" w:hAnsi="Arial Narrow"/>
                <w:sz w:val="20"/>
                <w:szCs w:val="20"/>
              </w:rPr>
            </w:pPr>
          </w:p>
        </w:tc>
        <w:tc>
          <w:tcPr>
            <w:tcW w:w="1138" w:type="pct"/>
            <w:tcBorders>
              <w:left w:val="single" w:sz="4" w:space="0" w:color="auto"/>
              <w:right w:val="single" w:sz="4" w:space="0" w:color="auto"/>
            </w:tcBorders>
          </w:tcPr>
          <w:p w14:paraId="21B30B8C" w14:textId="77777777" w:rsidR="00C54A0C" w:rsidRPr="007D0AA8" w:rsidRDefault="00C54A0C" w:rsidP="00331FB9">
            <w:pPr>
              <w:pStyle w:val="ListParagraph"/>
              <w:numPr>
                <w:ilvl w:val="0"/>
                <w:numId w:val="16"/>
              </w:numPr>
              <w:spacing w:after="0" w:line="240" w:lineRule="auto"/>
              <w:ind w:left="135" w:hanging="160"/>
              <w:rPr>
                <w:rFonts w:ascii="Arial Narrow" w:hAnsi="Arial Narrow"/>
                <w:sz w:val="20"/>
              </w:rPr>
            </w:pPr>
            <w:r w:rsidRPr="007D0AA8">
              <w:rPr>
                <w:rFonts w:ascii="Arial Narrow" w:hAnsi="Arial Narrow"/>
                <w:sz w:val="20"/>
              </w:rPr>
              <w:t>Indolent lymphoma</w:t>
            </w:r>
          </w:p>
        </w:tc>
        <w:tc>
          <w:tcPr>
            <w:tcW w:w="1000" w:type="pct"/>
            <w:tcBorders>
              <w:left w:val="single" w:sz="4" w:space="0" w:color="auto"/>
              <w:right w:val="nil"/>
            </w:tcBorders>
            <w:shd w:val="clear" w:color="auto" w:fill="auto"/>
            <w:noWrap/>
          </w:tcPr>
          <w:p w14:paraId="6CCEC8FB"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rPr>
              <w:t>22.3 months</w:t>
            </w:r>
          </w:p>
        </w:tc>
        <w:tc>
          <w:tcPr>
            <w:tcW w:w="1000" w:type="pct"/>
            <w:tcBorders>
              <w:left w:val="nil"/>
              <w:right w:val="nil"/>
            </w:tcBorders>
            <w:shd w:val="clear" w:color="auto" w:fill="auto"/>
            <w:noWrap/>
          </w:tcPr>
          <w:p w14:paraId="54013E31" w14:textId="77777777" w:rsidR="00C54A0C" w:rsidRPr="007D0AA8" w:rsidRDefault="00C54A0C" w:rsidP="00C54A0C">
            <w:pPr>
              <w:spacing w:after="0" w:line="240" w:lineRule="auto"/>
              <w:jc w:val="right"/>
              <w:rPr>
                <w:rFonts w:ascii="Arial Narrow" w:hAnsi="Arial Narrow"/>
                <w:sz w:val="20"/>
                <w:szCs w:val="20"/>
              </w:rPr>
            </w:pPr>
          </w:p>
        </w:tc>
        <w:tc>
          <w:tcPr>
            <w:tcW w:w="1000" w:type="pct"/>
            <w:tcBorders>
              <w:left w:val="nil"/>
              <w:right w:val="single" w:sz="4" w:space="0" w:color="auto"/>
            </w:tcBorders>
          </w:tcPr>
          <w:p w14:paraId="4EBBC520" w14:textId="77777777" w:rsidR="00C54A0C" w:rsidRPr="007D0AA8" w:rsidRDefault="00C54A0C" w:rsidP="00C54A0C">
            <w:pPr>
              <w:spacing w:after="0" w:line="240" w:lineRule="auto"/>
              <w:jc w:val="right"/>
              <w:rPr>
                <w:rFonts w:ascii="Arial Narrow" w:hAnsi="Arial Narrow"/>
                <w:sz w:val="20"/>
                <w:szCs w:val="20"/>
              </w:rPr>
            </w:pPr>
          </w:p>
        </w:tc>
      </w:tr>
      <w:tr w:rsidR="00C54A0C" w:rsidRPr="007D0AA8" w14:paraId="1A077018" w14:textId="77777777" w:rsidTr="00C54A0C">
        <w:tc>
          <w:tcPr>
            <w:tcW w:w="862" w:type="pct"/>
            <w:tcBorders>
              <w:left w:val="single" w:sz="4" w:space="0" w:color="auto"/>
              <w:right w:val="single" w:sz="4" w:space="0" w:color="auto"/>
            </w:tcBorders>
          </w:tcPr>
          <w:p w14:paraId="7EAA44F5" w14:textId="77777777" w:rsidR="00C54A0C" w:rsidRPr="007D0AA8" w:rsidRDefault="00C54A0C" w:rsidP="00C54A0C">
            <w:pPr>
              <w:spacing w:after="0" w:line="240" w:lineRule="auto"/>
              <w:rPr>
                <w:rFonts w:ascii="Arial Narrow" w:hAnsi="Arial Narrow"/>
                <w:sz w:val="20"/>
                <w:szCs w:val="20"/>
              </w:rPr>
            </w:pPr>
          </w:p>
        </w:tc>
        <w:tc>
          <w:tcPr>
            <w:tcW w:w="1138" w:type="pct"/>
            <w:tcBorders>
              <w:left w:val="single" w:sz="4" w:space="0" w:color="auto"/>
              <w:right w:val="single" w:sz="4" w:space="0" w:color="auto"/>
            </w:tcBorders>
          </w:tcPr>
          <w:p w14:paraId="6524564D" w14:textId="77777777" w:rsidR="00C54A0C" w:rsidRPr="007D0AA8" w:rsidRDefault="00C54A0C" w:rsidP="00331FB9">
            <w:pPr>
              <w:pStyle w:val="ListParagraph"/>
              <w:numPr>
                <w:ilvl w:val="0"/>
                <w:numId w:val="16"/>
              </w:numPr>
              <w:spacing w:after="0" w:line="240" w:lineRule="auto"/>
              <w:ind w:left="135" w:hanging="160"/>
              <w:rPr>
                <w:rFonts w:ascii="Arial Narrow" w:hAnsi="Arial Narrow"/>
                <w:sz w:val="20"/>
              </w:rPr>
            </w:pPr>
            <w:r w:rsidRPr="007D0AA8">
              <w:rPr>
                <w:rFonts w:ascii="Arial Narrow" w:hAnsi="Arial Narrow"/>
                <w:sz w:val="20"/>
              </w:rPr>
              <w:t>Other conditions (incl. other NHL)</w:t>
            </w:r>
          </w:p>
        </w:tc>
        <w:tc>
          <w:tcPr>
            <w:tcW w:w="1000" w:type="pct"/>
            <w:tcBorders>
              <w:left w:val="single" w:sz="4" w:space="0" w:color="auto"/>
              <w:right w:val="nil"/>
            </w:tcBorders>
            <w:shd w:val="clear" w:color="auto" w:fill="auto"/>
            <w:noWrap/>
          </w:tcPr>
          <w:p w14:paraId="3E0FA602"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rPr>
              <w:t>19.9 months</w:t>
            </w:r>
          </w:p>
        </w:tc>
        <w:tc>
          <w:tcPr>
            <w:tcW w:w="1000" w:type="pct"/>
            <w:tcBorders>
              <w:left w:val="nil"/>
              <w:right w:val="nil"/>
            </w:tcBorders>
            <w:shd w:val="clear" w:color="auto" w:fill="auto"/>
            <w:noWrap/>
          </w:tcPr>
          <w:p w14:paraId="796072FD" w14:textId="77777777" w:rsidR="00C54A0C" w:rsidRPr="007D0AA8" w:rsidRDefault="00C54A0C" w:rsidP="00C54A0C">
            <w:pPr>
              <w:spacing w:after="0" w:line="240" w:lineRule="auto"/>
              <w:jc w:val="right"/>
              <w:rPr>
                <w:rFonts w:ascii="Arial Narrow" w:hAnsi="Arial Narrow"/>
                <w:sz w:val="20"/>
                <w:szCs w:val="20"/>
              </w:rPr>
            </w:pPr>
          </w:p>
        </w:tc>
        <w:tc>
          <w:tcPr>
            <w:tcW w:w="1000" w:type="pct"/>
            <w:tcBorders>
              <w:left w:val="nil"/>
              <w:right w:val="single" w:sz="4" w:space="0" w:color="auto"/>
            </w:tcBorders>
          </w:tcPr>
          <w:p w14:paraId="04285311" w14:textId="77777777" w:rsidR="00C54A0C" w:rsidRPr="007D0AA8" w:rsidRDefault="00C54A0C" w:rsidP="00C54A0C">
            <w:pPr>
              <w:spacing w:after="0" w:line="240" w:lineRule="auto"/>
              <w:jc w:val="right"/>
              <w:rPr>
                <w:rFonts w:ascii="Arial Narrow" w:hAnsi="Arial Narrow"/>
                <w:sz w:val="20"/>
                <w:szCs w:val="20"/>
              </w:rPr>
            </w:pPr>
          </w:p>
        </w:tc>
      </w:tr>
      <w:tr w:rsidR="00C54A0C" w:rsidRPr="007D0AA8" w14:paraId="36ED5204" w14:textId="77777777" w:rsidTr="00C54A0C">
        <w:tc>
          <w:tcPr>
            <w:tcW w:w="862" w:type="pct"/>
            <w:tcBorders>
              <w:left w:val="single" w:sz="4" w:space="0" w:color="auto"/>
              <w:right w:val="single" w:sz="4" w:space="0" w:color="auto"/>
            </w:tcBorders>
          </w:tcPr>
          <w:p w14:paraId="2A64160C" w14:textId="77777777" w:rsidR="00C54A0C" w:rsidRPr="007D0AA8" w:rsidRDefault="00C54A0C" w:rsidP="00C54A0C">
            <w:pPr>
              <w:spacing w:after="0" w:line="240" w:lineRule="auto"/>
              <w:rPr>
                <w:rFonts w:ascii="Arial Narrow" w:hAnsi="Arial Narrow"/>
                <w:sz w:val="20"/>
                <w:szCs w:val="20"/>
              </w:rPr>
            </w:pPr>
          </w:p>
        </w:tc>
        <w:tc>
          <w:tcPr>
            <w:tcW w:w="1138" w:type="pct"/>
            <w:tcBorders>
              <w:left w:val="single" w:sz="4" w:space="0" w:color="auto"/>
              <w:right w:val="single" w:sz="4" w:space="0" w:color="auto"/>
            </w:tcBorders>
          </w:tcPr>
          <w:p w14:paraId="5CAE8F38" w14:textId="77777777" w:rsidR="00C54A0C" w:rsidRPr="007D0AA8" w:rsidRDefault="00C54A0C" w:rsidP="00C54A0C">
            <w:pPr>
              <w:spacing w:after="0" w:line="240" w:lineRule="auto"/>
              <w:rPr>
                <w:rFonts w:ascii="Arial Narrow" w:hAnsi="Arial Narrow"/>
                <w:sz w:val="20"/>
              </w:rPr>
            </w:pPr>
            <w:r w:rsidRPr="007D0AA8">
              <w:rPr>
                <w:rFonts w:ascii="Arial Narrow" w:hAnsi="Arial Narrow"/>
                <w:sz w:val="20"/>
              </w:rPr>
              <w:t xml:space="preserve">Mortality rate – overall </w:t>
            </w:r>
          </w:p>
        </w:tc>
        <w:tc>
          <w:tcPr>
            <w:tcW w:w="1000" w:type="pct"/>
            <w:tcBorders>
              <w:left w:val="single" w:sz="4" w:space="0" w:color="auto"/>
              <w:right w:val="nil"/>
            </w:tcBorders>
            <w:shd w:val="clear" w:color="auto" w:fill="auto"/>
            <w:noWrap/>
          </w:tcPr>
          <w:p w14:paraId="2FB92E69"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rPr>
              <w:t>9.3%</w:t>
            </w:r>
          </w:p>
        </w:tc>
        <w:tc>
          <w:tcPr>
            <w:tcW w:w="1000" w:type="pct"/>
            <w:tcBorders>
              <w:left w:val="nil"/>
              <w:right w:val="nil"/>
            </w:tcBorders>
            <w:shd w:val="clear" w:color="auto" w:fill="auto"/>
            <w:noWrap/>
          </w:tcPr>
          <w:p w14:paraId="6E364E87"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N/A</w:t>
            </w:r>
          </w:p>
        </w:tc>
        <w:tc>
          <w:tcPr>
            <w:tcW w:w="1000" w:type="pct"/>
            <w:tcBorders>
              <w:left w:val="nil"/>
              <w:right w:val="single" w:sz="4" w:space="0" w:color="auto"/>
            </w:tcBorders>
          </w:tcPr>
          <w:p w14:paraId="346F8FD3" w14:textId="77777777" w:rsidR="00C54A0C" w:rsidRPr="007D0AA8" w:rsidRDefault="00C54A0C" w:rsidP="00C54A0C">
            <w:pPr>
              <w:spacing w:after="0" w:line="240" w:lineRule="auto"/>
              <w:jc w:val="right"/>
              <w:rPr>
                <w:rFonts w:ascii="Arial Narrow" w:hAnsi="Arial Narrow"/>
                <w:sz w:val="20"/>
                <w:szCs w:val="20"/>
              </w:rPr>
            </w:pPr>
          </w:p>
        </w:tc>
      </w:tr>
      <w:tr w:rsidR="00C54A0C" w:rsidRPr="007D0AA8" w14:paraId="393FB309" w14:textId="77777777" w:rsidTr="00C54A0C">
        <w:tc>
          <w:tcPr>
            <w:tcW w:w="862" w:type="pct"/>
            <w:tcBorders>
              <w:left w:val="single" w:sz="4" w:space="0" w:color="auto"/>
              <w:right w:val="single" w:sz="4" w:space="0" w:color="auto"/>
            </w:tcBorders>
          </w:tcPr>
          <w:p w14:paraId="49703E6A" w14:textId="77777777" w:rsidR="00C54A0C" w:rsidRPr="007D0AA8" w:rsidRDefault="00C54A0C" w:rsidP="00C54A0C">
            <w:pPr>
              <w:spacing w:after="0" w:line="240" w:lineRule="auto"/>
              <w:rPr>
                <w:rFonts w:ascii="Arial Narrow" w:hAnsi="Arial Narrow"/>
                <w:sz w:val="20"/>
                <w:szCs w:val="20"/>
              </w:rPr>
            </w:pPr>
          </w:p>
        </w:tc>
        <w:tc>
          <w:tcPr>
            <w:tcW w:w="1138" w:type="pct"/>
            <w:tcBorders>
              <w:left w:val="single" w:sz="4" w:space="0" w:color="auto"/>
              <w:right w:val="single" w:sz="4" w:space="0" w:color="auto"/>
            </w:tcBorders>
          </w:tcPr>
          <w:p w14:paraId="721755FA" w14:textId="77777777" w:rsidR="00C54A0C" w:rsidRPr="007D0AA8" w:rsidRDefault="00C54A0C" w:rsidP="00331FB9">
            <w:pPr>
              <w:pStyle w:val="ListParagraph"/>
              <w:numPr>
                <w:ilvl w:val="0"/>
                <w:numId w:val="16"/>
              </w:numPr>
              <w:spacing w:after="0" w:line="240" w:lineRule="auto"/>
              <w:ind w:left="135" w:hanging="160"/>
              <w:rPr>
                <w:rFonts w:ascii="Arial Narrow" w:hAnsi="Arial Narrow"/>
                <w:sz w:val="20"/>
              </w:rPr>
            </w:pPr>
            <w:r w:rsidRPr="007D0AA8">
              <w:rPr>
                <w:rFonts w:ascii="Arial Narrow" w:hAnsi="Arial Narrow"/>
                <w:sz w:val="20"/>
              </w:rPr>
              <w:t>CLL</w:t>
            </w:r>
          </w:p>
        </w:tc>
        <w:tc>
          <w:tcPr>
            <w:tcW w:w="1000" w:type="pct"/>
            <w:tcBorders>
              <w:left w:val="single" w:sz="4" w:space="0" w:color="auto"/>
              <w:right w:val="nil"/>
            </w:tcBorders>
            <w:shd w:val="clear" w:color="auto" w:fill="auto"/>
            <w:noWrap/>
          </w:tcPr>
          <w:p w14:paraId="044A4020"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rPr>
              <w:t xml:space="preserve">12.6% </w:t>
            </w:r>
          </w:p>
        </w:tc>
        <w:tc>
          <w:tcPr>
            <w:tcW w:w="1000" w:type="pct"/>
            <w:tcBorders>
              <w:left w:val="nil"/>
              <w:right w:val="nil"/>
            </w:tcBorders>
            <w:shd w:val="clear" w:color="auto" w:fill="auto"/>
            <w:noWrap/>
          </w:tcPr>
          <w:p w14:paraId="2F8AB91C" w14:textId="77777777" w:rsidR="00C54A0C" w:rsidRPr="007D0AA8" w:rsidRDefault="00C54A0C" w:rsidP="00C54A0C">
            <w:pPr>
              <w:spacing w:after="0" w:line="240" w:lineRule="auto"/>
              <w:jc w:val="right"/>
              <w:rPr>
                <w:rFonts w:ascii="Arial Narrow" w:hAnsi="Arial Narrow"/>
                <w:sz w:val="20"/>
                <w:szCs w:val="20"/>
              </w:rPr>
            </w:pPr>
          </w:p>
        </w:tc>
        <w:tc>
          <w:tcPr>
            <w:tcW w:w="1000" w:type="pct"/>
            <w:tcBorders>
              <w:left w:val="nil"/>
              <w:right w:val="single" w:sz="4" w:space="0" w:color="auto"/>
            </w:tcBorders>
          </w:tcPr>
          <w:p w14:paraId="77EC2476" w14:textId="77777777" w:rsidR="00C54A0C" w:rsidRPr="007D0AA8" w:rsidRDefault="00C54A0C" w:rsidP="00C54A0C">
            <w:pPr>
              <w:spacing w:after="0" w:line="240" w:lineRule="auto"/>
              <w:jc w:val="right"/>
              <w:rPr>
                <w:rFonts w:ascii="Arial Narrow" w:hAnsi="Arial Narrow"/>
                <w:sz w:val="20"/>
                <w:szCs w:val="20"/>
              </w:rPr>
            </w:pPr>
          </w:p>
        </w:tc>
      </w:tr>
      <w:tr w:rsidR="00C54A0C" w:rsidRPr="007D0AA8" w14:paraId="26F356DC" w14:textId="77777777" w:rsidTr="00C54A0C">
        <w:tc>
          <w:tcPr>
            <w:tcW w:w="862" w:type="pct"/>
            <w:tcBorders>
              <w:left w:val="single" w:sz="4" w:space="0" w:color="auto"/>
              <w:right w:val="single" w:sz="4" w:space="0" w:color="auto"/>
            </w:tcBorders>
          </w:tcPr>
          <w:p w14:paraId="5BC436F6" w14:textId="77777777" w:rsidR="00C54A0C" w:rsidRPr="007D0AA8" w:rsidRDefault="00C54A0C" w:rsidP="00C54A0C">
            <w:pPr>
              <w:spacing w:after="0" w:line="240" w:lineRule="auto"/>
              <w:rPr>
                <w:rFonts w:ascii="Arial Narrow" w:hAnsi="Arial Narrow"/>
                <w:sz w:val="20"/>
                <w:szCs w:val="20"/>
              </w:rPr>
            </w:pPr>
          </w:p>
        </w:tc>
        <w:tc>
          <w:tcPr>
            <w:tcW w:w="1138" w:type="pct"/>
            <w:tcBorders>
              <w:left w:val="single" w:sz="4" w:space="0" w:color="auto"/>
              <w:right w:val="single" w:sz="4" w:space="0" w:color="auto"/>
            </w:tcBorders>
          </w:tcPr>
          <w:p w14:paraId="117D5B47" w14:textId="77777777" w:rsidR="00C54A0C" w:rsidRPr="007D0AA8" w:rsidRDefault="00C54A0C" w:rsidP="00331FB9">
            <w:pPr>
              <w:pStyle w:val="ListParagraph"/>
              <w:numPr>
                <w:ilvl w:val="0"/>
                <w:numId w:val="16"/>
              </w:numPr>
              <w:spacing w:after="0" w:line="240" w:lineRule="auto"/>
              <w:ind w:left="135" w:hanging="160"/>
              <w:rPr>
                <w:rFonts w:ascii="Arial Narrow" w:hAnsi="Arial Narrow"/>
                <w:sz w:val="20"/>
              </w:rPr>
            </w:pPr>
            <w:r w:rsidRPr="007D0AA8">
              <w:rPr>
                <w:rFonts w:ascii="Arial Narrow" w:hAnsi="Arial Narrow"/>
                <w:sz w:val="20"/>
              </w:rPr>
              <w:t xml:space="preserve">MM </w:t>
            </w:r>
          </w:p>
        </w:tc>
        <w:tc>
          <w:tcPr>
            <w:tcW w:w="1000" w:type="pct"/>
            <w:tcBorders>
              <w:left w:val="single" w:sz="4" w:space="0" w:color="auto"/>
              <w:right w:val="nil"/>
            </w:tcBorders>
            <w:shd w:val="clear" w:color="auto" w:fill="auto"/>
            <w:noWrap/>
          </w:tcPr>
          <w:p w14:paraId="11237974"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rPr>
              <w:t>14.0%</w:t>
            </w:r>
          </w:p>
        </w:tc>
        <w:tc>
          <w:tcPr>
            <w:tcW w:w="1000" w:type="pct"/>
            <w:tcBorders>
              <w:left w:val="nil"/>
              <w:right w:val="nil"/>
            </w:tcBorders>
            <w:shd w:val="clear" w:color="auto" w:fill="auto"/>
            <w:noWrap/>
          </w:tcPr>
          <w:p w14:paraId="18F715A2" w14:textId="77777777" w:rsidR="00C54A0C" w:rsidRPr="007D0AA8" w:rsidRDefault="00C54A0C" w:rsidP="00C54A0C">
            <w:pPr>
              <w:spacing w:after="0" w:line="240" w:lineRule="auto"/>
              <w:jc w:val="right"/>
              <w:rPr>
                <w:rFonts w:ascii="Arial Narrow" w:hAnsi="Arial Narrow"/>
                <w:sz w:val="20"/>
                <w:szCs w:val="20"/>
              </w:rPr>
            </w:pPr>
          </w:p>
        </w:tc>
        <w:tc>
          <w:tcPr>
            <w:tcW w:w="1000" w:type="pct"/>
            <w:tcBorders>
              <w:left w:val="nil"/>
              <w:right w:val="single" w:sz="4" w:space="0" w:color="auto"/>
            </w:tcBorders>
          </w:tcPr>
          <w:p w14:paraId="5A05AE0F" w14:textId="77777777" w:rsidR="00C54A0C" w:rsidRPr="007D0AA8" w:rsidRDefault="00C54A0C" w:rsidP="00C54A0C">
            <w:pPr>
              <w:spacing w:after="0" w:line="240" w:lineRule="auto"/>
              <w:jc w:val="right"/>
              <w:rPr>
                <w:rFonts w:ascii="Arial Narrow" w:hAnsi="Arial Narrow"/>
                <w:sz w:val="20"/>
                <w:szCs w:val="20"/>
              </w:rPr>
            </w:pPr>
          </w:p>
        </w:tc>
      </w:tr>
      <w:tr w:rsidR="00C54A0C" w:rsidRPr="007D0AA8" w14:paraId="62A3B625" w14:textId="77777777" w:rsidTr="00C54A0C">
        <w:tc>
          <w:tcPr>
            <w:tcW w:w="862" w:type="pct"/>
            <w:tcBorders>
              <w:left w:val="single" w:sz="4" w:space="0" w:color="auto"/>
              <w:right w:val="single" w:sz="4" w:space="0" w:color="auto"/>
            </w:tcBorders>
          </w:tcPr>
          <w:p w14:paraId="6057EE7E" w14:textId="77777777" w:rsidR="00C54A0C" w:rsidRPr="007D0AA8" w:rsidRDefault="00C54A0C" w:rsidP="00C54A0C">
            <w:pPr>
              <w:spacing w:after="0" w:line="240" w:lineRule="auto"/>
              <w:rPr>
                <w:rFonts w:ascii="Arial Narrow" w:hAnsi="Arial Narrow"/>
                <w:sz w:val="20"/>
                <w:szCs w:val="20"/>
              </w:rPr>
            </w:pPr>
          </w:p>
        </w:tc>
        <w:tc>
          <w:tcPr>
            <w:tcW w:w="1138" w:type="pct"/>
            <w:tcBorders>
              <w:left w:val="single" w:sz="4" w:space="0" w:color="auto"/>
              <w:right w:val="single" w:sz="4" w:space="0" w:color="auto"/>
            </w:tcBorders>
          </w:tcPr>
          <w:p w14:paraId="286536EF" w14:textId="77777777" w:rsidR="00C54A0C" w:rsidRPr="007D0AA8" w:rsidRDefault="00C54A0C" w:rsidP="00331FB9">
            <w:pPr>
              <w:pStyle w:val="ListParagraph"/>
              <w:numPr>
                <w:ilvl w:val="0"/>
                <w:numId w:val="16"/>
              </w:numPr>
              <w:spacing w:after="0" w:line="240" w:lineRule="auto"/>
              <w:ind w:left="135" w:hanging="160"/>
              <w:rPr>
                <w:rFonts w:ascii="Arial Narrow" w:hAnsi="Arial Narrow"/>
                <w:sz w:val="20"/>
              </w:rPr>
            </w:pPr>
            <w:r w:rsidRPr="007D0AA8">
              <w:rPr>
                <w:rFonts w:ascii="Arial Narrow" w:hAnsi="Arial Narrow"/>
                <w:sz w:val="20"/>
              </w:rPr>
              <w:t>Indolent lymphoma</w:t>
            </w:r>
          </w:p>
        </w:tc>
        <w:tc>
          <w:tcPr>
            <w:tcW w:w="1000" w:type="pct"/>
            <w:tcBorders>
              <w:left w:val="single" w:sz="4" w:space="0" w:color="auto"/>
              <w:right w:val="nil"/>
            </w:tcBorders>
            <w:shd w:val="clear" w:color="auto" w:fill="auto"/>
            <w:noWrap/>
          </w:tcPr>
          <w:p w14:paraId="4DF93C86"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rPr>
              <w:t>6.5%</w:t>
            </w:r>
          </w:p>
        </w:tc>
        <w:tc>
          <w:tcPr>
            <w:tcW w:w="1000" w:type="pct"/>
            <w:tcBorders>
              <w:left w:val="nil"/>
              <w:right w:val="nil"/>
            </w:tcBorders>
            <w:shd w:val="clear" w:color="auto" w:fill="auto"/>
            <w:noWrap/>
          </w:tcPr>
          <w:p w14:paraId="6D93C861" w14:textId="77777777" w:rsidR="00C54A0C" w:rsidRPr="007D0AA8" w:rsidRDefault="00C54A0C" w:rsidP="00C54A0C">
            <w:pPr>
              <w:spacing w:after="0" w:line="240" w:lineRule="auto"/>
              <w:jc w:val="right"/>
              <w:rPr>
                <w:rFonts w:ascii="Arial Narrow" w:hAnsi="Arial Narrow"/>
                <w:sz w:val="20"/>
                <w:szCs w:val="20"/>
              </w:rPr>
            </w:pPr>
          </w:p>
        </w:tc>
        <w:tc>
          <w:tcPr>
            <w:tcW w:w="1000" w:type="pct"/>
            <w:tcBorders>
              <w:left w:val="nil"/>
              <w:right w:val="single" w:sz="4" w:space="0" w:color="auto"/>
            </w:tcBorders>
          </w:tcPr>
          <w:p w14:paraId="597B1A10" w14:textId="77777777" w:rsidR="00C54A0C" w:rsidRPr="007D0AA8" w:rsidRDefault="00C54A0C" w:rsidP="00C54A0C">
            <w:pPr>
              <w:spacing w:after="0" w:line="240" w:lineRule="auto"/>
              <w:jc w:val="right"/>
              <w:rPr>
                <w:rFonts w:ascii="Arial Narrow" w:hAnsi="Arial Narrow"/>
                <w:sz w:val="20"/>
                <w:szCs w:val="20"/>
              </w:rPr>
            </w:pPr>
          </w:p>
        </w:tc>
      </w:tr>
      <w:tr w:rsidR="00C54A0C" w:rsidRPr="007D0AA8" w14:paraId="06C71AD3" w14:textId="77777777" w:rsidTr="00C54A0C">
        <w:tc>
          <w:tcPr>
            <w:tcW w:w="862" w:type="pct"/>
            <w:tcBorders>
              <w:left w:val="single" w:sz="4" w:space="0" w:color="auto"/>
              <w:right w:val="single" w:sz="4" w:space="0" w:color="auto"/>
            </w:tcBorders>
          </w:tcPr>
          <w:p w14:paraId="3D8F9D95" w14:textId="77777777" w:rsidR="00C54A0C" w:rsidRPr="007D0AA8" w:rsidRDefault="00C54A0C" w:rsidP="00C54A0C">
            <w:pPr>
              <w:spacing w:after="0" w:line="240" w:lineRule="auto"/>
              <w:rPr>
                <w:rFonts w:ascii="Arial Narrow" w:hAnsi="Arial Narrow"/>
                <w:sz w:val="20"/>
                <w:szCs w:val="20"/>
              </w:rPr>
            </w:pPr>
          </w:p>
        </w:tc>
        <w:tc>
          <w:tcPr>
            <w:tcW w:w="1138" w:type="pct"/>
            <w:tcBorders>
              <w:left w:val="single" w:sz="4" w:space="0" w:color="auto"/>
              <w:right w:val="single" w:sz="4" w:space="0" w:color="auto"/>
            </w:tcBorders>
          </w:tcPr>
          <w:p w14:paraId="499D256F" w14:textId="77777777" w:rsidR="00C54A0C" w:rsidRPr="007D0AA8" w:rsidRDefault="00C54A0C" w:rsidP="00331FB9">
            <w:pPr>
              <w:pStyle w:val="ListParagraph"/>
              <w:numPr>
                <w:ilvl w:val="0"/>
                <w:numId w:val="16"/>
              </w:numPr>
              <w:spacing w:after="0" w:line="240" w:lineRule="auto"/>
              <w:ind w:left="135" w:hanging="160"/>
              <w:rPr>
                <w:rFonts w:ascii="Arial Narrow" w:hAnsi="Arial Narrow"/>
                <w:sz w:val="20"/>
              </w:rPr>
            </w:pPr>
            <w:r w:rsidRPr="007D0AA8">
              <w:rPr>
                <w:rFonts w:ascii="Arial Narrow" w:hAnsi="Arial Narrow"/>
                <w:sz w:val="20"/>
              </w:rPr>
              <w:t>Other conditions (incl. other NHL)</w:t>
            </w:r>
          </w:p>
        </w:tc>
        <w:tc>
          <w:tcPr>
            <w:tcW w:w="1000" w:type="pct"/>
            <w:tcBorders>
              <w:left w:val="single" w:sz="4" w:space="0" w:color="auto"/>
              <w:right w:val="nil"/>
            </w:tcBorders>
            <w:shd w:val="clear" w:color="auto" w:fill="auto"/>
            <w:noWrap/>
          </w:tcPr>
          <w:p w14:paraId="2CB1F808"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rPr>
              <w:t>1.8%</w:t>
            </w:r>
          </w:p>
        </w:tc>
        <w:tc>
          <w:tcPr>
            <w:tcW w:w="1000" w:type="pct"/>
            <w:tcBorders>
              <w:left w:val="nil"/>
              <w:right w:val="nil"/>
            </w:tcBorders>
            <w:shd w:val="clear" w:color="auto" w:fill="auto"/>
            <w:noWrap/>
          </w:tcPr>
          <w:p w14:paraId="4285032D" w14:textId="77777777" w:rsidR="00C54A0C" w:rsidRPr="007D0AA8" w:rsidRDefault="00C54A0C" w:rsidP="00C54A0C">
            <w:pPr>
              <w:spacing w:after="0" w:line="240" w:lineRule="auto"/>
              <w:jc w:val="right"/>
              <w:rPr>
                <w:rFonts w:ascii="Arial Narrow" w:hAnsi="Arial Narrow"/>
                <w:sz w:val="20"/>
                <w:szCs w:val="20"/>
              </w:rPr>
            </w:pPr>
          </w:p>
        </w:tc>
        <w:tc>
          <w:tcPr>
            <w:tcW w:w="1000" w:type="pct"/>
            <w:tcBorders>
              <w:left w:val="nil"/>
              <w:right w:val="single" w:sz="4" w:space="0" w:color="auto"/>
            </w:tcBorders>
          </w:tcPr>
          <w:p w14:paraId="03D7BF00" w14:textId="77777777" w:rsidR="00C54A0C" w:rsidRPr="007D0AA8" w:rsidRDefault="00C54A0C" w:rsidP="00C54A0C">
            <w:pPr>
              <w:spacing w:after="0" w:line="240" w:lineRule="auto"/>
              <w:jc w:val="right"/>
              <w:rPr>
                <w:rFonts w:ascii="Arial Narrow" w:hAnsi="Arial Narrow"/>
                <w:sz w:val="20"/>
                <w:szCs w:val="20"/>
              </w:rPr>
            </w:pPr>
          </w:p>
        </w:tc>
      </w:tr>
      <w:tr w:rsidR="00C54A0C" w:rsidRPr="007D0AA8" w14:paraId="5F9FC2FD" w14:textId="77777777" w:rsidTr="00C54A0C">
        <w:tc>
          <w:tcPr>
            <w:tcW w:w="862" w:type="pct"/>
            <w:tcBorders>
              <w:left w:val="single" w:sz="4" w:space="0" w:color="auto"/>
              <w:bottom w:val="single" w:sz="4" w:space="0" w:color="auto"/>
              <w:right w:val="single" w:sz="4" w:space="0" w:color="auto"/>
            </w:tcBorders>
          </w:tcPr>
          <w:p w14:paraId="1F5CD07E" w14:textId="77777777" w:rsidR="00C54A0C" w:rsidRPr="007D0AA8" w:rsidRDefault="00C54A0C" w:rsidP="00C54A0C">
            <w:pPr>
              <w:spacing w:after="0" w:line="240" w:lineRule="auto"/>
              <w:rPr>
                <w:rFonts w:ascii="Arial Narrow" w:hAnsi="Arial Narrow"/>
                <w:sz w:val="20"/>
                <w:szCs w:val="20"/>
              </w:rPr>
            </w:pPr>
          </w:p>
        </w:tc>
        <w:tc>
          <w:tcPr>
            <w:tcW w:w="1138" w:type="pct"/>
            <w:tcBorders>
              <w:left w:val="single" w:sz="4" w:space="0" w:color="auto"/>
              <w:bottom w:val="single" w:sz="4" w:space="0" w:color="auto"/>
              <w:right w:val="single" w:sz="4" w:space="0" w:color="auto"/>
            </w:tcBorders>
          </w:tcPr>
          <w:p w14:paraId="46B74252" w14:textId="77777777" w:rsidR="00C54A0C" w:rsidRPr="007D0AA8" w:rsidRDefault="00C54A0C" w:rsidP="00C54A0C">
            <w:pPr>
              <w:spacing w:after="0" w:line="240" w:lineRule="auto"/>
              <w:rPr>
                <w:rFonts w:ascii="Arial Narrow" w:hAnsi="Arial Narrow"/>
                <w:sz w:val="20"/>
              </w:rPr>
            </w:pPr>
            <w:r w:rsidRPr="007D0AA8">
              <w:rPr>
                <w:rFonts w:ascii="Arial Narrow" w:hAnsi="Arial Narrow"/>
                <w:sz w:val="20"/>
              </w:rPr>
              <w:t>Mean survival from enrolment</w:t>
            </w:r>
            <w:r w:rsidRPr="007D0AA8">
              <w:rPr>
                <w:rFonts w:ascii="Arial Narrow" w:hAnsi="Arial Narrow"/>
                <w:sz w:val="20"/>
              </w:rPr>
              <w:br/>
              <w:t>(no differences [p=0.104] between malignancies)</w:t>
            </w:r>
          </w:p>
        </w:tc>
        <w:tc>
          <w:tcPr>
            <w:tcW w:w="1000" w:type="pct"/>
            <w:tcBorders>
              <w:left w:val="single" w:sz="4" w:space="0" w:color="auto"/>
              <w:bottom w:val="single" w:sz="4" w:space="0" w:color="auto"/>
              <w:right w:val="nil"/>
            </w:tcBorders>
            <w:shd w:val="clear" w:color="auto" w:fill="auto"/>
            <w:noWrap/>
          </w:tcPr>
          <w:p w14:paraId="7F7827BD"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23 months</w:t>
            </w:r>
          </w:p>
        </w:tc>
        <w:tc>
          <w:tcPr>
            <w:tcW w:w="1000" w:type="pct"/>
            <w:tcBorders>
              <w:left w:val="nil"/>
              <w:bottom w:val="single" w:sz="4" w:space="0" w:color="auto"/>
              <w:right w:val="nil"/>
            </w:tcBorders>
            <w:shd w:val="clear" w:color="auto" w:fill="auto"/>
            <w:noWrap/>
          </w:tcPr>
          <w:p w14:paraId="3F9989B4"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N/A</w:t>
            </w:r>
          </w:p>
        </w:tc>
        <w:tc>
          <w:tcPr>
            <w:tcW w:w="1000" w:type="pct"/>
            <w:tcBorders>
              <w:left w:val="nil"/>
              <w:bottom w:val="single" w:sz="4" w:space="0" w:color="auto"/>
              <w:right w:val="single" w:sz="4" w:space="0" w:color="auto"/>
            </w:tcBorders>
          </w:tcPr>
          <w:p w14:paraId="0044849A" w14:textId="77777777" w:rsidR="00C54A0C" w:rsidRPr="007D0AA8" w:rsidRDefault="00C54A0C" w:rsidP="00C54A0C">
            <w:pPr>
              <w:spacing w:after="0" w:line="240" w:lineRule="auto"/>
              <w:jc w:val="right"/>
              <w:rPr>
                <w:rFonts w:ascii="Arial Narrow" w:hAnsi="Arial Narrow"/>
                <w:sz w:val="20"/>
                <w:szCs w:val="20"/>
              </w:rPr>
            </w:pPr>
          </w:p>
        </w:tc>
      </w:tr>
    </w:tbl>
    <w:p w14:paraId="68C24888" w14:textId="7CD0F824" w:rsidR="00C54A0C" w:rsidRPr="007D0AA8" w:rsidRDefault="00C54A0C" w:rsidP="00331FB9">
      <w:pPr>
        <w:pStyle w:val="Tablenotes1"/>
      </w:pPr>
      <w:r w:rsidRPr="007D0AA8">
        <w:t xml:space="preserve">Notes: </w:t>
      </w:r>
      <w:r w:rsidRPr="007D0AA8">
        <w:rPr>
          <w:u w:val="single"/>
        </w:rPr>
        <w:t>Ammann (2016)</w:t>
      </w:r>
      <w:r w:rsidRPr="007D0AA8">
        <w:t xml:space="preserve"> – The study included patients receiving IVIg, SCIg or IMIg but proportions of each were not reported; </w:t>
      </w:r>
      <w:r w:rsidRPr="007D0AA8">
        <w:tab/>
      </w:r>
      <w:r w:rsidRPr="007D0AA8">
        <w:br/>
        <w:t xml:space="preserve">BMT=bone marrow transplant; CLL=chronic lymphocytic leukaemia; </w:t>
      </w:r>
      <w:r w:rsidR="00DA4AFC">
        <w:t xml:space="preserve">HLA=human leukocyte antigen; </w:t>
      </w:r>
      <w:r w:rsidRPr="007D0AA8">
        <w:t>HSCT=haematopoietic stem cell transplant; IVIg=intravenous immunoglobulin; MM=multiple myeloma; mo=months;</w:t>
      </w:r>
      <w:r w:rsidR="00DA4AFC">
        <w:t xml:space="preserve"> NHL=non-Hodgkin lymphoma;</w:t>
      </w:r>
      <w:r w:rsidRPr="007D0AA8">
        <w:t xml:space="preserve"> yr=year.</w:t>
      </w:r>
    </w:p>
    <w:p w14:paraId="00658A96" w14:textId="74F7BB6E" w:rsidR="00C54A0C" w:rsidRPr="007D0AA8" w:rsidRDefault="00C54A0C" w:rsidP="00C54A0C">
      <w:r w:rsidRPr="007D0AA8">
        <w:t xml:space="preserve">The highest level of evidence available was a single </w:t>
      </w:r>
      <w:r w:rsidR="00D67A6E">
        <w:t xml:space="preserve">American </w:t>
      </w:r>
      <w:r w:rsidR="00D31381">
        <w:t>RCT</w:t>
      </w:r>
      <w:r w:rsidRPr="007D0AA8">
        <w:t xml:space="preserve"> </w:t>
      </w:r>
      <w:r w:rsidR="00D31381">
        <w:t xml:space="preserve">from 1990 </w:t>
      </w:r>
      <w:r w:rsidR="00896BE2">
        <w:fldChar w:fldCharType="begin">
          <w:fldData xml:space="preserve">PEVuZE5vdGU+PENpdGU+PEF1dGhvcj5TdWxsaXZhbjwvQXV0aG9yPjxZZWFyPjE5OTA8L1llYXI+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</w:fldData>
        </w:fldChar>
      </w:r>
      <w:r w:rsidR="00896BE2">
        <w:instrText xml:space="preserve"> ADDIN EN.CITE </w:instrText>
      </w:r>
      <w:r w:rsidR="00896BE2">
        <w:fldChar w:fldCharType="begin">
          <w:fldData xml:space="preserve">PEVuZE5vdGU+PENpdGU+PEF1dGhvcj5TdWxsaXZhbjwvQXV0aG9yPjxZZWFyPjE5OTA8L1llYXI+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</w:fldData>
        </w:fldChar>
      </w:r>
      <w:r w:rsidR="00896BE2">
        <w:instrText xml:space="preserve"> ADDIN EN.CITE.DATA </w:instrText>
      </w:r>
      <w:r w:rsidR="00896BE2">
        <w:fldChar w:fldCharType="end"/>
      </w:r>
      <w:r w:rsidR="00896BE2">
        <w:fldChar w:fldCharType="separate"/>
      </w:r>
      <w:r w:rsidR="00896BE2">
        <w:rPr>
          <w:noProof/>
        </w:rPr>
        <w:t>(</w:t>
      </w:r>
      <w:hyperlink w:anchor="_ENREF_48" w:tooltip="Sullivan, 1990 #67" w:history="1">
        <w:r w:rsidR="00BB0145">
          <w:rPr>
            <w:noProof/>
          </w:rPr>
          <w:t>Sullivan et al. 1990</w:t>
        </w:r>
      </w:hyperlink>
      <w:r w:rsidR="00896BE2">
        <w:rPr>
          <w:noProof/>
        </w:rPr>
        <w:t>)</w:t>
      </w:r>
      <w:r w:rsidR="00896BE2">
        <w:fldChar w:fldCharType="end"/>
      </w:r>
      <w:r w:rsidRPr="007D0AA8">
        <w:t xml:space="preserve">. The authors reported that survival </w:t>
      </w:r>
      <w:r w:rsidR="00AE1371">
        <w:t xml:space="preserve">at two years </w:t>
      </w:r>
      <w:r w:rsidRPr="007D0AA8">
        <w:t>did not significantly differ between those who received IVIg and those who did not. In subgroup analyses, they reported that there was a higher rate of non-relapse mortality in patients older than 20 years old, who received HLA-identical bone marrow transplantation, in those who received IVIg (30%) than those did not receive IVIg (48%; p=0.023). Given that these results represent patients who received treatment in the late 1980s</w:t>
      </w:r>
      <w:r w:rsidR="00D31381">
        <w:t>,</w:t>
      </w:r>
      <w:r w:rsidRPr="007D0AA8">
        <w:t xml:space="preserve"> it is uncertain whether this remains relevant to patients receiving </w:t>
      </w:r>
      <w:r w:rsidR="00D31381">
        <w:t>present day</w:t>
      </w:r>
      <w:r w:rsidRPr="007D0AA8">
        <w:t xml:space="preserve"> standard of care for their underlying disease. </w:t>
      </w:r>
    </w:p>
    <w:p w14:paraId="528255A9" w14:textId="77C644FF" w:rsidR="00C54A0C" w:rsidRPr="007D0AA8" w:rsidRDefault="00C54A0C" w:rsidP="00C54A0C">
      <w:pPr>
        <w:rPr>
          <w:rFonts w:asciiTheme="minorHAnsi" w:hAnsiTheme="minorHAnsi" w:cstheme="minorHAnsi"/>
        </w:rPr>
      </w:pPr>
      <w:r w:rsidRPr="007D0AA8">
        <w:rPr>
          <w:rFonts w:asciiTheme="minorHAnsi" w:hAnsiTheme="minorHAnsi" w:cstheme="minorHAnsi"/>
        </w:rPr>
        <w:t>The</w:t>
      </w:r>
      <w:r w:rsidR="00AE1371">
        <w:rPr>
          <w:rFonts w:asciiTheme="minorHAnsi" w:hAnsiTheme="minorHAnsi" w:cstheme="minorHAnsi"/>
        </w:rPr>
        <w:t xml:space="preserve"> US</w:t>
      </w:r>
      <w:r w:rsidRPr="007D0AA8">
        <w:rPr>
          <w:rFonts w:asciiTheme="minorHAnsi" w:hAnsiTheme="minorHAnsi" w:cstheme="minorHAnsi"/>
        </w:rPr>
        <w:t xml:space="preserve"> registry study </w:t>
      </w:r>
      <w:r w:rsidR="00AE1371">
        <w:rPr>
          <w:rFonts w:asciiTheme="minorHAnsi" w:hAnsiTheme="minorHAnsi" w:cstheme="minorHAnsi"/>
        </w:rPr>
        <w:t xml:space="preserve">in over 10,000 CLL and MM patients </w:t>
      </w:r>
      <w:r w:rsidR="00896BE2">
        <w:rPr>
          <w:rFonts w:asciiTheme="minorHAnsi" w:hAnsiTheme="minorHAnsi" w:cstheme="minorHAnsi"/>
        </w:rPr>
        <w:fldChar w:fldCharType="begin">
          <w:fldData xml:space="preserve">PEVuZE5vdGU+PENpdGU+PEF1dGhvcj5BbW1hbm48L0F1dGhvcj48WWVhcj4yMDE2PC9ZZWFyPjxS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</w:fldData>
        </w:fldChar>
      </w:r>
      <w:r w:rsidR="00896BE2">
        <w:rPr>
          <w:rFonts w:asciiTheme="minorHAnsi" w:hAnsiTheme="minorHAnsi" w:cstheme="minorHAnsi"/>
        </w:rPr>
        <w:instrText xml:space="preserve"> ADDIN EN.CITE </w:instrText>
      </w:r>
      <w:r w:rsidR="00896BE2">
        <w:rPr>
          <w:rFonts w:asciiTheme="minorHAnsi" w:hAnsiTheme="minorHAnsi" w:cstheme="minorHAnsi"/>
        </w:rPr>
        <w:fldChar w:fldCharType="begin">
          <w:fldData xml:space="preserve">PEVuZE5vdGU+PENpdGU+PEF1dGhvcj5BbW1hbm48L0F1dGhvcj48WWVhcj4yMDE2PC9ZZWFyPjxS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</w:fldData>
        </w:fldChar>
      </w:r>
      <w:r w:rsidR="00896BE2">
        <w:rPr>
          <w:rFonts w:asciiTheme="minorHAnsi" w:hAnsiTheme="minorHAnsi" w:cstheme="minorHAnsi"/>
        </w:rPr>
        <w:instrText xml:space="preserve"> ADDIN EN.CITE.DATA </w:instrText>
      </w:r>
      <w:r w:rsidR="00896BE2">
        <w:rPr>
          <w:rFonts w:asciiTheme="minorHAnsi" w:hAnsiTheme="minorHAnsi" w:cstheme="minorHAnsi"/>
        </w:rPr>
      </w:r>
      <w:r w:rsidR="00896BE2">
        <w:rPr>
          <w:rFonts w:asciiTheme="minorHAnsi" w:hAnsiTheme="minorHAnsi" w:cstheme="minorHAnsi"/>
        </w:rPr>
        <w:fldChar w:fldCharType="end"/>
      </w:r>
      <w:r w:rsidR="00896BE2">
        <w:rPr>
          <w:rFonts w:asciiTheme="minorHAnsi" w:hAnsiTheme="minorHAnsi" w:cstheme="minorHAnsi"/>
        </w:rPr>
      </w:r>
      <w:r w:rsidR="00896BE2">
        <w:rPr>
          <w:rFonts w:asciiTheme="minorHAnsi" w:hAnsiTheme="minorHAnsi" w:cstheme="minorHAnsi"/>
        </w:rPr>
        <w:fldChar w:fldCharType="separate"/>
      </w:r>
      <w:r w:rsidR="00896BE2">
        <w:rPr>
          <w:rFonts w:asciiTheme="minorHAnsi" w:hAnsiTheme="minorHAnsi" w:cstheme="minorHAnsi"/>
          <w:noProof/>
        </w:rPr>
        <w:t>(</w:t>
      </w:r>
      <w:hyperlink w:anchor="_ENREF_1" w:tooltip="Ammann, 2016 #1" w:history="1">
        <w:r w:rsidR="00BB0145">
          <w:rPr>
            <w:rFonts w:asciiTheme="minorHAnsi" w:hAnsiTheme="minorHAnsi" w:cstheme="minorHAnsi"/>
            <w:noProof/>
          </w:rPr>
          <w:t>Ammann et al. 2016</w:t>
        </w:r>
      </w:hyperlink>
      <w:r w:rsidR="00896BE2">
        <w:rPr>
          <w:rFonts w:asciiTheme="minorHAnsi" w:hAnsiTheme="minorHAnsi" w:cstheme="minorHAnsi"/>
          <w:noProof/>
        </w:rPr>
        <w:t>)</w:t>
      </w:r>
      <w:r w:rsidR="00896BE2">
        <w:rPr>
          <w:rFonts w:asciiTheme="minorHAnsi" w:hAnsiTheme="minorHAnsi" w:cstheme="minorHAnsi"/>
        </w:rPr>
        <w:fldChar w:fldCharType="end"/>
      </w:r>
      <w:r w:rsidRPr="007D0AA8">
        <w:rPr>
          <w:rFonts w:asciiTheme="minorHAnsi" w:hAnsiTheme="minorHAnsi" w:cstheme="minorHAnsi"/>
        </w:rPr>
        <w:t xml:space="preserve"> found that after balancing the IgG and control groups for TEE risk factors, there was no difference in all-cause mortality between the two, removing the otherwise much higher rate of mortality from the IgG group in the unbalanced set (randomly </w:t>
      </w:r>
      <w:r w:rsidRPr="00D31381">
        <w:rPr>
          <w:rFonts w:asciiTheme="minorHAnsi" w:hAnsiTheme="minorHAnsi" w:cstheme="minorHAnsi"/>
        </w:rPr>
        <w:t>matched)</w:t>
      </w:r>
      <w:r w:rsidR="00D07299">
        <w:rPr>
          <w:rFonts w:asciiTheme="minorHAnsi" w:hAnsiTheme="minorHAnsi" w:cstheme="minorHAnsi"/>
        </w:rPr>
        <w:t xml:space="preserve"> (noting a maximum of only 12 months follow-up)</w:t>
      </w:r>
      <w:r w:rsidRPr="00D31381">
        <w:rPr>
          <w:rFonts w:asciiTheme="minorHAnsi" w:hAnsiTheme="minorHAnsi" w:cstheme="minorHAnsi"/>
        </w:rPr>
        <w:t xml:space="preserve">. Likewise, </w:t>
      </w:r>
      <w:r w:rsidR="00D31381">
        <w:rPr>
          <w:rFonts w:asciiTheme="minorHAnsi" w:hAnsiTheme="minorHAnsi" w:cstheme="minorHAnsi"/>
        </w:rPr>
        <w:t>one Australian</w:t>
      </w:r>
      <w:r w:rsidRPr="00D31381">
        <w:rPr>
          <w:rFonts w:asciiTheme="minorHAnsi" w:hAnsiTheme="minorHAnsi" w:cstheme="minorHAnsi"/>
        </w:rPr>
        <w:t xml:space="preserve"> cohort study </w:t>
      </w:r>
      <w:r w:rsidR="00896BE2">
        <w:rPr>
          <w:rFonts w:asciiTheme="minorHAnsi" w:hAnsiTheme="minorHAnsi" w:cstheme="minorHAnsi"/>
        </w:rPr>
        <w:fldChar w:fldCharType="begin">
          <w:fldData xml:space="preserve">PEVuZE5vdGU+PENpdGU+PEF1dGhvcj5CbG9tYmVyeTwvQXV0aG9yPjxZZWFyPjIwMTE8L1llYXI+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</w:fldData>
        </w:fldChar>
      </w:r>
      <w:r w:rsidR="00896BE2">
        <w:rPr>
          <w:rFonts w:asciiTheme="minorHAnsi" w:hAnsiTheme="minorHAnsi" w:cstheme="minorHAnsi"/>
        </w:rPr>
        <w:instrText xml:space="preserve"> ADDIN EN.CITE </w:instrText>
      </w:r>
      <w:r w:rsidR="00896BE2">
        <w:rPr>
          <w:rFonts w:asciiTheme="minorHAnsi" w:hAnsiTheme="minorHAnsi" w:cstheme="minorHAnsi"/>
        </w:rPr>
        <w:fldChar w:fldCharType="begin">
          <w:fldData xml:space="preserve">PEVuZE5vdGU+PENpdGU+PEF1dGhvcj5CbG9tYmVyeTwvQXV0aG9yPjxZZWFyPjIwMTE8L1llYXI+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</w:fldData>
        </w:fldChar>
      </w:r>
      <w:r w:rsidR="00896BE2">
        <w:rPr>
          <w:rFonts w:asciiTheme="minorHAnsi" w:hAnsiTheme="minorHAnsi" w:cstheme="minorHAnsi"/>
        </w:rPr>
        <w:instrText xml:space="preserve"> ADDIN EN.CITE.DATA </w:instrText>
      </w:r>
      <w:r w:rsidR="00896BE2">
        <w:rPr>
          <w:rFonts w:asciiTheme="minorHAnsi" w:hAnsiTheme="minorHAnsi" w:cstheme="minorHAnsi"/>
        </w:rPr>
      </w:r>
      <w:r w:rsidR="00896BE2">
        <w:rPr>
          <w:rFonts w:asciiTheme="minorHAnsi" w:hAnsiTheme="minorHAnsi" w:cstheme="minorHAnsi"/>
        </w:rPr>
        <w:fldChar w:fldCharType="end"/>
      </w:r>
      <w:r w:rsidR="00896BE2">
        <w:rPr>
          <w:rFonts w:asciiTheme="minorHAnsi" w:hAnsiTheme="minorHAnsi" w:cstheme="minorHAnsi"/>
        </w:rPr>
      </w:r>
      <w:r w:rsidR="00896BE2">
        <w:rPr>
          <w:rFonts w:asciiTheme="minorHAnsi" w:hAnsiTheme="minorHAnsi" w:cstheme="minorHAnsi"/>
        </w:rPr>
        <w:fldChar w:fldCharType="separate"/>
      </w:r>
      <w:r w:rsidR="00896BE2">
        <w:rPr>
          <w:rFonts w:asciiTheme="minorHAnsi" w:hAnsiTheme="minorHAnsi" w:cstheme="minorHAnsi"/>
          <w:noProof/>
        </w:rPr>
        <w:t>(</w:t>
      </w:r>
      <w:hyperlink w:anchor="_ENREF_6" w:tooltip="Blombery, 2011 #45" w:history="1">
        <w:r w:rsidR="00BB0145">
          <w:rPr>
            <w:rFonts w:asciiTheme="minorHAnsi" w:hAnsiTheme="minorHAnsi" w:cstheme="minorHAnsi"/>
            <w:noProof/>
          </w:rPr>
          <w:t>Blombery et al. 2011</w:t>
        </w:r>
      </w:hyperlink>
      <w:r w:rsidR="00896BE2">
        <w:rPr>
          <w:rFonts w:asciiTheme="minorHAnsi" w:hAnsiTheme="minorHAnsi" w:cstheme="minorHAnsi"/>
          <w:noProof/>
        </w:rPr>
        <w:t>)</w:t>
      </w:r>
      <w:r w:rsidR="00896BE2">
        <w:rPr>
          <w:rFonts w:asciiTheme="minorHAnsi" w:hAnsiTheme="minorHAnsi" w:cstheme="minorHAnsi"/>
        </w:rPr>
        <w:fldChar w:fldCharType="end"/>
      </w:r>
      <w:r w:rsidRPr="00D31381">
        <w:rPr>
          <w:rFonts w:asciiTheme="minorHAnsi" w:hAnsiTheme="minorHAnsi" w:cstheme="minorHAnsi"/>
        </w:rPr>
        <w:t xml:space="preserve"> reported no significant difference</w:t>
      </w:r>
      <w:r w:rsidR="00AE1371">
        <w:rPr>
          <w:rFonts w:asciiTheme="minorHAnsi" w:hAnsiTheme="minorHAnsi" w:cstheme="minorHAnsi"/>
        </w:rPr>
        <w:t xml:space="preserve"> (median survival post-HSCT of approximately 45 months in both arms)</w:t>
      </w:r>
      <w:r w:rsidRPr="00D31381">
        <w:rPr>
          <w:rFonts w:asciiTheme="minorHAnsi" w:hAnsiTheme="minorHAnsi" w:cstheme="minorHAnsi"/>
        </w:rPr>
        <w:t xml:space="preserve">. A retrospective case series </w:t>
      </w:r>
      <w:r w:rsidR="00D31381">
        <w:rPr>
          <w:rFonts w:asciiTheme="minorHAnsi" w:hAnsiTheme="minorHAnsi" w:cstheme="minorHAnsi"/>
        </w:rPr>
        <w:t>in Germany</w:t>
      </w:r>
      <w:r w:rsidRPr="00D31381">
        <w:rPr>
          <w:rFonts w:asciiTheme="minorHAnsi" w:hAnsiTheme="minorHAnsi" w:cstheme="minorHAnsi"/>
        </w:rPr>
        <w:t xml:space="preserve"> </w:t>
      </w:r>
      <w:r w:rsidR="00896BE2">
        <w:rPr>
          <w:rFonts w:asciiTheme="minorHAnsi" w:hAnsiTheme="minorHAnsi" w:cstheme="minorHAnsi"/>
        </w:rPr>
        <w:fldChar w:fldCharType="begin">
          <w:fldData xml:space="preserve">PEVuZE5vdGU+PENpdGU+PEF1dGhvcj5SZWlzZXI8L0F1dGhvcj48WWVhcj4yMDE3PC9ZZWFyPjxS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</w:fldData>
        </w:fldChar>
      </w:r>
      <w:r w:rsidR="00896BE2">
        <w:rPr>
          <w:rFonts w:asciiTheme="minorHAnsi" w:hAnsiTheme="minorHAnsi" w:cstheme="minorHAnsi"/>
        </w:rPr>
        <w:instrText xml:space="preserve"> ADDIN EN.CITE </w:instrText>
      </w:r>
      <w:r w:rsidR="00896BE2">
        <w:rPr>
          <w:rFonts w:asciiTheme="minorHAnsi" w:hAnsiTheme="minorHAnsi" w:cstheme="minorHAnsi"/>
        </w:rPr>
        <w:fldChar w:fldCharType="begin">
          <w:fldData xml:space="preserve">PEVuZE5vdGU+PENpdGU+PEF1dGhvcj5SZWlzZXI8L0F1dGhvcj48WWVhcj4yMDE3PC9ZZWFyPjxS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</w:fldData>
        </w:fldChar>
      </w:r>
      <w:r w:rsidR="00896BE2">
        <w:rPr>
          <w:rFonts w:asciiTheme="minorHAnsi" w:hAnsiTheme="minorHAnsi" w:cstheme="minorHAnsi"/>
        </w:rPr>
        <w:instrText xml:space="preserve"> ADDIN EN.CITE.DATA </w:instrText>
      </w:r>
      <w:r w:rsidR="00896BE2">
        <w:rPr>
          <w:rFonts w:asciiTheme="minorHAnsi" w:hAnsiTheme="minorHAnsi" w:cstheme="minorHAnsi"/>
        </w:rPr>
      </w:r>
      <w:r w:rsidR="00896BE2">
        <w:rPr>
          <w:rFonts w:asciiTheme="minorHAnsi" w:hAnsiTheme="minorHAnsi" w:cstheme="minorHAnsi"/>
        </w:rPr>
        <w:fldChar w:fldCharType="end"/>
      </w:r>
      <w:r w:rsidR="00896BE2">
        <w:rPr>
          <w:rFonts w:asciiTheme="minorHAnsi" w:hAnsiTheme="minorHAnsi" w:cstheme="minorHAnsi"/>
        </w:rPr>
      </w:r>
      <w:r w:rsidR="00896BE2">
        <w:rPr>
          <w:rFonts w:asciiTheme="minorHAnsi" w:hAnsiTheme="minorHAnsi" w:cstheme="minorHAnsi"/>
        </w:rPr>
        <w:fldChar w:fldCharType="separate"/>
      </w:r>
      <w:r w:rsidR="00896BE2">
        <w:rPr>
          <w:rFonts w:asciiTheme="minorHAnsi" w:hAnsiTheme="minorHAnsi" w:cstheme="minorHAnsi"/>
          <w:noProof/>
        </w:rPr>
        <w:t>(</w:t>
      </w:r>
      <w:hyperlink w:anchor="_ENREF_42" w:tooltip="Reiser, 2017 #91" w:history="1">
        <w:r w:rsidR="00BB0145">
          <w:rPr>
            <w:rFonts w:asciiTheme="minorHAnsi" w:hAnsiTheme="minorHAnsi" w:cstheme="minorHAnsi"/>
            <w:noProof/>
          </w:rPr>
          <w:t>Reiser et al. 2017</w:t>
        </w:r>
      </w:hyperlink>
      <w:r w:rsidR="00896BE2">
        <w:rPr>
          <w:rFonts w:asciiTheme="minorHAnsi" w:hAnsiTheme="minorHAnsi" w:cstheme="minorHAnsi"/>
          <w:noProof/>
        </w:rPr>
        <w:t>)</w:t>
      </w:r>
      <w:r w:rsidR="00896BE2">
        <w:rPr>
          <w:rFonts w:asciiTheme="minorHAnsi" w:hAnsiTheme="minorHAnsi" w:cstheme="minorHAnsi"/>
        </w:rPr>
        <w:fldChar w:fldCharType="end"/>
      </w:r>
      <w:r w:rsidRPr="00D31381">
        <w:rPr>
          <w:rFonts w:asciiTheme="minorHAnsi" w:hAnsiTheme="minorHAnsi" w:cstheme="minorHAnsi"/>
        </w:rPr>
        <w:t xml:space="preserve"> did not have a control group, so no comparison could</w:t>
      </w:r>
      <w:r w:rsidRPr="007D0AA8">
        <w:rPr>
          <w:rFonts w:asciiTheme="minorHAnsi" w:hAnsiTheme="minorHAnsi" w:cstheme="minorHAnsi"/>
        </w:rPr>
        <w:t xml:space="preserve"> be made. </w:t>
      </w:r>
    </w:p>
    <w:p w14:paraId="6D1D24F0" w14:textId="1A3F3A2B" w:rsidR="00C54A0C" w:rsidRDefault="00C54A0C" w:rsidP="00C54A0C">
      <w:r w:rsidRPr="007D0AA8">
        <w:t xml:space="preserve">Authors of several studies commented that survival analysis was not possible due to short study duration or follow-up duration </w:t>
      </w:r>
      <w:r w:rsidR="00896BE2">
        <w:fldChar w:fldCharType="begin">
          <w:fldData xml:space="preserve">PEVuZE5vdGU+PENpdGU+PEF1dGhvcj5DaGFwZWw8L0F1dGhvcj48WWVhcj4xOTk0PC9ZZWFyPjxS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</w:fldData>
        </w:fldChar>
      </w:r>
      <w:r w:rsidR="00896BE2">
        <w:instrText xml:space="preserve"> ADDIN EN.CITE </w:instrText>
      </w:r>
      <w:r w:rsidR="00896BE2">
        <w:fldChar w:fldCharType="begin">
          <w:fldData xml:space="preserve">PEVuZE5vdGU+PENpdGU+PEF1dGhvcj5DaGFwZWw8L0F1dGhvcj48WWVhcj4xOTk0PC9ZZWFyPjxS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</w:fldData>
        </w:fldChar>
      </w:r>
      <w:r w:rsidR="00896BE2">
        <w:instrText xml:space="preserve"> ADDIN EN.CITE.DATA </w:instrText>
      </w:r>
      <w:r w:rsidR="00896BE2">
        <w:fldChar w:fldCharType="end"/>
      </w:r>
      <w:r w:rsidR="00896BE2">
        <w:fldChar w:fldCharType="separate"/>
      </w:r>
      <w:r w:rsidR="00896BE2">
        <w:rPr>
          <w:noProof/>
        </w:rPr>
        <w:t>(</w:t>
      </w:r>
      <w:hyperlink w:anchor="_ENREF_13" w:tooltip="Chapel, 1994 #56" w:history="1">
        <w:r w:rsidR="00BB0145">
          <w:rPr>
            <w:noProof/>
          </w:rPr>
          <w:t>Chapel et al. 1994b</w:t>
        </w:r>
      </w:hyperlink>
      <w:r w:rsidR="00896BE2">
        <w:rPr>
          <w:noProof/>
        </w:rPr>
        <w:t xml:space="preserve">; </w:t>
      </w:r>
      <w:hyperlink w:anchor="_ENREF_31" w:tooltip="Molica, 1996 #33" w:history="1">
        <w:r w:rsidR="00BB0145">
          <w:rPr>
            <w:noProof/>
          </w:rPr>
          <w:t>Molica et al. 1996</w:t>
        </w:r>
      </w:hyperlink>
      <w:r w:rsidR="00896BE2">
        <w:rPr>
          <w:noProof/>
        </w:rPr>
        <w:t xml:space="preserve">; </w:t>
      </w:r>
      <w:hyperlink w:anchor="_ENREF_52" w:tooltip="Vacca, 2018 #30" w:history="1">
        <w:r w:rsidR="00BB0145">
          <w:rPr>
            <w:noProof/>
          </w:rPr>
          <w:t>Vacca et al. 2018</w:t>
        </w:r>
      </w:hyperlink>
      <w:r w:rsidR="00896BE2">
        <w:rPr>
          <w:noProof/>
        </w:rPr>
        <w:t>)</w:t>
      </w:r>
      <w:r w:rsidR="00896BE2">
        <w:fldChar w:fldCharType="end"/>
      </w:r>
      <w:r w:rsidR="00D31381">
        <w:t>. For example, t</w:t>
      </w:r>
      <w:r w:rsidRPr="007D0AA8">
        <w:t xml:space="preserve">he mean survival from enrolment of 23 months reported </w:t>
      </w:r>
      <w:r w:rsidR="00D31381">
        <w:t>in the</w:t>
      </w:r>
      <w:r w:rsidRPr="007D0AA8">
        <w:t xml:space="preserve"> Reiser </w:t>
      </w:r>
      <w:r w:rsidR="00D31381">
        <w:t>study above</w:t>
      </w:r>
      <w:r w:rsidRPr="007D0AA8">
        <w:t xml:space="preserve"> suggests several years at a minimum would be needed for a meaningful assessment of survival associated with IgG use. </w:t>
      </w:r>
    </w:p>
    <w:p w14:paraId="0834715B" w14:textId="77777777" w:rsidR="00D67A6E" w:rsidRPr="007D0AA8" w:rsidRDefault="00D67A6E" w:rsidP="00C54A0C"/>
    <w:p w14:paraId="31312803" w14:textId="77777777" w:rsidR="00C54A0C" w:rsidRPr="00386411" w:rsidRDefault="00C54A0C" w:rsidP="00C54A0C">
      <w:pPr>
        <w:pStyle w:val="Heading3"/>
      </w:pPr>
      <w:bookmarkStart w:id="325" w:name="_Toc14431146"/>
      <w:bookmarkStart w:id="326" w:name="_Toc16856314"/>
      <w:r w:rsidRPr="00386411">
        <w:t>Transplant-related outcomes</w:t>
      </w:r>
      <w:bookmarkEnd w:id="325"/>
      <w:bookmarkEnd w:id="326"/>
    </w:p>
    <w:p w14:paraId="45D8B635" w14:textId="5476AB92" w:rsidR="00C54A0C" w:rsidRPr="007D0AA8" w:rsidRDefault="00E518FC" w:rsidP="00D67A6E">
      <w:pPr>
        <w:keepNext/>
      </w:pPr>
      <w:r>
        <w:t>One RCT</w:t>
      </w:r>
      <w:r w:rsidR="00C54A0C" w:rsidRPr="007D0AA8">
        <w:t xml:space="preserve"> </w:t>
      </w:r>
      <w:r w:rsidR="00D31381">
        <w:t xml:space="preserve">from the US </w:t>
      </w:r>
      <w:r w:rsidR="00896BE2">
        <w:fldChar w:fldCharType="begin">
          <w:fldData xml:space="preserve">PEVuZE5vdGU+PENpdGU+PEF1dGhvcj5TdWxsaXZhbjwvQXV0aG9yPjxZZWFyPjE5OTA8L1llYXI+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</w:fldData>
        </w:fldChar>
      </w:r>
      <w:r w:rsidR="00896BE2">
        <w:instrText xml:space="preserve"> ADDIN EN.CITE </w:instrText>
      </w:r>
      <w:r w:rsidR="00896BE2">
        <w:fldChar w:fldCharType="begin">
          <w:fldData xml:space="preserve">PEVuZE5vdGU+PENpdGU+PEF1dGhvcj5TdWxsaXZhbjwvQXV0aG9yPjxZZWFyPjE5OTA8L1llYXI+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</w:fldData>
        </w:fldChar>
      </w:r>
      <w:r w:rsidR="00896BE2">
        <w:instrText xml:space="preserve"> ADDIN EN.CITE.DATA </w:instrText>
      </w:r>
      <w:r w:rsidR="00896BE2">
        <w:fldChar w:fldCharType="end"/>
      </w:r>
      <w:r w:rsidR="00896BE2">
        <w:fldChar w:fldCharType="separate"/>
      </w:r>
      <w:r w:rsidR="00896BE2">
        <w:rPr>
          <w:noProof/>
        </w:rPr>
        <w:t>(</w:t>
      </w:r>
      <w:hyperlink w:anchor="_ENREF_48" w:tooltip="Sullivan, 1990 #67" w:history="1">
        <w:r w:rsidR="00BB0145">
          <w:rPr>
            <w:noProof/>
          </w:rPr>
          <w:t>Sullivan et al. 1990</w:t>
        </w:r>
      </w:hyperlink>
      <w:r w:rsidR="00896BE2">
        <w:rPr>
          <w:noProof/>
        </w:rPr>
        <w:t>)</w:t>
      </w:r>
      <w:r w:rsidR="00896BE2">
        <w:fldChar w:fldCharType="end"/>
      </w:r>
      <w:r>
        <w:t xml:space="preserve"> and one supportive study </w:t>
      </w:r>
      <w:r w:rsidR="00D31381">
        <w:t xml:space="preserve">from Sweden </w:t>
      </w:r>
      <w:r w:rsidR="00896BE2">
        <w:fldChar w:fldCharType="begin">
          <w:fldData xml:space="preserve">PEVuZE5vdGU+PENpdGU+PEF1dGhvcj5TdW5kaW48L0F1dGhvcj48WWVhcj4yMDEyPC9ZZWFyPjxS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</w:fldData>
        </w:fldChar>
      </w:r>
      <w:r w:rsidR="00896BE2">
        <w:instrText xml:space="preserve"> ADDIN EN.CITE </w:instrText>
      </w:r>
      <w:r w:rsidR="00896BE2">
        <w:fldChar w:fldCharType="begin">
          <w:fldData xml:space="preserve">PEVuZE5vdGU+PENpdGU+PEF1dGhvcj5TdW5kaW48L0F1dGhvcj48WWVhcj4yMDEyPC9ZZWFyPjxS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</w:fldData>
        </w:fldChar>
      </w:r>
      <w:r w:rsidR="00896BE2">
        <w:instrText xml:space="preserve"> ADDIN EN.CITE.DATA </w:instrText>
      </w:r>
      <w:r w:rsidR="00896BE2">
        <w:fldChar w:fldCharType="end"/>
      </w:r>
      <w:r w:rsidR="00896BE2">
        <w:fldChar w:fldCharType="separate"/>
      </w:r>
      <w:r w:rsidR="00896BE2">
        <w:rPr>
          <w:noProof/>
        </w:rPr>
        <w:t>(</w:t>
      </w:r>
      <w:hyperlink w:anchor="_ENREF_50" w:tooltip="Sundin, 2012 #86" w:history="1">
        <w:r w:rsidR="00BB0145">
          <w:rPr>
            <w:noProof/>
          </w:rPr>
          <w:t>Sundin et al. 2012</w:t>
        </w:r>
      </w:hyperlink>
      <w:r w:rsidR="00896BE2">
        <w:rPr>
          <w:noProof/>
        </w:rPr>
        <w:t>)</w:t>
      </w:r>
      <w:r w:rsidR="00896BE2">
        <w:fldChar w:fldCharType="end"/>
      </w:r>
      <w:r w:rsidR="00C54A0C" w:rsidRPr="007D0AA8">
        <w:t xml:space="preserve"> reported transplant-related outcomes in HSCT recipients. </w:t>
      </w:r>
    </w:p>
    <w:p w14:paraId="2913DA92" w14:textId="77777777" w:rsidR="00C54A0C" w:rsidRPr="00386411" w:rsidRDefault="00C54A0C" w:rsidP="00C54A0C">
      <w:pPr>
        <w:pStyle w:val="Caption"/>
        <w:keepNext/>
        <w:rPr>
          <w:rFonts w:cs="Arial"/>
          <w:snapToGrid w:val="0"/>
          <w:szCs w:val="16"/>
          <w:lang w:eastAsia="en-US"/>
        </w:rPr>
      </w:pPr>
      <w:bookmarkStart w:id="327" w:name="_Ref9453080"/>
      <w:bookmarkStart w:id="328" w:name="_Toc14429569"/>
      <w:bookmarkStart w:id="329" w:name="_Toc16671624"/>
      <w:r w:rsidRPr="00386411">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26</w:t>
      </w:r>
      <w:r w:rsidRPr="00386411">
        <w:rPr>
          <w:noProof/>
        </w:rPr>
        <w:fldChar w:fldCharType="end"/>
      </w:r>
      <w:bookmarkEnd w:id="327"/>
      <w:r w:rsidRPr="00386411">
        <w:tab/>
      </w:r>
      <w:r w:rsidRPr="00386411">
        <w:rPr>
          <w:rFonts w:cs="Arial"/>
          <w:snapToGrid w:val="0"/>
          <w:szCs w:val="16"/>
          <w:lang w:eastAsia="en-US"/>
        </w:rPr>
        <w:t>Transplant-related outcomes – Sullivan et al., 1990 (IVIg vs No IVIg)</w:t>
      </w:r>
      <w:bookmarkEnd w:id="328"/>
      <w:bookmarkEnd w:id="329"/>
    </w:p>
    <w:tbl>
      <w:tblPr>
        <w:tblW w:w="5055" w:type="pct"/>
        <w:tblLayout w:type="fixed"/>
        <w:tblLook w:val="04A0" w:firstRow="1" w:lastRow="0" w:firstColumn="1" w:lastColumn="0" w:noHBand="0" w:noVBand="1"/>
      </w:tblPr>
      <w:tblGrid>
        <w:gridCol w:w="1155"/>
        <w:gridCol w:w="3117"/>
        <w:gridCol w:w="1736"/>
        <w:gridCol w:w="22"/>
        <w:gridCol w:w="1987"/>
        <w:gridCol w:w="1327"/>
      </w:tblGrid>
      <w:tr w:rsidR="00C54A0C" w:rsidRPr="00386411" w14:paraId="2653C533" w14:textId="77777777" w:rsidTr="00B52A4F">
        <w:tc>
          <w:tcPr>
            <w:tcW w:w="61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B4E11C" w14:textId="77777777" w:rsidR="00C54A0C" w:rsidRPr="00386411" w:rsidRDefault="00C54A0C" w:rsidP="00C54A0C">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Study, Indication</w:t>
            </w:r>
          </w:p>
        </w:tc>
        <w:tc>
          <w:tcPr>
            <w:tcW w:w="16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B2CF9B7" w14:textId="77777777" w:rsidR="00C54A0C" w:rsidRPr="00386411" w:rsidRDefault="00C54A0C" w:rsidP="00C54A0C">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Outcome</w:t>
            </w:r>
          </w:p>
        </w:tc>
        <w:tc>
          <w:tcPr>
            <w:tcW w:w="929" w:type="pct"/>
            <w:tcBorders>
              <w:top w:val="single" w:sz="4" w:space="0" w:color="auto"/>
              <w:left w:val="single" w:sz="4" w:space="0" w:color="auto"/>
              <w:bottom w:val="single" w:sz="4" w:space="0" w:color="auto"/>
              <w:right w:val="nil"/>
            </w:tcBorders>
            <w:shd w:val="clear" w:color="auto" w:fill="D9D9D9" w:themeFill="background1" w:themeFillShade="D9"/>
            <w:noWrap/>
            <w:vAlign w:val="bottom"/>
          </w:tcPr>
          <w:p w14:paraId="7774B5C6" w14:textId="77777777" w:rsidR="00C54A0C" w:rsidRPr="00386411" w:rsidRDefault="00C54A0C" w:rsidP="00C54A0C">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Intervention</w:t>
            </w:r>
          </w:p>
        </w:tc>
        <w:tc>
          <w:tcPr>
            <w:tcW w:w="1075" w:type="pct"/>
            <w:gridSpan w:val="2"/>
            <w:tcBorders>
              <w:top w:val="single" w:sz="4" w:space="0" w:color="auto"/>
              <w:left w:val="nil"/>
              <w:bottom w:val="single" w:sz="4" w:space="0" w:color="auto"/>
              <w:right w:val="nil"/>
            </w:tcBorders>
            <w:shd w:val="clear" w:color="auto" w:fill="D9D9D9" w:themeFill="background1" w:themeFillShade="D9"/>
            <w:noWrap/>
            <w:vAlign w:val="bottom"/>
          </w:tcPr>
          <w:p w14:paraId="536E5408" w14:textId="77777777" w:rsidR="00C54A0C" w:rsidRPr="00386411" w:rsidRDefault="00C54A0C" w:rsidP="00C54A0C">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Comparator</w:t>
            </w:r>
          </w:p>
        </w:tc>
        <w:tc>
          <w:tcPr>
            <w:tcW w:w="710" w:type="pct"/>
            <w:tcBorders>
              <w:top w:val="single" w:sz="4" w:space="0" w:color="auto"/>
              <w:left w:val="nil"/>
              <w:bottom w:val="single" w:sz="4" w:space="0" w:color="auto"/>
              <w:right w:val="single" w:sz="4" w:space="0" w:color="auto"/>
            </w:tcBorders>
            <w:shd w:val="clear" w:color="auto" w:fill="D9D9D9" w:themeFill="background1" w:themeFillShade="D9"/>
          </w:tcPr>
          <w:p w14:paraId="4A9A8E59" w14:textId="77777777" w:rsidR="00C54A0C" w:rsidRPr="00386411" w:rsidRDefault="00C54A0C" w:rsidP="00C54A0C">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Comparison</w:t>
            </w:r>
          </w:p>
        </w:tc>
      </w:tr>
      <w:tr w:rsidR="00C54A0C" w:rsidRPr="00386411" w14:paraId="3FD36089" w14:textId="77777777" w:rsidTr="00B52A4F">
        <w:tc>
          <w:tcPr>
            <w:tcW w:w="6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6C0F956" w14:textId="77777777" w:rsidR="00C54A0C" w:rsidRPr="00386411" w:rsidRDefault="00C54A0C" w:rsidP="00C54A0C">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Sullivan et al., 1990</w:t>
            </w:r>
          </w:p>
        </w:tc>
        <w:tc>
          <w:tcPr>
            <w:tcW w:w="16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2A40D7" w14:textId="77777777" w:rsidR="00C54A0C" w:rsidRPr="00386411" w:rsidRDefault="00C54A0C" w:rsidP="00C54A0C">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Grade of acute GVHD</w:t>
            </w:r>
          </w:p>
        </w:tc>
        <w:tc>
          <w:tcPr>
            <w:tcW w:w="929" w:type="pct"/>
            <w:tcBorders>
              <w:top w:val="single" w:sz="4" w:space="0" w:color="auto"/>
              <w:left w:val="single" w:sz="4" w:space="0" w:color="auto"/>
              <w:bottom w:val="single" w:sz="4" w:space="0" w:color="auto"/>
              <w:right w:val="nil"/>
            </w:tcBorders>
            <w:shd w:val="clear" w:color="auto" w:fill="D9D9D9" w:themeFill="background1" w:themeFillShade="D9"/>
            <w:noWrap/>
          </w:tcPr>
          <w:p w14:paraId="440667D3" w14:textId="77777777" w:rsidR="00C54A0C" w:rsidRPr="00386411" w:rsidRDefault="00C54A0C" w:rsidP="00C54A0C">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IVIg (n=184)</w:t>
            </w:r>
          </w:p>
        </w:tc>
        <w:tc>
          <w:tcPr>
            <w:tcW w:w="1075" w:type="pct"/>
            <w:gridSpan w:val="2"/>
            <w:tcBorders>
              <w:top w:val="single" w:sz="4" w:space="0" w:color="auto"/>
              <w:left w:val="nil"/>
              <w:bottom w:val="single" w:sz="4" w:space="0" w:color="auto"/>
              <w:right w:val="nil"/>
            </w:tcBorders>
            <w:shd w:val="clear" w:color="auto" w:fill="D9D9D9" w:themeFill="background1" w:themeFillShade="D9"/>
            <w:noWrap/>
          </w:tcPr>
          <w:p w14:paraId="44C9DCD3" w14:textId="77777777" w:rsidR="00C54A0C" w:rsidRPr="00386411" w:rsidRDefault="00C54A0C" w:rsidP="00C54A0C">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No IVIg (n=185)</w:t>
            </w:r>
          </w:p>
        </w:tc>
        <w:tc>
          <w:tcPr>
            <w:tcW w:w="710" w:type="pct"/>
            <w:tcBorders>
              <w:top w:val="single" w:sz="4" w:space="0" w:color="auto"/>
              <w:left w:val="nil"/>
              <w:bottom w:val="single" w:sz="4" w:space="0" w:color="auto"/>
              <w:right w:val="single" w:sz="4" w:space="0" w:color="auto"/>
            </w:tcBorders>
            <w:shd w:val="clear" w:color="auto" w:fill="D9D9D9" w:themeFill="background1" w:themeFillShade="D9"/>
          </w:tcPr>
          <w:p w14:paraId="0F2955F5" w14:textId="77777777" w:rsidR="00C54A0C" w:rsidRPr="00386411" w:rsidRDefault="00C54A0C" w:rsidP="00C54A0C">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p-value</w:t>
            </w:r>
          </w:p>
        </w:tc>
      </w:tr>
      <w:tr w:rsidR="00C54A0C" w:rsidRPr="007D0AA8" w14:paraId="697742A8" w14:textId="77777777" w:rsidTr="00B52A4F">
        <w:tc>
          <w:tcPr>
            <w:tcW w:w="618" w:type="pct"/>
            <w:tcBorders>
              <w:top w:val="single" w:sz="4" w:space="0" w:color="auto"/>
              <w:left w:val="single" w:sz="4" w:space="0" w:color="auto"/>
              <w:bottom w:val="nil"/>
              <w:right w:val="single" w:sz="4" w:space="0" w:color="auto"/>
            </w:tcBorders>
            <w:vAlign w:val="bottom"/>
          </w:tcPr>
          <w:p w14:paraId="2B2B3B04" w14:textId="77777777" w:rsidR="00C54A0C" w:rsidRPr="007D0AA8" w:rsidRDefault="00C54A0C" w:rsidP="00C54A0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BMT</w:t>
            </w:r>
          </w:p>
        </w:tc>
        <w:tc>
          <w:tcPr>
            <w:tcW w:w="1668" w:type="pct"/>
            <w:tcBorders>
              <w:top w:val="single" w:sz="4" w:space="0" w:color="auto"/>
              <w:left w:val="single" w:sz="4" w:space="0" w:color="auto"/>
              <w:bottom w:val="single" w:sz="4" w:space="0" w:color="auto"/>
              <w:right w:val="single" w:sz="4" w:space="0" w:color="auto"/>
            </w:tcBorders>
          </w:tcPr>
          <w:p w14:paraId="3483DABA" w14:textId="77777777" w:rsidR="00C54A0C" w:rsidRPr="007D0AA8" w:rsidRDefault="00C54A0C" w:rsidP="00C54A0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Total allo-BMT recipients</w:t>
            </w:r>
          </w:p>
        </w:tc>
        <w:tc>
          <w:tcPr>
            <w:tcW w:w="929" w:type="pct"/>
            <w:tcBorders>
              <w:top w:val="single" w:sz="4" w:space="0" w:color="auto"/>
              <w:left w:val="single" w:sz="4" w:space="0" w:color="auto"/>
              <w:bottom w:val="single" w:sz="4" w:space="0" w:color="auto"/>
              <w:right w:val="nil"/>
            </w:tcBorders>
            <w:shd w:val="clear" w:color="auto" w:fill="auto"/>
            <w:noWrap/>
          </w:tcPr>
          <w:p w14:paraId="416AD5FB" w14:textId="77777777" w:rsidR="00C54A0C" w:rsidRPr="007D0AA8" w:rsidRDefault="00C54A0C" w:rsidP="00C54A0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166</w:t>
            </w:r>
          </w:p>
        </w:tc>
        <w:tc>
          <w:tcPr>
            <w:tcW w:w="1075" w:type="pct"/>
            <w:gridSpan w:val="2"/>
            <w:tcBorders>
              <w:top w:val="single" w:sz="4" w:space="0" w:color="auto"/>
              <w:left w:val="nil"/>
              <w:bottom w:val="single" w:sz="4" w:space="0" w:color="auto"/>
              <w:right w:val="nil"/>
            </w:tcBorders>
            <w:shd w:val="clear" w:color="auto" w:fill="auto"/>
            <w:noWrap/>
          </w:tcPr>
          <w:p w14:paraId="3A9FD1CE" w14:textId="77777777" w:rsidR="00C54A0C" w:rsidRPr="007D0AA8" w:rsidRDefault="00C54A0C" w:rsidP="00C54A0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159</w:t>
            </w:r>
          </w:p>
        </w:tc>
        <w:tc>
          <w:tcPr>
            <w:tcW w:w="710" w:type="pct"/>
            <w:tcBorders>
              <w:top w:val="single" w:sz="4" w:space="0" w:color="auto"/>
              <w:left w:val="nil"/>
              <w:bottom w:val="single" w:sz="4" w:space="0" w:color="auto"/>
              <w:right w:val="single" w:sz="4" w:space="0" w:color="auto"/>
            </w:tcBorders>
            <w:vAlign w:val="bottom"/>
          </w:tcPr>
          <w:p w14:paraId="20409A96" w14:textId="77777777" w:rsidR="00C54A0C" w:rsidRPr="007D0AA8" w:rsidRDefault="00C54A0C" w:rsidP="00C54A0C">
            <w:pPr>
              <w:spacing w:after="0" w:line="240" w:lineRule="auto"/>
              <w:rPr>
                <w:rFonts w:ascii="Arial Narrow" w:hAnsi="Arial Narrow" w:cs="Calibri"/>
                <w:color w:val="000000"/>
                <w:sz w:val="20"/>
                <w:szCs w:val="20"/>
              </w:rPr>
            </w:pPr>
          </w:p>
        </w:tc>
      </w:tr>
      <w:tr w:rsidR="00C54A0C" w:rsidRPr="007D0AA8" w14:paraId="18CE2EFB" w14:textId="77777777" w:rsidTr="00B52A4F">
        <w:tc>
          <w:tcPr>
            <w:tcW w:w="618" w:type="pct"/>
            <w:tcBorders>
              <w:top w:val="nil"/>
              <w:left w:val="single" w:sz="4" w:space="0" w:color="auto"/>
              <w:bottom w:val="nil"/>
              <w:right w:val="single" w:sz="4" w:space="0" w:color="auto"/>
            </w:tcBorders>
            <w:vAlign w:val="bottom"/>
          </w:tcPr>
          <w:p w14:paraId="1F4522E4" w14:textId="77777777" w:rsidR="00C54A0C" w:rsidRPr="007D0AA8" w:rsidRDefault="00C54A0C" w:rsidP="00C54A0C">
            <w:pPr>
              <w:spacing w:after="0" w:line="240" w:lineRule="auto"/>
              <w:rPr>
                <w:rFonts w:ascii="Arial Narrow" w:hAnsi="Arial Narrow" w:cs="Calibri"/>
                <w:color w:val="000000"/>
                <w:sz w:val="20"/>
                <w:szCs w:val="20"/>
              </w:rPr>
            </w:pPr>
          </w:p>
        </w:tc>
        <w:tc>
          <w:tcPr>
            <w:tcW w:w="1668" w:type="pct"/>
            <w:tcBorders>
              <w:top w:val="single" w:sz="4" w:space="0" w:color="auto"/>
              <w:left w:val="single" w:sz="4" w:space="0" w:color="auto"/>
              <w:bottom w:val="nil"/>
              <w:right w:val="single" w:sz="4" w:space="0" w:color="auto"/>
            </w:tcBorders>
          </w:tcPr>
          <w:p w14:paraId="3A5841F8" w14:textId="77777777" w:rsidR="00C54A0C" w:rsidRPr="007D0AA8" w:rsidRDefault="00C54A0C" w:rsidP="00C54A0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Grade of acute GVHD; n/N patients (%)</w:t>
            </w:r>
          </w:p>
        </w:tc>
        <w:tc>
          <w:tcPr>
            <w:tcW w:w="929" w:type="pct"/>
            <w:tcBorders>
              <w:top w:val="single" w:sz="4" w:space="0" w:color="auto"/>
              <w:left w:val="single" w:sz="4" w:space="0" w:color="auto"/>
              <w:bottom w:val="nil"/>
              <w:right w:val="nil"/>
            </w:tcBorders>
            <w:shd w:val="clear" w:color="auto" w:fill="auto"/>
            <w:noWrap/>
          </w:tcPr>
          <w:p w14:paraId="66E7A953" w14:textId="77777777" w:rsidR="00C54A0C" w:rsidRPr="007D0AA8" w:rsidRDefault="00C54A0C" w:rsidP="00C54A0C">
            <w:pPr>
              <w:spacing w:after="0" w:line="240" w:lineRule="auto"/>
              <w:rPr>
                <w:rFonts w:ascii="Arial Narrow" w:hAnsi="Arial Narrow" w:cs="Calibri"/>
                <w:color w:val="000000"/>
                <w:sz w:val="20"/>
                <w:szCs w:val="20"/>
              </w:rPr>
            </w:pPr>
          </w:p>
        </w:tc>
        <w:tc>
          <w:tcPr>
            <w:tcW w:w="1075" w:type="pct"/>
            <w:gridSpan w:val="2"/>
            <w:tcBorders>
              <w:top w:val="single" w:sz="4" w:space="0" w:color="auto"/>
              <w:left w:val="nil"/>
              <w:bottom w:val="nil"/>
              <w:right w:val="nil"/>
            </w:tcBorders>
            <w:shd w:val="clear" w:color="auto" w:fill="auto"/>
            <w:noWrap/>
          </w:tcPr>
          <w:p w14:paraId="6057B403" w14:textId="77777777" w:rsidR="00C54A0C" w:rsidRPr="007D0AA8" w:rsidRDefault="00C54A0C" w:rsidP="00C54A0C">
            <w:pPr>
              <w:spacing w:after="0" w:line="240" w:lineRule="auto"/>
              <w:rPr>
                <w:rFonts w:ascii="Arial Narrow" w:hAnsi="Arial Narrow" w:cs="Calibri"/>
                <w:color w:val="000000"/>
                <w:sz w:val="20"/>
                <w:szCs w:val="20"/>
              </w:rPr>
            </w:pPr>
          </w:p>
        </w:tc>
        <w:tc>
          <w:tcPr>
            <w:tcW w:w="710" w:type="pct"/>
            <w:tcBorders>
              <w:top w:val="single" w:sz="4" w:space="0" w:color="auto"/>
              <w:left w:val="nil"/>
              <w:bottom w:val="nil"/>
              <w:right w:val="single" w:sz="4" w:space="0" w:color="auto"/>
            </w:tcBorders>
            <w:vAlign w:val="bottom"/>
          </w:tcPr>
          <w:p w14:paraId="1FA1AF48" w14:textId="77777777" w:rsidR="00C54A0C" w:rsidRPr="007D0AA8" w:rsidRDefault="00C54A0C" w:rsidP="00C54A0C">
            <w:pPr>
              <w:spacing w:after="0" w:line="240" w:lineRule="auto"/>
              <w:rPr>
                <w:rFonts w:ascii="Arial Narrow" w:hAnsi="Arial Narrow" w:cs="Calibri"/>
                <w:color w:val="000000"/>
                <w:sz w:val="20"/>
                <w:szCs w:val="20"/>
              </w:rPr>
            </w:pPr>
          </w:p>
        </w:tc>
      </w:tr>
      <w:tr w:rsidR="00C54A0C" w:rsidRPr="007D0AA8" w14:paraId="67BAB082" w14:textId="77777777" w:rsidTr="00B52A4F">
        <w:tc>
          <w:tcPr>
            <w:tcW w:w="618" w:type="pct"/>
            <w:tcBorders>
              <w:top w:val="nil"/>
              <w:left w:val="single" w:sz="4" w:space="0" w:color="auto"/>
              <w:bottom w:val="nil"/>
              <w:right w:val="single" w:sz="4" w:space="0" w:color="auto"/>
            </w:tcBorders>
            <w:vAlign w:val="bottom"/>
          </w:tcPr>
          <w:p w14:paraId="38ED1426" w14:textId="77777777" w:rsidR="00C54A0C" w:rsidRPr="007D0AA8" w:rsidRDefault="00C54A0C" w:rsidP="00C54A0C">
            <w:pPr>
              <w:spacing w:after="0" w:line="240" w:lineRule="auto"/>
              <w:rPr>
                <w:rFonts w:ascii="Arial Narrow" w:hAnsi="Arial Narrow" w:cs="Calibri"/>
                <w:color w:val="000000"/>
                <w:sz w:val="20"/>
                <w:szCs w:val="20"/>
              </w:rPr>
            </w:pPr>
          </w:p>
        </w:tc>
        <w:tc>
          <w:tcPr>
            <w:tcW w:w="1668" w:type="pct"/>
            <w:tcBorders>
              <w:top w:val="nil"/>
              <w:left w:val="single" w:sz="4" w:space="0" w:color="auto"/>
              <w:bottom w:val="nil"/>
              <w:right w:val="single" w:sz="4" w:space="0" w:color="auto"/>
            </w:tcBorders>
          </w:tcPr>
          <w:p w14:paraId="7A2ABBC9" w14:textId="77777777" w:rsidR="00C54A0C" w:rsidRPr="007D0AA8" w:rsidRDefault="00C54A0C" w:rsidP="00331FB9">
            <w:pPr>
              <w:pStyle w:val="ListParagraph"/>
              <w:numPr>
                <w:ilvl w:val="0"/>
                <w:numId w:val="16"/>
              </w:numPr>
              <w:spacing w:after="0" w:line="240" w:lineRule="auto"/>
              <w:ind w:left="170" w:hanging="142"/>
              <w:rPr>
                <w:rFonts w:ascii="Arial Narrow" w:hAnsi="Arial Narrow" w:cs="Calibri"/>
                <w:color w:val="000000"/>
                <w:sz w:val="20"/>
                <w:szCs w:val="20"/>
              </w:rPr>
            </w:pPr>
            <w:r w:rsidRPr="007D0AA8">
              <w:rPr>
                <w:rFonts w:ascii="Arial Narrow" w:hAnsi="Arial Narrow" w:cs="Calibri"/>
                <w:color w:val="000000"/>
                <w:sz w:val="20"/>
                <w:szCs w:val="20"/>
              </w:rPr>
              <w:t>Grade 0 (none)</w:t>
            </w:r>
          </w:p>
        </w:tc>
        <w:tc>
          <w:tcPr>
            <w:tcW w:w="929" w:type="pct"/>
            <w:tcBorders>
              <w:top w:val="nil"/>
              <w:left w:val="single" w:sz="4" w:space="0" w:color="auto"/>
              <w:bottom w:val="nil"/>
              <w:right w:val="nil"/>
            </w:tcBorders>
            <w:shd w:val="clear" w:color="auto" w:fill="auto"/>
            <w:noWrap/>
          </w:tcPr>
          <w:p w14:paraId="547300E2" w14:textId="77777777" w:rsidR="00C54A0C" w:rsidRPr="007D0AA8" w:rsidRDefault="00C54A0C" w:rsidP="00C54A0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79/166 (48%)</w:t>
            </w:r>
          </w:p>
        </w:tc>
        <w:tc>
          <w:tcPr>
            <w:tcW w:w="1075" w:type="pct"/>
            <w:gridSpan w:val="2"/>
            <w:tcBorders>
              <w:top w:val="nil"/>
              <w:left w:val="nil"/>
              <w:bottom w:val="nil"/>
              <w:right w:val="nil"/>
            </w:tcBorders>
            <w:shd w:val="clear" w:color="auto" w:fill="auto"/>
            <w:noWrap/>
          </w:tcPr>
          <w:p w14:paraId="5AF5C979" w14:textId="77777777" w:rsidR="00C54A0C" w:rsidRPr="007D0AA8" w:rsidRDefault="00C54A0C" w:rsidP="00C54A0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60/159 (38%)</w:t>
            </w:r>
          </w:p>
        </w:tc>
        <w:tc>
          <w:tcPr>
            <w:tcW w:w="710" w:type="pct"/>
            <w:tcBorders>
              <w:top w:val="nil"/>
              <w:left w:val="nil"/>
              <w:bottom w:val="nil"/>
              <w:right w:val="single" w:sz="4" w:space="0" w:color="auto"/>
            </w:tcBorders>
            <w:vAlign w:val="bottom"/>
          </w:tcPr>
          <w:p w14:paraId="223F0BF6" w14:textId="77777777" w:rsidR="00C54A0C" w:rsidRPr="007D0AA8" w:rsidRDefault="00C54A0C" w:rsidP="00C54A0C">
            <w:pPr>
              <w:spacing w:after="0" w:line="240" w:lineRule="auto"/>
              <w:rPr>
                <w:rFonts w:ascii="Arial Narrow" w:hAnsi="Arial Narrow" w:cs="Calibri"/>
                <w:color w:val="000000"/>
                <w:sz w:val="20"/>
                <w:szCs w:val="20"/>
              </w:rPr>
            </w:pPr>
          </w:p>
        </w:tc>
      </w:tr>
      <w:tr w:rsidR="00C54A0C" w:rsidRPr="007D0AA8" w14:paraId="42891FC9" w14:textId="77777777" w:rsidTr="00B52A4F">
        <w:tc>
          <w:tcPr>
            <w:tcW w:w="618" w:type="pct"/>
            <w:tcBorders>
              <w:top w:val="nil"/>
              <w:left w:val="single" w:sz="4" w:space="0" w:color="auto"/>
              <w:bottom w:val="nil"/>
              <w:right w:val="single" w:sz="4" w:space="0" w:color="auto"/>
            </w:tcBorders>
            <w:vAlign w:val="bottom"/>
          </w:tcPr>
          <w:p w14:paraId="00126AC2" w14:textId="77777777" w:rsidR="00C54A0C" w:rsidRPr="007D0AA8" w:rsidRDefault="00C54A0C" w:rsidP="00C54A0C">
            <w:pPr>
              <w:spacing w:after="0" w:line="240" w:lineRule="auto"/>
              <w:rPr>
                <w:rFonts w:ascii="Arial Narrow" w:hAnsi="Arial Narrow" w:cs="Calibri"/>
                <w:color w:val="000000"/>
                <w:sz w:val="20"/>
                <w:szCs w:val="20"/>
              </w:rPr>
            </w:pPr>
          </w:p>
        </w:tc>
        <w:tc>
          <w:tcPr>
            <w:tcW w:w="1668" w:type="pct"/>
            <w:tcBorders>
              <w:top w:val="nil"/>
              <w:left w:val="single" w:sz="4" w:space="0" w:color="auto"/>
              <w:bottom w:val="nil"/>
              <w:right w:val="single" w:sz="4" w:space="0" w:color="auto"/>
            </w:tcBorders>
          </w:tcPr>
          <w:p w14:paraId="5D964DCC" w14:textId="77777777" w:rsidR="00C54A0C" w:rsidRPr="007D0AA8" w:rsidRDefault="00C54A0C" w:rsidP="00331FB9">
            <w:pPr>
              <w:pStyle w:val="ListParagraph"/>
              <w:numPr>
                <w:ilvl w:val="0"/>
                <w:numId w:val="16"/>
              </w:numPr>
              <w:spacing w:after="0" w:line="240" w:lineRule="auto"/>
              <w:ind w:left="170" w:hanging="142"/>
              <w:rPr>
                <w:rFonts w:ascii="Arial Narrow" w:hAnsi="Arial Narrow" w:cs="Calibri"/>
                <w:color w:val="000000"/>
                <w:sz w:val="20"/>
                <w:szCs w:val="20"/>
              </w:rPr>
            </w:pPr>
            <w:r w:rsidRPr="007D0AA8">
              <w:rPr>
                <w:rFonts w:ascii="Arial Narrow" w:hAnsi="Arial Narrow" w:cs="Calibri"/>
                <w:color w:val="000000"/>
                <w:sz w:val="20"/>
                <w:szCs w:val="20"/>
              </w:rPr>
              <w:t>Grade I (mild)</w:t>
            </w:r>
          </w:p>
        </w:tc>
        <w:tc>
          <w:tcPr>
            <w:tcW w:w="929" w:type="pct"/>
            <w:tcBorders>
              <w:top w:val="nil"/>
              <w:left w:val="single" w:sz="4" w:space="0" w:color="auto"/>
              <w:bottom w:val="nil"/>
              <w:right w:val="nil"/>
            </w:tcBorders>
            <w:shd w:val="clear" w:color="auto" w:fill="auto"/>
            <w:noWrap/>
          </w:tcPr>
          <w:p w14:paraId="6A336339" w14:textId="77777777" w:rsidR="00C54A0C" w:rsidRPr="007D0AA8" w:rsidRDefault="00C54A0C" w:rsidP="00C54A0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17/166 (10%)</w:t>
            </w:r>
          </w:p>
        </w:tc>
        <w:tc>
          <w:tcPr>
            <w:tcW w:w="1075" w:type="pct"/>
            <w:gridSpan w:val="2"/>
            <w:tcBorders>
              <w:top w:val="nil"/>
              <w:left w:val="nil"/>
              <w:bottom w:val="nil"/>
              <w:right w:val="nil"/>
            </w:tcBorders>
            <w:shd w:val="clear" w:color="auto" w:fill="auto"/>
            <w:noWrap/>
          </w:tcPr>
          <w:p w14:paraId="5072808F" w14:textId="77777777" w:rsidR="00C54A0C" w:rsidRPr="007D0AA8" w:rsidRDefault="00C54A0C" w:rsidP="00C54A0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16/159 (10%)</w:t>
            </w:r>
          </w:p>
        </w:tc>
        <w:tc>
          <w:tcPr>
            <w:tcW w:w="710" w:type="pct"/>
            <w:tcBorders>
              <w:top w:val="nil"/>
              <w:left w:val="nil"/>
              <w:bottom w:val="nil"/>
              <w:right w:val="single" w:sz="4" w:space="0" w:color="auto"/>
            </w:tcBorders>
            <w:vAlign w:val="bottom"/>
          </w:tcPr>
          <w:p w14:paraId="53BADBA5" w14:textId="77777777" w:rsidR="00C54A0C" w:rsidRPr="007D0AA8" w:rsidRDefault="00C54A0C" w:rsidP="00C54A0C">
            <w:pPr>
              <w:spacing w:after="0" w:line="240" w:lineRule="auto"/>
              <w:rPr>
                <w:rFonts w:ascii="Arial Narrow" w:hAnsi="Arial Narrow" w:cs="Calibri"/>
                <w:color w:val="000000"/>
                <w:sz w:val="20"/>
                <w:szCs w:val="20"/>
              </w:rPr>
            </w:pPr>
          </w:p>
        </w:tc>
      </w:tr>
      <w:tr w:rsidR="00C54A0C" w:rsidRPr="007D0AA8" w14:paraId="4E23E799" w14:textId="77777777" w:rsidTr="00B52A4F">
        <w:tc>
          <w:tcPr>
            <w:tcW w:w="618" w:type="pct"/>
            <w:tcBorders>
              <w:top w:val="nil"/>
              <w:left w:val="single" w:sz="4" w:space="0" w:color="auto"/>
              <w:bottom w:val="nil"/>
              <w:right w:val="single" w:sz="4" w:space="0" w:color="auto"/>
            </w:tcBorders>
            <w:vAlign w:val="bottom"/>
          </w:tcPr>
          <w:p w14:paraId="21952981" w14:textId="77777777" w:rsidR="00C54A0C" w:rsidRPr="007D0AA8" w:rsidRDefault="00C54A0C" w:rsidP="00C54A0C">
            <w:pPr>
              <w:spacing w:after="0" w:line="240" w:lineRule="auto"/>
              <w:rPr>
                <w:rFonts w:ascii="Arial Narrow" w:hAnsi="Arial Narrow" w:cs="Calibri"/>
                <w:color w:val="000000"/>
                <w:sz w:val="20"/>
                <w:szCs w:val="20"/>
              </w:rPr>
            </w:pPr>
          </w:p>
        </w:tc>
        <w:tc>
          <w:tcPr>
            <w:tcW w:w="1668" w:type="pct"/>
            <w:tcBorders>
              <w:top w:val="nil"/>
              <w:left w:val="single" w:sz="4" w:space="0" w:color="auto"/>
              <w:bottom w:val="nil"/>
              <w:right w:val="single" w:sz="4" w:space="0" w:color="auto"/>
            </w:tcBorders>
          </w:tcPr>
          <w:p w14:paraId="7265F847" w14:textId="77777777" w:rsidR="00C54A0C" w:rsidRPr="007D0AA8" w:rsidRDefault="00C54A0C" w:rsidP="00331FB9">
            <w:pPr>
              <w:pStyle w:val="ListParagraph"/>
              <w:numPr>
                <w:ilvl w:val="0"/>
                <w:numId w:val="16"/>
              </w:numPr>
              <w:spacing w:after="0" w:line="240" w:lineRule="auto"/>
              <w:ind w:left="170" w:hanging="142"/>
              <w:rPr>
                <w:rFonts w:ascii="Arial Narrow" w:hAnsi="Arial Narrow" w:cs="Calibri"/>
                <w:color w:val="000000"/>
                <w:sz w:val="20"/>
                <w:szCs w:val="20"/>
              </w:rPr>
            </w:pPr>
            <w:r w:rsidRPr="007D0AA8">
              <w:rPr>
                <w:rFonts w:ascii="Arial Narrow" w:hAnsi="Arial Narrow" w:cs="Calibri"/>
                <w:color w:val="000000"/>
                <w:sz w:val="20"/>
                <w:szCs w:val="20"/>
              </w:rPr>
              <w:t>Grade II (moderate)</w:t>
            </w:r>
          </w:p>
        </w:tc>
        <w:tc>
          <w:tcPr>
            <w:tcW w:w="929" w:type="pct"/>
            <w:tcBorders>
              <w:top w:val="nil"/>
              <w:left w:val="single" w:sz="4" w:space="0" w:color="auto"/>
              <w:bottom w:val="nil"/>
              <w:right w:val="nil"/>
            </w:tcBorders>
            <w:shd w:val="clear" w:color="auto" w:fill="auto"/>
            <w:noWrap/>
          </w:tcPr>
          <w:p w14:paraId="4CF2A165" w14:textId="77777777" w:rsidR="00C54A0C" w:rsidRPr="007D0AA8" w:rsidRDefault="00C54A0C" w:rsidP="00C54A0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36/166 (22%)</w:t>
            </w:r>
          </w:p>
        </w:tc>
        <w:tc>
          <w:tcPr>
            <w:tcW w:w="1075" w:type="pct"/>
            <w:gridSpan w:val="2"/>
            <w:tcBorders>
              <w:top w:val="nil"/>
              <w:left w:val="nil"/>
              <w:bottom w:val="nil"/>
              <w:right w:val="nil"/>
            </w:tcBorders>
            <w:shd w:val="clear" w:color="auto" w:fill="auto"/>
            <w:noWrap/>
          </w:tcPr>
          <w:p w14:paraId="13268539" w14:textId="77777777" w:rsidR="00C54A0C" w:rsidRPr="007D0AA8" w:rsidRDefault="00C54A0C" w:rsidP="00C54A0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38/159 (24%)</w:t>
            </w:r>
          </w:p>
        </w:tc>
        <w:tc>
          <w:tcPr>
            <w:tcW w:w="710" w:type="pct"/>
            <w:tcBorders>
              <w:top w:val="nil"/>
              <w:left w:val="nil"/>
              <w:bottom w:val="nil"/>
              <w:right w:val="single" w:sz="4" w:space="0" w:color="auto"/>
            </w:tcBorders>
          </w:tcPr>
          <w:p w14:paraId="47D193E7" w14:textId="77777777" w:rsidR="00C54A0C" w:rsidRPr="007D0AA8" w:rsidRDefault="00C54A0C" w:rsidP="00C54A0C">
            <w:pPr>
              <w:spacing w:after="0" w:line="240" w:lineRule="auto"/>
              <w:rPr>
                <w:rFonts w:ascii="Arial Narrow" w:hAnsi="Arial Narrow" w:cs="Calibri"/>
                <w:color w:val="000000"/>
                <w:sz w:val="20"/>
                <w:szCs w:val="20"/>
              </w:rPr>
            </w:pPr>
          </w:p>
        </w:tc>
      </w:tr>
      <w:tr w:rsidR="00C54A0C" w:rsidRPr="007D0AA8" w14:paraId="5D38CF32" w14:textId="77777777" w:rsidTr="00B52A4F">
        <w:tc>
          <w:tcPr>
            <w:tcW w:w="618" w:type="pct"/>
            <w:tcBorders>
              <w:top w:val="nil"/>
              <w:left w:val="single" w:sz="4" w:space="0" w:color="auto"/>
              <w:bottom w:val="nil"/>
              <w:right w:val="single" w:sz="4" w:space="0" w:color="auto"/>
            </w:tcBorders>
            <w:vAlign w:val="bottom"/>
          </w:tcPr>
          <w:p w14:paraId="5278BAE3" w14:textId="77777777" w:rsidR="00C54A0C" w:rsidRPr="007D0AA8" w:rsidRDefault="00C54A0C" w:rsidP="00C54A0C">
            <w:pPr>
              <w:spacing w:after="0" w:line="240" w:lineRule="auto"/>
              <w:rPr>
                <w:rFonts w:ascii="Arial Narrow" w:hAnsi="Arial Narrow" w:cs="Calibri"/>
                <w:color w:val="000000"/>
                <w:sz w:val="20"/>
                <w:szCs w:val="20"/>
              </w:rPr>
            </w:pPr>
          </w:p>
        </w:tc>
        <w:tc>
          <w:tcPr>
            <w:tcW w:w="1668" w:type="pct"/>
            <w:tcBorders>
              <w:top w:val="nil"/>
              <w:left w:val="single" w:sz="4" w:space="0" w:color="auto"/>
              <w:bottom w:val="nil"/>
              <w:right w:val="single" w:sz="4" w:space="0" w:color="auto"/>
            </w:tcBorders>
          </w:tcPr>
          <w:p w14:paraId="7CA67C4A" w14:textId="77777777" w:rsidR="00C54A0C" w:rsidRPr="007D0AA8" w:rsidRDefault="00C54A0C" w:rsidP="00331FB9">
            <w:pPr>
              <w:pStyle w:val="ListParagraph"/>
              <w:numPr>
                <w:ilvl w:val="0"/>
                <w:numId w:val="16"/>
              </w:numPr>
              <w:spacing w:after="0" w:line="240" w:lineRule="auto"/>
              <w:ind w:left="170" w:hanging="142"/>
              <w:rPr>
                <w:rFonts w:ascii="Arial Narrow" w:hAnsi="Arial Narrow" w:cs="Calibri"/>
                <w:color w:val="000000"/>
                <w:sz w:val="20"/>
                <w:szCs w:val="20"/>
              </w:rPr>
            </w:pPr>
            <w:r w:rsidRPr="007D0AA8">
              <w:rPr>
                <w:rFonts w:ascii="Arial Narrow" w:hAnsi="Arial Narrow" w:cs="Calibri"/>
                <w:color w:val="000000"/>
                <w:sz w:val="20"/>
                <w:szCs w:val="20"/>
              </w:rPr>
              <w:t>Grade III (severe)</w:t>
            </w:r>
          </w:p>
        </w:tc>
        <w:tc>
          <w:tcPr>
            <w:tcW w:w="929" w:type="pct"/>
            <w:tcBorders>
              <w:top w:val="nil"/>
              <w:left w:val="single" w:sz="4" w:space="0" w:color="auto"/>
              <w:bottom w:val="nil"/>
              <w:right w:val="nil"/>
            </w:tcBorders>
            <w:shd w:val="clear" w:color="auto" w:fill="auto"/>
            <w:noWrap/>
          </w:tcPr>
          <w:p w14:paraId="19FB1D51" w14:textId="77777777" w:rsidR="00C54A0C" w:rsidRPr="007D0AA8" w:rsidRDefault="00C54A0C" w:rsidP="00C54A0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29/166 (17%)</w:t>
            </w:r>
          </w:p>
        </w:tc>
        <w:tc>
          <w:tcPr>
            <w:tcW w:w="1075" w:type="pct"/>
            <w:gridSpan w:val="2"/>
            <w:tcBorders>
              <w:top w:val="nil"/>
              <w:left w:val="nil"/>
              <w:bottom w:val="nil"/>
              <w:right w:val="nil"/>
            </w:tcBorders>
            <w:shd w:val="clear" w:color="auto" w:fill="auto"/>
            <w:noWrap/>
          </w:tcPr>
          <w:p w14:paraId="51A07EC5" w14:textId="77777777" w:rsidR="00C54A0C" w:rsidRPr="007D0AA8" w:rsidRDefault="00C54A0C" w:rsidP="00C54A0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32/159 (20%)</w:t>
            </w:r>
          </w:p>
        </w:tc>
        <w:tc>
          <w:tcPr>
            <w:tcW w:w="710" w:type="pct"/>
            <w:tcBorders>
              <w:top w:val="nil"/>
              <w:left w:val="nil"/>
              <w:bottom w:val="nil"/>
              <w:right w:val="single" w:sz="4" w:space="0" w:color="auto"/>
            </w:tcBorders>
          </w:tcPr>
          <w:p w14:paraId="152C3D4F" w14:textId="77777777" w:rsidR="00C54A0C" w:rsidRPr="007D0AA8" w:rsidRDefault="00C54A0C" w:rsidP="00C54A0C">
            <w:pPr>
              <w:spacing w:after="0" w:line="240" w:lineRule="auto"/>
              <w:rPr>
                <w:rFonts w:ascii="Arial Narrow" w:hAnsi="Arial Narrow" w:cs="Calibri"/>
                <w:color w:val="000000"/>
                <w:sz w:val="20"/>
                <w:szCs w:val="20"/>
              </w:rPr>
            </w:pPr>
          </w:p>
        </w:tc>
      </w:tr>
      <w:tr w:rsidR="00C54A0C" w:rsidRPr="007D0AA8" w14:paraId="1AA2D169" w14:textId="77777777" w:rsidTr="00B52A4F">
        <w:tc>
          <w:tcPr>
            <w:tcW w:w="618" w:type="pct"/>
            <w:tcBorders>
              <w:top w:val="nil"/>
              <w:left w:val="single" w:sz="4" w:space="0" w:color="auto"/>
              <w:bottom w:val="nil"/>
              <w:right w:val="single" w:sz="4" w:space="0" w:color="auto"/>
            </w:tcBorders>
            <w:vAlign w:val="bottom"/>
          </w:tcPr>
          <w:p w14:paraId="6771A6A6" w14:textId="77777777" w:rsidR="00C54A0C" w:rsidRPr="007D0AA8" w:rsidRDefault="00C54A0C" w:rsidP="00C54A0C">
            <w:pPr>
              <w:spacing w:after="0" w:line="240" w:lineRule="auto"/>
              <w:rPr>
                <w:rFonts w:ascii="Arial Narrow" w:hAnsi="Arial Narrow" w:cs="Calibri"/>
                <w:color w:val="000000"/>
                <w:sz w:val="20"/>
                <w:szCs w:val="20"/>
              </w:rPr>
            </w:pPr>
          </w:p>
        </w:tc>
        <w:tc>
          <w:tcPr>
            <w:tcW w:w="1668" w:type="pct"/>
            <w:tcBorders>
              <w:top w:val="nil"/>
              <w:left w:val="single" w:sz="4" w:space="0" w:color="auto"/>
              <w:bottom w:val="single" w:sz="4" w:space="0" w:color="auto"/>
              <w:right w:val="single" w:sz="4" w:space="0" w:color="auto"/>
            </w:tcBorders>
          </w:tcPr>
          <w:p w14:paraId="0E132751" w14:textId="77777777" w:rsidR="00C54A0C" w:rsidRPr="007D0AA8" w:rsidRDefault="00C54A0C" w:rsidP="00331FB9">
            <w:pPr>
              <w:pStyle w:val="ListParagraph"/>
              <w:numPr>
                <w:ilvl w:val="0"/>
                <w:numId w:val="16"/>
              </w:numPr>
              <w:spacing w:after="0" w:line="240" w:lineRule="auto"/>
              <w:ind w:left="170" w:hanging="142"/>
              <w:rPr>
                <w:rFonts w:ascii="Arial Narrow" w:hAnsi="Arial Narrow" w:cs="Calibri"/>
                <w:color w:val="000000"/>
                <w:sz w:val="20"/>
                <w:szCs w:val="20"/>
              </w:rPr>
            </w:pPr>
            <w:r w:rsidRPr="007D0AA8">
              <w:rPr>
                <w:rFonts w:ascii="Arial Narrow" w:hAnsi="Arial Narrow" w:cs="Calibri"/>
                <w:color w:val="000000"/>
                <w:sz w:val="20"/>
                <w:szCs w:val="20"/>
              </w:rPr>
              <w:t>Grade IV (life-threatening)</w:t>
            </w:r>
          </w:p>
        </w:tc>
        <w:tc>
          <w:tcPr>
            <w:tcW w:w="929" w:type="pct"/>
            <w:tcBorders>
              <w:top w:val="nil"/>
              <w:left w:val="single" w:sz="4" w:space="0" w:color="auto"/>
              <w:bottom w:val="single" w:sz="4" w:space="0" w:color="auto"/>
              <w:right w:val="nil"/>
            </w:tcBorders>
            <w:shd w:val="clear" w:color="auto" w:fill="auto"/>
            <w:noWrap/>
          </w:tcPr>
          <w:p w14:paraId="0FD80F51" w14:textId="77777777" w:rsidR="00C54A0C" w:rsidRPr="007D0AA8" w:rsidRDefault="00C54A0C" w:rsidP="00C54A0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5/166 (3%)</w:t>
            </w:r>
          </w:p>
        </w:tc>
        <w:tc>
          <w:tcPr>
            <w:tcW w:w="1075" w:type="pct"/>
            <w:gridSpan w:val="2"/>
            <w:tcBorders>
              <w:top w:val="nil"/>
              <w:left w:val="nil"/>
              <w:bottom w:val="single" w:sz="4" w:space="0" w:color="auto"/>
              <w:right w:val="nil"/>
            </w:tcBorders>
            <w:shd w:val="clear" w:color="auto" w:fill="auto"/>
            <w:noWrap/>
          </w:tcPr>
          <w:p w14:paraId="6ED05570" w14:textId="77777777" w:rsidR="00C54A0C" w:rsidRPr="007D0AA8" w:rsidRDefault="00C54A0C" w:rsidP="00C54A0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13/159 (8%)</w:t>
            </w:r>
          </w:p>
        </w:tc>
        <w:tc>
          <w:tcPr>
            <w:tcW w:w="710" w:type="pct"/>
            <w:tcBorders>
              <w:top w:val="nil"/>
              <w:left w:val="nil"/>
              <w:bottom w:val="single" w:sz="4" w:space="0" w:color="auto"/>
              <w:right w:val="single" w:sz="4" w:space="0" w:color="auto"/>
            </w:tcBorders>
          </w:tcPr>
          <w:p w14:paraId="496AA0AC" w14:textId="77777777" w:rsidR="00C54A0C" w:rsidRPr="007D0AA8" w:rsidRDefault="00C54A0C" w:rsidP="00C54A0C">
            <w:pPr>
              <w:spacing w:after="0" w:line="240" w:lineRule="auto"/>
              <w:rPr>
                <w:rFonts w:ascii="Arial Narrow" w:hAnsi="Arial Narrow" w:cs="Calibri"/>
                <w:color w:val="000000"/>
                <w:sz w:val="20"/>
                <w:szCs w:val="20"/>
              </w:rPr>
            </w:pPr>
          </w:p>
        </w:tc>
      </w:tr>
      <w:tr w:rsidR="00C54A0C" w:rsidRPr="007D0AA8" w14:paraId="32E1B3C5" w14:textId="77777777" w:rsidTr="00B52A4F">
        <w:tc>
          <w:tcPr>
            <w:tcW w:w="618" w:type="pct"/>
            <w:tcBorders>
              <w:top w:val="nil"/>
              <w:left w:val="single" w:sz="4" w:space="0" w:color="auto"/>
              <w:bottom w:val="nil"/>
              <w:right w:val="single" w:sz="4" w:space="0" w:color="auto"/>
            </w:tcBorders>
            <w:vAlign w:val="bottom"/>
          </w:tcPr>
          <w:p w14:paraId="73486456" w14:textId="77777777" w:rsidR="00C54A0C" w:rsidRPr="007D0AA8" w:rsidRDefault="00C54A0C" w:rsidP="00C54A0C">
            <w:pPr>
              <w:spacing w:after="0" w:line="240" w:lineRule="auto"/>
              <w:rPr>
                <w:rFonts w:ascii="Arial Narrow" w:hAnsi="Arial Narrow" w:cs="Calibri"/>
                <w:color w:val="000000"/>
                <w:sz w:val="20"/>
                <w:szCs w:val="20"/>
              </w:rPr>
            </w:pPr>
          </w:p>
        </w:tc>
        <w:tc>
          <w:tcPr>
            <w:tcW w:w="1668" w:type="pct"/>
            <w:tcBorders>
              <w:top w:val="single" w:sz="4" w:space="0" w:color="auto"/>
              <w:left w:val="single" w:sz="4" w:space="0" w:color="auto"/>
              <w:bottom w:val="single" w:sz="4" w:space="0" w:color="auto"/>
              <w:right w:val="single" w:sz="4" w:space="0" w:color="auto"/>
            </w:tcBorders>
          </w:tcPr>
          <w:p w14:paraId="3B3E241D" w14:textId="77777777" w:rsidR="00C54A0C" w:rsidRPr="007D0AA8" w:rsidRDefault="00C54A0C" w:rsidP="00C54A0C">
            <w:pPr>
              <w:spacing w:after="0" w:line="240" w:lineRule="auto"/>
              <w:ind w:left="28"/>
              <w:rPr>
                <w:rFonts w:ascii="Arial Narrow" w:hAnsi="Arial Narrow" w:cs="Calibri"/>
                <w:color w:val="000000"/>
                <w:sz w:val="20"/>
                <w:szCs w:val="20"/>
              </w:rPr>
            </w:pPr>
            <w:r w:rsidRPr="007D0AA8">
              <w:rPr>
                <w:rFonts w:ascii="Arial Narrow" w:hAnsi="Arial Narrow" w:cs="Calibri"/>
                <w:color w:val="000000"/>
                <w:sz w:val="20"/>
                <w:szCs w:val="20"/>
              </w:rPr>
              <w:t>Relative risk, Grades II-IV GVHD</w:t>
            </w:r>
          </w:p>
        </w:tc>
        <w:tc>
          <w:tcPr>
            <w:tcW w:w="929" w:type="pct"/>
            <w:tcBorders>
              <w:top w:val="single" w:sz="4" w:space="0" w:color="auto"/>
              <w:left w:val="single" w:sz="4" w:space="0" w:color="auto"/>
              <w:bottom w:val="single" w:sz="4" w:space="0" w:color="auto"/>
              <w:right w:val="nil"/>
            </w:tcBorders>
            <w:shd w:val="clear" w:color="auto" w:fill="auto"/>
            <w:noWrap/>
          </w:tcPr>
          <w:p w14:paraId="59FC4387" w14:textId="77777777" w:rsidR="00C54A0C" w:rsidRPr="007D0AA8" w:rsidRDefault="00C54A0C" w:rsidP="00C54A0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c>
          <w:tcPr>
            <w:tcW w:w="1075" w:type="pct"/>
            <w:gridSpan w:val="2"/>
            <w:tcBorders>
              <w:top w:val="single" w:sz="4" w:space="0" w:color="auto"/>
              <w:left w:val="nil"/>
              <w:bottom w:val="single" w:sz="4" w:space="0" w:color="auto"/>
              <w:right w:val="nil"/>
            </w:tcBorders>
            <w:shd w:val="clear" w:color="auto" w:fill="auto"/>
            <w:noWrap/>
          </w:tcPr>
          <w:p w14:paraId="3DB76776" w14:textId="77777777" w:rsidR="00C54A0C" w:rsidRPr="007D0AA8" w:rsidRDefault="00C54A0C" w:rsidP="00C54A0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w:t>
            </w:r>
          </w:p>
        </w:tc>
        <w:tc>
          <w:tcPr>
            <w:tcW w:w="710" w:type="pct"/>
            <w:tcBorders>
              <w:top w:val="single" w:sz="4" w:space="0" w:color="auto"/>
              <w:left w:val="nil"/>
              <w:bottom w:val="single" w:sz="4" w:space="0" w:color="auto"/>
              <w:right w:val="single" w:sz="4" w:space="0" w:color="auto"/>
            </w:tcBorders>
          </w:tcPr>
          <w:p w14:paraId="4008F667" w14:textId="77777777" w:rsidR="00C54A0C" w:rsidRPr="007D0AA8" w:rsidRDefault="00C54A0C" w:rsidP="00C54A0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1.63 (0.0056)</w:t>
            </w:r>
          </w:p>
        </w:tc>
      </w:tr>
      <w:tr w:rsidR="00C54A0C" w:rsidRPr="007D0AA8" w14:paraId="4395577D" w14:textId="77777777" w:rsidTr="00B52A4F">
        <w:tc>
          <w:tcPr>
            <w:tcW w:w="618" w:type="pct"/>
            <w:tcBorders>
              <w:top w:val="nil"/>
              <w:left w:val="single" w:sz="4" w:space="0" w:color="auto"/>
              <w:right w:val="single" w:sz="4" w:space="0" w:color="auto"/>
            </w:tcBorders>
            <w:vAlign w:val="bottom"/>
          </w:tcPr>
          <w:p w14:paraId="17BA6B0E" w14:textId="77777777" w:rsidR="00C54A0C" w:rsidRPr="007D0AA8" w:rsidRDefault="00C54A0C" w:rsidP="00C54A0C">
            <w:pPr>
              <w:spacing w:after="0" w:line="240" w:lineRule="auto"/>
              <w:rPr>
                <w:rFonts w:ascii="Arial Narrow" w:hAnsi="Arial Narrow" w:cs="Calibri"/>
                <w:color w:val="000000"/>
                <w:sz w:val="20"/>
                <w:szCs w:val="20"/>
              </w:rPr>
            </w:pPr>
          </w:p>
        </w:tc>
        <w:tc>
          <w:tcPr>
            <w:tcW w:w="1668" w:type="pct"/>
            <w:tcBorders>
              <w:top w:val="single" w:sz="4" w:space="0" w:color="auto"/>
              <w:left w:val="single" w:sz="4" w:space="0" w:color="auto"/>
              <w:bottom w:val="nil"/>
              <w:right w:val="single" w:sz="4" w:space="0" w:color="auto"/>
            </w:tcBorders>
          </w:tcPr>
          <w:p w14:paraId="65A9AD6F" w14:textId="77777777" w:rsidR="00C54A0C" w:rsidRPr="007D0AA8" w:rsidRDefault="00C54A0C" w:rsidP="00C54A0C">
            <w:pPr>
              <w:spacing w:after="0" w:line="240" w:lineRule="auto"/>
              <w:ind w:left="28"/>
              <w:rPr>
                <w:rFonts w:ascii="Arial Narrow" w:hAnsi="Arial Narrow" w:cs="Calibri"/>
                <w:color w:val="000000"/>
                <w:sz w:val="20"/>
                <w:szCs w:val="20"/>
              </w:rPr>
            </w:pPr>
            <w:r w:rsidRPr="007D0AA8">
              <w:rPr>
                <w:rFonts w:ascii="Arial Narrow" w:hAnsi="Arial Narrow" w:cs="Calibri"/>
                <w:color w:val="000000"/>
                <w:sz w:val="20"/>
                <w:szCs w:val="20"/>
              </w:rPr>
              <w:t>Acute GVHD, Grade II-IV, cumulative incidence</w:t>
            </w:r>
          </w:p>
        </w:tc>
        <w:tc>
          <w:tcPr>
            <w:tcW w:w="929" w:type="pct"/>
            <w:tcBorders>
              <w:top w:val="single" w:sz="4" w:space="0" w:color="auto"/>
              <w:left w:val="single" w:sz="4" w:space="0" w:color="auto"/>
              <w:bottom w:val="nil"/>
              <w:right w:val="nil"/>
            </w:tcBorders>
            <w:shd w:val="clear" w:color="auto" w:fill="auto"/>
            <w:noWrap/>
          </w:tcPr>
          <w:p w14:paraId="396F61C0" w14:textId="77777777" w:rsidR="00C54A0C" w:rsidRPr="007D0AA8" w:rsidRDefault="00C54A0C" w:rsidP="00C54A0C">
            <w:pPr>
              <w:spacing w:after="0" w:line="240" w:lineRule="auto"/>
              <w:rPr>
                <w:rFonts w:ascii="Arial Narrow" w:hAnsi="Arial Narrow" w:cs="Calibri"/>
                <w:color w:val="000000"/>
                <w:sz w:val="20"/>
                <w:szCs w:val="20"/>
              </w:rPr>
            </w:pPr>
          </w:p>
        </w:tc>
        <w:tc>
          <w:tcPr>
            <w:tcW w:w="1075" w:type="pct"/>
            <w:gridSpan w:val="2"/>
            <w:tcBorders>
              <w:top w:val="single" w:sz="4" w:space="0" w:color="auto"/>
              <w:left w:val="nil"/>
              <w:bottom w:val="nil"/>
              <w:right w:val="nil"/>
            </w:tcBorders>
            <w:shd w:val="clear" w:color="auto" w:fill="auto"/>
            <w:noWrap/>
          </w:tcPr>
          <w:p w14:paraId="0105E835" w14:textId="77777777" w:rsidR="00C54A0C" w:rsidRPr="007D0AA8" w:rsidRDefault="00C54A0C" w:rsidP="00C54A0C">
            <w:pPr>
              <w:spacing w:after="0" w:line="240" w:lineRule="auto"/>
              <w:rPr>
                <w:rFonts w:ascii="Arial Narrow" w:hAnsi="Arial Narrow" w:cs="Calibri"/>
                <w:color w:val="000000"/>
                <w:sz w:val="20"/>
                <w:szCs w:val="20"/>
              </w:rPr>
            </w:pPr>
          </w:p>
        </w:tc>
        <w:tc>
          <w:tcPr>
            <w:tcW w:w="710" w:type="pct"/>
            <w:tcBorders>
              <w:top w:val="single" w:sz="4" w:space="0" w:color="auto"/>
              <w:left w:val="nil"/>
              <w:bottom w:val="nil"/>
              <w:right w:val="single" w:sz="4" w:space="0" w:color="auto"/>
            </w:tcBorders>
          </w:tcPr>
          <w:p w14:paraId="5AA9EA7B" w14:textId="77777777" w:rsidR="00C54A0C" w:rsidRPr="007D0AA8" w:rsidRDefault="00C54A0C" w:rsidP="00C54A0C">
            <w:pPr>
              <w:spacing w:after="0" w:line="240" w:lineRule="auto"/>
              <w:rPr>
                <w:rFonts w:ascii="Arial Narrow" w:hAnsi="Arial Narrow" w:cs="Calibri"/>
                <w:color w:val="000000"/>
                <w:sz w:val="20"/>
                <w:szCs w:val="20"/>
              </w:rPr>
            </w:pPr>
          </w:p>
        </w:tc>
      </w:tr>
      <w:tr w:rsidR="00C54A0C" w:rsidRPr="007D0AA8" w14:paraId="03B606BE" w14:textId="77777777" w:rsidTr="00B52A4F">
        <w:tc>
          <w:tcPr>
            <w:tcW w:w="618" w:type="pct"/>
            <w:tcBorders>
              <w:top w:val="nil"/>
              <w:left w:val="single" w:sz="4" w:space="0" w:color="auto"/>
              <w:right w:val="single" w:sz="4" w:space="0" w:color="auto"/>
            </w:tcBorders>
            <w:vAlign w:val="bottom"/>
          </w:tcPr>
          <w:p w14:paraId="534A1D71" w14:textId="77777777" w:rsidR="00C54A0C" w:rsidRPr="007D0AA8" w:rsidRDefault="00C54A0C" w:rsidP="00C54A0C">
            <w:pPr>
              <w:spacing w:after="0" w:line="240" w:lineRule="auto"/>
              <w:rPr>
                <w:rFonts w:ascii="Arial Narrow" w:hAnsi="Arial Narrow" w:cs="Calibri"/>
                <w:color w:val="000000"/>
                <w:sz w:val="20"/>
                <w:szCs w:val="20"/>
              </w:rPr>
            </w:pPr>
          </w:p>
        </w:tc>
        <w:tc>
          <w:tcPr>
            <w:tcW w:w="1668" w:type="pct"/>
            <w:tcBorders>
              <w:top w:val="nil"/>
              <w:left w:val="single" w:sz="4" w:space="0" w:color="auto"/>
              <w:bottom w:val="single" w:sz="4" w:space="0" w:color="auto"/>
              <w:right w:val="single" w:sz="4" w:space="0" w:color="auto"/>
            </w:tcBorders>
          </w:tcPr>
          <w:p w14:paraId="5D585962" w14:textId="77777777" w:rsidR="00C54A0C" w:rsidRPr="007D0AA8" w:rsidRDefault="00C54A0C" w:rsidP="00C54A0C">
            <w:pPr>
              <w:spacing w:after="0" w:line="240" w:lineRule="auto"/>
              <w:ind w:left="28"/>
              <w:rPr>
                <w:rFonts w:ascii="Arial Narrow" w:hAnsi="Arial Narrow" w:cs="Calibri"/>
                <w:color w:val="000000"/>
                <w:sz w:val="20"/>
                <w:szCs w:val="20"/>
              </w:rPr>
            </w:pPr>
            <w:r w:rsidRPr="007D0AA8">
              <w:rPr>
                <w:rFonts w:ascii="Arial Narrow" w:hAnsi="Arial Narrow" w:cs="Calibri"/>
                <w:color w:val="000000"/>
                <w:sz w:val="20"/>
                <w:szCs w:val="20"/>
              </w:rPr>
              <w:t>Patients ≥20 yo</w:t>
            </w:r>
          </w:p>
        </w:tc>
        <w:tc>
          <w:tcPr>
            <w:tcW w:w="929" w:type="pct"/>
            <w:tcBorders>
              <w:top w:val="nil"/>
              <w:left w:val="single" w:sz="4" w:space="0" w:color="auto"/>
              <w:bottom w:val="single" w:sz="4" w:space="0" w:color="auto"/>
              <w:right w:val="nil"/>
            </w:tcBorders>
            <w:shd w:val="clear" w:color="auto" w:fill="auto"/>
            <w:noWrap/>
          </w:tcPr>
          <w:p w14:paraId="2169DC92" w14:textId="77777777" w:rsidR="00C54A0C" w:rsidRPr="007D0AA8" w:rsidRDefault="00C54A0C" w:rsidP="00C54A0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34% (n=108)</w:t>
            </w:r>
          </w:p>
        </w:tc>
        <w:tc>
          <w:tcPr>
            <w:tcW w:w="1075" w:type="pct"/>
            <w:gridSpan w:val="2"/>
            <w:tcBorders>
              <w:top w:val="nil"/>
              <w:left w:val="nil"/>
              <w:bottom w:val="single" w:sz="4" w:space="0" w:color="auto"/>
              <w:right w:val="nil"/>
            </w:tcBorders>
            <w:shd w:val="clear" w:color="auto" w:fill="auto"/>
            <w:noWrap/>
          </w:tcPr>
          <w:p w14:paraId="753F89F4" w14:textId="77777777" w:rsidR="00C54A0C" w:rsidRPr="007D0AA8" w:rsidRDefault="00C54A0C" w:rsidP="00C54A0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51% (n=110)</w:t>
            </w:r>
          </w:p>
        </w:tc>
        <w:tc>
          <w:tcPr>
            <w:tcW w:w="710" w:type="pct"/>
            <w:tcBorders>
              <w:top w:val="nil"/>
              <w:left w:val="nil"/>
              <w:bottom w:val="single" w:sz="4" w:space="0" w:color="auto"/>
              <w:right w:val="single" w:sz="4" w:space="0" w:color="auto"/>
            </w:tcBorders>
          </w:tcPr>
          <w:p w14:paraId="219C4955" w14:textId="77777777" w:rsidR="00C54A0C" w:rsidRPr="007D0AA8" w:rsidRDefault="00C54A0C" w:rsidP="00C54A0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p=0.0051</w:t>
            </w:r>
          </w:p>
        </w:tc>
      </w:tr>
      <w:tr w:rsidR="00C54A0C" w:rsidRPr="007D0AA8" w14:paraId="6A53622B" w14:textId="77777777" w:rsidTr="00B52A4F">
        <w:tc>
          <w:tcPr>
            <w:tcW w:w="618" w:type="pct"/>
            <w:tcBorders>
              <w:left w:val="single" w:sz="4" w:space="0" w:color="auto"/>
              <w:bottom w:val="nil"/>
              <w:right w:val="single" w:sz="4" w:space="0" w:color="auto"/>
            </w:tcBorders>
          </w:tcPr>
          <w:p w14:paraId="792D57B9" w14:textId="77777777" w:rsidR="00C54A0C" w:rsidRPr="007D0AA8" w:rsidRDefault="00C54A0C" w:rsidP="00C54A0C">
            <w:pPr>
              <w:spacing w:after="0" w:line="240" w:lineRule="auto"/>
              <w:rPr>
                <w:rFonts w:ascii="Arial Narrow" w:hAnsi="Arial Narrow" w:cs="Calibri"/>
                <w:color w:val="000000"/>
                <w:sz w:val="20"/>
                <w:szCs w:val="20"/>
              </w:rPr>
            </w:pPr>
          </w:p>
        </w:tc>
        <w:tc>
          <w:tcPr>
            <w:tcW w:w="1668" w:type="pct"/>
            <w:tcBorders>
              <w:top w:val="single" w:sz="4" w:space="0" w:color="auto"/>
              <w:left w:val="single" w:sz="4" w:space="0" w:color="auto"/>
              <w:bottom w:val="nil"/>
              <w:right w:val="single" w:sz="4" w:space="0" w:color="auto"/>
            </w:tcBorders>
          </w:tcPr>
          <w:p w14:paraId="5B8B56F5" w14:textId="77777777" w:rsidR="00C54A0C" w:rsidRPr="007D0AA8" w:rsidRDefault="00C54A0C" w:rsidP="00C54A0C">
            <w:pPr>
              <w:spacing w:after="0" w:line="240" w:lineRule="auto"/>
              <w:rPr>
                <w:rFonts w:ascii="Arial Narrow" w:hAnsi="Arial Narrow"/>
                <w:sz w:val="20"/>
                <w:szCs w:val="20"/>
              </w:rPr>
            </w:pPr>
            <w:r w:rsidRPr="007D0AA8">
              <w:rPr>
                <w:rFonts w:ascii="Arial Narrow" w:hAnsi="Arial Narrow"/>
                <w:sz w:val="20"/>
                <w:szCs w:val="20"/>
              </w:rPr>
              <w:t>Interstitial Pneumonia</w:t>
            </w:r>
          </w:p>
        </w:tc>
        <w:tc>
          <w:tcPr>
            <w:tcW w:w="941" w:type="pct"/>
            <w:gridSpan w:val="2"/>
            <w:tcBorders>
              <w:top w:val="single" w:sz="4" w:space="0" w:color="auto"/>
              <w:left w:val="single" w:sz="4" w:space="0" w:color="auto"/>
              <w:bottom w:val="nil"/>
              <w:right w:val="nil"/>
            </w:tcBorders>
            <w:shd w:val="clear" w:color="auto" w:fill="auto"/>
            <w:noWrap/>
          </w:tcPr>
          <w:p w14:paraId="0B93CD7F" w14:textId="77777777" w:rsidR="00C54A0C" w:rsidRPr="007D0AA8" w:rsidRDefault="00C54A0C" w:rsidP="00C54A0C">
            <w:pPr>
              <w:spacing w:after="0" w:line="240" w:lineRule="auto"/>
              <w:jc w:val="right"/>
              <w:rPr>
                <w:rFonts w:ascii="Arial Narrow" w:hAnsi="Arial Narrow"/>
                <w:i/>
                <w:sz w:val="20"/>
                <w:szCs w:val="20"/>
              </w:rPr>
            </w:pPr>
          </w:p>
        </w:tc>
        <w:tc>
          <w:tcPr>
            <w:tcW w:w="1063" w:type="pct"/>
            <w:tcBorders>
              <w:top w:val="single" w:sz="4" w:space="0" w:color="auto"/>
              <w:left w:val="nil"/>
              <w:bottom w:val="nil"/>
              <w:right w:val="nil"/>
            </w:tcBorders>
            <w:shd w:val="clear" w:color="auto" w:fill="auto"/>
            <w:noWrap/>
          </w:tcPr>
          <w:p w14:paraId="403F4878" w14:textId="77777777" w:rsidR="00C54A0C" w:rsidRPr="007D0AA8" w:rsidRDefault="00C54A0C" w:rsidP="00C54A0C">
            <w:pPr>
              <w:spacing w:after="0" w:line="240" w:lineRule="auto"/>
              <w:jc w:val="right"/>
              <w:rPr>
                <w:rFonts w:ascii="Arial Narrow" w:hAnsi="Arial Narrow"/>
                <w:i/>
                <w:sz w:val="20"/>
                <w:szCs w:val="20"/>
              </w:rPr>
            </w:pPr>
          </w:p>
        </w:tc>
        <w:tc>
          <w:tcPr>
            <w:tcW w:w="710" w:type="pct"/>
            <w:tcBorders>
              <w:top w:val="single" w:sz="4" w:space="0" w:color="auto"/>
              <w:left w:val="nil"/>
              <w:bottom w:val="nil"/>
              <w:right w:val="single" w:sz="4" w:space="0" w:color="auto"/>
            </w:tcBorders>
          </w:tcPr>
          <w:p w14:paraId="56CBFA6F" w14:textId="77777777" w:rsidR="00C54A0C" w:rsidRPr="007D0AA8" w:rsidRDefault="00C54A0C" w:rsidP="00C54A0C">
            <w:pPr>
              <w:spacing w:after="0" w:line="240" w:lineRule="auto"/>
              <w:jc w:val="right"/>
              <w:rPr>
                <w:rFonts w:ascii="Arial Narrow" w:hAnsi="Arial Narrow"/>
                <w:sz w:val="20"/>
                <w:szCs w:val="20"/>
              </w:rPr>
            </w:pPr>
          </w:p>
        </w:tc>
      </w:tr>
      <w:tr w:rsidR="00C54A0C" w:rsidRPr="007D0AA8" w14:paraId="1E349D7B" w14:textId="77777777" w:rsidTr="00B52A4F">
        <w:tc>
          <w:tcPr>
            <w:tcW w:w="618" w:type="pct"/>
            <w:tcBorders>
              <w:top w:val="nil"/>
              <w:left w:val="single" w:sz="4" w:space="0" w:color="auto"/>
              <w:bottom w:val="nil"/>
              <w:right w:val="single" w:sz="4" w:space="0" w:color="auto"/>
            </w:tcBorders>
          </w:tcPr>
          <w:p w14:paraId="1BE9F067" w14:textId="77777777" w:rsidR="00C54A0C" w:rsidRPr="007D0AA8" w:rsidRDefault="00C54A0C" w:rsidP="00C54A0C">
            <w:pPr>
              <w:spacing w:after="0" w:line="240" w:lineRule="auto"/>
              <w:rPr>
                <w:rFonts w:ascii="Arial Narrow" w:hAnsi="Arial Narrow" w:cs="Calibri"/>
                <w:color w:val="000000"/>
                <w:sz w:val="20"/>
                <w:szCs w:val="20"/>
              </w:rPr>
            </w:pPr>
          </w:p>
        </w:tc>
        <w:tc>
          <w:tcPr>
            <w:tcW w:w="1668" w:type="pct"/>
            <w:tcBorders>
              <w:top w:val="nil"/>
              <w:left w:val="single" w:sz="4" w:space="0" w:color="auto"/>
              <w:bottom w:val="nil"/>
              <w:right w:val="single" w:sz="4" w:space="0" w:color="auto"/>
            </w:tcBorders>
          </w:tcPr>
          <w:p w14:paraId="78B85EA8" w14:textId="77777777" w:rsidR="00C54A0C" w:rsidRPr="007D0AA8" w:rsidRDefault="00C54A0C" w:rsidP="00C54A0C">
            <w:pPr>
              <w:spacing w:after="0" w:line="240" w:lineRule="auto"/>
              <w:rPr>
                <w:rFonts w:ascii="Arial Narrow" w:hAnsi="Arial Narrow"/>
                <w:sz w:val="20"/>
                <w:szCs w:val="20"/>
              </w:rPr>
            </w:pPr>
            <w:r w:rsidRPr="007D0AA8">
              <w:rPr>
                <w:rFonts w:ascii="Arial Narrow" w:hAnsi="Arial Narrow"/>
                <w:sz w:val="20"/>
                <w:szCs w:val="20"/>
              </w:rPr>
              <w:t>CMV seropositive patients, all (n=308)</w:t>
            </w:r>
          </w:p>
        </w:tc>
        <w:tc>
          <w:tcPr>
            <w:tcW w:w="929" w:type="pct"/>
            <w:tcBorders>
              <w:top w:val="nil"/>
              <w:left w:val="single" w:sz="4" w:space="0" w:color="auto"/>
              <w:bottom w:val="nil"/>
              <w:right w:val="nil"/>
            </w:tcBorders>
            <w:shd w:val="clear" w:color="auto" w:fill="auto"/>
            <w:noWrap/>
          </w:tcPr>
          <w:p w14:paraId="5414388F" w14:textId="77777777" w:rsidR="00C54A0C" w:rsidRPr="007D0AA8" w:rsidRDefault="00C54A0C" w:rsidP="00C54A0C">
            <w:pPr>
              <w:spacing w:after="0" w:line="240" w:lineRule="auto"/>
              <w:jc w:val="right"/>
              <w:rPr>
                <w:rFonts w:ascii="Arial Narrow" w:hAnsi="Arial Narrow"/>
                <w:i/>
                <w:sz w:val="20"/>
                <w:szCs w:val="20"/>
              </w:rPr>
            </w:pPr>
            <w:r w:rsidRPr="007D0AA8">
              <w:rPr>
                <w:rFonts w:ascii="Arial Narrow" w:hAnsi="Arial Narrow"/>
                <w:sz w:val="20"/>
                <w:szCs w:val="20"/>
              </w:rPr>
              <w:t>IVIg, CMV+ (n=154)</w:t>
            </w:r>
          </w:p>
        </w:tc>
        <w:tc>
          <w:tcPr>
            <w:tcW w:w="1075" w:type="pct"/>
            <w:gridSpan w:val="2"/>
            <w:tcBorders>
              <w:top w:val="nil"/>
              <w:left w:val="nil"/>
              <w:bottom w:val="nil"/>
              <w:right w:val="nil"/>
            </w:tcBorders>
            <w:shd w:val="clear" w:color="auto" w:fill="auto"/>
            <w:noWrap/>
          </w:tcPr>
          <w:p w14:paraId="26CAA496" w14:textId="77777777" w:rsidR="00C54A0C" w:rsidRPr="007D0AA8" w:rsidRDefault="00C54A0C" w:rsidP="00C54A0C">
            <w:pPr>
              <w:spacing w:after="0" w:line="240" w:lineRule="auto"/>
              <w:jc w:val="right"/>
              <w:rPr>
                <w:rFonts w:ascii="Arial Narrow" w:hAnsi="Arial Narrow"/>
                <w:i/>
                <w:sz w:val="20"/>
                <w:szCs w:val="20"/>
              </w:rPr>
            </w:pPr>
            <w:r w:rsidRPr="007D0AA8">
              <w:rPr>
                <w:rFonts w:ascii="Arial Narrow" w:hAnsi="Arial Narrow"/>
                <w:sz w:val="20"/>
                <w:szCs w:val="20"/>
              </w:rPr>
              <w:t>No IVIg, CMV+ (n=154)</w:t>
            </w:r>
          </w:p>
        </w:tc>
        <w:tc>
          <w:tcPr>
            <w:tcW w:w="710" w:type="pct"/>
            <w:tcBorders>
              <w:top w:val="nil"/>
              <w:left w:val="nil"/>
              <w:bottom w:val="nil"/>
              <w:right w:val="single" w:sz="4" w:space="0" w:color="auto"/>
            </w:tcBorders>
          </w:tcPr>
          <w:p w14:paraId="4718D1C7" w14:textId="77777777" w:rsidR="00C54A0C" w:rsidRPr="007D0AA8" w:rsidRDefault="00C54A0C" w:rsidP="00C54A0C">
            <w:pPr>
              <w:spacing w:after="0" w:line="240" w:lineRule="auto"/>
              <w:jc w:val="right"/>
              <w:rPr>
                <w:rFonts w:ascii="Arial Narrow" w:hAnsi="Arial Narrow"/>
                <w:sz w:val="20"/>
                <w:szCs w:val="20"/>
              </w:rPr>
            </w:pPr>
          </w:p>
        </w:tc>
      </w:tr>
      <w:tr w:rsidR="00C54A0C" w:rsidRPr="007D0AA8" w14:paraId="64BF2586" w14:textId="77777777" w:rsidTr="00B52A4F">
        <w:tc>
          <w:tcPr>
            <w:tcW w:w="618" w:type="pct"/>
            <w:tcBorders>
              <w:top w:val="nil"/>
              <w:left w:val="single" w:sz="4" w:space="0" w:color="auto"/>
              <w:bottom w:val="nil"/>
              <w:right w:val="single" w:sz="4" w:space="0" w:color="auto"/>
            </w:tcBorders>
          </w:tcPr>
          <w:p w14:paraId="638A3785" w14:textId="77777777" w:rsidR="00C54A0C" w:rsidRPr="007D0AA8" w:rsidRDefault="00C54A0C" w:rsidP="00C54A0C">
            <w:pPr>
              <w:spacing w:after="0" w:line="240" w:lineRule="auto"/>
              <w:rPr>
                <w:rFonts w:ascii="Arial Narrow" w:hAnsi="Arial Narrow" w:cs="Calibri"/>
                <w:color w:val="000000"/>
                <w:sz w:val="20"/>
                <w:szCs w:val="20"/>
              </w:rPr>
            </w:pPr>
          </w:p>
        </w:tc>
        <w:tc>
          <w:tcPr>
            <w:tcW w:w="1668" w:type="pct"/>
            <w:tcBorders>
              <w:top w:val="nil"/>
              <w:left w:val="single" w:sz="4" w:space="0" w:color="auto"/>
              <w:bottom w:val="nil"/>
              <w:right w:val="single" w:sz="4" w:space="0" w:color="auto"/>
            </w:tcBorders>
          </w:tcPr>
          <w:p w14:paraId="4880E03A" w14:textId="77777777" w:rsidR="00C54A0C" w:rsidRPr="007D0AA8" w:rsidRDefault="00C54A0C" w:rsidP="00C54A0C">
            <w:pPr>
              <w:spacing w:after="0" w:line="240" w:lineRule="auto"/>
              <w:rPr>
                <w:rFonts w:ascii="Arial Narrow" w:hAnsi="Arial Narrow"/>
                <w:sz w:val="20"/>
                <w:szCs w:val="20"/>
              </w:rPr>
            </w:pPr>
            <w:r w:rsidRPr="007D0AA8">
              <w:rPr>
                <w:rFonts w:ascii="Arial Narrow" w:hAnsi="Arial Narrow"/>
                <w:sz w:val="20"/>
                <w:szCs w:val="20"/>
              </w:rPr>
              <w:t>Patients with interstitial pneumonia</w:t>
            </w:r>
          </w:p>
        </w:tc>
        <w:tc>
          <w:tcPr>
            <w:tcW w:w="941" w:type="pct"/>
            <w:gridSpan w:val="2"/>
            <w:tcBorders>
              <w:top w:val="nil"/>
              <w:left w:val="single" w:sz="4" w:space="0" w:color="auto"/>
              <w:bottom w:val="nil"/>
              <w:right w:val="nil"/>
            </w:tcBorders>
            <w:shd w:val="clear" w:color="auto" w:fill="auto"/>
            <w:noWrap/>
          </w:tcPr>
          <w:p w14:paraId="1326F507"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19</w:t>
            </w:r>
          </w:p>
        </w:tc>
        <w:tc>
          <w:tcPr>
            <w:tcW w:w="1063" w:type="pct"/>
            <w:tcBorders>
              <w:top w:val="nil"/>
              <w:left w:val="nil"/>
              <w:bottom w:val="nil"/>
              <w:right w:val="nil"/>
            </w:tcBorders>
            <w:shd w:val="clear" w:color="auto" w:fill="auto"/>
            <w:noWrap/>
          </w:tcPr>
          <w:p w14:paraId="5892CCDB"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34</w:t>
            </w:r>
          </w:p>
        </w:tc>
        <w:tc>
          <w:tcPr>
            <w:tcW w:w="710" w:type="pct"/>
            <w:tcBorders>
              <w:top w:val="nil"/>
              <w:left w:val="nil"/>
              <w:bottom w:val="nil"/>
              <w:right w:val="single" w:sz="4" w:space="0" w:color="auto"/>
            </w:tcBorders>
          </w:tcPr>
          <w:p w14:paraId="12C9DA0F" w14:textId="77777777" w:rsidR="00C54A0C" w:rsidRPr="007D0AA8" w:rsidRDefault="00C54A0C" w:rsidP="00C54A0C">
            <w:pPr>
              <w:spacing w:after="0" w:line="240" w:lineRule="auto"/>
              <w:jc w:val="right"/>
              <w:rPr>
                <w:rFonts w:ascii="Arial Narrow" w:hAnsi="Arial Narrow"/>
                <w:sz w:val="20"/>
                <w:szCs w:val="20"/>
              </w:rPr>
            </w:pPr>
          </w:p>
        </w:tc>
      </w:tr>
      <w:tr w:rsidR="00C54A0C" w:rsidRPr="007D0AA8" w14:paraId="30692F18" w14:textId="77777777" w:rsidTr="00B52A4F">
        <w:tc>
          <w:tcPr>
            <w:tcW w:w="618" w:type="pct"/>
            <w:tcBorders>
              <w:top w:val="nil"/>
              <w:left w:val="single" w:sz="4" w:space="0" w:color="auto"/>
              <w:bottom w:val="nil"/>
              <w:right w:val="single" w:sz="4" w:space="0" w:color="auto"/>
            </w:tcBorders>
          </w:tcPr>
          <w:p w14:paraId="140F68BD" w14:textId="77777777" w:rsidR="00C54A0C" w:rsidRPr="007D0AA8" w:rsidRDefault="00C54A0C" w:rsidP="00C54A0C">
            <w:pPr>
              <w:spacing w:after="0" w:line="240" w:lineRule="auto"/>
              <w:rPr>
                <w:rFonts w:ascii="Arial Narrow" w:hAnsi="Arial Narrow" w:cs="Calibri"/>
                <w:color w:val="000000"/>
                <w:sz w:val="20"/>
                <w:szCs w:val="20"/>
              </w:rPr>
            </w:pPr>
          </w:p>
        </w:tc>
        <w:tc>
          <w:tcPr>
            <w:tcW w:w="1668" w:type="pct"/>
            <w:tcBorders>
              <w:top w:val="nil"/>
              <w:left w:val="single" w:sz="4" w:space="0" w:color="auto"/>
              <w:bottom w:val="nil"/>
              <w:right w:val="single" w:sz="4" w:space="0" w:color="auto"/>
            </w:tcBorders>
          </w:tcPr>
          <w:p w14:paraId="2E31D315" w14:textId="77777777" w:rsidR="00C54A0C" w:rsidRPr="007D0AA8" w:rsidRDefault="00C54A0C" w:rsidP="00C54A0C">
            <w:pPr>
              <w:spacing w:after="0" w:line="240" w:lineRule="auto"/>
              <w:rPr>
                <w:rFonts w:ascii="Arial Narrow" w:hAnsi="Arial Narrow"/>
                <w:sz w:val="20"/>
                <w:szCs w:val="20"/>
              </w:rPr>
            </w:pPr>
            <w:r w:rsidRPr="007D0AA8">
              <w:rPr>
                <w:rFonts w:ascii="Arial Narrow" w:hAnsi="Arial Narrow"/>
                <w:sz w:val="20"/>
                <w:szCs w:val="20"/>
              </w:rPr>
              <w:t>Types of pneumonia</w:t>
            </w:r>
          </w:p>
          <w:p w14:paraId="487B9DDA" w14:textId="77777777" w:rsidR="00C54A0C" w:rsidRPr="007D0AA8" w:rsidRDefault="00C54A0C" w:rsidP="00331FB9">
            <w:pPr>
              <w:pStyle w:val="ListParagraph"/>
              <w:numPr>
                <w:ilvl w:val="0"/>
                <w:numId w:val="16"/>
              </w:numPr>
              <w:spacing w:after="0" w:line="240" w:lineRule="auto"/>
              <w:ind w:left="141" w:hanging="153"/>
              <w:rPr>
                <w:rFonts w:ascii="Arial Narrow" w:hAnsi="Arial Narrow"/>
                <w:sz w:val="20"/>
                <w:szCs w:val="20"/>
              </w:rPr>
            </w:pPr>
            <w:r w:rsidRPr="007D0AA8">
              <w:rPr>
                <w:rFonts w:ascii="Arial Narrow" w:hAnsi="Arial Narrow"/>
                <w:sz w:val="20"/>
                <w:szCs w:val="20"/>
              </w:rPr>
              <w:t>CMV</w:t>
            </w:r>
          </w:p>
          <w:p w14:paraId="49638A23" w14:textId="77777777" w:rsidR="00C54A0C" w:rsidRPr="007D0AA8" w:rsidRDefault="00C54A0C" w:rsidP="00331FB9">
            <w:pPr>
              <w:pStyle w:val="ListParagraph"/>
              <w:numPr>
                <w:ilvl w:val="0"/>
                <w:numId w:val="16"/>
              </w:numPr>
              <w:spacing w:after="0" w:line="240" w:lineRule="auto"/>
              <w:ind w:left="141" w:hanging="153"/>
              <w:rPr>
                <w:rFonts w:ascii="Arial Narrow" w:hAnsi="Arial Narrow"/>
                <w:sz w:val="20"/>
                <w:szCs w:val="20"/>
              </w:rPr>
            </w:pPr>
            <w:r w:rsidRPr="007D0AA8">
              <w:rPr>
                <w:rFonts w:ascii="Arial Narrow" w:hAnsi="Arial Narrow"/>
                <w:sz w:val="20"/>
                <w:szCs w:val="20"/>
              </w:rPr>
              <w:t>Idiopathic</w:t>
            </w:r>
          </w:p>
          <w:p w14:paraId="0AB747AB" w14:textId="77777777" w:rsidR="00C54A0C" w:rsidRPr="007D0AA8" w:rsidRDefault="00C54A0C" w:rsidP="00331FB9">
            <w:pPr>
              <w:pStyle w:val="ListParagraph"/>
              <w:numPr>
                <w:ilvl w:val="0"/>
                <w:numId w:val="16"/>
              </w:numPr>
              <w:spacing w:after="0" w:line="240" w:lineRule="auto"/>
              <w:ind w:left="141" w:right="-110" w:hanging="153"/>
              <w:rPr>
                <w:rFonts w:ascii="Arial Narrow" w:hAnsi="Arial Narrow"/>
                <w:sz w:val="20"/>
                <w:szCs w:val="20"/>
              </w:rPr>
            </w:pPr>
            <w:r w:rsidRPr="007D0AA8">
              <w:rPr>
                <w:rFonts w:ascii="Arial Narrow" w:hAnsi="Arial Narrow"/>
                <w:sz w:val="20"/>
                <w:szCs w:val="20"/>
              </w:rPr>
              <w:t>Clinical (not culture confirmed)</w:t>
            </w:r>
          </w:p>
          <w:p w14:paraId="344534A0" w14:textId="77777777" w:rsidR="00C54A0C" w:rsidRPr="007D0AA8" w:rsidRDefault="00C54A0C" w:rsidP="00331FB9">
            <w:pPr>
              <w:pStyle w:val="ListParagraph"/>
              <w:numPr>
                <w:ilvl w:val="0"/>
                <w:numId w:val="16"/>
              </w:numPr>
              <w:spacing w:after="0" w:line="240" w:lineRule="auto"/>
              <w:ind w:left="141" w:hanging="153"/>
              <w:rPr>
                <w:rFonts w:ascii="Arial Narrow" w:hAnsi="Arial Narrow"/>
                <w:sz w:val="20"/>
                <w:szCs w:val="20"/>
              </w:rPr>
            </w:pPr>
            <w:r w:rsidRPr="007D0AA8">
              <w:rPr>
                <w:rFonts w:ascii="Arial Narrow" w:hAnsi="Arial Narrow"/>
                <w:sz w:val="20"/>
                <w:szCs w:val="20"/>
              </w:rPr>
              <w:t>Parainfluenza virus</w:t>
            </w:r>
          </w:p>
        </w:tc>
        <w:tc>
          <w:tcPr>
            <w:tcW w:w="941" w:type="pct"/>
            <w:gridSpan w:val="2"/>
            <w:tcBorders>
              <w:top w:val="nil"/>
              <w:left w:val="single" w:sz="4" w:space="0" w:color="auto"/>
              <w:bottom w:val="nil"/>
              <w:right w:val="nil"/>
            </w:tcBorders>
            <w:shd w:val="clear" w:color="auto" w:fill="auto"/>
            <w:noWrap/>
          </w:tcPr>
          <w:p w14:paraId="5E00BF3B"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br/>
              <w:t>16</w:t>
            </w:r>
            <w:r w:rsidRPr="007D0AA8">
              <w:rPr>
                <w:rFonts w:ascii="Arial Narrow" w:hAnsi="Arial Narrow"/>
                <w:sz w:val="20"/>
                <w:szCs w:val="20"/>
              </w:rPr>
              <w:br/>
              <w:t>1</w:t>
            </w:r>
            <w:r w:rsidRPr="007D0AA8">
              <w:rPr>
                <w:rFonts w:ascii="Arial Narrow" w:hAnsi="Arial Narrow"/>
                <w:sz w:val="20"/>
                <w:szCs w:val="20"/>
              </w:rPr>
              <w:br/>
              <w:t>2</w:t>
            </w:r>
            <w:r w:rsidRPr="007D0AA8">
              <w:rPr>
                <w:rFonts w:ascii="Arial Narrow" w:hAnsi="Arial Narrow"/>
                <w:sz w:val="20"/>
                <w:szCs w:val="20"/>
              </w:rPr>
              <w:br/>
              <w:t>0</w:t>
            </w:r>
          </w:p>
        </w:tc>
        <w:tc>
          <w:tcPr>
            <w:tcW w:w="1063" w:type="pct"/>
            <w:tcBorders>
              <w:top w:val="nil"/>
              <w:left w:val="nil"/>
              <w:bottom w:val="nil"/>
              <w:right w:val="nil"/>
            </w:tcBorders>
            <w:shd w:val="clear" w:color="auto" w:fill="auto"/>
            <w:noWrap/>
          </w:tcPr>
          <w:p w14:paraId="5DB523DB"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br/>
              <w:t>23</w:t>
            </w:r>
            <w:r w:rsidRPr="007D0AA8">
              <w:rPr>
                <w:rFonts w:ascii="Arial Narrow" w:hAnsi="Arial Narrow"/>
                <w:sz w:val="20"/>
                <w:szCs w:val="20"/>
              </w:rPr>
              <w:br/>
              <w:t>4</w:t>
            </w:r>
            <w:r w:rsidRPr="007D0AA8">
              <w:rPr>
                <w:rFonts w:ascii="Arial Narrow" w:hAnsi="Arial Narrow"/>
                <w:sz w:val="20"/>
                <w:szCs w:val="20"/>
              </w:rPr>
              <w:br/>
              <w:t>6</w:t>
            </w:r>
            <w:r w:rsidRPr="007D0AA8">
              <w:rPr>
                <w:rFonts w:ascii="Arial Narrow" w:hAnsi="Arial Narrow"/>
                <w:sz w:val="20"/>
                <w:szCs w:val="20"/>
              </w:rPr>
              <w:br/>
              <w:t>1</w:t>
            </w:r>
          </w:p>
        </w:tc>
        <w:tc>
          <w:tcPr>
            <w:tcW w:w="710" w:type="pct"/>
            <w:tcBorders>
              <w:top w:val="nil"/>
              <w:left w:val="nil"/>
              <w:bottom w:val="nil"/>
              <w:right w:val="single" w:sz="4" w:space="0" w:color="auto"/>
            </w:tcBorders>
          </w:tcPr>
          <w:p w14:paraId="092D7835" w14:textId="77777777" w:rsidR="00C54A0C" w:rsidRPr="007D0AA8" w:rsidRDefault="00C54A0C" w:rsidP="00C54A0C">
            <w:pPr>
              <w:spacing w:after="0" w:line="240" w:lineRule="auto"/>
              <w:jc w:val="right"/>
              <w:rPr>
                <w:rFonts w:ascii="Arial Narrow" w:hAnsi="Arial Narrow"/>
                <w:sz w:val="20"/>
                <w:szCs w:val="20"/>
              </w:rPr>
            </w:pPr>
          </w:p>
        </w:tc>
      </w:tr>
      <w:tr w:rsidR="00C54A0C" w:rsidRPr="007D0AA8" w14:paraId="77DB2A44" w14:textId="77777777" w:rsidTr="00B52A4F">
        <w:tc>
          <w:tcPr>
            <w:tcW w:w="618" w:type="pct"/>
            <w:tcBorders>
              <w:top w:val="nil"/>
              <w:left w:val="single" w:sz="4" w:space="0" w:color="auto"/>
              <w:bottom w:val="nil"/>
              <w:right w:val="single" w:sz="4" w:space="0" w:color="auto"/>
            </w:tcBorders>
          </w:tcPr>
          <w:p w14:paraId="4E407B24" w14:textId="77777777" w:rsidR="00C54A0C" w:rsidRPr="007D0AA8" w:rsidRDefault="00C54A0C" w:rsidP="00C54A0C">
            <w:pPr>
              <w:spacing w:after="0" w:line="240" w:lineRule="auto"/>
              <w:rPr>
                <w:rFonts w:ascii="Arial Narrow" w:hAnsi="Arial Narrow" w:cs="Calibri"/>
                <w:color w:val="000000"/>
                <w:sz w:val="20"/>
                <w:szCs w:val="20"/>
              </w:rPr>
            </w:pPr>
          </w:p>
        </w:tc>
        <w:tc>
          <w:tcPr>
            <w:tcW w:w="1668" w:type="pct"/>
            <w:tcBorders>
              <w:top w:val="nil"/>
              <w:left w:val="single" w:sz="4" w:space="0" w:color="auto"/>
              <w:bottom w:val="nil"/>
              <w:right w:val="single" w:sz="4" w:space="0" w:color="auto"/>
            </w:tcBorders>
          </w:tcPr>
          <w:p w14:paraId="1AC1029A" w14:textId="77777777" w:rsidR="00C54A0C" w:rsidRPr="007D0AA8" w:rsidRDefault="00C54A0C" w:rsidP="00C54A0C">
            <w:pPr>
              <w:spacing w:after="0" w:line="240" w:lineRule="auto"/>
              <w:rPr>
                <w:rFonts w:ascii="Arial Narrow" w:hAnsi="Arial Narrow"/>
                <w:sz w:val="20"/>
                <w:szCs w:val="20"/>
              </w:rPr>
            </w:pPr>
            <w:r w:rsidRPr="007D0AA8">
              <w:rPr>
                <w:rFonts w:ascii="Arial Narrow" w:hAnsi="Arial Narrow"/>
                <w:sz w:val="20"/>
                <w:szCs w:val="20"/>
              </w:rPr>
              <w:t>Interstitial pneumonia, cumulative incidence</w:t>
            </w:r>
          </w:p>
        </w:tc>
        <w:tc>
          <w:tcPr>
            <w:tcW w:w="941" w:type="pct"/>
            <w:gridSpan w:val="2"/>
            <w:tcBorders>
              <w:top w:val="nil"/>
              <w:left w:val="single" w:sz="4" w:space="0" w:color="auto"/>
              <w:bottom w:val="nil"/>
              <w:right w:val="nil"/>
            </w:tcBorders>
            <w:shd w:val="clear" w:color="auto" w:fill="auto"/>
            <w:noWrap/>
          </w:tcPr>
          <w:p w14:paraId="798D7E59"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13%</w:t>
            </w:r>
          </w:p>
        </w:tc>
        <w:tc>
          <w:tcPr>
            <w:tcW w:w="1063" w:type="pct"/>
            <w:tcBorders>
              <w:top w:val="nil"/>
              <w:left w:val="nil"/>
              <w:bottom w:val="nil"/>
              <w:right w:val="nil"/>
            </w:tcBorders>
            <w:shd w:val="clear" w:color="auto" w:fill="auto"/>
            <w:noWrap/>
          </w:tcPr>
          <w:p w14:paraId="44350335"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22%</w:t>
            </w:r>
          </w:p>
        </w:tc>
        <w:tc>
          <w:tcPr>
            <w:tcW w:w="710" w:type="pct"/>
            <w:tcBorders>
              <w:top w:val="nil"/>
              <w:left w:val="nil"/>
              <w:bottom w:val="nil"/>
              <w:right w:val="single" w:sz="4" w:space="0" w:color="auto"/>
            </w:tcBorders>
          </w:tcPr>
          <w:p w14:paraId="40C8F13B"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p=0.021</w:t>
            </w:r>
          </w:p>
        </w:tc>
      </w:tr>
      <w:tr w:rsidR="00C54A0C" w:rsidRPr="007D0AA8" w14:paraId="4D2F6B36" w14:textId="77777777" w:rsidTr="00B52A4F">
        <w:tc>
          <w:tcPr>
            <w:tcW w:w="618" w:type="pct"/>
            <w:tcBorders>
              <w:top w:val="nil"/>
              <w:left w:val="single" w:sz="4" w:space="0" w:color="auto"/>
              <w:bottom w:val="nil"/>
              <w:right w:val="single" w:sz="4" w:space="0" w:color="auto"/>
            </w:tcBorders>
          </w:tcPr>
          <w:p w14:paraId="2DF157A2" w14:textId="77777777" w:rsidR="00C54A0C" w:rsidRPr="007D0AA8" w:rsidRDefault="00C54A0C" w:rsidP="00C54A0C">
            <w:pPr>
              <w:spacing w:after="0" w:line="240" w:lineRule="auto"/>
              <w:rPr>
                <w:rFonts w:ascii="Arial Narrow" w:hAnsi="Arial Narrow" w:cs="Calibri"/>
                <w:color w:val="000000"/>
                <w:sz w:val="20"/>
                <w:szCs w:val="20"/>
              </w:rPr>
            </w:pPr>
          </w:p>
        </w:tc>
        <w:tc>
          <w:tcPr>
            <w:tcW w:w="1668" w:type="pct"/>
            <w:tcBorders>
              <w:top w:val="nil"/>
              <w:left w:val="single" w:sz="4" w:space="0" w:color="auto"/>
              <w:bottom w:val="nil"/>
              <w:right w:val="single" w:sz="4" w:space="0" w:color="auto"/>
            </w:tcBorders>
          </w:tcPr>
          <w:p w14:paraId="1EBBAF1B" w14:textId="77777777" w:rsidR="00C54A0C" w:rsidRPr="007D0AA8" w:rsidRDefault="00C54A0C" w:rsidP="00C54A0C">
            <w:pPr>
              <w:spacing w:after="0" w:line="240" w:lineRule="auto"/>
              <w:rPr>
                <w:rFonts w:ascii="Arial Narrow" w:hAnsi="Arial Narrow"/>
                <w:sz w:val="20"/>
                <w:szCs w:val="20"/>
              </w:rPr>
            </w:pPr>
            <w:r w:rsidRPr="007D0AA8">
              <w:rPr>
                <w:rFonts w:ascii="Arial Narrow" w:hAnsi="Arial Narrow"/>
                <w:sz w:val="20"/>
                <w:szCs w:val="20"/>
              </w:rPr>
              <w:t xml:space="preserve">Relative risk of interstitial pneumonia </w:t>
            </w:r>
            <w:r w:rsidRPr="007D0AA8">
              <w:rPr>
                <w:rFonts w:ascii="Arial Narrow" w:hAnsi="Arial Narrow"/>
                <w:sz w:val="20"/>
                <w:szCs w:val="20"/>
              </w:rPr>
              <w:br/>
              <w:t>(p-value)</w:t>
            </w:r>
          </w:p>
        </w:tc>
        <w:tc>
          <w:tcPr>
            <w:tcW w:w="941" w:type="pct"/>
            <w:gridSpan w:val="2"/>
            <w:tcBorders>
              <w:top w:val="nil"/>
              <w:left w:val="single" w:sz="4" w:space="0" w:color="auto"/>
              <w:bottom w:val="nil"/>
              <w:right w:val="nil"/>
            </w:tcBorders>
            <w:shd w:val="clear" w:color="auto" w:fill="auto"/>
            <w:noWrap/>
          </w:tcPr>
          <w:p w14:paraId="21395CB4"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w:t>
            </w:r>
          </w:p>
        </w:tc>
        <w:tc>
          <w:tcPr>
            <w:tcW w:w="1063" w:type="pct"/>
            <w:tcBorders>
              <w:top w:val="nil"/>
              <w:left w:val="nil"/>
              <w:bottom w:val="nil"/>
              <w:right w:val="nil"/>
            </w:tcBorders>
            <w:shd w:val="clear" w:color="auto" w:fill="auto"/>
            <w:noWrap/>
          </w:tcPr>
          <w:p w14:paraId="30A61A37"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w:t>
            </w:r>
          </w:p>
        </w:tc>
        <w:tc>
          <w:tcPr>
            <w:tcW w:w="710" w:type="pct"/>
            <w:tcBorders>
              <w:top w:val="nil"/>
              <w:left w:val="nil"/>
              <w:bottom w:val="nil"/>
              <w:right w:val="single" w:sz="4" w:space="0" w:color="auto"/>
            </w:tcBorders>
          </w:tcPr>
          <w:p w14:paraId="6F488BFD"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 xml:space="preserve">1.70 </w:t>
            </w:r>
            <w:r w:rsidRPr="007D0AA8">
              <w:rPr>
                <w:rFonts w:ascii="Arial Narrow" w:hAnsi="Arial Narrow"/>
                <w:sz w:val="20"/>
                <w:szCs w:val="20"/>
              </w:rPr>
              <w:br/>
              <w:t>(p=0.064)</w:t>
            </w:r>
          </w:p>
        </w:tc>
      </w:tr>
      <w:tr w:rsidR="00C54A0C" w:rsidRPr="007D0AA8" w14:paraId="37DBB9FD" w14:textId="77777777" w:rsidTr="00B52A4F">
        <w:tc>
          <w:tcPr>
            <w:tcW w:w="618" w:type="pct"/>
            <w:tcBorders>
              <w:top w:val="nil"/>
              <w:left w:val="single" w:sz="4" w:space="0" w:color="auto"/>
              <w:bottom w:val="nil"/>
              <w:right w:val="single" w:sz="4" w:space="0" w:color="auto"/>
            </w:tcBorders>
          </w:tcPr>
          <w:p w14:paraId="2F30CBAA" w14:textId="77777777" w:rsidR="00C54A0C" w:rsidRPr="007D0AA8" w:rsidRDefault="00C54A0C" w:rsidP="00C54A0C">
            <w:pPr>
              <w:spacing w:after="0" w:line="240" w:lineRule="auto"/>
              <w:rPr>
                <w:rFonts w:ascii="Arial Narrow" w:hAnsi="Arial Narrow" w:cs="Calibri"/>
                <w:color w:val="000000"/>
                <w:sz w:val="20"/>
                <w:szCs w:val="20"/>
              </w:rPr>
            </w:pPr>
          </w:p>
        </w:tc>
        <w:tc>
          <w:tcPr>
            <w:tcW w:w="1668" w:type="pct"/>
            <w:tcBorders>
              <w:top w:val="nil"/>
              <w:left w:val="single" w:sz="4" w:space="0" w:color="auto"/>
              <w:bottom w:val="nil"/>
              <w:right w:val="single" w:sz="4" w:space="0" w:color="auto"/>
            </w:tcBorders>
          </w:tcPr>
          <w:p w14:paraId="7E01F273" w14:textId="1E4AC246" w:rsidR="00C54A0C" w:rsidRPr="007D0AA8" w:rsidRDefault="00C54A0C" w:rsidP="00331FB9">
            <w:pPr>
              <w:pStyle w:val="ListParagraph"/>
              <w:numPr>
                <w:ilvl w:val="0"/>
                <w:numId w:val="16"/>
              </w:numPr>
              <w:spacing w:after="0" w:line="240" w:lineRule="auto"/>
              <w:ind w:left="140" w:hanging="154"/>
              <w:rPr>
                <w:rFonts w:ascii="Arial Narrow" w:hAnsi="Arial Narrow"/>
                <w:sz w:val="20"/>
                <w:szCs w:val="20"/>
              </w:rPr>
            </w:pPr>
            <w:r w:rsidRPr="007D0AA8">
              <w:rPr>
                <w:rFonts w:ascii="Arial Narrow" w:hAnsi="Arial Narrow"/>
                <w:sz w:val="20"/>
                <w:szCs w:val="20"/>
              </w:rPr>
              <w:t>CMV+ patients &lt;20 y</w:t>
            </w:r>
            <w:r w:rsidR="00AE1371">
              <w:rPr>
                <w:rFonts w:ascii="Arial Narrow" w:hAnsi="Arial Narrow"/>
                <w:sz w:val="20"/>
                <w:szCs w:val="20"/>
              </w:rPr>
              <w:t xml:space="preserve">ears </w:t>
            </w:r>
            <w:r w:rsidRPr="007D0AA8">
              <w:rPr>
                <w:rFonts w:ascii="Arial Narrow" w:hAnsi="Arial Narrow"/>
                <w:sz w:val="20"/>
                <w:szCs w:val="20"/>
              </w:rPr>
              <w:t>o</w:t>
            </w:r>
            <w:r w:rsidR="00AE1371">
              <w:rPr>
                <w:rFonts w:ascii="Arial Narrow" w:hAnsi="Arial Narrow"/>
                <w:sz w:val="20"/>
                <w:szCs w:val="20"/>
              </w:rPr>
              <w:t>ld</w:t>
            </w:r>
          </w:p>
        </w:tc>
        <w:tc>
          <w:tcPr>
            <w:tcW w:w="941" w:type="pct"/>
            <w:gridSpan w:val="2"/>
            <w:tcBorders>
              <w:top w:val="nil"/>
              <w:left w:val="single" w:sz="4" w:space="0" w:color="auto"/>
              <w:bottom w:val="nil"/>
              <w:right w:val="nil"/>
            </w:tcBorders>
            <w:shd w:val="clear" w:color="auto" w:fill="auto"/>
            <w:noWrap/>
          </w:tcPr>
          <w:p w14:paraId="2BBF20BC"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n=65 patients</w:t>
            </w:r>
            <w:r w:rsidRPr="007D0AA8">
              <w:rPr>
                <w:rFonts w:ascii="Arial Narrow" w:hAnsi="Arial Narrow"/>
                <w:sz w:val="20"/>
                <w:szCs w:val="20"/>
              </w:rPr>
              <w:br/>
              <w:t>8 patients (12%)</w:t>
            </w:r>
          </w:p>
        </w:tc>
        <w:tc>
          <w:tcPr>
            <w:tcW w:w="1063" w:type="pct"/>
            <w:tcBorders>
              <w:top w:val="nil"/>
              <w:left w:val="nil"/>
              <w:bottom w:val="nil"/>
              <w:right w:val="nil"/>
            </w:tcBorders>
            <w:shd w:val="clear" w:color="auto" w:fill="auto"/>
            <w:noWrap/>
          </w:tcPr>
          <w:p w14:paraId="5E57A8FB"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n=57 patients</w:t>
            </w:r>
          </w:p>
          <w:p w14:paraId="63FA9978"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7 patients (12%)</w:t>
            </w:r>
          </w:p>
        </w:tc>
        <w:tc>
          <w:tcPr>
            <w:tcW w:w="710" w:type="pct"/>
            <w:tcBorders>
              <w:top w:val="nil"/>
              <w:left w:val="nil"/>
              <w:bottom w:val="nil"/>
              <w:right w:val="single" w:sz="4" w:space="0" w:color="auto"/>
            </w:tcBorders>
          </w:tcPr>
          <w:p w14:paraId="1FDE8D34"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n.s.</w:t>
            </w:r>
          </w:p>
        </w:tc>
      </w:tr>
      <w:tr w:rsidR="00C54A0C" w:rsidRPr="007D0AA8" w14:paraId="3CB3BE4C" w14:textId="77777777" w:rsidTr="00B52A4F">
        <w:tc>
          <w:tcPr>
            <w:tcW w:w="618" w:type="pct"/>
            <w:tcBorders>
              <w:top w:val="nil"/>
              <w:left w:val="single" w:sz="4" w:space="0" w:color="auto"/>
              <w:bottom w:val="single" w:sz="4" w:space="0" w:color="auto"/>
              <w:right w:val="single" w:sz="4" w:space="0" w:color="auto"/>
            </w:tcBorders>
          </w:tcPr>
          <w:p w14:paraId="037AFE4C" w14:textId="77777777" w:rsidR="00C54A0C" w:rsidRPr="007D0AA8" w:rsidRDefault="00C54A0C" w:rsidP="00C54A0C">
            <w:pPr>
              <w:spacing w:after="0" w:line="240" w:lineRule="auto"/>
              <w:rPr>
                <w:rFonts w:ascii="Arial Narrow" w:hAnsi="Arial Narrow" w:cs="Calibri"/>
                <w:color w:val="000000"/>
                <w:sz w:val="20"/>
                <w:szCs w:val="20"/>
              </w:rPr>
            </w:pPr>
          </w:p>
        </w:tc>
        <w:tc>
          <w:tcPr>
            <w:tcW w:w="1668" w:type="pct"/>
            <w:tcBorders>
              <w:top w:val="nil"/>
              <w:left w:val="single" w:sz="4" w:space="0" w:color="auto"/>
              <w:bottom w:val="single" w:sz="4" w:space="0" w:color="auto"/>
              <w:right w:val="single" w:sz="4" w:space="0" w:color="auto"/>
            </w:tcBorders>
          </w:tcPr>
          <w:p w14:paraId="207A65DB" w14:textId="1FAD69A8" w:rsidR="00C54A0C" w:rsidRPr="007D0AA8" w:rsidRDefault="00C54A0C" w:rsidP="00331FB9">
            <w:pPr>
              <w:pStyle w:val="ListParagraph"/>
              <w:numPr>
                <w:ilvl w:val="0"/>
                <w:numId w:val="16"/>
              </w:numPr>
              <w:spacing w:after="0" w:line="240" w:lineRule="auto"/>
              <w:ind w:left="140" w:hanging="154"/>
              <w:rPr>
                <w:rFonts w:ascii="Arial Narrow" w:hAnsi="Arial Narrow"/>
                <w:sz w:val="20"/>
                <w:szCs w:val="20"/>
              </w:rPr>
            </w:pPr>
            <w:r w:rsidRPr="007D0AA8">
              <w:rPr>
                <w:rFonts w:ascii="Arial Narrow" w:hAnsi="Arial Narrow"/>
                <w:sz w:val="20"/>
                <w:szCs w:val="20"/>
              </w:rPr>
              <w:t>CMV+ patients ≥20 y</w:t>
            </w:r>
            <w:r w:rsidR="00AE1371">
              <w:rPr>
                <w:rFonts w:ascii="Arial Narrow" w:hAnsi="Arial Narrow"/>
                <w:sz w:val="20"/>
                <w:szCs w:val="20"/>
              </w:rPr>
              <w:t xml:space="preserve">ears </w:t>
            </w:r>
            <w:r w:rsidRPr="007D0AA8">
              <w:rPr>
                <w:rFonts w:ascii="Arial Narrow" w:hAnsi="Arial Narrow"/>
                <w:sz w:val="20"/>
                <w:szCs w:val="20"/>
              </w:rPr>
              <w:t>o</w:t>
            </w:r>
            <w:r w:rsidR="00AE1371">
              <w:rPr>
                <w:rFonts w:ascii="Arial Narrow" w:hAnsi="Arial Narrow"/>
                <w:sz w:val="20"/>
                <w:szCs w:val="20"/>
              </w:rPr>
              <w:t>ld</w:t>
            </w:r>
            <w:r w:rsidRPr="007D0AA8">
              <w:rPr>
                <w:rFonts w:ascii="Arial Narrow" w:hAnsi="Arial Narrow"/>
                <w:sz w:val="20"/>
                <w:szCs w:val="20"/>
              </w:rPr>
              <w:t xml:space="preserve"> </w:t>
            </w:r>
          </w:p>
        </w:tc>
        <w:tc>
          <w:tcPr>
            <w:tcW w:w="941" w:type="pct"/>
            <w:gridSpan w:val="2"/>
            <w:tcBorders>
              <w:top w:val="nil"/>
              <w:left w:val="single" w:sz="4" w:space="0" w:color="auto"/>
              <w:bottom w:val="single" w:sz="4" w:space="0" w:color="auto"/>
              <w:right w:val="nil"/>
            </w:tcBorders>
            <w:shd w:val="clear" w:color="auto" w:fill="auto"/>
            <w:noWrap/>
          </w:tcPr>
          <w:p w14:paraId="12A23789"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n=119 patients</w:t>
            </w:r>
            <w:r w:rsidRPr="007D0AA8">
              <w:rPr>
                <w:rFonts w:ascii="Arial Narrow" w:hAnsi="Arial Narrow"/>
                <w:sz w:val="20"/>
                <w:szCs w:val="20"/>
              </w:rPr>
              <w:br/>
              <w:t>11 patients (9%)</w:t>
            </w:r>
          </w:p>
        </w:tc>
        <w:tc>
          <w:tcPr>
            <w:tcW w:w="1063" w:type="pct"/>
            <w:tcBorders>
              <w:top w:val="nil"/>
              <w:left w:val="nil"/>
              <w:bottom w:val="single" w:sz="4" w:space="0" w:color="auto"/>
              <w:right w:val="nil"/>
            </w:tcBorders>
            <w:shd w:val="clear" w:color="auto" w:fill="auto"/>
            <w:noWrap/>
          </w:tcPr>
          <w:p w14:paraId="7439465A"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n=128 patients</w:t>
            </w:r>
          </w:p>
          <w:p w14:paraId="544CE4C1"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27 patients (21%)</w:t>
            </w:r>
          </w:p>
        </w:tc>
        <w:tc>
          <w:tcPr>
            <w:tcW w:w="710" w:type="pct"/>
            <w:tcBorders>
              <w:top w:val="nil"/>
              <w:left w:val="nil"/>
              <w:bottom w:val="single" w:sz="4" w:space="0" w:color="auto"/>
              <w:right w:val="single" w:sz="4" w:space="0" w:color="auto"/>
            </w:tcBorders>
          </w:tcPr>
          <w:p w14:paraId="24F095E8"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sz w:val="20"/>
                <w:szCs w:val="20"/>
              </w:rPr>
              <w:t>p=0.0032</w:t>
            </w:r>
          </w:p>
        </w:tc>
      </w:tr>
    </w:tbl>
    <w:p w14:paraId="197CFDCC" w14:textId="77777777" w:rsidR="00C54A0C" w:rsidRPr="007D0AA8" w:rsidRDefault="00C54A0C" w:rsidP="00331FB9">
      <w:pPr>
        <w:pStyle w:val="Tablenotes1"/>
      </w:pPr>
      <w:r w:rsidRPr="007D0AA8">
        <w:rPr>
          <w:u w:val="single"/>
        </w:rPr>
        <w:t>Sullivan et al., 1990</w:t>
      </w:r>
      <w:r w:rsidRPr="007D0AA8">
        <w:t xml:space="preserve"> – all CMV seropositive patients received prophylactic acyclovir from –d5 to d30 post-BMT. No CMV seronegative patients developed interstitial pneumonia, noting that these patients all received BMT from CMV- donors.  </w:t>
      </w:r>
    </w:p>
    <w:p w14:paraId="6B213F24" w14:textId="72E2F4DE" w:rsidR="00C54A0C" w:rsidRPr="007D0AA8" w:rsidRDefault="00AE1371" w:rsidP="00331FB9">
      <w:pPr>
        <w:pStyle w:val="Tablenotes1"/>
      </w:pPr>
      <w:r>
        <w:t>BMT=bone marrow transplant; CMV=cytomegalovirus; GVHD=graft versus host disease; IVIg=intravenous immunoglobulin</w:t>
      </w:r>
    </w:p>
    <w:p w14:paraId="3FCB255D" w14:textId="48764C55" w:rsidR="00FA1407" w:rsidRDefault="00E518FC" w:rsidP="00E518FC">
      <w:r w:rsidRPr="007D0AA8">
        <w:t>In the Sullivan study (</w:t>
      </w:r>
      <w:r w:rsidRPr="007D0AA8">
        <w:rPr>
          <w:highlight w:val="yellow"/>
        </w:rPr>
        <w:fldChar w:fldCharType="begin"/>
      </w:r>
      <w:r w:rsidRPr="007D0AA8">
        <w:instrText xml:space="preserve"> REF _Ref9453080 \h </w:instrText>
      </w:r>
      <w:r w:rsidRPr="007D0AA8">
        <w:rPr>
          <w:highlight w:val="yellow"/>
        </w:rPr>
        <w:instrText xml:space="preserve"> \* MERGEFORMAT </w:instrText>
      </w:r>
      <w:r w:rsidRPr="007D0AA8">
        <w:rPr>
          <w:highlight w:val="yellow"/>
        </w:rPr>
      </w:r>
      <w:r w:rsidRPr="007D0AA8">
        <w:rPr>
          <w:highlight w:val="yellow"/>
        </w:rPr>
        <w:fldChar w:fldCharType="separate"/>
      </w:r>
      <w:r w:rsidR="00A7463B" w:rsidRPr="00386411">
        <w:t xml:space="preserve">Table </w:t>
      </w:r>
      <w:r w:rsidR="00A7463B">
        <w:rPr>
          <w:noProof/>
        </w:rPr>
        <w:t>26</w:t>
      </w:r>
      <w:r w:rsidRPr="007D0AA8">
        <w:rPr>
          <w:highlight w:val="yellow"/>
        </w:rPr>
        <w:fldChar w:fldCharType="end"/>
      </w:r>
      <w:r w:rsidRPr="007D0AA8">
        <w:t xml:space="preserve">), patients who received IVIg were significant less likely to have a grade II to IV GVHD (RR=1.63, p=0.0056). Interstitial pneumonia (a risk of CMV reactivation) was evaluated only in CMV seropositive patients in the same study as a transplant-related outcome. Patients who were randomised to receive IVIg were significantly less likely to develop interstitial pneumonia than those who did not receive IVIg (cumulative incidence 13% vs 22%, p=0.021). </w:t>
      </w:r>
    </w:p>
    <w:p w14:paraId="14A86418" w14:textId="06730042" w:rsidR="00E518FC" w:rsidRPr="007D0AA8" w:rsidRDefault="00E518FC" w:rsidP="00E518FC">
      <w:r>
        <w:t>It was however considered that management of HSCT transplants and GVHD risk in current clinical practice has changed radically compared with when this study was conducted in the late 1980s</w:t>
      </w:r>
      <w:r w:rsidR="00FA1407">
        <w:t xml:space="preserve"> (new immunosuppressants and conditioning regimens, changes in HLA typing, use of mobilised stem cells) thus</w:t>
      </w:r>
      <w:r w:rsidR="00317D07">
        <w:t xml:space="preserve"> in the absence of other high quality studies reporting this outcome it wa</w:t>
      </w:r>
      <w:r w:rsidR="00FA1407">
        <w:t xml:space="preserve">s not clear </w:t>
      </w:r>
      <w:r>
        <w:t>whether this re</w:t>
      </w:r>
      <w:r w:rsidR="00FA1407">
        <w:t>sult for GVHD risk could be replicated in a similarly designed study in a modern population</w:t>
      </w:r>
      <w:r>
        <w:t xml:space="preserve">.  </w:t>
      </w:r>
    </w:p>
    <w:p w14:paraId="75804594" w14:textId="33A4664A" w:rsidR="00C54A0C" w:rsidRPr="007D0AA8" w:rsidRDefault="00D31381" w:rsidP="00C54A0C">
      <w:r>
        <w:rPr>
          <w:rFonts w:asciiTheme="minorHAnsi" w:hAnsiTheme="minorHAnsi" w:cstheme="minorHAnsi"/>
        </w:rPr>
        <w:t xml:space="preserve">The Swedish study </w:t>
      </w:r>
      <w:r w:rsidR="00896BE2">
        <w:rPr>
          <w:rFonts w:asciiTheme="minorHAnsi" w:hAnsiTheme="minorHAnsi" w:cstheme="minorHAnsi"/>
        </w:rPr>
        <w:fldChar w:fldCharType="begin">
          <w:fldData xml:space="preserve">PEVuZE5vdGU+PENpdGU+PEF1dGhvcj5TdW5kaW48L0F1dGhvcj48WWVhcj4yMDEyPC9ZZWFyPjxS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</w:fldData>
        </w:fldChar>
      </w:r>
      <w:r w:rsidR="00896BE2">
        <w:rPr>
          <w:rFonts w:asciiTheme="minorHAnsi" w:hAnsiTheme="minorHAnsi" w:cstheme="minorHAnsi"/>
        </w:rPr>
        <w:instrText xml:space="preserve"> ADDIN EN.CITE </w:instrText>
      </w:r>
      <w:r w:rsidR="00896BE2">
        <w:rPr>
          <w:rFonts w:asciiTheme="minorHAnsi" w:hAnsiTheme="minorHAnsi" w:cstheme="minorHAnsi"/>
        </w:rPr>
        <w:fldChar w:fldCharType="begin">
          <w:fldData xml:space="preserve">PEVuZE5vdGU+PENpdGU+PEF1dGhvcj5TdW5kaW48L0F1dGhvcj48WWVhcj4yMDEyPC9ZZWFyPjxS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</w:fldData>
        </w:fldChar>
      </w:r>
      <w:r w:rsidR="00896BE2">
        <w:rPr>
          <w:rFonts w:asciiTheme="minorHAnsi" w:hAnsiTheme="minorHAnsi" w:cstheme="minorHAnsi"/>
        </w:rPr>
        <w:instrText xml:space="preserve"> ADDIN EN.CITE.DATA </w:instrText>
      </w:r>
      <w:r w:rsidR="00896BE2">
        <w:rPr>
          <w:rFonts w:asciiTheme="minorHAnsi" w:hAnsiTheme="minorHAnsi" w:cstheme="minorHAnsi"/>
        </w:rPr>
      </w:r>
      <w:r w:rsidR="00896BE2">
        <w:rPr>
          <w:rFonts w:asciiTheme="minorHAnsi" w:hAnsiTheme="minorHAnsi" w:cstheme="minorHAnsi"/>
        </w:rPr>
        <w:fldChar w:fldCharType="end"/>
      </w:r>
      <w:r w:rsidR="00896BE2">
        <w:rPr>
          <w:rFonts w:asciiTheme="minorHAnsi" w:hAnsiTheme="minorHAnsi" w:cstheme="minorHAnsi"/>
        </w:rPr>
      </w:r>
      <w:r w:rsidR="00896BE2">
        <w:rPr>
          <w:rFonts w:asciiTheme="minorHAnsi" w:hAnsiTheme="minorHAnsi" w:cstheme="minorHAnsi"/>
        </w:rPr>
        <w:fldChar w:fldCharType="separate"/>
      </w:r>
      <w:r w:rsidR="00896BE2">
        <w:rPr>
          <w:rFonts w:asciiTheme="minorHAnsi" w:hAnsiTheme="minorHAnsi" w:cstheme="minorHAnsi"/>
          <w:noProof/>
        </w:rPr>
        <w:t>(</w:t>
      </w:r>
      <w:hyperlink w:anchor="_ENREF_50" w:tooltip="Sundin, 2012 #86" w:history="1">
        <w:r w:rsidR="00BB0145">
          <w:rPr>
            <w:rFonts w:asciiTheme="minorHAnsi" w:hAnsiTheme="minorHAnsi" w:cstheme="minorHAnsi"/>
            <w:noProof/>
          </w:rPr>
          <w:t>Sundin et al. 2012</w:t>
        </w:r>
      </w:hyperlink>
      <w:r w:rsidR="00896BE2">
        <w:rPr>
          <w:rFonts w:asciiTheme="minorHAnsi" w:hAnsiTheme="minorHAnsi" w:cstheme="minorHAnsi"/>
          <w:noProof/>
        </w:rPr>
        <w:t>)</w:t>
      </w:r>
      <w:r w:rsidR="00896BE2">
        <w:rPr>
          <w:rFonts w:asciiTheme="minorHAnsi" w:hAnsiTheme="minorHAnsi" w:cstheme="minorHAnsi"/>
        </w:rPr>
        <w:fldChar w:fldCharType="end"/>
      </w:r>
      <w:r w:rsidR="00C54A0C" w:rsidRPr="007D0AA8">
        <w:rPr>
          <w:rFonts w:asciiTheme="minorHAnsi" w:hAnsiTheme="minorHAnsi" w:cstheme="minorHAnsi"/>
        </w:rPr>
        <w:t xml:space="preserve"> reported </w:t>
      </w:r>
      <w:r w:rsidR="00C54A0C" w:rsidRPr="007D0AA8">
        <w:t>GVHD in terms of acute, chronic and graft rejection</w:t>
      </w:r>
      <w:r w:rsidR="00C54A0C" w:rsidRPr="007D0AA8">
        <w:rPr>
          <w:rFonts w:asciiTheme="minorHAnsi" w:hAnsiTheme="minorHAnsi" w:cstheme="minorHAnsi"/>
        </w:rPr>
        <w:t xml:space="preserve"> in 46 HSCT recipients receiving either IVIg or SCIg</w:t>
      </w:r>
      <w:r w:rsidRPr="007D0AA8">
        <w:rPr>
          <w:rFonts w:asciiTheme="minorHAnsi" w:hAnsiTheme="minorHAnsi" w:cstheme="minorHAnsi"/>
        </w:rPr>
        <w:t xml:space="preserve"> (</w:t>
      </w:r>
      <w:r w:rsidRPr="007D0AA8">
        <w:rPr>
          <w:rFonts w:asciiTheme="minorHAnsi" w:hAnsiTheme="minorHAnsi" w:cstheme="minorHAnsi"/>
        </w:rPr>
        <w:fldChar w:fldCharType="begin"/>
      </w:r>
      <w:r w:rsidRPr="007D0AA8">
        <w:rPr>
          <w:rFonts w:asciiTheme="minorHAnsi" w:hAnsiTheme="minorHAnsi" w:cstheme="minorHAnsi"/>
        </w:rPr>
        <w:instrText xml:space="preserve"> REF _Ref10295259 \h  \* MERGEFORMAT </w:instrText>
      </w:r>
      <w:r w:rsidRPr="007D0AA8">
        <w:rPr>
          <w:rFonts w:asciiTheme="minorHAnsi" w:hAnsiTheme="minorHAnsi" w:cstheme="minorHAnsi"/>
        </w:rPr>
      </w:r>
      <w:r w:rsidRPr="007D0AA8">
        <w:rPr>
          <w:rFonts w:asciiTheme="minorHAnsi" w:hAnsiTheme="minorHAnsi" w:cstheme="minorHAnsi"/>
        </w:rPr>
        <w:fldChar w:fldCharType="separate"/>
      </w:r>
      <w:r w:rsidR="00A7463B" w:rsidRPr="00386411">
        <w:t xml:space="preserve">Table </w:t>
      </w:r>
      <w:r w:rsidR="00A7463B">
        <w:rPr>
          <w:noProof/>
        </w:rPr>
        <w:t>27</w:t>
      </w:r>
      <w:r w:rsidRPr="007D0AA8">
        <w:rPr>
          <w:rFonts w:asciiTheme="minorHAnsi" w:hAnsiTheme="minorHAnsi" w:cstheme="minorHAnsi"/>
        </w:rPr>
        <w:fldChar w:fldCharType="end"/>
      </w:r>
      <w:r w:rsidRPr="007D0AA8">
        <w:rPr>
          <w:rFonts w:asciiTheme="minorHAnsi" w:hAnsiTheme="minorHAnsi" w:cstheme="minorHAnsi"/>
        </w:rPr>
        <w:t>)</w:t>
      </w:r>
      <w:r w:rsidR="00C54A0C" w:rsidRPr="007D0AA8">
        <w:t xml:space="preserve">. The authors </w:t>
      </w:r>
      <w:r w:rsidR="00C54A0C" w:rsidRPr="007D0AA8">
        <w:rPr>
          <w:rFonts w:asciiTheme="minorHAnsi" w:hAnsiTheme="minorHAnsi" w:cstheme="minorHAnsi"/>
        </w:rPr>
        <w:t xml:space="preserve">concluded that IVIg recipients had a higher incidence than SCIg of acute GVHD but concluded that this was not significant (p-value not presented). Given the observational nature of the study, the difference in results may have been due to selection bias. </w:t>
      </w:r>
      <w:r>
        <w:rPr>
          <w:rFonts w:asciiTheme="minorHAnsi" w:hAnsiTheme="minorHAnsi" w:cstheme="minorHAnsi"/>
        </w:rPr>
        <w:t xml:space="preserve">The absence of a No IgG control group precludes any conclusion for the main purpose of this evaluation.  </w:t>
      </w:r>
    </w:p>
    <w:p w14:paraId="54FA488F" w14:textId="77777777" w:rsidR="00C54A0C" w:rsidRPr="00386411" w:rsidRDefault="00C54A0C" w:rsidP="00C54A0C">
      <w:pPr>
        <w:pStyle w:val="Caption"/>
        <w:keepNext/>
        <w:rPr>
          <w:rFonts w:cs="Arial"/>
          <w:snapToGrid w:val="0"/>
          <w:szCs w:val="16"/>
          <w:lang w:eastAsia="en-US"/>
        </w:rPr>
      </w:pPr>
      <w:bookmarkStart w:id="330" w:name="_Ref10295259"/>
      <w:bookmarkStart w:id="331" w:name="_Toc14429570"/>
      <w:bookmarkStart w:id="332" w:name="_Toc16671625"/>
      <w:r w:rsidRPr="00386411">
        <w:lastRenderedPageBreak/>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27</w:t>
      </w:r>
      <w:r w:rsidRPr="00386411">
        <w:rPr>
          <w:noProof/>
        </w:rPr>
        <w:fldChar w:fldCharType="end"/>
      </w:r>
      <w:bookmarkEnd w:id="330"/>
      <w:r w:rsidRPr="00386411">
        <w:tab/>
      </w:r>
      <w:r w:rsidRPr="00386411">
        <w:rPr>
          <w:rFonts w:cs="Arial"/>
          <w:snapToGrid w:val="0"/>
          <w:szCs w:val="16"/>
          <w:lang w:eastAsia="en-US"/>
        </w:rPr>
        <w:t>Transplant-related outcomes – Sundin et al., 2012 (IVIg vs SCIg)</w:t>
      </w:r>
      <w:bookmarkEnd w:id="331"/>
      <w:bookmarkEnd w:id="332"/>
    </w:p>
    <w:tbl>
      <w:tblPr>
        <w:tblW w:w="5055" w:type="pct"/>
        <w:tblLayout w:type="fixed"/>
        <w:tblLook w:val="04A0" w:firstRow="1" w:lastRow="0" w:firstColumn="1" w:lastColumn="0" w:noHBand="0" w:noVBand="1"/>
      </w:tblPr>
      <w:tblGrid>
        <w:gridCol w:w="1155"/>
        <w:gridCol w:w="3117"/>
        <w:gridCol w:w="1736"/>
        <w:gridCol w:w="1981"/>
        <w:gridCol w:w="28"/>
        <w:gridCol w:w="1327"/>
      </w:tblGrid>
      <w:tr w:rsidR="00C54A0C" w:rsidRPr="00386411" w14:paraId="750B0523" w14:textId="77777777" w:rsidTr="00B52A4F">
        <w:tc>
          <w:tcPr>
            <w:tcW w:w="61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BE714A" w14:textId="77777777" w:rsidR="00C54A0C" w:rsidRPr="00386411" w:rsidRDefault="00C54A0C" w:rsidP="00C54A0C">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Study, Indication</w:t>
            </w:r>
          </w:p>
        </w:tc>
        <w:tc>
          <w:tcPr>
            <w:tcW w:w="16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50CE778" w14:textId="77777777" w:rsidR="00C54A0C" w:rsidRPr="00386411" w:rsidRDefault="00C54A0C" w:rsidP="00C54A0C">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Outcome</w:t>
            </w:r>
          </w:p>
        </w:tc>
        <w:tc>
          <w:tcPr>
            <w:tcW w:w="929" w:type="pct"/>
            <w:tcBorders>
              <w:top w:val="single" w:sz="4" w:space="0" w:color="auto"/>
              <w:left w:val="single" w:sz="4" w:space="0" w:color="auto"/>
              <w:bottom w:val="single" w:sz="4" w:space="0" w:color="auto"/>
              <w:right w:val="nil"/>
            </w:tcBorders>
            <w:shd w:val="clear" w:color="auto" w:fill="D9D9D9" w:themeFill="background1" w:themeFillShade="D9"/>
            <w:noWrap/>
            <w:vAlign w:val="bottom"/>
          </w:tcPr>
          <w:p w14:paraId="1B18BA4B" w14:textId="77777777" w:rsidR="00C54A0C" w:rsidRPr="00386411" w:rsidRDefault="00C54A0C" w:rsidP="00C54A0C">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Intervention</w:t>
            </w:r>
          </w:p>
        </w:tc>
        <w:tc>
          <w:tcPr>
            <w:tcW w:w="1075" w:type="pct"/>
            <w:gridSpan w:val="2"/>
            <w:tcBorders>
              <w:top w:val="single" w:sz="4" w:space="0" w:color="auto"/>
              <w:left w:val="nil"/>
              <w:bottom w:val="single" w:sz="4" w:space="0" w:color="auto"/>
              <w:right w:val="nil"/>
            </w:tcBorders>
            <w:shd w:val="clear" w:color="auto" w:fill="D9D9D9" w:themeFill="background1" w:themeFillShade="D9"/>
            <w:noWrap/>
            <w:vAlign w:val="bottom"/>
          </w:tcPr>
          <w:p w14:paraId="1EAF7E9A" w14:textId="77777777" w:rsidR="00C54A0C" w:rsidRPr="00386411" w:rsidRDefault="00C54A0C" w:rsidP="00C54A0C">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Comparator</w:t>
            </w:r>
          </w:p>
        </w:tc>
        <w:tc>
          <w:tcPr>
            <w:tcW w:w="710" w:type="pct"/>
            <w:tcBorders>
              <w:top w:val="single" w:sz="4" w:space="0" w:color="auto"/>
              <w:left w:val="nil"/>
              <w:bottom w:val="single" w:sz="4" w:space="0" w:color="auto"/>
              <w:right w:val="single" w:sz="4" w:space="0" w:color="auto"/>
            </w:tcBorders>
            <w:shd w:val="clear" w:color="auto" w:fill="D9D9D9" w:themeFill="background1" w:themeFillShade="D9"/>
          </w:tcPr>
          <w:p w14:paraId="4D98ABFE" w14:textId="77777777" w:rsidR="00C54A0C" w:rsidRPr="00386411" w:rsidRDefault="00C54A0C" w:rsidP="00C54A0C">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Comparison</w:t>
            </w:r>
          </w:p>
        </w:tc>
      </w:tr>
      <w:tr w:rsidR="00C54A0C" w:rsidRPr="00386411" w14:paraId="74B76B21" w14:textId="77777777" w:rsidTr="00B52A4F">
        <w:tc>
          <w:tcPr>
            <w:tcW w:w="61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D11610" w14:textId="77777777" w:rsidR="00C54A0C" w:rsidRPr="00386411" w:rsidRDefault="00C54A0C" w:rsidP="00F67034">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Sundin et al., 2012</w:t>
            </w:r>
          </w:p>
        </w:tc>
        <w:tc>
          <w:tcPr>
            <w:tcW w:w="16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483183" w14:textId="77777777" w:rsidR="00C54A0C" w:rsidRPr="00386411" w:rsidRDefault="00C54A0C" w:rsidP="00F67034">
            <w:pPr>
              <w:keepNext/>
              <w:spacing w:after="0" w:line="240" w:lineRule="auto"/>
              <w:ind w:left="-14"/>
              <w:rPr>
                <w:rFonts w:ascii="Arial Narrow" w:hAnsi="Arial Narrow"/>
                <w:b/>
                <w:sz w:val="20"/>
                <w:szCs w:val="20"/>
              </w:rPr>
            </w:pPr>
            <w:r w:rsidRPr="00386411">
              <w:rPr>
                <w:rFonts w:ascii="Arial Narrow" w:hAnsi="Arial Narrow" w:cs="Arial"/>
                <w:b/>
                <w:sz w:val="20"/>
                <w:szCs w:val="20"/>
                <w:lang w:val="en-GB" w:eastAsia="en-GB"/>
              </w:rPr>
              <w:t>GVHD,</w:t>
            </w:r>
            <w:r w:rsidRPr="00386411">
              <w:rPr>
                <w:rFonts w:ascii="Arial Narrow" w:hAnsi="Arial Narrow" w:cs="AdvPS_UVCL"/>
                <w:b/>
                <w:sz w:val="20"/>
                <w:szCs w:val="20"/>
              </w:rPr>
              <w:t xml:space="preserve"> n (%)</w:t>
            </w:r>
          </w:p>
        </w:tc>
        <w:tc>
          <w:tcPr>
            <w:tcW w:w="929" w:type="pct"/>
            <w:tcBorders>
              <w:top w:val="single" w:sz="4" w:space="0" w:color="auto"/>
              <w:left w:val="single" w:sz="4" w:space="0" w:color="auto"/>
              <w:bottom w:val="single" w:sz="4" w:space="0" w:color="auto"/>
              <w:right w:val="nil"/>
            </w:tcBorders>
            <w:shd w:val="clear" w:color="auto" w:fill="D9D9D9" w:themeFill="background1" w:themeFillShade="D9"/>
            <w:noWrap/>
          </w:tcPr>
          <w:p w14:paraId="6EA0564A" w14:textId="77777777" w:rsidR="00C54A0C" w:rsidRPr="00386411" w:rsidRDefault="00C54A0C" w:rsidP="00F67034">
            <w:pPr>
              <w:keepNext/>
              <w:spacing w:after="0" w:line="240" w:lineRule="auto"/>
              <w:jc w:val="right"/>
              <w:rPr>
                <w:rFonts w:ascii="Arial Narrow" w:hAnsi="Arial Narrow"/>
                <w:b/>
                <w:sz w:val="20"/>
                <w:szCs w:val="20"/>
              </w:rPr>
            </w:pPr>
            <w:r w:rsidRPr="00386411">
              <w:rPr>
                <w:rFonts w:ascii="Arial Narrow" w:hAnsi="Arial Narrow" w:cs="Arial"/>
                <w:b/>
                <w:bCs/>
                <w:sz w:val="20"/>
                <w:szCs w:val="20"/>
                <w:lang w:val="en-GB" w:eastAsia="en-GB"/>
              </w:rPr>
              <w:t>IVIg (N=46)</w:t>
            </w:r>
            <w:r w:rsidRPr="00386411">
              <w:rPr>
                <w:rFonts w:ascii="Arial Narrow" w:hAnsi="Arial Narrow" w:cs="Arial"/>
                <w:b/>
                <w:bCs/>
                <w:sz w:val="20"/>
                <w:szCs w:val="20"/>
                <w:lang w:val="en-GB" w:eastAsia="en-GB"/>
              </w:rPr>
              <w:br/>
              <w:t xml:space="preserve">n=24 haem. malignancy </w:t>
            </w:r>
          </w:p>
        </w:tc>
        <w:tc>
          <w:tcPr>
            <w:tcW w:w="1060" w:type="pct"/>
            <w:tcBorders>
              <w:top w:val="single" w:sz="4" w:space="0" w:color="auto"/>
              <w:left w:val="nil"/>
              <w:bottom w:val="single" w:sz="4" w:space="0" w:color="auto"/>
              <w:right w:val="nil"/>
            </w:tcBorders>
            <w:shd w:val="clear" w:color="auto" w:fill="D9D9D9" w:themeFill="background1" w:themeFillShade="D9"/>
            <w:noWrap/>
          </w:tcPr>
          <w:p w14:paraId="181B3DB6" w14:textId="77777777" w:rsidR="00C54A0C" w:rsidRPr="00386411" w:rsidRDefault="00C54A0C" w:rsidP="00F67034">
            <w:pPr>
              <w:keepNext/>
              <w:spacing w:after="0" w:line="240" w:lineRule="auto"/>
              <w:jc w:val="right"/>
              <w:rPr>
                <w:rFonts w:ascii="Arial Narrow" w:hAnsi="Arial Narrow"/>
                <w:b/>
                <w:sz w:val="20"/>
                <w:szCs w:val="20"/>
              </w:rPr>
            </w:pPr>
            <w:r w:rsidRPr="00386411">
              <w:rPr>
                <w:rFonts w:ascii="Arial Narrow" w:hAnsi="Arial Narrow" w:cs="Arial"/>
                <w:b/>
                <w:bCs/>
                <w:sz w:val="20"/>
                <w:szCs w:val="20"/>
                <w:lang w:val="en-GB" w:eastAsia="en-GB"/>
              </w:rPr>
              <w:t>SCIg (N=12)</w:t>
            </w:r>
            <w:r w:rsidRPr="00386411">
              <w:rPr>
                <w:rFonts w:ascii="Arial Narrow" w:hAnsi="Arial Narrow" w:cs="Arial"/>
                <w:b/>
                <w:bCs/>
                <w:sz w:val="20"/>
                <w:szCs w:val="20"/>
                <w:lang w:val="en-GB" w:eastAsia="en-GB"/>
              </w:rPr>
              <w:br/>
              <w:t xml:space="preserve">n=2 haem. malignancy </w:t>
            </w:r>
          </w:p>
        </w:tc>
        <w:tc>
          <w:tcPr>
            <w:tcW w:w="725" w:type="pct"/>
            <w:gridSpan w:val="2"/>
            <w:tcBorders>
              <w:top w:val="single" w:sz="4" w:space="0" w:color="auto"/>
              <w:left w:val="nil"/>
              <w:bottom w:val="single" w:sz="4" w:space="0" w:color="auto"/>
              <w:right w:val="single" w:sz="4" w:space="0" w:color="auto"/>
            </w:tcBorders>
            <w:shd w:val="clear" w:color="auto" w:fill="D9D9D9" w:themeFill="background1" w:themeFillShade="D9"/>
          </w:tcPr>
          <w:p w14:paraId="681B2716" w14:textId="77777777" w:rsidR="00C54A0C" w:rsidRPr="00386411" w:rsidRDefault="00C54A0C" w:rsidP="00F67034">
            <w:pPr>
              <w:keepNext/>
              <w:spacing w:after="0" w:line="240" w:lineRule="auto"/>
              <w:jc w:val="right"/>
              <w:rPr>
                <w:rFonts w:ascii="Arial Narrow" w:hAnsi="Arial Narrow"/>
                <w:b/>
                <w:sz w:val="20"/>
                <w:szCs w:val="20"/>
              </w:rPr>
            </w:pPr>
          </w:p>
        </w:tc>
      </w:tr>
      <w:tr w:rsidR="00C54A0C" w:rsidRPr="007D0AA8" w14:paraId="06272A81" w14:textId="77777777" w:rsidTr="00C54A0C">
        <w:tc>
          <w:tcPr>
            <w:tcW w:w="618" w:type="pct"/>
            <w:tcBorders>
              <w:top w:val="single" w:sz="4" w:space="0" w:color="auto"/>
              <w:left w:val="single" w:sz="4" w:space="0" w:color="auto"/>
              <w:bottom w:val="nil"/>
              <w:right w:val="single" w:sz="4" w:space="0" w:color="auto"/>
            </w:tcBorders>
          </w:tcPr>
          <w:p w14:paraId="3B95BFA8" w14:textId="77777777" w:rsidR="00C54A0C" w:rsidRPr="007D0AA8" w:rsidRDefault="00C54A0C" w:rsidP="00C54A0C">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HSCT</w:t>
            </w:r>
          </w:p>
        </w:tc>
        <w:tc>
          <w:tcPr>
            <w:tcW w:w="1668" w:type="pct"/>
            <w:tcBorders>
              <w:top w:val="single" w:sz="4" w:space="0" w:color="auto"/>
              <w:left w:val="single" w:sz="4" w:space="0" w:color="auto"/>
              <w:bottom w:val="nil"/>
              <w:right w:val="single" w:sz="4" w:space="0" w:color="auto"/>
            </w:tcBorders>
          </w:tcPr>
          <w:p w14:paraId="7AE674CE" w14:textId="77777777" w:rsidR="00C54A0C" w:rsidRPr="007D0AA8" w:rsidRDefault="00C54A0C" w:rsidP="00C54A0C">
            <w:pPr>
              <w:spacing w:after="0" w:line="240" w:lineRule="auto"/>
              <w:ind w:left="-14"/>
              <w:rPr>
                <w:rFonts w:ascii="Arial Narrow" w:hAnsi="Arial Narrow"/>
                <w:sz w:val="20"/>
                <w:szCs w:val="20"/>
              </w:rPr>
            </w:pPr>
            <w:r w:rsidRPr="007D0AA8">
              <w:rPr>
                <w:rFonts w:ascii="Arial Narrow" w:hAnsi="Arial Narrow" w:cs="AdvPS_UVCL"/>
                <w:sz w:val="20"/>
                <w:szCs w:val="20"/>
              </w:rPr>
              <w:t>Acute GvHD</w:t>
            </w:r>
          </w:p>
        </w:tc>
        <w:tc>
          <w:tcPr>
            <w:tcW w:w="929" w:type="pct"/>
            <w:tcBorders>
              <w:top w:val="single" w:sz="4" w:space="0" w:color="auto"/>
              <w:left w:val="single" w:sz="4" w:space="0" w:color="auto"/>
              <w:bottom w:val="nil"/>
              <w:right w:val="nil"/>
            </w:tcBorders>
            <w:shd w:val="clear" w:color="auto" w:fill="auto"/>
            <w:noWrap/>
          </w:tcPr>
          <w:p w14:paraId="761C0ECD"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cs="AdvPS_UVCL"/>
                <w:sz w:val="20"/>
                <w:szCs w:val="20"/>
              </w:rPr>
              <w:t>30 (65.2%)</w:t>
            </w:r>
          </w:p>
        </w:tc>
        <w:tc>
          <w:tcPr>
            <w:tcW w:w="1060" w:type="pct"/>
            <w:tcBorders>
              <w:top w:val="single" w:sz="4" w:space="0" w:color="auto"/>
              <w:left w:val="nil"/>
              <w:bottom w:val="nil"/>
              <w:right w:val="nil"/>
            </w:tcBorders>
            <w:shd w:val="clear" w:color="auto" w:fill="auto"/>
            <w:noWrap/>
          </w:tcPr>
          <w:p w14:paraId="2D70B401"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cs="AdvPS_UVCL"/>
                <w:sz w:val="20"/>
                <w:szCs w:val="20"/>
              </w:rPr>
              <w:t>5 (41.7%)</w:t>
            </w:r>
          </w:p>
        </w:tc>
        <w:tc>
          <w:tcPr>
            <w:tcW w:w="725" w:type="pct"/>
            <w:gridSpan w:val="2"/>
            <w:tcBorders>
              <w:top w:val="single" w:sz="4" w:space="0" w:color="auto"/>
              <w:left w:val="nil"/>
              <w:bottom w:val="nil"/>
              <w:right w:val="single" w:sz="4" w:space="0" w:color="auto"/>
            </w:tcBorders>
          </w:tcPr>
          <w:p w14:paraId="57B642A2" w14:textId="77777777" w:rsidR="00C54A0C" w:rsidRPr="007D0AA8" w:rsidRDefault="00C54A0C" w:rsidP="00C54A0C">
            <w:pPr>
              <w:spacing w:after="0" w:line="240" w:lineRule="auto"/>
              <w:jc w:val="right"/>
              <w:rPr>
                <w:rFonts w:ascii="Arial Narrow" w:hAnsi="Arial Narrow"/>
                <w:sz w:val="20"/>
                <w:szCs w:val="20"/>
              </w:rPr>
            </w:pPr>
          </w:p>
        </w:tc>
      </w:tr>
      <w:tr w:rsidR="00C54A0C" w:rsidRPr="007D0AA8" w14:paraId="6763D41E" w14:textId="77777777" w:rsidTr="00C54A0C">
        <w:tc>
          <w:tcPr>
            <w:tcW w:w="618" w:type="pct"/>
            <w:tcBorders>
              <w:top w:val="nil"/>
              <w:left w:val="single" w:sz="4" w:space="0" w:color="auto"/>
              <w:bottom w:val="nil"/>
              <w:right w:val="single" w:sz="4" w:space="0" w:color="auto"/>
            </w:tcBorders>
          </w:tcPr>
          <w:p w14:paraId="27964EB0" w14:textId="77777777" w:rsidR="00C54A0C" w:rsidRPr="007D0AA8" w:rsidRDefault="00C54A0C" w:rsidP="00C54A0C">
            <w:pPr>
              <w:spacing w:after="0" w:line="240" w:lineRule="auto"/>
              <w:rPr>
                <w:rFonts w:ascii="Arial Narrow" w:hAnsi="Arial Narrow" w:cs="Calibri"/>
                <w:color w:val="000000"/>
                <w:sz w:val="20"/>
                <w:szCs w:val="20"/>
              </w:rPr>
            </w:pPr>
          </w:p>
        </w:tc>
        <w:tc>
          <w:tcPr>
            <w:tcW w:w="1668" w:type="pct"/>
            <w:tcBorders>
              <w:top w:val="nil"/>
              <w:left w:val="single" w:sz="4" w:space="0" w:color="auto"/>
              <w:bottom w:val="nil"/>
              <w:right w:val="single" w:sz="4" w:space="0" w:color="auto"/>
            </w:tcBorders>
          </w:tcPr>
          <w:p w14:paraId="4C5575C7" w14:textId="77777777" w:rsidR="00C54A0C" w:rsidRPr="007D0AA8" w:rsidRDefault="00C54A0C" w:rsidP="00C54A0C">
            <w:pPr>
              <w:spacing w:after="0" w:line="240" w:lineRule="auto"/>
              <w:ind w:left="-14"/>
              <w:rPr>
                <w:rFonts w:ascii="Arial Narrow" w:hAnsi="Arial Narrow" w:cs="AdvPS_UVCL"/>
                <w:sz w:val="20"/>
                <w:szCs w:val="20"/>
              </w:rPr>
            </w:pPr>
            <w:r w:rsidRPr="007D0AA8">
              <w:rPr>
                <w:rFonts w:ascii="Arial Narrow" w:hAnsi="Arial Narrow" w:cstheme="minorHAnsi"/>
                <w:sz w:val="20"/>
              </w:rPr>
              <w:t>Chronic GvHD</w:t>
            </w:r>
          </w:p>
        </w:tc>
        <w:tc>
          <w:tcPr>
            <w:tcW w:w="929" w:type="pct"/>
            <w:tcBorders>
              <w:top w:val="nil"/>
              <w:left w:val="single" w:sz="4" w:space="0" w:color="auto"/>
              <w:bottom w:val="nil"/>
              <w:right w:val="nil"/>
            </w:tcBorders>
            <w:shd w:val="clear" w:color="auto" w:fill="auto"/>
            <w:noWrap/>
          </w:tcPr>
          <w:p w14:paraId="059423D8" w14:textId="77777777" w:rsidR="00C54A0C" w:rsidRPr="007D0AA8" w:rsidRDefault="00C54A0C" w:rsidP="00C54A0C">
            <w:pPr>
              <w:spacing w:after="0" w:line="240" w:lineRule="auto"/>
              <w:jc w:val="right"/>
              <w:rPr>
                <w:rFonts w:ascii="Arial Narrow" w:hAnsi="Arial Narrow" w:cs="AdvPS_UVCL"/>
                <w:sz w:val="20"/>
                <w:szCs w:val="20"/>
              </w:rPr>
            </w:pPr>
            <w:r w:rsidRPr="007D0AA8">
              <w:rPr>
                <w:rFonts w:ascii="Arial Narrow" w:hAnsi="Arial Narrow" w:cstheme="minorHAnsi"/>
                <w:sz w:val="20"/>
              </w:rPr>
              <w:t>9 (19.6%)</w:t>
            </w:r>
          </w:p>
        </w:tc>
        <w:tc>
          <w:tcPr>
            <w:tcW w:w="1060" w:type="pct"/>
            <w:tcBorders>
              <w:top w:val="nil"/>
              <w:left w:val="nil"/>
              <w:bottom w:val="nil"/>
              <w:right w:val="nil"/>
            </w:tcBorders>
            <w:shd w:val="clear" w:color="auto" w:fill="auto"/>
            <w:noWrap/>
          </w:tcPr>
          <w:p w14:paraId="1F2FD310" w14:textId="77777777" w:rsidR="00C54A0C" w:rsidRPr="007D0AA8" w:rsidRDefault="00C54A0C" w:rsidP="00C54A0C">
            <w:pPr>
              <w:spacing w:after="0" w:line="240" w:lineRule="auto"/>
              <w:jc w:val="right"/>
              <w:rPr>
                <w:rFonts w:ascii="Arial Narrow" w:hAnsi="Arial Narrow" w:cs="AdvPS_UVCL"/>
                <w:sz w:val="20"/>
                <w:szCs w:val="20"/>
              </w:rPr>
            </w:pPr>
            <w:r w:rsidRPr="007D0AA8">
              <w:rPr>
                <w:rFonts w:ascii="Arial Narrow" w:hAnsi="Arial Narrow" w:cstheme="minorHAnsi"/>
                <w:sz w:val="20"/>
              </w:rPr>
              <w:t>1 (8.3%)</w:t>
            </w:r>
          </w:p>
        </w:tc>
        <w:tc>
          <w:tcPr>
            <w:tcW w:w="725" w:type="pct"/>
            <w:gridSpan w:val="2"/>
            <w:tcBorders>
              <w:top w:val="nil"/>
              <w:left w:val="nil"/>
              <w:bottom w:val="nil"/>
              <w:right w:val="single" w:sz="4" w:space="0" w:color="auto"/>
            </w:tcBorders>
          </w:tcPr>
          <w:p w14:paraId="08C0CC21" w14:textId="77777777" w:rsidR="00C54A0C" w:rsidRPr="007D0AA8" w:rsidRDefault="00C54A0C" w:rsidP="00C54A0C">
            <w:pPr>
              <w:spacing w:after="0" w:line="240" w:lineRule="auto"/>
              <w:jc w:val="right"/>
              <w:rPr>
                <w:rFonts w:ascii="Arial Narrow" w:hAnsi="Arial Narrow"/>
                <w:sz w:val="20"/>
                <w:szCs w:val="20"/>
              </w:rPr>
            </w:pPr>
          </w:p>
        </w:tc>
      </w:tr>
      <w:tr w:rsidR="00C54A0C" w:rsidRPr="007D0AA8" w14:paraId="665C23BB" w14:textId="77777777" w:rsidTr="00751FAB">
        <w:tc>
          <w:tcPr>
            <w:tcW w:w="618" w:type="pct"/>
            <w:tcBorders>
              <w:top w:val="nil"/>
              <w:left w:val="single" w:sz="4" w:space="0" w:color="auto"/>
              <w:bottom w:val="single" w:sz="4" w:space="0" w:color="auto"/>
              <w:right w:val="single" w:sz="4" w:space="0" w:color="auto"/>
            </w:tcBorders>
          </w:tcPr>
          <w:p w14:paraId="7BCD83B2" w14:textId="77777777" w:rsidR="00C54A0C" w:rsidRPr="007D0AA8" w:rsidRDefault="00C54A0C" w:rsidP="00C54A0C">
            <w:pPr>
              <w:spacing w:after="0" w:line="240" w:lineRule="auto"/>
              <w:rPr>
                <w:rFonts w:ascii="Arial Narrow" w:hAnsi="Arial Narrow" w:cs="Calibri"/>
                <w:color w:val="000000"/>
                <w:sz w:val="20"/>
                <w:szCs w:val="20"/>
              </w:rPr>
            </w:pPr>
          </w:p>
        </w:tc>
        <w:tc>
          <w:tcPr>
            <w:tcW w:w="1668" w:type="pct"/>
            <w:tcBorders>
              <w:top w:val="nil"/>
              <w:left w:val="single" w:sz="4" w:space="0" w:color="auto"/>
              <w:bottom w:val="single" w:sz="4" w:space="0" w:color="auto"/>
              <w:right w:val="single" w:sz="4" w:space="0" w:color="auto"/>
            </w:tcBorders>
          </w:tcPr>
          <w:p w14:paraId="16424D16" w14:textId="77777777" w:rsidR="00C54A0C" w:rsidRPr="007D0AA8" w:rsidRDefault="00C54A0C" w:rsidP="00C54A0C">
            <w:pPr>
              <w:spacing w:after="0" w:line="240" w:lineRule="auto"/>
              <w:ind w:left="-14"/>
              <w:rPr>
                <w:rFonts w:ascii="Arial Narrow" w:hAnsi="Arial Narrow"/>
                <w:sz w:val="20"/>
                <w:szCs w:val="20"/>
              </w:rPr>
            </w:pPr>
            <w:r w:rsidRPr="007D0AA8">
              <w:rPr>
                <w:rFonts w:ascii="Arial Narrow" w:hAnsi="Arial Narrow" w:cstheme="minorHAnsi"/>
                <w:sz w:val="20"/>
              </w:rPr>
              <w:t>Rejection</w:t>
            </w:r>
          </w:p>
        </w:tc>
        <w:tc>
          <w:tcPr>
            <w:tcW w:w="929" w:type="pct"/>
            <w:tcBorders>
              <w:top w:val="nil"/>
              <w:left w:val="single" w:sz="4" w:space="0" w:color="auto"/>
              <w:bottom w:val="single" w:sz="4" w:space="0" w:color="auto"/>
              <w:right w:val="nil"/>
            </w:tcBorders>
            <w:shd w:val="clear" w:color="auto" w:fill="auto"/>
            <w:noWrap/>
          </w:tcPr>
          <w:p w14:paraId="0893FD91"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cstheme="minorHAnsi"/>
                <w:sz w:val="20"/>
              </w:rPr>
              <w:t>1 (2.2%)</w:t>
            </w:r>
          </w:p>
        </w:tc>
        <w:tc>
          <w:tcPr>
            <w:tcW w:w="1060" w:type="pct"/>
            <w:tcBorders>
              <w:top w:val="nil"/>
              <w:left w:val="nil"/>
              <w:bottom w:val="single" w:sz="4" w:space="0" w:color="auto"/>
              <w:right w:val="nil"/>
            </w:tcBorders>
            <w:shd w:val="clear" w:color="auto" w:fill="auto"/>
            <w:noWrap/>
          </w:tcPr>
          <w:p w14:paraId="30735C79" w14:textId="77777777" w:rsidR="00C54A0C" w:rsidRPr="007D0AA8" w:rsidRDefault="00C54A0C" w:rsidP="00C54A0C">
            <w:pPr>
              <w:spacing w:after="0" w:line="240" w:lineRule="auto"/>
              <w:jc w:val="right"/>
              <w:rPr>
                <w:rFonts w:ascii="Arial Narrow" w:hAnsi="Arial Narrow"/>
                <w:sz w:val="20"/>
                <w:szCs w:val="20"/>
              </w:rPr>
            </w:pPr>
            <w:r w:rsidRPr="007D0AA8">
              <w:rPr>
                <w:rFonts w:ascii="Arial Narrow" w:hAnsi="Arial Narrow" w:cstheme="minorHAnsi"/>
                <w:sz w:val="20"/>
              </w:rPr>
              <w:t xml:space="preserve">1 (8.3%) </w:t>
            </w:r>
          </w:p>
        </w:tc>
        <w:tc>
          <w:tcPr>
            <w:tcW w:w="725" w:type="pct"/>
            <w:gridSpan w:val="2"/>
            <w:tcBorders>
              <w:top w:val="nil"/>
              <w:left w:val="nil"/>
              <w:bottom w:val="single" w:sz="4" w:space="0" w:color="auto"/>
              <w:right w:val="single" w:sz="4" w:space="0" w:color="auto"/>
            </w:tcBorders>
          </w:tcPr>
          <w:p w14:paraId="54AF5BA8" w14:textId="77777777" w:rsidR="00C54A0C" w:rsidRPr="007D0AA8" w:rsidRDefault="00C54A0C" w:rsidP="00C54A0C">
            <w:pPr>
              <w:spacing w:after="0" w:line="240" w:lineRule="auto"/>
              <w:jc w:val="right"/>
              <w:rPr>
                <w:rFonts w:ascii="Arial Narrow" w:hAnsi="Arial Narrow"/>
                <w:sz w:val="20"/>
                <w:szCs w:val="20"/>
              </w:rPr>
            </w:pPr>
          </w:p>
        </w:tc>
      </w:tr>
    </w:tbl>
    <w:p w14:paraId="1C536F37" w14:textId="27757F2F" w:rsidR="00C54A0C" w:rsidRDefault="00751FAB" w:rsidP="00331FB9">
      <w:pPr>
        <w:pStyle w:val="Tablenotes1"/>
      </w:pPr>
      <w:r w:rsidRPr="00751FAB">
        <w:t>GVHD=graft versus host disease; IVIg=intravenous immunoglobulin; SCIg=subcutaneous immunoglobulin</w:t>
      </w:r>
    </w:p>
    <w:p w14:paraId="06CA5C29" w14:textId="77777777" w:rsidR="00751FAB" w:rsidRPr="00751FAB" w:rsidRDefault="00751FAB" w:rsidP="00331FB9"/>
    <w:p w14:paraId="58479C09" w14:textId="3C37AC03" w:rsidR="00C576D5" w:rsidRPr="00386411" w:rsidRDefault="00C576D5" w:rsidP="00C576D5">
      <w:pPr>
        <w:pStyle w:val="Heading3"/>
      </w:pPr>
      <w:bookmarkStart w:id="333" w:name="_Toc14431147"/>
      <w:bookmarkStart w:id="334" w:name="_Toc16856315"/>
      <w:r w:rsidRPr="00386411">
        <w:t>Quality of Life</w:t>
      </w:r>
      <w:bookmarkEnd w:id="333"/>
      <w:bookmarkEnd w:id="334"/>
    </w:p>
    <w:p w14:paraId="5522F3E1" w14:textId="2DEE4EC3" w:rsidR="00456C56" w:rsidRPr="007D0AA8" w:rsidRDefault="00F96E47" w:rsidP="00E94946">
      <w:pPr>
        <w:spacing w:before="240"/>
      </w:pPr>
      <w:r w:rsidRPr="00E518FC">
        <w:t>Three</w:t>
      </w:r>
      <w:r w:rsidR="00456C56" w:rsidRPr="00E518FC">
        <w:t xml:space="preserve"> studies administered QoL questionnaires </w:t>
      </w:r>
      <w:r w:rsidR="00896BE2">
        <w:fldChar w:fldCharType="begin">
          <w:fldData xml:space="preserve">PEVuZE5vdGU+PENpdGU+PEF1dGhvcj5SZWlzZXI8L0F1dGhvcj48WWVhcj4yMDE3PC9ZZWFyPjxS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=
</w:fldData>
        </w:fldChar>
      </w:r>
      <w:r w:rsidR="00896BE2">
        <w:instrText xml:space="preserve"> ADDIN EN.CITE </w:instrText>
      </w:r>
      <w:r w:rsidR="00896BE2">
        <w:fldChar w:fldCharType="begin">
          <w:fldData xml:space="preserve">PEVuZE5vdGU+PENpdGU+PEF1dGhvcj5SZWlzZXI8L0F1dGhvcj48WWVhcj4yMDE3PC9ZZWFyPjxS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=
</w:fldData>
        </w:fldChar>
      </w:r>
      <w:r w:rsidR="00896BE2">
        <w:instrText xml:space="preserve"> ADDIN EN.CITE.DATA </w:instrText>
      </w:r>
      <w:r w:rsidR="00896BE2">
        <w:fldChar w:fldCharType="end"/>
      </w:r>
      <w:r w:rsidR="00896BE2">
        <w:fldChar w:fldCharType="separate"/>
      </w:r>
      <w:r w:rsidR="00896BE2">
        <w:rPr>
          <w:noProof/>
        </w:rPr>
        <w:t>(</w:t>
      </w:r>
      <w:hyperlink w:anchor="_ENREF_42" w:tooltip="Reiser, 2017 #91" w:history="1">
        <w:r w:rsidR="00BB0145">
          <w:rPr>
            <w:noProof/>
          </w:rPr>
          <w:t>Reiser et al. 2017</w:t>
        </w:r>
      </w:hyperlink>
      <w:r w:rsidR="00896BE2">
        <w:rPr>
          <w:noProof/>
        </w:rPr>
        <w:t xml:space="preserve">; </w:t>
      </w:r>
      <w:hyperlink w:anchor="_ENREF_52" w:tooltip="Vacca, 2018 #30" w:history="1">
        <w:r w:rsidR="00BB0145">
          <w:rPr>
            <w:noProof/>
          </w:rPr>
          <w:t>Vacca et al. 2018</w:t>
        </w:r>
      </w:hyperlink>
      <w:r w:rsidR="00896BE2">
        <w:rPr>
          <w:noProof/>
        </w:rPr>
        <w:t xml:space="preserve">; </w:t>
      </w:r>
      <w:hyperlink w:anchor="_ENREF_57" w:tooltip="Windegger, 2019 #55" w:history="1">
        <w:r w:rsidR="00BB0145">
          <w:rPr>
            <w:noProof/>
          </w:rPr>
          <w:t>Windegger et al. 2019</w:t>
        </w:r>
      </w:hyperlink>
      <w:r w:rsidR="00896BE2">
        <w:rPr>
          <w:noProof/>
        </w:rPr>
        <w:t>)</w:t>
      </w:r>
      <w:r w:rsidR="00896BE2">
        <w:fldChar w:fldCharType="end"/>
      </w:r>
      <w:r w:rsidR="00456C56" w:rsidRPr="00E518FC">
        <w:t xml:space="preserve"> and a fourth interviewed patients and families regarding acceptance of SCIg </w:t>
      </w:r>
      <w:r w:rsidR="00896BE2">
        <w:fldChar w:fldCharType="begin">
          <w:fldData xml:space="preserve">PEVuZE5vdGU+PENpdGU+PEF1dGhvcj5TdW5kaW48L0F1dGhvcj48WWVhcj4yMDEyPC9ZZWFyPjxS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</w:fldData>
        </w:fldChar>
      </w:r>
      <w:r w:rsidR="00896BE2">
        <w:instrText xml:space="preserve"> ADDIN EN.CITE </w:instrText>
      </w:r>
      <w:r w:rsidR="00896BE2">
        <w:fldChar w:fldCharType="begin">
          <w:fldData xml:space="preserve">PEVuZE5vdGU+PENpdGU+PEF1dGhvcj5TdW5kaW48L0F1dGhvcj48WWVhcj4yMDEyPC9ZZWFyPjxS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</w:fldData>
        </w:fldChar>
      </w:r>
      <w:r w:rsidR="00896BE2">
        <w:instrText xml:space="preserve"> ADDIN EN.CITE.DATA </w:instrText>
      </w:r>
      <w:r w:rsidR="00896BE2">
        <w:fldChar w:fldCharType="end"/>
      </w:r>
      <w:r w:rsidR="00896BE2">
        <w:fldChar w:fldCharType="separate"/>
      </w:r>
      <w:r w:rsidR="00896BE2">
        <w:rPr>
          <w:noProof/>
        </w:rPr>
        <w:t>(</w:t>
      </w:r>
      <w:hyperlink w:anchor="_ENREF_50" w:tooltip="Sundin, 2012 #86" w:history="1">
        <w:r w:rsidR="00BB0145">
          <w:rPr>
            <w:noProof/>
          </w:rPr>
          <w:t>Sundin et al. 2012</w:t>
        </w:r>
      </w:hyperlink>
      <w:r w:rsidR="00896BE2">
        <w:rPr>
          <w:noProof/>
        </w:rPr>
        <w:t>)</w:t>
      </w:r>
      <w:r w:rsidR="00896BE2">
        <w:fldChar w:fldCharType="end"/>
      </w:r>
      <w:r w:rsidR="00456C56" w:rsidRPr="00E518FC">
        <w:t xml:space="preserve">. </w:t>
      </w:r>
      <w:r w:rsidR="00456C56" w:rsidRPr="007D0AA8">
        <w:t xml:space="preserve"> </w:t>
      </w:r>
    </w:p>
    <w:p w14:paraId="027A3827" w14:textId="21F426D5" w:rsidR="00284C1E" w:rsidRPr="00386411" w:rsidRDefault="00476D74" w:rsidP="00284C1E">
      <w:pPr>
        <w:pStyle w:val="Caption"/>
        <w:keepNext/>
        <w:rPr>
          <w:rFonts w:cs="Arial"/>
          <w:snapToGrid w:val="0"/>
          <w:szCs w:val="16"/>
          <w:lang w:eastAsia="en-US"/>
        </w:rPr>
      </w:pPr>
      <w:bookmarkStart w:id="335" w:name="_Ref9901649"/>
      <w:bookmarkStart w:id="336" w:name="_Toc14429644"/>
      <w:bookmarkStart w:id="337" w:name="_Toc16671703"/>
      <w:r w:rsidRPr="00386411">
        <w:t xml:space="preserve">Figure </w:t>
      </w:r>
      <w:r w:rsidRPr="00386411">
        <w:rPr>
          <w:noProof/>
        </w:rPr>
        <w:fldChar w:fldCharType="begin"/>
      </w:r>
      <w:r w:rsidRPr="00386411">
        <w:rPr>
          <w:noProof/>
        </w:rPr>
        <w:instrText xml:space="preserve"> SEQ Figure \* ARABIC </w:instrText>
      </w:r>
      <w:r w:rsidRPr="00386411">
        <w:rPr>
          <w:noProof/>
        </w:rPr>
        <w:fldChar w:fldCharType="separate"/>
      </w:r>
      <w:r w:rsidR="00A7463B">
        <w:rPr>
          <w:noProof/>
        </w:rPr>
        <w:t>7</w:t>
      </w:r>
      <w:r w:rsidRPr="00386411">
        <w:rPr>
          <w:noProof/>
        </w:rPr>
        <w:fldChar w:fldCharType="end"/>
      </w:r>
      <w:bookmarkEnd w:id="335"/>
      <w:r w:rsidRPr="00386411">
        <w:tab/>
      </w:r>
      <w:r w:rsidR="00284C1E" w:rsidRPr="00386411">
        <w:t>Quality of Life (SF-36) – Vacca</w:t>
      </w:r>
      <w:r w:rsidR="00730B34" w:rsidRPr="00386411">
        <w:t xml:space="preserve"> et al.,</w:t>
      </w:r>
      <w:r w:rsidR="00284C1E" w:rsidRPr="00386411">
        <w:t xml:space="preserve"> 2018</w:t>
      </w:r>
      <w:bookmarkEnd w:id="336"/>
      <w:bookmarkEnd w:id="337"/>
    </w:p>
    <w:p w14:paraId="0945AF60" w14:textId="5165A1A2" w:rsidR="009634B8" w:rsidRDefault="009634B8" w:rsidP="009634B8">
      <w:pPr>
        <w:spacing w:after="0"/>
      </w:pPr>
      <w:r w:rsidRPr="00386411">
        <w:rPr>
          <w:rFonts w:ascii="Arial Narrow" w:hAnsi="Arial Narrow"/>
          <w:b/>
          <w:noProof/>
          <w:sz w:val="20"/>
        </w:rPr>
        <w:drawing>
          <wp:inline distT="0" distB="0" distL="0" distR="0" wp14:anchorId="42F6A0B0" wp14:editId="303E30A8">
            <wp:extent cx="4861560" cy="2705066"/>
            <wp:effectExtent l="0" t="0" r="0" b="635"/>
            <wp:docPr id="6" name="Picture 6" title="Quality of Life (SF-36) – Vacca et al.,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824" r="8949" b="11850"/>
                    <a:stretch/>
                  </pic:blipFill>
                  <pic:spPr bwMode="auto">
                    <a:xfrm>
                      <a:off x="0" y="0"/>
                      <a:ext cx="4879918" cy="2715281"/>
                    </a:xfrm>
                    <a:prstGeom prst="rect">
                      <a:avLst/>
                    </a:prstGeom>
                    <a:noFill/>
                    <a:ln>
                      <a:noFill/>
                    </a:ln>
                    <a:extLst>
                      <a:ext uri="{53640926-AAD7-44D8-BBD7-CCE9431645EC}">
                        <a14:shadowObscured xmlns:a14="http://schemas.microsoft.com/office/drawing/2010/main"/>
                      </a:ext>
                    </a:extLst>
                  </pic:spPr>
                </pic:pic>
              </a:graphicData>
            </a:graphic>
          </wp:inline>
        </w:drawing>
      </w:r>
    </w:p>
    <w:p w14:paraId="7C48EC87" w14:textId="14A6FB12" w:rsidR="009634B8" w:rsidRDefault="009634B8" w:rsidP="009634B8">
      <w:pPr>
        <w:pStyle w:val="Tablenotes1"/>
      </w:pPr>
      <w:r w:rsidRPr="00751FAB">
        <w:t xml:space="preserve">Arm A: patients receiving SCIg; Arm B: ‘No SCIg’ controls </w:t>
      </w:r>
      <w:r>
        <w:fldChar w:fldCharType="begin">
          <w:fldData xml:space="preserve">PEVuZE5vdGU+PENpdGU+PEF1dGhvcj5WYWNjYTwvQXV0aG9yPjxZZWFyPjIwMTg8L1llYXI+PFJl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</w:fldData>
        </w:fldChar>
      </w:r>
      <w:r>
        <w:instrText xml:space="preserve"> ADDIN EN.CITE </w:instrText>
      </w:r>
      <w:r>
        <w:fldChar w:fldCharType="begin">
          <w:fldData xml:space="preserve">PEVuZE5vdGU+PENpdGU+PEF1dGhvcj5WYWNjYTwvQXV0aG9yPjxZZWFyPjIwMTg8L1llYXI+PFJl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</w:fldData>
        </w:fldChar>
      </w:r>
      <w:r>
        <w:instrText xml:space="preserve"> ADDIN EN.CITE.DATA </w:instrText>
      </w:r>
      <w:r>
        <w:fldChar w:fldCharType="end"/>
      </w:r>
      <w:r>
        <w:fldChar w:fldCharType="separate"/>
      </w:r>
      <w:r>
        <w:rPr>
          <w:noProof/>
        </w:rPr>
        <w:t>(</w:t>
      </w:r>
      <w:hyperlink w:anchor="_ENREF_52" w:tooltip="Vacca, 2018 #30" w:history="1">
        <w:r>
          <w:rPr>
            <w:noProof/>
          </w:rPr>
          <w:t>Vacca et al. 2018</w:t>
        </w:r>
      </w:hyperlink>
      <w:r>
        <w:rPr>
          <w:noProof/>
        </w:rPr>
        <w:t>)</w:t>
      </w:r>
      <w:r>
        <w:fldChar w:fldCharType="end"/>
      </w:r>
      <w:r w:rsidRPr="00751FAB">
        <w:t>. Asterisks indicate p-values *&lt;0.05; **&lt;0.01</w:t>
      </w:r>
    </w:p>
    <w:p w14:paraId="64430289" w14:textId="48B727C0" w:rsidR="00E94946" w:rsidRPr="007D0AA8" w:rsidRDefault="00261168" w:rsidP="009634B8">
      <w:pPr>
        <w:pStyle w:val="Tablenotes1"/>
      </w:pPr>
      <w:r w:rsidRPr="007D0AA8">
        <w:t>Note: this figure will need to be redacted prior to making this document publicly accessible.</w:t>
      </w:r>
    </w:p>
    <w:p w14:paraId="1FB17BF0" w14:textId="2EC6C5A6" w:rsidR="00E518FC" w:rsidRPr="007D0AA8" w:rsidRDefault="00751FAB" w:rsidP="00E518FC">
      <w:r w:rsidRPr="00751FAB">
        <w:t xml:space="preserve">One RCT </w:t>
      </w:r>
      <w:r w:rsidR="00896BE2">
        <w:fldChar w:fldCharType="begin">
          <w:fldData xml:space="preserve">PEVuZE5vdGU+PENpdGU+PEF1dGhvcj5WYWNjYTwvQXV0aG9yPjxZZWFyPjIwMTg8L1llYXI+PFJl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</w:fldData>
        </w:fldChar>
      </w:r>
      <w:r w:rsidR="00896BE2">
        <w:instrText xml:space="preserve"> ADDIN EN.CITE </w:instrText>
      </w:r>
      <w:r w:rsidR="00896BE2">
        <w:fldChar w:fldCharType="begin">
          <w:fldData xml:space="preserve">PEVuZE5vdGU+PENpdGU+PEF1dGhvcj5WYWNjYTwvQXV0aG9yPjxZZWFyPjIwMTg8L1llYXI+PFJl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</w:fldData>
        </w:fldChar>
      </w:r>
      <w:r w:rsidR="00896BE2">
        <w:instrText xml:space="preserve"> ADDIN EN.CITE.DATA </w:instrText>
      </w:r>
      <w:r w:rsidR="00896BE2">
        <w:fldChar w:fldCharType="end"/>
      </w:r>
      <w:r w:rsidR="00896BE2">
        <w:fldChar w:fldCharType="separate"/>
      </w:r>
      <w:r w:rsidR="00896BE2">
        <w:rPr>
          <w:noProof/>
        </w:rPr>
        <w:t>(</w:t>
      </w:r>
      <w:hyperlink w:anchor="_ENREF_52" w:tooltip="Vacca, 2018 #30" w:history="1">
        <w:r w:rsidR="00BB0145">
          <w:rPr>
            <w:noProof/>
          </w:rPr>
          <w:t>Vacca et al. 2018</w:t>
        </w:r>
      </w:hyperlink>
      <w:r w:rsidR="00896BE2">
        <w:rPr>
          <w:noProof/>
        </w:rPr>
        <w:t>)</w:t>
      </w:r>
      <w:r w:rsidR="00896BE2">
        <w:fldChar w:fldCharType="end"/>
      </w:r>
      <w:r w:rsidR="00E518FC" w:rsidRPr="00751FAB">
        <w:t xml:space="preserve"> </w:t>
      </w:r>
      <w:r w:rsidR="00D67A6E">
        <w:t>used</w:t>
      </w:r>
      <w:r w:rsidR="00E518FC" w:rsidRPr="00751FAB">
        <w:t xml:space="preserve"> the SF-36 questionnaire to assess health-related quality of</w:t>
      </w:r>
      <w:r w:rsidR="00E518FC" w:rsidRPr="007D0AA8">
        <w:t xml:space="preserve"> life in patients randomised to receive SCIg or no SCIg</w:t>
      </w:r>
      <w:r>
        <w:t xml:space="preserve"> </w:t>
      </w:r>
      <w:r w:rsidR="00E518FC" w:rsidRPr="007D0AA8">
        <w:t>(</w:t>
      </w:r>
      <w:r w:rsidR="00E518FC" w:rsidRPr="007D0AA8">
        <w:rPr>
          <w:highlight w:val="yellow"/>
        </w:rPr>
        <w:fldChar w:fldCharType="begin"/>
      </w:r>
      <w:r w:rsidR="00E518FC" w:rsidRPr="007D0AA8">
        <w:instrText xml:space="preserve"> REF _Ref9901649 \h </w:instrText>
      </w:r>
      <w:r w:rsidR="00E518FC" w:rsidRPr="007D0AA8">
        <w:rPr>
          <w:highlight w:val="yellow"/>
        </w:rPr>
        <w:instrText xml:space="preserve"> \* MERGEFORMAT </w:instrText>
      </w:r>
      <w:r w:rsidR="00E518FC" w:rsidRPr="007D0AA8">
        <w:rPr>
          <w:highlight w:val="yellow"/>
        </w:rPr>
      </w:r>
      <w:r w:rsidR="00E518FC" w:rsidRPr="007D0AA8">
        <w:rPr>
          <w:highlight w:val="yellow"/>
        </w:rPr>
        <w:fldChar w:fldCharType="separate"/>
      </w:r>
      <w:r w:rsidR="00A7463B" w:rsidRPr="00386411">
        <w:t xml:space="preserve">Figure </w:t>
      </w:r>
      <w:r w:rsidR="00A7463B">
        <w:rPr>
          <w:noProof/>
        </w:rPr>
        <w:t>7</w:t>
      </w:r>
      <w:r w:rsidR="00E518FC" w:rsidRPr="007D0AA8">
        <w:rPr>
          <w:highlight w:val="yellow"/>
        </w:rPr>
        <w:fldChar w:fldCharType="end"/>
      </w:r>
      <w:r w:rsidR="00E518FC" w:rsidRPr="007D0AA8">
        <w:t xml:space="preserve">). SCIg patients scored better than the untreated control patients by all measures except pain. </w:t>
      </w:r>
    </w:p>
    <w:p w14:paraId="357CBFF3" w14:textId="08440273" w:rsidR="00261168" w:rsidRPr="007D0AA8" w:rsidRDefault="00317D07" w:rsidP="00261168">
      <w:r>
        <w:t>A study in Germany</w:t>
      </w:r>
      <w:r w:rsidR="00751FAB" w:rsidRPr="00317D07">
        <w:t xml:space="preserve"> in 307 haematological</w:t>
      </w:r>
      <w:r w:rsidR="00751FAB" w:rsidRPr="007D0AA8">
        <w:t xml:space="preserve"> malignancy patients receiving either IVIg or SCIg</w:t>
      </w:r>
      <w:r>
        <w:t xml:space="preserve"> </w:t>
      </w:r>
      <w:r w:rsidR="00896BE2">
        <w:fldChar w:fldCharType="begin">
          <w:fldData xml:space="preserve">PEVuZE5vdGU+PENpdGU+PEF1dGhvcj5SZWlzZXI8L0F1dGhvcj48WWVhcj4yMDE3PC9ZZWFyPjxS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</w:fldData>
        </w:fldChar>
      </w:r>
      <w:r w:rsidR="00896BE2">
        <w:instrText xml:space="preserve"> ADDIN EN.CITE </w:instrText>
      </w:r>
      <w:r w:rsidR="00896BE2">
        <w:fldChar w:fldCharType="begin">
          <w:fldData xml:space="preserve">PEVuZE5vdGU+PENpdGU+PEF1dGhvcj5SZWlzZXI8L0F1dGhvcj48WWVhcj4yMDE3PC9ZZWFyPjxS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</w:fldData>
        </w:fldChar>
      </w:r>
      <w:r w:rsidR="00896BE2">
        <w:instrText xml:space="preserve"> ADDIN EN.CITE.DATA </w:instrText>
      </w:r>
      <w:r w:rsidR="00896BE2">
        <w:fldChar w:fldCharType="end"/>
      </w:r>
      <w:r w:rsidR="00896BE2">
        <w:fldChar w:fldCharType="separate"/>
      </w:r>
      <w:r w:rsidR="00896BE2">
        <w:rPr>
          <w:noProof/>
        </w:rPr>
        <w:t>(</w:t>
      </w:r>
      <w:hyperlink w:anchor="_ENREF_42" w:tooltip="Reiser, 2017 #91" w:history="1">
        <w:r w:rsidR="00BB0145">
          <w:rPr>
            <w:noProof/>
          </w:rPr>
          <w:t>Reiser et al. 2017</w:t>
        </w:r>
      </w:hyperlink>
      <w:r w:rsidR="00896BE2">
        <w:rPr>
          <w:noProof/>
        </w:rPr>
        <w:t>)</w:t>
      </w:r>
      <w:r w:rsidR="00896BE2">
        <w:fldChar w:fldCharType="end"/>
      </w:r>
      <w:r w:rsidR="00261168" w:rsidRPr="00317D07">
        <w:t xml:space="preserve"> also used </w:t>
      </w:r>
      <w:r w:rsidR="003E13DC" w:rsidRPr="00317D07">
        <w:t>both</w:t>
      </w:r>
      <w:r w:rsidR="00261168" w:rsidRPr="00317D07">
        <w:t xml:space="preserve"> </w:t>
      </w:r>
      <w:r w:rsidR="003E13DC" w:rsidRPr="00317D07">
        <w:t xml:space="preserve">EQ-5D and </w:t>
      </w:r>
      <w:r w:rsidR="00261168" w:rsidRPr="00317D07">
        <w:t>SF-36 tool</w:t>
      </w:r>
      <w:r w:rsidR="003E13DC" w:rsidRPr="00317D07">
        <w:t>s</w:t>
      </w:r>
      <w:r w:rsidR="00261168" w:rsidRPr="00317D07">
        <w:t xml:space="preserve"> to assess QoL</w:t>
      </w:r>
      <w:r w:rsidR="00261168" w:rsidRPr="007D0AA8">
        <w:t>. Patients commencing on IgG improved slightly during follow-up across all domains except psychological health. QoL values for patients entering the study on IgG maintenance did not change during follow-up.</w:t>
      </w:r>
    </w:p>
    <w:p w14:paraId="07C8AA14" w14:textId="5CBE5426" w:rsidR="00C576D5" w:rsidRPr="007D0AA8" w:rsidRDefault="00A53303" w:rsidP="00261168">
      <w:r w:rsidRPr="007D0AA8">
        <w:lastRenderedPageBreak/>
        <w:t>An Australian study</w:t>
      </w:r>
      <w:r w:rsidR="00751FAB" w:rsidRPr="007D0AA8">
        <w:t xml:space="preserve"> </w:t>
      </w:r>
      <w:r w:rsidR="00751FAB" w:rsidRPr="007D0AA8">
        <w:fldChar w:fldCharType="begin"/>
      </w:r>
      <w:r w:rsidR="00751FAB" w:rsidRPr="007D0AA8">
        <w:instrText xml:space="preserve"> ADDIN EN.CITE &lt;EndNote&gt;&lt;Cite&gt;&lt;Author&gt;Windegger&lt;/Author&gt;&lt;Year&gt;2019&lt;/Year&gt;&lt;RecNum&gt;55&lt;/RecNum&gt;&lt;DisplayText&gt;(Windegger et al. 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rsidR="00751FAB" w:rsidRPr="007D0AA8">
        <w:fldChar w:fldCharType="separate"/>
      </w:r>
      <w:r w:rsidR="00751FAB" w:rsidRPr="007D0AA8">
        <w:rPr>
          <w:noProof/>
        </w:rPr>
        <w:t>(</w:t>
      </w:r>
      <w:hyperlink w:anchor="_ENREF_57" w:tooltip="Windegger, 2019 #55" w:history="1">
        <w:r w:rsidR="00BB0145" w:rsidRPr="007D0AA8">
          <w:rPr>
            <w:noProof/>
          </w:rPr>
          <w:t>Windegger et al. 2019</w:t>
        </w:r>
      </w:hyperlink>
      <w:r w:rsidR="00751FAB" w:rsidRPr="007D0AA8">
        <w:rPr>
          <w:noProof/>
        </w:rPr>
        <w:t>)</w:t>
      </w:r>
      <w:r w:rsidR="00751FAB" w:rsidRPr="007D0AA8">
        <w:fldChar w:fldCharType="end"/>
      </w:r>
      <w:r w:rsidRPr="007D0AA8">
        <w:t xml:space="preserve"> </w:t>
      </w:r>
      <w:r w:rsidR="00751FAB">
        <w:t>surveyed 84 patients to ask</w:t>
      </w:r>
      <w:r w:rsidRPr="007D0AA8">
        <w:t xml:space="preserve"> whether SCIg was a cost-effective option for patients with secondary immunodeficiency disease</w:t>
      </w:r>
      <w:r w:rsidR="00BF6FBE" w:rsidRPr="007D0AA8">
        <w:t xml:space="preserve"> compared to IVIg</w:t>
      </w:r>
      <w:r w:rsidR="00F051F9" w:rsidRPr="007D0AA8">
        <w:t xml:space="preserve"> using the </w:t>
      </w:r>
      <w:r w:rsidR="00FB3D51" w:rsidRPr="00FB3D51">
        <w:t xml:space="preserve">Assessment of Quality of Life </w:t>
      </w:r>
      <w:r w:rsidR="00FB3D51">
        <w:t>(</w:t>
      </w:r>
      <w:r w:rsidR="00F051F9" w:rsidRPr="007D0AA8">
        <w:t>AQoL</w:t>
      </w:r>
      <w:r w:rsidR="00FB3D51">
        <w:t>)</w:t>
      </w:r>
      <w:r w:rsidR="00F051F9" w:rsidRPr="007D0AA8">
        <w:t>-6D questionnaire</w:t>
      </w:r>
      <w:r w:rsidR="00751FAB">
        <w:t xml:space="preserve"> </w:t>
      </w:r>
      <w:r w:rsidR="005F30C2" w:rsidRPr="007D0AA8">
        <w:t>(</w:t>
      </w:r>
      <w:r w:rsidR="00BF6FBE" w:rsidRPr="007D0AA8">
        <w:fldChar w:fldCharType="begin"/>
      </w:r>
      <w:r w:rsidR="00BF6FBE" w:rsidRPr="007D0AA8">
        <w:instrText xml:space="preserve"> REF _Ref10301224 \h </w:instrText>
      </w:r>
      <w:r w:rsidR="00386411" w:rsidRPr="007D0AA8">
        <w:instrText xml:space="preserve"> \* MERGEFORMAT </w:instrText>
      </w:r>
      <w:r w:rsidR="00BF6FBE" w:rsidRPr="007D0AA8">
        <w:fldChar w:fldCharType="separate"/>
      </w:r>
      <w:r w:rsidR="00A7463B" w:rsidRPr="00386411">
        <w:t xml:space="preserve">Table </w:t>
      </w:r>
      <w:r w:rsidR="00A7463B">
        <w:rPr>
          <w:noProof/>
        </w:rPr>
        <w:t>28</w:t>
      </w:r>
      <w:r w:rsidR="00BF6FBE" w:rsidRPr="007D0AA8">
        <w:fldChar w:fldCharType="end"/>
      </w:r>
      <w:r w:rsidR="005F30C2" w:rsidRPr="007D0AA8">
        <w:t>)</w:t>
      </w:r>
      <w:r w:rsidRPr="007D0AA8">
        <w:t xml:space="preserve">. </w:t>
      </w:r>
      <w:r w:rsidR="00D67A6E">
        <w:t>T</w:t>
      </w:r>
      <w:r w:rsidRPr="007D0AA8">
        <w:t xml:space="preserve">he target population </w:t>
      </w:r>
      <w:r w:rsidR="00D67A6E">
        <w:t xml:space="preserve">was patients </w:t>
      </w:r>
      <w:r w:rsidRPr="007D0AA8">
        <w:t>with acquired hypogammaglobulinaemia secondary to mal</w:t>
      </w:r>
      <w:r w:rsidR="00D67A6E">
        <w:t>ignancy or associated treatment –</w:t>
      </w:r>
      <w:r w:rsidRPr="007D0AA8">
        <w:t xml:space="preserve"> patients </w:t>
      </w:r>
      <w:r w:rsidR="00D67A6E">
        <w:t xml:space="preserve">were surveyed </w:t>
      </w:r>
      <w:r w:rsidRPr="007D0AA8">
        <w:t xml:space="preserve">who were receiving either IVIg or SCIg or picking up SCIg product from one of two different clinics in Queensland, to determine the utilities associated with different health states. The presence of infection and bronchiectasis (lung disease which allows mucus to pool in the damaged airways) reduced quality of life in these patients compared to no infection or bronchiectasis. </w:t>
      </w:r>
      <w:r w:rsidR="00BF6FBE" w:rsidRPr="007D0AA8">
        <w:t>In terms of cumulative QALYs, SCIg was dominant (3.51 QALY) compared to IVIg (3.07 QALY)</w:t>
      </w:r>
      <w:r w:rsidR="00170811" w:rsidRPr="007D0AA8">
        <w:t>, given that costs for SCIg were lower (not shown)</w:t>
      </w:r>
      <w:r w:rsidR="00BF6FBE" w:rsidRPr="007D0AA8">
        <w:t xml:space="preserve"> </w:t>
      </w:r>
    </w:p>
    <w:p w14:paraId="504CA78E" w14:textId="77777777" w:rsidR="00A53303" w:rsidRPr="00386411" w:rsidRDefault="00A53303" w:rsidP="00A53303">
      <w:pPr>
        <w:pStyle w:val="Caption"/>
        <w:keepNext/>
      </w:pPr>
      <w:bookmarkStart w:id="338" w:name="_Ref10301224"/>
      <w:bookmarkStart w:id="339" w:name="_Toc14429571"/>
      <w:bookmarkStart w:id="340" w:name="_Toc16671626"/>
      <w:r w:rsidRPr="00386411">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28</w:t>
      </w:r>
      <w:r w:rsidRPr="00386411">
        <w:rPr>
          <w:noProof/>
        </w:rPr>
        <w:fldChar w:fldCharType="end"/>
      </w:r>
      <w:bookmarkEnd w:id="338"/>
      <w:r w:rsidRPr="00386411">
        <w:tab/>
        <w:t>Utility weights based on AQOL-6D survey</w:t>
      </w:r>
      <w:bookmarkEnd w:id="339"/>
      <w:bookmarkEnd w:id="340"/>
      <w:r w:rsidRPr="00386411">
        <w:t xml:space="preserve"> </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2"/>
        <w:gridCol w:w="991"/>
        <w:gridCol w:w="2380"/>
        <w:gridCol w:w="2822"/>
        <w:gridCol w:w="1663"/>
      </w:tblGrid>
      <w:tr w:rsidR="00A53303" w:rsidRPr="00386411" w14:paraId="0F37A9C0" w14:textId="77777777" w:rsidTr="00B52A4F">
        <w:tc>
          <w:tcPr>
            <w:tcW w:w="1132" w:type="dxa"/>
            <w:shd w:val="clear" w:color="auto" w:fill="D9D9D9" w:themeFill="background1" w:themeFillShade="D9"/>
          </w:tcPr>
          <w:p w14:paraId="79C69A6F" w14:textId="7D813EBC" w:rsidR="00A53303" w:rsidRPr="00386411" w:rsidRDefault="00A53303" w:rsidP="00A53303">
            <w:pPr>
              <w:pStyle w:val="TableHeading"/>
              <w:rPr>
                <w:snapToGrid w:val="0"/>
                <w:lang w:eastAsia="en-US"/>
              </w:rPr>
            </w:pPr>
            <w:r w:rsidRPr="00386411">
              <w:rPr>
                <w:snapToGrid w:val="0"/>
                <w:lang w:eastAsia="en-US"/>
              </w:rPr>
              <w:t xml:space="preserve">Study </w:t>
            </w:r>
          </w:p>
          <w:p w14:paraId="27C4E215" w14:textId="531F8EC2" w:rsidR="00BE5AFC" w:rsidRPr="00386411" w:rsidRDefault="00BE5AFC" w:rsidP="00A53303">
            <w:pPr>
              <w:pStyle w:val="TableHeading"/>
              <w:rPr>
                <w:snapToGrid w:val="0"/>
                <w:lang w:eastAsia="en-US"/>
              </w:rPr>
            </w:pPr>
            <w:r w:rsidRPr="00386411">
              <w:rPr>
                <w:snapToGrid w:val="0"/>
                <w:lang w:eastAsia="en-US"/>
              </w:rPr>
              <w:t>Indication</w:t>
            </w:r>
          </w:p>
        </w:tc>
        <w:tc>
          <w:tcPr>
            <w:tcW w:w="991" w:type="dxa"/>
            <w:shd w:val="clear" w:color="auto" w:fill="D9D9D9" w:themeFill="background1" w:themeFillShade="D9"/>
          </w:tcPr>
          <w:p w14:paraId="4721FDE5" w14:textId="77777777" w:rsidR="00A53303" w:rsidRPr="00386411" w:rsidRDefault="00A53303" w:rsidP="00A53303">
            <w:pPr>
              <w:pStyle w:val="TableHeading"/>
              <w:ind w:left="16" w:right="117"/>
              <w:rPr>
                <w:snapToGrid w:val="0"/>
                <w:lang w:eastAsia="en-US"/>
              </w:rPr>
            </w:pPr>
            <w:r w:rsidRPr="00386411">
              <w:rPr>
                <w:snapToGrid w:val="0"/>
                <w:lang w:eastAsia="en-US"/>
              </w:rPr>
              <w:t>Risk of bias</w:t>
            </w:r>
          </w:p>
        </w:tc>
        <w:tc>
          <w:tcPr>
            <w:tcW w:w="2380" w:type="dxa"/>
            <w:shd w:val="clear" w:color="auto" w:fill="D9D9D9" w:themeFill="background1" w:themeFillShade="D9"/>
          </w:tcPr>
          <w:p w14:paraId="7E1611DB" w14:textId="77777777" w:rsidR="00A53303" w:rsidRPr="00386411" w:rsidRDefault="00A53303" w:rsidP="00A53303">
            <w:pPr>
              <w:pStyle w:val="TableHeading"/>
              <w:ind w:left="111" w:right="117"/>
              <w:rPr>
                <w:snapToGrid w:val="0"/>
                <w:lang w:eastAsia="en-US"/>
              </w:rPr>
            </w:pPr>
            <w:r w:rsidRPr="00386411">
              <w:rPr>
                <w:snapToGrid w:val="0"/>
                <w:lang w:eastAsia="en-US"/>
              </w:rPr>
              <w:t>Population</w:t>
            </w:r>
          </w:p>
        </w:tc>
        <w:tc>
          <w:tcPr>
            <w:tcW w:w="2822" w:type="dxa"/>
            <w:shd w:val="clear" w:color="auto" w:fill="D9D9D9" w:themeFill="background1" w:themeFillShade="D9"/>
          </w:tcPr>
          <w:p w14:paraId="2FB7EC54" w14:textId="77777777" w:rsidR="00A53303" w:rsidRPr="00386411" w:rsidRDefault="00A53303" w:rsidP="00A53303">
            <w:pPr>
              <w:pStyle w:val="TableHeading"/>
              <w:ind w:left="111" w:right="117"/>
              <w:rPr>
                <w:snapToGrid w:val="0"/>
                <w:lang w:eastAsia="en-US"/>
              </w:rPr>
            </w:pPr>
            <w:r w:rsidRPr="00386411">
              <w:rPr>
                <w:snapToGrid w:val="0"/>
                <w:lang w:eastAsia="en-US"/>
              </w:rPr>
              <w:t>Health state</w:t>
            </w:r>
          </w:p>
        </w:tc>
        <w:tc>
          <w:tcPr>
            <w:tcW w:w="1663" w:type="dxa"/>
            <w:shd w:val="clear" w:color="auto" w:fill="D9D9D9" w:themeFill="background1" w:themeFillShade="D9"/>
          </w:tcPr>
          <w:p w14:paraId="3DF23067" w14:textId="77777777" w:rsidR="00A53303" w:rsidRPr="00386411" w:rsidRDefault="00A53303" w:rsidP="00A53303">
            <w:pPr>
              <w:pStyle w:val="TableHeading"/>
              <w:ind w:left="111" w:right="117"/>
              <w:rPr>
                <w:snapToGrid w:val="0"/>
                <w:lang w:eastAsia="en-US"/>
              </w:rPr>
            </w:pPr>
            <w:r w:rsidRPr="00386411">
              <w:rPr>
                <w:snapToGrid w:val="0"/>
                <w:lang w:eastAsia="en-US"/>
              </w:rPr>
              <w:t>Utility score (95%CI)</w:t>
            </w:r>
          </w:p>
        </w:tc>
      </w:tr>
      <w:tr w:rsidR="00A53303" w:rsidRPr="007D0AA8" w14:paraId="404C5FB8" w14:textId="77777777" w:rsidTr="00D538DE">
        <w:tc>
          <w:tcPr>
            <w:tcW w:w="1132" w:type="dxa"/>
            <w:vMerge w:val="restart"/>
            <w:shd w:val="clear" w:color="auto" w:fill="auto"/>
          </w:tcPr>
          <w:p w14:paraId="6250C0A9" w14:textId="77777777" w:rsidR="00A53303" w:rsidRPr="007D0AA8" w:rsidRDefault="00A53303" w:rsidP="00CB4DB8">
            <w:pPr>
              <w:pStyle w:val="Tabletext1"/>
              <w:rPr>
                <w:snapToGrid w:val="0"/>
              </w:rPr>
            </w:pPr>
            <w:r w:rsidRPr="007D0AA8">
              <w:rPr>
                <w:snapToGrid w:val="0"/>
              </w:rPr>
              <w:t>Windegger et al. (2019)</w:t>
            </w:r>
          </w:p>
          <w:p w14:paraId="6577E56B" w14:textId="4EFBF1BB" w:rsidR="00327817" w:rsidRPr="007D0AA8" w:rsidRDefault="00327817" w:rsidP="00CB4DB8">
            <w:pPr>
              <w:pStyle w:val="Tabletext1"/>
              <w:rPr>
                <w:snapToGrid w:val="0"/>
              </w:rPr>
            </w:pPr>
            <w:r w:rsidRPr="007D0AA8">
              <w:rPr>
                <w:snapToGrid w:val="0"/>
              </w:rPr>
              <w:t>(undefined)</w:t>
            </w:r>
          </w:p>
        </w:tc>
        <w:tc>
          <w:tcPr>
            <w:tcW w:w="991" w:type="dxa"/>
            <w:vMerge w:val="restart"/>
          </w:tcPr>
          <w:p w14:paraId="43A91C54" w14:textId="57150D26" w:rsidR="00A53303" w:rsidRPr="007D0AA8" w:rsidRDefault="00A53303" w:rsidP="00CB4DB8">
            <w:pPr>
              <w:pStyle w:val="Tabletext1"/>
              <w:rPr>
                <w:snapToGrid w:val="0"/>
              </w:rPr>
            </w:pPr>
            <w:r w:rsidRPr="007D0AA8">
              <w:rPr>
                <w:snapToGrid w:val="0"/>
              </w:rPr>
              <w:t>Moderate</w:t>
            </w:r>
            <w:r w:rsidR="00BE5AFC" w:rsidRPr="007D0AA8">
              <w:rPr>
                <w:snapToGrid w:val="0"/>
              </w:rPr>
              <w:t>/ high</w:t>
            </w:r>
          </w:p>
        </w:tc>
        <w:tc>
          <w:tcPr>
            <w:tcW w:w="2380" w:type="dxa"/>
            <w:vMerge w:val="restart"/>
          </w:tcPr>
          <w:p w14:paraId="49B08FEB" w14:textId="77777777" w:rsidR="00A53303" w:rsidRPr="007D0AA8" w:rsidRDefault="00A53303" w:rsidP="00CB4DB8">
            <w:pPr>
              <w:pStyle w:val="Tabletext1"/>
              <w:rPr>
                <w:snapToGrid w:val="0"/>
              </w:rPr>
            </w:pPr>
            <w:r w:rsidRPr="007D0AA8">
              <w:rPr>
                <w:snapToGrid w:val="0"/>
              </w:rPr>
              <w:t>84 patients with acquired hypogammaglobulinaemia secondary to haematological malignancy (192 responses)</w:t>
            </w:r>
          </w:p>
        </w:tc>
        <w:tc>
          <w:tcPr>
            <w:tcW w:w="2822" w:type="dxa"/>
          </w:tcPr>
          <w:p w14:paraId="158DF634" w14:textId="77777777" w:rsidR="00A53303" w:rsidRPr="007D0AA8" w:rsidRDefault="00A53303" w:rsidP="00CB4DB8">
            <w:pPr>
              <w:pStyle w:val="Tabletext1"/>
              <w:rPr>
                <w:snapToGrid w:val="0"/>
              </w:rPr>
            </w:pPr>
            <w:r w:rsidRPr="007D0AA8">
              <w:rPr>
                <w:snapToGrid w:val="0"/>
              </w:rPr>
              <w:t>No infection</w:t>
            </w:r>
          </w:p>
        </w:tc>
        <w:tc>
          <w:tcPr>
            <w:tcW w:w="1663" w:type="dxa"/>
            <w:shd w:val="clear" w:color="auto" w:fill="auto"/>
          </w:tcPr>
          <w:p w14:paraId="022AD57A" w14:textId="77777777" w:rsidR="00A53303" w:rsidRPr="007D0AA8" w:rsidRDefault="00A53303" w:rsidP="00CB4DB8">
            <w:pPr>
              <w:pStyle w:val="Tabletext1"/>
              <w:jc w:val="center"/>
              <w:rPr>
                <w:snapToGrid w:val="0"/>
              </w:rPr>
            </w:pPr>
            <w:r w:rsidRPr="007D0AA8">
              <w:rPr>
                <w:snapToGrid w:val="0"/>
              </w:rPr>
              <w:t>0.71 (0.67, 0.75)</w:t>
            </w:r>
          </w:p>
        </w:tc>
      </w:tr>
      <w:tr w:rsidR="00A53303" w:rsidRPr="007D0AA8" w14:paraId="77B56478" w14:textId="77777777" w:rsidTr="00D538DE">
        <w:tc>
          <w:tcPr>
            <w:tcW w:w="1132" w:type="dxa"/>
            <w:vMerge/>
            <w:shd w:val="clear" w:color="auto" w:fill="auto"/>
            <w:vAlign w:val="center"/>
          </w:tcPr>
          <w:p w14:paraId="4D00EABD" w14:textId="77777777" w:rsidR="00A53303" w:rsidRPr="007D0AA8" w:rsidRDefault="00A53303" w:rsidP="00CB4DB8">
            <w:pPr>
              <w:pStyle w:val="Tabletext1"/>
              <w:rPr>
                <w:snapToGrid w:val="0"/>
              </w:rPr>
            </w:pPr>
          </w:p>
        </w:tc>
        <w:tc>
          <w:tcPr>
            <w:tcW w:w="991" w:type="dxa"/>
            <w:vMerge/>
          </w:tcPr>
          <w:p w14:paraId="373A3DC9" w14:textId="77777777" w:rsidR="00A53303" w:rsidRPr="007D0AA8" w:rsidRDefault="00A53303" w:rsidP="00CB4DB8">
            <w:pPr>
              <w:pStyle w:val="Tabletext1"/>
              <w:rPr>
                <w:snapToGrid w:val="0"/>
              </w:rPr>
            </w:pPr>
          </w:p>
        </w:tc>
        <w:tc>
          <w:tcPr>
            <w:tcW w:w="2380" w:type="dxa"/>
            <w:vMerge/>
          </w:tcPr>
          <w:p w14:paraId="50611BCA" w14:textId="77777777" w:rsidR="00A53303" w:rsidRPr="007D0AA8" w:rsidRDefault="00A53303" w:rsidP="00CB4DB8">
            <w:pPr>
              <w:pStyle w:val="Tabletext1"/>
              <w:rPr>
                <w:snapToGrid w:val="0"/>
              </w:rPr>
            </w:pPr>
          </w:p>
        </w:tc>
        <w:tc>
          <w:tcPr>
            <w:tcW w:w="2822" w:type="dxa"/>
          </w:tcPr>
          <w:p w14:paraId="3873F112" w14:textId="77777777" w:rsidR="00A53303" w:rsidRPr="007D0AA8" w:rsidRDefault="00A53303" w:rsidP="00CB4DB8">
            <w:pPr>
              <w:pStyle w:val="Tabletext1"/>
              <w:rPr>
                <w:snapToGrid w:val="0"/>
              </w:rPr>
            </w:pPr>
            <w:r w:rsidRPr="007D0AA8">
              <w:rPr>
                <w:snapToGrid w:val="0"/>
              </w:rPr>
              <w:t>With infection</w:t>
            </w:r>
          </w:p>
        </w:tc>
        <w:tc>
          <w:tcPr>
            <w:tcW w:w="1663" w:type="dxa"/>
            <w:shd w:val="clear" w:color="auto" w:fill="auto"/>
          </w:tcPr>
          <w:p w14:paraId="52F40D77" w14:textId="77777777" w:rsidR="00A53303" w:rsidRPr="007D0AA8" w:rsidRDefault="00A53303" w:rsidP="00CB4DB8">
            <w:pPr>
              <w:pStyle w:val="Tabletext1"/>
              <w:jc w:val="center"/>
              <w:rPr>
                <w:snapToGrid w:val="0"/>
              </w:rPr>
            </w:pPr>
            <w:r w:rsidRPr="007D0AA8">
              <w:rPr>
                <w:snapToGrid w:val="0"/>
              </w:rPr>
              <w:t>0.70 (0.63, 0.76)</w:t>
            </w:r>
          </w:p>
        </w:tc>
      </w:tr>
      <w:tr w:rsidR="00A53303" w:rsidRPr="007D0AA8" w14:paraId="23D07954" w14:textId="77777777" w:rsidTr="00D538DE">
        <w:tc>
          <w:tcPr>
            <w:tcW w:w="1132" w:type="dxa"/>
            <w:vMerge/>
            <w:shd w:val="clear" w:color="auto" w:fill="auto"/>
            <w:vAlign w:val="center"/>
          </w:tcPr>
          <w:p w14:paraId="04DC526C" w14:textId="77777777" w:rsidR="00A53303" w:rsidRPr="007D0AA8" w:rsidRDefault="00A53303" w:rsidP="00CB4DB8">
            <w:pPr>
              <w:pStyle w:val="Tabletext1"/>
              <w:rPr>
                <w:snapToGrid w:val="0"/>
              </w:rPr>
            </w:pPr>
          </w:p>
        </w:tc>
        <w:tc>
          <w:tcPr>
            <w:tcW w:w="991" w:type="dxa"/>
            <w:vMerge/>
          </w:tcPr>
          <w:p w14:paraId="1352B268" w14:textId="77777777" w:rsidR="00A53303" w:rsidRPr="007D0AA8" w:rsidRDefault="00A53303" w:rsidP="00CB4DB8">
            <w:pPr>
              <w:pStyle w:val="Tabletext1"/>
              <w:rPr>
                <w:snapToGrid w:val="0"/>
              </w:rPr>
            </w:pPr>
          </w:p>
        </w:tc>
        <w:tc>
          <w:tcPr>
            <w:tcW w:w="2380" w:type="dxa"/>
            <w:vMerge/>
          </w:tcPr>
          <w:p w14:paraId="669309F5" w14:textId="77777777" w:rsidR="00A53303" w:rsidRPr="007D0AA8" w:rsidRDefault="00A53303" w:rsidP="00CB4DB8">
            <w:pPr>
              <w:pStyle w:val="Tabletext1"/>
              <w:rPr>
                <w:snapToGrid w:val="0"/>
              </w:rPr>
            </w:pPr>
          </w:p>
        </w:tc>
        <w:tc>
          <w:tcPr>
            <w:tcW w:w="2822" w:type="dxa"/>
          </w:tcPr>
          <w:p w14:paraId="31F1F577" w14:textId="77777777" w:rsidR="00A53303" w:rsidRPr="007D0AA8" w:rsidRDefault="00A53303" w:rsidP="00CB4DB8">
            <w:pPr>
              <w:pStyle w:val="Tabletext1"/>
              <w:rPr>
                <w:snapToGrid w:val="0"/>
              </w:rPr>
            </w:pPr>
            <w:r w:rsidRPr="007D0AA8">
              <w:rPr>
                <w:snapToGrid w:val="0"/>
              </w:rPr>
              <w:t>With bronchiectasis no infection</w:t>
            </w:r>
          </w:p>
        </w:tc>
        <w:tc>
          <w:tcPr>
            <w:tcW w:w="1663" w:type="dxa"/>
            <w:shd w:val="clear" w:color="auto" w:fill="auto"/>
          </w:tcPr>
          <w:p w14:paraId="2A629A91" w14:textId="77777777" w:rsidR="00A53303" w:rsidRPr="007D0AA8" w:rsidRDefault="00A53303" w:rsidP="00CB4DB8">
            <w:pPr>
              <w:pStyle w:val="Tabletext1"/>
              <w:jc w:val="center"/>
              <w:rPr>
                <w:snapToGrid w:val="0"/>
              </w:rPr>
            </w:pPr>
            <w:r w:rsidRPr="007D0AA8">
              <w:rPr>
                <w:snapToGrid w:val="0"/>
              </w:rPr>
              <w:t>0.64 0.55, 0.72)</w:t>
            </w:r>
          </w:p>
        </w:tc>
      </w:tr>
      <w:tr w:rsidR="00A53303" w:rsidRPr="007D0AA8" w14:paraId="0CCB4FF5" w14:textId="77777777" w:rsidTr="00D538DE">
        <w:tc>
          <w:tcPr>
            <w:tcW w:w="1132" w:type="dxa"/>
            <w:vMerge/>
            <w:tcBorders>
              <w:bottom w:val="single" w:sz="4" w:space="0" w:color="auto"/>
            </w:tcBorders>
            <w:shd w:val="clear" w:color="auto" w:fill="auto"/>
            <w:vAlign w:val="center"/>
          </w:tcPr>
          <w:p w14:paraId="0FCB5E64" w14:textId="77777777" w:rsidR="00A53303" w:rsidRPr="007D0AA8" w:rsidRDefault="00A53303" w:rsidP="00CB4DB8">
            <w:pPr>
              <w:pStyle w:val="Tabletext1"/>
              <w:rPr>
                <w:snapToGrid w:val="0"/>
              </w:rPr>
            </w:pPr>
          </w:p>
        </w:tc>
        <w:tc>
          <w:tcPr>
            <w:tcW w:w="991" w:type="dxa"/>
            <w:vMerge/>
            <w:tcBorders>
              <w:bottom w:val="single" w:sz="4" w:space="0" w:color="auto"/>
            </w:tcBorders>
          </w:tcPr>
          <w:p w14:paraId="07F0D1C3" w14:textId="77777777" w:rsidR="00A53303" w:rsidRPr="007D0AA8" w:rsidRDefault="00A53303" w:rsidP="00CB4DB8">
            <w:pPr>
              <w:pStyle w:val="Tabletext1"/>
              <w:rPr>
                <w:snapToGrid w:val="0"/>
              </w:rPr>
            </w:pPr>
          </w:p>
        </w:tc>
        <w:tc>
          <w:tcPr>
            <w:tcW w:w="2380" w:type="dxa"/>
            <w:vMerge/>
            <w:tcBorders>
              <w:bottom w:val="single" w:sz="4" w:space="0" w:color="auto"/>
            </w:tcBorders>
          </w:tcPr>
          <w:p w14:paraId="3CABD87E" w14:textId="77777777" w:rsidR="00A53303" w:rsidRPr="007D0AA8" w:rsidRDefault="00A53303" w:rsidP="00CB4DB8">
            <w:pPr>
              <w:pStyle w:val="Tabletext1"/>
              <w:rPr>
                <w:snapToGrid w:val="0"/>
              </w:rPr>
            </w:pPr>
          </w:p>
        </w:tc>
        <w:tc>
          <w:tcPr>
            <w:tcW w:w="2822" w:type="dxa"/>
          </w:tcPr>
          <w:p w14:paraId="279D2B86" w14:textId="77777777" w:rsidR="00A53303" w:rsidRPr="007D0AA8" w:rsidRDefault="00A53303" w:rsidP="00CB4DB8">
            <w:pPr>
              <w:pStyle w:val="Tabletext1"/>
              <w:rPr>
                <w:snapToGrid w:val="0"/>
              </w:rPr>
            </w:pPr>
            <w:r w:rsidRPr="007D0AA8">
              <w:rPr>
                <w:snapToGrid w:val="0"/>
              </w:rPr>
              <w:t>With bronchiectasis with infection</w:t>
            </w:r>
          </w:p>
        </w:tc>
        <w:tc>
          <w:tcPr>
            <w:tcW w:w="1663" w:type="dxa"/>
            <w:shd w:val="clear" w:color="auto" w:fill="auto"/>
          </w:tcPr>
          <w:p w14:paraId="539B6DAC" w14:textId="77777777" w:rsidR="00A53303" w:rsidRPr="007D0AA8" w:rsidRDefault="00A53303" w:rsidP="00CB4DB8">
            <w:pPr>
              <w:pStyle w:val="Tabletext1"/>
              <w:jc w:val="center"/>
              <w:rPr>
                <w:snapToGrid w:val="0"/>
              </w:rPr>
            </w:pPr>
            <w:r w:rsidRPr="007D0AA8">
              <w:rPr>
                <w:snapToGrid w:val="0"/>
              </w:rPr>
              <w:t>0.63 (0.56, 0.70)</w:t>
            </w:r>
          </w:p>
        </w:tc>
      </w:tr>
    </w:tbl>
    <w:p w14:paraId="3831720B" w14:textId="77777777" w:rsidR="00C576D5" w:rsidRPr="007D0AA8" w:rsidRDefault="00C576D5" w:rsidP="00331FB9">
      <w:pPr>
        <w:pStyle w:val="Tablenotes1"/>
      </w:pPr>
    </w:p>
    <w:p w14:paraId="054033CD" w14:textId="3B5D2DE6" w:rsidR="0025726D" w:rsidRDefault="00E518FC" w:rsidP="004E53CF">
      <w:r w:rsidRPr="00E518FC">
        <w:t xml:space="preserve">A Swedish study </w:t>
      </w:r>
      <w:r w:rsidR="00896BE2">
        <w:fldChar w:fldCharType="begin">
          <w:fldData xml:space="preserve">PEVuZE5vdGU+PENpdGU+PEF1dGhvcj5TdW5kaW48L0F1dGhvcj48WWVhcj4yMDEyPC9ZZWFyPjxS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</w:fldData>
        </w:fldChar>
      </w:r>
      <w:r w:rsidR="00896BE2">
        <w:instrText xml:space="preserve"> ADDIN EN.CITE </w:instrText>
      </w:r>
      <w:r w:rsidR="00896BE2">
        <w:fldChar w:fldCharType="begin">
          <w:fldData xml:space="preserve">PEVuZE5vdGU+PENpdGU+PEF1dGhvcj5TdW5kaW48L0F1dGhvcj48WWVhcj4yMDEyPC9ZZWFyPjxS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</w:fldData>
        </w:fldChar>
      </w:r>
      <w:r w:rsidR="00896BE2">
        <w:instrText xml:space="preserve"> ADDIN EN.CITE.DATA </w:instrText>
      </w:r>
      <w:r w:rsidR="00896BE2">
        <w:fldChar w:fldCharType="end"/>
      </w:r>
      <w:r w:rsidR="00896BE2">
        <w:fldChar w:fldCharType="separate"/>
      </w:r>
      <w:r w:rsidR="00896BE2">
        <w:rPr>
          <w:noProof/>
        </w:rPr>
        <w:t>(</w:t>
      </w:r>
      <w:hyperlink w:anchor="_ENREF_50" w:tooltip="Sundin, 2012 #86" w:history="1">
        <w:r w:rsidR="00BB0145">
          <w:rPr>
            <w:noProof/>
          </w:rPr>
          <w:t>Sundin et al. 2012</w:t>
        </w:r>
      </w:hyperlink>
      <w:r w:rsidR="00896BE2">
        <w:rPr>
          <w:noProof/>
        </w:rPr>
        <w:t>)</w:t>
      </w:r>
      <w:r w:rsidR="00896BE2">
        <w:fldChar w:fldCharType="end"/>
      </w:r>
      <w:r w:rsidR="0025726D" w:rsidRPr="00E518FC">
        <w:t xml:space="preserve"> interviewed 10 SCIg and 22 IVIg </w:t>
      </w:r>
      <w:r w:rsidR="00B86E63" w:rsidRPr="00E518FC">
        <w:t>paediatric HSCT recipients</w:t>
      </w:r>
      <w:r w:rsidR="0025726D" w:rsidRPr="00E518FC">
        <w:t xml:space="preserve"> and</w:t>
      </w:r>
      <w:r w:rsidR="0025726D" w:rsidRPr="007D0AA8">
        <w:t xml:space="preserve"> their families about acceptability of the IgG </w:t>
      </w:r>
      <w:r w:rsidR="00B86E63" w:rsidRPr="007D0AA8">
        <w:t>treatment</w:t>
      </w:r>
      <w:r w:rsidR="0025726D" w:rsidRPr="007D0AA8">
        <w:t xml:space="preserve"> the child was receiving. </w:t>
      </w:r>
      <w:r w:rsidR="00914060" w:rsidRPr="007D0AA8">
        <w:t xml:space="preserve">All families interviewed were positive about IgG treatment regardless of route of administration. </w:t>
      </w:r>
      <w:r w:rsidR="0025726D" w:rsidRPr="007D0AA8">
        <w:t>The authors noted that</w:t>
      </w:r>
      <w:r w:rsidR="00B86E63" w:rsidRPr="007D0AA8">
        <w:t xml:space="preserve"> four</w:t>
      </w:r>
      <w:r w:rsidR="0025726D" w:rsidRPr="007D0AA8">
        <w:t xml:space="preserve"> families of IVIg recipients who had indicated acceptance of IVIg still wanted to switch or wanted their child to switch to SCIg based on the reduced burden of clinic visits</w:t>
      </w:r>
      <w:r w:rsidR="00914060" w:rsidRPr="007D0AA8">
        <w:t xml:space="preserve"> or difficulties with venous access for IVIg</w:t>
      </w:r>
      <w:r w:rsidR="0025726D" w:rsidRPr="007D0AA8">
        <w:t xml:space="preserve">. </w:t>
      </w:r>
      <w:r w:rsidR="00B86E63" w:rsidRPr="007D0AA8">
        <w:t xml:space="preserve">Two SCIg families had anxiety about administering injections to their own child at home and chose to come to the clinic for infusions but this did not appear to affect acceptability of SCIg.  </w:t>
      </w:r>
    </w:p>
    <w:p w14:paraId="3514D5EA" w14:textId="1CC4E516" w:rsidR="00317D07" w:rsidRDefault="00D67A6E" w:rsidP="004E53CF">
      <w:r>
        <w:t>QoL data</w:t>
      </w:r>
      <w:r w:rsidRPr="00E518FC">
        <w:t xml:space="preserve"> </w:t>
      </w:r>
      <w:r>
        <w:t>from a</w:t>
      </w:r>
      <w:r w:rsidR="00317D07">
        <w:t xml:space="preserve"> further study </w:t>
      </w:r>
      <w:r w:rsidR="00896BE2">
        <w:fldChar w:fldCharType="begin">
          <w:fldData xml:space="preserve">PEVuZE5vdGU+PENpdGU+PEF1dGhvcj5DaGFwZWw8L0F1dGhvcj48WWVhcj4xOTk0PC9ZZWFyPjxS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=
</w:fldData>
        </w:fldChar>
      </w:r>
      <w:r w:rsidR="00896BE2">
        <w:instrText xml:space="preserve"> ADDIN EN.CITE </w:instrText>
      </w:r>
      <w:r w:rsidR="00896BE2">
        <w:fldChar w:fldCharType="begin">
          <w:fldData xml:space="preserve">PEVuZE5vdGU+PENpdGU+PEF1dGhvcj5DaGFwZWw8L0F1dGhvcj48WWVhcj4xOTk0PC9ZZWFyPjxS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=
</w:fldData>
        </w:fldChar>
      </w:r>
      <w:r w:rsidR="00896BE2">
        <w:instrText xml:space="preserve"> ADDIN EN.CITE.DATA </w:instrText>
      </w:r>
      <w:r w:rsidR="00896BE2">
        <w:fldChar w:fldCharType="end"/>
      </w:r>
      <w:r w:rsidR="00896BE2">
        <w:fldChar w:fldCharType="separate"/>
      </w:r>
      <w:r w:rsidR="00896BE2">
        <w:rPr>
          <w:noProof/>
        </w:rPr>
        <w:t>(</w:t>
      </w:r>
      <w:hyperlink w:anchor="_ENREF_13" w:tooltip="Chapel, 1994 #56" w:history="1">
        <w:r w:rsidR="00BB0145">
          <w:rPr>
            <w:noProof/>
          </w:rPr>
          <w:t>Chapel et al. 1994b</w:t>
        </w:r>
      </w:hyperlink>
      <w:r w:rsidR="00896BE2">
        <w:rPr>
          <w:noProof/>
        </w:rPr>
        <w:t>)</w:t>
      </w:r>
      <w:r w:rsidR="00896BE2">
        <w:fldChar w:fldCharType="end"/>
      </w:r>
      <w:r>
        <w:t xml:space="preserve"> have</w:t>
      </w:r>
      <w:r w:rsidR="00317D07" w:rsidRPr="00E518FC">
        <w:t xml:space="preserve"> been reported separately</w:t>
      </w:r>
      <w:r>
        <w:t xml:space="preserve"> in</w:t>
      </w:r>
      <w:r w:rsidR="00317D07" w:rsidRPr="00E518FC">
        <w:t xml:space="preserve"> a symposium presentation</w:t>
      </w:r>
      <w:r w:rsidR="00317D07" w:rsidRPr="00E518FC">
        <w:rPr>
          <w:rStyle w:val="FootnoteReference"/>
        </w:rPr>
        <w:footnoteReference w:id="12"/>
      </w:r>
      <w:r w:rsidR="00317D07" w:rsidRPr="00E518FC">
        <w:t>, but these data do not appear to have been published in the peer-reviewed literature.</w:t>
      </w:r>
      <w:r w:rsidR="00317D07" w:rsidRPr="007D0AA8">
        <w:t xml:space="preserve"> </w:t>
      </w:r>
    </w:p>
    <w:p w14:paraId="3044261C" w14:textId="77777777" w:rsidR="00D67A6E" w:rsidRPr="007D0AA8" w:rsidRDefault="00D67A6E" w:rsidP="004E53CF"/>
    <w:p w14:paraId="623A9FAB" w14:textId="67D64F75" w:rsidR="00DB3295" w:rsidRPr="00386411" w:rsidRDefault="00DB3295" w:rsidP="00331FB9">
      <w:pPr>
        <w:pStyle w:val="Heading2"/>
        <w:numPr>
          <w:ilvl w:val="1"/>
          <w:numId w:val="9"/>
        </w:numPr>
      </w:pPr>
      <w:bookmarkStart w:id="341" w:name="_Toc14431148"/>
      <w:bookmarkStart w:id="342" w:name="_Toc16856316"/>
      <w:r w:rsidRPr="00386411">
        <w:t>Extended Assessment of Harms</w:t>
      </w:r>
      <w:bookmarkEnd w:id="341"/>
      <w:bookmarkEnd w:id="342"/>
    </w:p>
    <w:p w14:paraId="16545F5B" w14:textId="3A3A6317" w:rsidR="006D5323" w:rsidRPr="003B4D22" w:rsidRDefault="006D5323" w:rsidP="00495430">
      <w:r w:rsidRPr="003B4D22">
        <w:t xml:space="preserve">IgG has a long history of use for treatment of immunodeficiency dating back to the 1950s or earlier. IVIg has been used to </w:t>
      </w:r>
      <w:r w:rsidR="00CC0C68" w:rsidRPr="003B4D22">
        <w:t>manage</w:t>
      </w:r>
      <w:r w:rsidRPr="003B4D22">
        <w:t xml:space="preserve"> hypogammaglobulinaemia infection risk in haematological </w:t>
      </w:r>
      <w:r w:rsidRPr="003B4D22">
        <w:lastRenderedPageBreak/>
        <w:t xml:space="preserve">malignancies since the late 1980s or so. In the European Union, the </w:t>
      </w:r>
      <w:r w:rsidR="00877A5C" w:rsidRPr="003B4D22">
        <w:t>authorised product information</w:t>
      </w:r>
      <w:r w:rsidRPr="003B4D22">
        <w:t xml:space="preserve"> for authorised products must </w:t>
      </w:r>
      <w:r w:rsidR="00877A5C" w:rsidRPr="003B4D22">
        <w:t xml:space="preserve">include </w:t>
      </w:r>
      <w:r w:rsidRPr="003B4D22">
        <w:t>core text</w:t>
      </w:r>
      <w:r w:rsidR="00BC00A7" w:rsidRPr="003B4D22">
        <w:t xml:space="preserve"> prescribed for both IVIg and SCIg presentations</w:t>
      </w:r>
      <w:r w:rsidR="00BC00A7" w:rsidRPr="003B4D22">
        <w:rPr>
          <w:rStyle w:val="FootnoteReference"/>
        </w:rPr>
        <w:footnoteReference w:id="13"/>
      </w:r>
      <w:r w:rsidRPr="003B4D22">
        <w:t xml:space="preserve">, reflecting the extent of safety information available for </w:t>
      </w:r>
      <w:r w:rsidR="00BC00A7" w:rsidRPr="003B4D22">
        <w:t>these products</w:t>
      </w:r>
      <w:r w:rsidR="00E1076E" w:rsidRPr="003B4D22">
        <w:t xml:space="preserve"> across these patient populations</w:t>
      </w:r>
      <w:r w:rsidRPr="003B4D22">
        <w:t xml:space="preserve">. </w:t>
      </w:r>
      <w:r w:rsidR="00877A5C" w:rsidRPr="003B4D22">
        <w:t xml:space="preserve">The current approved Product Information for IgG products registered in Australia contain a corresponding extent of safety information, however the wording varies between products. Hence the EMA’s core text specifically relating to IgG safety profile (below) can be considered representative of IgG products registered in Australia.  </w:t>
      </w:r>
    </w:p>
    <w:p w14:paraId="0F9051AE" w14:textId="77777777" w:rsidR="00E32854" w:rsidRPr="003B4D22" w:rsidRDefault="00E32854" w:rsidP="00E1076E">
      <w:pPr>
        <w:keepNext/>
        <w:rPr>
          <w:i/>
        </w:rPr>
      </w:pPr>
      <w:r w:rsidRPr="003B4D22">
        <w:rPr>
          <w:i/>
        </w:rPr>
        <w:t>Adverse reactions caused by human normal immunoglobulins (in decreasing frequency) encompass:</w:t>
      </w:r>
    </w:p>
    <w:p w14:paraId="2E9A272D" w14:textId="77777777" w:rsidR="00E32854" w:rsidRPr="003B4D22" w:rsidRDefault="00E32854" w:rsidP="00495430">
      <w:pPr>
        <w:spacing w:after="0"/>
        <w:rPr>
          <w:i/>
        </w:rPr>
      </w:pPr>
      <w:r w:rsidRPr="003B4D22">
        <w:rPr>
          <w:i/>
        </w:rPr>
        <w:t>• chills, headache, dizziness, fever, vomiting, allergic reactions, nausea, arthralgia, low blood pressure and moderate low back pain</w:t>
      </w:r>
    </w:p>
    <w:p w14:paraId="6ADDAE34" w14:textId="77777777" w:rsidR="00E32854" w:rsidRPr="003B4D22" w:rsidRDefault="00E32854" w:rsidP="00495430">
      <w:pPr>
        <w:spacing w:after="0"/>
        <w:rPr>
          <w:i/>
        </w:rPr>
      </w:pPr>
      <w:r w:rsidRPr="003B4D22">
        <w:rPr>
          <w:i/>
        </w:rPr>
        <w:t>• reversible haemolytic reactions; especially in those patients with blood groups A, B, and AB and (rarely) haemolytic anaemia requiring transfusion</w:t>
      </w:r>
    </w:p>
    <w:p w14:paraId="5570FE52" w14:textId="77777777" w:rsidR="00E32854" w:rsidRPr="003B4D22" w:rsidRDefault="00E32854" w:rsidP="00E32854">
      <w:pPr>
        <w:spacing w:after="0"/>
        <w:rPr>
          <w:i/>
        </w:rPr>
      </w:pPr>
      <w:r w:rsidRPr="003B4D22">
        <w:rPr>
          <w:i/>
        </w:rPr>
        <w:t>• (rarely) a sudden fall in blood pressure and, in isolated cases, anaphylactic shock, even when the patient has shown no hypersensitivity to previous administration</w:t>
      </w:r>
    </w:p>
    <w:p w14:paraId="6AD96C53" w14:textId="77777777" w:rsidR="00E32854" w:rsidRPr="003B4D22" w:rsidRDefault="00E32854" w:rsidP="00E32854">
      <w:pPr>
        <w:spacing w:after="0"/>
        <w:rPr>
          <w:i/>
        </w:rPr>
      </w:pPr>
      <w:r w:rsidRPr="003B4D22">
        <w:rPr>
          <w:i/>
        </w:rPr>
        <w:t>• (rarely) transient cutaneous reactions (including cutaneous lupus erythematosus - frequency unknown)</w:t>
      </w:r>
    </w:p>
    <w:p w14:paraId="321D9281" w14:textId="77777777" w:rsidR="00E32854" w:rsidRPr="003B4D22" w:rsidRDefault="00E32854" w:rsidP="00E32854">
      <w:pPr>
        <w:spacing w:after="0"/>
        <w:rPr>
          <w:i/>
        </w:rPr>
      </w:pPr>
      <w:r w:rsidRPr="003B4D22">
        <w:rPr>
          <w:i/>
        </w:rPr>
        <w:t>• (very rarely) thromboembolic reactions such as myocardial infarction, stroke, pulmonary embolism, deep vein thromboses</w:t>
      </w:r>
    </w:p>
    <w:p w14:paraId="338A3D80" w14:textId="77777777" w:rsidR="00E32854" w:rsidRPr="003B4D22" w:rsidRDefault="00E32854" w:rsidP="00E32854">
      <w:pPr>
        <w:spacing w:after="0"/>
        <w:rPr>
          <w:i/>
        </w:rPr>
      </w:pPr>
      <w:r w:rsidRPr="003B4D22">
        <w:rPr>
          <w:i/>
        </w:rPr>
        <w:t>• cases of reversible aseptic meningitis</w:t>
      </w:r>
    </w:p>
    <w:p w14:paraId="59661AC9" w14:textId="77777777" w:rsidR="00E32854" w:rsidRPr="003B4D22" w:rsidRDefault="00E32854" w:rsidP="00E32854">
      <w:pPr>
        <w:spacing w:after="0"/>
        <w:rPr>
          <w:i/>
        </w:rPr>
      </w:pPr>
      <w:r w:rsidRPr="003B4D22">
        <w:rPr>
          <w:i/>
        </w:rPr>
        <w:t>• cases of increased serum creatinine level and/or occurrence of acute renal failure</w:t>
      </w:r>
    </w:p>
    <w:p w14:paraId="3D1E6F34" w14:textId="77777777" w:rsidR="00E32854" w:rsidRPr="003B4D22" w:rsidRDefault="00E32854" w:rsidP="00E32854">
      <w:pPr>
        <w:spacing w:after="0"/>
        <w:rPr>
          <w:i/>
        </w:rPr>
      </w:pPr>
      <w:r w:rsidRPr="003B4D22">
        <w:rPr>
          <w:i/>
        </w:rPr>
        <w:t>• cases of Transfusion Related Acute Lung Injury (TRALI)</w:t>
      </w:r>
    </w:p>
    <w:p w14:paraId="539D0418" w14:textId="77777777" w:rsidR="00E32854" w:rsidRPr="003B4D22" w:rsidRDefault="00E32854" w:rsidP="00E32854">
      <w:pPr>
        <w:spacing w:after="0"/>
        <w:rPr>
          <w:i/>
        </w:rPr>
      </w:pPr>
    </w:p>
    <w:p w14:paraId="49B2DD44" w14:textId="331A37F6" w:rsidR="00DB3295" w:rsidRPr="003B4D22" w:rsidRDefault="006D5323" w:rsidP="004E53CF">
      <w:r w:rsidRPr="003B4D22">
        <w:t xml:space="preserve">In 2011, the </w:t>
      </w:r>
      <w:r w:rsidR="00E1076E" w:rsidRPr="003B4D22">
        <w:t xml:space="preserve">EMA </w:t>
      </w:r>
      <w:r w:rsidRPr="003B4D22">
        <w:t>undertook a review of at least two immunoglobulin</w:t>
      </w:r>
      <w:r w:rsidR="00BC00A7" w:rsidRPr="003B4D22">
        <w:t xml:space="preserve"> products (Octagam</w:t>
      </w:r>
      <w:r w:rsidR="00BC00A7" w:rsidRPr="003B4D22">
        <w:rPr>
          <w:rStyle w:val="FootnoteReference"/>
        </w:rPr>
        <w:footnoteReference w:id="14"/>
      </w:r>
      <w:r w:rsidR="00BC00A7" w:rsidRPr="003B4D22">
        <w:t>;</w:t>
      </w:r>
      <w:r w:rsidRPr="003B4D22">
        <w:t xml:space="preserve"> Vivaglobin</w:t>
      </w:r>
      <w:r w:rsidR="00BC00A7" w:rsidRPr="003B4D22">
        <w:rPr>
          <w:rStyle w:val="FootnoteReference"/>
        </w:rPr>
        <w:footnoteReference w:id="15"/>
      </w:r>
      <w:r w:rsidRPr="003B4D22">
        <w:t xml:space="preserve">) which were associated with reports of increased </w:t>
      </w:r>
      <w:r w:rsidR="00BC00A7" w:rsidRPr="003B4D22">
        <w:t>TEEs and which led to a worldwide withdrawal of Octagam from the market.</w:t>
      </w:r>
      <w:r w:rsidRPr="003B4D22">
        <w:t xml:space="preserve"> The EMA concluded that these events were due to residual impurities (clotting factors in the case of Octagam)</w:t>
      </w:r>
      <w:r w:rsidR="00E1076E" w:rsidRPr="003B4D22">
        <w:t xml:space="preserve"> which</w:t>
      </w:r>
      <w:r w:rsidRPr="003B4D22">
        <w:t xml:space="preserve"> had c</w:t>
      </w:r>
      <w:r w:rsidR="00BC00A7" w:rsidRPr="003B4D22">
        <w:t>aused the spike in events. Octagam remains authorised in both the EU, Australia and elsewhere following improvements to the manufacturing process to control for these impurities. The potential TEE risk is now highlighted in product information</w:t>
      </w:r>
      <w:r w:rsidR="00E32854" w:rsidRPr="003B4D22">
        <w:t xml:space="preserve"> as described above</w:t>
      </w:r>
      <w:r w:rsidR="00BC00A7" w:rsidRPr="003B4D22">
        <w:t xml:space="preserve">. In the USA, TEE risks were added as a black box safety </w:t>
      </w:r>
      <w:r w:rsidR="00BC00A7" w:rsidRPr="00E518FC">
        <w:t xml:space="preserve">warning to IgG products. </w:t>
      </w:r>
      <w:r w:rsidR="00E32854" w:rsidRPr="00E518FC">
        <w:t xml:space="preserve">Relevant to this, </w:t>
      </w:r>
      <w:r w:rsidR="00E518FC" w:rsidRPr="00E518FC">
        <w:t>a US</w:t>
      </w:r>
      <w:r w:rsidR="00BC00A7" w:rsidRPr="00E518FC">
        <w:t xml:space="preserve"> registry study</w:t>
      </w:r>
      <w:r w:rsidR="00E518FC" w:rsidRPr="00E518FC">
        <w:t xml:space="preserve"> included in this evaluation</w:t>
      </w:r>
      <w:r w:rsidR="00BC00A7" w:rsidRPr="00E518FC">
        <w:t xml:space="preserve"> </w:t>
      </w:r>
      <w:r w:rsidR="00896BE2">
        <w:fldChar w:fldCharType="begin">
          <w:fldData xml:space="preserve">PEVuZE5vdGU+PENpdGU+PEF1dGhvcj5BbW1hbm48L0F1dGhvcj48WWVhcj4yMDE2PC9ZZWFyPjxS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</w:fldData>
        </w:fldChar>
      </w:r>
      <w:r w:rsidR="00896BE2">
        <w:instrText xml:space="preserve"> ADDIN EN.CITE </w:instrText>
      </w:r>
      <w:r w:rsidR="00896BE2">
        <w:fldChar w:fldCharType="begin">
          <w:fldData xml:space="preserve">PEVuZE5vdGU+PENpdGU+PEF1dGhvcj5BbW1hbm48L0F1dGhvcj48WWVhcj4yMDE2PC9ZZWFyPjxS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</w:fldData>
        </w:fldChar>
      </w:r>
      <w:r w:rsidR="00896BE2">
        <w:instrText xml:space="preserve"> ADDIN EN.CITE.DATA </w:instrText>
      </w:r>
      <w:r w:rsidR="00896BE2">
        <w:fldChar w:fldCharType="end"/>
      </w:r>
      <w:r w:rsidR="00896BE2">
        <w:fldChar w:fldCharType="separate"/>
      </w:r>
      <w:r w:rsidR="00896BE2">
        <w:rPr>
          <w:noProof/>
        </w:rPr>
        <w:t>(</w:t>
      </w:r>
      <w:hyperlink w:anchor="_ENREF_1" w:tooltip="Ammann, 2016 #1" w:history="1">
        <w:r w:rsidR="00BB0145">
          <w:rPr>
            <w:noProof/>
          </w:rPr>
          <w:t>Ammann et al. 2016</w:t>
        </w:r>
      </w:hyperlink>
      <w:r w:rsidR="00896BE2">
        <w:rPr>
          <w:noProof/>
        </w:rPr>
        <w:t>)</w:t>
      </w:r>
      <w:r w:rsidR="00896BE2">
        <w:fldChar w:fldCharType="end"/>
      </w:r>
      <w:r w:rsidR="00BC00A7" w:rsidRPr="00E518FC">
        <w:t xml:space="preserve"> </w:t>
      </w:r>
      <w:r w:rsidR="00E518FC" w:rsidRPr="00E518FC">
        <w:t>further investigated</w:t>
      </w:r>
      <w:r w:rsidR="00BC00A7" w:rsidRPr="00E518FC">
        <w:t xml:space="preserve"> TEE risks associated with any IgG use in more than 10,000 matched</w:t>
      </w:r>
      <w:r w:rsidR="00BC00A7" w:rsidRPr="003B4D22">
        <w:t xml:space="preserve"> subjects</w:t>
      </w:r>
      <w:r w:rsidR="00E518FC">
        <w:t xml:space="preserve"> with CLL or MM</w:t>
      </w:r>
      <w:r w:rsidR="00BC00A7" w:rsidRPr="003B4D22">
        <w:t>.</w:t>
      </w:r>
    </w:p>
    <w:p w14:paraId="30DBD262" w14:textId="77777777" w:rsidR="00DB3295" w:rsidRPr="00386411" w:rsidRDefault="00DB3295" w:rsidP="00331FB9">
      <w:pPr>
        <w:pStyle w:val="Heading2"/>
        <w:numPr>
          <w:ilvl w:val="1"/>
          <w:numId w:val="9"/>
        </w:numPr>
      </w:pPr>
      <w:bookmarkStart w:id="343" w:name="_Ref421189603"/>
      <w:bookmarkStart w:id="344" w:name="_Ref421189625"/>
      <w:bookmarkStart w:id="345" w:name="_Toc14431149"/>
      <w:bookmarkStart w:id="346" w:name="_Toc16856317"/>
      <w:r w:rsidRPr="00386411">
        <w:lastRenderedPageBreak/>
        <w:t>Interpretation of the Clinical Evidence</w:t>
      </w:r>
      <w:bookmarkEnd w:id="343"/>
      <w:bookmarkEnd w:id="344"/>
      <w:bookmarkEnd w:id="345"/>
      <w:bookmarkEnd w:id="346"/>
    </w:p>
    <w:p w14:paraId="58AFF70E" w14:textId="618041EA" w:rsidR="00486D89" w:rsidRPr="001641E7" w:rsidRDefault="00637742" w:rsidP="00637742">
      <w:r w:rsidRPr="001641E7">
        <w:t>The overall evidence shows that, in patients with hypogammaglobulinaemia secondary to any haematological malignancy, IgG replacement will significantly reduce the number of infections compared with ‘No IgG’. Studies were less likely to support this conclusion if they enrolled a high proportion of patients without documented risk factors (hypogammaglobulinaemia and a history of infections).</w:t>
      </w:r>
      <w:r w:rsidR="00486D89" w:rsidRPr="001641E7">
        <w:t xml:space="preserve"> Infections</w:t>
      </w:r>
      <w:r w:rsidRPr="001641E7">
        <w:t xml:space="preserve"> </w:t>
      </w:r>
      <w:r w:rsidR="00D538DE" w:rsidRPr="001641E7">
        <w:t>incidence</w:t>
      </w:r>
      <w:r w:rsidR="00486D89" w:rsidRPr="001641E7">
        <w:t xml:space="preserve"> appeared to be as variable between indications such as CLL or MM as they were within </w:t>
      </w:r>
      <w:r w:rsidR="00D538DE" w:rsidRPr="001641E7">
        <w:t>a single</w:t>
      </w:r>
      <w:r w:rsidR="00486D89" w:rsidRPr="001641E7">
        <w:t xml:space="preserve"> indication due to differences in disease severity</w:t>
      </w:r>
      <w:r w:rsidR="00000EAC" w:rsidRPr="001641E7">
        <w:t>,</w:t>
      </w:r>
      <w:r w:rsidR="00486D89" w:rsidRPr="001641E7">
        <w:t xml:space="preserve"> concomitant medications</w:t>
      </w:r>
      <w:r w:rsidR="00000EAC" w:rsidRPr="001641E7">
        <w:t xml:space="preserve"> and other factors</w:t>
      </w:r>
      <w:r w:rsidR="00486D89" w:rsidRPr="001641E7">
        <w:t xml:space="preserve">. </w:t>
      </w:r>
    </w:p>
    <w:p w14:paraId="528E628A" w14:textId="7F88B406" w:rsidR="00637742" w:rsidRPr="001641E7" w:rsidRDefault="00637742" w:rsidP="00637742">
      <w:r w:rsidRPr="001641E7">
        <w:t xml:space="preserve">The effectiveness of IgG </w:t>
      </w:r>
      <w:r w:rsidR="00000EAC" w:rsidRPr="001641E7">
        <w:t>in reducing</w:t>
      </w:r>
      <w:r w:rsidRPr="001641E7">
        <w:t xml:space="preserve"> infections </w:t>
      </w:r>
      <w:r w:rsidR="00000EAC" w:rsidRPr="001641E7">
        <w:t xml:space="preserve">incidence </w:t>
      </w:r>
      <w:r w:rsidRPr="001641E7">
        <w:t xml:space="preserve">was confirmed in meta-analyses of randomised trials, as well as meta-analyses of before-and-after case series (within patient comparisons of infection rates before receiving IgG and while on IgG). </w:t>
      </w:r>
      <w:r w:rsidR="00FB0004" w:rsidRPr="001641E7">
        <w:t>The limitations of the evidence mean that the risk ratios reported in the</w:t>
      </w:r>
      <w:r w:rsidR="00000EAC" w:rsidRPr="001641E7">
        <w:t>se</w:t>
      </w:r>
      <w:r w:rsidR="00FB0004" w:rsidRPr="001641E7">
        <w:t xml:space="preserve"> meta-analyses are highly uncertain. </w:t>
      </w:r>
      <w:r w:rsidRPr="001641E7" w:rsidDel="007379E0">
        <w:t xml:space="preserve"> </w:t>
      </w:r>
    </w:p>
    <w:p w14:paraId="01920298" w14:textId="34D156F3" w:rsidR="0005208E" w:rsidRPr="001641E7" w:rsidRDefault="00FB0004" w:rsidP="0005208E">
      <w:pPr>
        <w:spacing w:before="240"/>
      </w:pPr>
      <w:r w:rsidRPr="001641E7">
        <w:t>T</w:t>
      </w:r>
      <w:r w:rsidR="0005208E" w:rsidRPr="001641E7">
        <w:t xml:space="preserve">he studies included in the report were low level evidence consisting primarily of case series with a small number of randomised studies (several of which did not adequately report the primary efficacy outcome, infections). An assessment of the quality of evidence for each outcome using GRADE is in </w:t>
      </w:r>
      <w:r w:rsidR="0005208E" w:rsidRPr="001641E7">
        <w:fldChar w:fldCharType="begin"/>
      </w:r>
      <w:r w:rsidR="0005208E" w:rsidRPr="001641E7">
        <w:instrText xml:space="preserve"> REF _Ref399239890 \h  \* MERGEFORMAT </w:instrText>
      </w:r>
      <w:r w:rsidR="0005208E" w:rsidRPr="001641E7">
        <w:fldChar w:fldCharType="separate"/>
      </w:r>
      <w:r w:rsidR="00A7463B" w:rsidRPr="00270836">
        <w:t xml:space="preserve">Table </w:t>
      </w:r>
      <w:r w:rsidR="00A7463B">
        <w:rPr>
          <w:noProof/>
        </w:rPr>
        <w:t>29</w:t>
      </w:r>
      <w:r w:rsidR="0005208E" w:rsidRPr="001641E7">
        <w:fldChar w:fldCharType="end"/>
      </w:r>
      <w:r w:rsidR="0005208E" w:rsidRPr="001641E7">
        <w:t>. The quality of evidence was low</w:t>
      </w:r>
      <w:r w:rsidR="003367BC" w:rsidRPr="001641E7">
        <w:t xml:space="preserve"> for efficacy (as measured by infections)</w:t>
      </w:r>
      <w:r w:rsidR="0005208E" w:rsidRPr="001641E7">
        <w:t xml:space="preserve"> </w:t>
      </w:r>
      <w:r w:rsidR="003367BC" w:rsidRPr="001641E7">
        <w:t>and</w:t>
      </w:r>
      <w:r w:rsidRPr="001641E7">
        <w:t xml:space="preserve"> also low</w:t>
      </w:r>
      <w:r w:rsidR="003367BC" w:rsidRPr="001641E7">
        <w:t xml:space="preserve"> </w:t>
      </w:r>
      <w:r w:rsidR="0005208E" w:rsidRPr="001641E7">
        <w:t xml:space="preserve">for safety (though not for </w:t>
      </w:r>
      <w:r w:rsidRPr="001641E7">
        <w:t>TEE risk</w:t>
      </w:r>
      <w:r w:rsidR="0005208E" w:rsidRPr="001641E7">
        <w:t xml:space="preserve"> which </w:t>
      </w:r>
      <w:r w:rsidRPr="001641E7">
        <w:t>had</w:t>
      </w:r>
      <w:r w:rsidR="0005208E" w:rsidRPr="001641E7">
        <w:t xml:space="preserve"> high </w:t>
      </w:r>
      <w:r w:rsidRPr="001641E7">
        <w:t>quality evidence</w:t>
      </w:r>
      <w:r w:rsidR="0005208E" w:rsidRPr="001641E7">
        <w:t xml:space="preserve">). </w:t>
      </w:r>
    </w:p>
    <w:p w14:paraId="1CB35D25" w14:textId="7BDE04C2" w:rsidR="00FB0004" w:rsidRPr="001641E7" w:rsidRDefault="00740FCD" w:rsidP="00FB0004">
      <w:r w:rsidRPr="001641E7">
        <w:t xml:space="preserve">Clinical evidence for IgG safety was limited to infusion reactions, with the exception of a registry study reporting TEE risk which showed a transient increase in TEE events following IgG </w:t>
      </w:r>
      <w:r w:rsidR="00FA20FD" w:rsidRPr="001641E7">
        <w:t>initiation</w:t>
      </w:r>
      <w:r w:rsidRPr="001641E7">
        <w:t xml:space="preserve">. It was considered that the safety profile described in approved Product Information (using the EMA core text as an example) provides a better and more comprehensive assessment of IgG safety for this population.  </w:t>
      </w:r>
    </w:p>
    <w:p w14:paraId="0E1DAB34" w14:textId="0FD3396A" w:rsidR="00D56F07" w:rsidRPr="001641E7" w:rsidRDefault="00D56F07" w:rsidP="00D538DE">
      <w:pPr>
        <w:keepNext/>
      </w:pPr>
      <w:r w:rsidRPr="001641E7">
        <w:t>This evaluation could not address:</w:t>
      </w:r>
    </w:p>
    <w:p w14:paraId="233DAAEE" w14:textId="106D9D64" w:rsidR="00D56F07" w:rsidRPr="001641E7" w:rsidRDefault="00D56F07" w:rsidP="00331FB9">
      <w:pPr>
        <w:pStyle w:val="ListParagraph"/>
        <w:numPr>
          <w:ilvl w:val="0"/>
          <w:numId w:val="16"/>
        </w:numPr>
        <w:ind w:left="426"/>
      </w:pPr>
      <w:r w:rsidRPr="001641E7">
        <w:t>Confirmation of a clinically active dose</w:t>
      </w:r>
      <w:r w:rsidR="00000EAC" w:rsidRPr="001641E7">
        <w:t xml:space="preserve"> or frequency of dosing</w:t>
      </w:r>
      <w:r w:rsidRPr="001641E7">
        <w:t xml:space="preserve">. Most studies included explored doses between </w:t>
      </w:r>
      <w:r w:rsidR="00000EAC" w:rsidRPr="001641E7">
        <w:t>200 and 5</w:t>
      </w:r>
      <w:r w:rsidRPr="001641E7">
        <w:t xml:space="preserve">00 mg/kg. Variability in patient characteristics and disease status, and the effect this had on infections, precluded any assessment of dose-response. </w:t>
      </w:r>
    </w:p>
    <w:p w14:paraId="7F91596E" w14:textId="716B2F22" w:rsidR="00000EAC" w:rsidRPr="001641E7" w:rsidRDefault="00000EAC" w:rsidP="00331FB9">
      <w:pPr>
        <w:pStyle w:val="ListParagraph"/>
        <w:numPr>
          <w:ilvl w:val="0"/>
          <w:numId w:val="16"/>
        </w:numPr>
        <w:ind w:left="426"/>
      </w:pPr>
      <w:r w:rsidRPr="001641E7">
        <w:t xml:space="preserve">Definition of adequate treatment response: </w:t>
      </w:r>
      <w:r w:rsidR="00740FCD" w:rsidRPr="001641E7">
        <w:t>a</w:t>
      </w:r>
      <w:r w:rsidRPr="001641E7">
        <w:t xml:space="preserve"> qualitative reduction in infections rate was usually taken as evidence of a response. Timeframes for assessment were highly variable. </w:t>
      </w:r>
    </w:p>
    <w:p w14:paraId="5C35A261" w14:textId="06B4F935" w:rsidR="00D56F07" w:rsidRPr="001641E7" w:rsidRDefault="00000EAC" w:rsidP="00331FB9">
      <w:pPr>
        <w:pStyle w:val="ListParagraph"/>
        <w:numPr>
          <w:ilvl w:val="0"/>
          <w:numId w:val="16"/>
        </w:numPr>
        <w:ind w:left="426"/>
      </w:pPr>
      <w:r w:rsidRPr="001641E7">
        <w:t>C</w:t>
      </w:r>
      <w:r w:rsidR="00D56F07" w:rsidRPr="001641E7">
        <w:t xml:space="preserve">riteria for discontinuation. An initial patient response in terms of infections seemed to be adequate reason for ongoing IgG replacement which often lasted for some months or years. The majority of the included studies did not describe criteria for treatment continuation or cessation – for those that did, it was typically the reasoning of the treating physician was reported. There was no prospective set of discontinuation criteria offered by any of the included studies. </w:t>
      </w:r>
    </w:p>
    <w:p w14:paraId="24B06C6F" w14:textId="3833F43A" w:rsidR="00D56F07" w:rsidRPr="001641E7" w:rsidRDefault="00D56F07" w:rsidP="00331FB9">
      <w:pPr>
        <w:pStyle w:val="ListParagraph"/>
        <w:numPr>
          <w:ilvl w:val="0"/>
          <w:numId w:val="16"/>
        </w:numPr>
        <w:ind w:left="426"/>
      </w:pPr>
      <w:r w:rsidRPr="001641E7">
        <w:lastRenderedPageBreak/>
        <w:t xml:space="preserve">Frequency of serum IgG monitoring as a basis for response assessment or a decision to discontinue. Several studies monitored serum IgG levels, some as frequently as monthly or every 3 months. Others tested patients based on availability as representative of the whole cohort. </w:t>
      </w:r>
    </w:p>
    <w:p w14:paraId="27AF63A2" w14:textId="6FC55E9D" w:rsidR="00FB0004" w:rsidRDefault="00FB0004" w:rsidP="00FB0004">
      <w:r w:rsidRPr="003B4D22">
        <w:t>Regarding the ‘other haematological malignancies’ category,</w:t>
      </w:r>
      <w:r w:rsidR="00000EAC">
        <w:t xml:space="preserve"> </w:t>
      </w:r>
      <w:r w:rsidRPr="003B4D22">
        <w:t xml:space="preserve">use of IgG replacement </w:t>
      </w:r>
      <w:r w:rsidR="00000EAC">
        <w:t>in</w:t>
      </w:r>
      <w:r w:rsidRPr="003B4D22">
        <w:t xml:space="preserve"> these patients is based on the principle that a history of infections and presence of hypogammaglobulinaemia is sufficient to warrant treatment. </w:t>
      </w:r>
      <w:r>
        <w:t>T</w:t>
      </w:r>
      <w:r w:rsidRPr="003B4D22">
        <w:t xml:space="preserve">his </w:t>
      </w:r>
      <w:r>
        <w:t xml:space="preserve">is the basis of the current funding of IgG for this category of patients in Australia, but it still </w:t>
      </w:r>
      <w:r w:rsidRPr="003B4D22">
        <w:t>remains an assumption. On the other hand, the evidence reviewed does not suggest that response to IgG replacement therapy is any more variable in patients with</w:t>
      </w:r>
      <w:r>
        <w:t xml:space="preserve"> the</w:t>
      </w:r>
      <w:r w:rsidRPr="003B4D22">
        <w:t xml:space="preserve"> less-studied</w:t>
      </w:r>
      <w:r>
        <w:t>/infrequent</w:t>
      </w:r>
      <w:r w:rsidRPr="003B4D22">
        <w:t xml:space="preserve"> malignan</w:t>
      </w:r>
      <w:r>
        <w:t xml:space="preserve">cies compared with CLL and MM. A large registry study with adequate </w:t>
      </w:r>
      <w:r w:rsidR="00000EAC">
        <w:t>patients having</w:t>
      </w:r>
      <w:r>
        <w:t xml:space="preserve"> ‘other’ conditions would be needed to address this. </w:t>
      </w:r>
    </w:p>
    <w:p w14:paraId="2D801E55" w14:textId="77777777" w:rsidR="00270836" w:rsidRPr="007D0AA8" w:rsidRDefault="00270836" w:rsidP="00270836">
      <w:r w:rsidRPr="0005208E">
        <w:t>On the basis of the benefits and harms reported in the evidence base (summarised above), it is</w:t>
      </w:r>
      <w:r w:rsidRPr="00B91CDF">
        <w:t xml:space="preserve"> suggested that, relative to No IgG replacement with antibiotics as required, the use of IgG products with antibiotics as required has </w:t>
      </w:r>
      <w:r w:rsidRPr="00B91CDF">
        <w:rPr>
          <w:b/>
        </w:rPr>
        <w:t>inferior safety</w:t>
      </w:r>
      <w:r w:rsidRPr="00B91CDF">
        <w:t xml:space="preserve"> and</w:t>
      </w:r>
      <w:r w:rsidRPr="00B91CDF">
        <w:rPr>
          <w:b/>
        </w:rPr>
        <w:t xml:space="preserve"> superior effectiveness</w:t>
      </w:r>
      <w:r w:rsidRPr="007D0AA8">
        <w:t>.</w:t>
      </w:r>
    </w:p>
    <w:p w14:paraId="6F06FB19" w14:textId="77777777" w:rsidR="003C7A14" w:rsidRPr="00386411" w:rsidRDefault="003C7A14" w:rsidP="00402FBA">
      <w:pPr>
        <w:rPr>
          <w:b/>
        </w:rPr>
      </w:pPr>
    </w:p>
    <w:p w14:paraId="79DBDBA0" w14:textId="77777777" w:rsidR="003C7A14" w:rsidRPr="00386411" w:rsidRDefault="003C7A14" w:rsidP="00402FBA">
      <w:pPr>
        <w:rPr>
          <w:b/>
        </w:rPr>
        <w:sectPr w:rsidR="003C7A14" w:rsidRPr="00386411" w:rsidSect="006810ED">
          <w:footerReference w:type="default" r:id="rId42"/>
          <w:pgSz w:w="11906" w:h="16838"/>
          <w:pgMar w:top="1440" w:right="1440" w:bottom="1440" w:left="1440" w:header="720" w:footer="720" w:gutter="0"/>
          <w:paperSrc w:first="7" w:other="7"/>
          <w:cols w:space="720"/>
        </w:sectPr>
      </w:pPr>
    </w:p>
    <w:p w14:paraId="0285788C" w14:textId="0A9ED280" w:rsidR="00402FBA" w:rsidRPr="00386411" w:rsidRDefault="00402FBA" w:rsidP="00402FBA">
      <w:pPr>
        <w:pStyle w:val="Caption"/>
        <w:rPr>
          <w:rFonts w:cs="Arial"/>
          <w:snapToGrid w:val="0"/>
          <w:szCs w:val="16"/>
          <w:lang w:eastAsia="en-US"/>
        </w:rPr>
      </w:pPr>
      <w:bookmarkStart w:id="347" w:name="_Ref399239890"/>
      <w:bookmarkStart w:id="348" w:name="_Toc14429572"/>
      <w:bookmarkStart w:id="349" w:name="_Toc16671627"/>
      <w:r w:rsidRPr="00270836">
        <w:lastRenderedPageBreak/>
        <w:t xml:space="preserve">Table </w:t>
      </w:r>
      <w:r w:rsidR="00DC1CE6">
        <w:rPr>
          <w:noProof/>
        </w:rPr>
        <w:fldChar w:fldCharType="begin"/>
      </w:r>
      <w:r w:rsidR="00DC1CE6">
        <w:rPr>
          <w:noProof/>
        </w:rPr>
        <w:instrText xml:space="preserve"> SEQ Table \* ARABIC </w:instrText>
      </w:r>
      <w:r w:rsidR="00DC1CE6">
        <w:rPr>
          <w:noProof/>
        </w:rPr>
        <w:fldChar w:fldCharType="separate"/>
      </w:r>
      <w:r w:rsidR="00A7463B">
        <w:rPr>
          <w:noProof/>
        </w:rPr>
        <w:t>29</w:t>
      </w:r>
      <w:r w:rsidR="00DC1CE6">
        <w:rPr>
          <w:noProof/>
        </w:rPr>
        <w:fldChar w:fldCharType="end"/>
      </w:r>
      <w:bookmarkEnd w:id="347"/>
      <w:r w:rsidRPr="00270836">
        <w:tab/>
      </w:r>
      <w:r w:rsidR="00270836" w:rsidRPr="00270836">
        <w:rPr>
          <w:rFonts w:cs="Arial"/>
          <w:snapToGrid w:val="0"/>
          <w:szCs w:val="16"/>
          <w:lang w:eastAsia="en-US"/>
        </w:rPr>
        <w:t>Balance of clinical benefits and harms of I</w:t>
      </w:r>
      <w:r w:rsidR="004466FC">
        <w:rPr>
          <w:rFonts w:cs="Arial"/>
          <w:snapToGrid w:val="0"/>
          <w:szCs w:val="16"/>
          <w:lang w:eastAsia="en-US"/>
        </w:rPr>
        <w:t>gG with antibiotics as required</w:t>
      </w:r>
      <w:r w:rsidR="00270836" w:rsidRPr="00270836">
        <w:rPr>
          <w:rFonts w:cs="Arial"/>
          <w:snapToGrid w:val="0"/>
          <w:szCs w:val="16"/>
          <w:lang w:eastAsia="en-US"/>
        </w:rPr>
        <w:t xml:space="preserve">, relative to No IgG with </w:t>
      </w:r>
      <w:r w:rsidR="00FA20FD" w:rsidRPr="00270836">
        <w:rPr>
          <w:rFonts w:cs="Arial"/>
          <w:snapToGrid w:val="0"/>
          <w:szCs w:val="16"/>
          <w:lang w:eastAsia="en-US"/>
        </w:rPr>
        <w:t>antibiotics</w:t>
      </w:r>
      <w:r w:rsidR="00270836" w:rsidRPr="00270836">
        <w:rPr>
          <w:rFonts w:cs="Arial"/>
          <w:snapToGrid w:val="0"/>
          <w:szCs w:val="16"/>
          <w:lang w:eastAsia="en-US"/>
        </w:rPr>
        <w:t xml:space="preserve"> as required</w:t>
      </w:r>
      <w:r w:rsidR="004466FC">
        <w:rPr>
          <w:rFonts w:cs="Arial"/>
          <w:snapToGrid w:val="0"/>
          <w:szCs w:val="16"/>
          <w:lang w:eastAsia="en-US"/>
        </w:rPr>
        <w:t xml:space="preserve"> (GRADE assessment)</w:t>
      </w:r>
      <w:bookmarkEnd w:id="348"/>
      <w:bookmarkEnd w:id="349"/>
    </w:p>
    <w:tbl>
      <w:tblPr>
        <w:tblW w:w="0" w:type="auto"/>
        <w:tblLook w:val="04A0" w:firstRow="1" w:lastRow="0" w:firstColumn="1" w:lastColumn="0" w:noHBand="0" w:noVBand="1"/>
        <w:tblDescription w:val="Summary of findings table"/>
      </w:tblPr>
      <w:tblGrid>
        <w:gridCol w:w="1696"/>
        <w:gridCol w:w="2306"/>
        <w:gridCol w:w="1663"/>
        <w:gridCol w:w="2127"/>
        <w:gridCol w:w="6156"/>
      </w:tblGrid>
      <w:tr w:rsidR="00270836" w:rsidRPr="00386411" w14:paraId="6C9427DD" w14:textId="77777777" w:rsidTr="00B52A4F">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2E5D61" w14:textId="77777777" w:rsidR="00270836" w:rsidRPr="00386411" w:rsidRDefault="00270836" w:rsidP="00C939B0">
            <w:pPr>
              <w:pStyle w:val="TableHeading"/>
            </w:pPr>
            <w:bookmarkStart w:id="350" w:name="_Ref141600866"/>
            <w:bookmarkStart w:id="351" w:name="_Toc122538733"/>
            <w:r w:rsidRPr="00386411">
              <w:t>Outcomes (units)</w:t>
            </w:r>
          </w:p>
          <w:p w14:paraId="47C0F382" w14:textId="77777777" w:rsidR="00270836" w:rsidRPr="00386411" w:rsidRDefault="00270836" w:rsidP="00C939B0">
            <w:pPr>
              <w:pStyle w:val="TableHeading"/>
            </w:pPr>
            <w:r w:rsidRPr="00386411">
              <w:t>Follow-up</w:t>
            </w:r>
          </w:p>
        </w:tc>
        <w:tc>
          <w:tcPr>
            <w:tcW w:w="23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4CB821" w14:textId="2089755F" w:rsidR="00270836" w:rsidRPr="00386411" w:rsidRDefault="00CB7410" w:rsidP="00C939B0">
            <w:pPr>
              <w:pStyle w:val="TableHeading"/>
            </w:pPr>
            <w:r>
              <w:t>Participants (studies)</w:t>
            </w:r>
          </w:p>
        </w:tc>
        <w:tc>
          <w:tcPr>
            <w:tcW w:w="1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40A733" w14:textId="77777777" w:rsidR="00270836" w:rsidRPr="00386411" w:rsidRDefault="00270836" w:rsidP="00C939B0">
            <w:pPr>
              <w:pStyle w:val="TableHeading"/>
            </w:pPr>
            <w:r w:rsidRPr="00386411">
              <w:t>Quality of evidence (GRADE)</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5B27DF" w14:textId="77777777" w:rsidR="00270836" w:rsidRPr="00386411" w:rsidRDefault="00270836" w:rsidP="00C939B0">
            <w:pPr>
              <w:pStyle w:val="TableHeading"/>
            </w:pPr>
            <w:r w:rsidRPr="00386411">
              <w:t>Relative effect</w:t>
            </w:r>
          </w:p>
        </w:tc>
        <w:tc>
          <w:tcPr>
            <w:tcW w:w="6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154F69" w14:textId="77777777" w:rsidR="00270836" w:rsidRPr="00386411" w:rsidRDefault="00270836" w:rsidP="00C939B0">
            <w:pPr>
              <w:pStyle w:val="TableHeading"/>
            </w:pPr>
            <w:r w:rsidRPr="00386411">
              <w:t>Comments</w:t>
            </w:r>
          </w:p>
        </w:tc>
      </w:tr>
      <w:tr w:rsidR="00270836" w:rsidRPr="00D62020" w14:paraId="2818886C" w14:textId="77777777" w:rsidTr="004466FC">
        <w:trPr>
          <w:trHeight w:val="263"/>
        </w:trPr>
        <w:tc>
          <w:tcPr>
            <w:tcW w:w="1696" w:type="dxa"/>
            <w:tcBorders>
              <w:top w:val="single" w:sz="4" w:space="0" w:color="auto"/>
              <w:left w:val="single" w:sz="4" w:space="0" w:color="auto"/>
              <w:bottom w:val="single" w:sz="4" w:space="0" w:color="auto"/>
              <w:right w:val="single" w:sz="4" w:space="0" w:color="auto"/>
            </w:tcBorders>
          </w:tcPr>
          <w:p w14:paraId="0ACA3662" w14:textId="77777777" w:rsidR="00270836" w:rsidRPr="00A34300" w:rsidRDefault="00270836" w:rsidP="00AE4873">
            <w:pPr>
              <w:pStyle w:val="Tabletext1"/>
              <w:jc w:val="left"/>
            </w:pPr>
            <w:r w:rsidRPr="00A34300">
              <w:t>Safety</w:t>
            </w:r>
          </w:p>
        </w:tc>
        <w:tc>
          <w:tcPr>
            <w:tcW w:w="2306" w:type="dxa"/>
            <w:tcBorders>
              <w:top w:val="single" w:sz="4" w:space="0" w:color="auto"/>
              <w:left w:val="single" w:sz="4" w:space="0" w:color="auto"/>
              <w:bottom w:val="single" w:sz="4" w:space="0" w:color="auto"/>
              <w:right w:val="single" w:sz="4" w:space="0" w:color="auto"/>
            </w:tcBorders>
          </w:tcPr>
          <w:p w14:paraId="4189F329" w14:textId="1EADC872" w:rsidR="00CB7410" w:rsidRDefault="00CB7410" w:rsidP="00AE4873">
            <w:pPr>
              <w:pStyle w:val="Tabletext1"/>
              <w:jc w:val="left"/>
            </w:pPr>
            <w:r>
              <w:t>K=13 studies</w:t>
            </w:r>
            <w:r w:rsidR="003A3E89">
              <w:t>; N=1,342</w:t>
            </w:r>
          </w:p>
          <w:p w14:paraId="14090EE7" w14:textId="7F474188" w:rsidR="00270836" w:rsidRPr="00A34300" w:rsidRDefault="00CB7410" w:rsidP="00AE4873">
            <w:pPr>
              <w:pStyle w:val="Tabletext1"/>
              <w:jc w:val="left"/>
            </w:pPr>
            <w:r>
              <w:t>(</w:t>
            </w:r>
            <w:r w:rsidR="006D360A">
              <w:t>2</w:t>
            </w:r>
            <w:r w:rsidR="00270836">
              <w:t xml:space="preserve"> RCTs</w:t>
            </w:r>
            <w:r w:rsidR="006D360A">
              <w:t xml:space="preserve"> reported AEs for both IgG and No IgG</w:t>
            </w:r>
            <w:r>
              <w:t>; N=125)</w:t>
            </w:r>
          </w:p>
        </w:tc>
        <w:tc>
          <w:tcPr>
            <w:tcW w:w="1663" w:type="dxa"/>
            <w:tcBorders>
              <w:top w:val="single" w:sz="4" w:space="0" w:color="auto"/>
              <w:left w:val="single" w:sz="4" w:space="0" w:color="auto"/>
              <w:bottom w:val="single" w:sz="4" w:space="0" w:color="auto"/>
              <w:right w:val="single" w:sz="4" w:space="0" w:color="auto"/>
            </w:tcBorders>
          </w:tcPr>
          <w:p w14:paraId="7F6DC6B1" w14:textId="77777777" w:rsidR="00270836" w:rsidRDefault="00270836" w:rsidP="00AE4873">
            <w:pPr>
              <w:pStyle w:val="Tabletext1"/>
              <w:jc w:val="left"/>
              <w:rPr>
                <w:rFonts w:ascii="Cambria Math" w:hAnsi="Cambria Math" w:cs="Cambria Math"/>
                <w:color w:val="C00000"/>
              </w:rPr>
            </w:pPr>
            <w:r w:rsidRPr="00A34300">
              <w:rPr>
                <w:rFonts w:ascii="Cambria Math" w:hAnsi="Cambria Math" w:cs="Cambria Math"/>
                <w:color w:val="00B050"/>
              </w:rPr>
              <w:t>⨁⨁</w:t>
            </w:r>
            <w:r w:rsidRPr="00A34300">
              <w:rPr>
                <w:rFonts w:ascii="Cambria Math" w:hAnsi="Cambria Math" w:cs="Cambria Math"/>
                <w:color w:val="C00000"/>
              </w:rPr>
              <w:t>⨀⨀</w:t>
            </w:r>
          </w:p>
          <w:p w14:paraId="3A8D6F56" w14:textId="0BBDCF7F" w:rsidR="00233921" w:rsidRPr="00233921" w:rsidRDefault="00233921" w:rsidP="00B52A4F">
            <w:pPr>
              <w:pStyle w:val="Tabletext1"/>
            </w:pPr>
            <w:r w:rsidRPr="00B52A4F">
              <w:t>Low quality</w:t>
            </w:r>
          </w:p>
        </w:tc>
        <w:tc>
          <w:tcPr>
            <w:tcW w:w="2127" w:type="dxa"/>
            <w:tcBorders>
              <w:top w:val="single" w:sz="4" w:space="0" w:color="auto"/>
              <w:left w:val="single" w:sz="4" w:space="0" w:color="auto"/>
              <w:bottom w:val="single" w:sz="4" w:space="0" w:color="auto"/>
              <w:right w:val="single" w:sz="4" w:space="0" w:color="auto"/>
            </w:tcBorders>
          </w:tcPr>
          <w:p w14:paraId="5EF511A7" w14:textId="77777777" w:rsidR="00270836" w:rsidRPr="00A34300" w:rsidRDefault="00270836" w:rsidP="00AE4873">
            <w:pPr>
              <w:pStyle w:val="Tabletext1"/>
              <w:jc w:val="left"/>
            </w:pPr>
            <w:r w:rsidRPr="00A34300">
              <w:t>IgG has worse safety than No IgG</w:t>
            </w:r>
          </w:p>
        </w:tc>
        <w:tc>
          <w:tcPr>
            <w:tcW w:w="6156" w:type="dxa"/>
            <w:tcBorders>
              <w:top w:val="single" w:sz="4" w:space="0" w:color="auto"/>
              <w:left w:val="single" w:sz="4" w:space="0" w:color="auto"/>
              <w:bottom w:val="single" w:sz="4" w:space="0" w:color="auto"/>
              <w:right w:val="single" w:sz="4" w:space="0" w:color="auto"/>
            </w:tcBorders>
          </w:tcPr>
          <w:p w14:paraId="7AB32495" w14:textId="26525937" w:rsidR="00270836" w:rsidRPr="00A34300" w:rsidRDefault="00270836" w:rsidP="00AE4873">
            <w:pPr>
              <w:pStyle w:val="Tabletext1"/>
              <w:jc w:val="left"/>
            </w:pPr>
            <w:r w:rsidRPr="00A34300">
              <w:t>Safety data were limited and sometimes absent for the included studies, focusing on infusion-related events only</w:t>
            </w:r>
            <w:r w:rsidR="00D6742F">
              <w:t xml:space="preserve"> (key RCTs </w:t>
            </w:r>
            <w:r w:rsidR="00896BE2">
              <w:fldChar w:fldCharType="begin">
                <w:fldData xml:space="preserve">PEVuZE5vdGU+PENpdGU+PEF1dGhvcj5DaGFwZWw8L0F1dGhvcj48WWVhcj4xOTk0PC9ZZWFyPjxS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==
</w:fldData>
              </w:fldChar>
            </w:r>
            <w:r w:rsidR="00896BE2">
              <w:instrText xml:space="preserve"> ADDIN EN.CITE </w:instrText>
            </w:r>
            <w:r w:rsidR="00896BE2">
              <w:fldChar w:fldCharType="begin">
                <w:fldData xml:space="preserve">PEVuZE5vdGU+PENpdGU+PEF1dGhvcj5DaGFwZWw8L0F1dGhvcj48WWVhcj4xOTk0PC9ZZWFyPjxS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==
</w:fldData>
              </w:fldChar>
            </w:r>
            <w:r w:rsidR="00896BE2">
              <w:instrText xml:space="preserve"> ADDIN EN.CITE.DATA </w:instrText>
            </w:r>
            <w:r w:rsidR="00896BE2">
              <w:fldChar w:fldCharType="end"/>
            </w:r>
            <w:r w:rsidR="00896BE2">
              <w:fldChar w:fldCharType="separate"/>
            </w:r>
            <w:r w:rsidR="00896BE2">
              <w:rPr>
                <w:noProof/>
              </w:rPr>
              <w:t>(</w:t>
            </w:r>
            <w:hyperlink w:anchor="_ENREF_7" w:tooltip="Boughton, 1995 #40" w:history="1">
              <w:r w:rsidR="00BB0145">
                <w:rPr>
                  <w:noProof/>
                </w:rPr>
                <w:t>Boughton et al. 1995</w:t>
              </w:r>
            </w:hyperlink>
            <w:r w:rsidR="00896BE2">
              <w:rPr>
                <w:noProof/>
              </w:rPr>
              <w:t xml:space="preserve">; </w:t>
            </w:r>
            <w:hyperlink w:anchor="_ENREF_13" w:tooltip="Chapel, 1994 #56" w:history="1">
              <w:r w:rsidR="00BB0145">
                <w:rPr>
                  <w:noProof/>
                </w:rPr>
                <w:t>Chapel et al. 1994b</w:t>
              </w:r>
            </w:hyperlink>
            <w:r w:rsidR="00896BE2">
              <w:rPr>
                <w:noProof/>
              </w:rPr>
              <w:t>)</w:t>
            </w:r>
            <w:r w:rsidR="00896BE2">
              <w:fldChar w:fldCharType="end"/>
            </w:r>
            <w:r w:rsidR="00D6742F">
              <w:t>)</w:t>
            </w:r>
            <w:r w:rsidRPr="00A34300">
              <w:t xml:space="preserve">. </w:t>
            </w:r>
            <w:r w:rsidRPr="00A34300">
              <w:br/>
              <w:t>No evidence was available for long</w:t>
            </w:r>
            <w:r w:rsidR="00D6742F">
              <w:t>er</w:t>
            </w:r>
            <w:r w:rsidRPr="00A34300">
              <w:t>-term outcomes</w:t>
            </w:r>
            <w:r w:rsidR="00D6742F">
              <w:t xml:space="preserve"> other than TEE risk</w:t>
            </w:r>
            <w:r w:rsidRPr="00A34300">
              <w:t xml:space="preserve">. </w:t>
            </w:r>
          </w:p>
          <w:p w14:paraId="458F5E11" w14:textId="77777777" w:rsidR="00270836" w:rsidRPr="00A34300" w:rsidRDefault="00270836" w:rsidP="00AE4873">
            <w:pPr>
              <w:pStyle w:val="Tabletext1"/>
              <w:jc w:val="left"/>
            </w:pPr>
            <w:r w:rsidRPr="00A34300">
              <w:t xml:space="preserve">Adverse events reported were nevertheless consistent with the established safety profile for IgG products (discussed in Extended Assessment of Harms).  </w:t>
            </w:r>
          </w:p>
        </w:tc>
      </w:tr>
      <w:tr w:rsidR="00270836" w:rsidRPr="00D62020" w14:paraId="4A38796D" w14:textId="77777777" w:rsidTr="004466FC">
        <w:trPr>
          <w:trHeight w:val="25"/>
        </w:trPr>
        <w:tc>
          <w:tcPr>
            <w:tcW w:w="1696" w:type="dxa"/>
            <w:tcBorders>
              <w:top w:val="single" w:sz="4" w:space="0" w:color="auto"/>
              <w:left w:val="single" w:sz="4" w:space="0" w:color="auto"/>
              <w:bottom w:val="single" w:sz="4" w:space="0" w:color="auto"/>
              <w:right w:val="single" w:sz="4" w:space="0" w:color="auto"/>
            </w:tcBorders>
          </w:tcPr>
          <w:p w14:paraId="50364D55" w14:textId="6442546B" w:rsidR="00270836" w:rsidRPr="00A34300" w:rsidRDefault="00270836" w:rsidP="00AE4873">
            <w:pPr>
              <w:pStyle w:val="Tabletext1"/>
              <w:jc w:val="left"/>
            </w:pPr>
            <w:r w:rsidRPr="00A34300">
              <w:t>TEE risk (arterial or venous)</w:t>
            </w:r>
          </w:p>
        </w:tc>
        <w:tc>
          <w:tcPr>
            <w:tcW w:w="2306" w:type="dxa"/>
            <w:tcBorders>
              <w:top w:val="single" w:sz="4" w:space="0" w:color="auto"/>
              <w:left w:val="single" w:sz="4" w:space="0" w:color="auto"/>
              <w:bottom w:val="single" w:sz="4" w:space="0" w:color="auto"/>
              <w:right w:val="single" w:sz="4" w:space="0" w:color="auto"/>
            </w:tcBorders>
          </w:tcPr>
          <w:p w14:paraId="4E419543" w14:textId="77777777" w:rsidR="00270836" w:rsidRDefault="00270836" w:rsidP="00AE4873">
            <w:pPr>
              <w:pStyle w:val="Tabletext1"/>
              <w:jc w:val="left"/>
            </w:pPr>
            <w:r w:rsidRPr="00A34300">
              <w:t>1 registry study</w:t>
            </w:r>
          </w:p>
          <w:p w14:paraId="45080DF2" w14:textId="77777777" w:rsidR="00270836" w:rsidRPr="00A34300" w:rsidRDefault="00270836" w:rsidP="00AE4873">
            <w:pPr>
              <w:pStyle w:val="Tabletext1"/>
              <w:jc w:val="left"/>
            </w:pPr>
            <w:r>
              <w:t>N=10,759</w:t>
            </w:r>
          </w:p>
        </w:tc>
        <w:tc>
          <w:tcPr>
            <w:tcW w:w="1663" w:type="dxa"/>
            <w:tcBorders>
              <w:top w:val="single" w:sz="4" w:space="0" w:color="auto"/>
              <w:left w:val="single" w:sz="4" w:space="0" w:color="auto"/>
              <w:bottom w:val="single" w:sz="4" w:space="0" w:color="auto"/>
              <w:right w:val="single" w:sz="4" w:space="0" w:color="auto"/>
            </w:tcBorders>
          </w:tcPr>
          <w:p w14:paraId="36D1BDF0" w14:textId="77777777" w:rsidR="00270836" w:rsidRDefault="00270836" w:rsidP="00AE4873">
            <w:pPr>
              <w:pStyle w:val="Tabletext1"/>
              <w:jc w:val="left"/>
              <w:rPr>
                <w:rFonts w:ascii="Cambria Math" w:hAnsi="Cambria Math" w:cs="Cambria Math"/>
                <w:color w:val="00B050"/>
              </w:rPr>
            </w:pPr>
            <w:r w:rsidRPr="00A34300">
              <w:rPr>
                <w:rFonts w:ascii="Cambria Math" w:hAnsi="Cambria Math" w:cs="Cambria Math"/>
                <w:color w:val="00B050"/>
              </w:rPr>
              <w:t>⨁⨁⨁⨁</w:t>
            </w:r>
          </w:p>
          <w:p w14:paraId="610BD840" w14:textId="42CD1790" w:rsidR="00233921" w:rsidRPr="00233921" w:rsidRDefault="00233921" w:rsidP="00B52A4F">
            <w:pPr>
              <w:pStyle w:val="Tabletext1"/>
            </w:pPr>
            <w:r w:rsidRPr="00B52A4F">
              <w:t>High quality</w:t>
            </w:r>
          </w:p>
        </w:tc>
        <w:tc>
          <w:tcPr>
            <w:tcW w:w="2127" w:type="dxa"/>
            <w:tcBorders>
              <w:top w:val="single" w:sz="4" w:space="0" w:color="auto"/>
              <w:left w:val="single" w:sz="4" w:space="0" w:color="auto"/>
              <w:bottom w:val="single" w:sz="4" w:space="0" w:color="auto"/>
              <w:right w:val="single" w:sz="4" w:space="0" w:color="auto"/>
            </w:tcBorders>
          </w:tcPr>
          <w:p w14:paraId="1E73F933" w14:textId="77777777" w:rsidR="00270836" w:rsidRPr="00A34300" w:rsidRDefault="00270836" w:rsidP="00AE4873">
            <w:pPr>
              <w:pStyle w:val="Tabletext1"/>
              <w:jc w:val="left"/>
            </w:pPr>
            <w:r w:rsidRPr="00A34300">
              <w:t>% Risk difference (95% CI), 1 yr IgG tx:</w:t>
            </w:r>
            <w:r w:rsidRPr="00A34300">
              <w:br/>
              <w:t>1.0 (-0.2, 2.7)</w:t>
            </w:r>
          </w:p>
        </w:tc>
        <w:tc>
          <w:tcPr>
            <w:tcW w:w="6156" w:type="dxa"/>
            <w:tcBorders>
              <w:top w:val="single" w:sz="4" w:space="0" w:color="auto"/>
              <w:left w:val="single" w:sz="4" w:space="0" w:color="auto"/>
              <w:bottom w:val="single" w:sz="4" w:space="0" w:color="auto"/>
              <w:right w:val="single" w:sz="4" w:space="0" w:color="auto"/>
            </w:tcBorders>
          </w:tcPr>
          <w:p w14:paraId="622BED38" w14:textId="77777777" w:rsidR="00270836" w:rsidRPr="00A34300" w:rsidRDefault="00270836" w:rsidP="00AE4873">
            <w:pPr>
              <w:pStyle w:val="Tabletext1"/>
              <w:jc w:val="left"/>
            </w:pPr>
            <w:r w:rsidRPr="00A34300">
              <w:t>Only 1 included study, but very large, recent registry study. Control and intervention groups were balanced for cardiovascular risk. Selection bias which limits use of this study for infections is unlikely to affect cardiovascular safety</w:t>
            </w:r>
            <w:r>
              <w:t xml:space="preserve"> (the main endpoint of this study)</w:t>
            </w:r>
            <w:r w:rsidRPr="00A34300">
              <w:t xml:space="preserve"> – high confidence in risk of TEE due to IgG. </w:t>
            </w:r>
          </w:p>
        </w:tc>
      </w:tr>
      <w:tr w:rsidR="00270836" w:rsidRPr="00D62020" w14:paraId="34030068" w14:textId="77777777" w:rsidTr="004466FC">
        <w:tc>
          <w:tcPr>
            <w:tcW w:w="1696" w:type="dxa"/>
            <w:tcBorders>
              <w:top w:val="single" w:sz="4" w:space="0" w:color="auto"/>
              <w:left w:val="single" w:sz="4" w:space="0" w:color="auto"/>
              <w:bottom w:val="single" w:sz="4" w:space="0" w:color="auto"/>
              <w:right w:val="single" w:sz="4" w:space="0" w:color="auto"/>
            </w:tcBorders>
          </w:tcPr>
          <w:p w14:paraId="73971CA4" w14:textId="77777777" w:rsidR="00270836" w:rsidRPr="00A34300" w:rsidRDefault="00270836" w:rsidP="00AE4873">
            <w:pPr>
              <w:pStyle w:val="Tabletext1"/>
              <w:jc w:val="left"/>
            </w:pPr>
            <w:r w:rsidRPr="00A34300">
              <w:t>Infections</w:t>
            </w:r>
          </w:p>
        </w:tc>
        <w:tc>
          <w:tcPr>
            <w:tcW w:w="2306" w:type="dxa"/>
            <w:tcBorders>
              <w:top w:val="single" w:sz="4" w:space="0" w:color="auto"/>
              <w:left w:val="single" w:sz="4" w:space="0" w:color="auto"/>
              <w:bottom w:val="single" w:sz="4" w:space="0" w:color="auto"/>
              <w:right w:val="single" w:sz="4" w:space="0" w:color="auto"/>
            </w:tcBorders>
          </w:tcPr>
          <w:p w14:paraId="5FAD759F" w14:textId="0B1EFB9C" w:rsidR="00CB7410" w:rsidRDefault="00270836" w:rsidP="00AE4873">
            <w:pPr>
              <w:pStyle w:val="Tabletext1"/>
              <w:jc w:val="left"/>
            </w:pPr>
            <w:r>
              <w:t>K=</w:t>
            </w:r>
            <w:r w:rsidR="003A3E89">
              <w:t>20 studies, N=1,930</w:t>
            </w:r>
          </w:p>
          <w:p w14:paraId="1DED9C72" w14:textId="3EA73489" w:rsidR="00270836" w:rsidRPr="00A34300" w:rsidRDefault="00270836" w:rsidP="00AE4873">
            <w:pPr>
              <w:pStyle w:val="Tabletext1"/>
              <w:jc w:val="left"/>
            </w:pPr>
            <w:r w:rsidRPr="00A34300">
              <w:t>(</w:t>
            </w:r>
            <w:r w:rsidR="00CB7410">
              <w:t>15 in meta-analyses: 6</w:t>
            </w:r>
            <w:r>
              <w:t xml:space="preserve"> RCTs, </w:t>
            </w:r>
            <w:r w:rsidR="00CB7410">
              <w:t>2 cohort, 7</w:t>
            </w:r>
            <w:r>
              <w:t xml:space="preserve"> case series</w:t>
            </w:r>
            <w:r w:rsidR="00CB7410">
              <w:t>; N=1,536</w:t>
            </w:r>
            <w:r>
              <w:t>)</w:t>
            </w:r>
          </w:p>
        </w:tc>
        <w:tc>
          <w:tcPr>
            <w:tcW w:w="1663" w:type="dxa"/>
            <w:tcBorders>
              <w:top w:val="single" w:sz="4" w:space="0" w:color="auto"/>
              <w:left w:val="single" w:sz="4" w:space="0" w:color="auto"/>
              <w:bottom w:val="single" w:sz="4" w:space="0" w:color="auto"/>
              <w:right w:val="single" w:sz="4" w:space="0" w:color="auto"/>
            </w:tcBorders>
          </w:tcPr>
          <w:p w14:paraId="40CAC3E2" w14:textId="77777777" w:rsidR="00270836" w:rsidRDefault="00270836" w:rsidP="00AE4873">
            <w:pPr>
              <w:pStyle w:val="Tabletext1"/>
              <w:jc w:val="left"/>
              <w:rPr>
                <w:rFonts w:ascii="Cambria Math" w:hAnsi="Cambria Math" w:cs="Cambria Math"/>
                <w:color w:val="C00000"/>
              </w:rPr>
            </w:pPr>
            <w:r w:rsidRPr="00A34300">
              <w:rPr>
                <w:rFonts w:ascii="Cambria Math" w:hAnsi="Cambria Math" w:cs="Cambria Math"/>
                <w:color w:val="00B050"/>
              </w:rPr>
              <w:t>⨁⨁</w:t>
            </w:r>
            <w:r w:rsidRPr="00A34300">
              <w:rPr>
                <w:rFonts w:ascii="Cambria Math" w:hAnsi="Cambria Math" w:cs="Cambria Math"/>
                <w:color w:val="C00000"/>
              </w:rPr>
              <w:t>⨀⨀</w:t>
            </w:r>
          </w:p>
          <w:p w14:paraId="3F97738B" w14:textId="4652FE7F" w:rsidR="00233921" w:rsidRPr="00A34300" w:rsidRDefault="00233921" w:rsidP="00AE4873">
            <w:pPr>
              <w:pStyle w:val="Tabletext1"/>
              <w:jc w:val="left"/>
            </w:pPr>
            <w:r w:rsidRPr="00F360C5">
              <w:t>Low quality</w:t>
            </w:r>
          </w:p>
        </w:tc>
        <w:tc>
          <w:tcPr>
            <w:tcW w:w="2127" w:type="dxa"/>
            <w:tcBorders>
              <w:top w:val="single" w:sz="4" w:space="0" w:color="auto"/>
              <w:left w:val="single" w:sz="4" w:space="0" w:color="auto"/>
              <w:bottom w:val="single" w:sz="4" w:space="0" w:color="auto"/>
              <w:right w:val="single" w:sz="4" w:space="0" w:color="auto"/>
            </w:tcBorders>
          </w:tcPr>
          <w:p w14:paraId="303862D4" w14:textId="77777777" w:rsidR="00270836" w:rsidRPr="00A34300" w:rsidRDefault="00270836" w:rsidP="00AE4873">
            <w:pPr>
              <w:pStyle w:val="Tabletext1"/>
              <w:jc w:val="left"/>
            </w:pPr>
            <w:r>
              <w:t xml:space="preserve">Rate ratio (95% CI) </w:t>
            </w:r>
            <w:r>
              <w:br/>
              <w:t>0.14 (0.05, 0.43) for reduction of serious infections with IgG compared to No IgG</w:t>
            </w:r>
          </w:p>
        </w:tc>
        <w:tc>
          <w:tcPr>
            <w:tcW w:w="6156" w:type="dxa"/>
            <w:tcBorders>
              <w:top w:val="single" w:sz="4" w:space="0" w:color="auto"/>
              <w:left w:val="single" w:sz="4" w:space="0" w:color="auto"/>
              <w:bottom w:val="single" w:sz="4" w:space="0" w:color="auto"/>
              <w:right w:val="single" w:sz="4" w:space="0" w:color="auto"/>
            </w:tcBorders>
          </w:tcPr>
          <w:p w14:paraId="7E3435DB" w14:textId="3F9B6AD5" w:rsidR="00270836" w:rsidRPr="00A34300" w:rsidRDefault="00270836" w:rsidP="00AE4873">
            <w:pPr>
              <w:pStyle w:val="Tabletext1"/>
              <w:jc w:val="left"/>
            </w:pPr>
            <w:r w:rsidRPr="00A34300">
              <w:t xml:space="preserve">The quality of evidence was poor overall and infections were both reported and defined in widely variable </w:t>
            </w:r>
            <w:r w:rsidR="00FA20FD" w:rsidRPr="00A34300">
              <w:t>ways. Moderate</w:t>
            </w:r>
            <w:r w:rsidRPr="00A34300">
              <w:t xml:space="preserve"> confidence that IgG reduces serious infections in patients </w:t>
            </w:r>
            <w:r>
              <w:t>based on a meta-analysis</w:t>
            </w:r>
            <w:r w:rsidRPr="00A34300">
              <w:t xml:space="preserve">, but effective dose range could not be identified with any confidence and evidence was absent or limited for some of the conditions such as HSCTs, AL and ‘Other haematological malignancies’. </w:t>
            </w:r>
          </w:p>
        </w:tc>
      </w:tr>
      <w:tr w:rsidR="00270836" w:rsidRPr="00D62020" w14:paraId="2F368DAB" w14:textId="77777777" w:rsidTr="004466FC">
        <w:tc>
          <w:tcPr>
            <w:tcW w:w="1696" w:type="dxa"/>
            <w:tcBorders>
              <w:top w:val="single" w:sz="4" w:space="0" w:color="auto"/>
              <w:left w:val="single" w:sz="4" w:space="0" w:color="auto"/>
              <w:bottom w:val="single" w:sz="4" w:space="0" w:color="auto"/>
              <w:right w:val="single" w:sz="4" w:space="0" w:color="auto"/>
            </w:tcBorders>
          </w:tcPr>
          <w:p w14:paraId="72335458" w14:textId="77777777" w:rsidR="00270836" w:rsidRPr="00A34300" w:rsidRDefault="00270836" w:rsidP="00AE4873">
            <w:pPr>
              <w:pStyle w:val="Tabletext1"/>
              <w:jc w:val="left"/>
            </w:pPr>
            <w:r w:rsidRPr="00A34300">
              <w:t>Transplant-related events</w:t>
            </w:r>
          </w:p>
        </w:tc>
        <w:tc>
          <w:tcPr>
            <w:tcW w:w="2306" w:type="dxa"/>
            <w:tcBorders>
              <w:top w:val="single" w:sz="4" w:space="0" w:color="auto"/>
              <w:left w:val="single" w:sz="4" w:space="0" w:color="auto"/>
              <w:bottom w:val="single" w:sz="4" w:space="0" w:color="auto"/>
              <w:right w:val="single" w:sz="4" w:space="0" w:color="auto"/>
            </w:tcBorders>
          </w:tcPr>
          <w:p w14:paraId="3637A782" w14:textId="77777777" w:rsidR="00270836" w:rsidRPr="00A34300" w:rsidRDefault="00270836" w:rsidP="00AE4873">
            <w:pPr>
              <w:pStyle w:val="Tabletext1"/>
              <w:jc w:val="left"/>
            </w:pPr>
            <w:r w:rsidRPr="00A34300">
              <w:t xml:space="preserve">1 RCT </w:t>
            </w:r>
            <w:r>
              <w:t>(N=369)</w:t>
            </w:r>
            <w:r w:rsidRPr="00A34300">
              <w:br/>
              <w:t>1 supportive study</w:t>
            </w:r>
            <w:r>
              <w:t xml:space="preserve"> (N=58)</w:t>
            </w:r>
          </w:p>
        </w:tc>
        <w:tc>
          <w:tcPr>
            <w:tcW w:w="1663" w:type="dxa"/>
            <w:tcBorders>
              <w:top w:val="single" w:sz="4" w:space="0" w:color="auto"/>
              <w:left w:val="single" w:sz="4" w:space="0" w:color="auto"/>
              <w:bottom w:val="single" w:sz="4" w:space="0" w:color="auto"/>
              <w:right w:val="single" w:sz="4" w:space="0" w:color="auto"/>
            </w:tcBorders>
          </w:tcPr>
          <w:p w14:paraId="48E4EBDD" w14:textId="77777777" w:rsidR="00270836" w:rsidRDefault="00270836" w:rsidP="00AE4873">
            <w:pPr>
              <w:pStyle w:val="Tabletext1"/>
              <w:jc w:val="left"/>
              <w:rPr>
                <w:rFonts w:ascii="Cambria Math" w:hAnsi="Cambria Math" w:cs="Cambria Math"/>
                <w:color w:val="C00000"/>
              </w:rPr>
            </w:pPr>
            <w:r w:rsidRPr="00A34300">
              <w:rPr>
                <w:rFonts w:ascii="Cambria Math" w:hAnsi="Cambria Math"/>
                <w:color w:val="00B050"/>
              </w:rPr>
              <w:t>⨁</w:t>
            </w:r>
            <w:r w:rsidRPr="00A34300">
              <w:rPr>
                <w:rFonts w:ascii="Cambria Math" w:hAnsi="Cambria Math" w:cs="Cambria Math"/>
                <w:color w:val="C00000"/>
              </w:rPr>
              <w:t>⨀⨀⨀</w:t>
            </w:r>
          </w:p>
          <w:p w14:paraId="102203AA" w14:textId="1AC2EC8E" w:rsidR="00233921" w:rsidRPr="00A34300" w:rsidRDefault="00233921" w:rsidP="00AE4873">
            <w:pPr>
              <w:pStyle w:val="Tabletext1"/>
              <w:jc w:val="left"/>
            </w:pPr>
            <w:r>
              <w:t>Very l</w:t>
            </w:r>
            <w:r w:rsidRPr="00F360C5">
              <w:t>ow quality</w:t>
            </w:r>
          </w:p>
        </w:tc>
        <w:tc>
          <w:tcPr>
            <w:tcW w:w="2127" w:type="dxa"/>
            <w:tcBorders>
              <w:top w:val="single" w:sz="4" w:space="0" w:color="auto"/>
              <w:left w:val="single" w:sz="4" w:space="0" w:color="auto"/>
              <w:bottom w:val="single" w:sz="4" w:space="0" w:color="auto"/>
              <w:right w:val="single" w:sz="4" w:space="0" w:color="auto"/>
            </w:tcBorders>
          </w:tcPr>
          <w:p w14:paraId="03F357A5" w14:textId="77777777" w:rsidR="00270836" w:rsidRPr="00A34300" w:rsidRDefault="00270836" w:rsidP="00AE4873">
            <w:pPr>
              <w:pStyle w:val="Tabletext1"/>
              <w:jc w:val="left"/>
            </w:pPr>
            <w:r w:rsidRPr="00A34300">
              <w:t>No conclusion drawn.</w:t>
            </w:r>
          </w:p>
        </w:tc>
        <w:tc>
          <w:tcPr>
            <w:tcW w:w="6156" w:type="dxa"/>
            <w:tcBorders>
              <w:top w:val="single" w:sz="4" w:space="0" w:color="auto"/>
              <w:left w:val="single" w:sz="4" w:space="0" w:color="auto"/>
              <w:bottom w:val="single" w:sz="4" w:space="0" w:color="auto"/>
              <w:right w:val="single" w:sz="4" w:space="0" w:color="auto"/>
            </w:tcBorders>
          </w:tcPr>
          <w:p w14:paraId="297601FA" w14:textId="77777777" w:rsidR="00270836" w:rsidRPr="00A34300" w:rsidRDefault="00270836" w:rsidP="00AE4873">
            <w:pPr>
              <w:pStyle w:val="Tabletext1"/>
              <w:jc w:val="left"/>
            </w:pPr>
            <w:r w:rsidRPr="00A34300">
              <w:t xml:space="preserve">Only two studies investigated transplant-related outcomes. One study from 1990 may not be replicable with current standard of care for HSCTs and management of GVHD risk. A second supportive study could not be used. </w:t>
            </w:r>
          </w:p>
        </w:tc>
      </w:tr>
      <w:tr w:rsidR="00270836" w:rsidRPr="00D62020" w14:paraId="4B6104F9" w14:textId="77777777" w:rsidTr="004466FC">
        <w:tc>
          <w:tcPr>
            <w:tcW w:w="1696" w:type="dxa"/>
            <w:tcBorders>
              <w:top w:val="single" w:sz="4" w:space="0" w:color="auto"/>
              <w:left w:val="single" w:sz="4" w:space="0" w:color="auto"/>
              <w:bottom w:val="single" w:sz="4" w:space="0" w:color="auto"/>
              <w:right w:val="single" w:sz="4" w:space="0" w:color="auto"/>
            </w:tcBorders>
          </w:tcPr>
          <w:p w14:paraId="5AE5954A" w14:textId="77777777" w:rsidR="00270836" w:rsidRPr="00A34300" w:rsidRDefault="00270836" w:rsidP="00AE4873">
            <w:pPr>
              <w:pStyle w:val="Tabletext1"/>
              <w:jc w:val="left"/>
            </w:pPr>
            <w:r w:rsidRPr="00A34300">
              <w:t>Mortality</w:t>
            </w:r>
          </w:p>
        </w:tc>
        <w:tc>
          <w:tcPr>
            <w:tcW w:w="2306" w:type="dxa"/>
            <w:tcBorders>
              <w:top w:val="single" w:sz="4" w:space="0" w:color="auto"/>
              <w:left w:val="single" w:sz="4" w:space="0" w:color="auto"/>
              <w:bottom w:val="single" w:sz="4" w:space="0" w:color="auto"/>
              <w:right w:val="single" w:sz="4" w:space="0" w:color="auto"/>
            </w:tcBorders>
          </w:tcPr>
          <w:p w14:paraId="349D0C41" w14:textId="77777777" w:rsidR="00270836" w:rsidRDefault="00270836" w:rsidP="00AE4873">
            <w:pPr>
              <w:pStyle w:val="Tabletext1"/>
              <w:jc w:val="left"/>
            </w:pPr>
            <w:r w:rsidRPr="00A34300">
              <w:t>4 included studies</w:t>
            </w:r>
            <w:r>
              <w:t xml:space="preserve"> (1 RCT, 1 cohort study, 1 registry and 1 retrospective case series)</w:t>
            </w:r>
          </w:p>
          <w:p w14:paraId="07EBE153" w14:textId="77777777" w:rsidR="00270836" w:rsidRPr="00A34300" w:rsidRDefault="00270836" w:rsidP="00AE4873">
            <w:pPr>
              <w:pStyle w:val="Tabletext1"/>
              <w:jc w:val="left"/>
            </w:pPr>
            <w:r>
              <w:t>N=11,674</w:t>
            </w:r>
          </w:p>
        </w:tc>
        <w:tc>
          <w:tcPr>
            <w:tcW w:w="1663" w:type="dxa"/>
            <w:tcBorders>
              <w:top w:val="single" w:sz="4" w:space="0" w:color="auto"/>
              <w:left w:val="single" w:sz="4" w:space="0" w:color="auto"/>
              <w:bottom w:val="single" w:sz="4" w:space="0" w:color="auto"/>
              <w:right w:val="single" w:sz="4" w:space="0" w:color="auto"/>
            </w:tcBorders>
          </w:tcPr>
          <w:p w14:paraId="5E8708DF" w14:textId="77777777" w:rsidR="00270836" w:rsidRDefault="00270836" w:rsidP="00AE4873">
            <w:pPr>
              <w:pStyle w:val="Tabletext1"/>
              <w:jc w:val="left"/>
              <w:rPr>
                <w:rFonts w:ascii="Cambria Math" w:hAnsi="Cambria Math" w:cs="Cambria Math"/>
                <w:color w:val="C00000"/>
              </w:rPr>
            </w:pPr>
            <w:r w:rsidRPr="00A34300">
              <w:rPr>
                <w:rFonts w:ascii="Cambria Math" w:hAnsi="Cambria Math"/>
                <w:color w:val="00B050"/>
              </w:rPr>
              <w:t>⨁</w:t>
            </w:r>
            <w:r w:rsidRPr="00A34300">
              <w:rPr>
                <w:rFonts w:ascii="Cambria Math" w:hAnsi="Cambria Math" w:cs="Cambria Math"/>
                <w:color w:val="C00000"/>
              </w:rPr>
              <w:t>⨀⨀⨀</w:t>
            </w:r>
          </w:p>
          <w:p w14:paraId="7F2FDA1B" w14:textId="3B7CB239" w:rsidR="00233921" w:rsidRPr="00A34300" w:rsidRDefault="00233921" w:rsidP="00AE4873">
            <w:pPr>
              <w:pStyle w:val="Tabletext1"/>
              <w:jc w:val="left"/>
            </w:pPr>
            <w:r>
              <w:t>Very l</w:t>
            </w:r>
            <w:r w:rsidRPr="00F360C5">
              <w:t>ow quality</w:t>
            </w:r>
          </w:p>
        </w:tc>
        <w:tc>
          <w:tcPr>
            <w:tcW w:w="2127" w:type="dxa"/>
            <w:tcBorders>
              <w:top w:val="single" w:sz="4" w:space="0" w:color="auto"/>
              <w:left w:val="single" w:sz="4" w:space="0" w:color="auto"/>
              <w:bottom w:val="single" w:sz="4" w:space="0" w:color="auto"/>
              <w:right w:val="single" w:sz="4" w:space="0" w:color="auto"/>
            </w:tcBorders>
          </w:tcPr>
          <w:p w14:paraId="69CF3D69" w14:textId="77777777" w:rsidR="00270836" w:rsidRPr="00A34300" w:rsidRDefault="00270836" w:rsidP="00AE4873">
            <w:pPr>
              <w:pStyle w:val="Tabletext1"/>
              <w:jc w:val="left"/>
            </w:pPr>
            <w:r w:rsidRPr="00A34300">
              <w:t>No conclusion drawn.</w:t>
            </w:r>
          </w:p>
        </w:tc>
        <w:tc>
          <w:tcPr>
            <w:tcW w:w="6156" w:type="dxa"/>
            <w:tcBorders>
              <w:top w:val="single" w:sz="4" w:space="0" w:color="auto"/>
              <w:left w:val="single" w:sz="4" w:space="0" w:color="auto"/>
              <w:bottom w:val="single" w:sz="4" w:space="0" w:color="auto"/>
              <w:right w:val="single" w:sz="4" w:space="0" w:color="auto"/>
            </w:tcBorders>
          </w:tcPr>
          <w:p w14:paraId="4E73CBDF" w14:textId="77777777" w:rsidR="00270836" w:rsidRPr="00A34300" w:rsidRDefault="00270836" w:rsidP="00AE4873">
            <w:pPr>
              <w:pStyle w:val="Tabletext1"/>
              <w:jc w:val="left"/>
            </w:pPr>
            <w:r w:rsidRPr="00A34300">
              <w:t>Insuf</w:t>
            </w:r>
            <w:r>
              <w:t>f</w:t>
            </w:r>
            <w:r w:rsidRPr="00A34300">
              <w:t>icient duration of follow-up and variability between patient disease stage and other clinical factors precluded any meaningful assessment.</w:t>
            </w:r>
          </w:p>
        </w:tc>
      </w:tr>
      <w:tr w:rsidR="00270836" w:rsidRPr="00D62020" w14:paraId="3603C602" w14:textId="77777777" w:rsidTr="004466FC">
        <w:tc>
          <w:tcPr>
            <w:tcW w:w="1696" w:type="dxa"/>
            <w:tcBorders>
              <w:top w:val="single" w:sz="4" w:space="0" w:color="auto"/>
              <w:left w:val="single" w:sz="4" w:space="0" w:color="auto"/>
              <w:bottom w:val="single" w:sz="4" w:space="0" w:color="auto"/>
              <w:right w:val="single" w:sz="4" w:space="0" w:color="auto"/>
            </w:tcBorders>
          </w:tcPr>
          <w:p w14:paraId="6408B1ED" w14:textId="77777777" w:rsidR="00270836" w:rsidRPr="00A34300" w:rsidRDefault="00270836" w:rsidP="00AE4873">
            <w:pPr>
              <w:pStyle w:val="Tabletext1"/>
              <w:jc w:val="left"/>
            </w:pPr>
            <w:r w:rsidRPr="00A34300">
              <w:t>QoL</w:t>
            </w:r>
          </w:p>
        </w:tc>
        <w:tc>
          <w:tcPr>
            <w:tcW w:w="2306" w:type="dxa"/>
            <w:tcBorders>
              <w:top w:val="single" w:sz="4" w:space="0" w:color="auto"/>
              <w:left w:val="single" w:sz="4" w:space="0" w:color="auto"/>
              <w:bottom w:val="single" w:sz="4" w:space="0" w:color="auto"/>
              <w:right w:val="single" w:sz="4" w:space="0" w:color="auto"/>
            </w:tcBorders>
          </w:tcPr>
          <w:p w14:paraId="3C9EB966" w14:textId="77777777" w:rsidR="00270836" w:rsidRDefault="00270836" w:rsidP="00AE4873">
            <w:pPr>
              <w:pStyle w:val="Tabletext1"/>
              <w:jc w:val="left"/>
            </w:pPr>
            <w:r>
              <w:t>1 RCT (N=46)</w:t>
            </w:r>
          </w:p>
          <w:p w14:paraId="303B51E7" w14:textId="77777777" w:rsidR="00270836" w:rsidRPr="00A34300" w:rsidRDefault="00270836" w:rsidP="00AE4873">
            <w:pPr>
              <w:pStyle w:val="Tabletext1"/>
              <w:jc w:val="left"/>
              <w:rPr>
                <w:vertAlign w:val="superscript"/>
              </w:rPr>
            </w:pPr>
            <w:r>
              <w:t>1 case series with small amount of before and after data (N=307)</w:t>
            </w:r>
          </w:p>
        </w:tc>
        <w:tc>
          <w:tcPr>
            <w:tcW w:w="1663" w:type="dxa"/>
            <w:tcBorders>
              <w:top w:val="single" w:sz="4" w:space="0" w:color="auto"/>
              <w:left w:val="single" w:sz="4" w:space="0" w:color="auto"/>
              <w:bottom w:val="single" w:sz="4" w:space="0" w:color="auto"/>
              <w:right w:val="single" w:sz="4" w:space="0" w:color="auto"/>
            </w:tcBorders>
          </w:tcPr>
          <w:p w14:paraId="1094DA1E" w14:textId="77777777" w:rsidR="00270836" w:rsidRDefault="00270836" w:rsidP="00AE4873">
            <w:pPr>
              <w:pStyle w:val="Tabletext1"/>
              <w:jc w:val="left"/>
              <w:rPr>
                <w:rFonts w:ascii="Cambria Math" w:hAnsi="Cambria Math" w:cs="Cambria Math"/>
                <w:color w:val="C00000"/>
              </w:rPr>
            </w:pPr>
            <w:r w:rsidRPr="00A34300">
              <w:rPr>
                <w:rFonts w:ascii="Cambria Math" w:hAnsi="Cambria Math" w:cs="Cambria Math"/>
                <w:color w:val="00B050"/>
              </w:rPr>
              <w:t>⨁⨁</w:t>
            </w:r>
            <w:r w:rsidRPr="00A34300">
              <w:rPr>
                <w:rFonts w:ascii="Cambria Math" w:hAnsi="Cambria Math" w:cs="Cambria Math"/>
                <w:color w:val="C00000"/>
              </w:rPr>
              <w:t>⨀⨀</w:t>
            </w:r>
          </w:p>
          <w:p w14:paraId="6EC1C835" w14:textId="3AF19632" w:rsidR="00233921" w:rsidRPr="00A34300" w:rsidRDefault="00233921" w:rsidP="00AE4873">
            <w:pPr>
              <w:pStyle w:val="Tabletext1"/>
              <w:jc w:val="left"/>
            </w:pPr>
            <w:r w:rsidRPr="00F360C5">
              <w:t>Low quality</w:t>
            </w:r>
          </w:p>
        </w:tc>
        <w:tc>
          <w:tcPr>
            <w:tcW w:w="2127" w:type="dxa"/>
            <w:tcBorders>
              <w:top w:val="single" w:sz="4" w:space="0" w:color="auto"/>
              <w:left w:val="single" w:sz="4" w:space="0" w:color="auto"/>
              <w:bottom w:val="single" w:sz="4" w:space="0" w:color="auto"/>
              <w:right w:val="single" w:sz="4" w:space="0" w:color="auto"/>
            </w:tcBorders>
          </w:tcPr>
          <w:p w14:paraId="1B2A896D" w14:textId="77777777" w:rsidR="00270836" w:rsidRPr="00A34300" w:rsidRDefault="00270836" w:rsidP="00AE4873">
            <w:pPr>
              <w:pStyle w:val="Tabletext1"/>
              <w:jc w:val="left"/>
            </w:pPr>
            <w:r w:rsidRPr="00A34300">
              <w:t>IgG marginally improves QoL compared to No IgG</w:t>
            </w:r>
          </w:p>
        </w:tc>
        <w:tc>
          <w:tcPr>
            <w:tcW w:w="6156" w:type="dxa"/>
            <w:tcBorders>
              <w:top w:val="single" w:sz="4" w:space="0" w:color="auto"/>
              <w:left w:val="single" w:sz="4" w:space="0" w:color="auto"/>
              <w:bottom w:val="single" w:sz="4" w:space="0" w:color="auto"/>
              <w:right w:val="single" w:sz="4" w:space="0" w:color="auto"/>
            </w:tcBorders>
          </w:tcPr>
          <w:p w14:paraId="49E6CAED" w14:textId="77777777" w:rsidR="00270836" w:rsidRPr="00A34300" w:rsidRDefault="00270836" w:rsidP="00AE4873">
            <w:pPr>
              <w:pStyle w:val="Tabletext1"/>
              <w:jc w:val="left"/>
            </w:pPr>
            <w:r w:rsidRPr="00A34300">
              <w:t xml:space="preserve">Only 2 </w:t>
            </w:r>
            <w:r>
              <w:t xml:space="preserve">of the 4 </w:t>
            </w:r>
            <w:r w:rsidRPr="00A34300">
              <w:t xml:space="preserve">studies reported QoL for IgG versus no IgG. </w:t>
            </w:r>
          </w:p>
        </w:tc>
      </w:tr>
    </w:tbl>
    <w:p w14:paraId="074FEAB7" w14:textId="3F9D9429" w:rsidR="002A7E30" w:rsidRDefault="008D3ED9" w:rsidP="002A7E30">
      <w:pPr>
        <w:pStyle w:val="Tablenotes1"/>
        <w:jc w:val="left"/>
        <w:sectPr w:rsidR="002A7E30" w:rsidSect="002A7E30">
          <w:headerReference w:type="even" r:id="rId43"/>
          <w:headerReference w:type="default" r:id="rId44"/>
          <w:footerReference w:type="even" r:id="rId45"/>
          <w:footerReference w:type="default" r:id="rId46"/>
          <w:headerReference w:type="first" r:id="rId47"/>
          <w:type w:val="oddPage"/>
          <w:pgSz w:w="16838" w:h="11906" w:orient="landscape"/>
          <w:pgMar w:top="1440" w:right="1440" w:bottom="1440" w:left="1440" w:header="720" w:footer="720" w:gutter="0"/>
          <w:paperSrc w:first="7" w:other="7"/>
          <w:cols w:space="720"/>
          <w:docGrid w:linePitch="299"/>
        </w:sectPr>
      </w:pPr>
      <w:r w:rsidRPr="00D538DE">
        <w:rPr>
          <w:vertAlign w:val="superscript"/>
        </w:rPr>
        <w:t xml:space="preserve">a </w:t>
      </w:r>
      <w:r w:rsidRPr="00D538DE">
        <w:t>GRADE Working Group grades of evidence (Guyatt et al., 2013)</w:t>
      </w:r>
      <w:r w:rsidRPr="00D538DE">
        <w:br/>
      </w:r>
      <w:r w:rsidR="00715379" w:rsidRPr="00D538DE">
        <w:rPr>
          <w:rFonts w:ascii="Cambria Math" w:hAnsi="Cambria Math" w:cs="Cambria Math"/>
          <w:color w:val="00B050"/>
        </w:rPr>
        <w:t>⨁⨁⨁⨁</w:t>
      </w:r>
      <w:r w:rsidR="00715379" w:rsidRPr="00D538DE">
        <w:rPr>
          <w:color w:val="00B050"/>
        </w:rPr>
        <w:t xml:space="preserve"> </w:t>
      </w:r>
      <w:r w:rsidRPr="00D538DE">
        <w:rPr>
          <w:bCs/>
        </w:rPr>
        <w:t>High quality:</w:t>
      </w:r>
      <w:r w:rsidRPr="00D538DE">
        <w:t xml:space="preserve"> </w:t>
      </w:r>
      <w:r w:rsidR="008712E3" w:rsidRPr="00D538DE">
        <w:t>We are very confident that the true effect lies close to that of the estimate of effect.</w:t>
      </w:r>
      <w:r w:rsidRPr="00D538DE">
        <w:t xml:space="preserve"> </w:t>
      </w:r>
      <w:r w:rsidRPr="00D538DE">
        <w:br/>
      </w:r>
      <w:r w:rsidR="00D62020" w:rsidRPr="00D538DE">
        <w:rPr>
          <w:rFonts w:ascii="Cambria Math" w:hAnsi="Cambria Math" w:cs="Cambria Math"/>
          <w:color w:val="00B050"/>
        </w:rPr>
        <w:t>⨁⨁⨁</w:t>
      </w:r>
      <w:r w:rsidR="00D62020" w:rsidRPr="00D538DE">
        <w:rPr>
          <w:rFonts w:ascii="Cambria Math" w:hAnsi="Cambria Math" w:cs="Cambria Math"/>
          <w:color w:val="C00000"/>
        </w:rPr>
        <w:t>⨀</w:t>
      </w:r>
      <w:r w:rsidR="00D62020" w:rsidRPr="00D538DE">
        <w:rPr>
          <w:rFonts w:cs="Cambria Math"/>
          <w:color w:val="C00000"/>
        </w:rPr>
        <w:t xml:space="preserve"> </w:t>
      </w:r>
      <w:r w:rsidRPr="00D538DE">
        <w:rPr>
          <w:bCs/>
        </w:rPr>
        <w:t>Moderate quality:</w:t>
      </w:r>
      <w:r w:rsidRPr="00D538DE">
        <w:t xml:space="preserve"> </w:t>
      </w:r>
      <w:r w:rsidR="008712E3" w:rsidRPr="00D538DE">
        <w:t xml:space="preserve">We are moderately confident in the effect estimate: The true effect is likely to be close to the estimate of the effect, but there is a possibility that it is substantially different. </w:t>
      </w:r>
      <w:r w:rsidRPr="00D538DE">
        <w:br/>
      </w:r>
      <w:r w:rsidR="00715379" w:rsidRPr="00D538DE">
        <w:rPr>
          <w:rFonts w:ascii="Cambria Math" w:hAnsi="Cambria Math" w:cs="Cambria Math"/>
          <w:color w:val="00B050"/>
        </w:rPr>
        <w:t>⨁⨁</w:t>
      </w:r>
      <w:r w:rsidR="00715379" w:rsidRPr="00D538DE">
        <w:rPr>
          <w:rFonts w:ascii="Cambria Math" w:hAnsi="Cambria Math" w:cs="Cambria Math"/>
          <w:color w:val="C00000"/>
        </w:rPr>
        <w:t>⨀⨀</w:t>
      </w:r>
      <w:r w:rsidR="00715379" w:rsidRPr="00D538DE">
        <w:rPr>
          <w:rFonts w:cs="Cambria Math"/>
          <w:color w:val="C00000"/>
        </w:rPr>
        <w:t xml:space="preserve"> </w:t>
      </w:r>
      <w:r w:rsidRPr="00D538DE">
        <w:rPr>
          <w:bCs/>
        </w:rPr>
        <w:t>Low quality:</w:t>
      </w:r>
      <w:r w:rsidRPr="00D538DE">
        <w:t xml:space="preserve"> </w:t>
      </w:r>
      <w:r w:rsidR="008712E3" w:rsidRPr="00D538DE">
        <w:t>Our confidence in the effect estimate is limited: The true effect may be substantially different from the estimate of the effect.</w:t>
      </w:r>
      <w:r w:rsidRPr="00D538DE">
        <w:br/>
      </w:r>
      <w:r w:rsidR="00715379" w:rsidRPr="00D538DE">
        <w:rPr>
          <w:rFonts w:ascii="Cambria Math" w:hAnsi="Cambria Math" w:cs="Cambria Math"/>
          <w:color w:val="00B050"/>
        </w:rPr>
        <w:t>⨁</w:t>
      </w:r>
      <w:r w:rsidR="00715379" w:rsidRPr="00D538DE">
        <w:rPr>
          <w:rFonts w:ascii="Cambria Math" w:hAnsi="Cambria Math" w:cs="Cambria Math"/>
          <w:color w:val="C00000"/>
        </w:rPr>
        <w:t>⨀⨀⨀</w:t>
      </w:r>
      <w:r w:rsidR="00715379" w:rsidRPr="00D538DE">
        <w:rPr>
          <w:rFonts w:cs="Cambria Math"/>
          <w:color w:val="C00000"/>
        </w:rPr>
        <w:t xml:space="preserve"> </w:t>
      </w:r>
      <w:r w:rsidRPr="00D538DE">
        <w:rPr>
          <w:bCs/>
        </w:rPr>
        <w:t>Very low quality:</w:t>
      </w:r>
      <w:r w:rsidRPr="00D538DE">
        <w:t xml:space="preserve"> </w:t>
      </w:r>
      <w:r w:rsidR="008712E3" w:rsidRPr="00D538DE">
        <w:t>We have very little confidence in the effect estimate: The true effect is likely to be substantially different from the estimate of effect.</w:t>
      </w:r>
      <w:bookmarkStart w:id="352" w:name="_Toc9515601"/>
      <w:bookmarkStart w:id="353" w:name="_Toc14431150"/>
      <w:bookmarkStart w:id="354" w:name="_Toc379118301"/>
      <w:bookmarkStart w:id="355" w:name="_Toc381796484"/>
      <w:bookmarkStart w:id="356" w:name="_Toc11854776"/>
      <w:bookmarkStart w:id="357" w:name="_Toc379118085"/>
      <w:bookmarkStart w:id="358" w:name="_Toc381796472"/>
      <w:bookmarkStart w:id="359" w:name="_Toc379118089"/>
      <w:bookmarkStart w:id="360" w:name="_Toc381796487"/>
      <w:bookmarkEnd w:id="350"/>
      <w:bookmarkEnd w:id="351"/>
    </w:p>
    <w:p w14:paraId="2A5CF9DD" w14:textId="72ECF3BF" w:rsidR="00911F85" w:rsidRDefault="00911F85" w:rsidP="00911F85">
      <w:pPr>
        <w:pStyle w:val="Heading1"/>
      </w:pPr>
      <w:bookmarkStart w:id="361" w:name="_Toc16856318"/>
      <w:r w:rsidRPr="00183E4D">
        <w:lastRenderedPageBreak/>
        <w:t>Section C</w:t>
      </w:r>
      <w:r w:rsidRPr="00183E4D">
        <w:tab/>
        <w:t>Translation Issues</w:t>
      </w:r>
      <w:bookmarkEnd w:id="352"/>
      <w:bookmarkEnd w:id="353"/>
      <w:bookmarkEnd w:id="361"/>
    </w:p>
    <w:p w14:paraId="4BEA6ABA" w14:textId="5833C6CA" w:rsidR="00911F85" w:rsidRDefault="00911F85" w:rsidP="00331FB9">
      <w:pPr>
        <w:pStyle w:val="Heading2"/>
        <w:numPr>
          <w:ilvl w:val="2"/>
          <w:numId w:val="11"/>
        </w:numPr>
        <w:jc w:val="left"/>
      </w:pPr>
      <w:bookmarkStart w:id="362" w:name="_Toc445464038"/>
      <w:bookmarkStart w:id="363" w:name="_Toc426968183"/>
      <w:bookmarkStart w:id="364" w:name="_Toc14431151"/>
      <w:bookmarkStart w:id="365" w:name="_Toc16856319"/>
      <w:r>
        <w:t>Overview</w:t>
      </w:r>
      <w:bookmarkEnd w:id="362"/>
      <w:bookmarkEnd w:id="363"/>
      <w:bookmarkEnd w:id="364"/>
      <w:bookmarkEnd w:id="365"/>
    </w:p>
    <w:p w14:paraId="7B0D3A6F" w14:textId="77777777" w:rsidR="00911F85" w:rsidRDefault="00911F85" w:rsidP="00911F85">
      <w:r>
        <w:t>The model presented in Section D is a cost-utility analysis, where Ig therapy is associated with an effective reduction in infection rates, but that is traded off against a reduced safety profile. Ig therapy is already in use in Australia and four applicability issues are considered:</w:t>
      </w:r>
    </w:p>
    <w:p w14:paraId="45879E7F" w14:textId="77777777" w:rsidR="00911F85" w:rsidRDefault="00911F85" w:rsidP="00331FB9">
      <w:pPr>
        <w:pStyle w:val="ListParagraph"/>
        <w:numPr>
          <w:ilvl w:val="0"/>
          <w:numId w:val="20"/>
        </w:numPr>
      </w:pPr>
      <w:r>
        <w:t>How do the patient demographics and settings in the clinical evidence compare to those that currently receive Ig therapy for acquired hypogammaglobulinaemia?</w:t>
      </w:r>
    </w:p>
    <w:p w14:paraId="7ED856CF" w14:textId="77777777" w:rsidR="00911F85" w:rsidRDefault="00911F85" w:rsidP="00331FB9">
      <w:pPr>
        <w:pStyle w:val="ListParagraph"/>
        <w:numPr>
          <w:ilvl w:val="0"/>
          <w:numId w:val="20"/>
        </w:numPr>
      </w:pPr>
      <w:r>
        <w:t>How were antibiotics used in the absence of Ig in the clinical evidence, and is this reflective of what would happen in the absence of Ig in the contemporary setting?</w:t>
      </w:r>
    </w:p>
    <w:p w14:paraId="4C8739E3" w14:textId="77777777" w:rsidR="00911F85" w:rsidRDefault="00911F85" w:rsidP="00331FB9">
      <w:pPr>
        <w:pStyle w:val="ListParagraph"/>
        <w:numPr>
          <w:ilvl w:val="0"/>
          <w:numId w:val="20"/>
        </w:numPr>
      </w:pPr>
      <w:r>
        <w:t>How do the doses used in the clinical evidence compare to those currently dispensed in the Australian population that receives Ig for acquired hypogammaglobulinaemia?</w:t>
      </w:r>
    </w:p>
    <w:p w14:paraId="7AC48883" w14:textId="77777777" w:rsidR="00911F85" w:rsidRDefault="00911F85" w:rsidP="00331FB9">
      <w:pPr>
        <w:pStyle w:val="ListParagraph"/>
        <w:numPr>
          <w:ilvl w:val="0"/>
          <w:numId w:val="20"/>
        </w:numPr>
      </w:pPr>
      <w:r>
        <w:t>What was the duration of Ig treatment in the clinical evidence, and how does this compare to use in the current Australian population?</w:t>
      </w:r>
    </w:p>
    <w:p w14:paraId="60B5FBA1" w14:textId="494D17B4" w:rsidR="00911F85" w:rsidRDefault="00357DAB" w:rsidP="00911F85">
      <w:r>
        <w:t>E</w:t>
      </w:r>
      <w:r w:rsidR="0007516A">
        <w:t>xtrapolation issue</w:t>
      </w:r>
      <w:r>
        <w:t>s</w:t>
      </w:r>
      <w:r w:rsidR="0007516A">
        <w:t xml:space="preserve"> considered</w:t>
      </w:r>
      <w:r>
        <w:t xml:space="preserve"> are</w:t>
      </w:r>
      <w:r w:rsidR="0007516A">
        <w:t>:</w:t>
      </w:r>
    </w:p>
    <w:p w14:paraId="2D933B7E" w14:textId="2B82AC09" w:rsidR="00357DAB" w:rsidRDefault="00357DAB" w:rsidP="00357DAB">
      <w:pPr>
        <w:pStyle w:val="ListParagraph"/>
        <w:numPr>
          <w:ilvl w:val="0"/>
          <w:numId w:val="33"/>
        </w:numPr>
      </w:pPr>
      <w:r w:rsidRPr="00357DAB">
        <w:t>What is the expected duration of the treatment effect of Ig?</w:t>
      </w:r>
    </w:p>
    <w:p w14:paraId="052920B8" w14:textId="220A3F34" w:rsidR="0007516A" w:rsidRDefault="0007516A" w:rsidP="0007516A">
      <w:pPr>
        <w:pStyle w:val="ListParagraph"/>
        <w:numPr>
          <w:ilvl w:val="0"/>
          <w:numId w:val="33"/>
        </w:numPr>
      </w:pPr>
      <w:r>
        <w:t>What is the natural history of recurrent infections in patients with acquired hypogammaglobulinemia?</w:t>
      </w:r>
    </w:p>
    <w:p w14:paraId="3E6D196D" w14:textId="7A4905A2" w:rsidR="0007516A" w:rsidRDefault="001F5B74" w:rsidP="00911F85">
      <w:r>
        <w:t>Finally, o</w:t>
      </w:r>
      <w:r w:rsidR="0007516A">
        <w:t>ne transformation issue is presented:</w:t>
      </w:r>
    </w:p>
    <w:p w14:paraId="7A7537B2" w14:textId="09C4383D" w:rsidR="0007516A" w:rsidRDefault="0007516A" w:rsidP="0007516A">
      <w:pPr>
        <w:pStyle w:val="ListParagraph"/>
        <w:numPr>
          <w:ilvl w:val="0"/>
          <w:numId w:val="34"/>
        </w:numPr>
      </w:pPr>
      <w:r>
        <w:t>How to transform the outcomes of the clinical evidence into a common patient-relevant outcome?</w:t>
      </w:r>
    </w:p>
    <w:p w14:paraId="143BA767" w14:textId="77777777" w:rsidR="0007516A" w:rsidRDefault="0007516A" w:rsidP="00911F85"/>
    <w:p w14:paraId="40833B03" w14:textId="77777777" w:rsidR="00911F85" w:rsidRPr="000B75AA" w:rsidRDefault="00911F85" w:rsidP="00331FB9">
      <w:pPr>
        <w:pStyle w:val="Heading2"/>
        <w:numPr>
          <w:ilvl w:val="2"/>
          <w:numId w:val="11"/>
        </w:numPr>
        <w:jc w:val="left"/>
      </w:pPr>
      <w:bookmarkStart w:id="366" w:name="_Toc426968184"/>
      <w:bookmarkStart w:id="367" w:name="_Toc445464039"/>
      <w:bookmarkStart w:id="368" w:name="_Toc14431152"/>
      <w:bookmarkStart w:id="369" w:name="_Toc16856320"/>
      <w:r>
        <w:t>Applicability translation issues</w:t>
      </w:r>
      <w:bookmarkEnd w:id="366"/>
      <w:bookmarkEnd w:id="367"/>
      <w:bookmarkEnd w:id="368"/>
      <w:bookmarkEnd w:id="369"/>
    </w:p>
    <w:p w14:paraId="057BAEAC" w14:textId="77777777" w:rsidR="00911F85" w:rsidRDefault="00911F85" w:rsidP="00911F85">
      <w:pPr>
        <w:pStyle w:val="Heading3"/>
      </w:pPr>
      <w:bookmarkStart w:id="370" w:name="_Toc14431153"/>
      <w:bookmarkStart w:id="371" w:name="_Toc16856321"/>
      <w:r w:rsidRPr="00002FB0">
        <w:rPr>
          <w:sz w:val="22"/>
        </w:rPr>
        <w:t>C.2.1</w:t>
      </w:r>
      <w:r>
        <w:rPr>
          <w:sz w:val="22"/>
        </w:rPr>
        <w:t>.</w:t>
      </w:r>
      <w:r>
        <w:tab/>
      </w:r>
      <w:r>
        <w:tab/>
        <w:t>Patient demographics and settings</w:t>
      </w:r>
      <w:bookmarkEnd w:id="370"/>
      <w:bookmarkEnd w:id="371"/>
    </w:p>
    <w:p w14:paraId="74E8A205" w14:textId="163577AC" w:rsidR="00911F85" w:rsidRDefault="00911F85" w:rsidP="00911F85">
      <w:r>
        <w:t>The aim of this translation study is to determine h</w:t>
      </w:r>
      <w:r w:rsidRPr="00E9319E">
        <w:t xml:space="preserve">ow the patient demographics </w:t>
      </w:r>
      <w:r>
        <w:t xml:space="preserve">and settings </w:t>
      </w:r>
      <w:r w:rsidRPr="00E9319E">
        <w:t xml:space="preserve">in the clinical evidence compare to those </w:t>
      </w:r>
      <w:r>
        <w:t xml:space="preserve">of patients </w:t>
      </w:r>
      <w:r w:rsidRPr="00E9319E">
        <w:t>that currently receive Ig therapy for acquired hypogammaglobulinaemia</w:t>
      </w:r>
      <w:r>
        <w:t xml:space="preserve"> in Australia. As per the Version 3 criteria, Ig is indicated for acquired hypogammaglobulinaemia secondary to haematological malignancies (including acute leukaemia, CLL, MM, NHL and others), or post-HSCT. BloodSTAR data are used to inform the average ages and </w:t>
      </w:r>
      <w:r>
        <w:lastRenderedPageBreak/>
        <w:t>weights of patients in Australia who currently receive Ig for this indication. These demographics will be compared to those of the patients enrolled in the primary clinical evidence used to inform the economic analysis.</w:t>
      </w:r>
    </w:p>
    <w:p w14:paraId="1B9C9A19" w14:textId="14CFEB3B" w:rsidR="00911F85" w:rsidRDefault="00911F85" w:rsidP="00911F85">
      <w:r>
        <w:t xml:space="preserve">The demographics of patients in Australia who currently receive Ig for acquired hypogammaglobulinaemia are presented in </w:t>
      </w:r>
      <w:r>
        <w:fldChar w:fldCharType="begin"/>
      </w:r>
      <w:r>
        <w:instrText xml:space="preserve"> REF _Ref10549632 \h </w:instrText>
      </w:r>
      <w:r>
        <w:fldChar w:fldCharType="separate"/>
      </w:r>
      <w:r w:rsidR="00A7463B">
        <w:t xml:space="preserve">Table </w:t>
      </w:r>
      <w:r w:rsidR="00A7463B">
        <w:rPr>
          <w:noProof/>
        </w:rPr>
        <w:t>30</w:t>
      </w:r>
      <w:r>
        <w:fldChar w:fldCharType="end"/>
      </w:r>
      <w:r>
        <w:t xml:space="preserve">. As the primary evidence that will inform the economic analysis will be the randomised studies identified in Section B </w:t>
      </w:r>
      <w:r>
        <w:fldChar w:fldCharType="begin">
          <w:fldData xml:space="preserve">PEVuZE5vdGU+PENpdGU+PEF1dGhvcj5DaGFwZWw8L0F1dGhvcj48WWVhcj4xOTkxPC9ZZWFyPjxS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</w:fldData>
        </w:fldChar>
      </w:r>
      <w:r w:rsidR="00896BE2">
        <w:instrText xml:space="preserve"> ADDIN EN.CITE </w:instrText>
      </w:r>
      <w:r w:rsidR="00896BE2">
        <w:fldChar w:fldCharType="begin">
          <w:fldData xml:space="preserve">PEVuZE5vdGU+PENpdGU+PEF1dGhvcj5DaGFwZWw8L0F1dGhvcj48WWVhcj4xOTkxPC9ZZWFyPjxS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</w:fldData>
        </w:fldChar>
      </w:r>
      <w:r w:rsidR="00896BE2">
        <w:instrText xml:space="preserve"> ADDIN EN.CITE.DATA </w:instrText>
      </w:r>
      <w:r w:rsidR="00896BE2">
        <w:fldChar w:fldCharType="end"/>
      </w:r>
      <w:r>
        <w:fldChar w:fldCharType="separate"/>
      </w:r>
      <w:r w:rsidR="00896BE2">
        <w:rPr>
          <w:noProof/>
        </w:rPr>
        <w:t>(</w:t>
      </w:r>
      <w:hyperlink w:anchor="_ENREF_12" w:tooltip="Chapel, 1991 #32" w:history="1">
        <w:r w:rsidR="00BB0145">
          <w:rPr>
            <w:noProof/>
          </w:rPr>
          <w:t>Chapel et al. 1991</w:t>
        </w:r>
      </w:hyperlink>
      <w:r w:rsidR="00896BE2">
        <w:rPr>
          <w:noProof/>
        </w:rPr>
        <w:t xml:space="preserve">; </w:t>
      </w:r>
      <w:hyperlink w:anchor="_ENREF_13" w:tooltip="Chapel, 1994 #56" w:history="1">
        <w:r w:rsidR="00BB0145">
          <w:rPr>
            <w:noProof/>
          </w:rPr>
          <w:t>Chapel et al. 1994b</w:t>
        </w:r>
      </w:hyperlink>
      <w:r w:rsidR="00896BE2">
        <w:rPr>
          <w:noProof/>
        </w:rPr>
        <w:t xml:space="preserve">; </w:t>
      </w:r>
      <w:hyperlink w:anchor="_ENREF_31" w:tooltip="Molica, 1996 #33" w:history="1">
        <w:r w:rsidR="00BB0145">
          <w:rPr>
            <w:noProof/>
          </w:rPr>
          <w:t>Molica et al. 1996</w:t>
        </w:r>
      </w:hyperlink>
      <w:r w:rsidR="00896BE2">
        <w:rPr>
          <w:noProof/>
        </w:rPr>
        <w:t xml:space="preserve">; </w:t>
      </w:r>
      <w:hyperlink w:anchor="_ENREF_33" w:tooltip="Musto, 1995 #60" w:history="1">
        <w:r w:rsidR="00BB0145">
          <w:rPr>
            <w:noProof/>
          </w:rPr>
          <w:t>Musto, Brugiatelli &amp; Carotenuto 1995</w:t>
        </w:r>
      </w:hyperlink>
      <w:r w:rsidR="00896BE2">
        <w:rPr>
          <w:noProof/>
        </w:rPr>
        <w:t xml:space="preserve">; </w:t>
      </w:r>
      <w:hyperlink w:anchor="_ENREF_48" w:tooltip="Sullivan, 1990 #67" w:history="1">
        <w:r w:rsidR="00BB0145">
          <w:rPr>
            <w:noProof/>
          </w:rPr>
          <w:t>Sullivan et al. 1990</w:t>
        </w:r>
      </w:hyperlink>
      <w:r w:rsidR="00896BE2">
        <w:rPr>
          <w:noProof/>
        </w:rPr>
        <w:t xml:space="preserve">; </w:t>
      </w:r>
      <w:hyperlink w:anchor="_ENREF_52" w:tooltip="Vacca, 2018 #30" w:history="1">
        <w:r w:rsidR="00BB0145">
          <w:rPr>
            <w:noProof/>
          </w:rPr>
          <w:t>Vacca et al. 2018</w:t>
        </w:r>
      </w:hyperlink>
      <w:r w:rsidR="00896BE2">
        <w:rPr>
          <w:noProof/>
        </w:rPr>
        <w:t>)</w:t>
      </w:r>
      <w:r>
        <w:fldChar w:fldCharType="end"/>
      </w:r>
      <w:r>
        <w:t xml:space="preserve"> (though noting that sensitivity analyses based on the before/after non-randomised studies will also be presented), this table presents a comparison of the demographics to those in the randomised studies. </w:t>
      </w:r>
    </w:p>
    <w:p w14:paraId="61D0635B" w14:textId="77777777" w:rsidR="00911F85" w:rsidRDefault="00911F85" w:rsidP="00911F85">
      <w:pPr>
        <w:pStyle w:val="Caption"/>
        <w:keepNext/>
        <w:ind w:left="1134" w:hanging="1134"/>
      </w:pPr>
      <w:bookmarkStart w:id="372" w:name="_Ref10549632"/>
      <w:bookmarkStart w:id="373" w:name="_Toc14348867"/>
      <w:bookmarkStart w:id="374" w:name="_Toc14429573"/>
      <w:bookmarkStart w:id="375" w:name="_Toc16671628"/>
      <w:r>
        <w:t xml:space="preserve">Table </w:t>
      </w:r>
      <w:r>
        <w:rPr>
          <w:noProof/>
        </w:rPr>
        <w:fldChar w:fldCharType="begin"/>
      </w:r>
      <w:r>
        <w:rPr>
          <w:noProof/>
        </w:rPr>
        <w:instrText xml:space="preserve"> SEQ Table \* ARABIC </w:instrText>
      </w:r>
      <w:r>
        <w:rPr>
          <w:noProof/>
        </w:rPr>
        <w:fldChar w:fldCharType="separate"/>
      </w:r>
      <w:r w:rsidR="00A7463B">
        <w:rPr>
          <w:noProof/>
        </w:rPr>
        <w:t>30</w:t>
      </w:r>
      <w:r>
        <w:rPr>
          <w:noProof/>
        </w:rPr>
        <w:fldChar w:fldCharType="end"/>
      </w:r>
      <w:bookmarkEnd w:id="372"/>
      <w:r>
        <w:tab/>
        <w:t>A comparison of the demographics of the Australian population that receives Ig for acquired hypogammaglobulinaemia to those in the clinical evidence</w:t>
      </w:r>
      <w:bookmarkEnd w:id="373"/>
      <w:bookmarkEnd w:id="374"/>
      <w:bookmarkEnd w:id="375"/>
    </w:p>
    <w:tbl>
      <w:tblPr>
        <w:tblW w:w="5000" w:type="pct"/>
        <w:tblLayout w:type="fixed"/>
        <w:tblLook w:val="04A0" w:firstRow="1" w:lastRow="0" w:firstColumn="1" w:lastColumn="0" w:noHBand="0" w:noVBand="1"/>
        <w:tblCaption w:val="A comparison of the demographics of the Australian population that receives Ig for acquired hypogammaglobulinaemia to those in the clinical evidence"/>
      </w:tblPr>
      <w:tblGrid>
        <w:gridCol w:w="1526"/>
        <w:gridCol w:w="1928"/>
        <w:gridCol w:w="1930"/>
        <w:gridCol w:w="1930"/>
        <w:gridCol w:w="1928"/>
      </w:tblGrid>
      <w:tr w:rsidR="00911F85" w:rsidRPr="009A0178" w14:paraId="2B3E7A8B" w14:textId="77777777" w:rsidTr="00B52A4F">
        <w:trPr>
          <w:cantSplit/>
          <w:trHeight w:val="300"/>
          <w:tblHeader/>
        </w:trPr>
        <w:tc>
          <w:tcPr>
            <w:tcW w:w="825" w:type="pct"/>
            <w:tcBorders>
              <w:top w:val="single" w:sz="4" w:space="0" w:color="auto"/>
              <w:left w:val="single" w:sz="4" w:space="0" w:color="auto"/>
              <w:right w:val="single" w:sz="4" w:space="0" w:color="auto"/>
            </w:tcBorders>
            <w:shd w:val="clear" w:color="auto" w:fill="auto"/>
            <w:noWrap/>
            <w:vAlign w:val="bottom"/>
          </w:tcPr>
          <w:p w14:paraId="128095B2" w14:textId="77777777" w:rsidR="00911F85" w:rsidRPr="009A0178" w:rsidRDefault="00911F85" w:rsidP="008742A1">
            <w:pPr>
              <w:pStyle w:val="TableHeading"/>
            </w:pPr>
          </w:p>
        </w:tc>
        <w:tc>
          <w:tcPr>
            <w:tcW w:w="2087" w:type="pct"/>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14:paraId="69FB75E6" w14:textId="77777777" w:rsidR="00911F85" w:rsidRDefault="00911F85" w:rsidP="008742A1">
            <w:pPr>
              <w:pStyle w:val="TableHeading"/>
              <w:jc w:val="center"/>
            </w:pPr>
            <w:r>
              <w:t>Average patient age</w:t>
            </w:r>
          </w:p>
        </w:tc>
        <w:tc>
          <w:tcPr>
            <w:tcW w:w="208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E6E725" w14:textId="77777777" w:rsidR="00911F85" w:rsidRPr="009A0178" w:rsidRDefault="00911F85" w:rsidP="008742A1">
            <w:pPr>
              <w:pStyle w:val="TableHeading"/>
              <w:jc w:val="center"/>
            </w:pPr>
            <w:r>
              <w:t>Average patient weight</w:t>
            </w:r>
          </w:p>
        </w:tc>
      </w:tr>
      <w:tr w:rsidR="00911F85" w:rsidRPr="009A0178" w14:paraId="0DA8F94D" w14:textId="77777777" w:rsidTr="00B52A4F">
        <w:trPr>
          <w:cantSplit/>
          <w:trHeight w:val="300"/>
          <w:tblHeader/>
        </w:trPr>
        <w:tc>
          <w:tcPr>
            <w:tcW w:w="825" w:type="pct"/>
            <w:tcBorders>
              <w:left w:val="single" w:sz="4" w:space="0" w:color="auto"/>
              <w:bottom w:val="single" w:sz="4" w:space="0" w:color="auto"/>
              <w:right w:val="single" w:sz="4" w:space="0" w:color="auto"/>
            </w:tcBorders>
            <w:shd w:val="clear" w:color="auto" w:fill="auto"/>
            <w:noWrap/>
            <w:vAlign w:val="bottom"/>
          </w:tcPr>
          <w:p w14:paraId="16EFE2F7" w14:textId="77777777" w:rsidR="00911F85" w:rsidRPr="009A0178" w:rsidRDefault="00911F85" w:rsidP="008742A1">
            <w:pPr>
              <w:pStyle w:val="TableHeading"/>
            </w:pPr>
          </w:p>
        </w:tc>
        <w:tc>
          <w:tcPr>
            <w:tcW w:w="1043"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BE2E79D" w14:textId="77777777" w:rsidR="00911F85" w:rsidRDefault="00911F85" w:rsidP="008742A1">
            <w:pPr>
              <w:pStyle w:val="TableHeading"/>
              <w:jc w:val="center"/>
            </w:pPr>
            <w:r>
              <w:t>BloodSTAR data</w:t>
            </w:r>
            <w:r w:rsidRPr="00747209">
              <w:rPr>
                <w:vertAlign w:val="superscript"/>
              </w:rPr>
              <w:t xml:space="preserve"> a</w:t>
            </w:r>
          </w:p>
        </w:tc>
        <w:tc>
          <w:tcPr>
            <w:tcW w:w="10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DC2943" w14:textId="77777777" w:rsidR="00911F85" w:rsidRDefault="00911F85" w:rsidP="008742A1">
            <w:pPr>
              <w:pStyle w:val="TableHeading"/>
              <w:jc w:val="center"/>
            </w:pPr>
            <w:r>
              <w:t>Section B studies</w:t>
            </w:r>
          </w:p>
        </w:tc>
        <w:tc>
          <w:tcPr>
            <w:tcW w:w="10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279DCD" w14:textId="77777777" w:rsidR="00911F85" w:rsidRDefault="00911F85" w:rsidP="008742A1">
            <w:pPr>
              <w:pStyle w:val="TableHeading"/>
              <w:jc w:val="center"/>
            </w:pPr>
            <w:r>
              <w:t>BloodSTAR data</w:t>
            </w:r>
            <w:r w:rsidRPr="00747209">
              <w:rPr>
                <w:vertAlign w:val="superscript"/>
              </w:rPr>
              <w:t xml:space="preserve"> a</w:t>
            </w:r>
          </w:p>
        </w:tc>
        <w:tc>
          <w:tcPr>
            <w:tcW w:w="104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9DD6644" w14:textId="77777777" w:rsidR="00911F85" w:rsidRDefault="00911F85" w:rsidP="008742A1">
            <w:pPr>
              <w:pStyle w:val="TableHeading"/>
              <w:jc w:val="center"/>
            </w:pPr>
            <w:r>
              <w:t>Section B studies</w:t>
            </w:r>
          </w:p>
        </w:tc>
      </w:tr>
      <w:tr w:rsidR="00911F85" w:rsidRPr="009A0178" w14:paraId="60192A39" w14:textId="77777777" w:rsidTr="008742A1">
        <w:trPr>
          <w:cantSplit/>
          <w:trHeight w:val="300"/>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2670B419" w14:textId="77777777" w:rsidR="00911F85" w:rsidRPr="009A0178" w:rsidRDefault="00911F85" w:rsidP="008742A1">
            <w:pPr>
              <w:pStyle w:val="Tabletext1"/>
            </w:pPr>
            <w:r>
              <w:t>CLL</w:t>
            </w:r>
          </w:p>
        </w:tc>
        <w:tc>
          <w:tcPr>
            <w:tcW w:w="1043" w:type="pct"/>
            <w:tcBorders>
              <w:top w:val="single" w:sz="4" w:space="0" w:color="auto"/>
              <w:left w:val="nil"/>
              <w:bottom w:val="single" w:sz="4" w:space="0" w:color="auto"/>
              <w:right w:val="single" w:sz="4" w:space="0" w:color="auto"/>
            </w:tcBorders>
          </w:tcPr>
          <w:p w14:paraId="4CB9F49B" w14:textId="77777777" w:rsidR="00911F85" w:rsidRPr="009A0178" w:rsidRDefault="00911F85" w:rsidP="008742A1">
            <w:pPr>
              <w:pStyle w:val="Tabletext1"/>
              <w:jc w:val="center"/>
            </w:pPr>
            <w:r w:rsidRPr="0059272A">
              <w:t>72.5</w:t>
            </w:r>
          </w:p>
        </w:tc>
        <w:tc>
          <w:tcPr>
            <w:tcW w:w="1044" w:type="pct"/>
            <w:tcBorders>
              <w:top w:val="single" w:sz="4" w:space="0" w:color="auto"/>
              <w:left w:val="single" w:sz="4" w:space="0" w:color="auto"/>
              <w:bottom w:val="single" w:sz="4" w:space="0" w:color="auto"/>
              <w:right w:val="single" w:sz="4" w:space="0" w:color="auto"/>
            </w:tcBorders>
          </w:tcPr>
          <w:p w14:paraId="14E9A9C4" w14:textId="79F87B93" w:rsidR="00911F85" w:rsidRDefault="00911F85" w:rsidP="008742A1">
            <w:pPr>
              <w:pStyle w:val="Tabletext1"/>
              <w:jc w:val="center"/>
            </w:pPr>
            <w:r>
              <w:t xml:space="preserve">Chapel et al. </w:t>
            </w:r>
            <w:r>
              <w:fldChar w:fldCharType="begin"/>
            </w:r>
            <w:r>
              <w:instrText xml:space="preserve"> ADDIN EN.CITE &lt;EndNote&gt;&lt;Cite ExcludeAuth="1"&gt;&lt;Author&gt;Chapel&lt;/Author&gt;&lt;Year&gt;1991&lt;/Year&gt;&lt;RecNum&gt;32&lt;/RecNum&gt;&lt;DisplayText&gt;(1991)&lt;/DisplayText&gt;&lt;record&gt;&lt;rec-number&gt;32&lt;/rec-number&gt;&lt;foreign-keys&gt;&lt;key app="EN" db-id="z0vwsepdwpt20pewwts5z9eup9e2r2pd2tad" timestamp="1553825060"&gt;32&lt;/key&gt;&lt;/foreign-keys&gt;&lt;ref-type name="Journal Article"&gt;17&lt;/ref-type&gt;&lt;contributors&gt;&lt;authors&gt;&lt;author&gt;Chapel, H. M.&lt;/author&gt;&lt;author&gt;Griffiths, H.&lt;/author&gt;&lt;author&gt;Brennan, V.&lt;/author&gt;&lt;author&gt;Bunch, C.&lt;/author&gt;&lt;author&gt;Lea, J.&lt;/author&gt;&lt;author&gt;Lee, M.&lt;/author&gt;&lt;/authors&gt;&lt;/contributors&gt;&lt;titles&gt;&lt;title&gt;Hypogammaglobulinaemia in low grade B cell tumours; significance and therapy&lt;/title&gt;&lt;secondary-title&gt;Immunological investigations&lt;/secondary-title&gt;&lt;/titles&gt;&lt;periodical&gt;&lt;full-title&gt;Immunological investigations&lt;/full-title&gt;&lt;/periodical&gt;&lt;pages&gt;187</w:instrText>
            </w:r>
            <w:r>
              <w:rPr>
                <w:rFonts w:ascii="Cambria Math" w:hAnsi="Cambria Math" w:cs="Cambria Math"/>
              </w:rPr>
              <w:instrText>‐</w:instrText>
            </w:r>
            <w:r>
              <w:instrText>191&lt;/pages&gt;&lt;volume&gt;20&lt;/volume&gt;&lt;number&gt;2&lt;/number&gt;&lt;keywords&gt;&lt;keyword&gt;Agammaglobulinemia [complications, *therapy]&lt;/keyword&gt;&lt;keyword&gt;Bacterial Infections [etiology, *prevention &amp;amp; control]&lt;/keyword&gt;&lt;keyword&gt;Humans&lt;/keyword&gt;&lt;keyword&gt;Immunoglobulin G [therapeutic use]&lt;/keyword&gt;&lt;keyword&gt;Immunotherapy&lt;/keyword&gt;&lt;keyword&gt;Infusions, Intravenous&lt;/keyword&gt;&lt;keyword&gt;Leukemia, Lymphocytic, Chronic, B</w:instrText>
            </w:r>
            <w:r>
              <w:rPr>
                <w:rFonts w:ascii="Cambria Math" w:hAnsi="Cambria Math" w:cs="Cambria Math"/>
              </w:rPr>
              <w:instrText>‐</w:instrText>
            </w:r>
            <w:r>
              <w:instrText>Cell [complications]&lt;/keyword&gt;&lt;keyword&gt;Lymphoma, Non</w:instrText>
            </w:r>
            <w:r>
              <w:rPr>
                <w:rFonts w:ascii="Cambria Math" w:hAnsi="Cambria Math" w:cs="Cambria Math"/>
              </w:rPr>
              <w:instrText>‐</w:instrText>
            </w:r>
            <w:r>
              <w:instrText>Hodgkin [complications]&lt;/keyword&gt;&lt;/keywords&gt;&lt;dates&gt;&lt;year&gt;1991&lt;/year&gt;&lt;pub-dates&gt;&lt;date&gt;1991&lt;/date&gt;&lt;/pub-dates&gt;&lt;/dates&gt;&lt;accession-num&gt;CN-00077281&lt;/accession-num&gt;&lt;urls&gt;&lt;related-urls&gt;&lt;url&gt;&lt;style face="underline" font="default" size="100%"&gt;https://www.cochranelibrary.com/central/doi/10.1002/central/CN-00077281/full&lt;/style&gt;&lt;/url&gt;&lt;/related-urls&gt;&lt;/urls&gt;&lt;custom1&gt;RAYYAN-INCLUSION: {&amp;quot;Skye&amp;quot;=&amp;gt;&amp;quot;Included&amp;quot;}&lt;/custom1&gt;&lt;research-notes&gt;CLL and NHL IVIg vs saline&lt;/research-notes&gt;&lt;/record&gt;&lt;/Cite&gt;&lt;/EndNote&gt;</w:instrText>
            </w:r>
            <w:r>
              <w:fldChar w:fldCharType="separate"/>
            </w:r>
            <w:r>
              <w:rPr>
                <w:noProof/>
              </w:rPr>
              <w:t>(</w:t>
            </w:r>
            <w:hyperlink w:anchor="_ENREF_12" w:tooltip="Chapel, 1991 #32" w:history="1">
              <w:r w:rsidR="00BB0145">
                <w:rPr>
                  <w:noProof/>
                </w:rPr>
                <w:t>1991</w:t>
              </w:r>
            </w:hyperlink>
            <w:r>
              <w:rPr>
                <w:noProof/>
              </w:rPr>
              <w:t>)</w:t>
            </w:r>
            <w:r>
              <w:fldChar w:fldCharType="end"/>
            </w:r>
            <w:r>
              <w:t>: NR</w:t>
            </w:r>
          </w:p>
          <w:p w14:paraId="6322744E" w14:textId="6D333CF7" w:rsidR="00911F85" w:rsidRPr="009A0178" w:rsidRDefault="00911F85" w:rsidP="00BB0145">
            <w:pPr>
              <w:pStyle w:val="Tabletext1"/>
              <w:jc w:val="center"/>
            </w:pPr>
            <w:r>
              <w:t xml:space="preserve">Molica et al. </w:t>
            </w:r>
            <w:r>
              <w:fldChar w:fldCharType="begin">
                <w:fldData xml:space="preserve">PEVuZE5vdGU+PENpdGUgRXhjbHVkZUF1dGg9IjEiPjxBdXRob3I+TW9saWNhPC9BdXRob3I+PFll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</w:fldData>
              </w:fldChar>
            </w:r>
            <w:r>
              <w:instrText xml:space="preserve"> ADDIN EN.CITE </w:instrText>
            </w:r>
            <w:r>
              <w:fldChar w:fldCharType="begin">
                <w:fldData xml:space="preserve">PEVuZE5vdGU+PENpdGUgRXhjbHVkZUF1dGg9IjEiPjxBdXRob3I+TW9saWNhPC9BdXRob3I+PFll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</w:fldData>
              </w:fldChar>
            </w:r>
            <w:r>
              <w:instrText xml:space="preserve"> ADDIN EN.CITE.DATA </w:instrText>
            </w:r>
            <w:r>
              <w:fldChar w:fldCharType="end"/>
            </w:r>
            <w:r>
              <w:fldChar w:fldCharType="separate"/>
            </w:r>
            <w:r>
              <w:rPr>
                <w:noProof/>
              </w:rPr>
              <w:t>(</w:t>
            </w:r>
            <w:hyperlink w:anchor="_ENREF_31" w:tooltip="Molica, 1996 #33" w:history="1">
              <w:r w:rsidR="00BB0145">
                <w:rPr>
                  <w:noProof/>
                </w:rPr>
                <w:t>1996</w:t>
              </w:r>
            </w:hyperlink>
            <w:r>
              <w:rPr>
                <w:noProof/>
              </w:rPr>
              <w:t>)</w:t>
            </w:r>
            <w:r>
              <w:fldChar w:fldCharType="end"/>
            </w:r>
            <w:r>
              <w:t>: 64 ± 11.5</w:t>
            </w:r>
          </w:p>
        </w:tc>
        <w:tc>
          <w:tcPr>
            <w:tcW w:w="1044" w:type="pct"/>
            <w:tcBorders>
              <w:top w:val="single" w:sz="4" w:space="0" w:color="auto"/>
              <w:left w:val="single" w:sz="4" w:space="0" w:color="auto"/>
              <w:bottom w:val="single" w:sz="4" w:space="0" w:color="auto"/>
              <w:right w:val="single" w:sz="4" w:space="0" w:color="auto"/>
            </w:tcBorders>
          </w:tcPr>
          <w:p w14:paraId="3BD4C5B4" w14:textId="77777777" w:rsidR="00911F85" w:rsidRPr="009A0178" w:rsidRDefault="00911F85" w:rsidP="008742A1">
            <w:pPr>
              <w:pStyle w:val="Tabletext1"/>
              <w:jc w:val="center"/>
            </w:pPr>
            <w:r w:rsidRPr="00A662A5">
              <w:t>77.3</w:t>
            </w:r>
          </w:p>
        </w:tc>
        <w:tc>
          <w:tcPr>
            <w:tcW w:w="1043" w:type="pct"/>
            <w:tcBorders>
              <w:top w:val="single" w:sz="4" w:space="0" w:color="auto"/>
              <w:left w:val="single" w:sz="4" w:space="0" w:color="auto"/>
              <w:bottom w:val="single" w:sz="4" w:space="0" w:color="auto"/>
              <w:right w:val="single" w:sz="4" w:space="0" w:color="auto"/>
            </w:tcBorders>
            <w:shd w:val="clear" w:color="auto" w:fill="auto"/>
            <w:noWrap/>
          </w:tcPr>
          <w:p w14:paraId="6CB15D69" w14:textId="4185FDC0" w:rsidR="00911F85" w:rsidRDefault="00911F85" w:rsidP="008742A1">
            <w:pPr>
              <w:pStyle w:val="Tabletext1"/>
              <w:jc w:val="center"/>
            </w:pPr>
            <w:r>
              <w:t xml:space="preserve">Chapel et al. </w:t>
            </w:r>
            <w:r>
              <w:fldChar w:fldCharType="begin"/>
            </w:r>
            <w:r>
              <w:instrText xml:space="preserve"> ADDIN EN.CITE &lt;EndNote&gt;&lt;Cite ExcludeAuth="1"&gt;&lt;Author&gt;Chapel&lt;/Author&gt;&lt;Year&gt;1991&lt;/Year&gt;&lt;RecNum&gt;32&lt;/RecNum&gt;&lt;DisplayText&gt;(1991)&lt;/DisplayText&gt;&lt;record&gt;&lt;rec-number&gt;32&lt;/rec-number&gt;&lt;foreign-keys&gt;&lt;key app="EN" db-id="z0vwsepdwpt20pewwts5z9eup9e2r2pd2tad" timestamp="1553825060"&gt;32&lt;/key&gt;&lt;/foreign-keys&gt;&lt;ref-type name="Journal Article"&gt;17&lt;/ref-type&gt;&lt;contributors&gt;&lt;authors&gt;&lt;author&gt;Chapel, H. M.&lt;/author&gt;&lt;author&gt;Griffiths, H.&lt;/author&gt;&lt;author&gt;Brennan, V.&lt;/author&gt;&lt;author&gt;Bunch, C.&lt;/author&gt;&lt;author&gt;Lea, J.&lt;/author&gt;&lt;author&gt;Lee, M.&lt;/author&gt;&lt;/authors&gt;&lt;/contributors&gt;&lt;titles&gt;&lt;title&gt;Hypogammaglobulinaemia in low grade B cell tumours; significance and therapy&lt;/title&gt;&lt;secondary-title&gt;Immunological investigations&lt;/secondary-title&gt;&lt;/titles&gt;&lt;periodical&gt;&lt;full-title&gt;Immunological investigations&lt;/full-title&gt;&lt;/periodical&gt;&lt;pages&gt;187</w:instrText>
            </w:r>
            <w:r>
              <w:rPr>
                <w:rFonts w:ascii="Cambria Math" w:hAnsi="Cambria Math" w:cs="Cambria Math"/>
              </w:rPr>
              <w:instrText>‐</w:instrText>
            </w:r>
            <w:r>
              <w:instrText>191&lt;/pages&gt;&lt;volume&gt;20&lt;/volume&gt;&lt;number&gt;2&lt;/number&gt;&lt;keywords&gt;&lt;keyword&gt;Agammaglobulinemia [complications, *therapy]&lt;/keyword&gt;&lt;keyword&gt;Bacterial Infections [etiology, *prevention &amp;amp; control]&lt;/keyword&gt;&lt;keyword&gt;Humans&lt;/keyword&gt;&lt;keyword&gt;Immunoglobulin G [therapeutic use]&lt;/keyword&gt;&lt;keyword&gt;Immunotherapy&lt;/keyword&gt;&lt;keyword&gt;Infusions, Intravenous&lt;/keyword&gt;&lt;keyword&gt;Leukemia, Lymphocytic, Chronic, B</w:instrText>
            </w:r>
            <w:r>
              <w:rPr>
                <w:rFonts w:ascii="Cambria Math" w:hAnsi="Cambria Math" w:cs="Cambria Math"/>
              </w:rPr>
              <w:instrText>‐</w:instrText>
            </w:r>
            <w:r>
              <w:instrText>Cell [complications]&lt;/keyword&gt;&lt;keyword&gt;Lymphoma, Non</w:instrText>
            </w:r>
            <w:r>
              <w:rPr>
                <w:rFonts w:ascii="Cambria Math" w:hAnsi="Cambria Math" w:cs="Cambria Math"/>
              </w:rPr>
              <w:instrText>‐</w:instrText>
            </w:r>
            <w:r>
              <w:instrText>Hodgkin [complications]&lt;/keyword&gt;&lt;/keywords&gt;&lt;dates&gt;&lt;year&gt;1991&lt;/year&gt;&lt;pub-dates&gt;&lt;date&gt;1991&lt;/date&gt;&lt;/pub-dates&gt;&lt;/dates&gt;&lt;accession-num&gt;CN-00077281&lt;/accession-num&gt;&lt;urls&gt;&lt;related-urls&gt;&lt;url&gt;&lt;style face="underline" font="default" size="100%"&gt;https://www.cochranelibrary.com/central/doi/10.1002/central/CN-00077281/full&lt;/style&gt;&lt;/url&gt;&lt;/related-urls&gt;&lt;/urls&gt;&lt;custom1&gt;RAYYAN-INCLUSION: {&amp;quot;Skye&amp;quot;=&amp;gt;&amp;quot;Included&amp;quot;}&lt;/custom1&gt;&lt;research-notes&gt;CLL and NHL IVIg vs saline&lt;/research-notes&gt;&lt;/record&gt;&lt;/Cite&gt;&lt;/EndNote&gt;</w:instrText>
            </w:r>
            <w:r>
              <w:fldChar w:fldCharType="separate"/>
            </w:r>
            <w:r>
              <w:rPr>
                <w:noProof/>
              </w:rPr>
              <w:t>(</w:t>
            </w:r>
            <w:hyperlink w:anchor="_ENREF_12" w:tooltip="Chapel, 1991 #32" w:history="1">
              <w:r w:rsidR="00BB0145">
                <w:rPr>
                  <w:noProof/>
                </w:rPr>
                <w:t>1991</w:t>
              </w:r>
            </w:hyperlink>
            <w:r>
              <w:rPr>
                <w:noProof/>
              </w:rPr>
              <w:t>)</w:t>
            </w:r>
            <w:r>
              <w:fldChar w:fldCharType="end"/>
            </w:r>
            <w:r>
              <w:t>: NR</w:t>
            </w:r>
          </w:p>
          <w:p w14:paraId="6B5968DF" w14:textId="14FF2CB9" w:rsidR="00911F85" w:rsidRPr="009A0178" w:rsidRDefault="00911F85" w:rsidP="00BB0145">
            <w:pPr>
              <w:pStyle w:val="Tabletext1"/>
              <w:jc w:val="center"/>
            </w:pPr>
            <w:r>
              <w:t xml:space="preserve">Molica et al. </w:t>
            </w:r>
            <w:r>
              <w:fldChar w:fldCharType="begin">
                <w:fldData xml:space="preserve">PEVuZE5vdGU+PENpdGUgRXhjbHVkZUF1dGg9IjEiPjxBdXRob3I+TW9saWNhPC9BdXRob3I+PFll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</w:fldData>
              </w:fldChar>
            </w:r>
            <w:r>
              <w:instrText xml:space="preserve"> ADDIN EN.CITE </w:instrText>
            </w:r>
            <w:r>
              <w:fldChar w:fldCharType="begin">
                <w:fldData xml:space="preserve">PEVuZE5vdGU+PENpdGUgRXhjbHVkZUF1dGg9IjEiPjxBdXRob3I+TW9saWNhPC9BdXRob3I+PFll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</w:fldData>
              </w:fldChar>
            </w:r>
            <w:r>
              <w:instrText xml:space="preserve"> ADDIN EN.CITE.DATA </w:instrText>
            </w:r>
            <w:r>
              <w:fldChar w:fldCharType="end"/>
            </w:r>
            <w:r>
              <w:fldChar w:fldCharType="separate"/>
            </w:r>
            <w:r>
              <w:rPr>
                <w:noProof/>
              </w:rPr>
              <w:t>(</w:t>
            </w:r>
            <w:hyperlink w:anchor="_ENREF_31" w:tooltip="Molica, 1996 #33" w:history="1">
              <w:r w:rsidR="00BB0145">
                <w:rPr>
                  <w:noProof/>
                </w:rPr>
                <w:t>1996</w:t>
              </w:r>
            </w:hyperlink>
            <w:r>
              <w:rPr>
                <w:noProof/>
              </w:rPr>
              <w:t>)</w:t>
            </w:r>
            <w:r>
              <w:fldChar w:fldCharType="end"/>
            </w:r>
            <w:r>
              <w:t>: NR</w:t>
            </w:r>
          </w:p>
        </w:tc>
      </w:tr>
      <w:tr w:rsidR="00911F85" w:rsidRPr="009A0178" w14:paraId="07AA2939" w14:textId="77777777" w:rsidTr="008742A1">
        <w:trPr>
          <w:cantSplit/>
          <w:trHeight w:val="300"/>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4075A63F" w14:textId="77777777" w:rsidR="00911F85" w:rsidRPr="009A0178" w:rsidRDefault="00911F85" w:rsidP="008742A1">
            <w:pPr>
              <w:pStyle w:val="Tabletext1"/>
            </w:pPr>
            <w:r>
              <w:t>MM</w:t>
            </w:r>
          </w:p>
        </w:tc>
        <w:tc>
          <w:tcPr>
            <w:tcW w:w="1043" w:type="pct"/>
            <w:tcBorders>
              <w:top w:val="single" w:sz="4" w:space="0" w:color="auto"/>
              <w:left w:val="nil"/>
              <w:bottom w:val="single" w:sz="4" w:space="0" w:color="auto"/>
              <w:right w:val="single" w:sz="4" w:space="0" w:color="auto"/>
            </w:tcBorders>
          </w:tcPr>
          <w:p w14:paraId="7C779B0C" w14:textId="77777777" w:rsidR="00911F85" w:rsidRPr="009A0178" w:rsidRDefault="00911F85" w:rsidP="008742A1">
            <w:pPr>
              <w:pStyle w:val="Tabletext1"/>
              <w:jc w:val="center"/>
            </w:pPr>
            <w:r w:rsidRPr="0059272A">
              <w:t>70.2</w:t>
            </w:r>
          </w:p>
        </w:tc>
        <w:tc>
          <w:tcPr>
            <w:tcW w:w="1044" w:type="pct"/>
            <w:tcBorders>
              <w:top w:val="single" w:sz="4" w:space="0" w:color="auto"/>
              <w:left w:val="single" w:sz="4" w:space="0" w:color="auto"/>
              <w:bottom w:val="single" w:sz="4" w:space="0" w:color="auto"/>
              <w:right w:val="single" w:sz="4" w:space="0" w:color="auto"/>
            </w:tcBorders>
          </w:tcPr>
          <w:p w14:paraId="1384053C" w14:textId="05EAD604" w:rsidR="00911F85" w:rsidRDefault="00911F85" w:rsidP="008742A1">
            <w:pPr>
              <w:pStyle w:val="Tabletext1"/>
              <w:jc w:val="center"/>
            </w:pPr>
            <w:r>
              <w:t xml:space="preserve">Chapel et al. </w:t>
            </w:r>
            <w:r>
              <w:fldChar w:fldCharType="begin">
                <w:fldData xml:space="preserve">PEVuZE5vdGU+PENpdGUgRXhjbHVkZUF1dGg9IjEiPjxBdXRob3I+Q2hhcGVsPC9BdXRob3I+PFll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==
</w:fldData>
              </w:fldChar>
            </w:r>
            <w:r w:rsidR="00896BE2">
              <w:instrText xml:space="preserve"> ADDIN EN.CITE </w:instrText>
            </w:r>
            <w:r w:rsidR="00896BE2">
              <w:fldChar w:fldCharType="begin">
                <w:fldData xml:space="preserve">PEVuZE5vdGU+PENpdGUgRXhjbHVkZUF1dGg9IjEiPjxBdXRob3I+Q2hhcGVsPC9BdXRob3I+PFll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==
</w:fldData>
              </w:fldChar>
            </w:r>
            <w:r w:rsidR="00896BE2">
              <w:instrText xml:space="preserve"> ADDIN EN.CITE.DATA </w:instrText>
            </w:r>
            <w:r w:rsidR="00896BE2">
              <w:fldChar w:fldCharType="end"/>
            </w:r>
            <w:r>
              <w:fldChar w:fldCharType="separate"/>
            </w:r>
            <w:r w:rsidR="00896BE2">
              <w:rPr>
                <w:noProof/>
              </w:rPr>
              <w:t>(</w:t>
            </w:r>
            <w:hyperlink w:anchor="_ENREF_13" w:tooltip="Chapel, 1994 #56" w:history="1">
              <w:r w:rsidR="00BB0145">
                <w:rPr>
                  <w:noProof/>
                </w:rPr>
                <w:t>1994b</w:t>
              </w:r>
            </w:hyperlink>
            <w:r w:rsidR="00896BE2">
              <w:rPr>
                <w:noProof/>
              </w:rPr>
              <w:t>)</w:t>
            </w:r>
            <w:r>
              <w:fldChar w:fldCharType="end"/>
            </w:r>
            <w:r>
              <w:t>: 66</w:t>
            </w:r>
          </w:p>
          <w:p w14:paraId="4AC99B99" w14:textId="25C2D349" w:rsidR="00911F85" w:rsidRDefault="00911F85" w:rsidP="008742A1">
            <w:pPr>
              <w:pStyle w:val="Tabletext1"/>
              <w:jc w:val="center"/>
            </w:pPr>
            <w:r w:rsidRPr="00F55739">
              <w:t>Musto, Brugiatelli &amp; Carotenuto</w:t>
            </w:r>
            <w:r>
              <w:t xml:space="preserve"> </w:t>
            </w:r>
            <w:r>
              <w:fldChar w:fldCharType="begin"/>
            </w:r>
            <w:r>
              <w:instrText xml:space="preserve"> ADDIN EN.CITE &lt;EndNote&gt;&lt;Cite ExcludeAuth="1"&gt;&lt;Author&gt;Musto&lt;/Author&gt;&lt;Year&gt;1995&lt;/Year&gt;&lt;RecNum&gt;60&lt;/RecNum&gt;&lt;DisplayText&gt;(1995)&lt;/DisplayText&gt;&lt;record&gt;&lt;rec-number&gt;60&lt;/rec-number&gt;&lt;foreign-keys&gt;&lt;key app="EN" db-id="z0vwsepdwpt20pewwts5z9eup9e2r2pd2tad" timestamp="1554267573"&gt;60&lt;/key&gt;&lt;key app="ENWeb" db-id=""&gt;0&lt;/key&gt;&lt;/foreign-keys&gt;&lt;ref-type name="Journal Article"&gt;17&lt;/ref-type&gt;&lt;contributors&gt;&lt;authors&gt;&lt;author&gt;Musto, P.&lt;/author&gt;&lt;author&gt;Brugiatelli, M.&lt;/author&gt;&lt;author&gt;Carotenuto, M.&lt;/author&gt;&lt;/authors&gt;&lt;/contributors&gt;&lt;titles&gt;&lt;title&gt;Prophylaxis against infections with intravenous immunoglobulins in multiple myeloma&lt;/title&gt;&lt;secondary-title&gt;Br J Haematol&lt;/secondary-title&gt;&lt;/titles&gt;&lt;periodical&gt;&lt;full-title&gt;Br J Haematol&lt;/full-title&gt;&lt;/periodical&gt;&lt;dates&gt;&lt;year&gt;1995&lt;/year&gt;&lt;/dates&gt;&lt;urls&gt;&lt;/urls&gt;&lt;research-notes&gt;MM (pearled) cross-over study IVIG vs no prophylaxis&lt;/research-notes&gt;&lt;/record&gt;&lt;/Cite&gt;&lt;/EndNote&gt;</w:instrText>
            </w:r>
            <w:r>
              <w:fldChar w:fldCharType="separate"/>
            </w:r>
            <w:r>
              <w:rPr>
                <w:noProof/>
              </w:rPr>
              <w:t>(</w:t>
            </w:r>
            <w:hyperlink w:anchor="_ENREF_33" w:tooltip="Musto, 1995 #60" w:history="1">
              <w:r w:rsidR="00BB0145">
                <w:rPr>
                  <w:noProof/>
                </w:rPr>
                <w:t>1995</w:t>
              </w:r>
            </w:hyperlink>
            <w:r>
              <w:rPr>
                <w:noProof/>
              </w:rPr>
              <w:t>)</w:t>
            </w:r>
            <w:r>
              <w:fldChar w:fldCharType="end"/>
            </w:r>
            <w:r>
              <w:t>: NR</w:t>
            </w:r>
          </w:p>
          <w:p w14:paraId="33631D64" w14:textId="62E85278" w:rsidR="00911F85" w:rsidRPr="009A0178" w:rsidRDefault="00911F85" w:rsidP="00BB0145">
            <w:pPr>
              <w:pStyle w:val="Tabletext1"/>
              <w:jc w:val="center"/>
            </w:pPr>
            <w:r>
              <w:t xml:space="preserve">Vacca et al. </w:t>
            </w:r>
            <w:r>
              <w:fldChar w:fldCharType="begin">
                <w:fldData xml:space="preserve">PEVuZE5vdGU+PENpdGUgRXhjbHVkZUF1dGg9IjEiPjxBdXRob3I+VmFjY2E8L0F1dGhvcj48WWVh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</w:fldData>
              </w:fldChar>
            </w:r>
            <w:r>
              <w:instrText xml:space="preserve"> ADDIN EN.CITE </w:instrText>
            </w:r>
            <w:r>
              <w:fldChar w:fldCharType="begin">
                <w:fldData xml:space="preserve">PEVuZE5vdGU+PENpdGUgRXhjbHVkZUF1dGg9IjEiPjxBdXRob3I+VmFjY2E8L0F1dGhvcj48WWVh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</w:fldData>
              </w:fldChar>
            </w:r>
            <w:r>
              <w:instrText xml:space="preserve"> ADDIN EN.CITE.DATA </w:instrText>
            </w:r>
            <w:r>
              <w:fldChar w:fldCharType="end"/>
            </w:r>
            <w:r>
              <w:fldChar w:fldCharType="separate"/>
            </w:r>
            <w:r>
              <w:rPr>
                <w:noProof/>
              </w:rPr>
              <w:t>(</w:t>
            </w:r>
            <w:hyperlink w:anchor="_ENREF_52" w:tooltip="Vacca, 2018 #30" w:history="1">
              <w:r w:rsidR="00BB0145">
                <w:rPr>
                  <w:noProof/>
                </w:rPr>
                <w:t>2018</w:t>
              </w:r>
            </w:hyperlink>
            <w:r>
              <w:rPr>
                <w:noProof/>
              </w:rPr>
              <w:t>)</w:t>
            </w:r>
            <w:r>
              <w:fldChar w:fldCharType="end"/>
            </w:r>
            <w:r>
              <w:t>: 71</w:t>
            </w:r>
          </w:p>
        </w:tc>
        <w:tc>
          <w:tcPr>
            <w:tcW w:w="1044" w:type="pct"/>
            <w:tcBorders>
              <w:top w:val="single" w:sz="4" w:space="0" w:color="auto"/>
              <w:left w:val="single" w:sz="4" w:space="0" w:color="auto"/>
              <w:bottom w:val="single" w:sz="4" w:space="0" w:color="auto"/>
              <w:right w:val="single" w:sz="4" w:space="0" w:color="auto"/>
            </w:tcBorders>
          </w:tcPr>
          <w:p w14:paraId="7C6B52E0" w14:textId="77777777" w:rsidR="00911F85" w:rsidRPr="009A0178" w:rsidRDefault="00911F85" w:rsidP="008742A1">
            <w:pPr>
              <w:pStyle w:val="Tabletext1"/>
              <w:jc w:val="center"/>
            </w:pPr>
            <w:r w:rsidRPr="00A662A5">
              <w:t>77.8</w:t>
            </w:r>
          </w:p>
        </w:tc>
        <w:tc>
          <w:tcPr>
            <w:tcW w:w="1043" w:type="pct"/>
            <w:tcBorders>
              <w:top w:val="single" w:sz="4" w:space="0" w:color="auto"/>
              <w:left w:val="single" w:sz="4" w:space="0" w:color="auto"/>
              <w:bottom w:val="single" w:sz="4" w:space="0" w:color="auto"/>
              <w:right w:val="single" w:sz="4" w:space="0" w:color="auto"/>
            </w:tcBorders>
            <w:shd w:val="clear" w:color="auto" w:fill="auto"/>
            <w:noWrap/>
          </w:tcPr>
          <w:p w14:paraId="3C575B81" w14:textId="6E2F8298" w:rsidR="00911F85" w:rsidRDefault="00911F85" w:rsidP="008742A1">
            <w:pPr>
              <w:pStyle w:val="Tabletext1"/>
              <w:jc w:val="center"/>
            </w:pPr>
            <w:r>
              <w:t xml:space="preserve">Chapel et al. </w:t>
            </w:r>
            <w:r>
              <w:fldChar w:fldCharType="begin">
                <w:fldData xml:space="preserve">PEVuZE5vdGU+PENpdGUgRXhjbHVkZUF1dGg9IjEiPjxBdXRob3I+Q2hhcGVsPC9BdXRob3I+PFll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==
</w:fldData>
              </w:fldChar>
            </w:r>
            <w:r w:rsidR="00896BE2">
              <w:instrText xml:space="preserve"> ADDIN EN.CITE </w:instrText>
            </w:r>
            <w:r w:rsidR="00896BE2">
              <w:fldChar w:fldCharType="begin">
                <w:fldData xml:space="preserve">PEVuZE5vdGU+PENpdGUgRXhjbHVkZUF1dGg9IjEiPjxBdXRob3I+Q2hhcGVsPC9BdXRob3I+PFll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==
</w:fldData>
              </w:fldChar>
            </w:r>
            <w:r w:rsidR="00896BE2">
              <w:instrText xml:space="preserve"> ADDIN EN.CITE.DATA </w:instrText>
            </w:r>
            <w:r w:rsidR="00896BE2">
              <w:fldChar w:fldCharType="end"/>
            </w:r>
            <w:r>
              <w:fldChar w:fldCharType="separate"/>
            </w:r>
            <w:r w:rsidR="00896BE2">
              <w:rPr>
                <w:noProof/>
              </w:rPr>
              <w:t>(</w:t>
            </w:r>
            <w:hyperlink w:anchor="_ENREF_13" w:tooltip="Chapel, 1994 #56" w:history="1">
              <w:r w:rsidR="00BB0145">
                <w:rPr>
                  <w:noProof/>
                </w:rPr>
                <w:t>1994b</w:t>
              </w:r>
            </w:hyperlink>
            <w:r w:rsidR="00896BE2">
              <w:rPr>
                <w:noProof/>
              </w:rPr>
              <w:t>)</w:t>
            </w:r>
            <w:r>
              <w:fldChar w:fldCharType="end"/>
            </w:r>
            <w:r>
              <w:t>: NR</w:t>
            </w:r>
          </w:p>
          <w:p w14:paraId="7E5E2EB7" w14:textId="6B1B1CC4" w:rsidR="00911F85" w:rsidRDefault="00911F85" w:rsidP="008742A1">
            <w:pPr>
              <w:pStyle w:val="Tabletext1"/>
              <w:jc w:val="center"/>
            </w:pPr>
            <w:r w:rsidRPr="00F55739">
              <w:t>Musto, Brugiatelli &amp; Carotenuto</w:t>
            </w:r>
            <w:r>
              <w:t xml:space="preserve"> </w:t>
            </w:r>
            <w:r>
              <w:fldChar w:fldCharType="begin"/>
            </w:r>
            <w:r>
              <w:instrText xml:space="preserve"> ADDIN EN.CITE &lt;EndNote&gt;&lt;Cite ExcludeAuth="1"&gt;&lt;Author&gt;Musto&lt;/Author&gt;&lt;Year&gt;1995&lt;/Year&gt;&lt;RecNum&gt;60&lt;/RecNum&gt;&lt;DisplayText&gt;(1995)&lt;/DisplayText&gt;&lt;record&gt;&lt;rec-number&gt;60&lt;/rec-number&gt;&lt;foreign-keys&gt;&lt;key app="EN" db-id="z0vwsepdwpt20pewwts5z9eup9e2r2pd2tad" timestamp="1554267573"&gt;60&lt;/key&gt;&lt;key app="ENWeb" db-id=""&gt;0&lt;/key&gt;&lt;/foreign-keys&gt;&lt;ref-type name="Journal Article"&gt;17&lt;/ref-type&gt;&lt;contributors&gt;&lt;authors&gt;&lt;author&gt;Musto, P.&lt;/author&gt;&lt;author&gt;Brugiatelli, M.&lt;/author&gt;&lt;author&gt;Carotenuto, M.&lt;/author&gt;&lt;/authors&gt;&lt;/contributors&gt;&lt;titles&gt;&lt;title&gt;Prophylaxis against infections with intravenous immunoglobulins in multiple myeloma&lt;/title&gt;&lt;secondary-title&gt;Br J Haematol&lt;/secondary-title&gt;&lt;/titles&gt;&lt;periodical&gt;&lt;full-title&gt;Br J Haematol&lt;/full-title&gt;&lt;/periodical&gt;&lt;dates&gt;&lt;year&gt;1995&lt;/year&gt;&lt;/dates&gt;&lt;urls&gt;&lt;/urls&gt;&lt;research-notes&gt;MM (pearled) cross-over study IVIG vs no prophylaxis&lt;/research-notes&gt;&lt;/record&gt;&lt;/Cite&gt;&lt;/EndNote&gt;</w:instrText>
            </w:r>
            <w:r>
              <w:fldChar w:fldCharType="separate"/>
            </w:r>
            <w:r>
              <w:rPr>
                <w:noProof/>
              </w:rPr>
              <w:t>(</w:t>
            </w:r>
            <w:hyperlink w:anchor="_ENREF_33" w:tooltip="Musto, 1995 #60" w:history="1">
              <w:r w:rsidR="00BB0145">
                <w:rPr>
                  <w:noProof/>
                </w:rPr>
                <w:t>1995</w:t>
              </w:r>
            </w:hyperlink>
            <w:r>
              <w:rPr>
                <w:noProof/>
              </w:rPr>
              <w:t>)</w:t>
            </w:r>
            <w:r>
              <w:fldChar w:fldCharType="end"/>
            </w:r>
            <w:r>
              <w:t>: NR</w:t>
            </w:r>
          </w:p>
          <w:p w14:paraId="7E330DED" w14:textId="14DCA66D" w:rsidR="00911F85" w:rsidRPr="009A0178" w:rsidRDefault="00911F85" w:rsidP="00BB0145">
            <w:pPr>
              <w:pStyle w:val="Tabletext1"/>
              <w:jc w:val="center"/>
            </w:pPr>
            <w:r>
              <w:t xml:space="preserve">Vacca et al. </w:t>
            </w:r>
            <w:r>
              <w:fldChar w:fldCharType="begin">
                <w:fldData xml:space="preserve">PEVuZE5vdGU+PENpdGUgRXhjbHVkZUF1dGg9IjEiPjxBdXRob3I+VmFjY2E8L0F1dGhvcj48WWVh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</w:fldData>
              </w:fldChar>
            </w:r>
            <w:r>
              <w:instrText xml:space="preserve"> ADDIN EN.CITE </w:instrText>
            </w:r>
            <w:r>
              <w:fldChar w:fldCharType="begin">
                <w:fldData xml:space="preserve">PEVuZE5vdGU+PENpdGUgRXhjbHVkZUF1dGg9IjEiPjxBdXRob3I+VmFjY2E8L0F1dGhvcj48WWVh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</w:fldData>
              </w:fldChar>
            </w:r>
            <w:r>
              <w:instrText xml:space="preserve"> ADDIN EN.CITE.DATA </w:instrText>
            </w:r>
            <w:r>
              <w:fldChar w:fldCharType="end"/>
            </w:r>
            <w:r>
              <w:fldChar w:fldCharType="separate"/>
            </w:r>
            <w:r>
              <w:rPr>
                <w:noProof/>
              </w:rPr>
              <w:t>(</w:t>
            </w:r>
            <w:hyperlink w:anchor="_ENREF_52" w:tooltip="Vacca, 2018 #30" w:history="1">
              <w:r w:rsidR="00BB0145">
                <w:rPr>
                  <w:noProof/>
                </w:rPr>
                <w:t>2018</w:t>
              </w:r>
            </w:hyperlink>
            <w:r>
              <w:rPr>
                <w:noProof/>
              </w:rPr>
              <w:t>)</w:t>
            </w:r>
            <w:r>
              <w:fldChar w:fldCharType="end"/>
            </w:r>
            <w:r>
              <w:t>: NR</w:t>
            </w:r>
          </w:p>
        </w:tc>
      </w:tr>
      <w:tr w:rsidR="00911F85" w:rsidRPr="009A0178" w14:paraId="60EFAE5A" w14:textId="77777777" w:rsidTr="008742A1">
        <w:trPr>
          <w:cantSplit/>
          <w:trHeight w:val="300"/>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25FC2761" w14:textId="77777777" w:rsidR="00911F85" w:rsidRPr="009A0178" w:rsidRDefault="00911F85" w:rsidP="008742A1">
            <w:pPr>
              <w:pStyle w:val="Tabletext1"/>
            </w:pPr>
            <w:r>
              <w:t>NHL</w:t>
            </w:r>
          </w:p>
        </w:tc>
        <w:tc>
          <w:tcPr>
            <w:tcW w:w="1043" w:type="pct"/>
            <w:tcBorders>
              <w:top w:val="single" w:sz="4" w:space="0" w:color="auto"/>
              <w:left w:val="nil"/>
              <w:bottom w:val="single" w:sz="4" w:space="0" w:color="auto"/>
              <w:right w:val="single" w:sz="4" w:space="0" w:color="auto"/>
            </w:tcBorders>
          </w:tcPr>
          <w:p w14:paraId="557F8C81" w14:textId="77777777" w:rsidR="00911F85" w:rsidRPr="009A0178" w:rsidRDefault="00911F85" w:rsidP="008742A1">
            <w:pPr>
              <w:pStyle w:val="Tabletext1"/>
              <w:jc w:val="center"/>
            </w:pPr>
            <w:r w:rsidRPr="0059272A">
              <w:t>68.3</w:t>
            </w:r>
          </w:p>
        </w:tc>
        <w:tc>
          <w:tcPr>
            <w:tcW w:w="1044" w:type="pct"/>
            <w:tcBorders>
              <w:top w:val="single" w:sz="4" w:space="0" w:color="auto"/>
              <w:left w:val="single" w:sz="4" w:space="0" w:color="auto"/>
              <w:bottom w:val="single" w:sz="4" w:space="0" w:color="auto"/>
              <w:right w:val="single" w:sz="4" w:space="0" w:color="auto"/>
            </w:tcBorders>
          </w:tcPr>
          <w:p w14:paraId="193E09A8" w14:textId="45E1476C" w:rsidR="00911F85" w:rsidRPr="009A0178" w:rsidRDefault="00911F85" w:rsidP="00BB0145">
            <w:pPr>
              <w:pStyle w:val="Tabletext1"/>
              <w:jc w:val="center"/>
            </w:pPr>
            <w:r>
              <w:t xml:space="preserve">Chapel et al. </w:t>
            </w:r>
            <w:r>
              <w:fldChar w:fldCharType="begin"/>
            </w:r>
            <w:r>
              <w:instrText xml:space="preserve"> ADDIN EN.CITE &lt;EndNote&gt;&lt;Cite ExcludeAuth="1"&gt;&lt;Author&gt;Chapel&lt;/Author&gt;&lt;Year&gt;1991&lt;/Year&gt;&lt;RecNum&gt;32&lt;/RecNum&gt;&lt;DisplayText&gt;(1991)&lt;/DisplayText&gt;&lt;record&gt;&lt;rec-number&gt;32&lt;/rec-number&gt;&lt;foreign-keys&gt;&lt;key app="EN" db-id="z0vwsepdwpt20pewwts5z9eup9e2r2pd2tad" timestamp="1553825060"&gt;32&lt;/key&gt;&lt;/foreign-keys&gt;&lt;ref-type name="Journal Article"&gt;17&lt;/ref-type&gt;&lt;contributors&gt;&lt;authors&gt;&lt;author&gt;Chapel, H. M.&lt;/author&gt;&lt;author&gt;Griffiths, H.&lt;/author&gt;&lt;author&gt;Brennan, V.&lt;/author&gt;&lt;author&gt;Bunch, C.&lt;/author&gt;&lt;author&gt;Lea, J.&lt;/author&gt;&lt;author&gt;Lee, M.&lt;/author&gt;&lt;/authors&gt;&lt;/contributors&gt;&lt;titles&gt;&lt;title&gt;Hypogammaglobulinaemia in low grade B cell tumours; significance and therapy&lt;/title&gt;&lt;secondary-title&gt;Immunological investigations&lt;/secondary-title&gt;&lt;/titles&gt;&lt;periodical&gt;&lt;full-title&gt;Immunological investigations&lt;/full-title&gt;&lt;/periodical&gt;&lt;pages&gt;187</w:instrText>
            </w:r>
            <w:r>
              <w:rPr>
                <w:rFonts w:ascii="Cambria Math" w:hAnsi="Cambria Math" w:cs="Cambria Math"/>
              </w:rPr>
              <w:instrText>‐</w:instrText>
            </w:r>
            <w:r>
              <w:instrText>191&lt;/pages&gt;&lt;volume&gt;20&lt;/volume&gt;&lt;number&gt;2&lt;/number&gt;&lt;keywords&gt;&lt;keyword&gt;Agammaglobulinemia [complications, *therapy]&lt;/keyword&gt;&lt;keyword&gt;Bacterial Infections [etiology, *prevention &amp;amp; control]&lt;/keyword&gt;&lt;keyword&gt;Humans&lt;/keyword&gt;&lt;keyword&gt;Immunoglobulin G [therapeutic use]&lt;/keyword&gt;&lt;keyword&gt;Immunotherapy&lt;/keyword&gt;&lt;keyword&gt;Infusions, Intravenous&lt;/keyword&gt;&lt;keyword&gt;Leukemia, Lymphocytic, Chronic, B</w:instrText>
            </w:r>
            <w:r>
              <w:rPr>
                <w:rFonts w:ascii="Cambria Math" w:hAnsi="Cambria Math" w:cs="Cambria Math"/>
              </w:rPr>
              <w:instrText>‐</w:instrText>
            </w:r>
            <w:r>
              <w:instrText>Cell [complications]&lt;/keyword&gt;&lt;keyword&gt;Lymphoma, Non</w:instrText>
            </w:r>
            <w:r>
              <w:rPr>
                <w:rFonts w:ascii="Cambria Math" w:hAnsi="Cambria Math" w:cs="Cambria Math"/>
              </w:rPr>
              <w:instrText>‐</w:instrText>
            </w:r>
            <w:r>
              <w:instrText>Hodgkin [complications]&lt;/keyword&gt;&lt;/keywords&gt;&lt;dates&gt;&lt;year&gt;1991&lt;/year&gt;&lt;pub-dates&gt;&lt;date&gt;1991&lt;/date&gt;&lt;/pub-dates&gt;&lt;/dates&gt;&lt;accession-num&gt;CN-00077281&lt;/accession-num&gt;&lt;urls&gt;&lt;related-urls&gt;&lt;url&gt;&lt;style face="underline" font="default" size="100%"&gt;https://www.cochranelibrary.com/central/doi/10.1002/central/CN-00077281/full&lt;/style&gt;&lt;/url&gt;&lt;/related-urls&gt;&lt;/urls&gt;&lt;custom1&gt;RAYYAN-INCLUSION: {&amp;quot;Skye&amp;quot;=&amp;gt;&amp;quot;Included&amp;quot;}&lt;/custom1&gt;&lt;research-notes&gt;CLL and NHL IVIg vs saline&lt;/research-notes&gt;&lt;/record&gt;&lt;/Cite&gt;&lt;/EndNote&gt;</w:instrText>
            </w:r>
            <w:r>
              <w:fldChar w:fldCharType="separate"/>
            </w:r>
            <w:r>
              <w:rPr>
                <w:noProof/>
              </w:rPr>
              <w:t>(</w:t>
            </w:r>
            <w:hyperlink w:anchor="_ENREF_12" w:tooltip="Chapel, 1991 #32" w:history="1">
              <w:r w:rsidR="00BB0145">
                <w:rPr>
                  <w:noProof/>
                </w:rPr>
                <w:t>1991</w:t>
              </w:r>
            </w:hyperlink>
            <w:r>
              <w:rPr>
                <w:noProof/>
              </w:rPr>
              <w:t>)</w:t>
            </w:r>
            <w:r>
              <w:fldChar w:fldCharType="end"/>
            </w:r>
            <w:r>
              <w:t>: NR</w:t>
            </w:r>
          </w:p>
        </w:tc>
        <w:tc>
          <w:tcPr>
            <w:tcW w:w="1044" w:type="pct"/>
            <w:tcBorders>
              <w:top w:val="single" w:sz="4" w:space="0" w:color="auto"/>
              <w:left w:val="single" w:sz="4" w:space="0" w:color="auto"/>
              <w:bottom w:val="single" w:sz="4" w:space="0" w:color="auto"/>
              <w:right w:val="single" w:sz="4" w:space="0" w:color="auto"/>
            </w:tcBorders>
          </w:tcPr>
          <w:p w14:paraId="7C052EDF" w14:textId="77777777" w:rsidR="00911F85" w:rsidRPr="009A0178" w:rsidRDefault="00911F85" w:rsidP="008742A1">
            <w:pPr>
              <w:pStyle w:val="Tabletext1"/>
              <w:jc w:val="center"/>
            </w:pPr>
            <w:r w:rsidRPr="00A662A5">
              <w:t>76.3</w:t>
            </w:r>
          </w:p>
        </w:tc>
        <w:tc>
          <w:tcPr>
            <w:tcW w:w="1043" w:type="pct"/>
            <w:tcBorders>
              <w:top w:val="single" w:sz="4" w:space="0" w:color="auto"/>
              <w:left w:val="single" w:sz="4" w:space="0" w:color="auto"/>
              <w:bottom w:val="single" w:sz="4" w:space="0" w:color="auto"/>
              <w:right w:val="single" w:sz="4" w:space="0" w:color="auto"/>
            </w:tcBorders>
            <w:shd w:val="clear" w:color="auto" w:fill="auto"/>
            <w:noWrap/>
          </w:tcPr>
          <w:p w14:paraId="6DE40DBB" w14:textId="05A3595F" w:rsidR="00911F85" w:rsidRPr="009A0178" w:rsidRDefault="00911F85" w:rsidP="00BB0145">
            <w:pPr>
              <w:pStyle w:val="Tabletext1"/>
              <w:jc w:val="center"/>
            </w:pPr>
            <w:r>
              <w:t xml:space="preserve">Chapel et al. </w:t>
            </w:r>
            <w:r>
              <w:fldChar w:fldCharType="begin"/>
            </w:r>
            <w:r>
              <w:instrText xml:space="preserve"> ADDIN EN.CITE &lt;EndNote&gt;&lt;Cite ExcludeAuth="1"&gt;&lt;Author&gt;Chapel&lt;/Author&gt;&lt;Year&gt;1991&lt;/Year&gt;&lt;RecNum&gt;32&lt;/RecNum&gt;&lt;DisplayText&gt;(1991)&lt;/DisplayText&gt;&lt;record&gt;&lt;rec-number&gt;32&lt;/rec-number&gt;&lt;foreign-keys&gt;&lt;key app="EN" db-id="z0vwsepdwpt20pewwts5z9eup9e2r2pd2tad" timestamp="1553825060"&gt;32&lt;/key&gt;&lt;/foreign-keys&gt;&lt;ref-type name="Journal Article"&gt;17&lt;/ref-type&gt;&lt;contributors&gt;&lt;authors&gt;&lt;author&gt;Chapel, H. M.&lt;/author&gt;&lt;author&gt;Griffiths, H.&lt;/author&gt;&lt;author&gt;Brennan, V.&lt;/author&gt;&lt;author&gt;Bunch, C.&lt;/author&gt;&lt;author&gt;Lea, J.&lt;/author&gt;&lt;author&gt;Lee, M.&lt;/author&gt;&lt;/authors&gt;&lt;/contributors&gt;&lt;titles&gt;&lt;title&gt;Hypogammaglobulinaemia in low grade B cell tumours; significance and therapy&lt;/title&gt;&lt;secondary-title&gt;Immunological investigations&lt;/secondary-title&gt;&lt;/titles&gt;&lt;periodical&gt;&lt;full-title&gt;Immunological investigations&lt;/full-title&gt;&lt;/periodical&gt;&lt;pages&gt;187</w:instrText>
            </w:r>
            <w:r>
              <w:rPr>
                <w:rFonts w:ascii="Cambria Math" w:hAnsi="Cambria Math" w:cs="Cambria Math"/>
              </w:rPr>
              <w:instrText>‐</w:instrText>
            </w:r>
            <w:r>
              <w:instrText>191&lt;/pages&gt;&lt;volume&gt;20&lt;/volume&gt;&lt;number&gt;2&lt;/number&gt;&lt;keywords&gt;&lt;keyword&gt;Agammaglobulinemia [complications, *therapy]&lt;/keyword&gt;&lt;keyword&gt;Bacterial Infections [etiology, *prevention &amp;amp; control]&lt;/keyword&gt;&lt;keyword&gt;Humans&lt;/keyword&gt;&lt;keyword&gt;Immunoglobulin G [therapeutic use]&lt;/keyword&gt;&lt;keyword&gt;Immunotherapy&lt;/keyword&gt;&lt;keyword&gt;Infusions, Intravenous&lt;/keyword&gt;&lt;keyword&gt;Leukemia, Lymphocytic, Chronic, B</w:instrText>
            </w:r>
            <w:r>
              <w:rPr>
                <w:rFonts w:ascii="Cambria Math" w:hAnsi="Cambria Math" w:cs="Cambria Math"/>
              </w:rPr>
              <w:instrText>‐</w:instrText>
            </w:r>
            <w:r>
              <w:instrText>Cell [complications]&lt;/keyword&gt;&lt;keyword&gt;Lymphoma, Non</w:instrText>
            </w:r>
            <w:r>
              <w:rPr>
                <w:rFonts w:ascii="Cambria Math" w:hAnsi="Cambria Math" w:cs="Cambria Math"/>
              </w:rPr>
              <w:instrText>‐</w:instrText>
            </w:r>
            <w:r>
              <w:instrText>Hodgkin [complications]&lt;/keyword&gt;&lt;/keywords&gt;&lt;dates&gt;&lt;year&gt;1991&lt;/year&gt;&lt;pub-dates&gt;&lt;date&gt;1991&lt;/date&gt;&lt;/pub-dates&gt;&lt;/dates&gt;&lt;accession-num&gt;CN-00077281&lt;/accession-num&gt;&lt;urls&gt;&lt;related-urls&gt;&lt;url&gt;&lt;style face="underline" font="default" size="100%"&gt;https://www.cochranelibrary.com/central/doi/10.1002/central/CN-00077281/full&lt;/style&gt;&lt;/url&gt;&lt;/related-urls&gt;&lt;/urls&gt;&lt;custom1&gt;RAYYAN-INCLUSION: {&amp;quot;Skye&amp;quot;=&amp;gt;&amp;quot;Included&amp;quot;}&lt;/custom1&gt;&lt;research-notes&gt;CLL and NHL IVIg vs saline&lt;/research-notes&gt;&lt;/record&gt;&lt;/Cite&gt;&lt;/EndNote&gt;</w:instrText>
            </w:r>
            <w:r>
              <w:fldChar w:fldCharType="separate"/>
            </w:r>
            <w:r>
              <w:rPr>
                <w:noProof/>
              </w:rPr>
              <w:t>(</w:t>
            </w:r>
            <w:hyperlink w:anchor="_ENREF_12" w:tooltip="Chapel, 1991 #32" w:history="1">
              <w:r w:rsidR="00BB0145">
                <w:rPr>
                  <w:noProof/>
                </w:rPr>
                <w:t>1991</w:t>
              </w:r>
            </w:hyperlink>
            <w:r>
              <w:rPr>
                <w:noProof/>
              </w:rPr>
              <w:t>)</w:t>
            </w:r>
            <w:r>
              <w:fldChar w:fldCharType="end"/>
            </w:r>
            <w:r>
              <w:t>: NR</w:t>
            </w:r>
          </w:p>
        </w:tc>
      </w:tr>
      <w:tr w:rsidR="00911F85" w:rsidRPr="009A0178" w14:paraId="35F642F9" w14:textId="77777777" w:rsidTr="008742A1">
        <w:trPr>
          <w:cantSplit/>
          <w:trHeight w:val="300"/>
        </w:trPr>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6600906E" w14:textId="77777777" w:rsidR="00911F85" w:rsidRPr="009A0178" w:rsidRDefault="00911F85" w:rsidP="008742A1">
            <w:pPr>
              <w:pStyle w:val="Tabletext1"/>
            </w:pPr>
            <w:r w:rsidRPr="009A0178">
              <w:t xml:space="preserve">Other </w:t>
            </w:r>
            <w:r>
              <w:t>HM</w:t>
            </w:r>
          </w:p>
        </w:tc>
        <w:tc>
          <w:tcPr>
            <w:tcW w:w="1043" w:type="pct"/>
            <w:tcBorders>
              <w:top w:val="single" w:sz="4" w:space="0" w:color="auto"/>
              <w:left w:val="nil"/>
              <w:bottom w:val="single" w:sz="4" w:space="0" w:color="auto"/>
              <w:right w:val="single" w:sz="4" w:space="0" w:color="auto"/>
            </w:tcBorders>
          </w:tcPr>
          <w:p w14:paraId="3EB1AEB8" w14:textId="77777777" w:rsidR="00911F85" w:rsidRPr="009A0178" w:rsidRDefault="00911F85" w:rsidP="008742A1">
            <w:pPr>
              <w:pStyle w:val="Tabletext1"/>
              <w:jc w:val="center"/>
            </w:pPr>
            <w:r w:rsidRPr="0059272A">
              <w:t>54.7</w:t>
            </w:r>
          </w:p>
        </w:tc>
        <w:tc>
          <w:tcPr>
            <w:tcW w:w="1044" w:type="pct"/>
            <w:tcBorders>
              <w:top w:val="single" w:sz="4" w:space="0" w:color="auto"/>
              <w:left w:val="single" w:sz="4" w:space="0" w:color="auto"/>
              <w:bottom w:val="single" w:sz="4" w:space="0" w:color="auto"/>
              <w:right w:val="single" w:sz="4" w:space="0" w:color="auto"/>
            </w:tcBorders>
          </w:tcPr>
          <w:p w14:paraId="41888BC1" w14:textId="77777777" w:rsidR="00911F85" w:rsidRPr="009A0178" w:rsidRDefault="00911F85" w:rsidP="008742A1">
            <w:pPr>
              <w:pStyle w:val="Tabletext1"/>
              <w:jc w:val="center"/>
            </w:pPr>
            <w:r>
              <w:t>-</w:t>
            </w:r>
          </w:p>
        </w:tc>
        <w:tc>
          <w:tcPr>
            <w:tcW w:w="1044" w:type="pct"/>
            <w:tcBorders>
              <w:top w:val="single" w:sz="4" w:space="0" w:color="auto"/>
              <w:left w:val="single" w:sz="4" w:space="0" w:color="auto"/>
              <w:bottom w:val="single" w:sz="4" w:space="0" w:color="auto"/>
              <w:right w:val="single" w:sz="4" w:space="0" w:color="auto"/>
            </w:tcBorders>
          </w:tcPr>
          <w:p w14:paraId="2E664CD2" w14:textId="77777777" w:rsidR="00911F85" w:rsidRPr="009A0178" w:rsidRDefault="00911F85" w:rsidP="008742A1">
            <w:pPr>
              <w:pStyle w:val="Tabletext1"/>
              <w:jc w:val="center"/>
            </w:pPr>
            <w:r w:rsidRPr="00A662A5">
              <w:t>67.1</w:t>
            </w:r>
          </w:p>
        </w:tc>
        <w:tc>
          <w:tcPr>
            <w:tcW w:w="1043" w:type="pct"/>
            <w:tcBorders>
              <w:top w:val="single" w:sz="4" w:space="0" w:color="auto"/>
              <w:left w:val="single" w:sz="4" w:space="0" w:color="auto"/>
              <w:bottom w:val="single" w:sz="4" w:space="0" w:color="auto"/>
              <w:right w:val="single" w:sz="4" w:space="0" w:color="auto"/>
            </w:tcBorders>
            <w:shd w:val="clear" w:color="auto" w:fill="auto"/>
            <w:noWrap/>
          </w:tcPr>
          <w:p w14:paraId="259DE8BC" w14:textId="77777777" w:rsidR="00911F85" w:rsidRPr="009A0178" w:rsidRDefault="00911F85" w:rsidP="008742A1">
            <w:pPr>
              <w:pStyle w:val="Tabletext1"/>
              <w:jc w:val="center"/>
            </w:pPr>
            <w:r>
              <w:t>-</w:t>
            </w:r>
          </w:p>
        </w:tc>
      </w:tr>
      <w:tr w:rsidR="00911F85" w:rsidRPr="009A0178" w14:paraId="697E0263" w14:textId="77777777" w:rsidTr="008742A1">
        <w:trPr>
          <w:cantSplit/>
          <w:trHeight w:val="300"/>
        </w:trPr>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419A8" w14:textId="77777777" w:rsidR="00911F85" w:rsidRPr="009A0178" w:rsidRDefault="00911F85" w:rsidP="008742A1">
            <w:pPr>
              <w:pStyle w:val="Tabletext1"/>
            </w:pPr>
            <w:r>
              <w:t>Post-HSCT</w:t>
            </w:r>
          </w:p>
        </w:tc>
        <w:tc>
          <w:tcPr>
            <w:tcW w:w="1043" w:type="pct"/>
            <w:tcBorders>
              <w:top w:val="single" w:sz="4" w:space="0" w:color="auto"/>
              <w:left w:val="nil"/>
              <w:bottom w:val="single" w:sz="4" w:space="0" w:color="auto"/>
              <w:right w:val="single" w:sz="4" w:space="0" w:color="auto"/>
            </w:tcBorders>
          </w:tcPr>
          <w:p w14:paraId="58091BA5" w14:textId="77777777" w:rsidR="00911F85" w:rsidRPr="009A0178" w:rsidRDefault="00911F85" w:rsidP="008742A1">
            <w:pPr>
              <w:pStyle w:val="Tabletext1"/>
              <w:jc w:val="center"/>
            </w:pPr>
            <w:r w:rsidRPr="0059272A">
              <w:t>42.0</w:t>
            </w:r>
          </w:p>
        </w:tc>
        <w:tc>
          <w:tcPr>
            <w:tcW w:w="1044" w:type="pct"/>
            <w:tcBorders>
              <w:top w:val="single" w:sz="4" w:space="0" w:color="auto"/>
              <w:left w:val="single" w:sz="4" w:space="0" w:color="auto"/>
              <w:bottom w:val="single" w:sz="4" w:space="0" w:color="auto"/>
              <w:right w:val="single" w:sz="4" w:space="0" w:color="auto"/>
            </w:tcBorders>
          </w:tcPr>
          <w:p w14:paraId="70766C12" w14:textId="501D7941" w:rsidR="00911F85" w:rsidRPr="009A0178" w:rsidRDefault="00911F85" w:rsidP="00BB0145">
            <w:pPr>
              <w:pStyle w:val="Tabletext1"/>
              <w:jc w:val="center"/>
            </w:pPr>
            <w:r>
              <w:t xml:space="preserve">Sullivan et al. </w:t>
            </w:r>
            <w:r>
              <w:fldChar w:fldCharType="begin">
                <w:fldData xml:space="preserve">PEVuZE5vdGU+PENpdGUgRXhjbHVkZUF1dGg9IjEiPjxBdXRob3I+U3VsbGl2YW48L0F1dGhvcj48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</w:fldData>
              </w:fldChar>
            </w:r>
            <w:r>
              <w:instrText xml:space="preserve"> ADDIN EN.CITE </w:instrText>
            </w:r>
            <w:r>
              <w:fldChar w:fldCharType="begin">
                <w:fldData xml:space="preserve">PEVuZE5vdGU+PENpdGUgRXhjbHVkZUF1dGg9IjEiPjxBdXRob3I+U3VsbGl2YW48L0F1dGhvcj48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</w:fldData>
              </w:fldChar>
            </w:r>
            <w:r>
              <w:instrText xml:space="preserve"> ADDIN EN.CITE.DATA </w:instrText>
            </w:r>
            <w:r>
              <w:fldChar w:fldCharType="end"/>
            </w:r>
            <w:r>
              <w:fldChar w:fldCharType="separate"/>
            </w:r>
            <w:r>
              <w:rPr>
                <w:noProof/>
              </w:rPr>
              <w:t>(</w:t>
            </w:r>
            <w:hyperlink w:anchor="_ENREF_48" w:tooltip="Sullivan, 1990 #67" w:history="1">
              <w:r w:rsidR="00BB0145">
                <w:rPr>
                  <w:noProof/>
                </w:rPr>
                <w:t>1990</w:t>
              </w:r>
            </w:hyperlink>
            <w:r>
              <w:rPr>
                <w:noProof/>
              </w:rPr>
              <w:t>)</w:t>
            </w:r>
            <w:r>
              <w:fldChar w:fldCharType="end"/>
            </w:r>
            <w:r>
              <w:t>: NR</w:t>
            </w:r>
          </w:p>
        </w:tc>
        <w:tc>
          <w:tcPr>
            <w:tcW w:w="1044" w:type="pct"/>
            <w:tcBorders>
              <w:top w:val="single" w:sz="4" w:space="0" w:color="auto"/>
              <w:left w:val="single" w:sz="4" w:space="0" w:color="auto"/>
              <w:bottom w:val="single" w:sz="4" w:space="0" w:color="auto"/>
              <w:right w:val="single" w:sz="4" w:space="0" w:color="auto"/>
            </w:tcBorders>
          </w:tcPr>
          <w:p w14:paraId="0A1CD44C" w14:textId="77777777" w:rsidR="00911F85" w:rsidRPr="009A0178" w:rsidRDefault="00911F85" w:rsidP="008742A1">
            <w:pPr>
              <w:pStyle w:val="Tabletext1"/>
              <w:jc w:val="center"/>
            </w:pPr>
            <w:r w:rsidRPr="00A662A5">
              <w:t>63.6</w:t>
            </w:r>
          </w:p>
        </w:tc>
        <w:tc>
          <w:tcPr>
            <w:tcW w:w="1043" w:type="pct"/>
            <w:tcBorders>
              <w:top w:val="single" w:sz="4" w:space="0" w:color="auto"/>
              <w:left w:val="single" w:sz="4" w:space="0" w:color="auto"/>
              <w:bottom w:val="single" w:sz="4" w:space="0" w:color="auto"/>
              <w:right w:val="single" w:sz="4" w:space="0" w:color="auto"/>
            </w:tcBorders>
            <w:shd w:val="clear" w:color="auto" w:fill="auto"/>
            <w:noWrap/>
          </w:tcPr>
          <w:p w14:paraId="0F090E80" w14:textId="2EEC45BF" w:rsidR="00911F85" w:rsidRPr="009A0178" w:rsidRDefault="00911F85" w:rsidP="00BB0145">
            <w:pPr>
              <w:pStyle w:val="Tabletext1"/>
              <w:jc w:val="center"/>
            </w:pPr>
            <w:r>
              <w:t xml:space="preserve">Sullivan et al. </w:t>
            </w:r>
            <w:r>
              <w:fldChar w:fldCharType="begin">
                <w:fldData xml:space="preserve">PEVuZE5vdGU+PENpdGUgRXhjbHVkZUF1dGg9IjEiPjxBdXRob3I+U3VsbGl2YW48L0F1dGhvcj48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</w:fldData>
              </w:fldChar>
            </w:r>
            <w:r>
              <w:instrText xml:space="preserve"> ADDIN EN.CITE </w:instrText>
            </w:r>
            <w:r>
              <w:fldChar w:fldCharType="begin">
                <w:fldData xml:space="preserve">PEVuZE5vdGU+PENpdGUgRXhjbHVkZUF1dGg9IjEiPjxBdXRob3I+U3VsbGl2YW48L0F1dGhvcj48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</w:fldData>
              </w:fldChar>
            </w:r>
            <w:r>
              <w:instrText xml:space="preserve"> ADDIN EN.CITE.DATA </w:instrText>
            </w:r>
            <w:r>
              <w:fldChar w:fldCharType="end"/>
            </w:r>
            <w:r>
              <w:fldChar w:fldCharType="separate"/>
            </w:r>
            <w:r>
              <w:rPr>
                <w:noProof/>
              </w:rPr>
              <w:t>(</w:t>
            </w:r>
            <w:hyperlink w:anchor="_ENREF_48" w:tooltip="Sullivan, 1990 #67" w:history="1">
              <w:r w:rsidR="00BB0145">
                <w:rPr>
                  <w:noProof/>
                </w:rPr>
                <w:t>1990</w:t>
              </w:r>
            </w:hyperlink>
            <w:r>
              <w:rPr>
                <w:noProof/>
              </w:rPr>
              <w:t>)</w:t>
            </w:r>
            <w:r>
              <w:fldChar w:fldCharType="end"/>
            </w:r>
            <w:r>
              <w:t>: NR</w:t>
            </w:r>
          </w:p>
        </w:tc>
      </w:tr>
      <w:tr w:rsidR="00911F85" w:rsidRPr="009A0178" w14:paraId="22081F2C" w14:textId="77777777" w:rsidTr="008742A1">
        <w:trPr>
          <w:cantSplit/>
          <w:trHeight w:val="300"/>
        </w:trPr>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2E9185" w14:textId="77777777" w:rsidR="00911F85" w:rsidRDefault="00911F85" w:rsidP="008742A1">
            <w:pPr>
              <w:pStyle w:val="Tabletext1"/>
            </w:pPr>
            <w:r>
              <w:t>Overall</w:t>
            </w:r>
          </w:p>
        </w:tc>
        <w:tc>
          <w:tcPr>
            <w:tcW w:w="1043" w:type="pct"/>
            <w:tcBorders>
              <w:top w:val="single" w:sz="4" w:space="0" w:color="auto"/>
              <w:left w:val="nil"/>
              <w:bottom w:val="single" w:sz="4" w:space="0" w:color="auto"/>
              <w:right w:val="single" w:sz="4" w:space="0" w:color="auto"/>
            </w:tcBorders>
          </w:tcPr>
          <w:p w14:paraId="6F9150F6" w14:textId="77777777" w:rsidR="00911F85" w:rsidRPr="009A0178" w:rsidRDefault="00911F85" w:rsidP="008742A1">
            <w:pPr>
              <w:pStyle w:val="Tabletext1"/>
              <w:jc w:val="center"/>
            </w:pPr>
            <w:r w:rsidRPr="0059272A">
              <w:t>66.5</w:t>
            </w:r>
          </w:p>
        </w:tc>
        <w:tc>
          <w:tcPr>
            <w:tcW w:w="1044" w:type="pct"/>
            <w:tcBorders>
              <w:top w:val="single" w:sz="4" w:space="0" w:color="auto"/>
              <w:left w:val="single" w:sz="4" w:space="0" w:color="auto"/>
              <w:bottom w:val="single" w:sz="4" w:space="0" w:color="auto"/>
              <w:right w:val="single" w:sz="4" w:space="0" w:color="auto"/>
            </w:tcBorders>
          </w:tcPr>
          <w:p w14:paraId="34DBEFAB" w14:textId="77777777" w:rsidR="00911F85" w:rsidRDefault="00911F85" w:rsidP="008742A1">
            <w:pPr>
              <w:pStyle w:val="Tabletext1"/>
              <w:jc w:val="center"/>
            </w:pPr>
            <w:r>
              <w:t>-</w:t>
            </w:r>
          </w:p>
        </w:tc>
        <w:tc>
          <w:tcPr>
            <w:tcW w:w="1044" w:type="pct"/>
            <w:tcBorders>
              <w:top w:val="single" w:sz="4" w:space="0" w:color="auto"/>
              <w:left w:val="single" w:sz="4" w:space="0" w:color="auto"/>
              <w:bottom w:val="single" w:sz="4" w:space="0" w:color="auto"/>
              <w:right w:val="single" w:sz="4" w:space="0" w:color="auto"/>
            </w:tcBorders>
          </w:tcPr>
          <w:p w14:paraId="74864829" w14:textId="77777777" w:rsidR="00911F85" w:rsidRPr="009A0178" w:rsidRDefault="00911F85" w:rsidP="008742A1">
            <w:pPr>
              <w:pStyle w:val="Tabletext1"/>
              <w:jc w:val="center"/>
            </w:pPr>
            <w:r w:rsidRPr="00A662A5">
              <w:t>75.0</w:t>
            </w:r>
          </w:p>
        </w:tc>
        <w:tc>
          <w:tcPr>
            <w:tcW w:w="1043" w:type="pct"/>
            <w:tcBorders>
              <w:top w:val="single" w:sz="4" w:space="0" w:color="auto"/>
              <w:left w:val="single" w:sz="4" w:space="0" w:color="auto"/>
              <w:bottom w:val="single" w:sz="4" w:space="0" w:color="auto"/>
              <w:right w:val="single" w:sz="4" w:space="0" w:color="auto"/>
            </w:tcBorders>
            <w:shd w:val="clear" w:color="auto" w:fill="auto"/>
            <w:noWrap/>
          </w:tcPr>
          <w:p w14:paraId="5E8B5350" w14:textId="77777777" w:rsidR="00911F85" w:rsidRDefault="00911F85" w:rsidP="008742A1">
            <w:pPr>
              <w:pStyle w:val="Tabletext1"/>
              <w:jc w:val="center"/>
            </w:pPr>
            <w:r>
              <w:t>-</w:t>
            </w:r>
          </w:p>
        </w:tc>
      </w:tr>
    </w:tbl>
    <w:p w14:paraId="2CA09F2C" w14:textId="77777777" w:rsidR="00911F85" w:rsidRPr="00E86BCE" w:rsidRDefault="00911F85" w:rsidP="00911F85">
      <w:pPr>
        <w:pStyle w:val="Tablenotes1"/>
      </w:pPr>
      <w:r>
        <w:t>CLL = chronic lymphocytic leukaemia; HM = haematological malignancy; HSCT = h</w:t>
      </w:r>
      <w:r w:rsidRPr="00E86BCE">
        <w:t>ematopoietic stem cell transplantation</w:t>
      </w:r>
      <w:r>
        <w:t>; Ig = immunoglobulin; MM = multiple myeloma; NHL = non-Hodgkin lymphoma.</w:t>
      </w:r>
    </w:p>
    <w:p w14:paraId="290719B3" w14:textId="37C645C5" w:rsidR="00911F85" w:rsidRDefault="00911F85" w:rsidP="00911F85">
      <w:pPr>
        <w:pStyle w:val="Tablenotes1"/>
      </w:pPr>
      <w:r>
        <w:rPr>
          <w:vertAlign w:val="superscript"/>
        </w:rPr>
        <w:t>a</w:t>
      </w:r>
      <w:r>
        <w:t xml:space="preserve"> Based on Version 2 data collected for the whole financial year, 2017-18 from the ‘HTA Data April2019.xlsx’ workbook provided by the </w:t>
      </w:r>
      <w:r w:rsidR="00D51F34">
        <w:t>NBA</w:t>
      </w:r>
      <w:r>
        <w:t xml:space="preserve">. </w:t>
      </w:r>
    </w:p>
    <w:p w14:paraId="1071C325" w14:textId="170F7287" w:rsidR="00911F85" w:rsidRDefault="00911F85" w:rsidP="00911F85">
      <w:r>
        <w:t>Patient demographics in the studies were generally not well reported (</w:t>
      </w:r>
      <w:r>
        <w:fldChar w:fldCharType="begin"/>
      </w:r>
      <w:r>
        <w:instrText xml:space="preserve"> REF _Ref10549632 \h </w:instrText>
      </w:r>
      <w:r>
        <w:fldChar w:fldCharType="separate"/>
      </w:r>
      <w:r w:rsidR="00A7463B">
        <w:t xml:space="preserve">Table </w:t>
      </w:r>
      <w:r w:rsidR="00A7463B">
        <w:rPr>
          <w:noProof/>
        </w:rPr>
        <w:t>30</w:t>
      </w:r>
      <w:r>
        <w:fldChar w:fldCharType="end"/>
      </w:r>
      <w:r>
        <w:t xml:space="preserve">). Mean ages were only reported in three of the six studies </w:t>
      </w:r>
      <w:r>
        <w:fldChar w:fldCharType="begin">
          <w:fldData xml:space="preserve">PEVuZE5vdGU+PENpdGU+PEF1dGhvcj5DaGFwZWw8L0F1dGhvcj48WWVhcj4xOTk0PC9ZZWFyPjxS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</w:fldData>
        </w:fldChar>
      </w:r>
      <w:r w:rsidR="00896BE2">
        <w:instrText xml:space="preserve"> ADDIN EN.CITE </w:instrText>
      </w:r>
      <w:r w:rsidR="00896BE2">
        <w:fldChar w:fldCharType="begin">
          <w:fldData xml:space="preserve">PEVuZE5vdGU+PENpdGU+PEF1dGhvcj5DaGFwZWw8L0F1dGhvcj48WWVhcj4xOTk0PC9ZZWFyPjxS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</w:fldData>
        </w:fldChar>
      </w:r>
      <w:r w:rsidR="00896BE2">
        <w:instrText xml:space="preserve"> ADDIN EN.CITE.DATA </w:instrText>
      </w:r>
      <w:r w:rsidR="00896BE2">
        <w:fldChar w:fldCharType="end"/>
      </w:r>
      <w:r>
        <w:fldChar w:fldCharType="separate"/>
      </w:r>
      <w:r w:rsidR="00896BE2">
        <w:rPr>
          <w:noProof/>
        </w:rPr>
        <w:t>(</w:t>
      </w:r>
      <w:hyperlink w:anchor="_ENREF_13" w:tooltip="Chapel, 1994 #56" w:history="1">
        <w:r w:rsidR="00BB0145">
          <w:rPr>
            <w:noProof/>
          </w:rPr>
          <w:t>Chapel et al. 1994b</w:t>
        </w:r>
      </w:hyperlink>
      <w:r w:rsidR="00896BE2">
        <w:rPr>
          <w:noProof/>
        </w:rPr>
        <w:t xml:space="preserve">; </w:t>
      </w:r>
      <w:hyperlink w:anchor="_ENREF_31" w:tooltip="Molica, 1996 #33" w:history="1">
        <w:r w:rsidR="00BB0145">
          <w:rPr>
            <w:noProof/>
          </w:rPr>
          <w:t>Molica et al. 1996</w:t>
        </w:r>
      </w:hyperlink>
      <w:r w:rsidR="00896BE2">
        <w:rPr>
          <w:noProof/>
        </w:rPr>
        <w:t xml:space="preserve">; </w:t>
      </w:r>
      <w:hyperlink w:anchor="_ENREF_52" w:tooltip="Vacca, 2018 #30" w:history="1">
        <w:r w:rsidR="00BB0145">
          <w:rPr>
            <w:noProof/>
          </w:rPr>
          <w:t>Vacca et al. 2018</w:t>
        </w:r>
      </w:hyperlink>
      <w:r w:rsidR="00896BE2">
        <w:rPr>
          <w:noProof/>
        </w:rPr>
        <w:t>)</w:t>
      </w:r>
      <w:r>
        <w:fldChar w:fldCharType="end"/>
      </w:r>
      <w:r>
        <w:t xml:space="preserve">, while mean weights were not reported in any of the randomised studies. While MM patients were generally consistent with the average ages of patients in Australia who currently receive Ig for acquired hypogammaglobulinaemia, CLL patients in the clinical evidence may have been slightly younger. Similar trends with respect to average ages were observed in the before/after non-randomised evidence identified in Section B (see </w:t>
      </w:r>
      <w:r w:rsidR="00CF494C">
        <w:fldChar w:fldCharType="begin"/>
      </w:r>
      <w:r w:rsidR="00CF494C">
        <w:instrText xml:space="preserve"> REF _Ref14353333 \h </w:instrText>
      </w:r>
      <w:r w:rsidR="00CF494C">
        <w:fldChar w:fldCharType="separate"/>
      </w:r>
      <w:r w:rsidR="00A7463B" w:rsidRPr="00386411">
        <w:t xml:space="preserve">Table </w:t>
      </w:r>
      <w:r w:rsidR="00A7463B">
        <w:rPr>
          <w:noProof/>
        </w:rPr>
        <w:t>80</w:t>
      </w:r>
      <w:r w:rsidR="00CF494C">
        <w:fldChar w:fldCharType="end"/>
      </w:r>
      <w:r w:rsidR="00CF494C">
        <w:t xml:space="preserve"> and </w:t>
      </w:r>
      <w:r w:rsidR="00CF494C">
        <w:fldChar w:fldCharType="begin"/>
      </w:r>
      <w:r w:rsidR="00CF494C">
        <w:instrText xml:space="preserve"> REF _Ref14353338 \h </w:instrText>
      </w:r>
      <w:r w:rsidR="00CF494C">
        <w:fldChar w:fldCharType="separate"/>
      </w:r>
      <w:r w:rsidR="00A7463B" w:rsidRPr="00386411">
        <w:t xml:space="preserve">Table </w:t>
      </w:r>
      <w:r w:rsidR="00A7463B">
        <w:rPr>
          <w:noProof/>
        </w:rPr>
        <w:t>81</w:t>
      </w:r>
      <w:r w:rsidR="00CF494C">
        <w:fldChar w:fldCharType="end"/>
      </w:r>
      <w:r w:rsidRPr="00CF494C">
        <w:t xml:space="preserve">, </w:t>
      </w:r>
      <w:r w:rsidRPr="00CF494C">
        <w:fldChar w:fldCharType="begin"/>
      </w:r>
      <w:r w:rsidRPr="00CF494C">
        <w:instrText xml:space="preserve"> REF _Ref421017583 \h </w:instrText>
      </w:r>
      <w:r w:rsidR="00CF494C">
        <w:instrText xml:space="preserve"> \* MERGEFORMAT </w:instrText>
      </w:r>
      <w:r w:rsidRPr="00CF494C">
        <w:fldChar w:fldCharType="separate"/>
      </w:r>
      <w:r w:rsidR="00A7463B" w:rsidRPr="00386411">
        <w:t xml:space="preserve">Appendix </w:t>
      </w:r>
      <w:r w:rsidR="00A7463B">
        <w:rPr>
          <w:noProof/>
        </w:rPr>
        <w:t>D</w:t>
      </w:r>
      <w:r w:rsidRPr="00CF494C">
        <w:fldChar w:fldCharType="end"/>
      </w:r>
      <w:r w:rsidRPr="00CF494C">
        <w:t>).</w:t>
      </w:r>
      <w:r>
        <w:t xml:space="preserve"> One non-randomised study reported patient weights </w:t>
      </w:r>
      <w:r>
        <w:rPr>
          <w:rFonts w:eastAsia="Calibri" w:cs="Times New Roman"/>
          <w:lang w:eastAsia="en-US"/>
        </w:rPr>
        <w:fldChar w:fldCharType="begin">
          <w:fldData xml:space="preserve">PEVuZE5vdGU+PENpdGU+PEF1dGhvcj5Hw7xudGhlcjwvQXV0aG9yPjxZZWFyPjIwMTM8L1llYXI+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</w:fldData>
        </w:fldChar>
      </w:r>
      <w:r>
        <w:rPr>
          <w:rFonts w:eastAsia="Calibri" w:cs="Times New Roman"/>
          <w:lang w:eastAsia="en-US"/>
        </w:rPr>
        <w:instrText xml:space="preserve"> ADDIN EN.CITE </w:instrText>
      </w:r>
      <w:r>
        <w:rPr>
          <w:rFonts w:eastAsia="Calibri" w:cs="Times New Roman"/>
          <w:lang w:eastAsia="en-US"/>
        </w:rPr>
        <w:fldChar w:fldCharType="begin">
          <w:fldData xml:space="preserve">PEVuZE5vdGU+PENpdGU+PEF1dGhvcj5Hw7xudGhlcjwvQXV0aG9yPjxZZWFyPjIwMTM8L1llYXI+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</w:fldData>
        </w:fldChar>
      </w:r>
      <w:r>
        <w:rPr>
          <w:rFonts w:eastAsia="Calibri" w:cs="Times New Roman"/>
          <w:lang w:eastAsia="en-US"/>
        </w:rPr>
        <w:instrText xml:space="preserve"> ADDIN EN.CITE.DATA </w:instrText>
      </w:r>
      <w:r>
        <w:rPr>
          <w:rFonts w:eastAsia="Calibri" w:cs="Times New Roman"/>
          <w:lang w:eastAsia="en-US"/>
        </w:rPr>
      </w:r>
      <w:r>
        <w:rPr>
          <w:rFonts w:eastAsia="Calibri" w:cs="Times New Roman"/>
          <w:lang w:eastAsia="en-US"/>
        </w:rPr>
        <w:fldChar w:fldCharType="end"/>
      </w:r>
      <w:r>
        <w:rPr>
          <w:rFonts w:eastAsia="Calibri" w:cs="Times New Roman"/>
          <w:lang w:eastAsia="en-US"/>
        </w:rPr>
      </w:r>
      <w:r>
        <w:rPr>
          <w:rFonts w:eastAsia="Calibri" w:cs="Times New Roman"/>
          <w:lang w:eastAsia="en-US"/>
        </w:rPr>
        <w:fldChar w:fldCharType="separate"/>
      </w:r>
      <w:r>
        <w:rPr>
          <w:rFonts w:eastAsia="Calibri" w:cs="Times New Roman"/>
          <w:noProof/>
          <w:lang w:eastAsia="en-US"/>
        </w:rPr>
        <w:t>(</w:t>
      </w:r>
      <w:hyperlink w:anchor="_ENREF_21" w:tooltip="Günther, 2013 #34" w:history="1">
        <w:r w:rsidR="00BB0145">
          <w:rPr>
            <w:rFonts w:eastAsia="Calibri" w:cs="Times New Roman"/>
            <w:noProof/>
            <w:lang w:eastAsia="en-US"/>
          </w:rPr>
          <w:t>Günther &amp; Dreger 2013</w:t>
        </w:r>
      </w:hyperlink>
      <w:r>
        <w:rPr>
          <w:rFonts w:eastAsia="Calibri" w:cs="Times New Roman"/>
          <w:noProof/>
          <w:lang w:eastAsia="en-US"/>
        </w:rPr>
        <w:t>)</w:t>
      </w:r>
      <w:r>
        <w:rPr>
          <w:rFonts w:eastAsia="Calibri" w:cs="Times New Roman"/>
          <w:lang w:eastAsia="en-US"/>
        </w:rPr>
        <w:fldChar w:fldCharType="end"/>
      </w:r>
      <w:r>
        <w:t xml:space="preserve"> in a mixed, though predominantly CLL, population of 77 kg (which is consistent with the CLL patients in BloodSTAR). </w:t>
      </w:r>
    </w:p>
    <w:p w14:paraId="7758111E" w14:textId="266422AA" w:rsidR="00911F85" w:rsidRDefault="00911F85" w:rsidP="00911F85">
      <w:r>
        <w:lastRenderedPageBreak/>
        <w:t xml:space="preserve">The randomised studies were all conducted in either the UK </w:t>
      </w:r>
      <w:r>
        <w:fldChar w:fldCharType="begin">
          <w:fldData xml:space="preserve">PEVuZE5vdGU+PENpdGU+PEF1dGhvcj5DaGFwZWw8L0F1dGhvcj48WWVhcj4xOTkxPC9ZZWFyPjxS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</w:fldData>
        </w:fldChar>
      </w:r>
      <w:r w:rsidR="00896BE2">
        <w:instrText xml:space="preserve"> ADDIN EN.CITE </w:instrText>
      </w:r>
      <w:r w:rsidR="00896BE2">
        <w:fldChar w:fldCharType="begin">
          <w:fldData xml:space="preserve">PEVuZE5vdGU+PENpdGU+PEF1dGhvcj5DaGFwZWw8L0F1dGhvcj48WWVhcj4xOTkxPC9ZZWFyPjxS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</w:fldData>
        </w:fldChar>
      </w:r>
      <w:r w:rsidR="00896BE2">
        <w:instrText xml:space="preserve"> ADDIN EN.CITE.DATA </w:instrText>
      </w:r>
      <w:r w:rsidR="00896BE2">
        <w:fldChar w:fldCharType="end"/>
      </w:r>
      <w:r>
        <w:fldChar w:fldCharType="separate"/>
      </w:r>
      <w:r w:rsidR="00896BE2">
        <w:rPr>
          <w:noProof/>
        </w:rPr>
        <w:t>(</w:t>
      </w:r>
      <w:hyperlink w:anchor="_ENREF_12" w:tooltip="Chapel, 1991 #32" w:history="1">
        <w:r w:rsidR="00BB0145">
          <w:rPr>
            <w:noProof/>
          </w:rPr>
          <w:t>Chapel et al. 1991</w:t>
        </w:r>
      </w:hyperlink>
      <w:r w:rsidR="00896BE2">
        <w:rPr>
          <w:noProof/>
        </w:rPr>
        <w:t xml:space="preserve">; </w:t>
      </w:r>
      <w:hyperlink w:anchor="_ENREF_13" w:tooltip="Chapel, 1994 #56" w:history="1">
        <w:r w:rsidR="00BB0145">
          <w:rPr>
            <w:noProof/>
          </w:rPr>
          <w:t>Chapel et al. 1994b</w:t>
        </w:r>
      </w:hyperlink>
      <w:r w:rsidR="00896BE2">
        <w:rPr>
          <w:noProof/>
        </w:rPr>
        <w:t>)</w:t>
      </w:r>
      <w:r>
        <w:fldChar w:fldCharType="end"/>
      </w:r>
      <w:r>
        <w:t xml:space="preserve">, Italy </w:t>
      </w:r>
      <w:r>
        <w:fldChar w:fldCharType="begin">
          <w:fldData xml:space="preserve">PEVuZE5vdGU+PENpdGU+PEF1dGhvcj5Nb2xpY2E8L0F1dGhvcj48WWVhcj4xOTk2PC9ZZWFyPjxS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</w:fldData>
        </w:fldChar>
      </w:r>
      <w:r>
        <w:instrText xml:space="preserve"> ADDIN EN.CITE </w:instrText>
      </w:r>
      <w:r>
        <w:fldChar w:fldCharType="begin">
          <w:fldData xml:space="preserve">PEVuZE5vdGU+PENpdGU+PEF1dGhvcj5Nb2xpY2E8L0F1dGhvcj48WWVhcj4xOTk2PC9ZZWFyPjxS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</w:fldData>
        </w:fldChar>
      </w:r>
      <w:r>
        <w:instrText xml:space="preserve"> ADDIN EN.CITE.DATA </w:instrText>
      </w:r>
      <w:r>
        <w:fldChar w:fldCharType="end"/>
      </w:r>
      <w:r>
        <w:fldChar w:fldCharType="separate"/>
      </w:r>
      <w:r>
        <w:rPr>
          <w:noProof/>
        </w:rPr>
        <w:t>(</w:t>
      </w:r>
      <w:hyperlink w:anchor="_ENREF_31" w:tooltip="Molica, 1996 #33" w:history="1">
        <w:r w:rsidR="00BB0145">
          <w:rPr>
            <w:noProof/>
          </w:rPr>
          <w:t>Molica et al. 1996</w:t>
        </w:r>
      </w:hyperlink>
      <w:r>
        <w:rPr>
          <w:noProof/>
        </w:rPr>
        <w:t xml:space="preserve">; </w:t>
      </w:r>
      <w:hyperlink w:anchor="_ENREF_33" w:tooltip="Musto, 1995 #60" w:history="1">
        <w:r w:rsidR="00BB0145">
          <w:rPr>
            <w:noProof/>
          </w:rPr>
          <w:t>Musto, Brugiatelli &amp; Carotenuto 1995</w:t>
        </w:r>
      </w:hyperlink>
      <w:r>
        <w:rPr>
          <w:noProof/>
        </w:rPr>
        <w:t xml:space="preserve">; </w:t>
      </w:r>
      <w:hyperlink w:anchor="_ENREF_52" w:tooltip="Vacca, 2018 #30" w:history="1">
        <w:r w:rsidR="00BB0145">
          <w:rPr>
            <w:noProof/>
          </w:rPr>
          <w:t>Vacca et al. 2018</w:t>
        </w:r>
      </w:hyperlink>
      <w:r>
        <w:rPr>
          <w:noProof/>
        </w:rPr>
        <w:t>)</w:t>
      </w:r>
      <w:r>
        <w:fldChar w:fldCharType="end"/>
      </w:r>
      <w:r>
        <w:t xml:space="preserve"> or the US </w:t>
      </w:r>
      <w:r>
        <w:fldChar w:fldCharType="begin">
          <w:fldData xml:space="preserve">PEVuZE5vdGU+PENpdGU+PEF1dGhvcj5TdWxsaXZhbjwvQXV0aG9yPjxZZWFyPjE5OTA8L1llYXI+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</w:fldData>
        </w:fldChar>
      </w:r>
      <w:r>
        <w:instrText xml:space="preserve"> ADDIN EN.CITE </w:instrText>
      </w:r>
      <w:r>
        <w:fldChar w:fldCharType="begin">
          <w:fldData xml:space="preserve">PEVuZE5vdGU+PENpdGU+PEF1dGhvcj5TdWxsaXZhbjwvQXV0aG9yPjxZZWFyPjE5OTA8L1llYXI+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</w:fldData>
        </w:fldChar>
      </w:r>
      <w:r>
        <w:instrText xml:space="preserve"> ADDIN EN.CITE.DATA </w:instrText>
      </w:r>
      <w:r>
        <w:fldChar w:fldCharType="end"/>
      </w:r>
      <w:r>
        <w:fldChar w:fldCharType="separate"/>
      </w:r>
      <w:r>
        <w:rPr>
          <w:noProof/>
        </w:rPr>
        <w:t>(</w:t>
      </w:r>
      <w:hyperlink w:anchor="_ENREF_48" w:tooltip="Sullivan, 1990 #67" w:history="1">
        <w:r w:rsidR="00BB0145">
          <w:rPr>
            <w:noProof/>
          </w:rPr>
          <w:t>Sullivan et al. 1990</w:t>
        </w:r>
      </w:hyperlink>
      <w:r>
        <w:rPr>
          <w:noProof/>
        </w:rPr>
        <w:t>)</w:t>
      </w:r>
      <w:r>
        <w:fldChar w:fldCharType="end"/>
      </w:r>
      <w:r>
        <w:t xml:space="preserve">. However, only one of the studies had been conducted in the previous 20 years </w:t>
      </w:r>
      <w:r>
        <w:fldChar w:fldCharType="begin">
          <w:fldData xml:space="preserve">PEVuZE5vdGU+PENpdGU+PEF1dGhvcj5WYWNjYTwvQXV0aG9yPjxZZWFyPjIwMTg8L1llYXI+PFJl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</w:fldData>
        </w:fldChar>
      </w:r>
      <w:r>
        <w:instrText xml:space="preserve"> ADDIN EN.CITE </w:instrText>
      </w:r>
      <w:r>
        <w:fldChar w:fldCharType="begin">
          <w:fldData xml:space="preserve">PEVuZE5vdGU+PENpdGU+PEF1dGhvcj5WYWNjYTwvQXV0aG9yPjxZZWFyPjIwMTg8L1llYXI+PFJl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</w:fldData>
        </w:fldChar>
      </w:r>
      <w:r>
        <w:instrText xml:space="preserve"> ADDIN EN.CITE.DATA </w:instrText>
      </w:r>
      <w:r>
        <w:fldChar w:fldCharType="end"/>
      </w:r>
      <w:r>
        <w:fldChar w:fldCharType="separate"/>
      </w:r>
      <w:r>
        <w:rPr>
          <w:noProof/>
        </w:rPr>
        <w:t>(</w:t>
      </w:r>
      <w:hyperlink w:anchor="_ENREF_52" w:tooltip="Vacca, 2018 #30" w:history="1">
        <w:r w:rsidR="00BB0145">
          <w:rPr>
            <w:noProof/>
          </w:rPr>
          <w:t>Vacca et al. 2018</w:t>
        </w:r>
      </w:hyperlink>
      <w:r>
        <w:rPr>
          <w:noProof/>
        </w:rPr>
        <w:t>)</w:t>
      </w:r>
      <w:r>
        <w:fldChar w:fldCharType="end"/>
      </w:r>
      <w:r>
        <w:t xml:space="preserve">. One non-randomised study, </w:t>
      </w:r>
      <w:r w:rsidRPr="00F55739">
        <w:t>Paxton, Hawkins &amp; Crispin</w:t>
      </w:r>
      <w:r>
        <w:t xml:space="preserve"> </w:t>
      </w:r>
      <w:r>
        <w:fldChar w:fldCharType="begin">
          <w:fldData xml:space="preserve">PEVuZE5vdGU+PENpdGUgRXhjbHVkZUF1dGg9IjEiPjxBdXRob3I+UGF4dG9uPC9BdXRob3I+PFll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</w:fldData>
        </w:fldChar>
      </w:r>
      <w:r>
        <w:instrText xml:space="preserve"> ADDIN EN.CITE </w:instrText>
      </w:r>
      <w:r>
        <w:fldChar w:fldCharType="begin">
          <w:fldData xml:space="preserve">PEVuZE5vdGU+PENpdGUgRXhjbHVkZUF1dGg9IjEiPjxBdXRob3I+UGF4dG9uPC9BdXRob3I+PFll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</w:fldData>
        </w:fldChar>
      </w:r>
      <w:r>
        <w:instrText xml:space="preserve"> ADDIN EN.CITE.DATA </w:instrText>
      </w:r>
      <w:r>
        <w:fldChar w:fldCharType="end"/>
      </w:r>
      <w:r>
        <w:fldChar w:fldCharType="separate"/>
      </w:r>
      <w:r>
        <w:rPr>
          <w:noProof/>
        </w:rPr>
        <w:t>(</w:t>
      </w:r>
      <w:hyperlink w:anchor="_ENREF_39" w:tooltip="Paxton, 2016 #66" w:history="1">
        <w:r w:rsidR="00BB0145">
          <w:rPr>
            <w:noProof/>
          </w:rPr>
          <w:t>2016</w:t>
        </w:r>
      </w:hyperlink>
      <w:r>
        <w:rPr>
          <w:noProof/>
        </w:rPr>
        <w:t>)</w:t>
      </w:r>
      <w:r>
        <w:fldChar w:fldCharType="end"/>
      </w:r>
      <w:r>
        <w:t xml:space="preserve">, was conducted in Australia, and another in the UK </w:t>
      </w:r>
      <w:r>
        <w:fldChar w:fldCharType="begin">
          <w:fldData xml:space="preserve">PEVuZE5vdGU+PENpdGU+PEF1dGhvcj5EdXJhaXNpbmdoYW08L0F1dGhvcj48WWVhcj4yMDE0PC9Z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</w:fldData>
        </w:fldChar>
      </w:r>
      <w:r>
        <w:instrText xml:space="preserve"> ADDIN EN.CITE </w:instrText>
      </w:r>
      <w:r>
        <w:fldChar w:fldCharType="begin">
          <w:fldData xml:space="preserve">PEVuZE5vdGU+PENpdGU+PEF1dGhvcj5EdXJhaXNpbmdoYW08L0F1dGhvcj48WWVhcj4yMDE0PC9Z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</w:fldData>
        </w:fldChar>
      </w:r>
      <w:r>
        <w:instrText xml:space="preserve"> ADDIN EN.CITE.DATA </w:instrText>
      </w:r>
      <w:r>
        <w:fldChar w:fldCharType="end"/>
      </w:r>
      <w:r>
        <w:fldChar w:fldCharType="separate"/>
      </w:r>
      <w:r>
        <w:rPr>
          <w:noProof/>
        </w:rPr>
        <w:t>(</w:t>
      </w:r>
      <w:hyperlink w:anchor="_ENREF_16" w:tooltip="Duraisingham, 2014 #20" w:history="1">
        <w:r w:rsidR="00BB0145">
          <w:rPr>
            <w:noProof/>
          </w:rPr>
          <w:t>Duraisingham et al. 2014</w:t>
        </w:r>
      </w:hyperlink>
      <w:r>
        <w:rPr>
          <w:noProof/>
        </w:rPr>
        <w:t>)</w:t>
      </w:r>
      <w:r>
        <w:fldChar w:fldCharType="end"/>
      </w:r>
      <w:r>
        <w:t xml:space="preserve">. Others were conducted in the US, Europe and Israel. More of the non-randomised studies were conducted in the contemporary setting </w:t>
      </w:r>
      <w:r>
        <w:fldChar w:fldCharType="begin">
          <w:fldData xml:space="preserve">PEVuZE5vdGU+PENpdGU+PEF1dGhvcj5CZW5icmFoaW08L0F1dGhvcj48WWVhcj4yMDE5PC9ZZWFy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</w:fldData>
        </w:fldChar>
      </w:r>
      <w:r>
        <w:instrText xml:space="preserve"> ADDIN EN.CITE </w:instrText>
      </w:r>
      <w:r>
        <w:fldChar w:fldCharType="begin">
          <w:fldData xml:space="preserve">PEVuZE5vdGU+PENpdGU+PEF1dGhvcj5CZW5icmFoaW08L0F1dGhvcj48WWVhcj4yMDE5PC9ZZWFy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</w:fldData>
        </w:fldChar>
      </w:r>
      <w:r>
        <w:instrText xml:space="preserve"> ADDIN EN.CITE.DATA </w:instrText>
      </w:r>
      <w:r>
        <w:fldChar w:fldCharType="end"/>
      </w:r>
      <w:r>
        <w:fldChar w:fldCharType="separate"/>
      </w:r>
      <w:r>
        <w:rPr>
          <w:noProof/>
        </w:rPr>
        <w:t>(</w:t>
      </w:r>
      <w:hyperlink w:anchor="_ENREF_3" w:tooltip="Benbrahim, 2019 #88" w:history="1">
        <w:r w:rsidR="00BB0145">
          <w:rPr>
            <w:noProof/>
          </w:rPr>
          <w:t>Benbrahim et al. 2019</w:t>
        </w:r>
      </w:hyperlink>
      <w:r>
        <w:rPr>
          <w:noProof/>
        </w:rPr>
        <w:t xml:space="preserve">; </w:t>
      </w:r>
      <w:hyperlink w:anchor="_ENREF_15" w:tooltip="Dimou, 2018 #28" w:history="1">
        <w:r w:rsidR="00BB0145">
          <w:rPr>
            <w:noProof/>
          </w:rPr>
          <w:t>Dimou et al. 2018</w:t>
        </w:r>
      </w:hyperlink>
      <w:r>
        <w:rPr>
          <w:noProof/>
        </w:rPr>
        <w:t xml:space="preserve">; </w:t>
      </w:r>
      <w:hyperlink w:anchor="_ENREF_16" w:tooltip="Duraisingham, 2014 #20" w:history="1">
        <w:r w:rsidR="00BB0145">
          <w:rPr>
            <w:noProof/>
          </w:rPr>
          <w:t>Duraisingham et al. 2014</w:t>
        </w:r>
      </w:hyperlink>
      <w:r>
        <w:rPr>
          <w:noProof/>
        </w:rPr>
        <w:t xml:space="preserve">; </w:t>
      </w:r>
      <w:hyperlink w:anchor="_ENREF_21" w:tooltip="Günther, 2013 #34" w:history="1">
        <w:r w:rsidR="00BB0145">
          <w:rPr>
            <w:noProof/>
          </w:rPr>
          <w:t>Günther &amp; Dreger 2013</w:t>
        </w:r>
      </w:hyperlink>
      <w:r>
        <w:rPr>
          <w:noProof/>
        </w:rPr>
        <w:t xml:space="preserve">; </w:t>
      </w:r>
      <w:hyperlink w:anchor="_ENREF_39" w:tooltip="Paxton, 2016 #66" w:history="1">
        <w:r w:rsidR="00BB0145">
          <w:rPr>
            <w:noProof/>
          </w:rPr>
          <w:t>Paxton, Hawkins &amp; Crispin 2016</w:t>
        </w:r>
      </w:hyperlink>
      <w:r>
        <w:rPr>
          <w:noProof/>
        </w:rPr>
        <w:t xml:space="preserve">; </w:t>
      </w:r>
      <w:hyperlink w:anchor="_ENREF_42" w:tooltip="Reiser, 2017 #91" w:history="1">
        <w:r w:rsidR="00BB0145">
          <w:rPr>
            <w:noProof/>
          </w:rPr>
          <w:t>Reiser et al. 2017</w:t>
        </w:r>
      </w:hyperlink>
      <w:r>
        <w:rPr>
          <w:noProof/>
        </w:rPr>
        <w:t xml:space="preserve">; </w:t>
      </w:r>
      <w:hyperlink w:anchor="_ENREF_53" w:tooltip="Van Winkle, 2018 #26" w:history="1">
        <w:r w:rsidR="00BB0145">
          <w:rPr>
            <w:noProof/>
          </w:rPr>
          <w:t>Van Winkle et al. 2018</w:t>
        </w:r>
      </w:hyperlink>
      <w:r>
        <w:rPr>
          <w:noProof/>
        </w:rPr>
        <w:t>)</w:t>
      </w:r>
      <w:r>
        <w:fldChar w:fldCharType="end"/>
      </w:r>
      <w:r>
        <w:t>. Contemporary studies, which were predominantly non-randomised, tended to enrol patients with mixed haematological malignancies.</w:t>
      </w:r>
    </w:p>
    <w:p w14:paraId="0895B253" w14:textId="15200CCC" w:rsidR="00911F85" w:rsidRDefault="00911F85" w:rsidP="00911F85">
      <w:r>
        <w:t xml:space="preserve">It is unclear what impact these differences would have, if any, on baseline infection rates and the relative treatment effect of Ig. It is conceivable that changes in contemporary practice could decrease the absolute numbers of infections with or without Ig, which would likely increase the ICER. The implications of this on the relative treatment effect of Ig are unknown, however the treatment effect was observed to be reasonably consistent in the older and newer studies (both randomised and non-randomised before/after studies). Therefore the more recent Australian data from a mixed haematological malignancy population </w:t>
      </w:r>
      <w:r>
        <w:fldChar w:fldCharType="begin">
          <w:fldData xml:space="preserve">PEVuZE5vdGU+PENpdGU+PEF1dGhvcj5QYXh0b248L0F1dGhvcj48WWVhcj4yMDE2PC9ZZWFyPjxS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</w:fldData>
        </w:fldChar>
      </w:r>
      <w:r>
        <w:instrText xml:space="preserve"> ADDIN EN.CITE </w:instrText>
      </w:r>
      <w:r>
        <w:fldChar w:fldCharType="begin">
          <w:fldData xml:space="preserve">PEVuZE5vdGU+PENpdGU+PEF1dGhvcj5QYXh0b248L0F1dGhvcj48WWVhcj4yMDE2PC9ZZWFyPjxS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</w:fldData>
        </w:fldChar>
      </w:r>
      <w:r>
        <w:instrText xml:space="preserve"> ADDIN EN.CITE.DATA </w:instrText>
      </w:r>
      <w:r>
        <w:fldChar w:fldCharType="end"/>
      </w:r>
      <w:r>
        <w:fldChar w:fldCharType="separate"/>
      </w:r>
      <w:r>
        <w:rPr>
          <w:noProof/>
        </w:rPr>
        <w:t>(</w:t>
      </w:r>
      <w:hyperlink w:anchor="_ENREF_39" w:tooltip="Paxton, 2016 #66" w:history="1">
        <w:r w:rsidR="00BB0145">
          <w:rPr>
            <w:noProof/>
          </w:rPr>
          <w:t>Paxton, Hawkins &amp; Crispin 2016</w:t>
        </w:r>
      </w:hyperlink>
      <w:r>
        <w:rPr>
          <w:noProof/>
        </w:rPr>
        <w:t>)</w:t>
      </w:r>
      <w:r>
        <w:fldChar w:fldCharType="end"/>
      </w:r>
      <w:r>
        <w:t xml:space="preserve"> will be used to approximate the baseline infection rate in the absence of Ig, and the pooled risk reductions estimated in Section B will be applied to the baseline infection rate in order to model the treatment effect of Ig. </w:t>
      </w:r>
    </w:p>
    <w:p w14:paraId="71E6C888" w14:textId="77777777" w:rsidR="00911F85" w:rsidRPr="00E9319E" w:rsidRDefault="00911F85" w:rsidP="00911F85"/>
    <w:p w14:paraId="3DA7F3F4" w14:textId="77777777" w:rsidR="00911F85" w:rsidRDefault="00911F85" w:rsidP="00911F85">
      <w:pPr>
        <w:pStyle w:val="Heading3"/>
      </w:pPr>
      <w:bookmarkStart w:id="376" w:name="_Toc14431154"/>
      <w:bookmarkStart w:id="377" w:name="_Toc16856322"/>
      <w:r w:rsidRPr="00C43589">
        <w:rPr>
          <w:sz w:val="22"/>
        </w:rPr>
        <w:t>C.2.2.</w:t>
      </w:r>
      <w:r w:rsidRPr="00C43589">
        <w:rPr>
          <w:sz w:val="22"/>
        </w:rPr>
        <w:tab/>
      </w:r>
      <w:r>
        <w:tab/>
        <w:t>Antibiotic use in the absence of Ig</w:t>
      </w:r>
      <w:bookmarkEnd w:id="376"/>
      <w:bookmarkEnd w:id="377"/>
    </w:p>
    <w:p w14:paraId="6F46BCDE" w14:textId="77777777" w:rsidR="00911F85" w:rsidRDefault="00911F85" w:rsidP="00911F85">
      <w:r>
        <w:t>The aim of this translation study is to determine how antibiotics were used in the absence of Ig in the clinical evidence, and whether this is reflective of what would happen in the absence of Ig in the contemporary setting. Antibiotic use in the ‘No Ig’ arms of the randomised evidence will be reviewed and compared to what would happen in Australian clinical practice in the absence of Ig.</w:t>
      </w:r>
    </w:p>
    <w:p w14:paraId="07C879B4" w14:textId="46B14AC5" w:rsidR="00911F85" w:rsidRDefault="00911F85" w:rsidP="00911F85">
      <w:r>
        <w:t xml:space="preserve">Prophylactic antibiotic use was generally not allowed in the randomised evidence presented in Section B </w:t>
      </w:r>
      <w:r>
        <w:fldChar w:fldCharType="begin">
          <w:fldData xml:space="preserve">PEVuZE5vdGU+PENpdGU+PEF1dGhvcj5DaGFwZWw8L0F1dGhvcj48WWVhcj4xOTk0PC9ZZWFyPjxS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</w:fldData>
        </w:fldChar>
      </w:r>
      <w:r w:rsidR="00896BE2">
        <w:instrText xml:space="preserve"> ADDIN EN.CITE </w:instrText>
      </w:r>
      <w:r w:rsidR="00896BE2">
        <w:fldChar w:fldCharType="begin">
          <w:fldData xml:space="preserve">PEVuZE5vdGU+PENpdGU+PEF1dGhvcj5DaGFwZWw8L0F1dGhvcj48WWVhcj4xOTk0PC9ZZWFyPjxS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</w:fldData>
        </w:fldChar>
      </w:r>
      <w:r w:rsidR="00896BE2">
        <w:instrText xml:space="preserve"> ADDIN EN.CITE.DATA </w:instrText>
      </w:r>
      <w:r w:rsidR="00896BE2">
        <w:fldChar w:fldCharType="end"/>
      </w:r>
      <w:r>
        <w:fldChar w:fldCharType="separate"/>
      </w:r>
      <w:r w:rsidR="00896BE2">
        <w:rPr>
          <w:noProof/>
        </w:rPr>
        <w:t>(</w:t>
      </w:r>
      <w:hyperlink w:anchor="_ENREF_13" w:tooltip="Chapel, 1994 #56" w:history="1">
        <w:r w:rsidR="00BB0145">
          <w:rPr>
            <w:noProof/>
          </w:rPr>
          <w:t>Chapel et al. 1994b</w:t>
        </w:r>
      </w:hyperlink>
      <w:r w:rsidR="00896BE2">
        <w:rPr>
          <w:noProof/>
        </w:rPr>
        <w:t xml:space="preserve">; </w:t>
      </w:r>
      <w:hyperlink w:anchor="_ENREF_31" w:tooltip="Molica, 1996 #33" w:history="1">
        <w:r w:rsidR="00BB0145">
          <w:rPr>
            <w:noProof/>
          </w:rPr>
          <w:t>Molica et al. 1996</w:t>
        </w:r>
      </w:hyperlink>
      <w:r w:rsidR="00896BE2">
        <w:rPr>
          <w:noProof/>
        </w:rPr>
        <w:t xml:space="preserve">; </w:t>
      </w:r>
      <w:hyperlink w:anchor="_ENREF_33" w:tooltip="Musto, 1995 #60" w:history="1">
        <w:r w:rsidR="00BB0145">
          <w:rPr>
            <w:noProof/>
          </w:rPr>
          <w:t>Musto, Brugiatelli &amp; Carotenuto 1995</w:t>
        </w:r>
      </w:hyperlink>
      <w:r w:rsidR="00896BE2">
        <w:rPr>
          <w:noProof/>
        </w:rPr>
        <w:t xml:space="preserve">; </w:t>
      </w:r>
      <w:hyperlink w:anchor="_ENREF_52" w:tooltip="Vacca, 2018 #30" w:history="1">
        <w:r w:rsidR="00BB0145">
          <w:rPr>
            <w:noProof/>
          </w:rPr>
          <w:t>Vacca et al. 2018</w:t>
        </w:r>
      </w:hyperlink>
      <w:r w:rsidR="00896BE2">
        <w:rPr>
          <w:noProof/>
        </w:rPr>
        <w:t>)</w:t>
      </w:r>
      <w:r>
        <w:fldChar w:fldCharType="end"/>
      </w:r>
      <w:r>
        <w:t xml:space="preserve">. One study did not report whether antibiotic use was allowed </w:t>
      </w:r>
      <w:r>
        <w:fldChar w:fldCharType="begin"/>
      </w:r>
      <w:r>
        <w:instrText xml:space="preserve"> ADDIN EN.CITE &lt;EndNote&gt;&lt;Cite&gt;&lt;Author&gt;Chapel&lt;/Author&gt;&lt;Year&gt;1991&lt;/Year&gt;&lt;RecNum&gt;32&lt;/RecNum&gt;&lt;DisplayText&gt;(Chapel et al. 1991)&lt;/DisplayText&gt;&lt;record&gt;&lt;rec-number&gt;32&lt;/rec-number&gt;&lt;foreign-keys&gt;&lt;key app="EN" db-id="z0vwsepdwpt20pewwts5z9eup9e2r2pd2tad" timestamp="1553825060"&gt;32&lt;/key&gt;&lt;/foreign-keys&gt;&lt;ref-type name="Journal Article"&gt;17&lt;/ref-type&gt;&lt;contributors&gt;&lt;authors&gt;&lt;author&gt;Chapel, H. M.&lt;/author&gt;&lt;author&gt;Griffiths, H.&lt;/author&gt;&lt;author&gt;Brennan, V.&lt;/author&gt;&lt;author&gt;Bunch, C.&lt;/author&gt;&lt;author&gt;Lea, J.&lt;/author&gt;&lt;author&gt;Lee, M.&lt;/author&gt;&lt;/authors&gt;&lt;/contributors&gt;&lt;titles&gt;&lt;title&gt;Hypogammaglobulinaemia in low grade B cell tumours; significance and therapy&lt;/title&gt;&lt;secondary-title&gt;Immunological investigations&lt;/secondary-title&gt;&lt;/titles&gt;&lt;periodical&gt;&lt;full-title&gt;Immunological investigations&lt;/full-title&gt;&lt;/periodical&gt;&lt;pages&gt;187‐191&lt;/pages&gt;&lt;volume&gt;20&lt;/volume&gt;&lt;number&gt;2&lt;/number&gt;&lt;keywords&gt;&lt;keyword&gt;Agammaglobulinemia [complications, *therapy]&lt;/keyword&gt;&lt;keyword&gt;Bacterial Infections [etiology, *prevention &amp;amp; control]&lt;/keyword&gt;&lt;keyword&gt;Humans&lt;/keyword&gt;&lt;keyword&gt;Immunoglobulin G [therapeutic use]&lt;/keyword&gt;&lt;keyword&gt;Immunotherapy&lt;/keyword&gt;&lt;keyword&gt;Infusions, Intravenous&lt;/keyword&gt;&lt;keyword&gt;Leukemia, Lymphocytic, Chronic, B‐Cell [complications]&lt;/keyword&gt;&lt;keyword&gt;Lymphoma, Non‐Hodgkin [complications]&lt;/keyword&gt;&lt;/keywords&gt;&lt;dates&gt;&lt;year&gt;1991&lt;/year&gt;&lt;pub-dates&gt;&lt;date&gt;1991&lt;/date&gt;&lt;/pub-dates&gt;&lt;/dates&gt;&lt;accession-num&gt;CN-00077281&lt;/accession-num&gt;&lt;urls&gt;&lt;related-urls&gt;&lt;url&gt;&lt;style face="underline" font="default" size="100%"&gt;https://www.cochranelibrary.com/central/doi/10.1002/central/CN-00077281/full&lt;/style&gt;&lt;/url&gt;&lt;/related-urls&gt;&lt;/urls&gt;&lt;custom1&gt;RAYYAN-INCLUSION: {&amp;quot;Skye&amp;quot;=&amp;gt;&amp;quot;Included&amp;quot;}&lt;/custom1&gt;&lt;research-notes&gt;CLL and NHL IVIg vs saline&lt;/research-notes&gt;&lt;/record&gt;&lt;/Cite&gt;&lt;/EndNote&gt;</w:instrText>
      </w:r>
      <w:r>
        <w:fldChar w:fldCharType="separate"/>
      </w:r>
      <w:r>
        <w:rPr>
          <w:noProof/>
        </w:rPr>
        <w:t>(</w:t>
      </w:r>
      <w:hyperlink w:anchor="_ENREF_12" w:tooltip="Chapel, 1991 #32" w:history="1">
        <w:r w:rsidR="00BB0145">
          <w:rPr>
            <w:noProof/>
          </w:rPr>
          <w:t>Chapel et al. 1991</w:t>
        </w:r>
      </w:hyperlink>
      <w:r>
        <w:rPr>
          <w:noProof/>
        </w:rPr>
        <w:t>)</w:t>
      </w:r>
      <w:r>
        <w:fldChar w:fldCharType="end"/>
      </w:r>
      <w:r>
        <w:t xml:space="preserve">, and the study in patients undergoing HSCT </w:t>
      </w:r>
      <w:r>
        <w:fldChar w:fldCharType="begin">
          <w:fldData xml:space="preserve">PEVuZE5vdGU+PENpdGU+PEF1dGhvcj5TdWxsaXZhbjwvQXV0aG9yPjxZZWFyPjE5OTA8L1llYXI+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</w:fldData>
        </w:fldChar>
      </w:r>
      <w:r>
        <w:instrText xml:space="preserve"> ADDIN EN.CITE </w:instrText>
      </w:r>
      <w:r>
        <w:fldChar w:fldCharType="begin">
          <w:fldData xml:space="preserve">PEVuZE5vdGU+PENpdGU+PEF1dGhvcj5TdWxsaXZhbjwvQXV0aG9yPjxZZWFyPjE5OTA8L1llYXI+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</w:fldData>
        </w:fldChar>
      </w:r>
      <w:r>
        <w:instrText xml:space="preserve"> ADDIN EN.CITE.DATA </w:instrText>
      </w:r>
      <w:r>
        <w:fldChar w:fldCharType="end"/>
      </w:r>
      <w:r>
        <w:fldChar w:fldCharType="separate"/>
      </w:r>
      <w:r>
        <w:rPr>
          <w:noProof/>
        </w:rPr>
        <w:t>(</w:t>
      </w:r>
      <w:hyperlink w:anchor="_ENREF_48" w:tooltip="Sullivan, 1990 #67" w:history="1">
        <w:r w:rsidR="00BB0145">
          <w:rPr>
            <w:noProof/>
          </w:rPr>
          <w:t>Sullivan et al. 1990</w:t>
        </w:r>
      </w:hyperlink>
      <w:r>
        <w:rPr>
          <w:noProof/>
        </w:rPr>
        <w:t>)</w:t>
      </w:r>
      <w:r>
        <w:fldChar w:fldCharType="end"/>
      </w:r>
      <w:r>
        <w:t xml:space="preserve"> required prophylactic co-trimoxazole for the first 120 days post-transplant in both trial arms. </w:t>
      </w:r>
    </w:p>
    <w:p w14:paraId="30F194FB" w14:textId="7CD04944" w:rsidR="00911F85" w:rsidRDefault="00911F85" w:rsidP="00911F85">
      <w:r>
        <w:t xml:space="preserve">One of the non-randomised </w:t>
      </w:r>
      <w:r w:rsidRPr="00882E18">
        <w:t xml:space="preserve">studies </w:t>
      </w:r>
      <w:r>
        <w:fldChar w:fldCharType="begin">
          <w:fldData xml:space="preserve">PEVuZE5vdGU+PENpdGU+PEF1dGhvcj5EdXJhaXNpbmdoYW08L0F1dGhvcj48WWVhcj4yMDE0PC9Z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</w:fldData>
        </w:fldChar>
      </w:r>
      <w:r>
        <w:instrText xml:space="preserve"> ADDIN EN.CITE </w:instrText>
      </w:r>
      <w:r>
        <w:fldChar w:fldCharType="begin">
          <w:fldData xml:space="preserve">PEVuZE5vdGU+PENpdGU+PEF1dGhvcj5EdXJhaXNpbmdoYW08L0F1dGhvcj48WWVhcj4yMDE0PC9Z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</w:fldData>
        </w:fldChar>
      </w:r>
      <w:r>
        <w:instrText xml:space="preserve"> ADDIN EN.CITE.DATA </w:instrText>
      </w:r>
      <w:r>
        <w:fldChar w:fldCharType="end"/>
      </w:r>
      <w:r>
        <w:fldChar w:fldCharType="separate"/>
      </w:r>
      <w:r>
        <w:rPr>
          <w:noProof/>
        </w:rPr>
        <w:t>(</w:t>
      </w:r>
      <w:hyperlink w:anchor="_ENREF_16" w:tooltip="Duraisingham, 2014 #20" w:history="1">
        <w:r w:rsidR="00BB0145">
          <w:rPr>
            <w:noProof/>
          </w:rPr>
          <w:t>Duraisingham et al. 2014</w:t>
        </w:r>
      </w:hyperlink>
      <w:r>
        <w:rPr>
          <w:noProof/>
        </w:rPr>
        <w:t>)</w:t>
      </w:r>
      <w:r>
        <w:fldChar w:fldCharType="end"/>
      </w:r>
      <w:r w:rsidRPr="00882E18">
        <w:t xml:space="preserve"> reported</w:t>
      </w:r>
      <w:r>
        <w:t xml:space="preserve"> that prior to Ig initiation 12 of 15 (80%) patients with hypogammaglobulinaemia secondary to a haematological malignancy were on prophylactic antibiotics, whereas after the initiation of Ig replacement this reduced to 10 (67%) patients. A substantial decrease in the number of serious and non-serious infections was observed after Ig initiation (</w:t>
      </w:r>
      <w:r>
        <w:fldChar w:fldCharType="begin"/>
      </w:r>
      <w:r>
        <w:instrText xml:space="preserve"> REF _Ref10797453 \h </w:instrText>
      </w:r>
      <w:r>
        <w:fldChar w:fldCharType="separate"/>
      </w:r>
      <w:r w:rsidR="00A7463B">
        <w:t xml:space="preserve">Table </w:t>
      </w:r>
      <w:r w:rsidR="00A7463B">
        <w:rPr>
          <w:noProof/>
        </w:rPr>
        <w:t>31</w:t>
      </w:r>
      <w:r>
        <w:fldChar w:fldCharType="end"/>
      </w:r>
      <w:r>
        <w:t xml:space="preserve">). It is noted though that this study was conducted in the UK where </w:t>
      </w:r>
      <w:r>
        <w:lastRenderedPageBreak/>
        <w:t xml:space="preserve">guidelines require a trial of prophylactic antibiotics before considering Ig replacement, and that this is not a requirement in Australia </w:t>
      </w:r>
      <w:r>
        <w:fldChar w:fldCharType="begin">
          <w:fldData xml:space="preserve">PEVuZE5vdGU+PENpdGU+PEF1dGhvcj5Xb25nPC9BdXRob3I+PFllYXI+MjAxOTwvWWVhcj48UmVj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==
</w:fldData>
        </w:fldChar>
      </w:r>
      <w:r>
        <w:instrText xml:space="preserve"> ADDIN EN.CITE </w:instrText>
      </w:r>
      <w:r>
        <w:fldChar w:fldCharType="begin">
          <w:fldData xml:space="preserve">PEVuZE5vdGU+PENpdGU+PEF1dGhvcj5Xb25nPC9BdXRob3I+PFllYXI+MjAxOTwvWWVhcj48UmVj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==
</w:fldData>
        </w:fldChar>
      </w:r>
      <w:r>
        <w:instrText xml:space="preserve"> ADDIN EN.CITE.DATA </w:instrText>
      </w:r>
      <w:r>
        <w:fldChar w:fldCharType="end"/>
      </w:r>
      <w:r>
        <w:fldChar w:fldCharType="separate"/>
      </w:r>
      <w:r>
        <w:rPr>
          <w:noProof/>
        </w:rPr>
        <w:t>(</w:t>
      </w:r>
      <w:hyperlink w:anchor="_ENREF_58" w:tooltip="Wong, 2019 #98" w:history="1">
        <w:r w:rsidR="00BB0145">
          <w:rPr>
            <w:noProof/>
          </w:rPr>
          <w:t>Wong et al. 2019</w:t>
        </w:r>
      </w:hyperlink>
      <w:r>
        <w:rPr>
          <w:noProof/>
        </w:rPr>
        <w:t>)</w:t>
      </w:r>
      <w:r>
        <w:fldChar w:fldCharType="end"/>
      </w:r>
      <w:r>
        <w:t xml:space="preserve">. </w:t>
      </w:r>
    </w:p>
    <w:p w14:paraId="3EED2991" w14:textId="729E9595" w:rsidR="00911F85" w:rsidRDefault="00911F85" w:rsidP="00911F85">
      <w:pPr>
        <w:pStyle w:val="Caption"/>
        <w:keepNext/>
      </w:pPr>
      <w:bookmarkStart w:id="378" w:name="_Ref10797453"/>
      <w:bookmarkStart w:id="379" w:name="_Toc14429574"/>
      <w:bookmarkStart w:id="380" w:name="_Toc14348868"/>
      <w:bookmarkStart w:id="381" w:name="_Toc16671629"/>
      <w:r>
        <w:t xml:space="preserve">Table </w:t>
      </w:r>
      <w:r>
        <w:rPr>
          <w:noProof/>
        </w:rPr>
        <w:fldChar w:fldCharType="begin"/>
      </w:r>
      <w:r>
        <w:rPr>
          <w:noProof/>
        </w:rPr>
        <w:instrText xml:space="preserve"> SEQ Table \* ARABIC </w:instrText>
      </w:r>
      <w:r>
        <w:rPr>
          <w:noProof/>
        </w:rPr>
        <w:fldChar w:fldCharType="separate"/>
      </w:r>
      <w:r w:rsidR="00A7463B">
        <w:rPr>
          <w:noProof/>
        </w:rPr>
        <w:t>31</w:t>
      </w:r>
      <w:r>
        <w:rPr>
          <w:noProof/>
        </w:rPr>
        <w:fldChar w:fldCharType="end"/>
      </w:r>
      <w:bookmarkEnd w:id="378"/>
      <w:r>
        <w:tab/>
      </w:r>
      <w:r w:rsidRPr="004748D3">
        <w:t>Analysis of prophylactic antibiotic use and infection outcomes from Duraisingham et al</w:t>
      </w:r>
      <w:r w:rsidRPr="00882E18">
        <w:t xml:space="preserve">. </w:t>
      </w:r>
      <w:bookmarkEnd w:id="379"/>
      <w:r>
        <w:fldChar w:fldCharType="begin">
          <w:fldData xml:space="preserve">PEVuZE5vdGU+PENpdGUgRXhjbHVkZUF1dGg9IjEiPjxBdXRob3I+RHVyYWlzaW5naGFtPC9BdXRo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</w:fldData>
        </w:fldChar>
      </w:r>
      <w:r>
        <w:instrText xml:space="preserve"> ADDIN EN.CITE </w:instrText>
      </w:r>
      <w:r>
        <w:fldChar w:fldCharType="begin">
          <w:fldData xml:space="preserve">PEVuZE5vdGU+PENpdGUgRXhjbHVkZUF1dGg9IjEiPjxBdXRob3I+RHVyYWlzaW5naGFtPC9BdXRo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</w:fldData>
        </w:fldChar>
      </w:r>
      <w:r>
        <w:instrText xml:space="preserve"> ADDIN EN.CITE.DATA </w:instrText>
      </w:r>
      <w:r>
        <w:fldChar w:fldCharType="end"/>
      </w:r>
      <w:r>
        <w:fldChar w:fldCharType="separate"/>
      </w:r>
      <w:r>
        <w:rPr>
          <w:noProof/>
        </w:rPr>
        <w:t>(</w:t>
      </w:r>
      <w:hyperlink w:anchor="_ENREF_16" w:tooltip="Duraisingham, 2014 #20" w:history="1">
        <w:r w:rsidR="00BB0145">
          <w:rPr>
            <w:noProof/>
          </w:rPr>
          <w:t>2014</w:t>
        </w:r>
      </w:hyperlink>
      <w:r>
        <w:rPr>
          <w:noProof/>
        </w:rPr>
        <w:t>)</w:t>
      </w:r>
      <w:bookmarkEnd w:id="380"/>
      <w:bookmarkEnd w:id="381"/>
      <w:r>
        <w:fldChar w:fldCharType="end"/>
      </w:r>
    </w:p>
    <w:tbl>
      <w:tblPr>
        <w:tblStyle w:val="TableGrid"/>
        <w:tblW w:w="0" w:type="auto"/>
        <w:tblLook w:val="04A0" w:firstRow="1" w:lastRow="0" w:firstColumn="1" w:lastColumn="0" w:noHBand="0" w:noVBand="1"/>
        <w:tblCaption w:val="Analysis of prophylactic antibiotic use and infection outcomes from Duraisingham et al. (2014)"/>
      </w:tblPr>
      <w:tblGrid>
        <w:gridCol w:w="4815"/>
        <w:gridCol w:w="2100"/>
        <w:gridCol w:w="2101"/>
      </w:tblGrid>
      <w:tr w:rsidR="00911F85" w14:paraId="5E1CE39E" w14:textId="77777777" w:rsidTr="008742A1">
        <w:trPr>
          <w:cantSplit/>
          <w:tblHeader/>
        </w:trPr>
        <w:tc>
          <w:tcPr>
            <w:tcW w:w="4815" w:type="dxa"/>
            <w:tcBorders>
              <w:top w:val="single" w:sz="4" w:space="0" w:color="auto"/>
              <w:left w:val="single" w:sz="4" w:space="0" w:color="auto"/>
              <w:bottom w:val="single" w:sz="4" w:space="0" w:color="auto"/>
              <w:right w:val="single" w:sz="4" w:space="0" w:color="auto"/>
            </w:tcBorders>
          </w:tcPr>
          <w:p w14:paraId="2B6064FC" w14:textId="77777777" w:rsidR="00911F85" w:rsidRDefault="00911F85" w:rsidP="008742A1">
            <w:pPr>
              <w:pStyle w:val="TableHeading"/>
              <w:jc w:val="center"/>
              <w:rPr>
                <w:lang w:eastAsia="en-US"/>
              </w:rPr>
            </w:pPr>
          </w:p>
        </w:tc>
        <w:tc>
          <w:tcPr>
            <w:tcW w:w="2100" w:type="dxa"/>
            <w:tcBorders>
              <w:top w:val="single" w:sz="4" w:space="0" w:color="auto"/>
              <w:left w:val="single" w:sz="4" w:space="0" w:color="auto"/>
              <w:bottom w:val="single" w:sz="4" w:space="0" w:color="auto"/>
              <w:right w:val="single" w:sz="4" w:space="0" w:color="auto"/>
            </w:tcBorders>
            <w:hideMark/>
          </w:tcPr>
          <w:p w14:paraId="2C0EF210" w14:textId="77777777" w:rsidR="00911F85" w:rsidRDefault="00911F85" w:rsidP="008742A1">
            <w:pPr>
              <w:pStyle w:val="TableHeading"/>
              <w:jc w:val="center"/>
              <w:rPr>
                <w:lang w:eastAsia="en-US"/>
              </w:rPr>
            </w:pPr>
            <w:r>
              <w:rPr>
                <w:lang w:eastAsia="en-US"/>
              </w:rPr>
              <w:t>Before Ig</w:t>
            </w:r>
          </w:p>
        </w:tc>
        <w:tc>
          <w:tcPr>
            <w:tcW w:w="2101" w:type="dxa"/>
            <w:tcBorders>
              <w:top w:val="single" w:sz="4" w:space="0" w:color="auto"/>
              <w:left w:val="single" w:sz="4" w:space="0" w:color="auto"/>
              <w:bottom w:val="single" w:sz="4" w:space="0" w:color="auto"/>
              <w:right w:val="single" w:sz="4" w:space="0" w:color="auto"/>
            </w:tcBorders>
            <w:hideMark/>
          </w:tcPr>
          <w:p w14:paraId="54691379" w14:textId="77777777" w:rsidR="00911F85" w:rsidRDefault="00911F85" w:rsidP="008742A1">
            <w:pPr>
              <w:pStyle w:val="TableHeading"/>
              <w:jc w:val="center"/>
              <w:rPr>
                <w:lang w:eastAsia="en-US"/>
              </w:rPr>
            </w:pPr>
            <w:r>
              <w:rPr>
                <w:lang w:eastAsia="en-US"/>
              </w:rPr>
              <w:t>After Ig</w:t>
            </w:r>
          </w:p>
        </w:tc>
      </w:tr>
      <w:tr w:rsidR="00911F85" w14:paraId="3D92CC61" w14:textId="77777777" w:rsidTr="008742A1">
        <w:trPr>
          <w:cantSplit/>
        </w:trPr>
        <w:tc>
          <w:tcPr>
            <w:tcW w:w="4815" w:type="dxa"/>
            <w:tcBorders>
              <w:top w:val="single" w:sz="4" w:space="0" w:color="auto"/>
              <w:left w:val="single" w:sz="4" w:space="0" w:color="auto"/>
              <w:bottom w:val="single" w:sz="4" w:space="0" w:color="auto"/>
              <w:right w:val="single" w:sz="4" w:space="0" w:color="auto"/>
            </w:tcBorders>
            <w:hideMark/>
          </w:tcPr>
          <w:p w14:paraId="15551C5D" w14:textId="77777777" w:rsidR="00911F85" w:rsidRDefault="00911F85" w:rsidP="008742A1">
            <w:pPr>
              <w:pStyle w:val="Tabletext1"/>
              <w:rPr>
                <w:lang w:eastAsia="en-US"/>
              </w:rPr>
            </w:pPr>
            <w:r>
              <w:rPr>
                <w:lang w:eastAsia="en-US"/>
              </w:rPr>
              <w:t>Proportion of patients on prophylactic antibiotics in HM subset</w:t>
            </w:r>
          </w:p>
        </w:tc>
        <w:tc>
          <w:tcPr>
            <w:tcW w:w="2100" w:type="dxa"/>
            <w:tcBorders>
              <w:top w:val="single" w:sz="4" w:space="0" w:color="auto"/>
              <w:left w:val="single" w:sz="4" w:space="0" w:color="auto"/>
              <w:bottom w:val="single" w:sz="4" w:space="0" w:color="auto"/>
              <w:right w:val="single" w:sz="4" w:space="0" w:color="auto"/>
            </w:tcBorders>
            <w:hideMark/>
          </w:tcPr>
          <w:p w14:paraId="7D2DC7D7" w14:textId="77777777" w:rsidR="00911F85" w:rsidRDefault="00911F85" w:rsidP="008742A1">
            <w:pPr>
              <w:pStyle w:val="Tabletext1"/>
              <w:jc w:val="center"/>
              <w:rPr>
                <w:lang w:eastAsia="en-US"/>
              </w:rPr>
            </w:pPr>
            <w:r>
              <w:rPr>
                <w:lang w:eastAsia="en-US"/>
              </w:rPr>
              <w:t>12/15 (80%)</w:t>
            </w:r>
          </w:p>
        </w:tc>
        <w:tc>
          <w:tcPr>
            <w:tcW w:w="2101" w:type="dxa"/>
            <w:tcBorders>
              <w:top w:val="single" w:sz="4" w:space="0" w:color="auto"/>
              <w:left w:val="single" w:sz="4" w:space="0" w:color="auto"/>
              <w:bottom w:val="single" w:sz="4" w:space="0" w:color="auto"/>
              <w:right w:val="single" w:sz="4" w:space="0" w:color="auto"/>
            </w:tcBorders>
            <w:hideMark/>
          </w:tcPr>
          <w:p w14:paraId="60587BD0" w14:textId="77777777" w:rsidR="00911F85" w:rsidRDefault="00911F85" w:rsidP="008742A1">
            <w:pPr>
              <w:pStyle w:val="Tabletext1"/>
              <w:jc w:val="center"/>
              <w:rPr>
                <w:lang w:eastAsia="en-US"/>
              </w:rPr>
            </w:pPr>
            <w:r>
              <w:rPr>
                <w:lang w:eastAsia="en-US"/>
              </w:rPr>
              <w:t>10/15 (67%)</w:t>
            </w:r>
          </w:p>
        </w:tc>
      </w:tr>
      <w:tr w:rsidR="00911F85" w14:paraId="1D1C3DDE" w14:textId="77777777" w:rsidTr="008742A1">
        <w:trPr>
          <w:cantSplit/>
        </w:trPr>
        <w:tc>
          <w:tcPr>
            <w:tcW w:w="4815" w:type="dxa"/>
            <w:tcBorders>
              <w:top w:val="single" w:sz="4" w:space="0" w:color="auto"/>
              <w:left w:val="single" w:sz="4" w:space="0" w:color="auto"/>
              <w:bottom w:val="single" w:sz="4" w:space="0" w:color="auto"/>
              <w:right w:val="single" w:sz="4" w:space="0" w:color="auto"/>
            </w:tcBorders>
            <w:hideMark/>
          </w:tcPr>
          <w:p w14:paraId="43B77BB5" w14:textId="77777777" w:rsidR="00911F85" w:rsidRDefault="00911F85" w:rsidP="008742A1">
            <w:pPr>
              <w:pStyle w:val="Tabletext1"/>
              <w:rPr>
                <w:lang w:eastAsia="en-US"/>
              </w:rPr>
            </w:pPr>
            <w:r>
              <w:rPr>
                <w:lang w:eastAsia="en-US"/>
              </w:rPr>
              <w:t>No. serious infections in HM subset</w:t>
            </w:r>
          </w:p>
        </w:tc>
        <w:tc>
          <w:tcPr>
            <w:tcW w:w="2100" w:type="dxa"/>
            <w:tcBorders>
              <w:top w:val="single" w:sz="4" w:space="0" w:color="auto"/>
              <w:left w:val="single" w:sz="4" w:space="0" w:color="auto"/>
              <w:bottom w:val="single" w:sz="4" w:space="0" w:color="auto"/>
              <w:right w:val="single" w:sz="4" w:space="0" w:color="auto"/>
            </w:tcBorders>
            <w:hideMark/>
          </w:tcPr>
          <w:p w14:paraId="711199C1" w14:textId="77777777" w:rsidR="00911F85" w:rsidRDefault="00911F85" w:rsidP="008742A1">
            <w:pPr>
              <w:pStyle w:val="Tabletext1"/>
              <w:jc w:val="center"/>
              <w:rPr>
                <w:lang w:eastAsia="en-US"/>
              </w:rPr>
            </w:pPr>
            <w:r>
              <w:rPr>
                <w:lang w:eastAsia="en-US"/>
              </w:rPr>
              <w:t>11</w:t>
            </w:r>
          </w:p>
        </w:tc>
        <w:tc>
          <w:tcPr>
            <w:tcW w:w="2101" w:type="dxa"/>
            <w:tcBorders>
              <w:top w:val="single" w:sz="4" w:space="0" w:color="auto"/>
              <w:left w:val="single" w:sz="4" w:space="0" w:color="auto"/>
              <w:bottom w:val="single" w:sz="4" w:space="0" w:color="auto"/>
              <w:right w:val="single" w:sz="4" w:space="0" w:color="auto"/>
            </w:tcBorders>
            <w:hideMark/>
          </w:tcPr>
          <w:p w14:paraId="4B447A7F" w14:textId="77777777" w:rsidR="00911F85" w:rsidRDefault="00911F85" w:rsidP="008742A1">
            <w:pPr>
              <w:pStyle w:val="Tabletext1"/>
              <w:jc w:val="center"/>
              <w:rPr>
                <w:lang w:eastAsia="en-US"/>
              </w:rPr>
            </w:pPr>
            <w:r>
              <w:rPr>
                <w:lang w:eastAsia="en-US"/>
              </w:rPr>
              <w:t>3</w:t>
            </w:r>
          </w:p>
        </w:tc>
      </w:tr>
      <w:tr w:rsidR="00911F85" w14:paraId="14736083" w14:textId="77777777" w:rsidTr="008742A1">
        <w:trPr>
          <w:cantSplit/>
        </w:trPr>
        <w:tc>
          <w:tcPr>
            <w:tcW w:w="4815" w:type="dxa"/>
            <w:tcBorders>
              <w:top w:val="single" w:sz="4" w:space="0" w:color="auto"/>
              <w:left w:val="single" w:sz="4" w:space="0" w:color="auto"/>
              <w:bottom w:val="single" w:sz="4" w:space="0" w:color="auto"/>
              <w:right w:val="single" w:sz="4" w:space="0" w:color="auto"/>
            </w:tcBorders>
            <w:hideMark/>
          </w:tcPr>
          <w:p w14:paraId="5F7E3E6B" w14:textId="77777777" w:rsidR="00911F85" w:rsidRDefault="00911F85" w:rsidP="008742A1">
            <w:pPr>
              <w:pStyle w:val="Tabletext1"/>
              <w:rPr>
                <w:lang w:eastAsia="en-US"/>
              </w:rPr>
            </w:pPr>
            <w:r>
              <w:rPr>
                <w:lang w:eastAsia="en-US"/>
              </w:rPr>
              <w:t>Serious infection rate</w:t>
            </w:r>
          </w:p>
        </w:tc>
        <w:tc>
          <w:tcPr>
            <w:tcW w:w="2100" w:type="dxa"/>
            <w:tcBorders>
              <w:top w:val="single" w:sz="4" w:space="0" w:color="auto"/>
              <w:left w:val="single" w:sz="4" w:space="0" w:color="auto"/>
              <w:bottom w:val="single" w:sz="4" w:space="0" w:color="auto"/>
              <w:right w:val="single" w:sz="4" w:space="0" w:color="auto"/>
            </w:tcBorders>
            <w:hideMark/>
          </w:tcPr>
          <w:p w14:paraId="092D87BC" w14:textId="77777777" w:rsidR="00911F85" w:rsidRDefault="00911F85" w:rsidP="008742A1">
            <w:pPr>
              <w:pStyle w:val="Tabletext1"/>
              <w:jc w:val="center"/>
              <w:rPr>
                <w:lang w:eastAsia="en-US"/>
              </w:rPr>
            </w:pPr>
            <w:r>
              <w:rPr>
                <w:lang w:eastAsia="en-US"/>
              </w:rPr>
              <w:t>0.9</w:t>
            </w:r>
          </w:p>
        </w:tc>
        <w:tc>
          <w:tcPr>
            <w:tcW w:w="2101" w:type="dxa"/>
            <w:tcBorders>
              <w:top w:val="single" w:sz="4" w:space="0" w:color="auto"/>
              <w:left w:val="single" w:sz="4" w:space="0" w:color="auto"/>
              <w:bottom w:val="single" w:sz="4" w:space="0" w:color="auto"/>
              <w:right w:val="single" w:sz="4" w:space="0" w:color="auto"/>
            </w:tcBorders>
            <w:hideMark/>
          </w:tcPr>
          <w:p w14:paraId="32BCEA40" w14:textId="77777777" w:rsidR="00911F85" w:rsidRDefault="00911F85" w:rsidP="008742A1">
            <w:pPr>
              <w:pStyle w:val="Tabletext1"/>
              <w:jc w:val="center"/>
              <w:rPr>
                <w:lang w:eastAsia="en-US"/>
              </w:rPr>
            </w:pPr>
            <w:r>
              <w:rPr>
                <w:lang w:eastAsia="en-US"/>
              </w:rPr>
              <w:t>0.2</w:t>
            </w:r>
          </w:p>
        </w:tc>
      </w:tr>
      <w:tr w:rsidR="00911F85" w14:paraId="7072E1F6" w14:textId="77777777" w:rsidTr="008742A1">
        <w:trPr>
          <w:cantSplit/>
        </w:trPr>
        <w:tc>
          <w:tcPr>
            <w:tcW w:w="4815" w:type="dxa"/>
            <w:tcBorders>
              <w:top w:val="single" w:sz="4" w:space="0" w:color="auto"/>
              <w:left w:val="single" w:sz="4" w:space="0" w:color="auto"/>
              <w:bottom w:val="single" w:sz="4" w:space="0" w:color="auto"/>
              <w:right w:val="single" w:sz="4" w:space="0" w:color="auto"/>
            </w:tcBorders>
            <w:hideMark/>
          </w:tcPr>
          <w:p w14:paraId="294A2B1A" w14:textId="77777777" w:rsidR="00911F85" w:rsidRDefault="00911F85" w:rsidP="008742A1">
            <w:pPr>
              <w:pStyle w:val="Tabletext1"/>
              <w:rPr>
                <w:lang w:eastAsia="en-US"/>
              </w:rPr>
            </w:pPr>
            <w:r>
              <w:rPr>
                <w:lang w:eastAsia="en-US"/>
              </w:rPr>
              <w:t>No. non-serious infections in HM subset</w:t>
            </w:r>
          </w:p>
        </w:tc>
        <w:tc>
          <w:tcPr>
            <w:tcW w:w="2100" w:type="dxa"/>
            <w:tcBorders>
              <w:top w:val="single" w:sz="4" w:space="0" w:color="auto"/>
              <w:left w:val="single" w:sz="4" w:space="0" w:color="auto"/>
              <w:bottom w:val="single" w:sz="4" w:space="0" w:color="auto"/>
              <w:right w:val="single" w:sz="4" w:space="0" w:color="auto"/>
            </w:tcBorders>
            <w:hideMark/>
          </w:tcPr>
          <w:p w14:paraId="1D64500D" w14:textId="77777777" w:rsidR="00911F85" w:rsidRDefault="00911F85" w:rsidP="008742A1">
            <w:pPr>
              <w:pStyle w:val="Tabletext1"/>
              <w:jc w:val="center"/>
              <w:rPr>
                <w:lang w:eastAsia="en-US"/>
              </w:rPr>
            </w:pPr>
            <w:r>
              <w:rPr>
                <w:lang w:eastAsia="en-US"/>
              </w:rPr>
              <w:t>37</w:t>
            </w:r>
          </w:p>
        </w:tc>
        <w:tc>
          <w:tcPr>
            <w:tcW w:w="2101" w:type="dxa"/>
            <w:tcBorders>
              <w:top w:val="single" w:sz="4" w:space="0" w:color="auto"/>
              <w:left w:val="single" w:sz="4" w:space="0" w:color="auto"/>
              <w:bottom w:val="single" w:sz="4" w:space="0" w:color="auto"/>
              <w:right w:val="single" w:sz="4" w:space="0" w:color="auto"/>
            </w:tcBorders>
            <w:hideMark/>
          </w:tcPr>
          <w:p w14:paraId="2C5FC0C4" w14:textId="77777777" w:rsidR="00911F85" w:rsidRDefault="00911F85" w:rsidP="008742A1">
            <w:pPr>
              <w:pStyle w:val="Tabletext1"/>
              <w:jc w:val="center"/>
              <w:rPr>
                <w:lang w:eastAsia="en-US"/>
              </w:rPr>
            </w:pPr>
            <w:r>
              <w:rPr>
                <w:lang w:eastAsia="en-US"/>
              </w:rPr>
              <w:t>21</w:t>
            </w:r>
          </w:p>
        </w:tc>
      </w:tr>
      <w:tr w:rsidR="00911F85" w14:paraId="424EDAD0" w14:textId="77777777" w:rsidTr="008742A1">
        <w:trPr>
          <w:cantSplit/>
        </w:trPr>
        <w:tc>
          <w:tcPr>
            <w:tcW w:w="4815" w:type="dxa"/>
            <w:tcBorders>
              <w:top w:val="single" w:sz="4" w:space="0" w:color="auto"/>
              <w:left w:val="single" w:sz="4" w:space="0" w:color="auto"/>
              <w:bottom w:val="single" w:sz="4" w:space="0" w:color="auto"/>
              <w:right w:val="single" w:sz="4" w:space="0" w:color="auto"/>
            </w:tcBorders>
            <w:hideMark/>
          </w:tcPr>
          <w:p w14:paraId="02539481" w14:textId="77777777" w:rsidR="00911F85" w:rsidRDefault="00911F85" w:rsidP="008742A1">
            <w:pPr>
              <w:pStyle w:val="Tabletext1"/>
              <w:rPr>
                <w:lang w:eastAsia="en-US"/>
              </w:rPr>
            </w:pPr>
            <w:r>
              <w:rPr>
                <w:lang w:eastAsia="en-US"/>
              </w:rPr>
              <w:t>Non-serious infection rate</w:t>
            </w:r>
          </w:p>
        </w:tc>
        <w:tc>
          <w:tcPr>
            <w:tcW w:w="2100" w:type="dxa"/>
            <w:tcBorders>
              <w:top w:val="single" w:sz="4" w:space="0" w:color="auto"/>
              <w:left w:val="single" w:sz="4" w:space="0" w:color="auto"/>
              <w:bottom w:val="single" w:sz="4" w:space="0" w:color="auto"/>
              <w:right w:val="single" w:sz="4" w:space="0" w:color="auto"/>
            </w:tcBorders>
            <w:hideMark/>
          </w:tcPr>
          <w:p w14:paraId="5B74CF56" w14:textId="77777777" w:rsidR="00911F85" w:rsidRDefault="00911F85" w:rsidP="008742A1">
            <w:pPr>
              <w:pStyle w:val="Tabletext1"/>
              <w:jc w:val="center"/>
              <w:rPr>
                <w:lang w:eastAsia="en-US"/>
              </w:rPr>
            </w:pPr>
            <w:r>
              <w:rPr>
                <w:lang w:eastAsia="en-US"/>
              </w:rPr>
              <w:t>3.1</w:t>
            </w:r>
          </w:p>
        </w:tc>
        <w:tc>
          <w:tcPr>
            <w:tcW w:w="2101" w:type="dxa"/>
            <w:tcBorders>
              <w:top w:val="single" w:sz="4" w:space="0" w:color="auto"/>
              <w:left w:val="single" w:sz="4" w:space="0" w:color="auto"/>
              <w:bottom w:val="single" w:sz="4" w:space="0" w:color="auto"/>
              <w:right w:val="single" w:sz="4" w:space="0" w:color="auto"/>
            </w:tcBorders>
            <w:hideMark/>
          </w:tcPr>
          <w:p w14:paraId="2B42F21C" w14:textId="77777777" w:rsidR="00911F85" w:rsidRDefault="00911F85" w:rsidP="008742A1">
            <w:pPr>
              <w:pStyle w:val="Tabletext1"/>
              <w:jc w:val="center"/>
              <w:rPr>
                <w:lang w:eastAsia="en-US"/>
              </w:rPr>
            </w:pPr>
            <w:r>
              <w:rPr>
                <w:lang w:eastAsia="en-US"/>
              </w:rPr>
              <w:t>1.4</w:t>
            </w:r>
          </w:p>
        </w:tc>
      </w:tr>
    </w:tbl>
    <w:p w14:paraId="662D31B4" w14:textId="77777777" w:rsidR="00911F85" w:rsidRPr="00E86BCE" w:rsidRDefault="00911F85" w:rsidP="00911F85">
      <w:pPr>
        <w:pStyle w:val="Tablenotes1"/>
      </w:pPr>
      <w:r>
        <w:t>HM = haematological malignancy; Ig = immunoglobulin.</w:t>
      </w:r>
    </w:p>
    <w:p w14:paraId="6ED8C5EB" w14:textId="559E8EEF" w:rsidR="00911F85" w:rsidRDefault="00911F85" w:rsidP="00911F85">
      <w:pPr>
        <w:pStyle w:val="Tablenotes1"/>
      </w:pPr>
      <w:r>
        <w:t xml:space="preserve">Source: Duraisingham et </w:t>
      </w:r>
      <w:r w:rsidRPr="00882E18">
        <w:t xml:space="preserve">al. </w:t>
      </w:r>
      <w:r>
        <w:fldChar w:fldCharType="begin">
          <w:fldData xml:space="preserve">PEVuZE5vdGU+PENpdGUgRXhjbHVkZUF1dGg9IjEiPjxBdXRob3I+RHVyYWlzaW5naGFtPC9BdXRo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</w:fldData>
        </w:fldChar>
      </w:r>
      <w:r>
        <w:instrText xml:space="preserve"> ADDIN EN.CITE </w:instrText>
      </w:r>
      <w:r>
        <w:fldChar w:fldCharType="begin">
          <w:fldData xml:space="preserve">PEVuZE5vdGU+PENpdGUgRXhjbHVkZUF1dGg9IjEiPjxBdXRob3I+RHVyYWlzaW5naGFtPC9BdXRo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</w:fldData>
        </w:fldChar>
      </w:r>
      <w:r>
        <w:instrText xml:space="preserve"> ADDIN EN.CITE.DATA </w:instrText>
      </w:r>
      <w:r>
        <w:fldChar w:fldCharType="end"/>
      </w:r>
      <w:r>
        <w:fldChar w:fldCharType="separate"/>
      </w:r>
      <w:r>
        <w:rPr>
          <w:noProof/>
        </w:rPr>
        <w:t>(</w:t>
      </w:r>
      <w:hyperlink w:anchor="_ENREF_16" w:tooltip="Duraisingham, 2014 #20" w:history="1">
        <w:r w:rsidR="00BB0145">
          <w:rPr>
            <w:noProof/>
          </w:rPr>
          <w:t>2014</w:t>
        </w:r>
      </w:hyperlink>
      <w:r>
        <w:rPr>
          <w:noProof/>
        </w:rPr>
        <w:t>)</w:t>
      </w:r>
      <w:r>
        <w:fldChar w:fldCharType="end"/>
      </w:r>
      <w:r w:rsidRPr="00882E18">
        <w:t>, supplemental</w:t>
      </w:r>
      <w:r>
        <w:t xml:space="preserve"> data</w:t>
      </w:r>
    </w:p>
    <w:p w14:paraId="0D2DA80F" w14:textId="630E531B" w:rsidR="00911F85" w:rsidRDefault="00911F85" w:rsidP="00911F85">
      <w:r>
        <w:t xml:space="preserve">It is unclear what would occur in Australian clinical practice in the absence of Ig. A survey of Australian clinicians experienced in the care of patients with acquired hypogammaglobulinaemia indicated that only 3% of clinicians would routinely trial prophylactic antibiotics before initiating Ig replacement therapy, with a further 17% indicating that they would trial prophylactic antibiotics in certain situations </w:t>
      </w:r>
      <w:r>
        <w:fldChar w:fldCharType="begin">
          <w:fldData xml:space="preserve">PEVuZE5vdGU+PENpdGU+PEF1dGhvcj5Xb25nPC9BdXRob3I+PFllYXI+MjAxOTwvWWVhcj48UmVj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==
</w:fldData>
        </w:fldChar>
      </w:r>
      <w:r>
        <w:instrText xml:space="preserve"> ADDIN EN.CITE </w:instrText>
      </w:r>
      <w:r>
        <w:fldChar w:fldCharType="begin">
          <w:fldData xml:space="preserve">PEVuZE5vdGU+PENpdGU+PEF1dGhvcj5Xb25nPC9BdXRob3I+PFllYXI+MjAxOTwvWWVhcj48UmVj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==
</w:fldData>
        </w:fldChar>
      </w:r>
      <w:r>
        <w:instrText xml:space="preserve"> ADDIN EN.CITE.DATA </w:instrText>
      </w:r>
      <w:r>
        <w:fldChar w:fldCharType="end"/>
      </w:r>
      <w:r>
        <w:fldChar w:fldCharType="separate"/>
      </w:r>
      <w:r>
        <w:rPr>
          <w:noProof/>
        </w:rPr>
        <w:t>(</w:t>
      </w:r>
      <w:hyperlink w:anchor="_ENREF_58" w:tooltip="Wong, 2019 #98" w:history="1">
        <w:r w:rsidR="00BB0145">
          <w:rPr>
            <w:noProof/>
          </w:rPr>
          <w:t>Wong et al. 2019</w:t>
        </w:r>
      </w:hyperlink>
      <w:r>
        <w:rPr>
          <w:noProof/>
        </w:rPr>
        <w:t>)</w:t>
      </w:r>
      <w:r>
        <w:fldChar w:fldCharType="end"/>
      </w:r>
      <w:r>
        <w:t xml:space="preserve">. However this study was conducted in the setting where Ig is available, and rates of antibiotic prophylaxis may differ in the setting where Ig is not available, which may have implications for the relative treatment effect of Ig. </w:t>
      </w:r>
    </w:p>
    <w:p w14:paraId="2B94F947" w14:textId="6D3B21DA" w:rsidR="00911F85" w:rsidRDefault="00911F85" w:rsidP="00911F85">
      <w:r>
        <w:t xml:space="preserve">While the results from the Duraisingham et </w:t>
      </w:r>
      <w:r w:rsidRPr="00882E18">
        <w:t xml:space="preserve">al. </w:t>
      </w:r>
      <w:r>
        <w:fldChar w:fldCharType="begin">
          <w:fldData xml:space="preserve">PEVuZE5vdGU+PENpdGUgRXhjbHVkZUF1dGg9IjEiPjxBdXRob3I+RHVyYWlzaW5naGFtPC9BdXRo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</w:fldData>
        </w:fldChar>
      </w:r>
      <w:r>
        <w:instrText xml:space="preserve"> ADDIN EN.CITE </w:instrText>
      </w:r>
      <w:r>
        <w:fldChar w:fldCharType="begin">
          <w:fldData xml:space="preserve">PEVuZE5vdGU+PENpdGUgRXhjbHVkZUF1dGg9IjEiPjxBdXRob3I+RHVyYWlzaW5naGFtPC9BdXRo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</w:fldData>
        </w:fldChar>
      </w:r>
      <w:r>
        <w:instrText xml:space="preserve"> ADDIN EN.CITE.DATA </w:instrText>
      </w:r>
      <w:r>
        <w:fldChar w:fldCharType="end"/>
      </w:r>
      <w:r>
        <w:fldChar w:fldCharType="separate"/>
      </w:r>
      <w:r>
        <w:rPr>
          <w:noProof/>
        </w:rPr>
        <w:t>(</w:t>
      </w:r>
      <w:hyperlink w:anchor="_ENREF_16" w:tooltip="Duraisingham, 2014 #20" w:history="1">
        <w:r w:rsidR="00BB0145">
          <w:rPr>
            <w:noProof/>
          </w:rPr>
          <w:t>2014</w:t>
        </w:r>
      </w:hyperlink>
      <w:r>
        <w:rPr>
          <w:noProof/>
        </w:rPr>
        <w:t>)</w:t>
      </w:r>
      <w:r>
        <w:fldChar w:fldCharType="end"/>
      </w:r>
      <w:r>
        <w:t xml:space="preserve"> study are supportive of a benefit of similar magnitude for Ig </w:t>
      </w:r>
      <w:r>
        <w:rPr>
          <w:rFonts w:cs="Calibri"/>
        </w:rPr>
        <w:t xml:space="preserve">irrespective of whether prophylactic antibiotics are used in the comparator, due to the </w:t>
      </w:r>
      <w:r w:rsidRPr="00AD6AF6">
        <w:rPr>
          <w:rFonts w:cs="Calibri"/>
        </w:rPr>
        <w:t xml:space="preserve">inherent biases associated with </w:t>
      </w:r>
      <w:r>
        <w:rPr>
          <w:rFonts w:cs="Calibri"/>
        </w:rPr>
        <w:t xml:space="preserve">the small patient numbers and study design, this is not conclusive. </w:t>
      </w:r>
      <w:r>
        <w:t xml:space="preserve">An Australian RCT comparing antibiotic prophylaxis to Ig in acquired hypogammaglobulinaemia (Australian New Zealand Clinical Trials Registry no. ACTRN12616001723471) is currently ongoing and aims to address this question. </w:t>
      </w:r>
    </w:p>
    <w:p w14:paraId="0D2BEA9E" w14:textId="39BFEDF0" w:rsidR="00911F85" w:rsidRDefault="00911F85" w:rsidP="00911F85">
      <w:r>
        <w:t xml:space="preserve">In the absence of alternative evidence to i) suggest that rates of antibiotic prophylaxis would increase in the absence of Ig (given that randomised trials, including one contemporary trial, did not allow antibiotic prophylaxis; or where allowed, use was equal irrespective of Ig use); and ii) that this increase in antibiotic use would affect the relative treatment effect of Ig (given that this comparison is currently being explored and the one non-randomised study identified showed a consistent effect despite prophylactic antibiotic use), the economic analysis will assume no increase in prophylactic antibiotic use relative to that in the Ig arm of the model – and so the relative treatment effect observed in the randomised studies is assumed to apply to the current setting. However a scenario analysis based on the results from the Duraisingham et al. </w:t>
      </w:r>
      <w:r>
        <w:fldChar w:fldCharType="begin">
          <w:fldData xml:space="preserve">PEVuZE5vdGU+PENpdGUgRXhjbHVkZUF1dGg9IjEiPjxBdXRob3I+RHVyYWlzaW5naGFtPC9BdXRo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</w:fldData>
        </w:fldChar>
      </w:r>
      <w:r>
        <w:instrText xml:space="preserve"> ADDIN EN.CITE </w:instrText>
      </w:r>
      <w:r>
        <w:fldChar w:fldCharType="begin">
          <w:fldData xml:space="preserve">PEVuZE5vdGU+PENpdGUgRXhjbHVkZUF1dGg9IjEiPjxBdXRob3I+RHVyYWlzaW5naGFtPC9BdXRo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</w:fldData>
        </w:fldChar>
      </w:r>
      <w:r>
        <w:instrText xml:space="preserve"> ADDIN EN.CITE.DATA </w:instrText>
      </w:r>
      <w:r>
        <w:fldChar w:fldCharType="end"/>
      </w:r>
      <w:r>
        <w:fldChar w:fldCharType="separate"/>
      </w:r>
      <w:r>
        <w:rPr>
          <w:noProof/>
        </w:rPr>
        <w:t>(</w:t>
      </w:r>
      <w:hyperlink w:anchor="_ENREF_16" w:tooltip="Duraisingham, 2014 #20" w:history="1">
        <w:r w:rsidR="00BB0145">
          <w:rPr>
            <w:noProof/>
          </w:rPr>
          <w:t>2014</w:t>
        </w:r>
      </w:hyperlink>
      <w:r>
        <w:rPr>
          <w:noProof/>
        </w:rPr>
        <w:t>)</w:t>
      </w:r>
      <w:r>
        <w:fldChar w:fldCharType="end"/>
      </w:r>
      <w:r>
        <w:t xml:space="preserve"> study, including the cost of prophylactic antibiotics and observed treatment effect, will be presented.</w:t>
      </w:r>
    </w:p>
    <w:p w14:paraId="68D4705C" w14:textId="77777777" w:rsidR="00911F85" w:rsidRDefault="00911F85" w:rsidP="00911F85"/>
    <w:p w14:paraId="38E765C5" w14:textId="77777777" w:rsidR="00911F85" w:rsidRDefault="00911F85" w:rsidP="00911F85">
      <w:pPr>
        <w:pStyle w:val="Heading3"/>
      </w:pPr>
      <w:bookmarkStart w:id="382" w:name="_Toc14431155"/>
      <w:bookmarkStart w:id="383" w:name="_Toc16856323"/>
      <w:r w:rsidRPr="00C43589">
        <w:rPr>
          <w:sz w:val="22"/>
        </w:rPr>
        <w:lastRenderedPageBreak/>
        <w:t>C.2.3</w:t>
      </w:r>
      <w:r>
        <w:t>.</w:t>
      </w:r>
      <w:r w:rsidRPr="00C43589">
        <w:tab/>
      </w:r>
      <w:r>
        <w:tab/>
        <w:t>Dose of Ig</w:t>
      </w:r>
      <w:bookmarkEnd w:id="382"/>
      <w:bookmarkEnd w:id="383"/>
    </w:p>
    <w:p w14:paraId="20380312" w14:textId="4C6F6038" w:rsidR="00911F85" w:rsidRDefault="00911F85" w:rsidP="00911F85">
      <w:r>
        <w:t xml:space="preserve">The third translation study presented aims to determine how the doses used in the clinical evidence compare to those currently dispensed in the Australian population that receives Ig for acquired hypogammaglobulinaemia. BloodSTAR data are used to inform the average dose in current practice, and will be compared to the doses reported in the clinical evidence. </w:t>
      </w:r>
    </w:p>
    <w:p w14:paraId="1FDA8E7A" w14:textId="77777777" w:rsidR="00911F85" w:rsidRDefault="00911F85" w:rsidP="00911F85">
      <w:r>
        <w:t xml:space="preserve">The Version 3 criteria suggest doses of 0.4 g/kg every 4 weeks or more frequently to achieve targeted IgG trough levels. However it is also specified that the lowest dose possible that achieves the appropriate clinical outcome should be used. A comparison of the average doses dispensed per episode of treatment as reported in the BloodSTAR data to the doses used in the clinical evidence are presented in </w:t>
      </w:r>
      <w:r>
        <w:fldChar w:fldCharType="begin"/>
      </w:r>
      <w:r>
        <w:instrText xml:space="preserve"> REF _Ref10554693 \h </w:instrText>
      </w:r>
      <w:r>
        <w:fldChar w:fldCharType="separate"/>
      </w:r>
      <w:r w:rsidR="00A7463B">
        <w:t xml:space="preserve">Table </w:t>
      </w:r>
      <w:r w:rsidR="00A7463B">
        <w:rPr>
          <w:noProof/>
        </w:rPr>
        <w:t>32</w:t>
      </w:r>
      <w:r>
        <w:fldChar w:fldCharType="end"/>
      </w:r>
      <w:r>
        <w:t xml:space="preserve">. </w:t>
      </w:r>
    </w:p>
    <w:p w14:paraId="1E9895FF" w14:textId="77777777" w:rsidR="00911F85" w:rsidRDefault="00911F85" w:rsidP="00911F85">
      <w:pPr>
        <w:pStyle w:val="Caption"/>
        <w:keepNext/>
        <w:ind w:left="1134" w:hanging="1134"/>
      </w:pPr>
      <w:bookmarkStart w:id="384" w:name="_Ref10554693"/>
      <w:bookmarkStart w:id="385" w:name="_Toc14348869"/>
      <w:bookmarkStart w:id="386" w:name="_Toc14429575"/>
      <w:bookmarkStart w:id="387" w:name="_Toc16671630"/>
      <w:r>
        <w:t xml:space="preserve">Table </w:t>
      </w:r>
      <w:r>
        <w:rPr>
          <w:noProof/>
        </w:rPr>
        <w:fldChar w:fldCharType="begin"/>
      </w:r>
      <w:r>
        <w:rPr>
          <w:noProof/>
        </w:rPr>
        <w:instrText xml:space="preserve"> SEQ Table \* ARABIC </w:instrText>
      </w:r>
      <w:r>
        <w:rPr>
          <w:noProof/>
        </w:rPr>
        <w:fldChar w:fldCharType="separate"/>
      </w:r>
      <w:r w:rsidR="00A7463B">
        <w:rPr>
          <w:noProof/>
        </w:rPr>
        <w:t>32</w:t>
      </w:r>
      <w:r>
        <w:rPr>
          <w:noProof/>
        </w:rPr>
        <w:fldChar w:fldCharType="end"/>
      </w:r>
      <w:bookmarkEnd w:id="384"/>
      <w:r>
        <w:tab/>
        <w:t>A comparison of the doses dispensed in the Australian population that receives Ig for acquired hypogammaglobulinaemia to that used in the clinical evidence</w:t>
      </w:r>
      <w:bookmarkEnd w:id="385"/>
      <w:bookmarkEnd w:id="386"/>
      <w:bookmarkEnd w:id="387"/>
    </w:p>
    <w:tbl>
      <w:tblPr>
        <w:tblW w:w="5000" w:type="pct"/>
        <w:tblLook w:val="04A0" w:firstRow="1" w:lastRow="0" w:firstColumn="1" w:lastColumn="0" w:noHBand="0" w:noVBand="1"/>
        <w:tblCaption w:val="A comparison of the doses dispensed in the Australian population that receives Ig for acquired hypogammaglobulinaemia to that used in the clinical evidence"/>
      </w:tblPr>
      <w:tblGrid>
        <w:gridCol w:w="2030"/>
        <w:gridCol w:w="3606"/>
        <w:gridCol w:w="3606"/>
      </w:tblGrid>
      <w:tr w:rsidR="00911F85" w:rsidRPr="009A0178" w14:paraId="14E4FFF1" w14:textId="77777777" w:rsidTr="00B52A4F">
        <w:trPr>
          <w:cantSplit/>
          <w:trHeight w:val="300"/>
          <w:tblHeader/>
        </w:trPr>
        <w:tc>
          <w:tcPr>
            <w:tcW w:w="1098" w:type="pct"/>
            <w:tcBorders>
              <w:top w:val="single" w:sz="4" w:space="0" w:color="auto"/>
              <w:left w:val="single" w:sz="4" w:space="0" w:color="auto"/>
              <w:right w:val="single" w:sz="4" w:space="0" w:color="auto"/>
            </w:tcBorders>
            <w:shd w:val="clear" w:color="auto" w:fill="auto"/>
            <w:noWrap/>
            <w:vAlign w:val="bottom"/>
          </w:tcPr>
          <w:p w14:paraId="5EBF098A" w14:textId="77777777" w:rsidR="00911F85" w:rsidRPr="009A0178" w:rsidRDefault="00911F85" w:rsidP="008742A1">
            <w:pPr>
              <w:pStyle w:val="TableHeading"/>
            </w:pPr>
          </w:p>
        </w:tc>
        <w:tc>
          <w:tcPr>
            <w:tcW w:w="390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DCBEC" w14:textId="77777777" w:rsidR="00911F85" w:rsidRDefault="00911F85" w:rsidP="008742A1">
            <w:pPr>
              <w:pStyle w:val="TableHeading"/>
              <w:jc w:val="center"/>
            </w:pPr>
            <w:r>
              <w:t>Ig dose</w:t>
            </w:r>
          </w:p>
        </w:tc>
      </w:tr>
      <w:tr w:rsidR="00911F85" w:rsidRPr="009A0178" w14:paraId="6EDFEAE8" w14:textId="77777777" w:rsidTr="00B52A4F">
        <w:trPr>
          <w:cantSplit/>
          <w:trHeight w:val="300"/>
          <w:tblHeader/>
        </w:trPr>
        <w:tc>
          <w:tcPr>
            <w:tcW w:w="1098" w:type="pct"/>
            <w:tcBorders>
              <w:left w:val="single" w:sz="4" w:space="0" w:color="auto"/>
              <w:bottom w:val="single" w:sz="4" w:space="0" w:color="auto"/>
              <w:right w:val="single" w:sz="4" w:space="0" w:color="auto"/>
            </w:tcBorders>
            <w:shd w:val="clear" w:color="auto" w:fill="auto"/>
            <w:noWrap/>
            <w:vAlign w:val="bottom"/>
          </w:tcPr>
          <w:p w14:paraId="303B86E9" w14:textId="77777777" w:rsidR="00911F85" w:rsidRPr="009A0178" w:rsidRDefault="00911F85" w:rsidP="008742A1">
            <w:pPr>
              <w:pStyle w:val="TableHeading"/>
            </w:pPr>
          </w:p>
        </w:tc>
        <w:tc>
          <w:tcPr>
            <w:tcW w:w="19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B3619F" w14:textId="77777777" w:rsidR="00911F85" w:rsidRDefault="00911F85" w:rsidP="008742A1">
            <w:pPr>
              <w:pStyle w:val="TableHeading"/>
              <w:jc w:val="center"/>
            </w:pPr>
            <w:r>
              <w:t>BloodSTAR data</w:t>
            </w:r>
            <w:r>
              <w:rPr>
                <w:vertAlign w:val="superscript"/>
              </w:rPr>
              <w:t xml:space="preserve"> a</w:t>
            </w:r>
          </w:p>
        </w:tc>
        <w:tc>
          <w:tcPr>
            <w:tcW w:w="19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B50DD1" w14:textId="77777777" w:rsidR="00911F85" w:rsidRDefault="00911F85" w:rsidP="008742A1">
            <w:pPr>
              <w:pStyle w:val="TableHeading"/>
              <w:jc w:val="center"/>
            </w:pPr>
            <w:r>
              <w:t>Section B studies</w:t>
            </w:r>
          </w:p>
        </w:tc>
      </w:tr>
      <w:tr w:rsidR="00911F85" w:rsidRPr="009A0178" w14:paraId="609C1CC9" w14:textId="77777777" w:rsidTr="008742A1">
        <w:trPr>
          <w:cantSplit/>
          <w:trHeight w:val="300"/>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14:paraId="1F43BA46" w14:textId="77777777" w:rsidR="00911F85" w:rsidRPr="009A0178" w:rsidRDefault="00911F85" w:rsidP="008742A1">
            <w:pPr>
              <w:pStyle w:val="Tabletext1"/>
            </w:pPr>
            <w:r>
              <w:t>CLL</w:t>
            </w:r>
          </w:p>
        </w:tc>
        <w:tc>
          <w:tcPr>
            <w:tcW w:w="1951" w:type="pct"/>
            <w:tcBorders>
              <w:top w:val="single" w:sz="4" w:space="0" w:color="auto"/>
              <w:left w:val="single" w:sz="4" w:space="0" w:color="auto"/>
              <w:bottom w:val="single" w:sz="4" w:space="0" w:color="auto"/>
              <w:right w:val="single" w:sz="4" w:space="0" w:color="auto"/>
            </w:tcBorders>
          </w:tcPr>
          <w:p w14:paraId="044DC9CE" w14:textId="77777777" w:rsidR="00911F85" w:rsidRPr="009A0178" w:rsidRDefault="00911F85" w:rsidP="008742A1">
            <w:pPr>
              <w:pStyle w:val="Tabletext1"/>
              <w:jc w:val="center"/>
            </w:pPr>
            <w:r>
              <w:t>0.37 g/kg</w:t>
            </w:r>
          </w:p>
        </w:tc>
        <w:tc>
          <w:tcPr>
            <w:tcW w:w="1951" w:type="pct"/>
            <w:tcBorders>
              <w:top w:val="single" w:sz="4" w:space="0" w:color="auto"/>
              <w:left w:val="single" w:sz="4" w:space="0" w:color="auto"/>
              <w:bottom w:val="single" w:sz="4" w:space="0" w:color="auto"/>
              <w:right w:val="single" w:sz="4" w:space="0" w:color="auto"/>
            </w:tcBorders>
          </w:tcPr>
          <w:p w14:paraId="3743840E" w14:textId="115EF875" w:rsidR="00911F85" w:rsidRDefault="00911F85" w:rsidP="008742A1">
            <w:pPr>
              <w:pStyle w:val="Tabletext1"/>
              <w:jc w:val="center"/>
            </w:pPr>
            <w:r>
              <w:t xml:space="preserve">Chapel et al. </w:t>
            </w:r>
            <w:r>
              <w:fldChar w:fldCharType="begin"/>
            </w:r>
            <w:r>
              <w:instrText xml:space="preserve"> ADDIN EN.CITE &lt;EndNote&gt;&lt;Cite ExcludeAuth="1"&gt;&lt;Author&gt;Chapel&lt;/Author&gt;&lt;Year&gt;1991&lt;/Year&gt;&lt;RecNum&gt;32&lt;/RecNum&gt;&lt;DisplayText&gt;(1991)&lt;/DisplayText&gt;&lt;record&gt;&lt;rec-number&gt;32&lt;/rec-number&gt;&lt;foreign-keys&gt;&lt;key app="EN" db-id="z0vwsepdwpt20pewwts5z9eup9e2r2pd2tad" timestamp="1553825060"&gt;32&lt;/key&gt;&lt;/foreign-keys&gt;&lt;ref-type name="Journal Article"&gt;17&lt;/ref-type&gt;&lt;contributors&gt;&lt;authors&gt;&lt;author&gt;Chapel, H. M.&lt;/author&gt;&lt;author&gt;Griffiths, H.&lt;/author&gt;&lt;author&gt;Brennan, V.&lt;/author&gt;&lt;author&gt;Bunch, C.&lt;/author&gt;&lt;author&gt;Lea, J.&lt;/author&gt;&lt;author&gt;Lee, M.&lt;/author&gt;&lt;/authors&gt;&lt;/contributors&gt;&lt;titles&gt;&lt;title&gt;Hypogammaglobulinaemia in low grade B cell tumours; significance and therapy&lt;/title&gt;&lt;secondary-title&gt;Immunological investigations&lt;/secondary-title&gt;&lt;/titles&gt;&lt;periodical&gt;&lt;full-title&gt;Immunological investigations&lt;/full-title&gt;&lt;/periodical&gt;&lt;pages&gt;187</w:instrText>
            </w:r>
            <w:r>
              <w:rPr>
                <w:rFonts w:ascii="Cambria Math" w:hAnsi="Cambria Math" w:cs="Cambria Math"/>
              </w:rPr>
              <w:instrText>‐</w:instrText>
            </w:r>
            <w:r>
              <w:instrText>191&lt;/pages&gt;&lt;volume&gt;20&lt;/volume&gt;&lt;number&gt;2&lt;/number&gt;&lt;keywords&gt;&lt;keyword&gt;Agammaglobulinemia [complications, *therapy]&lt;/keyword&gt;&lt;keyword&gt;Bacterial Infections [etiology, *prevention &amp;amp; control]&lt;/keyword&gt;&lt;keyword&gt;Humans&lt;/keyword&gt;&lt;keyword&gt;Immunoglobulin G [therapeutic use]&lt;/keyword&gt;&lt;keyword&gt;Immunotherapy&lt;/keyword&gt;&lt;keyword&gt;Infusions, Intravenous&lt;/keyword&gt;&lt;keyword&gt;Leukemia, Lymphocytic, Chronic, B</w:instrText>
            </w:r>
            <w:r>
              <w:rPr>
                <w:rFonts w:ascii="Cambria Math" w:hAnsi="Cambria Math" w:cs="Cambria Math"/>
              </w:rPr>
              <w:instrText>‐</w:instrText>
            </w:r>
            <w:r>
              <w:instrText>Cell [complications]&lt;/keyword&gt;&lt;keyword&gt;Lymphoma, Non</w:instrText>
            </w:r>
            <w:r>
              <w:rPr>
                <w:rFonts w:ascii="Cambria Math" w:hAnsi="Cambria Math" w:cs="Cambria Math"/>
              </w:rPr>
              <w:instrText>‐</w:instrText>
            </w:r>
            <w:r>
              <w:instrText>Hodgkin [complications]&lt;/keyword&gt;&lt;/keywords&gt;&lt;dates&gt;&lt;year&gt;1991&lt;/year&gt;&lt;pub-dates&gt;&lt;date&gt;1991&lt;/date&gt;&lt;/pub-dates&gt;&lt;/dates&gt;&lt;accession-num&gt;CN-00077281&lt;/accession-num&gt;&lt;urls&gt;&lt;related-urls&gt;&lt;url&gt;&lt;style face="underline" font="default" size="100%"&gt;https://www.cochranelibrary.com/central/doi/10.1002/central/CN-00077281/full&lt;/style&gt;&lt;/url&gt;&lt;/related-urls&gt;&lt;/urls&gt;&lt;custom1&gt;RAYYAN-INCLUSION: {&amp;quot;Skye&amp;quot;=&amp;gt;&amp;quot;Included&amp;quot;}&lt;/custom1&gt;&lt;research-notes&gt;CLL and NHL IVIg vs saline&lt;/research-notes&gt;&lt;/record&gt;&lt;/Cite&gt;&lt;/EndNote&gt;</w:instrText>
            </w:r>
            <w:r>
              <w:fldChar w:fldCharType="separate"/>
            </w:r>
            <w:r>
              <w:rPr>
                <w:noProof/>
              </w:rPr>
              <w:t>(</w:t>
            </w:r>
            <w:hyperlink w:anchor="_ENREF_12" w:tooltip="Chapel, 1991 #32" w:history="1">
              <w:r w:rsidR="00BB0145">
                <w:rPr>
                  <w:noProof/>
                </w:rPr>
                <w:t>1991</w:t>
              </w:r>
            </w:hyperlink>
            <w:r>
              <w:rPr>
                <w:noProof/>
              </w:rPr>
              <w:t>)</w:t>
            </w:r>
            <w:r>
              <w:fldChar w:fldCharType="end"/>
            </w:r>
            <w:r>
              <w:t>: 0.4 g/kg q3w</w:t>
            </w:r>
          </w:p>
          <w:p w14:paraId="342DEAF9" w14:textId="5799F286" w:rsidR="00911F85" w:rsidRDefault="00911F85" w:rsidP="00BB0145">
            <w:pPr>
              <w:pStyle w:val="Tabletext1"/>
              <w:jc w:val="center"/>
            </w:pPr>
            <w:r>
              <w:t xml:space="preserve">Molica et al. </w:t>
            </w:r>
            <w:r>
              <w:fldChar w:fldCharType="begin">
                <w:fldData xml:space="preserve">PEVuZE5vdGU+PENpdGUgRXhjbHVkZUF1dGg9IjEiPjxBdXRob3I+TW9saWNhPC9BdXRob3I+PFll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</w:fldData>
              </w:fldChar>
            </w:r>
            <w:r>
              <w:instrText xml:space="preserve"> ADDIN EN.CITE </w:instrText>
            </w:r>
            <w:r>
              <w:fldChar w:fldCharType="begin">
                <w:fldData xml:space="preserve">PEVuZE5vdGU+PENpdGUgRXhjbHVkZUF1dGg9IjEiPjxBdXRob3I+TW9saWNhPC9BdXRob3I+PFll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</w:fldData>
              </w:fldChar>
            </w:r>
            <w:r>
              <w:instrText xml:space="preserve"> ADDIN EN.CITE.DATA </w:instrText>
            </w:r>
            <w:r>
              <w:fldChar w:fldCharType="end"/>
            </w:r>
            <w:r>
              <w:fldChar w:fldCharType="separate"/>
            </w:r>
            <w:r>
              <w:rPr>
                <w:noProof/>
              </w:rPr>
              <w:t>(</w:t>
            </w:r>
            <w:hyperlink w:anchor="_ENREF_31" w:tooltip="Molica, 1996 #33" w:history="1">
              <w:r w:rsidR="00BB0145">
                <w:rPr>
                  <w:noProof/>
                </w:rPr>
                <w:t>1996</w:t>
              </w:r>
            </w:hyperlink>
            <w:r>
              <w:rPr>
                <w:noProof/>
              </w:rPr>
              <w:t>)</w:t>
            </w:r>
            <w:r>
              <w:fldChar w:fldCharType="end"/>
            </w:r>
            <w:r>
              <w:t>: 0.3 g/kg q4w</w:t>
            </w:r>
          </w:p>
        </w:tc>
      </w:tr>
      <w:tr w:rsidR="00911F85" w:rsidRPr="009A0178" w14:paraId="0CC5BBB3" w14:textId="77777777" w:rsidTr="008742A1">
        <w:trPr>
          <w:cantSplit/>
          <w:trHeight w:val="300"/>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14:paraId="60092C0D" w14:textId="77777777" w:rsidR="00911F85" w:rsidRPr="009A0178" w:rsidRDefault="00911F85" w:rsidP="008742A1">
            <w:pPr>
              <w:pStyle w:val="Tabletext1"/>
            </w:pPr>
            <w:r>
              <w:t>MM</w:t>
            </w:r>
          </w:p>
        </w:tc>
        <w:tc>
          <w:tcPr>
            <w:tcW w:w="1951" w:type="pct"/>
            <w:tcBorders>
              <w:top w:val="single" w:sz="4" w:space="0" w:color="auto"/>
              <w:left w:val="single" w:sz="4" w:space="0" w:color="auto"/>
              <w:bottom w:val="single" w:sz="4" w:space="0" w:color="auto"/>
              <w:right w:val="single" w:sz="4" w:space="0" w:color="auto"/>
            </w:tcBorders>
          </w:tcPr>
          <w:p w14:paraId="5AEBD12D" w14:textId="77777777" w:rsidR="00911F85" w:rsidRPr="009A0178" w:rsidRDefault="00911F85" w:rsidP="008742A1">
            <w:pPr>
              <w:pStyle w:val="Tabletext1"/>
              <w:jc w:val="center"/>
            </w:pPr>
            <w:r>
              <w:t>0.37 g/kg</w:t>
            </w:r>
          </w:p>
        </w:tc>
        <w:tc>
          <w:tcPr>
            <w:tcW w:w="1951" w:type="pct"/>
            <w:tcBorders>
              <w:top w:val="single" w:sz="4" w:space="0" w:color="auto"/>
              <w:left w:val="single" w:sz="4" w:space="0" w:color="auto"/>
              <w:bottom w:val="single" w:sz="4" w:space="0" w:color="auto"/>
              <w:right w:val="single" w:sz="4" w:space="0" w:color="auto"/>
            </w:tcBorders>
          </w:tcPr>
          <w:p w14:paraId="23C49F1D" w14:textId="75BBD2F8" w:rsidR="00911F85" w:rsidRDefault="00911F85" w:rsidP="008742A1">
            <w:pPr>
              <w:pStyle w:val="Tabletext1"/>
              <w:jc w:val="center"/>
            </w:pPr>
            <w:r>
              <w:t xml:space="preserve">Chapel et al. </w:t>
            </w:r>
            <w:r>
              <w:fldChar w:fldCharType="begin">
                <w:fldData xml:space="preserve">PEVuZE5vdGU+PENpdGUgRXhjbHVkZUF1dGg9IjEiPjxBdXRob3I+Q2hhcGVsPC9BdXRob3I+PFll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==
</w:fldData>
              </w:fldChar>
            </w:r>
            <w:r w:rsidR="00896BE2">
              <w:instrText xml:space="preserve"> ADDIN EN.CITE </w:instrText>
            </w:r>
            <w:r w:rsidR="00896BE2">
              <w:fldChar w:fldCharType="begin">
                <w:fldData xml:space="preserve">PEVuZE5vdGU+PENpdGUgRXhjbHVkZUF1dGg9IjEiPjxBdXRob3I+Q2hhcGVsPC9BdXRob3I+PFll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==
</w:fldData>
              </w:fldChar>
            </w:r>
            <w:r w:rsidR="00896BE2">
              <w:instrText xml:space="preserve"> ADDIN EN.CITE.DATA </w:instrText>
            </w:r>
            <w:r w:rsidR="00896BE2">
              <w:fldChar w:fldCharType="end"/>
            </w:r>
            <w:r>
              <w:fldChar w:fldCharType="separate"/>
            </w:r>
            <w:r w:rsidR="00896BE2">
              <w:rPr>
                <w:noProof/>
              </w:rPr>
              <w:t>(</w:t>
            </w:r>
            <w:hyperlink w:anchor="_ENREF_13" w:tooltip="Chapel, 1994 #56" w:history="1">
              <w:r w:rsidR="00BB0145">
                <w:rPr>
                  <w:noProof/>
                </w:rPr>
                <w:t>1994b</w:t>
              </w:r>
            </w:hyperlink>
            <w:r w:rsidR="00896BE2">
              <w:rPr>
                <w:noProof/>
              </w:rPr>
              <w:t>)</w:t>
            </w:r>
            <w:r>
              <w:fldChar w:fldCharType="end"/>
            </w:r>
            <w:r>
              <w:t>: 0.4 g/kg q4w</w:t>
            </w:r>
          </w:p>
          <w:p w14:paraId="4918E75D" w14:textId="59C48392" w:rsidR="00911F85" w:rsidRDefault="00911F85" w:rsidP="008742A1">
            <w:pPr>
              <w:pStyle w:val="Tabletext1"/>
              <w:jc w:val="center"/>
            </w:pPr>
            <w:r w:rsidRPr="00F55739">
              <w:t>Musto, Brugiatelli &amp; Carotenuto</w:t>
            </w:r>
            <w:r>
              <w:t xml:space="preserve"> </w:t>
            </w:r>
            <w:r>
              <w:fldChar w:fldCharType="begin"/>
            </w:r>
            <w:r>
              <w:instrText xml:space="preserve"> ADDIN EN.CITE &lt;EndNote&gt;&lt;Cite ExcludeAuth="1"&gt;&lt;Author&gt;Musto&lt;/Author&gt;&lt;Year&gt;1995&lt;/Year&gt;&lt;RecNum&gt;60&lt;/RecNum&gt;&lt;DisplayText&gt;(1995)&lt;/DisplayText&gt;&lt;record&gt;&lt;rec-number&gt;60&lt;/rec-number&gt;&lt;foreign-keys&gt;&lt;key app="EN" db-id="z0vwsepdwpt20pewwts5z9eup9e2r2pd2tad" timestamp="1554267573"&gt;60&lt;/key&gt;&lt;key app="ENWeb" db-id=""&gt;0&lt;/key&gt;&lt;/foreign-keys&gt;&lt;ref-type name="Journal Article"&gt;17&lt;/ref-type&gt;&lt;contributors&gt;&lt;authors&gt;&lt;author&gt;Musto, P.&lt;/author&gt;&lt;author&gt;Brugiatelli, M.&lt;/author&gt;&lt;author&gt;Carotenuto, M.&lt;/author&gt;&lt;/authors&gt;&lt;/contributors&gt;&lt;titles&gt;&lt;title&gt;Prophylaxis against infections with intravenous immunoglobulins in multiple myeloma&lt;/title&gt;&lt;secondary-title&gt;Br J Haematol&lt;/secondary-title&gt;&lt;/titles&gt;&lt;periodical&gt;&lt;full-title&gt;Br J Haematol&lt;/full-title&gt;&lt;/periodical&gt;&lt;dates&gt;&lt;year&gt;1995&lt;/year&gt;&lt;/dates&gt;&lt;urls&gt;&lt;/urls&gt;&lt;research-notes&gt;MM (pearled) cross-over study IVIG vs no prophylaxis&lt;/research-notes&gt;&lt;/record&gt;&lt;/Cite&gt;&lt;/EndNote&gt;</w:instrText>
            </w:r>
            <w:r>
              <w:fldChar w:fldCharType="separate"/>
            </w:r>
            <w:r>
              <w:rPr>
                <w:noProof/>
              </w:rPr>
              <w:t>(</w:t>
            </w:r>
            <w:hyperlink w:anchor="_ENREF_33" w:tooltip="Musto, 1995 #60" w:history="1">
              <w:r w:rsidR="00BB0145">
                <w:rPr>
                  <w:noProof/>
                </w:rPr>
                <w:t>1995</w:t>
              </w:r>
            </w:hyperlink>
            <w:r>
              <w:rPr>
                <w:noProof/>
              </w:rPr>
              <w:t>)</w:t>
            </w:r>
            <w:r>
              <w:fldChar w:fldCharType="end"/>
            </w:r>
            <w:r>
              <w:t>: 0.3 g/kg q4w</w:t>
            </w:r>
          </w:p>
          <w:p w14:paraId="5B70ADBB" w14:textId="19B2C8EA" w:rsidR="00911F85" w:rsidRDefault="00911F85" w:rsidP="00BB0145">
            <w:pPr>
              <w:pStyle w:val="Tabletext1"/>
              <w:jc w:val="center"/>
            </w:pPr>
            <w:r>
              <w:t xml:space="preserve">Vacca et al. </w:t>
            </w:r>
            <w:r>
              <w:fldChar w:fldCharType="begin">
                <w:fldData xml:space="preserve">PEVuZE5vdGU+PENpdGUgRXhjbHVkZUF1dGg9IjEiPjxBdXRob3I+VmFjY2E8L0F1dGhvcj48WWVh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</w:fldData>
              </w:fldChar>
            </w:r>
            <w:r>
              <w:instrText xml:space="preserve"> ADDIN EN.CITE </w:instrText>
            </w:r>
            <w:r>
              <w:fldChar w:fldCharType="begin">
                <w:fldData xml:space="preserve">PEVuZE5vdGU+PENpdGUgRXhjbHVkZUF1dGg9IjEiPjxBdXRob3I+VmFjY2E8L0F1dGhvcj48WWVh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</w:fldData>
              </w:fldChar>
            </w:r>
            <w:r>
              <w:instrText xml:space="preserve"> ADDIN EN.CITE.DATA </w:instrText>
            </w:r>
            <w:r>
              <w:fldChar w:fldCharType="end"/>
            </w:r>
            <w:r>
              <w:fldChar w:fldCharType="separate"/>
            </w:r>
            <w:r>
              <w:rPr>
                <w:noProof/>
              </w:rPr>
              <w:t>(</w:t>
            </w:r>
            <w:hyperlink w:anchor="_ENREF_52" w:tooltip="Vacca, 2018 #30" w:history="1">
              <w:r w:rsidR="00BB0145">
                <w:rPr>
                  <w:noProof/>
                </w:rPr>
                <w:t>2018</w:t>
              </w:r>
            </w:hyperlink>
            <w:r>
              <w:rPr>
                <w:noProof/>
              </w:rPr>
              <w:t>)</w:t>
            </w:r>
            <w:r>
              <w:fldChar w:fldCharType="end"/>
            </w:r>
            <w:r>
              <w:t xml:space="preserve"> (SCIg): </w:t>
            </w:r>
            <w:r w:rsidRPr="0059184F">
              <w:t>4 weekly infusions to give a total dose of 0.4–0.8</w:t>
            </w:r>
            <w:r>
              <w:t> </w:t>
            </w:r>
            <w:r w:rsidRPr="0059184F">
              <w:t>g/kg/month</w:t>
            </w:r>
          </w:p>
        </w:tc>
      </w:tr>
      <w:tr w:rsidR="00911F85" w:rsidRPr="009A0178" w14:paraId="2958A1BD" w14:textId="77777777" w:rsidTr="008742A1">
        <w:trPr>
          <w:cantSplit/>
          <w:trHeight w:val="300"/>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14:paraId="18BE708F" w14:textId="77777777" w:rsidR="00911F85" w:rsidRPr="009A0178" w:rsidRDefault="00911F85" w:rsidP="008742A1">
            <w:pPr>
              <w:pStyle w:val="Tabletext1"/>
            </w:pPr>
            <w:r>
              <w:t>NHL</w:t>
            </w:r>
          </w:p>
        </w:tc>
        <w:tc>
          <w:tcPr>
            <w:tcW w:w="1951" w:type="pct"/>
            <w:tcBorders>
              <w:top w:val="single" w:sz="4" w:space="0" w:color="auto"/>
              <w:left w:val="single" w:sz="4" w:space="0" w:color="auto"/>
              <w:bottom w:val="single" w:sz="4" w:space="0" w:color="auto"/>
              <w:right w:val="single" w:sz="4" w:space="0" w:color="auto"/>
            </w:tcBorders>
          </w:tcPr>
          <w:p w14:paraId="5CF0F012" w14:textId="77777777" w:rsidR="00911F85" w:rsidRPr="009A0178" w:rsidRDefault="00911F85" w:rsidP="008742A1">
            <w:pPr>
              <w:pStyle w:val="Tabletext1"/>
              <w:jc w:val="center"/>
            </w:pPr>
            <w:r>
              <w:t>0.36 g/kg</w:t>
            </w:r>
          </w:p>
        </w:tc>
        <w:tc>
          <w:tcPr>
            <w:tcW w:w="1951" w:type="pct"/>
            <w:tcBorders>
              <w:top w:val="single" w:sz="4" w:space="0" w:color="auto"/>
              <w:left w:val="single" w:sz="4" w:space="0" w:color="auto"/>
              <w:bottom w:val="single" w:sz="4" w:space="0" w:color="auto"/>
              <w:right w:val="single" w:sz="4" w:space="0" w:color="auto"/>
            </w:tcBorders>
          </w:tcPr>
          <w:p w14:paraId="2236BF61" w14:textId="77777777" w:rsidR="00911F85" w:rsidRDefault="00911F85" w:rsidP="008742A1">
            <w:pPr>
              <w:pStyle w:val="Tabletext1"/>
              <w:jc w:val="center"/>
            </w:pPr>
            <w:r>
              <w:t>-</w:t>
            </w:r>
          </w:p>
        </w:tc>
      </w:tr>
      <w:tr w:rsidR="00911F85" w:rsidRPr="009A0178" w14:paraId="37480B10" w14:textId="77777777" w:rsidTr="008742A1">
        <w:trPr>
          <w:cantSplit/>
          <w:trHeight w:val="300"/>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14:paraId="48419DA9" w14:textId="77777777" w:rsidR="00911F85" w:rsidRPr="009A0178" w:rsidRDefault="00911F85" w:rsidP="008742A1">
            <w:pPr>
              <w:pStyle w:val="Tabletext1"/>
            </w:pPr>
            <w:r w:rsidRPr="009A0178">
              <w:t xml:space="preserve">Other </w:t>
            </w:r>
            <w:r>
              <w:t>HM</w:t>
            </w:r>
          </w:p>
        </w:tc>
        <w:tc>
          <w:tcPr>
            <w:tcW w:w="1951" w:type="pct"/>
            <w:tcBorders>
              <w:top w:val="single" w:sz="4" w:space="0" w:color="auto"/>
              <w:left w:val="single" w:sz="4" w:space="0" w:color="auto"/>
              <w:bottom w:val="single" w:sz="4" w:space="0" w:color="auto"/>
              <w:right w:val="single" w:sz="4" w:space="0" w:color="auto"/>
            </w:tcBorders>
          </w:tcPr>
          <w:p w14:paraId="184A399C" w14:textId="77777777" w:rsidR="00911F85" w:rsidRPr="009A0178" w:rsidRDefault="00911F85" w:rsidP="008742A1">
            <w:pPr>
              <w:pStyle w:val="Tabletext1"/>
              <w:jc w:val="center"/>
            </w:pPr>
            <w:r>
              <w:t>0.38 g/kg</w:t>
            </w:r>
          </w:p>
        </w:tc>
        <w:tc>
          <w:tcPr>
            <w:tcW w:w="1951" w:type="pct"/>
            <w:tcBorders>
              <w:top w:val="single" w:sz="4" w:space="0" w:color="auto"/>
              <w:left w:val="single" w:sz="4" w:space="0" w:color="auto"/>
              <w:bottom w:val="single" w:sz="4" w:space="0" w:color="auto"/>
              <w:right w:val="single" w:sz="4" w:space="0" w:color="auto"/>
            </w:tcBorders>
          </w:tcPr>
          <w:p w14:paraId="7290C7A5" w14:textId="77777777" w:rsidR="00911F85" w:rsidRDefault="00911F85" w:rsidP="008742A1">
            <w:pPr>
              <w:pStyle w:val="Tabletext1"/>
              <w:jc w:val="center"/>
            </w:pPr>
            <w:r>
              <w:t>-</w:t>
            </w:r>
          </w:p>
        </w:tc>
      </w:tr>
      <w:tr w:rsidR="00911F85" w:rsidRPr="009A0178" w14:paraId="7D8D7B75" w14:textId="77777777" w:rsidTr="008742A1">
        <w:trPr>
          <w:cantSplit/>
          <w:trHeight w:val="300"/>
        </w:trPr>
        <w:tc>
          <w:tcPr>
            <w:tcW w:w="10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D440B" w14:textId="77777777" w:rsidR="00911F85" w:rsidRPr="009A0178" w:rsidRDefault="00911F85" w:rsidP="008742A1">
            <w:pPr>
              <w:pStyle w:val="Tabletext1"/>
            </w:pPr>
            <w:r>
              <w:t>Post-HSCT</w:t>
            </w:r>
          </w:p>
        </w:tc>
        <w:tc>
          <w:tcPr>
            <w:tcW w:w="1951" w:type="pct"/>
            <w:tcBorders>
              <w:top w:val="single" w:sz="4" w:space="0" w:color="auto"/>
              <w:left w:val="single" w:sz="4" w:space="0" w:color="auto"/>
              <w:bottom w:val="single" w:sz="4" w:space="0" w:color="auto"/>
              <w:right w:val="single" w:sz="4" w:space="0" w:color="auto"/>
            </w:tcBorders>
          </w:tcPr>
          <w:p w14:paraId="00885508" w14:textId="77777777" w:rsidR="00911F85" w:rsidRPr="009A0178" w:rsidRDefault="00911F85" w:rsidP="008742A1">
            <w:pPr>
              <w:pStyle w:val="Tabletext1"/>
              <w:jc w:val="center"/>
            </w:pPr>
            <w:bookmarkStart w:id="388" w:name="OLE_LINK11"/>
            <w:bookmarkStart w:id="389" w:name="OLE_LINK12"/>
            <w:r>
              <w:t>0.37 g/kg</w:t>
            </w:r>
            <w:bookmarkEnd w:id="388"/>
            <w:bookmarkEnd w:id="389"/>
          </w:p>
        </w:tc>
        <w:tc>
          <w:tcPr>
            <w:tcW w:w="1951" w:type="pct"/>
            <w:tcBorders>
              <w:top w:val="single" w:sz="4" w:space="0" w:color="auto"/>
              <w:left w:val="single" w:sz="4" w:space="0" w:color="auto"/>
              <w:bottom w:val="single" w:sz="4" w:space="0" w:color="auto"/>
              <w:right w:val="single" w:sz="4" w:space="0" w:color="auto"/>
            </w:tcBorders>
          </w:tcPr>
          <w:p w14:paraId="0932D120" w14:textId="3AB9C5A2" w:rsidR="00911F85" w:rsidRDefault="00911F85" w:rsidP="00BB0145">
            <w:pPr>
              <w:pStyle w:val="Tabletext1"/>
              <w:jc w:val="center"/>
            </w:pPr>
            <w:r>
              <w:t xml:space="preserve">Sullivan et al. </w:t>
            </w:r>
            <w:r>
              <w:fldChar w:fldCharType="begin">
                <w:fldData xml:space="preserve">PEVuZE5vdGU+PENpdGUgRXhjbHVkZUF1dGg9IjEiPjxBdXRob3I+U3VsbGl2YW48L0F1dGhvcj48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</w:fldData>
              </w:fldChar>
            </w:r>
            <w:r>
              <w:instrText xml:space="preserve"> ADDIN EN.CITE </w:instrText>
            </w:r>
            <w:r>
              <w:fldChar w:fldCharType="begin">
                <w:fldData xml:space="preserve">PEVuZE5vdGU+PENpdGUgRXhjbHVkZUF1dGg9IjEiPjxBdXRob3I+U3VsbGl2YW48L0F1dGhvcj48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</w:fldData>
              </w:fldChar>
            </w:r>
            <w:r>
              <w:instrText xml:space="preserve"> ADDIN EN.CITE.DATA </w:instrText>
            </w:r>
            <w:r>
              <w:fldChar w:fldCharType="end"/>
            </w:r>
            <w:r>
              <w:fldChar w:fldCharType="separate"/>
            </w:r>
            <w:r>
              <w:rPr>
                <w:noProof/>
              </w:rPr>
              <w:t>(</w:t>
            </w:r>
            <w:hyperlink w:anchor="_ENREF_48" w:tooltip="Sullivan, 1990 #67" w:history="1">
              <w:r w:rsidR="00BB0145">
                <w:rPr>
                  <w:noProof/>
                </w:rPr>
                <w:t>1990</w:t>
              </w:r>
            </w:hyperlink>
            <w:r>
              <w:rPr>
                <w:noProof/>
              </w:rPr>
              <w:t>)</w:t>
            </w:r>
            <w:r>
              <w:fldChar w:fldCharType="end"/>
            </w:r>
            <w:r>
              <w:t>: 0.5 g/kg/week for first three months, then monthly</w:t>
            </w:r>
          </w:p>
        </w:tc>
      </w:tr>
      <w:tr w:rsidR="00911F85" w:rsidRPr="009A0178" w14:paraId="36003288" w14:textId="77777777" w:rsidTr="008742A1">
        <w:trPr>
          <w:cantSplit/>
          <w:trHeight w:val="300"/>
        </w:trPr>
        <w:tc>
          <w:tcPr>
            <w:tcW w:w="109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C6441C" w14:textId="77777777" w:rsidR="00911F85" w:rsidRDefault="00911F85" w:rsidP="008742A1">
            <w:pPr>
              <w:pStyle w:val="Tabletext1"/>
            </w:pPr>
            <w:r>
              <w:t>Weighted average</w:t>
            </w:r>
          </w:p>
        </w:tc>
        <w:tc>
          <w:tcPr>
            <w:tcW w:w="1951" w:type="pct"/>
            <w:tcBorders>
              <w:top w:val="single" w:sz="4" w:space="0" w:color="auto"/>
              <w:left w:val="single" w:sz="4" w:space="0" w:color="auto"/>
              <w:bottom w:val="single" w:sz="4" w:space="0" w:color="auto"/>
              <w:right w:val="single" w:sz="4" w:space="0" w:color="auto"/>
            </w:tcBorders>
          </w:tcPr>
          <w:p w14:paraId="4C2FA722" w14:textId="77777777" w:rsidR="00911F85" w:rsidRDefault="00911F85" w:rsidP="008742A1">
            <w:pPr>
              <w:pStyle w:val="Tabletext1"/>
              <w:jc w:val="center"/>
            </w:pPr>
            <w:r>
              <w:t>0.37 g/kg</w:t>
            </w:r>
          </w:p>
        </w:tc>
        <w:tc>
          <w:tcPr>
            <w:tcW w:w="1951" w:type="pct"/>
            <w:tcBorders>
              <w:top w:val="single" w:sz="4" w:space="0" w:color="auto"/>
              <w:left w:val="single" w:sz="4" w:space="0" w:color="auto"/>
              <w:bottom w:val="single" w:sz="4" w:space="0" w:color="auto"/>
              <w:right w:val="single" w:sz="4" w:space="0" w:color="auto"/>
            </w:tcBorders>
          </w:tcPr>
          <w:p w14:paraId="5B2BAFB2" w14:textId="77777777" w:rsidR="00911F85" w:rsidRDefault="00911F85" w:rsidP="008742A1">
            <w:pPr>
              <w:pStyle w:val="Tabletext1"/>
              <w:jc w:val="center"/>
            </w:pPr>
            <w:r>
              <w:t>-</w:t>
            </w:r>
          </w:p>
        </w:tc>
      </w:tr>
    </w:tbl>
    <w:p w14:paraId="409F5057" w14:textId="77777777" w:rsidR="00911F85" w:rsidRPr="00E86BCE" w:rsidRDefault="00911F85" w:rsidP="00911F85">
      <w:pPr>
        <w:pStyle w:val="Tablenotes1"/>
      </w:pPr>
      <w:r>
        <w:t>CLL = chronic lymphocytic leukaemia; HM = haematological malignancy; HSCT = h</w:t>
      </w:r>
      <w:r w:rsidRPr="00E86BCE">
        <w:t>ematopoietic stem cell transplantation</w:t>
      </w:r>
      <w:r>
        <w:t>; Ig = immunoglobulin; MM = multiple myeloma; NHL = non-Hodgkin lymphoma.</w:t>
      </w:r>
    </w:p>
    <w:p w14:paraId="3AD9F7A4" w14:textId="218001D6" w:rsidR="00911F85" w:rsidRDefault="00911F85" w:rsidP="00911F85">
      <w:pPr>
        <w:pStyle w:val="Tablenotes1"/>
      </w:pPr>
      <w:r>
        <w:rPr>
          <w:vertAlign w:val="superscript"/>
        </w:rPr>
        <w:t>a</w:t>
      </w:r>
      <w:r>
        <w:t xml:space="preserve"> Based on Version 2 data collected for the whole financial year, 2017-18 from the ‘HTA Data April2019.xlsx’ workbook provided by the </w:t>
      </w:r>
      <w:r w:rsidR="00D51F34">
        <w:t>NBA</w:t>
      </w:r>
      <w:r>
        <w:t xml:space="preserve">. </w:t>
      </w:r>
    </w:p>
    <w:p w14:paraId="56FE26D8" w14:textId="2D78274B" w:rsidR="00911F85" w:rsidRDefault="00911F85" w:rsidP="00911F85">
      <w:r>
        <w:t>The doses used in the randomised evidence varied from 0.3 g/kg to 0.8 g/kg every three to four weeks, which was similar to the average doses observed in the BloodSTAR data (0.36</w:t>
      </w:r>
      <w:r>
        <w:rPr>
          <w:rFonts w:cs="Calibri"/>
        </w:rPr>
        <w:t>−</w:t>
      </w:r>
      <w:r>
        <w:t xml:space="preserve">0.38 g/kg). The non-randomised before/after studies were also generally consistent with these doses and frequencies (see </w:t>
      </w:r>
      <w:r w:rsidR="00CF494C">
        <w:fldChar w:fldCharType="begin"/>
      </w:r>
      <w:r w:rsidR="00CF494C">
        <w:instrText xml:space="preserve"> REF _Ref14353333 \h </w:instrText>
      </w:r>
      <w:r w:rsidR="00CF494C">
        <w:fldChar w:fldCharType="separate"/>
      </w:r>
      <w:r w:rsidR="00A7463B" w:rsidRPr="00386411">
        <w:t xml:space="preserve">Table </w:t>
      </w:r>
      <w:r w:rsidR="00A7463B">
        <w:rPr>
          <w:noProof/>
        </w:rPr>
        <w:t>80</w:t>
      </w:r>
      <w:r w:rsidR="00CF494C">
        <w:fldChar w:fldCharType="end"/>
      </w:r>
      <w:r w:rsidR="00CF494C">
        <w:t xml:space="preserve"> and </w:t>
      </w:r>
      <w:r w:rsidR="00CF494C">
        <w:fldChar w:fldCharType="begin"/>
      </w:r>
      <w:r w:rsidR="00CF494C">
        <w:instrText xml:space="preserve"> REF _Ref14353338 \h </w:instrText>
      </w:r>
      <w:r w:rsidR="00CF494C">
        <w:fldChar w:fldCharType="separate"/>
      </w:r>
      <w:r w:rsidR="00A7463B" w:rsidRPr="00386411">
        <w:t xml:space="preserve">Table </w:t>
      </w:r>
      <w:r w:rsidR="00A7463B">
        <w:rPr>
          <w:noProof/>
        </w:rPr>
        <w:t>81</w:t>
      </w:r>
      <w:r w:rsidR="00CF494C">
        <w:fldChar w:fldCharType="end"/>
      </w:r>
      <w:r w:rsidRPr="00CF494C">
        <w:t xml:space="preserve">, </w:t>
      </w:r>
      <w:r w:rsidRPr="00CF494C">
        <w:fldChar w:fldCharType="begin"/>
      </w:r>
      <w:r w:rsidRPr="00CF494C">
        <w:instrText xml:space="preserve"> REF _Ref421017583 \h </w:instrText>
      </w:r>
      <w:r w:rsidR="00CF494C">
        <w:instrText xml:space="preserve"> \* MERGEFORMAT </w:instrText>
      </w:r>
      <w:r w:rsidRPr="00CF494C">
        <w:fldChar w:fldCharType="separate"/>
      </w:r>
      <w:r w:rsidR="00A7463B" w:rsidRPr="00386411">
        <w:t xml:space="preserve">Appendix </w:t>
      </w:r>
      <w:r w:rsidR="00A7463B">
        <w:rPr>
          <w:noProof/>
        </w:rPr>
        <w:t>D</w:t>
      </w:r>
      <w:r w:rsidRPr="00CF494C">
        <w:fldChar w:fldCharType="end"/>
      </w:r>
      <w:r w:rsidRPr="00CF494C">
        <w:t>).</w:t>
      </w:r>
      <w:r>
        <w:t xml:space="preserve"> Despite variations in the doses used in each of the studies, the relative treatment effect of Ig was observed to be reasonably consistent (</w:t>
      </w:r>
      <w:r w:rsidRPr="00B8067B">
        <w:t>see Section B.6</w:t>
      </w:r>
      <w:r>
        <w:t xml:space="preserve">). </w:t>
      </w:r>
      <w:bookmarkStart w:id="390" w:name="OLE_LINK16"/>
      <w:bookmarkStart w:id="391" w:name="OLE_LINK17"/>
      <w:r>
        <w:t xml:space="preserve">Given the experience in use with Ig in current practice, it will be assumed that current dosing is appropriate to achieve the clinical outcome of preventing infections, and so the economic analysis will use actual doses from the BloodSTAR data under the assumption that this has no effect on the relative treatment effect of Ig as observed in the trials. </w:t>
      </w:r>
      <w:bookmarkEnd w:id="390"/>
      <w:bookmarkEnd w:id="391"/>
      <w:r>
        <w:t xml:space="preserve">This is further supported by the similar doses used in the studies compared to current practice and that consistency was observed in the </w:t>
      </w:r>
      <w:r>
        <w:lastRenderedPageBreak/>
        <w:t>treatment effect across the included studies, in spite of variations in dose. A sensitivity analysis is presented assuming the recommended dose of 0.4 g/kg every 4 weeks.</w:t>
      </w:r>
    </w:p>
    <w:p w14:paraId="6F250542" w14:textId="77777777" w:rsidR="00911F85" w:rsidRDefault="00911F85" w:rsidP="00911F85"/>
    <w:p w14:paraId="7A47982E" w14:textId="77777777" w:rsidR="00911F85" w:rsidRDefault="00911F85" w:rsidP="00911F85">
      <w:pPr>
        <w:pStyle w:val="Heading3"/>
      </w:pPr>
      <w:bookmarkStart w:id="392" w:name="_Toc14431156"/>
      <w:bookmarkStart w:id="393" w:name="_Toc16856324"/>
      <w:r w:rsidRPr="00C43589">
        <w:rPr>
          <w:sz w:val="22"/>
        </w:rPr>
        <w:t>C.2.4.</w:t>
      </w:r>
      <w:r w:rsidRPr="00C43589">
        <w:rPr>
          <w:sz w:val="22"/>
        </w:rPr>
        <w:tab/>
      </w:r>
      <w:r>
        <w:tab/>
        <w:t>Duration of Ig treatment</w:t>
      </w:r>
      <w:bookmarkEnd w:id="392"/>
      <w:bookmarkEnd w:id="393"/>
    </w:p>
    <w:p w14:paraId="27A6096F" w14:textId="77777777" w:rsidR="00911F85" w:rsidRDefault="00911F85" w:rsidP="00911F85">
      <w:r>
        <w:t>The final applicability translation issue aims to determine w</w:t>
      </w:r>
      <w:r w:rsidRPr="008650AB">
        <w:t xml:space="preserve">hat the duration of Ig treatment </w:t>
      </w:r>
      <w:r>
        <w:t xml:space="preserve">was </w:t>
      </w:r>
      <w:r w:rsidRPr="008650AB">
        <w:t>in the clinical evidence, and how this compare</w:t>
      </w:r>
      <w:r>
        <w:t>s</w:t>
      </w:r>
      <w:r w:rsidRPr="008650AB">
        <w:t xml:space="preserve"> to use in th</w:t>
      </w:r>
      <w:r>
        <w:t>e current Australian population. Duration in the clinical evidence will be reviewed and compared against evidence to suggest what treatment durations are in current practice.</w:t>
      </w:r>
    </w:p>
    <w:p w14:paraId="27C4B062" w14:textId="61A4E24D" w:rsidR="00911F85" w:rsidRDefault="00911F85" w:rsidP="00911F85">
      <w:r>
        <w:t xml:space="preserve">The randomised evidence most commonly reported an Ig treatment duration of 12 months. This was generally fixed and not conditional on an assessment of treatment response. As a few of the studies had a randomised cross-over design </w:t>
      </w:r>
      <w:r>
        <w:fldChar w:fldCharType="begin">
          <w:fldData xml:space="preserve">PEVuZE5vdGU+PENpdGU+PEF1dGhvcj5DaGFwZWw8L0F1dGhvcj48WWVhcj4xOTkxPC9ZZWFyPjxS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</w:fldData>
        </w:fldChar>
      </w:r>
      <w:r>
        <w:instrText xml:space="preserve"> ADDIN EN.CITE </w:instrText>
      </w:r>
      <w:r>
        <w:fldChar w:fldCharType="begin">
          <w:fldData xml:space="preserve">PEVuZE5vdGU+PENpdGU+PEF1dGhvcj5DaGFwZWw8L0F1dGhvcj48WWVhcj4xOTkxPC9ZZWFyPjxS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</w:fldData>
        </w:fldChar>
      </w:r>
      <w:r>
        <w:instrText xml:space="preserve"> ADDIN EN.CITE.DATA </w:instrText>
      </w:r>
      <w:r>
        <w:fldChar w:fldCharType="end"/>
      </w:r>
      <w:r>
        <w:fldChar w:fldCharType="separate"/>
      </w:r>
      <w:r>
        <w:rPr>
          <w:noProof/>
        </w:rPr>
        <w:t>(</w:t>
      </w:r>
      <w:hyperlink w:anchor="_ENREF_12" w:tooltip="Chapel, 1991 #32" w:history="1">
        <w:r w:rsidR="00BB0145">
          <w:rPr>
            <w:noProof/>
          </w:rPr>
          <w:t>Chapel et al. 1991</w:t>
        </w:r>
      </w:hyperlink>
      <w:r>
        <w:rPr>
          <w:noProof/>
        </w:rPr>
        <w:t xml:space="preserve">; </w:t>
      </w:r>
      <w:hyperlink w:anchor="_ENREF_31" w:tooltip="Molica, 1996 #33" w:history="1">
        <w:r w:rsidR="00BB0145">
          <w:rPr>
            <w:noProof/>
          </w:rPr>
          <w:t>Molica et al. 1996</w:t>
        </w:r>
      </w:hyperlink>
      <w:r>
        <w:rPr>
          <w:noProof/>
        </w:rPr>
        <w:t xml:space="preserve">; </w:t>
      </w:r>
      <w:hyperlink w:anchor="_ENREF_33" w:tooltip="Musto, 1995 #60" w:history="1">
        <w:r w:rsidR="00BB0145">
          <w:rPr>
            <w:noProof/>
          </w:rPr>
          <w:t>Musto, Brugiatelli &amp; Carotenuto 1995</w:t>
        </w:r>
      </w:hyperlink>
      <w:r>
        <w:rPr>
          <w:noProof/>
        </w:rPr>
        <w:t>)</w:t>
      </w:r>
      <w:r>
        <w:fldChar w:fldCharType="end"/>
      </w:r>
      <w:r>
        <w:t xml:space="preserve">, patients in these studies may have been considered at-risk of infections for two years, rather than just the one year while on Ig. The most recent of the studies, Vacca et al. </w:t>
      </w:r>
      <w:r>
        <w:fldChar w:fldCharType="begin">
          <w:fldData xml:space="preserve">PEVuZE5vdGU+PENpdGUgRXhjbHVkZUF1dGg9IjEiPjxBdXRob3I+VmFjY2E8L0F1dGhvcj48WWVh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</w:fldData>
        </w:fldChar>
      </w:r>
      <w:r>
        <w:instrText xml:space="preserve"> ADDIN EN.CITE </w:instrText>
      </w:r>
      <w:r>
        <w:fldChar w:fldCharType="begin">
          <w:fldData xml:space="preserve">PEVuZE5vdGU+PENpdGUgRXhjbHVkZUF1dGg9IjEiPjxBdXRob3I+VmFjY2E8L0F1dGhvcj48WWVh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</w:fldData>
        </w:fldChar>
      </w:r>
      <w:r>
        <w:instrText xml:space="preserve"> ADDIN EN.CITE.DATA </w:instrText>
      </w:r>
      <w:r>
        <w:fldChar w:fldCharType="end"/>
      </w:r>
      <w:r>
        <w:fldChar w:fldCharType="separate"/>
      </w:r>
      <w:r>
        <w:rPr>
          <w:noProof/>
        </w:rPr>
        <w:t>(</w:t>
      </w:r>
      <w:hyperlink w:anchor="_ENREF_52" w:tooltip="Vacca, 2018 #30" w:history="1">
        <w:r w:rsidR="00BB0145">
          <w:rPr>
            <w:noProof/>
          </w:rPr>
          <w:t>2018</w:t>
        </w:r>
      </w:hyperlink>
      <w:r>
        <w:rPr>
          <w:noProof/>
        </w:rPr>
        <w:t>)</w:t>
      </w:r>
      <w:r>
        <w:fldChar w:fldCharType="end"/>
      </w:r>
      <w:r>
        <w:t xml:space="preserve">, specified no maximum treatment duration (or reasons for cessation of Ig other than side effects), and the average was observed to be 18 months. </w:t>
      </w:r>
    </w:p>
    <w:p w14:paraId="3FAF56E6" w14:textId="5D431F5D" w:rsidR="00911F85" w:rsidRDefault="00911F85" w:rsidP="00911F85">
      <w:r>
        <w:t xml:space="preserve">The non-randomised studies included in the clinical evidence reported varied treatment durations. Of the data presented in Australian patients with mixed haematological malignancies, </w:t>
      </w:r>
      <w:r w:rsidRPr="00F55739">
        <w:t>Paxton, Hawkins &amp; Crispin</w:t>
      </w:r>
      <w:r>
        <w:t xml:space="preserve"> </w:t>
      </w:r>
      <w:r>
        <w:fldChar w:fldCharType="begin">
          <w:fldData xml:space="preserve">PEVuZE5vdGU+PENpdGUgRXhjbHVkZUF1dGg9IjEiPjxBdXRob3I+UGF4dG9uPC9BdXRob3I+PFll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</w:fldData>
        </w:fldChar>
      </w:r>
      <w:r>
        <w:instrText xml:space="preserve"> ADDIN EN.CITE </w:instrText>
      </w:r>
      <w:r>
        <w:fldChar w:fldCharType="begin">
          <w:fldData xml:space="preserve">PEVuZE5vdGU+PENpdGUgRXhjbHVkZUF1dGg9IjEiPjxBdXRob3I+UGF4dG9uPC9BdXRob3I+PFll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</w:fldData>
        </w:fldChar>
      </w:r>
      <w:r>
        <w:instrText xml:space="preserve"> ADDIN EN.CITE.DATA </w:instrText>
      </w:r>
      <w:r>
        <w:fldChar w:fldCharType="end"/>
      </w:r>
      <w:r>
        <w:fldChar w:fldCharType="separate"/>
      </w:r>
      <w:r>
        <w:rPr>
          <w:noProof/>
        </w:rPr>
        <w:t>(</w:t>
      </w:r>
      <w:hyperlink w:anchor="_ENREF_39" w:tooltip="Paxton, 2016 #66" w:history="1">
        <w:r w:rsidR="00BB0145">
          <w:rPr>
            <w:noProof/>
          </w:rPr>
          <w:t>2016</w:t>
        </w:r>
      </w:hyperlink>
      <w:r>
        <w:rPr>
          <w:noProof/>
        </w:rPr>
        <w:t>)</w:t>
      </w:r>
      <w:r>
        <w:fldChar w:fldCharType="end"/>
      </w:r>
      <w:r>
        <w:t xml:space="preserve"> reported that patients received Ig for a median of 26 months (range: 3</w:t>
      </w:r>
      <w:r>
        <w:rPr>
          <w:rFonts w:cs="Calibri"/>
        </w:rPr>
        <w:t>−</w:t>
      </w:r>
      <w:r>
        <w:t xml:space="preserve">79), and the cohort of patients described in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 xml:space="preserve"> had received at least 12 months of IVIg prior to switching to 12 months of SCIg treatment. Treatment durations in other non-randomised studies are summarised below:</w:t>
      </w:r>
    </w:p>
    <w:p w14:paraId="44A59158" w14:textId="0CE5A3CF" w:rsidR="00911F85" w:rsidRDefault="00911F85" w:rsidP="00331FB9">
      <w:pPr>
        <w:pStyle w:val="ListParagraph"/>
        <w:numPr>
          <w:ilvl w:val="0"/>
          <w:numId w:val="21"/>
        </w:numPr>
      </w:pPr>
      <w:r>
        <w:t xml:space="preserve">The small Greek study </w:t>
      </w:r>
      <w:r>
        <w:rPr>
          <w:rFonts w:asciiTheme="minorHAnsi" w:hAnsiTheme="minorHAnsi" w:cstheme="minorHAnsi"/>
        </w:rPr>
        <w:fldChar w:fldCharType="begin">
          <w:fldData xml:space="preserve">PEVuZE5vdGU+PENpdGU+PEF1dGhvcj5EaW1vdTwvQXV0aG9yPjxZZWFyPjIwMTg8L1llYXI+PFJl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==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PEVuZE5vdGU+PENpdGU+PEF1dGhvcj5EaW1vdTwvQXV0aG9yPjxZZWFyPjIwMTg8L1llYXI+PFJl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==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w:t>
      </w:r>
      <w:hyperlink w:anchor="_ENREF_15" w:tooltip="Dimou, 2018 #28" w:history="1">
        <w:r w:rsidR="00BB0145">
          <w:rPr>
            <w:rFonts w:asciiTheme="minorHAnsi" w:hAnsiTheme="minorHAnsi" w:cstheme="minorHAnsi"/>
            <w:noProof/>
          </w:rPr>
          <w:t>Dimou et al. 2018</w:t>
        </w:r>
      </w:hyperlink>
      <w:r>
        <w:rPr>
          <w:rFonts w:asciiTheme="minorHAnsi" w:hAnsiTheme="minorHAnsi" w:cstheme="minorHAnsi"/>
          <w:noProof/>
        </w:rPr>
        <w:t>)</w:t>
      </w:r>
      <w:r>
        <w:rPr>
          <w:rFonts w:asciiTheme="minorHAnsi" w:hAnsiTheme="minorHAnsi" w:cstheme="minorHAnsi"/>
        </w:rPr>
        <w:fldChar w:fldCharType="end"/>
      </w:r>
      <w:r>
        <w:t xml:space="preserve"> (n=13 mixed haematological malignancies) included patients who had been on IVIg for an average of 26.2 months prior to switching to SCIg.</w:t>
      </w:r>
    </w:p>
    <w:p w14:paraId="1EC5A401" w14:textId="17EB483B" w:rsidR="00911F85" w:rsidRDefault="00911F85" w:rsidP="00331FB9">
      <w:pPr>
        <w:pStyle w:val="ListParagraph"/>
        <w:numPr>
          <w:ilvl w:val="0"/>
          <w:numId w:val="21"/>
        </w:numPr>
      </w:pPr>
      <w:r>
        <w:t xml:space="preserve">A small German study </w:t>
      </w:r>
      <w:r>
        <w:rPr>
          <w:rFonts w:eastAsia="Calibri" w:cs="Times New Roman"/>
          <w:lang w:eastAsia="en-US"/>
        </w:rPr>
        <w:fldChar w:fldCharType="begin">
          <w:fldData xml:space="preserve">PEVuZE5vdGU+PENpdGU+PEF1dGhvcj5Hw7xudGhlcjwvQXV0aG9yPjxZZWFyPjIwMTM8L1llYXI+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</w:fldData>
        </w:fldChar>
      </w:r>
      <w:r>
        <w:rPr>
          <w:rFonts w:eastAsia="Calibri" w:cs="Times New Roman"/>
          <w:lang w:eastAsia="en-US"/>
        </w:rPr>
        <w:instrText xml:space="preserve"> ADDIN EN.CITE </w:instrText>
      </w:r>
      <w:r>
        <w:rPr>
          <w:rFonts w:eastAsia="Calibri" w:cs="Times New Roman"/>
          <w:lang w:eastAsia="en-US"/>
        </w:rPr>
        <w:fldChar w:fldCharType="begin">
          <w:fldData xml:space="preserve">PEVuZE5vdGU+PENpdGU+PEF1dGhvcj5Hw7xudGhlcjwvQXV0aG9yPjxZZWFyPjIwMTM8L1llYXI+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</w:fldData>
        </w:fldChar>
      </w:r>
      <w:r>
        <w:rPr>
          <w:rFonts w:eastAsia="Calibri" w:cs="Times New Roman"/>
          <w:lang w:eastAsia="en-US"/>
        </w:rPr>
        <w:instrText xml:space="preserve"> ADDIN EN.CITE.DATA </w:instrText>
      </w:r>
      <w:r>
        <w:rPr>
          <w:rFonts w:eastAsia="Calibri" w:cs="Times New Roman"/>
          <w:lang w:eastAsia="en-US"/>
        </w:rPr>
      </w:r>
      <w:r>
        <w:rPr>
          <w:rFonts w:eastAsia="Calibri" w:cs="Times New Roman"/>
          <w:lang w:eastAsia="en-US"/>
        </w:rPr>
        <w:fldChar w:fldCharType="end"/>
      </w:r>
      <w:r>
        <w:rPr>
          <w:rFonts w:eastAsia="Calibri" w:cs="Times New Roman"/>
          <w:lang w:eastAsia="en-US"/>
        </w:rPr>
      </w:r>
      <w:r>
        <w:rPr>
          <w:rFonts w:eastAsia="Calibri" w:cs="Times New Roman"/>
          <w:lang w:eastAsia="en-US"/>
        </w:rPr>
        <w:fldChar w:fldCharType="separate"/>
      </w:r>
      <w:r>
        <w:rPr>
          <w:rFonts w:eastAsia="Calibri" w:cs="Times New Roman"/>
          <w:noProof/>
          <w:lang w:eastAsia="en-US"/>
        </w:rPr>
        <w:t>(</w:t>
      </w:r>
      <w:hyperlink w:anchor="_ENREF_21" w:tooltip="Günther, 2013 #34" w:history="1">
        <w:r w:rsidR="00BB0145">
          <w:rPr>
            <w:rFonts w:eastAsia="Calibri" w:cs="Times New Roman"/>
            <w:noProof/>
            <w:lang w:eastAsia="en-US"/>
          </w:rPr>
          <w:t>Günther &amp; Dreger 2013</w:t>
        </w:r>
      </w:hyperlink>
      <w:r>
        <w:rPr>
          <w:rFonts w:eastAsia="Calibri" w:cs="Times New Roman"/>
          <w:noProof/>
          <w:lang w:eastAsia="en-US"/>
        </w:rPr>
        <w:t>)</w:t>
      </w:r>
      <w:r>
        <w:rPr>
          <w:rFonts w:eastAsia="Calibri" w:cs="Times New Roman"/>
          <w:lang w:eastAsia="en-US"/>
        </w:rPr>
        <w:fldChar w:fldCharType="end"/>
      </w:r>
      <w:r>
        <w:t xml:space="preserve"> (n=10 mixed haematological malignancies) reported that </w:t>
      </w:r>
      <w:r w:rsidRPr="008E0541">
        <w:t>patients received treatment on average for 4.5 years</w:t>
      </w:r>
      <w:r>
        <w:t>.</w:t>
      </w:r>
    </w:p>
    <w:p w14:paraId="1F317556" w14:textId="74F1E386" w:rsidR="00911F85" w:rsidRDefault="00911F85" w:rsidP="00331FB9">
      <w:pPr>
        <w:pStyle w:val="ListParagraph"/>
        <w:numPr>
          <w:ilvl w:val="0"/>
          <w:numId w:val="21"/>
        </w:numPr>
      </w:pPr>
      <w:r>
        <w:t>Jurlander et al</w:t>
      </w:r>
      <w:r w:rsidRPr="00882E18">
        <w:t xml:space="preserve">. </w:t>
      </w:r>
      <w:r>
        <w:fldChar w:fldCharType="begin"/>
      </w:r>
      <w:r>
        <w:instrText xml:space="preserve"> ADDIN EN.CITE &lt;EndNote&gt;&lt;Cite ExcludeAuth="1"&gt;&lt;Author&gt;Jurlander&lt;/Author&gt;&lt;Year&gt;1995&lt;/Year&gt;&lt;RecNum&gt;11&lt;/RecNum&gt;&lt;DisplayText&gt;(1995)&lt;/DisplayText&gt;&lt;record&gt;&lt;rec-number&gt;11&lt;/rec-number&gt;&lt;foreign-keys&gt;&lt;key app="EN" db-id="z0vwsepdwpt20pewwts5z9eup9e2r2pd2tad" timestamp="1553825059"&gt;11&lt;/key&gt;&lt;/foreign-keys&gt;&lt;ref-type name="Journal Article"&gt;17&lt;/ref-type&gt;&lt;contributors&gt;&lt;authors&gt;&lt;author&gt;Jurlander, J.&lt;/author&gt;&lt;author&gt;Geisler, C. H.&lt;/author&gt;&lt;author&gt;Hansen, M. M.&lt;/author&gt;&lt;/authors&gt;&lt;/contributors&gt;&lt;auth-address&gt;Department of Haematology, Rigshospitalet, State University Hospital, Copenhagen, Denmark.&lt;/auth-address&gt;&lt;titles&gt;&lt;title&gt;Treatment of hypogammaglobulinaemia in chronic lymphocytic leukaemia by low-dose intravenous gammaglobulin&lt;/title&gt;&lt;secondary-title&gt;Eur J Haematol&lt;/secondary-title&gt;&lt;/titles&gt;&lt;periodical&gt;&lt;full-title&gt;Eur J Haematol&lt;/full-title&gt;&lt;/periodical&gt;&lt;pages&gt;114-8&lt;/pages&gt;&lt;volume&gt;53&lt;/volume&gt;&lt;number&gt;2&lt;/number&gt;&lt;keywords&gt;&lt;keyword&gt;Agammaglobulinemia/ complications/ drug therapy&lt;/keyword&gt;&lt;keyword&gt;Aged&lt;/keyword&gt;&lt;keyword&gt;Aged, 80 and over&lt;/keyword&gt;&lt;keyword&gt;Dose-Response Relationship, Drug&lt;/keyword&gt;&lt;keyword&gt;Female&lt;/keyword&gt;&lt;keyword&gt;Humans&lt;/keyword&gt;&lt;keyword&gt;Immunoglobulin G/blood&lt;/keyword&gt;&lt;keyword&gt;Immunoglobulins, Intravenous/ therapeutic use&lt;/keyword&gt;&lt;keyword&gt;Leukemia, Lymphocytic, Chronic, B-Cell/ blood/ complications&lt;/keyword&gt;&lt;keyword&gt;Male&lt;/keyword&gt;&lt;keyword&gt;Middle Aged&lt;/keyword&gt;&lt;/keywords&gt;&lt;dates&gt;&lt;year&gt;1995&lt;/year&gt;&lt;pub-dates&gt;&lt;date&gt;Aug&lt;/date&gt;&lt;/pub-dates&gt;&lt;/dates&gt;&lt;isbn&gt;0902-4441 (Print) 0902-4441 (Linking)&lt;/isbn&gt;&lt;accession-num&gt;8088382&lt;/accession-num&gt;&lt;urls&gt;&lt;/urls&gt;&lt;custom1&gt;RAYYAN-INCLUSION: {&amp;quot;Skye&amp;quot;=&amp;gt;&amp;quot;Included&amp;quot;}&lt;/custom1&gt;&lt;research-notes&gt;CLL before and after case series&lt;/research-notes&gt;&lt;language&gt;eng&lt;/language&gt;&lt;/record&gt;&lt;/Cite&gt;&lt;/EndNote&gt;</w:instrText>
      </w:r>
      <w:r>
        <w:fldChar w:fldCharType="separate"/>
      </w:r>
      <w:r>
        <w:rPr>
          <w:noProof/>
        </w:rPr>
        <w:t>(</w:t>
      </w:r>
      <w:hyperlink w:anchor="_ENREF_24" w:tooltip="Jurlander, 1995 #11" w:history="1">
        <w:r w:rsidR="00BB0145">
          <w:rPr>
            <w:noProof/>
          </w:rPr>
          <w:t>1995</w:t>
        </w:r>
      </w:hyperlink>
      <w:r>
        <w:rPr>
          <w:noProof/>
        </w:rPr>
        <w:t>)</w:t>
      </w:r>
      <w:r>
        <w:fldChar w:fldCharType="end"/>
      </w:r>
      <w:r w:rsidRPr="00882E18">
        <w:t xml:space="preserve"> (n=15</w:t>
      </w:r>
      <w:r>
        <w:t xml:space="preserve"> CLL) reported that Danish patients received an average of 12 months of treatment.</w:t>
      </w:r>
    </w:p>
    <w:p w14:paraId="476F15D8" w14:textId="21EB86D6" w:rsidR="00911F85" w:rsidRDefault="00911F85" w:rsidP="00331FB9">
      <w:pPr>
        <w:pStyle w:val="ListParagraph"/>
        <w:numPr>
          <w:ilvl w:val="0"/>
          <w:numId w:val="21"/>
        </w:numPr>
      </w:pPr>
      <w:r>
        <w:t xml:space="preserve">A Swedish study </w:t>
      </w:r>
      <w:r>
        <w:fldChar w:fldCharType="begin">
          <w:fldData xml:space="preserve">PEVuZE5vdGU+PENpdGU+PEF1dGhvcj5TdW5kaW48L0F1dGhvcj48WWVhcj4yMDEyPC9ZZWFyPjxS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</w:fldData>
        </w:fldChar>
      </w:r>
      <w:r>
        <w:instrText xml:space="preserve"> ADDIN EN.CITE </w:instrText>
      </w:r>
      <w:r>
        <w:fldChar w:fldCharType="begin">
          <w:fldData xml:space="preserve">PEVuZE5vdGU+PENpdGU+PEF1dGhvcj5TdW5kaW48L0F1dGhvcj48WWVhcj4yMDEyPC9ZZWFyPjxS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</w:fldData>
        </w:fldChar>
      </w:r>
      <w:r>
        <w:instrText xml:space="preserve"> ADDIN EN.CITE.DATA </w:instrText>
      </w:r>
      <w:r>
        <w:fldChar w:fldCharType="end"/>
      </w:r>
      <w:r>
        <w:fldChar w:fldCharType="separate"/>
      </w:r>
      <w:r>
        <w:rPr>
          <w:noProof/>
        </w:rPr>
        <w:t>(</w:t>
      </w:r>
      <w:hyperlink w:anchor="_ENREF_50" w:tooltip="Sundin, 2012 #86" w:history="1">
        <w:r w:rsidR="00BB0145">
          <w:rPr>
            <w:noProof/>
          </w:rPr>
          <w:t>Sundin et al. 2012</w:t>
        </w:r>
      </w:hyperlink>
      <w:r>
        <w:rPr>
          <w:noProof/>
        </w:rPr>
        <w:t>)</w:t>
      </w:r>
      <w:r>
        <w:fldChar w:fldCharType="end"/>
      </w:r>
      <w:r>
        <w:t xml:space="preserve"> (n=26 post-HSCT) reported a median treatment duration of 9 months (range 6</w:t>
      </w:r>
      <w:r>
        <w:rPr>
          <w:rFonts w:cs="Calibri"/>
        </w:rPr>
        <w:t>−</w:t>
      </w:r>
      <w:r>
        <w:t>20 months).</w:t>
      </w:r>
    </w:p>
    <w:p w14:paraId="0BA5E2C1" w14:textId="29B5FF4D" w:rsidR="00911F85" w:rsidRDefault="00911F85" w:rsidP="00331FB9">
      <w:pPr>
        <w:pStyle w:val="ListParagraph"/>
        <w:numPr>
          <w:ilvl w:val="0"/>
          <w:numId w:val="21"/>
        </w:numPr>
      </w:pPr>
      <w:r>
        <w:t xml:space="preserve">Finally, a French study conducted by Benbrahim et al. </w:t>
      </w:r>
      <w:r>
        <w:rPr>
          <w:rFonts w:asciiTheme="minorHAnsi" w:hAnsiTheme="minorHAnsi" w:cstheme="minorHAnsi"/>
        </w:rPr>
        <w:fldChar w:fldCharType="begin">
          <w:fldData xml:space="preserve">PEVuZE5vdGU+PENpdGUgRXhjbHVkZUF1dGg9IjEiPjxBdXRob3I+QmVuYnJhaGltPC9BdXRob3I+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=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PEVuZE5vdGU+PENpdGUgRXhjbHVkZUF1dGg9IjEiPjxBdXRob3I+QmVuYnJhaGltPC9BdXRob3I+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=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w:t>
      </w:r>
      <w:hyperlink w:anchor="_ENREF_3" w:tooltip="Benbrahim, 2019 #88" w:history="1">
        <w:r w:rsidR="00BB0145">
          <w:rPr>
            <w:rFonts w:asciiTheme="minorHAnsi" w:hAnsiTheme="minorHAnsi" w:cstheme="minorHAnsi"/>
            <w:noProof/>
          </w:rPr>
          <w:t>2019</w:t>
        </w:r>
      </w:hyperlink>
      <w:r>
        <w:rPr>
          <w:rFonts w:asciiTheme="minorHAnsi" w:hAnsiTheme="minorHAnsi" w:cstheme="minorHAnsi"/>
          <w:noProof/>
        </w:rPr>
        <w:t>)</w:t>
      </w:r>
      <w:r>
        <w:rPr>
          <w:rFonts w:asciiTheme="minorHAnsi" w:hAnsiTheme="minorHAnsi" w:cstheme="minorHAnsi"/>
        </w:rPr>
        <w:fldChar w:fldCharType="end"/>
      </w:r>
      <w:r>
        <w:t xml:space="preserve"> (n=160 mixed haematological malignancies) reported a mean exposure to Ig of 8.4 months, though the follow-up period was a maximum of 12 months.</w:t>
      </w:r>
    </w:p>
    <w:p w14:paraId="75F8AD13" w14:textId="77777777" w:rsidR="00911F85" w:rsidRDefault="00911F85" w:rsidP="00911F85">
      <w:r>
        <w:lastRenderedPageBreak/>
        <w:t xml:space="preserve">Thus the clinical evidence are highly variable with respect to the duration of Ig treatment, and may have limited applicability to the current Australian population that initiates Ig replacement therapy for acquired hypogammaglobulinaemia (as treatment duration across the population that initiates therapy is likely to follow some distribution with a long tail, and that some of these studies may be focussed on those with longer treatment durations, such as Windegger et al. 2019 which required 12 months on IVIg prior to switching to SCIg). </w:t>
      </w:r>
    </w:p>
    <w:p w14:paraId="60149D20" w14:textId="2EC63CCA" w:rsidR="00911F85" w:rsidRDefault="00911F85" w:rsidP="00911F85">
      <w:r>
        <w:t xml:space="preserve">The Version 3 criteria do not specify a maximum treatment duration for patients with acquired hypogammaglobulinaemia in Australia. Rather treatment is indicated if there is a demonstrated clinical benefit, and cessation should be considered at least after each 12 months of treatment. BloodSTAR data </w:t>
      </w:r>
      <w:r w:rsidRPr="004C22BA">
        <w:t>were not available to inform the average treatment durations of patients who currently receive Ig for acquired hypogammaglobulinaemia</w:t>
      </w:r>
      <w:r>
        <w:t xml:space="preserve">. The survey of Australian clinicians </w:t>
      </w:r>
      <w:r>
        <w:fldChar w:fldCharType="begin">
          <w:fldData xml:space="preserve">PEVuZE5vdGU+PENpdGU+PEF1dGhvcj5Xb25nPC9BdXRob3I+PFllYXI+MjAxOTwvWWVhcj48UmVj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==
</w:fldData>
        </w:fldChar>
      </w:r>
      <w:r>
        <w:instrText xml:space="preserve"> ADDIN EN.CITE </w:instrText>
      </w:r>
      <w:r>
        <w:fldChar w:fldCharType="begin">
          <w:fldData xml:space="preserve">PEVuZE5vdGU+PENpdGU+PEF1dGhvcj5Xb25nPC9BdXRob3I+PFllYXI+MjAxOTwvWWVhcj48UmVj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==
</w:fldData>
        </w:fldChar>
      </w:r>
      <w:r>
        <w:instrText xml:space="preserve"> ADDIN EN.CITE.DATA </w:instrText>
      </w:r>
      <w:r>
        <w:fldChar w:fldCharType="end"/>
      </w:r>
      <w:r>
        <w:fldChar w:fldCharType="separate"/>
      </w:r>
      <w:r>
        <w:rPr>
          <w:noProof/>
        </w:rPr>
        <w:t>(</w:t>
      </w:r>
      <w:hyperlink w:anchor="_ENREF_58" w:tooltip="Wong, 2019 #98" w:history="1">
        <w:r w:rsidR="00BB0145">
          <w:rPr>
            <w:noProof/>
          </w:rPr>
          <w:t>Wong et al. 2019</w:t>
        </w:r>
      </w:hyperlink>
      <w:r>
        <w:rPr>
          <w:noProof/>
        </w:rPr>
        <w:t>)</w:t>
      </w:r>
      <w:r>
        <w:fldChar w:fldCharType="end"/>
      </w:r>
      <w:r>
        <w:t xml:space="preserve"> indicated quite variable results with regards to the duration of Ig treatment: 21% indicated that they would continue Ig until an AE, 24% indicated a fixed duration (mostly 6 or 12 months – 11% and 8% respectively), 15% indicated they would cease treatment when normal trough levels were achieved and the patient was infection-free, and 34% indicated that decisions were made on a case-by-case basis.</w:t>
      </w:r>
    </w:p>
    <w:p w14:paraId="11DCABC5" w14:textId="77777777" w:rsidR="00911F85" w:rsidRDefault="00911F85" w:rsidP="00911F85">
      <w:r>
        <w:t xml:space="preserve">The ongoing clinical trial conducted in Australia (ACTRN12616001723471) that compares prophylactic antibiotics to Ig in CLL, MM and NHL allows treatment for </w:t>
      </w:r>
      <w:r w:rsidRPr="00B163FE">
        <w:t>12 months, or until the treating physician determines that the patient should come off the treatment.</w:t>
      </w:r>
      <w:r>
        <w:t xml:space="preserve"> </w:t>
      </w:r>
    </w:p>
    <w:p w14:paraId="59B6618F" w14:textId="77777777" w:rsidR="00911F85" w:rsidRDefault="00911F85" w:rsidP="00911F85"/>
    <w:p w14:paraId="44C97F3E" w14:textId="5E43E1E3" w:rsidR="00911F85" w:rsidRDefault="00911F85" w:rsidP="00911F85">
      <w:r>
        <w:t xml:space="preserve">As patients enrolled in </w:t>
      </w:r>
      <w:r w:rsidRPr="00F55739">
        <w:t>Paxton, Hawkins &amp; Crispin</w:t>
      </w:r>
      <w:r>
        <w:t xml:space="preserve"> </w:t>
      </w:r>
      <w:r>
        <w:fldChar w:fldCharType="begin">
          <w:fldData xml:space="preserve">PEVuZE5vdGU+PENpdGUgRXhjbHVkZUF1dGg9IjEiPjxBdXRob3I+UGF4dG9uPC9BdXRob3I+PFll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</w:fldData>
        </w:fldChar>
      </w:r>
      <w:r>
        <w:instrText xml:space="preserve"> ADDIN EN.CITE </w:instrText>
      </w:r>
      <w:r>
        <w:fldChar w:fldCharType="begin">
          <w:fldData xml:space="preserve">PEVuZE5vdGU+PENpdGUgRXhjbHVkZUF1dGg9IjEiPjxBdXRob3I+UGF4dG9uPC9BdXRob3I+PFll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</w:fldData>
        </w:fldChar>
      </w:r>
      <w:r>
        <w:instrText xml:space="preserve"> ADDIN EN.CITE.DATA </w:instrText>
      </w:r>
      <w:r>
        <w:fldChar w:fldCharType="end"/>
      </w:r>
      <w:r>
        <w:fldChar w:fldCharType="separate"/>
      </w:r>
      <w:r>
        <w:rPr>
          <w:noProof/>
        </w:rPr>
        <w:t>(</w:t>
      </w:r>
      <w:hyperlink w:anchor="_ENREF_39" w:tooltip="Paxton, 2016 #66" w:history="1">
        <w:r w:rsidR="00BB0145">
          <w:rPr>
            <w:noProof/>
          </w:rPr>
          <w:t>2016</w:t>
        </w:r>
      </w:hyperlink>
      <w:r>
        <w:rPr>
          <w:noProof/>
        </w:rPr>
        <w:t>)</w:t>
      </w:r>
      <w:r>
        <w:fldChar w:fldCharType="end"/>
      </w:r>
      <w:r>
        <w:t xml:space="preserve"> were not required to have received Ig for a minimum period of time, the treatment duration observed, 26 months, is considered to be most applicable to the current setting and will be assumed in the base case economic analysis. This is also not too dissimilar to the duration at-risk of infections in three of the randomised studies (i.e. those with the cross over design) </w:t>
      </w:r>
      <w:r>
        <w:fldChar w:fldCharType="begin">
          <w:fldData xml:space="preserve">PEVuZE5vdGU+PENpdGU+PEF1dGhvcj5DaGFwZWw8L0F1dGhvcj48WWVhcj4xOTkxPC9ZZWFyPjxS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</w:fldData>
        </w:fldChar>
      </w:r>
      <w:r>
        <w:instrText xml:space="preserve"> ADDIN EN.CITE </w:instrText>
      </w:r>
      <w:r>
        <w:fldChar w:fldCharType="begin">
          <w:fldData xml:space="preserve">PEVuZE5vdGU+PENpdGU+PEF1dGhvcj5DaGFwZWw8L0F1dGhvcj48WWVhcj4xOTkxPC9ZZWFyPjxS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</w:fldData>
        </w:fldChar>
      </w:r>
      <w:r>
        <w:instrText xml:space="preserve"> ADDIN EN.CITE.DATA </w:instrText>
      </w:r>
      <w:r>
        <w:fldChar w:fldCharType="end"/>
      </w:r>
      <w:r>
        <w:fldChar w:fldCharType="separate"/>
      </w:r>
      <w:r>
        <w:rPr>
          <w:noProof/>
        </w:rPr>
        <w:t>(</w:t>
      </w:r>
      <w:hyperlink w:anchor="_ENREF_12" w:tooltip="Chapel, 1991 #32" w:history="1">
        <w:r w:rsidR="00BB0145">
          <w:rPr>
            <w:noProof/>
          </w:rPr>
          <w:t>Chapel et al. 1991</w:t>
        </w:r>
      </w:hyperlink>
      <w:r>
        <w:rPr>
          <w:noProof/>
        </w:rPr>
        <w:t xml:space="preserve">; </w:t>
      </w:r>
      <w:hyperlink w:anchor="_ENREF_31" w:tooltip="Molica, 1996 #33" w:history="1">
        <w:r w:rsidR="00BB0145">
          <w:rPr>
            <w:noProof/>
          </w:rPr>
          <w:t>Molica et al. 1996</w:t>
        </w:r>
      </w:hyperlink>
      <w:r>
        <w:rPr>
          <w:noProof/>
        </w:rPr>
        <w:t xml:space="preserve">; </w:t>
      </w:r>
      <w:hyperlink w:anchor="_ENREF_33" w:tooltip="Musto, 1995 #60" w:history="1">
        <w:r w:rsidR="00BB0145">
          <w:rPr>
            <w:noProof/>
          </w:rPr>
          <w:t>Musto, Brugiatelli &amp; Carotenuto 1995</w:t>
        </w:r>
      </w:hyperlink>
      <w:r>
        <w:rPr>
          <w:noProof/>
        </w:rPr>
        <w:t>)</w:t>
      </w:r>
      <w:r>
        <w:fldChar w:fldCharType="end"/>
      </w:r>
      <w:r>
        <w:t xml:space="preserve">. </w:t>
      </w:r>
    </w:p>
    <w:p w14:paraId="012354A1" w14:textId="77777777" w:rsidR="00911F85" w:rsidRDefault="00911F85" w:rsidP="00911F85"/>
    <w:p w14:paraId="5B299E8A" w14:textId="420C6AAE" w:rsidR="00F6556E" w:rsidRDefault="006876E4" w:rsidP="00F6556E">
      <w:pPr>
        <w:pStyle w:val="Heading2"/>
        <w:numPr>
          <w:ilvl w:val="2"/>
          <w:numId w:val="11"/>
        </w:numPr>
        <w:jc w:val="left"/>
      </w:pPr>
      <w:bookmarkStart w:id="394" w:name="_Toc16856325"/>
      <w:bookmarkStart w:id="395" w:name="_Toc426968188"/>
      <w:bookmarkStart w:id="396" w:name="_Toc445464043"/>
      <w:r>
        <w:t>Extrapolation t</w:t>
      </w:r>
      <w:r w:rsidR="00F6556E">
        <w:t>ranslation issues</w:t>
      </w:r>
      <w:bookmarkEnd w:id="394"/>
    </w:p>
    <w:p w14:paraId="4F0EA8F7" w14:textId="02BE5842" w:rsidR="00357DAB" w:rsidRDefault="00357DAB" w:rsidP="00357DAB">
      <w:pPr>
        <w:pStyle w:val="Heading3"/>
        <w:ind w:left="1134" w:hanging="1134"/>
        <w:rPr>
          <w:sz w:val="22"/>
        </w:rPr>
      </w:pPr>
      <w:bookmarkStart w:id="397" w:name="_Toc16856326"/>
      <w:r>
        <w:rPr>
          <w:sz w:val="22"/>
        </w:rPr>
        <w:t>C.3.1</w:t>
      </w:r>
      <w:r w:rsidR="00D7461D">
        <w:rPr>
          <w:sz w:val="22"/>
        </w:rPr>
        <w:t>.</w:t>
      </w:r>
      <w:r>
        <w:rPr>
          <w:sz w:val="22"/>
        </w:rPr>
        <w:tab/>
        <w:t>What is the duration of the treatment effect of Ig in patients with acquired hypogammaglobulinaemia?</w:t>
      </w:r>
      <w:bookmarkEnd w:id="397"/>
    </w:p>
    <w:p w14:paraId="5F2CEBDB" w14:textId="4056C474" w:rsidR="00357DAB" w:rsidRDefault="00357DAB" w:rsidP="00357DAB">
      <w:r>
        <w:t xml:space="preserve">The economic model in Section D will assume that </w:t>
      </w:r>
      <w:bookmarkStart w:id="398" w:name="OLE_LINK7"/>
      <w:bookmarkStart w:id="399" w:name="OLE_LINK8"/>
      <w:r>
        <w:t>while on Ig therapy, patients are at risk of infections, however after treatment cessation, it will be assumed that no new infections are modelled – in either model arm – after such time.</w:t>
      </w:r>
      <w:bookmarkEnd w:id="398"/>
      <w:bookmarkEnd w:id="399"/>
    </w:p>
    <w:p w14:paraId="68025FD0" w14:textId="5EDD4F25" w:rsidR="00BD480C" w:rsidRDefault="00BD480C" w:rsidP="00BD480C">
      <w:r>
        <w:lastRenderedPageBreak/>
        <w:t xml:space="preserve">As described in Section C.2.4 above, treatment durations in the randomised trials were </w:t>
      </w:r>
      <w:r w:rsidRPr="00D4411A">
        <w:t>generally fixed and not conditional on an assessment of treatment response</w:t>
      </w:r>
      <w:r>
        <w:t>. The Version 3 criteria do not specify a maximum treatment duration for patients with acquired hypogammaglobulinaemia in Australia, rather treatment is indicated if there is a demonstrated clinical benefit. As Section C.2.4 concluded that an average treatment duration of 26 months would be most applicable</w:t>
      </w:r>
      <w:r w:rsidRPr="00BD480C">
        <w:t xml:space="preserve"> it is assumed this also represents the duration of clinical benefit or direct treatment effect of Ig, whereby a different risk of infection is modelled across the Ig treatment and no treatment arms of the model.</w:t>
      </w:r>
    </w:p>
    <w:p w14:paraId="1F058BFD" w14:textId="15904BBF" w:rsidR="00BD480C" w:rsidRDefault="00BD480C" w:rsidP="00BD480C">
      <w:r>
        <w:t xml:space="preserve">Since this is beyond the duration of the randomised trial evidence presented in Section B (up to </w:t>
      </w:r>
      <w:r w:rsidR="00926E88">
        <w:t>18</w:t>
      </w:r>
      <w:r>
        <w:t xml:space="preserve"> months) this constitutes a</w:t>
      </w:r>
      <w:r w:rsidR="00926E88">
        <w:t>n</w:t>
      </w:r>
      <w:r>
        <w:t xml:space="preserve"> extrapolation of treatment administration and benefit beyond the evidenciary time</w:t>
      </w:r>
      <w:r w:rsidR="00926E88">
        <w:t xml:space="preserve"> </w:t>
      </w:r>
      <w:r>
        <w:t>horizons</w:t>
      </w:r>
      <w:r w:rsidR="00926E88">
        <w:t xml:space="preserve"> (8</w:t>
      </w:r>
      <w:r w:rsidR="00926E88">
        <w:rPr>
          <w:rFonts w:cs="Calibri"/>
        </w:rPr>
        <w:t>−</w:t>
      </w:r>
      <w:r w:rsidR="00926E88">
        <w:t>14 months)</w:t>
      </w:r>
      <w:r>
        <w:t>. As there is no evidence to support an ongoing direct treatment effect once Ig treatment is ceased, it is appropriate for transition rates between all ‘off-treatment’ health states to be the same for each arm of the model.</w:t>
      </w:r>
    </w:p>
    <w:p w14:paraId="32D83065" w14:textId="0905F8E2" w:rsidR="00BD480C" w:rsidRDefault="00BD480C" w:rsidP="00BD480C">
      <w:r>
        <w:t xml:space="preserve">Therefore it is only the difference in health state allocation at the end of Ig treatment that results in long-term differences in overall survival and quality of life differences between the study arms.The long term transition probabilities, in the absence of other evidence, assume an </w:t>
      </w:r>
      <w:r w:rsidRPr="00352F37">
        <w:rPr>
          <w:u w:val="single"/>
        </w:rPr>
        <w:t>ongoing constant per cycle risk</w:t>
      </w:r>
      <w:r>
        <w:t>, except for disease-adjusted age-specific mortality; these are fully detailed in Section D.4.1.</w:t>
      </w:r>
    </w:p>
    <w:p w14:paraId="3B90FAE9" w14:textId="77777777" w:rsidR="00357DAB" w:rsidRPr="00357DAB" w:rsidRDefault="00357DAB" w:rsidP="00357DAB"/>
    <w:p w14:paraId="671D5611" w14:textId="5B4C9A8A" w:rsidR="00C23AEE" w:rsidRPr="00C23AEE" w:rsidRDefault="00C23AEE" w:rsidP="006E40A2">
      <w:pPr>
        <w:pStyle w:val="Heading3"/>
        <w:ind w:left="1134" w:hanging="1134"/>
        <w:rPr>
          <w:sz w:val="22"/>
        </w:rPr>
      </w:pPr>
      <w:bookmarkStart w:id="400" w:name="_Toc16856327"/>
      <w:r>
        <w:rPr>
          <w:sz w:val="22"/>
        </w:rPr>
        <w:t>C.3.</w:t>
      </w:r>
      <w:r w:rsidR="00357DAB">
        <w:rPr>
          <w:sz w:val="22"/>
        </w:rPr>
        <w:t>2</w:t>
      </w:r>
      <w:r w:rsidR="00D7461D">
        <w:rPr>
          <w:sz w:val="22"/>
        </w:rPr>
        <w:t>.</w:t>
      </w:r>
      <w:r>
        <w:rPr>
          <w:sz w:val="22"/>
        </w:rPr>
        <w:tab/>
      </w:r>
      <w:r>
        <w:rPr>
          <w:sz w:val="22"/>
        </w:rPr>
        <w:tab/>
      </w:r>
      <w:r w:rsidR="006E40A2">
        <w:rPr>
          <w:sz w:val="22"/>
        </w:rPr>
        <w:t xml:space="preserve">What is the natural history of recurrent infections in patients with acquired </w:t>
      </w:r>
      <w:r w:rsidR="00414134">
        <w:rPr>
          <w:sz w:val="22"/>
        </w:rPr>
        <w:t>hypogammaglobulinaemia</w:t>
      </w:r>
      <w:r w:rsidR="006E40A2">
        <w:rPr>
          <w:sz w:val="22"/>
        </w:rPr>
        <w:t>?</w:t>
      </w:r>
      <w:bookmarkEnd w:id="400"/>
    </w:p>
    <w:p w14:paraId="034C57A3" w14:textId="0D6B0462" w:rsidR="00C23AEE" w:rsidRDefault="00BE2B99" w:rsidP="00190B86">
      <w:r>
        <w:t>As described in Section C.</w:t>
      </w:r>
      <w:r w:rsidR="00BD480C">
        <w:t>3.1</w:t>
      </w:r>
      <w:r>
        <w:t>,</w:t>
      </w:r>
      <w:r w:rsidR="00466DC2">
        <w:t xml:space="preserve"> while</w:t>
      </w:r>
      <w:r>
        <w:t xml:space="preserve"> patients are on Ig treatment they are assumed to be at risk of infections, however once Ig treatment has ceased, no new infections are modelled. An extrapolation translation issue is presented to determine wh</w:t>
      </w:r>
      <w:r w:rsidR="00BD480C">
        <w:t>ether there are longterm sequelae related to recurrent infections</w:t>
      </w:r>
      <w:r>
        <w:t>.</w:t>
      </w:r>
    </w:p>
    <w:p w14:paraId="292292D6" w14:textId="0A36B5E0" w:rsidR="00BE2B99" w:rsidRDefault="00BE2B99" w:rsidP="00190B86">
      <w:r>
        <w:t xml:space="preserve">There is very little published information regarding the long term consequences of recurrent infections in patients with acquired </w:t>
      </w:r>
      <w:r w:rsidR="00414134">
        <w:t>hypogammaglobulinaemia</w:t>
      </w:r>
      <w:r>
        <w:t xml:space="preserve">. </w:t>
      </w:r>
      <w:r w:rsidR="00CE560E">
        <w:t xml:space="preserve">One narrative review </w:t>
      </w:r>
      <w:r w:rsidR="00674A5A">
        <w:fldChar w:fldCharType="begin"/>
      </w:r>
      <w:r w:rsidR="00674A5A">
        <w:instrText xml:space="preserve"> ADDIN EN.CITE &lt;EndNote&gt;&lt;Cite&gt;&lt;Author&gt;Brown&lt;/Author&gt;&lt;Year&gt;2011&lt;/Year&gt;&lt;RecNum&gt;111&lt;/RecNum&gt;&lt;DisplayText&gt;(Brown, Baxendale &amp;amp; Floto 2011)&lt;/DisplayText&gt;&lt;record&gt;&lt;rec-number&gt;111&lt;/rec-number&gt;&lt;foreign-keys&gt;&lt;key app="EN" db-id="z0vwsepdwpt20pewwts5z9eup9e2r2pd2tad" timestamp="1564368134"&gt;111&lt;/key&gt;&lt;key app="ENWeb" db-id=""&gt;0&lt;/key&gt;&lt;/foreign-keys&gt;&lt;ref-type name="Book Section"&gt;5&lt;/ref-type&gt;&lt;contributors&gt;&lt;authors&gt;&lt;author&gt;Brown, J. S.&lt;/author&gt;&lt;author&gt;Baxendale, H.&lt;/author&gt;&lt;author&gt;Floto, R. A.&lt;/author&gt;&lt;/authors&gt;&lt;secondary-authors&gt;&lt;author&gt;Floto, R. A.&lt;/author&gt;&lt;author&gt;Haworth, C.S.&lt;/author&gt;&lt;/secondary-authors&gt;&lt;/contributors&gt;&lt;titles&gt;&lt;title&gt;Immunodeficiencies associated with bronchiectasis&lt;/title&gt;&lt;secondary-title&gt;European Respiratory Society Monographs: Bronchiectasis&lt;/secondary-title&gt;&lt;/titles&gt;&lt;pages&gt;178-191&lt;/pages&gt;&lt;dates&gt;&lt;year&gt;2011&lt;/year&gt;&lt;/dates&gt;&lt;isbn&gt;9781849840118&amp;#xD;9781849840125&lt;/isbn&gt;&lt;urls&gt;&lt;/urls&gt;&lt;electronic-resource-num&gt;10.1183/1025448x.10004210&lt;/electronic-resource-num&gt;&lt;/record&gt;&lt;/Cite&gt;&lt;/EndNote&gt;</w:instrText>
      </w:r>
      <w:r w:rsidR="00674A5A">
        <w:fldChar w:fldCharType="separate"/>
      </w:r>
      <w:r w:rsidR="00674A5A">
        <w:rPr>
          <w:noProof/>
        </w:rPr>
        <w:t>(</w:t>
      </w:r>
      <w:hyperlink w:anchor="_ENREF_9" w:tooltip="Brown, 2011 #111" w:history="1">
        <w:r w:rsidR="00BB0145">
          <w:rPr>
            <w:noProof/>
          </w:rPr>
          <w:t>Brown, Baxendale &amp; Floto 2011</w:t>
        </w:r>
      </w:hyperlink>
      <w:r w:rsidR="00674A5A">
        <w:rPr>
          <w:noProof/>
        </w:rPr>
        <w:t>)</w:t>
      </w:r>
      <w:r w:rsidR="00674A5A">
        <w:fldChar w:fldCharType="end"/>
      </w:r>
      <w:r w:rsidR="005026B5">
        <w:t xml:space="preserve"> </w:t>
      </w:r>
      <w:r w:rsidR="00CE560E">
        <w:t xml:space="preserve">was identified which described the association of secondary immune deficiencies with bronchiectasis. </w:t>
      </w:r>
      <w:r w:rsidR="00FD1F48">
        <w:t xml:space="preserve">In haematological </w:t>
      </w:r>
      <w:r w:rsidR="005026B5">
        <w:t>malignancies</w:t>
      </w:r>
      <w:r w:rsidR="00FD1F48">
        <w:t>:</w:t>
      </w:r>
    </w:p>
    <w:p w14:paraId="302A962D" w14:textId="6F4DCEF0" w:rsidR="00FD1F48" w:rsidRDefault="00FD1F48" w:rsidP="00FD1F48">
      <w:pPr>
        <w:ind w:left="567"/>
      </w:pPr>
      <w:r>
        <w:t>“</w:t>
      </w:r>
      <w:r w:rsidR="005026B5" w:rsidRPr="005026B5">
        <w:rPr>
          <w:i/>
        </w:rPr>
        <w:t>case reports or case series data</w:t>
      </w:r>
      <w:r w:rsidR="005026B5" w:rsidRPr="005026B5">
        <w:t xml:space="preserve"> </w:t>
      </w:r>
      <w:r w:rsidRPr="00FD1F48">
        <w:rPr>
          <w:i/>
        </w:rPr>
        <w:t xml:space="preserve">have described bronchiectasis complicating chemotherapy, acute and chronic leukaemias, myeloma and lymphomas </w:t>
      </w:r>
      <w:r w:rsidR="00674A5A">
        <w:rPr>
          <w:i/>
        </w:rPr>
        <w:fldChar w:fldCharType="begin">
          <w:fldData xml:space="preserve">PEVuZE5vdGU+PENpdGU+PEF1dGhvcj5LZWFybmV5PC9BdXRob3I+PFllYXI+MTk3NzwvWWVhcj48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</w:fldData>
        </w:fldChar>
      </w:r>
      <w:r w:rsidR="00674A5A">
        <w:rPr>
          <w:i/>
        </w:rPr>
        <w:instrText xml:space="preserve"> ADDIN EN.CITE </w:instrText>
      </w:r>
      <w:r w:rsidR="00674A5A">
        <w:rPr>
          <w:i/>
        </w:rPr>
        <w:fldChar w:fldCharType="begin">
          <w:fldData xml:space="preserve">PEVuZE5vdGU+PENpdGU+PEF1dGhvcj5LZWFybmV5PC9BdXRob3I+PFllYXI+MTk3NzwvWWVhcj48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</w:fldData>
        </w:fldChar>
      </w:r>
      <w:r w:rsidR="00674A5A">
        <w:rPr>
          <w:i/>
        </w:rPr>
        <w:instrText xml:space="preserve"> ADDIN EN.CITE.DATA </w:instrText>
      </w:r>
      <w:r w:rsidR="00674A5A">
        <w:rPr>
          <w:i/>
        </w:rPr>
      </w:r>
      <w:r w:rsidR="00674A5A">
        <w:rPr>
          <w:i/>
        </w:rPr>
        <w:fldChar w:fldCharType="end"/>
      </w:r>
      <w:r w:rsidR="00674A5A">
        <w:rPr>
          <w:i/>
        </w:rPr>
      </w:r>
      <w:r w:rsidR="00674A5A">
        <w:rPr>
          <w:i/>
        </w:rPr>
        <w:fldChar w:fldCharType="separate"/>
      </w:r>
      <w:r w:rsidR="00674A5A">
        <w:rPr>
          <w:i/>
          <w:noProof/>
        </w:rPr>
        <w:t>(</w:t>
      </w:r>
      <w:hyperlink w:anchor="_ENREF_25" w:tooltip="Kearney, 1977 #113" w:history="1">
        <w:r w:rsidR="00BB0145">
          <w:rPr>
            <w:i/>
            <w:noProof/>
          </w:rPr>
          <w:t>Kearney, Kershaw &amp; Stevenson 1977</w:t>
        </w:r>
      </w:hyperlink>
      <w:r w:rsidR="00674A5A">
        <w:rPr>
          <w:i/>
          <w:noProof/>
        </w:rPr>
        <w:t xml:space="preserve">; </w:t>
      </w:r>
      <w:hyperlink w:anchor="_ENREF_26" w:tooltip="Knowles, 1980 #114" w:history="1">
        <w:r w:rsidR="00BB0145">
          <w:rPr>
            <w:i/>
            <w:noProof/>
          </w:rPr>
          <w:t>Knowles, Stanhope &amp; Green 1980</w:t>
        </w:r>
      </w:hyperlink>
      <w:r w:rsidR="00674A5A">
        <w:rPr>
          <w:i/>
          <w:noProof/>
        </w:rPr>
        <w:t xml:space="preserve">; </w:t>
      </w:r>
      <w:hyperlink w:anchor="_ENREF_28" w:tooltip="Li, 2005 #112" w:history="1">
        <w:r w:rsidR="00BB0145">
          <w:rPr>
            <w:i/>
            <w:noProof/>
          </w:rPr>
          <w:t>Li et al. 2005</w:t>
        </w:r>
      </w:hyperlink>
      <w:r w:rsidR="00674A5A">
        <w:rPr>
          <w:i/>
          <w:noProof/>
        </w:rPr>
        <w:t xml:space="preserve">; </w:t>
      </w:r>
      <w:hyperlink w:anchor="_ENREF_36" w:tooltip="Okada, 2004 #115" w:history="1">
        <w:r w:rsidR="00BB0145">
          <w:rPr>
            <w:i/>
            <w:noProof/>
          </w:rPr>
          <w:t>Okada et al. 2004</w:t>
        </w:r>
      </w:hyperlink>
      <w:r w:rsidR="00674A5A">
        <w:rPr>
          <w:i/>
          <w:noProof/>
        </w:rPr>
        <w:t>)</w:t>
      </w:r>
      <w:r w:rsidR="00674A5A">
        <w:rPr>
          <w:i/>
        </w:rPr>
        <w:fldChar w:fldCharType="end"/>
      </w:r>
      <w:r w:rsidRPr="00FD1F48">
        <w:rPr>
          <w:i/>
        </w:rPr>
        <w:t xml:space="preserve">. In particular, due to the combination of prolonged survival and the high frequency of secondary hypogammaglobulinaemia, multiple myeloma and chronic lymphocytic leukaemia (CLL) seem to be relatively commonly associated with bronchiectasis, although the exact incidence has not been reported </w:t>
      </w:r>
      <w:r w:rsidR="00674A5A">
        <w:rPr>
          <w:i/>
        </w:rPr>
        <w:fldChar w:fldCharType="begin"/>
      </w:r>
      <w:r w:rsidR="00674A5A">
        <w:rPr>
          <w:i/>
        </w:rPr>
        <w:instrText xml:space="preserve"> ADDIN EN.CITE &lt;EndNote&gt;&lt;Cite&gt;&lt;Author&gt;Knowles&lt;/Author&gt;&lt;Year&gt;1980&lt;/Year&gt;&lt;RecNum&gt;114&lt;/RecNum&gt;&lt;DisplayText&gt;(Knowles, Stanhope &amp;amp; Green 1980)&lt;/DisplayText&gt;&lt;record&gt;&lt;rec-number&gt;114&lt;/rec-number&gt;&lt;foreign-keys&gt;&lt;key app="EN" db-id="z0vwsepdwpt20pewwts5z9eup9e2r2pd2tad" timestamp="1564368567"&gt;114&lt;/key&gt;&lt;/foreign-keys&gt;&lt;ref-type name="Journal Article"&gt;17&lt;/ref-type&gt;&lt;contributors&gt;&lt;authors&gt;&lt;author&gt;Knowles, G. K.&lt;/author&gt;&lt;author&gt;Stanhope, R.&lt;/author&gt;&lt;author&gt;Green, M.&lt;/author&gt;&lt;/authors&gt;&lt;/contributors&gt;&lt;titles&gt;&lt;title&gt;Bronchiectasis complicating chronic lymphatic leukaemia with hypogammaglobulinaemia&lt;/title&gt;&lt;secondary-title&gt;Thorax&lt;/secondary-title&gt;&lt;/titles&gt;&lt;periodical&gt;&lt;full-title&gt;Thorax&lt;/full-title&gt;&lt;/periodical&gt;&lt;pages&gt;217-8&lt;/pages&gt;&lt;volume&gt;35&lt;/volume&gt;&lt;number&gt;3&lt;/number&gt;&lt;keywords&gt;&lt;keyword&gt;Agammaglobulinemia/*complications&lt;/keyword&gt;&lt;keyword&gt;Bronchiectasis/*etiology&lt;/keyword&gt;&lt;keyword&gt;Humans&lt;/keyword&gt;&lt;keyword&gt;Leukemia, Lymphoid/*complications&lt;/keyword&gt;&lt;keyword&gt;Male&lt;/keyword&gt;&lt;keyword&gt;Middle Aged&lt;/keyword&gt;&lt;/keywords&gt;&lt;dates&gt;&lt;year&gt;1980&lt;/year&gt;&lt;pub-dates&gt;&lt;date&gt;Mar&lt;/date&gt;&lt;/pub-dates&gt;&lt;/dates&gt;&lt;isbn&gt;0040-6376 (Print)&amp;#xD;0040-6376 (Linking)&lt;/isbn&gt;&lt;accession-num&gt;7385094&lt;/accession-num&gt;&lt;urls&gt;&lt;related-urls&gt;&lt;url&gt;https://www.ncbi.nlm.nih.gov/pubmed/7385094&lt;/url&gt;&lt;/related-urls&gt;&lt;/urls&gt;&lt;custom2&gt;471259&lt;/custom2&gt;&lt;electronic-resource-num&gt;10.1136/thx.35.3.217&lt;/electronic-resource-num&gt;&lt;/record&gt;&lt;/Cite&gt;&lt;/EndNote&gt;</w:instrText>
      </w:r>
      <w:r w:rsidR="00674A5A">
        <w:rPr>
          <w:i/>
        </w:rPr>
        <w:fldChar w:fldCharType="separate"/>
      </w:r>
      <w:r w:rsidR="00674A5A">
        <w:rPr>
          <w:i/>
          <w:noProof/>
        </w:rPr>
        <w:t>(</w:t>
      </w:r>
      <w:hyperlink w:anchor="_ENREF_26" w:tooltip="Knowles, 1980 #114" w:history="1">
        <w:r w:rsidR="00BB0145">
          <w:rPr>
            <w:i/>
            <w:noProof/>
          </w:rPr>
          <w:t>Knowles, Stanhope &amp; Green 1980</w:t>
        </w:r>
      </w:hyperlink>
      <w:r w:rsidR="00674A5A">
        <w:rPr>
          <w:i/>
          <w:noProof/>
        </w:rPr>
        <w:t>)</w:t>
      </w:r>
      <w:r w:rsidR="00674A5A">
        <w:rPr>
          <w:i/>
        </w:rPr>
        <w:fldChar w:fldCharType="end"/>
      </w:r>
      <w:r w:rsidRPr="00FD1F48">
        <w:rPr>
          <w:i/>
        </w:rPr>
        <w:t xml:space="preserve">. CLL and myeloma patients with proven bronchiectasis and hypogammaglobulinaemia should be assessed for IVIG therapy. </w:t>
      </w:r>
      <w:r w:rsidRPr="00FD1F48">
        <w:rPr>
          <w:i/>
        </w:rPr>
        <w:lastRenderedPageBreak/>
        <w:t xml:space="preserve">Bronchiectasis has also been reported to develop in association with more acute haematological malignancies, perhaps as a consequence of severe lung infections and/or due to the affects of leukaemia or chemotherapy on host immunity </w:t>
      </w:r>
      <w:r w:rsidR="00674A5A">
        <w:rPr>
          <w:i/>
        </w:rPr>
        <w:fldChar w:fldCharType="begin"/>
      </w:r>
      <w:r w:rsidR="00674A5A">
        <w:rPr>
          <w:i/>
        </w:rPr>
        <w:instrText xml:space="preserve"> ADDIN EN.CITE &lt;EndNote&gt;&lt;Cite&gt;&lt;Author&gt;Kearney&lt;/Author&gt;&lt;Year&gt;1977&lt;/Year&gt;&lt;RecNum&gt;113&lt;/RecNum&gt;&lt;DisplayText&gt;(Kearney, Kershaw &amp;amp; Stevenson 1977)&lt;/DisplayText&gt;&lt;record&gt;&lt;rec-number&gt;113&lt;/rec-number&gt;&lt;foreign-keys&gt;&lt;key app="EN" db-id="z0vwsepdwpt20pewwts5z9eup9e2r2pd2tad" timestamp="1564368544"&gt;113&lt;/key&gt;&lt;/foreign-keys&gt;&lt;ref-type name="Journal Article"&gt;17&lt;/ref-type&gt;&lt;contributors&gt;&lt;authors&gt;&lt;author&gt;Kearney, P. J.&lt;/author&gt;&lt;author&gt;Kershaw, C. R.&lt;/author&gt;&lt;author&gt;Stevenson, P. A.&lt;/author&gt;&lt;/authors&gt;&lt;/contributors&gt;&lt;titles&gt;&lt;title&gt;Bronchiectasis in acute leukaemia&lt;/title&gt;&lt;secondary-title&gt;Br Med J&lt;/secondary-title&gt;&lt;/titles&gt;&lt;periodical&gt;&lt;full-title&gt;Br Med J&lt;/full-title&gt;&lt;/periodical&gt;&lt;pages&gt;857-9&lt;/pages&gt;&lt;volume&gt;2&lt;/volume&gt;&lt;number&gt;6091&lt;/number&gt;&lt;keywords&gt;&lt;keyword&gt;Bronchiectasis/diagnosis/drug therapy/*etiology&lt;/keyword&gt;&lt;keyword&gt;Child, Preschool&lt;/keyword&gt;&lt;keyword&gt;Drug Therapy, Combination&lt;/keyword&gt;&lt;keyword&gt;Female&lt;/keyword&gt;&lt;keyword&gt;Humans&lt;/keyword&gt;&lt;keyword&gt;Leukemia, Lymphoid/*complications/drug therapy&lt;/keyword&gt;&lt;keyword&gt;Male&lt;/keyword&gt;&lt;keyword&gt;Remission, Spontaneous&lt;/keyword&gt;&lt;keyword&gt;Respiratory Tract Infections/*complications&lt;/keyword&gt;&lt;/keywords&gt;&lt;dates&gt;&lt;year&gt;1977&lt;/year&gt;&lt;pub-dates&gt;&lt;date&gt;Oct 1&lt;/date&gt;&lt;/pub-dates&gt;&lt;/dates&gt;&lt;isbn&gt;0007-1447 (Print)&amp;#xD;0007-1447 (Linking)&lt;/isbn&gt;&lt;accession-num&gt;270386&lt;/accession-num&gt;&lt;urls&gt;&lt;related-urls&gt;&lt;url&gt;https://www.ncbi.nlm.nih.gov/pubmed/270386&lt;/url&gt;&lt;/related-urls&gt;&lt;/urls&gt;&lt;custom2&gt;1631684&lt;/custom2&gt;&lt;electronic-resource-num&gt;10.1136/bmj.2.6091.857&lt;/electronic-resource-num&gt;&lt;/record&gt;&lt;/Cite&gt;&lt;/EndNote&gt;</w:instrText>
      </w:r>
      <w:r w:rsidR="00674A5A">
        <w:rPr>
          <w:i/>
        </w:rPr>
        <w:fldChar w:fldCharType="separate"/>
      </w:r>
      <w:r w:rsidR="00674A5A">
        <w:rPr>
          <w:i/>
          <w:noProof/>
        </w:rPr>
        <w:t>(</w:t>
      </w:r>
      <w:hyperlink w:anchor="_ENREF_25" w:tooltip="Kearney, 1977 #113" w:history="1">
        <w:r w:rsidR="00BB0145">
          <w:rPr>
            <w:i/>
            <w:noProof/>
          </w:rPr>
          <w:t>Kearney, Kershaw &amp; Stevenson 1977</w:t>
        </w:r>
      </w:hyperlink>
      <w:r w:rsidR="00674A5A">
        <w:rPr>
          <w:i/>
          <w:noProof/>
        </w:rPr>
        <w:t>)</w:t>
      </w:r>
      <w:r w:rsidR="00674A5A">
        <w:rPr>
          <w:i/>
        </w:rPr>
        <w:fldChar w:fldCharType="end"/>
      </w:r>
      <w:r w:rsidRPr="00FD1F48">
        <w:rPr>
          <w:i/>
        </w:rPr>
        <w:t>. However, there are no precise data on the incidence and rate of progression of bronchiectasis in patients with haematological malignancies</w:t>
      </w:r>
      <w:r>
        <w:rPr>
          <w:i/>
        </w:rPr>
        <w:t>.</w:t>
      </w:r>
      <w:r>
        <w:t>”</w:t>
      </w:r>
      <w:r w:rsidR="00CF7406">
        <w:t xml:space="preserve"> (</w:t>
      </w:r>
      <w:r w:rsidR="00CF7406" w:rsidRPr="00CF7406">
        <w:t>Brown, Baxendale &amp; Floto 2011</w:t>
      </w:r>
      <w:r w:rsidR="00CF7406">
        <w:t>, p185)</w:t>
      </w:r>
    </w:p>
    <w:p w14:paraId="481A3EA1" w14:textId="7A885517" w:rsidR="00CE560E" w:rsidRDefault="00FD1F48" w:rsidP="00190B86">
      <w:r>
        <w:t>In post-HSCT:</w:t>
      </w:r>
    </w:p>
    <w:p w14:paraId="0BA60130" w14:textId="7E813161" w:rsidR="00FD1F48" w:rsidRPr="00FD1F48" w:rsidRDefault="00FD1F48" w:rsidP="00FD1F48">
      <w:pPr>
        <w:ind w:left="567"/>
        <w:rPr>
          <w:i/>
        </w:rPr>
      </w:pPr>
      <w:r w:rsidRPr="00FD1F48">
        <w:rPr>
          <w:i/>
        </w:rPr>
        <w:t xml:space="preserve">“Haematopoietic stem cell transplantation (HSCT) is associated with an increased incidence of respiratory infections and potentially prolonged defects in cellular and humoral immunity in survivors </w:t>
      </w:r>
      <w:r w:rsidR="00674A5A">
        <w:rPr>
          <w:i/>
        </w:rPr>
        <w:fldChar w:fldCharType="begin"/>
      </w:r>
      <w:r w:rsidR="00674A5A">
        <w:rPr>
          <w:i/>
        </w:rPr>
        <w:instrText xml:space="preserve"> ADDIN EN.CITE &lt;EndNote&gt;&lt;Cite&gt;&lt;Author&gt;Parkman&lt;/Author&gt;&lt;Year&gt;2008&lt;/Year&gt;&lt;RecNum&gt;116&lt;/RecNum&gt;&lt;DisplayText&gt;(Parkman 2008)&lt;/DisplayText&gt;&lt;record&gt;&lt;rec-number&gt;116&lt;/rec-number&gt;&lt;foreign-keys&gt;&lt;key app="EN" db-id="z0vwsepdwpt20pewwts5z9eup9e2r2pd2tad" timestamp="1564368767"&gt;116&lt;/key&gt;&lt;/foreign-keys&gt;&lt;ref-type name="Journal Article"&gt;17&lt;/ref-type&gt;&lt;contributors&gt;&lt;authors&gt;&lt;author&gt;Parkman, R.&lt;/author&gt;&lt;/authors&gt;&lt;/contributors&gt;&lt;auth-address&gt;Division of Research Immunology/Bone Marrow Transplantation, Childrens Hospital Los Angeles, Los Angeles, CA 90027, USA. rparkman@chla.usc.edu&lt;/auth-address&gt;&lt;titles&gt;&lt;title&gt;Antigen-specific immunity following hematopoietic stem cell transplantation&lt;/title&gt;&lt;secondary-title&gt;Blood Cells Mol Dis&lt;/secondary-title&gt;&lt;/titles&gt;&lt;periodical&gt;&lt;full-title&gt;Blood Cells Mol Dis&lt;/full-title&gt;&lt;/periodical&gt;&lt;pages&gt;91-3&lt;/pages&gt;&lt;volume&gt;40&lt;/volume&gt;&lt;number&gt;1&lt;/number&gt;&lt;keywords&gt;&lt;keyword&gt;Antigens/*immunology&lt;/keyword&gt;&lt;keyword&gt;*Hematopoietic Stem Cell Transplantation/methods&lt;/keyword&gt;&lt;keyword&gt;Histocompatibility&lt;/keyword&gt;&lt;keyword&gt;Humans&lt;/keyword&gt;&lt;keyword&gt;Immune System/physiology&lt;/keyword&gt;&lt;keyword&gt;*Immunity, Cellular&lt;/keyword&gt;&lt;keyword&gt;Lymphocyte Depletion&lt;/keyword&gt;&lt;keyword&gt;T-Cell Antigen Receptor Specificity/*immunology&lt;/keyword&gt;&lt;keyword&gt;Thymus Gland&lt;/keyword&gt;&lt;keyword&gt;Tissue Donors&lt;/keyword&gt;&lt;/keywords&gt;&lt;dates&gt;&lt;year&gt;2008&lt;/year&gt;&lt;pub-dates&gt;&lt;date&gt;Jan-Feb&lt;/date&gt;&lt;/pub-dates&gt;&lt;/dates&gt;&lt;isbn&gt;1079-9796 (Print)&amp;#xD;1079-9796 (Linking)&lt;/isbn&gt;&lt;accession-num&gt;17870618&lt;/accession-num&gt;&lt;urls&gt;&lt;related-urls&gt;&lt;url&gt;https://www.ncbi.nlm.nih.gov/pubmed/17870618&lt;/url&gt;&lt;/related-urls&gt;&lt;/urls&gt;&lt;electronic-resource-num&gt;10.1016/j.bcmd.2007.06.024&lt;/electronic-resource-num&gt;&lt;/record&gt;&lt;/Cite&gt;&lt;/EndNote&gt;</w:instrText>
      </w:r>
      <w:r w:rsidR="00674A5A">
        <w:rPr>
          <w:i/>
        </w:rPr>
        <w:fldChar w:fldCharType="separate"/>
      </w:r>
      <w:r w:rsidR="00674A5A">
        <w:rPr>
          <w:i/>
          <w:noProof/>
        </w:rPr>
        <w:t>(</w:t>
      </w:r>
      <w:hyperlink w:anchor="_ENREF_38" w:tooltip="Parkman, 2008 #116" w:history="1">
        <w:r w:rsidR="00BB0145">
          <w:rPr>
            <w:i/>
            <w:noProof/>
          </w:rPr>
          <w:t>Parkman 2008</w:t>
        </w:r>
      </w:hyperlink>
      <w:r w:rsidR="00674A5A">
        <w:rPr>
          <w:i/>
          <w:noProof/>
        </w:rPr>
        <w:t>)</w:t>
      </w:r>
      <w:r w:rsidR="00674A5A">
        <w:rPr>
          <w:i/>
        </w:rPr>
        <w:fldChar w:fldCharType="end"/>
      </w:r>
      <w:r w:rsidRPr="00FD1F48">
        <w:rPr>
          <w:i/>
        </w:rPr>
        <w:t xml:space="preserve">. These factors could predispose to bronchiectasis </w:t>
      </w:r>
      <w:r w:rsidR="00674A5A">
        <w:rPr>
          <w:i/>
        </w:rPr>
        <w:fldChar w:fldCharType="begin"/>
      </w:r>
      <w:r w:rsidR="00674A5A">
        <w:rPr>
          <w:i/>
        </w:rPr>
        <w:instrText xml:space="preserve"> ADDIN EN.CITE &lt;EndNote&gt;&lt;Cite&gt;&lt;Author&gt;Morehead&lt;/Author&gt;&lt;Year&gt;1997&lt;/Year&gt;&lt;RecNum&gt;117&lt;/RecNum&gt;&lt;DisplayText&gt;(Morehead 1997)&lt;/DisplayText&gt;&lt;record&gt;&lt;rec-number&gt;117&lt;/rec-number&gt;&lt;foreign-keys&gt;&lt;key app="EN" db-id="z0vwsepdwpt20pewwts5z9eup9e2r2pd2tad" timestamp="1564368808"&gt;117&lt;/key&gt;&lt;/foreign-keys&gt;&lt;ref-type name="Journal Article"&gt;17&lt;/ref-type&gt;&lt;contributors&gt;&lt;authors&gt;&lt;author&gt;Morehead, R. S.&lt;/author&gt;&lt;/authors&gt;&lt;/contributors&gt;&lt;auth-address&gt;Division of Pulmonary Medicine, Veterans Affairs Medical Center, Lexington, Kentucky, USA.&lt;/auth-address&gt;&lt;titles&gt;&lt;title&gt;Bronchiectasis in bone marrow transplantation&lt;/title&gt;&lt;secondary-title&gt;Thorax&lt;/secondary-title&gt;&lt;/titles&gt;&lt;periodical&gt;&lt;full-title&gt;Thorax&lt;/full-title&gt;&lt;/periodical&gt;&lt;pages&gt;392-3&lt;/pages&gt;&lt;volume&gt;52&lt;/volume&gt;&lt;number&gt;4&lt;/number&gt;&lt;keywords&gt;&lt;keyword&gt;Adult&lt;/keyword&gt;&lt;keyword&gt;Bone Marrow Transplantation/*adverse effects&lt;/keyword&gt;&lt;keyword&gt;Bronchiectasis/*complications/diagnostic imaging/physiopathology&lt;/keyword&gt;&lt;keyword&gt;Female&lt;/keyword&gt;&lt;keyword&gt;Graft vs Host Disease/*complications&lt;/keyword&gt;&lt;keyword&gt;Hematologic Neoplasms/therapy&lt;/keyword&gt;&lt;keyword&gt;Humans&lt;/keyword&gt;&lt;keyword&gt;Male&lt;/keyword&gt;&lt;keyword&gt;*Postoperative Complications&lt;/keyword&gt;&lt;keyword&gt;Tomography, X-Ray Computed&lt;/keyword&gt;&lt;/keywords&gt;&lt;dates&gt;&lt;year&gt;1997&lt;/year&gt;&lt;pub-dates&gt;&lt;date&gt;Apr&lt;/date&gt;&lt;/pub-dates&gt;&lt;/dates&gt;&lt;isbn&gt;0040-6376 (Print)&amp;#xD;0040-6376 (Linking)&lt;/isbn&gt;&lt;accession-num&gt;9196527&lt;/accession-num&gt;&lt;urls&gt;&lt;related-urls&gt;&lt;url&gt;https://www.ncbi.nlm.nih.gov/pubmed/9196527&lt;/url&gt;&lt;/related-urls&gt;&lt;/urls&gt;&lt;custom2&gt;1758537&lt;/custom2&gt;&lt;electronic-resource-num&gt;10.1136/thx.52.4.392&lt;/electronic-resource-num&gt;&lt;/record&gt;&lt;/Cite&gt;&lt;/EndNote&gt;</w:instrText>
      </w:r>
      <w:r w:rsidR="00674A5A">
        <w:rPr>
          <w:i/>
        </w:rPr>
        <w:fldChar w:fldCharType="separate"/>
      </w:r>
      <w:r w:rsidR="00674A5A">
        <w:rPr>
          <w:i/>
          <w:noProof/>
        </w:rPr>
        <w:t>(</w:t>
      </w:r>
      <w:hyperlink w:anchor="_ENREF_32" w:tooltip="Morehead, 1997 #117" w:history="1">
        <w:r w:rsidR="00BB0145">
          <w:rPr>
            <w:i/>
            <w:noProof/>
          </w:rPr>
          <w:t>Morehead 1997</w:t>
        </w:r>
      </w:hyperlink>
      <w:r w:rsidR="00674A5A">
        <w:rPr>
          <w:i/>
          <w:noProof/>
        </w:rPr>
        <w:t>)</w:t>
      </w:r>
      <w:r w:rsidR="00674A5A">
        <w:rPr>
          <w:i/>
        </w:rPr>
        <w:fldChar w:fldCharType="end"/>
      </w:r>
      <w:r w:rsidRPr="00FD1F48">
        <w:rPr>
          <w:i/>
        </w:rPr>
        <w:t xml:space="preserve"> and, in the authors’ experience, serial CT scans after allograft HSCT can demonstrate rapidly developing bronchiectasis over a period of weeks to months. In addition, up to 10% of HSCT allograft recipients will develop bronchiolitis obliterans (the main pulmonary manifestation of graft versus host disease) which precedes the appearance of diffuse bronchiectasis in </w:t>
      </w:r>
      <w:r w:rsidRPr="00FD1F48">
        <w:rPr>
          <w:rFonts w:asciiTheme="majorHAnsi" w:hAnsiTheme="majorHAnsi"/>
          <w:i/>
        </w:rPr>
        <w:t>~</w:t>
      </w:r>
      <w:r w:rsidRPr="00FD1F48">
        <w:rPr>
          <w:i/>
        </w:rPr>
        <w:t xml:space="preserve">40% of cases </w:t>
      </w:r>
      <w:r w:rsidR="00674A5A">
        <w:rPr>
          <w:i/>
        </w:rPr>
        <w:fldChar w:fldCharType="begin">
          <w:fldData xml:space="preserve">PEVuZE5vdGU+PENpdGU+PEF1dGhvcj5HdW5uPC9BdXRob3I+PFllYXI+MjAwODwvWWVhcj48UmVj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</w:fldData>
        </w:fldChar>
      </w:r>
      <w:r w:rsidR="00674A5A">
        <w:rPr>
          <w:i/>
        </w:rPr>
        <w:instrText xml:space="preserve"> ADDIN EN.CITE </w:instrText>
      </w:r>
      <w:r w:rsidR="00674A5A">
        <w:rPr>
          <w:i/>
        </w:rPr>
        <w:fldChar w:fldCharType="begin">
          <w:fldData xml:space="preserve">PEVuZE5vdGU+PENpdGU+PEF1dGhvcj5HdW5uPC9BdXRob3I+PFllYXI+MjAwODwvWWVhcj48UmVj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</w:fldData>
        </w:fldChar>
      </w:r>
      <w:r w:rsidR="00674A5A">
        <w:rPr>
          <w:i/>
        </w:rPr>
        <w:instrText xml:space="preserve"> ADDIN EN.CITE.DATA </w:instrText>
      </w:r>
      <w:r w:rsidR="00674A5A">
        <w:rPr>
          <w:i/>
        </w:rPr>
      </w:r>
      <w:r w:rsidR="00674A5A">
        <w:rPr>
          <w:i/>
        </w:rPr>
        <w:fldChar w:fldCharType="end"/>
      </w:r>
      <w:r w:rsidR="00674A5A">
        <w:rPr>
          <w:i/>
        </w:rPr>
      </w:r>
      <w:r w:rsidR="00674A5A">
        <w:rPr>
          <w:i/>
        </w:rPr>
        <w:fldChar w:fldCharType="separate"/>
      </w:r>
      <w:r w:rsidR="00674A5A">
        <w:rPr>
          <w:i/>
          <w:noProof/>
        </w:rPr>
        <w:t>(</w:t>
      </w:r>
      <w:hyperlink w:anchor="_ENREF_20" w:tooltip="Gunn, 2008 #118" w:history="1">
        <w:r w:rsidR="00BB0145">
          <w:rPr>
            <w:i/>
            <w:noProof/>
          </w:rPr>
          <w:t>Gunn et al. 2008</w:t>
        </w:r>
      </w:hyperlink>
      <w:r w:rsidR="00674A5A">
        <w:rPr>
          <w:i/>
          <w:noProof/>
        </w:rPr>
        <w:t xml:space="preserve">; </w:t>
      </w:r>
      <w:hyperlink w:anchor="_ENREF_51" w:tooltip="Tanawuttiwat, 2009 #119" w:history="1">
        <w:r w:rsidR="00BB0145">
          <w:rPr>
            <w:i/>
            <w:noProof/>
          </w:rPr>
          <w:t>Tanawuttiwat &amp; Harindhanavudhi 2009</w:t>
        </w:r>
      </w:hyperlink>
      <w:r w:rsidR="00674A5A">
        <w:rPr>
          <w:i/>
          <w:noProof/>
        </w:rPr>
        <w:t>)</w:t>
      </w:r>
      <w:r w:rsidR="00674A5A">
        <w:rPr>
          <w:i/>
        </w:rPr>
        <w:fldChar w:fldCharType="end"/>
      </w:r>
      <w:r w:rsidRPr="00FD1F48">
        <w:rPr>
          <w:i/>
        </w:rPr>
        <w:t xml:space="preserve">. Hence, although there are no precise prevalence data on bronchiectasis post-HSCT, it is probably a relatively common complication, especially in allograft recipients. Similarly, patients who develop bronchiolitis obliterans after lung </w:t>
      </w:r>
      <w:r w:rsidR="00414134" w:rsidRPr="00FD1F48">
        <w:rPr>
          <w:i/>
        </w:rPr>
        <w:t>transplantation</w:t>
      </w:r>
      <w:r w:rsidRPr="00FD1F48">
        <w:rPr>
          <w:i/>
        </w:rPr>
        <w:t xml:space="preserve"> may also have CT evidence of bronchiectasis </w:t>
      </w:r>
      <w:r w:rsidR="00674A5A">
        <w:rPr>
          <w:i/>
        </w:rPr>
        <w:fldChar w:fldCharType="begin"/>
      </w:r>
      <w:r w:rsidR="00674A5A">
        <w:rPr>
          <w:i/>
        </w:rPr>
        <w:instrText xml:space="preserve"> ADDIN EN.CITE &lt;EndNote&gt;&lt;Cite&gt;&lt;Author&gt;de Jong&lt;/Author&gt;&lt;Year&gt;2006&lt;/Year&gt;&lt;RecNum&gt;120&lt;/RecNum&gt;&lt;DisplayText&gt;(de Jong et al. 2006)&lt;/DisplayText&gt;&lt;record&gt;&lt;rec-number&gt;120&lt;/rec-number&gt;&lt;foreign-keys&gt;&lt;key app="EN" db-id="z0vwsepdwpt20pewwts5z9eup9e2r2pd2tad" timestamp="1564368892"&gt;120&lt;/key&gt;&lt;/foreign-keys&gt;&lt;ref-type name="Journal Article"&gt;17&lt;/ref-type&gt;&lt;contributors&gt;&lt;authors&gt;&lt;author&gt;de Jong, P. A.&lt;/author&gt;&lt;author&gt;Dodd, J. D.&lt;/author&gt;&lt;author&gt;Coxson, H. O.&lt;/author&gt;&lt;author&gt;Storness-Bliss, C.&lt;/author&gt;&lt;author&gt;Pare, P. D.&lt;/author&gt;&lt;author&gt;Mayo, J. R.&lt;/author&gt;&lt;author&gt;Levy, R. D.&lt;/author&gt;&lt;/authors&gt;&lt;/contributors&gt;&lt;auth-address&gt;Department of Medicine, University of British Columbia, Vancouver, BC, Canada.&lt;/auth-address&gt;&lt;titles&gt;&lt;title&gt;Bronchiolitis obliterans following lung transplantation: early detection using computed tomographic scanning&lt;/title&gt;&lt;secondary-title&gt;Thorax&lt;/secondary-title&gt;&lt;/titles&gt;&lt;periodical&gt;&lt;full-title&gt;Thorax&lt;/full-title&gt;&lt;/periodical&gt;&lt;pages&gt;799-804&lt;/pages&gt;&lt;volume&gt;61&lt;/volume&gt;&lt;number&gt;9&lt;/number&gt;&lt;keywords&gt;&lt;keyword&gt;Adolescent&lt;/keyword&gt;&lt;keyword&gt;Adult&lt;/keyword&gt;&lt;keyword&gt;Bronchiolitis Obliterans/*diagnostic imaging&lt;/keyword&gt;&lt;keyword&gt;Early Diagnosis&lt;/keyword&gt;&lt;keyword&gt;Humans&lt;/keyword&gt;&lt;keyword&gt;*Lung Transplantation&lt;/keyword&gt;&lt;keyword&gt;Middle Aged&lt;/keyword&gt;&lt;keyword&gt;Observer Variation&lt;/keyword&gt;&lt;keyword&gt;Postoperative Complications/*diagnostic imaging&lt;/keyword&gt;&lt;keyword&gt;Tomography, X-Ray Computed/*methods&lt;/keyword&gt;&lt;/keywords&gt;&lt;dates&gt;&lt;year&gt;2006&lt;/year&gt;&lt;pub-dates&gt;&lt;date&gt;Sep&lt;/date&gt;&lt;/pub-dates&gt;&lt;/dates&gt;&lt;isbn&gt;0040-6376 (Print)&amp;#xD;0040-6376 (Linking)&lt;/isbn&gt;&lt;accession-num&gt;16670170&lt;/accession-num&gt;&lt;urls&gt;&lt;related-urls&gt;&lt;url&gt;https://www.ncbi.nlm.nih.gov/pubmed/16670170&lt;/url&gt;&lt;/related-urls&gt;&lt;/urls&gt;&lt;custom2&gt;2117084&lt;/custom2&gt;&lt;electronic-resource-num&gt;10.1136/thx.2005.053249&lt;/electronic-resource-num&gt;&lt;/record&gt;&lt;/Cite&gt;&lt;/EndNote&gt;</w:instrText>
      </w:r>
      <w:r w:rsidR="00674A5A">
        <w:rPr>
          <w:i/>
        </w:rPr>
        <w:fldChar w:fldCharType="separate"/>
      </w:r>
      <w:r w:rsidR="00674A5A">
        <w:rPr>
          <w:i/>
          <w:noProof/>
        </w:rPr>
        <w:t>(</w:t>
      </w:r>
      <w:hyperlink w:anchor="_ENREF_14" w:tooltip="de Jong, 2006 #120" w:history="1">
        <w:r w:rsidR="00BB0145">
          <w:rPr>
            <w:i/>
            <w:noProof/>
          </w:rPr>
          <w:t>de Jong et al. 2006</w:t>
        </w:r>
      </w:hyperlink>
      <w:r w:rsidR="00674A5A">
        <w:rPr>
          <w:i/>
          <w:noProof/>
        </w:rPr>
        <w:t>)</w:t>
      </w:r>
      <w:r w:rsidR="00674A5A">
        <w:rPr>
          <w:i/>
        </w:rPr>
        <w:fldChar w:fldCharType="end"/>
      </w:r>
      <w:r w:rsidRPr="00FD1F48">
        <w:rPr>
          <w:i/>
        </w:rPr>
        <w:t xml:space="preserve">, and there are case reports of bronchiectasis developing after transplantation of other solid organs </w:t>
      </w:r>
      <w:r w:rsidR="00674A5A">
        <w:rPr>
          <w:i/>
        </w:rPr>
        <w:fldChar w:fldCharType="begin"/>
      </w:r>
      <w:r w:rsidR="00674A5A">
        <w:rPr>
          <w:i/>
        </w:rPr>
        <w:instrText xml:space="preserve"> ADDIN EN.CITE &lt;EndNote&gt;&lt;Cite&gt;&lt;Author&gt;Pijnenburg&lt;/Author&gt;&lt;Year&gt;2004&lt;/Year&gt;&lt;RecNum&gt;121&lt;/RecNum&gt;&lt;DisplayText&gt;(Pijnenburg et al. 2004)&lt;/DisplayText&gt;&lt;record&gt;&lt;rec-number&gt;121&lt;/rec-number&gt;&lt;foreign-keys&gt;&lt;key app="EN" db-id="z0vwsepdwpt20pewwts5z9eup9e2r2pd2tad" timestamp="1564368912"&gt;121&lt;/key&gt;&lt;/foreign-keys&gt;&lt;ref-type name="Journal Article"&gt;17&lt;/ref-type&gt;&lt;contributors&gt;&lt;authors&gt;&lt;author&gt;Pijnenburg, M. W.&lt;/author&gt;&lt;author&gt;Cransberg, K.&lt;/author&gt;&lt;author&gt;Wolff, E.&lt;/author&gt;&lt;author&gt;Bouquet, J.&lt;/author&gt;&lt;author&gt;Merkus, P. J.&lt;/author&gt;&lt;/authors&gt;&lt;/contributors&gt;&lt;auth-address&gt;Department of Pediatrics, Division of Respiratory Medicine, Erasmus Medical Center/Sophia Children&amp;apos;s Hospital, PO Box 2060, 3000 CB Rotterdam, The Netherlands. m.pijnenburg@erasmusmc.nl&lt;/auth-address&gt;&lt;titles&gt;&lt;title&gt;Bronchiectasis in children after renal or liver transplantation: a report of five cases&lt;/title&gt;&lt;secondary-title&gt;Pediatr Transplant&lt;/secondary-title&gt;&lt;/titles&gt;&lt;periodical&gt;&lt;full-title&gt;Pediatr Transplant&lt;/full-title&gt;&lt;/periodical&gt;&lt;pages&gt;71-4&lt;/pages&gt;&lt;volume&gt;8&lt;/volume&gt;&lt;number&gt;1&lt;/number&gt;&lt;keywords&gt;&lt;keyword&gt;Adolescent&lt;/keyword&gt;&lt;keyword&gt;Bronchiectasis/*chemically induced/physiopathology&lt;/keyword&gt;&lt;keyword&gt;Child&lt;/keyword&gt;&lt;keyword&gt;Female&lt;/keyword&gt;&lt;keyword&gt;Humans&lt;/keyword&gt;&lt;keyword&gt;Immunosuppressive Agents/*adverse effects/therapeutic use&lt;/keyword&gt;&lt;keyword&gt;*Kidney Transplantation&lt;/keyword&gt;&lt;keyword&gt;*Liver Transplantation&lt;/keyword&gt;&lt;keyword&gt;Male&lt;/keyword&gt;&lt;keyword&gt;Respiratory Function Tests&lt;/keyword&gt;&lt;/keywords&gt;&lt;dates&gt;&lt;year&gt;2004&lt;/year&gt;&lt;pub-dates&gt;&lt;date&gt;Feb&lt;/date&gt;&lt;/pub-dates&gt;&lt;/dates&gt;&lt;isbn&gt;1397-3142 (Print)&amp;#xD;1397-3142 (Linking)&lt;/isbn&gt;&lt;accession-num&gt;15009844&lt;/accession-num&gt;&lt;urls&gt;&lt;related-urls&gt;&lt;url&gt;https://www.ncbi.nlm.nih.gov/pubmed/15009844&lt;/url&gt;&lt;/related-urls&gt;&lt;/urls&gt;&lt;electronic-resource-num&gt;10.1046/j.1397-3142.2003.00130.x&lt;/electronic-resource-num&gt;&lt;/record&gt;&lt;/Cite&gt;&lt;/EndNote&gt;</w:instrText>
      </w:r>
      <w:r w:rsidR="00674A5A">
        <w:rPr>
          <w:i/>
        </w:rPr>
        <w:fldChar w:fldCharType="separate"/>
      </w:r>
      <w:r w:rsidR="00674A5A">
        <w:rPr>
          <w:i/>
          <w:noProof/>
        </w:rPr>
        <w:t>(</w:t>
      </w:r>
      <w:hyperlink w:anchor="_ENREF_40" w:tooltip="Pijnenburg, 2004 #121" w:history="1">
        <w:r w:rsidR="00BB0145">
          <w:rPr>
            <w:i/>
            <w:noProof/>
          </w:rPr>
          <w:t>Pijnenburg et al. 2004</w:t>
        </w:r>
      </w:hyperlink>
      <w:r w:rsidR="00674A5A">
        <w:rPr>
          <w:i/>
          <w:noProof/>
        </w:rPr>
        <w:t>)</w:t>
      </w:r>
      <w:r w:rsidR="00674A5A">
        <w:rPr>
          <w:i/>
        </w:rPr>
        <w:fldChar w:fldCharType="end"/>
      </w:r>
      <w:r w:rsidRPr="00FD1F48">
        <w:rPr>
          <w:i/>
        </w:rPr>
        <w:t>, presumably because of damage caused by intercurrent pneumonias and/or impaired pulmonary immunity due to prolonged immunosuppressive therapy.”</w:t>
      </w:r>
      <w:r w:rsidR="005026B5">
        <w:rPr>
          <w:i/>
        </w:rPr>
        <w:t xml:space="preserve"> </w:t>
      </w:r>
      <w:r w:rsidR="00CF7406" w:rsidRPr="00CF7406">
        <w:t>(Brown, Baxendale &amp; Floto 2011</w:t>
      </w:r>
      <w:r w:rsidR="00CF7406">
        <w:t>, p185</w:t>
      </w:r>
      <w:r w:rsidR="00CF7406" w:rsidRPr="00CF7406">
        <w:t>)</w:t>
      </w:r>
    </w:p>
    <w:p w14:paraId="14117A0B" w14:textId="69BB1579" w:rsidR="00BE2B99" w:rsidRDefault="00B84260" w:rsidP="00190B86">
      <w:r>
        <w:t xml:space="preserve">While these </w:t>
      </w:r>
      <w:r w:rsidR="00FD1F48">
        <w:t xml:space="preserve">data </w:t>
      </w:r>
      <w:r>
        <w:t>cannot enable</w:t>
      </w:r>
      <w:r w:rsidR="00FD1F48">
        <w:t xml:space="preserve"> an estimate of the incidence of bronchiectasis in acquired </w:t>
      </w:r>
      <w:r w:rsidR="00414134">
        <w:t>hypogammaglobulinaemia</w:t>
      </w:r>
      <w:r>
        <w:t xml:space="preserve">, </w:t>
      </w:r>
      <w:r w:rsidR="00BD480C">
        <w:t xml:space="preserve">they support the premise that </w:t>
      </w:r>
      <w:r>
        <w:t xml:space="preserve">reducing recurrent infections due to the use of Ig may reduce the development of bronchiectasis. Furthermore, modelling the development of bronchiectasis is consistent with a recent Australian economic evaluation that compared SCIg to IVIg in this population </w:t>
      </w:r>
      <w:r>
        <w:fldChar w:fldCharType="begin"/>
      </w:r>
      <w:r>
        <w:instrText xml:space="preserve"> ADDIN EN.CITE &lt;EndNote&gt;&lt;Cite&gt;&lt;Author&gt;Windegger&lt;/Author&gt;&lt;Year&gt;2019&lt;/Year&gt;&lt;RecNum&gt;55&lt;/RecNum&gt;&lt;DisplayText&gt;(Windegger et al. 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Windegger et al. 2019</w:t>
        </w:r>
      </w:hyperlink>
      <w:r>
        <w:rPr>
          <w:noProof/>
        </w:rPr>
        <w:t>)</w:t>
      </w:r>
      <w:r>
        <w:fldChar w:fldCharType="end"/>
      </w:r>
      <w:r>
        <w:t xml:space="preserve"> (see also Section D.3). As described in Section D.3, the model structure will include health states associated with bronchiectasis in the base case analysis, however the inclusion of these health states are tested in a sensitivity analysis.</w:t>
      </w:r>
      <w:r w:rsidR="007E0BDC">
        <w:t xml:space="preserve"> </w:t>
      </w:r>
    </w:p>
    <w:p w14:paraId="791BE8DB" w14:textId="77777777" w:rsidR="00FD1F48" w:rsidRDefault="00FD1F48" w:rsidP="00190B86"/>
    <w:p w14:paraId="4A5AC2A3" w14:textId="10D09161" w:rsidR="00F6556E" w:rsidRPr="00F6556E" w:rsidRDefault="00F6556E" w:rsidP="00F6556E">
      <w:pPr>
        <w:pStyle w:val="Heading2"/>
        <w:numPr>
          <w:ilvl w:val="2"/>
          <w:numId w:val="11"/>
        </w:numPr>
        <w:jc w:val="left"/>
      </w:pPr>
      <w:bookmarkStart w:id="401" w:name="_Toc16856328"/>
      <w:r>
        <w:t>Transformation issues</w:t>
      </w:r>
      <w:bookmarkEnd w:id="401"/>
    </w:p>
    <w:p w14:paraId="7AF07E73" w14:textId="1C8FF6B1" w:rsidR="00F6556E" w:rsidRDefault="00F6556E" w:rsidP="00F6556E">
      <w:pPr>
        <w:pStyle w:val="Heading3"/>
      </w:pPr>
      <w:bookmarkStart w:id="402" w:name="_Toc16856329"/>
      <w:r>
        <w:rPr>
          <w:sz w:val="22"/>
        </w:rPr>
        <w:t>C.4</w:t>
      </w:r>
      <w:r w:rsidRPr="00002FB0">
        <w:rPr>
          <w:sz w:val="22"/>
        </w:rPr>
        <w:t>.1</w:t>
      </w:r>
      <w:r>
        <w:rPr>
          <w:sz w:val="22"/>
        </w:rPr>
        <w:t>.</w:t>
      </w:r>
      <w:r w:rsidR="00182F26">
        <w:tab/>
      </w:r>
      <w:r w:rsidR="00182F26">
        <w:tab/>
        <w:t>Transformation of outcomes into a common, patient-relevant outcome</w:t>
      </w:r>
      <w:bookmarkEnd w:id="402"/>
    </w:p>
    <w:p w14:paraId="03F923E4" w14:textId="60F49B51" w:rsidR="00F6556E" w:rsidRDefault="00F6556E" w:rsidP="00F6556E">
      <w:r>
        <w:t>A transformation pre-</w:t>
      </w:r>
      <w:r w:rsidR="00414134">
        <w:t>modelling</w:t>
      </w:r>
      <w:r>
        <w:t xml:space="preserve"> study is conducted </w:t>
      </w:r>
      <w:r w:rsidR="00312B95">
        <w:t xml:space="preserve">which aims to transform both </w:t>
      </w:r>
      <w:r>
        <w:t xml:space="preserve">the benefits (i.e. a reduction in infections) </w:t>
      </w:r>
      <w:r w:rsidR="00312B95">
        <w:t>and</w:t>
      </w:r>
      <w:r>
        <w:t xml:space="preserve"> any harms associated with Ig treatment</w:t>
      </w:r>
      <w:r w:rsidR="00312B95">
        <w:t xml:space="preserve"> into a common measure to </w:t>
      </w:r>
      <w:r w:rsidR="00312B95">
        <w:lastRenderedPageBreak/>
        <w:t xml:space="preserve">allow these opposing effects to be traded-off in the economic </w:t>
      </w:r>
      <w:r w:rsidR="00414134">
        <w:t>evaluation</w:t>
      </w:r>
      <w:r>
        <w:t>.</w:t>
      </w:r>
      <w:r w:rsidR="00312B95">
        <w:t xml:space="preserve"> </w:t>
      </w:r>
      <w:r w:rsidR="009C750B">
        <w:t>Q</w:t>
      </w:r>
      <w:r w:rsidR="00312B95">
        <w:t xml:space="preserve">uality-adjusted life years (QALYs) </w:t>
      </w:r>
      <w:r w:rsidR="009C750B">
        <w:t>are</w:t>
      </w:r>
      <w:r w:rsidR="00312B95">
        <w:t xml:space="preserve"> considered to be </w:t>
      </w:r>
      <w:r w:rsidR="009C750B">
        <w:t xml:space="preserve">an </w:t>
      </w:r>
      <w:r w:rsidR="00312B95">
        <w:t>appropriate</w:t>
      </w:r>
      <w:r w:rsidR="009C750B">
        <w:t xml:space="preserve"> measure for transformation</w:t>
      </w:r>
      <w:r w:rsidR="00312B95">
        <w:t>.</w:t>
      </w:r>
    </w:p>
    <w:p w14:paraId="3BD92FF2" w14:textId="3A9ABD9C" w:rsidR="00F6556E" w:rsidRDefault="00F6556E" w:rsidP="00F6556E">
      <w:r>
        <w:t>A review of the economic literature was conducted</w:t>
      </w:r>
      <w:r w:rsidR="00312B95">
        <w:t xml:space="preserve"> (see</w:t>
      </w:r>
      <w:r>
        <w:t xml:space="preserve"> Section D.3</w:t>
      </w:r>
      <w:r w:rsidR="00312B95">
        <w:t>)</w:t>
      </w:r>
      <w:r>
        <w:t xml:space="preserve"> and two relevant cost-utility analyses were identified </w:t>
      </w:r>
      <w:r>
        <w:fldChar w:fldCharType="begin">
          <w:fldData xml:space="preserve">PEVuZE5vdGU+PENpdGU+PEF1dGhvcj5XZWVrczwvQXV0aG9yPjxZZWFyPjE5OTE8L1llYXI+PFJl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</w:fldData>
        </w:fldChar>
      </w:r>
      <w:r>
        <w:instrText xml:space="preserve"> ADDIN EN.CITE </w:instrText>
      </w:r>
      <w:r>
        <w:fldChar w:fldCharType="begin">
          <w:fldData xml:space="preserve">PEVuZE5vdGU+PENpdGU+PEF1dGhvcj5XZWVrczwvQXV0aG9yPjxZZWFyPjE5OTE8L1llYXI+PFJl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</w:fldData>
        </w:fldChar>
      </w:r>
      <w:r>
        <w:instrText xml:space="preserve"> ADDIN EN.CITE.DATA </w:instrText>
      </w:r>
      <w:r>
        <w:fldChar w:fldCharType="end"/>
      </w:r>
      <w:r>
        <w:fldChar w:fldCharType="separate"/>
      </w:r>
      <w:r>
        <w:rPr>
          <w:noProof/>
        </w:rPr>
        <w:t>(</w:t>
      </w:r>
      <w:hyperlink w:anchor="_ENREF_56" w:tooltip="Weeks, 1991 #35" w:history="1">
        <w:r w:rsidR="00BB0145">
          <w:rPr>
            <w:noProof/>
          </w:rPr>
          <w:t>Weeks, Tierney &amp; Weinstein 1991</w:t>
        </w:r>
      </w:hyperlink>
      <w:r>
        <w:rPr>
          <w:noProof/>
        </w:rPr>
        <w:t xml:space="preserve">; </w:t>
      </w:r>
      <w:hyperlink w:anchor="_ENREF_57" w:tooltip="Windegger, 2019 #55" w:history="1">
        <w:r w:rsidR="00BB0145">
          <w:rPr>
            <w:noProof/>
          </w:rPr>
          <w:t>Windegger et al. 2019</w:t>
        </w:r>
      </w:hyperlink>
      <w:r>
        <w:rPr>
          <w:noProof/>
        </w:rPr>
        <w:t>)</w:t>
      </w:r>
      <w:r>
        <w:fldChar w:fldCharType="end"/>
      </w:r>
      <w:r>
        <w:t>. The utility weights used in these studies are reported in</w:t>
      </w:r>
      <w:r w:rsidR="00190B86">
        <w:t xml:space="preserve"> </w:t>
      </w:r>
      <w:r w:rsidR="00190B86">
        <w:fldChar w:fldCharType="begin"/>
      </w:r>
      <w:r w:rsidR="00190B86">
        <w:instrText xml:space="preserve"> REF _Ref14963754 \h </w:instrText>
      </w:r>
      <w:r w:rsidR="00190B86">
        <w:fldChar w:fldCharType="separate"/>
      </w:r>
      <w:r w:rsidR="00A7463B">
        <w:t xml:space="preserve">Table </w:t>
      </w:r>
      <w:r w:rsidR="00A7463B">
        <w:rPr>
          <w:noProof/>
        </w:rPr>
        <w:t>33</w:t>
      </w:r>
      <w:r w:rsidR="00190B86">
        <w:fldChar w:fldCharType="end"/>
      </w:r>
      <w:r>
        <w:t>.</w:t>
      </w:r>
    </w:p>
    <w:p w14:paraId="16113D92" w14:textId="4D048610" w:rsidR="00F6556E" w:rsidRDefault="00F6556E" w:rsidP="00F6556E">
      <w:pPr>
        <w:pStyle w:val="Caption"/>
        <w:keepNext/>
      </w:pPr>
      <w:bookmarkStart w:id="403" w:name="_Ref14963754"/>
      <w:bookmarkStart w:id="404" w:name="_Toc16671631"/>
      <w:r>
        <w:t xml:space="preserve">Table </w:t>
      </w:r>
      <w:r>
        <w:rPr>
          <w:noProof/>
        </w:rPr>
        <w:fldChar w:fldCharType="begin"/>
      </w:r>
      <w:r>
        <w:rPr>
          <w:noProof/>
        </w:rPr>
        <w:instrText xml:space="preserve"> SEQ Table \* ARABIC </w:instrText>
      </w:r>
      <w:r>
        <w:rPr>
          <w:noProof/>
        </w:rPr>
        <w:fldChar w:fldCharType="separate"/>
      </w:r>
      <w:r w:rsidR="00A7463B">
        <w:rPr>
          <w:noProof/>
        </w:rPr>
        <w:t>33</w:t>
      </w:r>
      <w:r>
        <w:rPr>
          <w:noProof/>
        </w:rPr>
        <w:fldChar w:fldCharType="end"/>
      </w:r>
      <w:bookmarkEnd w:id="403"/>
      <w:r>
        <w:tab/>
        <w:t>Utility weights used in the relevant economic literature</w:t>
      </w:r>
      <w:bookmarkEnd w:id="404"/>
    </w:p>
    <w:tbl>
      <w:tblPr>
        <w:tblStyle w:val="TableGrid"/>
        <w:tblW w:w="0" w:type="auto"/>
        <w:tblLook w:val="04A0" w:firstRow="1" w:lastRow="0" w:firstColumn="1" w:lastColumn="0" w:noHBand="0" w:noVBand="1"/>
        <w:tblCaption w:val="Utility weights used in the relevant economic literature"/>
      </w:tblPr>
      <w:tblGrid>
        <w:gridCol w:w="5524"/>
        <w:gridCol w:w="3492"/>
      </w:tblGrid>
      <w:tr w:rsidR="00F6556E" w:rsidRPr="000018EC" w14:paraId="21A68A0B" w14:textId="77777777" w:rsidTr="00312B95">
        <w:trPr>
          <w:cantSplit/>
          <w:tblHeader/>
        </w:trPr>
        <w:tc>
          <w:tcPr>
            <w:tcW w:w="5524" w:type="dxa"/>
            <w:tcBorders>
              <w:bottom w:val="single" w:sz="4" w:space="0" w:color="auto"/>
              <w:right w:val="single" w:sz="4" w:space="0" w:color="auto"/>
            </w:tcBorders>
          </w:tcPr>
          <w:p w14:paraId="2E73B7AC" w14:textId="77777777" w:rsidR="00F6556E" w:rsidRPr="000018EC" w:rsidRDefault="00F6556E" w:rsidP="00312B95">
            <w:pPr>
              <w:pStyle w:val="TableHeading"/>
            </w:pPr>
            <w:r>
              <w:t>Health state</w:t>
            </w:r>
          </w:p>
        </w:tc>
        <w:tc>
          <w:tcPr>
            <w:tcW w:w="3492" w:type="dxa"/>
            <w:tcBorders>
              <w:left w:val="single" w:sz="4" w:space="0" w:color="auto"/>
              <w:bottom w:val="single" w:sz="4" w:space="0" w:color="auto"/>
            </w:tcBorders>
          </w:tcPr>
          <w:p w14:paraId="285A0CB7" w14:textId="77777777" w:rsidR="00F6556E" w:rsidRPr="000018EC" w:rsidRDefault="00F6556E" w:rsidP="00312B95">
            <w:pPr>
              <w:pStyle w:val="TableHeading"/>
              <w:jc w:val="center"/>
            </w:pPr>
            <w:r>
              <w:t>Value</w:t>
            </w:r>
          </w:p>
        </w:tc>
      </w:tr>
      <w:tr w:rsidR="00F6556E" w:rsidRPr="000018EC" w14:paraId="223EF582" w14:textId="77777777" w:rsidTr="00312B95">
        <w:trPr>
          <w:cantSplit/>
        </w:trPr>
        <w:tc>
          <w:tcPr>
            <w:tcW w:w="5524" w:type="dxa"/>
            <w:tcBorders>
              <w:bottom w:val="single" w:sz="4" w:space="0" w:color="auto"/>
              <w:right w:val="nil"/>
            </w:tcBorders>
          </w:tcPr>
          <w:p w14:paraId="0D0A9F5E" w14:textId="77777777" w:rsidR="00F6556E" w:rsidRPr="000018EC" w:rsidRDefault="00F6556E" w:rsidP="00312B95">
            <w:pPr>
              <w:pStyle w:val="TableHeading"/>
            </w:pPr>
            <w:r w:rsidRPr="000018EC">
              <w:t>Windegger et al. (2019)</w:t>
            </w:r>
          </w:p>
        </w:tc>
        <w:tc>
          <w:tcPr>
            <w:tcW w:w="3492" w:type="dxa"/>
            <w:tcBorders>
              <w:left w:val="nil"/>
              <w:bottom w:val="single" w:sz="4" w:space="0" w:color="auto"/>
            </w:tcBorders>
          </w:tcPr>
          <w:p w14:paraId="6B9084AE" w14:textId="77777777" w:rsidR="00F6556E" w:rsidRPr="000018EC" w:rsidRDefault="00F6556E" w:rsidP="00312B95">
            <w:pPr>
              <w:pStyle w:val="TableHeading"/>
              <w:jc w:val="center"/>
            </w:pPr>
            <w:r w:rsidRPr="000018EC">
              <w:t>Utility weight (95% CI)</w:t>
            </w:r>
          </w:p>
        </w:tc>
      </w:tr>
      <w:tr w:rsidR="00F6556E" w:rsidRPr="000018EC" w14:paraId="3F525036" w14:textId="77777777" w:rsidTr="00312B95">
        <w:trPr>
          <w:cantSplit/>
        </w:trPr>
        <w:tc>
          <w:tcPr>
            <w:tcW w:w="5524" w:type="dxa"/>
            <w:tcBorders>
              <w:bottom w:val="nil"/>
            </w:tcBorders>
          </w:tcPr>
          <w:p w14:paraId="645D3E16" w14:textId="77777777" w:rsidR="00F6556E" w:rsidRPr="000018EC" w:rsidRDefault="00F6556E" w:rsidP="00312B95">
            <w:pPr>
              <w:pStyle w:val="Tabletext1"/>
            </w:pPr>
            <w:r w:rsidRPr="000018EC">
              <w:t>Utility of infection-free</w:t>
            </w:r>
          </w:p>
        </w:tc>
        <w:tc>
          <w:tcPr>
            <w:tcW w:w="3492" w:type="dxa"/>
            <w:tcBorders>
              <w:bottom w:val="nil"/>
            </w:tcBorders>
          </w:tcPr>
          <w:p w14:paraId="6823C53B" w14:textId="77777777" w:rsidR="00F6556E" w:rsidRPr="000018EC" w:rsidRDefault="00F6556E" w:rsidP="00312B95">
            <w:pPr>
              <w:pStyle w:val="Tabletext1"/>
              <w:jc w:val="center"/>
            </w:pPr>
            <w:r>
              <w:t>0.71</w:t>
            </w:r>
            <w:r w:rsidRPr="000018EC">
              <w:t xml:space="preserve"> (0.67, 0.75)</w:t>
            </w:r>
          </w:p>
        </w:tc>
      </w:tr>
      <w:tr w:rsidR="00F6556E" w:rsidRPr="000018EC" w14:paraId="23B37CAF" w14:textId="77777777" w:rsidTr="00312B95">
        <w:trPr>
          <w:cantSplit/>
        </w:trPr>
        <w:tc>
          <w:tcPr>
            <w:tcW w:w="5524" w:type="dxa"/>
            <w:tcBorders>
              <w:top w:val="nil"/>
              <w:bottom w:val="nil"/>
            </w:tcBorders>
          </w:tcPr>
          <w:p w14:paraId="53DBF10C" w14:textId="77777777" w:rsidR="00F6556E" w:rsidRPr="000018EC" w:rsidRDefault="00F6556E" w:rsidP="00312B95">
            <w:pPr>
              <w:pStyle w:val="Tabletext1"/>
            </w:pPr>
            <w:r w:rsidRPr="000018EC">
              <w:t>Utility of infection</w:t>
            </w:r>
          </w:p>
        </w:tc>
        <w:tc>
          <w:tcPr>
            <w:tcW w:w="3492" w:type="dxa"/>
            <w:tcBorders>
              <w:top w:val="nil"/>
              <w:bottom w:val="nil"/>
            </w:tcBorders>
          </w:tcPr>
          <w:p w14:paraId="37BB3380" w14:textId="77777777" w:rsidR="00F6556E" w:rsidRPr="000018EC" w:rsidRDefault="00F6556E" w:rsidP="00312B95">
            <w:pPr>
              <w:pStyle w:val="Tabletext1"/>
              <w:jc w:val="center"/>
            </w:pPr>
            <w:r>
              <w:t>0.70</w:t>
            </w:r>
            <w:r w:rsidRPr="000018EC">
              <w:t xml:space="preserve"> (0.63, 0.76)</w:t>
            </w:r>
          </w:p>
        </w:tc>
      </w:tr>
      <w:tr w:rsidR="00F6556E" w:rsidRPr="000018EC" w14:paraId="5425FDCF" w14:textId="77777777" w:rsidTr="00312B95">
        <w:trPr>
          <w:cantSplit/>
        </w:trPr>
        <w:tc>
          <w:tcPr>
            <w:tcW w:w="5524" w:type="dxa"/>
            <w:tcBorders>
              <w:top w:val="nil"/>
              <w:bottom w:val="nil"/>
            </w:tcBorders>
          </w:tcPr>
          <w:p w14:paraId="37C30E7B" w14:textId="77777777" w:rsidR="00F6556E" w:rsidRPr="000018EC" w:rsidRDefault="00F6556E" w:rsidP="00312B95">
            <w:pPr>
              <w:pStyle w:val="Tabletext1"/>
            </w:pPr>
            <w:r w:rsidRPr="000018EC">
              <w:t>Utility of Bronchiectasis</w:t>
            </w:r>
          </w:p>
        </w:tc>
        <w:tc>
          <w:tcPr>
            <w:tcW w:w="3492" w:type="dxa"/>
            <w:tcBorders>
              <w:top w:val="nil"/>
              <w:bottom w:val="nil"/>
            </w:tcBorders>
          </w:tcPr>
          <w:p w14:paraId="510F5468" w14:textId="77777777" w:rsidR="00F6556E" w:rsidRPr="000018EC" w:rsidRDefault="00F6556E" w:rsidP="00312B95">
            <w:pPr>
              <w:pStyle w:val="Tabletext1"/>
              <w:jc w:val="center"/>
            </w:pPr>
            <w:r>
              <w:t>0.64</w:t>
            </w:r>
            <w:r w:rsidRPr="000018EC">
              <w:t xml:space="preserve"> (0.55, 0.72)</w:t>
            </w:r>
          </w:p>
        </w:tc>
      </w:tr>
      <w:tr w:rsidR="00F6556E" w:rsidRPr="000018EC" w14:paraId="21D6D149" w14:textId="77777777" w:rsidTr="00312B95">
        <w:trPr>
          <w:cantSplit/>
        </w:trPr>
        <w:tc>
          <w:tcPr>
            <w:tcW w:w="5524" w:type="dxa"/>
            <w:tcBorders>
              <w:top w:val="nil"/>
              <w:bottom w:val="nil"/>
            </w:tcBorders>
          </w:tcPr>
          <w:p w14:paraId="5086DAD8" w14:textId="77777777" w:rsidR="00F6556E" w:rsidRPr="000018EC" w:rsidRDefault="00F6556E" w:rsidP="00312B95">
            <w:pPr>
              <w:pStyle w:val="Tabletext1"/>
            </w:pPr>
            <w:r w:rsidRPr="000018EC">
              <w:t>Utility of Bronchiectasis with infection</w:t>
            </w:r>
          </w:p>
        </w:tc>
        <w:tc>
          <w:tcPr>
            <w:tcW w:w="3492" w:type="dxa"/>
            <w:tcBorders>
              <w:top w:val="nil"/>
              <w:bottom w:val="nil"/>
            </w:tcBorders>
          </w:tcPr>
          <w:p w14:paraId="608678D8" w14:textId="77777777" w:rsidR="00F6556E" w:rsidRPr="000018EC" w:rsidRDefault="00F6556E" w:rsidP="00312B95">
            <w:pPr>
              <w:pStyle w:val="Tabletext1"/>
              <w:jc w:val="center"/>
            </w:pPr>
            <w:r>
              <w:t>0.63</w:t>
            </w:r>
            <w:r w:rsidRPr="000018EC">
              <w:t xml:space="preserve"> (0.56, 0.70)</w:t>
            </w:r>
          </w:p>
        </w:tc>
      </w:tr>
      <w:tr w:rsidR="00F6556E" w:rsidRPr="000018EC" w14:paraId="621A17C7" w14:textId="77777777" w:rsidTr="00312B95">
        <w:trPr>
          <w:cantSplit/>
        </w:trPr>
        <w:tc>
          <w:tcPr>
            <w:tcW w:w="5524" w:type="dxa"/>
            <w:tcBorders>
              <w:top w:val="nil"/>
              <w:bottom w:val="single" w:sz="4" w:space="0" w:color="auto"/>
            </w:tcBorders>
          </w:tcPr>
          <w:p w14:paraId="492796B1" w14:textId="77777777" w:rsidR="00F6556E" w:rsidRPr="000018EC" w:rsidRDefault="00F6556E" w:rsidP="00312B95">
            <w:pPr>
              <w:pStyle w:val="Tabletext1"/>
            </w:pPr>
            <w:r w:rsidRPr="000018EC">
              <w:t xml:space="preserve">Utility of Bronchiectasis with chronic </w:t>
            </w:r>
            <w:r w:rsidRPr="000018EC">
              <w:rPr>
                <w:i/>
              </w:rPr>
              <w:t>P</w:t>
            </w:r>
            <w:r>
              <w:rPr>
                <w:i/>
              </w:rPr>
              <w:t>.</w:t>
            </w:r>
            <w:r w:rsidRPr="000018EC">
              <w:rPr>
                <w:i/>
              </w:rPr>
              <w:t xml:space="preserve"> aeruginosa</w:t>
            </w:r>
            <w:r w:rsidRPr="000018EC">
              <w:t xml:space="preserve"> infection</w:t>
            </w:r>
          </w:p>
        </w:tc>
        <w:tc>
          <w:tcPr>
            <w:tcW w:w="3492" w:type="dxa"/>
            <w:tcBorders>
              <w:top w:val="nil"/>
              <w:bottom w:val="single" w:sz="4" w:space="0" w:color="auto"/>
            </w:tcBorders>
          </w:tcPr>
          <w:p w14:paraId="0ECCCE7C" w14:textId="77777777" w:rsidR="00F6556E" w:rsidRPr="000018EC" w:rsidRDefault="00F6556E" w:rsidP="00312B95">
            <w:pPr>
              <w:pStyle w:val="Tabletext1"/>
              <w:jc w:val="center"/>
            </w:pPr>
            <w:r>
              <w:t>0.63</w:t>
            </w:r>
            <w:r w:rsidRPr="000018EC">
              <w:t xml:space="preserve"> (0.56, 0.70)</w:t>
            </w:r>
          </w:p>
        </w:tc>
      </w:tr>
      <w:tr w:rsidR="00F6556E" w:rsidRPr="000018EC" w14:paraId="702651F7" w14:textId="77777777" w:rsidTr="00312B95">
        <w:trPr>
          <w:cantSplit/>
        </w:trPr>
        <w:tc>
          <w:tcPr>
            <w:tcW w:w="5524" w:type="dxa"/>
            <w:tcBorders>
              <w:bottom w:val="single" w:sz="4" w:space="0" w:color="auto"/>
              <w:right w:val="nil"/>
            </w:tcBorders>
          </w:tcPr>
          <w:p w14:paraId="1E0F17FE" w14:textId="77777777" w:rsidR="00F6556E" w:rsidRPr="000018EC" w:rsidRDefault="00F6556E" w:rsidP="00312B95">
            <w:pPr>
              <w:pStyle w:val="TableHeading"/>
            </w:pPr>
            <w:r w:rsidRPr="00C127B0">
              <w:t>Weeks, Tierney &amp; Weinstein</w:t>
            </w:r>
            <w:r w:rsidRPr="000018EC">
              <w:t xml:space="preserve"> (1991)</w:t>
            </w:r>
          </w:p>
        </w:tc>
        <w:tc>
          <w:tcPr>
            <w:tcW w:w="3492" w:type="dxa"/>
            <w:tcBorders>
              <w:left w:val="nil"/>
              <w:bottom w:val="single" w:sz="4" w:space="0" w:color="auto"/>
            </w:tcBorders>
          </w:tcPr>
          <w:p w14:paraId="441837ED" w14:textId="77777777" w:rsidR="00F6556E" w:rsidRPr="000018EC" w:rsidRDefault="00F6556E" w:rsidP="00312B95">
            <w:pPr>
              <w:pStyle w:val="TableHeading"/>
              <w:jc w:val="center"/>
            </w:pPr>
            <w:r w:rsidRPr="000018EC">
              <w:t>Utility weight (range)</w:t>
            </w:r>
          </w:p>
        </w:tc>
      </w:tr>
      <w:tr w:rsidR="00F6556E" w:rsidRPr="000018EC" w14:paraId="5782354D" w14:textId="77777777" w:rsidTr="00312B95">
        <w:trPr>
          <w:cantSplit/>
        </w:trPr>
        <w:tc>
          <w:tcPr>
            <w:tcW w:w="5524" w:type="dxa"/>
            <w:tcBorders>
              <w:bottom w:val="nil"/>
            </w:tcBorders>
          </w:tcPr>
          <w:p w14:paraId="09236CE4" w14:textId="77777777" w:rsidR="00F6556E" w:rsidRPr="000018EC" w:rsidRDefault="00F6556E" w:rsidP="00312B95">
            <w:pPr>
              <w:pStyle w:val="Tabletext1"/>
            </w:pPr>
            <w:r w:rsidRPr="000018EC">
              <w:t>Utility of infection-free</w:t>
            </w:r>
          </w:p>
        </w:tc>
        <w:tc>
          <w:tcPr>
            <w:tcW w:w="3492" w:type="dxa"/>
            <w:tcBorders>
              <w:bottom w:val="nil"/>
            </w:tcBorders>
          </w:tcPr>
          <w:p w14:paraId="2F15198E" w14:textId="77777777" w:rsidR="00F6556E" w:rsidRPr="000018EC" w:rsidRDefault="00F6556E" w:rsidP="00312B95">
            <w:pPr>
              <w:pStyle w:val="Tabletext1"/>
              <w:jc w:val="center"/>
            </w:pPr>
            <w:r w:rsidRPr="000018EC">
              <w:t>0.87 (0.50, 0.999)</w:t>
            </w:r>
          </w:p>
        </w:tc>
      </w:tr>
      <w:tr w:rsidR="00F6556E" w:rsidRPr="000018EC" w14:paraId="0C9BC0B1" w14:textId="77777777" w:rsidTr="00312B95">
        <w:trPr>
          <w:cantSplit/>
        </w:trPr>
        <w:tc>
          <w:tcPr>
            <w:tcW w:w="5524" w:type="dxa"/>
            <w:tcBorders>
              <w:top w:val="nil"/>
              <w:bottom w:val="nil"/>
            </w:tcBorders>
          </w:tcPr>
          <w:p w14:paraId="3943A736" w14:textId="46B48752" w:rsidR="00F6556E" w:rsidRPr="000018EC" w:rsidRDefault="00F6556E" w:rsidP="00312B95">
            <w:pPr>
              <w:pStyle w:val="Tabletext1"/>
            </w:pPr>
            <w:r w:rsidRPr="000018EC">
              <w:t>Utility of trivial infection</w:t>
            </w:r>
            <w:r w:rsidR="0036069C" w:rsidRPr="0036069C">
              <w:rPr>
                <w:vertAlign w:val="superscript"/>
              </w:rPr>
              <w:t>a</w:t>
            </w:r>
          </w:p>
        </w:tc>
        <w:tc>
          <w:tcPr>
            <w:tcW w:w="3492" w:type="dxa"/>
            <w:tcBorders>
              <w:top w:val="nil"/>
              <w:bottom w:val="nil"/>
            </w:tcBorders>
          </w:tcPr>
          <w:p w14:paraId="73728D18" w14:textId="77777777" w:rsidR="00F6556E" w:rsidRPr="000018EC" w:rsidRDefault="00F6556E" w:rsidP="00312B95">
            <w:pPr>
              <w:pStyle w:val="Tabletext1"/>
              <w:jc w:val="center"/>
            </w:pPr>
            <w:r w:rsidRPr="000018EC">
              <w:t>0.86 (0.50, 0.999)</w:t>
            </w:r>
          </w:p>
        </w:tc>
      </w:tr>
      <w:tr w:rsidR="00F6556E" w:rsidRPr="000018EC" w14:paraId="5E731076" w14:textId="77777777" w:rsidTr="00312B95">
        <w:trPr>
          <w:cantSplit/>
        </w:trPr>
        <w:tc>
          <w:tcPr>
            <w:tcW w:w="5524" w:type="dxa"/>
            <w:tcBorders>
              <w:top w:val="nil"/>
              <w:bottom w:val="nil"/>
            </w:tcBorders>
          </w:tcPr>
          <w:p w14:paraId="4E3BFA3A" w14:textId="27BE5CE8" w:rsidR="00F6556E" w:rsidRPr="000018EC" w:rsidRDefault="00F6556E" w:rsidP="00312B95">
            <w:pPr>
              <w:pStyle w:val="Tabletext1"/>
            </w:pPr>
            <w:r w:rsidRPr="000018EC">
              <w:t>Utility of moderate infection</w:t>
            </w:r>
            <w:r w:rsidR="0036069C" w:rsidRPr="0036069C">
              <w:rPr>
                <w:vertAlign w:val="superscript"/>
              </w:rPr>
              <w:t>b</w:t>
            </w:r>
          </w:p>
        </w:tc>
        <w:tc>
          <w:tcPr>
            <w:tcW w:w="3492" w:type="dxa"/>
            <w:tcBorders>
              <w:top w:val="nil"/>
              <w:bottom w:val="nil"/>
            </w:tcBorders>
          </w:tcPr>
          <w:p w14:paraId="6DFB5830" w14:textId="77777777" w:rsidR="00F6556E" w:rsidRPr="000018EC" w:rsidRDefault="00F6556E" w:rsidP="00312B95">
            <w:pPr>
              <w:pStyle w:val="Tabletext1"/>
              <w:jc w:val="center"/>
            </w:pPr>
            <w:r w:rsidRPr="000018EC">
              <w:t>0.81 (0.50, 0.99)</w:t>
            </w:r>
          </w:p>
        </w:tc>
      </w:tr>
      <w:tr w:rsidR="00F6556E" w:rsidRPr="000018EC" w14:paraId="433E51B7" w14:textId="77777777" w:rsidTr="00312B95">
        <w:trPr>
          <w:cantSplit/>
        </w:trPr>
        <w:tc>
          <w:tcPr>
            <w:tcW w:w="5524" w:type="dxa"/>
            <w:tcBorders>
              <w:top w:val="nil"/>
              <w:bottom w:val="nil"/>
            </w:tcBorders>
          </w:tcPr>
          <w:p w14:paraId="7F4B75C6" w14:textId="0C8EEB8A" w:rsidR="00F6556E" w:rsidRPr="000018EC" w:rsidRDefault="00F6556E" w:rsidP="00312B95">
            <w:pPr>
              <w:pStyle w:val="Tabletext1"/>
            </w:pPr>
            <w:r w:rsidRPr="000018EC">
              <w:t>Utility of major infection</w:t>
            </w:r>
            <w:r w:rsidR="0036069C" w:rsidRPr="0036069C">
              <w:rPr>
                <w:vertAlign w:val="superscript"/>
              </w:rPr>
              <w:t>c</w:t>
            </w:r>
          </w:p>
        </w:tc>
        <w:tc>
          <w:tcPr>
            <w:tcW w:w="3492" w:type="dxa"/>
            <w:tcBorders>
              <w:top w:val="nil"/>
              <w:bottom w:val="nil"/>
            </w:tcBorders>
          </w:tcPr>
          <w:p w14:paraId="0CF23740" w14:textId="77777777" w:rsidR="00F6556E" w:rsidRPr="000018EC" w:rsidRDefault="00F6556E" w:rsidP="00312B95">
            <w:pPr>
              <w:pStyle w:val="Tabletext1"/>
              <w:jc w:val="center"/>
            </w:pPr>
            <w:r w:rsidRPr="000018EC">
              <w:t>0.46 (0.2, 0.90)</w:t>
            </w:r>
          </w:p>
        </w:tc>
      </w:tr>
      <w:tr w:rsidR="00F6556E" w:rsidRPr="000018EC" w14:paraId="0CDE08AE" w14:textId="77777777" w:rsidTr="00312B95">
        <w:trPr>
          <w:cantSplit/>
        </w:trPr>
        <w:tc>
          <w:tcPr>
            <w:tcW w:w="5524" w:type="dxa"/>
            <w:tcBorders>
              <w:top w:val="nil"/>
            </w:tcBorders>
          </w:tcPr>
          <w:p w14:paraId="48D1AD8D" w14:textId="77777777" w:rsidR="00F6556E" w:rsidRPr="000018EC" w:rsidRDefault="00F6556E" w:rsidP="00312B95">
            <w:pPr>
              <w:pStyle w:val="Tabletext1"/>
            </w:pPr>
            <w:r w:rsidRPr="000018EC">
              <w:t>IVIg infusion</w:t>
            </w:r>
          </w:p>
        </w:tc>
        <w:tc>
          <w:tcPr>
            <w:tcW w:w="3492" w:type="dxa"/>
            <w:tcBorders>
              <w:top w:val="nil"/>
            </w:tcBorders>
          </w:tcPr>
          <w:p w14:paraId="2EFBCC6C" w14:textId="77777777" w:rsidR="00F6556E" w:rsidRPr="000018EC" w:rsidRDefault="00F6556E" w:rsidP="00312B95">
            <w:pPr>
              <w:pStyle w:val="Tabletext1"/>
              <w:jc w:val="center"/>
            </w:pPr>
            <w:r w:rsidRPr="000018EC">
              <w:t>0.66 (0.20, 0.99)</w:t>
            </w:r>
          </w:p>
        </w:tc>
      </w:tr>
    </w:tbl>
    <w:p w14:paraId="61EECF98" w14:textId="6392F75A" w:rsidR="0036069C" w:rsidRDefault="0036069C" w:rsidP="00F6556E">
      <w:pPr>
        <w:pStyle w:val="Tablenotes1"/>
      </w:pPr>
      <w:r w:rsidRPr="0036069C">
        <w:rPr>
          <w:vertAlign w:val="superscript"/>
        </w:rPr>
        <w:t>a</w:t>
      </w:r>
      <w:r>
        <w:t xml:space="preserve"> Infections such as folliculitis or a paronychia</w:t>
      </w:r>
    </w:p>
    <w:p w14:paraId="07F881A9" w14:textId="13A9CCB3" w:rsidR="0036069C" w:rsidRDefault="0036069C" w:rsidP="00F6556E">
      <w:pPr>
        <w:pStyle w:val="Tablenotes1"/>
      </w:pPr>
      <w:r w:rsidRPr="0036069C">
        <w:rPr>
          <w:vertAlign w:val="superscript"/>
        </w:rPr>
        <w:t>b</w:t>
      </w:r>
      <w:r>
        <w:t xml:space="preserve"> Infections such as bronchitis or otitis, requiring oral antibiotic therapy</w:t>
      </w:r>
    </w:p>
    <w:p w14:paraId="18281210" w14:textId="741EA220" w:rsidR="0036069C" w:rsidRDefault="0036069C" w:rsidP="00F6556E">
      <w:pPr>
        <w:pStyle w:val="Tablenotes1"/>
      </w:pPr>
      <w:r w:rsidRPr="0036069C">
        <w:rPr>
          <w:vertAlign w:val="superscript"/>
        </w:rPr>
        <w:t>c</w:t>
      </w:r>
      <w:r>
        <w:t xml:space="preserve"> Life-threatening infections, such as pneumonia or septicaemia, requiring parenteral anitbiotics, hospitalisation or both.</w:t>
      </w:r>
    </w:p>
    <w:p w14:paraId="3CFFAC97" w14:textId="77BA1964" w:rsidR="00F6556E" w:rsidRDefault="00F6556E" w:rsidP="00F6556E">
      <w:pPr>
        <w:pStyle w:val="Tablenotes1"/>
      </w:pPr>
      <w:r>
        <w:t xml:space="preserve">Source: Table 2, </w:t>
      </w:r>
      <w:r w:rsidRPr="009105B1">
        <w:t>Windegger</w:t>
      </w:r>
      <w:r>
        <w:t xml:space="preserve">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 xml:space="preserve"> and Table 2, </w:t>
      </w:r>
      <w:r w:rsidRPr="00C127B0">
        <w:t>Weeks, Tierney &amp; Weinstein</w:t>
      </w:r>
      <w:r>
        <w:t xml:space="preserve"> </w:t>
      </w:r>
      <w:r>
        <w:fldChar w:fldCharType="begin"/>
      </w:r>
      <w:r>
        <w:instrText xml:space="preserve"> ADDIN EN.CITE &lt;EndNote&gt;&lt;Cite ExcludeAuth="1"&gt;&lt;Author&gt;Weeks&lt;/Author&gt;&lt;Year&gt;1991&lt;/Year&gt;&lt;RecNum&gt;35&lt;/RecNum&gt;&lt;DisplayText&gt;(1991)&lt;/DisplayText&gt;&lt;record&gt;&lt;rec-number&gt;35&lt;/rec-number&gt;&lt;foreign-keys&gt;&lt;key app="EN" db-id="z0vwsepdwpt20pewwts5z9eup9e2r2pd2tad" timestamp="1553825060"&gt;35&lt;/key&gt;&lt;/foreign-keys&gt;&lt;ref-type name="Journal Article"&gt;17&lt;/ref-type&gt;&lt;contributors&gt;&lt;authors&gt;&lt;author&gt;Weeks, J. C.&lt;/author&gt;&lt;author&gt;Tierney, M. R.&lt;/author&gt;&lt;author&gt;Weinstein, M. C.&lt;/author&gt;&lt;/authors&gt;&lt;/contributors&gt;&lt;titles&gt;&lt;title&gt;Cost effectiveness of prophylactic intravenous immune globulin in chronic lymphocytic leukemia&lt;/title&gt;&lt;secondary-title&gt;New England journal of medicine&lt;/secondary-title&gt;&lt;/titles&gt;&lt;periodical&gt;&lt;full-title&gt;New England journal of medicine&lt;/full-title&gt;&lt;/periodical&gt;&lt;pages&gt;81</w:instrText>
      </w:r>
      <w:r>
        <w:rPr>
          <w:rFonts w:ascii="Cambria Math" w:hAnsi="Cambria Math" w:cs="Cambria Math"/>
        </w:rPr>
        <w:instrText>‐</w:instrText>
      </w:r>
      <w:r>
        <w:instrText>86&lt;/pages&gt;&lt;volume&gt;325&lt;/volume&gt;&lt;number&gt;2&lt;/number&gt;&lt;keywords&gt;&lt;keyword&gt;Agammaglobulinemia [complications]&lt;/keyword&gt;&lt;keyword&gt;Bacterial Infections [*prevention &amp;amp; control]&lt;/keyword&gt;&lt;keyword&gt;Cost</w:instrText>
      </w:r>
      <w:r>
        <w:rPr>
          <w:rFonts w:ascii="Cambria Math" w:hAnsi="Cambria Math" w:cs="Cambria Math"/>
        </w:rPr>
        <w:instrText>‐</w:instrText>
      </w:r>
      <w:r>
        <w:instrText>Benefit Analysis&lt;/keyword&gt;&lt;keyword&gt;Humans&lt;/keyword&gt;&lt;keyword&gt;Immunization, Passive [*economics]&lt;/keyword&gt;&lt;keyword&gt;Immunoglobulins [*administration &amp;amp; dosage]&lt;/keyword&gt;&lt;keyword&gt;Infusions, Intravenous&lt;/keyword&gt;&lt;keyword&gt;Leukemia, Lymphocytic, Chronic, B</w:instrText>
      </w:r>
      <w:r>
        <w:rPr>
          <w:rFonts w:ascii="Cambria Math" w:hAnsi="Cambria Math" w:cs="Cambria Math"/>
        </w:rPr>
        <w:instrText>‐</w:instrText>
      </w:r>
      <w:r>
        <w:instrText>Cell [*complications, economics]&lt;/keyword&gt;&lt;keyword&gt;Life Expectancy&lt;/keyword&gt;&lt;keyword&gt;Models, Theoretical&lt;/keyword&gt;&lt;keyword&gt;Quality of Life&lt;/keyword&gt;&lt;keyword&gt;United States&lt;/keyword&gt;&lt;keyword&gt;Cost-Benefit Analysis&lt;/keyword&gt;&lt;keyword&gt;Leukemia, Lymphoid&lt;/keyword&gt;&lt;keyword&gt;Immunoglobulins, Intravenous&lt;/keyword&gt;&lt;keyword&gt;Immunoglobulins&lt;/keyword&gt;&lt;/keywords&gt;&lt;dates&gt;&lt;year&gt;1991&lt;/year&gt;&lt;pub-dates&gt;&lt;date&gt;1991&lt;/date&gt;&lt;/pub-dates&gt;&lt;/dates&gt;&lt;accession-num&gt;CN-00076105&lt;/accession-num&gt;&lt;urls&gt;&lt;related-urls&gt;&lt;url&gt;&lt;style face="underline" font="default" size="100%"&gt;https://www.cochranelibrary.com/central/doi/10.1002/central/CN-00076105/full&lt;/style&gt;&lt;/url&gt;&lt;/related-urls&gt;&lt;/urls&gt;&lt;custom1&gt;RAYYAN-INCLUSION: {&amp;quot;Skye&amp;quot;=&amp;gt;&amp;quot;Included&amp;quot;}&lt;/custom1&gt;&lt;research-notes&gt;X - decision analytic study, no new clinical data&lt;/research-notes&gt;&lt;/record&gt;&lt;/Cite&gt;&lt;/EndNote&gt;</w:instrText>
      </w:r>
      <w:r>
        <w:fldChar w:fldCharType="separate"/>
      </w:r>
      <w:r>
        <w:rPr>
          <w:noProof/>
        </w:rPr>
        <w:t>(</w:t>
      </w:r>
      <w:hyperlink w:anchor="_ENREF_56" w:tooltip="Weeks, 1991 #35" w:history="1">
        <w:r w:rsidR="00BB0145">
          <w:rPr>
            <w:noProof/>
          </w:rPr>
          <w:t>1991</w:t>
        </w:r>
      </w:hyperlink>
      <w:r>
        <w:rPr>
          <w:noProof/>
        </w:rPr>
        <w:t>)</w:t>
      </w:r>
      <w:r>
        <w:fldChar w:fldCharType="end"/>
      </w:r>
    </w:p>
    <w:p w14:paraId="378CEB3B" w14:textId="184038CB" w:rsidR="00F6556E" w:rsidRDefault="00312B95" w:rsidP="00F6556E">
      <w:r>
        <w:t>T</w:t>
      </w:r>
      <w:r w:rsidR="00F6556E">
        <w:t xml:space="preserve">he utilities reported in Windegger et al. </w:t>
      </w:r>
      <w:r w:rsidR="00F6556E">
        <w:fldChar w:fldCharType="begin"/>
      </w:r>
      <w:r w:rsidR="00F6556E">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rsidR="00F6556E">
        <w:fldChar w:fldCharType="separate"/>
      </w:r>
      <w:r w:rsidR="00F6556E">
        <w:rPr>
          <w:noProof/>
        </w:rPr>
        <w:t>(</w:t>
      </w:r>
      <w:hyperlink w:anchor="_ENREF_57" w:tooltip="Windegger, 2019 #55" w:history="1">
        <w:r w:rsidR="00BB0145">
          <w:rPr>
            <w:noProof/>
          </w:rPr>
          <w:t>2019</w:t>
        </w:r>
      </w:hyperlink>
      <w:r w:rsidR="00F6556E">
        <w:rPr>
          <w:noProof/>
        </w:rPr>
        <w:t>)</w:t>
      </w:r>
      <w:r w:rsidR="00F6556E">
        <w:fldChar w:fldCharType="end"/>
      </w:r>
      <w:r w:rsidR="00F6556E">
        <w:t xml:space="preserve"> were derived from </w:t>
      </w:r>
      <w:r>
        <w:t>a</w:t>
      </w:r>
      <w:r w:rsidR="00F6556E">
        <w:t xml:space="preserve"> sample </w:t>
      </w:r>
      <w:r>
        <w:t xml:space="preserve">of </w:t>
      </w:r>
      <w:r w:rsidR="00F6556E">
        <w:t>84</w:t>
      </w:r>
      <w:r>
        <w:t xml:space="preserve"> patients</w:t>
      </w:r>
      <w:r w:rsidR="00F6556E">
        <w:t xml:space="preserve">, and included patients who had only received one treatment mode (i.e. IVIg or SCIg), or who had not received 12 months of IVIg prior to switching to SCIg. Utilities were measured using the </w:t>
      </w:r>
      <w:bookmarkStart w:id="405" w:name="OLE_LINK9"/>
      <w:bookmarkStart w:id="406" w:name="OLE_LINK10"/>
      <w:r w:rsidR="00F6556E">
        <w:t>AQoL-6D</w:t>
      </w:r>
      <w:bookmarkEnd w:id="405"/>
      <w:bookmarkEnd w:id="406"/>
      <w:r w:rsidR="00F6556E">
        <w:t xml:space="preserve"> instrument, whereas the utilities in </w:t>
      </w:r>
      <w:r w:rsidR="00F6556E" w:rsidRPr="00C127B0">
        <w:t>Weeks, Tierney &amp; Weinstein</w:t>
      </w:r>
      <w:r w:rsidR="00F6556E">
        <w:t xml:space="preserve"> </w:t>
      </w:r>
      <w:r w:rsidR="00F6556E">
        <w:fldChar w:fldCharType="begin"/>
      </w:r>
      <w:r w:rsidR="00F6556E">
        <w:instrText xml:space="preserve"> ADDIN EN.CITE &lt;EndNote&gt;&lt;Cite ExcludeAuth="1"&gt;&lt;Author&gt;Weeks&lt;/Author&gt;&lt;Year&gt;1991&lt;/Year&gt;&lt;RecNum&gt;35&lt;/RecNum&gt;&lt;DisplayText&gt;(1991)&lt;/DisplayText&gt;&lt;record&gt;&lt;rec-number&gt;35&lt;/rec-number&gt;&lt;foreign-keys&gt;&lt;key app="EN" db-id="z0vwsepdwpt20pewwts5z9eup9e2r2pd2tad" timestamp="1553825060"&gt;35&lt;/key&gt;&lt;/foreign-keys&gt;&lt;ref-type name="Journal Article"&gt;17&lt;/ref-type&gt;&lt;contributors&gt;&lt;authors&gt;&lt;author&gt;Weeks, J. C.&lt;/author&gt;&lt;author&gt;Tierney, M. R.&lt;/author&gt;&lt;author&gt;Weinstein, M. C.&lt;/author&gt;&lt;/authors&gt;&lt;/contributors&gt;&lt;titles&gt;&lt;title&gt;Cost effectiveness of prophylactic intravenous immune globulin in chronic lymphocytic leukemia&lt;/title&gt;&lt;secondary-title&gt;New England journal of medicine&lt;/secondary-title&gt;&lt;/titles&gt;&lt;periodical&gt;&lt;full-title&gt;New England journal of medicine&lt;/full-title&gt;&lt;/periodical&gt;&lt;pages&gt;81‐86&lt;/pages&gt;&lt;volume&gt;325&lt;/volume&gt;&lt;number&gt;2&lt;/number&gt;&lt;keywords&gt;&lt;keyword&gt;Agammaglobulinemia [complications]&lt;/keyword&gt;&lt;keyword&gt;Bacterial Infections [*prevention &amp;amp; control]&lt;/keyword&gt;&lt;keyword&gt;Cost‐Benefit Analysis&lt;/keyword&gt;&lt;keyword&gt;Humans&lt;/keyword&gt;&lt;keyword&gt;Immunization, Passive [*economics]&lt;/keyword&gt;&lt;keyword&gt;Immunoglobulins [*administration &amp;amp; dosage]&lt;/keyword&gt;&lt;keyword&gt;Infusions, Intravenous&lt;/keyword&gt;&lt;keyword&gt;Leukemia, Lymphocytic, Chronic, B‐Cell [*complications, economics]&lt;/keyword&gt;&lt;keyword&gt;Life Expectancy&lt;/keyword&gt;&lt;keyword&gt;Models, Theoretical&lt;/keyword&gt;&lt;keyword&gt;Quality of Life&lt;/keyword&gt;&lt;keyword&gt;United States&lt;/keyword&gt;&lt;keyword&gt;Cost-Benefit Analysis&lt;/keyword&gt;&lt;keyword&gt;Leukemia, Lymphoid&lt;/keyword&gt;&lt;keyword&gt;Immunoglobulins, Intravenous&lt;/keyword&gt;&lt;keyword&gt;Immunoglobulins&lt;/keyword&gt;&lt;/keywords&gt;&lt;dates&gt;&lt;year&gt;1991&lt;/year&gt;&lt;pub-dates&gt;&lt;date&gt;1991&lt;/date&gt;&lt;/pub-dates&gt;&lt;/dates&gt;&lt;accession-num&gt;CN-00076105&lt;/accession-num&gt;&lt;urls&gt;&lt;related-urls&gt;&lt;url&gt;&lt;style face="underline" font="default" size="100%"&gt;https://www.cochranelibrary.com/central/doi/10.1002/central/CN-00076105/full&lt;/style&gt;&lt;/url&gt;&lt;/related-urls&gt;&lt;/urls&gt;&lt;custom1&gt;RAYYAN-INCLUSION: {&amp;quot;Skye&amp;quot;=&amp;gt;&amp;quot;Included&amp;quot;}&lt;/custom1&gt;&lt;research-notes&gt;X - decision analytic study, no new clinical data&lt;/research-notes&gt;&lt;/record&gt;&lt;/Cite&gt;&lt;/EndNote&gt;</w:instrText>
      </w:r>
      <w:r w:rsidR="00F6556E">
        <w:fldChar w:fldCharType="separate"/>
      </w:r>
      <w:r w:rsidR="00F6556E">
        <w:rPr>
          <w:noProof/>
        </w:rPr>
        <w:t>(</w:t>
      </w:r>
      <w:hyperlink w:anchor="_ENREF_56" w:tooltip="Weeks, 1991 #35" w:history="1">
        <w:r w:rsidR="00BB0145">
          <w:rPr>
            <w:noProof/>
          </w:rPr>
          <w:t>1991</w:t>
        </w:r>
      </w:hyperlink>
      <w:r w:rsidR="00F6556E">
        <w:rPr>
          <w:noProof/>
        </w:rPr>
        <w:t>)</w:t>
      </w:r>
      <w:r w:rsidR="00F6556E">
        <w:fldChar w:fldCharType="end"/>
      </w:r>
      <w:r w:rsidR="00F6556E">
        <w:t xml:space="preserve"> were derived from 10 oncologists experienced with the care of CLL</w:t>
      </w:r>
      <w:r w:rsidR="0036069C">
        <w:t xml:space="preserve">. </w:t>
      </w:r>
    </w:p>
    <w:p w14:paraId="34291020" w14:textId="66D0B166" w:rsidR="00F6556E" w:rsidRDefault="00F6556E" w:rsidP="00F6556E">
      <w:r>
        <w:t xml:space="preserve">The utility weights as reported in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 xml:space="preserve"> will be preferentially used, as these were derived from an Australian population using a multi attribute utility i</w:t>
      </w:r>
      <w:r w:rsidRPr="00531BFA">
        <w:t>nstrument</w:t>
      </w:r>
      <w:r>
        <w:t xml:space="preserve">, rather than being based on clinicians’ assessment. </w:t>
      </w:r>
      <w:r w:rsidR="00B057B6">
        <w:t xml:space="preserve">Utilities were also reported for the selected health states used in the model (see Section D.3). </w:t>
      </w:r>
      <w:r>
        <w:t>However the disutility reported for the infection health state (a decrement of 0.01</w:t>
      </w:r>
      <w:r w:rsidR="00BD480C">
        <w:t xml:space="preserve"> relative to infection-free</w:t>
      </w:r>
      <w:r>
        <w:t xml:space="preserve">) seems small and </w:t>
      </w:r>
      <w:r w:rsidR="00BD480C">
        <w:t xml:space="preserve">on face-value </w:t>
      </w:r>
      <w:r>
        <w:t>may underestimate the disutility associated with infections</w:t>
      </w:r>
      <w:r w:rsidR="00BD480C">
        <w:t>, particularly severe infections</w:t>
      </w:r>
      <w:r>
        <w:t xml:space="preserve">. Further, as Ig </w:t>
      </w:r>
      <w:r w:rsidR="00BD480C">
        <w:t xml:space="preserve">also </w:t>
      </w:r>
      <w:r>
        <w:t xml:space="preserve">changes the distribution of infection severity, and reduces those infections that are most severe, </w:t>
      </w:r>
      <w:r w:rsidR="00BD480C">
        <w:t xml:space="preserve">the </w:t>
      </w:r>
      <w:r>
        <w:t xml:space="preserve">utilities modelled </w:t>
      </w:r>
      <w:r w:rsidR="00BD480C">
        <w:t>need to</w:t>
      </w:r>
      <w:r>
        <w:t xml:space="preserve"> be able to capture th</w:t>
      </w:r>
      <w:r w:rsidR="00BD480C">
        <w:t>is difference</w:t>
      </w:r>
      <w:r>
        <w:t xml:space="preserve"> between the model arms. Therefore the model applies the decrements </w:t>
      </w:r>
      <w:r w:rsidR="00607CF5">
        <w:t xml:space="preserve">(relative to infection-free) </w:t>
      </w:r>
      <w:r>
        <w:t xml:space="preserve">in </w:t>
      </w:r>
      <w:r w:rsidRPr="00C127B0">
        <w:t>Weeks, Tierney &amp; Weinstein</w:t>
      </w:r>
      <w:r>
        <w:t xml:space="preserve"> </w:t>
      </w:r>
      <w:r>
        <w:fldChar w:fldCharType="begin"/>
      </w:r>
      <w:r>
        <w:instrText xml:space="preserve"> ADDIN EN.CITE &lt;EndNote&gt;&lt;Cite ExcludeAuth="1"&gt;&lt;Author&gt;Weeks&lt;/Author&gt;&lt;Year&gt;1991&lt;/Year&gt;&lt;RecNum&gt;35&lt;/RecNum&gt;&lt;DisplayText&gt;(1991)&lt;/DisplayText&gt;&lt;record&gt;&lt;rec-number&gt;35&lt;/rec-number&gt;&lt;foreign-keys&gt;&lt;key app="EN" db-id="z0vwsepdwpt20pewwts5z9eup9e2r2pd2tad" timestamp="1553825060"&gt;35&lt;/key&gt;&lt;/foreign-keys&gt;&lt;ref-type name="Journal Article"&gt;17&lt;/ref-type&gt;&lt;contributors&gt;&lt;authors&gt;&lt;author&gt;Weeks, J. C.&lt;/author&gt;&lt;author&gt;Tierney, M. R.&lt;/author&gt;&lt;author&gt;Weinstein, M. C.&lt;/author&gt;&lt;/authors&gt;&lt;/contributors&gt;&lt;titles&gt;&lt;title&gt;Cost effectiveness of prophylactic intravenous immune globulin in chronic lymphocytic leukemia&lt;/title&gt;&lt;secondary-title&gt;New England journal of medicine&lt;/secondary-title&gt;&lt;/titles&gt;&lt;periodical&gt;&lt;full-title&gt;New England journal of medicine&lt;/full-title&gt;&lt;/periodical&gt;&lt;pages&gt;81‐86&lt;/pages&gt;&lt;volume&gt;325&lt;/volume&gt;&lt;number&gt;2&lt;/number&gt;&lt;keywords&gt;&lt;keyword&gt;Agammaglobulinemia [complications]&lt;/keyword&gt;&lt;keyword&gt;Bacterial Infections [*prevention &amp;amp; control]&lt;/keyword&gt;&lt;keyword&gt;Cost‐Benefit Analysis&lt;/keyword&gt;&lt;keyword&gt;Humans&lt;/keyword&gt;&lt;keyword&gt;Immunization, Passive [*economics]&lt;/keyword&gt;&lt;keyword&gt;Immunoglobulins [*administration &amp;amp; dosage]&lt;/keyword&gt;&lt;keyword&gt;Infusions, Intravenous&lt;/keyword&gt;&lt;keyword&gt;Leukemia, Lymphocytic, Chronic, B‐Cell [*complications, economics]&lt;/keyword&gt;&lt;keyword&gt;Life Expectancy&lt;/keyword&gt;&lt;keyword&gt;Models, Theoretical&lt;/keyword&gt;&lt;keyword&gt;Quality of Life&lt;/keyword&gt;&lt;keyword&gt;United States&lt;/keyword&gt;&lt;keyword&gt;Cost-Benefit Analysis&lt;/keyword&gt;&lt;keyword&gt;Leukemia, Lymphoid&lt;/keyword&gt;&lt;keyword&gt;Immunoglobulins, Intravenous&lt;/keyword&gt;&lt;keyword&gt;Immunoglobulins&lt;/keyword&gt;&lt;/keywords&gt;&lt;dates&gt;&lt;year&gt;1991&lt;/year&gt;&lt;pub-dates&gt;&lt;date&gt;1991&lt;/date&gt;&lt;/pub-dates&gt;&lt;/dates&gt;&lt;accession-num&gt;CN-00076105&lt;/accession-num&gt;&lt;urls&gt;&lt;related-urls&gt;&lt;url&gt;&lt;style face="underline" font="default" size="100%"&gt;https://www.cochranelibrary.com/central/doi/10.1002/central/CN-00076105/full&lt;/style&gt;&lt;/url&gt;&lt;/related-urls&gt;&lt;/urls&gt;&lt;custom1&gt;RAYYAN-INCLUSION: {&amp;quot;Skye&amp;quot;=&amp;gt;&amp;quot;Included&amp;quot;}&lt;/custom1&gt;&lt;research-notes&gt;X - decision analytic study, no new clinical data&lt;/research-notes&gt;&lt;/record&gt;&lt;/Cite&gt;&lt;/EndNote&gt;</w:instrText>
      </w:r>
      <w:r>
        <w:fldChar w:fldCharType="separate"/>
      </w:r>
      <w:r>
        <w:rPr>
          <w:noProof/>
        </w:rPr>
        <w:t>(</w:t>
      </w:r>
      <w:hyperlink w:anchor="_ENREF_56" w:tooltip="Weeks, 1991 #35" w:history="1">
        <w:r w:rsidR="00BB0145">
          <w:rPr>
            <w:noProof/>
          </w:rPr>
          <w:t>1991</w:t>
        </w:r>
      </w:hyperlink>
      <w:r>
        <w:rPr>
          <w:noProof/>
        </w:rPr>
        <w:t>)</w:t>
      </w:r>
      <w:r>
        <w:fldChar w:fldCharType="end"/>
      </w:r>
      <w:r>
        <w:t xml:space="preserve"> for infection severity to the distribution of infection</w:t>
      </w:r>
      <w:r w:rsidR="00607CF5">
        <w:t xml:space="preserve"> </w:t>
      </w:r>
      <w:r>
        <w:t>s</w:t>
      </w:r>
      <w:r w:rsidR="00607CF5">
        <w:t>everity</w:t>
      </w:r>
      <w:r>
        <w:t xml:space="preserve"> </w:t>
      </w:r>
      <w:r w:rsidR="00312B95">
        <w:t xml:space="preserve">(see </w:t>
      </w:r>
      <w:r>
        <w:t>Section D.4.1</w:t>
      </w:r>
      <w:r w:rsidR="00312B95">
        <w:t>)</w:t>
      </w:r>
      <w:r>
        <w:t xml:space="preserve">, to determine a </w:t>
      </w:r>
      <w:r w:rsidR="00607CF5">
        <w:t xml:space="preserve">revised </w:t>
      </w:r>
      <w:r>
        <w:t>weighted disutility of infection.</w:t>
      </w:r>
    </w:p>
    <w:p w14:paraId="265C5F5D" w14:textId="683DB79E" w:rsidR="00F6556E" w:rsidRDefault="00F6556E" w:rsidP="00F6556E">
      <w:r>
        <w:lastRenderedPageBreak/>
        <w:t xml:space="preserve">A utility decrement is also applied in the model to account for reduced quality-of-life associated with infusions. This has been derived from the difference in utility between infection-free and IVIg infusions as reported by </w:t>
      </w:r>
      <w:r w:rsidRPr="00C127B0">
        <w:t>Weeks, Tierney &amp; Weinstein</w:t>
      </w:r>
      <w:r>
        <w:t xml:space="preserve"> </w:t>
      </w:r>
      <w:r>
        <w:fldChar w:fldCharType="begin"/>
      </w:r>
      <w:r>
        <w:instrText xml:space="preserve"> ADDIN EN.CITE &lt;EndNote&gt;&lt;Cite ExcludeAuth="1"&gt;&lt;Author&gt;Weeks&lt;/Author&gt;&lt;Year&gt;1991&lt;/Year&gt;&lt;RecNum&gt;35&lt;/RecNum&gt;&lt;DisplayText&gt;(1991)&lt;/DisplayText&gt;&lt;record&gt;&lt;rec-number&gt;35&lt;/rec-number&gt;&lt;foreign-keys&gt;&lt;key app="EN" db-id="z0vwsepdwpt20pewwts5z9eup9e2r2pd2tad" timestamp="1553825060"&gt;35&lt;/key&gt;&lt;/foreign-keys&gt;&lt;ref-type name="Journal Article"&gt;17&lt;/ref-type&gt;&lt;contributors&gt;&lt;authors&gt;&lt;author&gt;Weeks, J. C.&lt;/author&gt;&lt;author&gt;Tierney, M. R.&lt;/author&gt;&lt;author&gt;Weinstein, M. C.&lt;/author&gt;&lt;/authors&gt;&lt;/contributors&gt;&lt;titles&gt;&lt;title&gt;Cost effectiveness of prophylactic intravenous immune globulin in chronic lymphocytic leukemia&lt;/title&gt;&lt;secondary-title&gt;New England journal of medicine&lt;/secondary-title&gt;&lt;/titles&gt;&lt;periodical&gt;&lt;full-title&gt;New England journal of medicine&lt;/full-title&gt;&lt;/periodical&gt;&lt;pages&gt;81‐86&lt;/pages&gt;&lt;volume&gt;325&lt;/volume&gt;&lt;number&gt;2&lt;/number&gt;&lt;keywords&gt;&lt;keyword&gt;Agammaglobulinemia [complications]&lt;/keyword&gt;&lt;keyword&gt;Bacterial Infections [*prevention &amp;amp; control]&lt;/keyword&gt;&lt;keyword&gt;Cost‐Benefit Analysis&lt;/keyword&gt;&lt;keyword&gt;Humans&lt;/keyword&gt;&lt;keyword&gt;Immunization, Passive [*economics]&lt;/keyword&gt;&lt;keyword&gt;Immunoglobulins [*administration &amp;amp; dosage]&lt;/keyword&gt;&lt;keyword&gt;Infusions, Intravenous&lt;/keyword&gt;&lt;keyword&gt;Leukemia, Lymphocytic, Chronic, B‐Cell [*complications, economics]&lt;/keyword&gt;&lt;keyword&gt;Life Expectancy&lt;/keyword&gt;&lt;keyword&gt;Models, Theoretical&lt;/keyword&gt;&lt;keyword&gt;Quality of Life&lt;/keyword&gt;&lt;keyword&gt;United States&lt;/keyword&gt;&lt;keyword&gt;Cost-Benefit Analysis&lt;/keyword&gt;&lt;keyword&gt;Leukemia, Lymphoid&lt;/keyword&gt;&lt;keyword&gt;Immunoglobulins, Intravenous&lt;/keyword&gt;&lt;keyword&gt;Immunoglobulins&lt;/keyword&gt;&lt;/keywords&gt;&lt;dates&gt;&lt;year&gt;1991&lt;/year&gt;&lt;pub-dates&gt;&lt;date&gt;1991&lt;/date&gt;&lt;/pub-dates&gt;&lt;/dates&gt;&lt;accession-num&gt;CN-00076105&lt;/accession-num&gt;&lt;urls&gt;&lt;related-urls&gt;&lt;url&gt;&lt;style face="underline" font="default" size="100%"&gt;https://www.cochranelibrary.com/central/doi/10.1002/central/CN-00076105/full&lt;/style&gt;&lt;/url&gt;&lt;/related-urls&gt;&lt;/urls&gt;&lt;custom1&gt;RAYYAN-INCLUSION: {&amp;quot;Skye&amp;quot;=&amp;gt;&amp;quot;Included&amp;quot;}&lt;/custom1&gt;&lt;research-notes&gt;X - decision analytic study, no new clinical data&lt;/research-notes&gt;&lt;/record&gt;&lt;/Cite&gt;&lt;/EndNote&gt;</w:instrText>
      </w:r>
      <w:r>
        <w:fldChar w:fldCharType="separate"/>
      </w:r>
      <w:r>
        <w:rPr>
          <w:noProof/>
        </w:rPr>
        <w:t>(</w:t>
      </w:r>
      <w:hyperlink w:anchor="_ENREF_56" w:tooltip="Weeks, 1991 #35" w:history="1">
        <w:r w:rsidR="00BB0145">
          <w:rPr>
            <w:noProof/>
          </w:rPr>
          <w:t>1991</w:t>
        </w:r>
      </w:hyperlink>
      <w:r>
        <w:rPr>
          <w:noProof/>
        </w:rPr>
        <w:t>)</w:t>
      </w:r>
      <w:r>
        <w:fldChar w:fldCharType="end"/>
      </w:r>
      <w:r>
        <w:t xml:space="preserve"> to determine a daily disutility associated with infusions. Over the course of a year, 13 infusion days have been estimated, leading to an estimated annual disutility of 0.0075 associated with IVIg infusions every four weeks. As the source data for baseline infection-free utility were based on patients on treatment, this disutility is implicit within the data, and so will be added to the infection-free utility in the No Ig arm of the model. A sensitivity analysis will be presented where this disutility is excluded.</w:t>
      </w:r>
    </w:p>
    <w:p w14:paraId="40C32E0E" w14:textId="2EE359BB" w:rsidR="00F6556E" w:rsidRDefault="00F6556E" w:rsidP="00F6556E">
      <w:r w:rsidRPr="000B5A24">
        <w:t xml:space="preserve">AEs </w:t>
      </w:r>
      <w:r w:rsidR="00312B95">
        <w:t xml:space="preserve">in the clinical evidence </w:t>
      </w:r>
      <w:r w:rsidRPr="000B5A24">
        <w:t xml:space="preserve">associated with </w:t>
      </w:r>
      <w:r w:rsidR="00312B95">
        <w:t xml:space="preserve">Ig were generally infusion-related. While AEs related to </w:t>
      </w:r>
      <w:r w:rsidRPr="000B5A24">
        <w:t>infusion were frequent</w:t>
      </w:r>
      <w:r w:rsidR="00312B95">
        <w:t xml:space="preserve">, these were </w:t>
      </w:r>
      <w:r w:rsidRPr="000B5A24">
        <w:t>generally mild</w:t>
      </w:r>
      <w:r>
        <w:t xml:space="preserve"> </w:t>
      </w:r>
      <w:r w:rsidRPr="000B5A24">
        <w:t xml:space="preserve">and manageable with adjustments to infusion. Moderate AEs tended to be less frequent and were manageable with dose adjustment, cessation or corticosteroids. None of the included studies reported any AEs greater than Grade 3 severity, nor were there any </w:t>
      </w:r>
      <w:r>
        <w:t>deaths or anaphylaxis due to Ig</w:t>
      </w:r>
      <w:r w:rsidRPr="000B5A24">
        <w:t>.</w:t>
      </w:r>
      <w:r w:rsidR="00312B95">
        <w:t xml:space="preserve"> On this basis, no quality-of-life adjustments have been made with respect to AEs related to IVIg infusion.</w:t>
      </w:r>
    </w:p>
    <w:p w14:paraId="1ACA9C90" w14:textId="34B2DC40" w:rsidR="00F6556E" w:rsidRDefault="00F6556E" w:rsidP="00F6556E">
      <w:r>
        <w:t>The utility weights used in the model are presented in</w:t>
      </w:r>
      <w:r w:rsidR="00190B86">
        <w:t xml:space="preserve"> </w:t>
      </w:r>
      <w:r w:rsidR="00190B86">
        <w:fldChar w:fldCharType="begin"/>
      </w:r>
      <w:r w:rsidR="00190B86">
        <w:instrText xml:space="preserve"> REF _Ref14963762 \h </w:instrText>
      </w:r>
      <w:r w:rsidR="00190B86">
        <w:fldChar w:fldCharType="separate"/>
      </w:r>
      <w:r w:rsidR="00A7463B">
        <w:t xml:space="preserve">Table </w:t>
      </w:r>
      <w:r w:rsidR="00A7463B">
        <w:rPr>
          <w:noProof/>
        </w:rPr>
        <w:t>34</w:t>
      </w:r>
      <w:r w:rsidR="00190B86">
        <w:fldChar w:fldCharType="end"/>
      </w:r>
      <w:r>
        <w:t>.</w:t>
      </w:r>
    </w:p>
    <w:p w14:paraId="69E5131B" w14:textId="7328B495" w:rsidR="00F6556E" w:rsidRDefault="00F6556E" w:rsidP="00F6556E">
      <w:pPr>
        <w:pStyle w:val="Caption"/>
        <w:keepNext/>
      </w:pPr>
      <w:bookmarkStart w:id="407" w:name="_Ref14963762"/>
      <w:bookmarkStart w:id="408" w:name="_Toc16671632"/>
      <w:r>
        <w:t xml:space="preserve">Table </w:t>
      </w:r>
      <w:r>
        <w:rPr>
          <w:noProof/>
        </w:rPr>
        <w:fldChar w:fldCharType="begin"/>
      </w:r>
      <w:r>
        <w:rPr>
          <w:noProof/>
        </w:rPr>
        <w:instrText xml:space="preserve"> SEQ Table \* ARABIC </w:instrText>
      </w:r>
      <w:r>
        <w:rPr>
          <w:noProof/>
        </w:rPr>
        <w:fldChar w:fldCharType="separate"/>
      </w:r>
      <w:r w:rsidR="00A7463B">
        <w:rPr>
          <w:noProof/>
        </w:rPr>
        <w:t>34</w:t>
      </w:r>
      <w:r>
        <w:rPr>
          <w:noProof/>
        </w:rPr>
        <w:fldChar w:fldCharType="end"/>
      </w:r>
      <w:bookmarkEnd w:id="407"/>
      <w:r>
        <w:tab/>
        <w:t>Utility weights used in the economic evaluation</w:t>
      </w:r>
      <w:bookmarkEnd w:id="408"/>
    </w:p>
    <w:tbl>
      <w:tblPr>
        <w:tblStyle w:val="TableGrid"/>
        <w:tblW w:w="0" w:type="auto"/>
        <w:tblLook w:val="04A0" w:firstRow="1" w:lastRow="0" w:firstColumn="1" w:lastColumn="0" w:noHBand="0" w:noVBand="1"/>
        <w:tblCaption w:val="Utility weights used in the economic evaluation"/>
      </w:tblPr>
      <w:tblGrid>
        <w:gridCol w:w="4106"/>
        <w:gridCol w:w="992"/>
        <w:gridCol w:w="993"/>
        <w:gridCol w:w="2925"/>
      </w:tblGrid>
      <w:tr w:rsidR="00F6556E" w:rsidRPr="00CF107F" w14:paraId="3D9F3DE8" w14:textId="77777777" w:rsidTr="00312B95">
        <w:trPr>
          <w:cantSplit/>
          <w:tblHeader/>
        </w:trPr>
        <w:tc>
          <w:tcPr>
            <w:tcW w:w="4106" w:type="dxa"/>
            <w:tcBorders>
              <w:bottom w:val="single" w:sz="4" w:space="0" w:color="auto"/>
            </w:tcBorders>
          </w:tcPr>
          <w:p w14:paraId="141AE800" w14:textId="77777777" w:rsidR="00F6556E" w:rsidRPr="00CF107F" w:rsidRDefault="00F6556E" w:rsidP="00312B95">
            <w:pPr>
              <w:pStyle w:val="TableHeading"/>
            </w:pPr>
          </w:p>
        </w:tc>
        <w:tc>
          <w:tcPr>
            <w:tcW w:w="992" w:type="dxa"/>
            <w:tcBorders>
              <w:bottom w:val="single" w:sz="4" w:space="0" w:color="auto"/>
            </w:tcBorders>
          </w:tcPr>
          <w:p w14:paraId="6742FEC5" w14:textId="77777777" w:rsidR="00F6556E" w:rsidRPr="00CF107F" w:rsidRDefault="00F6556E" w:rsidP="00312B95">
            <w:pPr>
              <w:pStyle w:val="TableHeading"/>
              <w:jc w:val="center"/>
            </w:pPr>
            <w:r>
              <w:t>Ig</w:t>
            </w:r>
          </w:p>
        </w:tc>
        <w:tc>
          <w:tcPr>
            <w:tcW w:w="993" w:type="dxa"/>
            <w:tcBorders>
              <w:bottom w:val="single" w:sz="4" w:space="0" w:color="auto"/>
            </w:tcBorders>
          </w:tcPr>
          <w:p w14:paraId="1034C34E" w14:textId="77777777" w:rsidR="00F6556E" w:rsidRPr="00CF107F" w:rsidRDefault="00F6556E" w:rsidP="00312B95">
            <w:pPr>
              <w:pStyle w:val="TableHeading"/>
              <w:jc w:val="center"/>
            </w:pPr>
            <w:r>
              <w:t>No Ig</w:t>
            </w:r>
          </w:p>
        </w:tc>
        <w:tc>
          <w:tcPr>
            <w:tcW w:w="2925" w:type="dxa"/>
            <w:tcBorders>
              <w:bottom w:val="single" w:sz="4" w:space="0" w:color="auto"/>
            </w:tcBorders>
          </w:tcPr>
          <w:p w14:paraId="533544DA" w14:textId="77777777" w:rsidR="00F6556E" w:rsidRDefault="00F6556E" w:rsidP="00312B95">
            <w:pPr>
              <w:pStyle w:val="TableHeading"/>
              <w:jc w:val="center"/>
            </w:pPr>
            <w:r>
              <w:t>Source</w:t>
            </w:r>
          </w:p>
        </w:tc>
      </w:tr>
      <w:tr w:rsidR="00F6556E" w:rsidRPr="00CF107F" w14:paraId="46BE3B20" w14:textId="77777777" w:rsidTr="00312B95">
        <w:trPr>
          <w:cantSplit/>
        </w:trPr>
        <w:tc>
          <w:tcPr>
            <w:tcW w:w="4106" w:type="dxa"/>
            <w:tcBorders>
              <w:bottom w:val="nil"/>
            </w:tcBorders>
          </w:tcPr>
          <w:p w14:paraId="2116B78A" w14:textId="77777777" w:rsidR="00F6556E" w:rsidRPr="00CF107F" w:rsidRDefault="00F6556E" w:rsidP="00312B95">
            <w:pPr>
              <w:pStyle w:val="Tabletext1"/>
            </w:pPr>
            <w:r w:rsidRPr="00CF107F">
              <w:t>Utility infection-free</w:t>
            </w:r>
          </w:p>
        </w:tc>
        <w:tc>
          <w:tcPr>
            <w:tcW w:w="992" w:type="dxa"/>
            <w:tcBorders>
              <w:bottom w:val="nil"/>
            </w:tcBorders>
          </w:tcPr>
          <w:p w14:paraId="7F8BDCD4" w14:textId="77777777" w:rsidR="00F6556E" w:rsidRPr="00CF107F" w:rsidRDefault="00F6556E" w:rsidP="00312B95">
            <w:pPr>
              <w:pStyle w:val="Tabletext1"/>
              <w:jc w:val="center"/>
            </w:pPr>
            <w:r w:rsidRPr="00CF107F">
              <w:t>0.7073</w:t>
            </w:r>
          </w:p>
        </w:tc>
        <w:tc>
          <w:tcPr>
            <w:tcW w:w="993" w:type="dxa"/>
            <w:tcBorders>
              <w:bottom w:val="nil"/>
            </w:tcBorders>
          </w:tcPr>
          <w:p w14:paraId="33A3BDF5" w14:textId="77777777" w:rsidR="00F6556E" w:rsidRPr="00CF107F" w:rsidRDefault="00F6556E" w:rsidP="00312B95">
            <w:pPr>
              <w:pStyle w:val="Tabletext1"/>
              <w:jc w:val="center"/>
            </w:pPr>
            <w:r w:rsidRPr="00CF107F">
              <w:t>0.7073</w:t>
            </w:r>
          </w:p>
        </w:tc>
        <w:tc>
          <w:tcPr>
            <w:tcW w:w="2925" w:type="dxa"/>
            <w:tcBorders>
              <w:bottom w:val="nil"/>
            </w:tcBorders>
          </w:tcPr>
          <w:p w14:paraId="2BBB2D1B" w14:textId="7B2705F7" w:rsidR="00F6556E" w:rsidRPr="00CF107F" w:rsidRDefault="00F6556E" w:rsidP="00BB0145">
            <w:pPr>
              <w:pStyle w:val="Tabletext1"/>
              <w:jc w:val="center"/>
            </w:pPr>
            <w:r>
              <w:t xml:space="preserve">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p>
        </w:tc>
      </w:tr>
      <w:tr w:rsidR="00F6556E" w:rsidRPr="00CF107F" w14:paraId="018B9416" w14:textId="77777777" w:rsidTr="00312B95">
        <w:trPr>
          <w:cantSplit/>
        </w:trPr>
        <w:tc>
          <w:tcPr>
            <w:tcW w:w="4106" w:type="dxa"/>
            <w:tcBorders>
              <w:top w:val="nil"/>
              <w:bottom w:val="nil"/>
            </w:tcBorders>
          </w:tcPr>
          <w:p w14:paraId="0AEF1E0F" w14:textId="77777777" w:rsidR="00F6556E" w:rsidRPr="00CF107F" w:rsidRDefault="00F6556E" w:rsidP="00312B95">
            <w:pPr>
              <w:pStyle w:val="Tabletext1"/>
            </w:pPr>
            <w:r>
              <w:t>Disutility per infusion day</w:t>
            </w:r>
          </w:p>
        </w:tc>
        <w:tc>
          <w:tcPr>
            <w:tcW w:w="992" w:type="dxa"/>
            <w:tcBorders>
              <w:top w:val="nil"/>
              <w:bottom w:val="nil"/>
            </w:tcBorders>
          </w:tcPr>
          <w:p w14:paraId="1260DA5A" w14:textId="77777777" w:rsidR="00F6556E" w:rsidRPr="00CF107F" w:rsidRDefault="00F6556E" w:rsidP="00312B95">
            <w:pPr>
              <w:pStyle w:val="Tabletext1"/>
              <w:jc w:val="center"/>
            </w:pPr>
            <w:r>
              <w:t xml:space="preserve">0.0006 </w:t>
            </w:r>
            <w:r w:rsidRPr="00386727">
              <w:rPr>
                <w:vertAlign w:val="superscript"/>
              </w:rPr>
              <w:t>a</w:t>
            </w:r>
          </w:p>
        </w:tc>
        <w:tc>
          <w:tcPr>
            <w:tcW w:w="993" w:type="dxa"/>
            <w:tcBorders>
              <w:top w:val="nil"/>
              <w:bottom w:val="nil"/>
            </w:tcBorders>
          </w:tcPr>
          <w:p w14:paraId="28A56B50" w14:textId="77777777" w:rsidR="00F6556E" w:rsidRPr="00CF107F" w:rsidRDefault="00F6556E" w:rsidP="00312B95">
            <w:pPr>
              <w:pStyle w:val="Tabletext1"/>
              <w:jc w:val="center"/>
            </w:pPr>
          </w:p>
        </w:tc>
        <w:tc>
          <w:tcPr>
            <w:tcW w:w="2925" w:type="dxa"/>
            <w:tcBorders>
              <w:top w:val="nil"/>
              <w:bottom w:val="nil"/>
            </w:tcBorders>
          </w:tcPr>
          <w:p w14:paraId="6D12B3E0" w14:textId="66CEB087" w:rsidR="00F6556E" w:rsidRDefault="00F6556E" w:rsidP="00BB0145">
            <w:pPr>
              <w:pStyle w:val="Tabletext1"/>
              <w:jc w:val="center"/>
            </w:pPr>
            <w:r w:rsidRPr="00C127B0">
              <w:t>Weeks, Tierney &amp; Weinstein</w:t>
            </w:r>
            <w:r>
              <w:t xml:space="preserve"> </w:t>
            </w:r>
            <w:r>
              <w:fldChar w:fldCharType="begin"/>
            </w:r>
            <w:r>
              <w:instrText xml:space="preserve"> ADDIN EN.CITE &lt;EndNote&gt;&lt;Cite ExcludeAuth="1"&gt;&lt;Author&gt;Weeks&lt;/Author&gt;&lt;Year&gt;1991&lt;/Year&gt;&lt;RecNum&gt;35&lt;/RecNum&gt;&lt;DisplayText&gt;(1991)&lt;/DisplayText&gt;&lt;record&gt;&lt;rec-number&gt;35&lt;/rec-number&gt;&lt;foreign-keys&gt;&lt;key app="EN" db-id="z0vwsepdwpt20pewwts5z9eup9e2r2pd2tad" timestamp="1553825060"&gt;35&lt;/key&gt;&lt;/foreign-keys&gt;&lt;ref-type name="Journal Article"&gt;17&lt;/ref-type&gt;&lt;contributors&gt;&lt;authors&gt;&lt;author&gt;Weeks, J. C.&lt;/author&gt;&lt;author&gt;Tierney, M. R.&lt;/author&gt;&lt;author&gt;Weinstein, M. C.&lt;/author&gt;&lt;/authors&gt;&lt;/contributors&gt;&lt;titles&gt;&lt;title&gt;Cost effectiveness of prophylactic intravenous immune globulin in chronic lymphocytic leukemia&lt;/title&gt;&lt;secondary-title&gt;New England journal of medicine&lt;/secondary-title&gt;&lt;/titles&gt;&lt;periodical&gt;&lt;full-title&gt;New England journal of medicine&lt;/full-title&gt;&lt;/periodical&gt;&lt;pages&gt;81</w:instrText>
            </w:r>
            <w:r>
              <w:rPr>
                <w:rFonts w:ascii="Cambria Math" w:hAnsi="Cambria Math" w:cs="Cambria Math"/>
              </w:rPr>
              <w:instrText>‐</w:instrText>
            </w:r>
            <w:r>
              <w:instrText>86&lt;/pages&gt;&lt;volume&gt;325&lt;/volume&gt;&lt;number&gt;2&lt;/number&gt;&lt;keywords&gt;&lt;keyword&gt;Agammaglobulinemia [complications]&lt;/keyword&gt;&lt;keyword&gt;Bacterial Infections [*prevention &amp;amp; control]&lt;/keyword&gt;&lt;keyword&gt;Cost</w:instrText>
            </w:r>
            <w:r>
              <w:rPr>
                <w:rFonts w:ascii="Cambria Math" w:hAnsi="Cambria Math" w:cs="Cambria Math"/>
              </w:rPr>
              <w:instrText>‐</w:instrText>
            </w:r>
            <w:r>
              <w:instrText>Benefit Analysis&lt;/keyword&gt;&lt;keyword&gt;Humans&lt;/keyword&gt;&lt;keyword&gt;Immunization, Passive [*economics]&lt;/keyword&gt;&lt;keyword&gt;Immunoglobulins [*administration &amp;amp; dosage]&lt;/keyword&gt;&lt;keyword&gt;Infusions, Intravenous&lt;/keyword&gt;&lt;keyword&gt;Leukemia, Lymphocytic, Chronic, B</w:instrText>
            </w:r>
            <w:r>
              <w:rPr>
                <w:rFonts w:ascii="Cambria Math" w:hAnsi="Cambria Math" w:cs="Cambria Math"/>
              </w:rPr>
              <w:instrText>‐</w:instrText>
            </w:r>
            <w:r>
              <w:instrText>Cell [*complications, economics]&lt;/keyword&gt;&lt;keyword&gt;Life Expectancy&lt;/keyword&gt;&lt;keyword&gt;Models, Theoretical&lt;/keyword&gt;&lt;keyword&gt;Quality of Life&lt;/keyword&gt;&lt;keyword&gt;United States&lt;/keyword&gt;&lt;keyword&gt;Cost-Benefit Analysis&lt;/keyword&gt;&lt;keyword&gt;Leukemia, Lymphoid&lt;/keyword&gt;&lt;keyword&gt;Immunoglobulins, Intravenous&lt;/keyword&gt;&lt;keyword&gt;Immunoglobulins&lt;/keyword&gt;&lt;/keywords&gt;&lt;dates&gt;&lt;year&gt;1991&lt;/year&gt;&lt;pub-dates&gt;&lt;date&gt;1991&lt;/date&gt;&lt;/pub-dates&gt;&lt;/dates&gt;&lt;accession-num&gt;CN-00076105&lt;/accession-num&gt;&lt;urls&gt;&lt;related-urls&gt;&lt;url&gt;&lt;style face="underline" font="default" size="100%"&gt;https://www.cochranelibrary.com/central/doi/10.1002/central/CN-00076105/full&lt;/style&gt;&lt;/url&gt;&lt;/related-urls&gt;&lt;/urls&gt;&lt;custom1&gt;RAYYAN-INCLUSION: {&amp;quot;Skye&amp;quot;=&amp;gt;&amp;quot;Included&amp;quot;}&lt;/custom1&gt;&lt;research-notes&gt;X - decision analytic study, no new clinical data&lt;/research-notes&gt;&lt;/record&gt;&lt;/Cite&gt;&lt;/EndNote&gt;</w:instrText>
            </w:r>
            <w:r>
              <w:fldChar w:fldCharType="separate"/>
            </w:r>
            <w:r>
              <w:rPr>
                <w:noProof/>
              </w:rPr>
              <w:t>(</w:t>
            </w:r>
            <w:hyperlink w:anchor="_ENREF_56" w:tooltip="Weeks, 1991 #35" w:history="1">
              <w:r w:rsidR="00BB0145">
                <w:rPr>
                  <w:noProof/>
                </w:rPr>
                <w:t>1991</w:t>
              </w:r>
            </w:hyperlink>
            <w:r>
              <w:rPr>
                <w:noProof/>
              </w:rPr>
              <w:t>)</w:t>
            </w:r>
            <w:r>
              <w:fldChar w:fldCharType="end"/>
            </w:r>
          </w:p>
        </w:tc>
      </w:tr>
      <w:tr w:rsidR="00F6556E" w:rsidRPr="00CF107F" w14:paraId="0F011805" w14:textId="77777777" w:rsidTr="00312B95">
        <w:trPr>
          <w:cantSplit/>
        </w:trPr>
        <w:tc>
          <w:tcPr>
            <w:tcW w:w="4106" w:type="dxa"/>
            <w:tcBorders>
              <w:top w:val="nil"/>
              <w:bottom w:val="nil"/>
            </w:tcBorders>
          </w:tcPr>
          <w:p w14:paraId="62BCBF45" w14:textId="77777777" w:rsidR="00F6556E" w:rsidRDefault="00F6556E" w:rsidP="00312B95">
            <w:pPr>
              <w:pStyle w:val="Tabletext1"/>
            </w:pPr>
            <w:r>
              <w:t>No. infusion days per year</w:t>
            </w:r>
          </w:p>
        </w:tc>
        <w:tc>
          <w:tcPr>
            <w:tcW w:w="992" w:type="dxa"/>
            <w:tcBorders>
              <w:top w:val="nil"/>
              <w:bottom w:val="nil"/>
            </w:tcBorders>
          </w:tcPr>
          <w:p w14:paraId="7E02AB81" w14:textId="77777777" w:rsidR="00F6556E" w:rsidRDefault="00F6556E" w:rsidP="00312B95">
            <w:pPr>
              <w:pStyle w:val="Tabletext1"/>
              <w:jc w:val="center"/>
            </w:pPr>
            <w:r>
              <w:t xml:space="preserve">13 </w:t>
            </w:r>
            <w:r w:rsidRPr="00386727">
              <w:rPr>
                <w:vertAlign w:val="superscript"/>
              </w:rPr>
              <w:t>b</w:t>
            </w:r>
          </w:p>
        </w:tc>
        <w:tc>
          <w:tcPr>
            <w:tcW w:w="993" w:type="dxa"/>
            <w:tcBorders>
              <w:top w:val="nil"/>
              <w:bottom w:val="nil"/>
            </w:tcBorders>
          </w:tcPr>
          <w:p w14:paraId="477A7FAE" w14:textId="77777777" w:rsidR="00F6556E" w:rsidRPr="00CF107F" w:rsidRDefault="00F6556E" w:rsidP="00312B95">
            <w:pPr>
              <w:pStyle w:val="Tabletext1"/>
              <w:jc w:val="center"/>
            </w:pPr>
          </w:p>
        </w:tc>
        <w:tc>
          <w:tcPr>
            <w:tcW w:w="2925" w:type="dxa"/>
            <w:tcBorders>
              <w:top w:val="nil"/>
              <w:bottom w:val="nil"/>
            </w:tcBorders>
          </w:tcPr>
          <w:p w14:paraId="41810DF4" w14:textId="77777777" w:rsidR="00F6556E" w:rsidRDefault="00F6556E" w:rsidP="00312B95">
            <w:pPr>
              <w:pStyle w:val="Tabletext1"/>
              <w:jc w:val="center"/>
            </w:pPr>
          </w:p>
        </w:tc>
      </w:tr>
      <w:tr w:rsidR="00F6556E" w:rsidRPr="00CF107F" w14:paraId="2AF70510" w14:textId="77777777" w:rsidTr="00312B95">
        <w:trPr>
          <w:cantSplit/>
        </w:trPr>
        <w:tc>
          <w:tcPr>
            <w:tcW w:w="4106" w:type="dxa"/>
            <w:tcBorders>
              <w:top w:val="nil"/>
              <w:bottom w:val="nil"/>
            </w:tcBorders>
          </w:tcPr>
          <w:p w14:paraId="38032B25" w14:textId="77777777" w:rsidR="00F6556E" w:rsidRDefault="00F6556E" w:rsidP="00312B95">
            <w:pPr>
              <w:pStyle w:val="Tabletext1"/>
            </w:pPr>
            <w:r>
              <w:t>Annual disutility due to infusions</w:t>
            </w:r>
          </w:p>
        </w:tc>
        <w:tc>
          <w:tcPr>
            <w:tcW w:w="992" w:type="dxa"/>
            <w:tcBorders>
              <w:top w:val="nil"/>
              <w:bottom w:val="nil"/>
            </w:tcBorders>
          </w:tcPr>
          <w:p w14:paraId="6C9AEE2D" w14:textId="77777777" w:rsidR="00F6556E" w:rsidRDefault="00F6556E" w:rsidP="00312B95">
            <w:pPr>
              <w:pStyle w:val="Tabletext1"/>
              <w:jc w:val="center"/>
            </w:pPr>
            <w:r>
              <w:t>0.0075</w:t>
            </w:r>
          </w:p>
        </w:tc>
        <w:tc>
          <w:tcPr>
            <w:tcW w:w="993" w:type="dxa"/>
            <w:tcBorders>
              <w:top w:val="nil"/>
              <w:bottom w:val="nil"/>
            </w:tcBorders>
          </w:tcPr>
          <w:p w14:paraId="0EB015FC" w14:textId="77777777" w:rsidR="00F6556E" w:rsidRPr="00CF107F" w:rsidRDefault="00F6556E" w:rsidP="00312B95">
            <w:pPr>
              <w:pStyle w:val="Tabletext1"/>
              <w:jc w:val="center"/>
            </w:pPr>
          </w:p>
        </w:tc>
        <w:tc>
          <w:tcPr>
            <w:tcW w:w="2925" w:type="dxa"/>
            <w:tcBorders>
              <w:top w:val="nil"/>
              <w:bottom w:val="nil"/>
            </w:tcBorders>
          </w:tcPr>
          <w:p w14:paraId="14480BBD" w14:textId="77777777" w:rsidR="00F6556E" w:rsidRDefault="00F6556E" w:rsidP="00312B95">
            <w:pPr>
              <w:pStyle w:val="Tabletext1"/>
              <w:jc w:val="center"/>
            </w:pPr>
          </w:p>
        </w:tc>
      </w:tr>
      <w:tr w:rsidR="00F6556E" w:rsidRPr="00CF107F" w14:paraId="24352781" w14:textId="77777777" w:rsidTr="00312B95">
        <w:trPr>
          <w:cantSplit/>
        </w:trPr>
        <w:tc>
          <w:tcPr>
            <w:tcW w:w="4106" w:type="dxa"/>
            <w:tcBorders>
              <w:top w:val="nil"/>
              <w:bottom w:val="single" w:sz="4" w:space="0" w:color="auto"/>
            </w:tcBorders>
          </w:tcPr>
          <w:p w14:paraId="618A0184" w14:textId="77777777" w:rsidR="00F6556E" w:rsidRDefault="00F6556E" w:rsidP="00312B95">
            <w:pPr>
              <w:pStyle w:val="Tabletext1"/>
            </w:pPr>
            <w:r w:rsidRPr="00386727">
              <w:t>Utility in infection-free, including IV infusions</w:t>
            </w:r>
          </w:p>
        </w:tc>
        <w:tc>
          <w:tcPr>
            <w:tcW w:w="992" w:type="dxa"/>
            <w:tcBorders>
              <w:top w:val="nil"/>
              <w:bottom w:val="single" w:sz="4" w:space="0" w:color="auto"/>
            </w:tcBorders>
          </w:tcPr>
          <w:p w14:paraId="06690278" w14:textId="77777777" w:rsidR="00F6556E" w:rsidRDefault="00F6556E" w:rsidP="00312B95">
            <w:pPr>
              <w:pStyle w:val="Tabletext1"/>
              <w:jc w:val="center"/>
            </w:pPr>
            <w:r w:rsidRPr="00C977B4">
              <w:t>0.7073</w:t>
            </w:r>
          </w:p>
        </w:tc>
        <w:tc>
          <w:tcPr>
            <w:tcW w:w="993" w:type="dxa"/>
            <w:tcBorders>
              <w:top w:val="nil"/>
              <w:bottom w:val="single" w:sz="4" w:space="0" w:color="auto"/>
            </w:tcBorders>
          </w:tcPr>
          <w:p w14:paraId="05905D16" w14:textId="77777777" w:rsidR="00F6556E" w:rsidRPr="00CF107F" w:rsidRDefault="00F6556E" w:rsidP="00312B95">
            <w:pPr>
              <w:pStyle w:val="Tabletext1"/>
              <w:jc w:val="center"/>
            </w:pPr>
            <w:r w:rsidRPr="00C977B4">
              <w:t>0.7148</w:t>
            </w:r>
            <w:r>
              <w:t xml:space="preserve"> </w:t>
            </w:r>
            <w:r w:rsidRPr="00386727">
              <w:rPr>
                <w:vertAlign w:val="superscript"/>
              </w:rPr>
              <w:t>c</w:t>
            </w:r>
          </w:p>
        </w:tc>
        <w:tc>
          <w:tcPr>
            <w:tcW w:w="2925" w:type="dxa"/>
            <w:tcBorders>
              <w:top w:val="nil"/>
              <w:bottom w:val="single" w:sz="4" w:space="0" w:color="auto"/>
            </w:tcBorders>
          </w:tcPr>
          <w:p w14:paraId="0E4FBDE8" w14:textId="77777777" w:rsidR="00F6556E" w:rsidRDefault="00F6556E" w:rsidP="00312B95">
            <w:pPr>
              <w:pStyle w:val="Tabletext1"/>
              <w:jc w:val="center"/>
            </w:pPr>
          </w:p>
        </w:tc>
      </w:tr>
      <w:tr w:rsidR="00F6556E" w:rsidRPr="00CF107F" w14:paraId="606F05ED" w14:textId="77777777" w:rsidTr="00312B95">
        <w:trPr>
          <w:cantSplit/>
        </w:trPr>
        <w:tc>
          <w:tcPr>
            <w:tcW w:w="4106" w:type="dxa"/>
            <w:tcBorders>
              <w:top w:val="single" w:sz="4" w:space="0" w:color="auto"/>
              <w:bottom w:val="nil"/>
              <w:right w:val="single" w:sz="4" w:space="0" w:color="auto"/>
            </w:tcBorders>
          </w:tcPr>
          <w:p w14:paraId="26393883" w14:textId="77777777" w:rsidR="00F6556E" w:rsidRPr="00CF107F" w:rsidRDefault="00F6556E" w:rsidP="00312B95">
            <w:pPr>
              <w:pStyle w:val="Tabletext1"/>
            </w:pPr>
            <w:r w:rsidRPr="00CF107F">
              <w:t>Distribution of infection severity</w:t>
            </w:r>
          </w:p>
        </w:tc>
        <w:tc>
          <w:tcPr>
            <w:tcW w:w="992" w:type="dxa"/>
            <w:tcBorders>
              <w:top w:val="single" w:sz="4" w:space="0" w:color="auto"/>
              <w:left w:val="single" w:sz="4" w:space="0" w:color="auto"/>
              <w:bottom w:val="nil"/>
              <w:right w:val="single" w:sz="4" w:space="0" w:color="auto"/>
            </w:tcBorders>
          </w:tcPr>
          <w:p w14:paraId="7C39B95A" w14:textId="77777777" w:rsidR="00F6556E" w:rsidRPr="00CF107F" w:rsidRDefault="00F6556E" w:rsidP="00312B95">
            <w:pPr>
              <w:pStyle w:val="Tabletext1"/>
              <w:jc w:val="center"/>
            </w:pPr>
          </w:p>
        </w:tc>
        <w:tc>
          <w:tcPr>
            <w:tcW w:w="993" w:type="dxa"/>
            <w:tcBorders>
              <w:top w:val="single" w:sz="4" w:space="0" w:color="auto"/>
              <w:left w:val="single" w:sz="4" w:space="0" w:color="auto"/>
              <w:bottom w:val="nil"/>
            </w:tcBorders>
          </w:tcPr>
          <w:p w14:paraId="4D88A1A3" w14:textId="77777777" w:rsidR="00F6556E" w:rsidRPr="00CF107F" w:rsidRDefault="00F6556E" w:rsidP="00312B95">
            <w:pPr>
              <w:pStyle w:val="Tabletext1"/>
              <w:jc w:val="center"/>
            </w:pPr>
          </w:p>
        </w:tc>
        <w:tc>
          <w:tcPr>
            <w:tcW w:w="2925" w:type="dxa"/>
            <w:tcBorders>
              <w:top w:val="single" w:sz="4" w:space="0" w:color="auto"/>
              <w:left w:val="single" w:sz="4" w:space="0" w:color="auto"/>
              <w:bottom w:val="nil"/>
            </w:tcBorders>
          </w:tcPr>
          <w:p w14:paraId="0DADD272" w14:textId="77777777" w:rsidR="00F6556E" w:rsidRPr="00CF107F" w:rsidRDefault="00F6556E" w:rsidP="00312B95">
            <w:pPr>
              <w:pStyle w:val="Tabletext1"/>
              <w:jc w:val="center"/>
            </w:pPr>
            <w:r>
              <w:t>Section D.4.1</w:t>
            </w:r>
          </w:p>
        </w:tc>
      </w:tr>
      <w:tr w:rsidR="00F6556E" w:rsidRPr="00CF107F" w14:paraId="03ECAB46" w14:textId="77777777" w:rsidTr="00312B95">
        <w:trPr>
          <w:cantSplit/>
        </w:trPr>
        <w:tc>
          <w:tcPr>
            <w:tcW w:w="4106" w:type="dxa"/>
            <w:tcBorders>
              <w:top w:val="nil"/>
              <w:bottom w:val="nil"/>
            </w:tcBorders>
          </w:tcPr>
          <w:p w14:paraId="1E433CE0" w14:textId="77777777" w:rsidR="00F6556E" w:rsidRPr="00CF107F" w:rsidRDefault="00F6556E" w:rsidP="00312B95">
            <w:pPr>
              <w:pStyle w:val="Tabletext1"/>
            </w:pPr>
            <w:r>
              <w:t xml:space="preserve">  − Serious</w:t>
            </w:r>
            <w:r w:rsidRPr="00CF107F">
              <w:t xml:space="preserve"> infections, utility decrement 0.41</w:t>
            </w:r>
          </w:p>
        </w:tc>
        <w:tc>
          <w:tcPr>
            <w:tcW w:w="992" w:type="dxa"/>
            <w:tcBorders>
              <w:top w:val="nil"/>
              <w:bottom w:val="nil"/>
            </w:tcBorders>
          </w:tcPr>
          <w:p w14:paraId="148326CF" w14:textId="77777777" w:rsidR="00F6556E" w:rsidRPr="00CF107F" w:rsidRDefault="00F6556E" w:rsidP="00312B95">
            <w:pPr>
              <w:pStyle w:val="Tabletext1"/>
              <w:jc w:val="center"/>
            </w:pPr>
            <w:r w:rsidRPr="008E47E1">
              <w:t>19.1%</w:t>
            </w:r>
          </w:p>
        </w:tc>
        <w:tc>
          <w:tcPr>
            <w:tcW w:w="993" w:type="dxa"/>
            <w:tcBorders>
              <w:top w:val="nil"/>
              <w:bottom w:val="nil"/>
            </w:tcBorders>
          </w:tcPr>
          <w:p w14:paraId="067486FA" w14:textId="77777777" w:rsidR="00F6556E" w:rsidRPr="00CF107F" w:rsidRDefault="00F6556E" w:rsidP="00312B95">
            <w:pPr>
              <w:pStyle w:val="Tabletext1"/>
              <w:jc w:val="center"/>
            </w:pPr>
            <w:r w:rsidRPr="008E47E1">
              <w:t>29.0%</w:t>
            </w:r>
          </w:p>
        </w:tc>
        <w:tc>
          <w:tcPr>
            <w:tcW w:w="2925" w:type="dxa"/>
            <w:tcBorders>
              <w:top w:val="nil"/>
              <w:bottom w:val="nil"/>
            </w:tcBorders>
          </w:tcPr>
          <w:p w14:paraId="3F6AEC01" w14:textId="33C1316B" w:rsidR="00F6556E" w:rsidRPr="00CF107F" w:rsidRDefault="00F6556E" w:rsidP="00BB0145">
            <w:pPr>
              <w:pStyle w:val="Tabletext1"/>
              <w:jc w:val="center"/>
            </w:pPr>
            <w:r w:rsidRPr="00C127B0">
              <w:t>Weeks, Tierney &amp; Weinstein</w:t>
            </w:r>
            <w:r w:rsidRPr="00BA7EA6">
              <w:t xml:space="preserve"> </w:t>
            </w:r>
            <w:r>
              <w:fldChar w:fldCharType="begin"/>
            </w:r>
            <w:r>
              <w:instrText xml:space="preserve"> ADDIN EN.CITE &lt;EndNote&gt;&lt;Cite ExcludeAuth="1"&gt;&lt;Author&gt;Weeks&lt;/Author&gt;&lt;Year&gt;1991&lt;/Year&gt;&lt;RecNum&gt;35&lt;/RecNum&gt;&lt;DisplayText&gt;(1991)&lt;/DisplayText&gt;&lt;record&gt;&lt;rec-number&gt;35&lt;/rec-number&gt;&lt;foreign-keys&gt;&lt;key app="EN" db-id="z0vwsepdwpt20pewwts5z9eup9e2r2pd2tad" timestamp="1553825060"&gt;35&lt;/key&gt;&lt;/foreign-keys&gt;&lt;ref-type name="Journal Article"&gt;17&lt;/ref-type&gt;&lt;contributors&gt;&lt;authors&gt;&lt;author&gt;Weeks, J. C.&lt;/author&gt;&lt;author&gt;Tierney, M. R.&lt;/author&gt;&lt;author&gt;Weinstein, M. C.&lt;/author&gt;&lt;/authors&gt;&lt;/contributors&gt;&lt;titles&gt;&lt;title&gt;Cost effectiveness of prophylactic intravenous immune globulin in chronic lymphocytic leukemia&lt;/title&gt;&lt;secondary-title&gt;New England journal of medicine&lt;/secondary-title&gt;&lt;/titles&gt;&lt;periodical&gt;&lt;full-title&gt;New England journal of medicine&lt;/full-title&gt;&lt;/periodical&gt;&lt;pages&gt;81</w:instrText>
            </w:r>
            <w:r>
              <w:rPr>
                <w:rFonts w:ascii="Cambria Math" w:hAnsi="Cambria Math" w:cs="Cambria Math"/>
              </w:rPr>
              <w:instrText>‐</w:instrText>
            </w:r>
            <w:r>
              <w:instrText>86&lt;/pages&gt;&lt;volume&gt;325&lt;/volume&gt;&lt;number&gt;2&lt;/number&gt;&lt;keywords&gt;&lt;keyword&gt;Agammaglobulinemia [complications]&lt;/keyword&gt;&lt;keyword&gt;Bacterial Infections [*prevention &amp;amp; control]&lt;/keyword&gt;&lt;keyword&gt;Cost</w:instrText>
            </w:r>
            <w:r>
              <w:rPr>
                <w:rFonts w:ascii="Cambria Math" w:hAnsi="Cambria Math" w:cs="Cambria Math"/>
              </w:rPr>
              <w:instrText>‐</w:instrText>
            </w:r>
            <w:r>
              <w:instrText>Benefit Analysis&lt;/keyword&gt;&lt;keyword&gt;Humans&lt;/keyword&gt;&lt;keyword&gt;Immunization, Passive [*economics]&lt;/keyword&gt;&lt;keyword&gt;Immunoglobulins [*administration &amp;amp; dosage]&lt;/keyword&gt;&lt;keyword&gt;Infusions, Intravenous&lt;/keyword&gt;&lt;keyword&gt;Leukemia, Lymphocytic, Chronic, B</w:instrText>
            </w:r>
            <w:r>
              <w:rPr>
                <w:rFonts w:ascii="Cambria Math" w:hAnsi="Cambria Math" w:cs="Cambria Math"/>
              </w:rPr>
              <w:instrText>‐</w:instrText>
            </w:r>
            <w:r>
              <w:instrText>Cell [*complications, economics]&lt;/keyword&gt;&lt;keyword&gt;Life Expectancy&lt;/keyword&gt;&lt;keyword&gt;Models, Theoretical&lt;/keyword&gt;&lt;keyword&gt;Quality of Life&lt;/keyword&gt;&lt;keyword&gt;United States&lt;/keyword&gt;&lt;keyword&gt;Cost-Benefit Analysis&lt;/keyword&gt;&lt;keyword&gt;Leukemia, Lymphoid&lt;/keyword&gt;&lt;keyword&gt;Immunoglobulins, Intravenous&lt;/keyword&gt;&lt;keyword&gt;Immunoglobulins&lt;/keyword&gt;&lt;/keywords&gt;&lt;dates&gt;&lt;year&gt;1991&lt;/year&gt;&lt;pub-dates&gt;&lt;date&gt;1991&lt;/date&gt;&lt;/pub-dates&gt;&lt;/dates&gt;&lt;accession-num&gt;CN-00076105&lt;/accession-num&gt;&lt;urls&gt;&lt;related-urls&gt;&lt;url&gt;&lt;style face="underline" font="default" size="100%"&gt;https://www.cochranelibrary.com/central/doi/10.1002/central/CN-00076105/full&lt;/style&gt;&lt;/url&gt;&lt;/related-urls&gt;&lt;/urls&gt;&lt;custom1&gt;RAYYAN-INCLUSION: {&amp;quot;Skye&amp;quot;=&amp;gt;&amp;quot;Included&amp;quot;}&lt;/custom1&gt;&lt;research-notes&gt;X - decision analytic study, no new clinical data&lt;/research-notes&gt;&lt;/record&gt;&lt;/Cite&gt;&lt;/EndNote&gt;</w:instrText>
            </w:r>
            <w:r>
              <w:fldChar w:fldCharType="separate"/>
            </w:r>
            <w:r>
              <w:rPr>
                <w:noProof/>
              </w:rPr>
              <w:t>(</w:t>
            </w:r>
            <w:hyperlink w:anchor="_ENREF_56" w:tooltip="Weeks, 1991 #35" w:history="1">
              <w:r w:rsidR="00BB0145">
                <w:rPr>
                  <w:noProof/>
                </w:rPr>
                <w:t>1991</w:t>
              </w:r>
            </w:hyperlink>
            <w:r>
              <w:rPr>
                <w:noProof/>
              </w:rPr>
              <w:t>)</w:t>
            </w:r>
            <w:r>
              <w:fldChar w:fldCharType="end"/>
            </w:r>
          </w:p>
        </w:tc>
      </w:tr>
      <w:tr w:rsidR="00F6556E" w:rsidRPr="00CF107F" w14:paraId="0ECD504C" w14:textId="77777777" w:rsidTr="00312B95">
        <w:trPr>
          <w:cantSplit/>
        </w:trPr>
        <w:tc>
          <w:tcPr>
            <w:tcW w:w="4106" w:type="dxa"/>
            <w:tcBorders>
              <w:top w:val="nil"/>
              <w:bottom w:val="nil"/>
            </w:tcBorders>
          </w:tcPr>
          <w:p w14:paraId="297345CB" w14:textId="77777777" w:rsidR="00F6556E" w:rsidRPr="00CF107F" w:rsidRDefault="00F6556E" w:rsidP="00312B95">
            <w:pPr>
              <w:pStyle w:val="Tabletext1"/>
            </w:pPr>
            <w:r>
              <w:t xml:space="preserve">  − Non-serious</w:t>
            </w:r>
            <w:r w:rsidRPr="00CF107F">
              <w:t xml:space="preserve"> infections, utility decrement 0.06</w:t>
            </w:r>
          </w:p>
        </w:tc>
        <w:tc>
          <w:tcPr>
            <w:tcW w:w="992" w:type="dxa"/>
            <w:tcBorders>
              <w:top w:val="nil"/>
              <w:bottom w:val="nil"/>
            </w:tcBorders>
          </w:tcPr>
          <w:p w14:paraId="46493A69" w14:textId="77777777" w:rsidR="00F6556E" w:rsidRPr="00CF107F" w:rsidRDefault="00F6556E" w:rsidP="00312B95">
            <w:pPr>
              <w:pStyle w:val="Tabletext1"/>
              <w:jc w:val="center"/>
            </w:pPr>
            <w:r w:rsidRPr="002A1220">
              <w:t>80.9%</w:t>
            </w:r>
          </w:p>
        </w:tc>
        <w:tc>
          <w:tcPr>
            <w:tcW w:w="993" w:type="dxa"/>
            <w:tcBorders>
              <w:top w:val="nil"/>
              <w:bottom w:val="nil"/>
            </w:tcBorders>
          </w:tcPr>
          <w:p w14:paraId="0252BACB" w14:textId="77777777" w:rsidR="00F6556E" w:rsidRPr="00CF107F" w:rsidRDefault="00F6556E" w:rsidP="00312B95">
            <w:pPr>
              <w:pStyle w:val="Tabletext1"/>
              <w:jc w:val="center"/>
            </w:pPr>
            <w:r w:rsidRPr="002A1220">
              <w:t>71.0%</w:t>
            </w:r>
          </w:p>
        </w:tc>
        <w:tc>
          <w:tcPr>
            <w:tcW w:w="2925" w:type="dxa"/>
            <w:tcBorders>
              <w:top w:val="nil"/>
              <w:bottom w:val="nil"/>
            </w:tcBorders>
          </w:tcPr>
          <w:p w14:paraId="3AD4BFC2" w14:textId="056EA485" w:rsidR="00F6556E" w:rsidRPr="00CF107F" w:rsidRDefault="00F6556E" w:rsidP="00BB0145">
            <w:pPr>
              <w:pStyle w:val="Tabletext1"/>
              <w:jc w:val="center"/>
            </w:pPr>
            <w:r w:rsidRPr="00C127B0">
              <w:t>Weeks, Tierney &amp; Weinstein</w:t>
            </w:r>
            <w:r w:rsidRPr="00BA7EA6">
              <w:t xml:space="preserve"> </w:t>
            </w:r>
            <w:r>
              <w:fldChar w:fldCharType="begin"/>
            </w:r>
            <w:r>
              <w:instrText xml:space="preserve"> ADDIN EN.CITE &lt;EndNote&gt;&lt;Cite ExcludeAuth="1"&gt;&lt;Author&gt;Weeks&lt;/Author&gt;&lt;Year&gt;1991&lt;/Year&gt;&lt;RecNum&gt;35&lt;/RecNum&gt;&lt;DisplayText&gt;(1991)&lt;/DisplayText&gt;&lt;record&gt;&lt;rec-number&gt;35&lt;/rec-number&gt;&lt;foreign-keys&gt;&lt;key app="EN" db-id="z0vwsepdwpt20pewwts5z9eup9e2r2pd2tad" timestamp="1553825060"&gt;35&lt;/key&gt;&lt;/foreign-keys&gt;&lt;ref-type name="Journal Article"&gt;17&lt;/ref-type&gt;&lt;contributors&gt;&lt;authors&gt;&lt;author&gt;Weeks, J. C.&lt;/author&gt;&lt;author&gt;Tierney, M. R.&lt;/author&gt;&lt;author&gt;Weinstein, M. C.&lt;/author&gt;&lt;/authors&gt;&lt;/contributors&gt;&lt;titles&gt;&lt;title&gt;Cost effectiveness of prophylactic intravenous immune globulin in chronic lymphocytic leukemia&lt;/title&gt;&lt;secondary-title&gt;New England journal of medicine&lt;/secondary-title&gt;&lt;/titles&gt;&lt;periodical&gt;&lt;full-title&gt;New England journal of medicine&lt;/full-title&gt;&lt;/periodical&gt;&lt;pages&gt;81</w:instrText>
            </w:r>
            <w:r>
              <w:rPr>
                <w:rFonts w:ascii="Cambria Math" w:hAnsi="Cambria Math" w:cs="Cambria Math"/>
              </w:rPr>
              <w:instrText>‐</w:instrText>
            </w:r>
            <w:r>
              <w:instrText>86&lt;/pages&gt;&lt;volume&gt;325&lt;/volume&gt;&lt;number&gt;2&lt;/number&gt;&lt;keywords&gt;&lt;keyword&gt;Agammaglobulinemia [complications]&lt;/keyword&gt;&lt;keyword&gt;Bacterial Infections [*prevention &amp;amp; control]&lt;/keyword&gt;&lt;keyword&gt;Cost</w:instrText>
            </w:r>
            <w:r>
              <w:rPr>
                <w:rFonts w:ascii="Cambria Math" w:hAnsi="Cambria Math" w:cs="Cambria Math"/>
              </w:rPr>
              <w:instrText>‐</w:instrText>
            </w:r>
            <w:r>
              <w:instrText>Benefit Analysis&lt;/keyword&gt;&lt;keyword&gt;Humans&lt;/keyword&gt;&lt;keyword&gt;Immunization, Passive [*economics]&lt;/keyword&gt;&lt;keyword&gt;Immunoglobulins [*administration &amp;amp; dosage]&lt;/keyword&gt;&lt;keyword&gt;Infusions, Intravenous&lt;/keyword&gt;&lt;keyword&gt;Leukemia, Lymphocytic, Chronic, B</w:instrText>
            </w:r>
            <w:r>
              <w:rPr>
                <w:rFonts w:ascii="Cambria Math" w:hAnsi="Cambria Math" w:cs="Cambria Math"/>
              </w:rPr>
              <w:instrText>‐</w:instrText>
            </w:r>
            <w:r>
              <w:instrText>Cell [*complications, economics]&lt;/keyword&gt;&lt;keyword&gt;Life Expectancy&lt;/keyword&gt;&lt;keyword&gt;Models, Theoretical&lt;/keyword&gt;&lt;keyword&gt;Quality of Life&lt;/keyword&gt;&lt;keyword&gt;United States&lt;/keyword&gt;&lt;keyword&gt;Cost-Benefit Analysis&lt;/keyword&gt;&lt;keyword&gt;Leukemia, Lymphoid&lt;/keyword&gt;&lt;keyword&gt;Immunoglobulins, Intravenous&lt;/keyword&gt;&lt;keyword&gt;Immunoglobulins&lt;/keyword&gt;&lt;/keywords&gt;&lt;dates&gt;&lt;year&gt;1991&lt;/year&gt;&lt;pub-dates&gt;&lt;date&gt;1991&lt;/date&gt;&lt;/pub-dates&gt;&lt;/dates&gt;&lt;accession-num&gt;CN-00076105&lt;/accession-num&gt;&lt;urls&gt;&lt;related-urls&gt;&lt;url&gt;&lt;style face="underline" font="default" size="100%"&gt;https://www.cochranelibrary.com/central/doi/10.1002/central/CN-00076105/full&lt;/style&gt;&lt;/url&gt;&lt;/related-urls&gt;&lt;/urls&gt;&lt;custom1&gt;RAYYAN-INCLUSION: {&amp;quot;Skye&amp;quot;=&amp;gt;&amp;quot;Included&amp;quot;}&lt;/custom1&gt;&lt;research-notes&gt;X - decision analytic study, no new clinical data&lt;/research-notes&gt;&lt;/record&gt;&lt;/Cite&gt;&lt;/EndNote&gt;</w:instrText>
            </w:r>
            <w:r>
              <w:fldChar w:fldCharType="separate"/>
            </w:r>
            <w:r>
              <w:rPr>
                <w:noProof/>
              </w:rPr>
              <w:t>(</w:t>
            </w:r>
            <w:hyperlink w:anchor="_ENREF_56" w:tooltip="Weeks, 1991 #35" w:history="1">
              <w:r w:rsidR="00BB0145">
                <w:rPr>
                  <w:noProof/>
                </w:rPr>
                <w:t>1991</w:t>
              </w:r>
            </w:hyperlink>
            <w:r>
              <w:rPr>
                <w:noProof/>
              </w:rPr>
              <w:t>)</w:t>
            </w:r>
            <w:r>
              <w:fldChar w:fldCharType="end"/>
            </w:r>
          </w:p>
        </w:tc>
      </w:tr>
      <w:tr w:rsidR="00F6556E" w:rsidRPr="00CF107F" w14:paraId="6015F4F3" w14:textId="77777777" w:rsidTr="00312B95">
        <w:trPr>
          <w:cantSplit/>
        </w:trPr>
        <w:tc>
          <w:tcPr>
            <w:tcW w:w="4106" w:type="dxa"/>
            <w:tcBorders>
              <w:top w:val="nil"/>
              <w:bottom w:val="nil"/>
            </w:tcBorders>
          </w:tcPr>
          <w:p w14:paraId="758E1D6B" w14:textId="77777777" w:rsidR="00F6556E" w:rsidRPr="00CF107F" w:rsidRDefault="00F6556E" w:rsidP="00312B95">
            <w:pPr>
              <w:pStyle w:val="Tabletext1"/>
            </w:pPr>
            <w:r w:rsidRPr="00CF107F">
              <w:t>Weighted utility decrement</w:t>
            </w:r>
            <w:r>
              <w:t xml:space="preserve"> of infections</w:t>
            </w:r>
          </w:p>
        </w:tc>
        <w:tc>
          <w:tcPr>
            <w:tcW w:w="992" w:type="dxa"/>
            <w:tcBorders>
              <w:top w:val="nil"/>
              <w:bottom w:val="nil"/>
            </w:tcBorders>
          </w:tcPr>
          <w:p w14:paraId="680B7958" w14:textId="77777777" w:rsidR="00F6556E" w:rsidRPr="00CF107F" w:rsidRDefault="00F6556E" w:rsidP="00312B95">
            <w:pPr>
              <w:pStyle w:val="Tabletext1"/>
              <w:jc w:val="center"/>
            </w:pPr>
            <w:r w:rsidRPr="00E41F89">
              <w:t>0.1268</w:t>
            </w:r>
          </w:p>
        </w:tc>
        <w:tc>
          <w:tcPr>
            <w:tcW w:w="993" w:type="dxa"/>
            <w:tcBorders>
              <w:top w:val="nil"/>
              <w:bottom w:val="nil"/>
            </w:tcBorders>
          </w:tcPr>
          <w:p w14:paraId="1B3B1F54" w14:textId="77777777" w:rsidR="00F6556E" w:rsidRPr="00CF107F" w:rsidRDefault="00F6556E" w:rsidP="00312B95">
            <w:pPr>
              <w:pStyle w:val="Tabletext1"/>
              <w:jc w:val="center"/>
            </w:pPr>
            <w:r w:rsidRPr="00E41F89">
              <w:t>0.1616</w:t>
            </w:r>
          </w:p>
        </w:tc>
        <w:tc>
          <w:tcPr>
            <w:tcW w:w="2925" w:type="dxa"/>
            <w:tcBorders>
              <w:top w:val="nil"/>
              <w:bottom w:val="nil"/>
            </w:tcBorders>
          </w:tcPr>
          <w:p w14:paraId="462DA4BE" w14:textId="77777777" w:rsidR="00F6556E" w:rsidRPr="00CF107F" w:rsidRDefault="00F6556E" w:rsidP="00312B95">
            <w:pPr>
              <w:pStyle w:val="Tabletext1"/>
              <w:jc w:val="center"/>
            </w:pPr>
          </w:p>
        </w:tc>
      </w:tr>
      <w:tr w:rsidR="00F6556E" w:rsidRPr="00CF107F" w14:paraId="197C1E04" w14:textId="77777777" w:rsidTr="00312B95">
        <w:trPr>
          <w:cantSplit/>
        </w:trPr>
        <w:tc>
          <w:tcPr>
            <w:tcW w:w="4106" w:type="dxa"/>
            <w:tcBorders>
              <w:top w:val="nil"/>
              <w:bottom w:val="single" w:sz="4" w:space="0" w:color="auto"/>
            </w:tcBorders>
          </w:tcPr>
          <w:p w14:paraId="4562E5A5" w14:textId="77777777" w:rsidR="00F6556E" w:rsidRPr="00CF107F" w:rsidRDefault="00F6556E" w:rsidP="00312B95">
            <w:pPr>
              <w:pStyle w:val="Tabletext1"/>
            </w:pPr>
            <w:r w:rsidRPr="00CF107F">
              <w:t>Utility with infection</w:t>
            </w:r>
          </w:p>
        </w:tc>
        <w:tc>
          <w:tcPr>
            <w:tcW w:w="992" w:type="dxa"/>
            <w:tcBorders>
              <w:top w:val="nil"/>
              <w:bottom w:val="single" w:sz="4" w:space="0" w:color="auto"/>
            </w:tcBorders>
          </w:tcPr>
          <w:p w14:paraId="7E10BCD6" w14:textId="77777777" w:rsidR="00F6556E" w:rsidRPr="00CF107F" w:rsidRDefault="00F6556E" w:rsidP="00312B95">
            <w:pPr>
              <w:pStyle w:val="Tabletext1"/>
              <w:jc w:val="center"/>
            </w:pPr>
            <w:r w:rsidRPr="00DF4642">
              <w:t>0.5805</w:t>
            </w:r>
          </w:p>
        </w:tc>
        <w:tc>
          <w:tcPr>
            <w:tcW w:w="993" w:type="dxa"/>
            <w:tcBorders>
              <w:top w:val="nil"/>
              <w:bottom w:val="single" w:sz="4" w:space="0" w:color="auto"/>
            </w:tcBorders>
          </w:tcPr>
          <w:p w14:paraId="63294C09" w14:textId="77777777" w:rsidR="00F6556E" w:rsidRPr="00CF107F" w:rsidRDefault="00F6556E" w:rsidP="00312B95">
            <w:pPr>
              <w:pStyle w:val="Tabletext1"/>
              <w:jc w:val="center"/>
            </w:pPr>
            <w:r w:rsidRPr="00DF4642">
              <w:t>0.5532</w:t>
            </w:r>
          </w:p>
        </w:tc>
        <w:tc>
          <w:tcPr>
            <w:tcW w:w="2925" w:type="dxa"/>
            <w:tcBorders>
              <w:top w:val="nil"/>
              <w:bottom w:val="single" w:sz="4" w:space="0" w:color="auto"/>
            </w:tcBorders>
          </w:tcPr>
          <w:p w14:paraId="4256DD7F" w14:textId="77777777" w:rsidR="00F6556E" w:rsidRPr="00CF107F" w:rsidRDefault="00F6556E" w:rsidP="00312B95">
            <w:pPr>
              <w:pStyle w:val="Tabletext1"/>
              <w:jc w:val="center"/>
            </w:pPr>
            <w:r>
              <w:t>Infection-free utility minus the weighted utility decrement of infections</w:t>
            </w:r>
          </w:p>
        </w:tc>
      </w:tr>
      <w:tr w:rsidR="00F6556E" w:rsidRPr="00CF107F" w14:paraId="67B2FF81" w14:textId="77777777" w:rsidTr="00312B95">
        <w:trPr>
          <w:cantSplit/>
        </w:trPr>
        <w:tc>
          <w:tcPr>
            <w:tcW w:w="4106" w:type="dxa"/>
            <w:tcBorders>
              <w:top w:val="single" w:sz="4" w:space="0" w:color="auto"/>
              <w:bottom w:val="single" w:sz="4" w:space="0" w:color="auto"/>
            </w:tcBorders>
          </w:tcPr>
          <w:p w14:paraId="499840DE" w14:textId="77777777" w:rsidR="00F6556E" w:rsidRPr="00CF107F" w:rsidRDefault="00F6556E" w:rsidP="00312B95">
            <w:pPr>
              <w:pStyle w:val="Tabletext1"/>
            </w:pPr>
            <w:r w:rsidRPr="00CF107F">
              <w:t xml:space="preserve">Utility of </w:t>
            </w:r>
            <w:r>
              <w:t>b</w:t>
            </w:r>
            <w:r w:rsidRPr="00CF107F">
              <w:t>ronchiectasis</w:t>
            </w:r>
          </w:p>
        </w:tc>
        <w:tc>
          <w:tcPr>
            <w:tcW w:w="992" w:type="dxa"/>
            <w:tcBorders>
              <w:top w:val="single" w:sz="4" w:space="0" w:color="auto"/>
              <w:bottom w:val="single" w:sz="4" w:space="0" w:color="auto"/>
            </w:tcBorders>
          </w:tcPr>
          <w:p w14:paraId="70FD4E13" w14:textId="77777777" w:rsidR="00F6556E" w:rsidRPr="00CF107F" w:rsidRDefault="00F6556E" w:rsidP="00312B95">
            <w:pPr>
              <w:pStyle w:val="Tabletext1"/>
              <w:jc w:val="center"/>
            </w:pPr>
            <w:r w:rsidRPr="00CF107F">
              <w:t>0.6392</w:t>
            </w:r>
          </w:p>
        </w:tc>
        <w:tc>
          <w:tcPr>
            <w:tcW w:w="993" w:type="dxa"/>
            <w:tcBorders>
              <w:top w:val="single" w:sz="4" w:space="0" w:color="auto"/>
              <w:bottom w:val="single" w:sz="4" w:space="0" w:color="auto"/>
            </w:tcBorders>
          </w:tcPr>
          <w:p w14:paraId="40A92F68" w14:textId="77777777" w:rsidR="00F6556E" w:rsidRPr="00CF107F" w:rsidRDefault="00F6556E" w:rsidP="00312B95">
            <w:pPr>
              <w:pStyle w:val="Tabletext1"/>
              <w:jc w:val="center"/>
            </w:pPr>
            <w:r w:rsidRPr="00CF107F">
              <w:t>0.6392</w:t>
            </w:r>
          </w:p>
        </w:tc>
        <w:tc>
          <w:tcPr>
            <w:tcW w:w="2925" w:type="dxa"/>
            <w:tcBorders>
              <w:top w:val="single" w:sz="4" w:space="0" w:color="auto"/>
              <w:bottom w:val="single" w:sz="4" w:space="0" w:color="auto"/>
            </w:tcBorders>
          </w:tcPr>
          <w:p w14:paraId="358C700A" w14:textId="6DEE99D2" w:rsidR="00F6556E" w:rsidRPr="00CF107F" w:rsidRDefault="00F6556E" w:rsidP="00BB0145">
            <w:pPr>
              <w:pStyle w:val="Tabletext1"/>
              <w:jc w:val="center"/>
            </w:pPr>
            <w:r>
              <w:t xml:space="preserve">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p>
        </w:tc>
      </w:tr>
      <w:tr w:rsidR="00F6556E" w:rsidRPr="00CF107F" w14:paraId="652DD378" w14:textId="77777777" w:rsidTr="00312B95">
        <w:trPr>
          <w:cantSplit/>
        </w:trPr>
        <w:tc>
          <w:tcPr>
            <w:tcW w:w="4106" w:type="dxa"/>
            <w:tcBorders>
              <w:top w:val="single" w:sz="4" w:space="0" w:color="auto"/>
              <w:bottom w:val="nil"/>
            </w:tcBorders>
          </w:tcPr>
          <w:p w14:paraId="5900E9D4" w14:textId="77777777" w:rsidR="00F6556E" w:rsidRPr="00CF107F" w:rsidRDefault="00F6556E" w:rsidP="00312B95">
            <w:pPr>
              <w:pStyle w:val="Tabletext1"/>
              <w:keepNext/>
            </w:pPr>
            <w:r>
              <w:t xml:space="preserve">Distribution of infection severity with bronchiectasis </w:t>
            </w:r>
            <w:r w:rsidRPr="00386727">
              <w:rPr>
                <w:vertAlign w:val="superscript"/>
              </w:rPr>
              <w:t>d</w:t>
            </w:r>
          </w:p>
        </w:tc>
        <w:tc>
          <w:tcPr>
            <w:tcW w:w="992" w:type="dxa"/>
            <w:tcBorders>
              <w:top w:val="single" w:sz="4" w:space="0" w:color="auto"/>
              <w:bottom w:val="nil"/>
            </w:tcBorders>
          </w:tcPr>
          <w:p w14:paraId="13174E6C" w14:textId="77777777" w:rsidR="00F6556E" w:rsidRPr="00CF107F" w:rsidRDefault="00F6556E" w:rsidP="00312B95">
            <w:pPr>
              <w:pStyle w:val="Tabletext1"/>
              <w:jc w:val="center"/>
            </w:pPr>
          </w:p>
        </w:tc>
        <w:tc>
          <w:tcPr>
            <w:tcW w:w="993" w:type="dxa"/>
            <w:tcBorders>
              <w:top w:val="single" w:sz="4" w:space="0" w:color="auto"/>
              <w:bottom w:val="nil"/>
            </w:tcBorders>
          </w:tcPr>
          <w:p w14:paraId="00284800" w14:textId="77777777" w:rsidR="00F6556E" w:rsidRPr="00CF107F" w:rsidRDefault="00F6556E" w:rsidP="00312B95">
            <w:pPr>
              <w:pStyle w:val="Tabletext1"/>
              <w:jc w:val="center"/>
            </w:pPr>
          </w:p>
        </w:tc>
        <w:tc>
          <w:tcPr>
            <w:tcW w:w="2925" w:type="dxa"/>
            <w:tcBorders>
              <w:top w:val="single" w:sz="4" w:space="0" w:color="auto"/>
              <w:bottom w:val="nil"/>
            </w:tcBorders>
          </w:tcPr>
          <w:p w14:paraId="245ED569" w14:textId="77777777" w:rsidR="00F6556E" w:rsidRDefault="00F6556E" w:rsidP="00312B95">
            <w:pPr>
              <w:pStyle w:val="Tabletext1"/>
              <w:jc w:val="center"/>
            </w:pPr>
          </w:p>
        </w:tc>
      </w:tr>
      <w:tr w:rsidR="00F6556E" w:rsidRPr="00CF107F" w14:paraId="10DC5180" w14:textId="77777777" w:rsidTr="00312B95">
        <w:trPr>
          <w:cantSplit/>
        </w:trPr>
        <w:tc>
          <w:tcPr>
            <w:tcW w:w="4106" w:type="dxa"/>
            <w:tcBorders>
              <w:top w:val="nil"/>
              <w:bottom w:val="nil"/>
            </w:tcBorders>
          </w:tcPr>
          <w:p w14:paraId="2A167EE8" w14:textId="77777777" w:rsidR="00F6556E" w:rsidRPr="00CF107F" w:rsidRDefault="00F6556E" w:rsidP="00312B95">
            <w:pPr>
              <w:pStyle w:val="Tabletext1"/>
            </w:pPr>
            <w:r>
              <w:t xml:space="preserve">  − Serious</w:t>
            </w:r>
            <w:r w:rsidRPr="00CF107F">
              <w:t xml:space="preserve"> infections, utility decrement 0.41</w:t>
            </w:r>
          </w:p>
        </w:tc>
        <w:tc>
          <w:tcPr>
            <w:tcW w:w="992" w:type="dxa"/>
            <w:tcBorders>
              <w:top w:val="nil"/>
              <w:bottom w:val="nil"/>
            </w:tcBorders>
          </w:tcPr>
          <w:p w14:paraId="3C0F5BBB" w14:textId="77777777" w:rsidR="00F6556E" w:rsidRPr="00CF107F" w:rsidRDefault="00F6556E" w:rsidP="00312B95">
            <w:pPr>
              <w:pStyle w:val="Tabletext1"/>
              <w:jc w:val="center"/>
            </w:pPr>
            <w:r>
              <w:t>12.5</w:t>
            </w:r>
            <w:r w:rsidRPr="008E47E1">
              <w:t>%</w:t>
            </w:r>
          </w:p>
        </w:tc>
        <w:tc>
          <w:tcPr>
            <w:tcW w:w="993" w:type="dxa"/>
            <w:tcBorders>
              <w:top w:val="nil"/>
              <w:bottom w:val="nil"/>
            </w:tcBorders>
          </w:tcPr>
          <w:p w14:paraId="343ED96B" w14:textId="77777777" w:rsidR="00F6556E" w:rsidRPr="00CF107F" w:rsidRDefault="00F6556E" w:rsidP="00312B95">
            <w:pPr>
              <w:pStyle w:val="Tabletext1"/>
              <w:jc w:val="center"/>
            </w:pPr>
            <w:r>
              <w:t>12.5</w:t>
            </w:r>
            <w:r w:rsidRPr="008E47E1">
              <w:t>%</w:t>
            </w:r>
          </w:p>
        </w:tc>
        <w:tc>
          <w:tcPr>
            <w:tcW w:w="2925" w:type="dxa"/>
            <w:tcBorders>
              <w:top w:val="nil"/>
              <w:bottom w:val="nil"/>
            </w:tcBorders>
          </w:tcPr>
          <w:p w14:paraId="6A27B875" w14:textId="1C9FA5A4" w:rsidR="00F6556E" w:rsidRPr="00CF107F" w:rsidRDefault="00F6556E" w:rsidP="00BB0145">
            <w:pPr>
              <w:pStyle w:val="Tabletext1"/>
              <w:jc w:val="center"/>
            </w:pPr>
            <w:r w:rsidRPr="00C127B0">
              <w:t>Weeks, Tierney &amp; Weinstein</w:t>
            </w:r>
            <w:r w:rsidRPr="00BA7EA6">
              <w:t xml:space="preserve"> </w:t>
            </w:r>
            <w:r>
              <w:fldChar w:fldCharType="begin"/>
            </w:r>
            <w:r>
              <w:instrText xml:space="preserve"> ADDIN EN.CITE &lt;EndNote&gt;&lt;Cite ExcludeAuth="1"&gt;&lt;Author&gt;Weeks&lt;/Author&gt;&lt;Year&gt;1991&lt;/Year&gt;&lt;RecNum&gt;35&lt;/RecNum&gt;&lt;DisplayText&gt;(1991)&lt;/DisplayText&gt;&lt;record&gt;&lt;rec-number&gt;35&lt;/rec-number&gt;&lt;foreign-keys&gt;&lt;key app="EN" db-id="z0vwsepdwpt20pewwts5z9eup9e2r2pd2tad" timestamp="1553825060"&gt;35&lt;/key&gt;&lt;/foreign-keys&gt;&lt;ref-type name="Journal Article"&gt;17&lt;/ref-type&gt;&lt;contributors&gt;&lt;authors&gt;&lt;author&gt;Weeks, J. C.&lt;/author&gt;&lt;author&gt;Tierney, M. R.&lt;/author&gt;&lt;author&gt;Weinstein, M. C.&lt;/author&gt;&lt;/authors&gt;&lt;/contributors&gt;&lt;titles&gt;&lt;title&gt;Cost effectiveness of prophylactic intravenous immune globulin in chronic lymphocytic leukemia&lt;/title&gt;&lt;secondary-title&gt;New England journal of medicine&lt;/secondary-title&gt;&lt;/titles&gt;&lt;periodical&gt;&lt;full-title&gt;New England journal of medicine&lt;/full-title&gt;&lt;/periodical&gt;&lt;pages&gt;81</w:instrText>
            </w:r>
            <w:r>
              <w:rPr>
                <w:rFonts w:ascii="Cambria Math" w:hAnsi="Cambria Math" w:cs="Cambria Math"/>
              </w:rPr>
              <w:instrText>‐</w:instrText>
            </w:r>
            <w:r>
              <w:instrText>86&lt;/pages&gt;&lt;volume&gt;325&lt;/volume&gt;&lt;number&gt;2&lt;/number&gt;&lt;keywords&gt;&lt;keyword&gt;Agammaglobulinemia [complications]&lt;/keyword&gt;&lt;keyword&gt;Bacterial Infections [*prevention &amp;amp; control]&lt;/keyword&gt;&lt;keyword&gt;Cost</w:instrText>
            </w:r>
            <w:r>
              <w:rPr>
                <w:rFonts w:ascii="Cambria Math" w:hAnsi="Cambria Math" w:cs="Cambria Math"/>
              </w:rPr>
              <w:instrText>‐</w:instrText>
            </w:r>
            <w:r>
              <w:instrText>Benefit Analysis&lt;/keyword&gt;&lt;keyword&gt;Humans&lt;/keyword&gt;&lt;keyword&gt;Immunization, Passive [*economics]&lt;/keyword&gt;&lt;keyword&gt;Immunoglobulins [*administration &amp;amp; dosage]&lt;/keyword&gt;&lt;keyword&gt;Infusions, Intravenous&lt;/keyword&gt;&lt;keyword&gt;Leukemia, Lymphocytic, Chronic, B</w:instrText>
            </w:r>
            <w:r>
              <w:rPr>
                <w:rFonts w:ascii="Cambria Math" w:hAnsi="Cambria Math" w:cs="Cambria Math"/>
              </w:rPr>
              <w:instrText>‐</w:instrText>
            </w:r>
            <w:r>
              <w:instrText>Cell [*complications, economics]&lt;/keyword&gt;&lt;keyword&gt;Life Expectancy&lt;/keyword&gt;&lt;keyword&gt;Models, Theoretical&lt;/keyword&gt;&lt;keyword&gt;Quality of Life&lt;/keyword&gt;&lt;keyword&gt;United States&lt;/keyword&gt;&lt;keyword&gt;Cost-Benefit Analysis&lt;/keyword&gt;&lt;keyword&gt;Leukemia, Lymphoid&lt;/keyword&gt;&lt;keyword&gt;Immunoglobulins, Intravenous&lt;/keyword&gt;&lt;keyword&gt;Immunoglobulins&lt;/keyword&gt;&lt;/keywords&gt;&lt;dates&gt;&lt;year&gt;1991&lt;/year&gt;&lt;pub-dates&gt;&lt;date&gt;1991&lt;/date&gt;&lt;/pub-dates&gt;&lt;/dates&gt;&lt;accession-num&gt;CN-00076105&lt;/accession-num&gt;&lt;urls&gt;&lt;related-urls&gt;&lt;url&gt;&lt;style face="underline" font="default" size="100%"&gt;https://www.cochranelibrary.com/central/doi/10.1002/central/CN-00076105/full&lt;/style&gt;&lt;/url&gt;&lt;/related-urls&gt;&lt;/urls&gt;&lt;custom1&gt;RAYYAN-INCLUSION: {&amp;quot;Skye&amp;quot;=&amp;gt;&amp;quot;Included&amp;quot;}&lt;/custom1&gt;&lt;research-notes&gt;X - decision analytic study, no new clinical data&lt;/research-notes&gt;&lt;/record&gt;&lt;/Cite&gt;&lt;/EndNote&gt;</w:instrText>
            </w:r>
            <w:r>
              <w:fldChar w:fldCharType="separate"/>
            </w:r>
            <w:r>
              <w:rPr>
                <w:noProof/>
              </w:rPr>
              <w:t>(</w:t>
            </w:r>
            <w:hyperlink w:anchor="_ENREF_56" w:tooltip="Weeks, 1991 #35" w:history="1">
              <w:r w:rsidR="00BB0145">
                <w:rPr>
                  <w:noProof/>
                </w:rPr>
                <w:t>1991</w:t>
              </w:r>
            </w:hyperlink>
            <w:r>
              <w:rPr>
                <w:noProof/>
              </w:rPr>
              <w:t>)</w:t>
            </w:r>
            <w:r>
              <w:fldChar w:fldCharType="end"/>
            </w:r>
          </w:p>
        </w:tc>
      </w:tr>
      <w:tr w:rsidR="00F6556E" w:rsidRPr="00CF107F" w14:paraId="73E22E58" w14:textId="77777777" w:rsidTr="00312B95">
        <w:trPr>
          <w:cantSplit/>
        </w:trPr>
        <w:tc>
          <w:tcPr>
            <w:tcW w:w="4106" w:type="dxa"/>
            <w:tcBorders>
              <w:top w:val="nil"/>
              <w:bottom w:val="nil"/>
            </w:tcBorders>
          </w:tcPr>
          <w:p w14:paraId="6F2F4BAD" w14:textId="77777777" w:rsidR="00F6556E" w:rsidRPr="00CF107F" w:rsidRDefault="00F6556E" w:rsidP="00312B95">
            <w:pPr>
              <w:pStyle w:val="Tabletext1"/>
            </w:pPr>
            <w:r>
              <w:t xml:space="preserve">  − Non-serious</w:t>
            </w:r>
            <w:r w:rsidRPr="00CF107F">
              <w:t xml:space="preserve"> infections, utility decrement 0.06</w:t>
            </w:r>
          </w:p>
        </w:tc>
        <w:tc>
          <w:tcPr>
            <w:tcW w:w="992" w:type="dxa"/>
            <w:tcBorders>
              <w:top w:val="nil"/>
              <w:bottom w:val="nil"/>
            </w:tcBorders>
          </w:tcPr>
          <w:p w14:paraId="04772430" w14:textId="77777777" w:rsidR="00F6556E" w:rsidRPr="00CF107F" w:rsidRDefault="00F6556E" w:rsidP="00312B95">
            <w:pPr>
              <w:pStyle w:val="Tabletext1"/>
              <w:jc w:val="center"/>
            </w:pPr>
            <w:r>
              <w:t>87.5</w:t>
            </w:r>
            <w:r w:rsidRPr="002A1220">
              <w:t>%</w:t>
            </w:r>
          </w:p>
        </w:tc>
        <w:tc>
          <w:tcPr>
            <w:tcW w:w="993" w:type="dxa"/>
            <w:tcBorders>
              <w:top w:val="nil"/>
              <w:bottom w:val="nil"/>
            </w:tcBorders>
          </w:tcPr>
          <w:p w14:paraId="69B3EE1F" w14:textId="77777777" w:rsidR="00F6556E" w:rsidRPr="00CF107F" w:rsidRDefault="00F6556E" w:rsidP="00312B95">
            <w:pPr>
              <w:pStyle w:val="Tabletext1"/>
              <w:jc w:val="center"/>
            </w:pPr>
            <w:r>
              <w:t>87.5</w:t>
            </w:r>
            <w:r w:rsidRPr="002A1220">
              <w:t>%</w:t>
            </w:r>
          </w:p>
        </w:tc>
        <w:tc>
          <w:tcPr>
            <w:tcW w:w="2925" w:type="dxa"/>
            <w:tcBorders>
              <w:top w:val="nil"/>
              <w:bottom w:val="nil"/>
            </w:tcBorders>
          </w:tcPr>
          <w:p w14:paraId="36C30D4E" w14:textId="74C483F9" w:rsidR="00F6556E" w:rsidRDefault="00F6556E" w:rsidP="00BB0145">
            <w:pPr>
              <w:pStyle w:val="Tabletext1"/>
              <w:jc w:val="center"/>
            </w:pPr>
            <w:r w:rsidRPr="00C127B0">
              <w:t>Weeks, Tierney &amp; Weinstein</w:t>
            </w:r>
            <w:r w:rsidRPr="00BA7EA6">
              <w:t xml:space="preserve"> </w:t>
            </w:r>
            <w:r>
              <w:fldChar w:fldCharType="begin"/>
            </w:r>
            <w:r>
              <w:instrText xml:space="preserve"> ADDIN EN.CITE &lt;EndNote&gt;&lt;Cite ExcludeAuth="1"&gt;&lt;Author&gt;Weeks&lt;/Author&gt;&lt;Year&gt;1991&lt;/Year&gt;&lt;RecNum&gt;35&lt;/RecNum&gt;&lt;DisplayText&gt;(1991)&lt;/DisplayText&gt;&lt;record&gt;&lt;rec-number&gt;35&lt;/rec-number&gt;&lt;foreign-keys&gt;&lt;key app="EN" db-id="z0vwsepdwpt20pewwts5z9eup9e2r2pd2tad" timestamp="1553825060"&gt;35&lt;/key&gt;&lt;/foreign-keys&gt;&lt;ref-type name="Journal Article"&gt;17&lt;/ref-type&gt;&lt;contributors&gt;&lt;authors&gt;&lt;author&gt;Weeks, J. C.&lt;/author&gt;&lt;author&gt;Tierney, M. R.&lt;/author&gt;&lt;author&gt;Weinstein, M. C.&lt;/author&gt;&lt;/authors&gt;&lt;/contributors&gt;&lt;titles&gt;&lt;title&gt;Cost effectiveness of prophylactic intravenous immune globulin in chronic lymphocytic leukemia&lt;/title&gt;&lt;secondary-title&gt;New England journal of medicine&lt;/secondary-title&gt;&lt;/titles&gt;&lt;periodical&gt;&lt;full-title&gt;New England journal of medicine&lt;/full-title&gt;&lt;/periodical&gt;&lt;pages&gt;81</w:instrText>
            </w:r>
            <w:r>
              <w:rPr>
                <w:rFonts w:ascii="Cambria Math" w:hAnsi="Cambria Math" w:cs="Cambria Math"/>
              </w:rPr>
              <w:instrText>‐</w:instrText>
            </w:r>
            <w:r>
              <w:instrText>86&lt;/pages&gt;&lt;volume&gt;325&lt;/volume&gt;&lt;number&gt;2&lt;/number&gt;&lt;keywords&gt;&lt;keyword&gt;Agammaglobulinemia [complications]&lt;/keyword&gt;&lt;keyword&gt;Bacterial Infections [*prevention &amp;amp; control]&lt;/keyword&gt;&lt;keyword&gt;Cost</w:instrText>
            </w:r>
            <w:r>
              <w:rPr>
                <w:rFonts w:ascii="Cambria Math" w:hAnsi="Cambria Math" w:cs="Cambria Math"/>
              </w:rPr>
              <w:instrText>‐</w:instrText>
            </w:r>
            <w:r>
              <w:instrText>Benefit Analysis&lt;/keyword&gt;&lt;keyword&gt;Humans&lt;/keyword&gt;&lt;keyword&gt;Immunization, Passive [*economics]&lt;/keyword&gt;&lt;keyword&gt;Immunoglobulins [*administration &amp;amp; dosage]&lt;/keyword&gt;&lt;keyword&gt;Infusions, Intravenous&lt;/keyword&gt;&lt;keyword&gt;Leukemia, Lymphocytic, Chronic, B</w:instrText>
            </w:r>
            <w:r>
              <w:rPr>
                <w:rFonts w:ascii="Cambria Math" w:hAnsi="Cambria Math" w:cs="Cambria Math"/>
              </w:rPr>
              <w:instrText>‐</w:instrText>
            </w:r>
            <w:r>
              <w:instrText>Cell [*complications, economics]&lt;/keyword&gt;&lt;keyword&gt;Life Expectancy&lt;/keyword&gt;&lt;keyword&gt;Models, Theoretical&lt;/keyword&gt;&lt;keyword&gt;Quality of Life&lt;/keyword&gt;&lt;keyword&gt;United States&lt;/keyword&gt;&lt;keyword&gt;Cost-Benefit Analysis&lt;/keyword&gt;&lt;keyword&gt;Leukemia, Lymphoid&lt;/keyword&gt;&lt;keyword&gt;Immunoglobulins, Intravenous&lt;/keyword&gt;&lt;keyword&gt;Immunoglobulins&lt;/keyword&gt;&lt;/keywords&gt;&lt;dates&gt;&lt;year&gt;1991&lt;/year&gt;&lt;pub-dates&gt;&lt;date&gt;1991&lt;/date&gt;&lt;/pub-dates&gt;&lt;/dates&gt;&lt;accession-num&gt;CN-00076105&lt;/accession-num&gt;&lt;urls&gt;&lt;related-urls&gt;&lt;url&gt;&lt;style face="underline" font="default" size="100%"&gt;https://www.cochranelibrary.com/central/doi/10.1002/central/CN-00076105/full&lt;/style&gt;&lt;/url&gt;&lt;/related-urls&gt;&lt;/urls&gt;&lt;custom1&gt;RAYYAN-INCLUSION: {&amp;quot;Skye&amp;quot;=&amp;gt;&amp;quot;Included&amp;quot;}&lt;/custom1&gt;&lt;research-notes&gt;X - decision analytic study, no new clinical data&lt;/research-notes&gt;&lt;/record&gt;&lt;/Cite&gt;&lt;/EndNote&gt;</w:instrText>
            </w:r>
            <w:r>
              <w:fldChar w:fldCharType="separate"/>
            </w:r>
            <w:r>
              <w:rPr>
                <w:noProof/>
              </w:rPr>
              <w:t>(</w:t>
            </w:r>
            <w:hyperlink w:anchor="_ENREF_56" w:tooltip="Weeks, 1991 #35" w:history="1">
              <w:r w:rsidR="00BB0145">
                <w:rPr>
                  <w:noProof/>
                </w:rPr>
                <w:t>1991</w:t>
              </w:r>
            </w:hyperlink>
            <w:r>
              <w:rPr>
                <w:noProof/>
              </w:rPr>
              <w:t>)</w:t>
            </w:r>
            <w:r>
              <w:fldChar w:fldCharType="end"/>
            </w:r>
          </w:p>
        </w:tc>
      </w:tr>
      <w:tr w:rsidR="00F6556E" w:rsidRPr="00CF107F" w14:paraId="45B289AD" w14:textId="77777777" w:rsidTr="00312B95">
        <w:trPr>
          <w:cantSplit/>
        </w:trPr>
        <w:tc>
          <w:tcPr>
            <w:tcW w:w="4106" w:type="dxa"/>
            <w:tcBorders>
              <w:top w:val="nil"/>
              <w:bottom w:val="nil"/>
            </w:tcBorders>
          </w:tcPr>
          <w:p w14:paraId="4718CAF9" w14:textId="77777777" w:rsidR="00F6556E" w:rsidRPr="00CF107F" w:rsidRDefault="00F6556E" w:rsidP="00312B95">
            <w:pPr>
              <w:pStyle w:val="Tabletext1"/>
            </w:pPr>
            <w:r w:rsidRPr="00CF107F">
              <w:t>Weighted utility decrement</w:t>
            </w:r>
            <w:r>
              <w:t xml:space="preserve"> of infections</w:t>
            </w:r>
          </w:p>
        </w:tc>
        <w:tc>
          <w:tcPr>
            <w:tcW w:w="992" w:type="dxa"/>
            <w:tcBorders>
              <w:top w:val="nil"/>
              <w:bottom w:val="nil"/>
            </w:tcBorders>
          </w:tcPr>
          <w:p w14:paraId="1D2F869B" w14:textId="77777777" w:rsidR="00F6556E" w:rsidRPr="00CF107F" w:rsidRDefault="00F6556E" w:rsidP="00312B95">
            <w:pPr>
              <w:pStyle w:val="Tabletext1"/>
              <w:jc w:val="center"/>
            </w:pPr>
            <w:r w:rsidRPr="00831E1B">
              <w:t>0.1038</w:t>
            </w:r>
          </w:p>
        </w:tc>
        <w:tc>
          <w:tcPr>
            <w:tcW w:w="993" w:type="dxa"/>
            <w:tcBorders>
              <w:top w:val="nil"/>
              <w:bottom w:val="nil"/>
            </w:tcBorders>
          </w:tcPr>
          <w:p w14:paraId="434B9B1C" w14:textId="77777777" w:rsidR="00F6556E" w:rsidRPr="00CF107F" w:rsidRDefault="00F6556E" w:rsidP="00312B95">
            <w:pPr>
              <w:pStyle w:val="Tabletext1"/>
              <w:jc w:val="center"/>
            </w:pPr>
            <w:r w:rsidRPr="00831E1B">
              <w:t>0.1038</w:t>
            </w:r>
          </w:p>
        </w:tc>
        <w:tc>
          <w:tcPr>
            <w:tcW w:w="2925" w:type="dxa"/>
            <w:tcBorders>
              <w:top w:val="nil"/>
              <w:bottom w:val="nil"/>
            </w:tcBorders>
          </w:tcPr>
          <w:p w14:paraId="468A60DB" w14:textId="77777777" w:rsidR="00F6556E" w:rsidRDefault="00F6556E" w:rsidP="00312B95">
            <w:pPr>
              <w:pStyle w:val="Tabletext1"/>
              <w:jc w:val="center"/>
            </w:pPr>
          </w:p>
        </w:tc>
      </w:tr>
      <w:tr w:rsidR="00F6556E" w:rsidRPr="00CF107F" w14:paraId="02B99B3E" w14:textId="77777777" w:rsidTr="00312B95">
        <w:trPr>
          <w:cantSplit/>
        </w:trPr>
        <w:tc>
          <w:tcPr>
            <w:tcW w:w="4106" w:type="dxa"/>
            <w:tcBorders>
              <w:top w:val="nil"/>
              <w:bottom w:val="single" w:sz="4" w:space="0" w:color="auto"/>
            </w:tcBorders>
          </w:tcPr>
          <w:p w14:paraId="6D587CB3" w14:textId="77777777" w:rsidR="00F6556E" w:rsidRPr="00CF107F" w:rsidRDefault="00F6556E" w:rsidP="00312B95">
            <w:pPr>
              <w:pStyle w:val="Tabletext1"/>
            </w:pPr>
            <w:r w:rsidRPr="00CF107F">
              <w:t xml:space="preserve">Utility of </w:t>
            </w:r>
            <w:r>
              <w:t>b</w:t>
            </w:r>
            <w:r w:rsidRPr="00CF107F">
              <w:t>ronchiectasis with infection</w:t>
            </w:r>
          </w:p>
        </w:tc>
        <w:tc>
          <w:tcPr>
            <w:tcW w:w="992" w:type="dxa"/>
            <w:tcBorders>
              <w:top w:val="nil"/>
              <w:bottom w:val="single" w:sz="4" w:space="0" w:color="auto"/>
            </w:tcBorders>
          </w:tcPr>
          <w:p w14:paraId="76B4CA79" w14:textId="77777777" w:rsidR="00F6556E" w:rsidRPr="00CF107F" w:rsidRDefault="00F6556E" w:rsidP="00312B95">
            <w:pPr>
              <w:pStyle w:val="Tabletext1"/>
              <w:jc w:val="center"/>
            </w:pPr>
            <w:r w:rsidRPr="00831E1B">
              <w:t>0.5355</w:t>
            </w:r>
          </w:p>
        </w:tc>
        <w:tc>
          <w:tcPr>
            <w:tcW w:w="993" w:type="dxa"/>
            <w:tcBorders>
              <w:top w:val="nil"/>
              <w:bottom w:val="single" w:sz="4" w:space="0" w:color="auto"/>
            </w:tcBorders>
          </w:tcPr>
          <w:p w14:paraId="10C87015" w14:textId="77777777" w:rsidR="00F6556E" w:rsidRPr="00CF107F" w:rsidRDefault="00F6556E" w:rsidP="00312B95">
            <w:pPr>
              <w:pStyle w:val="Tabletext1"/>
              <w:jc w:val="center"/>
            </w:pPr>
            <w:r w:rsidRPr="00831E1B">
              <w:t>0.5355</w:t>
            </w:r>
          </w:p>
        </w:tc>
        <w:tc>
          <w:tcPr>
            <w:tcW w:w="2925" w:type="dxa"/>
            <w:tcBorders>
              <w:top w:val="nil"/>
              <w:bottom w:val="single" w:sz="4" w:space="0" w:color="auto"/>
            </w:tcBorders>
          </w:tcPr>
          <w:p w14:paraId="74808D4C" w14:textId="77777777" w:rsidR="00F6556E" w:rsidRDefault="00F6556E" w:rsidP="00312B95">
            <w:pPr>
              <w:pStyle w:val="Tabletext1"/>
              <w:jc w:val="center"/>
            </w:pPr>
            <w:r>
              <w:t>Bronchiectasis utility minus the weighted utility decrement of infections</w:t>
            </w:r>
          </w:p>
        </w:tc>
      </w:tr>
      <w:tr w:rsidR="00F6556E" w:rsidRPr="00CF107F" w14:paraId="730A0FC7" w14:textId="77777777" w:rsidTr="00312B95">
        <w:trPr>
          <w:cantSplit/>
        </w:trPr>
        <w:tc>
          <w:tcPr>
            <w:tcW w:w="4106" w:type="dxa"/>
            <w:tcBorders>
              <w:top w:val="single" w:sz="4" w:space="0" w:color="auto"/>
            </w:tcBorders>
          </w:tcPr>
          <w:p w14:paraId="25854C1A" w14:textId="77777777" w:rsidR="00F6556E" w:rsidRPr="00CF107F" w:rsidRDefault="00F6556E" w:rsidP="00312B95">
            <w:pPr>
              <w:pStyle w:val="Tabletext1"/>
            </w:pPr>
            <w:r w:rsidRPr="00CF107F">
              <w:t xml:space="preserve">Utility of Bronchiectasis with chronic </w:t>
            </w:r>
            <w:r w:rsidRPr="00CF107F">
              <w:rPr>
                <w:i/>
              </w:rPr>
              <w:t>Pseudomonas aeruginosa</w:t>
            </w:r>
            <w:r w:rsidRPr="00CF107F">
              <w:t xml:space="preserve"> infection</w:t>
            </w:r>
          </w:p>
        </w:tc>
        <w:tc>
          <w:tcPr>
            <w:tcW w:w="992" w:type="dxa"/>
            <w:tcBorders>
              <w:top w:val="single" w:sz="4" w:space="0" w:color="auto"/>
            </w:tcBorders>
          </w:tcPr>
          <w:p w14:paraId="05C54C3B" w14:textId="77777777" w:rsidR="00F6556E" w:rsidRPr="00CF107F" w:rsidRDefault="00F6556E" w:rsidP="00312B95">
            <w:pPr>
              <w:pStyle w:val="Tabletext1"/>
              <w:jc w:val="center"/>
            </w:pPr>
            <w:r w:rsidRPr="00617B3F">
              <w:t>0.5355</w:t>
            </w:r>
          </w:p>
        </w:tc>
        <w:tc>
          <w:tcPr>
            <w:tcW w:w="993" w:type="dxa"/>
            <w:tcBorders>
              <w:top w:val="single" w:sz="4" w:space="0" w:color="auto"/>
            </w:tcBorders>
          </w:tcPr>
          <w:p w14:paraId="7D0A222F" w14:textId="77777777" w:rsidR="00F6556E" w:rsidRPr="00CF107F" w:rsidRDefault="00F6556E" w:rsidP="00312B95">
            <w:pPr>
              <w:pStyle w:val="Tabletext1"/>
              <w:jc w:val="center"/>
            </w:pPr>
            <w:r w:rsidRPr="00617B3F">
              <w:t>0.5355</w:t>
            </w:r>
          </w:p>
        </w:tc>
        <w:tc>
          <w:tcPr>
            <w:tcW w:w="2925" w:type="dxa"/>
            <w:tcBorders>
              <w:top w:val="single" w:sz="4" w:space="0" w:color="auto"/>
            </w:tcBorders>
          </w:tcPr>
          <w:p w14:paraId="08CE7278" w14:textId="77777777" w:rsidR="00F6556E" w:rsidRPr="00CF107F" w:rsidRDefault="00F6556E" w:rsidP="00312B95">
            <w:pPr>
              <w:pStyle w:val="Tabletext1"/>
              <w:jc w:val="center"/>
            </w:pPr>
            <w:r>
              <w:t>As for Bronchiectasis with infection</w:t>
            </w:r>
          </w:p>
        </w:tc>
      </w:tr>
    </w:tbl>
    <w:p w14:paraId="640C293F" w14:textId="77777777" w:rsidR="00F6556E" w:rsidRPr="00E86BCE" w:rsidRDefault="00F6556E" w:rsidP="00F6556E">
      <w:pPr>
        <w:pStyle w:val="Tablenotes1"/>
      </w:pPr>
      <w:r>
        <w:t>Ig = immunoglobulin; IV = intravenous.</w:t>
      </w:r>
    </w:p>
    <w:p w14:paraId="41973BB7" w14:textId="77777777" w:rsidR="00F6556E" w:rsidRPr="00386727" w:rsidRDefault="00F6556E" w:rsidP="00F6556E">
      <w:pPr>
        <w:pStyle w:val="Tablenotes1"/>
      </w:pPr>
      <w:r w:rsidRPr="00386727">
        <w:rPr>
          <w:vertAlign w:val="superscript"/>
        </w:rPr>
        <w:t>a</w:t>
      </w:r>
      <w:r w:rsidRPr="00386727">
        <w:t xml:space="preserve"> (0.87 – 0.66)/365.25</w:t>
      </w:r>
    </w:p>
    <w:p w14:paraId="61DAAF8C" w14:textId="77777777" w:rsidR="00F6556E" w:rsidRPr="00386727" w:rsidRDefault="00F6556E" w:rsidP="00F6556E">
      <w:pPr>
        <w:pStyle w:val="Tablenotes1"/>
      </w:pPr>
      <w:r w:rsidRPr="00386727">
        <w:rPr>
          <w:vertAlign w:val="superscript"/>
        </w:rPr>
        <w:t>b</w:t>
      </w:r>
      <w:r w:rsidRPr="00386727">
        <w:t xml:space="preserve"> weeks per year divided by infusion frequency (i.e. 52/4)</w:t>
      </w:r>
    </w:p>
    <w:p w14:paraId="1D8D866C" w14:textId="77777777" w:rsidR="00F6556E" w:rsidRDefault="00F6556E" w:rsidP="00F6556E">
      <w:pPr>
        <w:pStyle w:val="Tablenotes1"/>
      </w:pPr>
      <w:r w:rsidRPr="00386727">
        <w:rPr>
          <w:vertAlign w:val="superscript"/>
        </w:rPr>
        <w:lastRenderedPageBreak/>
        <w:t>c</w:t>
      </w:r>
      <w:r w:rsidRPr="00386727">
        <w:t xml:space="preserve"> As source of baseline health state data were from patients on treatment, the disutility due to infusions has been assumed to be incorporated in the utility weight</w:t>
      </w:r>
    </w:p>
    <w:p w14:paraId="596A9AAD" w14:textId="12E95A64" w:rsidR="00F6556E" w:rsidRPr="00386727" w:rsidRDefault="00F6556E" w:rsidP="00F6556E">
      <w:pPr>
        <w:pStyle w:val="Tablenotes1"/>
      </w:pPr>
      <w:r w:rsidRPr="00386727">
        <w:rPr>
          <w:vertAlign w:val="superscript"/>
        </w:rPr>
        <w:t>d</w:t>
      </w:r>
      <w:r>
        <w:t xml:space="preserve"> In the absence of data to suggest a difference between model arms, the proportion of serious infections with bronchiectasis is assumed to be the same across both model arms and has been based on the proportion assumed in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w:t>
      </w:r>
    </w:p>
    <w:p w14:paraId="69BCB696" w14:textId="77777777" w:rsidR="00F6556E" w:rsidRPr="00183E4D" w:rsidRDefault="00F6556E" w:rsidP="00F6556E"/>
    <w:p w14:paraId="43725591" w14:textId="77777777" w:rsidR="00911F85" w:rsidRDefault="00911F85" w:rsidP="00331FB9">
      <w:pPr>
        <w:pStyle w:val="Heading2"/>
        <w:numPr>
          <w:ilvl w:val="2"/>
          <w:numId w:val="11"/>
        </w:numPr>
        <w:jc w:val="left"/>
      </w:pPr>
      <w:bookmarkStart w:id="409" w:name="_Toc14431157"/>
      <w:bookmarkStart w:id="410" w:name="_Toc16856330"/>
      <w:r>
        <w:t>Relationship of each Pre-Modelling Study to the Economic Evaluation</w:t>
      </w:r>
      <w:bookmarkEnd w:id="395"/>
      <w:bookmarkEnd w:id="396"/>
      <w:bookmarkEnd w:id="409"/>
      <w:bookmarkEnd w:id="410"/>
    </w:p>
    <w:p w14:paraId="1449748B" w14:textId="188EEA3E" w:rsidR="00911F85" w:rsidRPr="00A62268" w:rsidRDefault="00911F85" w:rsidP="00911F85">
      <w:r>
        <w:t xml:space="preserve">A summary of the pre-modelling studies and their relationship to the model conducted in Section D is presented in </w:t>
      </w:r>
      <w:r>
        <w:fldChar w:fldCharType="begin"/>
      </w:r>
      <w:r>
        <w:instrText xml:space="preserve"> REF _Ref10472782 \h </w:instrText>
      </w:r>
      <w:r>
        <w:fldChar w:fldCharType="separate"/>
      </w:r>
      <w:r w:rsidR="00A7463B" w:rsidRPr="00A35844">
        <w:t xml:space="preserve">Table </w:t>
      </w:r>
      <w:r w:rsidR="00A7463B">
        <w:rPr>
          <w:noProof/>
        </w:rPr>
        <w:t>35</w:t>
      </w:r>
      <w:r>
        <w:fldChar w:fldCharType="end"/>
      </w:r>
      <w:r>
        <w:t>.</w:t>
      </w:r>
    </w:p>
    <w:p w14:paraId="6108C7C5" w14:textId="3DBD19C6" w:rsidR="00911F85" w:rsidRPr="00A35844" w:rsidRDefault="00911F85" w:rsidP="00911F85">
      <w:pPr>
        <w:pStyle w:val="Caption"/>
        <w:keepNext/>
      </w:pPr>
      <w:bookmarkStart w:id="411" w:name="_Ref10472782"/>
      <w:bookmarkStart w:id="412" w:name="_Toc399251137"/>
      <w:bookmarkStart w:id="413" w:name="_Toc423451461"/>
      <w:bookmarkStart w:id="414" w:name="_Toc444869032"/>
      <w:bookmarkStart w:id="415" w:name="_Toc14348870"/>
      <w:bookmarkStart w:id="416" w:name="_Toc14429576"/>
      <w:bookmarkStart w:id="417" w:name="_Toc16671633"/>
      <w:r w:rsidRPr="00A35844">
        <w:t xml:space="preserve">Table </w:t>
      </w:r>
      <w:r>
        <w:rPr>
          <w:noProof/>
        </w:rPr>
        <w:fldChar w:fldCharType="begin"/>
      </w:r>
      <w:r>
        <w:rPr>
          <w:noProof/>
        </w:rPr>
        <w:instrText xml:space="preserve"> SEQ Table \* ARABIC </w:instrText>
      </w:r>
      <w:r>
        <w:rPr>
          <w:noProof/>
        </w:rPr>
        <w:fldChar w:fldCharType="separate"/>
      </w:r>
      <w:r w:rsidR="00A7463B">
        <w:rPr>
          <w:noProof/>
        </w:rPr>
        <w:t>35</w:t>
      </w:r>
      <w:r>
        <w:rPr>
          <w:noProof/>
        </w:rPr>
        <w:fldChar w:fldCharType="end"/>
      </w:r>
      <w:bookmarkEnd w:id="411"/>
      <w:r w:rsidRPr="00A35844">
        <w:tab/>
      </w:r>
      <w:r>
        <w:t>S</w:t>
      </w:r>
      <w:r w:rsidRPr="00A35844">
        <w:t>ummary of results of pre-modelling studies and their uses in the economic evaluation</w:t>
      </w:r>
      <w:bookmarkEnd w:id="412"/>
      <w:bookmarkEnd w:id="413"/>
      <w:bookmarkEnd w:id="414"/>
      <w:bookmarkEnd w:id="415"/>
      <w:bookmarkEnd w:id="416"/>
      <w:bookmarkEnd w:id="4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Caption w:val="Summary of results of pre-modelling studies and their uses in the economic evaluation"/>
        <w:tblDescription w:val="The table summarises how different evidence was used to address the translation issues identified with the clinical evidence base, including by referring to how this addition evidence is used in the economic evaluation."/>
      </w:tblPr>
      <w:tblGrid>
        <w:gridCol w:w="1367"/>
        <w:gridCol w:w="1870"/>
        <w:gridCol w:w="4784"/>
        <w:gridCol w:w="1235"/>
      </w:tblGrid>
      <w:tr w:rsidR="00911F85" w:rsidRPr="00A35844" w14:paraId="191EFCD1" w14:textId="77777777" w:rsidTr="00B52A4F">
        <w:trPr>
          <w:cantSplit/>
          <w:tblHeader/>
        </w:trPr>
        <w:tc>
          <w:tcPr>
            <w:tcW w:w="739" w:type="pct"/>
            <w:tcBorders>
              <w:bottom w:val="single" w:sz="4" w:space="0" w:color="auto"/>
            </w:tcBorders>
            <w:shd w:val="clear" w:color="auto" w:fill="D9D9D9" w:themeFill="background1" w:themeFillShade="D9"/>
            <w:vAlign w:val="bottom"/>
          </w:tcPr>
          <w:p w14:paraId="28E4B127" w14:textId="77777777" w:rsidR="00911F85" w:rsidRPr="00A35844" w:rsidRDefault="00911F85" w:rsidP="008742A1">
            <w:pPr>
              <w:pStyle w:val="TableHeading"/>
            </w:pPr>
            <w:r w:rsidRPr="00A35844">
              <w:t>Section</w:t>
            </w:r>
          </w:p>
        </w:tc>
        <w:tc>
          <w:tcPr>
            <w:tcW w:w="1010" w:type="pct"/>
            <w:tcBorders>
              <w:bottom w:val="single" w:sz="4" w:space="0" w:color="auto"/>
            </w:tcBorders>
            <w:shd w:val="clear" w:color="auto" w:fill="D9D9D9" w:themeFill="background1" w:themeFillShade="D9"/>
            <w:vAlign w:val="bottom"/>
          </w:tcPr>
          <w:p w14:paraId="686CDDD0" w14:textId="77777777" w:rsidR="00911F85" w:rsidRPr="00A35844" w:rsidRDefault="00911F85" w:rsidP="008742A1">
            <w:pPr>
              <w:pStyle w:val="TableHeading"/>
            </w:pPr>
            <w:r w:rsidRPr="00A35844">
              <w:t>Pre-modelling study</w:t>
            </w:r>
          </w:p>
        </w:tc>
        <w:tc>
          <w:tcPr>
            <w:tcW w:w="2584" w:type="pct"/>
            <w:tcBorders>
              <w:bottom w:val="single" w:sz="4" w:space="0" w:color="auto"/>
            </w:tcBorders>
            <w:shd w:val="clear" w:color="auto" w:fill="D9D9D9" w:themeFill="background1" w:themeFillShade="D9"/>
            <w:vAlign w:val="bottom"/>
          </w:tcPr>
          <w:p w14:paraId="33865AB1" w14:textId="77777777" w:rsidR="00911F85" w:rsidRPr="00A35844" w:rsidRDefault="00911F85" w:rsidP="008742A1">
            <w:pPr>
              <w:pStyle w:val="TableHeading"/>
            </w:pPr>
            <w:r w:rsidRPr="00A35844">
              <w:t>Results used in Section D</w:t>
            </w:r>
          </w:p>
        </w:tc>
        <w:tc>
          <w:tcPr>
            <w:tcW w:w="667" w:type="pct"/>
            <w:tcBorders>
              <w:bottom w:val="single" w:sz="4" w:space="0" w:color="auto"/>
            </w:tcBorders>
            <w:shd w:val="clear" w:color="auto" w:fill="D9D9D9" w:themeFill="background1" w:themeFillShade="D9"/>
            <w:vAlign w:val="bottom"/>
          </w:tcPr>
          <w:p w14:paraId="445201E1" w14:textId="77777777" w:rsidR="00911F85" w:rsidRPr="00A35844" w:rsidRDefault="00911F85" w:rsidP="008742A1">
            <w:pPr>
              <w:pStyle w:val="TableHeading"/>
            </w:pPr>
            <w:r w:rsidRPr="00A35844">
              <w:t>Cross-reference</w:t>
            </w:r>
          </w:p>
        </w:tc>
      </w:tr>
      <w:tr w:rsidR="00911F85" w:rsidRPr="00A35844" w14:paraId="28BBC2F0" w14:textId="77777777" w:rsidTr="005F167A">
        <w:trPr>
          <w:cantSplit/>
        </w:trPr>
        <w:tc>
          <w:tcPr>
            <w:tcW w:w="739" w:type="pct"/>
            <w:tcBorders>
              <w:bottom w:val="nil"/>
            </w:tcBorders>
          </w:tcPr>
          <w:p w14:paraId="54D59CDD" w14:textId="77777777" w:rsidR="00911F85" w:rsidRPr="00A35844" w:rsidRDefault="00911F85" w:rsidP="008742A1">
            <w:pPr>
              <w:pStyle w:val="Tabletext1"/>
            </w:pPr>
            <w:r w:rsidRPr="00A35844">
              <w:t>Applicability</w:t>
            </w:r>
          </w:p>
        </w:tc>
        <w:tc>
          <w:tcPr>
            <w:tcW w:w="1010" w:type="pct"/>
          </w:tcPr>
          <w:p w14:paraId="21EFBA4E" w14:textId="77777777" w:rsidR="00911F85" w:rsidRPr="00A35844" w:rsidRDefault="00911F85" w:rsidP="008742A1">
            <w:pPr>
              <w:pStyle w:val="Tabletext1"/>
            </w:pPr>
            <w:r>
              <w:t>Patient demographics</w:t>
            </w:r>
          </w:p>
        </w:tc>
        <w:tc>
          <w:tcPr>
            <w:tcW w:w="2584" w:type="pct"/>
          </w:tcPr>
          <w:p w14:paraId="04CB0B05" w14:textId="77777777" w:rsidR="00911F85" w:rsidRDefault="00911F85" w:rsidP="008742A1">
            <w:pPr>
              <w:pStyle w:val="Tabletext1"/>
            </w:pPr>
            <w:r>
              <w:t>Patient demographics in the included studies were generally not well reported. A comparison of the available information to the current population that receives Ig for acquired hypogammaglobulinaemia in Australia observed that CLL patients may be older than those studied. Further the majority of studies were conducted in the 1990s. However the treatment effect of Ig seemed relatively consistent across included studies (Section B.6).</w:t>
            </w:r>
          </w:p>
          <w:p w14:paraId="4EB12C3E" w14:textId="2494EA68" w:rsidR="00911F85" w:rsidRPr="00A35844" w:rsidRDefault="00911F85" w:rsidP="008742A1">
            <w:pPr>
              <w:pStyle w:val="Tabletext1"/>
            </w:pPr>
            <w:r>
              <w:t>Contemporary Australian data will be used to inform baseline infection rates, and the pooled estimates for the treatment effect of Ig from randomised studies will be used in the base case analysis. These inputs will be test</w:t>
            </w:r>
            <w:r w:rsidR="006876E4">
              <w:t>ed in the sensitivity analyses.</w:t>
            </w:r>
          </w:p>
        </w:tc>
        <w:tc>
          <w:tcPr>
            <w:tcW w:w="667" w:type="pct"/>
          </w:tcPr>
          <w:p w14:paraId="7DFB320B" w14:textId="77777777" w:rsidR="00911F85" w:rsidRPr="00A35844" w:rsidRDefault="00911F85" w:rsidP="008742A1">
            <w:pPr>
              <w:pStyle w:val="Tabletext1"/>
            </w:pPr>
            <w:r>
              <w:t>Section D.2</w:t>
            </w:r>
          </w:p>
        </w:tc>
      </w:tr>
      <w:tr w:rsidR="00911F85" w:rsidRPr="00472EA0" w14:paraId="054677B4" w14:textId="77777777" w:rsidTr="005F167A">
        <w:trPr>
          <w:cantSplit/>
        </w:trPr>
        <w:tc>
          <w:tcPr>
            <w:tcW w:w="739" w:type="pct"/>
            <w:tcBorders>
              <w:top w:val="nil"/>
              <w:bottom w:val="nil"/>
            </w:tcBorders>
          </w:tcPr>
          <w:p w14:paraId="46323D3D" w14:textId="77777777" w:rsidR="00911F85" w:rsidRPr="00A35844" w:rsidRDefault="00911F85" w:rsidP="008742A1">
            <w:pPr>
              <w:pStyle w:val="Tabletext1"/>
            </w:pPr>
          </w:p>
        </w:tc>
        <w:tc>
          <w:tcPr>
            <w:tcW w:w="1010" w:type="pct"/>
          </w:tcPr>
          <w:p w14:paraId="10643504" w14:textId="77777777" w:rsidR="00911F85" w:rsidRPr="00A35844" w:rsidRDefault="00911F85" w:rsidP="008742A1">
            <w:pPr>
              <w:pStyle w:val="Tabletext1"/>
            </w:pPr>
            <w:r>
              <w:t>Antibiotic use in the absence of Ig</w:t>
            </w:r>
          </w:p>
        </w:tc>
        <w:tc>
          <w:tcPr>
            <w:tcW w:w="2584" w:type="pct"/>
          </w:tcPr>
          <w:p w14:paraId="4BB1856D" w14:textId="25D2702B" w:rsidR="00911F85" w:rsidRPr="00A35844" w:rsidRDefault="00911F85" w:rsidP="008742A1">
            <w:pPr>
              <w:pStyle w:val="Tabletext1"/>
            </w:pPr>
            <w:r w:rsidRPr="00DF6821">
              <w:t>In the absence of alternative evidence to i) suggest that rates of antibiotic prophylaxis would increase in the absence of Ig; and ii) that this increase in antibiotic use would decrease the relative treatment effect of Ig, the economic analysis will assume no increase in prophylactic antibiotic use relative to that in the Ig arm of the model</w:t>
            </w:r>
            <w:r>
              <w:t xml:space="preserve"> – and so the relative treatment effect observed in the randomised studies is assumed t</w:t>
            </w:r>
            <w:r w:rsidR="006876E4">
              <w:t>o apply to the current setting.</w:t>
            </w:r>
          </w:p>
        </w:tc>
        <w:tc>
          <w:tcPr>
            <w:tcW w:w="667" w:type="pct"/>
          </w:tcPr>
          <w:p w14:paraId="74589484" w14:textId="77777777" w:rsidR="00911F85" w:rsidRPr="00A35844" w:rsidRDefault="00911F85" w:rsidP="008742A1">
            <w:pPr>
              <w:pStyle w:val="Tabletext1"/>
            </w:pPr>
            <w:r>
              <w:t>Section D.3</w:t>
            </w:r>
          </w:p>
        </w:tc>
      </w:tr>
      <w:tr w:rsidR="00911F85" w:rsidRPr="00A35844" w14:paraId="08A37435" w14:textId="77777777" w:rsidTr="005F167A">
        <w:trPr>
          <w:cantSplit/>
        </w:trPr>
        <w:tc>
          <w:tcPr>
            <w:tcW w:w="739" w:type="pct"/>
            <w:tcBorders>
              <w:top w:val="nil"/>
              <w:bottom w:val="nil"/>
            </w:tcBorders>
          </w:tcPr>
          <w:p w14:paraId="7B6AEFA8" w14:textId="77777777" w:rsidR="00911F85" w:rsidRPr="00A35844" w:rsidRDefault="00911F85" w:rsidP="008742A1">
            <w:pPr>
              <w:pStyle w:val="Tabletext1"/>
            </w:pPr>
          </w:p>
        </w:tc>
        <w:tc>
          <w:tcPr>
            <w:tcW w:w="1010" w:type="pct"/>
          </w:tcPr>
          <w:p w14:paraId="5078F3DF" w14:textId="77777777" w:rsidR="00911F85" w:rsidRPr="00A35844" w:rsidRDefault="00911F85" w:rsidP="008742A1">
            <w:pPr>
              <w:pStyle w:val="Tabletext1"/>
            </w:pPr>
            <w:r>
              <w:t>Dose of Ig</w:t>
            </w:r>
          </w:p>
        </w:tc>
        <w:tc>
          <w:tcPr>
            <w:tcW w:w="2584" w:type="pct"/>
          </w:tcPr>
          <w:p w14:paraId="1F6987C4" w14:textId="3A998880" w:rsidR="00911F85" w:rsidRPr="00A35844" w:rsidRDefault="00911F85" w:rsidP="008742A1">
            <w:pPr>
              <w:pStyle w:val="Tabletext1"/>
            </w:pPr>
            <w:r>
              <w:t xml:space="preserve">The doses in the clinical evidence are consistent with doses used in current practice. Given the experience with Ig in the current setting, doses are assumed as per the real world data under the assumption that this has no effect on the relative treatment effect of Ig as observed in the trials. This is supported by the similarities in doses used in the studies compared to current practice and that consistency was observed in the treatment effect across the included studies, </w:t>
            </w:r>
            <w:r w:rsidR="006876E4">
              <w:t>in spite of variations in dose.</w:t>
            </w:r>
          </w:p>
        </w:tc>
        <w:tc>
          <w:tcPr>
            <w:tcW w:w="667" w:type="pct"/>
          </w:tcPr>
          <w:p w14:paraId="2E8A3F19" w14:textId="77777777" w:rsidR="00911F85" w:rsidRPr="00A35844" w:rsidRDefault="00911F85" w:rsidP="008742A1">
            <w:pPr>
              <w:pStyle w:val="Tabletext1"/>
            </w:pPr>
            <w:r>
              <w:t>Section D.2 and D.4</w:t>
            </w:r>
          </w:p>
        </w:tc>
      </w:tr>
      <w:tr w:rsidR="00911F85" w:rsidRPr="00A35844" w14:paraId="75651D99" w14:textId="77777777" w:rsidTr="00607CF5">
        <w:trPr>
          <w:cantSplit/>
        </w:trPr>
        <w:tc>
          <w:tcPr>
            <w:tcW w:w="739" w:type="pct"/>
            <w:tcBorders>
              <w:top w:val="nil"/>
              <w:bottom w:val="single" w:sz="4" w:space="0" w:color="auto"/>
            </w:tcBorders>
          </w:tcPr>
          <w:p w14:paraId="01ADCBBB" w14:textId="77777777" w:rsidR="00911F85" w:rsidRPr="00A35844" w:rsidRDefault="00911F85" w:rsidP="008742A1">
            <w:pPr>
              <w:pStyle w:val="Tabletext1"/>
            </w:pPr>
          </w:p>
        </w:tc>
        <w:tc>
          <w:tcPr>
            <w:tcW w:w="1010" w:type="pct"/>
          </w:tcPr>
          <w:p w14:paraId="036D7A70" w14:textId="77777777" w:rsidR="00911F85" w:rsidRPr="00A35844" w:rsidRDefault="00911F85" w:rsidP="008742A1">
            <w:pPr>
              <w:pStyle w:val="Tabletext1"/>
            </w:pPr>
            <w:r>
              <w:t>Duration of Ig treatment</w:t>
            </w:r>
          </w:p>
        </w:tc>
        <w:tc>
          <w:tcPr>
            <w:tcW w:w="2584" w:type="pct"/>
          </w:tcPr>
          <w:p w14:paraId="5D71DE5B" w14:textId="06D5C9CF" w:rsidR="00911F85" w:rsidRPr="00A35844" w:rsidRDefault="00911F85" w:rsidP="00BB0145">
            <w:pPr>
              <w:pStyle w:val="Tabletext1"/>
            </w:pPr>
            <w:r>
              <w:t xml:space="preserve">Duration of Ig treatment in the included studies was variable. As patients in the Australian </w:t>
            </w:r>
            <w:r w:rsidRPr="00F55739">
              <w:t>Paxton, Hawkins &amp; Crispin</w:t>
            </w:r>
            <w:r>
              <w:t xml:space="preserve"> </w:t>
            </w:r>
            <w:r>
              <w:fldChar w:fldCharType="begin">
                <w:fldData xml:space="preserve">PEVuZE5vdGU+PENpdGUgRXhjbHVkZUF1dGg9IjEiPjxBdXRob3I+UGF4dG9uPC9BdXRob3I+PFll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</w:fldData>
              </w:fldChar>
            </w:r>
            <w:r>
              <w:instrText xml:space="preserve"> ADDIN EN.CITE </w:instrText>
            </w:r>
            <w:r>
              <w:fldChar w:fldCharType="begin">
                <w:fldData xml:space="preserve">PEVuZE5vdGU+PENpdGUgRXhjbHVkZUF1dGg9IjEiPjxBdXRob3I+UGF4dG9uPC9BdXRob3I+PFll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</w:fldData>
              </w:fldChar>
            </w:r>
            <w:r>
              <w:instrText xml:space="preserve"> ADDIN EN.CITE.DATA </w:instrText>
            </w:r>
            <w:r>
              <w:fldChar w:fldCharType="end"/>
            </w:r>
            <w:r>
              <w:fldChar w:fldCharType="separate"/>
            </w:r>
            <w:r>
              <w:rPr>
                <w:noProof/>
              </w:rPr>
              <w:t>(</w:t>
            </w:r>
            <w:hyperlink w:anchor="_ENREF_39" w:tooltip="Paxton, 2016 #66" w:history="1">
              <w:r w:rsidR="00BB0145">
                <w:rPr>
                  <w:noProof/>
                </w:rPr>
                <w:t>2016</w:t>
              </w:r>
            </w:hyperlink>
            <w:r>
              <w:rPr>
                <w:noProof/>
              </w:rPr>
              <w:t>)</w:t>
            </w:r>
            <w:r>
              <w:fldChar w:fldCharType="end"/>
            </w:r>
            <w:r>
              <w:t xml:space="preserve"> study </w:t>
            </w:r>
            <w:r w:rsidRPr="001C04D7">
              <w:t>were not required to have received Ig for a minimum period of time, the treatment duration observed, 26 months, is considered to be most applicable to the current setting and will be assumed in the base case analysis. The economic model in Section D will assume that while on Ig therapy, patients are at risk of infections, however after treatment cessation, it will be assumed that their risk of infections decreases to normal levels (and so no new infection</w:t>
            </w:r>
            <w:r>
              <w:t>s</w:t>
            </w:r>
            <w:r w:rsidR="006876E4">
              <w:t xml:space="preserve"> are modelled after such time).</w:t>
            </w:r>
          </w:p>
        </w:tc>
        <w:tc>
          <w:tcPr>
            <w:tcW w:w="667" w:type="pct"/>
          </w:tcPr>
          <w:p w14:paraId="746C2F72" w14:textId="77777777" w:rsidR="00911F85" w:rsidRPr="00A35844" w:rsidRDefault="00911F85" w:rsidP="008742A1">
            <w:pPr>
              <w:pStyle w:val="Tabletext1"/>
            </w:pPr>
            <w:r>
              <w:t>Section D.2</w:t>
            </w:r>
          </w:p>
        </w:tc>
      </w:tr>
      <w:tr w:rsidR="00607CF5" w:rsidRPr="00A35844" w14:paraId="173C7041" w14:textId="77777777" w:rsidTr="001E0CF0">
        <w:trPr>
          <w:cantSplit/>
        </w:trPr>
        <w:tc>
          <w:tcPr>
            <w:tcW w:w="739" w:type="pct"/>
            <w:tcBorders>
              <w:top w:val="single" w:sz="4" w:space="0" w:color="auto"/>
              <w:bottom w:val="nil"/>
            </w:tcBorders>
          </w:tcPr>
          <w:p w14:paraId="45B739E0" w14:textId="6673C4F1" w:rsidR="00607CF5" w:rsidRDefault="00607CF5" w:rsidP="00607CF5">
            <w:pPr>
              <w:pStyle w:val="Tabletext1"/>
            </w:pPr>
            <w:r>
              <w:lastRenderedPageBreak/>
              <w:t>Extrapolation</w:t>
            </w:r>
          </w:p>
        </w:tc>
        <w:tc>
          <w:tcPr>
            <w:tcW w:w="1010" w:type="pct"/>
          </w:tcPr>
          <w:p w14:paraId="21342A68" w14:textId="6E52E6CD" w:rsidR="00607CF5" w:rsidRDefault="00607CF5" w:rsidP="00607CF5">
            <w:pPr>
              <w:pStyle w:val="Tabletext1"/>
            </w:pPr>
            <w:r w:rsidRPr="00273013">
              <w:t>Duration of treatment effect</w:t>
            </w:r>
          </w:p>
        </w:tc>
        <w:tc>
          <w:tcPr>
            <w:tcW w:w="2584" w:type="pct"/>
          </w:tcPr>
          <w:p w14:paraId="694B9E10" w14:textId="2A5CAB7E" w:rsidR="00607CF5" w:rsidRDefault="00607CF5" w:rsidP="00607CF5">
            <w:pPr>
              <w:pStyle w:val="Tabletext1"/>
            </w:pPr>
            <w:r w:rsidRPr="00273013">
              <w:t>Based on the continuing access criteria it is assumed that the direct treatment effect of Ig (reduced infection rate and severity) is maintained for the duration of treatment. No direct treatment effect occurs after this time, but there is a residual difference in survival and quality of life associated with the difference in the proportions of patients in the various health</w:t>
            </w:r>
            <w:r w:rsidR="00AB6716">
              <w:t xml:space="preserve"> </w:t>
            </w:r>
            <w:r w:rsidRPr="00273013">
              <w:t xml:space="preserve">states at the end of the treatment period, between the treatment arms. </w:t>
            </w:r>
          </w:p>
        </w:tc>
        <w:tc>
          <w:tcPr>
            <w:tcW w:w="667" w:type="pct"/>
          </w:tcPr>
          <w:p w14:paraId="14FBB431" w14:textId="4001C18A" w:rsidR="00607CF5" w:rsidRDefault="00AB6716" w:rsidP="00607CF5">
            <w:pPr>
              <w:pStyle w:val="Tabletext1"/>
            </w:pPr>
            <w:r>
              <w:t>Section D.4.1</w:t>
            </w:r>
          </w:p>
        </w:tc>
      </w:tr>
      <w:tr w:rsidR="00190B86" w:rsidRPr="00A35844" w14:paraId="08BF6595" w14:textId="77777777" w:rsidTr="00607CF5">
        <w:trPr>
          <w:cantSplit/>
        </w:trPr>
        <w:tc>
          <w:tcPr>
            <w:tcW w:w="739" w:type="pct"/>
            <w:tcBorders>
              <w:top w:val="nil"/>
              <w:bottom w:val="single" w:sz="4" w:space="0" w:color="auto"/>
            </w:tcBorders>
          </w:tcPr>
          <w:p w14:paraId="701F3364" w14:textId="398961A5" w:rsidR="00190B86" w:rsidRPr="00A35844" w:rsidRDefault="00190B86" w:rsidP="008742A1">
            <w:pPr>
              <w:pStyle w:val="Tabletext1"/>
            </w:pPr>
          </w:p>
        </w:tc>
        <w:tc>
          <w:tcPr>
            <w:tcW w:w="1010" w:type="pct"/>
          </w:tcPr>
          <w:p w14:paraId="78037D15" w14:textId="7DB3D433" w:rsidR="00190B86" w:rsidRDefault="0054250E" w:rsidP="008742A1">
            <w:pPr>
              <w:pStyle w:val="Tabletext1"/>
            </w:pPr>
            <w:r>
              <w:t>Natural history of recurrent infections</w:t>
            </w:r>
          </w:p>
        </w:tc>
        <w:tc>
          <w:tcPr>
            <w:tcW w:w="2584" w:type="pct"/>
          </w:tcPr>
          <w:p w14:paraId="38E29547" w14:textId="2E9BB019" w:rsidR="00190B86" w:rsidRDefault="00727764" w:rsidP="00BB0145">
            <w:pPr>
              <w:pStyle w:val="Tabletext1"/>
            </w:pPr>
            <w:r>
              <w:t xml:space="preserve">There is very little </w:t>
            </w:r>
            <w:r w:rsidRPr="00727764">
              <w:t xml:space="preserve">published information regarding the long term consequences of recurrent infections in patients with acquired </w:t>
            </w:r>
            <w:r w:rsidR="00414134" w:rsidRPr="00727764">
              <w:t>hypogammaglobulinaemia</w:t>
            </w:r>
            <w:r w:rsidRPr="00727764">
              <w:t xml:space="preserve">. One narrative review </w:t>
            </w:r>
            <w:r w:rsidR="00674A5A">
              <w:fldChar w:fldCharType="begin"/>
            </w:r>
            <w:r w:rsidR="00674A5A">
              <w:instrText xml:space="preserve"> ADDIN EN.CITE &lt;EndNote&gt;&lt;Cite&gt;&lt;Author&gt;Brown&lt;/Author&gt;&lt;Year&gt;2011&lt;/Year&gt;&lt;RecNum&gt;111&lt;/RecNum&gt;&lt;DisplayText&gt;(Brown, Baxendale &amp;amp; Floto 2011)&lt;/DisplayText&gt;&lt;record&gt;&lt;rec-number&gt;111&lt;/rec-number&gt;&lt;foreign-keys&gt;&lt;key app="EN" db-id="z0vwsepdwpt20pewwts5z9eup9e2r2pd2tad" timestamp="1564368134"&gt;111&lt;/key&gt;&lt;key app="ENWeb" db-id=""&gt;0&lt;/key&gt;&lt;/foreign-keys&gt;&lt;ref-type name="Book Section"&gt;5&lt;/ref-type&gt;&lt;contributors&gt;&lt;authors&gt;&lt;author&gt;Brown, J. S.&lt;/author&gt;&lt;author&gt;Baxendale, H.&lt;/author&gt;&lt;author&gt;Floto, R. A.&lt;/author&gt;&lt;/authors&gt;&lt;secondary-authors&gt;&lt;author&gt;Floto, R. A.&lt;/author&gt;&lt;author&gt;Haworth, C.S.&lt;/author&gt;&lt;/secondary-authors&gt;&lt;/contributors&gt;&lt;titles&gt;&lt;title&gt;Immunodeficiencies associated with bronchiectasis&lt;/title&gt;&lt;secondary-title&gt;European Respiratory Society Monographs: Bronchiectasis&lt;/secondary-title&gt;&lt;/titles&gt;&lt;pages&gt;178-191&lt;/pages&gt;&lt;dates&gt;&lt;year&gt;2011&lt;/year&gt;&lt;/dates&gt;&lt;isbn&gt;9781849840118&amp;#xD;9781849840125&lt;/isbn&gt;&lt;urls&gt;&lt;/urls&gt;&lt;electronic-resource-num&gt;10.1183/1025448x.10004210&lt;/electronic-resource-num&gt;&lt;/record&gt;&lt;/Cite&gt;&lt;/EndNote&gt;</w:instrText>
            </w:r>
            <w:r w:rsidR="00674A5A">
              <w:fldChar w:fldCharType="separate"/>
            </w:r>
            <w:r w:rsidR="00674A5A">
              <w:rPr>
                <w:noProof/>
              </w:rPr>
              <w:t>(</w:t>
            </w:r>
            <w:hyperlink w:anchor="_ENREF_9" w:tooltip="Brown, 2011 #111" w:history="1">
              <w:r w:rsidR="00BB0145">
                <w:rPr>
                  <w:noProof/>
                </w:rPr>
                <w:t>Brown, Baxendale &amp; Floto 2011</w:t>
              </w:r>
            </w:hyperlink>
            <w:r w:rsidR="00674A5A">
              <w:rPr>
                <w:noProof/>
              </w:rPr>
              <w:t>)</w:t>
            </w:r>
            <w:r w:rsidR="00674A5A">
              <w:fldChar w:fldCharType="end"/>
            </w:r>
            <w:r w:rsidRPr="00727764">
              <w:t xml:space="preserve"> was identified which described the association of secondary immune deficiencies with bronchiectasis.</w:t>
            </w:r>
            <w:r>
              <w:t xml:space="preserve"> This study reported that patients with </w:t>
            </w:r>
            <w:r w:rsidR="00414134">
              <w:t>haematological</w:t>
            </w:r>
            <w:r>
              <w:t xml:space="preserve"> malignancies (particularly MM and CLL) or post-HSCT were relatively commonly associated with bronchiectasis. This is consistent with a recent Australian economic evaluation in this </w:t>
            </w:r>
            <w:r w:rsidR="00414134">
              <w:t>population</w:t>
            </w:r>
            <w:r>
              <w:t xml:space="preserve"> which modelled the development of bronchiectasis. Therefore, the model structure will include health states associated with bronchiectasis in the base case analysis, however the inclusion of these health states are tested in a sensitivity analysis.</w:t>
            </w:r>
          </w:p>
        </w:tc>
        <w:tc>
          <w:tcPr>
            <w:tcW w:w="667" w:type="pct"/>
          </w:tcPr>
          <w:p w14:paraId="67858800" w14:textId="72BA42DB" w:rsidR="00190B86" w:rsidRDefault="00727764" w:rsidP="008742A1">
            <w:pPr>
              <w:pStyle w:val="Tabletext1"/>
            </w:pPr>
            <w:r>
              <w:t>Section D.3</w:t>
            </w:r>
          </w:p>
        </w:tc>
      </w:tr>
      <w:tr w:rsidR="00190B86" w:rsidRPr="00A35844" w14:paraId="037B6267" w14:textId="77777777" w:rsidTr="00607CF5">
        <w:trPr>
          <w:cantSplit/>
        </w:trPr>
        <w:tc>
          <w:tcPr>
            <w:tcW w:w="739" w:type="pct"/>
            <w:tcBorders>
              <w:top w:val="single" w:sz="4" w:space="0" w:color="auto"/>
              <w:bottom w:val="single" w:sz="4" w:space="0" w:color="auto"/>
            </w:tcBorders>
          </w:tcPr>
          <w:p w14:paraId="41AAF0D8" w14:textId="31501255" w:rsidR="00190B86" w:rsidRPr="00A35844" w:rsidRDefault="00190B86" w:rsidP="008742A1">
            <w:pPr>
              <w:pStyle w:val="Tabletext1"/>
            </w:pPr>
            <w:r>
              <w:t>Transformation</w:t>
            </w:r>
          </w:p>
        </w:tc>
        <w:tc>
          <w:tcPr>
            <w:tcW w:w="1010" w:type="pct"/>
          </w:tcPr>
          <w:p w14:paraId="55E66456" w14:textId="02EA9D2A" w:rsidR="00190B86" w:rsidRDefault="006876E4" w:rsidP="008742A1">
            <w:pPr>
              <w:pStyle w:val="Tabletext1"/>
            </w:pPr>
            <w:r>
              <w:t>Utilities</w:t>
            </w:r>
          </w:p>
        </w:tc>
        <w:tc>
          <w:tcPr>
            <w:tcW w:w="2584" w:type="pct"/>
          </w:tcPr>
          <w:p w14:paraId="02A4173B" w14:textId="60C1F93B" w:rsidR="00190B86" w:rsidRDefault="006876E4" w:rsidP="00E4084B">
            <w:pPr>
              <w:pStyle w:val="Tabletext1"/>
            </w:pPr>
            <w:r>
              <w:t xml:space="preserve">Utility weights were sourced from the published literature. Utilities reported in a </w:t>
            </w:r>
            <w:r w:rsidR="00414134">
              <w:t>relevant</w:t>
            </w:r>
            <w:r>
              <w:t xml:space="preserve"> Australian population using the AQoL-6D instrument will be preferentially used in the model present</w:t>
            </w:r>
            <w:r w:rsidR="00E4084B">
              <w:t xml:space="preserve">ed in Section D. The </w:t>
            </w:r>
            <w:r w:rsidR="00414134">
              <w:t>utilities</w:t>
            </w:r>
            <w:r w:rsidR="00E4084B">
              <w:t xml:space="preserve"> related to infections were based on an alternative source as the Australian data do not allow for differences in infection severity to be quantified. A </w:t>
            </w:r>
            <w:r w:rsidR="00F61B05">
              <w:t>disutility</w:t>
            </w:r>
            <w:r w:rsidR="00E4084B">
              <w:t xml:space="preserve"> is applied per IV infusion, however no disutil</w:t>
            </w:r>
            <w:r w:rsidR="00F61B05">
              <w:t>i</w:t>
            </w:r>
            <w:r w:rsidR="00E4084B">
              <w:t>ties have been assumed due to infusion-related AEs (which were generally mild and manageable).</w:t>
            </w:r>
          </w:p>
        </w:tc>
        <w:tc>
          <w:tcPr>
            <w:tcW w:w="667" w:type="pct"/>
          </w:tcPr>
          <w:p w14:paraId="6C1BD9B2" w14:textId="465DF8DE" w:rsidR="00190B86" w:rsidRDefault="00E4084B" w:rsidP="008742A1">
            <w:pPr>
              <w:pStyle w:val="Tabletext1"/>
            </w:pPr>
            <w:r>
              <w:t>Section D.4.3</w:t>
            </w:r>
          </w:p>
        </w:tc>
      </w:tr>
    </w:tbl>
    <w:p w14:paraId="432D7A15" w14:textId="40A3B0BD" w:rsidR="00911F85" w:rsidRPr="00E86BCE" w:rsidRDefault="001E0CF0" w:rsidP="00911F85">
      <w:pPr>
        <w:pStyle w:val="Tablenotes1"/>
      </w:pPr>
      <w:r>
        <w:t xml:space="preserve">AE = adverse events; AQoL-6D = </w:t>
      </w:r>
      <w:r w:rsidRPr="00FB3D51">
        <w:t>Assessment of Quality of Life</w:t>
      </w:r>
      <w:r>
        <w:t>, six dimension; CLL = chronic lymphocytic leukaemia; Ig = immunoglobulin; MM = multiple myeloma; post-HSCT = post-</w:t>
      </w:r>
      <w:r w:rsidRPr="00FB3D51">
        <w:t xml:space="preserve"> haemopoietic stem cell transplantation</w:t>
      </w:r>
      <w:r>
        <w:t>.</w:t>
      </w:r>
    </w:p>
    <w:p w14:paraId="42B14913" w14:textId="77777777" w:rsidR="00911F85" w:rsidRDefault="00911F85" w:rsidP="00911F85"/>
    <w:p w14:paraId="264D48C1" w14:textId="77777777" w:rsidR="00911F85" w:rsidRPr="00183E4D" w:rsidRDefault="00911F85" w:rsidP="00911F85">
      <w:pPr>
        <w:pStyle w:val="Heading1"/>
      </w:pPr>
      <w:bookmarkStart w:id="418" w:name="_Toc379118086"/>
      <w:bookmarkStart w:id="419" w:name="_Toc381796473"/>
      <w:bookmarkStart w:id="420" w:name="_Toc9515608"/>
      <w:bookmarkStart w:id="421" w:name="_Toc14431158"/>
      <w:bookmarkStart w:id="422" w:name="_Toc16856331"/>
      <w:r w:rsidRPr="00183E4D">
        <w:lastRenderedPageBreak/>
        <w:t>Section D</w:t>
      </w:r>
      <w:r w:rsidRPr="00183E4D">
        <w:tab/>
        <w:t>Economic Evaluation</w:t>
      </w:r>
      <w:bookmarkEnd w:id="418"/>
      <w:bookmarkEnd w:id="419"/>
      <w:bookmarkEnd w:id="420"/>
      <w:bookmarkEnd w:id="421"/>
      <w:bookmarkEnd w:id="422"/>
    </w:p>
    <w:p w14:paraId="7DECC856" w14:textId="77777777" w:rsidR="00911F85" w:rsidRPr="00183E4D" w:rsidRDefault="00911F85" w:rsidP="00331FB9">
      <w:pPr>
        <w:pStyle w:val="Heading2"/>
        <w:numPr>
          <w:ilvl w:val="3"/>
          <w:numId w:val="10"/>
        </w:numPr>
      </w:pPr>
      <w:bookmarkStart w:id="423" w:name="_Toc381796475"/>
      <w:bookmarkStart w:id="424" w:name="_Toc9515609"/>
      <w:bookmarkStart w:id="425" w:name="_Toc14431159"/>
      <w:bookmarkStart w:id="426" w:name="_Toc16856332"/>
      <w:r w:rsidRPr="00183E4D">
        <w:t>Overview</w:t>
      </w:r>
      <w:bookmarkEnd w:id="423"/>
      <w:bookmarkEnd w:id="424"/>
      <w:bookmarkEnd w:id="425"/>
      <w:bookmarkEnd w:id="426"/>
    </w:p>
    <w:p w14:paraId="7FCE7C3B" w14:textId="4B570135" w:rsidR="00911F85" w:rsidRPr="00762516" w:rsidRDefault="00911F85" w:rsidP="00911F85">
      <w:r w:rsidRPr="009929BE">
        <w:t>The clinical evaluation suggested that</w:t>
      </w:r>
      <w:r>
        <w:t xml:space="preserve"> in patients with acquired hypogammaglobulinaemia secondary to haematological malignancies</w:t>
      </w:r>
      <w:r w:rsidRPr="009929BE">
        <w:t xml:space="preserve">, relative to </w:t>
      </w:r>
      <w:r>
        <w:t>no Ig</w:t>
      </w:r>
      <w:r w:rsidRPr="009929BE">
        <w:t xml:space="preserve">, </w:t>
      </w:r>
      <w:r>
        <w:t>Ig</w:t>
      </w:r>
      <w:r w:rsidRPr="009929BE">
        <w:t xml:space="preserve"> has </w:t>
      </w:r>
      <w:r w:rsidRPr="002E3617">
        <w:t xml:space="preserve">inferior </w:t>
      </w:r>
      <w:r w:rsidRPr="009929BE">
        <w:t xml:space="preserve">safety and </w:t>
      </w:r>
      <w:r w:rsidRPr="002E3617">
        <w:t xml:space="preserve">superior </w:t>
      </w:r>
      <w:r w:rsidRPr="009929BE">
        <w:t>effectiveness</w:t>
      </w:r>
      <w:r>
        <w:t xml:space="preserve"> based on the evidence profile given in </w:t>
      </w:r>
      <w:r w:rsidR="00CF494C">
        <w:rPr>
          <w:highlight w:val="yellow"/>
        </w:rPr>
        <w:fldChar w:fldCharType="begin"/>
      </w:r>
      <w:r w:rsidR="00CF494C">
        <w:instrText xml:space="preserve"> REF _Ref399239890 \h </w:instrText>
      </w:r>
      <w:r w:rsidR="00CF494C">
        <w:rPr>
          <w:highlight w:val="yellow"/>
        </w:rPr>
      </w:r>
      <w:r w:rsidR="00CF494C">
        <w:rPr>
          <w:highlight w:val="yellow"/>
        </w:rPr>
        <w:fldChar w:fldCharType="separate"/>
      </w:r>
      <w:r w:rsidR="00A7463B" w:rsidRPr="00270836">
        <w:t xml:space="preserve">Table </w:t>
      </w:r>
      <w:r w:rsidR="00A7463B">
        <w:rPr>
          <w:noProof/>
        </w:rPr>
        <w:t>29</w:t>
      </w:r>
      <w:r w:rsidR="00CF494C">
        <w:rPr>
          <w:highlight w:val="yellow"/>
        </w:rPr>
        <w:fldChar w:fldCharType="end"/>
      </w:r>
      <w:r w:rsidRPr="009929BE">
        <w:t>.</w:t>
      </w:r>
      <w:r>
        <w:t xml:space="preserve"> </w:t>
      </w:r>
      <w:r>
        <w:fldChar w:fldCharType="begin"/>
      </w:r>
      <w:r>
        <w:instrText xml:space="preserve"> REF _Ref13559199 \h </w:instrText>
      </w:r>
      <w:r>
        <w:fldChar w:fldCharType="separate"/>
      </w:r>
      <w:r w:rsidR="00A7463B" w:rsidRPr="004D32EA">
        <w:t xml:space="preserve">Table </w:t>
      </w:r>
      <w:r w:rsidR="00A7463B">
        <w:rPr>
          <w:noProof/>
        </w:rPr>
        <w:t>94</w:t>
      </w:r>
      <w:r>
        <w:fldChar w:fldCharType="end"/>
      </w:r>
      <w:r>
        <w:t xml:space="preserve">, </w:t>
      </w:r>
      <w:r>
        <w:fldChar w:fldCharType="begin"/>
      </w:r>
      <w:r>
        <w:instrText xml:space="preserve"> REF _Ref13644183 \h </w:instrText>
      </w:r>
      <w:r>
        <w:fldChar w:fldCharType="separate"/>
      </w:r>
      <w:r w:rsidR="00A7463B" w:rsidRPr="00183E4D">
        <w:t xml:space="preserve">Appendix </w:t>
      </w:r>
      <w:r w:rsidR="00A7463B">
        <w:rPr>
          <w:noProof/>
        </w:rPr>
        <w:t>G</w:t>
      </w:r>
      <w:r>
        <w:fldChar w:fldCharType="end"/>
      </w:r>
      <w:r>
        <w:t xml:space="preserve">, presents the framework that was used to classify the clinical evidence in Section B so that a decision could be made about the type of economic analysis to present. On this basis, a modelled cost-utility analysis will be </w:t>
      </w:r>
      <w:r w:rsidRPr="00762516">
        <w:t>presented.</w:t>
      </w:r>
    </w:p>
    <w:p w14:paraId="2F80E057" w14:textId="77777777" w:rsidR="00911F85" w:rsidRDefault="00911F85" w:rsidP="00911F85">
      <w:r>
        <w:t xml:space="preserve">The majority of higher quality evidence was identified in CLL and MM. Use in other haematological malignancies has been based on the principle that a history of infections and presence of hypogammaglobulinaemia is sufficient to warrant treatment. While no evidence was presented to support this use, the conclusion from Section B indicates that the evidence reviewed does not suggest that response to Ig is any more variable in patients with less-studied malignancies compared with CLL and MM. </w:t>
      </w:r>
    </w:p>
    <w:p w14:paraId="7E2B3BA6" w14:textId="77777777" w:rsidR="00911F85" w:rsidRDefault="00911F85" w:rsidP="00911F85">
      <w:r w:rsidRPr="007976D7">
        <w:t>One eco</w:t>
      </w:r>
      <w:r>
        <w:t>nomic analysis will be presented across the acquired hypogammaglobulinaemia indications. G</w:t>
      </w:r>
      <w:r w:rsidRPr="007976D7">
        <w:t xml:space="preserve">iven the heterogeneity within each indication, </w:t>
      </w:r>
      <w:r>
        <w:t xml:space="preserve">the </w:t>
      </w:r>
      <w:r w:rsidRPr="007976D7">
        <w:t xml:space="preserve">studies </w:t>
      </w:r>
      <w:r>
        <w:t xml:space="preserve">presented in the clinical evidence </w:t>
      </w:r>
      <w:r w:rsidRPr="007976D7">
        <w:t xml:space="preserve">are likely to be as applicable across the </w:t>
      </w:r>
      <w:r>
        <w:t xml:space="preserve">broader </w:t>
      </w:r>
      <w:r w:rsidRPr="007976D7">
        <w:t xml:space="preserve">acquired hypogammaglobulinaemia </w:t>
      </w:r>
      <w:r>
        <w:t xml:space="preserve">indication </w:t>
      </w:r>
      <w:r w:rsidRPr="007976D7">
        <w:t>as they are within each indication</w:t>
      </w:r>
      <w:r>
        <w:t xml:space="preserve"> (see Section B.8)</w:t>
      </w:r>
      <w:r w:rsidRPr="007976D7">
        <w:t xml:space="preserve">. </w:t>
      </w:r>
      <w:r>
        <w:t xml:space="preserve">To further support this approach, contemporary clinical and economic modelling studies generally included patients with mixed haematological malignancies (see also Section D.3). As the purpose of Ig in acquired hypogammaglobulinaemia is to reduce the risk of infection and as the treatment effect of Ig was observed to be consistent across indications with respect to this outcome, this is considered to be a reasonable </w:t>
      </w:r>
      <w:r w:rsidRPr="001C5DE8">
        <w:t>approach</w:t>
      </w:r>
      <w:r>
        <w:t>. Scenario analyses are presented determining the cost-effectiveness per indication assuming the best estimates available.</w:t>
      </w:r>
    </w:p>
    <w:p w14:paraId="5B9C4B89" w14:textId="77777777" w:rsidR="00911F85" w:rsidRDefault="00911F85" w:rsidP="00911F85"/>
    <w:p w14:paraId="160AA6E8" w14:textId="77777777" w:rsidR="00911F85" w:rsidRPr="00183E4D" w:rsidRDefault="00911F85" w:rsidP="00331FB9">
      <w:pPr>
        <w:pStyle w:val="Heading2"/>
        <w:numPr>
          <w:ilvl w:val="3"/>
          <w:numId w:val="10"/>
        </w:numPr>
      </w:pPr>
      <w:bookmarkStart w:id="427" w:name="_Toc381796477"/>
      <w:bookmarkStart w:id="428" w:name="_Toc9515610"/>
      <w:bookmarkStart w:id="429" w:name="_Toc14431160"/>
      <w:bookmarkStart w:id="430" w:name="_Toc16856333"/>
      <w:r w:rsidRPr="00183E4D">
        <w:t>Populations and settings</w:t>
      </w:r>
      <w:bookmarkEnd w:id="427"/>
      <w:bookmarkEnd w:id="428"/>
      <w:bookmarkEnd w:id="429"/>
      <w:bookmarkEnd w:id="430"/>
    </w:p>
    <w:p w14:paraId="31B1C77B" w14:textId="77777777" w:rsidR="00911F85" w:rsidRDefault="00911F85" w:rsidP="00911F85">
      <w:r>
        <w:t xml:space="preserve">Under the Version 3 criteria, Ig is indicated for acquired hypogammaglobulinaemia secondary to haematological malignancies (including acute leukaemia, CLL, MM, NHL and others), or post-HSCT. A comparison of the demographics of the patients in Australia who currently receive Ig across these indications to those in the randomised evidence was presented in Section C.2.1. Patient demographics were generally not well reported. CLL patients in the randomised clinical studies included were on average younger than those receiving Ig in the BloodSTAR database. Further, the majority of the randomised evidence was published in the 1990s. However the treatment effect of Ig seemed relatively consistent across included studies. Contemporary Australian data will be used to </w:t>
      </w:r>
      <w:r>
        <w:lastRenderedPageBreak/>
        <w:t>inform baseline infection rates, and the pooled estimates for the treatment effect of Ig from the randomised studies will be used in the base case analysis.</w:t>
      </w:r>
    </w:p>
    <w:p w14:paraId="0C3E922D" w14:textId="77777777" w:rsidR="00911F85" w:rsidRDefault="00911F85" w:rsidP="00911F85">
      <w:r>
        <w:t>As described in Section C.2.3, doses of Ig in the clinical evidence (0.3 g/kg to 0.8 g/kg) were generally consistent with those used in current Australian practice (0.36</w:t>
      </w:r>
      <w:r>
        <w:rPr>
          <w:rFonts w:cs="Calibri"/>
        </w:rPr>
        <w:t>−</w:t>
      </w:r>
      <w:r>
        <w:t>0.38 g/kg). Given that currently there is substantial experience with Ig use, it will be assumed that current dosing is appropriate to achieve the clinical outcome of preventing infections, and so the economic analysis will use actual doses from the BloodSTAR data under the assumption that this has no effect on infection rates as observed in the trials. This is consistent with the Version 3 criteria which state that the aim should be to use the lowest dose possible that achieves the appropriate clinical outcome for the patient.</w:t>
      </w:r>
    </w:p>
    <w:p w14:paraId="577A8FAE" w14:textId="75E42833" w:rsidR="00911F85" w:rsidRDefault="00911F85" w:rsidP="00911F85">
      <w:r>
        <w:t xml:space="preserve">The majority of randomised studies allowed Ig treatment for a fixed period of time, rather than continuation based on an assessment of treatment response (as per the Version 3 criteria). </w:t>
      </w:r>
      <w:r w:rsidRPr="006C5F5C">
        <w:t>BloodSTAR</w:t>
      </w:r>
      <w:r>
        <w:t xml:space="preserve"> data</w:t>
      </w:r>
      <w:r w:rsidRPr="006C5F5C">
        <w:t xml:space="preserve"> were not available to inform</w:t>
      </w:r>
      <w:r>
        <w:t xml:space="preserve"> the average treatment duration</w:t>
      </w:r>
      <w:r w:rsidRPr="006C5F5C">
        <w:t xml:space="preserve"> of patients who currently receive Ig for acquired hypogammaglobulinaemia</w:t>
      </w:r>
      <w:r>
        <w:t>. The translation study presented in Section C.2.4 concluded that as</w:t>
      </w:r>
      <w:r w:rsidRPr="000E1E07">
        <w:t xml:space="preserve"> </w:t>
      </w:r>
      <w:r>
        <w:t>most patients would be managed o</w:t>
      </w:r>
      <w:r w:rsidRPr="000E1E07">
        <w:t xml:space="preserve">n a case-by-case nature, the model will assume an average treatment duration of </w:t>
      </w:r>
      <w:r>
        <w:t>26</w:t>
      </w:r>
      <w:r w:rsidRPr="000E1E07">
        <w:t xml:space="preserve"> months, based on </w:t>
      </w:r>
      <w:r w:rsidRPr="00F55739">
        <w:t>Paxton, Hawkins &amp; Crispin</w:t>
      </w:r>
      <w:r>
        <w:t xml:space="preserve"> </w:t>
      </w:r>
      <w:r>
        <w:fldChar w:fldCharType="begin">
          <w:fldData xml:space="preserve">PEVuZE5vdGU+PENpdGUgRXhjbHVkZUF1dGg9IjEiPjxBdXRob3I+UGF4dG9uPC9BdXRob3I+PFll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</w:fldData>
        </w:fldChar>
      </w:r>
      <w:r>
        <w:instrText xml:space="preserve"> ADDIN EN.CITE </w:instrText>
      </w:r>
      <w:r>
        <w:fldChar w:fldCharType="begin">
          <w:fldData xml:space="preserve">PEVuZE5vdGU+PENpdGUgRXhjbHVkZUF1dGg9IjEiPjxBdXRob3I+UGF4dG9uPC9BdXRob3I+PFll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</w:fldData>
        </w:fldChar>
      </w:r>
      <w:r>
        <w:instrText xml:space="preserve"> ADDIN EN.CITE.DATA </w:instrText>
      </w:r>
      <w:r>
        <w:fldChar w:fldCharType="end"/>
      </w:r>
      <w:r>
        <w:fldChar w:fldCharType="separate"/>
      </w:r>
      <w:r>
        <w:rPr>
          <w:noProof/>
        </w:rPr>
        <w:t>(</w:t>
      </w:r>
      <w:hyperlink w:anchor="_ENREF_39" w:tooltip="Paxton, 2016 #66" w:history="1">
        <w:r w:rsidR="00BB0145">
          <w:rPr>
            <w:noProof/>
          </w:rPr>
          <w:t>2016</w:t>
        </w:r>
      </w:hyperlink>
      <w:r>
        <w:rPr>
          <w:noProof/>
        </w:rPr>
        <w:t>)</w:t>
      </w:r>
      <w:r>
        <w:fldChar w:fldCharType="end"/>
      </w:r>
      <w:r w:rsidRPr="000E1E07">
        <w:t xml:space="preserve">. </w:t>
      </w:r>
      <w:r>
        <w:t xml:space="preserve">This was the only study conducted in the Australian setting where patients </w:t>
      </w:r>
      <w:r w:rsidRPr="008C14BF">
        <w:t>were not required to have received Ig for a minimum period of time</w:t>
      </w:r>
      <w:r>
        <w:t>, and so is considered to be most applicable to the current setting.</w:t>
      </w:r>
    </w:p>
    <w:p w14:paraId="13E6DD0E" w14:textId="6623BF47" w:rsidR="00911F85" w:rsidRDefault="00911F85" w:rsidP="00911F85">
      <w:r>
        <w:t>I</w:t>
      </w:r>
      <w:r w:rsidRPr="00052740">
        <w:t>t is unclear what would occur in Australian clinica</w:t>
      </w:r>
      <w:r>
        <w:t xml:space="preserve">l practice in the absence of Ig, given that it is currently available for acquired hypogammaglobulinaemia and is considered to be the standard of care: a recent survey of Australian clinicians experienced in the care of patients with acquired hypogammaglobulinaemia observed that 93% of clinicians surveyed use IVIg to prevent infections in this population, and 19% use SCIg. </w:t>
      </w:r>
      <w:r w:rsidRPr="00EA37A5">
        <w:t>Pneumococcal vaccination</w:t>
      </w:r>
      <w:r>
        <w:t xml:space="preserve"> and prophylactic antibiotics were used by 63% and 21% of clinicians respectively </w:t>
      </w:r>
      <w:r>
        <w:fldChar w:fldCharType="begin">
          <w:fldData xml:space="preserve">PEVuZE5vdGU+PENpdGU+PEF1dGhvcj5Xb25nPC9BdXRob3I+PFllYXI+MjAxOTwvWWVhcj48UmVj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==
</w:fldData>
        </w:fldChar>
      </w:r>
      <w:r>
        <w:instrText xml:space="preserve"> ADDIN EN.CITE </w:instrText>
      </w:r>
      <w:r>
        <w:fldChar w:fldCharType="begin">
          <w:fldData xml:space="preserve">PEVuZE5vdGU+PENpdGU+PEF1dGhvcj5Xb25nPC9BdXRob3I+PFllYXI+MjAxOTwvWWVhcj48UmVj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==
</w:fldData>
        </w:fldChar>
      </w:r>
      <w:r>
        <w:instrText xml:space="preserve"> ADDIN EN.CITE.DATA </w:instrText>
      </w:r>
      <w:r>
        <w:fldChar w:fldCharType="end"/>
      </w:r>
      <w:r>
        <w:fldChar w:fldCharType="separate"/>
      </w:r>
      <w:r>
        <w:rPr>
          <w:noProof/>
        </w:rPr>
        <w:t>(</w:t>
      </w:r>
      <w:hyperlink w:anchor="_ENREF_58" w:tooltip="Wong, 2019 #98" w:history="1">
        <w:r w:rsidR="00BB0145">
          <w:rPr>
            <w:noProof/>
          </w:rPr>
          <w:t>Wong et al. 2019</w:t>
        </w:r>
      </w:hyperlink>
      <w:r>
        <w:rPr>
          <w:noProof/>
        </w:rPr>
        <w:t>)</w:t>
      </w:r>
      <w:r>
        <w:fldChar w:fldCharType="end"/>
      </w:r>
      <w:r>
        <w:t xml:space="preserve">. As described in Section C.2.2, prophylactic antibiotics were either not allowed in the absence of Ig; or where allowed, use was equal irrespective of Ig use. One small (n = 15) non-randomised before/after study conducted in the UK </w:t>
      </w:r>
      <w:r>
        <w:fldChar w:fldCharType="begin">
          <w:fldData xml:space="preserve">PEVuZE5vdGU+PENpdGU+PEF1dGhvcj5EdXJhaXNpbmdoYW08L0F1dGhvcj48WWVhcj4yMDE0PC9Z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</w:fldData>
        </w:fldChar>
      </w:r>
      <w:r>
        <w:instrText xml:space="preserve"> ADDIN EN.CITE </w:instrText>
      </w:r>
      <w:r>
        <w:fldChar w:fldCharType="begin">
          <w:fldData xml:space="preserve">PEVuZE5vdGU+PENpdGU+PEF1dGhvcj5EdXJhaXNpbmdoYW08L0F1dGhvcj48WWVhcj4yMDE0PC9Z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</w:fldData>
        </w:fldChar>
      </w:r>
      <w:r>
        <w:instrText xml:space="preserve"> ADDIN EN.CITE.DATA </w:instrText>
      </w:r>
      <w:r>
        <w:fldChar w:fldCharType="end"/>
      </w:r>
      <w:r>
        <w:fldChar w:fldCharType="separate"/>
      </w:r>
      <w:r>
        <w:rPr>
          <w:noProof/>
        </w:rPr>
        <w:t>(</w:t>
      </w:r>
      <w:hyperlink w:anchor="_ENREF_16" w:tooltip="Duraisingham, 2014 #20" w:history="1">
        <w:r w:rsidR="00BB0145">
          <w:rPr>
            <w:noProof/>
          </w:rPr>
          <w:t>Duraisingham et al. 2014</w:t>
        </w:r>
      </w:hyperlink>
      <w:r>
        <w:rPr>
          <w:noProof/>
        </w:rPr>
        <w:t>)</w:t>
      </w:r>
      <w:r>
        <w:fldChar w:fldCharType="end"/>
      </w:r>
      <w:r>
        <w:t xml:space="preserve"> reported a decrease in the use of prophylactic antibiotics after initiation of Ig therapy (from 80% to 67%), with similar relative reductions in infection rates as the studies in which prophylactic antibiotic use was not allowed. This translation study concluded that while the results from the Duraisingham et </w:t>
      </w:r>
      <w:r w:rsidRPr="00882E18">
        <w:t xml:space="preserve">al. </w:t>
      </w:r>
      <w:r>
        <w:fldChar w:fldCharType="begin">
          <w:fldData xml:space="preserve">PEVuZE5vdGU+PENpdGUgRXhjbHVkZUF1dGg9IjEiPjxBdXRob3I+RHVyYWlzaW5naGFtPC9BdXRo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</w:fldData>
        </w:fldChar>
      </w:r>
      <w:r>
        <w:instrText xml:space="preserve"> ADDIN EN.CITE </w:instrText>
      </w:r>
      <w:r>
        <w:fldChar w:fldCharType="begin">
          <w:fldData xml:space="preserve">PEVuZE5vdGU+PENpdGUgRXhjbHVkZUF1dGg9IjEiPjxBdXRob3I+RHVyYWlzaW5naGFtPC9BdXRo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</w:fldData>
        </w:fldChar>
      </w:r>
      <w:r>
        <w:instrText xml:space="preserve"> ADDIN EN.CITE.DATA </w:instrText>
      </w:r>
      <w:r>
        <w:fldChar w:fldCharType="end"/>
      </w:r>
      <w:r>
        <w:fldChar w:fldCharType="separate"/>
      </w:r>
      <w:r>
        <w:rPr>
          <w:noProof/>
        </w:rPr>
        <w:t>(</w:t>
      </w:r>
      <w:hyperlink w:anchor="_ENREF_16" w:tooltip="Duraisingham, 2014 #20" w:history="1">
        <w:r w:rsidR="00BB0145">
          <w:rPr>
            <w:noProof/>
          </w:rPr>
          <w:t>2014</w:t>
        </w:r>
      </w:hyperlink>
      <w:r>
        <w:rPr>
          <w:noProof/>
        </w:rPr>
        <w:t>)</w:t>
      </w:r>
      <w:r>
        <w:fldChar w:fldCharType="end"/>
      </w:r>
      <w:r>
        <w:t xml:space="preserve"> study are supportive of a benefit of similar magnitude for Ig </w:t>
      </w:r>
      <w:r>
        <w:rPr>
          <w:rFonts w:cs="Calibri"/>
        </w:rPr>
        <w:t xml:space="preserve">irrespective of whether prophylactic antibiotics are used in the comparator, due to the </w:t>
      </w:r>
      <w:r w:rsidRPr="00AD6AF6">
        <w:rPr>
          <w:rFonts w:cs="Calibri"/>
        </w:rPr>
        <w:t xml:space="preserve">inherent biases associated with </w:t>
      </w:r>
      <w:r>
        <w:rPr>
          <w:rFonts w:cs="Calibri"/>
        </w:rPr>
        <w:t>the small patient numbers and study design, this is not conclusive. T</w:t>
      </w:r>
      <w:r>
        <w:t>he economic analysis therefore assumes no increase in prophylactic antibiotic use relative to that in the Ig arm of the model – and so infection rates reported in the randomised studies apply to the current setting. A scenario analysis based on the results of this study is presented.</w:t>
      </w:r>
    </w:p>
    <w:p w14:paraId="1ABB2992" w14:textId="77777777" w:rsidR="00911F85" w:rsidRDefault="00911F85" w:rsidP="00911F85"/>
    <w:p w14:paraId="19368475" w14:textId="77777777" w:rsidR="00911F85" w:rsidRDefault="00911F85" w:rsidP="00331FB9">
      <w:pPr>
        <w:pStyle w:val="Heading2"/>
        <w:numPr>
          <w:ilvl w:val="3"/>
          <w:numId w:val="10"/>
        </w:numPr>
      </w:pPr>
      <w:bookmarkStart w:id="431" w:name="_Toc381796478"/>
      <w:bookmarkStart w:id="432" w:name="_Toc9515611"/>
      <w:bookmarkStart w:id="433" w:name="_Toc14431161"/>
      <w:bookmarkStart w:id="434" w:name="_Toc16856334"/>
      <w:r w:rsidRPr="00183E4D">
        <w:lastRenderedPageBreak/>
        <w:t>Structure and rationale of the economic evaluation</w:t>
      </w:r>
      <w:bookmarkEnd w:id="431"/>
      <w:bookmarkEnd w:id="432"/>
      <w:bookmarkEnd w:id="433"/>
      <w:bookmarkEnd w:id="434"/>
    </w:p>
    <w:p w14:paraId="5B843BBE" w14:textId="253B285E" w:rsidR="00911F85" w:rsidRPr="004D32EA" w:rsidRDefault="00911F85" w:rsidP="00911F85">
      <w:r w:rsidRPr="004D32EA">
        <w:t xml:space="preserve">A summary of the key characteristics of the economic evaluation is given in </w:t>
      </w:r>
      <w:r w:rsidRPr="004D32EA">
        <w:fldChar w:fldCharType="begin"/>
      </w:r>
      <w:r w:rsidRPr="004D32EA">
        <w:instrText xml:space="preserve"> REF _Ref395196756 \h  \* MERGEFORMAT </w:instrText>
      </w:r>
      <w:r w:rsidRPr="004D32EA">
        <w:fldChar w:fldCharType="separate"/>
      </w:r>
      <w:r w:rsidR="00A7463B" w:rsidRPr="004D32EA">
        <w:t xml:space="preserve">Table </w:t>
      </w:r>
      <w:r w:rsidR="00A7463B">
        <w:rPr>
          <w:noProof/>
        </w:rPr>
        <w:t>36</w:t>
      </w:r>
      <w:r w:rsidRPr="004D32EA">
        <w:fldChar w:fldCharType="end"/>
      </w:r>
      <w:r w:rsidRPr="004D32EA">
        <w:t>.</w:t>
      </w:r>
    </w:p>
    <w:p w14:paraId="7AF4CD8C" w14:textId="69886E3F" w:rsidR="00911F85" w:rsidRDefault="00911F85" w:rsidP="00911F85">
      <w:pPr>
        <w:pStyle w:val="Caption"/>
        <w:tabs>
          <w:tab w:val="left" w:pos="1134"/>
        </w:tabs>
        <w:ind w:left="1134" w:hanging="1134"/>
      </w:pPr>
      <w:bookmarkStart w:id="435" w:name="_Ref395196756"/>
      <w:bookmarkStart w:id="436" w:name="_Toc444869034"/>
      <w:bookmarkStart w:id="437" w:name="_Toc14348871"/>
      <w:bookmarkStart w:id="438" w:name="_Toc14429577"/>
      <w:bookmarkStart w:id="439" w:name="_Toc16671634"/>
      <w:r w:rsidRPr="004D32EA">
        <w:t xml:space="preserve">Table </w:t>
      </w:r>
      <w:r>
        <w:rPr>
          <w:noProof/>
        </w:rPr>
        <w:fldChar w:fldCharType="begin"/>
      </w:r>
      <w:r>
        <w:rPr>
          <w:noProof/>
        </w:rPr>
        <w:instrText xml:space="preserve"> SEQ Table \* ARABIC </w:instrText>
      </w:r>
      <w:r>
        <w:rPr>
          <w:noProof/>
        </w:rPr>
        <w:fldChar w:fldCharType="separate"/>
      </w:r>
      <w:r w:rsidR="00A7463B">
        <w:rPr>
          <w:noProof/>
        </w:rPr>
        <w:t>36</w:t>
      </w:r>
      <w:r>
        <w:rPr>
          <w:noProof/>
        </w:rPr>
        <w:fldChar w:fldCharType="end"/>
      </w:r>
      <w:bookmarkEnd w:id="435"/>
      <w:r w:rsidRPr="004D32EA">
        <w:tab/>
        <w:t>Summary of the economic evaluation</w:t>
      </w:r>
      <w:bookmarkEnd w:id="436"/>
      <w:bookmarkEnd w:id="437"/>
      <w:bookmarkEnd w:id="438"/>
      <w:bookmarkEnd w:id="439"/>
      <w:r w:rsidRPr="00183E4D">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ummary of the economic evaluation "/>
        <w:tblDescription w:val="This table describes the key constructs of the economic evaluation that is provided in the assessment report."/>
      </w:tblPr>
      <w:tblGrid>
        <w:gridCol w:w="3185"/>
        <w:gridCol w:w="6057"/>
      </w:tblGrid>
      <w:tr w:rsidR="00911F85" w:rsidRPr="00183E4D" w14:paraId="1C174C4B" w14:textId="77777777" w:rsidTr="008742A1">
        <w:trPr>
          <w:cantSplit/>
          <w:trHeight w:val="20"/>
          <w:tblHeader/>
        </w:trPr>
        <w:tc>
          <w:tcPr>
            <w:tcW w:w="1723" w:type="pct"/>
            <w:tcBorders>
              <w:top w:val="single" w:sz="4" w:space="0" w:color="auto"/>
              <w:left w:val="single" w:sz="4" w:space="0" w:color="auto"/>
              <w:bottom w:val="single" w:sz="4" w:space="0" w:color="auto"/>
              <w:right w:val="single" w:sz="4" w:space="0" w:color="auto"/>
            </w:tcBorders>
          </w:tcPr>
          <w:p w14:paraId="1C7E78C9" w14:textId="77777777" w:rsidR="00911F85" w:rsidRPr="00183E4D" w:rsidRDefault="00911F85" w:rsidP="008742A1">
            <w:pPr>
              <w:pStyle w:val="Tabletext1"/>
              <w:keepNext/>
              <w:rPr>
                <w:b/>
              </w:rPr>
            </w:pPr>
            <w:r w:rsidRPr="00183E4D">
              <w:rPr>
                <w:b/>
              </w:rPr>
              <w:t>Perspective</w:t>
            </w:r>
          </w:p>
        </w:tc>
        <w:tc>
          <w:tcPr>
            <w:tcW w:w="3277" w:type="pct"/>
            <w:tcBorders>
              <w:top w:val="single" w:sz="4" w:space="0" w:color="auto"/>
              <w:left w:val="single" w:sz="4" w:space="0" w:color="auto"/>
              <w:bottom w:val="single" w:sz="4" w:space="0" w:color="auto"/>
              <w:right w:val="single" w:sz="4" w:space="0" w:color="auto"/>
            </w:tcBorders>
          </w:tcPr>
          <w:p w14:paraId="3AEC737D" w14:textId="77777777" w:rsidR="00911F85" w:rsidRPr="00E9672D" w:rsidRDefault="00911F85" w:rsidP="008742A1">
            <w:pPr>
              <w:pStyle w:val="Tabletext1"/>
            </w:pPr>
            <w:r w:rsidRPr="00C74C59">
              <w:t>Australian healthcare</w:t>
            </w:r>
          </w:p>
        </w:tc>
      </w:tr>
      <w:tr w:rsidR="00911F85" w:rsidRPr="00183E4D" w14:paraId="6CF54DA9" w14:textId="77777777" w:rsidTr="008742A1">
        <w:trPr>
          <w:trHeight w:val="20"/>
        </w:trPr>
        <w:tc>
          <w:tcPr>
            <w:tcW w:w="1723" w:type="pct"/>
            <w:tcBorders>
              <w:top w:val="single" w:sz="4" w:space="0" w:color="auto"/>
              <w:left w:val="single" w:sz="4" w:space="0" w:color="auto"/>
              <w:bottom w:val="single" w:sz="4" w:space="0" w:color="auto"/>
              <w:right w:val="single" w:sz="4" w:space="0" w:color="auto"/>
            </w:tcBorders>
          </w:tcPr>
          <w:p w14:paraId="44D69078" w14:textId="77777777" w:rsidR="00911F85" w:rsidRPr="00183E4D" w:rsidRDefault="00911F85" w:rsidP="008742A1">
            <w:pPr>
              <w:pStyle w:val="Tabletext1"/>
              <w:keepNext/>
              <w:rPr>
                <w:b/>
              </w:rPr>
            </w:pPr>
            <w:r w:rsidRPr="00183E4D">
              <w:rPr>
                <w:b/>
              </w:rPr>
              <w:t>Comparator</w:t>
            </w:r>
          </w:p>
        </w:tc>
        <w:tc>
          <w:tcPr>
            <w:tcW w:w="3277" w:type="pct"/>
            <w:tcBorders>
              <w:top w:val="single" w:sz="4" w:space="0" w:color="auto"/>
              <w:left w:val="single" w:sz="4" w:space="0" w:color="auto"/>
              <w:bottom w:val="single" w:sz="4" w:space="0" w:color="auto"/>
              <w:right w:val="single" w:sz="4" w:space="0" w:color="auto"/>
            </w:tcBorders>
          </w:tcPr>
          <w:p w14:paraId="76712069" w14:textId="77777777" w:rsidR="00911F85" w:rsidRPr="00E9672D" w:rsidRDefault="00911F85" w:rsidP="008742A1">
            <w:pPr>
              <w:pStyle w:val="Tabletext1"/>
            </w:pPr>
            <w:r w:rsidRPr="00C74C59">
              <w:t>No Ig</w:t>
            </w:r>
          </w:p>
        </w:tc>
      </w:tr>
      <w:tr w:rsidR="00911F85" w:rsidRPr="00183E4D" w14:paraId="5854735B" w14:textId="77777777" w:rsidTr="008742A1">
        <w:trPr>
          <w:trHeight w:val="20"/>
        </w:trPr>
        <w:tc>
          <w:tcPr>
            <w:tcW w:w="1723" w:type="pct"/>
            <w:tcBorders>
              <w:top w:val="single" w:sz="4" w:space="0" w:color="auto"/>
              <w:left w:val="single" w:sz="4" w:space="0" w:color="auto"/>
              <w:bottom w:val="single" w:sz="4" w:space="0" w:color="auto"/>
              <w:right w:val="single" w:sz="4" w:space="0" w:color="auto"/>
            </w:tcBorders>
          </w:tcPr>
          <w:p w14:paraId="19B12D6E" w14:textId="77777777" w:rsidR="00911F85" w:rsidRPr="00183E4D" w:rsidRDefault="00911F85" w:rsidP="008742A1">
            <w:pPr>
              <w:pStyle w:val="Tabletext1"/>
              <w:keepNext/>
              <w:rPr>
                <w:b/>
              </w:rPr>
            </w:pPr>
            <w:r w:rsidRPr="00183E4D">
              <w:rPr>
                <w:b/>
              </w:rPr>
              <w:t>Type of economic evaluation</w:t>
            </w:r>
          </w:p>
        </w:tc>
        <w:tc>
          <w:tcPr>
            <w:tcW w:w="3277" w:type="pct"/>
            <w:tcBorders>
              <w:top w:val="single" w:sz="4" w:space="0" w:color="auto"/>
              <w:left w:val="single" w:sz="4" w:space="0" w:color="auto"/>
              <w:bottom w:val="single" w:sz="4" w:space="0" w:color="auto"/>
              <w:right w:val="single" w:sz="4" w:space="0" w:color="auto"/>
            </w:tcBorders>
          </w:tcPr>
          <w:p w14:paraId="3D289121" w14:textId="77777777" w:rsidR="00911F85" w:rsidRPr="00E9672D" w:rsidRDefault="00911F85" w:rsidP="008742A1">
            <w:pPr>
              <w:pStyle w:val="Tabletext1"/>
            </w:pPr>
            <w:r w:rsidRPr="00C74C59">
              <w:t>Cost-utility</w:t>
            </w:r>
            <w:r>
              <w:t xml:space="preserve"> and cost-effectiveness analyses</w:t>
            </w:r>
          </w:p>
        </w:tc>
      </w:tr>
      <w:tr w:rsidR="00911F85" w:rsidRPr="00183E4D" w14:paraId="243258F1" w14:textId="77777777" w:rsidTr="008742A1">
        <w:trPr>
          <w:trHeight w:val="20"/>
        </w:trPr>
        <w:tc>
          <w:tcPr>
            <w:tcW w:w="1723" w:type="pct"/>
            <w:tcBorders>
              <w:top w:val="single" w:sz="4" w:space="0" w:color="auto"/>
              <w:left w:val="single" w:sz="4" w:space="0" w:color="auto"/>
              <w:bottom w:val="single" w:sz="4" w:space="0" w:color="auto"/>
              <w:right w:val="single" w:sz="4" w:space="0" w:color="auto"/>
            </w:tcBorders>
          </w:tcPr>
          <w:p w14:paraId="3ADA5821" w14:textId="77777777" w:rsidR="00911F85" w:rsidRPr="00183E4D" w:rsidRDefault="00911F85" w:rsidP="008742A1">
            <w:pPr>
              <w:pStyle w:val="Tabletext1"/>
              <w:keepNext/>
              <w:rPr>
                <w:b/>
              </w:rPr>
            </w:pPr>
            <w:r w:rsidRPr="00183E4D">
              <w:rPr>
                <w:b/>
              </w:rPr>
              <w:t>Sources of evidence</w:t>
            </w:r>
          </w:p>
        </w:tc>
        <w:tc>
          <w:tcPr>
            <w:tcW w:w="3277" w:type="pct"/>
            <w:tcBorders>
              <w:top w:val="single" w:sz="4" w:space="0" w:color="auto"/>
              <w:left w:val="single" w:sz="4" w:space="0" w:color="auto"/>
              <w:bottom w:val="single" w:sz="4" w:space="0" w:color="auto"/>
              <w:right w:val="single" w:sz="4" w:space="0" w:color="auto"/>
            </w:tcBorders>
          </w:tcPr>
          <w:p w14:paraId="6573BD4E" w14:textId="77777777" w:rsidR="00911F85" w:rsidRPr="00E9672D" w:rsidRDefault="00911F85" w:rsidP="008742A1">
            <w:pPr>
              <w:pStyle w:val="Tabletext1"/>
            </w:pPr>
            <w:r w:rsidRPr="00C74C59">
              <w:t>Systematic review presented in Section B</w:t>
            </w:r>
          </w:p>
        </w:tc>
      </w:tr>
      <w:tr w:rsidR="00911F85" w:rsidRPr="00183E4D" w14:paraId="0B7849AD" w14:textId="77777777" w:rsidTr="008742A1">
        <w:trPr>
          <w:trHeight w:val="20"/>
        </w:trPr>
        <w:tc>
          <w:tcPr>
            <w:tcW w:w="1723" w:type="pct"/>
            <w:tcBorders>
              <w:top w:val="single" w:sz="4" w:space="0" w:color="auto"/>
              <w:left w:val="single" w:sz="4" w:space="0" w:color="auto"/>
              <w:bottom w:val="single" w:sz="4" w:space="0" w:color="auto"/>
              <w:right w:val="single" w:sz="4" w:space="0" w:color="auto"/>
            </w:tcBorders>
            <w:hideMark/>
          </w:tcPr>
          <w:p w14:paraId="3A8AD5D7" w14:textId="77777777" w:rsidR="00911F85" w:rsidRPr="00183E4D" w:rsidRDefault="00911F85" w:rsidP="008742A1">
            <w:pPr>
              <w:pStyle w:val="Tabletext1"/>
              <w:keepNext/>
              <w:rPr>
                <w:b/>
              </w:rPr>
            </w:pPr>
            <w:r w:rsidRPr="00183E4D">
              <w:rPr>
                <w:b/>
              </w:rPr>
              <w:t>Time horizon</w:t>
            </w:r>
          </w:p>
        </w:tc>
        <w:tc>
          <w:tcPr>
            <w:tcW w:w="3277" w:type="pct"/>
            <w:tcBorders>
              <w:top w:val="single" w:sz="4" w:space="0" w:color="auto"/>
              <w:left w:val="single" w:sz="4" w:space="0" w:color="auto"/>
              <w:bottom w:val="single" w:sz="4" w:space="0" w:color="auto"/>
              <w:right w:val="single" w:sz="4" w:space="0" w:color="auto"/>
            </w:tcBorders>
            <w:hideMark/>
          </w:tcPr>
          <w:p w14:paraId="7B3A6D19" w14:textId="77777777" w:rsidR="00911F85" w:rsidRPr="00E9672D" w:rsidRDefault="00911F85" w:rsidP="008742A1">
            <w:pPr>
              <w:pStyle w:val="Tabletext1"/>
            </w:pPr>
            <w:r>
              <w:t>10 years</w:t>
            </w:r>
          </w:p>
        </w:tc>
      </w:tr>
      <w:tr w:rsidR="00911F85" w:rsidRPr="00183E4D" w14:paraId="6235B46A" w14:textId="77777777" w:rsidTr="008742A1">
        <w:trPr>
          <w:trHeight w:val="20"/>
        </w:trPr>
        <w:tc>
          <w:tcPr>
            <w:tcW w:w="1723" w:type="pct"/>
            <w:tcBorders>
              <w:top w:val="single" w:sz="4" w:space="0" w:color="auto"/>
              <w:left w:val="single" w:sz="4" w:space="0" w:color="auto"/>
              <w:bottom w:val="single" w:sz="4" w:space="0" w:color="auto"/>
              <w:right w:val="single" w:sz="4" w:space="0" w:color="auto"/>
            </w:tcBorders>
            <w:hideMark/>
          </w:tcPr>
          <w:p w14:paraId="20AF336A" w14:textId="77777777" w:rsidR="00911F85" w:rsidRPr="00183E4D" w:rsidRDefault="00911F85" w:rsidP="008742A1">
            <w:pPr>
              <w:pStyle w:val="Tabletext1"/>
              <w:keepNext/>
              <w:rPr>
                <w:b/>
              </w:rPr>
            </w:pPr>
            <w:r w:rsidRPr="00183E4D">
              <w:rPr>
                <w:b/>
              </w:rPr>
              <w:t>Outcomes</w:t>
            </w:r>
          </w:p>
        </w:tc>
        <w:tc>
          <w:tcPr>
            <w:tcW w:w="3277" w:type="pct"/>
            <w:tcBorders>
              <w:top w:val="single" w:sz="4" w:space="0" w:color="auto"/>
              <w:left w:val="single" w:sz="4" w:space="0" w:color="auto"/>
              <w:bottom w:val="single" w:sz="4" w:space="0" w:color="auto"/>
              <w:right w:val="single" w:sz="4" w:space="0" w:color="auto"/>
            </w:tcBorders>
          </w:tcPr>
          <w:p w14:paraId="7C541A82" w14:textId="77777777" w:rsidR="00911F85" w:rsidRDefault="00911F85" w:rsidP="008742A1">
            <w:pPr>
              <w:pStyle w:val="Tabletext1"/>
            </w:pPr>
            <w:r w:rsidRPr="00C74C59">
              <w:t>QALYs</w:t>
            </w:r>
          </w:p>
          <w:p w14:paraId="4189E57D" w14:textId="77777777" w:rsidR="00911F85" w:rsidRPr="00E9672D" w:rsidRDefault="00911F85" w:rsidP="008742A1">
            <w:pPr>
              <w:pStyle w:val="Tabletext1"/>
            </w:pPr>
            <w:r>
              <w:t>Infections avoided</w:t>
            </w:r>
          </w:p>
        </w:tc>
      </w:tr>
      <w:tr w:rsidR="00911F85" w:rsidRPr="00183E4D" w14:paraId="19E98A98" w14:textId="77777777" w:rsidTr="008742A1">
        <w:trPr>
          <w:trHeight w:val="20"/>
        </w:trPr>
        <w:tc>
          <w:tcPr>
            <w:tcW w:w="1723" w:type="pct"/>
            <w:tcBorders>
              <w:top w:val="single" w:sz="4" w:space="0" w:color="auto"/>
              <w:left w:val="single" w:sz="4" w:space="0" w:color="auto"/>
              <w:bottom w:val="single" w:sz="4" w:space="0" w:color="auto"/>
              <w:right w:val="single" w:sz="4" w:space="0" w:color="auto"/>
            </w:tcBorders>
            <w:hideMark/>
          </w:tcPr>
          <w:p w14:paraId="415735B4" w14:textId="77777777" w:rsidR="00911F85" w:rsidRPr="00183E4D" w:rsidRDefault="00911F85" w:rsidP="008742A1">
            <w:pPr>
              <w:pStyle w:val="Tabletext1"/>
              <w:keepNext/>
              <w:rPr>
                <w:b/>
              </w:rPr>
            </w:pPr>
            <w:r w:rsidRPr="00183E4D">
              <w:rPr>
                <w:b/>
              </w:rPr>
              <w:t>Methods used to generate results</w:t>
            </w:r>
          </w:p>
        </w:tc>
        <w:tc>
          <w:tcPr>
            <w:tcW w:w="3277" w:type="pct"/>
            <w:tcBorders>
              <w:top w:val="single" w:sz="4" w:space="0" w:color="auto"/>
              <w:left w:val="single" w:sz="4" w:space="0" w:color="auto"/>
              <w:bottom w:val="single" w:sz="4" w:space="0" w:color="auto"/>
              <w:right w:val="single" w:sz="4" w:space="0" w:color="auto"/>
            </w:tcBorders>
          </w:tcPr>
          <w:p w14:paraId="49B40325" w14:textId="77777777" w:rsidR="00911F85" w:rsidRPr="00E9672D" w:rsidRDefault="00911F85" w:rsidP="008742A1">
            <w:pPr>
              <w:pStyle w:val="Tabletext1"/>
            </w:pPr>
            <w:r w:rsidRPr="00C74C59">
              <w:t>Markov model</w:t>
            </w:r>
          </w:p>
        </w:tc>
      </w:tr>
      <w:tr w:rsidR="00911F85" w:rsidRPr="00183E4D" w14:paraId="5BB6F875" w14:textId="77777777" w:rsidTr="008742A1">
        <w:trPr>
          <w:trHeight w:val="20"/>
        </w:trPr>
        <w:tc>
          <w:tcPr>
            <w:tcW w:w="1723" w:type="pct"/>
            <w:tcBorders>
              <w:top w:val="single" w:sz="4" w:space="0" w:color="auto"/>
              <w:left w:val="single" w:sz="4" w:space="0" w:color="auto"/>
              <w:bottom w:val="single" w:sz="4" w:space="0" w:color="auto"/>
              <w:right w:val="single" w:sz="4" w:space="0" w:color="auto"/>
            </w:tcBorders>
          </w:tcPr>
          <w:p w14:paraId="2F76AF21" w14:textId="77777777" w:rsidR="00911F85" w:rsidRPr="00183E4D" w:rsidRDefault="00911F85" w:rsidP="008742A1">
            <w:pPr>
              <w:pStyle w:val="Tabletext1"/>
              <w:keepNext/>
              <w:rPr>
                <w:b/>
              </w:rPr>
            </w:pPr>
            <w:r>
              <w:rPr>
                <w:b/>
              </w:rPr>
              <w:t>Health states</w:t>
            </w:r>
          </w:p>
        </w:tc>
        <w:tc>
          <w:tcPr>
            <w:tcW w:w="3277" w:type="pct"/>
            <w:tcBorders>
              <w:top w:val="single" w:sz="4" w:space="0" w:color="auto"/>
              <w:left w:val="single" w:sz="4" w:space="0" w:color="auto"/>
              <w:bottom w:val="single" w:sz="4" w:space="0" w:color="auto"/>
              <w:right w:val="single" w:sz="4" w:space="0" w:color="auto"/>
            </w:tcBorders>
          </w:tcPr>
          <w:p w14:paraId="77294A85" w14:textId="77777777" w:rsidR="00911F85" w:rsidRDefault="00911F85" w:rsidP="008742A1">
            <w:pPr>
              <w:pStyle w:val="Tabletext1"/>
            </w:pPr>
            <w:r>
              <w:t>Infection-free</w:t>
            </w:r>
          </w:p>
          <w:p w14:paraId="061CBFBD" w14:textId="77777777" w:rsidR="00911F85" w:rsidRDefault="00911F85" w:rsidP="008742A1">
            <w:pPr>
              <w:pStyle w:val="Tabletext1"/>
            </w:pPr>
            <w:r>
              <w:t>Infection</w:t>
            </w:r>
          </w:p>
          <w:p w14:paraId="17F46D09" w14:textId="77777777" w:rsidR="00911F85" w:rsidRDefault="00911F85" w:rsidP="008742A1">
            <w:pPr>
              <w:pStyle w:val="Tabletext1"/>
            </w:pPr>
            <w:r>
              <w:t>Bronchiectasis</w:t>
            </w:r>
          </w:p>
          <w:p w14:paraId="1707AEAA" w14:textId="77777777" w:rsidR="00911F85" w:rsidRDefault="00911F85" w:rsidP="008742A1">
            <w:pPr>
              <w:pStyle w:val="Tabletext1"/>
            </w:pPr>
            <w:r>
              <w:t>Bronchiectasis, with infection</w:t>
            </w:r>
          </w:p>
          <w:p w14:paraId="1CC472AC" w14:textId="77777777" w:rsidR="00911F85" w:rsidRDefault="00911F85" w:rsidP="008742A1">
            <w:pPr>
              <w:pStyle w:val="Tabletext1"/>
            </w:pPr>
            <w:r>
              <w:t xml:space="preserve">Bronchiectasis, with chronic </w:t>
            </w:r>
            <w:r w:rsidRPr="008124CB">
              <w:rPr>
                <w:i/>
              </w:rPr>
              <w:t>Pseudomonas aeruginosa</w:t>
            </w:r>
            <w:r>
              <w:t xml:space="preserve"> infection</w:t>
            </w:r>
          </w:p>
          <w:p w14:paraId="376FEBD4" w14:textId="77777777" w:rsidR="00911F85" w:rsidRPr="00E9672D" w:rsidRDefault="00911F85" w:rsidP="008742A1">
            <w:pPr>
              <w:pStyle w:val="Tabletext1"/>
            </w:pPr>
            <w:r>
              <w:t>Dead</w:t>
            </w:r>
          </w:p>
        </w:tc>
      </w:tr>
      <w:tr w:rsidR="00911F85" w:rsidRPr="00183E4D" w14:paraId="291DBA48" w14:textId="77777777" w:rsidTr="008742A1">
        <w:trPr>
          <w:trHeight w:val="20"/>
        </w:trPr>
        <w:tc>
          <w:tcPr>
            <w:tcW w:w="1723" w:type="pct"/>
            <w:tcBorders>
              <w:top w:val="single" w:sz="4" w:space="0" w:color="auto"/>
              <w:left w:val="single" w:sz="4" w:space="0" w:color="auto"/>
              <w:bottom w:val="single" w:sz="4" w:space="0" w:color="auto"/>
              <w:right w:val="single" w:sz="4" w:space="0" w:color="auto"/>
            </w:tcBorders>
            <w:hideMark/>
          </w:tcPr>
          <w:p w14:paraId="1566958B" w14:textId="77777777" w:rsidR="00911F85" w:rsidRPr="00183E4D" w:rsidRDefault="00911F85" w:rsidP="008742A1">
            <w:pPr>
              <w:pStyle w:val="Tabletext1"/>
              <w:keepNext/>
              <w:rPr>
                <w:b/>
              </w:rPr>
            </w:pPr>
            <w:r w:rsidRPr="00183E4D">
              <w:rPr>
                <w:b/>
              </w:rPr>
              <w:t>Cycle length</w:t>
            </w:r>
          </w:p>
        </w:tc>
        <w:tc>
          <w:tcPr>
            <w:tcW w:w="3277" w:type="pct"/>
            <w:tcBorders>
              <w:top w:val="single" w:sz="4" w:space="0" w:color="auto"/>
              <w:left w:val="single" w:sz="4" w:space="0" w:color="auto"/>
              <w:bottom w:val="single" w:sz="4" w:space="0" w:color="auto"/>
              <w:right w:val="single" w:sz="4" w:space="0" w:color="auto"/>
            </w:tcBorders>
          </w:tcPr>
          <w:p w14:paraId="1B83C4B3" w14:textId="77777777" w:rsidR="00911F85" w:rsidRPr="00E9672D" w:rsidRDefault="00911F85" w:rsidP="008742A1">
            <w:pPr>
              <w:pStyle w:val="Tabletext1"/>
            </w:pPr>
            <w:r>
              <w:t>1 week</w:t>
            </w:r>
          </w:p>
        </w:tc>
      </w:tr>
      <w:tr w:rsidR="00911F85" w:rsidRPr="00183E4D" w14:paraId="17E4B7AA" w14:textId="77777777" w:rsidTr="008742A1">
        <w:trPr>
          <w:trHeight w:val="20"/>
        </w:trPr>
        <w:tc>
          <w:tcPr>
            <w:tcW w:w="1723" w:type="pct"/>
            <w:tcBorders>
              <w:top w:val="single" w:sz="4" w:space="0" w:color="auto"/>
              <w:left w:val="single" w:sz="4" w:space="0" w:color="auto"/>
              <w:bottom w:val="single" w:sz="4" w:space="0" w:color="auto"/>
              <w:right w:val="single" w:sz="4" w:space="0" w:color="auto"/>
            </w:tcBorders>
            <w:hideMark/>
          </w:tcPr>
          <w:p w14:paraId="748018EC" w14:textId="77777777" w:rsidR="00911F85" w:rsidRPr="00183E4D" w:rsidRDefault="00911F85" w:rsidP="008742A1">
            <w:pPr>
              <w:pStyle w:val="Tabletext1"/>
              <w:keepNext/>
              <w:rPr>
                <w:b/>
              </w:rPr>
            </w:pPr>
            <w:r w:rsidRPr="00183E4D">
              <w:rPr>
                <w:b/>
              </w:rPr>
              <w:t>Discount rate</w:t>
            </w:r>
          </w:p>
        </w:tc>
        <w:tc>
          <w:tcPr>
            <w:tcW w:w="3277" w:type="pct"/>
            <w:tcBorders>
              <w:top w:val="single" w:sz="4" w:space="0" w:color="auto"/>
              <w:left w:val="single" w:sz="4" w:space="0" w:color="auto"/>
              <w:bottom w:val="single" w:sz="4" w:space="0" w:color="auto"/>
              <w:right w:val="single" w:sz="4" w:space="0" w:color="auto"/>
            </w:tcBorders>
          </w:tcPr>
          <w:p w14:paraId="7148FB7C" w14:textId="77777777" w:rsidR="00911F85" w:rsidRPr="00E9672D" w:rsidRDefault="00911F85" w:rsidP="008742A1">
            <w:pPr>
              <w:pStyle w:val="Tabletext1"/>
            </w:pPr>
            <w:r>
              <w:t>5%</w:t>
            </w:r>
          </w:p>
        </w:tc>
      </w:tr>
      <w:tr w:rsidR="00911F85" w:rsidRPr="00183E4D" w14:paraId="0BE8D8AE" w14:textId="77777777" w:rsidTr="008742A1">
        <w:trPr>
          <w:trHeight w:val="20"/>
        </w:trPr>
        <w:tc>
          <w:tcPr>
            <w:tcW w:w="1723" w:type="pct"/>
            <w:tcBorders>
              <w:top w:val="single" w:sz="4" w:space="0" w:color="auto"/>
              <w:left w:val="single" w:sz="4" w:space="0" w:color="auto"/>
              <w:bottom w:val="single" w:sz="4" w:space="0" w:color="auto"/>
              <w:right w:val="single" w:sz="4" w:space="0" w:color="auto"/>
            </w:tcBorders>
            <w:hideMark/>
          </w:tcPr>
          <w:p w14:paraId="3C66B2B9" w14:textId="77777777" w:rsidR="00911F85" w:rsidRPr="00183E4D" w:rsidRDefault="00911F85" w:rsidP="008742A1">
            <w:pPr>
              <w:pStyle w:val="Tabletext1"/>
              <w:rPr>
                <w:b/>
              </w:rPr>
            </w:pPr>
            <w:r w:rsidRPr="00183E4D">
              <w:rPr>
                <w:b/>
              </w:rPr>
              <w:t>Software packages used</w:t>
            </w:r>
          </w:p>
        </w:tc>
        <w:tc>
          <w:tcPr>
            <w:tcW w:w="3277" w:type="pct"/>
            <w:tcBorders>
              <w:top w:val="single" w:sz="4" w:space="0" w:color="auto"/>
              <w:left w:val="single" w:sz="4" w:space="0" w:color="auto"/>
              <w:bottom w:val="single" w:sz="4" w:space="0" w:color="auto"/>
              <w:right w:val="single" w:sz="4" w:space="0" w:color="auto"/>
            </w:tcBorders>
          </w:tcPr>
          <w:p w14:paraId="4AE3455D" w14:textId="77777777" w:rsidR="00911F85" w:rsidRPr="00E9672D" w:rsidRDefault="00911F85" w:rsidP="008742A1">
            <w:pPr>
              <w:pStyle w:val="Tabletext1"/>
            </w:pPr>
            <w:r>
              <w:t>Microsoft Excel and TreeAge Pro</w:t>
            </w:r>
          </w:p>
        </w:tc>
      </w:tr>
    </w:tbl>
    <w:p w14:paraId="7ECD4128" w14:textId="77777777" w:rsidR="00911F85" w:rsidRDefault="00911F85" w:rsidP="00911F85">
      <w:pPr>
        <w:pStyle w:val="Tablenotes1"/>
      </w:pPr>
      <w:r>
        <w:t>Ig = immunoglobulin; QALY = quality-adjusted life year.</w:t>
      </w:r>
    </w:p>
    <w:p w14:paraId="23499358" w14:textId="77777777" w:rsidR="00911F85" w:rsidRDefault="00911F85" w:rsidP="00911F85">
      <w:pPr>
        <w:pStyle w:val="Heading3"/>
      </w:pPr>
      <w:bookmarkStart w:id="440" w:name="_Toc395200799"/>
      <w:bookmarkStart w:id="441" w:name="_Toc9515612"/>
      <w:bookmarkStart w:id="442" w:name="_Toc14431162"/>
      <w:bookmarkStart w:id="443" w:name="_Toc16856335"/>
      <w:r>
        <w:t>Literature review</w:t>
      </w:r>
      <w:bookmarkEnd w:id="440"/>
      <w:bookmarkEnd w:id="441"/>
      <w:bookmarkEnd w:id="442"/>
      <w:bookmarkEnd w:id="443"/>
    </w:p>
    <w:p w14:paraId="58A65B87" w14:textId="65E297F2" w:rsidR="00911F85" w:rsidRDefault="00911F85" w:rsidP="00911F85">
      <w:r>
        <w:t xml:space="preserve">A search of the literature was conducted to identify published cost-effectiveness analyses of Ig in acquired hypogammaglobinaemia secondary to haematological malignancies. The terms and databases searched are presented in </w:t>
      </w:r>
      <w:r>
        <w:fldChar w:fldCharType="begin"/>
      </w:r>
      <w:r>
        <w:instrText xml:space="preserve"> REF _Ref13559212 \h </w:instrText>
      </w:r>
      <w:r>
        <w:fldChar w:fldCharType="separate"/>
      </w:r>
      <w:r w:rsidR="00A7463B" w:rsidRPr="00E9672D">
        <w:t xml:space="preserve">Table </w:t>
      </w:r>
      <w:r w:rsidR="00A7463B">
        <w:rPr>
          <w:noProof/>
        </w:rPr>
        <w:t>95</w:t>
      </w:r>
      <w:r>
        <w:fldChar w:fldCharType="end"/>
      </w:r>
      <w:r>
        <w:t xml:space="preserve">, </w:t>
      </w:r>
      <w:r>
        <w:fldChar w:fldCharType="begin"/>
      </w:r>
      <w:r>
        <w:instrText xml:space="preserve"> REF _Ref13644183 \h </w:instrText>
      </w:r>
      <w:r>
        <w:fldChar w:fldCharType="separate"/>
      </w:r>
      <w:r w:rsidR="00A7463B" w:rsidRPr="00183E4D">
        <w:t xml:space="preserve">Appendix </w:t>
      </w:r>
      <w:r w:rsidR="00A7463B">
        <w:rPr>
          <w:noProof/>
        </w:rPr>
        <w:t>G</w:t>
      </w:r>
      <w:r>
        <w:fldChar w:fldCharType="end"/>
      </w:r>
      <w:r>
        <w:t xml:space="preserve">. The search retrieved 292 unique studies, of which one was identified that explored the cost-effectiveness of Ig use in CLL </w:t>
      </w:r>
      <w:r>
        <w:fldChar w:fldCharType="begin">
          <w:fldData xml:space="preserve">PEVuZE5vdGU+PENpdGU+PEF1dGhvcj5XZWVrczwvQXV0aG9yPjxZZWFyPjE5OTE8L1llYXI+PFJl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</w:fldData>
        </w:fldChar>
      </w:r>
      <w:r>
        <w:instrText xml:space="preserve"> ADDIN EN.CITE </w:instrText>
      </w:r>
      <w:r>
        <w:fldChar w:fldCharType="begin">
          <w:fldData xml:space="preserve">PEVuZE5vdGU+PENpdGU+PEF1dGhvcj5XZWVrczwvQXV0aG9yPjxZZWFyPjE5OTE8L1llYXI+PFJl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</w:fldData>
        </w:fldChar>
      </w:r>
      <w:r>
        <w:instrText xml:space="preserve"> ADDIN EN.CITE.DATA </w:instrText>
      </w:r>
      <w:r>
        <w:fldChar w:fldCharType="end"/>
      </w:r>
      <w:r>
        <w:fldChar w:fldCharType="separate"/>
      </w:r>
      <w:r>
        <w:rPr>
          <w:noProof/>
        </w:rPr>
        <w:t>(</w:t>
      </w:r>
      <w:hyperlink w:anchor="_ENREF_56" w:tooltip="Weeks, 1991 #35" w:history="1">
        <w:r w:rsidR="00BB0145">
          <w:rPr>
            <w:noProof/>
          </w:rPr>
          <w:t>Weeks, Tierney &amp; Weinstein 1991</w:t>
        </w:r>
      </w:hyperlink>
      <w:r>
        <w:rPr>
          <w:noProof/>
        </w:rPr>
        <w:t>)</w:t>
      </w:r>
      <w:r>
        <w:fldChar w:fldCharType="end"/>
      </w:r>
      <w:r>
        <w:t xml:space="preserve">. </w:t>
      </w:r>
    </w:p>
    <w:p w14:paraId="01122B9B" w14:textId="061C3C0B" w:rsidR="00911F85" w:rsidRDefault="00911F85" w:rsidP="00911F85">
      <w:pPr>
        <w:pStyle w:val="Heading4"/>
      </w:pPr>
      <w:r w:rsidRPr="00C127B0">
        <w:t>Weeks, Tierney &amp; Weinstein</w:t>
      </w:r>
      <w:r>
        <w:t xml:space="preserve"> </w:t>
      </w:r>
      <w:r>
        <w:fldChar w:fldCharType="begin"/>
      </w:r>
      <w:r>
        <w:instrText xml:space="preserve"> ADDIN EN.CITE &lt;EndNote&gt;&lt;Cite ExcludeAuth="1"&gt;&lt;Author&gt;Weeks&lt;/Author&gt;&lt;Year&gt;1991&lt;/Year&gt;&lt;RecNum&gt;35&lt;/RecNum&gt;&lt;DisplayText&gt;(1991)&lt;/DisplayText&gt;&lt;record&gt;&lt;rec-number&gt;35&lt;/rec-number&gt;&lt;foreign-keys&gt;&lt;key app="EN" db-id="z0vwsepdwpt20pewwts5z9eup9e2r2pd2tad" timestamp="1553825060"&gt;35&lt;/key&gt;&lt;/foreign-keys&gt;&lt;ref-type name="Journal Article"&gt;17&lt;/ref-type&gt;&lt;contributors&gt;&lt;authors&gt;&lt;author&gt;Weeks, J. C.&lt;/author&gt;&lt;author&gt;Tierney, M. R.&lt;/author&gt;&lt;author&gt;Weinstein, M. C.&lt;/author&gt;&lt;/authors&gt;&lt;/contributors&gt;&lt;titles&gt;&lt;title&gt;Cost effectiveness of prophylactic intravenous immune globulin in chronic lymphocytic leukemia&lt;/title&gt;&lt;secondary-title&gt;New England journal of medicine&lt;/secondary-title&gt;&lt;/titles&gt;&lt;periodical&gt;&lt;full-title&gt;New England journal of medicine&lt;/full-title&gt;&lt;/periodical&gt;&lt;pages&gt;81‐86&lt;/pages&gt;&lt;volume&gt;325&lt;/volume&gt;&lt;number&gt;2&lt;/number&gt;&lt;keywords&gt;&lt;keyword&gt;Agammaglobulinemia [complications]&lt;/keyword&gt;&lt;keyword&gt;Bacterial Infections [*prevention &amp;amp; control]&lt;/keyword&gt;&lt;keyword&gt;Cost‐Benefit Analysis&lt;/keyword&gt;&lt;keyword&gt;Humans&lt;/keyword&gt;&lt;keyword&gt;Immunization, Passive [*economics]&lt;/keyword&gt;&lt;keyword&gt;Immunoglobulins [*administration &amp;amp; dosage]&lt;/keyword&gt;&lt;keyword&gt;Infusions, Intravenous&lt;/keyword&gt;&lt;keyword&gt;Leukemia, Lymphocytic, Chronic, B‐Cell [*complications, economics]&lt;/keyword&gt;&lt;keyword&gt;Life Expectancy&lt;/keyword&gt;&lt;keyword&gt;Models, Theoretical&lt;/keyword&gt;&lt;keyword&gt;Quality of Life&lt;/keyword&gt;&lt;keyword&gt;United States&lt;/keyword&gt;&lt;keyword&gt;Cost-Benefit Analysis&lt;/keyword&gt;&lt;keyword&gt;Leukemia, Lymphoid&lt;/keyword&gt;&lt;keyword&gt;Immunoglobulins, Intravenous&lt;/keyword&gt;&lt;keyword&gt;Immunoglobulins&lt;/keyword&gt;&lt;/keywords&gt;&lt;dates&gt;&lt;year&gt;1991&lt;/year&gt;&lt;pub-dates&gt;&lt;date&gt;1991&lt;/date&gt;&lt;/pub-dates&gt;&lt;/dates&gt;&lt;accession-num&gt;CN-00076105&lt;/accession-num&gt;&lt;urls&gt;&lt;related-urls&gt;&lt;url&gt;&lt;style face="underline" font="default" size="100%"&gt;https://www.cochranelibrary.com/central/doi/10.1002/central/CN-00076105/full&lt;/style&gt;&lt;/url&gt;&lt;/related-urls&gt;&lt;/urls&gt;&lt;custom1&gt;RAYYAN-INCLUSION: {&amp;quot;Skye&amp;quot;=&amp;gt;&amp;quot;Included&amp;quot;}&lt;/custom1&gt;&lt;research-notes&gt;X - decision analytic study, no new clinical data&lt;/research-notes&gt;&lt;/record&gt;&lt;/Cite&gt;&lt;/EndNote&gt;</w:instrText>
      </w:r>
      <w:r>
        <w:fldChar w:fldCharType="separate"/>
      </w:r>
      <w:r>
        <w:rPr>
          <w:noProof/>
        </w:rPr>
        <w:t>(</w:t>
      </w:r>
      <w:hyperlink w:anchor="_ENREF_56" w:tooltip="Weeks, 1991 #35" w:history="1">
        <w:r w:rsidR="00BB0145">
          <w:rPr>
            <w:noProof/>
          </w:rPr>
          <w:t>1991</w:t>
        </w:r>
      </w:hyperlink>
      <w:r>
        <w:rPr>
          <w:noProof/>
        </w:rPr>
        <w:t>)</w:t>
      </w:r>
      <w:r>
        <w:fldChar w:fldCharType="end"/>
      </w:r>
    </w:p>
    <w:p w14:paraId="311F7974" w14:textId="3F4D87BE" w:rsidR="00911F85" w:rsidRDefault="00911F85" w:rsidP="00911F85">
      <w:r w:rsidRPr="00C127B0">
        <w:t>Weeks, Tierney &amp; Weinstein</w:t>
      </w:r>
      <w:r>
        <w:t xml:space="preserve"> </w:t>
      </w:r>
      <w:r>
        <w:fldChar w:fldCharType="begin"/>
      </w:r>
      <w:r>
        <w:instrText xml:space="preserve"> ADDIN EN.CITE &lt;EndNote&gt;&lt;Cite ExcludeAuth="1"&gt;&lt;Author&gt;Weeks&lt;/Author&gt;&lt;Year&gt;1991&lt;/Year&gt;&lt;RecNum&gt;35&lt;/RecNum&gt;&lt;DisplayText&gt;(1991)&lt;/DisplayText&gt;&lt;record&gt;&lt;rec-number&gt;35&lt;/rec-number&gt;&lt;foreign-keys&gt;&lt;key app="EN" db-id="z0vwsepdwpt20pewwts5z9eup9e2r2pd2tad" timestamp="1553825060"&gt;35&lt;/key&gt;&lt;/foreign-keys&gt;&lt;ref-type name="Journal Article"&gt;17&lt;/ref-type&gt;&lt;contributors&gt;&lt;authors&gt;&lt;author&gt;Weeks, J. C.&lt;/author&gt;&lt;author&gt;Tierney, M. R.&lt;/author&gt;&lt;author&gt;Weinstein, M. C.&lt;/author&gt;&lt;/authors&gt;&lt;/contributors&gt;&lt;titles&gt;&lt;title&gt;Cost effectiveness of prophylactic intravenous immune globulin in chronic lymphocytic leukemia&lt;/title&gt;&lt;secondary-title&gt;New England journal of medicine&lt;/secondary-title&gt;&lt;/titles&gt;&lt;periodical&gt;&lt;full-title&gt;New England journal of medicine&lt;/full-title&gt;&lt;/periodical&gt;&lt;pages&gt;81‐86&lt;/pages&gt;&lt;volume&gt;325&lt;/volume&gt;&lt;number&gt;2&lt;/number&gt;&lt;keywords&gt;&lt;keyword&gt;Agammaglobulinemia [complications]&lt;/keyword&gt;&lt;keyword&gt;Bacterial Infections [*prevention &amp;amp; control]&lt;/keyword&gt;&lt;keyword&gt;Cost‐Benefit Analysis&lt;/keyword&gt;&lt;keyword&gt;Humans&lt;/keyword&gt;&lt;keyword&gt;Immunization, Passive [*economics]&lt;/keyword&gt;&lt;keyword&gt;Immunoglobulins [*administration &amp;amp; dosage]&lt;/keyword&gt;&lt;keyword&gt;Infusions, Intravenous&lt;/keyword&gt;&lt;keyword&gt;Leukemia, Lymphocytic, Chronic, B‐Cell [*complications, economics]&lt;/keyword&gt;&lt;keyword&gt;Life Expectancy&lt;/keyword&gt;&lt;keyword&gt;Models, Theoretical&lt;/keyword&gt;&lt;keyword&gt;Quality of Life&lt;/keyword&gt;&lt;keyword&gt;United States&lt;/keyword&gt;&lt;keyword&gt;Cost-Benefit Analysis&lt;/keyword&gt;&lt;keyword&gt;Leukemia, Lymphoid&lt;/keyword&gt;&lt;keyword&gt;Immunoglobulins, Intravenous&lt;/keyword&gt;&lt;keyword&gt;Immunoglobulins&lt;/keyword&gt;&lt;/keywords&gt;&lt;dates&gt;&lt;year&gt;1991&lt;/year&gt;&lt;pub-dates&gt;&lt;date&gt;1991&lt;/date&gt;&lt;/pub-dates&gt;&lt;/dates&gt;&lt;accession-num&gt;CN-00076105&lt;/accession-num&gt;&lt;urls&gt;&lt;related-urls&gt;&lt;url&gt;&lt;style face="underline" font="default" size="100%"&gt;https://www.cochranelibrary.com/central/doi/10.1002/central/CN-00076105/full&lt;/style&gt;&lt;/url&gt;&lt;/related-urls&gt;&lt;/urls&gt;&lt;custom1&gt;RAYYAN-INCLUSION: {&amp;quot;Skye&amp;quot;=&amp;gt;&amp;quot;Included&amp;quot;}&lt;/custom1&gt;&lt;research-notes&gt;X - decision analytic study, no new clinical data&lt;/research-notes&gt;&lt;/record&gt;&lt;/Cite&gt;&lt;/EndNote&gt;</w:instrText>
      </w:r>
      <w:r>
        <w:fldChar w:fldCharType="separate"/>
      </w:r>
      <w:r>
        <w:rPr>
          <w:noProof/>
        </w:rPr>
        <w:t>(</w:t>
      </w:r>
      <w:hyperlink w:anchor="_ENREF_56" w:tooltip="Weeks, 1991 #35" w:history="1">
        <w:r w:rsidR="00BB0145">
          <w:rPr>
            <w:noProof/>
          </w:rPr>
          <w:t>1991</w:t>
        </w:r>
      </w:hyperlink>
      <w:r>
        <w:rPr>
          <w:noProof/>
        </w:rPr>
        <w:t>)</w:t>
      </w:r>
      <w:r>
        <w:fldChar w:fldCharType="end"/>
      </w:r>
      <w:r>
        <w:t xml:space="preserve"> published a cost-utility analysis, using a decision-analytic model based on the results of the randomised trial in CLL patients conducted by Gale et al. </w:t>
      </w:r>
      <w:r>
        <w:fldChar w:fldCharType="begin">
          <w:fldData xml:space="preserve">PEVuZE5vdGU+PENpdGUgRXhjbHVkZUF1dGg9IjEiPjxBdXRob3I+R2FsZTwvQXV0aG9yPjxZZWFy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</w:fldData>
        </w:fldChar>
      </w:r>
      <w:r>
        <w:instrText xml:space="preserve"> ADDIN EN.CITE </w:instrText>
      </w:r>
      <w:r>
        <w:fldChar w:fldCharType="begin">
          <w:fldData xml:space="preserve">PEVuZE5vdGU+PENpdGUgRXhjbHVkZUF1dGg9IjEiPjxBdXRob3I+R2FsZTwvQXV0aG9yPjxZZWFy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</w:fldData>
        </w:fldChar>
      </w:r>
      <w:r>
        <w:instrText xml:space="preserve"> ADDIN EN.CITE.DATA </w:instrText>
      </w:r>
      <w:r>
        <w:fldChar w:fldCharType="end"/>
      </w:r>
      <w:r>
        <w:fldChar w:fldCharType="separate"/>
      </w:r>
      <w:r>
        <w:rPr>
          <w:noProof/>
        </w:rPr>
        <w:t>(</w:t>
      </w:r>
      <w:hyperlink w:anchor="_ENREF_19" w:tooltip="Gale, 1988 #4" w:history="1">
        <w:r w:rsidR="00BB0145">
          <w:rPr>
            <w:noProof/>
          </w:rPr>
          <w:t>1988</w:t>
        </w:r>
      </w:hyperlink>
      <w:r>
        <w:rPr>
          <w:noProof/>
        </w:rPr>
        <w:t>)</w:t>
      </w:r>
      <w:r>
        <w:fldChar w:fldCharType="end"/>
      </w:r>
      <w:r>
        <w:t xml:space="preserve">. The model compared Ig therapy (at 0.4 g/kg of IVIg every three weeks) for one year to no Ig therapy, with no prophylactic antibiotic use allowed. A lifetime time horizon was modelled, where a median life expectancy of 4.2 years was assumed. Gale et al. </w:t>
      </w:r>
      <w:r>
        <w:fldChar w:fldCharType="begin">
          <w:fldData xml:space="preserve">PEVuZE5vdGU+PENpdGUgRXhjbHVkZUF1dGg9IjEiPjxBdXRob3I+R2FsZTwvQXV0aG9yPjxZZWFy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</w:fldData>
        </w:fldChar>
      </w:r>
      <w:r>
        <w:instrText xml:space="preserve"> ADDIN EN.CITE </w:instrText>
      </w:r>
      <w:r>
        <w:fldChar w:fldCharType="begin">
          <w:fldData xml:space="preserve">PEVuZE5vdGU+PENpdGUgRXhjbHVkZUF1dGg9IjEiPjxBdXRob3I+R2FsZTwvQXV0aG9yPjxZZWFy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</w:fldData>
        </w:fldChar>
      </w:r>
      <w:r>
        <w:instrText xml:space="preserve"> ADDIN EN.CITE.DATA </w:instrText>
      </w:r>
      <w:r>
        <w:fldChar w:fldCharType="end"/>
      </w:r>
      <w:r>
        <w:fldChar w:fldCharType="separate"/>
      </w:r>
      <w:r>
        <w:rPr>
          <w:noProof/>
        </w:rPr>
        <w:t>(</w:t>
      </w:r>
      <w:hyperlink w:anchor="_ENREF_19" w:tooltip="Gale, 1988 #4" w:history="1">
        <w:r w:rsidR="00BB0145">
          <w:rPr>
            <w:noProof/>
          </w:rPr>
          <w:t>1988</w:t>
        </w:r>
      </w:hyperlink>
      <w:r>
        <w:rPr>
          <w:noProof/>
        </w:rPr>
        <w:t>)</w:t>
      </w:r>
      <w:r>
        <w:fldChar w:fldCharType="end"/>
      </w:r>
      <w:r>
        <w:t xml:space="preserve"> reported that Ig use led to a reduction in the number of bacterial infections, but no survival benefit. Assumptions regarding rates of infection subsequent to Ig treatment cessation were not reported. Utilities were derived from 10 oncologists experienced with the care of CLL, and costs (in 1989 USD) related to Ig acquisition, preparation, administration and related to treating infections were included. The resulting ICER was observed to be $6 million per additional QALY gained (incremental cost of $13,984, for incremental QALY gain of </w:t>
      </w:r>
      <w:r>
        <w:lastRenderedPageBreak/>
        <w:t xml:space="preserve">0.0023). The base case analysis did not include disutility due to Ig infusion – Ig treatment was observed to be dominated (i.e. more costly and less effective) if this inconvenience was included. </w:t>
      </w:r>
    </w:p>
    <w:p w14:paraId="1F832E10" w14:textId="325CC35C" w:rsidR="00911F85" w:rsidRPr="004D4971" w:rsidRDefault="00911F85" w:rsidP="00911F85">
      <w:pPr>
        <w:pStyle w:val="Heading4"/>
      </w:pPr>
      <w:r>
        <w:t xml:space="preserve">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p>
    <w:p w14:paraId="068ACF68" w14:textId="3DDBD8F4" w:rsidR="00911F85" w:rsidRPr="004D4971" w:rsidRDefault="00911F85" w:rsidP="00911F85">
      <w:r>
        <w:t xml:space="preserve">The search additionally identified a recently published cost-utility analysis conducted in the Australian setting that compared SCIg to IVIg in acquired hypogammaglobulinaemia secondary to malignancy or associated treatment </w:t>
      </w:r>
      <w:r>
        <w:fldChar w:fldCharType="begin"/>
      </w:r>
      <w:r>
        <w:instrText xml:space="preserve"> ADDIN EN.CITE &lt;EndNote&gt;&lt;Cite&gt;&lt;Author&gt;Windegger&lt;/Author&gt;&lt;Year&gt;2019&lt;/Year&gt;&lt;RecNum&gt;55&lt;/RecNum&gt;&lt;DisplayText&gt;(Windegger et al. 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Windegger et al. 2019</w:t>
        </w:r>
      </w:hyperlink>
      <w:r>
        <w:rPr>
          <w:noProof/>
        </w:rPr>
        <w:t>)</w:t>
      </w:r>
      <w:r>
        <w:fldChar w:fldCharType="end"/>
      </w:r>
      <w:r>
        <w:t xml:space="preserve">. While this study could not be used to answer the question of the cost-effectiveness of Ig relative to no Ig in population of interest, this study could be used to inform the model structure, and, given how recent and relevant the data are to the population of interest, other inputs, such as transition probabilities, costs and utility weights. </w:t>
      </w:r>
    </w:p>
    <w:p w14:paraId="16436B5D" w14:textId="357EA540" w:rsidR="00911F85" w:rsidRDefault="00911F85" w:rsidP="00911F85">
      <w:r>
        <w:t xml:space="preserve">The structure of the model and transition probability matrix are replicated below in </w:t>
      </w:r>
      <w:r>
        <w:fldChar w:fldCharType="begin"/>
      </w:r>
      <w:r>
        <w:instrText xml:space="preserve"> REF _Ref10196689 \h </w:instrText>
      </w:r>
      <w:r>
        <w:fldChar w:fldCharType="separate"/>
      </w:r>
      <w:r w:rsidR="00A7463B">
        <w:t xml:space="preserve">Figure </w:t>
      </w:r>
      <w:r w:rsidR="00A7463B">
        <w:rPr>
          <w:noProof/>
        </w:rPr>
        <w:t>8</w:t>
      </w:r>
      <w:r>
        <w:fldChar w:fldCharType="end"/>
      </w:r>
      <w:r>
        <w:t xml:space="preserve"> and </w:t>
      </w:r>
      <w:r>
        <w:fldChar w:fldCharType="begin"/>
      </w:r>
      <w:r>
        <w:instrText xml:space="preserve"> REF _Ref10196703 \h </w:instrText>
      </w:r>
      <w:r>
        <w:fldChar w:fldCharType="separate"/>
      </w:r>
      <w:r w:rsidR="00A7463B">
        <w:t xml:space="preserve">Table </w:t>
      </w:r>
      <w:r w:rsidR="00A7463B">
        <w:rPr>
          <w:noProof/>
        </w:rPr>
        <w:t>37</w:t>
      </w:r>
      <w:r>
        <w:fldChar w:fldCharType="end"/>
      </w:r>
      <w:r>
        <w:t xml:space="preserve">, respectively. A six-health state Markov model was used, which included health states for infection and the development of bronchiectasis and chronic </w:t>
      </w:r>
      <w:r w:rsidRPr="008124CB">
        <w:rPr>
          <w:i/>
        </w:rPr>
        <w:t>P</w:t>
      </w:r>
      <w:r>
        <w:rPr>
          <w:i/>
        </w:rPr>
        <w:t>.</w:t>
      </w:r>
      <w:r w:rsidRPr="008124CB">
        <w:rPr>
          <w:i/>
        </w:rPr>
        <w:t xml:space="preserve"> aeruginosa</w:t>
      </w:r>
      <w:r>
        <w:t xml:space="preserve"> infection. The model had a 10-year time horizon, with weekly cycles to account for weekly administrations of SCIg. Patients were assumed to remain on Ig treatment until death. The clinical data used to inform the transition probabilities and costs were derived from a cohort of Australian patients (n = 13) who had received at least one year of IVIg followed by one year of SCIg, with limited baseline information provided. No patients died or developed bronchiectasis or </w:t>
      </w:r>
      <w:r w:rsidRPr="00F12682">
        <w:rPr>
          <w:i/>
        </w:rPr>
        <w:t>P</w:t>
      </w:r>
      <w:r>
        <w:rPr>
          <w:i/>
        </w:rPr>
        <w:t>.</w:t>
      </w:r>
      <w:r w:rsidRPr="00F12682">
        <w:rPr>
          <w:i/>
        </w:rPr>
        <w:t xml:space="preserve"> </w:t>
      </w:r>
      <w:bookmarkStart w:id="444" w:name="OLE_LINK5"/>
      <w:bookmarkStart w:id="445" w:name="OLE_LINK6"/>
      <w:r w:rsidRPr="00F12682">
        <w:rPr>
          <w:i/>
        </w:rPr>
        <w:t>aeruginosa</w:t>
      </w:r>
      <w:bookmarkEnd w:id="444"/>
      <w:bookmarkEnd w:id="445"/>
      <w:r>
        <w:t xml:space="preserve"> infections during the two year observation period, however four patients had bronchiectasis at the beginning of the observation period. Transition probabilities that could not be informed by the clinical data were supplemented by the published literature. For each health state of interest, utility weights, using the AQoL-6D instrument, were derived from a wider cohort of patients (n = 84), which additionally included those who had only experienced one form of treatment, or who switched to SCIg prior to having 12 months of IVIg. </w:t>
      </w:r>
    </w:p>
    <w:p w14:paraId="337A8ED0" w14:textId="7BFBDE74" w:rsidR="00911F85" w:rsidRDefault="00911F85" w:rsidP="00911F85">
      <w:pPr>
        <w:pStyle w:val="Caption"/>
        <w:keepNext/>
        <w:jc w:val="left"/>
      </w:pPr>
      <w:bookmarkStart w:id="446" w:name="_Ref10196689"/>
      <w:bookmarkStart w:id="447" w:name="_Toc14429645"/>
      <w:bookmarkStart w:id="448" w:name="_Toc14348930"/>
      <w:bookmarkStart w:id="449" w:name="_Toc16671704"/>
      <w:r>
        <w:t xml:space="preserve">Figure </w:t>
      </w:r>
      <w:r>
        <w:rPr>
          <w:noProof/>
        </w:rPr>
        <w:fldChar w:fldCharType="begin"/>
      </w:r>
      <w:r>
        <w:rPr>
          <w:noProof/>
        </w:rPr>
        <w:instrText xml:space="preserve"> SEQ Figure \* ARABIC </w:instrText>
      </w:r>
      <w:r>
        <w:rPr>
          <w:noProof/>
        </w:rPr>
        <w:fldChar w:fldCharType="separate"/>
      </w:r>
      <w:r w:rsidR="00A7463B">
        <w:rPr>
          <w:noProof/>
        </w:rPr>
        <w:t>8</w:t>
      </w:r>
      <w:r>
        <w:rPr>
          <w:noProof/>
        </w:rPr>
        <w:fldChar w:fldCharType="end"/>
      </w:r>
      <w:bookmarkEnd w:id="446"/>
      <w:r>
        <w:tab/>
      </w:r>
      <w:r w:rsidRPr="00AC088B">
        <w:t>State transition model</w:t>
      </w:r>
      <w:r>
        <w:t xml:space="preserve"> used in Windegger et al. </w:t>
      </w:r>
      <w:bookmarkEnd w:id="447"/>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bookmarkEnd w:id="448"/>
      <w:bookmarkEnd w:id="449"/>
      <w:r>
        <w:fldChar w:fldCharType="end"/>
      </w:r>
    </w:p>
    <w:p w14:paraId="7FC59059" w14:textId="77777777" w:rsidR="00911F85" w:rsidRDefault="00911F85" w:rsidP="00911F85">
      <w:pPr>
        <w:spacing w:after="0"/>
      </w:pPr>
      <w:r>
        <w:rPr>
          <w:noProof/>
        </w:rPr>
        <w:drawing>
          <wp:inline distT="0" distB="0" distL="0" distR="0" wp14:anchorId="27663EEC" wp14:editId="1888BBED">
            <wp:extent cx="3609975" cy="2584494"/>
            <wp:effectExtent l="0" t="0" r="0" b="6350"/>
            <wp:docPr id="5" name="Picture 5" title="State transition model used in Windegger et a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41414" cy="2607002"/>
                    </a:xfrm>
                    <a:prstGeom prst="rect">
                      <a:avLst/>
                    </a:prstGeom>
                  </pic:spPr>
                </pic:pic>
              </a:graphicData>
            </a:graphic>
          </wp:inline>
        </w:drawing>
      </w:r>
    </w:p>
    <w:p w14:paraId="593F932A" w14:textId="77BBE6F0" w:rsidR="00911F85" w:rsidRDefault="00911F85" w:rsidP="00911F85">
      <w:pPr>
        <w:pStyle w:val="Tablenotes1"/>
      </w:pPr>
      <w:r>
        <w:t xml:space="preserve">Source: Fig 1,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w:t>
      </w:r>
    </w:p>
    <w:p w14:paraId="76FD98FB" w14:textId="77777777" w:rsidR="00911F85" w:rsidRDefault="00911F85" w:rsidP="00911F85"/>
    <w:p w14:paraId="79E2D682" w14:textId="213A5B05" w:rsidR="00911F85" w:rsidRDefault="00911F85" w:rsidP="00911F85">
      <w:pPr>
        <w:pStyle w:val="Caption"/>
        <w:keepNext/>
      </w:pPr>
      <w:bookmarkStart w:id="450" w:name="_Ref10196703"/>
      <w:bookmarkStart w:id="451" w:name="_Toc14348872"/>
      <w:bookmarkStart w:id="452" w:name="_Toc16671635"/>
      <w:bookmarkStart w:id="453" w:name="_Toc14429578"/>
      <w:r>
        <w:t xml:space="preserve">Table </w:t>
      </w:r>
      <w:r>
        <w:rPr>
          <w:noProof/>
        </w:rPr>
        <w:fldChar w:fldCharType="begin"/>
      </w:r>
      <w:r>
        <w:rPr>
          <w:noProof/>
        </w:rPr>
        <w:instrText xml:space="preserve"> SEQ Table \* ARABIC </w:instrText>
      </w:r>
      <w:r>
        <w:rPr>
          <w:noProof/>
        </w:rPr>
        <w:fldChar w:fldCharType="separate"/>
      </w:r>
      <w:r w:rsidR="00A7463B">
        <w:rPr>
          <w:noProof/>
        </w:rPr>
        <w:t>37</w:t>
      </w:r>
      <w:r>
        <w:rPr>
          <w:noProof/>
        </w:rPr>
        <w:fldChar w:fldCharType="end"/>
      </w:r>
      <w:bookmarkEnd w:id="450"/>
      <w:r>
        <w:tab/>
        <w:t xml:space="preserve">Transition probability matrix used in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bookmarkEnd w:id="453"/>
      <w:r>
        <w:rPr>
          <w:noProof/>
        </w:rPr>
        <w:t>(</w:t>
      </w:r>
      <w:hyperlink w:anchor="_ENREF_57" w:tooltip="Windegger, 2019 #55" w:history="1">
        <w:r w:rsidR="00BB0145">
          <w:rPr>
            <w:noProof/>
          </w:rPr>
          <w:t>2019</w:t>
        </w:r>
      </w:hyperlink>
      <w:r>
        <w:rPr>
          <w:noProof/>
        </w:rPr>
        <w:t>)</w:t>
      </w:r>
      <w:bookmarkEnd w:id="451"/>
      <w:bookmarkEnd w:id="452"/>
      <w:r>
        <w:fldChar w:fldCharType="end"/>
      </w:r>
    </w:p>
    <w:tbl>
      <w:tblPr>
        <w:tblW w:w="5000" w:type="pct"/>
        <w:tblLook w:val="04A0" w:firstRow="1" w:lastRow="0" w:firstColumn="1" w:lastColumn="0" w:noHBand="0" w:noVBand="1"/>
        <w:tblCaption w:val="Transition probability matrix used in Windegger et al. (2019)"/>
      </w:tblPr>
      <w:tblGrid>
        <w:gridCol w:w="3195"/>
        <w:gridCol w:w="1007"/>
        <w:gridCol w:w="1009"/>
        <w:gridCol w:w="1009"/>
        <w:gridCol w:w="1009"/>
        <w:gridCol w:w="1009"/>
        <w:gridCol w:w="1004"/>
      </w:tblGrid>
      <w:tr w:rsidR="00911F85" w:rsidRPr="00D108A0" w14:paraId="0CE45A01" w14:textId="77777777" w:rsidTr="008742A1">
        <w:trPr>
          <w:cantSplit/>
          <w:trHeight w:val="330"/>
          <w:tblHeader/>
        </w:trPr>
        <w:tc>
          <w:tcPr>
            <w:tcW w:w="1728" w:type="pct"/>
            <w:tcBorders>
              <w:top w:val="single" w:sz="8" w:space="0" w:color="9E9E9E"/>
              <w:left w:val="single" w:sz="8" w:space="0" w:color="9E9E9E"/>
              <w:bottom w:val="single" w:sz="8" w:space="0" w:color="9E9E9E"/>
              <w:right w:val="nil"/>
            </w:tcBorders>
            <w:shd w:val="clear" w:color="000000" w:fill="FFFFFF"/>
            <w:hideMark/>
          </w:tcPr>
          <w:p w14:paraId="0E4C26DA" w14:textId="77777777" w:rsidR="00911F85" w:rsidRPr="00D108A0" w:rsidRDefault="00911F85" w:rsidP="008742A1">
            <w:pPr>
              <w:pStyle w:val="TableHeading"/>
            </w:pPr>
            <w:r w:rsidRPr="00D108A0">
              <w:t>Health states</w:t>
            </w:r>
          </w:p>
        </w:tc>
        <w:tc>
          <w:tcPr>
            <w:tcW w:w="545" w:type="pct"/>
            <w:tcBorders>
              <w:top w:val="single" w:sz="8" w:space="0" w:color="9E9E9E"/>
              <w:left w:val="nil"/>
              <w:bottom w:val="single" w:sz="8" w:space="0" w:color="9E9E9E"/>
              <w:right w:val="nil"/>
            </w:tcBorders>
            <w:shd w:val="clear" w:color="000000" w:fill="FFFFFF"/>
            <w:hideMark/>
          </w:tcPr>
          <w:p w14:paraId="1A7B22C8" w14:textId="77777777" w:rsidR="00911F85" w:rsidRPr="00D108A0" w:rsidRDefault="00911F85" w:rsidP="008742A1">
            <w:pPr>
              <w:pStyle w:val="TableHeading"/>
              <w:jc w:val="center"/>
            </w:pPr>
            <w:r>
              <w:t>(</w:t>
            </w:r>
            <w:r w:rsidRPr="00D108A0">
              <w:t>1</w:t>
            </w:r>
            <w:r>
              <w:t>)</w:t>
            </w:r>
          </w:p>
        </w:tc>
        <w:tc>
          <w:tcPr>
            <w:tcW w:w="546" w:type="pct"/>
            <w:tcBorders>
              <w:top w:val="single" w:sz="8" w:space="0" w:color="9E9E9E"/>
              <w:left w:val="nil"/>
              <w:bottom w:val="single" w:sz="8" w:space="0" w:color="9E9E9E"/>
              <w:right w:val="nil"/>
            </w:tcBorders>
            <w:shd w:val="clear" w:color="000000" w:fill="FFFFFF"/>
            <w:hideMark/>
          </w:tcPr>
          <w:p w14:paraId="00F2253B" w14:textId="77777777" w:rsidR="00911F85" w:rsidRPr="00D108A0" w:rsidRDefault="00911F85" w:rsidP="008742A1">
            <w:pPr>
              <w:pStyle w:val="TableHeading"/>
              <w:jc w:val="center"/>
            </w:pPr>
            <w:r>
              <w:t>(</w:t>
            </w:r>
            <w:r w:rsidRPr="00D108A0">
              <w:t>2</w:t>
            </w:r>
            <w:r>
              <w:t>)</w:t>
            </w:r>
          </w:p>
        </w:tc>
        <w:tc>
          <w:tcPr>
            <w:tcW w:w="546" w:type="pct"/>
            <w:tcBorders>
              <w:top w:val="single" w:sz="8" w:space="0" w:color="9E9E9E"/>
              <w:left w:val="nil"/>
              <w:bottom w:val="single" w:sz="8" w:space="0" w:color="9E9E9E"/>
              <w:right w:val="nil"/>
            </w:tcBorders>
            <w:shd w:val="clear" w:color="000000" w:fill="FFFFFF"/>
            <w:hideMark/>
          </w:tcPr>
          <w:p w14:paraId="648B025A" w14:textId="77777777" w:rsidR="00911F85" w:rsidRPr="00D108A0" w:rsidRDefault="00911F85" w:rsidP="008742A1">
            <w:pPr>
              <w:pStyle w:val="TableHeading"/>
              <w:jc w:val="center"/>
            </w:pPr>
            <w:r>
              <w:t>(</w:t>
            </w:r>
            <w:r w:rsidRPr="00D108A0">
              <w:t>3</w:t>
            </w:r>
            <w:r>
              <w:t>)</w:t>
            </w:r>
          </w:p>
        </w:tc>
        <w:tc>
          <w:tcPr>
            <w:tcW w:w="546" w:type="pct"/>
            <w:tcBorders>
              <w:top w:val="single" w:sz="8" w:space="0" w:color="9E9E9E"/>
              <w:left w:val="nil"/>
              <w:bottom w:val="single" w:sz="8" w:space="0" w:color="9E9E9E"/>
              <w:right w:val="nil"/>
            </w:tcBorders>
            <w:shd w:val="clear" w:color="000000" w:fill="FFFFFF"/>
            <w:hideMark/>
          </w:tcPr>
          <w:p w14:paraId="43E62032" w14:textId="77777777" w:rsidR="00911F85" w:rsidRPr="00D108A0" w:rsidRDefault="00911F85" w:rsidP="008742A1">
            <w:pPr>
              <w:pStyle w:val="TableHeading"/>
              <w:jc w:val="center"/>
            </w:pPr>
            <w:r>
              <w:t>(</w:t>
            </w:r>
            <w:r w:rsidRPr="00D108A0">
              <w:t>4</w:t>
            </w:r>
            <w:r>
              <w:t>)</w:t>
            </w:r>
          </w:p>
        </w:tc>
        <w:tc>
          <w:tcPr>
            <w:tcW w:w="546" w:type="pct"/>
            <w:tcBorders>
              <w:top w:val="single" w:sz="8" w:space="0" w:color="9E9E9E"/>
              <w:left w:val="nil"/>
              <w:bottom w:val="single" w:sz="8" w:space="0" w:color="9E9E9E"/>
              <w:right w:val="nil"/>
            </w:tcBorders>
            <w:shd w:val="clear" w:color="000000" w:fill="FFFFFF"/>
            <w:hideMark/>
          </w:tcPr>
          <w:p w14:paraId="6E6DF9E0" w14:textId="77777777" w:rsidR="00911F85" w:rsidRPr="00D108A0" w:rsidRDefault="00911F85" w:rsidP="008742A1">
            <w:pPr>
              <w:pStyle w:val="TableHeading"/>
              <w:jc w:val="center"/>
            </w:pPr>
            <w:r>
              <w:t>(</w:t>
            </w:r>
            <w:r w:rsidRPr="00D108A0">
              <w:t>5</w:t>
            </w:r>
            <w:r>
              <w:t>)</w:t>
            </w:r>
          </w:p>
        </w:tc>
        <w:tc>
          <w:tcPr>
            <w:tcW w:w="544" w:type="pct"/>
            <w:tcBorders>
              <w:top w:val="single" w:sz="8" w:space="0" w:color="9E9E9E"/>
              <w:left w:val="nil"/>
              <w:bottom w:val="single" w:sz="8" w:space="0" w:color="9E9E9E"/>
              <w:right w:val="single" w:sz="8" w:space="0" w:color="B2B2B2"/>
            </w:tcBorders>
            <w:shd w:val="clear" w:color="000000" w:fill="FFFFFF"/>
            <w:hideMark/>
          </w:tcPr>
          <w:p w14:paraId="0C17ECCE" w14:textId="77777777" w:rsidR="00911F85" w:rsidRPr="00D108A0" w:rsidRDefault="00911F85" w:rsidP="008742A1">
            <w:pPr>
              <w:pStyle w:val="TableHeading"/>
              <w:jc w:val="center"/>
            </w:pPr>
            <w:r>
              <w:t>(6) Dead</w:t>
            </w:r>
          </w:p>
        </w:tc>
      </w:tr>
      <w:tr w:rsidR="00911F85" w:rsidRPr="00D108A0" w14:paraId="4AAC60FB" w14:textId="77777777" w:rsidTr="008742A1">
        <w:trPr>
          <w:cantSplit/>
          <w:trHeight w:val="300"/>
        </w:trPr>
        <w:tc>
          <w:tcPr>
            <w:tcW w:w="1728" w:type="pct"/>
            <w:tcBorders>
              <w:top w:val="single" w:sz="8" w:space="0" w:color="9E9E9E"/>
              <w:left w:val="single" w:sz="8" w:space="0" w:color="9E9E9E"/>
              <w:bottom w:val="nil"/>
            </w:tcBorders>
            <w:shd w:val="clear" w:color="auto" w:fill="F2F2F2" w:themeFill="background1" w:themeFillShade="F2"/>
            <w:hideMark/>
          </w:tcPr>
          <w:p w14:paraId="2F5D9090" w14:textId="77777777" w:rsidR="00911F85" w:rsidRPr="00D108A0" w:rsidRDefault="00911F85" w:rsidP="008742A1">
            <w:pPr>
              <w:pStyle w:val="Tabletext1"/>
            </w:pPr>
            <w:r w:rsidRPr="00D108A0">
              <w:t>IVIg</w:t>
            </w:r>
          </w:p>
        </w:tc>
        <w:tc>
          <w:tcPr>
            <w:tcW w:w="545" w:type="pct"/>
            <w:tcBorders>
              <w:top w:val="single" w:sz="8" w:space="0" w:color="9E9E9E"/>
              <w:bottom w:val="nil"/>
            </w:tcBorders>
            <w:shd w:val="clear" w:color="auto" w:fill="F2F2F2" w:themeFill="background1" w:themeFillShade="F2"/>
          </w:tcPr>
          <w:p w14:paraId="337FA0A2" w14:textId="77777777" w:rsidR="00911F85" w:rsidRPr="00D108A0" w:rsidRDefault="00911F85" w:rsidP="008742A1">
            <w:pPr>
              <w:pStyle w:val="Tabletext1"/>
              <w:jc w:val="center"/>
            </w:pPr>
          </w:p>
        </w:tc>
        <w:tc>
          <w:tcPr>
            <w:tcW w:w="546" w:type="pct"/>
            <w:tcBorders>
              <w:top w:val="single" w:sz="8" w:space="0" w:color="9E9E9E"/>
              <w:bottom w:val="nil"/>
            </w:tcBorders>
            <w:shd w:val="clear" w:color="auto" w:fill="F2F2F2" w:themeFill="background1" w:themeFillShade="F2"/>
          </w:tcPr>
          <w:p w14:paraId="424222CB" w14:textId="77777777" w:rsidR="00911F85" w:rsidRPr="00D108A0" w:rsidRDefault="00911F85" w:rsidP="008742A1">
            <w:pPr>
              <w:pStyle w:val="Tabletext1"/>
              <w:jc w:val="center"/>
            </w:pPr>
          </w:p>
        </w:tc>
        <w:tc>
          <w:tcPr>
            <w:tcW w:w="546" w:type="pct"/>
            <w:tcBorders>
              <w:top w:val="single" w:sz="8" w:space="0" w:color="9E9E9E"/>
              <w:bottom w:val="nil"/>
            </w:tcBorders>
            <w:shd w:val="clear" w:color="auto" w:fill="F2F2F2" w:themeFill="background1" w:themeFillShade="F2"/>
          </w:tcPr>
          <w:p w14:paraId="7E3DAB92" w14:textId="77777777" w:rsidR="00911F85" w:rsidRPr="00D108A0" w:rsidRDefault="00911F85" w:rsidP="008742A1">
            <w:pPr>
              <w:pStyle w:val="Tabletext1"/>
              <w:jc w:val="center"/>
            </w:pPr>
          </w:p>
        </w:tc>
        <w:tc>
          <w:tcPr>
            <w:tcW w:w="546" w:type="pct"/>
            <w:tcBorders>
              <w:top w:val="single" w:sz="8" w:space="0" w:color="9E9E9E"/>
              <w:bottom w:val="nil"/>
            </w:tcBorders>
            <w:shd w:val="clear" w:color="auto" w:fill="F2F2F2" w:themeFill="background1" w:themeFillShade="F2"/>
          </w:tcPr>
          <w:p w14:paraId="1EEBFA79" w14:textId="77777777" w:rsidR="00911F85" w:rsidRPr="00D108A0" w:rsidRDefault="00911F85" w:rsidP="008742A1">
            <w:pPr>
              <w:pStyle w:val="Tabletext1"/>
              <w:jc w:val="center"/>
            </w:pPr>
          </w:p>
        </w:tc>
        <w:tc>
          <w:tcPr>
            <w:tcW w:w="546" w:type="pct"/>
            <w:tcBorders>
              <w:top w:val="single" w:sz="8" w:space="0" w:color="9E9E9E"/>
              <w:bottom w:val="nil"/>
            </w:tcBorders>
            <w:shd w:val="clear" w:color="auto" w:fill="F2F2F2" w:themeFill="background1" w:themeFillShade="F2"/>
          </w:tcPr>
          <w:p w14:paraId="5DF4C64D" w14:textId="77777777" w:rsidR="00911F85" w:rsidRPr="00D108A0" w:rsidRDefault="00911F85" w:rsidP="008742A1">
            <w:pPr>
              <w:pStyle w:val="Tabletext1"/>
              <w:jc w:val="center"/>
            </w:pPr>
          </w:p>
        </w:tc>
        <w:tc>
          <w:tcPr>
            <w:tcW w:w="544" w:type="pct"/>
            <w:tcBorders>
              <w:top w:val="single" w:sz="8" w:space="0" w:color="9E9E9E"/>
              <w:bottom w:val="nil"/>
              <w:right w:val="single" w:sz="8" w:space="0" w:color="9E9E9E"/>
            </w:tcBorders>
            <w:shd w:val="clear" w:color="auto" w:fill="F2F2F2" w:themeFill="background1" w:themeFillShade="F2"/>
          </w:tcPr>
          <w:p w14:paraId="126869B8" w14:textId="77777777" w:rsidR="00911F85" w:rsidRPr="00D108A0" w:rsidRDefault="00911F85" w:rsidP="008742A1">
            <w:pPr>
              <w:pStyle w:val="Tabletext1"/>
              <w:jc w:val="center"/>
            </w:pPr>
          </w:p>
        </w:tc>
      </w:tr>
      <w:tr w:rsidR="00911F85" w:rsidRPr="00D108A0" w14:paraId="07B741A3" w14:textId="77777777" w:rsidTr="008742A1">
        <w:trPr>
          <w:cantSplit/>
          <w:trHeight w:val="300"/>
        </w:trPr>
        <w:tc>
          <w:tcPr>
            <w:tcW w:w="1728" w:type="pct"/>
            <w:tcBorders>
              <w:top w:val="nil"/>
              <w:left w:val="single" w:sz="8" w:space="0" w:color="9E9E9E"/>
              <w:bottom w:val="nil"/>
              <w:right w:val="nil"/>
            </w:tcBorders>
            <w:shd w:val="clear" w:color="000000" w:fill="FFFFFF"/>
            <w:hideMark/>
          </w:tcPr>
          <w:p w14:paraId="52114C4F" w14:textId="77777777" w:rsidR="00911F85" w:rsidRPr="00D108A0" w:rsidRDefault="00911F85" w:rsidP="008742A1">
            <w:pPr>
              <w:pStyle w:val="Tabletext1"/>
            </w:pPr>
            <w:r w:rsidRPr="00D108A0">
              <w:t>(1) No infection</w:t>
            </w:r>
          </w:p>
        </w:tc>
        <w:tc>
          <w:tcPr>
            <w:tcW w:w="545" w:type="pct"/>
            <w:tcBorders>
              <w:top w:val="nil"/>
              <w:left w:val="nil"/>
              <w:bottom w:val="nil"/>
              <w:right w:val="nil"/>
            </w:tcBorders>
            <w:shd w:val="clear" w:color="000000" w:fill="FFFFFF"/>
            <w:hideMark/>
          </w:tcPr>
          <w:p w14:paraId="7CA94557" w14:textId="77777777" w:rsidR="00911F85" w:rsidRPr="00D108A0" w:rsidRDefault="00911F85" w:rsidP="008742A1">
            <w:pPr>
              <w:pStyle w:val="Tabletext1"/>
              <w:jc w:val="center"/>
            </w:pPr>
            <w:r w:rsidRPr="00D108A0">
              <w:t>0.947</w:t>
            </w:r>
          </w:p>
        </w:tc>
        <w:tc>
          <w:tcPr>
            <w:tcW w:w="546" w:type="pct"/>
            <w:tcBorders>
              <w:top w:val="nil"/>
              <w:left w:val="nil"/>
              <w:bottom w:val="nil"/>
              <w:right w:val="nil"/>
            </w:tcBorders>
            <w:shd w:val="clear" w:color="000000" w:fill="FFFFFF"/>
            <w:hideMark/>
          </w:tcPr>
          <w:p w14:paraId="04D62839" w14:textId="77777777" w:rsidR="00911F85" w:rsidRPr="00D108A0" w:rsidRDefault="00911F85" w:rsidP="008742A1">
            <w:pPr>
              <w:pStyle w:val="Tabletext1"/>
              <w:jc w:val="center"/>
            </w:pPr>
            <w:r w:rsidRPr="00D108A0">
              <w:t>0.053</w:t>
            </w:r>
          </w:p>
        </w:tc>
        <w:tc>
          <w:tcPr>
            <w:tcW w:w="546" w:type="pct"/>
            <w:tcBorders>
              <w:top w:val="nil"/>
              <w:left w:val="nil"/>
              <w:bottom w:val="nil"/>
              <w:right w:val="nil"/>
            </w:tcBorders>
            <w:shd w:val="clear" w:color="000000" w:fill="FFFFFF"/>
            <w:hideMark/>
          </w:tcPr>
          <w:p w14:paraId="26D1D1E0" w14:textId="77777777" w:rsidR="00911F85" w:rsidRPr="00D108A0" w:rsidRDefault="00911F85" w:rsidP="008742A1">
            <w:pPr>
              <w:pStyle w:val="Tabletext1"/>
              <w:jc w:val="center"/>
            </w:pPr>
          </w:p>
        </w:tc>
        <w:tc>
          <w:tcPr>
            <w:tcW w:w="546" w:type="pct"/>
            <w:tcBorders>
              <w:top w:val="nil"/>
              <w:left w:val="nil"/>
              <w:bottom w:val="nil"/>
              <w:right w:val="nil"/>
            </w:tcBorders>
            <w:shd w:val="clear" w:color="000000" w:fill="FFFFFF"/>
            <w:hideMark/>
          </w:tcPr>
          <w:p w14:paraId="5A6D3692" w14:textId="77777777" w:rsidR="00911F85" w:rsidRPr="00D108A0" w:rsidRDefault="00911F85" w:rsidP="008742A1">
            <w:pPr>
              <w:pStyle w:val="Tabletext1"/>
              <w:jc w:val="center"/>
            </w:pPr>
          </w:p>
        </w:tc>
        <w:tc>
          <w:tcPr>
            <w:tcW w:w="546" w:type="pct"/>
            <w:tcBorders>
              <w:top w:val="nil"/>
              <w:left w:val="nil"/>
              <w:bottom w:val="nil"/>
              <w:right w:val="nil"/>
            </w:tcBorders>
            <w:shd w:val="clear" w:color="000000" w:fill="FFFFFF"/>
            <w:hideMark/>
          </w:tcPr>
          <w:p w14:paraId="2AD361B9" w14:textId="77777777" w:rsidR="00911F85" w:rsidRPr="00D108A0" w:rsidRDefault="00911F85" w:rsidP="008742A1">
            <w:pPr>
              <w:pStyle w:val="Tabletext1"/>
              <w:jc w:val="center"/>
            </w:pPr>
          </w:p>
        </w:tc>
        <w:tc>
          <w:tcPr>
            <w:tcW w:w="544" w:type="pct"/>
            <w:tcBorders>
              <w:top w:val="nil"/>
              <w:left w:val="nil"/>
              <w:bottom w:val="nil"/>
              <w:right w:val="single" w:sz="8" w:space="0" w:color="9E9E9E"/>
            </w:tcBorders>
            <w:shd w:val="clear" w:color="000000" w:fill="FFFFFF"/>
            <w:hideMark/>
          </w:tcPr>
          <w:p w14:paraId="0A58B227" w14:textId="77777777" w:rsidR="00911F85" w:rsidRPr="00D108A0" w:rsidRDefault="00911F85" w:rsidP="008742A1">
            <w:pPr>
              <w:pStyle w:val="Tabletext1"/>
              <w:jc w:val="center"/>
            </w:pPr>
            <w:r w:rsidRPr="00D108A0">
              <w:t>0.00034</w:t>
            </w:r>
          </w:p>
        </w:tc>
      </w:tr>
      <w:tr w:rsidR="00911F85" w:rsidRPr="00D108A0" w14:paraId="38F358D9" w14:textId="77777777" w:rsidTr="008742A1">
        <w:trPr>
          <w:cantSplit/>
          <w:trHeight w:val="300"/>
        </w:trPr>
        <w:tc>
          <w:tcPr>
            <w:tcW w:w="1728" w:type="pct"/>
            <w:tcBorders>
              <w:top w:val="nil"/>
              <w:left w:val="single" w:sz="8" w:space="0" w:color="9E9E9E"/>
              <w:bottom w:val="nil"/>
              <w:right w:val="nil"/>
            </w:tcBorders>
            <w:shd w:val="clear" w:color="000000" w:fill="FFFFFF"/>
            <w:hideMark/>
          </w:tcPr>
          <w:p w14:paraId="1C5DB7EC" w14:textId="77777777" w:rsidR="00911F85" w:rsidRPr="00D108A0" w:rsidRDefault="00911F85" w:rsidP="008742A1">
            <w:pPr>
              <w:pStyle w:val="Tabletext1"/>
            </w:pPr>
            <w:r w:rsidRPr="00D108A0">
              <w:t>(2) Infection</w:t>
            </w:r>
          </w:p>
        </w:tc>
        <w:tc>
          <w:tcPr>
            <w:tcW w:w="545" w:type="pct"/>
            <w:tcBorders>
              <w:top w:val="nil"/>
              <w:left w:val="nil"/>
              <w:bottom w:val="nil"/>
              <w:right w:val="nil"/>
            </w:tcBorders>
            <w:shd w:val="clear" w:color="000000" w:fill="FFFFFF"/>
            <w:hideMark/>
          </w:tcPr>
          <w:p w14:paraId="5265AAEE" w14:textId="77777777" w:rsidR="00911F85" w:rsidRPr="00D108A0" w:rsidRDefault="00911F85" w:rsidP="008742A1">
            <w:pPr>
              <w:pStyle w:val="Tabletext1"/>
              <w:jc w:val="center"/>
            </w:pPr>
            <w:r w:rsidRPr="00D108A0">
              <w:t>0.592</w:t>
            </w:r>
          </w:p>
        </w:tc>
        <w:tc>
          <w:tcPr>
            <w:tcW w:w="546" w:type="pct"/>
            <w:tcBorders>
              <w:top w:val="nil"/>
              <w:left w:val="nil"/>
              <w:bottom w:val="nil"/>
              <w:right w:val="nil"/>
            </w:tcBorders>
            <w:shd w:val="clear" w:color="000000" w:fill="FFFFFF"/>
            <w:hideMark/>
          </w:tcPr>
          <w:p w14:paraId="215B5045" w14:textId="77777777" w:rsidR="00911F85" w:rsidRPr="00D108A0" w:rsidRDefault="00911F85" w:rsidP="008742A1">
            <w:pPr>
              <w:pStyle w:val="Tabletext1"/>
              <w:jc w:val="center"/>
            </w:pPr>
            <w:r w:rsidRPr="00D108A0">
              <w:t>0.313</w:t>
            </w:r>
          </w:p>
        </w:tc>
        <w:tc>
          <w:tcPr>
            <w:tcW w:w="546" w:type="pct"/>
            <w:tcBorders>
              <w:top w:val="nil"/>
              <w:left w:val="nil"/>
              <w:bottom w:val="nil"/>
              <w:right w:val="nil"/>
            </w:tcBorders>
            <w:shd w:val="clear" w:color="000000" w:fill="FFFFFF"/>
            <w:hideMark/>
          </w:tcPr>
          <w:p w14:paraId="47231872" w14:textId="77777777" w:rsidR="00911F85" w:rsidRPr="00D108A0" w:rsidRDefault="00911F85" w:rsidP="008742A1">
            <w:pPr>
              <w:pStyle w:val="Tabletext1"/>
              <w:jc w:val="center"/>
            </w:pPr>
            <w:r w:rsidRPr="00D108A0">
              <w:t>0.063</w:t>
            </w:r>
          </w:p>
        </w:tc>
        <w:tc>
          <w:tcPr>
            <w:tcW w:w="546" w:type="pct"/>
            <w:tcBorders>
              <w:top w:val="nil"/>
              <w:left w:val="nil"/>
              <w:bottom w:val="nil"/>
              <w:right w:val="nil"/>
            </w:tcBorders>
            <w:shd w:val="clear" w:color="000000" w:fill="FFFFFF"/>
            <w:hideMark/>
          </w:tcPr>
          <w:p w14:paraId="286D9BCA" w14:textId="77777777" w:rsidR="00911F85" w:rsidRPr="00D108A0" w:rsidRDefault="00911F85" w:rsidP="008742A1">
            <w:pPr>
              <w:pStyle w:val="Tabletext1"/>
              <w:jc w:val="center"/>
            </w:pPr>
            <w:r w:rsidRPr="00D108A0">
              <w:t>0.031</w:t>
            </w:r>
          </w:p>
        </w:tc>
        <w:tc>
          <w:tcPr>
            <w:tcW w:w="546" w:type="pct"/>
            <w:tcBorders>
              <w:top w:val="nil"/>
              <w:left w:val="nil"/>
              <w:bottom w:val="nil"/>
              <w:right w:val="nil"/>
            </w:tcBorders>
            <w:shd w:val="clear" w:color="000000" w:fill="FFFFFF"/>
            <w:hideMark/>
          </w:tcPr>
          <w:p w14:paraId="0FFE6E13" w14:textId="77777777" w:rsidR="00911F85" w:rsidRPr="00D108A0" w:rsidRDefault="00911F85" w:rsidP="008742A1">
            <w:pPr>
              <w:pStyle w:val="Tabletext1"/>
              <w:jc w:val="center"/>
            </w:pPr>
          </w:p>
        </w:tc>
        <w:tc>
          <w:tcPr>
            <w:tcW w:w="544" w:type="pct"/>
            <w:tcBorders>
              <w:top w:val="nil"/>
              <w:left w:val="nil"/>
              <w:bottom w:val="nil"/>
              <w:right w:val="single" w:sz="8" w:space="0" w:color="9E9E9E"/>
            </w:tcBorders>
            <w:shd w:val="clear" w:color="000000" w:fill="FFFFFF"/>
            <w:hideMark/>
          </w:tcPr>
          <w:p w14:paraId="2ED192A4" w14:textId="77777777" w:rsidR="00911F85" w:rsidRPr="00D108A0" w:rsidRDefault="00911F85" w:rsidP="008742A1">
            <w:pPr>
              <w:pStyle w:val="Tabletext1"/>
              <w:jc w:val="center"/>
            </w:pPr>
            <w:r w:rsidRPr="00D108A0">
              <w:t>0.00142</w:t>
            </w:r>
          </w:p>
        </w:tc>
      </w:tr>
      <w:tr w:rsidR="00911F85" w:rsidRPr="00D108A0" w14:paraId="510FE934" w14:textId="77777777" w:rsidTr="008742A1">
        <w:trPr>
          <w:cantSplit/>
          <w:trHeight w:val="300"/>
        </w:trPr>
        <w:tc>
          <w:tcPr>
            <w:tcW w:w="1728" w:type="pct"/>
            <w:tcBorders>
              <w:top w:val="nil"/>
              <w:left w:val="single" w:sz="8" w:space="0" w:color="9E9E9E"/>
              <w:bottom w:val="nil"/>
              <w:right w:val="nil"/>
            </w:tcBorders>
            <w:shd w:val="clear" w:color="000000" w:fill="FFFFFF"/>
            <w:hideMark/>
          </w:tcPr>
          <w:p w14:paraId="6AA44A4E" w14:textId="77777777" w:rsidR="00911F85" w:rsidRPr="00D108A0" w:rsidRDefault="00911F85" w:rsidP="008742A1">
            <w:pPr>
              <w:pStyle w:val="Tabletext1"/>
            </w:pPr>
            <w:r w:rsidRPr="00D108A0">
              <w:t>(3) Bronchiectasis with no infection</w:t>
            </w:r>
          </w:p>
        </w:tc>
        <w:tc>
          <w:tcPr>
            <w:tcW w:w="545" w:type="pct"/>
            <w:tcBorders>
              <w:top w:val="nil"/>
              <w:left w:val="nil"/>
              <w:bottom w:val="nil"/>
              <w:right w:val="nil"/>
            </w:tcBorders>
            <w:shd w:val="clear" w:color="000000" w:fill="FFFFFF"/>
            <w:hideMark/>
          </w:tcPr>
          <w:p w14:paraId="3BC38B7F" w14:textId="77777777" w:rsidR="00911F85" w:rsidRPr="00D108A0" w:rsidRDefault="00911F85" w:rsidP="008742A1">
            <w:pPr>
              <w:pStyle w:val="Tabletext1"/>
              <w:jc w:val="center"/>
            </w:pPr>
          </w:p>
        </w:tc>
        <w:tc>
          <w:tcPr>
            <w:tcW w:w="546" w:type="pct"/>
            <w:tcBorders>
              <w:top w:val="nil"/>
              <w:left w:val="nil"/>
              <w:bottom w:val="nil"/>
              <w:right w:val="nil"/>
            </w:tcBorders>
            <w:shd w:val="clear" w:color="000000" w:fill="FFFFFF"/>
            <w:hideMark/>
          </w:tcPr>
          <w:p w14:paraId="57CB55F6" w14:textId="77777777" w:rsidR="00911F85" w:rsidRPr="00D108A0" w:rsidRDefault="00911F85" w:rsidP="008742A1">
            <w:pPr>
              <w:pStyle w:val="Tabletext1"/>
              <w:jc w:val="center"/>
            </w:pPr>
          </w:p>
        </w:tc>
        <w:tc>
          <w:tcPr>
            <w:tcW w:w="546" w:type="pct"/>
            <w:tcBorders>
              <w:top w:val="nil"/>
              <w:left w:val="nil"/>
              <w:bottom w:val="nil"/>
              <w:right w:val="nil"/>
            </w:tcBorders>
            <w:shd w:val="clear" w:color="000000" w:fill="FFFFFF"/>
            <w:hideMark/>
          </w:tcPr>
          <w:p w14:paraId="2EAD9B81" w14:textId="77777777" w:rsidR="00911F85" w:rsidRPr="00D108A0" w:rsidRDefault="00911F85" w:rsidP="008742A1">
            <w:pPr>
              <w:pStyle w:val="Tabletext1"/>
              <w:jc w:val="center"/>
            </w:pPr>
            <w:r w:rsidRPr="00D108A0">
              <w:t>0.917</w:t>
            </w:r>
          </w:p>
        </w:tc>
        <w:tc>
          <w:tcPr>
            <w:tcW w:w="546" w:type="pct"/>
            <w:tcBorders>
              <w:top w:val="nil"/>
              <w:left w:val="nil"/>
              <w:bottom w:val="nil"/>
              <w:right w:val="nil"/>
            </w:tcBorders>
            <w:shd w:val="clear" w:color="000000" w:fill="FFFFFF"/>
            <w:hideMark/>
          </w:tcPr>
          <w:p w14:paraId="5533753C" w14:textId="77777777" w:rsidR="00911F85" w:rsidRPr="00D108A0" w:rsidRDefault="00911F85" w:rsidP="008742A1">
            <w:pPr>
              <w:pStyle w:val="Tabletext1"/>
              <w:jc w:val="center"/>
            </w:pPr>
            <w:r w:rsidRPr="00D108A0">
              <w:t>0.05</w:t>
            </w:r>
          </w:p>
        </w:tc>
        <w:tc>
          <w:tcPr>
            <w:tcW w:w="546" w:type="pct"/>
            <w:tcBorders>
              <w:top w:val="nil"/>
              <w:left w:val="nil"/>
              <w:bottom w:val="nil"/>
              <w:right w:val="nil"/>
            </w:tcBorders>
            <w:shd w:val="clear" w:color="000000" w:fill="FFFFFF"/>
            <w:hideMark/>
          </w:tcPr>
          <w:p w14:paraId="322562AD" w14:textId="77777777" w:rsidR="00911F85" w:rsidRPr="00D108A0" w:rsidRDefault="00911F85" w:rsidP="008742A1">
            <w:pPr>
              <w:pStyle w:val="Tabletext1"/>
              <w:jc w:val="center"/>
            </w:pPr>
            <w:r w:rsidRPr="00D108A0">
              <w:t>0.03</w:t>
            </w:r>
          </w:p>
        </w:tc>
        <w:tc>
          <w:tcPr>
            <w:tcW w:w="544" w:type="pct"/>
            <w:tcBorders>
              <w:top w:val="nil"/>
              <w:left w:val="nil"/>
              <w:bottom w:val="nil"/>
              <w:right w:val="single" w:sz="8" w:space="0" w:color="9E9E9E"/>
            </w:tcBorders>
            <w:shd w:val="clear" w:color="000000" w:fill="FFFFFF"/>
            <w:hideMark/>
          </w:tcPr>
          <w:p w14:paraId="5F47658E" w14:textId="77777777" w:rsidR="00911F85" w:rsidRPr="00D108A0" w:rsidRDefault="00911F85" w:rsidP="008742A1">
            <w:pPr>
              <w:pStyle w:val="Tabletext1"/>
              <w:jc w:val="center"/>
            </w:pPr>
            <w:r w:rsidRPr="00D108A0">
              <w:t>0.00311</w:t>
            </w:r>
          </w:p>
        </w:tc>
      </w:tr>
      <w:tr w:rsidR="00911F85" w:rsidRPr="00D108A0" w14:paraId="0BBFF585" w14:textId="77777777" w:rsidTr="008742A1">
        <w:trPr>
          <w:cantSplit/>
          <w:trHeight w:val="300"/>
        </w:trPr>
        <w:tc>
          <w:tcPr>
            <w:tcW w:w="1728" w:type="pct"/>
            <w:tcBorders>
              <w:top w:val="nil"/>
              <w:left w:val="single" w:sz="8" w:space="0" w:color="9E9E9E"/>
              <w:bottom w:val="nil"/>
              <w:right w:val="nil"/>
            </w:tcBorders>
            <w:shd w:val="clear" w:color="000000" w:fill="FFFFFF"/>
            <w:hideMark/>
          </w:tcPr>
          <w:p w14:paraId="6A7249F4" w14:textId="77777777" w:rsidR="00911F85" w:rsidRPr="00D108A0" w:rsidRDefault="00911F85" w:rsidP="008742A1">
            <w:pPr>
              <w:pStyle w:val="Tabletext1"/>
            </w:pPr>
            <w:r w:rsidRPr="00D108A0">
              <w:t>(4) Bronchiectasis with infection</w:t>
            </w:r>
          </w:p>
        </w:tc>
        <w:tc>
          <w:tcPr>
            <w:tcW w:w="545" w:type="pct"/>
            <w:tcBorders>
              <w:top w:val="nil"/>
              <w:left w:val="nil"/>
              <w:bottom w:val="nil"/>
              <w:right w:val="nil"/>
            </w:tcBorders>
            <w:shd w:val="clear" w:color="000000" w:fill="FFFFFF"/>
            <w:hideMark/>
          </w:tcPr>
          <w:p w14:paraId="3D8BFC38" w14:textId="77777777" w:rsidR="00911F85" w:rsidRPr="00D108A0" w:rsidRDefault="00911F85" w:rsidP="008742A1">
            <w:pPr>
              <w:pStyle w:val="Tabletext1"/>
              <w:jc w:val="center"/>
            </w:pPr>
          </w:p>
        </w:tc>
        <w:tc>
          <w:tcPr>
            <w:tcW w:w="546" w:type="pct"/>
            <w:tcBorders>
              <w:top w:val="nil"/>
              <w:left w:val="nil"/>
              <w:bottom w:val="nil"/>
              <w:right w:val="nil"/>
            </w:tcBorders>
            <w:shd w:val="clear" w:color="000000" w:fill="FFFFFF"/>
            <w:hideMark/>
          </w:tcPr>
          <w:p w14:paraId="3E57BD5F" w14:textId="77777777" w:rsidR="00911F85" w:rsidRPr="00D108A0" w:rsidRDefault="00911F85" w:rsidP="008742A1">
            <w:pPr>
              <w:pStyle w:val="Tabletext1"/>
              <w:jc w:val="center"/>
            </w:pPr>
          </w:p>
        </w:tc>
        <w:tc>
          <w:tcPr>
            <w:tcW w:w="546" w:type="pct"/>
            <w:tcBorders>
              <w:top w:val="nil"/>
              <w:left w:val="nil"/>
              <w:bottom w:val="nil"/>
              <w:right w:val="nil"/>
            </w:tcBorders>
            <w:shd w:val="clear" w:color="000000" w:fill="FFFFFF"/>
            <w:hideMark/>
          </w:tcPr>
          <w:p w14:paraId="4708B4DC" w14:textId="77777777" w:rsidR="00911F85" w:rsidRPr="00D108A0" w:rsidRDefault="00911F85" w:rsidP="008742A1">
            <w:pPr>
              <w:pStyle w:val="Tabletext1"/>
              <w:jc w:val="center"/>
            </w:pPr>
            <w:r w:rsidRPr="00D108A0">
              <w:t>0.3</w:t>
            </w:r>
          </w:p>
        </w:tc>
        <w:tc>
          <w:tcPr>
            <w:tcW w:w="546" w:type="pct"/>
            <w:tcBorders>
              <w:top w:val="nil"/>
              <w:left w:val="nil"/>
              <w:bottom w:val="nil"/>
              <w:right w:val="nil"/>
            </w:tcBorders>
            <w:shd w:val="clear" w:color="000000" w:fill="FFFFFF"/>
            <w:hideMark/>
          </w:tcPr>
          <w:p w14:paraId="340F4379" w14:textId="77777777" w:rsidR="00911F85" w:rsidRPr="00D108A0" w:rsidRDefault="00911F85" w:rsidP="008742A1">
            <w:pPr>
              <w:pStyle w:val="Tabletext1"/>
              <w:jc w:val="center"/>
            </w:pPr>
            <w:r w:rsidRPr="00D108A0">
              <w:t>0.664</w:t>
            </w:r>
          </w:p>
        </w:tc>
        <w:tc>
          <w:tcPr>
            <w:tcW w:w="546" w:type="pct"/>
            <w:tcBorders>
              <w:top w:val="nil"/>
              <w:left w:val="nil"/>
              <w:bottom w:val="nil"/>
              <w:right w:val="nil"/>
            </w:tcBorders>
            <w:shd w:val="clear" w:color="000000" w:fill="FFFFFF"/>
            <w:hideMark/>
          </w:tcPr>
          <w:p w14:paraId="489C53D8" w14:textId="77777777" w:rsidR="00911F85" w:rsidRPr="00D108A0" w:rsidRDefault="00911F85" w:rsidP="008742A1">
            <w:pPr>
              <w:pStyle w:val="Tabletext1"/>
              <w:jc w:val="center"/>
            </w:pPr>
            <w:r w:rsidRPr="00D108A0">
              <w:t>0.033</w:t>
            </w:r>
          </w:p>
        </w:tc>
        <w:tc>
          <w:tcPr>
            <w:tcW w:w="544" w:type="pct"/>
            <w:tcBorders>
              <w:top w:val="nil"/>
              <w:left w:val="nil"/>
              <w:bottom w:val="nil"/>
              <w:right w:val="single" w:sz="8" w:space="0" w:color="9E9E9E"/>
            </w:tcBorders>
            <w:shd w:val="clear" w:color="000000" w:fill="FFFFFF"/>
            <w:hideMark/>
          </w:tcPr>
          <w:p w14:paraId="30496BF9" w14:textId="77777777" w:rsidR="00911F85" w:rsidRPr="00D108A0" w:rsidRDefault="00911F85" w:rsidP="008742A1">
            <w:pPr>
              <w:pStyle w:val="Tabletext1"/>
              <w:jc w:val="center"/>
            </w:pPr>
            <w:r w:rsidRPr="00D108A0">
              <w:t>0.00311</w:t>
            </w:r>
          </w:p>
        </w:tc>
      </w:tr>
      <w:tr w:rsidR="00911F85" w:rsidRPr="00D108A0" w14:paraId="2C9412CC" w14:textId="77777777" w:rsidTr="008742A1">
        <w:trPr>
          <w:cantSplit/>
          <w:trHeight w:val="315"/>
        </w:trPr>
        <w:tc>
          <w:tcPr>
            <w:tcW w:w="1728" w:type="pct"/>
            <w:tcBorders>
              <w:top w:val="nil"/>
              <w:left w:val="single" w:sz="8" w:space="0" w:color="9E9E9E"/>
              <w:bottom w:val="single" w:sz="8" w:space="0" w:color="9E9E9E"/>
              <w:right w:val="nil"/>
            </w:tcBorders>
            <w:shd w:val="clear" w:color="000000" w:fill="FFFFFF"/>
            <w:hideMark/>
          </w:tcPr>
          <w:p w14:paraId="5E3A9C6C" w14:textId="77777777" w:rsidR="00911F85" w:rsidRPr="00D108A0" w:rsidRDefault="00911F85" w:rsidP="008742A1">
            <w:pPr>
              <w:pStyle w:val="Tabletext1"/>
            </w:pPr>
            <w:r w:rsidRPr="00D108A0">
              <w:t>(5) </w:t>
            </w:r>
            <w:r w:rsidRPr="00D108A0">
              <w:rPr>
                <w:i/>
                <w:iCs/>
              </w:rPr>
              <w:t>Pseudomonas aeruginosa</w:t>
            </w:r>
            <w:r w:rsidRPr="00D108A0">
              <w:t> infection</w:t>
            </w:r>
          </w:p>
        </w:tc>
        <w:tc>
          <w:tcPr>
            <w:tcW w:w="545" w:type="pct"/>
            <w:tcBorders>
              <w:top w:val="nil"/>
              <w:left w:val="nil"/>
              <w:bottom w:val="single" w:sz="8" w:space="0" w:color="9E9E9E"/>
              <w:right w:val="nil"/>
            </w:tcBorders>
            <w:shd w:val="clear" w:color="000000" w:fill="FFFFFF"/>
            <w:hideMark/>
          </w:tcPr>
          <w:p w14:paraId="098FC26A" w14:textId="77777777" w:rsidR="00911F85" w:rsidRPr="00D108A0" w:rsidRDefault="00911F85" w:rsidP="008742A1">
            <w:pPr>
              <w:pStyle w:val="Tabletext1"/>
              <w:jc w:val="center"/>
            </w:pPr>
          </w:p>
        </w:tc>
        <w:tc>
          <w:tcPr>
            <w:tcW w:w="546" w:type="pct"/>
            <w:tcBorders>
              <w:top w:val="nil"/>
              <w:left w:val="nil"/>
              <w:bottom w:val="single" w:sz="8" w:space="0" w:color="9E9E9E"/>
              <w:right w:val="nil"/>
            </w:tcBorders>
            <w:shd w:val="clear" w:color="000000" w:fill="FFFFFF"/>
            <w:hideMark/>
          </w:tcPr>
          <w:p w14:paraId="6B22148D" w14:textId="77777777" w:rsidR="00911F85" w:rsidRPr="00D108A0" w:rsidRDefault="00911F85" w:rsidP="008742A1">
            <w:pPr>
              <w:pStyle w:val="Tabletext1"/>
              <w:jc w:val="center"/>
            </w:pPr>
          </w:p>
        </w:tc>
        <w:tc>
          <w:tcPr>
            <w:tcW w:w="546" w:type="pct"/>
            <w:tcBorders>
              <w:top w:val="nil"/>
              <w:left w:val="nil"/>
              <w:bottom w:val="single" w:sz="8" w:space="0" w:color="9E9E9E"/>
              <w:right w:val="nil"/>
            </w:tcBorders>
            <w:shd w:val="clear" w:color="000000" w:fill="FFFFFF"/>
            <w:hideMark/>
          </w:tcPr>
          <w:p w14:paraId="157B6055" w14:textId="77777777" w:rsidR="00911F85" w:rsidRPr="00D108A0" w:rsidRDefault="00911F85" w:rsidP="008742A1">
            <w:pPr>
              <w:pStyle w:val="Tabletext1"/>
              <w:jc w:val="center"/>
            </w:pPr>
            <w:r w:rsidRPr="00D108A0">
              <w:t>0.182</w:t>
            </w:r>
          </w:p>
        </w:tc>
        <w:tc>
          <w:tcPr>
            <w:tcW w:w="546" w:type="pct"/>
            <w:tcBorders>
              <w:top w:val="nil"/>
              <w:left w:val="nil"/>
              <w:bottom w:val="single" w:sz="8" w:space="0" w:color="9E9E9E"/>
              <w:right w:val="nil"/>
            </w:tcBorders>
            <w:shd w:val="clear" w:color="000000" w:fill="FFFFFF"/>
            <w:hideMark/>
          </w:tcPr>
          <w:p w14:paraId="392B6124" w14:textId="77777777" w:rsidR="00911F85" w:rsidRPr="00D108A0" w:rsidRDefault="00911F85" w:rsidP="008742A1">
            <w:pPr>
              <w:pStyle w:val="Tabletext1"/>
              <w:jc w:val="center"/>
            </w:pPr>
            <w:r w:rsidRPr="00D108A0">
              <w:t>0.091</w:t>
            </w:r>
          </w:p>
        </w:tc>
        <w:tc>
          <w:tcPr>
            <w:tcW w:w="546" w:type="pct"/>
            <w:tcBorders>
              <w:top w:val="nil"/>
              <w:left w:val="nil"/>
              <w:bottom w:val="single" w:sz="8" w:space="0" w:color="9E9E9E"/>
              <w:right w:val="nil"/>
            </w:tcBorders>
            <w:shd w:val="clear" w:color="000000" w:fill="FFFFFF"/>
            <w:hideMark/>
          </w:tcPr>
          <w:p w14:paraId="503A67C3" w14:textId="77777777" w:rsidR="00911F85" w:rsidRPr="00D108A0" w:rsidRDefault="00911F85" w:rsidP="008742A1">
            <w:pPr>
              <w:pStyle w:val="Tabletext1"/>
              <w:jc w:val="center"/>
            </w:pPr>
            <w:r w:rsidRPr="00D108A0">
              <w:t>0.718</w:t>
            </w:r>
          </w:p>
        </w:tc>
        <w:tc>
          <w:tcPr>
            <w:tcW w:w="544" w:type="pct"/>
            <w:tcBorders>
              <w:top w:val="nil"/>
              <w:left w:val="nil"/>
              <w:bottom w:val="single" w:sz="8" w:space="0" w:color="9E9E9E"/>
              <w:right w:val="single" w:sz="8" w:space="0" w:color="9E9E9E"/>
            </w:tcBorders>
            <w:shd w:val="clear" w:color="000000" w:fill="FFFFFF"/>
            <w:hideMark/>
          </w:tcPr>
          <w:p w14:paraId="6BAB7AD4" w14:textId="77777777" w:rsidR="00911F85" w:rsidRPr="00D108A0" w:rsidRDefault="00911F85" w:rsidP="008742A1">
            <w:pPr>
              <w:pStyle w:val="Tabletext1"/>
              <w:jc w:val="center"/>
            </w:pPr>
            <w:r w:rsidRPr="00D108A0">
              <w:t>0.00916</w:t>
            </w:r>
          </w:p>
        </w:tc>
      </w:tr>
      <w:tr w:rsidR="00911F85" w:rsidRPr="00D108A0" w14:paraId="27D3A893" w14:textId="77777777" w:rsidTr="008742A1">
        <w:trPr>
          <w:cantSplit/>
          <w:trHeight w:val="315"/>
        </w:trPr>
        <w:tc>
          <w:tcPr>
            <w:tcW w:w="1728" w:type="pct"/>
            <w:tcBorders>
              <w:top w:val="single" w:sz="8" w:space="0" w:color="9E9E9E"/>
              <w:left w:val="single" w:sz="8" w:space="0" w:color="9E9E9E"/>
              <w:right w:val="nil"/>
            </w:tcBorders>
            <w:shd w:val="clear" w:color="auto" w:fill="F2F2F2" w:themeFill="background1" w:themeFillShade="F2"/>
            <w:hideMark/>
          </w:tcPr>
          <w:p w14:paraId="47A1F8A5" w14:textId="77777777" w:rsidR="00911F85" w:rsidRPr="00D108A0" w:rsidRDefault="00911F85" w:rsidP="008742A1">
            <w:pPr>
              <w:pStyle w:val="Tabletext1"/>
            </w:pPr>
            <w:r>
              <w:t>SC</w:t>
            </w:r>
            <w:r w:rsidRPr="00D108A0">
              <w:t>Ig</w:t>
            </w:r>
          </w:p>
        </w:tc>
        <w:tc>
          <w:tcPr>
            <w:tcW w:w="545" w:type="pct"/>
            <w:tcBorders>
              <w:top w:val="single" w:sz="8" w:space="0" w:color="9E9E9E"/>
              <w:left w:val="nil"/>
              <w:right w:val="nil"/>
            </w:tcBorders>
            <w:shd w:val="clear" w:color="auto" w:fill="F2F2F2" w:themeFill="background1" w:themeFillShade="F2"/>
            <w:hideMark/>
          </w:tcPr>
          <w:p w14:paraId="2BCCB84C" w14:textId="77777777" w:rsidR="00911F85" w:rsidRPr="00D108A0" w:rsidRDefault="00911F85" w:rsidP="008742A1">
            <w:pPr>
              <w:pStyle w:val="Tabletext1"/>
            </w:pPr>
          </w:p>
        </w:tc>
        <w:tc>
          <w:tcPr>
            <w:tcW w:w="546" w:type="pct"/>
            <w:tcBorders>
              <w:top w:val="single" w:sz="8" w:space="0" w:color="9E9E9E"/>
              <w:left w:val="nil"/>
              <w:right w:val="nil"/>
            </w:tcBorders>
            <w:shd w:val="clear" w:color="auto" w:fill="F2F2F2" w:themeFill="background1" w:themeFillShade="F2"/>
            <w:hideMark/>
          </w:tcPr>
          <w:p w14:paraId="67C6F3BB" w14:textId="77777777" w:rsidR="00911F85" w:rsidRPr="00D108A0" w:rsidRDefault="00911F85" w:rsidP="008742A1">
            <w:pPr>
              <w:pStyle w:val="Tabletext1"/>
            </w:pPr>
          </w:p>
        </w:tc>
        <w:tc>
          <w:tcPr>
            <w:tcW w:w="546" w:type="pct"/>
            <w:tcBorders>
              <w:top w:val="single" w:sz="8" w:space="0" w:color="9E9E9E"/>
              <w:left w:val="nil"/>
              <w:right w:val="nil"/>
            </w:tcBorders>
            <w:shd w:val="clear" w:color="auto" w:fill="F2F2F2" w:themeFill="background1" w:themeFillShade="F2"/>
            <w:hideMark/>
          </w:tcPr>
          <w:p w14:paraId="568128A5" w14:textId="77777777" w:rsidR="00911F85" w:rsidRPr="00D108A0" w:rsidRDefault="00911F85" w:rsidP="008742A1">
            <w:pPr>
              <w:pStyle w:val="Tabletext1"/>
            </w:pPr>
          </w:p>
        </w:tc>
        <w:tc>
          <w:tcPr>
            <w:tcW w:w="546" w:type="pct"/>
            <w:tcBorders>
              <w:top w:val="single" w:sz="8" w:space="0" w:color="9E9E9E"/>
              <w:left w:val="nil"/>
              <w:right w:val="nil"/>
            </w:tcBorders>
            <w:shd w:val="clear" w:color="auto" w:fill="F2F2F2" w:themeFill="background1" w:themeFillShade="F2"/>
            <w:hideMark/>
          </w:tcPr>
          <w:p w14:paraId="3401285F" w14:textId="77777777" w:rsidR="00911F85" w:rsidRPr="00D108A0" w:rsidRDefault="00911F85" w:rsidP="008742A1">
            <w:pPr>
              <w:pStyle w:val="Tabletext1"/>
            </w:pPr>
          </w:p>
        </w:tc>
        <w:tc>
          <w:tcPr>
            <w:tcW w:w="546" w:type="pct"/>
            <w:tcBorders>
              <w:top w:val="single" w:sz="8" w:space="0" w:color="9E9E9E"/>
              <w:left w:val="nil"/>
              <w:right w:val="nil"/>
            </w:tcBorders>
            <w:shd w:val="clear" w:color="auto" w:fill="F2F2F2" w:themeFill="background1" w:themeFillShade="F2"/>
            <w:hideMark/>
          </w:tcPr>
          <w:p w14:paraId="2B76839A" w14:textId="77777777" w:rsidR="00911F85" w:rsidRPr="00D108A0" w:rsidRDefault="00911F85" w:rsidP="008742A1">
            <w:pPr>
              <w:pStyle w:val="Tabletext1"/>
            </w:pPr>
          </w:p>
        </w:tc>
        <w:tc>
          <w:tcPr>
            <w:tcW w:w="544" w:type="pct"/>
            <w:tcBorders>
              <w:top w:val="single" w:sz="8" w:space="0" w:color="9E9E9E"/>
              <w:left w:val="nil"/>
              <w:right w:val="single" w:sz="8" w:space="0" w:color="9E9E9E"/>
            </w:tcBorders>
            <w:shd w:val="clear" w:color="auto" w:fill="F2F2F2" w:themeFill="background1" w:themeFillShade="F2"/>
            <w:hideMark/>
          </w:tcPr>
          <w:p w14:paraId="7CA38288" w14:textId="77777777" w:rsidR="00911F85" w:rsidRPr="00D108A0" w:rsidRDefault="00911F85" w:rsidP="008742A1">
            <w:pPr>
              <w:pStyle w:val="Tabletext1"/>
            </w:pPr>
          </w:p>
        </w:tc>
      </w:tr>
      <w:tr w:rsidR="00911F85" w:rsidRPr="00D108A0" w14:paraId="10DBE9BE" w14:textId="77777777" w:rsidTr="008742A1">
        <w:trPr>
          <w:cantSplit/>
          <w:trHeight w:val="315"/>
        </w:trPr>
        <w:tc>
          <w:tcPr>
            <w:tcW w:w="1728" w:type="pct"/>
            <w:tcBorders>
              <w:left w:val="single" w:sz="8" w:space="0" w:color="9E9E9E"/>
              <w:right w:val="nil"/>
            </w:tcBorders>
            <w:shd w:val="clear" w:color="000000" w:fill="FFFFFF"/>
            <w:hideMark/>
          </w:tcPr>
          <w:p w14:paraId="7DF6CAF8" w14:textId="77777777" w:rsidR="00911F85" w:rsidRPr="00D108A0" w:rsidRDefault="00911F85" w:rsidP="008742A1">
            <w:pPr>
              <w:pStyle w:val="Tabletext1"/>
            </w:pPr>
            <w:r w:rsidRPr="00D108A0">
              <w:t>(1) No infection</w:t>
            </w:r>
          </w:p>
        </w:tc>
        <w:tc>
          <w:tcPr>
            <w:tcW w:w="545" w:type="pct"/>
            <w:tcBorders>
              <w:left w:val="nil"/>
              <w:right w:val="nil"/>
            </w:tcBorders>
            <w:shd w:val="clear" w:color="000000" w:fill="FFFFFF"/>
            <w:hideMark/>
          </w:tcPr>
          <w:p w14:paraId="7FD57570" w14:textId="77777777" w:rsidR="00911F85" w:rsidRPr="00D108A0" w:rsidRDefault="00911F85" w:rsidP="008742A1">
            <w:pPr>
              <w:pStyle w:val="Tabletext1"/>
              <w:jc w:val="center"/>
            </w:pPr>
            <w:r w:rsidRPr="00E41D5F">
              <w:t>0.956</w:t>
            </w:r>
          </w:p>
        </w:tc>
        <w:tc>
          <w:tcPr>
            <w:tcW w:w="546" w:type="pct"/>
            <w:tcBorders>
              <w:left w:val="nil"/>
              <w:right w:val="nil"/>
            </w:tcBorders>
            <w:shd w:val="clear" w:color="000000" w:fill="FFFFFF"/>
            <w:hideMark/>
          </w:tcPr>
          <w:p w14:paraId="3B0758E0" w14:textId="77777777" w:rsidR="00911F85" w:rsidRPr="00D108A0" w:rsidRDefault="00911F85" w:rsidP="008742A1">
            <w:pPr>
              <w:pStyle w:val="Tabletext1"/>
              <w:jc w:val="center"/>
            </w:pPr>
            <w:r w:rsidRPr="00E41D5F">
              <w:t>0.044</w:t>
            </w:r>
          </w:p>
        </w:tc>
        <w:tc>
          <w:tcPr>
            <w:tcW w:w="546" w:type="pct"/>
            <w:tcBorders>
              <w:left w:val="nil"/>
              <w:right w:val="nil"/>
            </w:tcBorders>
            <w:shd w:val="clear" w:color="000000" w:fill="FFFFFF"/>
            <w:hideMark/>
          </w:tcPr>
          <w:p w14:paraId="23E967B6" w14:textId="77777777" w:rsidR="00911F85" w:rsidRPr="00D108A0" w:rsidRDefault="00911F85" w:rsidP="008742A1">
            <w:pPr>
              <w:pStyle w:val="Tabletext1"/>
              <w:jc w:val="center"/>
            </w:pPr>
          </w:p>
        </w:tc>
        <w:tc>
          <w:tcPr>
            <w:tcW w:w="546" w:type="pct"/>
            <w:tcBorders>
              <w:left w:val="nil"/>
              <w:right w:val="nil"/>
            </w:tcBorders>
            <w:shd w:val="clear" w:color="000000" w:fill="FFFFFF"/>
            <w:hideMark/>
          </w:tcPr>
          <w:p w14:paraId="4C3C7EE4" w14:textId="77777777" w:rsidR="00911F85" w:rsidRPr="00D108A0" w:rsidRDefault="00911F85" w:rsidP="008742A1">
            <w:pPr>
              <w:pStyle w:val="Tabletext1"/>
              <w:jc w:val="center"/>
            </w:pPr>
          </w:p>
        </w:tc>
        <w:tc>
          <w:tcPr>
            <w:tcW w:w="546" w:type="pct"/>
            <w:tcBorders>
              <w:left w:val="nil"/>
              <w:right w:val="nil"/>
            </w:tcBorders>
            <w:shd w:val="clear" w:color="000000" w:fill="FFFFFF"/>
            <w:hideMark/>
          </w:tcPr>
          <w:p w14:paraId="47DCDF7F" w14:textId="77777777" w:rsidR="00911F85" w:rsidRPr="00D108A0" w:rsidRDefault="00911F85" w:rsidP="008742A1">
            <w:pPr>
              <w:pStyle w:val="Tabletext1"/>
              <w:jc w:val="center"/>
            </w:pPr>
          </w:p>
        </w:tc>
        <w:tc>
          <w:tcPr>
            <w:tcW w:w="544" w:type="pct"/>
            <w:tcBorders>
              <w:left w:val="nil"/>
              <w:right w:val="single" w:sz="8" w:space="0" w:color="9E9E9E"/>
            </w:tcBorders>
            <w:shd w:val="clear" w:color="000000" w:fill="FFFFFF"/>
            <w:hideMark/>
          </w:tcPr>
          <w:p w14:paraId="7F76EFD6" w14:textId="77777777" w:rsidR="00911F85" w:rsidRPr="00D108A0" w:rsidRDefault="00911F85" w:rsidP="008742A1">
            <w:pPr>
              <w:pStyle w:val="Tabletext1"/>
              <w:jc w:val="center"/>
            </w:pPr>
            <w:r w:rsidRPr="00E41D5F">
              <w:t>0.00034</w:t>
            </w:r>
          </w:p>
        </w:tc>
      </w:tr>
      <w:tr w:rsidR="00911F85" w:rsidRPr="00D108A0" w14:paraId="59ED109A" w14:textId="77777777" w:rsidTr="008742A1">
        <w:trPr>
          <w:cantSplit/>
          <w:trHeight w:val="315"/>
        </w:trPr>
        <w:tc>
          <w:tcPr>
            <w:tcW w:w="1728" w:type="pct"/>
            <w:tcBorders>
              <w:left w:val="single" w:sz="8" w:space="0" w:color="9E9E9E"/>
              <w:right w:val="nil"/>
            </w:tcBorders>
            <w:shd w:val="clear" w:color="000000" w:fill="FFFFFF"/>
            <w:hideMark/>
          </w:tcPr>
          <w:p w14:paraId="5FA2E162" w14:textId="77777777" w:rsidR="00911F85" w:rsidRPr="00D108A0" w:rsidRDefault="00911F85" w:rsidP="008742A1">
            <w:pPr>
              <w:pStyle w:val="Tabletext1"/>
            </w:pPr>
            <w:r w:rsidRPr="00D108A0">
              <w:t>(2) Infection</w:t>
            </w:r>
          </w:p>
        </w:tc>
        <w:tc>
          <w:tcPr>
            <w:tcW w:w="545" w:type="pct"/>
            <w:tcBorders>
              <w:left w:val="nil"/>
              <w:right w:val="nil"/>
            </w:tcBorders>
            <w:shd w:val="clear" w:color="000000" w:fill="FFFFFF"/>
            <w:hideMark/>
          </w:tcPr>
          <w:p w14:paraId="06AD51C2" w14:textId="77777777" w:rsidR="00911F85" w:rsidRPr="00D108A0" w:rsidRDefault="00911F85" w:rsidP="008742A1">
            <w:pPr>
              <w:pStyle w:val="Tabletext1"/>
              <w:jc w:val="center"/>
            </w:pPr>
            <w:r w:rsidRPr="00E41D5F">
              <w:t>0.463</w:t>
            </w:r>
          </w:p>
        </w:tc>
        <w:tc>
          <w:tcPr>
            <w:tcW w:w="546" w:type="pct"/>
            <w:tcBorders>
              <w:left w:val="nil"/>
              <w:right w:val="nil"/>
            </w:tcBorders>
            <w:shd w:val="clear" w:color="000000" w:fill="FFFFFF"/>
            <w:hideMark/>
          </w:tcPr>
          <w:p w14:paraId="42263B32" w14:textId="77777777" w:rsidR="00911F85" w:rsidRPr="00D108A0" w:rsidRDefault="00911F85" w:rsidP="008742A1">
            <w:pPr>
              <w:pStyle w:val="Tabletext1"/>
              <w:jc w:val="center"/>
            </w:pPr>
            <w:r w:rsidRPr="00E41D5F">
              <w:t>0.486</w:t>
            </w:r>
          </w:p>
        </w:tc>
        <w:tc>
          <w:tcPr>
            <w:tcW w:w="546" w:type="pct"/>
            <w:tcBorders>
              <w:left w:val="nil"/>
              <w:right w:val="nil"/>
            </w:tcBorders>
            <w:shd w:val="clear" w:color="000000" w:fill="FFFFFF"/>
            <w:hideMark/>
          </w:tcPr>
          <w:p w14:paraId="4FB9BE16" w14:textId="77777777" w:rsidR="00911F85" w:rsidRPr="00D108A0" w:rsidRDefault="00911F85" w:rsidP="008742A1">
            <w:pPr>
              <w:pStyle w:val="Tabletext1"/>
              <w:jc w:val="center"/>
            </w:pPr>
            <w:r w:rsidRPr="00E41D5F">
              <w:t>0.024</w:t>
            </w:r>
          </w:p>
        </w:tc>
        <w:tc>
          <w:tcPr>
            <w:tcW w:w="546" w:type="pct"/>
            <w:tcBorders>
              <w:left w:val="nil"/>
              <w:right w:val="nil"/>
            </w:tcBorders>
            <w:shd w:val="clear" w:color="000000" w:fill="FFFFFF"/>
            <w:hideMark/>
          </w:tcPr>
          <w:p w14:paraId="23BE326D" w14:textId="77777777" w:rsidR="00911F85" w:rsidRPr="00D108A0" w:rsidRDefault="00911F85" w:rsidP="008742A1">
            <w:pPr>
              <w:pStyle w:val="Tabletext1"/>
              <w:jc w:val="center"/>
            </w:pPr>
            <w:r w:rsidRPr="00E41D5F">
              <w:t>0.024</w:t>
            </w:r>
          </w:p>
        </w:tc>
        <w:tc>
          <w:tcPr>
            <w:tcW w:w="546" w:type="pct"/>
            <w:tcBorders>
              <w:left w:val="nil"/>
              <w:right w:val="nil"/>
            </w:tcBorders>
            <w:shd w:val="clear" w:color="000000" w:fill="FFFFFF"/>
            <w:hideMark/>
          </w:tcPr>
          <w:p w14:paraId="52A150AB" w14:textId="77777777" w:rsidR="00911F85" w:rsidRPr="00D108A0" w:rsidRDefault="00911F85" w:rsidP="008742A1">
            <w:pPr>
              <w:pStyle w:val="Tabletext1"/>
              <w:jc w:val="center"/>
            </w:pPr>
          </w:p>
        </w:tc>
        <w:tc>
          <w:tcPr>
            <w:tcW w:w="544" w:type="pct"/>
            <w:tcBorders>
              <w:left w:val="nil"/>
              <w:right w:val="single" w:sz="8" w:space="0" w:color="9E9E9E"/>
            </w:tcBorders>
            <w:shd w:val="clear" w:color="000000" w:fill="FFFFFF"/>
            <w:hideMark/>
          </w:tcPr>
          <w:p w14:paraId="11A09E7E" w14:textId="77777777" w:rsidR="00911F85" w:rsidRPr="00D108A0" w:rsidRDefault="00911F85" w:rsidP="008742A1">
            <w:pPr>
              <w:pStyle w:val="Tabletext1"/>
              <w:jc w:val="center"/>
            </w:pPr>
            <w:r w:rsidRPr="00E41D5F">
              <w:t>0.00142</w:t>
            </w:r>
          </w:p>
        </w:tc>
      </w:tr>
      <w:tr w:rsidR="00911F85" w:rsidRPr="00D108A0" w14:paraId="4023C246" w14:textId="77777777" w:rsidTr="008742A1">
        <w:trPr>
          <w:cantSplit/>
          <w:trHeight w:val="315"/>
        </w:trPr>
        <w:tc>
          <w:tcPr>
            <w:tcW w:w="1728" w:type="pct"/>
            <w:tcBorders>
              <w:left w:val="single" w:sz="8" w:space="0" w:color="9E9E9E"/>
              <w:right w:val="nil"/>
            </w:tcBorders>
            <w:shd w:val="clear" w:color="000000" w:fill="FFFFFF"/>
            <w:hideMark/>
          </w:tcPr>
          <w:p w14:paraId="76A2D310" w14:textId="77777777" w:rsidR="00911F85" w:rsidRPr="00D108A0" w:rsidRDefault="00911F85" w:rsidP="008742A1">
            <w:pPr>
              <w:pStyle w:val="Tabletext1"/>
            </w:pPr>
            <w:r w:rsidRPr="00D108A0">
              <w:t>(3) Bronchiectasis with no infection</w:t>
            </w:r>
          </w:p>
        </w:tc>
        <w:tc>
          <w:tcPr>
            <w:tcW w:w="545" w:type="pct"/>
            <w:tcBorders>
              <w:left w:val="nil"/>
              <w:right w:val="nil"/>
            </w:tcBorders>
            <w:shd w:val="clear" w:color="000000" w:fill="FFFFFF"/>
            <w:hideMark/>
          </w:tcPr>
          <w:p w14:paraId="5F87F4F6" w14:textId="77777777" w:rsidR="00911F85" w:rsidRPr="00D108A0" w:rsidRDefault="00911F85" w:rsidP="008742A1">
            <w:pPr>
              <w:pStyle w:val="Tabletext1"/>
              <w:jc w:val="center"/>
            </w:pPr>
          </w:p>
        </w:tc>
        <w:tc>
          <w:tcPr>
            <w:tcW w:w="546" w:type="pct"/>
            <w:tcBorders>
              <w:left w:val="nil"/>
              <w:right w:val="nil"/>
            </w:tcBorders>
            <w:shd w:val="clear" w:color="000000" w:fill="FFFFFF"/>
            <w:hideMark/>
          </w:tcPr>
          <w:p w14:paraId="7DCD6DC9" w14:textId="77777777" w:rsidR="00911F85" w:rsidRPr="00D108A0" w:rsidRDefault="00911F85" w:rsidP="008742A1">
            <w:pPr>
              <w:pStyle w:val="Tabletext1"/>
              <w:jc w:val="center"/>
            </w:pPr>
          </w:p>
        </w:tc>
        <w:tc>
          <w:tcPr>
            <w:tcW w:w="546" w:type="pct"/>
            <w:tcBorders>
              <w:left w:val="nil"/>
              <w:right w:val="nil"/>
            </w:tcBorders>
            <w:shd w:val="clear" w:color="000000" w:fill="FFFFFF"/>
            <w:hideMark/>
          </w:tcPr>
          <w:p w14:paraId="4CF9B1DA" w14:textId="77777777" w:rsidR="00911F85" w:rsidRPr="00D108A0" w:rsidRDefault="00911F85" w:rsidP="008742A1">
            <w:pPr>
              <w:pStyle w:val="Tabletext1"/>
              <w:jc w:val="center"/>
            </w:pPr>
            <w:r w:rsidRPr="00E41D5F">
              <w:t>0.924</w:t>
            </w:r>
          </w:p>
        </w:tc>
        <w:tc>
          <w:tcPr>
            <w:tcW w:w="546" w:type="pct"/>
            <w:tcBorders>
              <w:left w:val="nil"/>
              <w:right w:val="nil"/>
            </w:tcBorders>
            <w:shd w:val="clear" w:color="000000" w:fill="FFFFFF"/>
            <w:hideMark/>
          </w:tcPr>
          <w:p w14:paraId="2228DF86" w14:textId="77777777" w:rsidR="00911F85" w:rsidRPr="00D108A0" w:rsidRDefault="00911F85" w:rsidP="008742A1">
            <w:pPr>
              <w:pStyle w:val="Tabletext1"/>
              <w:jc w:val="center"/>
            </w:pPr>
            <w:r w:rsidRPr="00E41D5F">
              <w:t>0.054</w:t>
            </w:r>
          </w:p>
        </w:tc>
        <w:tc>
          <w:tcPr>
            <w:tcW w:w="546" w:type="pct"/>
            <w:tcBorders>
              <w:left w:val="nil"/>
              <w:right w:val="nil"/>
            </w:tcBorders>
            <w:shd w:val="clear" w:color="000000" w:fill="FFFFFF"/>
            <w:hideMark/>
          </w:tcPr>
          <w:p w14:paraId="1513DDAA" w14:textId="77777777" w:rsidR="00911F85" w:rsidRPr="00D108A0" w:rsidRDefault="00911F85" w:rsidP="008742A1">
            <w:pPr>
              <w:pStyle w:val="Tabletext1"/>
              <w:jc w:val="center"/>
            </w:pPr>
            <w:r w:rsidRPr="00E41D5F">
              <w:t>0.019</w:t>
            </w:r>
          </w:p>
        </w:tc>
        <w:tc>
          <w:tcPr>
            <w:tcW w:w="544" w:type="pct"/>
            <w:tcBorders>
              <w:left w:val="nil"/>
              <w:right w:val="single" w:sz="8" w:space="0" w:color="9E9E9E"/>
            </w:tcBorders>
            <w:shd w:val="clear" w:color="000000" w:fill="FFFFFF"/>
            <w:hideMark/>
          </w:tcPr>
          <w:p w14:paraId="362B8F43" w14:textId="77777777" w:rsidR="00911F85" w:rsidRPr="00D108A0" w:rsidRDefault="00911F85" w:rsidP="008742A1">
            <w:pPr>
              <w:pStyle w:val="Tabletext1"/>
              <w:jc w:val="center"/>
            </w:pPr>
            <w:r w:rsidRPr="00E41D5F">
              <w:t>0.00311</w:t>
            </w:r>
          </w:p>
        </w:tc>
      </w:tr>
      <w:tr w:rsidR="00911F85" w:rsidRPr="00D108A0" w14:paraId="14547332" w14:textId="77777777" w:rsidTr="008742A1">
        <w:trPr>
          <w:cantSplit/>
          <w:trHeight w:val="315"/>
        </w:trPr>
        <w:tc>
          <w:tcPr>
            <w:tcW w:w="1728" w:type="pct"/>
            <w:tcBorders>
              <w:left w:val="single" w:sz="8" w:space="0" w:color="9E9E9E"/>
              <w:right w:val="nil"/>
            </w:tcBorders>
            <w:shd w:val="clear" w:color="000000" w:fill="FFFFFF"/>
            <w:hideMark/>
          </w:tcPr>
          <w:p w14:paraId="36E0D577" w14:textId="77777777" w:rsidR="00911F85" w:rsidRPr="00D108A0" w:rsidRDefault="00911F85" w:rsidP="008742A1">
            <w:pPr>
              <w:pStyle w:val="Tabletext1"/>
            </w:pPr>
            <w:r w:rsidRPr="00D108A0">
              <w:t>(4) Bronchiectasis with infection</w:t>
            </w:r>
          </w:p>
        </w:tc>
        <w:tc>
          <w:tcPr>
            <w:tcW w:w="545" w:type="pct"/>
            <w:tcBorders>
              <w:left w:val="nil"/>
              <w:right w:val="nil"/>
            </w:tcBorders>
            <w:shd w:val="clear" w:color="000000" w:fill="FFFFFF"/>
            <w:hideMark/>
          </w:tcPr>
          <w:p w14:paraId="6A6A0E7E" w14:textId="77777777" w:rsidR="00911F85" w:rsidRPr="00D108A0" w:rsidRDefault="00911F85" w:rsidP="008742A1">
            <w:pPr>
              <w:pStyle w:val="Tabletext1"/>
              <w:jc w:val="center"/>
            </w:pPr>
          </w:p>
        </w:tc>
        <w:tc>
          <w:tcPr>
            <w:tcW w:w="546" w:type="pct"/>
            <w:tcBorders>
              <w:left w:val="nil"/>
              <w:right w:val="nil"/>
            </w:tcBorders>
            <w:shd w:val="clear" w:color="000000" w:fill="FFFFFF"/>
            <w:hideMark/>
          </w:tcPr>
          <w:p w14:paraId="01BAF6EE" w14:textId="77777777" w:rsidR="00911F85" w:rsidRPr="00D108A0" w:rsidRDefault="00911F85" w:rsidP="008742A1">
            <w:pPr>
              <w:pStyle w:val="Tabletext1"/>
              <w:jc w:val="center"/>
            </w:pPr>
          </w:p>
        </w:tc>
        <w:tc>
          <w:tcPr>
            <w:tcW w:w="546" w:type="pct"/>
            <w:tcBorders>
              <w:left w:val="nil"/>
              <w:right w:val="nil"/>
            </w:tcBorders>
            <w:shd w:val="clear" w:color="000000" w:fill="FFFFFF"/>
            <w:hideMark/>
          </w:tcPr>
          <w:p w14:paraId="7C9FC54D" w14:textId="77777777" w:rsidR="00911F85" w:rsidRPr="00D108A0" w:rsidRDefault="00911F85" w:rsidP="008742A1">
            <w:pPr>
              <w:pStyle w:val="Tabletext1"/>
              <w:jc w:val="center"/>
            </w:pPr>
            <w:r w:rsidRPr="00E41D5F">
              <w:t>0.433</w:t>
            </w:r>
          </w:p>
        </w:tc>
        <w:tc>
          <w:tcPr>
            <w:tcW w:w="546" w:type="pct"/>
            <w:tcBorders>
              <w:left w:val="nil"/>
              <w:right w:val="nil"/>
            </w:tcBorders>
            <w:shd w:val="clear" w:color="000000" w:fill="FFFFFF"/>
            <w:hideMark/>
          </w:tcPr>
          <w:p w14:paraId="186107B3" w14:textId="77777777" w:rsidR="00911F85" w:rsidRPr="00D108A0" w:rsidRDefault="00911F85" w:rsidP="008742A1">
            <w:pPr>
              <w:pStyle w:val="Tabletext1"/>
              <w:jc w:val="center"/>
            </w:pPr>
            <w:r w:rsidRPr="00E41D5F">
              <w:t>0.5</w:t>
            </w:r>
          </w:p>
        </w:tc>
        <w:tc>
          <w:tcPr>
            <w:tcW w:w="546" w:type="pct"/>
            <w:tcBorders>
              <w:left w:val="nil"/>
              <w:right w:val="nil"/>
            </w:tcBorders>
            <w:shd w:val="clear" w:color="000000" w:fill="FFFFFF"/>
            <w:hideMark/>
          </w:tcPr>
          <w:p w14:paraId="5D7117A5" w14:textId="77777777" w:rsidR="00911F85" w:rsidRPr="00D108A0" w:rsidRDefault="00911F85" w:rsidP="008742A1">
            <w:pPr>
              <w:pStyle w:val="Tabletext1"/>
              <w:jc w:val="center"/>
            </w:pPr>
            <w:r w:rsidRPr="00E41D5F">
              <w:t>0.064</w:t>
            </w:r>
          </w:p>
        </w:tc>
        <w:tc>
          <w:tcPr>
            <w:tcW w:w="544" w:type="pct"/>
            <w:tcBorders>
              <w:left w:val="nil"/>
              <w:right w:val="single" w:sz="8" w:space="0" w:color="9E9E9E"/>
            </w:tcBorders>
            <w:shd w:val="clear" w:color="000000" w:fill="FFFFFF"/>
            <w:hideMark/>
          </w:tcPr>
          <w:p w14:paraId="56A508EE" w14:textId="77777777" w:rsidR="00911F85" w:rsidRPr="00D108A0" w:rsidRDefault="00911F85" w:rsidP="008742A1">
            <w:pPr>
              <w:pStyle w:val="Tabletext1"/>
              <w:jc w:val="center"/>
            </w:pPr>
            <w:r w:rsidRPr="00E41D5F">
              <w:t>0.00311</w:t>
            </w:r>
          </w:p>
        </w:tc>
      </w:tr>
      <w:tr w:rsidR="00911F85" w:rsidRPr="00D108A0" w14:paraId="0A384209" w14:textId="77777777" w:rsidTr="008742A1">
        <w:trPr>
          <w:cantSplit/>
          <w:trHeight w:val="315"/>
        </w:trPr>
        <w:tc>
          <w:tcPr>
            <w:tcW w:w="1728" w:type="pct"/>
            <w:tcBorders>
              <w:left w:val="single" w:sz="8" w:space="0" w:color="9E9E9E"/>
              <w:bottom w:val="single" w:sz="8" w:space="0" w:color="9E9E9E"/>
              <w:right w:val="nil"/>
            </w:tcBorders>
            <w:shd w:val="clear" w:color="000000" w:fill="FFFFFF"/>
            <w:hideMark/>
          </w:tcPr>
          <w:p w14:paraId="06D40BC0" w14:textId="77777777" w:rsidR="00911F85" w:rsidRPr="00D108A0" w:rsidRDefault="00911F85" w:rsidP="008742A1">
            <w:pPr>
              <w:pStyle w:val="Tabletext1"/>
            </w:pPr>
            <w:r w:rsidRPr="00D108A0">
              <w:t>(5) </w:t>
            </w:r>
            <w:r w:rsidRPr="00CD51E6">
              <w:rPr>
                <w:i/>
              </w:rPr>
              <w:t>Pseudomonas aeruginosa</w:t>
            </w:r>
            <w:r w:rsidRPr="00D108A0">
              <w:t> infection</w:t>
            </w:r>
          </w:p>
        </w:tc>
        <w:tc>
          <w:tcPr>
            <w:tcW w:w="545" w:type="pct"/>
            <w:tcBorders>
              <w:left w:val="nil"/>
              <w:bottom w:val="single" w:sz="8" w:space="0" w:color="9E9E9E"/>
              <w:right w:val="nil"/>
            </w:tcBorders>
            <w:shd w:val="clear" w:color="000000" w:fill="FFFFFF"/>
            <w:hideMark/>
          </w:tcPr>
          <w:p w14:paraId="0FD37C46" w14:textId="77777777" w:rsidR="00911F85" w:rsidRPr="00D108A0" w:rsidRDefault="00911F85" w:rsidP="008742A1">
            <w:pPr>
              <w:pStyle w:val="Tabletext1"/>
              <w:jc w:val="center"/>
            </w:pPr>
          </w:p>
        </w:tc>
        <w:tc>
          <w:tcPr>
            <w:tcW w:w="546" w:type="pct"/>
            <w:tcBorders>
              <w:left w:val="nil"/>
              <w:bottom w:val="single" w:sz="8" w:space="0" w:color="9E9E9E"/>
              <w:right w:val="nil"/>
            </w:tcBorders>
            <w:shd w:val="clear" w:color="000000" w:fill="FFFFFF"/>
            <w:hideMark/>
          </w:tcPr>
          <w:p w14:paraId="3F5353C2" w14:textId="77777777" w:rsidR="00911F85" w:rsidRPr="00D108A0" w:rsidRDefault="00911F85" w:rsidP="008742A1">
            <w:pPr>
              <w:pStyle w:val="Tabletext1"/>
              <w:jc w:val="center"/>
            </w:pPr>
          </w:p>
        </w:tc>
        <w:tc>
          <w:tcPr>
            <w:tcW w:w="546" w:type="pct"/>
            <w:tcBorders>
              <w:left w:val="nil"/>
              <w:bottom w:val="single" w:sz="8" w:space="0" w:color="9E9E9E"/>
              <w:right w:val="nil"/>
            </w:tcBorders>
            <w:shd w:val="clear" w:color="000000" w:fill="FFFFFF"/>
            <w:hideMark/>
          </w:tcPr>
          <w:p w14:paraId="7AC11A81" w14:textId="77777777" w:rsidR="00911F85" w:rsidRPr="00D108A0" w:rsidRDefault="00911F85" w:rsidP="008742A1">
            <w:pPr>
              <w:pStyle w:val="Tabletext1"/>
              <w:jc w:val="center"/>
            </w:pPr>
            <w:r w:rsidRPr="00E41D5F">
              <w:t>0.182</w:t>
            </w:r>
          </w:p>
        </w:tc>
        <w:tc>
          <w:tcPr>
            <w:tcW w:w="546" w:type="pct"/>
            <w:tcBorders>
              <w:left w:val="nil"/>
              <w:bottom w:val="single" w:sz="8" w:space="0" w:color="9E9E9E"/>
              <w:right w:val="nil"/>
            </w:tcBorders>
            <w:shd w:val="clear" w:color="000000" w:fill="FFFFFF"/>
            <w:hideMark/>
          </w:tcPr>
          <w:p w14:paraId="5D22CFAE" w14:textId="77777777" w:rsidR="00911F85" w:rsidRPr="00D108A0" w:rsidRDefault="00911F85" w:rsidP="008742A1">
            <w:pPr>
              <w:pStyle w:val="Tabletext1"/>
              <w:jc w:val="center"/>
            </w:pPr>
            <w:r w:rsidRPr="00E41D5F">
              <w:t>0.091</w:t>
            </w:r>
          </w:p>
        </w:tc>
        <w:tc>
          <w:tcPr>
            <w:tcW w:w="546" w:type="pct"/>
            <w:tcBorders>
              <w:left w:val="nil"/>
              <w:bottom w:val="single" w:sz="8" w:space="0" w:color="9E9E9E"/>
              <w:right w:val="nil"/>
            </w:tcBorders>
            <w:shd w:val="clear" w:color="000000" w:fill="FFFFFF"/>
            <w:hideMark/>
          </w:tcPr>
          <w:p w14:paraId="1B863A21" w14:textId="77777777" w:rsidR="00911F85" w:rsidRPr="00D108A0" w:rsidRDefault="00911F85" w:rsidP="008742A1">
            <w:pPr>
              <w:pStyle w:val="Tabletext1"/>
              <w:jc w:val="center"/>
            </w:pPr>
            <w:r w:rsidRPr="00E41D5F">
              <w:t>0.718</w:t>
            </w:r>
          </w:p>
        </w:tc>
        <w:tc>
          <w:tcPr>
            <w:tcW w:w="544" w:type="pct"/>
            <w:tcBorders>
              <w:left w:val="nil"/>
              <w:bottom w:val="single" w:sz="8" w:space="0" w:color="9E9E9E"/>
              <w:right w:val="single" w:sz="8" w:space="0" w:color="9E9E9E"/>
            </w:tcBorders>
            <w:shd w:val="clear" w:color="000000" w:fill="FFFFFF"/>
            <w:hideMark/>
          </w:tcPr>
          <w:p w14:paraId="0770B765" w14:textId="77777777" w:rsidR="00911F85" w:rsidRPr="00D108A0" w:rsidRDefault="00911F85" w:rsidP="008742A1">
            <w:pPr>
              <w:pStyle w:val="Tabletext1"/>
              <w:jc w:val="center"/>
            </w:pPr>
            <w:r w:rsidRPr="00E41D5F">
              <w:t>0.00916</w:t>
            </w:r>
          </w:p>
        </w:tc>
      </w:tr>
    </w:tbl>
    <w:p w14:paraId="2B4A0A6B" w14:textId="77777777" w:rsidR="00911F85" w:rsidRPr="00D108A0" w:rsidRDefault="00911F85" w:rsidP="00911F85">
      <w:pPr>
        <w:pStyle w:val="Tablenotes1"/>
      </w:pPr>
      <w:r>
        <w:t xml:space="preserve">1 </w:t>
      </w:r>
      <w:r w:rsidRPr="00D108A0">
        <w:t xml:space="preserve">= </w:t>
      </w:r>
      <w:r>
        <w:t>N</w:t>
      </w:r>
      <w:r w:rsidRPr="00D108A0">
        <w:t xml:space="preserve">o infection; 2 = </w:t>
      </w:r>
      <w:r>
        <w:t>I</w:t>
      </w:r>
      <w:r w:rsidRPr="00D108A0">
        <w:t xml:space="preserve">nfection; 3 = </w:t>
      </w:r>
      <w:r>
        <w:t>B</w:t>
      </w:r>
      <w:r w:rsidRPr="00D108A0">
        <w:t xml:space="preserve">ronchiectasis </w:t>
      </w:r>
      <w:r>
        <w:t xml:space="preserve">with </w:t>
      </w:r>
      <w:r w:rsidRPr="00D108A0">
        <w:t xml:space="preserve">no infection; 4 = </w:t>
      </w:r>
      <w:r>
        <w:t>B</w:t>
      </w:r>
      <w:r w:rsidRPr="00D108A0">
        <w:t xml:space="preserve">ronchiectasis with infection; 5 = Bronchiectasis with chronic </w:t>
      </w:r>
      <w:r w:rsidRPr="00D108A0">
        <w:rPr>
          <w:i/>
        </w:rPr>
        <w:t>Pseudomonas aeruginosa</w:t>
      </w:r>
      <w:r>
        <w:t xml:space="preserve"> infection; 6 = dead</w:t>
      </w:r>
      <w:r w:rsidRPr="00D108A0">
        <w:t>.</w:t>
      </w:r>
    </w:p>
    <w:p w14:paraId="527E78B9" w14:textId="77777777" w:rsidR="00911F85" w:rsidRDefault="00911F85" w:rsidP="00911F85">
      <w:pPr>
        <w:pStyle w:val="Tablenotes1"/>
      </w:pPr>
      <w:r>
        <w:t>IVIg = intravenous immunoglobulin; SCIg = subcutaneous Ig.</w:t>
      </w:r>
    </w:p>
    <w:p w14:paraId="58EA207B" w14:textId="0AE1186A" w:rsidR="00911F85" w:rsidRPr="00D108A0" w:rsidRDefault="00911F85" w:rsidP="00911F85">
      <w:pPr>
        <w:pStyle w:val="Tablenotes1"/>
      </w:pPr>
      <w:r w:rsidRPr="00D108A0">
        <w:t xml:space="preserve">Source: Table A1,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p>
    <w:p w14:paraId="28ECEF45" w14:textId="77777777" w:rsidR="00911F85" w:rsidRDefault="00911F85" w:rsidP="00911F85"/>
    <w:p w14:paraId="24A3E2B7" w14:textId="77777777" w:rsidR="00911F85" w:rsidRPr="00013791" w:rsidRDefault="00911F85" w:rsidP="00911F85">
      <w:pPr>
        <w:pStyle w:val="Heading3"/>
      </w:pPr>
      <w:bookmarkStart w:id="454" w:name="_Toc395200800"/>
      <w:bookmarkStart w:id="455" w:name="_Toc9515613"/>
      <w:bookmarkStart w:id="456" w:name="_Toc14431163"/>
      <w:bookmarkStart w:id="457" w:name="_Toc16856336"/>
      <w:r>
        <w:t>Structure of the economic evaluation</w:t>
      </w:r>
      <w:bookmarkEnd w:id="454"/>
      <w:bookmarkEnd w:id="455"/>
      <w:bookmarkEnd w:id="456"/>
      <w:bookmarkEnd w:id="457"/>
    </w:p>
    <w:p w14:paraId="3E3D463F" w14:textId="12B642C6" w:rsidR="00911F85" w:rsidRDefault="00911F85" w:rsidP="00911F85">
      <w:r>
        <w:t xml:space="preserve">As the studies identified in the search of the economic literature could not answer the question of the cost-effectiveness of Ig relative to no Ig in the contemporary Australian setting, an economic evaluation is presented. As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 xml:space="preserve"> provides a model structure that captures the natural history of infections in acquired hypogammaglobulinaemia</w:t>
      </w:r>
      <w:r w:rsidR="00466DC2">
        <w:t xml:space="preserve"> (see Section C.3.</w:t>
      </w:r>
      <w:r w:rsidR="00607CF5">
        <w:t>2</w:t>
      </w:r>
      <w:r w:rsidR="00466DC2">
        <w:t>)</w:t>
      </w:r>
      <w:r>
        <w:t xml:space="preserve"> in an Australian population, a Markov model with a similar model structure will be used. The six health states modelled include: infection-free, infection, bronchiectasis, bronchiectasis with infection, bronchiectasis with chronic </w:t>
      </w:r>
      <w:r w:rsidRPr="007B699A">
        <w:rPr>
          <w:i/>
        </w:rPr>
        <w:t>P</w:t>
      </w:r>
      <w:r>
        <w:rPr>
          <w:i/>
        </w:rPr>
        <w:t>.</w:t>
      </w:r>
      <w:r w:rsidRPr="007B699A">
        <w:rPr>
          <w:i/>
        </w:rPr>
        <w:t xml:space="preserve"> aeruginosa</w:t>
      </w:r>
      <w:r>
        <w:t xml:space="preserve"> infection, and dead. </w:t>
      </w:r>
      <w:r w:rsidRPr="00013791">
        <w:t xml:space="preserve">The </w:t>
      </w:r>
      <w:r>
        <w:t xml:space="preserve">Markov model structure with allowable transitions between health states is depicted in </w:t>
      </w:r>
      <w:r w:rsidRPr="005B2ECA">
        <w:fldChar w:fldCharType="begin"/>
      </w:r>
      <w:r w:rsidRPr="005B2ECA">
        <w:instrText xml:space="preserve"> REF _Ref377977732 \h  \* MERGEFORMAT </w:instrText>
      </w:r>
      <w:r w:rsidRPr="005B2ECA">
        <w:fldChar w:fldCharType="separate"/>
      </w:r>
      <w:r w:rsidR="00A7463B" w:rsidRPr="005B2ECA">
        <w:t xml:space="preserve">Figure </w:t>
      </w:r>
      <w:r w:rsidR="00A7463B">
        <w:rPr>
          <w:noProof/>
        </w:rPr>
        <w:t>9</w:t>
      </w:r>
      <w:r w:rsidRPr="005B2ECA">
        <w:fldChar w:fldCharType="end"/>
      </w:r>
      <w:r>
        <w:t xml:space="preserve">. A sensitivity analysis is presented exploring the effect of reducing the number of health states in the model (such as excluding progression to bronchiectasis, which would reflect a similar approach as used in </w:t>
      </w:r>
      <w:r w:rsidRPr="00C127B0">
        <w:t>Weeks, Tierney &amp; Weinstein</w:t>
      </w:r>
      <w:r>
        <w:t xml:space="preserve"> 1991) (see Section D.6).</w:t>
      </w:r>
    </w:p>
    <w:p w14:paraId="4FBCA877" w14:textId="77777777" w:rsidR="00911F85" w:rsidRPr="00183E4D" w:rsidRDefault="00911F85" w:rsidP="00911F85">
      <w:pPr>
        <w:pStyle w:val="Caption"/>
        <w:keepNext/>
      </w:pPr>
      <w:bookmarkStart w:id="458" w:name="_Ref377977732"/>
      <w:bookmarkStart w:id="459" w:name="_Toc423450302"/>
      <w:bookmarkStart w:id="460" w:name="_Toc381969896"/>
      <w:bookmarkStart w:id="461" w:name="_Toc14348931"/>
      <w:bookmarkStart w:id="462" w:name="_Toc14429646"/>
      <w:bookmarkStart w:id="463" w:name="_Toc16671705"/>
      <w:r w:rsidRPr="005B2ECA">
        <w:lastRenderedPageBreak/>
        <w:t xml:space="preserve">Figure </w:t>
      </w:r>
      <w:r>
        <w:rPr>
          <w:noProof/>
        </w:rPr>
        <w:fldChar w:fldCharType="begin"/>
      </w:r>
      <w:r>
        <w:rPr>
          <w:noProof/>
        </w:rPr>
        <w:instrText xml:space="preserve"> SEQ Figure \* ARABIC </w:instrText>
      </w:r>
      <w:r>
        <w:rPr>
          <w:noProof/>
        </w:rPr>
        <w:fldChar w:fldCharType="separate"/>
      </w:r>
      <w:r w:rsidR="00A7463B">
        <w:rPr>
          <w:noProof/>
        </w:rPr>
        <w:t>9</w:t>
      </w:r>
      <w:r>
        <w:rPr>
          <w:noProof/>
        </w:rPr>
        <w:fldChar w:fldCharType="end"/>
      </w:r>
      <w:bookmarkEnd w:id="458"/>
      <w:r w:rsidRPr="00183E4D">
        <w:tab/>
      </w:r>
      <w:bookmarkEnd w:id="459"/>
      <w:r>
        <w:t>Markov model structure</w:t>
      </w:r>
      <w:bookmarkEnd w:id="460"/>
      <w:bookmarkEnd w:id="461"/>
      <w:bookmarkEnd w:id="462"/>
      <w:bookmarkEnd w:id="463"/>
    </w:p>
    <w:p w14:paraId="1397C54F" w14:textId="77777777" w:rsidR="00911F85" w:rsidRDefault="00911F85" w:rsidP="00911F85">
      <w:pPr>
        <w:spacing w:after="0"/>
        <w:rPr>
          <w:noProof/>
        </w:rPr>
      </w:pPr>
      <w:r>
        <w:rPr>
          <w:noProof/>
        </w:rPr>
        <w:drawing>
          <wp:inline distT="0" distB="0" distL="0" distR="0" wp14:anchorId="509E44EB" wp14:editId="62C6D2B2">
            <wp:extent cx="5715000" cy="3409496"/>
            <wp:effectExtent l="0" t="0" r="0" b="635"/>
            <wp:docPr id="3" name="Picture 3" descr="The Markov model is comprised of six health states: infection-free, infection, bronchiectasis, bronchiectasis with infection, bronchiectasis with chronic Pseudomonas infection and dead.&#10;&#10;In the infection-free health state, patients can remain infection-free, experience an infection or die. Patients who experience an infection can spend up to four cycles in the health state before transitioning back to the infection-free health state, unless patients develop bronchiectasis (with or without an infection) or die. &#10;&#10;Once patients develop bronchiectasis they cannot transition back to the infection-free health state. Patients in this health state are at risk of developing infections, chronic Pseudomonas infections or death. &#10;&#10;Those who develop infections can have that infection resolve, develop chronic Pseudomonas infections or die. Chronic Pseudomonas infections can resolve and transitions are allowed to the bronchiectasis health state with or without infection. Patients in this health state are also at risk of death.&#10;" title="Markov mode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26865" cy="3416574"/>
                    </a:xfrm>
                    <a:prstGeom prst="rect">
                      <a:avLst/>
                    </a:prstGeom>
                    <a:noFill/>
                  </pic:spPr>
                </pic:pic>
              </a:graphicData>
            </a:graphic>
          </wp:inline>
        </w:drawing>
      </w:r>
    </w:p>
    <w:p w14:paraId="407926A4" w14:textId="77777777" w:rsidR="00911F85" w:rsidRDefault="00911F85" w:rsidP="00911F85">
      <w:pPr>
        <w:pStyle w:val="Tablenotes1"/>
        <w:rPr>
          <w:noProof/>
        </w:rPr>
      </w:pPr>
    </w:p>
    <w:p w14:paraId="02CC2B3D" w14:textId="77777777" w:rsidR="00911F85" w:rsidRDefault="00911F85" w:rsidP="00911F85">
      <w:r>
        <w:t xml:space="preserve">Patients with acquired hypogammaglobulinaemia with a history of infections enter the model in the infection-free health state. The model compares scenarios where Ig is available, to that where it is not available. As described in Section C.2.2 and Section D.2, in the model arm where Ig is not available, no prophylactic antibiotic use is assumed. The risk of developing an infection varies depending on whether Ig is available and as such has been informed by the clinical evidence presented in Section B (see also Section D.4). </w:t>
      </w:r>
    </w:p>
    <w:p w14:paraId="6DA3657A" w14:textId="295CA123" w:rsidR="00911F85" w:rsidRDefault="00911F85" w:rsidP="00911F85">
      <w:r>
        <w:t xml:space="preserve">While subsequent transitions were predominantly based on those reported in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 some were adjusted according to infection severity, and so varied by model arm (see Section D.4.1). As transitions in this study were reported for weekly cycles, a cycle length of one week has also been assumed up to the model time horizon of 10 years (also as per Windegger et al. 2019). The duration of the time horizon is tested in sensitivity analyses (see Section D.6).</w:t>
      </w:r>
    </w:p>
    <w:p w14:paraId="3078DA82" w14:textId="77777777" w:rsidR="00911F85" w:rsidRPr="00183E4D" w:rsidRDefault="00911F85" w:rsidP="00911F85"/>
    <w:p w14:paraId="276367E6" w14:textId="77777777" w:rsidR="00911F85" w:rsidRDefault="00911F85" w:rsidP="00331FB9">
      <w:pPr>
        <w:pStyle w:val="Heading2"/>
        <w:numPr>
          <w:ilvl w:val="3"/>
          <w:numId w:val="10"/>
        </w:numPr>
      </w:pPr>
      <w:bookmarkStart w:id="464" w:name="_Toc381796479"/>
      <w:bookmarkStart w:id="465" w:name="_Toc9515614"/>
      <w:bookmarkStart w:id="466" w:name="_Toc14431164"/>
      <w:bookmarkStart w:id="467" w:name="_Toc16856337"/>
      <w:r w:rsidRPr="00183E4D">
        <w:lastRenderedPageBreak/>
        <w:t>Inputs to the economic evaluation</w:t>
      </w:r>
      <w:bookmarkEnd w:id="464"/>
      <w:bookmarkEnd w:id="465"/>
      <w:bookmarkEnd w:id="466"/>
      <w:bookmarkEnd w:id="467"/>
    </w:p>
    <w:p w14:paraId="2B959EA6" w14:textId="77777777" w:rsidR="00911F85" w:rsidRDefault="00911F85" w:rsidP="00911F85">
      <w:pPr>
        <w:pStyle w:val="Heading3"/>
      </w:pPr>
      <w:bookmarkStart w:id="468" w:name="_Toc14431165"/>
      <w:bookmarkStart w:id="469" w:name="_Toc16856338"/>
      <w:r w:rsidRPr="00002FB0">
        <w:rPr>
          <w:sz w:val="22"/>
        </w:rPr>
        <w:t>D.4.1.</w:t>
      </w:r>
      <w:r>
        <w:tab/>
      </w:r>
      <w:r>
        <w:tab/>
        <w:t>Transition probabilities</w:t>
      </w:r>
      <w:bookmarkEnd w:id="468"/>
      <w:bookmarkEnd w:id="469"/>
    </w:p>
    <w:p w14:paraId="25F413B5" w14:textId="77777777" w:rsidR="00911F85" w:rsidRDefault="00911F85" w:rsidP="00911F85">
      <w:pPr>
        <w:pStyle w:val="Heading4"/>
      </w:pPr>
      <w:r>
        <w:t>Infection rates</w:t>
      </w:r>
    </w:p>
    <w:p w14:paraId="1FA4D295" w14:textId="77777777" w:rsidR="00911F85" w:rsidRDefault="00911F85" w:rsidP="00911F85">
      <w:pPr>
        <w:pStyle w:val="Heading5"/>
      </w:pPr>
      <w:r>
        <w:t>Baseline infection rate (i.e. rate with no Ig)</w:t>
      </w:r>
    </w:p>
    <w:p w14:paraId="112F7114" w14:textId="645350F2" w:rsidR="00911F85" w:rsidRDefault="00911F85" w:rsidP="00911F85">
      <w:r>
        <w:t xml:space="preserve">As described in Section C.2.1, infection rates in the absence of Ig modelled will be based on that reported in </w:t>
      </w:r>
      <w:r w:rsidRPr="00F55739">
        <w:t>Paxton, Hawkins &amp; Crispin</w:t>
      </w:r>
      <w:r>
        <w:t xml:space="preserve"> </w:t>
      </w:r>
      <w:r>
        <w:fldChar w:fldCharType="begin">
          <w:fldData xml:space="preserve">PEVuZE5vdGU+PENpdGUgRXhjbHVkZUF1dGg9IjEiPjxBdXRob3I+UGF4dG9uPC9BdXRob3I+PFll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</w:fldData>
        </w:fldChar>
      </w:r>
      <w:r>
        <w:instrText xml:space="preserve"> ADDIN EN.CITE </w:instrText>
      </w:r>
      <w:r>
        <w:fldChar w:fldCharType="begin">
          <w:fldData xml:space="preserve">PEVuZE5vdGU+PENpdGUgRXhjbHVkZUF1dGg9IjEiPjxBdXRob3I+UGF4dG9uPC9BdXRob3I+PFll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</w:fldData>
        </w:fldChar>
      </w:r>
      <w:r>
        <w:instrText xml:space="preserve"> ADDIN EN.CITE.DATA </w:instrText>
      </w:r>
      <w:r>
        <w:fldChar w:fldCharType="end"/>
      </w:r>
      <w:r>
        <w:fldChar w:fldCharType="separate"/>
      </w:r>
      <w:r>
        <w:rPr>
          <w:noProof/>
        </w:rPr>
        <w:t>(</w:t>
      </w:r>
      <w:hyperlink w:anchor="_ENREF_39" w:tooltip="Paxton, 2016 #66" w:history="1">
        <w:r w:rsidR="00BB0145">
          <w:rPr>
            <w:noProof/>
          </w:rPr>
          <w:t>2016</w:t>
        </w:r>
      </w:hyperlink>
      <w:r>
        <w:rPr>
          <w:noProof/>
        </w:rPr>
        <w:t>)</w:t>
      </w:r>
      <w:r>
        <w:fldChar w:fldCharType="end"/>
      </w:r>
      <w:r>
        <w:t>. This study reported that prior to initiation of Ig therapy, patients experienced 0.43 serious infections per year. However this study did not report the number of non-serious infections experienced. As Ig has been shown to reduce both serious and non-serious infections (see Section B.6), an estimate of the rate of non-serious infections is required.</w:t>
      </w:r>
    </w:p>
    <w:p w14:paraId="6411C2A9" w14:textId="66E5DB29" w:rsidR="00911F85" w:rsidRDefault="00911F85" w:rsidP="00911F85">
      <w:r>
        <w:t xml:space="preserve">All of the randomised studies except Chapel et al. </w:t>
      </w:r>
      <w:r>
        <w:fldChar w:fldCharType="begin">
          <w:fldData xml:space="preserve">PEVuZE5vdGU+PENpdGUgRXhjbHVkZUF1dGg9IjEiPjxBdXRob3I+Q2hhcGVsPC9BdXRob3I+PFll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==
</w:fldData>
        </w:fldChar>
      </w:r>
      <w:r w:rsidR="00896BE2">
        <w:instrText xml:space="preserve"> ADDIN EN.CITE </w:instrText>
      </w:r>
      <w:r w:rsidR="00896BE2">
        <w:fldChar w:fldCharType="begin">
          <w:fldData xml:space="preserve">PEVuZE5vdGU+PENpdGUgRXhjbHVkZUF1dGg9IjEiPjxBdXRob3I+Q2hhcGVsPC9BdXRob3I+PFll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==
</w:fldData>
        </w:fldChar>
      </w:r>
      <w:r w:rsidR="00896BE2">
        <w:instrText xml:space="preserve"> ADDIN EN.CITE.DATA </w:instrText>
      </w:r>
      <w:r w:rsidR="00896BE2">
        <w:fldChar w:fldCharType="end"/>
      </w:r>
      <w:r>
        <w:fldChar w:fldCharType="separate"/>
      </w:r>
      <w:r w:rsidR="00896BE2">
        <w:rPr>
          <w:noProof/>
        </w:rPr>
        <w:t>(</w:t>
      </w:r>
      <w:hyperlink w:anchor="_ENREF_13" w:tooltip="Chapel, 1994 #56" w:history="1">
        <w:r w:rsidR="00BB0145">
          <w:rPr>
            <w:noProof/>
          </w:rPr>
          <w:t>1994b</w:t>
        </w:r>
      </w:hyperlink>
      <w:r w:rsidR="00896BE2">
        <w:rPr>
          <w:noProof/>
        </w:rPr>
        <w:t>)</w:t>
      </w:r>
      <w:r>
        <w:fldChar w:fldCharType="end"/>
      </w:r>
      <w:r>
        <w:t xml:space="preserve"> reported the number of serious and non-serious infections. Only two of the non-randomised studies reported this information </w:t>
      </w:r>
      <w:r>
        <w:fldChar w:fldCharType="begin">
          <w:fldData xml:space="preserve">PEVuZE5vdGU+PENpdGU+PEF1dGhvcj5CcmVubmVyPC9BdXRob3I+PFllYXI+MTk5NjwvWWVhcj48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</w:fldData>
        </w:fldChar>
      </w:r>
      <w:r>
        <w:instrText xml:space="preserve"> ADDIN EN.CITE </w:instrText>
      </w:r>
      <w:r>
        <w:fldChar w:fldCharType="begin">
          <w:fldData xml:space="preserve">PEVuZE5vdGU+PENpdGU+PEF1dGhvcj5CcmVubmVyPC9BdXRob3I+PFllYXI+MTk5NjwvWWVhcj48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</w:fldData>
        </w:fldChar>
      </w:r>
      <w:r>
        <w:instrText xml:space="preserve"> ADDIN EN.CITE.DATA </w:instrText>
      </w:r>
      <w:r>
        <w:fldChar w:fldCharType="end"/>
      </w:r>
      <w:r>
        <w:fldChar w:fldCharType="separate"/>
      </w:r>
      <w:r>
        <w:rPr>
          <w:noProof/>
        </w:rPr>
        <w:t>(</w:t>
      </w:r>
      <w:hyperlink w:anchor="_ENREF_8" w:tooltip="Brenner, 1996 #15" w:history="1">
        <w:r w:rsidR="00BB0145">
          <w:rPr>
            <w:noProof/>
          </w:rPr>
          <w:t>Brenner 1996</w:t>
        </w:r>
      </w:hyperlink>
      <w:r>
        <w:rPr>
          <w:noProof/>
        </w:rPr>
        <w:t xml:space="preserve">; </w:t>
      </w:r>
      <w:hyperlink w:anchor="_ENREF_16" w:tooltip="Duraisingham, 2014 #20" w:history="1">
        <w:r w:rsidR="00BB0145">
          <w:rPr>
            <w:noProof/>
          </w:rPr>
          <w:t>Duraisingham et al. 2014</w:t>
        </w:r>
      </w:hyperlink>
      <w:r>
        <w:rPr>
          <w:noProof/>
        </w:rPr>
        <w:t>)</w:t>
      </w:r>
      <w:r>
        <w:fldChar w:fldCharType="end"/>
      </w:r>
      <w:r>
        <w:t>. In the study arm where no Ig was used (or before Ig was used in the non-randomised evidence), non-serious infections were observed to occur from half as often to up to six-times more likely (</w:t>
      </w:r>
      <w:r>
        <w:rPr>
          <w:highlight w:val="yellow"/>
        </w:rPr>
        <w:fldChar w:fldCharType="begin"/>
      </w:r>
      <w:r>
        <w:instrText xml:space="preserve"> REF _Ref12883665 \h </w:instrText>
      </w:r>
      <w:r>
        <w:rPr>
          <w:highlight w:val="yellow"/>
        </w:rPr>
      </w:r>
      <w:r>
        <w:rPr>
          <w:highlight w:val="yellow"/>
        </w:rPr>
        <w:fldChar w:fldCharType="separate"/>
      </w:r>
      <w:r w:rsidR="00A7463B">
        <w:t xml:space="preserve">Table </w:t>
      </w:r>
      <w:r w:rsidR="00A7463B">
        <w:rPr>
          <w:noProof/>
        </w:rPr>
        <w:t>38</w:t>
      </w:r>
      <w:r>
        <w:rPr>
          <w:highlight w:val="yellow"/>
        </w:rPr>
        <w:fldChar w:fldCharType="end"/>
      </w:r>
      <w:r>
        <w:t>). The weighted average was estimated to be 2.45. Thus in the base case analysis, the rate of non-serious infections is estimated to be 1.05</w:t>
      </w:r>
      <w:r>
        <w:rPr>
          <w:rStyle w:val="FootnoteReference"/>
        </w:rPr>
        <w:footnoteReference w:id="16"/>
      </w:r>
      <w:r>
        <w:t xml:space="preserve">. Sensitivity analyses are presented to explore the uncertainty associated with this assumption (see Section D.6). </w:t>
      </w:r>
    </w:p>
    <w:p w14:paraId="1865C8A8" w14:textId="784B5158" w:rsidR="00911F85" w:rsidRDefault="00911F85" w:rsidP="00911F85">
      <w:pPr>
        <w:pStyle w:val="Caption"/>
        <w:keepNext/>
      </w:pPr>
      <w:bookmarkStart w:id="470" w:name="_Ref12883665"/>
      <w:bookmarkStart w:id="471" w:name="_Toc14348873"/>
      <w:bookmarkStart w:id="472" w:name="_Toc14429579"/>
      <w:bookmarkStart w:id="473" w:name="_Toc16671636"/>
      <w:r>
        <w:t xml:space="preserve">Table </w:t>
      </w:r>
      <w:r>
        <w:rPr>
          <w:noProof/>
        </w:rPr>
        <w:fldChar w:fldCharType="begin"/>
      </w:r>
      <w:r>
        <w:rPr>
          <w:noProof/>
        </w:rPr>
        <w:instrText xml:space="preserve"> SEQ Table \* ARABIC </w:instrText>
      </w:r>
      <w:r>
        <w:rPr>
          <w:noProof/>
        </w:rPr>
        <w:fldChar w:fldCharType="separate"/>
      </w:r>
      <w:r w:rsidR="00A7463B">
        <w:rPr>
          <w:noProof/>
        </w:rPr>
        <w:t>38</w:t>
      </w:r>
      <w:r>
        <w:rPr>
          <w:noProof/>
        </w:rPr>
        <w:fldChar w:fldCharType="end"/>
      </w:r>
      <w:bookmarkEnd w:id="470"/>
      <w:r>
        <w:tab/>
        <w:t>Incidence of non-serious to serious infections</w:t>
      </w:r>
      <w:bookmarkEnd w:id="471"/>
      <w:bookmarkEnd w:id="472"/>
      <w:bookmarkEnd w:id="473"/>
    </w:p>
    <w:tbl>
      <w:tblPr>
        <w:tblStyle w:val="TableGrid"/>
        <w:tblW w:w="0" w:type="auto"/>
        <w:tblLook w:val="04A0" w:firstRow="1" w:lastRow="0" w:firstColumn="1" w:lastColumn="0" w:noHBand="0" w:noVBand="1"/>
        <w:tblCaption w:val="Incidence of non-serious to serious infections"/>
      </w:tblPr>
      <w:tblGrid>
        <w:gridCol w:w="3681"/>
        <w:gridCol w:w="2596"/>
        <w:gridCol w:w="2739"/>
      </w:tblGrid>
      <w:tr w:rsidR="00911F85" w:rsidRPr="00E30B9E" w14:paraId="23523142" w14:textId="77777777" w:rsidTr="008742A1">
        <w:trPr>
          <w:cantSplit/>
          <w:tblHeader/>
        </w:trPr>
        <w:tc>
          <w:tcPr>
            <w:tcW w:w="3681" w:type="dxa"/>
          </w:tcPr>
          <w:p w14:paraId="13CF80CB" w14:textId="77777777" w:rsidR="00911F85" w:rsidRPr="00E30B9E" w:rsidRDefault="00911F85" w:rsidP="008742A1">
            <w:pPr>
              <w:pStyle w:val="TableHeading"/>
            </w:pPr>
            <w:r w:rsidRPr="00E30B9E">
              <w:t>Study [N patients]</w:t>
            </w:r>
          </w:p>
        </w:tc>
        <w:tc>
          <w:tcPr>
            <w:tcW w:w="2596" w:type="dxa"/>
          </w:tcPr>
          <w:p w14:paraId="1A8CA239" w14:textId="77777777" w:rsidR="00911F85" w:rsidRPr="00E30B9E" w:rsidRDefault="00911F85" w:rsidP="008742A1">
            <w:pPr>
              <w:pStyle w:val="TableHeading"/>
              <w:jc w:val="center"/>
            </w:pPr>
            <w:r>
              <w:t>Number of i</w:t>
            </w:r>
            <w:r w:rsidRPr="00E30B9E">
              <w:t>nfections</w:t>
            </w:r>
          </w:p>
        </w:tc>
        <w:tc>
          <w:tcPr>
            <w:tcW w:w="2739" w:type="dxa"/>
          </w:tcPr>
          <w:p w14:paraId="20381A35" w14:textId="77777777" w:rsidR="00911F85" w:rsidRPr="00E30B9E" w:rsidRDefault="00911F85" w:rsidP="008742A1">
            <w:pPr>
              <w:pStyle w:val="TableHeading"/>
              <w:jc w:val="center"/>
            </w:pPr>
            <w:r>
              <w:t>Ratio of non-serious to serious infections</w:t>
            </w:r>
          </w:p>
        </w:tc>
      </w:tr>
      <w:tr w:rsidR="00911F85" w:rsidRPr="00E30B9E" w14:paraId="64C7EAFD" w14:textId="77777777" w:rsidTr="008742A1">
        <w:trPr>
          <w:cantSplit/>
        </w:trPr>
        <w:tc>
          <w:tcPr>
            <w:tcW w:w="3681" w:type="dxa"/>
          </w:tcPr>
          <w:p w14:paraId="233867D3" w14:textId="77777777" w:rsidR="00911F85" w:rsidRPr="00E30B9E" w:rsidRDefault="00911F85" w:rsidP="008742A1">
            <w:pPr>
              <w:pStyle w:val="Tabletext1"/>
            </w:pPr>
            <w:r w:rsidRPr="00E30B9E">
              <w:t>Chapel et al. (1991) [N</w:t>
            </w:r>
            <w:r>
              <w:t> </w:t>
            </w:r>
            <w:r w:rsidRPr="00E30B9E">
              <w:t>=</w:t>
            </w:r>
            <w:r>
              <w:t> </w:t>
            </w:r>
            <w:r w:rsidRPr="00E30B9E">
              <w:t>12]</w:t>
            </w:r>
          </w:p>
        </w:tc>
        <w:tc>
          <w:tcPr>
            <w:tcW w:w="2596" w:type="dxa"/>
          </w:tcPr>
          <w:p w14:paraId="45F3E1FE" w14:textId="77777777" w:rsidR="00911F85" w:rsidRPr="00E30B9E" w:rsidRDefault="00911F85" w:rsidP="008742A1">
            <w:pPr>
              <w:pStyle w:val="Tabletext1"/>
              <w:jc w:val="center"/>
            </w:pPr>
            <w:r w:rsidRPr="00E30B9E">
              <w:t>10 serious, 35 non-serious</w:t>
            </w:r>
          </w:p>
        </w:tc>
        <w:tc>
          <w:tcPr>
            <w:tcW w:w="2739" w:type="dxa"/>
          </w:tcPr>
          <w:p w14:paraId="3831AD08" w14:textId="77777777" w:rsidR="00911F85" w:rsidRPr="00E30B9E" w:rsidRDefault="00911F85" w:rsidP="008742A1">
            <w:pPr>
              <w:pStyle w:val="Tabletext1"/>
              <w:jc w:val="center"/>
            </w:pPr>
            <w:r w:rsidRPr="00E30B9E">
              <w:t>3.5 times</w:t>
            </w:r>
          </w:p>
        </w:tc>
      </w:tr>
      <w:tr w:rsidR="00911F85" w:rsidRPr="00E30B9E" w14:paraId="24519C77" w14:textId="77777777" w:rsidTr="008742A1">
        <w:trPr>
          <w:cantSplit/>
        </w:trPr>
        <w:tc>
          <w:tcPr>
            <w:tcW w:w="3681" w:type="dxa"/>
          </w:tcPr>
          <w:p w14:paraId="648ED901" w14:textId="77777777" w:rsidR="00911F85" w:rsidRPr="00E30B9E" w:rsidRDefault="00911F85" w:rsidP="008742A1">
            <w:pPr>
              <w:pStyle w:val="Tabletext1"/>
            </w:pPr>
            <w:r w:rsidRPr="00E30B9E">
              <w:t>Molica et al. (1996) [N</w:t>
            </w:r>
            <w:r>
              <w:t> </w:t>
            </w:r>
            <w:r w:rsidRPr="00E30B9E">
              <w:t>=</w:t>
            </w:r>
            <w:r>
              <w:t> </w:t>
            </w:r>
            <w:r w:rsidRPr="00E30B9E">
              <w:t>42]</w:t>
            </w:r>
          </w:p>
        </w:tc>
        <w:tc>
          <w:tcPr>
            <w:tcW w:w="2596" w:type="dxa"/>
          </w:tcPr>
          <w:p w14:paraId="5727E72F" w14:textId="77777777" w:rsidR="00911F85" w:rsidRPr="00E30B9E" w:rsidRDefault="00911F85" w:rsidP="008742A1">
            <w:pPr>
              <w:pStyle w:val="Tabletext1"/>
              <w:jc w:val="center"/>
            </w:pPr>
            <w:r w:rsidRPr="00E30B9E">
              <w:t>9 serious, 53 non-serious</w:t>
            </w:r>
          </w:p>
        </w:tc>
        <w:tc>
          <w:tcPr>
            <w:tcW w:w="2739" w:type="dxa"/>
          </w:tcPr>
          <w:p w14:paraId="30DCDE87" w14:textId="77777777" w:rsidR="00911F85" w:rsidRPr="00E30B9E" w:rsidRDefault="00911F85" w:rsidP="008742A1">
            <w:pPr>
              <w:pStyle w:val="Tabletext1"/>
              <w:jc w:val="center"/>
            </w:pPr>
            <w:r w:rsidRPr="00E30B9E">
              <w:t>5.9 times</w:t>
            </w:r>
          </w:p>
        </w:tc>
      </w:tr>
      <w:tr w:rsidR="00911F85" w:rsidRPr="00E30B9E" w14:paraId="23693F65" w14:textId="77777777" w:rsidTr="008742A1">
        <w:trPr>
          <w:cantSplit/>
        </w:trPr>
        <w:tc>
          <w:tcPr>
            <w:tcW w:w="3681" w:type="dxa"/>
          </w:tcPr>
          <w:p w14:paraId="69EC3647" w14:textId="77777777" w:rsidR="00911F85" w:rsidRPr="00E30B9E" w:rsidRDefault="00911F85" w:rsidP="008742A1">
            <w:pPr>
              <w:pStyle w:val="Tabletext1"/>
            </w:pPr>
            <w:r w:rsidRPr="00F55739">
              <w:t>Musto, Brugiatelli &amp; Carotenuto</w:t>
            </w:r>
            <w:r w:rsidRPr="00E30B9E">
              <w:t xml:space="preserve"> (1995) [N</w:t>
            </w:r>
            <w:r>
              <w:t> </w:t>
            </w:r>
            <w:r w:rsidRPr="00E30B9E">
              <w:t>=</w:t>
            </w:r>
            <w:r>
              <w:t> </w:t>
            </w:r>
            <w:r w:rsidRPr="00E30B9E">
              <w:t>25]</w:t>
            </w:r>
          </w:p>
        </w:tc>
        <w:tc>
          <w:tcPr>
            <w:tcW w:w="2596" w:type="dxa"/>
          </w:tcPr>
          <w:p w14:paraId="25EB32B6" w14:textId="77777777" w:rsidR="00911F85" w:rsidRPr="00E30B9E" w:rsidRDefault="00911F85" w:rsidP="008742A1">
            <w:pPr>
              <w:pStyle w:val="Tabletext1"/>
              <w:jc w:val="center"/>
            </w:pPr>
            <w:r w:rsidRPr="00E30B9E">
              <w:t>9 serious, 48 non-serious</w:t>
            </w:r>
          </w:p>
        </w:tc>
        <w:tc>
          <w:tcPr>
            <w:tcW w:w="2739" w:type="dxa"/>
          </w:tcPr>
          <w:p w14:paraId="4B053FB1" w14:textId="77777777" w:rsidR="00911F85" w:rsidRPr="00E30B9E" w:rsidRDefault="00911F85" w:rsidP="008742A1">
            <w:pPr>
              <w:pStyle w:val="Tabletext1"/>
              <w:jc w:val="center"/>
            </w:pPr>
            <w:r w:rsidRPr="00E30B9E">
              <w:t>5.3 times</w:t>
            </w:r>
          </w:p>
        </w:tc>
      </w:tr>
      <w:tr w:rsidR="00911F85" w:rsidRPr="00E30B9E" w14:paraId="6E5D8AA3" w14:textId="77777777" w:rsidTr="008742A1">
        <w:trPr>
          <w:cantSplit/>
        </w:trPr>
        <w:tc>
          <w:tcPr>
            <w:tcW w:w="3681" w:type="dxa"/>
          </w:tcPr>
          <w:p w14:paraId="17B1D438" w14:textId="77777777" w:rsidR="00911F85" w:rsidRPr="00E30B9E" w:rsidRDefault="00911F85" w:rsidP="008742A1">
            <w:pPr>
              <w:pStyle w:val="Tabletext1"/>
            </w:pPr>
            <w:r w:rsidRPr="00E30B9E">
              <w:t>Vacca et al. (2018) [N</w:t>
            </w:r>
            <w:r>
              <w:t> </w:t>
            </w:r>
            <w:r w:rsidRPr="00E30B9E">
              <w:t>=</w:t>
            </w:r>
            <w:r>
              <w:t> </w:t>
            </w:r>
            <w:r w:rsidRPr="00E30B9E">
              <w:t>46]</w:t>
            </w:r>
          </w:p>
        </w:tc>
        <w:tc>
          <w:tcPr>
            <w:tcW w:w="2596" w:type="dxa"/>
          </w:tcPr>
          <w:p w14:paraId="1C27299C" w14:textId="77777777" w:rsidR="00911F85" w:rsidRPr="00E30B9E" w:rsidRDefault="00911F85" w:rsidP="008742A1">
            <w:pPr>
              <w:pStyle w:val="Tabletext1"/>
              <w:jc w:val="center"/>
            </w:pPr>
            <w:r w:rsidRPr="00E30B9E">
              <w:t>190 serious, 143 non-serious</w:t>
            </w:r>
          </w:p>
        </w:tc>
        <w:tc>
          <w:tcPr>
            <w:tcW w:w="2739" w:type="dxa"/>
          </w:tcPr>
          <w:p w14:paraId="2574012B" w14:textId="77777777" w:rsidR="00911F85" w:rsidRPr="00E30B9E" w:rsidRDefault="00911F85" w:rsidP="008742A1">
            <w:pPr>
              <w:pStyle w:val="Tabletext1"/>
              <w:jc w:val="center"/>
            </w:pPr>
            <w:r w:rsidRPr="00E30B9E">
              <w:t>0.75 times</w:t>
            </w:r>
          </w:p>
        </w:tc>
      </w:tr>
      <w:tr w:rsidR="00911F85" w:rsidRPr="00E30B9E" w14:paraId="75437C2C" w14:textId="77777777" w:rsidTr="008742A1">
        <w:trPr>
          <w:cantSplit/>
        </w:trPr>
        <w:tc>
          <w:tcPr>
            <w:tcW w:w="3681" w:type="dxa"/>
          </w:tcPr>
          <w:p w14:paraId="159C7C03" w14:textId="77777777" w:rsidR="00911F85" w:rsidRPr="00E30B9E" w:rsidRDefault="00911F85" w:rsidP="008742A1">
            <w:pPr>
              <w:pStyle w:val="Tabletext1"/>
            </w:pPr>
            <w:r w:rsidRPr="00E30B9E">
              <w:t>Sullivan et al. (1990) [N</w:t>
            </w:r>
            <w:r>
              <w:t> </w:t>
            </w:r>
            <w:r w:rsidRPr="00E30B9E">
              <w:t>=</w:t>
            </w:r>
            <w:r>
              <w:t> </w:t>
            </w:r>
            <w:r w:rsidRPr="00E30B9E">
              <w:t>382]</w:t>
            </w:r>
          </w:p>
        </w:tc>
        <w:tc>
          <w:tcPr>
            <w:tcW w:w="2596" w:type="dxa"/>
          </w:tcPr>
          <w:p w14:paraId="2F4E4F0A" w14:textId="77777777" w:rsidR="00911F85" w:rsidRPr="00E30B9E" w:rsidRDefault="00911F85" w:rsidP="008742A1">
            <w:pPr>
              <w:pStyle w:val="Tabletext1"/>
              <w:jc w:val="center"/>
            </w:pPr>
            <w:r w:rsidRPr="00E30B9E">
              <w:t>68 serious, 144 non-serious</w:t>
            </w:r>
          </w:p>
        </w:tc>
        <w:tc>
          <w:tcPr>
            <w:tcW w:w="2739" w:type="dxa"/>
          </w:tcPr>
          <w:p w14:paraId="6A3B0534" w14:textId="77777777" w:rsidR="00911F85" w:rsidRPr="00E30B9E" w:rsidRDefault="00911F85" w:rsidP="008742A1">
            <w:pPr>
              <w:pStyle w:val="Tabletext1"/>
              <w:jc w:val="center"/>
            </w:pPr>
            <w:r w:rsidRPr="00E30B9E">
              <w:t>2.1 times</w:t>
            </w:r>
          </w:p>
        </w:tc>
      </w:tr>
      <w:tr w:rsidR="00911F85" w:rsidRPr="00E30B9E" w14:paraId="57AE0319" w14:textId="77777777" w:rsidTr="008742A1">
        <w:trPr>
          <w:cantSplit/>
        </w:trPr>
        <w:tc>
          <w:tcPr>
            <w:tcW w:w="3681" w:type="dxa"/>
          </w:tcPr>
          <w:p w14:paraId="38FF8D7C" w14:textId="77777777" w:rsidR="00911F85" w:rsidRPr="00E30B9E" w:rsidRDefault="00911F85" w:rsidP="008742A1">
            <w:pPr>
              <w:pStyle w:val="Tabletext1"/>
            </w:pPr>
            <w:r w:rsidRPr="00E30B9E">
              <w:t>Duraisingham et al. (2014) [N</w:t>
            </w:r>
            <w:r>
              <w:t> </w:t>
            </w:r>
            <w:r w:rsidRPr="00E30B9E">
              <w:t>=</w:t>
            </w:r>
            <w:r>
              <w:t> </w:t>
            </w:r>
            <w:r w:rsidRPr="00E30B9E">
              <w:t>15]</w:t>
            </w:r>
          </w:p>
        </w:tc>
        <w:tc>
          <w:tcPr>
            <w:tcW w:w="2596" w:type="dxa"/>
          </w:tcPr>
          <w:p w14:paraId="3EE39E4C" w14:textId="77777777" w:rsidR="00911F85" w:rsidRPr="00E30B9E" w:rsidRDefault="00911F85" w:rsidP="008742A1">
            <w:pPr>
              <w:pStyle w:val="Tabletext1"/>
              <w:jc w:val="center"/>
            </w:pPr>
            <w:r w:rsidRPr="00E30B9E">
              <w:t>11 serious, 37 non-serious</w:t>
            </w:r>
          </w:p>
        </w:tc>
        <w:tc>
          <w:tcPr>
            <w:tcW w:w="2739" w:type="dxa"/>
          </w:tcPr>
          <w:p w14:paraId="3D3C91B1" w14:textId="77777777" w:rsidR="00911F85" w:rsidRPr="00E30B9E" w:rsidRDefault="00911F85" w:rsidP="008742A1">
            <w:pPr>
              <w:pStyle w:val="Tabletext1"/>
              <w:jc w:val="center"/>
            </w:pPr>
            <w:r w:rsidRPr="00E30B9E">
              <w:t>3.4 times</w:t>
            </w:r>
          </w:p>
        </w:tc>
      </w:tr>
      <w:tr w:rsidR="00911F85" w:rsidRPr="00E30B9E" w14:paraId="5B05C9CB" w14:textId="77777777" w:rsidTr="008742A1">
        <w:trPr>
          <w:cantSplit/>
        </w:trPr>
        <w:tc>
          <w:tcPr>
            <w:tcW w:w="3681" w:type="dxa"/>
          </w:tcPr>
          <w:p w14:paraId="49B9C114" w14:textId="77777777" w:rsidR="00911F85" w:rsidRPr="00E30B9E" w:rsidRDefault="00911F85" w:rsidP="008742A1">
            <w:pPr>
              <w:pStyle w:val="Tabletext1"/>
            </w:pPr>
            <w:r>
              <w:t>Brenner et al. (1996) [N = 21]</w:t>
            </w:r>
          </w:p>
        </w:tc>
        <w:tc>
          <w:tcPr>
            <w:tcW w:w="2596" w:type="dxa"/>
          </w:tcPr>
          <w:p w14:paraId="763104CA" w14:textId="77777777" w:rsidR="00911F85" w:rsidRPr="00E30B9E" w:rsidRDefault="00911F85" w:rsidP="008742A1">
            <w:pPr>
              <w:pStyle w:val="Tabletext1"/>
              <w:jc w:val="center"/>
            </w:pPr>
            <w:r>
              <w:t>21 serious, 11 non-serious</w:t>
            </w:r>
          </w:p>
        </w:tc>
        <w:tc>
          <w:tcPr>
            <w:tcW w:w="2739" w:type="dxa"/>
          </w:tcPr>
          <w:p w14:paraId="5191A222" w14:textId="77777777" w:rsidR="00911F85" w:rsidRPr="00E30B9E" w:rsidRDefault="00911F85" w:rsidP="008742A1">
            <w:pPr>
              <w:pStyle w:val="Tabletext1"/>
              <w:jc w:val="center"/>
            </w:pPr>
            <w:r>
              <w:t>0.5 times</w:t>
            </w:r>
          </w:p>
        </w:tc>
      </w:tr>
    </w:tbl>
    <w:p w14:paraId="081B499D" w14:textId="77777777" w:rsidR="00911F85" w:rsidRDefault="00911F85" w:rsidP="00911F85">
      <w:pPr>
        <w:pStyle w:val="Tablenotes1"/>
      </w:pPr>
    </w:p>
    <w:p w14:paraId="19E3CFD9" w14:textId="77777777" w:rsidR="00911F85" w:rsidRDefault="00911F85" w:rsidP="00911F85">
      <w:r>
        <w:t xml:space="preserve">The baseline rate of infection will assume to apply for the duration of Ig treatment, 26 months (see Section C.2.4). While it is possible that, in the absence of Ig, patients would be at risk of infections for a longer duration of time, no evidence was identified to enable this to be quantified. However it is noted that this is may be a conservative approach. Conversely, if patients are being treated with Ig for longer than they are at risk of infections, the ICER may be underestimated. </w:t>
      </w:r>
    </w:p>
    <w:p w14:paraId="53A97A11" w14:textId="77777777" w:rsidR="00911F85" w:rsidRDefault="00911F85" w:rsidP="00911F85">
      <w:pPr>
        <w:pStyle w:val="Heading5"/>
      </w:pPr>
      <w:r>
        <w:lastRenderedPageBreak/>
        <w:t>Infection rate with Ig</w:t>
      </w:r>
    </w:p>
    <w:p w14:paraId="27BCCDE5" w14:textId="77777777" w:rsidR="00911F85" w:rsidRDefault="00911F85" w:rsidP="00911F85">
      <w:r>
        <w:t>To estimate the rate of serious and non-serious infections with Ig, the IRRs estimated in Section B.6 are applied to the baseline rates of infection. The base case analysis will assume the IRRs estimated from the pooled randomised studies, with a sensitivity analysis presented using the IRRs based on the non-randomised studies (see Section D.6).</w:t>
      </w:r>
    </w:p>
    <w:p w14:paraId="11339D5D" w14:textId="7C7C8ACF" w:rsidR="00911F85" w:rsidRDefault="00911F85" w:rsidP="00911F85">
      <w:pPr>
        <w:pStyle w:val="Caption"/>
        <w:keepNext/>
      </w:pPr>
      <w:bookmarkStart w:id="474" w:name="_Ref14254065"/>
      <w:bookmarkStart w:id="475" w:name="_Toc14348874"/>
      <w:bookmarkStart w:id="476" w:name="_Toc14429580"/>
      <w:bookmarkStart w:id="477" w:name="_Toc16671637"/>
      <w:r>
        <w:t xml:space="preserve">Table </w:t>
      </w:r>
      <w:r>
        <w:rPr>
          <w:noProof/>
        </w:rPr>
        <w:fldChar w:fldCharType="begin"/>
      </w:r>
      <w:r>
        <w:rPr>
          <w:noProof/>
        </w:rPr>
        <w:instrText xml:space="preserve"> SEQ Table \* ARABIC </w:instrText>
      </w:r>
      <w:r>
        <w:rPr>
          <w:noProof/>
        </w:rPr>
        <w:fldChar w:fldCharType="separate"/>
      </w:r>
      <w:r w:rsidR="00A7463B">
        <w:rPr>
          <w:noProof/>
        </w:rPr>
        <w:t>39</w:t>
      </w:r>
      <w:r>
        <w:rPr>
          <w:noProof/>
        </w:rPr>
        <w:fldChar w:fldCharType="end"/>
      </w:r>
      <w:bookmarkEnd w:id="474"/>
      <w:r>
        <w:tab/>
        <w:t>Relative treatment effect of Ig</w:t>
      </w:r>
      <w:bookmarkEnd w:id="475"/>
      <w:bookmarkEnd w:id="476"/>
      <w:bookmarkEnd w:id="477"/>
    </w:p>
    <w:tbl>
      <w:tblPr>
        <w:tblStyle w:val="TableGrid"/>
        <w:tblW w:w="0" w:type="auto"/>
        <w:tblLook w:val="04A0" w:firstRow="1" w:lastRow="0" w:firstColumn="1" w:lastColumn="0" w:noHBand="0" w:noVBand="1"/>
        <w:tblCaption w:val="Relative treatment effect of Ig"/>
      </w:tblPr>
      <w:tblGrid>
        <w:gridCol w:w="2547"/>
        <w:gridCol w:w="3118"/>
        <w:gridCol w:w="3351"/>
      </w:tblGrid>
      <w:tr w:rsidR="00911F85" w:rsidRPr="003E353A" w14:paraId="69919163" w14:textId="77777777" w:rsidTr="008742A1">
        <w:trPr>
          <w:cantSplit/>
          <w:tblHeader/>
        </w:trPr>
        <w:tc>
          <w:tcPr>
            <w:tcW w:w="2547" w:type="dxa"/>
          </w:tcPr>
          <w:p w14:paraId="0428C418" w14:textId="77777777" w:rsidR="00911F85" w:rsidRPr="003E353A" w:rsidRDefault="00911F85" w:rsidP="008742A1">
            <w:pPr>
              <w:pStyle w:val="TableHeading"/>
            </w:pPr>
          </w:p>
        </w:tc>
        <w:tc>
          <w:tcPr>
            <w:tcW w:w="3118" w:type="dxa"/>
          </w:tcPr>
          <w:p w14:paraId="2AF76EE3" w14:textId="77777777" w:rsidR="00911F85" w:rsidRPr="003E353A" w:rsidRDefault="00911F85" w:rsidP="008742A1">
            <w:pPr>
              <w:pStyle w:val="TableHeading"/>
              <w:jc w:val="center"/>
            </w:pPr>
            <w:r>
              <w:t>I</w:t>
            </w:r>
            <w:r w:rsidRPr="003E353A">
              <w:t>RR for serious infections (95% CI)</w:t>
            </w:r>
          </w:p>
        </w:tc>
        <w:tc>
          <w:tcPr>
            <w:tcW w:w="3351" w:type="dxa"/>
          </w:tcPr>
          <w:p w14:paraId="7165CDB5" w14:textId="77777777" w:rsidR="00911F85" w:rsidRPr="003E353A" w:rsidRDefault="00911F85" w:rsidP="008742A1">
            <w:pPr>
              <w:pStyle w:val="TableHeading"/>
              <w:jc w:val="center"/>
            </w:pPr>
            <w:r>
              <w:t>I</w:t>
            </w:r>
            <w:r w:rsidRPr="003E353A">
              <w:t>RR for non-serious infections (95% CI)</w:t>
            </w:r>
          </w:p>
        </w:tc>
      </w:tr>
      <w:tr w:rsidR="00911F85" w:rsidRPr="003E353A" w14:paraId="5F0069DA" w14:textId="77777777" w:rsidTr="008742A1">
        <w:trPr>
          <w:cantSplit/>
        </w:trPr>
        <w:tc>
          <w:tcPr>
            <w:tcW w:w="2547" w:type="dxa"/>
          </w:tcPr>
          <w:p w14:paraId="10836DE4" w14:textId="77777777" w:rsidR="00911F85" w:rsidRPr="003E353A" w:rsidRDefault="00911F85" w:rsidP="008742A1">
            <w:pPr>
              <w:pStyle w:val="Tabletext1"/>
            </w:pPr>
            <w:r w:rsidRPr="003E353A">
              <w:t>Pooled randomised studies</w:t>
            </w:r>
          </w:p>
        </w:tc>
        <w:tc>
          <w:tcPr>
            <w:tcW w:w="3118" w:type="dxa"/>
          </w:tcPr>
          <w:p w14:paraId="1D1B7F06" w14:textId="77777777" w:rsidR="00911F85" w:rsidRPr="003E353A" w:rsidRDefault="00911F85" w:rsidP="008742A1">
            <w:pPr>
              <w:pStyle w:val="Tabletext1"/>
              <w:jc w:val="center"/>
            </w:pPr>
            <w:r w:rsidRPr="002B03A8">
              <w:t>0.15 (0.05, 0.43)</w:t>
            </w:r>
          </w:p>
        </w:tc>
        <w:tc>
          <w:tcPr>
            <w:tcW w:w="3351" w:type="dxa"/>
          </w:tcPr>
          <w:p w14:paraId="42E4CFB0" w14:textId="77777777" w:rsidR="00911F85" w:rsidRPr="003E353A" w:rsidRDefault="00911F85" w:rsidP="008742A1">
            <w:pPr>
              <w:pStyle w:val="Tabletext1"/>
              <w:jc w:val="center"/>
            </w:pPr>
            <w:r w:rsidRPr="002B03A8">
              <w:t>0.61 (0.51, 0.72)</w:t>
            </w:r>
          </w:p>
        </w:tc>
      </w:tr>
      <w:tr w:rsidR="00911F85" w:rsidRPr="003E353A" w14:paraId="7D505ED8" w14:textId="77777777" w:rsidTr="008742A1">
        <w:trPr>
          <w:cantSplit/>
        </w:trPr>
        <w:tc>
          <w:tcPr>
            <w:tcW w:w="2547" w:type="dxa"/>
          </w:tcPr>
          <w:p w14:paraId="2DE9C503" w14:textId="77777777" w:rsidR="00911F85" w:rsidRPr="003E353A" w:rsidRDefault="00911F85" w:rsidP="008742A1">
            <w:pPr>
              <w:pStyle w:val="Tabletext1"/>
            </w:pPr>
            <w:r w:rsidRPr="003E353A">
              <w:t xml:space="preserve">Pooled </w:t>
            </w:r>
            <w:r>
              <w:t>non-randomised</w:t>
            </w:r>
            <w:r w:rsidRPr="003E353A">
              <w:t xml:space="preserve"> studies</w:t>
            </w:r>
          </w:p>
        </w:tc>
        <w:tc>
          <w:tcPr>
            <w:tcW w:w="3118" w:type="dxa"/>
          </w:tcPr>
          <w:p w14:paraId="7C37BE61" w14:textId="77777777" w:rsidR="00911F85" w:rsidRPr="003E353A" w:rsidRDefault="00911F85" w:rsidP="008742A1">
            <w:pPr>
              <w:pStyle w:val="Tabletext1"/>
              <w:jc w:val="center"/>
            </w:pPr>
            <w:r w:rsidRPr="002B03A8">
              <w:t>0.25 (0.15, 0.43)</w:t>
            </w:r>
          </w:p>
        </w:tc>
        <w:tc>
          <w:tcPr>
            <w:tcW w:w="3351" w:type="dxa"/>
          </w:tcPr>
          <w:p w14:paraId="018F9B95" w14:textId="77777777" w:rsidR="00911F85" w:rsidRPr="003E353A" w:rsidRDefault="00911F85" w:rsidP="008742A1">
            <w:pPr>
              <w:pStyle w:val="Tabletext1"/>
              <w:jc w:val="center"/>
            </w:pPr>
            <w:r>
              <w:t>0.46</w:t>
            </w:r>
            <w:r w:rsidRPr="002B03A8">
              <w:t xml:space="preserve"> (</w:t>
            </w:r>
            <w:r>
              <w:t>0.29, 0.74</w:t>
            </w:r>
            <w:r w:rsidRPr="002B03A8">
              <w:t>)</w:t>
            </w:r>
          </w:p>
        </w:tc>
      </w:tr>
    </w:tbl>
    <w:p w14:paraId="0F537BC2" w14:textId="77777777" w:rsidR="00911F85" w:rsidRDefault="00911F85" w:rsidP="00911F85">
      <w:pPr>
        <w:pStyle w:val="Tablenotes1"/>
      </w:pPr>
      <w:r>
        <w:t>Ig = immunoglobulin; IRR = incidence rate ratio.</w:t>
      </w:r>
    </w:p>
    <w:p w14:paraId="10BF8717" w14:textId="77777777" w:rsidR="00911F85" w:rsidRDefault="00911F85" w:rsidP="00911F85">
      <w:r>
        <w:t>Applying these IRRs to the baseline rates of infection described above, the annual rate of serious and non-serious infections with Ig is estimated to be 0.06</w:t>
      </w:r>
      <w:r>
        <w:rPr>
          <w:rStyle w:val="FootnoteReference"/>
        </w:rPr>
        <w:footnoteReference w:id="17"/>
      </w:r>
      <w:r>
        <w:t xml:space="preserve"> and 0.64</w:t>
      </w:r>
      <w:r>
        <w:rPr>
          <w:rStyle w:val="FootnoteReference"/>
        </w:rPr>
        <w:footnoteReference w:id="18"/>
      </w:r>
      <w:r>
        <w:t>, respectively.</w:t>
      </w:r>
    </w:p>
    <w:p w14:paraId="1EAE2705" w14:textId="77777777" w:rsidR="00911F85" w:rsidRDefault="00911F85" w:rsidP="00911F85">
      <w:pPr>
        <w:pStyle w:val="Heading5"/>
      </w:pPr>
      <w:r>
        <w:t>Duration of infection</w:t>
      </w:r>
    </w:p>
    <w:p w14:paraId="1A1B9DFF" w14:textId="50E6327D" w:rsidR="00911F85" w:rsidRDefault="00911F85" w:rsidP="00911F85">
      <w:r>
        <w:t xml:space="preserve">The probability of infection resolution is estimated to vary by model arm, as recovery from an infection is likely to vary depending on the severity of the infection. The average duration of infection is estimated in </w:t>
      </w:r>
      <w:r>
        <w:fldChar w:fldCharType="begin"/>
      </w:r>
      <w:r>
        <w:instrText xml:space="preserve"> REF _Ref12894613 \h </w:instrText>
      </w:r>
      <w:r>
        <w:fldChar w:fldCharType="separate"/>
      </w:r>
      <w:r w:rsidR="00A7463B" w:rsidRPr="009F34B1">
        <w:t xml:space="preserve">Table </w:t>
      </w:r>
      <w:r w:rsidR="00A7463B">
        <w:rPr>
          <w:noProof/>
        </w:rPr>
        <w:t>40</w:t>
      </w:r>
      <w:r>
        <w:fldChar w:fldCharType="end"/>
      </w:r>
      <w:r>
        <w:t>.</w:t>
      </w:r>
    </w:p>
    <w:p w14:paraId="3088F570" w14:textId="2A2BD907" w:rsidR="00911F85" w:rsidRPr="009F34B1" w:rsidRDefault="00911F85" w:rsidP="009F34B1">
      <w:pPr>
        <w:pStyle w:val="Caption"/>
      </w:pPr>
      <w:bookmarkStart w:id="478" w:name="_Ref12894613"/>
      <w:bookmarkStart w:id="479" w:name="_Toc14348875"/>
      <w:bookmarkStart w:id="480" w:name="_Toc14429581"/>
      <w:bookmarkStart w:id="481" w:name="_Toc16671638"/>
      <w:r w:rsidRPr="009F34B1">
        <w:t xml:space="preserve">Table </w:t>
      </w:r>
      <w:r w:rsidR="00F814DE">
        <w:rPr>
          <w:noProof/>
        </w:rPr>
        <w:fldChar w:fldCharType="begin"/>
      </w:r>
      <w:r w:rsidR="00F814DE">
        <w:rPr>
          <w:noProof/>
        </w:rPr>
        <w:instrText xml:space="preserve"> SEQ Table \* ARABIC </w:instrText>
      </w:r>
      <w:r w:rsidR="00F814DE">
        <w:rPr>
          <w:noProof/>
        </w:rPr>
        <w:fldChar w:fldCharType="separate"/>
      </w:r>
      <w:r w:rsidR="00A7463B">
        <w:rPr>
          <w:noProof/>
        </w:rPr>
        <w:t>40</w:t>
      </w:r>
      <w:r w:rsidR="00F814DE">
        <w:rPr>
          <w:noProof/>
        </w:rPr>
        <w:fldChar w:fldCharType="end"/>
      </w:r>
      <w:bookmarkEnd w:id="478"/>
      <w:r w:rsidRPr="009F34B1">
        <w:tab/>
        <w:t>Average duration of infection by model arm</w:t>
      </w:r>
      <w:bookmarkEnd w:id="479"/>
      <w:bookmarkEnd w:id="480"/>
      <w:bookmarkEnd w:id="481"/>
    </w:p>
    <w:tbl>
      <w:tblPr>
        <w:tblStyle w:val="TableGrid"/>
        <w:tblW w:w="0" w:type="auto"/>
        <w:tblLook w:val="04A0" w:firstRow="1" w:lastRow="0" w:firstColumn="1" w:lastColumn="0" w:noHBand="0" w:noVBand="1"/>
        <w:tblCaption w:val="Average duration of infection by model arm"/>
      </w:tblPr>
      <w:tblGrid>
        <w:gridCol w:w="3397"/>
        <w:gridCol w:w="2809"/>
        <w:gridCol w:w="2810"/>
      </w:tblGrid>
      <w:tr w:rsidR="00911F85" w:rsidRPr="004F4EB3" w14:paraId="518D88D0" w14:textId="77777777" w:rsidTr="008742A1">
        <w:trPr>
          <w:cantSplit/>
          <w:tblHeader/>
        </w:trPr>
        <w:tc>
          <w:tcPr>
            <w:tcW w:w="3397" w:type="dxa"/>
          </w:tcPr>
          <w:p w14:paraId="113C8D33" w14:textId="77777777" w:rsidR="00911F85" w:rsidRPr="004F4EB3" w:rsidRDefault="00911F85" w:rsidP="008742A1">
            <w:pPr>
              <w:pStyle w:val="TableHeading"/>
            </w:pPr>
          </w:p>
        </w:tc>
        <w:tc>
          <w:tcPr>
            <w:tcW w:w="2809" w:type="dxa"/>
          </w:tcPr>
          <w:p w14:paraId="5B01AA41" w14:textId="77777777" w:rsidR="00911F85" w:rsidRPr="004F4EB3" w:rsidRDefault="00911F85" w:rsidP="008742A1">
            <w:pPr>
              <w:pStyle w:val="TableHeading"/>
              <w:jc w:val="center"/>
            </w:pPr>
            <w:r w:rsidRPr="004F4EB3">
              <w:t>Ig</w:t>
            </w:r>
          </w:p>
        </w:tc>
        <w:tc>
          <w:tcPr>
            <w:tcW w:w="2810" w:type="dxa"/>
          </w:tcPr>
          <w:p w14:paraId="69ED5973" w14:textId="77777777" w:rsidR="00911F85" w:rsidRPr="004F4EB3" w:rsidRDefault="00911F85" w:rsidP="008742A1">
            <w:pPr>
              <w:pStyle w:val="TableHeading"/>
              <w:jc w:val="center"/>
            </w:pPr>
            <w:r w:rsidRPr="004F4EB3">
              <w:t>No Ig</w:t>
            </w:r>
          </w:p>
        </w:tc>
      </w:tr>
      <w:tr w:rsidR="00911F85" w:rsidRPr="004F4EB3" w14:paraId="7CA0F565" w14:textId="77777777" w:rsidTr="008742A1">
        <w:trPr>
          <w:cantSplit/>
        </w:trPr>
        <w:tc>
          <w:tcPr>
            <w:tcW w:w="3397" w:type="dxa"/>
          </w:tcPr>
          <w:p w14:paraId="3DC66CF4" w14:textId="77777777" w:rsidR="00911F85" w:rsidRPr="004F4EB3" w:rsidRDefault="00911F85" w:rsidP="008742A1">
            <w:pPr>
              <w:pStyle w:val="Tabletext1"/>
            </w:pPr>
            <w:r w:rsidRPr="004F4EB3">
              <w:t>Proportion of serious infections</w:t>
            </w:r>
          </w:p>
        </w:tc>
        <w:tc>
          <w:tcPr>
            <w:tcW w:w="2809" w:type="dxa"/>
          </w:tcPr>
          <w:p w14:paraId="004E9ADF" w14:textId="77777777" w:rsidR="00911F85" w:rsidRPr="004F4EB3" w:rsidRDefault="00911F85" w:rsidP="008742A1">
            <w:pPr>
              <w:pStyle w:val="Tabletext1"/>
              <w:jc w:val="center"/>
            </w:pPr>
            <w:r>
              <w:t>0.06/0.70 (8</w:t>
            </w:r>
            <w:r w:rsidRPr="004F4EB3">
              <w:t>.</w:t>
            </w:r>
            <w:r>
              <w:t>9</w:t>
            </w:r>
            <w:r w:rsidRPr="004F4EB3">
              <w:t>%</w:t>
            </w:r>
            <w:r>
              <w:t>)</w:t>
            </w:r>
          </w:p>
        </w:tc>
        <w:tc>
          <w:tcPr>
            <w:tcW w:w="2810" w:type="dxa"/>
          </w:tcPr>
          <w:p w14:paraId="62980266" w14:textId="77777777" w:rsidR="00911F85" w:rsidRPr="004F4EB3" w:rsidRDefault="00911F85" w:rsidP="008742A1">
            <w:pPr>
              <w:pStyle w:val="Tabletext1"/>
              <w:jc w:val="center"/>
            </w:pPr>
            <w:r>
              <w:t>0.43/1.48 (</w:t>
            </w:r>
            <w:r w:rsidRPr="004F4EB3">
              <w:t>29.0%</w:t>
            </w:r>
            <w:r>
              <w:t>)</w:t>
            </w:r>
          </w:p>
        </w:tc>
      </w:tr>
      <w:tr w:rsidR="00911F85" w:rsidRPr="004F4EB3" w14:paraId="7E9E7322" w14:textId="77777777" w:rsidTr="008742A1">
        <w:trPr>
          <w:cantSplit/>
        </w:trPr>
        <w:tc>
          <w:tcPr>
            <w:tcW w:w="3397" w:type="dxa"/>
          </w:tcPr>
          <w:p w14:paraId="45F312F6" w14:textId="77777777" w:rsidR="00911F85" w:rsidRPr="004F4EB3" w:rsidRDefault="00911F85" w:rsidP="008742A1">
            <w:pPr>
              <w:pStyle w:val="Tabletext1"/>
            </w:pPr>
            <w:r>
              <w:t>Average d</w:t>
            </w:r>
            <w:r w:rsidRPr="004F4EB3">
              <w:t>uration of non-serious infections</w:t>
            </w:r>
          </w:p>
        </w:tc>
        <w:tc>
          <w:tcPr>
            <w:tcW w:w="2809" w:type="dxa"/>
          </w:tcPr>
          <w:p w14:paraId="192B372B" w14:textId="77777777" w:rsidR="00911F85" w:rsidRPr="004F4EB3" w:rsidRDefault="00911F85" w:rsidP="008742A1">
            <w:pPr>
              <w:pStyle w:val="Tabletext1"/>
              <w:jc w:val="center"/>
            </w:pPr>
            <w:r w:rsidRPr="004F4EB3">
              <w:t>1 cycle</w:t>
            </w:r>
          </w:p>
        </w:tc>
        <w:tc>
          <w:tcPr>
            <w:tcW w:w="2810" w:type="dxa"/>
          </w:tcPr>
          <w:p w14:paraId="29F03142" w14:textId="77777777" w:rsidR="00911F85" w:rsidRPr="004F4EB3" w:rsidRDefault="00911F85" w:rsidP="008742A1">
            <w:pPr>
              <w:pStyle w:val="Tabletext1"/>
              <w:jc w:val="center"/>
            </w:pPr>
            <w:r w:rsidRPr="004F4EB3">
              <w:t>1 cycle</w:t>
            </w:r>
          </w:p>
        </w:tc>
      </w:tr>
      <w:tr w:rsidR="00911F85" w:rsidRPr="004F4EB3" w14:paraId="5240B581" w14:textId="77777777" w:rsidTr="008742A1">
        <w:trPr>
          <w:cantSplit/>
        </w:trPr>
        <w:tc>
          <w:tcPr>
            <w:tcW w:w="3397" w:type="dxa"/>
          </w:tcPr>
          <w:p w14:paraId="1FB3EE78" w14:textId="77777777" w:rsidR="00911F85" w:rsidRPr="004F4EB3" w:rsidRDefault="00911F85" w:rsidP="008742A1">
            <w:pPr>
              <w:pStyle w:val="Tabletext1"/>
            </w:pPr>
            <w:r>
              <w:t>Average d</w:t>
            </w:r>
            <w:r w:rsidRPr="004F4EB3">
              <w:t>uration of serious infections</w:t>
            </w:r>
          </w:p>
        </w:tc>
        <w:tc>
          <w:tcPr>
            <w:tcW w:w="2809" w:type="dxa"/>
          </w:tcPr>
          <w:p w14:paraId="54D022AC" w14:textId="77777777" w:rsidR="00911F85" w:rsidRPr="004F4EB3" w:rsidRDefault="00911F85" w:rsidP="008742A1">
            <w:pPr>
              <w:pStyle w:val="Tabletext1"/>
              <w:jc w:val="center"/>
            </w:pPr>
            <w:r w:rsidRPr="004F4EB3">
              <w:t>2 cycles</w:t>
            </w:r>
          </w:p>
        </w:tc>
        <w:tc>
          <w:tcPr>
            <w:tcW w:w="2810" w:type="dxa"/>
          </w:tcPr>
          <w:p w14:paraId="4FCEF959" w14:textId="77777777" w:rsidR="00911F85" w:rsidRPr="004F4EB3" w:rsidRDefault="00911F85" w:rsidP="008742A1">
            <w:pPr>
              <w:pStyle w:val="Tabletext1"/>
              <w:jc w:val="center"/>
            </w:pPr>
            <w:r w:rsidRPr="004F4EB3">
              <w:t>2 cycles</w:t>
            </w:r>
          </w:p>
        </w:tc>
      </w:tr>
      <w:tr w:rsidR="00911F85" w:rsidRPr="004F4EB3" w14:paraId="4A07420F" w14:textId="77777777" w:rsidTr="008742A1">
        <w:trPr>
          <w:cantSplit/>
        </w:trPr>
        <w:tc>
          <w:tcPr>
            <w:tcW w:w="3397" w:type="dxa"/>
          </w:tcPr>
          <w:p w14:paraId="177FFE77" w14:textId="77777777" w:rsidR="00911F85" w:rsidRPr="004F4EB3" w:rsidRDefault="00911F85" w:rsidP="008742A1">
            <w:pPr>
              <w:pStyle w:val="Tabletext1"/>
            </w:pPr>
            <w:r w:rsidRPr="004F4EB3">
              <w:t>Average duration of infection</w:t>
            </w:r>
            <w:r>
              <w:t>s</w:t>
            </w:r>
          </w:p>
        </w:tc>
        <w:tc>
          <w:tcPr>
            <w:tcW w:w="2809" w:type="dxa"/>
          </w:tcPr>
          <w:p w14:paraId="2451E496" w14:textId="77777777" w:rsidR="00911F85" w:rsidRPr="004F4EB3" w:rsidRDefault="00911F85" w:rsidP="008742A1">
            <w:pPr>
              <w:pStyle w:val="Tabletext1"/>
              <w:jc w:val="center"/>
            </w:pPr>
            <w:r w:rsidRPr="004F4EB3">
              <w:t>1.</w:t>
            </w:r>
            <w:r>
              <w:t>1</w:t>
            </w:r>
            <w:r w:rsidRPr="004F4EB3">
              <w:t xml:space="preserve"> cycles</w:t>
            </w:r>
          </w:p>
        </w:tc>
        <w:tc>
          <w:tcPr>
            <w:tcW w:w="2810" w:type="dxa"/>
          </w:tcPr>
          <w:p w14:paraId="74BB21A9" w14:textId="77777777" w:rsidR="00911F85" w:rsidRPr="004F4EB3" w:rsidRDefault="00911F85" w:rsidP="008742A1">
            <w:pPr>
              <w:pStyle w:val="Tabletext1"/>
              <w:jc w:val="center"/>
            </w:pPr>
            <w:r w:rsidRPr="004F4EB3">
              <w:t>1.3 cycles</w:t>
            </w:r>
          </w:p>
        </w:tc>
      </w:tr>
    </w:tbl>
    <w:p w14:paraId="137E286C" w14:textId="77777777" w:rsidR="00911F85" w:rsidRDefault="00911F85" w:rsidP="00911F85">
      <w:pPr>
        <w:pStyle w:val="Tablenotes1"/>
      </w:pPr>
      <w:r>
        <w:t>Ig = immunoglobulin.</w:t>
      </w:r>
    </w:p>
    <w:p w14:paraId="69E16B15" w14:textId="6F319F6E" w:rsidR="00911F85" w:rsidRDefault="00911F85" w:rsidP="00911F85">
      <w:r>
        <w:t>A gamma distribution was then fitted to these data to estimate the per-cycle probability of infection resolution (</w:t>
      </w:r>
      <w:r>
        <w:fldChar w:fldCharType="begin"/>
      </w:r>
      <w:r>
        <w:instrText xml:space="preserve"> REF _Ref12894634 \h </w:instrText>
      </w:r>
      <w:r>
        <w:fldChar w:fldCharType="separate"/>
      </w:r>
      <w:r w:rsidR="00A7463B" w:rsidRPr="009F34B1">
        <w:t xml:space="preserve">Table </w:t>
      </w:r>
      <w:r w:rsidR="00A7463B">
        <w:rPr>
          <w:noProof/>
        </w:rPr>
        <w:t>41</w:t>
      </w:r>
      <w:r>
        <w:fldChar w:fldCharType="end"/>
      </w:r>
      <w:r>
        <w:t>). A gamma distribution was chosen as it is constrained from zero to positive infinity.</w:t>
      </w:r>
    </w:p>
    <w:p w14:paraId="07D5F925" w14:textId="5DBE4083" w:rsidR="00911F85" w:rsidRPr="009F34B1" w:rsidRDefault="00911F85" w:rsidP="009F34B1">
      <w:pPr>
        <w:pStyle w:val="Caption"/>
      </w:pPr>
      <w:bookmarkStart w:id="482" w:name="_Ref12894634"/>
      <w:bookmarkStart w:id="483" w:name="_Toc14348876"/>
      <w:bookmarkStart w:id="484" w:name="_Toc14429582"/>
      <w:bookmarkStart w:id="485" w:name="_Toc16671639"/>
      <w:r w:rsidRPr="009F34B1">
        <w:t xml:space="preserve">Table </w:t>
      </w:r>
      <w:r w:rsidR="00F814DE">
        <w:rPr>
          <w:noProof/>
        </w:rPr>
        <w:fldChar w:fldCharType="begin"/>
      </w:r>
      <w:r w:rsidR="00F814DE">
        <w:rPr>
          <w:noProof/>
        </w:rPr>
        <w:instrText xml:space="preserve"> SEQ Table \* ARABIC </w:instrText>
      </w:r>
      <w:r w:rsidR="00F814DE">
        <w:rPr>
          <w:noProof/>
        </w:rPr>
        <w:fldChar w:fldCharType="separate"/>
      </w:r>
      <w:r w:rsidR="00A7463B">
        <w:rPr>
          <w:noProof/>
        </w:rPr>
        <w:t>41</w:t>
      </w:r>
      <w:r w:rsidR="00F814DE">
        <w:rPr>
          <w:noProof/>
        </w:rPr>
        <w:fldChar w:fldCharType="end"/>
      </w:r>
      <w:bookmarkEnd w:id="482"/>
      <w:r w:rsidRPr="009F34B1">
        <w:tab/>
        <w:t>Per cycle probability of infection resolution in patients who had not died or developed bronchiectasis</w:t>
      </w:r>
      <w:bookmarkEnd w:id="483"/>
      <w:bookmarkEnd w:id="484"/>
      <w:bookmarkEnd w:id="485"/>
    </w:p>
    <w:tbl>
      <w:tblPr>
        <w:tblStyle w:val="TableGrid1"/>
        <w:tblW w:w="5000" w:type="pct"/>
        <w:tblLook w:val="04A0" w:firstRow="1" w:lastRow="0" w:firstColumn="1" w:lastColumn="0" w:noHBand="0" w:noVBand="1"/>
        <w:tblCaption w:val="Per cycle probability of infection resolution in patients who had not died or developed bronchiectasis"/>
      </w:tblPr>
      <w:tblGrid>
        <w:gridCol w:w="1772"/>
        <w:gridCol w:w="1867"/>
        <w:gridCol w:w="1869"/>
        <w:gridCol w:w="1867"/>
        <w:gridCol w:w="1867"/>
      </w:tblGrid>
      <w:tr w:rsidR="00911F85" w:rsidRPr="004F4EB3" w14:paraId="151CB608" w14:textId="77777777" w:rsidTr="008742A1">
        <w:trPr>
          <w:cnfStyle w:val="100000000000" w:firstRow="1" w:lastRow="0" w:firstColumn="0" w:lastColumn="0" w:oddVBand="0" w:evenVBand="0" w:oddHBand="0" w:evenHBand="0" w:firstRowFirstColumn="0" w:firstRowLastColumn="0" w:lastRowFirstColumn="0" w:lastRowLastColumn="0"/>
          <w:cantSplit/>
          <w:trHeight w:val="300"/>
          <w:tblHeader/>
        </w:trPr>
        <w:tc>
          <w:tcPr>
            <w:tcW w:w="959" w:type="pct"/>
            <w:tcBorders>
              <w:bottom w:val="nil"/>
            </w:tcBorders>
            <w:noWrap/>
          </w:tcPr>
          <w:p w14:paraId="36C3C53A" w14:textId="77777777" w:rsidR="00911F85" w:rsidRDefault="00911F85" w:rsidP="008742A1">
            <w:pPr>
              <w:pStyle w:val="TableHeading"/>
            </w:pPr>
          </w:p>
        </w:tc>
        <w:tc>
          <w:tcPr>
            <w:tcW w:w="2021" w:type="pct"/>
            <w:gridSpan w:val="2"/>
            <w:noWrap/>
          </w:tcPr>
          <w:p w14:paraId="0F72122C" w14:textId="77777777" w:rsidR="00911F85" w:rsidRPr="004F4EB3" w:rsidRDefault="00911F85" w:rsidP="008742A1">
            <w:pPr>
              <w:pStyle w:val="TableHeading"/>
              <w:jc w:val="center"/>
            </w:pPr>
            <w:r>
              <w:t xml:space="preserve">Proportion resolved </w:t>
            </w:r>
            <w:r w:rsidRPr="00096F1B">
              <w:rPr>
                <w:vertAlign w:val="superscript"/>
              </w:rPr>
              <w:t>a</w:t>
            </w:r>
          </w:p>
        </w:tc>
        <w:tc>
          <w:tcPr>
            <w:tcW w:w="2020" w:type="pct"/>
            <w:gridSpan w:val="2"/>
          </w:tcPr>
          <w:p w14:paraId="262FDC21" w14:textId="77777777" w:rsidR="00911F85" w:rsidRPr="004F4EB3" w:rsidRDefault="00911F85" w:rsidP="008742A1">
            <w:pPr>
              <w:pStyle w:val="TableHeading"/>
              <w:jc w:val="center"/>
            </w:pPr>
            <w:r>
              <w:t xml:space="preserve">Per cycle probability of resolution </w:t>
            </w:r>
            <w:r>
              <w:rPr>
                <w:vertAlign w:val="superscript"/>
              </w:rPr>
              <w:t>b</w:t>
            </w:r>
          </w:p>
        </w:tc>
      </w:tr>
      <w:tr w:rsidR="00911F85" w:rsidRPr="004F4EB3" w14:paraId="782F383D" w14:textId="77777777" w:rsidTr="008742A1">
        <w:trPr>
          <w:cnfStyle w:val="100000000000" w:firstRow="1" w:lastRow="0" w:firstColumn="0" w:lastColumn="0" w:oddVBand="0" w:evenVBand="0" w:oddHBand="0" w:evenHBand="0" w:firstRowFirstColumn="0" w:firstRowLastColumn="0" w:lastRowFirstColumn="0" w:lastRowLastColumn="0"/>
          <w:cantSplit/>
          <w:trHeight w:val="300"/>
          <w:tblHeader/>
        </w:trPr>
        <w:tc>
          <w:tcPr>
            <w:tcW w:w="959" w:type="pct"/>
            <w:tcBorders>
              <w:top w:val="nil"/>
            </w:tcBorders>
            <w:noWrap/>
          </w:tcPr>
          <w:p w14:paraId="098014CC" w14:textId="77777777" w:rsidR="00911F85" w:rsidRDefault="00911F85" w:rsidP="008742A1">
            <w:pPr>
              <w:pStyle w:val="TableHeading"/>
            </w:pPr>
          </w:p>
        </w:tc>
        <w:tc>
          <w:tcPr>
            <w:tcW w:w="1010" w:type="pct"/>
            <w:noWrap/>
          </w:tcPr>
          <w:p w14:paraId="11AA78F4" w14:textId="77777777" w:rsidR="00911F85" w:rsidRDefault="00911F85" w:rsidP="008742A1">
            <w:pPr>
              <w:pStyle w:val="TableHeading"/>
              <w:jc w:val="center"/>
            </w:pPr>
            <w:r>
              <w:t>Ig</w:t>
            </w:r>
          </w:p>
        </w:tc>
        <w:tc>
          <w:tcPr>
            <w:tcW w:w="1011" w:type="pct"/>
            <w:noWrap/>
          </w:tcPr>
          <w:p w14:paraId="53EEEDE0" w14:textId="77777777" w:rsidR="00911F85" w:rsidRPr="004F4EB3" w:rsidRDefault="00911F85" w:rsidP="008742A1">
            <w:pPr>
              <w:pStyle w:val="TableHeading"/>
              <w:jc w:val="center"/>
            </w:pPr>
            <w:r>
              <w:t>No Ig</w:t>
            </w:r>
          </w:p>
        </w:tc>
        <w:tc>
          <w:tcPr>
            <w:tcW w:w="1010" w:type="pct"/>
          </w:tcPr>
          <w:p w14:paraId="10287DEC" w14:textId="77777777" w:rsidR="00911F85" w:rsidRDefault="00911F85" w:rsidP="008742A1">
            <w:pPr>
              <w:pStyle w:val="TableHeading"/>
              <w:jc w:val="center"/>
            </w:pPr>
            <w:r>
              <w:t>Ig</w:t>
            </w:r>
          </w:p>
        </w:tc>
        <w:tc>
          <w:tcPr>
            <w:tcW w:w="1010" w:type="pct"/>
          </w:tcPr>
          <w:p w14:paraId="7C738E83" w14:textId="77777777" w:rsidR="00911F85" w:rsidRDefault="00911F85" w:rsidP="008742A1">
            <w:pPr>
              <w:pStyle w:val="TableHeading"/>
              <w:jc w:val="center"/>
            </w:pPr>
            <w:r>
              <w:t>No Ig</w:t>
            </w:r>
          </w:p>
        </w:tc>
      </w:tr>
      <w:tr w:rsidR="00911F85" w:rsidRPr="004F4EB3" w14:paraId="37BF0646" w14:textId="77777777" w:rsidTr="008742A1">
        <w:trPr>
          <w:cantSplit/>
          <w:trHeight w:val="300"/>
        </w:trPr>
        <w:tc>
          <w:tcPr>
            <w:tcW w:w="959" w:type="pct"/>
            <w:noWrap/>
            <w:hideMark/>
          </w:tcPr>
          <w:p w14:paraId="468D77B8" w14:textId="77777777" w:rsidR="00911F85" w:rsidRPr="004F4EB3" w:rsidRDefault="00911F85" w:rsidP="008742A1">
            <w:pPr>
              <w:pStyle w:val="Tabletext1"/>
            </w:pPr>
            <w:r w:rsidRPr="009549A0">
              <w:t>Cycle 1</w:t>
            </w:r>
          </w:p>
        </w:tc>
        <w:tc>
          <w:tcPr>
            <w:tcW w:w="1010" w:type="pct"/>
            <w:noWrap/>
            <w:hideMark/>
          </w:tcPr>
          <w:p w14:paraId="3C36958D" w14:textId="77777777" w:rsidR="00911F85" w:rsidRPr="004F4EB3" w:rsidRDefault="00911F85" w:rsidP="008742A1">
            <w:pPr>
              <w:pStyle w:val="Tabletext1"/>
              <w:jc w:val="center"/>
            </w:pPr>
            <w:r w:rsidRPr="007A2E98">
              <w:t>0.5938</w:t>
            </w:r>
          </w:p>
        </w:tc>
        <w:tc>
          <w:tcPr>
            <w:tcW w:w="1011" w:type="pct"/>
            <w:noWrap/>
            <w:hideMark/>
          </w:tcPr>
          <w:p w14:paraId="1514158C" w14:textId="77777777" w:rsidR="00911F85" w:rsidRPr="004F4EB3" w:rsidRDefault="00911F85" w:rsidP="008742A1">
            <w:pPr>
              <w:pStyle w:val="Tabletext1"/>
              <w:jc w:val="center"/>
            </w:pPr>
            <w:r w:rsidRPr="007A2E98">
              <w:t>0.5097</w:t>
            </w:r>
          </w:p>
        </w:tc>
        <w:tc>
          <w:tcPr>
            <w:tcW w:w="1010" w:type="pct"/>
          </w:tcPr>
          <w:p w14:paraId="3E8B4EBC" w14:textId="77777777" w:rsidR="00911F85" w:rsidRPr="004F4EB3" w:rsidRDefault="00911F85" w:rsidP="008742A1">
            <w:pPr>
              <w:pStyle w:val="Tabletext1"/>
              <w:jc w:val="center"/>
            </w:pPr>
            <w:r w:rsidRPr="000873AA">
              <w:t>59.4%</w:t>
            </w:r>
          </w:p>
        </w:tc>
        <w:tc>
          <w:tcPr>
            <w:tcW w:w="1010" w:type="pct"/>
          </w:tcPr>
          <w:p w14:paraId="015868F4" w14:textId="77777777" w:rsidR="00911F85" w:rsidRPr="004F4EB3" w:rsidRDefault="00911F85" w:rsidP="008742A1">
            <w:pPr>
              <w:pStyle w:val="Tabletext1"/>
              <w:jc w:val="center"/>
            </w:pPr>
            <w:r w:rsidRPr="000873AA">
              <w:t>51.0%</w:t>
            </w:r>
          </w:p>
        </w:tc>
      </w:tr>
      <w:tr w:rsidR="00911F85" w:rsidRPr="004F4EB3" w14:paraId="00B7C297" w14:textId="77777777" w:rsidTr="008742A1">
        <w:trPr>
          <w:cantSplit/>
          <w:trHeight w:val="300"/>
        </w:trPr>
        <w:tc>
          <w:tcPr>
            <w:tcW w:w="959" w:type="pct"/>
            <w:noWrap/>
            <w:hideMark/>
          </w:tcPr>
          <w:p w14:paraId="366076A9" w14:textId="77777777" w:rsidR="00911F85" w:rsidRPr="004F4EB3" w:rsidRDefault="00911F85" w:rsidP="008742A1">
            <w:pPr>
              <w:pStyle w:val="Tabletext1"/>
            </w:pPr>
            <w:r w:rsidRPr="009549A0">
              <w:lastRenderedPageBreak/>
              <w:t>Cycle 2</w:t>
            </w:r>
          </w:p>
        </w:tc>
        <w:tc>
          <w:tcPr>
            <w:tcW w:w="1010" w:type="pct"/>
            <w:noWrap/>
            <w:hideMark/>
          </w:tcPr>
          <w:p w14:paraId="2DB4FE6C" w14:textId="77777777" w:rsidR="00911F85" w:rsidRPr="004F4EB3" w:rsidRDefault="00911F85" w:rsidP="008742A1">
            <w:pPr>
              <w:pStyle w:val="Tabletext1"/>
              <w:jc w:val="center"/>
            </w:pPr>
            <w:r w:rsidRPr="007A2E98">
              <w:t>0.8444</w:t>
            </w:r>
          </w:p>
        </w:tc>
        <w:tc>
          <w:tcPr>
            <w:tcW w:w="1011" w:type="pct"/>
            <w:noWrap/>
            <w:hideMark/>
          </w:tcPr>
          <w:p w14:paraId="13914496" w14:textId="77777777" w:rsidR="00911F85" w:rsidRPr="004F4EB3" w:rsidRDefault="00911F85" w:rsidP="008742A1">
            <w:pPr>
              <w:pStyle w:val="Tabletext1"/>
              <w:jc w:val="center"/>
            </w:pPr>
            <w:r w:rsidRPr="007A2E98">
              <w:t>0.7948</w:t>
            </w:r>
          </w:p>
        </w:tc>
        <w:tc>
          <w:tcPr>
            <w:tcW w:w="1010" w:type="pct"/>
          </w:tcPr>
          <w:p w14:paraId="4700EFAE" w14:textId="77777777" w:rsidR="00911F85" w:rsidRPr="004F4EB3" w:rsidRDefault="00911F85" w:rsidP="008742A1">
            <w:pPr>
              <w:pStyle w:val="Tabletext1"/>
              <w:jc w:val="center"/>
            </w:pPr>
            <w:r w:rsidRPr="000873AA">
              <w:t>61.7%</w:t>
            </w:r>
          </w:p>
        </w:tc>
        <w:tc>
          <w:tcPr>
            <w:tcW w:w="1010" w:type="pct"/>
          </w:tcPr>
          <w:p w14:paraId="09F7C11A" w14:textId="77777777" w:rsidR="00911F85" w:rsidRPr="004F4EB3" w:rsidRDefault="00911F85" w:rsidP="008742A1">
            <w:pPr>
              <w:pStyle w:val="Tabletext1"/>
              <w:jc w:val="center"/>
            </w:pPr>
            <w:r w:rsidRPr="000873AA">
              <w:t>58.2%</w:t>
            </w:r>
          </w:p>
        </w:tc>
      </w:tr>
      <w:tr w:rsidR="00911F85" w:rsidRPr="004F4EB3" w14:paraId="10247D90" w14:textId="77777777" w:rsidTr="008742A1">
        <w:trPr>
          <w:cantSplit/>
          <w:trHeight w:val="300"/>
        </w:trPr>
        <w:tc>
          <w:tcPr>
            <w:tcW w:w="959" w:type="pct"/>
            <w:noWrap/>
            <w:hideMark/>
          </w:tcPr>
          <w:p w14:paraId="24B0BA8D" w14:textId="77777777" w:rsidR="00911F85" w:rsidRPr="004F4EB3" w:rsidRDefault="00911F85" w:rsidP="008742A1">
            <w:pPr>
              <w:pStyle w:val="Tabletext1"/>
            </w:pPr>
            <w:r w:rsidRPr="009549A0">
              <w:t>Cycle 3</w:t>
            </w:r>
          </w:p>
        </w:tc>
        <w:tc>
          <w:tcPr>
            <w:tcW w:w="1010" w:type="pct"/>
            <w:noWrap/>
            <w:hideMark/>
          </w:tcPr>
          <w:p w14:paraId="2AF186B2" w14:textId="77777777" w:rsidR="00911F85" w:rsidRPr="004F4EB3" w:rsidRDefault="00911F85" w:rsidP="008742A1">
            <w:pPr>
              <w:pStyle w:val="Tabletext1"/>
              <w:jc w:val="center"/>
            </w:pPr>
            <w:r w:rsidRPr="007A2E98">
              <w:t>0.9412</w:t>
            </w:r>
          </w:p>
        </w:tc>
        <w:tc>
          <w:tcPr>
            <w:tcW w:w="1011" w:type="pct"/>
            <w:noWrap/>
            <w:hideMark/>
          </w:tcPr>
          <w:p w14:paraId="0EC926FB" w14:textId="77777777" w:rsidR="00911F85" w:rsidRPr="004F4EB3" w:rsidRDefault="00911F85" w:rsidP="008742A1">
            <w:pPr>
              <w:pStyle w:val="Tabletext1"/>
              <w:jc w:val="center"/>
            </w:pPr>
            <w:r w:rsidRPr="007A2E98">
              <w:t>0.9176</w:t>
            </w:r>
          </w:p>
        </w:tc>
        <w:tc>
          <w:tcPr>
            <w:tcW w:w="1010" w:type="pct"/>
          </w:tcPr>
          <w:p w14:paraId="55E931E1" w14:textId="77777777" w:rsidR="00911F85" w:rsidRPr="004F4EB3" w:rsidRDefault="00911F85" w:rsidP="008742A1">
            <w:pPr>
              <w:pStyle w:val="Tabletext1"/>
              <w:jc w:val="center"/>
            </w:pPr>
            <w:r w:rsidRPr="000873AA">
              <w:t>62.2%</w:t>
            </w:r>
          </w:p>
        </w:tc>
        <w:tc>
          <w:tcPr>
            <w:tcW w:w="1010" w:type="pct"/>
          </w:tcPr>
          <w:p w14:paraId="6E2B59E4" w14:textId="77777777" w:rsidR="00911F85" w:rsidRPr="004F4EB3" w:rsidRDefault="00911F85" w:rsidP="008742A1">
            <w:pPr>
              <w:pStyle w:val="Tabletext1"/>
              <w:jc w:val="center"/>
            </w:pPr>
            <w:r w:rsidRPr="000873AA">
              <w:t>59.9%</w:t>
            </w:r>
          </w:p>
        </w:tc>
      </w:tr>
      <w:tr w:rsidR="00911F85" w:rsidRPr="004F4EB3" w14:paraId="6CF83F2B" w14:textId="77777777" w:rsidTr="008742A1">
        <w:trPr>
          <w:cantSplit/>
          <w:trHeight w:val="300"/>
        </w:trPr>
        <w:tc>
          <w:tcPr>
            <w:tcW w:w="959" w:type="pct"/>
            <w:noWrap/>
            <w:hideMark/>
          </w:tcPr>
          <w:p w14:paraId="62F1A8FE" w14:textId="77777777" w:rsidR="00911F85" w:rsidRPr="004F4EB3" w:rsidRDefault="00911F85" w:rsidP="008742A1">
            <w:pPr>
              <w:pStyle w:val="Tabletext1"/>
            </w:pPr>
            <w:r w:rsidRPr="009549A0">
              <w:t>Cycle 4</w:t>
            </w:r>
          </w:p>
        </w:tc>
        <w:tc>
          <w:tcPr>
            <w:tcW w:w="1010" w:type="pct"/>
            <w:noWrap/>
            <w:hideMark/>
          </w:tcPr>
          <w:p w14:paraId="6BED1481" w14:textId="77777777" w:rsidR="00911F85" w:rsidRPr="004F4EB3" w:rsidRDefault="00911F85" w:rsidP="008742A1">
            <w:pPr>
              <w:pStyle w:val="Tabletext1"/>
              <w:jc w:val="center"/>
            </w:pPr>
            <w:r w:rsidRPr="007A2E98">
              <w:t>0.9779</w:t>
            </w:r>
          </w:p>
        </w:tc>
        <w:tc>
          <w:tcPr>
            <w:tcW w:w="1011" w:type="pct"/>
            <w:noWrap/>
            <w:hideMark/>
          </w:tcPr>
          <w:p w14:paraId="013878DA" w14:textId="77777777" w:rsidR="00911F85" w:rsidRPr="004F4EB3" w:rsidRDefault="00911F85" w:rsidP="008742A1">
            <w:pPr>
              <w:pStyle w:val="Tabletext1"/>
              <w:jc w:val="center"/>
            </w:pPr>
            <w:r w:rsidRPr="007A2E98">
              <w:t>0.9676</w:t>
            </w:r>
          </w:p>
        </w:tc>
        <w:tc>
          <w:tcPr>
            <w:tcW w:w="1010" w:type="pct"/>
          </w:tcPr>
          <w:p w14:paraId="6E80EA88" w14:textId="77777777" w:rsidR="00911F85" w:rsidRPr="004F4EB3" w:rsidRDefault="00911F85" w:rsidP="008742A1">
            <w:pPr>
              <w:pStyle w:val="Tabletext1"/>
              <w:jc w:val="center"/>
            </w:pPr>
            <w:r w:rsidRPr="000873AA">
              <w:t>62.4%</w:t>
            </w:r>
          </w:p>
        </w:tc>
        <w:tc>
          <w:tcPr>
            <w:tcW w:w="1010" w:type="pct"/>
          </w:tcPr>
          <w:p w14:paraId="62B24B1B" w14:textId="77777777" w:rsidR="00911F85" w:rsidRPr="004F4EB3" w:rsidRDefault="00911F85" w:rsidP="008742A1">
            <w:pPr>
              <w:pStyle w:val="Tabletext1"/>
              <w:jc w:val="center"/>
            </w:pPr>
            <w:r w:rsidRPr="000873AA">
              <w:t>60.7%</w:t>
            </w:r>
          </w:p>
        </w:tc>
      </w:tr>
      <w:tr w:rsidR="00911F85" w:rsidRPr="004F4EB3" w14:paraId="72C53322" w14:textId="77777777" w:rsidTr="008742A1">
        <w:trPr>
          <w:cantSplit/>
          <w:trHeight w:val="300"/>
        </w:trPr>
        <w:tc>
          <w:tcPr>
            <w:tcW w:w="959" w:type="pct"/>
            <w:noWrap/>
          </w:tcPr>
          <w:p w14:paraId="0A9C5833" w14:textId="77777777" w:rsidR="00911F85" w:rsidRDefault="00911F85" w:rsidP="008742A1">
            <w:pPr>
              <w:pStyle w:val="Tabletext1"/>
            </w:pPr>
            <w:r w:rsidRPr="009549A0">
              <w:t>Cycle 5</w:t>
            </w:r>
          </w:p>
        </w:tc>
        <w:tc>
          <w:tcPr>
            <w:tcW w:w="1010" w:type="pct"/>
            <w:noWrap/>
          </w:tcPr>
          <w:p w14:paraId="2AF04E82" w14:textId="77777777" w:rsidR="00911F85" w:rsidRPr="00017884" w:rsidRDefault="00911F85" w:rsidP="008742A1">
            <w:pPr>
              <w:pStyle w:val="Tabletext1"/>
              <w:jc w:val="center"/>
            </w:pPr>
            <w:r w:rsidRPr="007A2E98">
              <w:t>0.9917</w:t>
            </w:r>
          </w:p>
        </w:tc>
        <w:tc>
          <w:tcPr>
            <w:tcW w:w="1011" w:type="pct"/>
            <w:noWrap/>
          </w:tcPr>
          <w:p w14:paraId="60008A9F" w14:textId="77777777" w:rsidR="00911F85" w:rsidRPr="004F4EB3" w:rsidRDefault="00911F85" w:rsidP="008742A1">
            <w:pPr>
              <w:pStyle w:val="Tabletext1"/>
              <w:jc w:val="center"/>
            </w:pPr>
            <w:r w:rsidRPr="007A2E98">
              <w:t>0.9874</w:t>
            </w:r>
          </w:p>
        </w:tc>
        <w:tc>
          <w:tcPr>
            <w:tcW w:w="1010" w:type="pct"/>
          </w:tcPr>
          <w:p w14:paraId="0FD2D4D9" w14:textId="77777777" w:rsidR="00911F85" w:rsidRPr="003F55D1" w:rsidRDefault="00911F85" w:rsidP="008742A1">
            <w:pPr>
              <w:pStyle w:val="Tabletext1"/>
              <w:jc w:val="center"/>
            </w:pPr>
            <w:r w:rsidRPr="000873AA">
              <w:t>62.6%</w:t>
            </w:r>
          </w:p>
        </w:tc>
        <w:tc>
          <w:tcPr>
            <w:tcW w:w="1010" w:type="pct"/>
          </w:tcPr>
          <w:p w14:paraId="263C4F91" w14:textId="77777777" w:rsidR="00911F85" w:rsidRPr="001E5977" w:rsidRDefault="00911F85" w:rsidP="008742A1">
            <w:pPr>
              <w:pStyle w:val="Tabletext1"/>
              <w:jc w:val="center"/>
            </w:pPr>
            <w:r w:rsidRPr="000873AA">
              <w:t>61.2%</w:t>
            </w:r>
          </w:p>
        </w:tc>
      </w:tr>
      <w:tr w:rsidR="00911F85" w:rsidRPr="004F4EB3" w14:paraId="49FBC8DD" w14:textId="77777777" w:rsidTr="008742A1">
        <w:trPr>
          <w:cantSplit/>
          <w:trHeight w:val="300"/>
        </w:trPr>
        <w:tc>
          <w:tcPr>
            <w:tcW w:w="959" w:type="pct"/>
            <w:noWrap/>
          </w:tcPr>
          <w:p w14:paraId="124787CE" w14:textId="77777777" w:rsidR="00911F85" w:rsidRDefault="00911F85" w:rsidP="008742A1">
            <w:pPr>
              <w:pStyle w:val="Tabletext1"/>
            </w:pPr>
            <w:r w:rsidRPr="009549A0">
              <w:t>Cycle 6</w:t>
            </w:r>
          </w:p>
        </w:tc>
        <w:tc>
          <w:tcPr>
            <w:tcW w:w="1010" w:type="pct"/>
            <w:noWrap/>
          </w:tcPr>
          <w:p w14:paraId="5D31A567" w14:textId="77777777" w:rsidR="00911F85" w:rsidRPr="00017884" w:rsidRDefault="00911F85" w:rsidP="008742A1">
            <w:pPr>
              <w:pStyle w:val="Tabletext1"/>
              <w:jc w:val="center"/>
            </w:pPr>
            <w:r w:rsidRPr="007A2E98">
              <w:t>0.9969</w:t>
            </w:r>
          </w:p>
        </w:tc>
        <w:tc>
          <w:tcPr>
            <w:tcW w:w="1011" w:type="pct"/>
            <w:noWrap/>
          </w:tcPr>
          <w:p w14:paraId="54A349C4" w14:textId="77777777" w:rsidR="00911F85" w:rsidRPr="004F4EB3" w:rsidRDefault="00911F85" w:rsidP="008742A1">
            <w:pPr>
              <w:pStyle w:val="Tabletext1"/>
              <w:jc w:val="center"/>
            </w:pPr>
            <w:r w:rsidRPr="007A2E98">
              <w:t>0.9952</w:t>
            </w:r>
          </w:p>
        </w:tc>
        <w:tc>
          <w:tcPr>
            <w:tcW w:w="1010" w:type="pct"/>
          </w:tcPr>
          <w:p w14:paraId="1751CCE1" w14:textId="77777777" w:rsidR="00911F85" w:rsidRPr="003F55D1" w:rsidRDefault="00911F85" w:rsidP="008742A1">
            <w:pPr>
              <w:pStyle w:val="Tabletext1"/>
              <w:jc w:val="center"/>
            </w:pPr>
            <w:r w:rsidRPr="000873AA">
              <w:t>62.7%</w:t>
            </w:r>
          </w:p>
        </w:tc>
        <w:tc>
          <w:tcPr>
            <w:tcW w:w="1010" w:type="pct"/>
          </w:tcPr>
          <w:p w14:paraId="382DA410" w14:textId="77777777" w:rsidR="00911F85" w:rsidRPr="001E5977" w:rsidRDefault="00911F85" w:rsidP="008742A1">
            <w:pPr>
              <w:pStyle w:val="Tabletext1"/>
              <w:jc w:val="center"/>
            </w:pPr>
            <w:r w:rsidRPr="000873AA">
              <w:t>61.5%</w:t>
            </w:r>
          </w:p>
        </w:tc>
      </w:tr>
      <w:tr w:rsidR="00911F85" w:rsidRPr="004F4EB3" w14:paraId="4F7C2D2F" w14:textId="77777777" w:rsidTr="008742A1">
        <w:trPr>
          <w:cantSplit/>
          <w:trHeight w:val="300"/>
        </w:trPr>
        <w:tc>
          <w:tcPr>
            <w:tcW w:w="959" w:type="pct"/>
            <w:noWrap/>
          </w:tcPr>
          <w:p w14:paraId="5B5591F6" w14:textId="77777777" w:rsidR="00911F85" w:rsidRDefault="00911F85" w:rsidP="008742A1">
            <w:pPr>
              <w:pStyle w:val="Tabletext1"/>
            </w:pPr>
            <w:r w:rsidRPr="009549A0">
              <w:t>Cycle 7</w:t>
            </w:r>
          </w:p>
        </w:tc>
        <w:tc>
          <w:tcPr>
            <w:tcW w:w="1010" w:type="pct"/>
            <w:noWrap/>
          </w:tcPr>
          <w:p w14:paraId="7CCD75BC" w14:textId="77777777" w:rsidR="00911F85" w:rsidRPr="00017884" w:rsidRDefault="00911F85" w:rsidP="008742A1">
            <w:pPr>
              <w:pStyle w:val="Tabletext1"/>
              <w:jc w:val="center"/>
            </w:pPr>
            <w:r w:rsidRPr="007A2E98">
              <w:t>0.9989</w:t>
            </w:r>
          </w:p>
        </w:tc>
        <w:tc>
          <w:tcPr>
            <w:tcW w:w="1011" w:type="pct"/>
            <w:noWrap/>
          </w:tcPr>
          <w:p w14:paraId="712AB8A9" w14:textId="77777777" w:rsidR="00911F85" w:rsidRPr="004F4EB3" w:rsidRDefault="00911F85" w:rsidP="008742A1">
            <w:pPr>
              <w:pStyle w:val="Tabletext1"/>
              <w:jc w:val="center"/>
            </w:pPr>
            <w:r w:rsidRPr="007A2E98">
              <w:t>0.9981</w:t>
            </w:r>
          </w:p>
        </w:tc>
        <w:tc>
          <w:tcPr>
            <w:tcW w:w="1010" w:type="pct"/>
          </w:tcPr>
          <w:p w14:paraId="0EFB25E8" w14:textId="77777777" w:rsidR="00911F85" w:rsidRPr="003F55D1" w:rsidRDefault="00911F85" w:rsidP="008742A1">
            <w:pPr>
              <w:pStyle w:val="Tabletext1"/>
              <w:jc w:val="center"/>
            </w:pPr>
            <w:r w:rsidRPr="000873AA">
              <w:t>62.8%</w:t>
            </w:r>
          </w:p>
        </w:tc>
        <w:tc>
          <w:tcPr>
            <w:tcW w:w="1010" w:type="pct"/>
          </w:tcPr>
          <w:p w14:paraId="53E9E828" w14:textId="77777777" w:rsidR="00911F85" w:rsidRPr="001E5977" w:rsidRDefault="00911F85" w:rsidP="008742A1">
            <w:pPr>
              <w:pStyle w:val="Tabletext1"/>
              <w:jc w:val="center"/>
            </w:pPr>
            <w:r w:rsidRPr="000873AA">
              <w:t>61.7%</w:t>
            </w:r>
          </w:p>
        </w:tc>
      </w:tr>
      <w:tr w:rsidR="00911F85" w:rsidRPr="004F4EB3" w14:paraId="0576BBF0" w14:textId="77777777" w:rsidTr="008742A1">
        <w:trPr>
          <w:cantSplit/>
          <w:trHeight w:val="300"/>
        </w:trPr>
        <w:tc>
          <w:tcPr>
            <w:tcW w:w="959" w:type="pct"/>
            <w:noWrap/>
          </w:tcPr>
          <w:p w14:paraId="69DE3811" w14:textId="77777777" w:rsidR="00911F85" w:rsidRDefault="00911F85" w:rsidP="008742A1">
            <w:pPr>
              <w:pStyle w:val="Tabletext1"/>
            </w:pPr>
            <w:r w:rsidRPr="009549A0">
              <w:t>Cycle 8</w:t>
            </w:r>
          </w:p>
        </w:tc>
        <w:tc>
          <w:tcPr>
            <w:tcW w:w="1010" w:type="pct"/>
            <w:noWrap/>
          </w:tcPr>
          <w:p w14:paraId="0D19D5C5" w14:textId="77777777" w:rsidR="00911F85" w:rsidRPr="00017884" w:rsidRDefault="00911F85" w:rsidP="008742A1">
            <w:pPr>
              <w:pStyle w:val="Tabletext1"/>
              <w:jc w:val="center"/>
            </w:pPr>
            <w:r w:rsidRPr="007A2E98">
              <w:t>0.9996</w:t>
            </w:r>
          </w:p>
        </w:tc>
        <w:tc>
          <w:tcPr>
            <w:tcW w:w="1011" w:type="pct"/>
            <w:noWrap/>
          </w:tcPr>
          <w:p w14:paraId="332AA821" w14:textId="77777777" w:rsidR="00911F85" w:rsidRPr="004F4EB3" w:rsidRDefault="00911F85" w:rsidP="008742A1">
            <w:pPr>
              <w:pStyle w:val="Tabletext1"/>
              <w:jc w:val="center"/>
            </w:pPr>
            <w:r w:rsidRPr="007A2E98">
              <w:t>0.9993</w:t>
            </w:r>
          </w:p>
        </w:tc>
        <w:tc>
          <w:tcPr>
            <w:tcW w:w="1010" w:type="pct"/>
          </w:tcPr>
          <w:p w14:paraId="0680D15C" w14:textId="77777777" w:rsidR="00911F85" w:rsidRPr="003F55D1" w:rsidRDefault="00911F85" w:rsidP="008742A1">
            <w:pPr>
              <w:pStyle w:val="Tabletext1"/>
              <w:jc w:val="center"/>
            </w:pPr>
            <w:r w:rsidRPr="000873AA">
              <w:t>62.8%</w:t>
            </w:r>
          </w:p>
        </w:tc>
        <w:tc>
          <w:tcPr>
            <w:tcW w:w="1010" w:type="pct"/>
          </w:tcPr>
          <w:p w14:paraId="16EC61F5" w14:textId="77777777" w:rsidR="00911F85" w:rsidRPr="001E5977" w:rsidRDefault="00911F85" w:rsidP="008742A1">
            <w:pPr>
              <w:pStyle w:val="Tabletext1"/>
              <w:jc w:val="center"/>
            </w:pPr>
            <w:r w:rsidRPr="000873AA">
              <w:t>61.9%</w:t>
            </w:r>
          </w:p>
        </w:tc>
      </w:tr>
      <w:tr w:rsidR="00911F85" w:rsidRPr="004F4EB3" w14:paraId="64853D6C" w14:textId="77777777" w:rsidTr="008742A1">
        <w:trPr>
          <w:cantSplit/>
          <w:trHeight w:val="300"/>
        </w:trPr>
        <w:tc>
          <w:tcPr>
            <w:tcW w:w="959" w:type="pct"/>
            <w:noWrap/>
          </w:tcPr>
          <w:p w14:paraId="3714A80D" w14:textId="77777777" w:rsidR="00911F85" w:rsidRDefault="00911F85" w:rsidP="008742A1">
            <w:pPr>
              <w:pStyle w:val="Tabletext1"/>
            </w:pPr>
            <w:r w:rsidRPr="009549A0">
              <w:t>Cycle 9</w:t>
            </w:r>
          </w:p>
        </w:tc>
        <w:tc>
          <w:tcPr>
            <w:tcW w:w="1010" w:type="pct"/>
            <w:noWrap/>
          </w:tcPr>
          <w:p w14:paraId="2E7FC79A" w14:textId="77777777" w:rsidR="00911F85" w:rsidRPr="00017884" w:rsidRDefault="00911F85" w:rsidP="008742A1">
            <w:pPr>
              <w:pStyle w:val="Tabletext1"/>
              <w:jc w:val="center"/>
            </w:pPr>
            <w:r w:rsidRPr="007A2E98">
              <w:t>0.9998</w:t>
            </w:r>
          </w:p>
        </w:tc>
        <w:tc>
          <w:tcPr>
            <w:tcW w:w="1011" w:type="pct"/>
            <w:noWrap/>
          </w:tcPr>
          <w:p w14:paraId="7719205B" w14:textId="77777777" w:rsidR="00911F85" w:rsidRPr="004F4EB3" w:rsidRDefault="00911F85" w:rsidP="008742A1">
            <w:pPr>
              <w:pStyle w:val="Tabletext1"/>
              <w:jc w:val="center"/>
            </w:pPr>
            <w:r w:rsidRPr="007A2E98">
              <w:t>0.9997</w:t>
            </w:r>
          </w:p>
        </w:tc>
        <w:tc>
          <w:tcPr>
            <w:tcW w:w="1010" w:type="pct"/>
          </w:tcPr>
          <w:p w14:paraId="19FB32DB" w14:textId="77777777" w:rsidR="00911F85" w:rsidRPr="003F55D1" w:rsidRDefault="00911F85" w:rsidP="008742A1">
            <w:pPr>
              <w:pStyle w:val="Tabletext1"/>
              <w:jc w:val="center"/>
            </w:pPr>
            <w:r w:rsidRPr="000873AA">
              <w:t>62.9%</w:t>
            </w:r>
          </w:p>
        </w:tc>
        <w:tc>
          <w:tcPr>
            <w:tcW w:w="1010" w:type="pct"/>
          </w:tcPr>
          <w:p w14:paraId="54DAAF55" w14:textId="77777777" w:rsidR="00911F85" w:rsidRPr="001E5977" w:rsidRDefault="00911F85" w:rsidP="008742A1">
            <w:pPr>
              <w:pStyle w:val="Tabletext1"/>
              <w:jc w:val="center"/>
            </w:pPr>
            <w:r w:rsidRPr="000873AA">
              <w:t>62.1%</w:t>
            </w:r>
          </w:p>
        </w:tc>
      </w:tr>
      <w:tr w:rsidR="00911F85" w:rsidRPr="004F4EB3" w14:paraId="6DA303D6" w14:textId="77777777" w:rsidTr="008742A1">
        <w:trPr>
          <w:cantSplit/>
          <w:trHeight w:val="300"/>
        </w:trPr>
        <w:tc>
          <w:tcPr>
            <w:tcW w:w="959" w:type="pct"/>
            <w:noWrap/>
          </w:tcPr>
          <w:p w14:paraId="66924780" w14:textId="77777777" w:rsidR="00911F85" w:rsidRDefault="00911F85" w:rsidP="008742A1">
            <w:pPr>
              <w:pStyle w:val="Tabletext1"/>
            </w:pPr>
            <w:r w:rsidRPr="009549A0">
              <w:t>Cycle 10</w:t>
            </w:r>
          </w:p>
        </w:tc>
        <w:tc>
          <w:tcPr>
            <w:tcW w:w="1010" w:type="pct"/>
            <w:noWrap/>
          </w:tcPr>
          <w:p w14:paraId="14CDEF97" w14:textId="77777777" w:rsidR="00911F85" w:rsidRPr="00017884" w:rsidRDefault="00911F85" w:rsidP="008742A1">
            <w:pPr>
              <w:pStyle w:val="Tabletext1"/>
              <w:jc w:val="center"/>
            </w:pPr>
            <w:r w:rsidRPr="007A2E98">
              <w:t>0.9999</w:t>
            </w:r>
          </w:p>
        </w:tc>
        <w:tc>
          <w:tcPr>
            <w:tcW w:w="1011" w:type="pct"/>
            <w:noWrap/>
          </w:tcPr>
          <w:p w14:paraId="3B6D3186" w14:textId="77777777" w:rsidR="00911F85" w:rsidRPr="004F4EB3" w:rsidRDefault="00911F85" w:rsidP="008742A1">
            <w:pPr>
              <w:pStyle w:val="Tabletext1"/>
              <w:jc w:val="center"/>
            </w:pPr>
            <w:r w:rsidRPr="007A2E98">
              <w:t>0.9999</w:t>
            </w:r>
          </w:p>
        </w:tc>
        <w:tc>
          <w:tcPr>
            <w:tcW w:w="1010" w:type="pct"/>
          </w:tcPr>
          <w:p w14:paraId="6711A7F6" w14:textId="77777777" w:rsidR="00911F85" w:rsidRPr="003F55D1" w:rsidRDefault="00911F85" w:rsidP="008742A1">
            <w:pPr>
              <w:pStyle w:val="Tabletext1"/>
              <w:jc w:val="center"/>
            </w:pPr>
            <w:r w:rsidRPr="000873AA">
              <w:t>62.9%</w:t>
            </w:r>
          </w:p>
        </w:tc>
        <w:tc>
          <w:tcPr>
            <w:tcW w:w="1010" w:type="pct"/>
          </w:tcPr>
          <w:p w14:paraId="2B6570BE" w14:textId="77777777" w:rsidR="00911F85" w:rsidRPr="001E5977" w:rsidRDefault="00911F85" w:rsidP="008742A1">
            <w:pPr>
              <w:pStyle w:val="Tabletext1"/>
              <w:jc w:val="center"/>
            </w:pPr>
            <w:r w:rsidRPr="000873AA">
              <w:t>62.2%</w:t>
            </w:r>
          </w:p>
        </w:tc>
      </w:tr>
      <w:tr w:rsidR="00911F85" w:rsidRPr="004F4EB3" w14:paraId="32917935" w14:textId="77777777" w:rsidTr="008742A1">
        <w:trPr>
          <w:cantSplit/>
          <w:trHeight w:val="300"/>
        </w:trPr>
        <w:tc>
          <w:tcPr>
            <w:tcW w:w="959" w:type="pct"/>
            <w:noWrap/>
          </w:tcPr>
          <w:p w14:paraId="21D70847" w14:textId="77777777" w:rsidR="00911F85" w:rsidRDefault="00911F85" w:rsidP="008742A1">
            <w:pPr>
              <w:pStyle w:val="Tabletext1"/>
            </w:pPr>
            <w:r w:rsidRPr="009549A0">
              <w:t>Cycle 11</w:t>
            </w:r>
          </w:p>
        </w:tc>
        <w:tc>
          <w:tcPr>
            <w:tcW w:w="1010" w:type="pct"/>
            <w:noWrap/>
          </w:tcPr>
          <w:p w14:paraId="5165560C" w14:textId="77777777" w:rsidR="00911F85" w:rsidRPr="00017884" w:rsidRDefault="00911F85" w:rsidP="008742A1">
            <w:pPr>
              <w:pStyle w:val="Tabletext1"/>
              <w:jc w:val="center"/>
            </w:pPr>
            <w:r w:rsidRPr="007A2E98">
              <w:t>1.0000</w:t>
            </w:r>
          </w:p>
        </w:tc>
        <w:tc>
          <w:tcPr>
            <w:tcW w:w="1011" w:type="pct"/>
            <w:noWrap/>
          </w:tcPr>
          <w:p w14:paraId="37A2E46D" w14:textId="77777777" w:rsidR="00911F85" w:rsidRPr="004F4EB3" w:rsidRDefault="00911F85" w:rsidP="008742A1">
            <w:pPr>
              <w:pStyle w:val="Tabletext1"/>
              <w:jc w:val="center"/>
            </w:pPr>
            <w:r w:rsidRPr="007A2E98">
              <w:t>1.0000</w:t>
            </w:r>
          </w:p>
        </w:tc>
        <w:tc>
          <w:tcPr>
            <w:tcW w:w="1010" w:type="pct"/>
          </w:tcPr>
          <w:p w14:paraId="7F21E9CF" w14:textId="77777777" w:rsidR="00911F85" w:rsidRPr="003F55D1" w:rsidRDefault="00911F85" w:rsidP="008742A1">
            <w:pPr>
              <w:pStyle w:val="Tabletext1"/>
              <w:jc w:val="center"/>
            </w:pPr>
            <w:r w:rsidRPr="000873AA">
              <w:t>62.9%</w:t>
            </w:r>
          </w:p>
        </w:tc>
        <w:tc>
          <w:tcPr>
            <w:tcW w:w="1010" w:type="pct"/>
          </w:tcPr>
          <w:p w14:paraId="53139D97" w14:textId="77777777" w:rsidR="00911F85" w:rsidRPr="001E5977" w:rsidRDefault="00911F85" w:rsidP="008742A1">
            <w:pPr>
              <w:pStyle w:val="Tabletext1"/>
              <w:jc w:val="center"/>
            </w:pPr>
            <w:r w:rsidRPr="000873AA">
              <w:t>62.3%</w:t>
            </w:r>
          </w:p>
        </w:tc>
      </w:tr>
    </w:tbl>
    <w:p w14:paraId="11E3A772" w14:textId="66BDBDAD" w:rsidR="00911F85" w:rsidRDefault="00911F85" w:rsidP="00911F85">
      <w:pPr>
        <w:pStyle w:val="Tablenotes1"/>
      </w:pPr>
      <w:r w:rsidRPr="00096F1B">
        <w:rPr>
          <w:vertAlign w:val="superscript"/>
        </w:rPr>
        <w:t>a</w:t>
      </w:r>
      <w:r>
        <w:t xml:space="preserve"> Gamma distributions assuming the alpha parameter is equal to the average duration of infection, estimated in </w:t>
      </w:r>
      <w:r>
        <w:fldChar w:fldCharType="begin"/>
      </w:r>
      <w:r>
        <w:instrText xml:space="preserve"> REF _Ref12894613 \h </w:instrText>
      </w:r>
      <w:r>
        <w:fldChar w:fldCharType="separate"/>
      </w:r>
      <w:r w:rsidR="00A7463B" w:rsidRPr="009F34B1">
        <w:t xml:space="preserve">Table </w:t>
      </w:r>
      <w:r w:rsidR="00A7463B">
        <w:rPr>
          <w:noProof/>
        </w:rPr>
        <w:t>40</w:t>
      </w:r>
      <w:r>
        <w:fldChar w:fldCharType="end"/>
      </w:r>
      <w:r>
        <w:t xml:space="preserve"> above, and that the beta parameter equals 1.</w:t>
      </w:r>
    </w:p>
    <w:p w14:paraId="659B74F0" w14:textId="77777777" w:rsidR="00911F85" w:rsidRDefault="00911F85" w:rsidP="00911F85">
      <w:pPr>
        <w:pStyle w:val="Tablenotes1"/>
      </w:pPr>
      <w:r w:rsidRPr="00096F1B">
        <w:rPr>
          <w:vertAlign w:val="superscript"/>
        </w:rPr>
        <w:t>b</w:t>
      </w:r>
      <w:r>
        <w:t xml:space="preserve"> Calculated as the proportion resolved at t minus the proportion resolved at t−1, divided by 1 minus the proportion resolved at t−1, e.g. in cycle 2 in the Ig model arm, (0.84 – 0.59)/(1 − 0.59).</w:t>
      </w:r>
    </w:p>
    <w:p w14:paraId="17E201B1" w14:textId="77777777" w:rsidR="00911F85" w:rsidRPr="00E86BCE" w:rsidRDefault="00911F85" w:rsidP="00911F85">
      <w:pPr>
        <w:pStyle w:val="Tablenotes1"/>
      </w:pPr>
      <w:r>
        <w:t>Ig = immunoglobulin.</w:t>
      </w:r>
    </w:p>
    <w:p w14:paraId="5467A95C" w14:textId="14E47208" w:rsidR="00911F85" w:rsidRDefault="00911F85" w:rsidP="00911F85">
      <w:r>
        <w:t xml:space="preserve">In Section D.6, a sensitivity analysis is presented using the transition probability from the IVIg arm of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 xml:space="preserve"> for both model arms (59.2%), however this is considered to underestimate the cost-effectiveness of Ig as infections tended to be less severe. Different per-cycle probabilities of infection resolution are considered to be more reasonable.</w:t>
      </w:r>
    </w:p>
    <w:p w14:paraId="27D901E5" w14:textId="77777777" w:rsidR="00911F85" w:rsidRDefault="00911F85" w:rsidP="00911F85">
      <w:pPr>
        <w:pStyle w:val="Heading5"/>
      </w:pPr>
      <w:r>
        <w:t>Transitions from the infection health state</w:t>
      </w:r>
    </w:p>
    <w:p w14:paraId="4B2A6F01" w14:textId="02B8FABB" w:rsidR="00911F85" w:rsidRDefault="00911F85" w:rsidP="00911F85">
      <w:r>
        <w:t>Aside from infection resolution, other transitions from the infection health state include those to the bronchiectasis, bronchiectasis with infection and dead health states. As the per-cycle probabilities of resolution vary according to time in the health state (</w:t>
      </w:r>
      <w:r>
        <w:fldChar w:fldCharType="begin"/>
      </w:r>
      <w:r>
        <w:instrText xml:space="preserve"> REF _Ref12894634 \h </w:instrText>
      </w:r>
      <w:r>
        <w:fldChar w:fldCharType="separate"/>
      </w:r>
      <w:r w:rsidR="00A7463B" w:rsidRPr="009F34B1">
        <w:t xml:space="preserve">Table </w:t>
      </w:r>
      <w:r w:rsidR="00A7463B">
        <w:rPr>
          <w:noProof/>
        </w:rPr>
        <w:t>41</w:t>
      </w:r>
      <w:r>
        <w:fldChar w:fldCharType="end"/>
      </w:r>
      <w:r>
        <w:t xml:space="preserve">), these other transitions have been adjusted to maintain the same relative proportions per cycle (see </w:t>
      </w:r>
      <w:r>
        <w:fldChar w:fldCharType="begin"/>
      </w:r>
      <w:r>
        <w:instrText xml:space="preserve"> REF _Ref10196703 \h </w:instrText>
      </w:r>
      <w:r>
        <w:fldChar w:fldCharType="separate"/>
      </w:r>
      <w:r w:rsidR="00A7463B">
        <w:t xml:space="preserve">Table </w:t>
      </w:r>
      <w:r w:rsidR="00A7463B">
        <w:rPr>
          <w:noProof/>
        </w:rPr>
        <w:t>37</w:t>
      </w:r>
      <w:r>
        <w:fldChar w:fldCharType="end"/>
      </w:r>
      <w:r>
        <w:t>). The relative weight of these other transitions were assumed as per Windegger et al.</w:t>
      </w:r>
      <w:r w:rsidRPr="004408F2">
        <w:t xml:space="preserve">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 76.6% for remaining in the infection state, 15.4% transitioning to the bronchiectasis health state, 7.6% to bronchiectasis with infection health state and 0.3% to dead.</w:t>
      </w:r>
    </w:p>
    <w:p w14:paraId="35F157C6" w14:textId="62D4A589" w:rsidR="00911F85" w:rsidRDefault="00911F85" w:rsidP="00911F85">
      <w:pPr>
        <w:pStyle w:val="Caption"/>
        <w:keepNext/>
      </w:pPr>
      <w:bookmarkStart w:id="486" w:name="_Toc14348877"/>
      <w:bookmarkStart w:id="487" w:name="_Toc14429583"/>
      <w:bookmarkStart w:id="488" w:name="_Toc16671640"/>
      <w:r>
        <w:t xml:space="preserve">Table </w:t>
      </w:r>
      <w:r>
        <w:rPr>
          <w:noProof/>
        </w:rPr>
        <w:fldChar w:fldCharType="begin"/>
      </w:r>
      <w:r>
        <w:rPr>
          <w:noProof/>
        </w:rPr>
        <w:instrText xml:space="preserve"> SEQ Table \* ARABIC </w:instrText>
      </w:r>
      <w:r>
        <w:rPr>
          <w:noProof/>
        </w:rPr>
        <w:fldChar w:fldCharType="separate"/>
      </w:r>
      <w:r w:rsidR="00A7463B">
        <w:rPr>
          <w:noProof/>
        </w:rPr>
        <w:t>42</w:t>
      </w:r>
      <w:r>
        <w:rPr>
          <w:noProof/>
        </w:rPr>
        <w:fldChar w:fldCharType="end"/>
      </w:r>
      <w:r>
        <w:tab/>
        <w:t>Remaining transition probabilities from the infection health state</w:t>
      </w:r>
      <w:bookmarkEnd w:id="486"/>
      <w:bookmarkEnd w:id="487"/>
      <w:bookmarkEnd w:id="488"/>
    </w:p>
    <w:tbl>
      <w:tblPr>
        <w:tblStyle w:val="TableGrid1"/>
        <w:tblW w:w="5000" w:type="pct"/>
        <w:tblLook w:val="04A0" w:firstRow="1" w:lastRow="0" w:firstColumn="1" w:lastColumn="0" w:noHBand="0" w:noVBand="1"/>
        <w:tblCaption w:val="Remaining transition probabilities from the infection health state"/>
      </w:tblPr>
      <w:tblGrid>
        <w:gridCol w:w="1592"/>
        <w:gridCol w:w="955"/>
        <w:gridCol w:w="956"/>
        <w:gridCol w:w="956"/>
        <w:gridCol w:w="959"/>
        <w:gridCol w:w="956"/>
        <w:gridCol w:w="956"/>
        <w:gridCol w:w="956"/>
        <w:gridCol w:w="956"/>
      </w:tblGrid>
      <w:tr w:rsidR="00911F85" w:rsidRPr="005961A6" w14:paraId="37A679A9" w14:textId="77777777" w:rsidTr="008742A1">
        <w:trPr>
          <w:cnfStyle w:val="100000000000" w:firstRow="1" w:lastRow="0" w:firstColumn="0" w:lastColumn="0" w:oddVBand="0" w:evenVBand="0" w:oddHBand="0" w:evenHBand="0" w:firstRowFirstColumn="0" w:firstRowLastColumn="0" w:lastRowFirstColumn="0" w:lastRowLastColumn="0"/>
          <w:trHeight w:val="300"/>
          <w:tblHeader/>
        </w:trPr>
        <w:tc>
          <w:tcPr>
            <w:tcW w:w="862" w:type="pct"/>
            <w:tcBorders>
              <w:bottom w:val="nil"/>
            </w:tcBorders>
            <w:noWrap/>
          </w:tcPr>
          <w:p w14:paraId="06C11BAD" w14:textId="77777777" w:rsidR="00911F85" w:rsidRPr="005961A6" w:rsidRDefault="00911F85" w:rsidP="008742A1">
            <w:pPr>
              <w:pStyle w:val="TableHeading"/>
            </w:pPr>
          </w:p>
        </w:tc>
        <w:tc>
          <w:tcPr>
            <w:tcW w:w="2070" w:type="pct"/>
            <w:gridSpan w:val="4"/>
            <w:tcBorders>
              <w:bottom w:val="single" w:sz="4" w:space="0" w:color="auto"/>
              <w:right w:val="double" w:sz="4" w:space="0" w:color="auto"/>
            </w:tcBorders>
            <w:noWrap/>
          </w:tcPr>
          <w:p w14:paraId="394F8008" w14:textId="77777777" w:rsidR="00911F85" w:rsidRPr="005961A6" w:rsidRDefault="00911F85" w:rsidP="008742A1">
            <w:pPr>
              <w:pStyle w:val="TableHeading"/>
              <w:jc w:val="center"/>
              <w:rPr>
                <w:rFonts w:cs="Calibri"/>
                <w:color w:val="000000"/>
              </w:rPr>
            </w:pPr>
            <w:r>
              <w:rPr>
                <w:rFonts w:cs="Calibri"/>
                <w:color w:val="000000"/>
              </w:rPr>
              <w:t>Ig</w:t>
            </w:r>
          </w:p>
        </w:tc>
        <w:tc>
          <w:tcPr>
            <w:tcW w:w="2067" w:type="pct"/>
            <w:gridSpan w:val="4"/>
            <w:tcBorders>
              <w:left w:val="double" w:sz="4" w:space="0" w:color="auto"/>
              <w:bottom w:val="single" w:sz="4" w:space="0" w:color="auto"/>
            </w:tcBorders>
            <w:noWrap/>
          </w:tcPr>
          <w:p w14:paraId="39EF97FC" w14:textId="77777777" w:rsidR="00911F85" w:rsidRPr="005961A6" w:rsidRDefault="00911F85" w:rsidP="008742A1">
            <w:pPr>
              <w:pStyle w:val="TableHeading"/>
              <w:jc w:val="center"/>
              <w:rPr>
                <w:rFonts w:cs="Calibri"/>
                <w:color w:val="000000"/>
              </w:rPr>
            </w:pPr>
            <w:r>
              <w:rPr>
                <w:rFonts w:cs="Calibri"/>
                <w:color w:val="000000"/>
              </w:rPr>
              <w:t>No Ig</w:t>
            </w:r>
          </w:p>
        </w:tc>
      </w:tr>
      <w:tr w:rsidR="00911F85" w:rsidRPr="005961A6" w14:paraId="5A3FF0C1" w14:textId="77777777" w:rsidTr="008742A1">
        <w:trPr>
          <w:cnfStyle w:val="100000000000" w:firstRow="1" w:lastRow="0" w:firstColumn="0" w:lastColumn="0" w:oddVBand="0" w:evenVBand="0" w:oddHBand="0" w:evenHBand="0" w:firstRowFirstColumn="0" w:firstRowLastColumn="0" w:lastRowFirstColumn="0" w:lastRowLastColumn="0"/>
          <w:trHeight w:val="300"/>
          <w:tblHeader/>
        </w:trPr>
        <w:tc>
          <w:tcPr>
            <w:tcW w:w="862" w:type="pct"/>
            <w:tcBorders>
              <w:top w:val="nil"/>
              <w:bottom w:val="nil"/>
            </w:tcBorders>
            <w:noWrap/>
            <w:hideMark/>
          </w:tcPr>
          <w:p w14:paraId="08961D71" w14:textId="77777777" w:rsidR="00911F85" w:rsidRPr="005961A6" w:rsidRDefault="00911F85" w:rsidP="008742A1">
            <w:pPr>
              <w:pStyle w:val="TableHeading"/>
            </w:pPr>
          </w:p>
        </w:tc>
        <w:tc>
          <w:tcPr>
            <w:tcW w:w="517" w:type="pct"/>
            <w:tcBorders>
              <w:bottom w:val="nil"/>
            </w:tcBorders>
            <w:noWrap/>
            <w:hideMark/>
          </w:tcPr>
          <w:p w14:paraId="01F431C0" w14:textId="77777777" w:rsidR="00911F85" w:rsidRPr="005961A6" w:rsidRDefault="00911F85" w:rsidP="008742A1">
            <w:pPr>
              <w:pStyle w:val="TableHeading"/>
              <w:jc w:val="center"/>
              <w:rPr>
                <w:rFonts w:cs="Calibri"/>
                <w:color w:val="000000"/>
              </w:rPr>
            </w:pPr>
            <w:r w:rsidRPr="005961A6">
              <w:rPr>
                <w:rFonts w:cs="Calibri"/>
                <w:color w:val="000000"/>
              </w:rPr>
              <w:t>I_I</w:t>
            </w:r>
          </w:p>
        </w:tc>
        <w:tc>
          <w:tcPr>
            <w:tcW w:w="517" w:type="pct"/>
            <w:tcBorders>
              <w:bottom w:val="nil"/>
            </w:tcBorders>
            <w:noWrap/>
            <w:hideMark/>
          </w:tcPr>
          <w:p w14:paraId="102540FC" w14:textId="77777777" w:rsidR="00911F85" w:rsidRPr="005961A6" w:rsidRDefault="00911F85" w:rsidP="008742A1">
            <w:pPr>
              <w:pStyle w:val="TableHeading"/>
              <w:jc w:val="center"/>
              <w:rPr>
                <w:rFonts w:cs="Calibri"/>
                <w:color w:val="000000"/>
              </w:rPr>
            </w:pPr>
            <w:r w:rsidRPr="005961A6">
              <w:rPr>
                <w:rFonts w:cs="Calibri"/>
                <w:color w:val="000000"/>
              </w:rPr>
              <w:t>I_B</w:t>
            </w:r>
          </w:p>
        </w:tc>
        <w:tc>
          <w:tcPr>
            <w:tcW w:w="517" w:type="pct"/>
            <w:tcBorders>
              <w:bottom w:val="nil"/>
            </w:tcBorders>
            <w:noWrap/>
            <w:hideMark/>
          </w:tcPr>
          <w:p w14:paraId="003AB9CD" w14:textId="77777777" w:rsidR="00911F85" w:rsidRPr="005961A6" w:rsidRDefault="00911F85" w:rsidP="008742A1">
            <w:pPr>
              <w:pStyle w:val="TableHeading"/>
              <w:jc w:val="center"/>
              <w:rPr>
                <w:rFonts w:cs="Calibri"/>
                <w:color w:val="000000"/>
              </w:rPr>
            </w:pPr>
            <w:r w:rsidRPr="005961A6">
              <w:rPr>
                <w:rFonts w:cs="Calibri"/>
                <w:color w:val="000000"/>
              </w:rPr>
              <w:t>I_BI</w:t>
            </w:r>
          </w:p>
        </w:tc>
        <w:tc>
          <w:tcPr>
            <w:tcW w:w="519" w:type="pct"/>
            <w:tcBorders>
              <w:bottom w:val="nil"/>
              <w:right w:val="double" w:sz="4" w:space="0" w:color="auto"/>
            </w:tcBorders>
            <w:noWrap/>
            <w:hideMark/>
          </w:tcPr>
          <w:p w14:paraId="67F6A511" w14:textId="77777777" w:rsidR="00911F85" w:rsidRPr="005961A6" w:rsidRDefault="00911F85" w:rsidP="008742A1">
            <w:pPr>
              <w:pStyle w:val="TableHeading"/>
              <w:jc w:val="center"/>
              <w:rPr>
                <w:rFonts w:cs="Calibri"/>
                <w:color w:val="000000"/>
              </w:rPr>
            </w:pPr>
            <w:r w:rsidRPr="005961A6">
              <w:rPr>
                <w:rFonts w:cs="Calibri"/>
                <w:color w:val="000000"/>
              </w:rPr>
              <w:t>I_D</w:t>
            </w:r>
          </w:p>
        </w:tc>
        <w:tc>
          <w:tcPr>
            <w:tcW w:w="517" w:type="pct"/>
            <w:tcBorders>
              <w:left w:val="double" w:sz="4" w:space="0" w:color="auto"/>
              <w:bottom w:val="nil"/>
            </w:tcBorders>
            <w:noWrap/>
            <w:hideMark/>
          </w:tcPr>
          <w:p w14:paraId="7C2774D6" w14:textId="77777777" w:rsidR="00911F85" w:rsidRPr="005961A6" w:rsidRDefault="00911F85" w:rsidP="008742A1">
            <w:pPr>
              <w:pStyle w:val="TableHeading"/>
              <w:jc w:val="center"/>
              <w:rPr>
                <w:rFonts w:cs="Calibri"/>
                <w:color w:val="000000"/>
              </w:rPr>
            </w:pPr>
            <w:r w:rsidRPr="005961A6">
              <w:rPr>
                <w:rFonts w:cs="Calibri"/>
                <w:color w:val="000000"/>
              </w:rPr>
              <w:t>I_I</w:t>
            </w:r>
          </w:p>
        </w:tc>
        <w:tc>
          <w:tcPr>
            <w:tcW w:w="517" w:type="pct"/>
            <w:tcBorders>
              <w:bottom w:val="nil"/>
            </w:tcBorders>
            <w:noWrap/>
            <w:hideMark/>
          </w:tcPr>
          <w:p w14:paraId="10BA210B" w14:textId="77777777" w:rsidR="00911F85" w:rsidRPr="005961A6" w:rsidRDefault="00911F85" w:rsidP="008742A1">
            <w:pPr>
              <w:pStyle w:val="TableHeading"/>
              <w:jc w:val="center"/>
              <w:rPr>
                <w:rFonts w:cs="Calibri"/>
                <w:color w:val="000000"/>
              </w:rPr>
            </w:pPr>
            <w:r w:rsidRPr="005961A6">
              <w:rPr>
                <w:rFonts w:cs="Calibri"/>
                <w:color w:val="000000"/>
              </w:rPr>
              <w:t>I_B</w:t>
            </w:r>
          </w:p>
        </w:tc>
        <w:tc>
          <w:tcPr>
            <w:tcW w:w="517" w:type="pct"/>
            <w:tcBorders>
              <w:bottom w:val="nil"/>
            </w:tcBorders>
            <w:noWrap/>
            <w:hideMark/>
          </w:tcPr>
          <w:p w14:paraId="4F925AAB" w14:textId="77777777" w:rsidR="00911F85" w:rsidRPr="005961A6" w:rsidRDefault="00911F85" w:rsidP="008742A1">
            <w:pPr>
              <w:pStyle w:val="TableHeading"/>
              <w:jc w:val="center"/>
              <w:rPr>
                <w:rFonts w:cs="Calibri"/>
                <w:color w:val="000000"/>
              </w:rPr>
            </w:pPr>
            <w:r w:rsidRPr="005961A6">
              <w:rPr>
                <w:rFonts w:cs="Calibri"/>
                <w:color w:val="000000"/>
              </w:rPr>
              <w:t>I_BI</w:t>
            </w:r>
          </w:p>
        </w:tc>
        <w:tc>
          <w:tcPr>
            <w:tcW w:w="517" w:type="pct"/>
            <w:tcBorders>
              <w:bottom w:val="nil"/>
            </w:tcBorders>
            <w:noWrap/>
            <w:hideMark/>
          </w:tcPr>
          <w:p w14:paraId="3CAD2A63" w14:textId="77777777" w:rsidR="00911F85" w:rsidRPr="005961A6" w:rsidRDefault="00911F85" w:rsidP="008742A1">
            <w:pPr>
              <w:pStyle w:val="TableHeading"/>
              <w:jc w:val="center"/>
              <w:rPr>
                <w:rFonts w:cs="Calibri"/>
                <w:color w:val="000000"/>
              </w:rPr>
            </w:pPr>
            <w:r w:rsidRPr="005961A6">
              <w:rPr>
                <w:rFonts w:cs="Calibri"/>
                <w:color w:val="000000"/>
              </w:rPr>
              <w:t>I_D</w:t>
            </w:r>
          </w:p>
        </w:tc>
      </w:tr>
      <w:tr w:rsidR="00911F85" w:rsidRPr="005961A6" w14:paraId="1F71F807" w14:textId="77777777" w:rsidTr="008742A1">
        <w:trPr>
          <w:cnfStyle w:val="100000000000" w:firstRow="1" w:lastRow="0" w:firstColumn="0" w:lastColumn="0" w:oddVBand="0" w:evenVBand="0" w:oddHBand="0" w:evenHBand="0" w:firstRowFirstColumn="0" w:firstRowLastColumn="0" w:lastRowFirstColumn="0" w:lastRowLastColumn="0"/>
          <w:trHeight w:val="300"/>
          <w:tblHeader/>
        </w:trPr>
        <w:tc>
          <w:tcPr>
            <w:tcW w:w="862" w:type="pct"/>
            <w:tcBorders>
              <w:top w:val="nil"/>
            </w:tcBorders>
            <w:noWrap/>
          </w:tcPr>
          <w:p w14:paraId="6203FF51" w14:textId="77777777" w:rsidR="00911F85" w:rsidRPr="005961A6" w:rsidRDefault="00911F85" w:rsidP="008742A1">
            <w:pPr>
              <w:pStyle w:val="TableHeading"/>
            </w:pPr>
          </w:p>
        </w:tc>
        <w:tc>
          <w:tcPr>
            <w:tcW w:w="517" w:type="pct"/>
            <w:tcBorders>
              <w:top w:val="nil"/>
            </w:tcBorders>
            <w:noWrap/>
          </w:tcPr>
          <w:p w14:paraId="4E66B325" w14:textId="77777777" w:rsidR="00911F85" w:rsidRPr="005961A6" w:rsidRDefault="00911F85" w:rsidP="008742A1">
            <w:pPr>
              <w:pStyle w:val="TableHeading"/>
              <w:jc w:val="center"/>
              <w:rPr>
                <w:rFonts w:cs="Calibri"/>
                <w:color w:val="000000"/>
              </w:rPr>
            </w:pPr>
            <w:r>
              <w:rPr>
                <w:rFonts w:cs="Calibri"/>
                <w:color w:val="000000"/>
              </w:rPr>
              <w:t>(76.6%)</w:t>
            </w:r>
          </w:p>
        </w:tc>
        <w:tc>
          <w:tcPr>
            <w:tcW w:w="517" w:type="pct"/>
            <w:tcBorders>
              <w:top w:val="nil"/>
            </w:tcBorders>
            <w:noWrap/>
          </w:tcPr>
          <w:p w14:paraId="54F381C9" w14:textId="77777777" w:rsidR="00911F85" w:rsidRPr="005961A6" w:rsidRDefault="00911F85" w:rsidP="008742A1">
            <w:pPr>
              <w:pStyle w:val="TableHeading"/>
              <w:jc w:val="center"/>
              <w:rPr>
                <w:rFonts w:cs="Calibri"/>
                <w:color w:val="000000"/>
              </w:rPr>
            </w:pPr>
            <w:r>
              <w:rPr>
                <w:rFonts w:cs="Calibri"/>
                <w:color w:val="000000"/>
              </w:rPr>
              <w:t>(15.4%)</w:t>
            </w:r>
          </w:p>
        </w:tc>
        <w:tc>
          <w:tcPr>
            <w:tcW w:w="517" w:type="pct"/>
            <w:tcBorders>
              <w:top w:val="nil"/>
            </w:tcBorders>
            <w:noWrap/>
          </w:tcPr>
          <w:p w14:paraId="1CC6D2B7" w14:textId="77777777" w:rsidR="00911F85" w:rsidRPr="005961A6" w:rsidRDefault="00911F85" w:rsidP="008742A1">
            <w:pPr>
              <w:pStyle w:val="TableHeading"/>
              <w:jc w:val="center"/>
              <w:rPr>
                <w:rFonts w:cs="Calibri"/>
                <w:color w:val="000000"/>
              </w:rPr>
            </w:pPr>
            <w:r>
              <w:rPr>
                <w:rFonts w:cs="Calibri"/>
                <w:color w:val="000000"/>
              </w:rPr>
              <w:t>(7.6%)</w:t>
            </w:r>
          </w:p>
        </w:tc>
        <w:tc>
          <w:tcPr>
            <w:tcW w:w="519" w:type="pct"/>
            <w:tcBorders>
              <w:top w:val="nil"/>
              <w:right w:val="double" w:sz="4" w:space="0" w:color="auto"/>
            </w:tcBorders>
            <w:noWrap/>
          </w:tcPr>
          <w:p w14:paraId="128E7007" w14:textId="77777777" w:rsidR="00911F85" w:rsidRPr="005961A6" w:rsidRDefault="00911F85" w:rsidP="008742A1">
            <w:pPr>
              <w:pStyle w:val="TableHeading"/>
              <w:jc w:val="center"/>
              <w:rPr>
                <w:rFonts w:cs="Calibri"/>
                <w:color w:val="000000"/>
              </w:rPr>
            </w:pPr>
            <w:r>
              <w:rPr>
                <w:rFonts w:cs="Calibri"/>
                <w:color w:val="000000"/>
              </w:rPr>
              <w:t>(0.3%)</w:t>
            </w:r>
          </w:p>
        </w:tc>
        <w:tc>
          <w:tcPr>
            <w:tcW w:w="517" w:type="pct"/>
            <w:tcBorders>
              <w:top w:val="nil"/>
              <w:left w:val="double" w:sz="4" w:space="0" w:color="auto"/>
            </w:tcBorders>
            <w:noWrap/>
          </w:tcPr>
          <w:p w14:paraId="7D6C8332" w14:textId="77777777" w:rsidR="00911F85" w:rsidRPr="005961A6" w:rsidRDefault="00911F85" w:rsidP="008742A1">
            <w:pPr>
              <w:pStyle w:val="TableHeading"/>
              <w:jc w:val="center"/>
              <w:rPr>
                <w:rFonts w:cs="Calibri"/>
                <w:color w:val="000000"/>
              </w:rPr>
            </w:pPr>
            <w:r>
              <w:rPr>
                <w:rFonts w:cs="Calibri"/>
                <w:color w:val="000000"/>
              </w:rPr>
              <w:t>(76.6%)</w:t>
            </w:r>
          </w:p>
        </w:tc>
        <w:tc>
          <w:tcPr>
            <w:tcW w:w="517" w:type="pct"/>
            <w:tcBorders>
              <w:top w:val="nil"/>
            </w:tcBorders>
            <w:noWrap/>
          </w:tcPr>
          <w:p w14:paraId="46F22061" w14:textId="77777777" w:rsidR="00911F85" w:rsidRPr="005961A6" w:rsidRDefault="00911F85" w:rsidP="008742A1">
            <w:pPr>
              <w:pStyle w:val="TableHeading"/>
              <w:jc w:val="center"/>
              <w:rPr>
                <w:rFonts w:cs="Calibri"/>
                <w:color w:val="000000"/>
              </w:rPr>
            </w:pPr>
            <w:r>
              <w:rPr>
                <w:rFonts w:cs="Calibri"/>
                <w:color w:val="000000"/>
              </w:rPr>
              <w:t>(15.4%)</w:t>
            </w:r>
          </w:p>
        </w:tc>
        <w:tc>
          <w:tcPr>
            <w:tcW w:w="517" w:type="pct"/>
            <w:tcBorders>
              <w:top w:val="nil"/>
            </w:tcBorders>
            <w:noWrap/>
          </w:tcPr>
          <w:p w14:paraId="51D115F5" w14:textId="77777777" w:rsidR="00911F85" w:rsidRPr="005961A6" w:rsidRDefault="00911F85" w:rsidP="008742A1">
            <w:pPr>
              <w:pStyle w:val="TableHeading"/>
              <w:jc w:val="center"/>
              <w:rPr>
                <w:rFonts w:cs="Calibri"/>
                <w:color w:val="000000"/>
              </w:rPr>
            </w:pPr>
            <w:r>
              <w:rPr>
                <w:rFonts w:cs="Calibri"/>
                <w:color w:val="000000"/>
              </w:rPr>
              <w:t>(7.6%)</w:t>
            </w:r>
          </w:p>
        </w:tc>
        <w:tc>
          <w:tcPr>
            <w:tcW w:w="517" w:type="pct"/>
            <w:tcBorders>
              <w:top w:val="nil"/>
            </w:tcBorders>
            <w:noWrap/>
          </w:tcPr>
          <w:p w14:paraId="5D444759" w14:textId="77777777" w:rsidR="00911F85" w:rsidRPr="005961A6" w:rsidRDefault="00911F85" w:rsidP="008742A1">
            <w:pPr>
              <w:pStyle w:val="TableHeading"/>
              <w:jc w:val="center"/>
              <w:rPr>
                <w:rFonts w:cs="Calibri"/>
                <w:color w:val="000000"/>
              </w:rPr>
            </w:pPr>
            <w:r>
              <w:rPr>
                <w:rFonts w:cs="Calibri"/>
                <w:color w:val="000000"/>
              </w:rPr>
              <w:t>(0.3%)</w:t>
            </w:r>
          </w:p>
        </w:tc>
      </w:tr>
      <w:tr w:rsidR="00911F85" w:rsidRPr="005961A6" w14:paraId="6696E64A" w14:textId="77777777" w:rsidTr="008742A1">
        <w:trPr>
          <w:trHeight w:val="300"/>
        </w:trPr>
        <w:tc>
          <w:tcPr>
            <w:tcW w:w="862" w:type="pct"/>
            <w:noWrap/>
            <w:hideMark/>
          </w:tcPr>
          <w:p w14:paraId="7244DE16" w14:textId="77777777" w:rsidR="00911F85" w:rsidRPr="005961A6" w:rsidRDefault="00911F85" w:rsidP="00CB4DB8">
            <w:pPr>
              <w:pStyle w:val="Tabletext1"/>
            </w:pPr>
            <w:r w:rsidRPr="005961A6">
              <w:t>Cycle 1</w:t>
            </w:r>
          </w:p>
        </w:tc>
        <w:tc>
          <w:tcPr>
            <w:tcW w:w="517" w:type="pct"/>
            <w:noWrap/>
            <w:hideMark/>
          </w:tcPr>
          <w:p w14:paraId="5708DF03" w14:textId="77777777" w:rsidR="00911F85" w:rsidRPr="005961A6" w:rsidRDefault="00911F85" w:rsidP="00CB4DB8">
            <w:pPr>
              <w:pStyle w:val="Tabletext1"/>
              <w:jc w:val="center"/>
            </w:pPr>
            <w:r w:rsidRPr="005961A6">
              <w:t>31.1%</w:t>
            </w:r>
          </w:p>
        </w:tc>
        <w:tc>
          <w:tcPr>
            <w:tcW w:w="517" w:type="pct"/>
            <w:noWrap/>
            <w:hideMark/>
          </w:tcPr>
          <w:p w14:paraId="0A605B06" w14:textId="77777777" w:rsidR="00911F85" w:rsidRPr="005961A6" w:rsidRDefault="00911F85" w:rsidP="00CB4DB8">
            <w:pPr>
              <w:pStyle w:val="Tabletext1"/>
              <w:jc w:val="center"/>
            </w:pPr>
            <w:r w:rsidRPr="005961A6">
              <w:t>6.3%</w:t>
            </w:r>
          </w:p>
        </w:tc>
        <w:tc>
          <w:tcPr>
            <w:tcW w:w="517" w:type="pct"/>
            <w:noWrap/>
            <w:hideMark/>
          </w:tcPr>
          <w:p w14:paraId="2D909BFE" w14:textId="77777777" w:rsidR="00911F85" w:rsidRPr="005961A6" w:rsidRDefault="00911F85" w:rsidP="00CB4DB8">
            <w:pPr>
              <w:pStyle w:val="Tabletext1"/>
              <w:jc w:val="center"/>
            </w:pPr>
            <w:r w:rsidRPr="005961A6">
              <w:t>3.1%</w:t>
            </w:r>
          </w:p>
        </w:tc>
        <w:tc>
          <w:tcPr>
            <w:tcW w:w="519" w:type="pct"/>
            <w:tcBorders>
              <w:right w:val="double" w:sz="4" w:space="0" w:color="auto"/>
            </w:tcBorders>
            <w:noWrap/>
            <w:hideMark/>
          </w:tcPr>
          <w:p w14:paraId="1FBD3C90" w14:textId="77777777" w:rsidR="00911F85" w:rsidRPr="005961A6" w:rsidRDefault="00911F85" w:rsidP="00CB4DB8">
            <w:pPr>
              <w:pStyle w:val="Tabletext1"/>
              <w:jc w:val="center"/>
            </w:pPr>
            <w:r w:rsidRPr="005961A6">
              <w:t>0.1%</w:t>
            </w:r>
          </w:p>
        </w:tc>
        <w:tc>
          <w:tcPr>
            <w:tcW w:w="517" w:type="pct"/>
            <w:tcBorders>
              <w:left w:val="double" w:sz="4" w:space="0" w:color="auto"/>
            </w:tcBorders>
            <w:noWrap/>
            <w:hideMark/>
          </w:tcPr>
          <w:p w14:paraId="39C91942" w14:textId="77777777" w:rsidR="00911F85" w:rsidRPr="005961A6" w:rsidRDefault="00911F85" w:rsidP="00CB4DB8">
            <w:pPr>
              <w:pStyle w:val="Tabletext1"/>
              <w:jc w:val="center"/>
            </w:pPr>
            <w:r w:rsidRPr="005961A6">
              <w:t>37.6%</w:t>
            </w:r>
          </w:p>
        </w:tc>
        <w:tc>
          <w:tcPr>
            <w:tcW w:w="517" w:type="pct"/>
            <w:noWrap/>
            <w:hideMark/>
          </w:tcPr>
          <w:p w14:paraId="72DAD49C" w14:textId="77777777" w:rsidR="00911F85" w:rsidRPr="005961A6" w:rsidRDefault="00911F85" w:rsidP="00CB4DB8">
            <w:pPr>
              <w:pStyle w:val="Tabletext1"/>
              <w:jc w:val="center"/>
            </w:pPr>
            <w:r w:rsidRPr="005961A6">
              <w:t>7.6%</w:t>
            </w:r>
          </w:p>
        </w:tc>
        <w:tc>
          <w:tcPr>
            <w:tcW w:w="517" w:type="pct"/>
            <w:noWrap/>
            <w:hideMark/>
          </w:tcPr>
          <w:p w14:paraId="501B6A7E" w14:textId="77777777" w:rsidR="00911F85" w:rsidRPr="005961A6" w:rsidRDefault="00911F85" w:rsidP="00CB4DB8">
            <w:pPr>
              <w:pStyle w:val="Tabletext1"/>
              <w:jc w:val="center"/>
            </w:pPr>
            <w:r w:rsidRPr="005961A6">
              <w:t>3.7%</w:t>
            </w:r>
          </w:p>
        </w:tc>
        <w:tc>
          <w:tcPr>
            <w:tcW w:w="517" w:type="pct"/>
            <w:noWrap/>
            <w:hideMark/>
          </w:tcPr>
          <w:p w14:paraId="46D14D7F" w14:textId="77777777" w:rsidR="00911F85" w:rsidRPr="005961A6" w:rsidRDefault="00911F85" w:rsidP="00CB4DB8">
            <w:pPr>
              <w:pStyle w:val="Tabletext1"/>
              <w:jc w:val="center"/>
            </w:pPr>
            <w:r w:rsidRPr="005961A6">
              <w:t>0.2%</w:t>
            </w:r>
          </w:p>
        </w:tc>
      </w:tr>
      <w:tr w:rsidR="00911F85" w:rsidRPr="005961A6" w14:paraId="7C17E94D" w14:textId="77777777" w:rsidTr="008742A1">
        <w:trPr>
          <w:trHeight w:val="300"/>
        </w:trPr>
        <w:tc>
          <w:tcPr>
            <w:tcW w:w="862" w:type="pct"/>
            <w:noWrap/>
            <w:hideMark/>
          </w:tcPr>
          <w:p w14:paraId="460D86F7" w14:textId="77777777" w:rsidR="00911F85" w:rsidRPr="005961A6" w:rsidRDefault="00911F85" w:rsidP="00CB4DB8">
            <w:pPr>
              <w:pStyle w:val="Tabletext1"/>
            </w:pPr>
            <w:r w:rsidRPr="005961A6">
              <w:t>Cycle 2</w:t>
            </w:r>
          </w:p>
        </w:tc>
        <w:tc>
          <w:tcPr>
            <w:tcW w:w="517" w:type="pct"/>
            <w:noWrap/>
            <w:hideMark/>
          </w:tcPr>
          <w:p w14:paraId="0FFF82A8" w14:textId="77777777" w:rsidR="00911F85" w:rsidRPr="005961A6" w:rsidRDefault="00911F85" w:rsidP="00CB4DB8">
            <w:pPr>
              <w:pStyle w:val="Tabletext1"/>
              <w:jc w:val="center"/>
            </w:pPr>
            <w:r w:rsidRPr="005961A6">
              <w:t>29.4%</w:t>
            </w:r>
          </w:p>
        </w:tc>
        <w:tc>
          <w:tcPr>
            <w:tcW w:w="517" w:type="pct"/>
            <w:noWrap/>
            <w:hideMark/>
          </w:tcPr>
          <w:p w14:paraId="58442119" w14:textId="77777777" w:rsidR="00911F85" w:rsidRPr="005961A6" w:rsidRDefault="00911F85" w:rsidP="00CB4DB8">
            <w:pPr>
              <w:pStyle w:val="Tabletext1"/>
              <w:jc w:val="center"/>
            </w:pPr>
            <w:r w:rsidRPr="005961A6">
              <w:t>5.9%</w:t>
            </w:r>
          </w:p>
        </w:tc>
        <w:tc>
          <w:tcPr>
            <w:tcW w:w="517" w:type="pct"/>
            <w:noWrap/>
            <w:hideMark/>
          </w:tcPr>
          <w:p w14:paraId="48B6B384" w14:textId="77777777" w:rsidR="00911F85" w:rsidRPr="005961A6" w:rsidRDefault="00911F85" w:rsidP="00CB4DB8">
            <w:pPr>
              <w:pStyle w:val="Tabletext1"/>
              <w:jc w:val="center"/>
            </w:pPr>
            <w:r w:rsidRPr="005961A6">
              <w:t>2.9%</w:t>
            </w:r>
          </w:p>
        </w:tc>
        <w:tc>
          <w:tcPr>
            <w:tcW w:w="519" w:type="pct"/>
            <w:tcBorders>
              <w:right w:val="double" w:sz="4" w:space="0" w:color="auto"/>
            </w:tcBorders>
            <w:noWrap/>
            <w:hideMark/>
          </w:tcPr>
          <w:p w14:paraId="2411BD53" w14:textId="77777777" w:rsidR="00911F85" w:rsidRPr="005961A6" w:rsidRDefault="00911F85" w:rsidP="00CB4DB8">
            <w:pPr>
              <w:pStyle w:val="Tabletext1"/>
              <w:jc w:val="center"/>
            </w:pPr>
            <w:r w:rsidRPr="005961A6">
              <w:t>0.1%</w:t>
            </w:r>
          </w:p>
        </w:tc>
        <w:tc>
          <w:tcPr>
            <w:tcW w:w="517" w:type="pct"/>
            <w:tcBorders>
              <w:left w:val="double" w:sz="4" w:space="0" w:color="auto"/>
            </w:tcBorders>
            <w:noWrap/>
            <w:hideMark/>
          </w:tcPr>
          <w:p w14:paraId="5798E1FB" w14:textId="77777777" w:rsidR="00911F85" w:rsidRPr="005961A6" w:rsidRDefault="00911F85" w:rsidP="00CB4DB8">
            <w:pPr>
              <w:pStyle w:val="Tabletext1"/>
              <w:jc w:val="center"/>
            </w:pPr>
            <w:r w:rsidRPr="005961A6">
              <w:t>32.1%</w:t>
            </w:r>
          </w:p>
        </w:tc>
        <w:tc>
          <w:tcPr>
            <w:tcW w:w="517" w:type="pct"/>
            <w:noWrap/>
            <w:hideMark/>
          </w:tcPr>
          <w:p w14:paraId="1F22494E" w14:textId="77777777" w:rsidR="00911F85" w:rsidRPr="005961A6" w:rsidRDefault="00911F85" w:rsidP="00CB4DB8">
            <w:pPr>
              <w:pStyle w:val="Tabletext1"/>
              <w:jc w:val="center"/>
            </w:pPr>
            <w:r w:rsidRPr="005961A6">
              <w:t>6.5%</w:t>
            </w:r>
          </w:p>
        </w:tc>
        <w:tc>
          <w:tcPr>
            <w:tcW w:w="517" w:type="pct"/>
            <w:noWrap/>
            <w:hideMark/>
          </w:tcPr>
          <w:p w14:paraId="0162F721" w14:textId="77777777" w:rsidR="00911F85" w:rsidRPr="005961A6" w:rsidRDefault="00911F85" w:rsidP="00CB4DB8">
            <w:pPr>
              <w:pStyle w:val="Tabletext1"/>
              <w:jc w:val="center"/>
            </w:pPr>
            <w:r w:rsidRPr="005961A6">
              <w:t>3.2%</w:t>
            </w:r>
          </w:p>
        </w:tc>
        <w:tc>
          <w:tcPr>
            <w:tcW w:w="517" w:type="pct"/>
            <w:noWrap/>
            <w:hideMark/>
          </w:tcPr>
          <w:p w14:paraId="4CAF4C88" w14:textId="77777777" w:rsidR="00911F85" w:rsidRPr="005961A6" w:rsidRDefault="00911F85" w:rsidP="00CB4DB8">
            <w:pPr>
              <w:pStyle w:val="Tabletext1"/>
              <w:jc w:val="center"/>
            </w:pPr>
            <w:r w:rsidRPr="005961A6">
              <w:t>0.1%</w:t>
            </w:r>
          </w:p>
        </w:tc>
      </w:tr>
      <w:tr w:rsidR="00911F85" w:rsidRPr="005961A6" w14:paraId="0FD75FE6" w14:textId="77777777" w:rsidTr="008742A1">
        <w:trPr>
          <w:trHeight w:val="300"/>
        </w:trPr>
        <w:tc>
          <w:tcPr>
            <w:tcW w:w="862" w:type="pct"/>
            <w:noWrap/>
            <w:hideMark/>
          </w:tcPr>
          <w:p w14:paraId="3C5E29DB" w14:textId="77777777" w:rsidR="00911F85" w:rsidRPr="005961A6" w:rsidRDefault="00911F85" w:rsidP="00CB4DB8">
            <w:pPr>
              <w:pStyle w:val="Tabletext1"/>
            </w:pPr>
            <w:r w:rsidRPr="005961A6">
              <w:t>Cycle 3</w:t>
            </w:r>
          </w:p>
        </w:tc>
        <w:tc>
          <w:tcPr>
            <w:tcW w:w="517" w:type="pct"/>
            <w:noWrap/>
            <w:hideMark/>
          </w:tcPr>
          <w:p w14:paraId="03788C35" w14:textId="77777777" w:rsidR="00911F85" w:rsidRPr="005961A6" w:rsidRDefault="00911F85" w:rsidP="00CB4DB8">
            <w:pPr>
              <w:pStyle w:val="Tabletext1"/>
              <w:jc w:val="center"/>
            </w:pPr>
            <w:r w:rsidRPr="005961A6">
              <w:t>29.0%</w:t>
            </w:r>
          </w:p>
        </w:tc>
        <w:tc>
          <w:tcPr>
            <w:tcW w:w="517" w:type="pct"/>
            <w:noWrap/>
            <w:hideMark/>
          </w:tcPr>
          <w:p w14:paraId="42A771F8" w14:textId="77777777" w:rsidR="00911F85" w:rsidRPr="005961A6" w:rsidRDefault="00911F85" w:rsidP="00CB4DB8">
            <w:pPr>
              <w:pStyle w:val="Tabletext1"/>
              <w:jc w:val="center"/>
            </w:pPr>
            <w:r w:rsidRPr="005961A6">
              <w:t>5.8%</w:t>
            </w:r>
          </w:p>
        </w:tc>
        <w:tc>
          <w:tcPr>
            <w:tcW w:w="517" w:type="pct"/>
            <w:noWrap/>
            <w:hideMark/>
          </w:tcPr>
          <w:p w14:paraId="2CCC1116" w14:textId="77777777" w:rsidR="00911F85" w:rsidRPr="005961A6" w:rsidRDefault="00911F85" w:rsidP="00CB4DB8">
            <w:pPr>
              <w:pStyle w:val="Tabletext1"/>
              <w:jc w:val="center"/>
            </w:pPr>
            <w:r w:rsidRPr="005961A6">
              <w:t>2.9%</w:t>
            </w:r>
          </w:p>
        </w:tc>
        <w:tc>
          <w:tcPr>
            <w:tcW w:w="519" w:type="pct"/>
            <w:tcBorders>
              <w:right w:val="double" w:sz="4" w:space="0" w:color="auto"/>
            </w:tcBorders>
            <w:noWrap/>
            <w:hideMark/>
          </w:tcPr>
          <w:p w14:paraId="2BB8323D" w14:textId="77777777" w:rsidR="00911F85" w:rsidRPr="005961A6" w:rsidRDefault="00911F85" w:rsidP="00CB4DB8">
            <w:pPr>
              <w:pStyle w:val="Tabletext1"/>
              <w:jc w:val="center"/>
            </w:pPr>
            <w:r w:rsidRPr="005961A6">
              <w:t>0.1%</w:t>
            </w:r>
          </w:p>
        </w:tc>
        <w:tc>
          <w:tcPr>
            <w:tcW w:w="517" w:type="pct"/>
            <w:tcBorders>
              <w:left w:val="double" w:sz="4" w:space="0" w:color="auto"/>
            </w:tcBorders>
            <w:noWrap/>
            <w:hideMark/>
          </w:tcPr>
          <w:p w14:paraId="546C1F4E" w14:textId="77777777" w:rsidR="00911F85" w:rsidRPr="005961A6" w:rsidRDefault="00911F85" w:rsidP="00CB4DB8">
            <w:pPr>
              <w:pStyle w:val="Tabletext1"/>
              <w:jc w:val="center"/>
            </w:pPr>
            <w:r w:rsidRPr="005961A6">
              <w:t>30.8%</w:t>
            </w:r>
          </w:p>
        </w:tc>
        <w:tc>
          <w:tcPr>
            <w:tcW w:w="517" w:type="pct"/>
            <w:noWrap/>
            <w:hideMark/>
          </w:tcPr>
          <w:p w14:paraId="52F9E8AC" w14:textId="77777777" w:rsidR="00911F85" w:rsidRPr="005961A6" w:rsidRDefault="00911F85" w:rsidP="00CB4DB8">
            <w:pPr>
              <w:pStyle w:val="Tabletext1"/>
              <w:jc w:val="center"/>
            </w:pPr>
            <w:r w:rsidRPr="005961A6">
              <w:t>6.2%</w:t>
            </w:r>
          </w:p>
        </w:tc>
        <w:tc>
          <w:tcPr>
            <w:tcW w:w="517" w:type="pct"/>
            <w:noWrap/>
            <w:hideMark/>
          </w:tcPr>
          <w:p w14:paraId="585FF98E" w14:textId="77777777" w:rsidR="00911F85" w:rsidRPr="005961A6" w:rsidRDefault="00911F85" w:rsidP="00CB4DB8">
            <w:pPr>
              <w:pStyle w:val="Tabletext1"/>
              <w:jc w:val="center"/>
            </w:pPr>
            <w:r w:rsidRPr="005961A6">
              <w:t>3.0%</w:t>
            </w:r>
          </w:p>
        </w:tc>
        <w:tc>
          <w:tcPr>
            <w:tcW w:w="517" w:type="pct"/>
            <w:noWrap/>
            <w:hideMark/>
          </w:tcPr>
          <w:p w14:paraId="74F5AC14" w14:textId="77777777" w:rsidR="00911F85" w:rsidRPr="005961A6" w:rsidRDefault="00911F85" w:rsidP="00CB4DB8">
            <w:pPr>
              <w:pStyle w:val="Tabletext1"/>
              <w:jc w:val="center"/>
            </w:pPr>
            <w:r w:rsidRPr="005961A6">
              <w:t>0.1%</w:t>
            </w:r>
          </w:p>
        </w:tc>
      </w:tr>
      <w:tr w:rsidR="00911F85" w:rsidRPr="005961A6" w14:paraId="35CA1B2A" w14:textId="77777777" w:rsidTr="008742A1">
        <w:trPr>
          <w:trHeight w:val="300"/>
        </w:trPr>
        <w:tc>
          <w:tcPr>
            <w:tcW w:w="862" w:type="pct"/>
            <w:noWrap/>
            <w:hideMark/>
          </w:tcPr>
          <w:p w14:paraId="5486ABEE" w14:textId="77777777" w:rsidR="00911F85" w:rsidRPr="005961A6" w:rsidRDefault="00911F85" w:rsidP="00CB4DB8">
            <w:pPr>
              <w:pStyle w:val="Tabletext1"/>
            </w:pPr>
            <w:r w:rsidRPr="005961A6">
              <w:t>Cycle 4</w:t>
            </w:r>
          </w:p>
        </w:tc>
        <w:tc>
          <w:tcPr>
            <w:tcW w:w="517" w:type="pct"/>
            <w:noWrap/>
            <w:hideMark/>
          </w:tcPr>
          <w:p w14:paraId="4D7EBE33" w14:textId="77777777" w:rsidR="00911F85" w:rsidRPr="005961A6" w:rsidRDefault="00911F85" w:rsidP="00CB4DB8">
            <w:pPr>
              <w:pStyle w:val="Tabletext1"/>
              <w:jc w:val="center"/>
            </w:pPr>
            <w:r w:rsidRPr="005961A6">
              <w:t>28.8%</w:t>
            </w:r>
          </w:p>
        </w:tc>
        <w:tc>
          <w:tcPr>
            <w:tcW w:w="517" w:type="pct"/>
            <w:noWrap/>
            <w:hideMark/>
          </w:tcPr>
          <w:p w14:paraId="12538438" w14:textId="77777777" w:rsidR="00911F85" w:rsidRPr="005961A6" w:rsidRDefault="00911F85" w:rsidP="00CB4DB8">
            <w:pPr>
              <w:pStyle w:val="Tabletext1"/>
              <w:jc w:val="center"/>
            </w:pPr>
            <w:r w:rsidRPr="005961A6">
              <w:t>5.8%</w:t>
            </w:r>
          </w:p>
        </w:tc>
        <w:tc>
          <w:tcPr>
            <w:tcW w:w="517" w:type="pct"/>
            <w:noWrap/>
            <w:hideMark/>
          </w:tcPr>
          <w:p w14:paraId="29041C15" w14:textId="77777777" w:rsidR="00911F85" w:rsidRPr="005961A6" w:rsidRDefault="00911F85" w:rsidP="00CB4DB8">
            <w:pPr>
              <w:pStyle w:val="Tabletext1"/>
              <w:jc w:val="center"/>
            </w:pPr>
            <w:r w:rsidRPr="005961A6">
              <w:t>2.9%</w:t>
            </w:r>
          </w:p>
        </w:tc>
        <w:tc>
          <w:tcPr>
            <w:tcW w:w="519" w:type="pct"/>
            <w:tcBorders>
              <w:right w:val="double" w:sz="4" w:space="0" w:color="auto"/>
            </w:tcBorders>
            <w:noWrap/>
            <w:hideMark/>
          </w:tcPr>
          <w:p w14:paraId="1DB60CE6" w14:textId="77777777" w:rsidR="00911F85" w:rsidRPr="005961A6" w:rsidRDefault="00911F85" w:rsidP="00CB4DB8">
            <w:pPr>
              <w:pStyle w:val="Tabletext1"/>
              <w:jc w:val="center"/>
            </w:pPr>
            <w:r w:rsidRPr="005961A6">
              <w:t>0.1%</w:t>
            </w:r>
          </w:p>
        </w:tc>
        <w:tc>
          <w:tcPr>
            <w:tcW w:w="517" w:type="pct"/>
            <w:tcBorders>
              <w:left w:val="double" w:sz="4" w:space="0" w:color="auto"/>
            </w:tcBorders>
            <w:noWrap/>
            <w:hideMark/>
          </w:tcPr>
          <w:p w14:paraId="6C19A107" w14:textId="77777777" w:rsidR="00911F85" w:rsidRPr="005961A6" w:rsidRDefault="00911F85" w:rsidP="00CB4DB8">
            <w:pPr>
              <w:pStyle w:val="Tabletext1"/>
              <w:jc w:val="center"/>
            </w:pPr>
            <w:r w:rsidRPr="005961A6">
              <w:t>30.1%</w:t>
            </w:r>
          </w:p>
        </w:tc>
        <w:tc>
          <w:tcPr>
            <w:tcW w:w="517" w:type="pct"/>
            <w:noWrap/>
            <w:hideMark/>
          </w:tcPr>
          <w:p w14:paraId="2E4382B4" w14:textId="77777777" w:rsidR="00911F85" w:rsidRPr="005961A6" w:rsidRDefault="00911F85" w:rsidP="00CB4DB8">
            <w:pPr>
              <w:pStyle w:val="Tabletext1"/>
              <w:jc w:val="center"/>
            </w:pPr>
            <w:r w:rsidRPr="005961A6">
              <w:t>6.1%</w:t>
            </w:r>
          </w:p>
        </w:tc>
        <w:tc>
          <w:tcPr>
            <w:tcW w:w="517" w:type="pct"/>
            <w:noWrap/>
            <w:hideMark/>
          </w:tcPr>
          <w:p w14:paraId="6EFA024A" w14:textId="77777777" w:rsidR="00911F85" w:rsidRPr="005961A6" w:rsidRDefault="00911F85" w:rsidP="00CB4DB8">
            <w:pPr>
              <w:pStyle w:val="Tabletext1"/>
              <w:jc w:val="center"/>
            </w:pPr>
            <w:r w:rsidRPr="005961A6">
              <w:t>3.0%</w:t>
            </w:r>
          </w:p>
        </w:tc>
        <w:tc>
          <w:tcPr>
            <w:tcW w:w="517" w:type="pct"/>
            <w:noWrap/>
            <w:hideMark/>
          </w:tcPr>
          <w:p w14:paraId="0836B4FE" w14:textId="77777777" w:rsidR="00911F85" w:rsidRPr="005961A6" w:rsidRDefault="00911F85" w:rsidP="00CB4DB8">
            <w:pPr>
              <w:pStyle w:val="Tabletext1"/>
              <w:jc w:val="center"/>
            </w:pPr>
            <w:r w:rsidRPr="005961A6">
              <w:t>0.1%</w:t>
            </w:r>
          </w:p>
        </w:tc>
      </w:tr>
      <w:tr w:rsidR="00911F85" w:rsidRPr="005961A6" w14:paraId="38FCB289" w14:textId="77777777" w:rsidTr="008742A1">
        <w:trPr>
          <w:trHeight w:val="300"/>
        </w:trPr>
        <w:tc>
          <w:tcPr>
            <w:tcW w:w="862" w:type="pct"/>
            <w:noWrap/>
            <w:hideMark/>
          </w:tcPr>
          <w:p w14:paraId="2580D827" w14:textId="77777777" w:rsidR="00911F85" w:rsidRPr="005961A6" w:rsidRDefault="00911F85" w:rsidP="00CB4DB8">
            <w:pPr>
              <w:pStyle w:val="Tabletext1"/>
            </w:pPr>
            <w:r w:rsidRPr="005961A6">
              <w:t>Cycle 5</w:t>
            </w:r>
          </w:p>
        </w:tc>
        <w:tc>
          <w:tcPr>
            <w:tcW w:w="517" w:type="pct"/>
            <w:noWrap/>
            <w:hideMark/>
          </w:tcPr>
          <w:p w14:paraId="5AF104FE" w14:textId="77777777" w:rsidR="00911F85" w:rsidRPr="005961A6" w:rsidRDefault="00911F85" w:rsidP="00CB4DB8">
            <w:pPr>
              <w:pStyle w:val="Tabletext1"/>
              <w:jc w:val="center"/>
            </w:pPr>
            <w:r w:rsidRPr="005961A6">
              <w:t>28.7%</w:t>
            </w:r>
          </w:p>
        </w:tc>
        <w:tc>
          <w:tcPr>
            <w:tcW w:w="517" w:type="pct"/>
            <w:noWrap/>
            <w:hideMark/>
          </w:tcPr>
          <w:p w14:paraId="6B596048" w14:textId="77777777" w:rsidR="00911F85" w:rsidRPr="005961A6" w:rsidRDefault="00911F85" w:rsidP="00CB4DB8">
            <w:pPr>
              <w:pStyle w:val="Tabletext1"/>
              <w:jc w:val="center"/>
            </w:pPr>
            <w:r w:rsidRPr="005961A6">
              <w:t>5.8%</w:t>
            </w:r>
          </w:p>
        </w:tc>
        <w:tc>
          <w:tcPr>
            <w:tcW w:w="517" w:type="pct"/>
            <w:noWrap/>
            <w:hideMark/>
          </w:tcPr>
          <w:p w14:paraId="5ECFAC74" w14:textId="77777777" w:rsidR="00911F85" w:rsidRPr="005961A6" w:rsidRDefault="00911F85" w:rsidP="00CB4DB8">
            <w:pPr>
              <w:pStyle w:val="Tabletext1"/>
              <w:jc w:val="center"/>
            </w:pPr>
            <w:r w:rsidRPr="005961A6">
              <w:t>2.8%</w:t>
            </w:r>
          </w:p>
        </w:tc>
        <w:tc>
          <w:tcPr>
            <w:tcW w:w="519" w:type="pct"/>
            <w:tcBorders>
              <w:right w:val="double" w:sz="4" w:space="0" w:color="auto"/>
            </w:tcBorders>
            <w:noWrap/>
            <w:hideMark/>
          </w:tcPr>
          <w:p w14:paraId="6017D98C" w14:textId="77777777" w:rsidR="00911F85" w:rsidRPr="005961A6" w:rsidRDefault="00911F85" w:rsidP="00CB4DB8">
            <w:pPr>
              <w:pStyle w:val="Tabletext1"/>
              <w:jc w:val="center"/>
            </w:pPr>
            <w:r w:rsidRPr="005961A6">
              <w:t>0.1%</w:t>
            </w:r>
          </w:p>
        </w:tc>
        <w:tc>
          <w:tcPr>
            <w:tcW w:w="517" w:type="pct"/>
            <w:tcBorders>
              <w:left w:val="double" w:sz="4" w:space="0" w:color="auto"/>
            </w:tcBorders>
            <w:noWrap/>
            <w:hideMark/>
          </w:tcPr>
          <w:p w14:paraId="0E01AFEC" w14:textId="77777777" w:rsidR="00911F85" w:rsidRPr="005961A6" w:rsidRDefault="00911F85" w:rsidP="00CB4DB8">
            <w:pPr>
              <w:pStyle w:val="Tabletext1"/>
              <w:jc w:val="center"/>
            </w:pPr>
            <w:r w:rsidRPr="005961A6">
              <w:t>29.8%</w:t>
            </w:r>
          </w:p>
        </w:tc>
        <w:tc>
          <w:tcPr>
            <w:tcW w:w="517" w:type="pct"/>
            <w:noWrap/>
            <w:hideMark/>
          </w:tcPr>
          <w:p w14:paraId="71C69EF6" w14:textId="77777777" w:rsidR="00911F85" w:rsidRPr="005961A6" w:rsidRDefault="00911F85" w:rsidP="00CB4DB8">
            <w:pPr>
              <w:pStyle w:val="Tabletext1"/>
              <w:jc w:val="center"/>
            </w:pPr>
            <w:r w:rsidRPr="005961A6">
              <w:t>6.0%</w:t>
            </w:r>
          </w:p>
        </w:tc>
        <w:tc>
          <w:tcPr>
            <w:tcW w:w="517" w:type="pct"/>
            <w:noWrap/>
            <w:hideMark/>
          </w:tcPr>
          <w:p w14:paraId="6BCD4657" w14:textId="77777777" w:rsidR="00911F85" w:rsidRPr="005961A6" w:rsidRDefault="00911F85" w:rsidP="00CB4DB8">
            <w:pPr>
              <w:pStyle w:val="Tabletext1"/>
              <w:jc w:val="center"/>
            </w:pPr>
            <w:r w:rsidRPr="005961A6">
              <w:t>2.9%</w:t>
            </w:r>
          </w:p>
        </w:tc>
        <w:tc>
          <w:tcPr>
            <w:tcW w:w="517" w:type="pct"/>
            <w:noWrap/>
            <w:hideMark/>
          </w:tcPr>
          <w:p w14:paraId="3D1064ED" w14:textId="77777777" w:rsidR="00911F85" w:rsidRPr="005961A6" w:rsidRDefault="00911F85" w:rsidP="00CB4DB8">
            <w:pPr>
              <w:pStyle w:val="Tabletext1"/>
              <w:jc w:val="center"/>
            </w:pPr>
            <w:r w:rsidRPr="005961A6">
              <w:t>0.1%</w:t>
            </w:r>
          </w:p>
        </w:tc>
      </w:tr>
      <w:tr w:rsidR="00911F85" w:rsidRPr="005961A6" w14:paraId="0949DE54" w14:textId="77777777" w:rsidTr="008742A1">
        <w:trPr>
          <w:trHeight w:val="300"/>
        </w:trPr>
        <w:tc>
          <w:tcPr>
            <w:tcW w:w="862" w:type="pct"/>
            <w:noWrap/>
            <w:hideMark/>
          </w:tcPr>
          <w:p w14:paraId="515A14D3" w14:textId="77777777" w:rsidR="00911F85" w:rsidRPr="005961A6" w:rsidRDefault="00911F85" w:rsidP="00CB4DB8">
            <w:pPr>
              <w:pStyle w:val="Tabletext1"/>
            </w:pPr>
            <w:r w:rsidRPr="005961A6">
              <w:t>Cycle 6</w:t>
            </w:r>
          </w:p>
        </w:tc>
        <w:tc>
          <w:tcPr>
            <w:tcW w:w="517" w:type="pct"/>
            <w:noWrap/>
            <w:hideMark/>
          </w:tcPr>
          <w:p w14:paraId="07DDC171" w14:textId="77777777" w:rsidR="00911F85" w:rsidRPr="005961A6" w:rsidRDefault="00911F85" w:rsidP="00CB4DB8">
            <w:pPr>
              <w:pStyle w:val="Tabletext1"/>
              <w:jc w:val="center"/>
            </w:pPr>
            <w:r w:rsidRPr="005961A6">
              <w:t>28.6%</w:t>
            </w:r>
          </w:p>
        </w:tc>
        <w:tc>
          <w:tcPr>
            <w:tcW w:w="517" w:type="pct"/>
            <w:noWrap/>
            <w:hideMark/>
          </w:tcPr>
          <w:p w14:paraId="6152B6E8" w14:textId="77777777" w:rsidR="00911F85" w:rsidRPr="005961A6" w:rsidRDefault="00911F85" w:rsidP="00CB4DB8">
            <w:pPr>
              <w:pStyle w:val="Tabletext1"/>
              <w:jc w:val="center"/>
            </w:pPr>
            <w:r w:rsidRPr="005961A6">
              <w:t>5.8%</w:t>
            </w:r>
          </w:p>
        </w:tc>
        <w:tc>
          <w:tcPr>
            <w:tcW w:w="517" w:type="pct"/>
            <w:noWrap/>
            <w:hideMark/>
          </w:tcPr>
          <w:p w14:paraId="3D3FDE96" w14:textId="77777777" w:rsidR="00911F85" w:rsidRPr="005961A6" w:rsidRDefault="00911F85" w:rsidP="00CB4DB8">
            <w:pPr>
              <w:pStyle w:val="Tabletext1"/>
              <w:jc w:val="center"/>
            </w:pPr>
            <w:r w:rsidRPr="005961A6">
              <w:t>2.8%</w:t>
            </w:r>
          </w:p>
        </w:tc>
        <w:tc>
          <w:tcPr>
            <w:tcW w:w="519" w:type="pct"/>
            <w:tcBorders>
              <w:right w:val="double" w:sz="4" w:space="0" w:color="auto"/>
            </w:tcBorders>
            <w:noWrap/>
            <w:hideMark/>
          </w:tcPr>
          <w:p w14:paraId="564B0771" w14:textId="77777777" w:rsidR="00911F85" w:rsidRPr="005961A6" w:rsidRDefault="00911F85" w:rsidP="00CB4DB8">
            <w:pPr>
              <w:pStyle w:val="Tabletext1"/>
              <w:jc w:val="center"/>
            </w:pPr>
            <w:r w:rsidRPr="005961A6">
              <w:t>0.1%</w:t>
            </w:r>
          </w:p>
        </w:tc>
        <w:tc>
          <w:tcPr>
            <w:tcW w:w="517" w:type="pct"/>
            <w:tcBorders>
              <w:left w:val="double" w:sz="4" w:space="0" w:color="auto"/>
            </w:tcBorders>
            <w:noWrap/>
            <w:hideMark/>
          </w:tcPr>
          <w:p w14:paraId="176969EC" w14:textId="77777777" w:rsidR="00911F85" w:rsidRPr="005961A6" w:rsidRDefault="00911F85" w:rsidP="00CB4DB8">
            <w:pPr>
              <w:pStyle w:val="Tabletext1"/>
              <w:jc w:val="center"/>
            </w:pPr>
            <w:r w:rsidRPr="005961A6">
              <w:t>29.5%</w:t>
            </w:r>
          </w:p>
        </w:tc>
        <w:tc>
          <w:tcPr>
            <w:tcW w:w="517" w:type="pct"/>
            <w:noWrap/>
            <w:hideMark/>
          </w:tcPr>
          <w:p w14:paraId="42113D7A" w14:textId="77777777" w:rsidR="00911F85" w:rsidRPr="005961A6" w:rsidRDefault="00911F85" w:rsidP="00CB4DB8">
            <w:pPr>
              <w:pStyle w:val="Tabletext1"/>
              <w:jc w:val="center"/>
            </w:pPr>
            <w:r w:rsidRPr="005961A6">
              <w:t>5.9%</w:t>
            </w:r>
          </w:p>
        </w:tc>
        <w:tc>
          <w:tcPr>
            <w:tcW w:w="517" w:type="pct"/>
            <w:noWrap/>
            <w:hideMark/>
          </w:tcPr>
          <w:p w14:paraId="2A705ABF" w14:textId="77777777" w:rsidR="00911F85" w:rsidRPr="005961A6" w:rsidRDefault="00911F85" w:rsidP="00CB4DB8">
            <w:pPr>
              <w:pStyle w:val="Tabletext1"/>
              <w:jc w:val="center"/>
            </w:pPr>
            <w:r w:rsidRPr="005961A6">
              <w:t>2.9%</w:t>
            </w:r>
          </w:p>
        </w:tc>
        <w:tc>
          <w:tcPr>
            <w:tcW w:w="517" w:type="pct"/>
            <w:noWrap/>
            <w:hideMark/>
          </w:tcPr>
          <w:p w14:paraId="33561AAB" w14:textId="77777777" w:rsidR="00911F85" w:rsidRPr="005961A6" w:rsidRDefault="00911F85" w:rsidP="00CB4DB8">
            <w:pPr>
              <w:pStyle w:val="Tabletext1"/>
              <w:jc w:val="center"/>
            </w:pPr>
            <w:r w:rsidRPr="005961A6">
              <w:t>0.1%</w:t>
            </w:r>
          </w:p>
        </w:tc>
      </w:tr>
      <w:tr w:rsidR="00911F85" w:rsidRPr="005961A6" w14:paraId="485A806E" w14:textId="77777777" w:rsidTr="008742A1">
        <w:trPr>
          <w:trHeight w:val="300"/>
        </w:trPr>
        <w:tc>
          <w:tcPr>
            <w:tcW w:w="862" w:type="pct"/>
            <w:noWrap/>
            <w:hideMark/>
          </w:tcPr>
          <w:p w14:paraId="71E2E593" w14:textId="77777777" w:rsidR="00911F85" w:rsidRPr="005961A6" w:rsidRDefault="00911F85" w:rsidP="00CB4DB8">
            <w:pPr>
              <w:pStyle w:val="Tabletext1"/>
            </w:pPr>
            <w:r w:rsidRPr="005961A6">
              <w:t>Cycle 7</w:t>
            </w:r>
          </w:p>
        </w:tc>
        <w:tc>
          <w:tcPr>
            <w:tcW w:w="517" w:type="pct"/>
            <w:noWrap/>
            <w:hideMark/>
          </w:tcPr>
          <w:p w14:paraId="288E26EC" w14:textId="77777777" w:rsidR="00911F85" w:rsidRPr="005961A6" w:rsidRDefault="00911F85" w:rsidP="00CB4DB8">
            <w:pPr>
              <w:pStyle w:val="Tabletext1"/>
              <w:jc w:val="center"/>
            </w:pPr>
            <w:r w:rsidRPr="005961A6">
              <w:t>28.5%</w:t>
            </w:r>
          </w:p>
        </w:tc>
        <w:tc>
          <w:tcPr>
            <w:tcW w:w="517" w:type="pct"/>
            <w:noWrap/>
            <w:hideMark/>
          </w:tcPr>
          <w:p w14:paraId="70780293" w14:textId="77777777" w:rsidR="00911F85" w:rsidRPr="005961A6" w:rsidRDefault="00911F85" w:rsidP="00CB4DB8">
            <w:pPr>
              <w:pStyle w:val="Tabletext1"/>
              <w:jc w:val="center"/>
            </w:pPr>
            <w:r w:rsidRPr="005961A6">
              <w:t>5.7%</w:t>
            </w:r>
          </w:p>
        </w:tc>
        <w:tc>
          <w:tcPr>
            <w:tcW w:w="517" w:type="pct"/>
            <w:noWrap/>
            <w:hideMark/>
          </w:tcPr>
          <w:p w14:paraId="4707AF3F" w14:textId="77777777" w:rsidR="00911F85" w:rsidRPr="005961A6" w:rsidRDefault="00911F85" w:rsidP="00CB4DB8">
            <w:pPr>
              <w:pStyle w:val="Tabletext1"/>
              <w:jc w:val="center"/>
            </w:pPr>
            <w:r w:rsidRPr="005961A6">
              <w:t>2.8%</w:t>
            </w:r>
          </w:p>
        </w:tc>
        <w:tc>
          <w:tcPr>
            <w:tcW w:w="519" w:type="pct"/>
            <w:tcBorders>
              <w:right w:val="double" w:sz="4" w:space="0" w:color="auto"/>
            </w:tcBorders>
            <w:noWrap/>
            <w:hideMark/>
          </w:tcPr>
          <w:p w14:paraId="0CDAE8D2" w14:textId="77777777" w:rsidR="00911F85" w:rsidRPr="005961A6" w:rsidRDefault="00911F85" w:rsidP="00CB4DB8">
            <w:pPr>
              <w:pStyle w:val="Tabletext1"/>
              <w:jc w:val="center"/>
            </w:pPr>
            <w:r w:rsidRPr="005961A6">
              <w:t>0.1%</w:t>
            </w:r>
          </w:p>
        </w:tc>
        <w:tc>
          <w:tcPr>
            <w:tcW w:w="517" w:type="pct"/>
            <w:tcBorders>
              <w:left w:val="double" w:sz="4" w:space="0" w:color="auto"/>
            </w:tcBorders>
            <w:noWrap/>
            <w:hideMark/>
          </w:tcPr>
          <w:p w14:paraId="4522671A" w14:textId="77777777" w:rsidR="00911F85" w:rsidRPr="005961A6" w:rsidRDefault="00911F85" w:rsidP="00CB4DB8">
            <w:pPr>
              <w:pStyle w:val="Tabletext1"/>
              <w:jc w:val="center"/>
            </w:pPr>
            <w:r w:rsidRPr="005961A6">
              <w:t>29.3%</w:t>
            </w:r>
          </w:p>
        </w:tc>
        <w:tc>
          <w:tcPr>
            <w:tcW w:w="517" w:type="pct"/>
            <w:noWrap/>
            <w:hideMark/>
          </w:tcPr>
          <w:p w14:paraId="53DA2DBB" w14:textId="77777777" w:rsidR="00911F85" w:rsidRPr="005961A6" w:rsidRDefault="00911F85" w:rsidP="00CB4DB8">
            <w:pPr>
              <w:pStyle w:val="Tabletext1"/>
              <w:jc w:val="center"/>
            </w:pPr>
            <w:r w:rsidRPr="005961A6">
              <w:t>5.9%</w:t>
            </w:r>
          </w:p>
        </w:tc>
        <w:tc>
          <w:tcPr>
            <w:tcW w:w="517" w:type="pct"/>
            <w:noWrap/>
            <w:hideMark/>
          </w:tcPr>
          <w:p w14:paraId="74193E3D" w14:textId="77777777" w:rsidR="00911F85" w:rsidRPr="005961A6" w:rsidRDefault="00911F85" w:rsidP="00CB4DB8">
            <w:pPr>
              <w:pStyle w:val="Tabletext1"/>
              <w:jc w:val="center"/>
            </w:pPr>
            <w:r w:rsidRPr="005961A6">
              <w:t>2.9%</w:t>
            </w:r>
          </w:p>
        </w:tc>
        <w:tc>
          <w:tcPr>
            <w:tcW w:w="517" w:type="pct"/>
            <w:noWrap/>
            <w:hideMark/>
          </w:tcPr>
          <w:p w14:paraId="0775AC2A" w14:textId="77777777" w:rsidR="00911F85" w:rsidRPr="005961A6" w:rsidRDefault="00911F85" w:rsidP="00CB4DB8">
            <w:pPr>
              <w:pStyle w:val="Tabletext1"/>
              <w:jc w:val="center"/>
            </w:pPr>
            <w:r w:rsidRPr="005961A6">
              <w:t>0.1%</w:t>
            </w:r>
          </w:p>
        </w:tc>
      </w:tr>
      <w:tr w:rsidR="00911F85" w:rsidRPr="005961A6" w14:paraId="566AD2B0" w14:textId="77777777" w:rsidTr="008742A1">
        <w:trPr>
          <w:trHeight w:val="300"/>
        </w:trPr>
        <w:tc>
          <w:tcPr>
            <w:tcW w:w="862" w:type="pct"/>
            <w:noWrap/>
            <w:hideMark/>
          </w:tcPr>
          <w:p w14:paraId="52FDC624" w14:textId="77777777" w:rsidR="00911F85" w:rsidRPr="005961A6" w:rsidRDefault="00911F85" w:rsidP="00CB4DB8">
            <w:pPr>
              <w:pStyle w:val="Tabletext1"/>
            </w:pPr>
            <w:r w:rsidRPr="005961A6">
              <w:t>Cycle 8</w:t>
            </w:r>
          </w:p>
        </w:tc>
        <w:tc>
          <w:tcPr>
            <w:tcW w:w="517" w:type="pct"/>
            <w:noWrap/>
            <w:hideMark/>
          </w:tcPr>
          <w:p w14:paraId="6CA7262C" w14:textId="77777777" w:rsidR="00911F85" w:rsidRPr="005961A6" w:rsidRDefault="00911F85" w:rsidP="00CB4DB8">
            <w:pPr>
              <w:pStyle w:val="Tabletext1"/>
              <w:jc w:val="center"/>
            </w:pPr>
            <w:r w:rsidRPr="005961A6">
              <w:t>28.5%</w:t>
            </w:r>
          </w:p>
        </w:tc>
        <w:tc>
          <w:tcPr>
            <w:tcW w:w="517" w:type="pct"/>
            <w:noWrap/>
            <w:hideMark/>
          </w:tcPr>
          <w:p w14:paraId="637050AE" w14:textId="77777777" w:rsidR="00911F85" w:rsidRPr="005961A6" w:rsidRDefault="00911F85" w:rsidP="00CB4DB8">
            <w:pPr>
              <w:pStyle w:val="Tabletext1"/>
              <w:jc w:val="center"/>
            </w:pPr>
            <w:r w:rsidRPr="005961A6">
              <w:t>5.7%</w:t>
            </w:r>
          </w:p>
        </w:tc>
        <w:tc>
          <w:tcPr>
            <w:tcW w:w="517" w:type="pct"/>
            <w:noWrap/>
            <w:hideMark/>
          </w:tcPr>
          <w:p w14:paraId="66D41639" w14:textId="77777777" w:rsidR="00911F85" w:rsidRPr="005961A6" w:rsidRDefault="00911F85" w:rsidP="00CB4DB8">
            <w:pPr>
              <w:pStyle w:val="Tabletext1"/>
              <w:jc w:val="center"/>
            </w:pPr>
            <w:r w:rsidRPr="005961A6">
              <w:t>2.8%</w:t>
            </w:r>
          </w:p>
        </w:tc>
        <w:tc>
          <w:tcPr>
            <w:tcW w:w="519" w:type="pct"/>
            <w:tcBorders>
              <w:right w:val="double" w:sz="4" w:space="0" w:color="auto"/>
            </w:tcBorders>
            <w:noWrap/>
            <w:hideMark/>
          </w:tcPr>
          <w:p w14:paraId="716581F0" w14:textId="77777777" w:rsidR="00911F85" w:rsidRPr="005961A6" w:rsidRDefault="00911F85" w:rsidP="00CB4DB8">
            <w:pPr>
              <w:pStyle w:val="Tabletext1"/>
              <w:jc w:val="center"/>
            </w:pPr>
            <w:r w:rsidRPr="005961A6">
              <w:t>0.1%</w:t>
            </w:r>
          </w:p>
        </w:tc>
        <w:tc>
          <w:tcPr>
            <w:tcW w:w="517" w:type="pct"/>
            <w:tcBorders>
              <w:left w:val="double" w:sz="4" w:space="0" w:color="auto"/>
            </w:tcBorders>
            <w:noWrap/>
            <w:hideMark/>
          </w:tcPr>
          <w:p w14:paraId="5E36D058" w14:textId="77777777" w:rsidR="00911F85" w:rsidRPr="005961A6" w:rsidRDefault="00911F85" w:rsidP="00CB4DB8">
            <w:pPr>
              <w:pStyle w:val="Tabletext1"/>
              <w:jc w:val="center"/>
            </w:pPr>
            <w:r w:rsidRPr="005961A6">
              <w:t>29.2%</w:t>
            </w:r>
          </w:p>
        </w:tc>
        <w:tc>
          <w:tcPr>
            <w:tcW w:w="517" w:type="pct"/>
            <w:noWrap/>
            <w:hideMark/>
          </w:tcPr>
          <w:p w14:paraId="77E3990E" w14:textId="77777777" w:rsidR="00911F85" w:rsidRPr="005961A6" w:rsidRDefault="00911F85" w:rsidP="00CB4DB8">
            <w:pPr>
              <w:pStyle w:val="Tabletext1"/>
              <w:jc w:val="center"/>
            </w:pPr>
            <w:r w:rsidRPr="005961A6">
              <w:t>5.9%</w:t>
            </w:r>
          </w:p>
        </w:tc>
        <w:tc>
          <w:tcPr>
            <w:tcW w:w="517" w:type="pct"/>
            <w:noWrap/>
            <w:hideMark/>
          </w:tcPr>
          <w:p w14:paraId="7173AD29" w14:textId="77777777" w:rsidR="00911F85" w:rsidRPr="005961A6" w:rsidRDefault="00911F85" w:rsidP="00CB4DB8">
            <w:pPr>
              <w:pStyle w:val="Tabletext1"/>
              <w:jc w:val="center"/>
            </w:pPr>
            <w:r w:rsidRPr="005961A6">
              <w:t>2.9%</w:t>
            </w:r>
          </w:p>
        </w:tc>
        <w:tc>
          <w:tcPr>
            <w:tcW w:w="517" w:type="pct"/>
            <w:noWrap/>
            <w:hideMark/>
          </w:tcPr>
          <w:p w14:paraId="7DC7007E" w14:textId="77777777" w:rsidR="00911F85" w:rsidRPr="005961A6" w:rsidRDefault="00911F85" w:rsidP="00CB4DB8">
            <w:pPr>
              <w:pStyle w:val="Tabletext1"/>
              <w:jc w:val="center"/>
            </w:pPr>
            <w:r w:rsidRPr="005961A6">
              <w:t>0.1%</w:t>
            </w:r>
          </w:p>
        </w:tc>
      </w:tr>
      <w:tr w:rsidR="00911F85" w:rsidRPr="005961A6" w14:paraId="0C5B279A" w14:textId="77777777" w:rsidTr="008742A1">
        <w:trPr>
          <w:trHeight w:val="300"/>
        </w:trPr>
        <w:tc>
          <w:tcPr>
            <w:tcW w:w="862" w:type="pct"/>
            <w:noWrap/>
            <w:hideMark/>
          </w:tcPr>
          <w:p w14:paraId="5B219FF3" w14:textId="77777777" w:rsidR="00911F85" w:rsidRPr="005961A6" w:rsidRDefault="00911F85" w:rsidP="00CB4DB8">
            <w:pPr>
              <w:pStyle w:val="Tabletext1"/>
            </w:pPr>
            <w:r w:rsidRPr="005961A6">
              <w:lastRenderedPageBreak/>
              <w:t>Cycle 9</w:t>
            </w:r>
          </w:p>
        </w:tc>
        <w:tc>
          <w:tcPr>
            <w:tcW w:w="517" w:type="pct"/>
            <w:noWrap/>
            <w:hideMark/>
          </w:tcPr>
          <w:p w14:paraId="34020A57" w14:textId="77777777" w:rsidR="00911F85" w:rsidRPr="005961A6" w:rsidRDefault="00911F85" w:rsidP="00CB4DB8">
            <w:pPr>
              <w:pStyle w:val="Tabletext1"/>
              <w:jc w:val="center"/>
            </w:pPr>
            <w:r w:rsidRPr="005961A6">
              <w:t>28.5%</w:t>
            </w:r>
          </w:p>
        </w:tc>
        <w:tc>
          <w:tcPr>
            <w:tcW w:w="517" w:type="pct"/>
            <w:noWrap/>
            <w:hideMark/>
          </w:tcPr>
          <w:p w14:paraId="4D537602" w14:textId="77777777" w:rsidR="00911F85" w:rsidRPr="005961A6" w:rsidRDefault="00911F85" w:rsidP="00CB4DB8">
            <w:pPr>
              <w:pStyle w:val="Tabletext1"/>
              <w:jc w:val="center"/>
            </w:pPr>
            <w:r w:rsidRPr="005961A6">
              <w:t>5.7%</w:t>
            </w:r>
          </w:p>
        </w:tc>
        <w:tc>
          <w:tcPr>
            <w:tcW w:w="517" w:type="pct"/>
            <w:noWrap/>
            <w:hideMark/>
          </w:tcPr>
          <w:p w14:paraId="15E312BB" w14:textId="77777777" w:rsidR="00911F85" w:rsidRPr="005961A6" w:rsidRDefault="00911F85" w:rsidP="00CB4DB8">
            <w:pPr>
              <w:pStyle w:val="Tabletext1"/>
              <w:jc w:val="center"/>
            </w:pPr>
            <w:r w:rsidRPr="005961A6">
              <w:t>2.8%</w:t>
            </w:r>
          </w:p>
        </w:tc>
        <w:tc>
          <w:tcPr>
            <w:tcW w:w="519" w:type="pct"/>
            <w:tcBorders>
              <w:right w:val="double" w:sz="4" w:space="0" w:color="auto"/>
            </w:tcBorders>
            <w:noWrap/>
            <w:hideMark/>
          </w:tcPr>
          <w:p w14:paraId="435247E8" w14:textId="77777777" w:rsidR="00911F85" w:rsidRPr="005961A6" w:rsidRDefault="00911F85" w:rsidP="00CB4DB8">
            <w:pPr>
              <w:pStyle w:val="Tabletext1"/>
              <w:jc w:val="center"/>
            </w:pPr>
            <w:r w:rsidRPr="005961A6">
              <w:t>0.1%</w:t>
            </w:r>
          </w:p>
        </w:tc>
        <w:tc>
          <w:tcPr>
            <w:tcW w:w="517" w:type="pct"/>
            <w:tcBorders>
              <w:left w:val="double" w:sz="4" w:space="0" w:color="auto"/>
            </w:tcBorders>
            <w:noWrap/>
            <w:hideMark/>
          </w:tcPr>
          <w:p w14:paraId="469D5D0F" w14:textId="77777777" w:rsidR="00911F85" w:rsidRPr="005961A6" w:rsidRDefault="00911F85" w:rsidP="00CB4DB8">
            <w:pPr>
              <w:pStyle w:val="Tabletext1"/>
              <w:jc w:val="center"/>
            </w:pPr>
            <w:r w:rsidRPr="005961A6">
              <w:t>29.1%</w:t>
            </w:r>
          </w:p>
        </w:tc>
        <w:tc>
          <w:tcPr>
            <w:tcW w:w="517" w:type="pct"/>
            <w:noWrap/>
            <w:hideMark/>
          </w:tcPr>
          <w:p w14:paraId="1E07D0C2" w14:textId="77777777" w:rsidR="00911F85" w:rsidRPr="005961A6" w:rsidRDefault="00911F85" w:rsidP="00CB4DB8">
            <w:pPr>
              <w:pStyle w:val="Tabletext1"/>
              <w:jc w:val="center"/>
            </w:pPr>
            <w:r w:rsidRPr="005961A6">
              <w:t>5.9%</w:t>
            </w:r>
          </w:p>
        </w:tc>
        <w:tc>
          <w:tcPr>
            <w:tcW w:w="517" w:type="pct"/>
            <w:noWrap/>
            <w:hideMark/>
          </w:tcPr>
          <w:p w14:paraId="2CE060D2" w14:textId="77777777" w:rsidR="00911F85" w:rsidRPr="005961A6" w:rsidRDefault="00911F85" w:rsidP="00CB4DB8">
            <w:pPr>
              <w:pStyle w:val="Tabletext1"/>
              <w:jc w:val="center"/>
            </w:pPr>
            <w:r w:rsidRPr="005961A6">
              <w:t>2.9%</w:t>
            </w:r>
          </w:p>
        </w:tc>
        <w:tc>
          <w:tcPr>
            <w:tcW w:w="517" w:type="pct"/>
            <w:noWrap/>
            <w:hideMark/>
          </w:tcPr>
          <w:p w14:paraId="36EF1090" w14:textId="77777777" w:rsidR="00911F85" w:rsidRPr="005961A6" w:rsidRDefault="00911F85" w:rsidP="00CB4DB8">
            <w:pPr>
              <w:pStyle w:val="Tabletext1"/>
              <w:jc w:val="center"/>
            </w:pPr>
            <w:r w:rsidRPr="005961A6">
              <w:t>0.1%</w:t>
            </w:r>
          </w:p>
        </w:tc>
      </w:tr>
      <w:tr w:rsidR="00911F85" w:rsidRPr="005961A6" w14:paraId="3AD726FC" w14:textId="77777777" w:rsidTr="008742A1">
        <w:trPr>
          <w:trHeight w:val="300"/>
        </w:trPr>
        <w:tc>
          <w:tcPr>
            <w:tcW w:w="862" w:type="pct"/>
            <w:noWrap/>
            <w:hideMark/>
          </w:tcPr>
          <w:p w14:paraId="200AF6C5" w14:textId="77777777" w:rsidR="00911F85" w:rsidRPr="005961A6" w:rsidRDefault="00911F85" w:rsidP="00CB4DB8">
            <w:pPr>
              <w:pStyle w:val="Tabletext1"/>
            </w:pPr>
            <w:r w:rsidRPr="005961A6">
              <w:t>Cycle 10</w:t>
            </w:r>
          </w:p>
        </w:tc>
        <w:tc>
          <w:tcPr>
            <w:tcW w:w="517" w:type="pct"/>
            <w:noWrap/>
            <w:hideMark/>
          </w:tcPr>
          <w:p w14:paraId="5FA9A367" w14:textId="77777777" w:rsidR="00911F85" w:rsidRPr="005961A6" w:rsidRDefault="00911F85" w:rsidP="00CB4DB8">
            <w:pPr>
              <w:pStyle w:val="Tabletext1"/>
              <w:jc w:val="center"/>
            </w:pPr>
            <w:r w:rsidRPr="005961A6">
              <w:t>28.4%</w:t>
            </w:r>
          </w:p>
        </w:tc>
        <w:tc>
          <w:tcPr>
            <w:tcW w:w="517" w:type="pct"/>
            <w:noWrap/>
            <w:hideMark/>
          </w:tcPr>
          <w:p w14:paraId="09EE9D55" w14:textId="77777777" w:rsidR="00911F85" w:rsidRPr="005961A6" w:rsidRDefault="00911F85" w:rsidP="00CB4DB8">
            <w:pPr>
              <w:pStyle w:val="Tabletext1"/>
              <w:jc w:val="center"/>
            </w:pPr>
            <w:r w:rsidRPr="005961A6">
              <w:t>5.7%</w:t>
            </w:r>
          </w:p>
        </w:tc>
        <w:tc>
          <w:tcPr>
            <w:tcW w:w="517" w:type="pct"/>
            <w:noWrap/>
            <w:hideMark/>
          </w:tcPr>
          <w:p w14:paraId="22168379" w14:textId="77777777" w:rsidR="00911F85" w:rsidRPr="005961A6" w:rsidRDefault="00911F85" w:rsidP="00CB4DB8">
            <w:pPr>
              <w:pStyle w:val="Tabletext1"/>
              <w:jc w:val="center"/>
            </w:pPr>
            <w:r w:rsidRPr="005961A6">
              <w:t>2.8%</w:t>
            </w:r>
          </w:p>
        </w:tc>
        <w:tc>
          <w:tcPr>
            <w:tcW w:w="519" w:type="pct"/>
            <w:tcBorders>
              <w:right w:val="double" w:sz="4" w:space="0" w:color="auto"/>
            </w:tcBorders>
            <w:noWrap/>
            <w:hideMark/>
          </w:tcPr>
          <w:p w14:paraId="54BE7845" w14:textId="77777777" w:rsidR="00911F85" w:rsidRPr="005961A6" w:rsidRDefault="00911F85" w:rsidP="00CB4DB8">
            <w:pPr>
              <w:pStyle w:val="Tabletext1"/>
              <w:jc w:val="center"/>
            </w:pPr>
            <w:r w:rsidRPr="005961A6">
              <w:t>0.1%</w:t>
            </w:r>
          </w:p>
        </w:tc>
        <w:tc>
          <w:tcPr>
            <w:tcW w:w="517" w:type="pct"/>
            <w:tcBorders>
              <w:left w:val="double" w:sz="4" w:space="0" w:color="auto"/>
            </w:tcBorders>
            <w:noWrap/>
            <w:hideMark/>
          </w:tcPr>
          <w:p w14:paraId="2A18DB90" w14:textId="77777777" w:rsidR="00911F85" w:rsidRPr="005961A6" w:rsidRDefault="00911F85" w:rsidP="00CB4DB8">
            <w:pPr>
              <w:pStyle w:val="Tabletext1"/>
              <w:jc w:val="center"/>
            </w:pPr>
            <w:r w:rsidRPr="005961A6">
              <w:t>29.0%</w:t>
            </w:r>
          </w:p>
        </w:tc>
        <w:tc>
          <w:tcPr>
            <w:tcW w:w="517" w:type="pct"/>
            <w:noWrap/>
            <w:hideMark/>
          </w:tcPr>
          <w:p w14:paraId="16ABFDC1" w14:textId="77777777" w:rsidR="00911F85" w:rsidRPr="005961A6" w:rsidRDefault="00911F85" w:rsidP="00CB4DB8">
            <w:pPr>
              <w:pStyle w:val="Tabletext1"/>
              <w:jc w:val="center"/>
            </w:pPr>
            <w:r w:rsidRPr="005961A6">
              <w:t>5.8%</w:t>
            </w:r>
          </w:p>
        </w:tc>
        <w:tc>
          <w:tcPr>
            <w:tcW w:w="517" w:type="pct"/>
            <w:noWrap/>
            <w:hideMark/>
          </w:tcPr>
          <w:p w14:paraId="5F3291CE" w14:textId="77777777" w:rsidR="00911F85" w:rsidRPr="005961A6" w:rsidRDefault="00911F85" w:rsidP="00CB4DB8">
            <w:pPr>
              <w:pStyle w:val="Tabletext1"/>
              <w:jc w:val="center"/>
            </w:pPr>
            <w:r w:rsidRPr="005961A6">
              <w:t>2.9%</w:t>
            </w:r>
          </w:p>
        </w:tc>
        <w:tc>
          <w:tcPr>
            <w:tcW w:w="517" w:type="pct"/>
            <w:noWrap/>
            <w:hideMark/>
          </w:tcPr>
          <w:p w14:paraId="32106A9F" w14:textId="77777777" w:rsidR="00911F85" w:rsidRPr="005961A6" w:rsidRDefault="00911F85" w:rsidP="00CB4DB8">
            <w:pPr>
              <w:pStyle w:val="Tabletext1"/>
              <w:jc w:val="center"/>
            </w:pPr>
            <w:r w:rsidRPr="005961A6">
              <w:t>0.1%</w:t>
            </w:r>
          </w:p>
        </w:tc>
      </w:tr>
      <w:tr w:rsidR="00911F85" w:rsidRPr="005961A6" w14:paraId="1B343483" w14:textId="77777777" w:rsidTr="008742A1">
        <w:trPr>
          <w:trHeight w:val="300"/>
        </w:trPr>
        <w:tc>
          <w:tcPr>
            <w:tcW w:w="862" w:type="pct"/>
            <w:noWrap/>
            <w:hideMark/>
          </w:tcPr>
          <w:p w14:paraId="6AFF677D" w14:textId="77777777" w:rsidR="00911F85" w:rsidRPr="005961A6" w:rsidRDefault="00911F85" w:rsidP="00CB4DB8">
            <w:pPr>
              <w:pStyle w:val="Tabletext1"/>
            </w:pPr>
            <w:r w:rsidRPr="005961A6">
              <w:t>Cycle 11</w:t>
            </w:r>
          </w:p>
        </w:tc>
        <w:tc>
          <w:tcPr>
            <w:tcW w:w="517" w:type="pct"/>
            <w:noWrap/>
            <w:hideMark/>
          </w:tcPr>
          <w:p w14:paraId="63320D5C" w14:textId="77777777" w:rsidR="00911F85" w:rsidRPr="005961A6" w:rsidRDefault="00911F85" w:rsidP="00CB4DB8">
            <w:pPr>
              <w:pStyle w:val="Tabletext1"/>
              <w:jc w:val="center"/>
            </w:pPr>
            <w:r w:rsidRPr="005961A6">
              <w:t>28.4%</w:t>
            </w:r>
          </w:p>
        </w:tc>
        <w:tc>
          <w:tcPr>
            <w:tcW w:w="517" w:type="pct"/>
            <w:noWrap/>
            <w:hideMark/>
          </w:tcPr>
          <w:p w14:paraId="12377271" w14:textId="77777777" w:rsidR="00911F85" w:rsidRPr="005961A6" w:rsidRDefault="00911F85" w:rsidP="00CB4DB8">
            <w:pPr>
              <w:pStyle w:val="Tabletext1"/>
              <w:jc w:val="center"/>
            </w:pPr>
            <w:r w:rsidRPr="005961A6">
              <w:t>5.7%</w:t>
            </w:r>
          </w:p>
        </w:tc>
        <w:tc>
          <w:tcPr>
            <w:tcW w:w="517" w:type="pct"/>
            <w:noWrap/>
            <w:hideMark/>
          </w:tcPr>
          <w:p w14:paraId="742E21BA" w14:textId="77777777" w:rsidR="00911F85" w:rsidRPr="005961A6" w:rsidRDefault="00911F85" w:rsidP="00CB4DB8">
            <w:pPr>
              <w:pStyle w:val="Tabletext1"/>
              <w:jc w:val="center"/>
            </w:pPr>
            <w:r w:rsidRPr="005961A6">
              <w:t>2.8%</w:t>
            </w:r>
          </w:p>
        </w:tc>
        <w:tc>
          <w:tcPr>
            <w:tcW w:w="519" w:type="pct"/>
            <w:tcBorders>
              <w:right w:val="double" w:sz="4" w:space="0" w:color="auto"/>
            </w:tcBorders>
            <w:noWrap/>
            <w:hideMark/>
          </w:tcPr>
          <w:p w14:paraId="28D0E41E" w14:textId="77777777" w:rsidR="00911F85" w:rsidRPr="005961A6" w:rsidRDefault="00911F85" w:rsidP="00CB4DB8">
            <w:pPr>
              <w:pStyle w:val="Tabletext1"/>
              <w:jc w:val="center"/>
            </w:pPr>
            <w:r w:rsidRPr="005961A6">
              <w:t>0.1%</w:t>
            </w:r>
          </w:p>
        </w:tc>
        <w:tc>
          <w:tcPr>
            <w:tcW w:w="517" w:type="pct"/>
            <w:tcBorders>
              <w:left w:val="double" w:sz="4" w:space="0" w:color="auto"/>
            </w:tcBorders>
            <w:noWrap/>
            <w:hideMark/>
          </w:tcPr>
          <w:p w14:paraId="70CC1D00" w14:textId="77777777" w:rsidR="00911F85" w:rsidRPr="005961A6" w:rsidRDefault="00911F85" w:rsidP="00CB4DB8">
            <w:pPr>
              <w:pStyle w:val="Tabletext1"/>
              <w:jc w:val="center"/>
            </w:pPr>
            <w:r w:rsidRPr="005961A6">
              <w:t>28.9%</w:t>
            </w:r>
          </w:p>
        </w:tc>
        <w:tc>
          <w:tcPr>
            <w:tcW w:w="517" w:type="pct"/>
            <w:noWrap/>
            <w:hideMark/>
          </w:tcPr>
          <w:p w14:paraId="61817B7D" w14:textId="77777777" w:rsidR="00911F85" w:rsidRPr="005961A6" w:rsidRDefault="00911F85" w:rsidP="00CB4DB8">
            <w:pPr>
              <w:pStyle w:val="Tabletext1"/>
              <w:jc w:val="center"/>
            </w:pPr>
            <w:r w:rsidRPr="005961A6">
              <w:t>5.8%</w:t>
            </w:r>
          </w:p>
        </w:tc>
        <w:tc>
          <w:tcPr>
            <w:tcW w:w="517" w:type="pct"/>
            <w:noWrap/>
            <w:hideMark/>
          </w:tcPr>
          <w:p w14:paraId="3F6B593B" w14:textId="77777777" w:rsidR="00911F85" w:rsidRPr="005961A6" w:rsidRDefault="00911F85" w:rsidP="00CB4DB8">
            <w:pPr>
              <w:pStyle w:val="Tabletext1"/>
              <w:jc w:val="center"/>
            </w:pPr>
            <w:r w:rsidRPr="005961A6">
              <w:t>2.9%</w:t>
            </w:r>
          </w:p>
        </w:tc>
        <w:tc>
          <w:tcPr>
            <w:tcW w:w="517" w:type="pct"/>
            <w:noWrap/>
            <w:hideMark/>
          </w:tcPr>
          <w:p w14:paraId="144AF8B7" w14:textId="77777777" w:rsidR="00911F85" w:rsidRPr="005961A6" w:rsidRDefault="00911F85" w:rsidP="00CB4DB8">
            <w:pPr>
              <w:pStyle w:val="Tabletext1"/>
              <w:jc w:val="center"/>
            </w:pPr>
            <w:r w:rsidRPr="005961A6">
              <w:t>0.1%</w:t>
            </w:r>
          </w:p>
        </w:tc>
      </w:tr>
    </w:tbl>
    <w:p w14:paraId="3CCF49A0" w14:textId="12DF6352" w:rsidR="00911F85" w:rsidRDefault="00911F85" w:rsidP="00911F85">
      <w:pPr>
        <w:pStyle w:val="Tablenotes1"/>
      </w:pPr>
      <w:r>
        <w:t xml:space="preserve">Note: Transitions were calculated by applying the relative proportion by 1 minus the per cycle probability of resolution reported in </w:t>
      </w:r>
      <w:r>
        <w:fldChar w:fldCharType="begin"/>
      </w:r>
      <w:r>
        <w:instrText xml:space="preserve"> REF _Ref12894634 \h </w:instrText>
      </w:r>
      <w:r>
        <w:fldChar w:fldCharType="separate"/>
      </w:r>
      <w:r w:rsidR="00A7463B" w:rsidRPr="009F34B1">
        <w:t xml:space="preserve">Table </w:t>
      </w:r>
      <w:r w:rsidR="00A7463B">
        <w:rPr>
          <w:noProof/>
        </w:rPr>
        <w:t>41</w:t>
      </w:r>
      <w:r>
        <w:fldChar w:fldCharType="end"/>
      </w:r>
      <w:r>
        <w:t>.</w:t>
      </w:r>
    </w:p>
    <w:p w14:paraId="77485643" w14:textId="77777777" w:rsidR="00911F85" w:rsidRDefault="00911F85" w:rsidP="00911F85">
      <w:pPr>
        <w:pStyle w:val="Tablenotes1"/>
      </w:pPr>
      <w:r>
        <w:t>I_B = transition from infection to bronchiectasis health state; I_BI = transition from infection to bronchiectasis with infection health state; I_D = transition from infection to dead health state; Ig = immunoglobulin; I_I = proportion remaining in the infection health state.</w:t>
      </w:r>
    </w:p>
    <w:p w14:paraId="2D22520F" w14:textId="10046944" w:rsidR="00911F85" w:rsidRDefault="00911F85" w:rsidP="00911F85">
      <w:r>
        <w:t xml:space="preserve">A sensitivity analysis is presented assuming no adjustment to the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 xml:space="preserve"> transition probabilities, and so the same transitions would apply in both model arms (Section D.6). </w:t>
      </w:r>
    </w:p>
    <w:p w14:paraId="18B2DDE5" w14:textId="77777777" w:rsidR="00911F85" w:rsidRDefault="00911F85" w:rsidP="00911F85"/>
    <w:p w14:paraId="20F768DE" w14:textId="77777777" w:rsidR="00911F85" w:rsidRDefault="00911F85" w:rsidP="00911F85">
      <w:pPr>
        <w:pStyle w:val="Heading4"/>
      </w:pPr>
      <w:r>
        <w:t>Transition probabilities related to bronchiectasis</w:t>
      </w:r>
    </w:p>
    <w:p w14:paraId="4E7EDBD9" w14:textId="77777777" w:rsidR="00911F85" w:rsidRDefault="00911F85" w:rsidP="00911F85">
      <w:pPr>
        <w:pStyle w:val="Heading5"/>
      </w:pPr>
      <w:r>
        <w:t>Developing infections in bronchiectasis</w:t>
      </w:r>
    </w:p>
    <w:p w14:paraId="73C4ED72" w14:textId="4D501650" w:rsidR="00911F85" w:rsidRDefault="00911F85" w:rsidP="00911F85">
      <w:r>
        <w:t xml:space="preserve">Patients in the bronchiectasis health state are at-risk of developing infections, including chronic </w:t>
      </w:r>
      <w:r w:rsidRPr="007B699A">
        <w:rPr>
          <w:i/>
        </w:rPr>
        <w:t>P</w:t>
      </w:r>
      <w:r>
        <w:rPr>
          <w:i/>
        </w:rPr>
        <w:t>.</w:t>
      </w:r>
      <w:r w:rsidRPr="007B699A">
        <w:rPr>
          <w:i/>
        </w:rPr>
        <w:t xml:space="preserve"> aeruginosa</w:t>
      </w:r>
      <w:r>
        <w:t xml:space="preserve"> infections. The transition probabilities reported in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 xml:space="preserve"> for patients on IVIg treatment are assumed to apply to the model arm where Ig is available (as the majority of current use is by IV). However Ig treatment is assumed to continue to reduce the risk of such infections in patients with bronchiectasis. Though not well reported, some studies in Section B did include patients with bronchiectasis (e.g. 4/15 patients in Duraisingham et al. 2014 had bronchiectasis). In the absence of evidence to suggest that Ig would have a different treatment effect in patients with bronchiectasis, the IRRs presented in </w:t>
      </w:r>
      <w:r>
        <w:fldChar w:fldCharType="begin"/>
      </w:r>
      <w:r>
        <w:instrText xml:space="preserve"> REF _Ref14254065 \h </w:instrText>
      </w:r>
      <w:r>
        <w:fldChar w:fldCharType="separate"/>
      </w:r>
      <w:r w:rsidR="00A7463B">
        <w:t xml:space="preserve">Table </w:t>
      </w:r>
      <w:r w:rsidR="00A7463B">
        <w:rPr>
          <w:noProof/>
        </w:rPr>
        <w:t>39</w:t>
      </w:r>
      <w:r>
        <w:fldChar w:fldCharType="end"/>
      </w:r>
      <w:r>
        <w:t xml:space="preserve"> are applied to adjust the transition probabilities reported in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 xml:space="preserve"> to the model arm where no Ig is available. Assuming that 12.5% of infections with bronchiectasis are serious (as per Windegger et al. 2019), the weighted risk reduction using the IRRs estimated from the meta-analyses presented in Section B is 0.552. The adjusted transitions are presented in </w:t>
      </w:r>
      <w:r>
        <w:fldChar w:fldCharType="begin"/>
      </w:r>
      <w:r>
        <w:instrText xml:space="preserve"> REF _Ref13063825 \h </w:instrText>
      </w:r>
      <w:r>
        <w:fldChar w:fldCharType="separate"/>
      </w:r>
      <w:r w:rsidR="00A7463B" w:rsidRPr="009F34B1">
        <w:t xml:space="preserve">Table </w:t>
      </w:r>
      <w:r w:rsidR="00A7463B">
        <w:rPr>
          <w:noProof/>
        </w:rPr>
        <w:t>43</w:t>
      </w:r>
      <w:r>
        <w:fldChar w:fldCharType="end"/>
      </w:r>
      <w:r>
        <w:t>.</w:t>
      </w:r>
    </w:p>
    <w:p w14:paraId="64D6118B" w14:textId="5CCD4F00" w:rsidR="00911F85" w:rsidRPr="009F34B1" w:rsidRDefault="00911F85" w:rsidP="009F34B1">
      <w:pPr>
        <w:pStyle w:val="Caption"/>
      </w:pPr>
      <w:bookmarkStart w:id="489" w:name="_Ref13063825"/>
      <w:bookmarkStart w:id="490" w:name="_Toc14348878"/>
      <w:bookmarkStart w:id="491" w:name="_Toc14429584"/>
      <w:bookmarkStart w:id="492" w:name="_Toc16671641"/>
      <w:r w:rsidRPr="009F34B1">
        <w:t xml:space="preserve">Table </w:t>
      </w:r>
      <w:r w:rsidR="00F814DE">
        <w:rPr>
          <w:noProof/>
        </w:rPr>
        <w:fldChar w:fldCharType="begin"/>
      </w:r>
      <w:r w:rsidR="00F814DE">
        <w:rPr>
          <w:noProof/>
        </w:rPr>
        <w:instrText xml:space="preserve"> SEQ Table \* ARABIC </w:instrText>
      </w:r>
      <w:r w:rsidR="00F814DE">
        <w:rPr>
          <w:noProof/>
        </w:rPr>
        <w:fldChar w:fldCharType="separate"/>
      </w:r>
      <w:r w:rsidR="00A7463B">
        <w:rPr>
          <w:noProof/>
        </w:rPr>
        <w:t>43</w:t>
      </w:r>
      <w:r w:rsidR="00F814DE">
        <w:rPr>
          <w:noProof/>
        </w:rPr>
        <w:fldChar w:fldCharType="end"/>
      </w:r>
      <w:bookmarkEnd w:id="489"/>
      <w:r w:rsidRPr="009F34B1">
        <w:tab/>
        <w:t>Adjusted transition probabilities of developing infections in bronchiectasis</w:t>
      </w:r>
      <w:bookmarkEnd w:id="490"/>
      <w:bookmarkEnd w:id="491"/>
      <w:bookmarkEnd w:id="492"/>
    </w:p>
    <w:tbl>
      <w:tblPr>
        <w:tblStyle w:val="TableGrid1"/>
        <w:tblW w:w="5000" w:type="pct"/>
        <w:tblLook w:val="04A0" w:firstRow="1" w:lastRow="0" w:firstColumn="1" w:lastColumn="0" w:noHBand="0" w:noVBand="1"/>
        <w:tblCaption w:val="Adjusted transition probabilities of developing infections in bronchiectasis"/>
      </w:tblPr>
      <w:tblGrid>
        <w:gridCol w:w="6414"/>
        <w:gridCol w:w="1414"/>
        <w:gridCol w:w="1414"/>
      </w:tblGrid>
      <w:tr w:rsidR="00911F85" w:rsidRPr="00F36AAE" w14:paraId="0A37D4BA" w14:textId="77777777" w:rsidTr="008742A1">
        <w:trPr>
          <w:cnfStyle w:val="100000000000" w:firstRow="1" w:lastRow="0" w:firstColumn="0" w:lastColumn="0" w:oddVBand="0" w:evenVBand="0" w:oddHBand="0" w:evenHBand="0" w:firstRowFirstColumn="0" w:firstRowLastColumn="0" w:lastRowFirstColumn="0" w:lastRowLastColumn="0"/>
          <w:cantSplit/>
          <w:trHeight w:val="300"/>
          <w:tblHeader/>
        </w:trPr>
        <w:tc>
          <w:tcPr>
            <w:tcW w:w="3470" w:type="pct"/>
            <w:noWrap/>
            <w:hideMark/>
          </w:tcPr>
          <w:p w14:paraId="036BE754" w14:textId="77777777" w:rsidR="00911F85" w:rsidRPr="00F36AAE" w:rsidRDefault="00911F85" w:rsidP="008742A1">
            <w:pPr>
              <w:pStyle w:val="TableHeading"/>
            </w:pPr>
          </w:p>
        </w:tc>
        <w:tc>
          <w:tcPr>
            <w:tcW w:w="765" w:type="pct"/>
            <w:noWrap/>
            <w:hideMark/>
          </w:tcPr>
          <w:p w14:paraId="5D962F38" w14:textId="77777777" w:rsidR="00911F85" w:rsidRPr="00F36AAE" w:rsidRDefault="00911F85" w:rsidP="008742A1">
            <w:pPr>
              <w:pStyle w:val="TableHeading"/>
              <w:jc w:val="center"/>
            </w:pPr>
            <w:r w:rsidRPr="00F36AAE">
              <w:t>pB_BI</w:t>
            </w:r>
          </w:p>
        </w:tc>
        <w:tc>
          <w:tcPr>
            <w:tcW w:w="765" w:type="pct"/>
            <w:noWrap/>
            <w:hideMark/>
          </w:tcPr>
          <w:p w14:paraId="659E6FE7" w14:textId="77777777" w:rsidR="00911F85" w:rsidRPr="00F36AAE" w:rsidRDefault="00911F85" w:rsidP="008742A1">
            <w:pPr>
              <w:pStyle w:val="TableHeading"/>
              <w:jc w:val="center"/>
            </w:pPr>
            <w:r w:rsidRPr="00F36AAE">
              <w:t>pB_P</w:t>
            </w:r>
          </w:p>
        </w:tc>
      </w:tr>
      <w:tr w:rsidR="00911F85" w:rsidRPr="00F36AAE" w14:paraId="4544C928" w14:textId="77777777" w:rsidTr="008742A1">
        <w:trPr>
          <w:cantSplit/>
          <w:trHeight w:val="300"/>
        </w:trPr>
        <w:tc>
          <w:tcPr>
            <w:tcW w:w="3470" w:type="pct"/>
            <w:noWrap/>
            <w:hideMark/>
          </w:tcPr>
          <w:p w14:paraId="1AE894F3" w14:textId="35AAAED3" w:rsidR="00911F85" w:rsidRPr="00F36AAE" w:rsidRDefault="00911F85" w:rsidP="00BB0145">
            <w:pPr>
              <w:pStyle w:val="Tabletext1"/>
            </w:pPr>
            <w:r>
              <w:t>P</w:t>
            </w:r>
            <w:r w:rsidRPr="00F36AAE">
              <w:t xml:space="preserve">robability </w:t>
            </w:r>
            <w:r>
              <w:t xml:space="preserve">reported in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 xml:space="preserve"> </w:t>
            </w:r>
            <w:r w:rsidRPr="00F36AAE">
              <w:t>(applicable to Ig model arm)</w:t>
            </w:r>
          </w:p>
        </w:tc>
        <w:tc>
          <w:tcPr>
            <w:tcW w:w="765" w:type="pct"/>
            <w:noWrap/>
            <w:hideMark/>
          </w:tcPr>
          <w:p w14:paraId="67A6FCA6" w14:textId="77777777" w:rsidR="00911F85" w:rsidRPr="00F36AAE" w:rsidRDefault="00911F85" w:rsidP="008742A1">
            <w:pPr>
              <w:pStyle w:val="Tabletext1"/>
              <w:jc w:val="center"/>
            </w:pPr>
            <w:r w:rsidRPr="00F36AAE">
              <w:t>5.0%</w:t>
            </w:r>
          </w:p>
        </w:tc>
        <w:tc>
          <w:tcPr>
            <w:tcW w:w="765" w:type="pct"/>
            <w:noWrap/>
            <w:hideMark/>
          </w:tcPr>
          <w:p w14:paraId="0C376C5C" w14:textId="77777777" w:rsidR="00911F85" w:rsidRPr="00F36AAE" w:rsidRDefault="00911F85" w:rsidP="008742A1">
            <w:pPr>
              <w:pStyle w:val="Tabletext1"/>
              <w:jc w:val="center"/>
            </w:pPr>
            <w:r w:rsidRPr="00F36AAE">
              <w:t>3.0%</w:t>
            </w:r>
          </w:p>
        </w:tc>
      </w:tr>
      <w:tr w:rsidR="00911F85" w:rsidRPr="00F36AAE" w14:paraId="11F01B4A" w14:textId="77777777" w:rsidTr="008742A1">
        <w:trPr>
          <w:cantSplit/>
          <w:trHeight w:val="300"/>
        </w:trPr>
        <w:tc>
          <w:tcPr>
            <w:tcW w:w="3470" w:type="pct"/>
            <w:noWrap/>
            <w:hideMark/>
          </w:tcPr>
          <w:p w14:paraId="7AE5E529" w14:textId="77777777" w:rsidR="00911F85" w:rsidRPr="00F36AAE" w:rsidRDefault="00911F85" w:rsidP="008742A1">
            <w:pPr>
              <w:pStyle w:val="Tabletext1"/>
            </w:pPr>
            <w:r>
              <w:t>Ig r</w:t>
            </w:r>
            <w:r w:rsidRPr="00F36AAE">
              <w:t>ate</w:t>
            </w:r>
          </w:p>
        </w:tc>
        <w:tc>
          <w:tcPr>
            <w:tcW w:w="765" w:type="pct"/>
            <w:noWrap/>
            <w:hideMark/>
          </w:tcPr>
          <w:p w14:paraId="609549BB" w14:textId="77777777" w:rsidR="00911F85" w:rsidRPr="00F36AAE" w:rsidRDefault="00911F85" w:rsidP="008742A1">
            <w:pPr>
              <w:pStyle w:val="Tabletext1"/>
              <w:jc w:val="center"/>
            </w:pPr>
            <w:r w:rsidRPr="00F36AAE">
              <w:t>2.667</w:t>
            </w:r>
          </w:p>
        </w:tc>
        <w:tc>
          <w:tcPr>
            <w:tcW w:w="765" w:type="pct"/>
            <w:noWrap/>
            <w:hideMark/>
          </w:tcPr>
          <w:p w14:paraId="5A3A843E" w14:textId="77777777" w:rsidR="00911F85" w:rsidRPr="00F36AAE" w:rsidRDefault="00911F85" w:rsidP="008742A1">
            <w:pPr>
              <w:pStyle w:val="Tabletext1"/>
              <w:jc w:val="center"/>
            </w:pPr>
            <w:r w:rsidRPr="00F36AAE">
              <w:t>1.584</w:t>
            </w:r>
          </w:p>
        </w:tc>
      </w:tr>
      <w:tr w:rsidR="00911F85" w:rsidRPr="00F36AAE" w14:paraId="53C66D17" w14:textId="77777777" w:rsidTr="008742A1">
        <w:trPr>
          <w:cantSplit/>
          <w:trHeight w:val="300"/>
        </w:trPr>
        <w:tc>
          <w:tcPr>
            <w:tcW w:w="3470" w:type="pct"/>
            <w:noWrap/>
            <w:hideMark/>
          </w:tcPr>
          <w:p w14:paraId="4353946A" w14:textId="77777777" w:rsidR="00911F85" w:rsidRPr="00F36AAE" w:rsidRDefault="00911F85" w:rsidP="008742A1">
            <w:pPr>
              <w:pStyle w:val="Tabletext1"/>
            </w:pPr>
            <w:r>
              <w:t>No Ig rate (i.e. Ig rate / weighted IRR, 0.552)</w:t>
            </w:r>
          </w:p>
        </w:tc>
        <w:tc>
          <w:tcPr>
            <w:tcW w:w="765" w:type="pct"/>
            <w:noWrap/>
            <w:hideMark/>
          </w:tcPr>
          <w:p w14:paraId="787178A0" w14:textId="77777777" w:rsidR="00911F85" w:rsidRPr="00F36AAE" w:rsidRDefault="00911F85" w:rsidP="008742A1">
            <w:pPr>
              <w:pStyle w:val="Tabletext1"/>
              <w:jc w:val="center"/>
            </w:pPr>
            <w:r>
              <w:t>4.832</w:t>
            </w:r>
          </w:p>
        </w:tc>
        <w:tc>
          <w:tcPr>
            <w:tcW w:w="765" w:type="pct"/>
            <w:noWrap/>
            <w:hideMark/>
          </w:tcPr>
          <w:p w14:paraId="342D9553" w14:textId="77777777" w:rsidR="00911F85" w:rsidRPr="00F36AAE" w:rsidRDefault="00911F85" w:rsidP="008742A1">
            <w:pPr>
              <w:pStyle w:val="Tabletext1"/>
              <w:jc w:val="center"/>
            </w:pPr>
            <w:r>
              <w:t>2.869</w:t>
            </w:r>
          </w:p>
        </w:tc>
      </w:tr>
      <w:tr w:rsidR="00911F85" w:rsidRPr="00F36AAE" w14:paraId="42B84858" w14:textId="77777777" w:rsidTr="008742A1">
        <w:trPr>
          <w:cantSplit/>
          <w:trHeight w:val="300"/>
        </w:trPr>
        <w:tc>
          <w:tcPr>
            <w:tcW w:w="3470" w:type="pct"/>
            <w:noWrap/>
            <w:hideMark/>
          </w:tcPr>
          <w:p w14:paraId="7E53E052" w14:textId="77777777" w:rsidR="00911F85" w:rsidRPr="00F36AAE" w:rsidRDefault="00911F85" w:rsidP="008742A1">
            <w:pPr>
              <w:pStyle w:val="Tabletext1"/>
            </w:pPr>
            <w:r>
              <w:t>No Ig adjusted transition probability</w:t>
            </w:r>
          </w:p>
        </w:tc>
        <w:tc>
          <w:tcPr>
            <w:tcW w:w="765" w:type="pct"/>
            <w:noWrap/>
            <w:hideMark/>
          </w:tcPr>
          <w:p w14:paraId="72D1A93D" w14:textId="77777777" w:rsidR="00911F85" w:rsidRPr="00F36AAE" w:rsidRDefault="00911F85" w:rsidP="008742A1">
            <w:pPr>
              <w:pStyle w:val="Tabletext1"/>
              <w:jc w:val="center"/>
            </w:pPr>
            <w:r>
              <w:t>8.9</w:t>
            </w:r>
            <w:r w:rsidRPr="00F36AAE">
              <w:t>%</w:t>
            </w:r>
          </w:p>
        </w:tc>
        <w:tc>
          <w:tcPr>
            <w:tcW w:w="765" w:type="pct"/>
            <w:noWrap/>
            <w:hideMark/>
          </w:tcPr>
          <w:p w14:paraId="70568850" w14:textId="77777777" w:rsidR="00911F85" w:rsidRPr="00F36AAE" w:rsidRDefault="00911F85" w:rsidP="008742A1">
            <w:pPr>
              <w:pStyle w:val="Tabletext1"/>
              <w:jc w:val="center"/>
            </w:pPr>
            <w:r>
              <w:t>5.4</w:t>
            </w:r>
            <w:r w:rsidRPr="00F36AAE">
              <w:t>%</w:t>
            </w:r>
          </w:p>
        </w:tc>
      </w:tr>
    </w:tbl>
    <w:p w14:paraId="32BC255F" w14:textId="77777777" w:rsidR="00911F85" w:rsidRDefault="00911F85" w:rsidP="00911F85">
      <w:pPr>
        <w:pStyle w:val="Tablenotes1"/>
      </w:pPr>
      <w:r>
        <w:t xml:space="preserve">Ig = immunoglobulin; pB_BI = probability of transitioning from the bronchiectasis to the bronchiectasis with infection health state; IRR = incidence rate ratio; pB_P = probability of transitioning from the bronchiectasis to the bronchiectasis with chronic </w:t>
      </w:r>
      <w:r w:rsidRPr="00447FE8">
        <w:rPr>
          <w:i/>
        </w:rPr>
        <w:t>P. aeruginosa</w:t>
      </w:r>
      <w:r>
        <w:t xml:space="preserve"> infection health state.</w:t>
      </w:r>
    </w:p>
    <w:p w14:paraId="76F27956" w14:textId="34F9A9CA" w:rsidR="00911F85" w:rsidRDefault="00911F85" w:rsidP="00911F85">
      <w:r>
        <w:t xml:space="preserve">A sensitivity analysis will be presented assuming no adjustment to the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 xml:space="preserve"> transition probabilities, and so the same transitions would apply in both model arms (Section D.6).</w:t>
      </w:r>
    </w:p>
    <w:p w14:paraId="4F25D18D" w14:textId="77777777" w:rsidR="00911F85" w:rsidRDefault="00911F85" w:rsidP="00911F85">
      <w:pPr>
        <w:pStyle w:val="Heading5"/>
      </w:pPr>
      <w:r>
        <w:lastRenderedPageBreak/>
        <w:t>Other transitions between non-dead health states</w:t>
      </w:r>
    </w:p>
    <w:p w14:paraId="78E4EB0E" w14:textId="5BBB7DEB" w:rsidR="00911F85" w:rsidRDefault="00911F85" w:rsidP="00911F85">
      <w:r>
        <w:t xml:space="preserve">Transitions within the bronchiectasis health state with infection and with chronic </w:t>
      </w:r>
      <w:r w:rsidRPr="007B699A">
        <w:rPr>
          <w:i/>
        </w:rPr>
        <w:t>P</w:t>
      </w:r>
      <w:r>
        <w:rPr>
          <w:i/>
        </w:rPr>
        <w:t>.</w:t>
      </w:r>
      <w:r w:rsidRPr="007B699A">
        <w:rPr>
          <w:i/>
        </w:rPr>
        <w:t xml:space="preserve"> aeruginosa</w:t>
      </w:r>
      <w:r>
        <w:t xml:space="preserve"> infection health states are assumed as per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 and so have been assumed to be the same across model arms.</w:t>
      </w:r>
    </w:p>
    <w:p w14:paraId="011A7A51" w14:textId="77777777" w:rsidR="00911F85" w:rsidRPr="006B7EB8" w:rsidRDefault="00911F85" w:rsidP="00911F85"/>
    <w:p w14:paraId="6FD31D36" w14:textId="77777777" w:rsidR="00911F85" w:rsidRDefault="00911F85" w:rsidP="00911F85">
      <w:pPr>
        <w:pStyle w:val="Heading4"/>
      </w:pPr>
      <w:r>
        <w:t>Mortality</w:t>
      </w:r>
    </w:p>
    <w:p w14:paraId="11148BC5" w14:textId="7A7B8C7B" w:rsidR="00911F85" w:rsidRDefault="00911F85" w:rsidP="00911F85">
      <w:r>
        <w:t xml:space="preserve">The sources of data to model increased risk of death in each of the health state are consistent with those applied in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 xml:space="preserve">.In the infection-free health state, an increased mortality risk of 2.55 times that of the general Australian population has been applied. This was based on the increased risk of mortality in CLL patients, relative to the general Australian population, reported in Royle et al. </w:t>
      </w:r>
      <w:r>
        <w:fldChar w:fldCharType="begin">
          <w:fldData xml:space="preserve">PEVuZE5vdGU+PENpdGUgRXhjbHVkZUF1dGg9IjEiPjxBdXRob3I+Um95bGU8L0F1dGhvcj48WWVh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</w:fldData>
        </w:fldChar>
      </w:r>
      <w:r>
        <w:instrText xml:space="preserve"> ADDIN EN.CITE </w:instrText>
      </w:r>
      <w:r>
        <w:fldChar w:fldCharType="begin">
          <w:fldData xml:space="preserve">PEVuZE5vdGU+PENpdGUgRXhjbHVkZUF1dGg9IjEiPjxBdXRob3I+Um95bGU8L0F1dGhvcj48WWVh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</w:fldData>
        </w:fldChar>
      </w:r>
      <w:r>
        <w:instrText xml:space="preserve"> ADDIN EN.CITE.DATA </w:instrText>
      </w:r>
      <w:r>
        <w:fldChar w:fldCharType="end"/>
      </w:r>
      <w:r>
        <w:fldChar w:fldCharType="separate"/>
      </w:r>
      <w:r>
        <w:rPr>
          <w:noProof/>
        </w:rPr>
        <w:t>(</w:t>
      </w:r>
      <w:hyperlink w:anchor="_ENREF_44" w:tooltip="Royle, 2011 #105" w:history="1">
        <w:r w:rsidR="00BB0145">
          <w:rPr>
            <w:noProof/>
          </w:rPr>
          <w:t>2011</w:t>
        </w:r>
      </w:hyperlink>
      <w:r>
        <w:rPr>
          <w:noProof/>
        </w:rPr>
        <w:t>)</w:t>
      </w:r>
      <w:r>
        <w:fldChar w:fldCharType="end"/>
      </w:r>
      <w:r>
        <w:t xml:space="preserve">. Visentin et al. </w:t>
      </w:r>
      <w:r>
        <w:fldChar w:fldCharType="begin">
          <w:fldData xml:space="preserve">PEVuZE5vdGU+PENpdGUgRXhjbHVkZUF1dGg9IjEiPjxBdXRob3I+VmlzZW50aW48L0F1dGhvcj48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==
</w:fldData>
        </w:fldChar>
      </w:r>
      <w:r>
        <w:instrText xml:space="preserve"> ADDIN EN.CITE </w:instrText>
      </w:r>
      <w:r>
        <w:fldChar w:fldCharType="begin">
          <w:fldData xml:space="preserve">PEVuZE5vdGU+PENpdGUgRXhjbHVkZUF1dGg9IjEiPjxBdXRob3I+VmlzZW50aW48L0F1dGhvcj48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==
</w:fldData>
        </w:fldChar>
      </w:r>
      <w:r>
        <w:instrText xml:space="preserve"> ADDIN EN.CITE.DATA </w:instrText>
      </w:r>
      <w:r>
        <w:fldChar w:fldCharType="end"/>
      </w:r>
      <w:r>
        <w:fldChar w:fldCharType="separate"/>
      </w:r>
      <w:r>
        <w:rPr>
          <w:noProof/>
        </w:rPr>
        <w:t>(</w:t>
      </w:r>
      <w:hyperlink w:anchor="_ENREF_54" w:tooltip="Visentin, 2015 #21" w:history="1">
        <w:r w:rsidR="00BB0145">
          <w:rPr>
            <w:noProof/>
          </w:rPr>
          <w:t>2015</w:t>
        </w:r>
      </w:hyperlink>
      <w:r>
        <w:rPr>
          <w:noProof/>
        </w:rPr>
        <w:t>)</w:t>
      </w:r>
      <w:r>
        <w:fldChar w:fldCharType="end"/>
      </w:r>
      <w:r>
        <w:t xml:space="preserve"> did report that patients with a history of major infections had a 2.34 increased risk of death, however as increased mortality with infection health states has been modelled separately, this has not been included in the base case analysis as it may double-count mortality risk due to infections. The inclusion of this additional risk in the infection-free health state has been tested in a sensitivity analysis.</w:t>
      </w:r>
    </w:p>
    <w:p w14:paraId="5C42B9D7" w14:textId="15EEAAED" w:rsidR="00911F85" w:rsidRDefault="00911F85" w:rsidP="00911F85">
      <w:r>
        <w:t xml:space="preserve">In the bronchiectasis health state, a 2.20 increased risk of death has been applied to the mortality rates estimated for the infection-free health state, based on the increased risk reported in Quint et al. </w:t>
      </w:r>
      <w:r>
        <w:fldChar w:fldCharType="begin">
          <w:fldData xml:space="preserve">PEVuZE5vdGU+PENpdGUgRXhjbHVkZUF1dGg9IjEiPjxBdXRob3I+UXVpbnQ8L0F1dGhvcj48WWVh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</w:fldData>
        </w:fldChar>
      </w:r>
      <w:r>
        <w:instrText xml:space="preserve"> ADDIN EN.CITE </w:instrText>
      </w:r>
      <w:r>
        <w:fldChar w:fldCharType="begin">
          <w:fldData xml:space="preserve">PEVuZE5vdGU+PENpdGUgRXhjbHVkZUF1dGg9IjEiPjxBdXRob3I+UXVpbnQ8L0F1dGhvcj48WWVh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</w:fldData>
        </w:fldChar>
      </w:r>
      <w:r>
        <w:instrText xml:space="preserve"> ADDIN EN.CITE.DATA </w:instrText>
      </w:r>
      <w:r>
        <w:fldChar w:fldCharType="end"/>
      </w:r>
      <w:r>
        <w:fldChar w:fldCharType="separate"/>
      </w:r>
      <w:r>
        <w:rPr>
          <w:noProof/>
        </w:rPr>
        <w:t>(</w:t>
      </w:r>
      <w:hyperlink w:anchor="_ENREF_41" w:tooltip="Quint, 2016 #104" w:history="1">
        <w:r w:rsidR="00BB0145">
          <w:rPr>
            <w:noProof/>
          </w:rPr>
          <w:t>2016</w:t>
        </w:r>
      </w:hyperlink>
      <w:r>
        <w:rPr>
          <w:noProof/>
        </w:rPr>
        <w:t>)</w:t>
      </w:r>
      <w:r>
        <w:fldChar w:fldCharType="end"/>
      </w:r>
      <w:r>
        <w:t xml:space="preserve">. With infections, a 4.18 increase in the risk of death has been assumed, which has been estimated from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 derived from the relative increase in death in the infection health state compared to the infection-free health state. The basis for this increased risk of death was not clear, and will be tested in sensitivity analyses.</w:t>
      </w:r>
    </w:p>
    <w:p w14:paraId="06E04C91" w14:textId="452653C1" w:rsidR="00911F85" w:rsidRDefault="00911F85" w:rsidP="00911F85">
      <w:r>
        <w:t xml:space="preserve">An increased risk of death with chronic </w:t>
      </w:r>
      <w:r w:rsidRPr="00246F7C">
        <w:rPr>
          <w:i/>
        </w:rPr>
        <w:t>P</w:t>
      </w:r>
      <w:r>
        <w:rPr>
          <w:i/>
        </w:rPr>
        <w:t>.</w:t>
      </w:r>
      <w:r w:rsidRPr="00246F7C">
        <w:rPr>
          <w:i/>
        </w:rPr>
        <w:t xml:space="preserve"> aeruginosa</w:t>
      </w:r>
      <w:r>
        <w:t xml:space="preserve"> infection will be assumed based on Finch et al. </w:t>
      </w:r>
      <w:r>
        <w:fldChar w:fldCharType="begin">
          <w:fldData xml:space="preserve">PEVuZE5vdGU+PENpdGUgRXhjbHVkZUF1dGg9IjEiPjxBdXRob3I+RmluY2g8L0F1dGhvcj48WWVh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</w:fldData>
        </w:fldChar>
      </w:r>
      <w:r>
        <w:instrText xml:space="preserve"> ADDIN EN.CITE </w:instrText>
      </w:r>
      <w:r>
        <w:fldChar w:fldCharType="begin">
          <w:fldData xml:space="preserve">PEVuZE5vdGU+PENpdGUgRXhjbHVkZUF1dGg9IjEiPjxBdXRob3I+RmluY2g8L0F1dGhvcj48WWVh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</w:fldData>
        </w:fldChar>
      </w:r>
      <w:r>
        <w:instrText xml:space="preserve"> ADDIN EN.CITE.DATA </w:instrText>
      </w:r>
      <w:r>
        <w:fldChar w:fldCharType="end"/>
      </w:r>
      <w:r>
        <w:fldChar w:fldCharType="separate"/>
      </w:r>
      <w:r>
        <w:rPr>
          <w:noProof/>
        </w:rPr>
        <w:t>(</w:t>
      </w:r>
      <w:hyperlink w:anchor="_ENREF_18" w:tooltip="Finch, 2015 #103" w:history="1">
        <w:r w:rsidR="00BB0145">
          <w:rPr>
            <w:noProof/>
          </w:rPr>
          <w:t>2015</w:t>
        </w:r>
      </w:hyperlink>
      <w:r>
        <w:rPr>
          <w:noProof/>
        </w:rPr>
        <w:t>)</w:t>
      </w:r>
      <w:r>
        <w:fldChar w:fldCharType="end"/>
      </w:r>
      <w:r>
        <w:t xml:space="preserve">, which reported increased odds of death with </w:t>
      </w:r>
      <w:r w:rsidRPr="00246F7C">
        <w:rPr>
          <w:i/>
        </w:rPr>
        <w:t>P</w:t>
      </w:r>
      <w:r>
        <w:rPr>
          <w:i/>
        </w:rPr>
        <w:t>.</w:t>
      </w:r>
      <w:r w:rsidRPr="00246F7C">
        <w:rPr>
          <w:i/>
        </w:rPr>
        <w:t xml:space="preserve"> aeruginosa</w:t>
      </w:r>
      <w:r>
        <w:t xml:space="preserve"> infection, relative to bronchiectasis without </w:t>
      </w:r>
      <w:r w:rsidRPr="00246F7C">
        <w:rPr>
          <w:i/>
        </w:rPr>
        <w:t>P</w:t>
      </w:r>
      <w:r>
        <w:rPr>
          <w:i/>
        </w:rPr>
        <w:t>.</w:t>
      </w:r>
      <w:r w:rsidRPr="00246F7C">
        <w:rPr>
          <w:i/>
        </w:rPr>
        <w:t xml:space="preserve"> aeruginosa</w:t>
      </w:r>
      <w:r>
        <w:t xml:space="preserve"> infection of 2.95. Using this OR and assuming a 12% mortality at five years, the RR is estimated to be 2.39.</w:t>
      </w:r>
    </w:p>
    <w:p w14:paraId="65E619E2" w14:textId="77777777" w:rsidR="00911F85" w:rsidRPr="00A46784" w:rsidRDefault="00911F85" w:rsidP="00911F85"/>
    <w:p w14:paraId="477BF0AE" w14:textId="77777777" w:rsidR="00911F85" w:rsidRDefault="00911F85" w:rsidP="00911F85">
      <w:pPr>
        <w:pStyle w:val="Heading4"/>
      </w:pPr>
      <w:r>
        <w:t>Summary matrix of transition probabilities</w:t>
      </w:r>
    </w:p>
    <w:p w14:paraId="78CD2D88" w14:textId="091AE9C7" w:rsidR="00911F85" w:rsidRDefault="00911F85" w:rsidP="00911F85">
      <w:r>
        <w:t xml:space="preserve">A summary of the transition probabilities used in the model is depicted in </w:t>
      </w:r>
      <w:r>
        <w:fldChar w:fldCharType="begin"/>
      </w:r>
      <w:r>
        <w:instrText xml:space="preserve"> REF _Ref13149508 \h </w:instrText>
      </w:r>
      <w:r>
        <w:fldChar w:fldCharType="separate"/>
      </w:r>
      <w:r w:rsidR="00A7463B">
        <w:t xml:space="preserve">Table </w:t>
      </w:r>
      <w:r w:rsidR="00A7463B">
        <w:rPr>
          <w:noProof/>
        </w:rPr>
        <w:t>44</w:t>
      </w:r>
      <w:r>
        <w:fldChar w:fldCharType="end"/>
      </w:r>
      <w:r>
        <w:t>.</w:t>
      </w:r>
    </w:p>
    <w:p w14:paraId="7258B0F1" w14:textId="68873149" w:rsidR="00911F85" w:rsidRDefault="00911F85" w:rsidP="00911F85">
      <w:pPr>
        <w:pStyle w:val="Caption"/>
        <w:keepNext/>
      </w:pPr>
      <w:bookmarkStart w:id="493" w:name="_Ref13149508"/>
      <w:bookmarkStart w:id="494" w:name="_Toc14348879"/>
      <w:bookmarkStart w:id="495" w:name="_Toc14429585"/>
      <w:bookmarkStart w:id="496" w:name="_Toc16671642"/>
      <w:r>
        <w:lastRenderedPageBreak/>
        <w:t xml:space="preserve">Table </w:t>
      </w:r>
      <w:r>
        <w:rPr>
          <w:noProof/>
        </w:rPr>
        <w:fldChar w:fldCharType="begin"/>
      </w:r>
      <w:r>
        <w:rPr>
          <w:noProof/>
        </w:rPr>
        <w:instrText xml:space="preserve"> SEQ Table \* ARABIC </w:instrText>
      </w:r>
      <w:r>
        <w:rPr>
          <w:noProof/>
        </w:rPr>
        <w:fldChar w:fldCharType="separate"/>
      </w:r>
      <w:r w:rsidR="00A7463B">
        <w:rPr>
          <w:noProof/>
        </w:rPr>
        <w:t>44</w:t>
      </w:r>
      <w:r>
        <w:rPr>
          <w:noProof/>
        </w:rPr>
        <w:fldChar w:fldCharType="end"/>
      </w:r>
      <w:bookmarkEnd w:id="493"/>
      <w:r>
        <w:tab/>
        <w:t>Transition probability matrix</w:t>
      </w:r>
      <w:bookmarkEnd w:id="494"/>
      <w:bookmarkEnd w:id="495"/>
      <w:bookmarkEnd w:id="496"/>
    </w:p>
    <w:tbl>
      <w:tblPr>
        <w:tblStyle w:val="TableGrid1"/>
        <w:tblW w:w="9261" w:type="dxa"/>
        <w:tblLayout w:type="fixed"/>
        <w:tblLook w:val="04A0" w:firstRow="1" w:lastRow="0" w:firstColumn="1" w:lastColumn="0" w:noHBand="0" w:noVBand="1"/>
        <w:tblCaption w:val="Transition probability matrix"/>
      </w:tblPr>
      <w:tblGrid>
        <w:gridCol w:w="1129"/>
        <w:gridCol w:w="1517"/>
        <w:gridCol w:w="1323"/>
        <w:gridCol w:w="1323"/>
        <w:gridCol w:w="1323"/>
        <w:gridCol w:w="1323"/>
        <w:gridCol w:w="1323"/>
      </w:tblGrid>
      <w:tr w:rsidR="00911F85" w:rsidRPr="00AC0A07" w14:paraId="43EC0E9D" w14:textId="77777777" w:rsidTr="008742A1">
        <w:trPr>
          <w:cnfStyle w:val="100000000000" w:firstRow="1" w:lastRow="0" w:firstColumn="0" w:lastColumn="0" w:oddVBand="0" w:evenVBand="0" w:oddHBand="0" w:evenHBand="0" w:firstRowFirstColumn="0" w:firstRowLastColumn="0" w:lastRowFirstColumn="0" w:lastRowLastColumn="0"/>
          <w:trHeight w:val="300"/>
          <w:tblHeader/>
        </w:trPr>
        <w:tc>
          <w:tcPr>
            <w:tcW w:w="1129" w:type="dxa"/>
            <w:noWrap/>
            <w:hideMark/>
          </w:tcPr>
          <w:p w14:paraId="4F88F52D" w14:textId="77777777" w:rsidR="00911F85" w:rsidRPr="00AC0A07" w:rsidRDefault="00911F85" w:rsidP="008742A1">
            <w:pPr>
              <w:pStyle w:val="TableHeading"/>
              <w:jc w:val="center"/>
            </w:pPr>
            <w:r>
              <w:t>From/To</w:t>
            </w:r>
          </w:p>
        </w:tc>
        <w:tc>
          <w:tcPr>
            <w:tcW w:w="1517" w:type="dxa"/>
            <w:noWrap/>
            <w:hideMark/>
          </w:tcPr>
          <w:p w14:paraId="5432A147" w14:textId="77777777" w:rsidR="00911F85" w:rsidRPr="00AC0A07" w:rsidRDefault="00911F85" w:rsidP="008742A1">
            <w:pPr>
              <w:pStyle w:val="TableHeading"/>
              <w:jc w:val="center"/>
            </w:pPr>
            <w:r w:rsidRPr="00AC0A07">
              <w:t>IF</w:t>
            </w:r>
          </w:p>
        </w:tc>
        <w:tc>
          <w:tcPr>
            <w:tcW w:w="1323" w:type="dxa"/>
            <w:noWrap/>
            <w:hideMark/>
          </w:tcPr>
          <w:p w14:paraId="35620A25" w14:textId="77777777" w:rsidR="00911F85" w:rsidRPr="00AC0A07" w:rsidRDefault="00911F85" w:rsidP="008742A1">
            <w:pPr>
              <w:pStyle w:val="TableHeading"/>
              <w:jc w:val="center"/>
            </w:pPr>
            <w:r w:rsidRPr="00AC0A07">
              <w:t>I</w:t>
            </w:r>
          </w:p>
        </w:tc>
        <w:tc>
          <w:tcPr>
            <w:tcW w:w="1323" w:type="dxa"/>
            <w:noWrap/>
            <w:hideMark/>
          </w:tcPr>
          <w:p w14:paraId="0D2BEFC2" w14:textId="77777777" w:rsidR="00911F85" w:rsidRPr="00AC0A07" w:rsidRDefault="00911F85" w:rsidP="008742A1">
            <w:pPr>
              <w:pStyle w:val="TableHeading"/>
              <w:jc w:val="center"/>
            </w:pPr>
            <w:r w:rsidRPr="00AC0A07">
              <w:t>B</w:t>
            </w:r>
          </w:p>
        </w:tc>
        <w:tc>
          <w:tcPr>
            <w:tcW w:w="1323" w:type="dxa"/>
            <w:noWrap/>
            <w:hideMark/>
          </w:tcPr>
          <w:p w14:paraId="69998F6F" w14:textId="77777777" w:rsidR="00911F85" w:rsidRPr="00AC0A07" w:rsidRDefault="00911F85" w:rsidP="008742A1">
            <w:pPr>
              <w:pStyle w:val="TableHeading"/>
              <w:jc w:val="center"/>
            </w:pPr>
            <w:r w:rsidRPr="00AC0A07">
              <w:t>BI</w:t>
            </w:r>
          </w:p>
        </w:tc>
        <w:tc>
          <w:tcPr>
            <w:tcW w:w="1323" w:type="dxa"/>
            <w:noWrap/>
            <w:hideMark/>
          </w:tcPr>
          <w:p w14:paraId="43208ABD" w14:textId="77777777" w:rsidR="00911F85" w:rsidRPr="00AC0A07" w:rsidRDefault="00911F85" w:rsidP="008742A1">
            <w:pPr>
              <w:pStyle w:val="TableHeading"/>
              <w:jc w:val="center"/>
            </w:pPr>
            <w:r w:rsidRPr="00AC0A07">
              <w:t>P</w:t>
            </w:r>
          </w:p>
        </w:tc>
        <w:tc>
          <w:tcPr>
            <w:tcW w:w="1323" w:type="dxa"/>
            <w:noWrap/>
            <w:hideMark/>
          </w:tcPr>
          <w:p w14:paraId="52774056" w14:textId="77777777" w:rsidR="00911F85" w:rsidRPr="00AC0A07" w:rsidRDefault="00911F85" w:rsidP="008742A1">
            <w:pPr>
              <w:pStyle w:val="TableHeading"/>
              <w:jc w:val="center"/>
            </w:pPr>
            <w:r w:rsidRPr="00AC0A07">
              <w:t>D</w:t>
            </w:r>
            <w:r>
              <w:t>ead</w:t>
            </w:r>
          </w:p>
        </w:tc>
      </w:tr>
      <w:tr w:rsidR="00911F85" w:rsidRPr="00AC0A07" w14:paraId="6BFE8DC6" w14:textId="77777777" w:rsidTr="008742A1">
        <w:trPr>
          <w:trHeight w:val="300"/>
        </w:trPr>
        <w:tc>
          <w:tcPr>
            <w:tcW w:w="9261" w:type="dxa"/>
            <w:gridSpan w:val="7"/>
            <w:noWrap/>
            <w:hideMark/>
          </w:tcPr>
          <w:p w14:paraId="51F9820A" w14:textId="77777777" w:rsidR="00911F85" w:rsidRPr="00AC0A07" w:rsidRDefault="00911F85" w:rsidP="008742A1">
            <w:pPr>
              <w:pStyle w:val="TableHeading"/>
              <w:jc w:val="center"/>
            </w:pPr>
            <w:r w:rsidRPr="00AC0A07">
              <w:t>Ig</w:t>
            </w:r>
          </w:p>
        </w:tc>
      </w:tr>
      <w:tr w:rsidR="00911F85" w:rsidRPr="00AC0A07" w14:paraId="4C39E332" w14:textId="77777777" w:rsidTr="008742A1">
        <w:trPr>
          <w:trHeight w:val="345"/>
        </w:trPr>
        <w:tc>
          <w:tcPr>
            <w:tcW w:w="1129" w:type="dxa"/>
            <w:noWrap/>
            <w:hideMark/>
          </w:tcPr>
          <w:p w14:paraId="1F91E476" w14:textId="77777777" w:rsidR="00911F85" w:rsidRPr="00AC0A07" w:rsidRDefault="00911F85" w:rsidP="008742A1">
            <w:pPr>
              <w:pStyle w:val="Tabletext1"/>
              <w:keepNext/>
              <w:rPr>
                <w:b/>
              </w:rPr>
            </w:pPr>
            <w:r w:rsidRPr="00AC0A07">
              <w:rPr>
                <w:b/>
              </w:rPr>
              <w:t>IF</w:t>
            </w:r>
          </w:p>
        </w:tc>
        <w:tc>
          <w:tcPr>
            <w:tcW w:w="1517" w:type="dxa"/>
            <w:noWrap/>
            <w:hideMark/>
          </w:tcPr>
          <w:p w14:paraId="3AF63C56" w14:textId="77777777" w:rsidR="00911F85" w:rsidRPr="00AC0A07" w:rsidRDefault="00911F85" w:rsidP="008742A1">
            <w:pPr>
              <w:pStyle w:val="Tabletext1"/>
              <w:jc w:val="center"/>
              <w:rPr>
                <w:color w:val="000000"/>
              </w:rPr>
            </w:pPr>
            <w:r w:rsidRPr="00AC0A07">
              <w:rPr>
                <w:color w:val="000000"/>
              </w:rPr>
              <w:t>#</w:t>
            </w:r>
          </w:p>
        </w:tc>
        <w:tc>
          <w:tcPr>
            <w:tcW w:w="1323" w:type="dxa"/>
            <w:noWrap/>
            <w:hideMark/>
          </w:tcPr>
          <w:p w14:paraId="1375954C" w14:textId="77777777" w:rsidR="00911F85" w:rsidRPr="00AC0A07" w:rsidRDefault="00911F85" w:rsidP="008742A1">
            <w:pPr>
              <w:pStyle w:val="Tabletext1"/>
              <w:jc w:val="center"/>
              <w:rPr>
                <w:color w:val="000000"/>
              </w:rPr>
            </w:pPr>
            <w:r w:rsidRPr="00AC0A07">
              <w:rPr>
                <w:color w:val="000000"/>
              </w:rPr>
              <w:t>1.</w:t>
            </w:r>
            <w:r>
              <w:rPr>
                <w:color w:val="000000"/>
              </w:rPr>
              <w:t>3</w:t>
            </w:r>
            <w:r w:rsidRPr="00AC0A07">
              <w:rPr>
                <w:color w:val="000000"/>
              </w:rPr>
              <w:t xml:space="preserve">% </w:t>
            </w:r>
            <w:r w:rsidRPr="008863AC">
              <w:rPr>
                <w:color w:val="000000"/>
                <w:vertAlign w:val="superscript"/>
              </w:rPr>
              <w:t>a</w:t>
            </w:r>
          </w:p>
        </w:tc>
        <w:tc>
          <w:tcPr>
            <w:tcW w:w="1323" w:type="dxa"/>
            <w:shd w:val="clear" w:color="auto" w:fill="F2F2F2" w:themeFill="background1" w:themeFillShade="F2"/>
            <w:noWrap/>
            <w:hideMark/>
          </w:tcPr>
          <w:p w14:paraId="20ED4739" w14:textId="77777777" w:rsidR="00911F85" w:rsidRPr="00AC0A07" w:rsidRDefault="00911F85" w:rsidP="008742A1">
            <w:pPr>
              <w:pStyle w:val="Tabletext1"/>
              <w:jc w:val="center"/>
              <w:rPr>
                <w:color w:val="000000"/>
              </w:rPr>
            </w:pPr>
          </w:p>
        </w:tc>
        <w:tc>
          <w:tcPr>
            <w:tcW w:w="1323" w:type="dxa"/>
            <w:shd w:val="clear" w:color="auto" w:fill="F2F2F2" w:themeFill="background1" w:themeFillShade="F2"/>
            <w:noWrap/>
            <w:hideMark/>
          </w:tcPr>
          <w:p w14:paraId="49D21B8A" w14:textId="77777777" w:rsidR="00911F85" w:rsidRPr="00AC0A07" w:rsidRDefault="00911F85" w:rsidP="008742A1">
            <w:pPr>
              <w:pStyle w:val="Tabletext1"/>
              <w:jc w:val="center"/>
              <w:rPr>
                <w:color w:val="000000"/>
              </w:rPr>
            </w:pPr>
          </w:p>
        </w:tc>
        <w:tc>
          <w:tcPr>
            <w:tcW w:w="1323" w:type="dxa"/>
            <w:shd w:val="clear" w:color="auto" w:fill="F2F2F2" w:themeFill="background1" w:themeFillShade="F2"/>
            <w:noWrap/>
            <w:hideMark/>
          </w:tcPr>
          <w:p w14:paraId="1C776210" w14:textId="77777777" w:rsidR="00911F85" w:rsidRPr="00AC0A07" w:rsidRDefault="00911F85" w:rsidP="008742A1">
            <w:pPr>
              <w:pStyle w:val="Tabletext1"/>
              <w:jc w:val="center"/>
              <w:rPr>
                <w:color w:val="000000"/>
              </w:rPr>
            </w:pPr>
          </w:p>
        </w:tc>
        <w:tc>
          <w:tcPr>
            <w:tcW w:w="1323" w:type="dxa"/>
            <w:noWrap/>
            <w:hideMark/>
          </w:tcPr>
          <w:p w14:paraId="2AF9CCFE" w14:textId="77777777" w:rsidR="00911F85" w:rsidRPr="00AC0A07" w:rsidRDefault="00911F85" w:rsidP="008742A1">
            <w:pPr>
              <w:pStyle w:val="Tabletext1"/>
              <w:jc w:val="center"/>
              <w:rPr>
                <w:color w:val="000000"/>
              </w:rPr>
            </w:pPr>
            <w:r w:rsidRPr="00AC0A07">
              <w:rPr>
                <w:color w:val="000000"/>
              </w:rPr>
              <w:t xml:space="preserve">varies </w:t>
            </w:r>
            <w:r>
              <w:rPr>
                <w:color w:val="000000"/>
                <w:vertAlign w:val="superscript"/>
              </w:rPr>
              <w:t>b</w:t>
            </w:r>
          </w:p>
        </w:tc>
      </w:tr>
      <w:tr w:rsidR="00911F85" w:rsidRPr="00AC0A07" w14:paraId="4A9C36CA" w14:textId="77777777" w:rsidTr="008742A1">
        <w:trPr>
          <w:trHeight w:val="345"/>
        </w:trPr>
        <w:tc>
          <w:tcPr>
            <w:tcW w:w="1129" w:type="dxa"/>
            <w:noWrap/>
            <w:hideMark/>
          </w:tcPr>
          <w:p w14:paraId="63CDD479" w14:textId="77777777" w:rsidR="00911F85" w:rsidRPr="00AC0A07" w:rsidRDefault="00911F85" w:rsidP="008742A1">
            <w:pPr>
              <w:pStyle w:val="Tabletext1"/>
              <w:keepNext/>
              <w:rPr>
                <w:b/>
              </w:rPr>
            </w:pPr>
            <w:r w:rsidRPr="00AC0A07">
              <w:rPr>
                <w:b/>
              </w:rPr>
              <w:t>I</w:t>
            </w:r>
          </w:p>
        </w:tc>
        <w:tc>
          <w:tcPr>
            <w:tcW w:w="1517" w:type="dxa"/>
            <w:noWrap/>
            <w:hideMark/>
          </w:tcPr>
          <w:p w14:paraId="6A5D0198" w14:textId="77777777" w:rsidR="00911F85" w:rsidRDefault="00911F85" w:rsidP="008742A1">
            <w:pPr>
              <w:pStyle w:val="Tabletext1"/>
              <w:jc w:val="center"/>
              <w:rPr>
                <w:color w:val="000000"/>
              </w:rPr>
            </w:pPr>
            <w:r>
              <w:rPr>
                <w:color w:val="000000"/>
              </w:rPr>
              <w:t>Cycle 1: 59.4%</w:t>
            </w:r>
          </w:p>
          <w:p w14:paraId="0D1303AE" w14:textId="77777777" w:rsidR="00911F85" w:rsidRDefault="00911F85" w:rsidP="008742A1">
            <w:pPr>
              <w:pStyle w:val="Tabletext1"/>
              <w:jc w:val="center"/>
              <w:rPr>
                <w:color w:val="000000"/>
              </w:rPr>
            </w:pPr>
            <w:r>
              <w:rPr>
                <w:color w:val="000000"/>
              </w:rPr>
              <w:t>…</w:t>
            </w:r>
          </w:p>
          <w:p w14:paraId="2D80ED6C" w14:textId="77777777" w:rsidR="00911F85" w:rsidRPr="00AC0A07" w:rsidRDefault="00911F85" w:rsidP="008742A1">
            <w:pPr>
              <w:pStyle w:val="Tabletext1"/>
              <w:jc w:val="center"/>
              <w:rPr>
                <w:color w:val="000000"/>
              </w:rPr>
            </w:pPr>
            <w:r>
              <w:rPr>
                <w:color w:val="000000"/>
              </w:rPr>
              <w:t>Cycle 11: 62.9%</w:t>
            </w:r>
          </w:p>
        </w:tc>
        <w:tc>
          <w:tcPr>
            <w:tcW w:w="1323" w:type="dxa"/>
            <w:noWrap/>
            <w:hideMark/>
          </w:tcPr>
          <w:p w14:paraId="46211F73" w14:textId="77777777" w:rsidR="00911F85" w:rsidRPr="00AC0A07" w:rsidRDefault="00911F85" w:rsidP="008742A1">
            <w:pPr>
              <w:pStyle w:val="Tabletext1"/>
              <w:jc w:val="center"/>
              <w:rPr>
                <w:color w:val="000000"/>
              </w:rPr>
            </w:pPr>
            <w:r w:rsidRPr="00AC0A07">
              <w:rPr>
                <w:color w:val="000000"/>
              </w:rPr>
              <w:t>#</w:t>
            </w:r>
          </w:p>
        </w:tc>
        <w:tc>
          <w:tcPr>
            <w:tcW w:w="1323" w:type="dxa"/>
            <w:noWrap/>
            <w:hideMark/>
          </w:tcPr>
          <w:p w14:paraId="7FC06919" w14:textId="77777777" w:rsidR="00911F85" w:rsidRDefault="00911F85" w:rsidP="008742A1">
            <w:pPr>
              <w:pStyle w:val="Tabletext1"/>
              <w:jc w:val="center"/>
              <w:rPr>
                <w:color w:val="000000"/>
              </w:rPr>
            </w:pPr>
            <w:r>
              <w:rPr>
                <w:color w:val="000000"/>
              </w:rPr>
              <w:t>Cycle 1: 6.3%</w:t>
            </w:r>
          </w:p>
          <w:p w14:paraId="138CDA9F" w14:textId="77777777" w:rsidR="00911F85" w:rsidRDefault="00911F85" w:rsidP="008742A1">
            <w:pPr>
              <w:pStyle w:val="Tabletext1"/>
              <w:jc w:val="center"/>
              <w:rPr>
                <w:color w:val="000000"/>
              </w:rPr>
            </w:pPr>
            <w:r>
              <w:rPr>
                <w:color w:val="000000"/>
              </w:rPr>
              <w:t>…</w:t>
            </w:r>
          </w:p>
          <w:p w14:paraId="1DABC707" w14:textId="77777777" w:rsidR="00911F85" w:rsidRPr="00AC0A07" w:rsidRDefault="00911F85" w:rsidP="008742A1">
            <w:pPr>
              <w:pStyle w:val="Tabletext1"/>
              <w:jc w:val="center"/>
              <w:rPr>
                <w:color w:val="000000"/>
              </w:rPr>
            </w:pPr>
            <w:r>
              <w:rPr>
                <w:color w:val="000000"/>
              </w:rPr>
              <w:t>Cycle 11: 5.7%</w:t>
            </w:r>
          </w:p>
        </w:tc>
        <w:tc>
          <w:tcPr>
            <w:tcW w:w="1323" w:type="dxa"/>
            <w:noWrap/>
            <w:hideMark/>
          </w:tcPr>
          <w:p w14:paraId="61FF1309" w14:textId="77777777" w:rsidR="00911F85" w:rsidRDefault="00911F85" w:rsidP="008742A1">
            <w:pPr>
              <w:pStyle w:val="Tabletext1"/>
              <w:jc w:val="center"/>
              <w:rPr>
                <w:color w:val="000000"/>
              </w:rPr>
            </w:pPr>
            <w:r>
              <w:rPr>
                <w:color w:val="000000"/>
              </w:rPr>
              <w:t>Cycle 1: 3.1%</w:t>
            </w:r>
          </w:p>
          <w:p w14:paraId="118A22A7" w14:textId="77777777" w:rsidR="00911F85" w:rsidRDefault="00911F85" w:rsidP="008742A1">
            <w:pPr>
              <w:pStyle w:val="Tabletext1"/>
              <w:jc w:val="center"/>
              <w:rPr>
                <w:color w:val="000000"/>
              </w:rPr>
            </w:pPr>
            <w:r>
              <w:rPr>
                <w:color w:val="000000"/>
              </w:rPr>
              <w:t>…</w:t>
            </w:r>
          </w:p>
          <w:p w14:paraId="7B602719" w14:textId="77777777" w:rsidR="00911F85" w:rsidRPr="00AC0A07" w:rsidRDefault="00911F85" w:rsidP="008742A1">
            <w:pPr>
              <w:pStyle w:val="Tabletext1"/>
              <w:jc w:val="center"/>
              <w:rPr>
                <w:color w:val="000000"/>
              </w:rPr>
            </w:pPr>
            <w:r>
              <w:rPr>
                <w:color w:val="000000"/>
              </w:rPr>
              <w:t>Cycle 11: 2.8%</w:t>
            </w:r>
          </w:p>
        </w:tc>
        <w:tc>
          <w:tcPr>
            <w:tcW w:w="1323" w:type="dxa"/>
            <w:shd w:val="clear" w:color="auto" w:fill="F2F2F2" w:themeFill="background1" w:themeFillShade="F2"/>
            <w:noWrap/>
            <w:hideMark/>
          </w:tcPr>
          <w:p w14:paraId="32C8E065" w14:textId="77777777" w:rsidR="00911F85" w:rsidRPr="00AC0A07" w:rsidRDefault="00911F85" w:rsidP="008742A1">
            <w:pPr>
              <w:pStyle w:val="Tabletext1"/>
              <w:jc w:val="center"/>
              <w:rPr>
                <w:color w:val="000000"/>
              </w:rPr>
            </w:pPr>
          </w:p>
        </w:tc>
        <w:tc>
          <w:tcPr>
            <w:tcW w:w="1323" w:type="dxa"/>
            <w:noWrap/>
            <w:hideMark/>
          </w:tcPr>
          <w:p w14:paraId="5F555556" w14:textId="77777777" w:rsidR="00911F85" w:rsidRDefault="00911F85" w:rsidP="008742A1">
            <w:pPr>
              <w:pStyle w:val="Tabletext1"/>
              <w:jc w:val="center"/>
              <w:rPr>
                <w:color w:val="000000"/>
              </w:rPr>
            </w:pPr>
            <w:r>
              <w:rPr>
                <w:color w:val="000000"/>
              </w:rPr>
              <w:t>Cycle 1: 0.1%</w:t>
            </w:r>
          </w:p>
          <w:p w14:paraId="67B7AB7E" w14:textId="77777777" w:rsidR="00911F85" w:rsidRDefault="00911F85" w:rsidP="008742A1">
            <w:pPr>
              <w:pStyle w:val="Tabletext1"/>
              <w:jc w:val="center"/>
              <w:rPr>
                <w:color w:val="000000"/>
              </w:rPr>
            </w:pPr>
            <w:r>
              <w:rPr>
                <w:color w:val="000000"/>
              </w:rPr>
              <w:t>…</w:t>
            </w:r>
          </w:p>
          <w:p w14:paraId="0C3AE628" w14:textId="77777777" w:rsidR="00911F85" w:rsidRPr="00AC0A07" w:rsidRDefault="00911F85" w:rsidP="008742A1">
            <w:pPr>
              <w:pStyle w:val="Tabletext1"/>
              <w:jc w:val="center"/>
              <w:rPr>
                <w:color w:val="000000"/>
              </w:rPr>
            </w:pPr>
            <w:r>
              <w:rPr>
                <w:color w:val="000000"/>
              </w:rPr>
              <w:t>Cycle 11: 0.1%</w:t>
            </w:r>
          </w:p>
        </w:tc>
      </w:tr>
      <w:tr w:rsidR="00911F85" w:rsidRPr="00AC0A07" w14:paraId="7A604C8C" w14:textId="77777777" w:rsidTr="008742A1">
        <w:trPr>
          <w:trHeight w:val="345"/>
        </w:trPr>
        <w:tc>
          <w:tcPr>
            <w:tcW w:w="1129" w:type="dxa"/>
            <w:noWrap/>
            <w:hideMark/>
          </w:tcPr>
          <w:p w14:paraId="65EECE4E" w14:textId="77777777" w:rsidR="00911F85" w:rsidRPr="00AC0A07" w:rsidRDefault="00911F85" w:rsidP="008742A1">
            <w:pPr>
              <w:pStyle w:val="Tabletext1"/>
              <w:keepNext/>
              <w:rPr>
                <w:b/>
              </w:rPr>
            </w:pPr>
            <w:r w:rsidRPr="00AC0A07">
              <w:rPr>
                <w:b/>
              </w:rPr>
              <w:t>B</w:t>
            </w:r>
          </w:p>
        </w:tc>
        <w:tc>
          <w:tcPr>
            <w:tcW w:w="1517" w:type="dxa"/>
            <w:shd w:val="clear" w:color="auto" w:fill="F2F2F2" w:themeFill="background1" w:themeFillShade="F2"/>
            <w:noWrap/>
            <w:hideMark/>
          </w:tcPr>
          <w:p w14:paraId="156D67E5" w14:textId="77777777" w:rsidR="00911F85" w:rsidRPr="00AC0A07" w:rsidRDefault="00911F85" w:rsidP="008742A1">
            <w:pPr>
              <w:pStyle w:val="Tabletext1"/>
              <w:jc w:val="center"/>
              <w:rPr>
                <w:color w:val="000000"/>
              </w:rPr>
            </w:pPr>
          </w:p>
        </w:tc>
        <w:tc>
          <w:tcPr>
            <w:tcW w:w="1323" w:type="dxa"/>
            <w:shd w:val="clear" w:color="auto" w:fill="F2F2F2" w:themeFill="background1" w:themeFillShade="F2"/>
            <w:noWrap/>
            <w:hideMark/>
          </w:tcPr>
          <w:p w14:paraId="213782B3" w14:textId="77777777" w:rsidR="00911F85" w:rsidRPr="00AC0A07" w:rsidRDefault="00911F85" w:rsidP="008742A1">
            <w:pPr>
              <w:pStyle w:val="Tabletext1"/>
              <w:jc w:val="center"/>
              <w:rPr>
                <w:color w:val="000000"/>
              </w:rPr>
            </w:pPr>
          </w:p>
        </w:tc>
        <w:tc>
          <w:tcPr>
            <w:tcW w:w="1323" w:type="dxa"/>
            <w:noWrap/>
            <w:hideMark/>
          </w:tcPr>
          <w:p w14:paraId="699DE3F1" w14:textId="77777777" w:rsidR="00911F85" w:rsidRPr="00AC0A07" w:rsidRDefault="00911F85" w:rsidP="008742A1">
            <w:pPr>
              <w:pStyle w:val="Tabletext1"/>
              <w:jc w:val="center"/>
              <w:rPr>
                <w:color w:val="000000"/>
              </w:rPr>
            </w:pPr>
            <w:r w:rsidRPr="00AC0A07">
              <w:rPr>
                <w:color w:val="000000"/>
              </w:rPr>
              <w:t>#</w:t>
            </w:r>
          </w:p>
        </w:tc>
        <w:tc>
          <w:tcPr>
            <w:tcW w:w="1323" w:type="dxa"/>
            <w:noWrap/>
            <w:hideMark/>
          </w:tcPr>
          <w:p w14:paraId="693E895D" w14:textId="77777777" w:rsidR="00911F85" w:rsidRPr="00AC0A07" w:rsidRDefault="00911F85" w:rsidP="008742A1">
            <w:pPr>
              <w:pStyle w:val="Tabletext1"/>
              <w:jc w:val="center"/>
              <w:rPr>
                <w:color w:val="000000"/>
              </w:rPr>
            </w:pPr>
            <w:r w:rsidRPr="00AC0A07">
              <w:rPr>
                <w:color w:val="000000"/>
              </w:rPr>
              <w:t>5.0%</w:t>
            </w:r>
          </w:p>
        </w:tc>
        <w:tc>
          <w:tcPr>
            <w:tcW w:w="1323" w:type="dxa"/>
            <w:noWrap/>
            <w:hideMark/>
          </w:tcPr>
          <w:p w14:paraId="1F289572" w14:textId="77777777" w:rsidR="00911F85" w:rsidRPr="00AC0A07" w:rsidRDefault="00911F85" w:rsidP="008742A1">
            <w:pPr>
              <w:pStyle w:val="Tabletext1"/>
              <w:jc w:val="center"/>
              <w:rPr>
                <w:color w:val="000000"/>
              </w:rPr>
            </w:pPr>
            <w:r w:rsidRPr="00AC0A07">
              <w:rPr>
                <w:color w:val="000000"/>
              </w:rPr>
              <w:t>3.0%</w:t>
            </w:r>
          </w:p>
        </w:tc>
        <w:tc>
          <w:tcPr>
            <w:tcW w:w="1323" w:type="dxa"/>
            <w:noWrap/>
            <w:hideMark/>
          </w:tcPr>
          <w:p w14:paraId="72F9F607" w14:textId="77777777" w:rsidR="00911F85" w:rsidRPr="00AC0A07" w:rsidRDefault="00911F85" w:rsidP="008742A1">
            <w:pPr>
              <w:pStyle w:val="Tabletext1"/>
              <w:jc w:val="center"/>
              <w:rPr>
                <w:color w:val="000000"/>
              </w:rPr>
            </w:pPr>
            <w:r w:rsidRPr="007A5DCE">
              <w:rPr>
                <w:color w:val="000000"/>
              </w:rPr>
              <w:t xml:space="preserve">varies </w:t>
            </w:r>
            <w:r w:rsidRPr="007A5DCE">
              <w:rPr>
                <w:color w:val="000000"/>
                <w:vertAlign w:val="superscript"/>
              </w:rPr>
              <w:t>b</w:t>
            </w:r>
          </w:p>
        </w:tc>
      </w:tr>
      <w:tr w:rsidR="00911F85" w:rsidRPr="00AC0A07" w14:paraId="1CFD0E2D" w14:textId="77777777" w:rsidTr="008742A1">
        <w:trPr>
          <w:trHeight w:val="345"/>
        </w:trPr>
        <w:tc>
          <w:tcPr>
            <w:tcW w:w="1129" w:type="dxa"/>
            <w:tcBorders>
              <w:bottom w:val="single" w:sz="4" w:space="0" w:color="auto"/>
            </w:tcBorders>
            <w:noWrap/>
            <w:hideMark/>
          </w:tcPr>
          <w:p w14:paraId="5B65872D" w14:textId="77777777" w:rsidR="00911F85" w:rsidRPr="00AC0A07" w:rsidRDefault="00911F85" w:rsidP="008742A1">
            <w:pPr>
              <w:pStyle w:val="Tabletext1"/>
              <w:keepNext/>
              <w:rPr>
                <w:b/>
              </w:rPr>
            </w:pPr>
            <w:r w:rsidRPr="00AC0A07">
              <w:rPr>
                <w:b/>
              </w:rPr>
              <w:t>BI</w:t>
            </w:r>
          </w:p>
        </w:tc>
        <w:tc>
          <w:tcPr>
            <w:tcW w:w="1517" w:type="dxa"/>
            <w:tcBorders>
              <w:bottom w:val="single" w:sz="4" w:space="0" w:color="auto"/>
            </w:tcBorders>
            <w:shd w:val="clear" w:color="auto" w:fill="F2F2F2" w:themeFill="background1" w:themeFillShade="F2"/>
            <w:noWrap/>
            <w:hideMark/>
          </w:tcPr>
          <w:p w14:paraId="60FFADFA" w14:textId="77777777" w:rsidR="00911F85" w:rsidRPr="00AC0A07" w:rsidRDefault="00911F85" w:rsidP="008742A1">
            <w:pPr>
              <w:pStyle w:val="Tabletext1"/>
              <w:jc w:val="center"/>
              <w:rPr>
                <w:color w:val="000000"/>
              </w:rPr>
            </w:pPr>
          </w:p>
        </w:tc>
        <w:tc>
          <w:tcPr>
            <w:tcW w:w="1323" w:type="dxa"/>
            <w:tcBorders>
              <w:bottom w:val="single" w:sz="4" w:space="0" w:color="auto"/>
            </w:tcBorders>
            <w:shd w:val="clear" w:color="auto" w:fill="F2F2F2" w:themeFill="background1" w:themeFillShade="F2"/>
            <w:noWrap/>
            <w:hideMark/>
          </w:tcPr>
          <w:p w14:paraId="4BC2277C" w14:textId="77777777" w:rsidR="00911F85" w:rsidRPr="00AC0A07" w:rsidRDefault="00911F85" w:rsidP="008742A1">
            <w:pPr>
              <w:pStyle w:val="Tabletext1"/>
              <w:jc w:val="center"/>
              <w:rPr>
                <w:color w:val="000000"/>
              </w:rPr>
            </w:pPr>
          </w:p>
        </w:tc>
        <w:tc>
          <w:tcPr>
            <w:tcW w:w="1323" w:type="dxa"/>
            <w:tcBorders>
              <w:bottom w:val="single" w:sz="4" w:space="0" w:color="auto"/>
            </w:tcBorders>
            <w:noWrap/>
            <w:hideMark/>
          </w:tcPr>
          <w:p w14:paraId="7271ADD0" w14:textId="77777777" w:rsidR="00911F85" w:rsidRPr="00AC0A07" w:rsidRDefault="00911F85" w:rsidP="008742A1">
            <w:pPr>
              <w:pStyle w:val="Tabletext1"/>
              <w:jc w:val="center"/>
              <w:rPr>
                <w:color w:val="000000"/>
              </w:rPr>
            </w:pPr>
            <w:r w:rsidRPr="00AC0A07">
              <w:rPr>
                <w:color w:val="000000"/>
              </w:rPr>
              <w:t>30.0%</w:t>
            </w:r>
          </w:p>
        </w:tc>
        <w:tc>
          <w:tcPr>
            <w:tcW w:w="1323" w:type="dxa"/>
            <w:tcBorders>
              <w:bottom w:val="single" w:sz="4" w:space="0" w:color="auto"/>
            </w:tcBorders>
            <w:noWrap/>
            <w:hideMark/>
          </w:tcPr>
          <w:p w14:paraId="0E2608BD" w14:textId="77777777" w:rsidR="00911F85" w:rsidRPr="00AC0A07" w:rsidRDefault="00911F85" w:rsidP="008742A1">
            <w:pPr>
              <w:pStyle w:val="Tabletext1"/>
              <w:jc w:val="center"/>
              <w:rPr>
                <w:color w:val="000000"/>
              </w:rPr>
            </w:pPr>
            <w:r w:rsidRPr="00AC0A07">
              <w:rPr>
                <w:color w:val="000000"/>
              </w:rPr>
              <w:t>#</w:t>
            </w:r>
          </w:p>
        </w:tc>
        <w:tc>
          <w:tcPr>
            <w:tcW w:w="1323" w:type="dxa"/>
            <w:tcBorders>
              <w:bottom w:val="single" w:sz="4" w:space="0" w:color="auto"/>
            </w:tcBorders>
            <w:noWrap/>
            <w:hideMark/>
          </w:tcPr>
          <w:p w14:paraId="6429FE05" w14:textId="77777777" w:rsidR="00911F85" w:rsidRPr="00AC0A07" w:rsidRDefault="00911F85" w:rsidP="008742A1">
            <w:pPr>
              <w:pStyle w:val="Tabletext1"/>
              <w:jc w:val="center"/>
              <w:rPr>
                <w:color w:val="000000"/>
              </w:rPr>
            </w:pPr>
            <w:r w:rsidRPr="00AC0A07">
              <w:rPr>
                <w:color w:val="000000"/>
              </w:rPr>
              <w:t>3.3%</w:t>
            </w:r>
          </w:p>
        </w:tc>
        <w:tc>
          <w:tcPr>
            <w:tcW w:w="1323" w:type="dxa"/>
            <w:tcBorders>
              <w:bottom w:val="single" w:sz="4" w:space="0" w:color="auto"/>
            </w:tcBorders>
            <w:noWrap/>
            <w:hideMark/>
          </w:tcPr>
          <w:p w14:paraId="3A02EAF8" w14:textId="77777777" w:rsidR="00911F85" w:rsidRPr="00AC0A07" w:rsidRDefault="00911F85" w:rsidP="008742A1">
            <w:pPr>
              <w:pStyle w:val="Tabletext1"/>
              <w:jc w:val="center"/>
              <w:rPr>
                <w:color w:val="000000"/>
              </w:rPr>
            </w:pPr>
            <w:r w:rsidRPr="007A5DCE">
              <w:rPr>
                <w:color w:val="000000"/>
              </w:rPr>
              <w:t xml:space="preserve">varies </w:t>
            </w:r>
            <w:r w:rsidRPr="007A5DCE">
              <w:rPr>
                <w:color w:val="000000"/>
                <w:vertAlign w:val="superscript"/>
              </w:rPr>
              <w:t>b</w:t>
            </w:r>
          </w:p>
        </w:tc>
      </w:tr>
      <w:tr w:rsidR="00911F85" w:rsidRPr="00AC0A07" w14:paraId="1F2EE57F" w14:textId="77777777" w:rsidTr="008742A1">
        <w:trPr>
          <w:trHeight w:val="345"/>
        </w:trPr>
        <w:tc>
          <w:tcPr>
            <w:tcW w:w="1129" w:type="dxa"/>
            <w:tcBorders>
              <w:bottom w:val="double" w:sz="4" w:space="0" w:color="auto"/>
            </w:tcBorders>
            <w:noWrap/>
            <w:hideMark/>
          </w:tcPr>
          <w:p w14:paraId="3315A545" w14:textId="77777777" w:rsidR="00911F85" w:rsidRPr="00AC0A07" w:rsidRDefault="00911F85" w:rsidP="008742A1">
            <w:pPr>
              <w:pStyle w:val="Tabletext1"/>
              <w:rPr>
                <w:b/>
              </w:rPr>
            </w:pPr>
            <w:r w:rsidRPr="00AC0A07">
              <w:rPr>
                <w:b/>
              </w:rPr>
              <w:t>P</w:t>
            </w:r>
          </w:p>
        </w:tc>
        <w:tc>
          <w:tcPr>
            <w:tcW w:w="1517" w:type="dxa"/>
            <w:tcBorders>
              <w:bottom w:val="double" w:sz="4" w:space="0" w:color="auto"/>
            </w:tcBorders>
            <w:shd w:val="clear" w:color="auto" w:fill="F2F2F2" w:themeFill="background1" w:themeFillShade="F2"/>
            <w:noWrap/>
            <w:hideMark/>
          </w:tcPr>
          <w:p w14:paraId="6072287F" w14:textId="77777777" w:rsidR="00911F85" w:rsidRPr="00AC0A07" w:rsidRDefault="00911F85" w:rsidP="008742A1">
            <w:pPr>
              <w:pStyle w:val="Tabletext1"/>
              <w:jc w:val="center"/>
              <w:rPr>
                <w:color w:val="000000"/>
              </w:rPr>
            </w:pPr>
          </w:p>
        </w:tc>
        <w:tc>
          <w:tcPr>
            <w:tcW w:w="1323" w:type="dxa"/>
            <w:tcBorders>
              <w:bottom w:val="double" w:sz="4" w:space="0" w:color="auto"/>
            </w:tcBorders>
            <w:shd w:val="clear" w:color="auto" w:fill="F2F2F2" w:themeFill="background1" w:themeFillShade="F2"/>
            <w:noWrap/>
            <w:hideMark/>
          </w:tcPr>
          <w:p w14:paraId="16888793" w14:textId="77777777" w:rsidR="00911F85" w:rsidRPr="00AC0A07" w:rsidRDefault="00911F85" w:rsidP="008742A1">
            <w:pPr>
              <w:pStyle w:val="Tabletext1"/>
              <w:jc w:val="center"/>
              <w:rPr>
                <w:color w:val="000000"/>
              </w:rPr>
            </w:pPr>
          </w:p>
        </w:tc>
        <w:tc>
          <w:tcPr>
            <w:tcW w:w="1323" w:type="dxa"/>
            <w:tcBorders>
              <w:bottom w:val="double" w:sz="4" w:space="0" w:color="auto"/>
            </w:tcBorders>
            <w:noWrap/>
            <w:hideMark/>
          </w:tcPr>
          <w:p w14:paraId="0EC5DA69" w14:textId="77777777" w:rsidR="00911F85" w:rsidRPr="00AC0A07" w:rsidRDefault="00911F85" w:rsidP="008742A1">
            <w:pPr>
              <w:pStyle w:val="Tabletext1"/>
              <w:jc w:val="center"/>
              <w:rPr>
                <w:color w:val="000000"/>
              </w:rPr>
            </w:pPr>
            <w:r w:rsidRPr="00AC0A07">
              <w:rPr>
                <w:color w:val="000000"/>
              </w:rPr>
              <w:t>18.2%</w:t>
            </w:r>
          </w:p>
        </w:tc>
        <w:tc>
          <w:tcPr>
            <w:tcW w:w="1323" w:type="dxa"/>
            <w:tcBorders>
              <w:bottom w:val="double" w:sz="4" w:space="0" w:color="auto"/>
            </w:tcBorders>
            <w:noWrap/>
            <w:hideMark/>
          </w:tcPr>
          <w:p w14:paraId="5758B6F9" w14:textId="77777777" w:rsidR="00911F85" w:rsidRPr="00AC0A07" w:rsidRDefault="00911F85" w:rsidP="008742A1">
            <w:pPr>
              <w:pStyle w:val="Tabletext1"/>
              <w:jc w:val="center"/>
              <w:rPr>
                <w:color w:val="000000"/>
              </w:rPr>
            </w:pPr>
            <w:r w:rsidRPr="00AC0A07">
              <w:rPr>
                <w:color w:val="000000"/>
              </w:rPr>
              <w:t>9.1%</w:t>
            </w:r>
          </w:p>
        </w:tc>
        <w:tc>
          <w:tcPr>
            <w:tcW w:w="1323" w:type="dxa"/>
            <w:tcBorders>
              <w:bottom w:val="double" w:sz="4" w:space="0" w:color="auto"/>
            </w:tcBorders>
            <w:noWrap/>
            <w:hideMark/>
          </w:tcPr>
          <w:p w14:paraId="01705D94" w14:textId="77777777" w:rsidR="00911F85" w:rsidRPr="00AC0A07" w:rsidRDefault="00911F85" w:rsidP="008742A1">
            <w:pPr>
              <w:pStyle w:val="Tabletext1"/>
              <w:jc w:val="center"/>
              <w:rPr>
                <w:color w:val="000000"/>
              </w:rPr>
            </w:pPr>
            <w:r w:rsidRPr="00AC0A07">
              <w:rPr>
                <w:color w:val="000000"/>
              </w:rPr>
              <w:t>#</w:t>
            </w:r>
          </w:p>
        </w:tc>
        <w:tc>
          <w:tcPr>
            <w:tcW w:w="1323" w:type="dxa"/>
            <w:tcBorders>
              <w:bottom w:val="double" w:sz="4" w:space="0" w:color="auto"/>
            </w:tcBorders>
            <w:noWrap/>
            <w:hideMark/>
          </w:tcPr>
          <w:p w14:paraId="4EC2B88D" w14:textId="77777777" w:rsidR="00911F85" w:rsidRPr="00AC0A07" w:rsidRDefault="00911F85" w:rsidP="008742A1">
            <w:pPr>
              <w:pStyle w:val="Tabletext1"/>
              <w:jc w:val="center"/>
              <w:rPr>
                <w:color w:val="000000"/>
              </w:rPr>
            </w:pPr>
            <w:r w:rsidRPr="007A5DCE">
              <w:rPr>
                <w:color w:val="000000"/>
              </w:rPr>
              <w:t xml:space="preserve">varies </w:t>
            </w:r>
            <w:r w:rsidRPr="007A5DCE">
              <w:rPr>
                <w:color w:val="000000"/>
                <w:vertAlign w:val="superscript"/>
              </w:rPr>
              <w:t>b</w:t>
            </w:r>
          </w:p>
        </w:tc>
      </w:tr>
      <w:tr w:rsidR="00911F85" w:rsidRPr="00AC0A07" w14:paraId="25BCA1C1" w14:textId="77777777" w:rsidTr="008742A1">
        <w:trPr>
          <w:trHeight w:val="300"/>
        </w:trPr>
        <w:tc>
          <w:tcPr>
            <w:tcW w:w="9261" w:type="dxa"/>
            <w:gridSpan w:val="7"/>
            <w:tcBorders>
              <w:top w:val="double" w:sz="4" w:space="0" w:color="auto"/>
            </w:tcBorders>
            <w:noWrap/>
            <w:hideMark/>
          </w:tcPr>
          <w:p w14:paraId="65270A22" w14:textId="77777777" w:rsidR="00911F85" w:rsidRPr="00AC0A07" w:rsidRDefault="00911F85" w:rsidP="008742A1">
            <w:pPr>
              <w:pStyle w:val="TableHeading"/>
              <w:jc w:val="center"/>
            </w:pPr>
            <w:r w:rsidRPr="00AC0A07">
              <w:t>No Ig</w:t>
            </w:r>
          </w:p>
        </w:tc>
      </w:tr>
      <w:tr w:rsidR="00911F85" w:rsidRPr="00AC0A07" w14:paraId="7464C8A5" w14:textId="77777777" w:rsidTr="008742A1">
        <w:trPr>
          <w:trHeight w:val="345"/>
        </w:trPr>
        <w:tc>
          <w:tcPr>
            <w:tcW w:w="1129" w:type="dxa"/>
            <w:noWrap/>
            <w:hideMark/>
          </w:tcPr>
          <w:p w14:paraId="50963610" w14:textId="77777777" w:rsidR="00911F85" w:rsidRPr="00AC0A07" w:rsidRDefault="00911F85" w:rsidP="008742A1">
            <w:pPr>
              <w:pStyle w:val="Tabletext1"/>
              <w:keepNext/>
              <w:rPr>
                <w:b/>
              </w:rPr>
            </w:pPr>
            <w:r w:rsidRPr="00AC0A07">
              <w:rPr>
                <w:b/>
              </w:rPr>
              <w:t>IF</w:t>
            </w:r>
          </w:p>
        </w:tc>
        <w:tc>
          <w:tcPr>
            <w:tcW w:w="1517" w:type="dxa"/>
            <w:noWrap/>
            <w:hideMark/>
          </w:tcPr>
          <w:p w14:paraId="2DA4F28F" w14:textId="77777777" w:rsidR="00911F85" w:rsidRPr="00AC0A07" w:rsidRDefault="00911F85" w:rsidP="008742A1">
            <w:pPr>
              <w:pStyle w:val="Tabletext1"/>
              <w:jc w:val="center"/>
              <w:rPr>
                <w:color w:val="000000"/>
              </w:rPr>
            </w:pPr>
            <w:r w:rsidRPr="00AC0A07">
              <w:rPr>
                <w:color w:val="000000"/>
              </w:rPr>
              <w:t>#</w:t>
            </w:r>
          </w:p>
        </w:tc>
        <w:tc>
          <w:tcPr>
            <w:tcW w:w="1323" w:type="dxa"/>
            <w:noWrap/>
            <w:hideMark/>
          </w:tcPr>
          <w:p w14:paraId="2BFA1D42" w14:textId="77777777" w:rsidR="00911F85" w:rsidRPr="00AC0A07" w:rsidRDefault="00911F85" w:rsidP="008742A1">
            <w:pPr>
              <w:pStyle w:val="Tabletext1"/>
              <w:jc w:val="center"/>
              <w:rPr>
                <w:color w:val="000000"/>
              </w:rPr>
            </w:pPr>
            <w:r w:rsidRPr="00AC0A07">
              <w:rPr>
                <w:color w:val="000000"/>
              </w:rPr>
              <w:t>2.</w:t>
            </w:r>
            <w:r>
              <w:rPr>
                <w:color w:val="000000"/>
              </w:rPr>
              <w:t>8</w:t>
            </w:r>
            <w:r w:rsidRPr="00AC0A07">
              <w:rPr>
                <w:color w:val="000000"/>
              </w:rPr>
              <w:t xml:space="preserve">% </w:t>
            </w:r>
            <w:r w:rsidRPr="008863AC">
              <w:rPr>
                <w:color w:val="000000"/>
                <w:vertAlign w:val="superscript"/>
              </w:rPr>
              <w:t>a</w:t>
            </w:r>
          </w:p>
        </w:tc>
        <w:tc>
          <w:tcPr>
            <w:tcW w:w="1323" w:type="dxa"/>
            <w:shd w:val="clear" w:color="auto" w:fill="F2F2F2" w:themeFill="background1" w:themeFillShade="F2"/>
            <w:noWrap/>
            <w:hideMark/>
          </w:tcPr>
          <w:p w14:paraId="3541477E" w14:textId="77777777" w:rsidR="00911F85" w:rsidRPr="00AC0A07" w:rsidRDefault="00911F85" w:rsidP="008742A1">
            <w:pPr>
              <w:pStyle w:val="Tabletext1"/>
              <w:jc w:val="center"/>
              <w:rPr>
                <w:color w:val="000000"/>
              </w:rPr>
            </w:pPr>
          </w:p>
        </w:tc>
        <w:tc>
          <w:tcPr>
            <w:tcW w:w="1323" w:type="dxa"/>
            <w:shd w:val="clear" w:color="auto" w:fill="F2F2F2" w:themeFill="background1" w:themeFillShade="F2"/>
            <w:noWrap/>
            <w:hideMark/>
          </w:tcPr>
          <w:p w14:paraId="24607070" w14:textId="77777777" w:rsidR="00911F85" w:rsidRPr="00AC0A07" w:rsidRDefault="00911F85" w:rsidP="008742A1">
            <w:pPr>
              <w:pStyle w:val="Tabletext1"/>
              <w:jc w:val="center"/>
              <w:rPr>
                <w:color w:val="000000"/>
              </w:rPr>
            </w:pPr>
          </w:p>
        </w:tc>
        <w:tc>
          <w:tcPr>
            <w:tcW w:w="1323" w:type="dxa"/>
            <w:shd w:val="clear" w:color="auto" w:fill="F2F2F2" w:themeFill="background1" w:themeFillShade="F2"/>
            <w:noWrap/>
            <w:hideMark/>
          </w:tcPr>
          <w:p w14:paraId="22C62CFD" w14:textId="77777777" w:rsidR="00911F85" w:rsidRPr="00AC0A07" w:rsidRDefault="00911F85" w:rsidP="008742A1">
            <w:pPr>
              <w:pStyle w:val="Tabletext1"/>
              <w:jc w:val="center"/>
              <w:rPr>
                <w:color w:val="000000"/>
              </w:rPr>
            </w:pPr>
          </w:p>
        </w:tc>
        <w:tc>
          <w:tcPr>
            <w:tcW w:w="1323" w:type="dxa"/>
            <w:noWrap/>
            <w:hideMark/>
          </w:tcPr>
          <w:p w14:paraId="27B8B782" w14:textId="77777777" w:rsidR="00911F85" w:rsidRPr="00AC0A07" w:rsidRDefault="00911F85" w:rsidP="008742A1">
            <w:pPr>
              <w:pStyle w:val="Tabletext1"/>
              <w:jc w:val="center"/>
              <w:rPr>
                <w:color w:val="000000"/>
              </w:rPr>
            </w:pPr>
            <w:r w:rsidRPr="00AC0A07">
              <w:rPr>
                <w:color w:val="000000"/>
              </w:rPr>
              <w:t xml:space="preserve">varies </w:t>
            </w:r>
            <w:r>
              <w:rPr>
                <w:color w:val="000000"/>
                <w:vertAlign w:val="superscript"/>
              </w:rPr>
              <w:t>b</w:t>
            </w:r>
          </w:p>
        </w:tc>
      </w:tr>
      <w:tr w:rsidR="00911F85" w:rsidRPr="00AC0A07" w14:paraId="4BDA983B" w14:textId="77777777" w:rsidTr="008742A1">
        <w:trPr>
          <w:trHeight w:val="345"/>
        </w:trPr>
        <w:tc>
          <w:tcPr>
            <w:tcW w:w="1129" w:type="dxa"/>
            <w:noWrap/>
            <w:hideMark/>
          </w:tcPr>
          <w:p w14:paraId="59725AA6" w14:textId="77777777" w:rsidR="00911F85" w:rsidRPr="00AC0A07" w:rsidRDefault="00911F85" w:rsidP="008742A1">
            <w:pPr>
              <w:pStyle w:val="Tabletext1"/>
              <w:keepNext/>
              <w:rPr>
                <w:b/>
              </w:rPr>
            </w:pPr>
            <w:r w:rsidRPr="00AC0A07">
              <w:rPr>
                <w:b/>
              </w:rPr>
              <w:t>I</w:t>
            </w:r>
          </w:p>
        </w:tc>
        <w:tc>
          <w:tcPr>
            <w:tcW w:w="1517" w:type="dxa"/>
            <w:noWrap/>
            <w:hideMark/>
          </w:tcPr>
          <w:p w14:paraId="130C8420" w14:textId="77777777" w:rsidR="00911F85" w:rsidRDefault="00911F85" w:rsidP="008742A1">
            <w:pPr>
              <w:pStyle w:val="Tabletext1"/>
              <w:jc w:val="center"/>
              <w:rPr>
                <w:color w:val="000000"/>
              </w:rPr>
            </w:pPr>
            <w:r>
              <w:rPr>
                <w:color w:val="000000"/>
              </w:rPr>
              <w:t>Cycle 1: 51.0%</w:t>
            </w:r>
          </w:p>
          <w:p w14:paraId="62356FBA" w14:textId="77777777" w:rsidR="00911F85" w:rsidRDefault="00911F85" w:rsidP="008742A1">
            <w:pPr>
              <w:pStyle w:val="Tabletext1"/>
              <w:jc w:val="center"/>
              <w:rPr>
                <w:color w:val="000000"/>
              </w:rPr>
            </w:pPr>
            <w:r>
              <w:rPr>
                <w:color w:val="000000"/>
              </w:rPr>
              <w:t>…</w:t>
            </w:r>
          </w:p>
          <w:p w14:paraId="370C23F0" w14:textId="77777777" w:rsidR="00911F85" w:rsidRPr="00AC0A07" w:rsidRDefault="00911F85" w:rsidP="008742A1">
            <w:pPr>
              <w:pStyle w:val="Tabletext1"/>
              <w:jc w:val="center"/>
              <w:rPr>
                <w:color w:val="000000"/>
              </w:rPr>
            </w:pPr>
            <w:r>
              <w:rPr>
                <w:color w:val="000000"/>
              </w:rPr>
              <w:t>Cycle 11: 62.3%</w:t>
            </w:r>
          </w:p>
        </w:tc>
        <w:tc>
          <w:tcPr>
            <w:tcW w:w="1323" w:type="dxa"/>
            <w:noWrap/>
            <w:hideMark/>
          </w:tcPr>
          <w:p w14:paraId="67CB8135" w14:textId="77777777" w:rsidR="00911F85" w:rsidRPr="00AC0A07" w:rsidRDefault="00911F85" w:rsidP="008742A1">
            <w:pPr>
              <w:pStyle w:val="Tabletext1"/>
              <w:jc w:val="center"/>
              <w:rPr>
                <w:color w:val="000000"/>
              </w:rPr>
            </w:pPr>
            <w:r w:rsidRPr="00AC0A07">
              <w:rPr>
                <w:color w:val="000000"/>
              </w:rPr>
              <w:t>#</w:t>
            </w:r>
          </w:p>
        </w:tc>
        <w:tc>
          <w:tcPr>
            <w:tcW w:w="1323" w:type="dxa"/>
            <w:noWrap/>
            <w:hideMark/>
          </w:tcPr>
          <w:p w14:paraId="0528B1FD" w14:textId="77777777" w:rsidR="00911F85" w:rsidRDefault="00911F85" w:rsidP="008742A1">
            <w:pPr>
              <w:pStyle w:val="Tabletext1"/>
              <w:jc w:val="center"/>
              <w:rPr>
                <w:color w:val="000000"/>
              </w:rPr>
            </w:pPr>
            <w:r>
              <w:rPr>
                <w:color w:val="000000"/>
              </w:rPr>
              <w:t>Cycle 1: 7.6%</w:t>
            </w:r>
          </w:p>
          <w:p w14:paraId="0540E153" w14:textId="77777777" w:rsidR="00911F85" w:rsidRDefault="00911F85" w:rsidP="008742A1">
            <w:pPr>
              <w:pStyle w:val="Tabletext1"/>
              <w:jc w:val="center"/>
              <w:rPr>
                <w:color w:val="000000"/>
              </w:rPr>
            </w:pPr>
            <w:r>
              <w:rPr>
                <w:color w:val="000000"/>
              </w:rPr>
              <w:t>…</w:t>
            </w:r>
          </w:p>
          <w:p w14:paraId="2510D949" w14:textId="77777777" w:rsidR="00911F85" w:rsidRPr="00AC0A07" w:rsidRDefault="00911F85" w:rsidP="008742A1">
            <w:pPr>
              <w:pStyle w:val="Tabletext1"/>
              <w:jc w:val="center"/>
              <w:rPr>
                <w:color w:val="000000"/>
              </w:rPr>
            </w:pPr>
            <w:r>
              <w:rPr>
                <w:color w:val="000000"/>
              </w:rPr>
              <w:t>Cycle 11: 5.8%</w:t>
            </w:r>
          </w:p>
        </w:tc>
        <w:tc>
          <w:tcPr>
            <w:tcW w:w="1323" w:type="dxa"/>
            <w:noWrap/>
            <w:hideMark/>
          </w:tcPr>
          <w:p w14:paraId="126C9ED6" w14:textId="77777777" w:rsidR="00911F85" w:rsidRDefault="00911F85" w:rsidP="008742A1">
            <w:pPr>
              <w:pStyle w:val="Tabletext1"/>
              <w:jc w:val="center"/>
              <w:rPr>
                <w:color w:val="000000"/>
              </w:rPr>
            </w:pPr>
            <w:r>
              <w:rPr>
                <w:color w:val="000000"/>
              </w:rPr>
              <w:t>Cycle 1: 3.7%</w:t>
            </w:r>
          </w:p>
          <w:p w14:paraId="6C163EFF" w14:textId="77777777" w:rsidR="00911F85" w:rsidRDefault="00911F85" w:rsidP="008742A1">
            <w:pPr>
              <w:pStyle w:val="Tabletext1"/>
              <w:jc w:val="center"/>
              <w:rPr>
                <w:color w:val="000000"/>
              </w:rPr>
            </w:pPr>
            <w:r>
              <w:rPr>
                <w:color w:val="000000"/>
              </w:rPr>
              <w:t>…</w:t>
            </w:r>
          </w:p>
          <w:p w14:paraId="2C7BB2E0" w14:textId="77777777" w:rsidR="00911F85" w:rsidRPr="00AC0A07" w:rsidRDefault="00911F85" w:rsidP="008742A1">
            <w:pPr>
              <w:pStyle w:val="Tabletext1"/>
              <w:jc w:val="center"/>
              <w:rPr>
                <w:color w:val="000000"/>
              </w:rPr>
            </w:pPr>
            <w:r>
              <w:rPr>
                <w:color w:val="000000"/>
              </w:rPr>
              <w:t>Cycle 11: 2.9%</w:t>
            </w:r>
          </w:p>
        </w:tc>
        <w:tc>
          <w:tcPr>
            <w:tcW w:w="1323" w:type="dxa"/>
            <w:shd w:val="clear" w:color="auto" w:fill="F2F2F2" w:themeFill="background1" w:themeFillShade="F2"/>
            <w:noWrap/>
            <w:hideMark/>
          </w:tcPr>
          <w:p w14:paraId="208A0721" w14:textId="77777777" w:rsidR="00911F85" w:rsidRPr="00AC0A07" w:rsidRDefault="00911F85" w:rsidP="008742A1">
            <w:pPr>
              <w:pStyle w:val="Tabletext1"/>
              <w:jc w:val="center"/>
              <w:rPr>
                <w:color w:val="000000"/>
              </w:rPr>
            </w:pPr>
          </w:p>
        </w:tc>
        <w:tc>
          <w:tcPr>
            <w:tcW w:w="1323" w:type="dxa"/>
            <w:noWrap/>
            <w:hideMark/>
          </w:tcPr>
          <w:p w14:paraId="6A4048F7" w14:textId="77777777" w:rsidR="00911F85" w:rsidRDefault="00911F85" w:rsidP="008742A1">
            <w:pPr>
              <w:pStyle w:val="Tabletext1"/>
              <w:jc w:val="center"/>
              <w:rPr>
                <w:color w:val="000000"/>
              </w:rPr>
            </w:pPr>
            <w:r>
              <w:rPr>
                <w:color w:val="000000"/>
              </w:rPr>
              <w:t>Cycle 1: 0.2%</w:t>
            </w:r>
          </w:p>
          <w:p w14:paraId="3F3C0C9D" w14:textId="77777777" w:rsidR="00911F85" w:rsidRDefault="00911F85" w:rsidP="008742A1">
            <w:pPr>
              <w:pStyle w:val="Tabletext1"/>
              <w:jc w:val="center"/>
              <w:rPr>
                <w:color w:val="000000"/>
              </w:rPr>
            </w:pPr>
            <w:r>
              <w:rPr>
                <w:color w:val="000000"/>
              </w:rPr>
              <w:t>…</w:t>
            </w:r>
          </w:p>
          <w:p w14:paraId="7DBCB78D" w14:textId="77777777" w:rsidR="00911F85" w:rsidRPr="00AC0A07" w:rsidRDefault="00911F85" w:rsidP="008742A1">
            <w:pPr>
              <w:pStyle w:val="Tabletext1"/>
              <w:jc w:val="center"/>
              <w:rPr>
                <w:color w:val="000000"/>
              </w:rPr>
            </w:pPr>
            <w:r>
              <w:rPr>
                <w:color w:val="000000"/>
              </w:rPr>
              <w:t>Cycle 11: 0.1%</w:t>
            </w:r>
          </w:p>
        </w:tc>
      </w:tr>
      <w:tr w:rsidR="00911F85" w:rsidRPr="00AC0A07" w14:paraId="1AC1743F" w14:textId="77777777" w:rsidTr="008742A1">
        <w:trPr>
          <w:trHeight w:val="345"/>
        </w:trPr>
        <w:tc>
          <w:tcPr>
            <w:tcW w:w="1129" w:type="dxa"/>
            <w:noWrap/>
            <w:hideMark/>
          </w:tcPr>
          <w:p w14:paraId="1C0EDA97" w14:textId="77777777" w:rsidR="00911F85" w:rsidRPr="00AC0A07" w:rsidRDefault="00911F85" w:rsidP="008742A1">
            <w:pPr>
              <w:pStyle w:val="Tabletext1"/>
              <w:keepNext/>
              <w:rPr>
                <w:b/>
              </w:rPr>
            </w:pPr>
            <w:r w:rsidRPr="00AC0A07">
              <w:rPr>
                <w:b/>
              </w:rPr>
              <w:t>B</w:t>
            </w:r>
          </w:p>
        </w:tc>
        <w:tc>
          <w:tcPr>
            <w:tcW w:w="1517" w:type="dxa"/>
            <w:shd w:val="clear" w:color="auto" w:fill="F2F2F2" w:themeFill="background1" w:themeFillShade="F2"/>
            <w:noWrap/>
            <w:hideMark/>
          </w:tcPr>
          <w:p w14:paraId="00E48D74" w14:textId="77777777" w:rsidR="00911F85" w:rsidRPr="00AC0A07" w:rsidRDefault="00911F85" w:rsidP="008742A1">
            <w:pPr>
              <w:pStyle w:val="Tabletext1"/>
              <w:jc w:val="center"/>
              <w:rPr>
                <w:color w:val="000000"/>
              </w:rPr>
            </w:pPr>
          </w:p>
        </w:tc>
        <w:tc>
          <w:tcPr>
            <w:tcW w:w="1323" w:type="dxa"/>
            <w:shd w:val="clear" w:color="auto" w:fill="F2F2F2" w:themeFill="background1" w:themeFillShade="F2"/>
            <w:noWrap/>
            <w:hideMark/>
          </w:tcPr>
          <w:p w14:paraId="5B135043" w14:textId="77777777" w:rsidR="00911F85" w:rsidRPr="00AC0A07" w:rsidRDefault="00911F85" w:rsidP="008742A1">
            <w:pPr>
              <w:pStyle w:val="Tabletext1"/>
              <w:jc w:val="center"/>
              <w:rPr>
                <w:color w:val="000000"/>
              </w:rPr>
            </w:pPr>
          </w:p>
        </w:tc>
        <w:tc>
          <w:tcPr>
            <w:tcW w:w="1323" w:type="dxa"/>
            <w:noWrap/>
            <w:hideMark/>
          </w:tcPr>
          <w:p w14:paraId="0EFB123B" w14:textId="77777777" w:rsidR="00911F85" w:rsidRPr="00AC0A07" w:rsidRDefault="00911F85" w:rsidP="008742A1">
            <w:pPr>
              <w:pStyle w:val="Tabletext1"/>
              <w:jc w:val="center"/>
              <w:rPr>
                <w:color w:val="000000"/>
              </w:rPr>
            </w:pPr>
            <w:r w:rsidRPr="00AC0A07">
              <w:rPr>
                <w:color w:val="000000"/>
              </w:rPr>
              <w:t>#</w:t>
            </w:r>
          </w:p>
        </w:tc>
        <w:tc>
          <w:tcPr>
            <w:tcW w:w="1323" w:type="dxa"/>
            <w:noWrap/>
            <w:hideMark/>
          </w:tcPr>
          <w:p w14:paraId="50F711FD" w14:textId="77777777" w:rsidR="00911F85" w:rsidRPr="00AC0A07" w:rsidRDefault="00911F85" w:rsidP="008742A1">
            <w:pPr>
              <w:pStyle w:val="Tabletext1"/>
              <w:jc w:val="center"/>
              <w:rPr>
                <w:color w:val="000000"/>
              </w:rPr>
            </w:pPr>
            <w:r w:rsidRPr="00AC0A07">
              <w:rPr>
                <w:color w:val="000000"/>
              </w:rPr>
              <w:t>8.</w:t>
            </w:r>
            <w:r>
              <w:rPr>
                <w:color w:val="000000"/>
              </w:rPr>
              <w:t>9</w:t>
            </w:r>
            <w:r w:rsidRPr="00AC0A07">
              <w:rPr>
                <w:color w:val="000000"/>
              </w:rPr>
              <w:t>%</w:t>
            </w:r>
          </w:p>
        </w:tc>
        <w:tc>
          <w:tcPr>
            <w:tcW w:w="1323" w:type="dxa"/>
            <w:noWrap/>
            <w:hideMark/>
          </w:tcPr>
          <w:p w14:paraId="3179E55C" w14:textId="77777777" w:rsidR="00911F85" w:rsidRPr="00AC0A07" w:rsidRDefault="00911F85" w:rsidP="008742A1">
            <w:pPr>
              <w:pStyle w:val="Tabletext1"/>
              <w:jc w:val="center"/>
              <w:rPr>
                <w:color w:val="000000"/>
              </w:rPr>
            </w:pPr>
            <w:r w:rsidRPr="00AC0A07">
              <w:rPr>
                <w:color w:val="000000"/>
              </w:rPr>
              <w:t>5.</w:t>
            </w:r>
            <w:r>
              <w:rPr>
                <w:color w:val="000000"/>
              </w:rPr>
              <w:t>4</w:t>
            </w:r>
            <w:r w:rsidRPr="00AC0A07">
              <w:rPr>
                <w:color w:val="000000"/>
              </w:rPr>
              <w:t>%</w:t>
            </w:r>
          </w:p>
        </w:tc>
        <w:tc>
          <w:tcPr>
            <w:tcW w:w="1323" w:type="dxa"/>
            <w:noWrap/>
            <w:hideMark/>
          </w:tcPr>
          <w:p w14:paraId="2C60DB15" w14:textId="77777777" w:rsidR="00911F85" w:rsidRPr="00AC0A07" w:rsidRDefault="00911F85" w:rsidP="008742A1">
            <w:pPr>
              <w:pStyle w:val="Tabletext1"/>
              <w:jc w:val="center"/>
              <w:rPr>
                <w:color w:val="000000"/>
              </w:rPr>
            </w:pPr>
            <w:r w:rsidRPr="00A33354">
              <w:rPr>
                <w:color w:val="000000"/>
              </w:rPr>
              <w:t xml:space="preserve">varies </w:t>
            </w:r>
            <w:r w:rsidRPr="00A33354">
              <w:rPr>
                <w:color w:val="000000"/>
                <w:vertAlign w:val="superscript"/>
              </w:rPr>
              <w:t>b</w:t>
            </w:r>
          </w:p>
        </w:tc>
      </w:tr>
      <w:tr w:rsidR="00911F85" w:rsidRPr="00AC0A07" w14:paraId="52B070A7" w14:textId="77777777" w:rsidTr="008742A1">
        <w:trPr>
          <w:trHeight w:val="345"/>
        </w:trPr>
        <w:tc>
          <w:tcPr>
            <w:tcW w:w="1129" w:type="dxa"/>
            <w:noWrap/>
            <w:hideMark/>
          </w:tcPr>
          <w:p w14:paraId="0A955089" w14:textId="77777777" w:rsidR="00911F85" w:rsidRPr="00AC0A07" w:rsidRDefault="00911F85" w:rsidP="008742A1">
            <w:pPr>
              <w:pStyle w:val="Tabletext1"/>
              <w:keepNext/>
              <w:rPr>
                <w:b/>
              </w:rPr>
            </w:pPr>
            <w:r w:rsidRPr="00AC0A07">
              <w:rPr>
                <w:b/>
              </w:rPr>
              <w:t>BI</w:t>
            </w:r>
          </w:p>
        </w:tc>
        <w:tc>
          <w:tcPr>
            <w:tcW w:w="1517" w:type="dxa"/>
            <w:shd w:val="clear" w:color="auto" w:fill="F2F2F2" w:themeFill="background1" w:themeFillShade="F2"/>
            <w:noWrap/>
            <w:hideMark/>
          </w:tcPr>
          <w:p w14:paraId="1D3F3B5D" w14:textId="77777777" w:rsidR="00911F85" w:rsidRPr="00AC0A07" w:rsidRDefault="00911F85" w:rsidP="008742A1">
            <w:pPr>
              <w:pStyle w:val="Tabletext1"/>
              <w:jc w:val="center"/>
              <w:rPr>
                <w:color w:val="000000"/>
              </w:rPr>
            </w:pPr>
          </w:p>
        </w:tc>
        <w:tc>
          <w:tcPr>
            <w:tcW w:w="1323" w:type="dxa"/>
            <w:shd w:val="clear" w:color="auto" w:fill="F2F2F2" w:themeFill="background1" w:themeFillShade="F2"/>
            <w:noWrap/>
            <w:hideMark/>
          </w:tcPr>
          <w:p w14:paraId="1DD51CFA" w14:textId="77777777" w:rsidR="00911F85" w:rsidRPr="00AC0A07" w:rsidRDefault="00911F85" w:rsidP="008742A1">
            <w:pPr>
              <w:pStyle w:val="Tabletext1"/>
              <w:jc w:val="center"/>
              <w:rPr>
                <w:color w:val="000000"/>
              </w:rPr>
            </w:pPr>
          </w:p>
        </w:tc>
        <w:tc>
          <w:tcPr>
            <w:tcW w:w="1323" w:type="dxa"/>
            <w:noWrap/>
            <w:hideMark/>
          </w:tcPr>
          <w:p w14:paraId="13C57385" w14:textId="77777777" w:rsidR="00911F85" w:rsidRPr="00AC0A07" w:rsidRDefault="00911F85" w:rsidP="008742A1">
            <w:pPr>
              <w:pStyle w:val="Tabletext1"/>
              <w:jc w:val="center"/>
              <w:rPr>
                <w:color w:val="000000"/>
              </w:rPr>
            </w:pPr>
            <w:r w:rsidRPr="00AC0A07">
              <w:rPr>
                <w:color w:val="000000"/>
              </w:rPr>
              <w:t>30.0%</w:t>
            </w:r>
          </w:p>
        </w:tc>
        <w:tc>
          <w:tcPr>
            <w:tcW w:w="1323" w:type="dxa"/>
            <w:noWrap/>
            <w:hideMark/>
          </w:tcPr>
          <w:p w14:paraId="18ED80D9" w14:textId="77777777" w:rsidR="00911F85" w:rsidRPr="00AC0A07" w:rsidRDefault="00911F85" w:rsidP="008742A1">
            <w:pPr>
              <w:pStyle w:val="Tabletext1"/>
              <w:jc w:val="center"/>
              <w:rPr>
                <w:color w:val="000000"/>
              </w:rPr>
            </w:pPr>
            <w:r w:rsidRPr="00AC0A07">
              <w:rPr>
                <w:color w:val="000000"/>
              </w:rPr>
              <w:t>#</w:t>
            </w:r>
          </w:p>
        </w:tc>
        <w:tc>
          <w:tcPr>
            <w:tcW w:w="1323" w:type="dxa"/>
            <w:noWrap/>
            <w:hideMark/>
          </w:tcPr>
          <w:p w14:paraId="6A74BBE7" w14:textId="77777777" w:rsidR="00911F85" w:rsidRPr="00AC0A07" w:rsidRDefault="00911F85" w:rsidP="008742A1">
            <w:pPr>
              <w:pStyle w:val="Tabletext1"/>
              <w:jc w:val="center"/>
              <w:rPr>
                <w:color w:val="000000"/>
              </w:rPr>
            </w:pPr>
            <w:r w:rsidRPr="00AC0A07">
              <w:rPr>
                <w:color w:val="000000"/>
              </w:rPr>
              <w:t>3.3%</w:t>
            </w:r>
          </w:p>
        </w:tc>
        <w:tc>
          <w:tcPr>
            <w:tcW w:w="1323" w:type="dxa"/>
            <w:noWrap/>
            <w:hideMark/>
          </w:tcPr>
          <w:p w14:paraId="1B597A2A" w14:textId="77777777" w:rsidR="00911F85" w:rsidRPr="00AC0A07" w:rsidRDefault="00911F85" w:rsidP="008742A1">
            <w:pPr>
              <w:pStyle w:val="Tabletext1"/>
              <w:jc w:val="center"/>
              <w:rPr>
                <w:color w:val="000000"/>
              </w:rPr>
            </w:pPr>
            <w:r w:rsidRPr="00A33354">
              <w:rPr>
                <w:color w:val="000000"/>
              </w:rPr>
              <w:t xml:space="preserve">varies </w:t>
            </w:r>
            <w:r w:rsidRPr="00A33354">
              <w:rPr>
                <w:color w:val="000000"/>
                <w:vertAlign w:val="superscript"/>
              </w:rPr>
              <w:t>b</w:t>
            </w:r>
          </w:p>
        </w:tc>
      </w:tr>
      <w:tr w:rsidR="00911F85" w:rsidRPr="00AC0A07" w14:paraId="13017068" w14:textId="77777777" w:rsidTr="008742A1">
        <w:trPr>
          <w:trHeight w:val="345"/>
        </w:trPr>
        <w:tc>
          <w:tcPr>
            <w:tcW w:w="1129" w:type="dxa"/>
            <w:noWrap/>
            <w:hideMark/>
          </w:tcPr>
          <w:p w14:paraId="55DE96E0" w14:textId="77777777" w:rsidR="00911F85" w:rsidRPr="00AC0A07" w:rsidRDefault="00911F85" w:rsidP="008742A1">
            <w:pPr>
              <w:pStyle w:val="Tabletext1"/>
              <w:rPr>
                <w:b/>
              </w:rPr>
            </w:pPr>
            <w:r w:rsidRPr="00AC0A07">
              <w:rPr>
                <w:b/>
              </w:rPr>
              <w:t>P</w:t>
            </w:r>
          </w:p>
        </w:tc>
        <w:tc>
          <w:tcPr>
            <w:tcW w:w="1517" w:type="dxa"/>
            <w:shd w:val="clear" w:color="auto" w:fill="F2F2F2" w:themeFill="background1" w:themeFillShade="F2"/>
            <w:noWrap/>
            <w:hideMark/>
          </w:tcPr>
          <w:p w14:paraId="574EF1E8" w14:textId="77777777" w:rsidR="00911F85" w:rsidRPr="00AC0A07" w:rsidRDefault="00911F85" w:rsidP="008742A1">
            <w:pPr>
              <w:pStyle w:val="Tabletext1"/>
              <w:jc w:val="center"/>
              <w:rPr>
                <w:color w:val="000000"/>
              </w:rPr>
            </w:pPr>
          </w:p>
        </w:tc>
        <w:tc>
          <w:tcPr>
            <w:tcW w:w="1323" w:type="dxa"/>
            <w:shd w:val="clear" w:color="auto" w:fill="F2F2F2" w:themeFill="background1" w:themeFillShade="F2"/>
            <w:noWrap/>
            <w:hideMark/>
          </w:tcPr>
          <w:p w14:paraId="0AA325A7" w14:textId="77777777" w:rsidR="00911F85" w:rsidRPr="00AC0A07" w:rsidRDefault="00911F85" w:rsidP="008742A1">
            <w:pPr>
              <w:pStyle w:val="Tabletext1"/>
              <w:jc w:val="center"/>
              <w:rPr>
                <w:color w:val="000000"/>
              </w:rPr>
            </w:pPr>
          </w:p>
        </w:tc>
        <w:tc>
          <w:tcPr>
            <w:tcW w:w="1323" w:type="dxa"/>
            <w:noWrap/>
            <w:hideMark/>
          </w:tcPr>
          <w:p w14:paraId="2FE83F60" w14:textId="77777777" w:rsidR="00911F85" w:rsidRPr="00AC0A07" w:rsidRDefault="00911F85" w:rsidP="008742A1">
            <w:pPr>
              <w:pStyle w:val="Tabletext1"/>
              <w:jc w:val="center"/>
              <w:rPr>
                <w:color w:val="000000"/>
              </w:rPr>
            </w:pPr>
            <w:r w:rsidRPr="00AC0A07">
              <w:rPr>
                <w:color w:val="000000"/>
              </w:rPr>
              <w:t>18.2%</w:t>
            </w:r>
          </w:p>
        </w:tc>
        <w:tc>
          <w:tcPr>
            <w:tcW w:w="1323" w:type="dxa"/>
            <w:noWrap/>
            <w:hideMark/>
          </w:tcPr>
          <w:p w14:paraId="7BD41931" w14:textId="77777777" w:rsidR="00911F85" w:rsidRPr="00AC0A07" w:rsidRDefault="00911F85" w:rsidP="008742A1">
            <w:pPr>
              <w:pStyle w:val="Tabletext1"/>
              <w:jc w:val="center"/>
              <w:rPr>
                <w:color w:val="000000"/>
              </w:rPr>
            </w:pPr>
            <w:r w:rsidRPr="00AC0A07">
              <w:rPr>
                <w:color w:val="000000"/>
              </w:rPr>
              <w:t>9.1%</w:t>
            </w:r>
          </w:p>
        </w:tc>
        <w:tc>
          <w:tcPr>
            <w:tcW w:w="1323" w:type="dxa"/>
            <w:noWrap/>
            <w:hideMark/>
          </w:tcPr>
          <w:p w14:paraId="12D76C68" w14:textId="77777777" w:rsidR="00911F85" w:rsidRPr="00AC0A07" w:rsidRDefault="00911F85" w:rsidP="008742A1">
            <w:pPr>
              <w:pStyle w:val="Tabletext1"/>
              <w:jc w:val="center"/>
              <w:rPr>
                <w:color w:val="000000"/>
              </w:rPr>
            </w:pPr>
            <w:r w:rsidRPr="00AC0A07">
              <w:rPr>
                <w:color w:val="000000"/>
              </w:rPr>
              <w:t>#</w:t>
            </w:r>
          </w:p>
        </w:tc>
        <w:tc>
          <w:tcPr>
            <w:tcW w:w="1323" w:type="dxa"/>
            <w:noWrap/>
            <w:hideMark/>
          </w:tcPr>
          <w:p w14:paraId="6D669224" w14:textId="77777777" w:rsidR="00911F85" w:rsidRPr="00AC0A07" w:rsidRDefault="00911F85" w:rsidP="008742A1">
            <w:pPr>
              <w:pStyle w:val="Tabletext1"/>
              <w:jc w:val="center"/>
              <w:rPr>
                <w:color w:val="000000"/>
              </w:rPr>
            </w:pPr>
            <w:r w:rsidRPr="00A33354">
              <w:rPr>
                <w:color w:val="000000"/>
              </w:rPr>
              <w:t xml:space="preserve">varies </w:t>
            </w:r>
            <w:r w:rsidRPr="00A33354">
              <w:rPr>
                <w:color w:val="000000"/>
                <w:vertAlign w:val="superscript"/>
              </w:rPr>
              <w:t>b</w:t>
            </w:r>
          </w:p>
        </w:tc>
      </w:tr>
    </w:tbl>
    <w:p w14:paraId="39420D0A" w14:textId="77777777" w:rsidR="00911F85" w:rsidRDefault="00911F85" w:rsidP="00911F85">
      <w:pPr>
        <w:pStyle w:val="Tablenotes1"/>
      </w:pPr>
      <w:r>
        <w:t>Note: shaded cells depict transitions that are not allowed.</w:t>
      </w:r>
    </w:p>
    <w:p w14:paraId="35FB0882" w14:textId="210BAFB5" w:rsidR="00911F85" w:rsidRDefault="00911F85" w:rsidP="00911F85">
      <w:pPr>
        <w:pStyle w:val="Tablenotes1"/>
      </w:pPr>
      <w:r>
        <w:t>B</w:t>
      </w:r>
      <w:r w:rsidRPr="00D108A0">
        <w:t xml:space="preserve"> = </w:t>
      </w:r>
      <w:r>
        <w:t>b</w:t>
      </w:r>
      <w:r w:rsidRPr="00D108A0">
        <w:t>ronchiectasis</w:t>
      </w:r>
      <w:r>
        <w:t xml:space="preserve"> health state</w:t>
      </w:r>
      <w:r w:rsidRPr="00D108A0">
        <w:t xml:space="preserve">; </w:t>
      </w:r>
      <w:r>
        <w:t>BI</w:t>
      </w:r>
      <w:r w:rsidRPr="00D108A0">
        <w:t xml:space="preserve"> = </w:t>
      </w:r>
      <w:r>
        <w:t>b</w:t>
      </w:r>
      <w:r w:rsidRPr="00D108A0">
        <w:t>ronchiectasis with infection</w:t>
      </w:r>
      <w:r>
        <w:t xml:space="preserve"> health state</w:t>
      </w:r>
      <w:r w:rsidRPr="00D108A0">
        <w:t xml:space="preserve">; </w:t>
      </w:r>
      <w:r>
        <w:t>I</w:t>
      </w:r>
      <w:r w:rsidRPr="00D108A0">
        <w:t xml:space="preserve"> = </w:t>
      </w:r>
      <w:r>
        <w:t>i</w:t>
      </w:r>
      <w:r w:rsidRPr="00D108A0">
        <w:t>nfection</w:t>
      </w:r>
      <w:r>
        <w:t xml:space="preserve"> health state</w:t>
      </w:r>
      <w:r w:rsidRPr="00D108A0">
        <w:t xml:space="preserve">; </w:t>
      </w:r>
      <w:r>
        <w:t xml:space="preserve">IF </w:t>
      </w:r>
      <w:r w:rsidRPr="00D108A0">
        <w:t>=</w:t>
      </w:r>
      <w:r>
        <w:t>infection-free health state</w:t>
      </w:r>
      <w:r w:rsidRPr="00D108A0">
        <w:t xml:space="preserve">; </w:t>
      </w:r>
      <w:r>
        <w:t>Ig = immunoglobulin; P</w:t>
      </w:r>
      <w:r w:rsidRPr="00D108A0">
        <w:t xml:space="preserve"> = Bronchiectasis with chronic </w:t>
      </w:r>
      <w:r w:rsidRPr="00D108A0">
        <w:rPr>
          <w:i/>
        </w:rPr>
        <w:t>Pseudomonas aeruginosa</w:t>
      </w:r>
      <w:r>
        <w:t xml:space="preserve"> infection health state</w:t>
      </w:r>
      <w:r w:rsidRPr="008863AC">
        <w:t xml:space="preserve"> </w:t>
      </w:r>
      <w:r w:rsidR="00AF32E4">
        <w:t># = t</w:t>
      </w:r>
      <w:r>
        <w:t>he proportion that remain in that health state after considering all other allowable transitions.</w:t>
      </w:r>
    </w:p>
    <w:p w14:paraId="7A822ED3" w14:textId="77777777" w:rsidR="00911F85" w:rsidRDefault="00911F85" w:rsidP="00911F85">
      <w:pPr>
        <w:pStyle w:val="Tablenotes1"/>
      </w:pPr>
      <w:r w:rsidRPr="008863AC">
        <w:rPr>
          <w:vertAlign w:val="superscript"/>
        </w:rPr>
        <w:t>a</w:t>
      </w:r>
      <w:r>
        <w:t xml:space="preserve"> risk of infection is modelled only for the duration that patients would have received Ig therapy</w:t>
      </w:r>
    </w:p>
    <w:p w14:paraId="6F4B5F6B" w14:textId="77777777" w:rsidR="00911F85" w:rsidRDefault="00911F85" w:rsidP="00911F85">
      <w:pPr>
        <w:pStyle w:val="Tablenotes1"/>
      </w:pPr>
      <w:r>
        <w:rPr>
          <w:vertAlign w:val="superscript"/>
        </w:rPr>
        <w:t>b</w:t>
      </w:r>
      <w:r>
        <w:t xml:space="preserve"> Transition probabilities vary by age</w:t>
      </w:r>
    </w:p>
    <w:p w14:paraId="399874FF" w14:textId="77777777" w:rsidR="00911F85" w:rsidRPr="00343F63" w:rsidRDefault="00911F85" w:rsidP="00911F85"/>
    <w:p w14:paraId="28CD2E7C" w14:textId="77777777" w:rsidR="00911F85" w:rsidRDefault="00911F85" w:rsidP="00911F85">
      <w:pPr>
        <w:pStyle w:val="Heading3"/>
      </w:pPr>
      <w:bookmarkStart w:id="497" w:name="_Toc14431166"/>
      <w:bookmarkStart w:id="498" w:name="_Toc16856339"/>
      <w:r w:rsidRPr="00002FB0">
        <w:rPr>
          <w:sz w:val="22"/>
        </w:rPr>
        <w:t>D.4.2.</w:t>
      </w:r>
      <w:r>
        <w:rPr>
          <w:sz w:val="22"/>
        </w:rPr>
        <w:tab/>
      </w:r>
      <w:r>
        <w:tab/>
        <w:t>Resource use</w:t>
      </w:r>
      <w:bookmarkEnd w:id="497"/>
      <w:bookmarkEnd w:id="498"/>
    </w:p>
    <w:p w14:paraId="627D0856" w14:textId="77777777" w:rsidR="00911F85" w:rsidRDefault="00911F85" w:rsidP="00911F85">
      <w:pPr>
        <w:pStyle w:val="Heading4"/>
      </w:pPr>
      <w:r>
        <w:t>Cost of Ig</w:t>
      </w:r>
    </w:p>
    <w:p w14:paraId="71B5BB68" w14:textId="6D2E1B57" w:rsidR="00911F85" w:rsidRDefault="00911F85" w:rsidP="00911F85">
      <w:r>
        <w:t>The cost per gram of Ig used in the base case analysis is $60.41. This cost was provided by the Applicant to inform the economic and financial analyses and had been</w:t>
      </w:r>
      <w:r w:rsidRPr="000A39E2">
        <w:t xml:space="preserve"> estimated retrospectively based on the reported </w:t>
      </w:r>
      <w:r>
        <w:t xml:space="preserve">total </w:t>
      </w:r>
      <w:r w:rsidRPr="000A39E2">
        <w:t xml:space="preserve">domestic product cost </w:t>
      </w:r>
      <w:r>
        <w:t xml:space="preserve">in 2017/18 ($195 million) </w:t>
      </w:r>
      <w:r w:rsidRPr="000A39E2">
        <w:t xml:space="preserve">minus domestic </w:t>
      </w:r>
      <w:r>
        <w:t>SC</w:t>
      </w:r>
      <w:r w:rsidRPr="000A39E2">
        <w:t>Ig product costs</w:t>
      </w:r>
      <w:r>
        <w:t xml:space="preserve"> ($4 million) in that same year, divided by the number of IVIg domestic grams issued (3,161,673) as published in the National Report on the Issues and Use of Ig in </w:t>
      </w:r>
      <w:r w:rsidRPr="00D63352">
        <w:t>2017/18</w:t>
      </w:r>
      <w:r w:rsidRPr="007068C4">
        <w:t xml:space="preserve"> </w:t>
      </w:r>
      <w:r>
        <w:fldChar w:fldCharType="begin"/>
      </w:r>
      <w:r>
        <w:instrText xml:space="preserve"> ADDIN EN.CITE &lt;EndNote&gt;&lt;Cite ExcludeAuth="1"&gt;&lt;Author&gt;National Blood Authority [NBA]&lt;/Author&gt;&lt;Year&gt;2019&lt;/Year&gt;&lt;RecNum&gt;109&lt;/RecNum&gt;&lt;Prefix&gt;NBA &lt;/Prefix&gt;&lt;DisplayText&gt;(NBA 2019b)&lt;/DisplayText&gt;&lt;record&gt;&lt;rec-number&gt;109&lt;/rec-number&gt;&lt;foreign-keys&gt;&lt;key app="EN" db-id="z0vwsepdwpt20pewwts5z9eup9e2r2pd2tad" timestamp="1563421468"&gt;109&lt;/key&gt;&lt;/foreign-keys&gt;&lt;ref-type name="Report"&gt;27&lt;/ref-type&gt;&lt;contributors&gt;&lt;authors&gt;&lt;author&gt;National Blood Authority [NBA],&lt;/author&gt;&lt;/authors&gt;&lt;/contributors&gt;&lt;titles&gt;&lt;title&gt;National Report on the Issue and Use of Immunoglobulin (Ig) Annual Report 2017-18&lt;/title&gt;&lt;/titles&gt;&lt;dates&gt;&lt;year&gt;2019&lt;/year&gt;&lt;/dates&gt;&lt;pub-location&gt;Canberra&lt;/pub-location&gt;&lt;publisher&gt;National Blood Authority &lt;/publisher&gt;&lt;urls&gt;&lt;related-urls&gt;&lt;url&gt;https://www.blood.gov.au/data-analysis-reporting&lt;/url&gt;&lt;/related-urls&gt;&lt;/urls&gt;&lt;/record&gt;&lt;/Cite&gt;&lt;/EndNote&gt;</w:instrText>
      </w:r>
      <w:r>
        <w:fldChar w:fldCharType="separate"/>
      </w:r>
      <w:r>
        <w:rPr>
          <w:noProof/>
        </w:rPr>
        <w:t>(</w:t>
      </w:r>
      <w:hyperlink w:anchor="_ENREF_35" w:tooltip="National Blood Authority [NBA], 2019 #109" w:history="1">
        <w:r w:rsidR="00BB0145">
          <w:rPr>
            <w:noProof/>
          </w:rPr>
          <w:t>NBA 2019b</w:t>
        </w:r>
      </w:hyperlink>
      <w:r>
        <w:rPr>
          <w:noProof/>
        </w:rPr>
        <w:t>)</w:t>
      </w:r>
      <w:r>
        <w:fldChar w:fldCharType="end"/>
      </w:r>
      <w:r>
        <w:t xml:space="preserve"> (see also </w:t>
      </w:r>
      <w:r>
        <w:fldChar w:fldCharType="begin"/>
      </w:r>
      <w:r>
        <w:instrText xml:space="preserve"> REF _Ref13214532 \h </w:instrText>
      </w:r>
      <w:r>
        <w:fldChar w:fldCharType="separate"/>
      </w:r>
      <w:r w:rsidR="00A7463B">
        <w:t xml:space="preserve">Table </w:t>
      </w:r>
      <w:r w:rsidR="00A7463B">
        <w:rPr>
          <w:noProof/>
        </w:rPr>
        <w:t>96</w:t>
      </w:r>
      <w:r>
        <w:fldChar w:fldCharType="end"/>
      </w:r>
      <w:r>
        <w:t xml:space="preserve">, </w:t>
      </w:r>
      <w:r>
        <w:fldChar w:fldCharType="begin"/>
      </w:r>
      <w:r>
        <w:instrText xml:space="preserve"> REF _Ref13644183 \h </w:instrText>
      </w:r>
      <w:r>
        <w:fldChar w:fldCharType="separate"/>
      </w:r>
      <w:r w:rsidR="00A7463B" w:rsidRPr="00183E4D">
        <w:t xml:space="preserve">Appendix </w:t>
      </w:r>
      <w:r w:rsidR="00A7463B">
        <w:rPr>
          <w:noProof/>
        </w:rPr>
        <w:t>G</w:t>
      </w:r>
      <w:r>
        <w:fldChar w:fldCharType="end"/>
      </w:r>
      <w:r>
        <w:t>). Analyses will be presented assuming:</w:t>
      </w:r>
    </w:p>
    <w:p w14:paraId="63E381C3" w14:textId="77777777" w:rsidR="00911F85" w:rsidRDefault="00911F85" w:rsidP="00331FB9">
      <w:pPr>
        <w:pStyle w:val="ListParagraph"/>
        <w:numPr>
          <w:ilvl w:val="0"/>
          <w:numId w:val="21"/>
        </w:numPr>
      </w:pPr>
      <w:r>
        <w:t>The highest cost of Ig (i.e. domestic IVIg, including the cost of plasma fractionation), $140.18</w:t>
      </w:r>
    </w:p>
    <w:p w14:paraId="29F5EEC8" w14:textId="77777777" w:rsidR="00911F85" w:rsidRDefault="00911F85" w:rsidP="00331FB9">
      <w:pPr>
        <w:pStyle w:val="ListParagraph"/>
        <w:numPr>
          <w:ilvl w:val="0"/>
          <w:numId w:val="21"/>
        </w:numPr>
      </w:pPr>
      <w:r>
        <w:t>The lowest cost of Ig (i.e. imported IVIg), $44.94</w:t>
      </w:r>
    </w:p>
    <w:p w14:paraId="5AD6396F" w14:textId="77777777" w:rsidR="00911F85" w:rsidRDefault="00911F85" w:rsidP="00331FB9">
      <w:pPr>
        <w:pStyle w:val="ListParagraph"/>
        <w:numPr>
          <w:ilvl w:val="0"/>
          <w:numId w:val="21"/>
        </w:numPr>
      </w:pPr>
      <w:r>
        <w:t>The weighted average cost of Ig across all indications, $94.51</w:t>
      </w:r>
    </w:p>
    <w:p w14:paraId="67663BCD" w14:textId="5722755A" w:rsidR="00911F85" w:rsidRDefault="00911F85" w:rsidP="00911F85">
      <w:r>
        <w:t xml:space="preserve">These costs were also provided by the Applicant and were derived from the 2017/18 National Report on the issue and use of Ig in Australia </w:t>
      </w:r>
      <w:r>
        <w:fldChar w:fldCharType="begin"/>
      </w:r>
      <w:r>
        <w:instrText xml:space="preserve"> ADDIN EN.CITE &lt;EndNote&gt;&lt;Cite ExcludeAuth="1"&gt;&lt;Author&gt;National Blood Authority [NBA]&lt;/Author&gt;&lt;Year&gt;2019&lt;/Year&gt;&lt;RecNum&gt;109&lt;/RecNum&gt;&lt;Prefix&gt;NBA &lt;/Prefix&gt;&lt;DisplayText&gt;(NBA 2019b)&lt;/DisplayText&gt;&lt;record&gt;&lt;rec-number&gt;109&lt;/rec-number&gt;&lt;foreign-keys&gt;&lt;key app="EN" db-id="z0vwsepdwpt20pewwts5z9eup9e2r2pd2tad" timestamp="1563421468"&gt;109&lt;/key&gt;&lt;/foreign-keys&gt;&lt;ref-type name="Report"&gt;27&lt;/ref-type&gt;&lt;contributors&gt;&lt;authors&gt;&lt;author&gt;National Blood Authority [NBA],&lt;/author&gt;&lt;/authors&gt;&lt;/contributors&gt;&lt;titles&gt;&lt;title&gt;National Report on the Issue and Use of Immunoglobulin (Ig) Annual Report 2017-18&lt;/title&gt;&lt;/titles&gt;&lt;dates&gt;&lt;year&gt;2019&lt;/year&gt;&lt;/dates&gt;&lt;pub-location&gt;Canberra&lt;/pub-location&gt;&lt;publisher&gt;National Blood Authority &lt;/publisher&gt;&lt;urls&gt;&lt;related-urls&gt;&lt;url&gt;https://www.blood.gov.au/data-analysis-reporting&lt;/url&gt;&lt;/related-urls&gt;&lt;/urls&gt;&lt;/record&gt;&lt;/Cite&gt;&lt;/EndNote&gt;</w:instrText>
      </w:r>
      <w:r>
        <w:fldChar w:fldCharType="separate"/>
      </w:r>
      <w:r>
        <w:rPr>
          <w:noProof/>
        </w:rPr>
        <w:t>(</w:t>
      </w:r>
      <w:hyperlink w:anchor="_ENREF_35" w:tooltip="National Blood Authority [NBA], 2019 #109" w:history="1">
        <w:r w:rsidR="00BB0145">
          <w:rPr>
            <w:noProof/>
          </w:rPr>
          <w:t>NBA 2019b</w:t>
        </w:r>
      </w:hyperlink>
      <w:r>
        <w:rPr>
          <w:noProof/>
        </w:rPr>
        <w:t>)</w:t>
      </w:r>
      <w:r>
        <w:fldChar w:fldCharType="end"/>
      </w:r>
      <w:r>
        <w:t xml:space="preserve">. While there are slight variations between the </w:t>
      </w:r>
      <w:r>
        <w:lastRenderedPageBreak/>
        <w:t>prices per gram used in the model to that published on the NBA website (e.g. domestic IVIg has a current published price per gram of $58.23 as of July 1 2019), as all costs (including that of plasma fractionation) could be sourced from the same year, for consistency the prices retrospectively estimated from the NBA report are used. A sensitivity analysis will be presented using the current published price of domestic IVIg.</w:t>
      </w:r>
    </w:p>
    <w:p w14:paraId="58111790" w14:textId="77777777" w:rsidR="00911F85" w:rsidRDefault="00911F85" w:rsidP="00911F85">
      <w:r>
        <w:t xml:space="preserve">As dosing for Ig is weight based, an average patient weight of 75 kg has been assumed (based on </w:t>
      </w:r>
      <w:r>
        <w:fldChar w:fldCharType="begin"/>
      </w:r>
      <w:r>
        <w:instrText xml:space="preserve"> REF _Ref10549632 \h </w:instrText>
      </w:r>
      <w:r>
        <w:fldChar w:fldCharType="separate"/>
      </w:r>
      <w:r w:rsidR="00A7463B">
        <w:t xml:space="preserve">Table </w:t>
      </w:r>
      <w:r w:rsidR="00A7463B">
        <w:rPr>
          <w:noProof/>
        </w:rPr>
        <w:t>30</w:t>
      </w:r>
      <w:r>
        <w:fldChar w:fldCharType="end"/>
      </w:r>
      <w:r>
        <w:t>, Section C.2.1) and the average dose assumed is 0.37 g/kg (as per Section C.2.3). The estimated Ig cost per IVIg infusion is therefore estimated to be $1,671. The dose frequency modelled is assumed to be every four weeks and so the average cost per cycle of Ig is $417.81.</w:t>
      </w:r>
    </w:p>
    <w:p w14:paraId="22C1E554" w14:textId="77777777" w:rsidR="00911F85" w:rsidRDefault="00911F85" w:rsidP="00911F85"/>
    <w:p w14:paraId="03877E38" w14:textId="0729B90A" w:rsidR="00911F85" w:rsidRDefault="00911F85" w:rsidP="00911F85">
      <w:r>
        <w:t xml:space="preserve">Other costs associated with Ig treatment include the cost of consumables (including syringes, needles, cannula, infusion lines and alcohol wipes) and ward costs (including the use of a treatment chair and nursing supervision during Ig infusion). Per infusion, the costs of consumables have been estimated to be $21.41 and the administration costs, $232.01. These have been derived from the weekly costs reported in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 in which IV infusions were performed monthly.</w:t>
      </w:r>
      <w:r>
        <w:rPr>
          <w:rStyle w:val="FootnoteReference"/>
        </w:rPr>
        <w:footnoteReference w:id="19"/>
      </w:r>
      <w:r>
        <w:t xml:space="preserve"> The total per-cycle costs related to Ig treatment and administration are presented in </w:t>
      </w:r>
      <w:r>
        <w:fldChar w:fldCharType="begin"/>
      </w:r>
      <w:r>
        <w:instrText xml:space="preserve"> REF _Ref12975967 \h </w:instrText>
      </w:r>
      <w:r>
        <w:fldChar w:fldCharType="separate"/>
      </w:r>
      <w:r w:rsidR="00A7463B">
        <w:t xml:space="preserve">Table </w:t>
      </w:r>
      <w:r w:rsidR="00A7463B">
        <w:rPr>
          <w:noProof/>
        </w:rPr>
        <w:t>45</w:t>
      </w:r>
      <w:r>
        <w:fldChar w:fldCharType="end"/>
      </w:r>
      <w:r>
        <w:t>.</w:t>
      </w:r>
    </w:p>
    <w:p w14:paraId="0001CE63" w14:textId="65AF1B42" w:rsidR="00911F85" w:rsidRDefault="00911F85" w:rsidP="00911F85">
      <w:pPr>
        <w:pStyle w:val="Caption"/>
        <w:keepNext/>
      </w:pPr>
      <w:bookmarkStart w:id="499" w:name="_Ref12975967"/>
      <w:bookmarkStart w:id="500" w:name="_Toc14348880"/>
      <w:bookmarkStart w:id="501" w:name="_Toc14429586"/>
      <w:bookmarkStart w:id="502" w:name="_Toc16671643"/>
      <w:r>
        <w:t xml:space="preserve">Table </w:t>
      </w:r>
      <w:r>
        <w:rPr>
          <w:noProof/>
        </w:rPr>
        <w:fldChar w:fldCharType="begin"/>
      </w:r>
      <w:r>
        <w:rPr>
          <w:noProof/>
        </w:rPr>
        <w:instrText xml:space="preserve"> SEQ Table \* ARABIC </w:instrText>
      </w:r>
      <w:r>
        <w:rPr>
          <w:noProof/>
        </w:rPr>
        <w:fldChar w:fldCharType="separate"/>
      </w:r>
      <w:r w:rsidR="00A7463B">
        <w:rPr>
          <w:noProof/>
        </w:rPr>
        <w:t>45</w:t>
      </w:r>
      <w:r>
        <w:rPr>
          <w:noProof/>
        </w:rPr>
        <w:fldChar w:fldCharType="end"/>
      </w:r>
      <w:bookmarkEnd w:id="499"/>
      <w:r>
        <w:tab/>
        <w:t>Cost per cycle of Ig</w:t>
      </w:r>
      <w:bookmarkEnd w:id="500"/>
      <w:bookmarkEnd w:id="501"/>
      <w:bookmarkEnd w:id="502"/>
    </w:p>
    <w:tbl>
      <w:tblPr>
        <w:tblStyle w:val="TableGrid"/>
        <w:tblW w:w="0" w:type="auto"/>
        <w:tblLook w:val="04A0" w:firstRow="1" w:lastRow="0" w:firstColumn="1" w:lastColumn="0" w:noHBand="0" w:noVBand="1"/>
        <w:tblCaption w:val="Cost per cycle of Ig"/>
      </w:tblPr>
      <w:tblGrid>
        <w:gridCol w:w="3005"/>
        <w:gridCol w:w="3005"/>
        <w:gridCol w:w="3006"/>
      </w:tblGrid>
      <w:tr w:rsidR="00911F85" w:rsidRPr="00AE6816" w14:paraId="62005F34" w14:textId="77777777" w:rsidTr="008742A1">
        <w:trPr>
          <w:cantSplit/>
          <w:tblHeader/>
        </w:trPr>
        <w:tc>
          <w:tcPr>
            <w:tcW w:w="3005" w:type="dxa"/>
          </w:tcPr>
          <w:p w14:paraId="60576D9A" w14:textId="77777777" w:rsidR="00911F85" w:rsidRPr="00AE6816" w:rsidRDefault="00911F85" w:rsidP="008742A1">
            <w:pPr>
              <w:pStyle w:val="TableHeading"/>
            </w:pPr>
          </w:p>
        </w:tc>
        <w:tc>
          <w:tcPr>
            <w:tcW w:w="3005" w:type="dxa"/>
          </w:tcPr>
          <w:p w14:paraId="15148B49" w14:textId="77777777" w:rsidR="00911F85" w:rsidRPr="00AE6816" w:rsidRDefault="00911F85" w:rsidP="008742A1">
            <w:pPr>
              <w:pStyle w:val="TableHeading"/>
              <w:jc w:val="center"/>
            </w:pPr>
            <w:r>
              <w:t>Cost</w:t>
            </w:r>
          </w:p>
        </w:tc>
        <w:tc>
          <w:tcPr>
            <w:tcW w:w="3006" w:type="dxa"/>
          </w:tcPr>
          <w:p w14:paraId="503024CB" w14:textId="77777777" w:rsidR="00911F85" w:rsidRPr="00AE6816" w:rsidRDefault="00911F85" w:rsidP="008742A1">
            <w:pPr>
              <w:pStyle w:val="TableHeading"/>
              <w:jc w:val="center"/>
            </w:pPr>
            <w:r>
              <w:t>Source</w:t>
            </w:r>
          </w:p>
        </w:tc>
      </w:tr>
      <w:tr w:rsidR="00911F85" w:rsidRPr="00AE6816" w14:paraId="4587E4D5" w14:textId="77777777" w:rsidTr="008742A1">
        <w:trPr>
          <w:cantSplit/>
        </w:trPr>
        <w:tc>
          <w:tcPr>
            <w:tcW w:w="3005" w:type="dxa"/>
          </w:tcPr>
          <w:p w14:paraId="43513777" w14:textId="77777777" w:rsidR="00911F85" w:rsidRPr="00AE6816" w:rsidRDefault="00911F85" w:rsidP="008742A1">
            <w:pPr>
              <w:pStyle w:val="Tabletext1"/>
            </w:pPr>
            <w:r w:rsidRPr="00AE6816">
              <w:t>Cost of Ig</w:t>
            </w:r>
          </w:p>
        </w:tc>
        <w:tc>
          <w:tcPr>
            <w:tcW w:w="3005" w:type="dxa"/>
          </w:tcPr>
          <w:p w14:paraId="1DC9A773" w14:textId="77777777" w:rsidR="00911F85" w:rsidRPr="00AE6816" w:rsidRDefault="00911F85" w:rsidP="008742A1">
            <w:pPr>
              <w:pStyle w:val="Tabletext1"/>
              <w:jc w:val="center"/>
            </w:pPr>
            <w:r w:rsidRPr="00AE6816">
              <w:t>$417.81</w:t>
            </w:r>
          </w:p>
        </w:tc>
        <w:tc>
          <w:tcPr>
            <w:tcW w:w="3006" w:type="dxa"/>
          </w:tcPr>
          <w:p w14:paraId="5C29AABC" w14:textId="77777777" w:rsidR="00911F85" w:rsidRPr="00AE6816" w:rsidRDefault="00911F85" w:rsidP="008742A1">
            <w:pPr>
              <w:pStyle w:val="Tabletext1"/>
              <w:jc w:val="center"/>
            </w:pPr>
            <w:r>
              <w:t>C</w:t>
            </w:r>
            <w:r w:rsidRPr="00AE6816">
              <w:t>alculated</w:t>
            </w:r>
            <w:r>
              <w:t xml:space="preserve"> </w:t>
            </w:r>
            <w:r w:rsidRPr="00AE6816">
              <w:rPr>
                <w:vertAlign w:val="superscript"/>
              </w:rPr>
              <w:t>a</w:t>
            </w:r>
          </w:p>
        </w:tc>
      </w:tr>
      <w:tr w:rsidR="00911F85" w:rsidRPr="00AE6816" w14:paraId="4E36FE99" w14:textId="77777777" w:rsidTr="008742A1">
        <w:trPr>
          <w:cantSplit/>
        </w:trPr>
        <w:tc>
          <w:tcPr>
            <w:tcW w:w="3005" w:type="dxa"/>
          </w:tcPr>
          <w:p w14:paraId="0962A6DC" w14:textId="77777777" w:rsidR="00911F85" w:rsidRPr="00AE6816" w:rsidRDefault="00911F85" w:rsidP="008742A1">
            <w:pPr>
              <w:pStyle w:val="Tabletext1"/>
            </w:pPr>
            <w:r w:rsidRPr="00AE6816">
              <w:t>Consumables</w:t>
            </w:r>
          </w:p>
        </w:tc>
        <w:tc>
          <w:tcPr>
            <w:tcW w:w="3005" w:type="dxa"/>
          </w:tcPr>
          <w:p w14:paraId="28A7F37B" w14:textId="77777777" w:rsidR="00911F85" w:rsidRPr="00AE6816" w:rsidRDefault="00911F85" w:rsidP="008742A1">
            <w:pPr>
              <w:pStyle w:val="Tabletext1"/>
              <w:jc w:val="center"/>
            </w:pPr>
            <w:r w:rsidRPr="00AE6816">
              <w:t>$</w:t>
            </w:r>
            <w:r>
              <w:t>5.35</w:t>
            </w:r>
          </w:p>
        </w:tc>
        <w:tc>
          <w:tcPr>
            <w:tcW w:w="3006" w:type="dxa"/>
          </w:tcPr>
          <w:p w14:paraId="4E3479F1" w14:textId="77777777" w:rsidR="00911F85" w:rsidRPr="00AE6816" w:rsidRDefault="00911F85" w:rsidP="008742A1">
            <w:pPr>
              <w:pStyle w:val="Tabletext1"/>
              <w:jc w:val="center"/>
            </w:pPr>
            <w:r w:rsidRPr="00AE6816">
              <w:t>Windegger et al. (2019)</w:t>
            </w:r>
            <w:r>
              <w:t xml:space="preserve"> </w:t>
            </w:r>
            <w:r>
              <w:rPr>
                <w:vertAlign w:val="superscript"/>
              </w:rPr>
              <w:t>b</w:t>
            </w:r>
          </w:p>
        </w:tc>
      </w:tr>
      <w:tr w:rsidR="00911F85" w:rsidRPr="00AE6816" w14:paraId="7D73F700" w14:textId="77777777" w:rsidTr="008742A1">
        <w:trPr>
          <w:cantSplit/>
        </w:trPr>
        <w:tc>
          <w:tcPr>
            <w:tcW w:w="3005" w:type="dxa"/>
          </w:tcPr>
          <w:p w14:paraId="2ED20A93" w14:textId="77777777" w:rsidR="00911F85" w:rsidRPr="00AE6816" w:rsidRDefault="00911F85" w:rsidP="008742A1">
            <w:pPr>
              <w:pStyle w:val="Tabletext1"/>
            </w:pPr>
            <w:r w:rsidRPr="00AE6816">
              <w:t>Administration costs</w:t>
            </w:r>
          </w:p>
        </w:tc>
        <w:tc>
          <w:tcPr>
            <w:tcW w:w="3005" w:type="dxa"/>
          </w:tcPr>
          <w:p w14:paraId="4AEC7ED2" w14:textId="77777777" w:rsidR="00911F85" w:rsidRPr="00AE6816" w:rsidRDefault="00911F85" w:rsidP="008742A1">
            <w:pPr>
              <w:pStyle w:val="Tabletext1"/>
              <w:jc w:val="center"/>
            </w:pPr>
            <w:r w:rsidRPr="00AE6816">
              <w:t>$</w:t>
            </w:r>
            <w:r>
              <w:t>58.00</w:t>
            </w:r>
          </w:p>
        </w:tc>
        <w:tc>
          <w:tcPr>
            <w:tcW w:w="3006" w:type="dxa"/>
          </w:tcPr>
          <w:p w14:paraId="6DCA1AD3" w14:textId="77777777" w:rsidR="00911F85" w:rsidRPr="00AE6816" w:rsidRDefault="00911F85" w:rsidP="008742A1">
            <w:pPr>
              <w:pStyle w:val="Tabletext1"/>
              <w:jc w:val="center"/>
            </w:pPr>
            <w:r w:rsidRPr="00AE6816">
              <w:t>Windegger et al. (2019)</w:t>
            </w:r>
            <w:r>
              <w:t xml:space="preserve"> </w:t>
            </w:r>
            <w:r>
              <w:rPr>
                <w:vertAlign w:val="superscript"/>
              </w:rPr>
              <w:t>b</w:t>
            </w:r>
          </w:p>
        </w:tc>
      </w:tr>
      <w:tr w:rsidR="00911F85" w:rsidRPr="00AE6816" w14:paraId="55DAFA7C" w14:textId="77777777" w:rsidTr="008742A1">
        <w:trPr>
          <w:cantSplit/>
        </w:trPr>
        <w:tc>
          <w:tcPr>
            <w:tcW w:w="3005" w:type="dxa"/>
          </w:tcPr>
          <w:p w14:paraId="64D7BFFF" w14:textId="77777777" w:rsidR="00911F85" w:rsidRPr="00AE6816" w:rsidRDefault="00911F85" w:rsidP="008742A1">
            <w:pPr>
              <w:pStyle w:val="Tabletext1"/>
              <w:rPr>
                <w:b/>
              </w:rPr>
            </w:pPr>
            <w:r w:rsidRPr="00AE6816">
              <w:rPr>
                <w:b/>
              </w:rPr>
              <w:t>Total</w:t>
            </w:r>
            <w:r>
              <w:rPr>
                <w:b/>
              </w:rPr>
              <w:t xml:space="preserve"> cost of Ig per week</w:t>
            </w:r>
          </w:p>
        </w:tc>
        <w:tc>
          <w:tcPr>
            <w:tcW w:w="3005" w:type="dxa"/>
          </w:tcPr>
          <w:p w14:paraId="43ED835C" w14:textId="77777777" w:rsidR="00911F85" w:rsidRPr="00AE6816" w:rsidRDefault="00911F85" w:rsidP="008742A1">
            <w:pPr>
              <w:pStyle w:val="Tabletext1"/>
              <w:jc w:val="center"/>
              <w:rPr>
                <w:b/>
              </w:rPr>
            </w:pPr>
            <w:r w:rsidRPr="00AE6816">
              <w:rPr>
                <w:b/>
              </w:rPr>
              <w:t>$476.29</w:t>
            </w:r>
          </w:p>
        </w:tc>
        <w:tc>
          <w:tcPr>
            <w:tcW w:w="3006" w:type="dxa"/>
          </w:tcPr>
          <w:p w14:paraId="09D54594" w14:textId="77777777" w:rsidR="00911F85" w:rsidRPr="00AE6816" w:rsidRDefault="00911F85" w:rsidP="008742A1">
            <w:pPr>
              <w:pStyle w:val="Tabletext1"/>
              <w:jc w:val="center"/>
              <w:rPr>
                <w:b/>
              </w:rPr>
            </w:pPr>
          </w:p>
        </w:tc>
      </w:tr>
    </w:tbl>
    <w:p w14:paraId="4CC837F8" w14:textId="77777777" w:rsidR="00911F85" w:rsidRPr="00E86BCE" w:rsidRDefault="00911F85" w:rsidP="00911F85">
      <w:pPr>
        <w:pStyle w:val="Tablenotes1"/>
      </w:pPr>
      <w:r>
        <w:t>Ig = immunoglobulin.</w:t>
      </w:r>
    </w:p>
    <w:p w14:paraId="38180587" w14:textId="77777777" w:rsidR="00911F85" w:rsidRDefault="00911F85" w:rsidP="00911F85">
      <w:pPr>
        <w:pStyle w:val="Tablenotes1"/>
      </w:pPr>
      <w:r w:rsidRPr="00AE6816">
        <w:rPr>
          <w:vertAlign w:val="superscript"/>
        </w:rPr>
        <w:t>a</w:t>
      </w:r>
      <w:r>
        <w:t xml:space="preserve"> Calculated assuming patient is 75.0kg and receives a 0.37 g/kg dose every 4 weeks, at a cost of $60.41 per gram.</w:t>
      </w:r>
    </w:p>
    <w:p w14:paraId="0C98DD1E" w14:textId="77777777" w:rsidR="00911F85" w:rsidRDefault="00911F85" w:rsidP="00911F85">
      <w:pPr>
        <w:pStyle w:val="Tablenotes1"/>
      </w:pPr>
      <w:r w:rsidRPr="00995648">
        <w:rPr>
          <w:vertAlign w:val="superscript"/>
        </w:rPr>
        <w:t>b</w:t>
      </w:r>
      <w:r>
        <w:t xml:space="preserve"> Costs reported in Windegger et al. (2019) have been adjusted for infusion frequency, as this study reported monthly infusions, compared to the base case analysis, which assumes infusions every four weeks.</w:t>
      </w:r>
    </w:p>
    <w:p w14:paraId="5F678FE7" w14:textId="08A5FC86" w:rsidR="00911F85" w:rsidRDefault="00911F85" w:rsidP="00911F85">
      <w:r>
        <w:t xml:space="preserve">These costs are assumed to apply for up to 26 months based on the median treatment duration reported in </w:t>
      </w:r>
      <w:r w:rsidRPr="00F55739">
        <w:t>Paxton, Hawkins &amp; Crispin</w:t>
      </w:r>
      <w:r>
        <w:t xml:space="preserve"> </w:t>
      </w:r>
      <w:r>
        <w:fldChar w:fldCharType="begin">
          <w:fldData xml:space="preserve">PEVuZE5vdGU+PENpdGUgRXhjbHVkZUF1dGg9IjEiPjxBdXRob3I+UGF4dG9uPC9BdXRob3I+PFll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</w:fldData>
        </w:fldChar>
      </w:r>
      <w:r>
        <w:instrText xml:space="preserve"> ADDIN EN.CITE </w:instrText>
      </w:r>
      <w:r>
        <w:fldChar w:fldCharType="begin">
          <w:fldData xml:space="preserve">PEVuZE5vdGU+PENpdGUgRXhjbHVkZUF1dGg9IjEiPjxBdXRob3I+UGF4dG9uPC9BdXRob3I+PFll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</w:fldData>
        </w:fldChar>
      </w:r>
      <w:r>
        <w:instrText xml:space="preserve"> ADDIN EN.CITE.DATA </w:instrText>
      </w:r>
      <w:r>
        <w:fldChar w:fldCharType="end"/>
      </w:r>
      <w:r>
        <w:fldChar w:fldCharType="separate"/>
      </w:r>
      <w:r>
        <w:rPr>
          <w:noProof/>
        </w:rPr>
        <w:t>(</w:t>
      </w:r>
      <w:hyperlink w:anchor="_ENREF_39" w:tooltip="Paxton, 2016 #66" w:history="1">
        <w:r w:rsidR="00BB0145">
          <w:rPr>
            <w:noProof/>
          </w:rPr>
          <w:t>2016</w:t>
        </w:r>
      </w:hyperlink>
      <w:r>
        <w:rPr>
          <w:noProof/>
        </w:rPr>
        <w:t>)</w:t>
      </w:r>
      <w:r>
        <w:fldChar w:fldCharType="end"/>
      </w:r>
      <w:r>
        <w:t xml:space="preserve"> (see Section C.2.4 for further information), whilst patients are in the infection-free or infection health states. However if patients develop </w:t>
      </w:r>
      <w:r>
        <w:lastRenderedPageBreak/>
        <w:t xml:space="preserve">bronchiectasis while on Ig therapy, as transition probabilities have been adjusted to account for Ig use (see Section D.4.1), the cost of Ig will continue to apply. This approach is somewhat different to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 xml:space="preserve"> which assumed continued Ig use through the 10 year time horizon, in all health states including infection-free. A sensitivity analysis is presented excluding the cost of Ig from the bronchiectasis health states, and as such, assuming no benefit of Ig with regards to preventing infections in the bronchiectasis health state. </w:t>
      </w:r>
    </w:p>
    <w:p w14:paraId="2308801D" w14:textId="77777777" w:rsidR="00911F85" w:rsidRDefault="00911F85" w:rsidP="00911F85"/>
    <w:p w14:paraId="1827A14B" w14:textId="77777777" w:rsidR="00911F85" w:rsidRDefault="00911F85" w:rsidP="00911F85">
      <w:pPr>
        <w:pStyle w:val="Heading4"/>
      </w:pPr>
      <w:r>
        <w:t>Ongoing disease management costs</w:t>
      </w:r>
    </w:p>
    <w:p w14:paraId="43637C09" w14:textId="3E5A0DA3" w:rsidR="00911F85" w:rsidRDefault="00911F85" w:rsidP="00911F85">
      <w:r>
        <w:t xml:space="preserve">Other costs associated with the management of patients with acquired hypogammaglobulinaemia who are at-risk of infections are reported in </w:t>
      </w:r>
      <w:r>
        <w:fldChar w:fldCharType="begin"/>
      </w:r>
      <w:r>
        <w:instrText xml:space="preserve"> REF _Ref11228496 \h </w:instrText>
      </w:r>
      <w:r>
        <w:fldChar w:fldCharType="separate"/>
      </w:r>
      <w:r w:rsidR="00A7463B">
        <w:t xml:space="preserve">Table </w:t>
      </w:r>
      <w:r w:rsidR="00A7463B">
        <w:rPr>
          <w:noProof/>
        </w:rPr>
        <w:t>46</w:t>
      </w:r>
      <w:r>
        <w:fldChar w:fldCharType="end"/>
      </w:r>
      <w:r>
        <w:t xml:space="preserve">. These costs are assumed to apply equally to both model arms. Costs included two haematologist visits per year and a test to monitor IgG trough levels. These costs have been based on the relevant MBS item numbers (MBS items 110 and 71068, respectively) and are assumed to apply while patients are considered to be at-risk of infections (i.e. up to 26 months in the infection-free health state and ongoing if bronchiectasis had developed). </w:t>
      </w:r>
    </w:p>
    <w:p w14:paraId="5A9A2B2D" w14:textId="25D834FA" w:rsidR="00911F85" w:rsidRDefault="00911F85" w:rsidP="00911F85">
      <w:r>
        <w:t xml:space="preserve">The cost of professional attendances were slightly lower than modelled in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 xml:space="preserve"> ($6.84), while pathology test costs were substantially lower than in the published analysis, $6.00, which may have assumed more frequent monitoring of IgG trough levels</w:t>
      </w:r>
      <w:r w:rsidRPr="002240C6">
        <w:t xml:space="preserve"> </w:t>
      </w:r>
      <w:r>
        <w:t xml:space="preserve">and also included costs to screen for infections. As infection screening tests have been included in the cost of treating infections, and no guidelines were identified that supported routine infection screening, these costs have not been included in the disease management costs. A sensitivity analysis will be presented using the costs from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w:t>
      </w:r>
    </w:p>
    <w:p w14:paraId="6777493E" w14:textId="238E5462" w:rsidR="00911F85" w:rsidRDefault="00911F85" w:rsidP="00911F85">
      <w:pPr>
        <w:pStyle w:val="Caption"/>
        <w:keepNext/>
      </w:pPr>
      <w:bookmarkStart w:id="503" w:name="_Ref11228496"/>
      <w:bookmarkStart w:id="504" w:name="_Toc14348881"/>
      <w:bookmarkStart w:id="505" w:name="_Toc14429587"/>
      <w:bookmarkStart w:id="506" w:name="_Toc16671644"/>
      <w:r>
        <w:t xml:space="preserve">Table </w:t>
      </w:r>
      <w:r>
        <w:rPr>
          <w:noProof/>
        </w:rPr>
        <w:fldChar w:fldCharType="begin"/>
      </w:r>
      <w:r>
        <w:rPr>
          <w:noProof/>
        </w:rPr>
        <w:instrText xml:space="preserve"> SEQ Table \* ARABIC </w:instrText>
      </w:r>
      <w:r>
        <w:rPr>
          <w:noProof/>
        </w:rPr>
        <w:fldChar w:fldCharType="separate"/>
      </w:r>
      <w:r w:rsidR="00A7463B">
        <w:rPr>
          <w:noProof/>
        </w:rPr>
        <w:t>46</w:t>
      </w:r>
      <w:r>
        <w:rPr>
          <w:noProof/>
        </w:rPr>
        <w:fldChar w:fldCharType="end"/>
      </w:r>
      <w:bookmarkEnd w:id="503"/>
      <w:r>
        <w:tab/>
        <w:t>Ongoing disease management costs included in the model</w:t>
      </w:r>
      <w:bookmarkEnd w:id="504"/>
      <w:bookmarkEnd w:id="505"/>
      <w:bookmarkEnd w:id="506"/>
    </w:p>
    <w:tbl>
      <w:tblPr>
        <w:tblStyle w:val="TableGrid1"/>
        <w:tblW w:w="5000" w:type="pct"/>
        <w:tblLook w:val="04A0" w:firstRow="1" w:lastRow="0" w:firstColumn="1" w:lastColumn="0" w:noHBand="0" w:noVBand="1"/>
        <w:tblCaption w:val="Ongoing disease management and treatment costs included in the model"/>
      </w:tblPr>
      <w:tblGrid>
        <w:gridCol w:w="3240"/>
        <w:gridCol w:w="3009"/>
        <w:gridCol w:w="2993"/>
      </w:tblGrid>
      <w:tr w:rsidR="00911F85" w:rsidRPr="00CF54CF" w14:paraId="4B476CD1" w14:textId="77777777" w:rsidTr="008742A1">
        <w:trPr>
          <w:cnfStyle w:val="100000000000" w:firstRow="1" w:lastRow="0" w:firstColumn="0" w:lastColumn="0" w:oddVBand="0" w:evenVBand="0" w:oddHBand="0" w:evenHBand="0" w:firstRowFirstColumn="0" w:firstRowLastColumn="0" w:lastRowFirstColumn="0" w:lastRowLastColumn="0"/>
          <w:cantSplit/>
          <w:trHeight w:val="300"/>
          <w:tblHeader/>
        </w:trPr>
        <w:tc>
          <w:tcPr>
            <w:tcW w:w="1753" w:type="pct"/>
            <w:noWrap/>
            <w:hideMark/>
          </w:tcPr>
          <w:p w14:paraId="6641BEF1" w14:textId="77777777" w:rsidR="00911F85" w:rsidRPr="00CF54CF" w:rsidRDefault="00911F85" w:rsidP="008742A1">
            <w:pPr>
              <w:pStyle w:val="TableHeading"/>
            </w:pPr>
          </w:p>
        </w:tc>
        <w:tc>
          <w:tcPr>
            <w:tcW w:w="1628" w:type="pct"/>
            <w:noWrap/>
            <w:hideMark/>
          </w:tcPr>
          <w:p w14:paraId="03470137" w14:textId="77777777" w:rsidR="00911F85" w:rsidRPr="00CF54CF" w:rsidRDefault="00911F85" w:rsidP="008742A1">
            <w:pPr>
              <w:pStyle w:val="TableHeading"/>
              <w:jc w:val="center"/>
            </w:pPr>
            <w:r>
              <w:t>Cost</w:t>
            </w:r>
          </w:p>
        </w:tc>
        <w:tc>
          <w:tcPr>
            <w:tcW w:w="1619" w:type="pct"/>
            <w:noWrap/>
            <w:hideMark/>
          </w:tcPr>
          <w:p w14:paraId="56065067" w14:textId="77777777" w:rsidR="00911F85" w:rsidRPr="00CF54CF" w:rsidRDefault="00911F85" w:rsidP="008742A1">
            <w:pPr>
              <w:pStyle w:val="TableHeading"/>
              <w:jc w:val="center"/>
            </w:pPr>
            <w:r>
              <w:t>Source</w:t>
            </w:r>
          </w:p>
        </w:tc>
      </w:tr>
      <w:tr w:rsidR="00911F85" w:rsidRPr="00CF54CF" w14:paraId="7A3D7D22" w14:textId="77777777" w:rsidTr="008742A1">
        <w:trPr>
          <w:cantSplit/>
          <w:trHeight w:val="300"/>
        </w:trPr>
        <w:tc>
          <w:tcPr>
            <w:tcW w:w="1753" w:type="pct"/>
            <w:noWrap/>
            <w:hideMark/>
          </w:tcPr>
          <w:p w14:paraId="0E265FE7" w14:textId="77777777" w:rsidR="00911F85" w:rsidRPr="00CF54CF" w:rsidRDefault="00911F85" w:rsidP="008742A1">
            <w:pPr>
              <w:pStyle w:val="Tabletext1"/>
            </w:pPr>
            <w:r w:rsidRPr="00CF54CF">
              <w:t>Haematologist consult fee</w:t>
            </w:r>
            <w:r>
              <w:t xml:space="preserve"> (two per year)</w:t>
            </w:r>
          </w:p>
        </w:tc>
        <w:tc>
          <w:tcPr>
            <w:tcW w:w="1628" w:type="pct"/>
            <w:noWrap/>
            <w:hideMark/>
          </w:tcPr>
          <w:p w14:paraId="7139C974" w14:textId="77777777" w:rsidR="00911F85" w:rsidRPr="00CF54CF" w:rsidRDefault="00911F85" w:rsidP="008742A1">
            <w:pPr>
              <w:pStyle w:val="Tabletext1"/>
              <w:jc w:val="center"/>
            </w:pPr>
            <w:r w:rsidRPr="005C39C4">
              <w:t>$5.98</w:t>
            </w:r>
          </w:p>
        </w:tc>
        <w:tc>
          <w:tcPr>
            <w:tcW w:w="1619" w:type="pct"/>
            <w:noWrap/>
            <w:hideMark/>
          </w:tcPr>
          <w:p w14:paraId="50F24B3E" w14:textId="77777777" w:rsidR="00911F85" w:rsidRPr="00CF54CF" w:rsidRDefault="00911F85" w:rsidP="008742A1">
            <w:pPr>
              <w:pStyle w:val="Tabletext1"/>
              <w:jc w:val="center"/>
            </w:pPr>
            <w:r>
              <w:t>MBS item 110</w:t>
            </w:r>
          </w:p>
        </w:tc>
      </w:tr>
      <w:tr w:rsidR="00911F85" w:rsidRPr="00CF54CF" w14:paraId="363B1357" w14:textId="77777777" w:rsidTr="008742A1">
        <w:trPr>
          <w:cantSplit/>
          <w:trHeight w:val="300"/>
        </w:trPr>
        <w:tc>
          <w:tcPr>
            <w:tcW w:w="1753" w:type="pct"/>
            <w:noWrap/>
            <w:hideMark/>
          </w:tcPr>
          <w:p w14:paraId="23F68BF9" w14:textId="77777777" w:rsidR="00911F85" w:rsidRPr="00CF54CF" w:rsidRDefault="00911F85" w:rsidP="008742A1">
            <w:pPr>
              <w:pStyle w:val="Tabletext1"/>
            </w:pPr>
            <w:r>
              <w:t>Monitoring of serum IgG trough levels</w:t>
            </w:r>
          </w:p>
        </w:tc>
        <w:tc>
          <w:tcPr>
            <w:tcW w:w="1628" w:type="pct"/>
            <w:noWrap/>
            <w:hideMark/>
          </w:tcPr>
          <w:p w14:paraId="4464846E" w14:textId="77777777" w:rsidR="00911F85" w:rsidRPr="00CF54CF" w:rsidRDefault="00911F85" w:rsidP="008742A1">
            <w:pPr>
              <w:pStyle w:val="Tabletext1"/>
              <w:jc w:val="center"/>
            </w:pPr>
            <w:r w:rsidRPr="005C39C4">
              <w:t>$0.28</w:t>
            </w:r>
          </w:p>
        </w:tc>
        <w:tc>
          <w:tcPr>
            <w:tcW w:w="1619" w:type="pct"/>
            <w:noWrap/>
            <w:hideMark/>
          </w:tcPr>
          <w:p w14:paraId="5F3959E8" w14:textId="77777777" w:rsidR="00911F85" w:rsidRPr="00CF54CF" w:rsidRDefault="00911F85" w:rsidP="008742A1">
            <w:pPr>
              <w:pStyle w:val="Tabletext1"/>
              <w:jc w:val="center"/>
            </w:pPr>
            <w:r>
              <w:t>MBS item 71068</w:t>
            </w:r>
          </w:p>
        </w:tc>
      </w:tr>
      <w:tr w:rsidR="00911F85" w:rsidRPr="00CF54CF" w14:paraId="1BD004AD" w14:textId="77777777" w:rsidTr="008742A1">
        <w:trPr>
          <w:cantSplit/>
          <w:trHeight w:val="300"/>
        </w:trPr>
        <w:tc>
          <w:tcPr>
            <w:tcW w:w="1753" w:type="pct"/>
            <w:noWrap/>
            <w:hideMark/>
          </w:tcPr>
          <w:p w14:paraId="1361C654" w14:textId="77777777" w:rsidR="00911F85" w:rsidRPr="00CF54CF" w:rsidRDefault="00911F85" w:rsidP="008742A1">
            <w:pPr>
              <w:pStyle w:val="Tabletext1"/>
              <w:rPr>
                <w:b/>
              </w:rPr>
            </w:pPr>
            <w:r>
              <w:rPr>
                <w:b/>
              </w:rPr>
              <w:t>Cost per week</w:t>
            </w:r>
          </w:p>
        </w:tc>
        <w:tc>
          <w:tcPr>
            <w:tcW w:w="1628" w:type="pct"/>
            <w:noWrap/>
            <w:hideMark/>
          </w:tcPr>
          <w:p w14:paraId="29023033" w14:textId="77777777" w:rsidR="00911F85" w:rsidRPr="002240C6" w:rsidRDefault="00911F85" w:rsidP="008742A1">
            <w:pPr>
              <w:pStyle w:val="Tabletext1"/>
              <w:jc w:val="center"/>
              <w:rPr>
                <w:b/>
              </w:rPr>
            </w:pPr>
            <w:r w:rsidRPr="002240C6">
              <w:rPr>
                <w:b/>
              </w:rPr>
              <w:t>$6.26</w:t>
            </w:r>
          </w:p>
        </w:tc>
        <w:tc>
          <w:tcPr>
            <w:tcW w:w="1619" w:type="pct"/>
            <w:noWrap/>
            <w:hideMark/>
          </w:tcPr>
          <w:p w14:paraId="53FFEA65" w14:textId="77777777" w:rsidR="00911F85" w:rsidRPr="00CF54CF" w:rsidRDefault="00911F85" w:rsidP="008742A1">
            <w:pPr>
              <w:pStyle w:val="Tabletext1"/>
              <w:jc w:val="center"/>
              <w:rPr>
                <w:b/>
              </w:rPr>
            </w:pPr>
          </w:p>
        </w:tc>
      </w:tr>
    </w:tbl>
    <w:p w14:paraId="16502E7A" w14:textId="77777777" w:rsidR="00911F85" w:rsidRDefault="00911F85" w:rsidP="00911F85">
      <w:pPr>
        <w:pStyle w:val="Tablenotes1"/>
      </w:pPr>
      <w:r>
        <w:t>Ig = immunoglobulin</w:t>
      </w:r>
    </w:p>
    <w:p w14:paraId="1D13B8B1" w14:textId="77777777" w:rsidR="00911F85" w:rsidRDefault="00911F85" w:rsidP="00911F85"/>
    <w:p w14:paraId="18A124E3" w14:textId="77777777" w:rsidR="00911F85" w:rsidRDefault="00911F85" w:rsidP="00911F85">
      <w:pPr>
        <w:pStyle w:val="Heading4"/>
      </w:pPr>
      <w:r>
        <w:t>Costs associated with treating infections</w:t>
      </w:r>
    </w:p>
    <w:p w14:paraId="0B68B5AD" w14:textId="6F4D5292" w:rsidR="008514C1" w:rsidRDefault="00911F85" w:rsidP="00911F85">
      <w:r>
        <w:t xml:space="preserve">The clinical studies included in Section B reported infections by severity – serious infections which generally required hospitalisation, and non-serious infections, which did not require hospitalisation. </w:t>
      </w:r>
      <w:r w:rsidR="008514C1">
        <w:t xml:space="preserve">The cost of treating a serious infection in Windegger et al. </w:t>
      </w:r>
      <w:r w:rsidR="008514C1">
        <w:fldChar w:fldCharType="begin"/>
      </w:r>
      <w:r w:rsidR="008514C1">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rsidR="008514C1">
        <w:fldChar w:fldCharType="separate"/>
      </w:r>
      <w:r w:rsidR="008514C1">
        <w:rPr>
          <w:noProof/>
        </w:rPr>
        <w:t>(</w:t>
      </w:r>
      <w:hyperlink w:anchor="_ENREF_57" w:tooltip="Windegger, 2019 #55" w:history="1">
        <w:r w:rsidR="00BB0145">
          <w:rPr>
            <w:noProof/>
          </w:rPr>
          <w:t>2019</w:t>
        </w:r>
      </w:hyperlink>
      <w:r w:rsidR="008514C1">
        <w:rPr>
          <w:noProof/>
        </w:rPr>
        <w:t>)</w:t>
      </w:r>
      <w:r w:rsidR="008514C1">
        <w:fldChar w:fldCharType="end"/>
      </w:r>
      <w:r w:rsidR="008514C1">
        <w:t xml:space="preserve"> was $6,927. During the Assessment process, the Ig Review Group considered that this cost was likely an underestimate of the </w:t>
      </w:r>
      <w:r w:rsidR="008514C1" w:rsidRPr="002172E4">
        <w:t xml:space="preserve">cost and resource use associated with treating </w:t>
      </w:r>
      <w:r w:rsidR="008514C1">
        <w:t xml:space="preserve">the various types of </w:t>
      </w:r>
      <w:r w:rsidR="008514C1" w:rsidRPr="002172E4">
        <w:t>serious infections</w:t>
      </w:r>
      <w:r w:rsidR="008514C1">
        <w:t xml:space="preserve"> that patients were vulnerable to</w:t>
      </w:r>
      <w:r w:rsidR="008514C1" w:rsidRPr="002172E4">
        <w:t>.</w:t>
      </w:r>
      <w:r w:rsidR="008514C1">
        <w:t xml:space="preserve"> </w:t>
      </w:r>
    </w:p>
    <w:p w14:paraId="15325F87" w14:textId="01647772" w:rsidR="002172E4" w:rsidRDefault="00911F85" w:rsidP="00911F85">
      <w:r w:rsidRPr="00C127B0">
        <w:lastRenderedPageBreak/>
        <w:t>Weeks, Tierney &amp; Weinstein</w:t>
      </w:r>
      <w:r>
        <w:t xml:space="preserve"> </w:t>
      </w:r>
      <w:r>
        <w:fldChar w:fldCharType="begin"/>
      </w:r>
      <w:r>
        <w:instrText xml:space="preserve"> ADDIN EN.CITE &lt;EndNote&gt;&lt;Cite ExcludeAuth="1"&gt;&lt;Author&gt;Weeks&lt;/Author&gt;&lt;Year&gt;1991&lt;/Year&gt;&lt;RecNum&gt;35&lt;/RecNum&gt;&lt;DisplayText&gt;(1991)&lt;/DisplayText&gt;&lt;record&gt;&lt;rec-number&gt;35&lt;/rec-number&gt;&lt;foreign-keys&gt;&lt;key app="EN" db-id="z0vwsepdwpt20pewwts5z9eup9e2r2pd2tad" timestamp="1553825060"&gt;35&lt;/key&gt;&lt;/foreign-keys&gt;&lt;ref-type name="Journal Article"&gt;17&lt;/ref-type&gt;&lt;contributors&gt;&lt;authors&gt;&lt;author&gt;Weeks, J. C.&lt;/author&gt;&lt;author&gt;Tierney, M. R.&lt;/author&gt;&lt;author&gt;Weinstein, M. C.&lt;/author&gt;&lt;/authors&gt;&lt;/contributors&gt;&lt;titles&gt;&lt;title&gt;Cost effectiveness of prophylactic intravenous immune globulin in chronic lymphocytic leukemia&lt;/title&gt;&lt;secondary-title&gt;New England journal of medicine&lt;/secondary-title&gt;&lt;/titles&gt;&lt;periodical&gt;&lt;full-title&gt;New England journal of medicine&lt;/full-title&gt;&lt;/periodical&gt;&lt;pages&gt;81‐86&lt;/pages&gt;&lt;volume&gt;325&lt;/volume&gt;&lt;number&gt;2&lt;/number&gt;&lt;keywords&gt;&lt;keyword&gt;Agammaglobulinemia [complications]&lt;/keyword&gt;&lt;keyword&gt;Bacterial Infections [*prevention &amp;amp; control]&lt;/keyword&gt;&lt;keyword&gt;Cost‐Benefit Analysis&lt;/keyword&gt;&lt;keyword&gt;Humans&lt;/keyword&gt;&lt;keyword&gt;Immunization, Passive [*economics]&lt;/keyword&gt;&lt;keyword&gt;Immunoglobulins [*administration &amp;amp; dosage]&lt;/keyword&gt;&lt;keyword&gt;Infusions, Intravenous&lt;/keyword&gt;&lt;keyword&gt;Leukemia, Lymphocytic, Chronic, B‐Cell [*complications, economics]&lt;/keyword&gt;&lt;keyword&gt;Life Expectancy&lt;/keyword&gt;&lt;keyword&gt;Models, Theoretical&lt;/keyword&gt;&lt;keyword&gt;Quality of Life&lt;/keyword&gt;&lt;keyword&gt;United States&lt;/keyword&gt;&lt;keyword&gt;Cost-Benefit Analysis&lt;/keyword&gt;&lt;keyword&gt;Leukemia, Lymphoid&lt;/keyword&gt;&lt;keyword&gt;Immunoglobulins, Intravenous&lt;/keyword&gt;&lt;keyword&gt;Immunoglobulins&lt;/keyword&gt;&lt;/keywords&gt;&lt;dates&gt;&lt;year&gt;1991&lt;/year&gt;&lt;pub-dates&gt;&lt;date&gt;1991&lt;/date&gt;&lt;/pub-dates&gt;&lt;/dates&gt;&lt;accession-num&gt;CN-00076105&lt;/accession-num&gt;&lt;urls&gt;&lt;related-urls&gt;&lt;url&gt;&lt;style face="underline" font="default" size="100%"&gt;https://www.cochranelibrary.com/central/doi/10.1002/central/CN-00076105/full&lt;/style&gt;&lt;/url&gt;&lt;/related-urls&gt;&lt;/urls&gt;&lt;custom1&gt;RAYYAN-INCLUSION: {&amp;quot;Skye&amp;quot;=&amp;gt;&amp;quot;Included&amp;quot;}&lt;/custom1&gt;&lt;research-notes&gt;X - decision analytic study, no new clinical data&lt;/research-notes&gt;&lt;/record&gt;&lt;/Cite&gt;&lt;/EndNote&gt;</w:instrText>
      </w:r>
      <w:r>
        <w:fldChar w:fldCharType="separate"/>
      </w:r>
      <w:r>
        <w:rPr>
          <w:noProof/>
        </w:rPr>
        <w:t>(</w:t>
      </w:r>
      <w:hyperlink w:anchor="_ENREF_56" w:tooltip="Weeks, 1991 #35" w:history="1">
        <w:r w:rsidR="00BB0145">
          <w:rPr>
            <w:noProof/>
          </w:rPr>
          <w:t>1991</w:t>
        </w:r>
      </w:hyperlink>
      <w:r>
        <w:rPr>
          <w:noProof/>
        </w:rPr>
        <w:t>)</w:t>
      </w:r>
      <w:r>
        <w:fldChar w:fldCharType="end"/>
      </w:r>
      <w:r>
        <w:t xml:space="preserve"> reported resource utilisation by infection severity</w:t>
      </w:r>
      <w:r w:rsidR="008514C1">
        <w:t>.</w:t>
      </w:r>
      <w:r>
        <w:t xml:space="preserve"> </w:t>
      </w:r>
      <w:r w:rsidR="008514C1">
        <w:t>M</w:t>
      </w:r>
      <w:r>
        <w:t xml:space="preserve">ajor infections required hospitalisation and a </w:t>
      </w:r>
      <w:r w:rsidR="008514C1">
        <w:t>follow-up outpatient attendance.</w:t>
      </w:r>
      <w:r>
        <w:t xml:space="preserve"> </w:t>
      </w:r>
      <w:r w:rsidR="002172E4">
        <w:t>Thus the</w:t>
      </w:r>
      <w:r w:rsidR="00174F88">
        <w:t xml:space="preserve"> cost</w:t>
      </w:r>
      <w:r w:rsidR="002172E4">
        <w:t xml:space="preserve"> of treating a serious infection was estimated to be $12,</w:t>
      </w:r>
      <w:r w:rsidR="008514C1">
        <w:t>775</w:t>
      </w:r>
      <w:r w:rsidR="002172E4">
        <w:t>, based on the weighted average of treating a range of infection types of major complexity</w:t>
      </w:r>
      <w:r w:rsidR="00174F88">
        <w:t xml:space="preserve"> (see </w:t>
      </w:r>
      <w:r w:rsidR="00174F88">
        <w:fldChar w:fldCharType="begin"/>
      </w:r>
      <w:r w:rsidR="00174F88">
        <w:instrText xml:space="preserve"> REF _Ref16153473 \h </w:instrText>
      </w:r>
      <w:r w:rsidR="00174F88">
        <w:fldChar w:fldCharType="separate"/>
      </w:r>
      <w:r w:rsidR="00A7463B">
        <w:t xml:space="preserve">Table </w:t>
      </w:r>
      <w:r w:rsidR="00A7463B">
        <w:rPr>
          <w:noProof/>
        </w:rPr>
        <w:t>47</w:t>
      </w:r>
      <w:r w:rsidR="00174F88">
        <w:fldChar w:fldCharType="end"/>
      </w:r>
      <w:r w:rsidR="00174F88">
        <w:t>)</w:t>
      </w:r>
      <w:r w:rsidR="002172E4">
        <w:t xml:space="preserve">. </w:t>
      </w:r>
      <w:r w:rsidR="008514C1">
        <w:t>The total cost of treating a serious infection, including a follow-up outpatient attendance, was estimated to be $12,852 (</w:t>
      </w:r>
      <w:r w:rsidR="008514C1">
        <w:fldChar w:fldCharType="begin"/>
      </w:r>
      <w:r w:rsidR="008514C1">
        <w:instrText xml:space="preserve"> REF _Ref13668862 \h </w:instrText>
      </w:r>
      <w:r w:rsidR="008514C1">
        <w:fldChar w:fldCharType="separate"/>
      </w:r>
      <w:r w:rsidR="00A7463B">
        <w:t xml:space="preserve">Table </w:t>
      </w:r>
      <w:r w:rsidR="00A7463B">
        <w:rPr>
          <w:noProof/>
        </w:rPr>
        <w:t>48</w:t>
      </w:r>
      <w:r w:rsidR="008514C1">
        <w:fldChar w:fldCharType="end"/>
      </w:r>
      <w:r w:rsidR="008514C1">
        <w:t xml:space="preserve">). </w:t>
      </w:r>
      <w:r w:rsidR="00174F88">
        <w:t>Alternate costs will be tested in sensitivity analyses.</w:t>
      </w:r>
    </w:p>
    <w:p w14:paraId="4F10D1C3" w14:textId="7FBF9E91" w:rsidR="00607CF5" w:rsidRDefault="00607CF5" w:rsidP="00607CF5">
      <w:pPr>
        <w:pStyle w:val="Caption"/>
        <w:keepNext/>
      </w:pPr>
      <w:bookmarkStart w:id="507" w:name="_Ref16153473"/>
      <w:bookmarkStart w:id="508" w:name="_Toc16671645"/>
      <w:r>
        <w:t xml:space="preserve">Table </w:t>
      </w:r>
      <w:r>
        <w:rPr>
          <w:noProof/>
        </w:rPr>
        <w:fldChar w:fldCharType="begin"/>
      </w:r>
      <w:r>
        <w:rPr>
          <w:noProof/>
        </w:rPr>
        <w:instrText xml:space="preserve"> SEQ Table \* ARABIC </w:instrText>
      </w:r>
      <w:r>
        <w:rPr>
          <w:noProof/>
        </w:rPr>
        <w:fldChar w:fldCharType="separate"/>
      </w:r>
      <w:r w:rsidR="00A7463B">
        <w:rPr>
          <w:noProof/>
        </w:rPr>
        <w:t>47</w:t>
      </w:r>
      <w:r>
        <w:rPr>
          <w:noProof/>
        </w:rPr>
        <w:fldChar w:fldCharType="end"/>
      </w:r>
      <w:bookmarkEnd w:id="507"/>
      <w:r>
        <w:tab/>
        <w:t>Average cost to treat a serious infection</w:t>
      </w:r>
      <w:bookmarkEnd w:id="508"/>
    </w:p>
    <w:tbl>
      <w:tblPr>
        <w:tblW w:w="5000" w:type="pct"/>
        <w:tblLook w:val="04A0" w:firstRow="1" w:lastRow="0" w:firstColumn="1" w:lastColumn="0" w:noHBand="0" w:noVBand="1"/>
      </w:tblPr>
      <w:tblGrid>
        <w:gridCol w:w="977"/>
        <w:gridCol w:w="4662"/>
        <w:gridCol w:w="1200"/>
        <w:gridCol w:w="1203"/>
        <w:gridCol w:w="1200"/>
      </w:tblGrid>
      <w:tr w:rsidR="00607CF5" w:rsidRPr="002172E4" w14:paraId="64FFFD0E" w14:textId="77777777" w:rsidTr="00233921">
        <w:trPr>
          <w:cantSplit/>
          <w:tblHeader/>
        </w:trPr>
        <w:tc>
          <w:tcPr>
            <w:tcW w:w="529" w:type="pct"/>
            <w:vMerge w:val="restart"/>
            <w:tcBorders>
              <w:top w:val="single" w:sz="4" w:space="0" w:color="auto"/>
              <w:left w:val="single" w:sz="4" w:space="0" w:color="auto"/>
              <w:right w:val="nil"/>
            </w:tcBorders>
            <w:shd w:val="clear" w:color="000000" w:fill="FFFFFF"/>
            <w:noWrap/>
            <w:vAlign w:val="bottom"/>
            <w:hideMark/>
          </w:tcPr>
          <w:p w14:paraId="534BF736" w14:textId="77777777" w:rsidR="00607CF5" w:rsidRPr="002172E4" w:rsidRDefault="00607CF5" w:rsidP="002661F4">
            <w:pPr>
              <w:pStyle w:val="TableHeading"/>
            </w:pPr>
            <w:r w:rsidRPr="002172E4">
              <w:t>DRG </w:t>
            </w:r>
          </w:p>
        </w:tc>
        <w:tc>
          <w:tcPr>
            <w:tcW w:w="2522" w:type="pct"/>
            <w:vMerge w:val="restart"/>
            <w:tcBorders>
              <w:top w:val="single" w:sz="4" w:space="0" w:color="auto"/>
              <w:left w:val="nil"/>
              <w:right w:val="single" w:sz="4" w:space="0" w:color="auto"/>
            </w:tcBorders>
            <w:shd w:val="clear" w:color="000000" w:fill="FFFFFF"/>
            <w:noWrap/>
            <w:vAlign w:val="bottom"/>
            <w:hideMark/>
          </w:tcPr>
          <w:p w14:paraId="2457B680" w14:textId="77777777" w:rsidR="00607CF5" w:rsidRPr="002172E4" w:rsidRDefault="00607CF5" w:rsidP="002661F4">
            <w:pPr>
              <w:pStyle w:val="TableHeading"/>
            </w:pPr>
            <w:r w:rsidRPr="002172E4">
              <w:t>DRG Description </w:t>
            </w:r>
          </w:p>
        </w:tc>
        <w:tc>
          <w:tcPr>
            <w:tcW w:w="1300" w:type="pct"/>
            <w:gridSpan w:val="2"/>
            <w:tcBorders>
              <w:top w:val="single" w:sz="4" w:space="0" w:color="auto"/>
              <w:left w:val="nil"/>
              <w:bottom w:val="single" w:sz="4" w:space="0" w:color="auto"/>
              <w:right w:val="single" w:sz="4" w:space="0" w:color="000000"/>
            </w:tcBorders>
            <w:shd w:val="clear" w:color="000000" w:fill="FFFFFF"/>
            <w:noWrap/>
            <w:vAlign w:val="bottom"/>
            <w:hideMark/>
          </w:tcPr>
          <w:p w14:paraId="540104D8" w14:textId="77777777" w:rsidR="00607CF5" w:rsidRPr="002172E4" w:rsidRDefault="00607CF5" w:rsidP="002661F4">
            <w:pPr>
              <w:pStyle w:val="TableHeading"/>
              <w:jc w:val="center"/>
            </w:pPr>
            <w:r>
              <w:t>Separations</w:t>
            </w:r>
          </w:p>
        </w:tc>
        <w:tc>
          <w:tcPr>
            <w:tcW w:w="649" w:type="pct"/>
            <w:vMerge w:val="restart"/>
            <w:tcBorders>
              <w:top w:val="single" w:sz="4" w:space="0" w:color="auto"/>
              <w:left w:val="nil"/>
              <w:right w:val="single" w:sz="4" w:space="0" w:color="auto"/>
            </w:tcBorders>
            <w:shd w:val="clear" w:color="000000" w:fill="FFFFFF"/>
            <w:noWrap/>
            <w:vAlign w:val="bottom"/>
            <w:hideMark/>
          </w:tcPr>
          <w:p w14:paraId="4623C316" w14:textId="77777777" w:rsidR="00607CF5" w:rsidRPr="002172E4" w:rsidRDefault="00607CF5" w:rsidP="002661F4">
            <w:pPr>
              <w:pStyle w:val="TableHeading"/>
              <w:jc w:val="center"/>
            </w:pPr>
            <w:r w:rsidRPr="002172E4">
              <w:t>Total</w:t>
            </w:r>
            <w:r>
              <w:t xml:space="preserve"> cost</w:t>
            </w:r>
          </w:p>
        </w:tc>
      </w:tr>
      <w:tr w:rsidR="00607CF5" w:rsidRPr="002172E4" w14:paraId="0E270983" w14:textId="77777777" w:rsidTr="00233921">
        <w:trPr>
          <w:cantSplit/>
          <w:tblHeader/>
        </w:trPr>
        <w:tc>
          <w:tcPr>
            <w:tcW w:w="529" w:type="pct"/>
            <w:vMerge/>
            <w:tcBorders>
              <w:left w:val="single" w:sz="4" w:space="0" w:color="auto"/>
              <w:bottom w:val="single" w:sz="4" w:space="0" w:color="auto"/>
              <w:right w:val="nil"/>
            </w:tcBorders>
            <w:shd w:val="clear" w:color="000000" w:fill="FFFFFF"/>
            <w:noWrap/>
            <w:vAlign w:val="bottom"/>
            <w:hideMark/>
          </w:tcPr>
          <w:p w14:paraId="4B9BE8AA" w14:textId="77777777" w:rsidR="00607CF5" w:rsidRPr="002172E4" w:rsidRDefault="00607CF5" w:rsidP="002661F4">
            <w:pPr>
              <w:pStyle w:val="TableHeading"/>
            </w:pPr>
          </w:p>
        </w:tc>
        <w:tc>
          <w:tcPr>
            <w:tcW w:w="2522" w:type="pct"/>
            <w:vMerge/>
            <w:tcBorders>
              <w:left w:val="nil"/>
              <w:bottom w:val="single" w:sz="4" w:space="0" w:color="auto"/>
              <w:right w:val="single" w:sz="4" w:space="0" w:color="auto"/>
            </w:tcBorders>
            <w:shd w:val="clear" w:color="000000" w:fill="FFFFFF"/>
            <w:noWrap/>
            <w:vAlign w:val="bottom"/>
            <w:hideMark/>
          </w:tcPr>
          <w:p w14:paraId="37398EC9" w14:textId="77777777" w:rsidR="00607CF5" w:rsidRPr="002172E4" w:rsidRDefault="00607CF5" w:rsidP="002661F4">
            <w:pPr>
              <w:pStyle w:val="TableHeading"/>
            </w:pPr>
          </w:p>
        </w:tc>
        <w:tc>
          <w:tcPr>
            <w:tcW w:w="649" w:type="pct"/>
            <w:tcBorders>
              <w:top w:val="single" w:sz="4" w:space="0" w:color="auto"/>
              <w:left w:val="nil"/>
              <w:bottom w:val="single" w:sz="4" w:space="0" w:color="auto"/>
              <w:right w:val="single" w:sz="4" w:space="0" w:color="auto"/>
            </w:tcBorders>
            <w:shd w:val="clear" w:color="000000" w:fill="FFFFFF"/>
            <w:noWrap/>
            <w:vAlign w:val="bottom"/>
            <w:hideMark/>
          </w:tcPr>
          <w:p w14:paraId="3627845F" w14:textId="77777777" w:rsidR="00607CF5" w:rsidRPr="002172E4" w:rsidRDefault="00607CF5" w:rsidP="002661F4">
            <w:pPr>
              <w:pStyle w:val="TableHeading"/>
              <w:jc w:val="center"/>
            </w:pPr>
            <w:r w:rsidRPr="002172E4">
              <w:t>No.</w:t>
            </w:r>
          </w:p>
        </w:tc>
        <w:tc>
          <w:tcPr>
            <w:tcW w:w="651" w:type="pct"/>
            <w:tcBorders>
              <w:top w:val="single" w:sz="4" w:space="0" w:color="auto"/>
              <w:left w:val="nil"/>
              <w:bottom w:val="single" w:sz="4" w:space="0" w:color="auto"/>
              <w:right w:val="single" w:sz="4" w:space="0" w:color="auto"/>
            </w:tcBorders>
            <w:shd w:val="clear" w:color="000000" w:fill="FFFFFF"/>
            <w:noWrap/>
            <w:vAlign w:val="bottom"/>
            <w:hideMark/>
          </w:tcPr>
          <w:p w14:paraId="250DF1B4" w14:textId="77777777" w:rsidR="00607CF5" w:rsidRPr="002172E4" w:rsidRDefault="00607CF5" w:rsidP="002661F4">
            <w:pPr>
              <w:pStyle w:val="TableHeading"/>
              <w:jc w:val="center"/>
            </w:pPr>
            <w:r w:rsidRPr="002172E4">
              <w:t>weight</w:t>
            </w:r>
          </w:p>
        </w:tc>
        <w:tc>
          <w:tcPr>
            <w:tcW w:w="649" w:type="pct"/>
            <w:vMerge/>
            <w:tcBorders>
              <w:left w:val="nil"/>
              <w:bottom w:val="single" w:sz="4" w:space="0" w:color="auto"/>
              <w:right w:val="single" w:sz="4" w:space="0" w:color="auto"/>
            </w:tcBorders>
            <w:shd w:val="clear" w:color="000000" w:fill="FFFFFF"/>
            <w:noWrap/>
            <w:vAlign w:val="bottom"/>
            <w:hideMark/>
          </w:tcPr>
          <w:p w14:paraId="22FE3AEB" w14:textId="77777777" w:rsidR="00607CF5" w:rsidRPr="002172E4" w:rsidRDefault="00607CF5" w:rsidP="002661F4">
            <w:pPr>
              <w:pStyle w:val="TableHeading"/>
            </w:pPr>
          </w:p>
        </w:tc>
      </w:tr>
      <w:tr w:rsidR="00607CF5" w:rsidRPr="002172E4" w14:paraId="4481E38A" w14:textId="77777777" w:rsidTr="00233921">
        <w:tc>
          <w:tcPr>
            <w:tcW w:w="529" w:type="pct"/>
            <w:tcBorders>
              <w:top w:val="nil"/>
              <w:left w:val="single" w:sz="4" w:space="0" w:color="auto"/>
              <w:bottom w:val="nil"/>
              <w:right w:val="single" w:sz="4" w:space="0" w:color="auto"/>
            </w:tcBorders>
            <w:shd w:val="clear" w:color="auto" w:fill="auto"/>
            <w:noWrap/>
            <w:vAlign w:val="bottom"/>
            <w:hideMark/>
          </w:tcPr>
          <w:p w14:paraId="0AA4ACA7" w14:textId="77777777" w:rsidR="00607CF5" w:rsidRPr="002172E4" w:rsidRDefault="00607CF5" w:rsidP="002661F4">
            <w:pPr>
              <w:pStyle w:val="Tabletext1"/>
              <w:keepNext/>
            </w:pPr>
            <w:r w:rsidRPr="002172E4">
              <w:t>T60A</w:t>
            </w:r>
          </w:p>
        </w:tc>
        <w:tc>
          <w:tcPr>
            <w:tcW w:w="2522" w:type="pct"/>
            <w:tcBorders>
              <w:top w:val="nil"/>
              <w:left w:val="nil"/>
              <w:bottom w:val="nil"/>
              <w:right w:val="single" w:sz="4" w:space="0" w:color="auto"/>
            </w:tcBorders>
            <w:shd w:val="clear" w:color="auto" w:fill="auto"/>
            <w:noWrap/>
            <w:vAlign w:val="bottom"/>
            <w:hideMark/>
          </w:tcPr>
          <w:p w14:paraId="6A802FC6" w14:textId="77777777" w:rsidR="00607CF5" w:rsidRPr="002172E4" w:rsidRDefault="00607CF5" w:rsidP="002661F4">
            <w:pPr>
              <w:pStyle w:val="Tabletext1"/>
            </w:pPr>
            <w:r w:rsidRPr="002172E4">
              <w:t>Septicaemia, Major Complexity</w:t>
            </w:r>
          </w:p>
        </w:tc>
        <w:tc>
          <w:tcPr>
            <w:tcW w:w="649" w:type="pct"/>
            <w:tcBorders>
              <w:top w:val="nil"/>
              <w:left w:val="nil"/>
              <w:bottom w:val="nil"/>
              <w:right w:val="single" w:sz="4" w:space="0" w:color="auto"/>
            </w:tcBorders>
            <w:shd w:val="clear" w:color="auto" w:fill="auto"/>
            <w:noWrap/>
            <w:vAlign w:val="bottom"/>
            <w:hideMark/>
          </w:tcPr>
          <w:p w14:paraId="52B5A61B" w14:textId="77777777" w:rsidR="00607CF5" w:rsidRPr="002172E4" w:rsidRDefault="00607CF5" w:rsidP="002661F4">
            <w:pPr>
              <w:pStyle w:val="Tabletext1"/>
              <w:jc w:val="right"/>
            </w:pPr>
            <w:r w:rsidRPr="002172E4">
              <w:t>8,218</w:t>
            </w:r>
          </w:p>
        </w:tc>
        <w:tc>
          <w:tcPr>
            <w:tcW w:w="651" w:type="pct"/>
            <w:tcBorders>
              <w:top w:val="nil"/>
              <w:left w:val="nil"/>
              <w:bottom w:val="nil"/>
              <w:right w:val="single" w:sz="4" w:space="0" w:color="auto"/>
            </w:tcBorders>
            <w:shd w:val="clear" w:color="auto" w:fill="auto"/>
            <w:noWrap/>
            <w:vAlign w:val="bottom"/>
            <w:hideMark/>
          </w:tcPr>
          <w:p w14:paraId="1DB23838" w14:textId="77777777" w:rsidR="00607CF5" w:rsidRPr="002172E4" w:rsidRDefault="00607CF5" w:rsidP="002661F4">
            <w:pPr>
              <w:pStyle w:val="Tabletext1"/>
              <w:jc w:val="right"/>
            </w:pPr>
            <w:r w:rsidRPr="002172E4">
              <w:t>13.8%</w:t>
            </w:r>
          </w:p>
        </w:tc>
        <w:tc>
          <w:tcPr>
            <w:tcW w:w="649" w:type="pct"/>
            <w:tcBorders>
              <w:top w:val="nil"/>
              <w:left w:val="nil"/>
              <w:bottom w:val="nil"/>
              <w:right w:val="single" w:sz="4" w:space="0" w:color="auto"/>
            </w:tcBorders>
            <w:shd w:val="clear" w:color="auto" w:fill="auto"/>
            <w:noWrap/>
            <w:vAlign w:val="bottom"/>
            <w:hideMark/>
          </w:tcPr>
          <w:p w14:paraId="59239116" w14:textId="77777777" w:rsidR="00607CF5" w:rsidRPr="002172E4" w:rsidRDefault="00607CF5" w:rsidP="002661F4">
            <w:pPr>
              <w:pStyle w:val="Tabletext1"/>
              <w:jc w:val="right"/>
            </w:pPr>
            <w:r w:rsidRPr="002172E4">
              <w:t>$25,381</w:t>
            </w:r>
          </w:p>
        </w:tc>
      </w:tr>
      <w:tr w:rsidR="00607CF5" w:rsidRPr="002172E4" w14:paraId="41D07B62" w14:textId="77777777" w:rsidTr="00233921">
        <w:tc>
          <w:tcPr>
            <w:tcW w:w="529" w:type="pct"/>
            <w:tcBorders>
              <w:top w:val="nil"/>
              <w:left w:val="single" w:sz="4" w:space="0" w:color="auto"/>
              <w:bottom w:val="nil"/>
              <w:right w:val="single" w:sz="4" w:space="0" w:color="auto"/>
            </w:tcBorders>
            <w:shd w:val="clear" w:color="auto" w:fill="auto"/>
            <w:noWrap/>
            <w:vAlign w:val="bottom"/>
            <w:hideMark/>
          </w:tcPr>
          <w:p w14:paraId="46030A36" w14:textId="77777777" w:rsidR="00607CF5" w:rsidRPr="002172E4" w:rsidRDefault="00607CF5" w:rsidP="002661F4">
            <w:pPr>
              <w:pStyle w:val="Tabletext1"/>
              <w:keepNext/>
            </w:pPr>
            <w:r w:rsidRPr="002172E4">
              <w:t>R01A</w:t>
            </w:r>
          </w:p>
        </w:tc>
        <w:tc>
          <w:tcPr>
            <w:tcW w:w="2522" w:type="pct"/>
            <w:tcBorders>
              <w:top w:val="nil"/>
              <w:left w:val="nil"/>
              <w:bottom w:val="nil"/>
              <w:right w:val="single" w:sz="4" w:space="0" w:color="auto"/>
            </w:tcBorders>
            <w:shd w:val="clear" w:color="auto" w:fill="auto"/>
            <w:noWrap/>
            <w:vAlign w:val="bottom"/>
            <w:hideMark/>
          </w:tcPr>
          <w:p w14:paraId="7DAB94BA" w14:textId="77777777" w:rsidR="00607CF5" w:rsidRPr="002172E4" w:rsidRDefault="00607CF5" w:rsidP="002661F4">
            <w:pPr>
              <w:pStyle w:val="Tabletext1"/>
            </w:pPr>
            <w:r w:rsidRPr="002172E4">
              <w:t>Lymphoma and Leukaemia W Major GIs, Major Complexity</w:t>
            </w:r>
          </w:p>
        </w:tc>
        <w:tc>
          <w:tcPr>
            <w:tcW w:w="649" w:type="pct"/>
            <w:tcBorders>
              <w:top w:val="nil"/>
              <w:left w:val="nil"/>
              <w:bottom w:val="nil"/>
              <w:right w:val="single" w:sz="4" w:space="0" w:color="auto"/>
            </w:tcBorders>
            <w:shd w:val="clear" w:color="auto" w:fill="auto"/>
            <w:noWrap/>
            <w:vAlign w:val="bottom"/>
            <w:hideMark/>
          </w:tcPr>
          <w:p w14:paraId="3A759EFA" w14:textId="77777777" w:rsidR="00607CF5" w:rsidRPr="002172E4" w:rsidRDefault="00607CF5" w:rsidP="002661F4">
            <w:pPr>
              <w:pStyle w:val="Tabletext1"/>
              <w:jc w:val="right"/>
            </w:pPr>
            <w:r w:rsidRPr="002172E4">
              <w:t>455</w:t>
            </w:r>
          </w:p>
        </w:tc>
        <w:tc>
          <w:tcPr>
            <w:tcW w:w="651" w:type="pct"/>
            <w:tcBorders>
              <w:top w:val="nil"/>
              <w:left w:val="nil"/>
              <w:bottom w:val="nil"/>
              <w:right w:val="single" w:sz="4" w:space="0" w:color="auto"/>
            </w:tcBorders>
            <w:shd w:val="clear" w:color="auto" w:fill="auto"/>
            <w:noWrap/>
            <w:vAlign w:val="bottom"/>
            <w:hideMark/>
          </w:tcPr>
          <w:p w14:paraId="4D60BCF4" w14:textId="77777777" w:rsidR="00607CF5" w:rsidRPr="002172E4" w:rsidRDefault="00607CF5" w:rsidP="002661F4">
            <w:pPr>
              <w:pStyle w:val="Tabletext1"/>
              <w:jc w:val="right"/>
            </w:pPr>
            <w:r w:rsidRPr="002172E4">
              <w:t>0.8%</w:t>
            </w:r>
          </w:p>
        </w:tc>
        <w:tc>
          <w:tcPr>
            <w:tcW w:w="649" w:type="pct"/>
            <w:tcBorders>
              <w:top w:val="nil"/>
              <w:left w:val="nil"/>
              <w:bottom w:val="nil"/>
              <w:right w:val="single" w:sz="4" w:space="0" w:color="auto"/>
            </w:tcBorders>
            <w:shd w:val="clear" w:color="auto" w:fill="auto"/>
            <w:noWrap/>
            <w:vAlign w:val="bottom"/>
            <w:hideMark/>
          </w:tcPr>
          <w:p w14:paraId="133DB835" w14:textId="77777777" w:rsidR="00607CF5" w:rsidRPr="002172E4" w:rsidRDefault="00607CF5" w:rsidP="002661F4">
            <w:pPr>
              <w:pStyle w:val="Tabletext1"/>
              <w:jc w:val="right"/>
            </w:pPr>
            <w:r w:rsidRPr="002172E4">
              <w:t>$52,961</w:t>
            </w:r>
          </w:p>
        </w:tc>
      </w:tr>
      <w:tr w:rsidR="00607CF5" w:rsidRPr="002172E4" w14:paraId="2B84F3EE" w14:textId="77777777" w:rsidTr="00233921">
        <w:tc>
          <w:tcPr>
            <w:tcW w:w="529" w:type="pct"/>
            <w:tcBorders>
              <w:top w:val="nil"/>
              <w:left w:val="single" w:sz="4" w:space="0" w:color="auto"/>
              <w:bottom w:val="nil"/>
              <w:right w:val="single" w:sz="4" w:space="0" w:color="auto"/>
            </w:tcBorders>
            <w:shd w:val="clear" w:color="auto" w:fill="auto"/>
            <w:noWrap/>
            <w:vAlign w:val="bottom"/>
            <w:hideMark/>
          </w:tcPr>
          <w:p w14:paraId="761A25EE" w14:textId="77777777" w:rsidR="00607CF5" w:rsidRPr="002172E4" w:rsidRDefault="00607CF5" w:rsidP="002661F4">
            <w:pPr>
              <w:pStyle w:val="Tabletext1"/>
              <w:keepNext/>
            </w:pPr>
            <w:r w:rsidRPr="002172E4">
              <w:t>I64A</w:t>
            </w:r>
          </w:p>
        </w:tc>
        <w:tc>
          <w:tcPr>
            <w:tcW w:w="2522" w:type="pct"/>
            <w:tcBorders>
              <w:top w:val="nil"/>
              <w:left w:val="nil"/>
              <w:bottom w:val="nil"/>
              <w:right w:val="single" w:sz="4" w:space="0" w:color="auto"/>
            </w:tcBorders>
            <w:shd w:val="clear" w:color="auto" w:fill="auto"/>
            <w:noWrap/>
            <w:vAlign w:val="bottom"/>
            <w:hideMark/>
          </w:tcPr>
          <w:p w14:paraId="642E18AA" w14:textId="77777777" w:rsidR="00607CF5" w:rsidRPr="002172E4" w:rsidRDefault="00607CF5" w:rsidP="002661F4">
            <w:pPr>
              <w:pStyle w:val="Tabletext1"/>
            </w:pPr>
            <w:r w:rsidRPr="002172E4">
              <w:t>Osteomyelitis, Major Complexity</w:t>
            </w:r>
          </w:p>
        </w:tc>
        <w:tc>
          <w:tcPr>
            <w:tcW w:w="649" w:type="pct"/>
            <w:tcBorders>
              <w:top w:val="nil"/>
              <w:left w:val="nil"/>
              <w:bottom w:val="nil"/>
              <w:right w:val="single" w:sz="4" w:space="0" w:color="auto"/>
            </w:tcBorders>
            <w:shd w:val="clear" w:color="auto" w:fill="auto"/>
            <w:noWrap/>
            <w:vAlign w:val="bottom"/>
            <w:hideMark/>
          </w:tcPr>
          <w:p w14:paraId="57751FAD" w14:textId="77777777" w:rsidR="00607CF5" w:rsidRPr="002172E4" w:rsidRDefault="00607CF5" w:rsidP="002661F4">
            <w:pPr>
              <w:pStyle w:val="Tabletext1"/>
              <w:jc w:val="right"/>
            </w:pPr>
            <w:r w:rsidRPr="002172E4">
              <w:t>2,126</w:t>
            </w:r>
          </w:p>
        </w:tc>
        <w:tc>
          <w:tcPr>
            <w:tcW w:w="651" w:type="pct"/>
            <w:tcBorders>
              <w:top w:val="nil"/>
              <w:left w:val="nil"/>
              <w:bottom w:val="nil"/>
              <w:right w:val="single" w:sz="4" w:space="0" w:color="auto"/>
            </w:tcBorders>
            <w:shd w:val="clear" w:color="auto" w:fill="auto"/>
            <w:noWrap/>
            <w:vAlign w:val="bottom"/>
            <w:hideMark/>
          </w:tcPr>
          <w:p w14:paraId="434D1B98" w14:textId="77777777" w:rsidR="00607CF5" w:rsidRPr="002172E4" w:rsidRDefault="00607CF5" w:rsidP="002661F4">
            <w:pPr>
              <w:pStyle w:val="Tabletext1"/>
              <w:jc w:val="right"/>
            </w:pPr>
            <w:r w:rsidRPr="002172E4">
              <w:t>3.6%</w:t>
            </w:r>
          </w:p>
        </w:tc>
        <w:tc>
          <w:tcPr>
            <w:tcW w:w="649" w:type="pct"/>
            <w:tcBorders>
              <w:top w:val="nil"/>
              <w:left w:val="nil"/>
              <w:bottom w:val="nil"/>
              <w:right w:val="single" w:sz="4" w:space="0" w:color="auto"/>
            </w:tcBorders>
            <w:shd w:val="clear" w:color="auto" w:fill="auto"/>
            <w:noWrap/>
            <w:vAlign w:val="bottom"/>
            <w:hideMark/>
          </w:tcPr>
          <w:p w14:paraId="002877B4" w14:textId="77777777" w:rsidR="00607CF5" w:rsidRPr="002172E4" w:rsidRDefault="00607CF5" w:rsidP="002661F4">
            <w:pPr>
              <w:pStyle w:val="Tabletext1"/>
              <w:jc w:val="right"/>
            </w:pPr>
            <w:r w:rsidRPr="002172E4">
              <w:t>$18,269</w:t>
            </w:r>
          </w:p>
        </w:tc>
      </w:tr>
      <w:tr w:rsidR="00607CF5" w:rsidRPr="002172E4" w14:paraId="27366CA4" w14:textId="77777777" w:rsidTr="00233921">
        <w:tc>
          <w:tcPr>
            <w:tcW w:w="529" w:type="pct"/>
            <w:tcBorders>
              <w:top w:val="nil"/>
              <w:left w:val="single" w:sz="4" w:space="0" w:color="auto"/>
              <w:bottom w:val="nil"/>
              <w:right w:val="single" w:sz="4" w:space="0" w:color="auto"/>
            </w:tcBorders>
            <w:shd w:val="clear" w:color="auto" w:fill="auto"/>
            <w:noWrap/>
            <w:vAlign w:val="bottom"/>
            <w:hideMark/>
          </w:tcPr>
          <w:p w14:paraId="268ECC81" w14:textId="77777777" w:rsidR="00607CF5" w:rsidRPr="002172E4" w:rsidRDefault="00607CF5" w:rsidP="002661F4">
            <w:pPr>
              <w:pStyle w:val="Tabletext1"/>
              <w:keepNext/>
            </w:pPr>
            <w:r w:rsidRPr="002172E4">
              <w:t>I67A</w:t>
            </w:r>
          </w:p>
        </w:tc>
        <w:tc>
          <w:tcPr>
            <w:tcW w:w="2522" w:type="pct"/>
            <w:tcBorders>
              <w:top w:val="nil"/>
              <w:left w:val="nil"/>
              <w:bottom w:val="nil"/>
              <w:right w:val="single" w:sz="4" w:space="0" w:color="auto"/>
            </w:tcBorders>
            <w:shd w:val="clear" w:color="auto" w:fill="auto"/>
            <w:noWrap/>
            <w:vAlign w:val="bottom"/>
            <w:hideMark/>
          </w:tcPr>
          <w:p w14:paraId="4F4826F6" w14:textId="77777777" w:rsidR="00607CF5" w:rsidRPr="002172E4" w:rsidRDefault="00607CF5" w:rsidP="002661F4">
            <w:pPr>
              <w:pStyle w:val="Tabletext1"/>
            </w:pPr>
            <w:r w:rsidRPr="002172E4">
              <w:t>Septic Arthritis, Major Complexity</w:t>
            </w:r>
          </w:p>
        </w:tc>
        <w:tc>
          <w:tcPr>
            <w:tcW w:w="649" w:type="pct"/>
            <w:tcBorders>
              <w:top w:val="nil"/>
              <w:left w:val="nil"/>
              <w:bottom w:val="nil"/>
              <w:right w:val="single" w:sz="4" w:space="0" w:color="auto"/>
            </w:tcBorders>
            <w:shd w:val="clear" w:color="auto" w:fill="auto"/>
            <w:noWrap/>
            <w:vAlign w:val="bottom"/>
            <w:hideMark/>
          </w:tcPr>
          <w:p w14:paraId="1E0B8AC1" w14:textId="77777777" w:rsidR="00607CF5" w:rsidRPr="002172E4" w:rsidRDefault="00607CF5" w:rsidP="002661F4">
            <w:pPr>
              <w:pStyle w:val="Tabletext1"/>
              <w:jc w:val="right"/>
            </w:pPr>
            <w:r w:rsidRPr="002172E4">
              <w:t>709</w:t>
            </w:r>
          </w:p>
        </w:tc>
        <w:tc>
          <w:tcPr>
            <w:tcW w:w="651" w:type="pct"/>
            <w:tcBorders>
              <w:top w:val="nil"/>
              <w:left w:val="nil"/>
              <w:bottom w:val="nil"/>
              <w:right w:val="single" w:sz="4" w:space="0" w:color="auto"/>
            </w:tcBorders>
            <w:shd w:val="clear" w:color="auto" w:fill="auto"/>
            <w:noWrap/>
            <w:vAlign w:val="bottom"/>
            <w:hideMark/>
          </w:tcPr>
          <w:p w14:paraId="3BD6CA5B" w14:textId="77777777" w:rsidR="00607CF5" w:rsidRPr="002172E4" w:rsidRDefault="00607CF5" w:rsidP="002661F4">
            <w:pPr>
              <w:pStyle w:val="Tabletext1"/>
              <w:jc w:val="right"/>
            </w:pPr>
            <w:r w:rsidRPr="002172E4">
              <w:t>1.2%</w:t>
            </w:r>
          </w:p>
        </w:tc>
        <w:tc>
          <w:tcPr>
            <w:tcW w:w="649" w:type="pct"/>
            <w:tcBorders>
              <w:top w:val="nil"/>
              <w:left w:val="nil"/>
              <w:bottom w:val="nil"/>
              <w:right w:val="single" w:sz="4" w:space="0" w:color="auto"/>
            </w:tcBorders>
            <w:shd w:val="clear" w:color="auto" w:fill="auto"/>
            <w:noWrap/>
            <w:vAlign w:val="bottom"/>
            <w:hideMark/>
          </w:tcPr>
          <w:p w14:paraId="3A1DE066" w14:textId="77777777" w:rsidR="00607CF5" w:rsidRPr="002172E4" w:rsidRDefault="00607CF5" w:rsidP="002661F4">
            <w:pPr>
              <w:pStyle w:val="Tabletext1"/>
              <w:jc w:val="right"/>
            </w:pPr>
            <w:r w:rsidRPr="002172E4">
              <w:t>$15,261</w:t>
            </w:r>
          </w:p>
        </w:tc>
      </w:tr>
      <w:tr w:rsidR="00607CF5" w:rsidRPr="002172E4" w14:paraId="7C6BB279" w14:textId="77777777" w:rsidTr="00233921">
        <w:tc>
          <w:tcPr>
            <w:tcW w:w="529" w:type="pct"/>
            <w:tcBorders>
              <w:top w:val="nil"/>
              <w:left w:val="single" w:sz="4" w:space="0" w:color="auto"/>
              <w:bottom w:val="single" w:sz="4" w:space="0" w:color="auto"/>
              <w:right w:val="single" w:sz="4" w:space="0" w:color="auto"/>
            </w:tcBorders>
            <w:shd w:val="clear" w:color="auto" w:fill="auto"/>
            <w:noWrap/>
            <w:vAlign w:val="bottom"/>
            <w:hideMark/>
          </w:tcPr>
          <w:p w14:paraId="6DF2A345" w14:textId="77777777" w:rsidR="00607CF5" w:rsidRPr="002172E4" w:rsidRDefault="00607CF5" w:rsidP="002661F4">
            <w:pPr>
              <w:pStyle w:val="Tabletext1"/>
              <w:keepNext/>
            </w:pPr>
            <w:r w:rsidRPr="002172E4">
              <w:t>E62A</w:t>
            </w:r>
          </w:p>
        </w:tc>
        <w:tc>
          <w:tcPr>
            <w:tcW w:w="2522" w:type="pct"/>
            <w:tcBorders>
              <w:top w:val="nil"/>
              <w:left w:val="nil"/>
              <w:bottom w:val="single" w:sz="4" w:space="0" w:color="auto"/>
              <w:right w:val="single" w:sz="4" w:space="0" w:color="auto"/>
            </w:tcBorders>
            <w:shd w:val="clear" w:color="auto" w:fill="auto"/>
            <w:noWrap/>
            <w:vAlign w:val="bottom"/>
            <w:hideMark/>
          </w:tcPr>
          <w:p w14:paraId="106E8A27" w14:textId="77777777" w:rsidR="00607CF5" w:rsidRPr="002172E4" w:rsidRDefault="00607CF5" w:rsidP="002661F4">
            <w:pPr>
              <w:pStyle w:val="Tabletext1"/>
            </w:pPr>
            <w:r w:rsidRPr="002172E4">
              <w:t>Respiratory Infections and Inflammations, Major Complexity</w:t>
            </w:r>
          </w:p>
        </w:tc>
        <w:tc>
          <w:tcPr>
            <w:tcW w:w="649" w:type="pct"/>
            <w:tcBorders>
              <w:top w:val="nil"/>
              <w:left w:val="nil"/>
              <w:bottom w:val="single" w:sz="4" w:space="0" w:color="auto"/>
              <w:right w:val="single" w:sz="4" w:space="0" w:color="auto"/>
            </w:tcBorders>
            <w:shd w:val="clear" w:color="auto" w:fill="auto"/>
            <w:noWrap/>
            <w:vAlign w:val="bottom"/>
            <w:hideMark/>
          </w:tcPr>
          <w:p w14:paraId="7BB6A5D9" w14:textId="77777777" w:rsidR="00607CF5" w:rsidRPr="002172E4" w:rsidRDefault="00607CF5" w:rsidP="002661F4">
            <w:pPr>
              <w:pStyle w:val="Tabletext1"/>
              <w:jc w:val="right"/>
            </w:pPr>
            <w:r w:rsidRPr="002172E4">
              <w:t>48,076</w:t>
            </w:r>
          </w:p>
        </w:tc>
        <w:tc>
          <w:tcPr>
            <w:tcW w:w="651" w:type="pct"/>
            <w:tcBorders>
              <w:top w:val="nil"/>
              <w:left w:val="nil"/>
              <w:bottom w:val="single" w:sz="4" w:space="0" w:color="auto"/>
              <w:right w:val="single" w:sz="4" w:space="0" w:color="auto"/>
            </w:tcBorders>
            <w:shd w:val="clear" w:color="auto" w:fill="auto"/>
            <w:noWrap/>
            <w:vAlign w:val="bottom"/>
            <w:hideMark/>
          </w:tcPr>
          <w:p w14:paraId="29057211" w14:textId="77777777" w:rsidR="00607CF5" w:rsidRPr="002172E4" w:rsidRDefault="00607CF5" w:rsidP="002661F4">
            <w:pPr>
              <w:pStyle w:val="Tabletext1"/>
              <w:jc w:val="right"/>
            </w:pPr>
            <w:r w:rsidRPr="002172E4">
              <w:t>80.7%</w:t>
            </w:r>
          </w:p>
        </w:tc>
        <w:tc>
          <w:tcPr>
            <w:tcW w:w="649" w:type="pct"/>
            <w:tcBorders>
              <w:top w:val="nil"/>
              <w:left w:val="nil"/>
              <w:bottom w:val="single" w:sz="4" w:space="0" w:color="auto"/>
              <w:right w:val="single" w:sz="4" w:space="0" w:color="auto"/>
            </w:tcBorders>
            <w:shd w:val="clear" w:color="auto" w:fill="auto"/>
            <w:noWrap/>
            <w:vAlign w:val="bottom"/>
            <w:hideMark/>
          </w:tcPr>
          <w:p w14:paraId="50F5AFF2" w14:textId="77777777" w:rsidR="00607CF5" w:rsidRPr="002172E4" w:rsidRDefault="00607CF5" w:rsidP="002661F4">
            <w:pPr>
              <w:pStyle w:val="Tabletext1"/>
              <w:jc w:val="right"/>
            </w:pPr>
            <w:r w:rsidRPr="002172E4">
              <w:t>$9,961</w:t>
            </w:r>
          </w:p>
        </w:tc>
      </w:tr>
      <w:tr w:rsidR="00233921" w:rsidRPr="002172E4" w14:paraId="07BA15E4" w14:textId="77777777" w:rsidTr="00B52A4F">
        <w:trPr>
          <w:trHeight w:val="357"/>
        </w:trPr>
        <w:tc>
          <w:tcPr>
            <w:tcW w:w="4351" w:type="pct"/>
            <w:gridSpan w:val="4"/>
            <w:tcBorders>
              <w:top w:val="nil"/>
              <w:left w:val="single" w:sz="4" w:space="0" w:color="auto"/>
              <w:bottom w:val="single" w:sz="4" w:space="0" w:color="auto"/>
              <w:right w:val="nil"/>
            </w:tcBorders>
            <w:shd w:val="clear" w:color="auto" w:fill="auto"/>
            <w:noWrap/>
            <w:vAlign w:val="bottom"/>
            <w:hideMark/>
          </w:tcPr>
          <w:p w14:paraId="1FB706A5" w14:textId="24FACD8F" w:rsidR="00233921" w:rsidRPr="002172E4" w:rsidRDefault="00233921" w:rsidP="00B52A4F">
            <w:pPr>
              <w:pStyle w:val="Tabletext1"/>
              <w:rPr>
                <w:b/>
                <w:bCs/>
              </w:rPr>
            </w:pPr>
            <w:r w:rsidRPr="002172E4">
              <w:rPr>
                <w:b/>
                <w:bCs/>
              </w:rPr>
              <w:t>Weighte</w:t>
            </w:r>
            <w:r>
              <w:rPr>
                <w:b/>
                <w:bCs/>
              </w:rPr>
              <w:t>d</w:t>
            </w:r>
          </w:p>
        </w:tc>
        <w:tc>
          <w:tcPr>
            <w:tcW w:w="649" w:type="pct"/>
            <w:tcBorders>
              <w:top w:val="nil"/>
              <w:left w:val="nil"/>
              <w:bottom w:val="single" w:sz="4" w:space="0" w:color="auto"/>
              <w:right w:val="single" w:sz="4" w:space="0" w:color="auto"/>
            </w:tcBorders>
            <w:shd w:val="clear" w:color="auto" w:fill="auto"/>
            <w:noWrap/>
            <w:vAlign w:val="bottom"/>
            <w:hideMark/>
          </w:tcPr>
          <w:p w14:paraId="4B86A6CE" w14:textId="77777777" w:rsidR="00233921" w:rsidRPr="002172E4" w:rsidRDefault="00233921" w:rsidP="002661F4">
            <w:pPr>
              <w:pStyle w:val="Tabletext1"/>
              <w:jc w:val="right"/>
              <w:rPr>
                <w:b/>
                <w:bCs/>
              </w:rPr>
            </w:pPr>
            <w:r w:rsidRPr="002172E4">
              <w:rPr>
                <w:b/>
                <w:bCs/>
              </w:rPr>
              <w:t>$12,775</w:t>
            </w:r>
          </w:p>
        </w:tc>
      </w:tr>
    </w:tbl>
    <w:p w14:paraId="08E67245" w14:textId="2FB671EF" w:rsidR="00607CF5" w:rsidRDefault="00607CF5" w:rsidP="00607CF5">
      <w:pPr>
        <w:pStyle w:val="Tablenotes1"/>
      </w:pPr>
      <w:r>
        <w:t xml:space="preserve">Source: National Hospital Cost Data Collection, Cost Weights for AR-DRG Version 9.0, Round 21 (2016-17) Public Sector - Estimated National </w:t>
      </w:r>
      <w:r>
        <w:fldChar w:fldCharType="begin"/>
      </w:r>
      <w:r>
        <w:instrText xml:space="preserve"> ADDIN EN.CITE &lt;EndNote&gt;&lt;Cite ExcludeAuth="1"&gt;&lt;Author&gt;Independent Hospital Pricing Authority [IHPA]&lt;/Author&gt;&lt;Year&gt;2019&lt;/Year&gt;&lt;RecNum&gt;107&lt;/RecNum&gt;&lt;Prefix&gt;IHPA &lt;/Prefix&gt;&lt;DisplayText&gt;(IHPA 2019)&lt;/DisplayText&gt;&lt;record&gt;&lt;rec-number&gt;107&lt;/rec-number&gt;&lt;foreign-keys&gt;&lt;key app="EN" db-id="z0vwsepdwpt20pewwts5z9eup9e2r2pd2tad" timestamp="1563421468"&gt;107&lt;/key&gt;&lt;/foreign-keys&gt;&lt;ref-type name="Web Page"&gt;12&lt;/ref-type&gt;&lt;contributors&gt;&lt;authors&gt;&lt;author&gt;Independent Hospital Pricing Authority [IHPA],&lt;/author&gt;&lt;/authors&gt;&lt;/contributors&gt;&lt;titles&gt;&lt;title&gt;National Hospital Cost Data Collection Report, Public Sector, Round 21 (Financial year 2016-17)&lt;/title&gt;&lt;/titles&gt;&lt;volume&gt;2019&lt;/volume&gt;&lt;number&gt;5 July&lt;/number&gt;&lt;dates&gt;&lt;year&gt;2019&lt;/year&gt;&lt;pub-dates&gt;&lt;date&gt;12 March&lt;/date&gt;&lt;/pub-dates&gt;&lt;/dates&gt;&lt;publisher&gt;Independent Hospital Pricing Authority,&lt;/publisher&gt;&lt;urls&gt;&lt;related-urls&gt;&lt;url&gt;https://www.ihpa.gov.au/publications/national-hospital-cost-data-collection-report-public-sector-round-21-financial-year&lt;/url&gt;&lt;/related-urls&gt;&lt;/urls&gt;&lt;/record&gt;&lt;/Cite&gt;&lt;/EndNote&gt;</w:instrText>
      </w:r>
      <w:r>
        <w:fldChar w:fldCharType="separate"/>
      </w:r>
      <w:r>
        <w:rPr>
          <w:noProof/>
        </w:rPr>
        <w:t>(</w:t>
      </w:r>
      <w:hyperlink w:anchor="_ENREF_23" w:tooltip="Independent Hospital Pricing Authority [IHPA], 2019 #107" w:history="1">
        <w:r w:rsidR="00BB0145">
          <w:rPr>
            <w:noProof/>
          </w:rPr>
          <w:t>IHPA 2019</w:t>
        </w:r>
      </w:hyperlink>
      <w:r>
        <w:rPr>
          <w:noProof/>
        </w:rPr>
        <w:t>)</w:t>
      </w:r>
      <w:r>
        <w:fldChar w:fldCharType="end"/>
      </w:r>
      <w:r>
        <w:t>.</w:t>
      </w:r>
    </w:p>
    <w:p w14:paraId="7910CFFC" w14:textId="210B7F33" w:rsidR="00911F85" w:rsidRDefault="008514C1" w:rsidP="00911F85">
      <w:r>
        <w:t xml:space="preserve">In </w:t>
      </w:r>
      <w:r w:rsidRPr="00C127B0">
        <w:t>Weeks, Tierney &amp; Weinstein</w:t>
      </w:r>
      <w:r>
        <w:t xml:space="preserve"> </w:t>
      </w:r>
      <w:r>
        <w:fldChar w:fldCharType="begin"/>
      </w:r>
      <w:r>
        <w:instrText xml:space="preserve"> ADDIN EN.CITE &lt;EndNote&gt;&lt;Cite ExcludeAuth="1"&gt;&lt;Author&gt;Weeks&lt;/Author&gt;&lt;Year&gt;1991&lt;/Year&gt;&lt;RecNum&gt;35&lt;/RecNum&gt;&lt;DisplayText&gt;(1991)&lt;/DisplayText&gt;&lt;record&gt;&lt;rec-number&gt;35&lt;/rec-number&gt;&lt;foreign-keys&gt;&lt;key app="EN" db-id="z0vwsepdwpt20pewwts5z9eup9e2r2pd2tad" timestamp="1553825060"&gt;35&lt;/key&gt;&lt;/foreign-keys&gt;&lt;ref-type name="Journal Article"&gt;17&lt;/ref-type&gt;&lt;contributors&gt;&lt;authors&gt;&lt;author&gt;Weeks, J. C.&lt;/author&gt;&lt;author&gt;Tierney, M. R.&lt;/author&gt;&lt;author&gt;Weinstein, M. C.&lt;/author&gt;&lt;/authors&gt;&lt;/contributors&gt;&lt;titles&gt;&lt;title&gt;Cost effectiveness of prophylactic intravenous immune globulin in chronic lymphocytic leukemia&lt;/title&gt;&lt;secondary-title&gt;New England journal of medicine&lt;/secondary-title&gt;&lt;/titles&gt;&lt;periodical&gt;&lt;full-title&gt;New England journal of medicine&lt;/full-title&gt;&lt;/periodical&gt;&lt;pages&gt;81‐86&lt;/pages&gt;&lt;volume&gt;325&lt;/volume&gt;&lt;number&gt;2&lt;/number&gt;&lt;keywords&gt;&lt;keyword&gt;Agammaglobulinemia [complications]&lt;/keyword&gt;&lt;keyword&gt;Bacterial Infections [*prevention &amp;amp; control]&lt;/keyword&gt;&lt;keyword&gt;Cost‐Benefit Analysis&lt;/keyword&gt;&lt;keyword&gt;Humans&lt;/keyword&gt;&lt;keyword&gt;Immunization, Passive [*economics]&lt;/keyword&gt;&lt;keyword&gt;Immunoglobulins [*administration &amp;amp; dosage]&lt;/keyword&gt;&lt;keyword&gt;Infusions, Intravenous&lt;/keyword&gt;&lt;keyword&gt;Leukemia, Lymphocytic, Chronic, B‐Cell [*complications, economics]&lt;/keyword&gt;&lt;keyword&gt;Life Expectancy&lt;/keyword&gt;&lt;keyword&gt;Models, Theoretical&lt;/keyword&gt;&lt;keyword&gt;Quality of Life&lt;/keyword&gt;&lt;keyword&gt;United States&lt;/keyword&gt;&lt;keyword&gt;Cost-Benefit Analysis&lt;/keyword&gt;&lt;keyword&gt;Leukemia, Lymphoid&lt;/keyword&gt;&lt;keyword&gt;Immunoglobulins, Intravenous&lt;/keyword&gt;&lt;keyword&gt;Immunoglobulins&lt;/keyword&gt;&lt;/keywords&gt;&lt;dates&gt;&lt;year&gt;1991&lt;/year&gt;&lt;pub-dates&gt;&lt;date&gt;1991&lt;/date&gt;&lt;/pub-dates&gt;&lt;/dates&gt;&lt;accession-num&gt;CN-00076105&lt;/accession-num&gt;&lt;urls&gt;&lt;related-urls&gt;&lt;url&gt;&lt;style face="underline" font="default" size="100%"&gt;https://www.cochranelibrary.com/central/doi/10.1002/central/CN-00076105/full&lt;/style&gt;&lt;/url&gt;&lt;/related-urls&gt;&lt;/urls&gt;&lt;custom1&gt;RAYYAN-INCLUSION: {&amp;quot;Skye&amp;quot;=&amp;gt;&amp;quot;Included&amp;quot;}&lt;/custom1&gt;&lt;research-notes&gt;X - decision analytic study, no new clinical data&lt;/research-notes&gt;&lt;/record&gt;&lt;/Cite&gt;&lt;/EndNote&gt;</w:instrText>
      </w:r>
      <w:r>
        <w:fldChar w:fldCharType="separate"/>
      </w:r>
      <w:r>
        <w:rPr>
          <w:noProof/>
        </w:rPr>
        <w:t>(</w:t>
      </w:r>
      <w:hyperlink w:anchor="_ENREF_56" w:tooltip="Weeks, 1991 #35" w:history="1">
        <w:r w:rsidR="00BB0145">
          <w:rPr>
            <w:noProof/>
          </w:rPr>
          <w:t>1991</w:t>
        </w:r>
      </w:hyperlink>
      <w:r>
        <w:rPr>
          <w:noProof/>
        </w:rPr>
        <w:t>)</w:t>
      </w:r>
      <w:r>
        <w:fldChar w:fldCharType="end"/>
      </w:r>
      <w:r>
        <w:t>, moderate infections required two outpatient attendances, a 10-day treatment course of antibiotics and a range of tests including urinalysis, urine, blood and sputum culture, complete blood count and a chest x-ray, while trivial infections required one outpatient attendance. Outpatient attendances by GPs were assumed for moderate and trivial infections (as per Windegger et al. 2019). Using the applicable MBS and PBS items, t</w:t>
      </w:r>
      <w:r w:rsidR="00911F85">
        <w:t>he cost of treating a non-serious infection was estimated to be $184</w:t>
      </w:r>
      <w:r w:rsidR="00BA6336">
        <w:t xml:space="preserve"> </w:t>
      </w:r>
      <w:r>
        <w:t>(</w:t>
      </w:r>
      <w:r>
        <w:fldChar w:fldCharType="begin"/>
      </w:r>
      <w:r>
        <w:instrText xml:space="preserve"> REF _Ref13668862 \h </w:instrText>
      </w:r>
      <w:r>
        <w:fldChar w:fldCharType="separate"/>
      </w:r>
      <w:r w:rsidR="00A7463B">
        <w:t xml:space="preserve">Table </w:t>
      </w:r>
      <w:r w:rsidR="00A7463B">
        <w:rPr>
          <w:noProof/>
        </w:rPr>
        <w:t>48</w:t>
      </w:r>
      <w:r>
        <w:fldChar w:fldCharType="end"/>
      </w:r>
      <w:r>
        <w:t xml:space="preserve">) </w:t>
      </w:r>
      <w:r w:rsidR="00BA6336">
        <w:t xml:space="preserve">and </w:t>
      </w:r>
      <w:r w:rsidR="00911F85">
        <w:t xml:space="preserve">assumed that approximately two-thirds of non-serious infections were of moderate severity, based on </w:t>
      </w:r>
      <w:r w:rsidR="00911F85" w:rsidRPr="00C127B0">
        <w:t>Weeks, Tierney &amp; Weinstein</w:t>
      </w:r>
      <w:r w:rsidR="00911F85">
        <w:t xml:space="preserve"> </w:t>
      </w:r>
      <w:r w:rsidR="00911F85">
        <w:fldChar w:fldCharType="begin"/>
      </w:r>
      <w:r w:rsidR="00911F85">
        <w:instrText xml:space="preserve"> ADDIN EN.CITE &lt;EndNote&gt;&lt;Cite ExcludeAuth="1"&gt;&lt;Author&gt;Weeks&lt;/Author&gt;&lt;Year&gt;1991&lt;/Year&gt;&lt;RecNum&gt;35&lt;/RecNum&gt;&lt;DisplayText&gt;(1991)&lt;/DisplayText&gt;&lt;record&gt;&lt;rec-number&gt;35&lt;/rec-number&gt;&lt;foreign-keys&gt;&lt;key app="EN" db-id="z0vwsepdwpt20pewwts5z9eup9e2r2pd2tad" timestamp="1553825060"&gt;35&lt;/key&gt;&lt;/foreign-keys&gt;&lt;ref-type name="Journal Article"&gt;17&lt;/ref-type&gt;&lt;contributors&gt;&lt;authors&gt;&lt;author&gt;Weeks, J. C.&lt;/author&gt;&lt;author&gt;Tierney, M. R.&lt;/author&gt;&lt;author&gt;Weinstein, M. C.&lt;/author&gt;&lt;/authors&gt;&lt;/contributors&gt;&lt;titles&gt;&lt;title&gt;Cost effectiveness of prophylactic intravenous immune globulin in chronic lymphocytic leukemia&lt;/title&gt;&lt;secondary-title&gt;New England journal of medicine&lt;/secondary-title&gt;&lt;/titles&gt;&lt;periodical&gt;&lt;full-title&gt;New England journal of medicine&lt;/full-title&gt;&lt;/periodical&gt;&lt;pages&gt;81‐86&lt;/pages&gt;&lt;volume&gt;325&lt;/volume&gt;&lt;number&gt;2&lt;/number&gt;&lt;keywords&gt;&lt;keyword&gt;Agammaglobulinemia [complications]&lt;/keyword&gt;&lt;keyword&gt;Bacterial Infections [*prevention &amp;amp; control]&lt;/keyword&gt;&lt;keyword&gt;Cost‐Benefit Analysis&lt;/keyword&gt;&lt;keyword&gt;Humans&lt;/keyword&gt;&lt;keyword&gt;Immunization, Passive [*economics]&lt;/keyword&gt;&lt;keyword&gt;Immunoglobulins [*administration &amp;amp; dosage]&lt;/keyword&gt;&lt;keyword&gt;Infusions, Intravenous&lt;/keyword&gt;&lt;keyword&gt;Leukemia, Lymphocytic, Chronic, B‐Cell [*complications, economics]&lt;/keyword&gt;&lt;keyword&gt;Life Expectancy&lt;/keyword&gt;&lt;keyword&gt;Models, Theoretical&lt;/keyword&gt;&lt;keyword&gt;Quality of Life&lt;/keyword&gt;&lt;keyword&gt;United States&lt;/keyword&gt;&lt;keyword&gt;Cost-Benefit Analysis&lt;/keyword&gt;&lt;keyword&gt;Leukemia, Lymphoid&lt;/keyword&gt;&lt;keyword&gt;Immunoglobulins, Intravenous&lt;/keyword&gt;&lt;keyword&gt;Immunoglobulins&lt;/keyword&gt;&lt;/keywords&gt;&lt;dates&gt;&lt;year&gt;1991&lt;/year&gt;&lt;pub-dates&gt;&lt;date&gt;1991&lt;/date&gt;&lt;/pub-dates&gt;&lt;/dates&gt;&lt;accession-num&gt;CN-00076105&lt;/accession-num&gt;&lt;urls&gt;&lt;related-urls&gt;&lt;url&gt;&lt;style face="underline" font="default" size="100%"&gt;https://www.cochranelibrary.com/central/doi/10.1002/central/CN-00076105/full&lt;/style&gt;&lt;/url&gt;&lt;/related-urls&gt;&lt;/urls&gt;&lt;custom1&gt;RAYYAN-INCLUSION: {&amp;quot;Skye&amp;quot;=&amp;gt;&amp;quot;Included&amp;quot;}&lt;/custom1&gt;&lt;research-notes&gt;X - decision analytic study, no new clinical data&lt;/research-notes&gt;&lt;/record&gt;&lt;/Cite&gt;&lt;/EndNote&gt;</w:instrText>
      </w:r>
      <w:r w:rsidR="00911F85">
        <w:fldChar w:fldCharType="separate"/>
      </w:r>
      <w:r w:rsidR="00911F85">
        <w:rPr>
          <w:noProof/>
        </w:rPr>
        <w:t>(</w:t>
      </w:r>
      <w:hyperlink w:anchor="_ENREF_56" w:tooltip="Weeks, 1991 #35" w:history="1">
        <w:r w:rsidR="00BB0145">
          <w:rPr>
            <w:noProof/>
          </w:rPr>
          <w:t>1991</w:t>
        </w:r>
      </w:hyperlink>
      <w:r w:rsidR="00911F85">
        <w:rPr>
          <w:noProof/>
        </w:rPr>
        <w:t>)</w:t>
      </w:r>
      <w:r w:rsidR="00911F85">
        <w:fldChar w:fldCharType="end"/>
      </w:r>
      <w:r w:rsidR="00911F85">
        <w:t xml:space="preserve">. </w:t>
      </w:r>
      <w:r w:rsidR="00BA6336">
        <w:t xml:space="preserve">This was similar to the </w:t>
      </w:r>
      <w:r w:rsidR="00911F85">
        <w:t xml:space="preserve">cost modelled in Windegger et al. </w:t>
      </w:r>
      <w:r w:rsidR="00911F85">
        <w:fldChar w:fldCharType="begin"/>
      </w:r>
      <w:r w:rsidR="00911F85">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rsidR="00911F85">
        <w:fldChar w:fldCharType="separate"/>
      </w:r>
      <w:r w:rsidR="00911F85">
        <w:rPr>
          <w:noProof/>
        </w:rPr>
        <w:t>(</w:t>
      </w:r>
      <w:hyperlink w:anchor="_ENREF_57" w:tooltip="Windegger, 2019 #55" w:history="1">
        <w:r w:rsidR="00BB0145">
          <w:rPr>
            <w:noProof/>
          </w:rPr>
          <w:t>2019</w:t>
        </w:r>
      </w:hyperlink>
      <w:r w:rsidR="00911F85">
        <w:rPr>
          <w:noProof/>
        </w:rPr>
        <w:t>)</w:t>
      </w:r>
      <w:r w:rsidR="00911F85">
        <w:fldChar w:fldCharType="end"/>
      </w:r>
      <w:r w:rsidR="00BA6336">
        <w:t xml:space="preserve"> ($160)</w:t>
      </w:r>
      <w:r w:rsidR="00911F85">
        <w:t>. The alternate costs will be tested in a sensitivity analysis.</w:t>
      </w:r>
    </w:p>
    <w:p w14:paraId="1507E73E" w14:textId="29B3C963" w:rsidR="00911F85" w:rsidRDefault="00911F85" w:rsidP="00911F85">
      <w:pPr>
        <w:pStyle w:val="Caption"/>
        <w:keepNext/>
      </w:pPr>
      <w:bookmarkStart w:id="509" w:name="_Ref13668862"/>
      <w:bookmarkStart w:id="510" w:name="_Toc14348882"/>
      <w:bookmarkStart w:id="511" w:name="_Toc14429588"/>
      <w:bookmarkStart w:id="512" w:name="_Toc16671646"/>
      <w:r>
        <w:t xml:space="preserve">Table </w:t>
      </w:r>
      <w:r>
        <w:rPr>
          <w:noProof/>
        </w:rPr>
        <w:fldChar w:fldCharType="begin"/>
      </w:r>
      <w:r>
        <w:rPr>
          <w:noProof/>
        </w:rPr>
        <w:instrText xml:space="preserve"> SEQ Table \* ARABIC </w:instrText>
      </w:r>
      <w:r>
        <w:rPr>
          <w:noProof/>
        </w:rPr>
        <w:fldChar w:fldCharType="separate"/>
      </w:r>
      <w:r w:rsidR="00A7463B">
        <w:rPr>
          <w:noProof/>
        </w:rPr>
        <w:t>48</w:t>
      </w:r>
      <w:r>
        <w:rPr>
          <w:noProof/>
        </w:rPr>
        <w:fldChar w:fldCharType="end"/>
      </w:r>
      <w:bookmarkEnd w:id="509"/>
      <w:r>
        <w:tab/>
        <w:t>Estimated cost of treating infections, by infection severity</w:t>
      </w:r>
      <w:bookmarkEnd w:id="510"/>
      <w:bookmarkEnd w:id="511"/>
      <w:bookmarkEnd w:id="512"/>
    </w:p>
    <w:tbl>
      <w:tblPr>
        <w:tblStyle w:val="TableGrid1"/>
        <w:tblW w:w="5000" w:type="pct"/>
        <w:tblLayout w:type="fixed"/>
        <w:tblLook w:val="04A0" w:firstRow="1" w:lastRow="0" w:firstColumn="1" w:lastColumn="0" w:noHBand="0" w:noVBand="1"/>
        <w:tblCaption w:val="Estimated cost of treating infections, by infection severity"/>
      </w:tblPr>
      <w:tblGrid>
        <w:gridCol w:w="3919"/>
        <w:gridCol w:w="2179"/>
        <w:gridCol w:w="3144"/>
      </w:tblGrid>
      <w:tr w:rsidR="00911F85" w:rsidRPr="003B3611" w14:paraId="5C139BCE" w14:textId="77777777" w:rsidTr="008742A1">
        <w:trPr>
          <w:cnfStyle w:val="100000000000" w:firstRow="1" w:lastRow="0" w:firstColumn="0" w:lastColumn="0" w:oddVBand="0" w:evenVBand="0" w:oddHBand="0" w:evenHBand="0" w:firstRowFirstColumn="0" w:firstRowLastColumn="0" w:lastRowFirstColumn="0" w:lastRowLastColumn="0"/>
          <w:trHeight w:val="300"/>
          <w:tblHeader/>
        </w:trPr>
        <w:tc>
          <w:tcPr>
            <w:tcW w:w="2120" w:type="pct"/>
            <w:tcBorders>
              <w:bottom w:val="single" w:sz="4" w:space="0" w:color="auto"/>
            </w:tcBorders>
            <w:noWrap/>
          </w:tcPr>
          <w:p w14:paraId="6B3EF031" w14:textId="77777777" w:rsidR="00911F85" w:rsidRPr="003B3611" w:rsidRDefault="00911F85" w:rsidP="008742A1">
            <w:pPr>
              <w:pStyle w:val="TableHeading"/>
            </w:pPr>
          </w:p>
        </w:tc>
        <w:tc>
          <w:tcPr>
            <w:tcW w:w="1179" w:type="pct"/>
            <w:tcBorders>
              <w:bottom w:val="single" w:sz="4" w:space="0" w:color="auto"/>
            </w:tcBorders>
            <w:noWrap/>
          </w:tcPr>
          <w:p w14:paraId="68916A41" w14:textId="77777777" w:rsidR="00911F85" w:rsidRPr="003B3611" w:rsidRDefault="00911F85" w:rsidP="008742A1">
            <w:pPr>
              <w:pStyle w:val="TableHeading"/>
              <w:jc w:val="center"/>
            </w:pPr>
            <w:r>
              <w:t>Cost</w:t>
            </w:r>
          </w:p>
        </w:tc>
        <w:tc>
          <w:tcPr>
            <w:tcW w:w="1701" w:type="pct"/>
            <w:tcBorders>
              <w:bottom w:val="single" w:sz="4" w:space="0" w:color="auto"/>
            </w:tcBorders>
            <w:noWrap/>
          </w:tcPr>
          <w:p w14:paraId="2DA63387" w14:textId="77777777" w:rsidR="00911F85" w:rsidRPr="003B3611" w:rsidRDefault="00911F85" w:rsidP="008742A1">
            <w:pPr>
              <w:pStyle w:val="TableHeading"/>
            </w:pPr>
            <w:r>
              <w:t>Source</w:t>
            </w:r>
          </w:p>
        </w:tc>
      </w:tr>
      <w:tr w:rsidR="00911F85" w:rsidRPr="003B3611" w14:paraId="46ADA8D6" w14:textId="77777777" w:rsidTr="008742A1">
        <w:trPr>
          <w:trHeight w:val="300"/>
        </w:trPr>
        <w:tc>
          <w:tcPr>
            <w:tcW w:w="2120" w:type="pct"/>
            <w:tcBorders>
              <w:bottom w:val="single" w:sz="4" w:space="0" w:color="auto"/>
              <w:right w:val="nil"/>
            </w:tcBorders>
            <w:noWrap/>
          </w:tcPr>
          <w:p w14:paraId="774D1EE6" w14:textId="77777777" w:rsidR="00911F85" w:rsidRPr="003B3611" w:rsidRDefault="00911F85" w:rsidP="008742A1">
            <w:pPr>
              <w:pStyle w:val="Tabletext1"/>
              <w:keepNext/>
            </w:pPr>
            <w:r>
              <w:t>Serious infections</w:t>
            </w:r>
          </w:p>
        </w:tc>
        <w:tc>
          <w:tcPr>
            <w:tcW w:w="1179" w:type="pct"/>
            <w:tcBorders>
              <w:left w:val="nil"/>
              <w:bottom w:val="single" w:sz="4" w:space="0" w:color="auto"/>
              <w:right w:val="nil"/>
            </w:tcBorders>
            <w:noWrap/>
          </w:tcPr>
          <w:p w14:paraId="64A7616D" w14:textId="77777777" w:rsidR="00911F85" w:rsidRPr="003B3611" w:rsidRDefault="00911F85" w:rsidP="008742A1">
            <w:pPr>
              <w:pStyle w:val="Tabletext1"/>
              <w:jc w:val="right"/>
            </w:pPr>
          </w:p>
        </w:tc>
        <w:tc>
          <w:tcPr>
            <w:tcW w:w="1701" w:type="pct"/>
            <w:tcBorders>
              <w:left w:val="nil"/>
              <w:bottom w:val="single" w:sz="4" w:space="0" w:color="auto"/>
            </w:tcBorders>
            <w:noWrap/>
          </w:tcPr>
          <w:p w14:paraId="045186D1" w14:textId="77777777" w:rsidR="00911F85" w:rsidRPr="003B3611" w:rsidRDefault="00911F85" w:rsidP="008742A1">
            <w:pPr>
              <w:pStyle w:val="Tabletext1"/>
            </w:pPr>
          </w:p>
        </w:tc>
      </w:tr>
      <w:tr w:rsidR="00911F85" w:rsidRPr="003B3611" w14:paraId="591B97C2" w14:textId="77777777" w:rsidTr="008742A1">
        <w:trPr>
          <w:trHeight w:val="300"/>
        </w:trPr>
        <w:tc>
          <w:tcPr>
            <w:tcW w:w="2120" w:type="pct"/>
            <w:tcBorders>
              <w:bottom w:val="nil"/>
            </w:tcBorders>
            <w:noWrap/>
          </w:tcPr>
          <w:p w14:paraId="0F32FA54" w14:textId="77777777" w:rsidR="00911F85" w:rsidRPr="003B3611" w:rsidRDefault="00911F85" w:rsidP="00331FB9">
            <w:pPr>
              <w:pStyle w:val="Tabletext1"/>
              <w:keepNext/>
              <w:numPr>
                <w:ilvl w:val="0"/>
                <w:numId w:val="21"/>
              </w:numPr>
              <w:ind w:left="454" w:hanging="284"/>
            </w:pPr>
            <w:r>
              <w:t>Hospitalisation</w:t>
            </w:r>
          </w:p>
        </w:tc>
        <w:tc>
          <w:tcPr>
            <w:tcW w:w="1179" w:type="pct"/>
            <w:tcBorders>
              <w:bottom w:val="nil"/>
            </w:tcBorders>
            <w:noWrap/>
          </w:tcPr>
          <w:p w14:paraId="31BA212A" w14:textId="01BA85D3" w:rsidR="00911F85" w:rsidRPr="003B3611" w:rsidRDefault="00911F85" w:rsidP="00174F88">
            <w:pPr>
              <w:pStyle w:val="Tabletext1"/>
              <w:jc w:val="right"/>
            </w:pPr>
            <w:r>
              <w:t>$</w:t>
            </w:r>
            <w:r w:rsidR="00174F88">
              <w:t>12,775</w:t>
            </w:r>
          </w:p>
        </w:tc>
        <w:tc>
          <w:tcPr>
            <w:tcW w:w="1701" w:type="pct"/>
            <w:tcBorders>
              <w:bottom w:val="nil"/>
            </w:tcBorders>
            <w:noWrap/>
          </w:tcPr>
          <w:p w14:paraId="4C970805" w14:textId="6F332AD1" w:rsidR="00911F85" w:rsidRPr="003B3611" w:rsidRDefault="00174F88" w:rsidP="00BB0145">
            <w:pPr>
              <w:pStyle w:val="Tabletext1"/>
            </w:pPr>
            <w:r>
              <w:t>Weighted a</w:t>
            </w:r>
            <w:r w:rsidR="00911F85">
              <w:t xml:space="preserve">verage cost </w:t>
            </w:r>
            <w:r>
              <w:t>of</w:t>
            </w:r>
            <w:r w:rsidR="00911F85">
              <w:t xml:space="preserve"> </w:t>
            </w:r>
            <w:r w:rsidR="00BA6336">
              <w:t>T60A</w:t>
            </w:r>
            <w:r>
              <w:t>, R01A, I64A, I67A and E62A</w:t>
            </w:r>
            <w:r w:rsidR="00911F85">
              <w:t xml:space="preserve"> AR-DRG</w:t>
            </w:r>
            <w:r>
              <w:t>s</w:t>
            </w:r>
            <w:r w:rsidR="00911F85">
              <w:t xml:space="preserve"> </w:t>
            </w:r>
            <w:r w:rsidR="00911F85">
              <w:fldChar w:fldCharType="begin"/>
            </w:r>
            <w:r w:rsidR="00911F85">
              <w:instrText xml:space="preserve"> ADDIN EN.CITE &lt;EndNote&gt;&lt;Cite ExcludeAuth="1"&gt;&lt;Author&gt;Independent Hospital Pricing Authority [IHPA]&lt;/Author&gt;&lt;Year&gt;2019&lt;/Year&gt;&lt;RecNum&gt;107&lt;/RecNum&gt;&lt;Prefix&gt;IHPA &lt;/Prefix&gt;&lt;DisplayText&gt;(IHPA 2019)&lt;/DisplayText&gt;&lt;record&gt;&lt;rec-number&gt;107&lt;/rec-number&gt;&lt;foreign-keys&gt;&lt;key app="EN" db-id="z0vwsepdwpt20pewwts5z9eup9e2r2pd2tad" timestamp="1563421468"&gt;107&lt;/key&gt;&lt;/foreign-keys&gt;&lt;ref-type name="Web Page"&gt;12&lt;/ref-type&gt;&lt;contributors&gt;&lt;authors&gt;&lt;author&gt;Independent Hospital Pricing Authority [IHPA],&lt;/author&gt;&lt;/authors&gt;&lt;/contributors&gt;&lt;titles&gt;&lt;title&gt;National Hospital Cost Data Collection Report, Public Sector, Round 21 (Financial year 2016-17)&lt;/title&gt;&lt;/titles&gt;&lt;volume&gt;2019&lt;/volume&gt;&lt;number&gt;5 July&lt;/number&gt;&lt;dates&gt;&lt;year&gt;2019&lt;/year&gt;&lt;pub-dates&gt;&lt;date&gt;12 March&lt;/date&gt;&lt;/pub-dates&gt;&lt;/dates&gt;&lt;publisher&gt;Independent Hospital Pricing Authority,&lt;/publisher&gt;&lt;urls&gt;&lt;related-urls&gt;&lt;url&gt;https://www.ihpa.gov.au/publications/national-hospital-cost-data-collection-report-public-sector-round-21-financial-year&lt;/url&gt;&lt;/related-urls&gt;&lt;/urls&gt;&lt;/record&gt;&lt;/Cite&gt;&lt;/EndNote&gt;</w:instrText>
            </w:r>
            <w:r w:rsidR="00911F85">
              <w:fldChar w:fldCharType="separate"/>
            </w:r>
            <w:r w:rsidR="00911F85">
              <w:rPr>
                <w:noProof/>
              </w:rPr>
              <w:t>(</w:t>
            </w:r>
            <w:hyperlink w:anchor="_ENREF_23" w:tooltip="Independent Hospital Pricing Authority [IHPA], 2019 #107" w:history="1">
              <w:r w:rsidR="00BB0145">
                <w:rPr>
                  <w:noProof/>
                </w:rPr>
                <w:t>IHPA 2019</w:t>
              </w:r>
            </w:hyperlink>
            <w:r w:rsidR="00911F85">
              <w:rPr>
                <w:noProof/>
              </w:rPr>
              <w:t>)</w:t>
            </w:r>
            <w:r w:rsidR="00911F85">
              <w:fldChar w:fldCharType="end"/>
            </w:r>
            <w:r>
              <w:t xml:space="preserve"> – see also </w:t>
            </w:r>
            <w:r>
              <w:fldChar w:fldCharType="begin"/>
            </w:r>
            <w:r>
              <w:instrText xml:space="preserve"> REF _Ref16153473 \h </w:instrText>
            </w:r>
            <w:r>
              <w:fldChar w:fldCharType="separate"/>
            </w:r>
            <w:r w:rsidR="00A7463B">
              <w:t xml:space="preserve">Table </w:t>
            </w:r>
            <w:r w:rsidR="00A7463B">
              <w:rPr>
                <w:noProof/>
              </w:rPr>
              <w:t>47</w:t>
            </w:r>
            <w:r>
              <w:fldChar w:fldCharType="end"/>
            </w:r>
            <w:r w:rsidR="00607CF5">
              <w:t>.</w:t>
            </w:r>
          </w:p>
        </w:tc>
      </w:tr>
      <w:tr w:rsidR="00911F85" w:rsidRPr="003B3611" w14:paraId="5D4BEEB5" w14:textId="77777777" w:rsidTr="008742A1">
        <w:trPr>
          <w:trHeight w:val="300"/>
        </w:trPr>
        <w:tc>
          <w:tcPr>
            <w:tcW w:w="2120" w:type="pct"/>
            <w:tcBorders>
              <w:top w:val="nil"/>
              <w:bottom w:val="nil"/>
            </w:tcBorders>
            <w:noWrap/>
          </w:tcPr>
          <w:p w14:paraId="1299D58E" w14:textId="77777777" w:rsidR="00911F85" w:rsidRPr="003B3611" w:rsidRDefault="00911F85" w:rsidP="00331FB9">
            <w:pPr>
              <w:pStyle w:val="Tabletext1"/>
              <w:keepNext/>
              <w:numPr>
                <w:ilvl w:val="0"/>
                <w:numId w:val="21"/>
              </w:numPr>
              <w:ind w:left="454" w:hanging="284"/>
            </w:pPr>
            <w:r>
              <w:t>Follow-up outpatient attendance</w:t>
            </w:r>
          </w:p>
        </w:tc>
        <w:tc>
          <w:tcPr>
            <w:tcW w:w="1179" w:type="pct"/>
            <w:tcBorders>
              <w:top w:val="nil"/>
              <w:bottom w:val="nil"/>
            </w:tcBorders>
            <w:noWrap/>
          </w:tcPr>
          <w:p w14:paraId="32A26787" w14:textId="77777777" w:rsidR="00911F85" w:rsidRPr="003B3611" w:rsidRDefault="00911F85" w:rsidP="008742A1">
            <w:pPr>
              <w:pStyle w:val="Tabletext1"/>
              <w:jc w:val="right"/>
            </w:pPr>
            <w:r w:rsidRPr="003B3611">
              <w:t>$76.65</w:t>
            </w:r>
          </w:p>
        </w:tc>
        <w:tc>
          <w:tcPr>
            <w:tcW w:w="1701" w:type="pct"/>
            <w:tcBorders>
              <w:top w:val="nil"/>
              <w:bottom w:val="nil"/>
            </w:tcBorders>
            <w:noWrap/>
          </w:tcPr>
          <w:p w14:paraId="1B6A6FB3" w14:textId="77777777" w:rsidR="00911F85" w:rsidRPr="003B3611" w:rsidRDefault="00911F85" w:rsidP="008742A1">
            <w:pPr>
              <w:pStyle w:val="Tabletext1"/>
            </w:pPr>
            <w:r w:rsidRPr="003B3611">
              <w:t>MBS item 116</w:t>
            </w:r>
          </w:p>
        </w:tc>
      </w:tr>
      <w:tr w:rsidR="00911F85" w:rsidRPr="003B3611" w14:paraId="2C31DD71" w14:textId="77777777" w:rsidTr="008742A1">
        <w:trPr>
          <w:trHeight w:val="300"/>
        </w:trPr>
        <w:tc>
          <w:tcPr>
            <w:tcW w:w="2120" w:type="pct"/>
            <w:tcBorders>
              <w:top w:val="nil"/>
              <w:bottom w:val="single" w:sz="4" w:space="0" w:color="auto"/>
            </w:tcBorders>
            <w:noWrap/>
          </w:tcPr>
          <w:p w14:paraId="451176F0" w14:textId="77777777" w:rsidR="00911F85" w:rsidRPr="003B3611" w:rsidRDefault="00911F85" w:rsidP="008742A1">
            <w:pPr>
              <w:pStyle w:val="Tabletext1"/>
            </w:pPr>
            <w:r>
              <w:t>Total cost of treating serious infections</w:t>
            </w:r>
          </w:p>
        </w:tc>
        <w:tc>
          <w:tcPr>
            <w:tcW w:w="1179" w:type="pct"/>
            <w:tcBorders>
              <w:top w:val="nil"/>
              <w:bottom w:val="single" w:sz="4" w:space="0" w:color="auto"/>
            </w:tcBorders>
            <w:noWrap/>
          </w:tcPr>
          <w:p w14:paraId="4A0C9F37" w14:textId="46E82917" w:rsidR="00911F85" w:rsidRPr="003B3611" w:rsidRDefault="00911F85" w:rsidP="00174F88">
            <w:pPr>
              <w:pStyle w:val="Tabletext1"/>
              <w:jc w:val="right"/>
            </w:pPr>
            <w:r>
              <w:t>$</w:t>
            </w:r>
            <w:r w:rsidR="00174F88">
              <w:t>12,852</w:t>
            </w:r>
          </w:p>
        </w:tc>
        <w:tc>
          <w:tcPr>
            <w:tcW w:w="1701" w:type="pct"/>
            <w:tcBorders>
              <w:top w:val="nil"/>
              <w:bottom w:val="single" w:sz="4" w:space="0" w:color="auto"/>
            </w:tcBorders>
            <w:noWrap/>
          </w:tcPr>
          <w:p w14:paraId="6144EC80" w14:textId="77777777" w:rsidR="00911F85" w:rsidRPr="003B3611" w:rsidRDefault="00911F85" w:rsidP="008742A1">
            <w:pPr>
              <w:pStyle w:val="Tabletext1"/>
            </w:pPr>
          </w:p>
        </w:tc>
      </w:tr>
      <w:tr w:rsidR="00911F85" w:rsidRPr="003B3611" w14:paraId="45CE6F57" w14:textId="77777777" w:rsidTr="008742A1">
        <w:trPr>
          <w:trHeight w:val="300"/>
        </w:trPr>
        <w:tc>
          <w:tcPr>
            <w:tcW w:w="2120" w:type="pct"/>
            <w:tcBorders>
              <w:bottom w:val="single" w:sz="4" w:space="0" w:color="auto"/>
              <w:right w:val="nil"/>
            </w:tcBorders>
            <w:noWrap/>
            <w:hideMark/>
          </w:tcPr>
          <w:p w14:paraId="100903F5" w14:textId="77777777" w:rsidR="00911F85" w:rsidRPr="003B3611" w:rsidRDefault="00911F85" w:rsidP="008742A1">
            <w:pPr>
              <w:pStyle w:val="Tabletext1"/>
            </w:pPr>
            <w:r>
              <w:t>Non-serious moderate infections</w:t>
            </w:r>
          </w:p>
        </w:tc>
        <w:tc>
          <w:tcPr>
            <w:tcW w:w="1179" w:type="pct"/>
            <w:tcBorders>
              <w:left w:val="nil"/>
              <w:bottom w:val="single" w:sz="4" w:space="0" w:color="auto"/>
              <w:right w:val="nil"/>
            </w:tcBorders>
            <w:noWrap/>
            <w:hideMark/>
          </w:tcPr>
          <w:p w14:paraId="44E9818E" w14:textId="77777777" w:rsidR="00911F85" w:rsidRPr="003B3611" w:rsidRDefault="00911F85" w:rsidP="008742A1">
            <w:pPr>
              <w:pStyle w:val="Tabletext1"/>
              <w:jc w:val="right"/>
            </w:pPr>
          </w:p>
        </w:tc>
        <w:tc>
          <w:tcPr>
            <w:tcW w:w="1701" w:type="pct"/>
            <w:tcBorders>
              <w:left w:val="nil"/>
              <w:bottom w:val="single" w:sz="4" w:space="0" w:color="auto"/>
            </w:tcBorders>
            <w:noWrap/>
            <w:hideMark/>
          </w:tcPr>
          <w:p w14:paraId="4D1BFD3A" w14:textId="77777777" w:rsidR="00911F85" w:rsidRPr="003B3611" w:rsidRDefault="00911F85" w:rsidP="008742A1">
            <w:pPr>
              <w:pStyle w:val="Tabletext1"/>
              <w:rPr>
                <w:rFonts w:ascii="Times New Roman" w:hAnsi="Times New Roman" w:cs="Times New Roman"/>
              </w:rPr>
            </w:pPr>
          </w:p>
        </w:tc>
      </w:tr>
      <w:tr w:rsidR="00911F85" w:rsidRPr="003B3611" w14:paraId="63D05D69" w14:textId="77777777" w:rsidTr="008742A1">
        <w:trPr>
          <w:trHeight w:val="300"/>
        </w:trPr>
        <w:tc>
          <w:tcPr>
            <w:tcW w:w="2120" w:type="pct"/>
            <w:tcBorders>
              <w:bottom w:val="nil"/>
            </w:tcBorders>
            <w:noWrap/>
            <w:hideMark/>
          </w:tcPr>
          <w:p w14:paraId="1B922B35" w14:textId="77777777" w:rsidR="00911F85" w:rsidRPr="003B3611" w:rsidRDefault="00911F85" w:rsidP="00331FB9">
            <w:pPr>
              <w:pStyle w:val="Tabletext1"/>
              <w:numPr>
                <w:ilvl w:val="0"/>
                <w:numId w:val="21"/>
              </w:numPr>
              <w:ind w:left="454" w:hanging="283"/>
            </w:pPr>
            <w:r>
              <w:t>Two outpatient attendances</w:t>
            </w:r>
          </w:p>
        </w:tc>
        <w:tc>
          <w:tcPr>
            <w:tcW w:w="1179" w:type="pct"/>
            <w:tcBorders>
              <w:bottom w:val="nil"/>
            </w:tcBorders>
            <w:noWrap/>
            <w:hideMark/>
          </w:tcPr>
          <w:p w14:paraId="5190587C" w14:textId="77777777" w:rsidR="00911F85" w:rsidRPr="003B3611" w:rsidRDefault="00911F85" w:rsidP="008742A1">
            <w:pPr>
              <w:pStyle w:val="Tabletext1"/>
              <w:jc w:val="right"/>
            </w:pPr>
            <w:r w:rsidRPr="003B3611">
              <w:t>$</w:t>
            </w:r>
            <w:r>
              <w:t>76.40</w:t>
            </w:r>
          </w:p>
        </w:tc>
        <w:tc>
          <w:tcPr>
            <w:tcW w:w="1701" w:type="pct"/>
            <w:tcBorders>
              <w:bottom w:val="nil"/>
            </w:tcBorders>
            <w:noWrap/>
            <w:hideMark/>
          </w:tcPr>
          <w:p w14:paraId="299F6AC9" w14:textId="77777777" w:rsidR="00911F85" w:rsidRPr="003B3611" w:rsidRDefault="00911F85" w:rsidP="008742A1">
            <w:pPr>
              <w:pStyle w:val="Tabletext1"/>
            </w:pPr>
            <w:r>
              <w:t>MBS item 23</w:t>
            </w:r>
          </w:p>
        </w:tc>
      </w:tr>
      <w:tr w:rsidR="00911F85" w:rsidRPr="003B3611" w14:paraId="3B8C804B" w14:textId="77777777" w:rsidTr="008742A1">
        <w:trPr>
          <w:trHeight w:val="300"/>
        </w:trPr>
        <w:tc>
          <w:tcPr>
            <w:tcW w:w="2120" w:type="pct"/>
            <w:tcBorders>
              <w:top w:val="nil"/>
              <w:bottom w:val="nil"/>
            </w:tcBorders>
            <w:noWrap/>
            <w:hideMark/>
          </w:tcPr>
          <w:p w14:paraId="4B9C6E6B" w14:textId="77777777" w:rsidR="00911F85" w:rsidRPr="003B3611" w:rsidRDefault="00911F85" w:rsidP="00331FB9">
            <w:pPr>
              <w:pStyle w:val="Tabletext1"/>
              <w:numPr>
                <w:ilvl w:val="0"/>
                <w:numId w:val="21"/>
              </w:numPr>
              <w:ind w:left="454" w:hanging="283"/>
            </w:pPr>
            <w:r>
              <w:t>Urinalysis</w:t>
            </w:r>
          </w:p>
        </w:tc>
        <w:tc>
          <w:tcPr>
            <w:tcW w:w="1179" w:type="pct"/>
            <w:tcBorders>
              <w:top w:val="nil"/>
              <w:bottom w:val="nil"/>
            </w:tcBorders>
            <w:noWrap/>
            <w:hideMark/>
          </w:tcPr>
          <w:p w14:paraId="4B44E094" w14:textId="77777777" w:rsidR="00911F85" w:rsidRPr="003B3611" w:rsidRDefault="00911F85" w:rsidP="008742A1">
            <w:pPr>
              <w:pStyle w:val="Tabletext1"/>
              <w:jc w:val="right"/>
            </w:pPr>
            <w:r w:rsidRPr="003B3611">
              <w:t>$4.55</w:t>
            </w:r>
          </w:p>
        </w:tc>
        <w:tc>
          <w:tcPr>
            <w:tcW w:w="1701" w:type="pct"/>
            <w:tcBorders>
              <w:top w:val="nil"/>
              <w:bottom w:val="nil"/>
            </w:tcBorders>
            <w:noWrap/>
            <w:hideMark/>
          </w:tcPr>
          <w:p w14:paraId="2C686236" w14:textId="77777777" w:rsidR="00911F85" w:rsidRPr="003B3611" w:rsidRDefault="00911F85" w:rsidP="008742A1">
            <w:pPr>
              <w:pStyle w:val="Tabletext1"/>
            </w:pPr>
            <w:r w:rsidRPr="003B3611">
              <w:t>MBS item 73805</w:t>
            </w:r>
          </w:p>
        </w:tc>
      </w:tr>
      <w:tr w:rsidR="00911F85" w:rsidRPr="003B3611" w14:paraId="0FB0E23E" w14:textId="77777777" w:rsidTr="008742A1">
        <w:trPr>
          <w:trHeight w:val="300"/>
        </w:trPr>
        <w:tc>
          <w:tcPr>
            <w:tcW w:w="2120" w:type="pct"/>
            <w:tcBorders>
              <w:top w:val="nil"/>
              <w:bottom w:val="nil"/>
            </w:tcBorders>
            <w:noWrap/>
            <w:hideMark/>
          </w:tcPr>
          <w:p w14:paraId="18228C73" w14:textId="77777777" w:rsidR="00911F85" w:rsidRPr="003B3611" w:rsidRDefault="00911F85" w:rsidP="00331FB9">
            <w:pPr>
              <w:pStyle w:val="Tabletext1"/>
              <w:numPr>
                <w:ilvl w:val="0"/>
                <w:numId w:val="21"/>
              </w:numPr>
              <w:ind w:left="454" w:hanging="283"/>
            </w:pPr>
            <w:r>
              <w:t>Urine culture</w:t>
            </w:r>
          </w:p>
        </w:tc>
        <w:tc>
          <w:tcPr>
            <w:tcW w:w="1179" w:type="pct"/>
            <w:tcBorders>
              <w:top w:val="nil"/>
              <w:bottom w:val="nil"/>
            </w:tcBorders>
            <w:noWrap/>
            <w:hideMark/>
          </w:tcPr>
          <w:p w14:paraId="0072CB08" w14:textId="77777777" w:rsidR="00911F85" w:rsidRPr="003B3611" w:rsidRDefault="00911F85" w:rsidP="008742A1">
            <w:pPr>
              <w:pStyle w:val="Tabletext1"/>
              <w:jc w:val="right"/>
            </w:pPr>
            <w:r w:rsidRPr="003B3611">
              <w:t>$20.55</w:t>
            </w:r>
          </w:p>
        </w:tc>
        <w:tc>
          <w:tcPr>
            <w:tcW w:w="1701" w:type="pct"/>
            <w:tcBorders>
              <w:top w:val="nil"/>
              <w:bottom w:val="nil"/>
            </w:tcBorders>
            <w:noWrap/>
            <w:hideMark/>
          </w:tcPr>
          <w:p w14:paraId="4EE3AEAC" w14:textId="77777777" w:rsidR="00911F85" w:rsidRPr="003B3611" w:rsidRDefault="00911F85" w:rsidP="008742A1">
            <w:pPr>
              <w:pStyle w:val="Tabletext1"/>
            </w:pPr>
            <w:r w:rsidRPr="003B3611">
              <w:t>MBS item 69333</w:t>
            </w:r>
          </w:p>
        </w:tc>
      </w:tr>
      <w:tr w:rsidR="00911F85" w:rsidRPr="003B3611" w14:paraId="68506027" w14:textId="77777777" w:rsidTr="008742A1">
        <w:trPr>
          <w:trHeight w:val="300"/>
        </w:trPr>
        <w:tc>
          <w:tcPr>
            <w:tcW w:w="2120" w:type="pct"/>
            <w:tcBorders>
              <w:top w:val="nil"/>
              <w:bottom w:val="nil"/>
            </w:tcBorders>
            <w:noWrap/>
            <w:hideMark/>
          </w:tcPr>
          <w:p w14:paraId="0FE416BB" w14:textId="77777777" w:rsidR="00911F85" w:rsidRPr="003B3611" w:rsidRDefault="00911F85" w:rsidP="00331FB9">
            <w:pPr>
              <w:pStyle w:val="Tabletext1"/>
              <w:numPr>
                <w:ilvl w:val="0"/>
                <w:numId w:val="21"/>
              </w:numPr>
              <w:ind w:left="454" w:hanging="283"/>
            </w:pPr>
            <w:r>
              <w:t>B</w:t>
            </w:r>
            <w:r w:rsidRPr="003B3611">
              <w:t>lood culture</w:t>
            </w:r>
          </w:p>
        </w:tc>
        <w:tc>
          <w:tcPr>
            <w:tcW w:w="1179" w:type="pct"/>
            <w:tcBorders>
              <w:top w:val="nil"/>
              <w:bottom w:val="nil"/>
            </w:tcBorders>
            <w:noWrap/>
            <w:hideMark/>
          </w:tcPr>
          <w:p w14:paraId="3C48ABDF" w14:textId="77777777" w:rsidR="00911F85" w:rsidRPr="003B3611" w:rsidRDefault="00911F85" w:rsidP="008742A1">
            <w:pPr>
              <w:pStyle w:val="Tabletext1"/>
              <w:jc w:val="right"/>
            </w:pPr>
            <w:r w:rsidRPr="003B3611">
              <w:t>$30.75</w:t>
            </w:r>
          </w:p>
        </w:tc>
        <w:tc>
          <w:tcPr>
            <w:tcW w:w="1701" w:type="pct"/>
            <w:tcBorders>
              <w:top w:val="nil"/>
              <w:bottom w:val="nil"/>
            </w:tcBorders>
            <w:noWrap/>
            <w:hideMark/>
          </w:tcPr>
          <w:p w14:paraId="4AF65CBB" w14:textId="77777777" w:rsidR="00911F85" w:rsidRPr="003B3611" w:rsidRDefault="00911F85" w:rsidP="008742A1">
            <w:pPr>
              <w:pStyle w:val="Tabletext1"/>
            </w:pPr>
            <w:r w:rsidRPr="003B3611">
              <w:t>MBS item 69354</w:t>
            </w:r>
          </w:p>
        </w:tc>
      </w:tr>
      <w:tr w:rsidR="00911F85" w:rsidRPr="003B3611" w14:paraId="0F068996" w14:textId="77777777" w:rsidTr="008742A1">
        <w:trPr>
          <w:trHeight w:val="300"/>
        </w:trPr>
        <w:tc>
          <w:tcPr>
            <w:tcW w:w="2120" w:type="pct"/>
            <w:tcBorders>
              <w:top w:val="nil"/>
              <w:bottom w:val="nil"/>
            </w:tcBorders>
            <w:noWrap/>
            <w:hideMark/>
          </w:tcPr>
          <w:p w14:paraId="6E85996C" w14:textId="77777777" w:rsidR="00911F85" w:rsidRPr="003B3611" w:rsidRDefault="00911F85" w:rsidP="00331FB9">
            <w:pPr>
              <w:pStyle w:val="Tabletext1"/>
              <w:numPr>
                <w:ilvl w:val="0"/>
                <w:numId w:val="21"/>
              </w:numPr>
              <w:ind w:left="454" w:hanging="283"/>
            </w:pPr>
            <w:r>
              <w:t>S</w:t>
            </w:r>
            <w:r w:rsidRPr="003B3611">
              <w:t>putum culture</w:t>
            </w:r>
          </w:p>
        </w:tc>
        <w:tc>
          <w:tcPr>
            <w:tcW w:w="1179" w:type="pct"/>
            <w:tcBorders>
              <w:top w:val="nil"/>
              <w:bottom w:val="nil"/>
            </w:tcBorders>
            <w:noWrap/>
            <w:hideMark/>
          </w:tcPr>
          <w:p w14:paraId="165BBB99" w14:textId="77777777" w:rsidR="00911F85" w:rsidRPr="003B3611" w:rsidRDefault="00911F85" w:rsidP="008742A1">
            <w:pPr>
              <w:pStyle w:val="Tabletext1"/>
              <w:jc w:val="right"/>
            </w:pPr>
            <w:r w:rsidRPr="003B3611">
              <w:t>$33.75</w:t>
            </w:r>
          </w:p>
        </w:tc>
        <w:tc>
          <w:tcPr>
            <w:tcW w:w="1701" w:type="pct"/>
            <w:tcBorders>
              <w:top w:val="nil"/>
              <w:bottom w:val="nil"/>
            </w:tcBorders>
            <w:noWrap/>
            <w:hideMark/>
          </w:tcPr>
          <w:p w14:paraId="58389DB2" w14:textId="77777777" w:rsidR="00911F85" w:rsidRPr="003B3611" w:rsidRDefault="00911F85" w:rsidP="008742A1">
            <w:pPr>
              <w:pStyle w:val="Tabletext1"/>
            </w:pPr>
            <w:r w:rsidRPr="003B3611">
              <w:t>MBS item 69318</w:t>
            </w:r>
          </w:p>
        </w:tc>
      </w:tr>
      <w:tr w:rsidR="00911F85" w:rsidRPr="003B3611" w14:paraId="4569E7DD" w14:textId="77777777" w:rsidTr="008742A1">
        <w:trPr>
          <w:trHeight w:val="300"/>
        </w:trPr>
        <w:tc>
          <w:tcPr>
            <w:tcW w:w="2120" w:type="pct"/>
            <w:tcBorders>
              <w:top w:val="nil"/>
              <w:bottom w:val="nil"/>
            </w:tcBorders>
            <w:noWrap/>
            <w:hideMark/>
          </w:tcPr>
          <w:p w14:paraId="08D903C1" w14:textId="77777777" w:rsidR="00911F85" w:rsidRPr="003B3611" w:rsidRDefault="00911F85" w:rsidP="00331FB9">
            <w:pPr>
              <w:pStyle w:val="Tabletext1"/>
              <w:numPr>
                <w:ilvl w:val="0"/>
                <w:numId w:val="21"/>
              </w:numPr>
              <w:ind w:left="454" w:hanging="283"/>
            </w:pPr>
            <w:r>
              <w:t>C</w:t>
            </w:r>
            <w:r w:rsidRPr="003B3611">
              <w:t>omplete blood count</w:t>
            </w:r>
          </w:p>
        </w:tc>
        <w:tc>
          <w:tcPr>
            <w:tcW w:w="1179" w:type="pct"/>
            <w:tcBorders>
              <w:top w:val="nil"/>
              <w:bottom w:val="nil"/>
            </w:tcBorders>
            <w:noWrap/>
            <w:hideMark/>
          </w:tcPr>
          <w:p w14:paraId="0871C8CD" w14:textId="77777777" w:rsidR="00911F85" w:rsidRPr="003B3611" w:rsidRDefault="00911F85" w:rsidP="008742A1">
            <w:pPr>
              <w:pStyle w:val="Tabletext1"/>
              <w:jc w:val="right"/>
            </w:pPr>
            <w:r w:rsidRPr="003B3611">
              <w:t>$16.95</w:t>
            </w:r>
          </w:p>
        </w:tc>
        <w:tc>
          <w:tcPr>
            <w:tcW w:w="1701" w:type="pct"/>
            <w:tcBorders>
              <w:top w:val="nil"/>
              <w:bottom w:val="nil"/>
            </w:tcBorders>
            <w:noWrap/>
            <w:hideMark/>
          </w:tcPr>
          <w:p w14:paraId="1031111B" w14:textId="77777777" w:rsidR="00911F85" w:rsidRPr="003B3611" w:rsidRDefault="00911F85" w:rsidP="008742A1">
            <w:pPr>
              <w:pStyle w:val="Tabletext1"/>
            </w:pPr>
            <w:r w:rsidRPr="003B3611">
              <w:t>MBS item 65070</w:t>
            </w:r>
          </w:p>
        </w:tc>
      </w:tr>
      <w:tr w:rsidR="00911F85" w:rsidRPr="003B3611" w14:paraId="686DF286" w14:textId="77777777" w:rsidTr="008742A1">
        <w:trPr>
          <w:trHeight w:val="300"/>
        </w:trPr>
        <w:tc>
          <w:tcPr>
            <w:tcW w:w="2120" w:type="pct"/>
            <w:tcBorders>
              <w:top w:val="nil"/>
              <w:bottom w:val="nil"/>
            </w:tcBorders>
            <w:noWrap/>
            <w:hideMark/>
          </w:tcPr>
          <w:p w14:paraId="0AF0E5D3" w14:textId="77777777" w:rsidR="00911F85" w:rsidRPr="003B3611" w:rsidRDefault="00911F85" w:rsidP="00331FB9">
            <w:pPr>
              <w:pStyle w:val="Tabletext1"/>
              <w:numPr>
                <w:ilvl w:val="0"/>
                <w:numId w:val="21"/>
              </w:numPr>
              <w:ind w:left="454" w:hanging="283"/>
            </w:pPr>
            <w:r>
              <w:lastRenderedPageBreak/>
              <w:t>Chest x-ray</w:t>
            </w:r>
          </w:p>
        </w:tc>
        <w:tc>
          <w:tcPr>
            <w:tcW w:w="1179" w:type="pct"/>
            <w:tcBorders>
              <w:top w:val="nil"/>
              <w:bottom w:val="nil"/>
            </w:tcBorders>
            <w:noWrap/>
            <w:hideMark/>
          </w:tcPr>
          <w:p w14:paraId="56AD8FA4" w14:textId="77777777" w:rsidR="00911F85" w:rsidRPr="003B3611" w:rsidRDefault="00911F85" w:rsidP="008742A1">
            <w:pPr>
              <w:pStyle w:val="Tabletext1"/>
              <w:jc w:val="right"/>
            </w:pPr>
            <w:r w:rsidRPr="003B3611">
              <w:t>$47.15</w:t>
            </w:r>
          </w:p>
        </w:tc>
        <w:tc>
          <w:tcPr>
            <w:tcW w:w="1701" w:type="pct"/>
            <w:tcBorders>
              <w:top w:val="nil"/>
              <w:bottom w:val="nil"/>
            </w:tcBorders>
            <w:noWrap/>
            <w:hideMark/>
          </w:tcPr>
          <w:p w14:paraId="5B6C6510" w14:textId="77777777" w:rsidR="00911F85" w:rsidRPr="003B3611" w:rsidRDefault="00911F85" w:rsidP="008742A1">
            <w:pPr>
              <w:pStyle w:val="Tabletext1"/>
            </w:pPr>
            <w:r w:rsidRPr="003B3611">
              <w:t>MBS item 58503</w:t>
            </w:r>
          </w:p>
        </w:tc>
      </w:tr>
      <w:tr w:rsidR="00911F85" w:rsidRPr="003B3611" w14:paraId="53FE0043" w14:textId="77777777" w:rsidTr="008742A1">
        <w:trPr>
          <w:trHeight w:val="300"/>
        </w:trPr>
        <w:tc>
          <w:tcPr>
            <w:tcW w:w="2120" w:type="pct"/>
            <w:tcBorders>
              <w:top w:val="nil"/>
              <w:bottom w:val="nil"/>
            </w:tcBorders>
            <w:noWrap/>
            <w:hideMark/>
          </w:tcPr>
          <w:p w14:paraId="5CFDE51B" w14:textId="77777777" w:rsidR="00911F85" w:rsidRPr="003B3611" w:rsidRDefault="00911F85" w:rsidP="00331FB9">
            <w:pPr>
              <w:pStyle w:val="Tabletext1"/>
              <w:numPr>
                <w:ilvl w:val="0"/>
                <w:numId w:val="21"/>
              </w:numPr>
              <w:ind w:left="454" w:hanging="283"/>
            </w:pPr>
            <w:r w:rsidRPr="003B3611">
              <w:t>10-day antibiotic course</w:t>
            </w:r>
          </w:p>
        </w:tc>
        <w:tc>
          <w:tcPr>
            <w:tcW w:w="1179" w:type="pct"/>
            <w:tcBorders>
              <w:top w:val="nil"/>
              <w:bottom w:val="nil"/>
            </w:tcBorders>
            <w:noWrap/>
            <w:hideMark/>
          </w:tcPr>
          <w:p w14:paraId="134B2244" w14:textId="77777777" w:rsidR="00911F85" w:rsidRPr="003B3611" w:rsidRDefault="00911F85" w:rsidP="008742A1">
            <w:pPr>
              <w:pStyle w:val="Tabletext1"/>
              <w:jc w:val="right"/>
            </w:pPr>
            <w:r w:rsidRPr="003B3611">
              <w:t>$26.72</w:t>
            </w:r>
          </w:p>
        </w:tc>
        <w:tc>
          <w:tcPr>
            <w:tcW w:w="1701" w:type="pct"/>
            <w:tcBorders>
              <w:top w:val="nil"/>
              <w:bottom w:val="nil"/>
            </w:tcBorders>
            <w:noWrap/>
            <w:hideMark/>
          </w:tcPr>
          <w:p w14:paraId="446E3BEE" w14:textId="77777777" w:rsidR="00911F85" w:rsidRPr="003B3611" w:rsidRDefault="00911F85" w:rsidP="008742A1">
            <w:pPr>
              <w:pStyle w:val="Tabletext1"/>
            </w:pPr>
            <w:r w:rsidRPr="003B3611">
              <w:t>PBS item 2951H</w:t>
            </w:r>
          </w:p>
        </w:tc>
      </w:tr>
      <w:tr w:rsidR="00911F85" w:rsidRPr="003B3611" w14:paraId="225D7666" w14:textId="77777777" w:rsidTr="008742A1">
        <w:trPr>
          <w:trHeight w:val="300"/>
        </w:trPr>
        <w:tc>
          <w:tcPr>
            <w:tcW w:w="2120" w:type="pct"/>
            <w:tcBorders>
              <w:top w:val="nil"/>
            </w:tcBorders>
            <w:noWrap/>
            <w:hideMark/>
          </w:tcPr>
          <w:p w14:paraId="525CEC45" w14:textId="77777777" w:rsidR="00911F85" w:rsidRPr="003B3611" w:rsidRDefault="00911F85" w:rsidP="008742A1">
            <w:pPr>
              <w:pStyle w:val="Tabletext1"/>
            </w:pPr>
            <w:r w:rsidRPr="003B3611">
              <w:t>Total cost of treating moderate infections</w:t>
            </w:r>
          </w:p>
        </w:tc>
        <w:tc>
          <w:tcPr>
            <w:tcW w:w="1179" w:type="pct"/>
            <w:tcBorders>
              <w:top w:val="nil"/>
            </w:tcBorders>
            <w:noWrap/>
            <w:hideMark/>
          </w:tcPr>
          <w:p w14:paraId="51E0FC6A" w14:textId="77777777" w:rsidR="00911F85" w:rsidRPr="003B3611" w:rsidRDefault="00911F85" w:rsidP="008742A1">
            <w:pPr>
              <w:pStyle w:val="Tabletext1"/>
              <w:jc w:val="right"/>
            </w:pPr>
            <w:r w:rsidRPr="003B3611">
              <w:t>$</w:t>
            </w:r>
            <w:r>
              <w:t>412.67</w:t>
            </w:r>
          </w:p>
        </w:tc>
        <w:tc>
          <w:tcPr>
            <w:tcW w:w="1701" w:type="pct"/>
            <w:tcBorders>
              <w:top w:val="nil"/>
            </w:tcBorders>
            <w:noWrap/>
            <w:hideMark/>
          </w:tcPr>
          <w:p w14:paraId="3F40572F" w14:textId="77777777" w:rsidR="00911F85" w:rsidRPr="003B3611" w:rsidRDefault="00911F85" w:rsidP="008742A1">
            <w:pPr>
              <w:pStyle w:val="Tabletext1"/>
            </w:pPr>
          </w:p>
        </w:tc>
      </w:tr>
      <w:tr w:rsidR="00911F85" w:rsidRPr="003B3611" w14:paraId="659BCA9D" w14:textId="77777777" w:rsidTr="008742A1">
        <w:trPr>
          <w:trHeight w:val="300"/>
        </w:trPr>
        <w:tc>
          <w:tcPr>
            <w:tcW w:w="2120" w:type="pct"/>
            <w:noWrap/>
            <w:hideMark/>
          </w:tcPr>
          <w:p w14:paraId="7693F61A" w14:textId="77777777" w:rsidR="00911F85" w:rsidRPr="003B3611" w:rsidRDefault="00911F85" w:rsidP="008742A1">
            <w:pPr>
              <w:pStyle w:val="Tabletext1"/>
            </w:pPr>
            <w:r>
              <w:t xml:space="preserve">Cost of treating </w:t>
            </w:r>
            <w:r w:rsidRPr="003B3611">
              <w:t>trivial infections</w:t>
            </w:r>
          </w:p>
        </w:tc>
        <w:tc>
          <w:tcPr>
            <w:tcW w:w="1179" w:type="pct"/>
            <w:noWrap/>
            <w:hideMark/>
          </w:tcPr>
          <w:p w14:paraId="2555357D" w14:textId="77777777" w:rsidR="00911F85" w:rsidRPr="003B3611" w:rsidRDefault="00911F85" w:rsidP="008742A1">
            <w:pPr>
              <w:pStyle w:val="Tabletext1"/>
              <w:jc w:val="right"/>
            </w:pPr>
            <w:r w:rsidRPr="003B3611">
              <w:t>$</w:t>
            </w:r>
            <w:r>
              <w:t>38.20</w:t>
            </w:r>
          </w:p>
        </w:tc>
        <w:tc>
          <w:tcPr>
            <w:tcW w:w="1701" w:type="pct"/>
            <w:noWrap/>
            <w:hideMark/>
          </w:tcPr>
          <w:p w14:paraId="50F1C191" w14:textId="77777777" w:rsidR="00911F85" w:rsidRPr="003B3611" w:rsidRDefault="00911F85" w:rsidP="008742A1">
            <w:pPr>
              <w:pStyle w:val="Tabletext1"/>
            </w:pPr>
            <w:r>
              <w:t>MBS item 23</w:t>
            </w:r>
          </w:p>
        </w:tc>
      </w:tr>
      <w:tr w:rsidR="00911F85" w:rsidRPr="003B3611" w14:paraId="37D62C14" w14:textId="77777777" w:rsidTr="008742A1">
        <w:trPr>
          <w:trHeight w:val="300"/>
        </w:trPr>
        <w:tc>
          <w:tcPr>
            <w:tcW w:w="2120" w:type="pct"/>
            <w:noWrap/>
          </w:tcPr>
          <w:p w14:paraId="24B8DB4E" w14:textId="77777777" w:rsidR="00911F85" w:rsidRPr="003B3611" w:rsidRDefault="00911F85" w:rsidP="008742A1">
            <w:pPr>
              <w:pStyle w:val="Tabletext1"/>
            </w:pPr>
            <w:r>
              <w:t>Weighted cost of treating non-serious infections</w:t>
            </w:r>
          </w:p>
        </w:tc>
        <w:tc>
          <w:tcPr>
            <w:tcW w:w="1179" w:type="pct"/>
            <w:noWrap/>
          </w:tcPr>
          <w:p w14:paraId="62C1F2E3" w14:textId="77777777" w:rsidR="00911F85" w:rsidRPr="003B3611" w:rsidRDefault="00911F85" w:rsidP="008742A1">
            <w:pPr>
              <w:pStyle w:val="Tabletext1"/>
              <w:jc w:val="right"/>
            </w:pPr>
            <w:r>
              <w:t>$183.95</w:t>
            </w:r>
          </w:p>
        </w:tc>
        <w:tc>
          <w:tcPr>
            <w:tcW w:w="1701" w:type="pct"/>
            <w:noWrap/>
          </w:tcPr>
          <w:p w14:paraId="458FC71B" w14:textId="16398E5E" w:rsidR="00911F85" w:rsidRPr="003B3611" w:rsidRDefault="00911F85" w:rsidP="00BB0145">
            <w:pPr>
              <w:pStyle w:val="Tabletext1"/>
            </w:pPr>
            <w:r>
              <w:t xml:space="preserve">Based on weighting of infections as reported in </w:t>
            </w:r>
            <w:r w:rsidRPr="00C127B0">
              <w:t>Weeks, Tierney &amp; Weinstein</w:t>
            </w:r>
            <w:r>
              <w:t xml:space="preserve"> </w:t>
            </w:r>
            <w:r>
              <w:fldChar w:fldCharType="begin"/>
            </w:r>
            <w:r>
              <w:instrText xml:space="preserve"> ADDIN EN.CITE &lt;EndNote&gt;&lt;Cite ExcludeAuth="1"&gt;&lt;Author&gt;Weeks&lt;/Author&gt;&lt;Year&gt;1991&lt;/Year&gt;&lt;RecNum&gt;35&lt;/RecNum&gt;&lt;DisplayText&gt;(1991)&lt;/DisplayText&gt;&lt;record&gt;&lt;rec-number&gt;35&lt;/rec-number&gt;&lt;foreign-keys&gt;&lt;key app="EN" db-id="z0vwsepdwpt20pewwts5z9eup9e2r2pd2tad" timestamp="1553825060"&gt;35&lt;/key&gt;&lt;/foreign-keys&gt;&lt;ref-type name="Journal Article"&gt;17&lt;/ref-type&gt;&lt;contributors&gt;&lt;authors&gt;&lt;author&gt;Weeks, J. C.&lt;/author&gt;&lt;author&gt;Tierney, M. R.&lt;/author&gt;&lt;author&gt;Weinstein, M. C.&lt;/author&gt;&lt;/authors&gt;&lt;/contributors&gt;&lt;titles&gt;&lt;title&gt;Cost effectiveness of prophylactic intravenous immune globulin in chronic lymphocytic leukemia&lt;/title&gt;&lt;secondary-title&gt;New England journal of medicine&lt;/secondary-title&gt;&lt;/titles&gt;&lt;periodical&gt;&lt;full-title&gt;New England journal of medicine&lt;/full-title&gt;&lt;/periodical&gt;&lt;pages&gt;81</w:instrText>
            </w:r>
            <w:r>
              <w:rPr>
                <w:rFonts w:ascii="Cambria Math" w:hAnsi="Cambria Math" w:cs="Cambria Math"/>
              </w:rPr>
              <w:instrText>‐</w:instrText>
            </w:r>
            <w:r>
              <w:instrText>86&lt;/pages&gt;&lt;volume&gt;325&lt;/volume&gt;&lt;number&gt;2&lt;/number&gt;&lt;keywords&gt;&lt;keyword&gt;Agammaglobulinemia [complications]&lt;/keyword&gt;&lt;keyword&gt;Bacterial Infections [*prevention &amp;amp; control]&lt;/keyword&gt;&lt;keyword&gt;Cost</w:instrText>
            </w:r>
            <w:r>
              <w:rPr>
                <w:rFonts w:ascii="Cambria Math" w:hAnsi="Cambria Math" w:cs="Cambria Math"/>
              </w:rPr>
              <w:instrText>‐</w:instrText>
            </w:r>
            <w:r>
              <w:instrText>Benefit Analysis&lt;/keyword&gt;&lt;keyword&gt;Humans&lt;/keyword&gt;&lt;keyword&gt;Immunization, Passive [*economics]&lt;/keyword&gt;&lt;keyword&gt;Immunoglobulins [*administration &amp;amp; dosage]&lt;/keyword&gt;&lt;keyword&gt;Infusions, Intravenous&lt;/keyword&gt;&lt;keyword&gt;Leukemia, Lymphocytic, Chronic, B</w:instrText>
            </w:r>
            <w:r>
              <w:rPr>
                <w:rFonts w:ascii="Cambria Math" w:hAnsi="Cambria Math" w:cs="Cambria Math"/>
              </w:rPr>
              <w:instrText>‐</w:instrText>
            </w:r>
            <w:r>
              <w:instrText>Cell [*complications, economics]&lt;/keyword&gt;&lt;keyword&gt;Life Expectancy&lt;/keyword&gt;&lt;keyword&gt;Models, Theoretical&lt;/keyword&gt;&lt;keyword&gt;Quality of Life&lt;/keyword&gt;&lt;keyword&gt;United States&lt;/keyword&gt;&lt;keyword&gt;Cost-Benefit Analysis&lt;/keyword&gt;&lt;keyword&gt;Leukemia, Lymphoid&lt;/keyword&gt;&lt;keyword&gt;Immunoglobulins, Intravenous&lt;/keyword&gt;&lt;keyword&gt;Immunoglobulins&lt;/keyword&gt;&lt;/keywords&gt;&lt;dates&gt;&lt;year&gt;1991&lt;/year&gt;&lt;pub-dates&gt;&lt;date&gt;1991&lt;/date&gt;&lt;/pub-dates&gt;&lt;/dates&gt;&lt;accession-num&gt;CN-00076105&lt;/accession-num&gt;&lt;urls&gt;&lt;related-urls&gt;&lt;url&gt;&lt;style face="underline" font="default" size="100%"&gt;https://www.cochranelibrary.com/central/doi/10.1002/central/CN-00076105/full&lt;/style&gt;&lt;/url&gt;&lt;/related-urls&gt;&lt;/urls&gt;&lt;custom1&gt;RAYYAN-INCLUSION: {&amp;quot;Skye&amp;quot;=&amp;gt;&amp;quot;Included&amp;quot;}&lt;/custom1&gt;&lt;research-notes&gt;X - decision analytic study, no new clinical data&lt;/research-notes&gt;&lt;/record&gt;&lt;/Cite&gt;&lt;/EndNote&gt;</w:instrText>
            </w:r>
            <w:r>
              <w:fldChar w:fldCharType="separate"/>
            </w:r>
            <w:r>
              <w:rPr>
                <w:noProof/>
              </w:rPr>
              <w:t>(</w:t>
            </w:r>
            <w:hyperlink w:anchor="_ENREF_56" w:tooltip="Weeks, 1991 #35" w:history="1">
              <w:r w:rsidR="00BB0145">
                <w:rPr>
                  <w:noProof/>
                </w:rPr>
                <w:t>1991</w:t>
              </w:r>
            </w:hyperlink>
            <w:r>
              <w:rPr>
                <w:noProof/>
              </w:rPr>
              <w:t>)</w:t>
            </w:r>
            <w:r>
              <w:fldChar w:fldCharType="end"/>
            </w:r>
            <w:r>
              <w:t xml:space="preserve"> (67% moderate)</w:t>
            </w:r>
          </w:p>
        </w:tc>
      </w:tr>
    </w:tbl>
    <w:p w14:paraId="2E65C9DE" w14:textId="77777777" w:rsidR="00911F85" w:rsidRDefault="00911F85" w:rsidP="00911F85">
      <w:pPr>
        <w:pStyle w:val="Tablenotes1"/>
      </w:pPr>
    </w:p>
    <w:p w14:paraId="11FE11E2" w14:textId="07939DD5" w:rsidR="00911F85" w:rsidRDefault="00911F85" w:rsidP="00911F85">
      <w:r>
        <w:t xml:space="preserve">As infection severity varies with or without Ig so too will the overall cost of treating infections. Infection severity by model arm has previously been described in Section D.4.1, thus the overall cost of treating infections with Ig is estimated to be </w:t>
      </w:r>
      <w:r w:rsidRPr="002A1220">
        <w:t>$</w:t>
      </w:r>
      <w:r w:rsidR="00174F88">
        <w:t>1,313</w:t>
      </w:r>
      <w:r w:rsidR="00BA6336">
        <w:t xml:space="preserve"> </w:t>
      </w:r>
      <w:r>
        <w:t xml:space="preserve">and without Ig, </w:t>
      </w:r>
      <w:r w:rsidRPr="002A1220">
        <w:t>$</w:t>
      </w:r>
      <w:r w:rsidR="00174F88">
        <w:t>3,861</w:t>
      </w:r>
      <w:r>
        <w:t xml:space="preserve"> (</w:t>
      </w:r>
      <w:r>
        <w:fldChar w:fldCharType="begin"/>
      </w:r>
      <w:r>
        <w:instrText xml:space="preserve"> REF _Ref11229210 \h </w:instrText>
      </w:r>
      <w:r>
        <w:fldChar w:fldCharType="separate"/>
      </w:r>
      <w:r w:rsidR="00A7463B">
        <w:t xml:space="preserve">Table </w:t>
      </w:r>
      <w:r w:rsidR="00A7463B">
        <w:rPr>
          <w:noProof/>
        </w:rPr>
        <w:t>49</w:t>
      </w:r>
      <w:r>
        <w:fldChar w:fldCharType="end"/>
      </w:r>
      <w:r>
        <w:t>). This cost is applied on the transition from the infection-free to infection health state.</w:t>
      </w:r>
    </w:p>
    <w:p w14:paraId="5B00C279" w14:textId="6CF239A8" w:rsidR="00911F85" w:rsidRDefault="00911F85" w:rsidP="00911F85">
      <w:pPr>
        <w:pStyle w:val="Caption"/>
        <w:keepNext/>
      </w:pPr>
      <w:bookmarkStart w:id="513" w:name="_Ref11229210"/>
      <w:bookmarkStart w:id="514" w:name="_Toc14348883"/>
      <w:bookmarkStart w:id="515" w:name="_Toc16671647"/>
      <w:r>
        <w:t xml:space="preserve">Table </w:t>
      </w:r>
      <w:r>
        <w:rPr>
          <w:noProof/>
        </w:rPr>
        <w:fldChar w:fldCharType="begin"/>
      </w:r>
      <w:r>
        <w:rPr>
          <w:noProof/>
        </w:rPr>
        <w:instrText xml:space="preserve"> SEQ Table \* ARABIC </w:instrText>
      </w:r>
      <w:r>
        <w:rPr>
          <w:noProof/>
        </w:rPr>
        <w:fldChar w:fldCharType="separate"/>
      </w:r>
      <w:r w:rsidR="00A7463B">
        <w:rPr>
          <w:noProof/>
        </w:rPr>
        <w:t>49</w:t>
      </w:r>
      <w:r>
        <w:rPr>
          <w:noProof/>
        </w:rPr>
        <w:fldChar w:fldCharType="end"/>
      </w:r>
      <w:bookmarkEnd w:id="513"/>
      <w:r>
        <w:tab/>
        <w:t>Average cost of treating infections by model arm</w:t>
      </w:r>
      <w:bookmarkEnd w:id="514"/>
      <w:bookmarkEnd w:id="515"/>
    </w:p>
    <w:tbl>
      <w:tblPr>
        <w:tblStyle w:val="TableGrid1"/>
        <w:tblW w:w="5000" w:type="pct"/>
        <w:tblLayout w:type="fixed"/>
        <w:tblLook w:val="04A0" w:firstRow="1" w:lastRow="0" w:firstColumn="1" w:lastColumn="0" w:noHBand="0" w:noVBand="1"/>
        <w:tblCaption w:val="Average cost of treating infections by model arm"/>
      </w:tblPr>
      <w:tblGrid>
        <w:gridCol w:w="3770"/>
        <w:gridCol w:w="1673"/>
        <w:gridCol w:w="1673"/>
        <w:gridCol w:w="2126"/>
      </w:tblGrid>
      <w:tr w:rsidR="00911F85" w:rsidRPr="002A1220" w14:paraId="7A5EAB27" w14:textId="77777777" w:rsidTr="008742A1">
        <w:trPr>
          <w:cnfStyle w:val="100000000000" w:firstRow="1" w:lastRow="0" w:firstColumn="0" w:lastColumn="0" w:oddVBand="0" w:evenVBand="0" w:oddHBand="0" w:evenHBand="0" w:firstRowFirstColumn="0" w:firstRowLastColumn="0" w:lastRowFirstColumn="0" w:lastRowLastColumn="0"/>
          <w:cantSplit/>
          <w:trHeight w:val="300"/>
          <w:tblHeader/>
        </w:trPr>
        <w:tc>
          <w:tcPr>
            <w:tcW w:w="2040" w:type="pct"/>
            <w:noWrap/>
          </w:tcPr>
          <w:p w14:paraId="47317EB6" w14:textId="77777777" w:rsidR="00911F85" w:rsidRPr="002A1220" w:rsidRDefault="00911F85" w:rsidP="008742A1">
            <w:pPr>
              <w:pStyle w:val="TableHeading"/>
            </w:pPr>
          </w:p>
        </w:tc>
        <w:tc>
          <w:tcPr>
            <w:tcW w:w="905" w:type="pct"/>
            <w:noWrap/>
          </w:tcPr>
          <w:p w14:paraId="50D6F564" w14:textId="77777777" w:rsidR="00911F85" w:rsidRPr="002A1220" w:rsidRDefault="00911F85" w:rsidP="008742A1">
            <w:pPr>
              <w:pStyle w:val="TableHeading"/>
              <w:jc w:val="center"/>
            </w:pPr>
            <w:r w:rsidRPr="002A1220">
              <w:t>Ig</w:t>
            </w:r>
          </w:p>
        </w:tc>
        <w:tc>
          <w:tcPr>
            <w:tcW w:w="905" w:type="pct"/>
            <w:noWrap/>
          </w:tcPr>
          <w:p w14:paraId="6190DF08" w14:textId="77777777" w:rsidR="00911F85" w:rsidRPr="002A1220" w:rsidRDefault="00911F85" w:rsidP="008742A1">
            <w:pPr>
              <w:pStyle w:val="TableHeading"/>
              <w:jc w:val="center"/>
            </w:pPr>
            <w:r w:rsidRPr="002A1220">
              <w:t>No Ig</w:t>
            </w:r>
          </w:p>
        </w:tc>
        <w:tc>
          <w:tcPr>
            <w:tcW w:w="1150" w:type="pct"/>
            <w:noWrap/>
          </w:tcPr>
          <w:p w14:paraId="0DC930B8" w14:textId="77777777" w:rsidR="00911F85" w:rsidRPr="002A1220" w:rsidRDefault="00911F85" w:rsidP="008742A1">
            <w:pPr>
              <w:pStyle w:val="TableHeading"/>
            </w:pPr>
            <w:r w:rsidRPr="002A1220">
              <w:t>Source</w:t>
            </w:r>
          </w:p>
        </w:tc>
      </w:tr>
      <w:tr w:rsidR="00174F88" w:rsidRPr="002A1220" w14:paraId="52725610" w14:textId="77777777" w:rsidTr="008742A1">
        <w:trPr>
          <w:cantSplit/>
          <w:trHeight w:val="300"/>
        </w:trPr>
        <w:tc>
          <w:tcPr>
            <w:tcW w:w="2040" w:type="pct"/>
            <w:noWrap/>
            <w:hideMark/>
          </w:tcPr>
          <w:p w14:paraId="1CD8ECBC" w14:textId="77777777" w:rsidR="00174F88" w:rsidRPr="002A1220" w:rsidRDefault="00174F88" w:rsidP="00174F88">
            <w:pPr>
              <w:pStyle w:val="Tabletext1"/>
            </w:pPr>
            <w:r w:rsidRPr="002A1220">
              <w:t>Proportion of serious infections</w:t>
            </w:r>
          </w:p>
        </w:tc>
        <w:tc>
          <w:tcPr>
            <w:tcW w:w="905" w:type="pct"/>
            <w:noWrap/>
            <w:hideMark/>
          </w:tcPr>
          <w:p w14:paraId="48FE9B9F" w14:textId="67EB2DE2" w:rsidR="00174F88" w:rsidRPr="002A1220" w:rsidRDefault="00174F88" w:rsidP="00174F88">
            <w:pPr>
              <w:pStyle w:val="Tabletext1"/>
              <w:jc w:val="right"/>
            </w:pPr>
            <w:r w:rsidRPr="004E7F56">
              <w:t>8.9%</w:t>
            </w:r>
          </w:p>
        </w:tc>
        <w:tc>
          <w:tcPr>
            <w:tcW w:w="905" w:type="pct"/>
            <w:noWrap/>
            <w:hideMark/>
          </w:tcPr>
          <w:p w14:paraId="6AA50CDC" w14:textId="379423CE" w:rsidR="00174F88" w:rsidRPr="002A1220" w:rsidRDefault="00174F88" w:rsidP="00174F88">
            <w:pPr>
              <w:pStyle w:val="Tabletext1"/>
              <w:jc w:val="right"/>
            </w:pPr>
            <w:r w:rsidRPr="004E7F56">
              <w:t>29.0%</w:t>
            </w:r>
          </w:p>
        </w:tc>
        <w:tc>
          <w:tcPr>
            <w:tcW w:w="1150" w:type="pct"/>
            <w:noWrap/>
            <w:hideMark/>
          </w:tcPr>
          <w:p w14:paraId="58EB358D" w14:textId="451A974C" w:rsidR="00174F88" w:rsidRPr="002A1220" w:rsidRDefault="00174F88" w:rsidP="00174F88">
            <w:pPr>
              <w:pStyle w:val="Tabletext1"/>
            </w:pPr>
            <w:r>
              <w:fldChar w:fldCharType="begin"/>
            </w:r>
            <w:r>
              <w:instrText xml:space="preserve"> REF _Ref12894613 \h </w:instrText>
            </w:r>
            <w:r>
              <w:fldChar w:fldCharType="separate"/>
            </w:r>
            <w:r w:rsidR="00A7463B" w:rsidRPr="009F34B1">
              <w:t xml:space="preserve">Table </w:t>
            </w:r>
            <w:r w:rsidR="00A7463B">
              <w:rPr>
                <w:noProof/>
              </w:rPr>
              <w:t>40</w:t>
            </w:r>
            <w:r>
              <w:fldChar w:fldCharType="end"/>
            </w:r>
          </w:p>
        </w:tc>
      </w:tr>
      <w:tr w:rsidR="00174F88" w:rsidRPr="002A1220" w14:paraId="1AB60BE5" w14:textId="77777777" w:rsidTr="008742A1">
        <w:trPr>
          <w:cantSplit/>
          <w:trHeight w:val="300"/>
        </w:trPr>
        <w:tc>
          <w:tcPr>
            <w:tcW w:w="2040" w:type="pct"/>
            <w:noWrap/>
            <w:hideMark/>
          </w:tcPr>
          <w:p w14:paraId="075C769D" w14:textId="77777777" w:rsidR="00174F88" w:rsidRPr="002A1220" w:rsidRDefault="00174F88" w:rsidP="00174F88">
            <w:pPr>
              <w:pStyle w:val="Tabletext1"/>
            </w:pPr>
            <w:r w:rsidRPr="002A1220">
              <w:t>Cost to treat a serious infection</w:t>
            </w:r>
          </w:p>
        </w:tc>
        <w:tc>
          <w:tcPr>
            <w:tcW w:w="905" w:type="pct"/>
            <w:noWrap/>
            <w:hideMark/>
          </w:tcPr>
          <w:p w14:paraId="013F0D80" w14:textId="282B0AD0" w:rsidR="00174F88" w:rsidRPr="002A1220" w:rsidRDefault="00174F88" w:rsidP="00174F88">
            <w:pPr>
              <w:pStyle w:val="Tabletext1"/>
              <w:jc w:val="right"/>
            </w:pPr>
            <w:r w:rsidRPr="004E7F56">
              <w:t>$12,852.05</w:t>
            </w:r>
          </w:p>
        </w:tc>
        <w:tc>
          <w:tcPr>
            <w:tcW w:w="905" w:type="pct"/>
            <w:noWrap/>
            <w:hideMark/>
          </w:tcPr>
          <w:p w14:paraId="6AF59E45" w14:textId="164A9CFD" w:rsidR="00174F88" w:rsidRPr="002A1220" w:rsidRDefault="00174F88" w:rsidP="00174F88">
            <w:pPr>
              <w:pStyle w:val="Tabletext1"/>
              <w:jc w:val="right"/>
            </w:pPr>
            <w:r w:rsidRPr="004E7F56">
              <w:t>$12,852.05</w:t>
            </w:r>
          </w:p>
        </w:tc>
        <w:tc>
          <w:tcPr>
            <w:tcW w:w="1150" w:type="pct"/>
            <w:noWrap/>
            <w:hideMark/>
          </w:tcPr>
          <w:p w14:paraId="6BC5B4CD" w14:textId="47755E11" w:rsidR="00174F88" w:rsidRPr="002A1220" w:rsidRDefault="00174F88" w:rsidP="00174F88">
            <w:pPr>
              <w:pStyle w:val="Tabletext1"/>
            </w:pPr>
            <w:r>
              <w:fldChar w:fldCharType="begin"/>
            </w:r>
            <w:r>
              <w:instrText xml:space="preserve"> REF _Ref13668862 \h </w:instrText>
            </w:r>
            <w:r>
              <w:fldChar w:fldCharType="separate"/>
            </w:r>
            <w:r w:rsidR="00A7463B">
              <w:t xml:space="preserve">Table </w:t>
            </w:r>
            <w:r w:rsidR="00A7463B">
              <w:rPr>
                <w:noProof/>
              </w:rPr>
              <w:t>48</w:t>
            </w:r>
            <w:r>
              <w:fldChar w:fldCharType="end"/>
            </w:r>
          </w:p>
        </w:tc>
      </w:tr>
      <w:tr w:rsidR="00174F88" w:rsidRPr="002A1220" w14:paraId="6CBFD97D" w14:textId="77777777" w:rsidTr="008742A1">
        <w:trPr>
          <w:cantSplit/>
          <w:trHeight w:val="300"/>
        </w:trPr>
        <w:tc>
          <w:tcPr>
            <w:tcW w:w="2040" w:type="pct"/>
            <w:noWrap/>
            <w:hideMark/>
          </w:tcPr>
          <w:p w14:paraId="54F30790" w14:textId="77777777" w:rsidR="00174F88" w:rsidRPr="002A1220" w:rsidRDefault="00174F88" w:rsidP="00174F88">
            <w:pPr>
              <w:pStyle w:val="Tabletext1"/>
            </w:pPr>
            <w:r w:rsidRPr="002A1220">
              <w:t>Proportion of non-serious infections</w:t>
            </w:r>
          </w:p>
        </w:tc>
        <w:tc>
          <w:tcPr>
            <w:tcW w:w="905" w:type="pct"/>
            <w:noWrap/>
            <w:hideMark/>
          </w:tcPr>
          <w:p w14:paraId="0A760212" w14:textId="27E323E0" w:rsidR="00174F88" w:rsidRPr="002A1220" w:rsidRDefault="00174F88" w:rsidP="00174F88">
            <w:pPr>
              <w:pStyle w:val="Tabletext1"/>
              <w:jc w:val="right"/>
            </w:pPr>
            <w:r w:rsidRPr="004E7F56">
              <w:t>91.1%</w:t>
            </w:r>
          </w:p>
        </w:tc>
        <w:tc>
          <w:tcPr>
            <w:tcW w:w="905" w:type="pct"/>
            <w:noWrap/>
            <w:hideMark/>
          </w:tcPr>
          <w:p w14:paraId="6C3A2F73" w14:textId="7B720723" w:rsidR="00174F88" w:rsidRPr="002A1220" w:rsidRDefault="00174F88" w:rsidP="00174F88">
            <w:pPr>
              <w:pStyle w:val="Tabletext1"/>
              <w:jc w:val="right"/>
            </w:pPr>
            <w:r w:rsidRPr="004E7F56">
              <w:t>71.0%</w:t>
            </w:r>
          </w:p>
        </w:tc>
        <w:tc>
          <w:tcPr>
            <w:tcW w:w="1150" w:type="pct"/>
            <w:noWrap/>
            <w:hideMark/>
          </w:tcPr>
          <w:p w14:paraId="0F3B307D" w14:textId="77777777" w:rsidR="00174F88" w:rsidRPr="002A1220" w:rsidRDefault="00174F88" w:rsidP="00174F88">
            <w:pPr>
              <w:pStyle w:val="Tabletext1"/>
            </w:pPr>
          </w:p>
        </w:tc>
      </w:tr>
      <w:tr w:rsidR="00174F88" w:rsidRPr="002A1220" w14:paraId="3DCBD04D" w14:textId="77777777" w:rsidTr="008742A1">
        <w:trPr>
          <w:cantSplit/>
          <w:trHeight w:val="300"/>
        </w:trPr>
        <w:tc>
          <w:tcPr>
            <w:tcW w:w="2040" w:type="pct"/>
            <w:noWrap/>
            <w:hideMark/>
          </w:tcPr>
          <w:p w14:paraId="17078573" w14:textId="77777777" w:rsidR="00174F88" w:rsidRPr="002A1220" w:rsidRDefault="00174F88" w:rsidP="00174F88">
            <w:pPr>
              <w:pStyle w:val="Tabletext1"/>
            </w:pPr>
            <w:r w:rsidRPr="002A1220">
              <w:t>Cost to treat a non-serious infection</w:t>
            </w:r>
          </w:p>
        </w:tc>
        <w:tc>
          <w:tcPr>
            <w:tcW w:w="905" w:type="pct"/>
            <w:noWrap/>
            <w:hideMark/>
          </w:tcPr>
          <w:p w14:paraId="16975C21" w14:textId="77BA7084" w:rsidR="00174F88" w:rsidRPr="002A1220" w:rsidRDefault="00174F88" w:rsidP="00174F88">
            <w:pPr>
              <w:pStyle w:val="Tabletext1"/>
              <w:jc w:val="right"/>
            </w:pPr>
            <w:r w:rsidRPr="004E7F56">
              <w:t>$183.95</w:t>
            </w:r>
          </w:p>
        </w:tc>
        <w:tc>
          <w:tcPr>
            <w:tcW w:w="905" w:type="pct"/>
            <w:noWrap/>
            <w:hideMark/>
          </w:tcPr>
          <w:p w14:paraId="47B61F2D" w14:textId="0844D926" w:rsidR="00174F88" w:rsidRPr="002A1220" w:rsidRDefault="00174F88" w:rsidP="00174F88">
            <w:pPr>
              <w:pStyle w:val="Tabletext1"/>
              <w:jc w:val="right"/>
            </w:pPr>
            <w:r w:rsidRPr="004E7F56">
              <w:t>$183.95</w:t>
            </w:r>
          </w:p>
        </w:tc>
        <w:tc>
          <w:tcPr>
            <w:tcW w:w="1150" w:type="pct"/>
            <w:noWrap/>
            <w:hideMark/>
          </w:tcPr>
          <w:p w14:paraId="30D6DC3D" w14:textId="7CA688F0" w:rsidR="00174F88" w:rsidRPr="002A1220" w:rsidRDefault="00174F88" w:rsidP="00174F88">
            <w:pPr>
              <w:pStyle w:val="Tabletext1"/>
            </w:pPr>
            <w:r>
              <w:fldChar w:fldCharType="begin"/>
            </w:r>
            <w:r>
              <w:instrText xml:space="preserve"> REF _Ref13668862 \h </w:instrText>
            </w:r>
            <w:r>
              <w:fldChar w:fldCharType="separate"/>
            </w:r>
            <w:r w:rsidR="00A7463B">
              <w:t xml:space="preserve">Table </w:t>
            </w:r>
            <w:r w:rsidR="00A7463B">
              <w:rPr>
                <w:noProof/>
              </w:rPr>
              <w:t>48</w:t>
            </w:r>
            <w:r>
              <w:fldChar w:fldCharType="end"/>
            </w:r>
          </w:p>
        </w:tc>
      </w:tr>
      <w:tr w:rsidR="00174F88" w:rsidRPr="002A1220" w14:paraId="5DF7F218" w14:textId="77777777" w:rsidTr="008742A1">
        <w:trPr>
          <w:cantSplit/>
          <w:trHeight w:val="300"/>
        </w:trPr>
        <w:tc>
          <w:tcPr>
            <w:tcW w:w="2040" w:type="pct"/>
            <w:noWrap/>
            <w:hideMark/>
          </w:tcPr>
          <w:p w14:paraId="4F02E008" w14:textId="77777777" w:rsidR="00174F88" w:rsidRPr="002A1220" w:rsidRDefault="00174F88" w:rsidP="00174F88">
            <w:pPr>
              <w:pStyle w:val="Tabletext1"/>
              <w:rPr>
                <w:b/>
              </w:rPr>
            </w:pPr>
            <w:r w:rsidRPr="002A1220">
              <w:rPr>
                <w:b/>
              </w:rPr>
              <w:t>Average cost per infection</w:t>
            </w:r>
          </w:p>
        </w:tc>
        <w:tc>
          <w:tcPr>
            <w:tcW w:w="905" w:type="pct"/>
            <w:noWrap/>
            <w:hideMark/>
          </w:tcPr>
          <w:p w14:paraId="3C596660" w14:textId="1BE06C6E" w:rsidR="00174F88" w:rsidRPr="00174F88" w:rsidRDefault="00174F88" w:rsidP="00174F88">
            <w:pPr>
              <w:pStyle w:val="Tabletext1"/>
              <w:jc w:val="right"/>
              <w:rPr>
                <w:b/>
              </w:rPr>
            </w:pPr>
            <w:r w:rsidRPr="00174F88">
              <w:rPr>
                <w:b/>
              </w:rPr>
              <w:t>$1,313.44</w:t>
            </w:r>
          </w:p>
        </w:tc>
        <w:tc>
          <w:tcPr>
            <w:tcW w:w="905" w:type="pct"/>
            <w:noWrap/>
            <w:hideMark/>
          </w:tcPr>
          <w:p w14:paraId="4CB9580D" w14:textId="0BAC7A93" w:rsidR="00174F88" w:rsidRPr="00174F88" w:rsidRDefault="00174F88" w:rsidP="00174F88">
            <w:pPr>
              <w:pStyle w:val="Tabletext1"/>
              <w:jc w:val="right"/>
              <w:rPr>
                <w:b/>
              </w:rPr>
            </w:pPr>
            <w:r w:rsidRPr="00174F88">
              <w:rPr>
                <w:b/>
              </w:rPr>
              <w:t>$3,861.10</w:t>
            </w:r>
          </w:p>
        </w:tc>
        <w:tc>
          <w:tcPr>
            <w:tcW w:w="1150" w:type="pct"/>
            <w:noWrap/>
            <w:hideMark/>
          </w:tcPr>
          <w:p w14:paraId="7D73C921" w14:textId="77777777" w:rsidR="00174F88" w:rsidRPr="002A1220" w:rsidRDefault="00174F88" w:rsidP="00174F88">
            <w:pPr>
              <w:pStyle w:val="Tabletext1"/>
              <w:rPr>
                <w:b/>
              </w:rPr>
            </w:pPr>
          </w:p>
        </w:tc>
      </w:tr>
    </w:tbl>
    <w:p w14:paraId="0C0F6D58" w14:textId="77777777" w:rsidR="00911F85" w:rsidRDefault="00911F85" w:rsidP="00911F85">
      <w:pPr>
        <w:pStyle w:val="Tablenotes1"/>
      </w:pPr>
      <w:r>
        <w:t>Ig = immunoglobulin</w:t>
      </w:r>
    </w:p>
    <w:p w14:paraId="46E28EA7" w14:textId="77777777" w:rsidR="00911F85" w:rsidRDefault="00911F85" w:rsidP="00911F85"/>
    <w:p w14:paraId="7C8773A8" w14:textId="77777777" w:rsidR="00911F85" w:rsidRDefault="00911F85" w:rsidP="00911F85">
      <w:pPr>
        <w:pStyle w:val="Heading4"/>
      </w:pPr>
      <w:r>
        <w:t>Costs associated with bronchiectasis</w:t>
      </w:r>
    </w:p>
    <w:p w14:paraId="736CEFCF" w14:textId="2C6AC4A0" w:rsidR="00911F85" w:rsidRDefault="00911F85" w:rsidP="00911F85">
      <w:r>
        <w:t xml:space="preserve">Costs associated with the management of bronchiectasis are reported in </w:t>
      </w:r>
      <w:r>
        <w:fldChar w:fldCharType="begin"/>
      </w:r>
      <w:r>
        <w:instrText xml:space="preserve"> REF _Ref11230493 \h </w:instrText>
      </w:r>
      <w:r>
        <w:fldChar w:fldCharType="separate"/>
      </w:r>
      <w:r w:rsidR="00A7463B">
        <w:t xml:space="preserve">Table </w:t>
      </w:r>
      <w:r w:rsidR="00A7463B">
        <w:rPr>
          <w:noProof/>
        </w:rPr>
        <w:t>50</w:t>
      </w:r>
      <w:r>
        <w:fldChar w:fldCharType="end"/>
      </w:r>
      <w:r>
        <w:t xml:space="preserve">, and were based on those reported in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 These include additional attendances, respiratory function tests and imaging. Disease management costs for patients at-risk of infections have also been included in the cost per cycle of this health state.</w:t>
      </w:r>
    </w:p>
    <w:p w14:paraId="3538DB1A" w14:textId="3177866A" w:rsidR="00911F85" w:rsidRDefault="00911F85" w:rsidP="00911F85">
      <w:pPr>
        <w:pStyle w:val="Caption"/>
        <w:keepNext/>
      </w:pPr>
      <w:bookmarkStart w:id="516" w:name="_Ref11230493"/>
      <w:bookmarkStart w:id="517" w:name="_Toc14348884"/>
      <w:bookmarkStart w:id="518" w:name="_Toc14429590"/>
      <w:bookmarkStart w:id="519" w:name="_Toc16671648"/>
      <w:r>
        <w:t xml:space="preserve">Table </w:t>
      </w:r>
      <w:r>
        <w:rPr>
          <w:noProof/>
        </w:rPr>
        <w:fldChar w:fldCharType="begin"/>
      </w:r>
      <w:r>
        <w:rPr>
          <w:noProof/>
        </w:rPr>
        <w:instrText xml:space="preserve"> SEQ Table \* ARABIC </w:instrText>
      </w:r>
      <w:r>
        <w:rPr>
          <w:noProof/>
        </w:rPr>
        <w:fldChar w:fldCharType="separate"/>
      </w:r>
      <w:r w:rsidR="00A7463B">
        <w:rPr>
          <w:noProof/>
        </w:rPr>
        <w:t>50</w:t>
      </w:r>
      <w:r>
        <w:rPr>
          <w:noProof/>
        </w:rPr>
        <w:fldChar w:fldCharType="end"/>
      </w:r>
      <w:bookmarkEnd w:id="516"/>
      <w:r>
        <w:tab/>
        <w:t>Cost associated with the management of bronchiectasis</w:t>
      </w:r>
      <w:bookmarkEnd w:id="517"/>
      <w:bookmarkEnd w:id="518"/>
      <w:bookmarkEnd w:id="519"/>
    </w:p>
    <w:tbl>
      <w:tblPr>
        <w:tblStyle w:val="TableGrid1"/>
        <w:tblW w:w="5000" w:type="pct"/>
        <w:tblLook w:val="04A0" w:firstRow="1" w:lastRow="0" w:firstColumn="1" w:lastColumn="0" w:noHBand="0" w:noVBand="1"/>
        <w:tblCaption w:val="Costs associated with the management of bronchiectasis"/>
      </w:tblPr>
      <w:tblGrid>
        <w:gridCol w:w="4761"/>
        <w:gridCol w:w="1756"/>
        <w:gridCol w:w="2725"/>
      </w:tblGrid>
      <w:tr w:rsidR="00911F85" w:rsidRPr="00CF54CF" w14:paraId="4D190546" w14:textId="77777777" w:rsidTr="008742A1">
        <w:trPr>
          <w:cnfStyle w:val="100000000000" w:firstRow="1" w:lastRow="0" w:firstColumn="0" w:lastColumn="0" w:oddVBand="0" w:evenVBand="0" w:oddHBand="0" w:evenHBand="0" w:firstRowFirstColumn="0" w:firstRowLastColumn="0" w:lastRowFirstColumn="0" w:lastRowLastColumn="0"/>
          <w:cantSplit/>
          <w:trHeight w:val="315"/>
          <w:tblHeader/>
        </w:trPr>
        <w:tc>
          <w:tcPr>
            <w:tcW w:w="2576" w:type="pct"/>
            <w:noWrap/>
            <w:hideMark/>
          </w:tcPr>
          <w:p w14:paraId="613A3482" w14:textId="77777777" w:rsidR="00911F85" w:rsidRPr="00CF54CF" w:rsidRDefault="00911F85" w:rsidP="008742A1">
            <w:pPr>
              <w:pStyle w:val="TableHeading"/>
            </w:pPr>
          </w:p>
        </w:tc>
        <w:tc>
          <w:tcPr>
            <w:tcW w:w="950" w:type="pct"/>
            <w:noWrap/>
            <w:hideMark/>
          </w:tcPr>
          <w:p w14:paraId="10FD44AF" w14:textId="77777777" w:rsidR="00911F85" w:rsidRPr="00CF54CF" w:rsidRDefault="00911F85" w:rsidP="008742A1">
            <w:pPr>
              <w:pStyle w:val="TableHeading"/>
              <w:jc w:val="center"/>
            </w:pPr>
            <w:r>
              <w:t>Cost</w:t>
            </w:r>
          </w:p>
        </w:tc>
        <w:tc>
          <w:tcPr>
            <w:tcW w:w="1474" w:type="pct"/>
            <w:noWrap/>
            <w:hideMark/>
          </w:tcPr>
          <w:p w14:paraId="5F409ECD" w14:textId="77777777" w:rsidR="00911F85" w:rsidRPr="00CF54CF" w:rsidRDefault="00911F85" w:rsidP="008742A1">
            <w:pPr>
              <w:pStyle w:val="TableHeading"/>
            </w:pPr>
            <w:r>
              <w:t>Source</w:t>
            </w:r>
          </w:p>
        </w:tc>
      </w:tr>
      <w:tr w:rsidR="00911F85" w:rsidRPr="00CF54CF" w14:paraId="4A50C2D9" w14:textId="77777777" w:rsidTr="008742A1">
        <w:trPr>
          <w:cantSplit/>
          <w:trHeight w:val="300"/>
        </w:trPr>
        <w:tc>
          <w:tcPr>
            <w:tcW w:w="2576" w:type="pct"/>
            <w:noWrap/>
            <w:hideMark/>
          </w:tcPr>
          <w:p w14:paraId="53EC305C" w14:textId="77777777" w:rsidR="00911F85" w:rsidRPr="00CF54CF" w:rsidRDefault="00911F85" w:rsidP="008742A1">
            <w:pPr>
              <w:pStyle w:val="Tabletext1"/>
            </w:pPr>
            <w:r w:rsidRPr="00CF54CF">
              <w:t>Respiratory consult fee</w:t>
            </w:r>
          </w:p>
        </w:tc>
        <w:tc>
          <w:tcPr>
            <w:tcW w:w="950" w:type="pct"/>
            <w:noWrap/>
            <w:hideMark/>
          </w:tcPr>
          <w:p w14:paraId="270822C6" w14:textId="77777777" w:rsidR="00911F85" w:rsidRPr="00CF54CF" w:rsidRDefault="00911F85" w:rsidP="008742A1">
            <w:pPr>
              <w:pStyle w:val="Tabletext1"/>
              <w:jc w:val="right"/>
            </w:pPr>
            <w:r w:rsidRPr="00CF54CF">
              <w:t>$8.95</w:t>
            </w:r>
          </w:p>
        </w:tc>
        <w:tc>
          <w:tcPr>
            <w:tcW w:w="1474" w:type="pct"/>
            <w:noWrap/>
            <w:hideMark/>
          </w:tcPr>
          <w:p w14:paraId="7E2AC83D" w14:textId="0D76E7D7" w:rsidR="00911F85" w:rsidRPr="00CF54CF" w:rsidRDefault="00911F85" w:rsidP="00BB0145">
            <w:pPr>
              <w:pStyle w:val="Tabletext1"/>
            </w:pPr>
            <w:r w:rsidRPr="00506770">
              <w:t xml:space="preserve">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p>
        </w:tc>
      </w:tr>
      <w:tr w:rsidR="00911F85" w:rsidRPr="00CF54CF" w14:paraId="76D9B9D5" w14:textId="77777777" w:rsidTr="008742A1">
        <w:trPr>
          <w:cantSplit/>
          <w:trHeight w:val="300"/>
        </w:trPr>
        <w:tc>
          <w:tcPr>
            <w:tcW w:w="2576" w:type="pct"/>
            <w:noWrap/>
            <w:hideMark/>
          </w:tcPr>
          <w:p w14:paraId="174FCDE2" w14:textId="77777777" w:rsidR="00911F85" w:rsidRPr="00CF54CF" w:rsidRDefault="00911F85" w:rsidP="008742A1">
            <w:pPr>
              <w:pStyle w:val="Tabletext1"/>
            </w:pPr>
            <w:r w:rsidRPr="00CF54CF">
              <w:t>Respiratory function test</w:t>
            </w:r>
            <w:r>
              <w:t xml:space="preserve"> (including ward costs)</w:t>
            </w:r>
          </w:p>
        </w:tc>
        <w:tc>
          <w:tcPr>
            <w:tcW w:w="950" w:type="pct"/>
            <w:noWrap/>
            <w:hideMark/>
          </w:tcPr>
          <w:p w14:paraId="6B9A22C7" w14:textId="77777777" w:rsidR="00911F85" w:rsidRPr="00CF54CF" w:rsidRDefault="00911F85" w:rsidP="008742A1">
            <w:pPr>
              <w:pStyle w:val="Tabletext1"/>
              <w:jc w:val="right"/>
            </w:pPr>
            <w:r w:rsidRPr="00CF54CF">
              <w:t>$18.07</w:t>
            </w:r>
          </w:p>
        </w:tc>
        <w:tc>
          <w:tcPr>
            <w:tcW w:w="1474" w:type="pct"/>
            <w:noWrap/>
            <w:hideMark/>
          </w:tcPr>
          <w:p w14:paraId="133517AB" w14:textId="3354E36E" w:rsidR="00911F85" w:rsidRPr="00CF54CF" w:rsidRDefault="00911F85" w:rsidP="00BB0145">
            <w:pPr>
              <w:pStyle w:val="Tabletext1"/>
            </w:pPr>
            <w:r w:rsidRPr="00506770">
              <w:t xml:space="preserve">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p>
        </w:tc>
      </w:tr>
      <w:tr w:rsidR="00911F85" w:rsidRPr="00CF54CF" w14:paraId="172999F6" w14:textId="77777777" w:rsidTr="008742A1">
        <w:trPr>
          <w:cantSplit/>
          <w:trHeight w:val="300"/>
        </w:trPr>
        <w:tc>
          <w:tcPr>
            <w:tcW w:w="2576" w:type="pct"/>
            <w:noWrap/>
            <w:hideMark/>
          </w:tcPr>
          <w:p w14:paraId="19BB21DC" w14:textId="77777777" w:rsidR="00911F85" w:rsidRPr="00CF54CF" w:rsidRDefault="00911F85" w:rsidP="008742A1">
            <w:pPr>
              <w:pStyle w:val="Tabletext1"/>
            </w:pPr>
            <w:r>
              <w:t>Imaging tests</w:t>
            </w:r>
          </w:p>
        </w:tc>
        <w:tc>
          <w:tcPr>
            <w:tcW w:w="950" w:type="pct"/>
            <w:noWrap/>
            <w:hideMark/>
          </w:tcPr>
          <w:p w14:paraId="3B0EA39A" w14:textId="77777777" w:rsidR="00911F85" w:rsidRPr="00CF54CF" w:rsidRDefault="00911F85" w:rsidP="008742A1">
            <w:pPr>
              <w:pStyle w:val="Tabletext1"/>
              <w:jc w:val="right"/>
            </w:pPr>
            <w:r w:rsidRPr="00CF54CF">
              <w:t>$5.63</w:t>
            </w:r>
          </w:p>
        </w:tc>
        <w:tc>
          <w:tcPr>
            <w:tcW w:w="1474" w:type="pct"/>
            <w:noWrap/>
            <w:hideMark/>
          </w:tcPr>
          <w:p w14:paraId="3BA72B01" w14:textId="0238C656" w:rsidR="00911F85" w:rsidRPr="00CF54CF" w:rsidRDefault="00911F85" w:rsidP="00BB0145">
            <w:pPr>
              <w:pStyle w:val="Tabletext1"/>
            </w:pPr>
            <w:r w:rsidRPr="00506770">
              <w:t xml:space="preserve">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p>
        </w:tc>
      </w:tr>
      <w:tr w:rsidR="00911F85" w:rsidRPr="00CF54CF" w14:paraId="58E25052" w14:textId="77777777" w:rsidTr="008742A1">
        <w:trPr>
          <w:cantSplit/>
          <w:trHeight w:val="300"/>
        </w:trPr>
        <w:tc>
          <w:tcPr>
            <w:tcW w:w="2576" w:type="pct"/>
            <w:noWrap/>
          </w:tcPr>
          <w:p w14:paraId="3204289E" w14:textId="77777777" w:rsidR="00911F85" w:rsidRPr="00CF54CF" w:rsidRDefault="00911F85" w:rsidP="008742A1">
            <w:pPr>
              <w:pStyle w:val="Tabletext1"/>
            </w:pPr>
            <w:r>
              <w:t>Disease management costs</w:t>
            </w:r>
          </w:p>
        </w:tc>
        <w:tc>
          <w:tcPr>
            <w:tcW w:w="950" w:type="pct"/>
            <w:noWrap/>
          </w:tcPr>
          <w:p w14:paraId="6496FC5B" w14:textId="77777777" w:rsidR="00911F85" w:rsidRPr="00CF54CF" w:rsidRDefault="00911F85" w:rsidP="008742A1">
            <w:pPr>
              <w:pStyle w:val="Tabletext1"/>
              <w:jc w:val="right"/>
            </w:pPr>
            <w:r>
              <w:t>$6.26</w:t>
            </w:r>
          </w:p>
        </w:tc>
        <w:tc>
          <w:tcPr>
            <w:tcW w:w="1474" w:type="pct"/>
            <w:noWrap/>
          </w:tcPr>
          <w:p w14:paraId="0F5C096D" w14:textId="18AE948B" w:rsidR="00911F85" w:rsidRPr="00506770" w:rsidRDefault="00911F85" w:rsidP="008742A1">
            <w:pPr>
              <w:pStyle w:val="Tabletext1"/>
            </w:pPr>
            <w:r>
              <w:fldChar w:fldCharType="begin"/>
            </w:r>
            <w:r>
              <w:instrText xml:space="preserve"> REF _Ref11228496 \h </w:instrText>
            </w:r>
            <w:r>
              <w:fldChar w:fldCharType="separate"/>
            </w:r>
            <w:r w:rsidR="00A7463B">
              <w:t xml:space="preserve">Table </w:t>
            </w:r>
            <w:r w:rsidR="00A7463B">
              <w:rPr>
                <w:noProof/>
              </w:rPr>
              <w:t>46</w:t>
            </w:r>
            <w:r>
              <w:fldChar w:fldCharType="end"/>
            </w:r>
          </w:p>
        </w:tc>
      </w:tr>
      <w:tr w:rsidR="00911F85" w:rsidRPr="00CF54CF" w14:paraId="193BCE27" w14:textId="77777777" w:rsidTr="008742A1">
        <w:trPr>
          <w:cantSplit/>
          <w:trHeight w:val="300"/>
        </w:trPr>
        <w:tc>
          <w:tcPr>
            <w:tcW w:w="2576" w:type="pct"/>
            <w:noWrap/>
            <w:hideMark/>
          </w:tcPr>
          <w:p w14:paraId="7D303CB1" w14:textId="77777777" w:rsidR="00911F85" w:rsidRPr="00CF54CF" w:rsidRDefault="00911F85" w:rsidP="008742A1">
            <w:pPr>
              <w:pStyle w:val="Tabletext1"/>
              <w:rPr>
                <w:b/>
              </w:rPr>
            </w:pPr>
            <w:r w:rsidRPr="00CF54CF">
              <w:rPr>
                <w:b/>
              </w:rPr>
              <w:t>Cost</w:t>
            </w:r>
            <w:r>
              <w:rPr>
                <w:b/>
              </w:rPr>
              <w:t xml:space="preserve"> per week</w:t>
            </w:r>
            <w:r w:rsidRPr="00CF54CF">
              <w:rPr>
                <w:b/>
              </w:rPr>
              <w:t xml:space="preserve"> of treating bronchiectasis</w:t>
            </w:r>
          </w:p>
        </w:tc>
        <w:tc>
          <w:tcPr>
            <w:tcW w:w="950" w:type="pct"/>
            <w:noWrap/>
            <w:hideMark/>
          </w:tcPr>
          <w:p w14:paraId="3E954983" w14:textId="77777777" w:rsidR="00911F85" w:rsidRPr="00CF54CF" w:rsidRDefault="00911F85" w:rsidP="008742A1">
            <w:pPr>
              <w:pStyle w:val="Tabletext1"/>
              <w:jc w:val="right"/>
              <w:rPr>
                <w:b/>
              </w:rPr>
            </w:pPr>
            <w:r w:rsidRPr="00CF54CF">
              <w:rPr>
                <w:b/>
              </w:rPr>
              <w:t>$</w:t>
            </w:r>
            <w:r>
              <w:rPr>
                <w:b/>
              </w:rPr>
              <w:t>38.91</w:t>
            </w:r>
          </w:p>
        </w:tc>
        <w:tc>
          <w:tcPr>
            <w:tcW w:w="1474" w:type="pct"/>
            <w:noWrap/>
            <w:hideMark/>
          </w:tcPr>
          <w:p w14:paraId="00320022" w14:textId="77777777" w:rsidR="00911F85" w:rsidRPr="00CF54CF" w:rsidRDefault="00911F85" w:rsidP="008742A1">
            <w:pPr>
              <w:pStyle w:val="Tabletext1"/>
            </w:pPr>
          </w:p>
        </w:tc>
      </w:tr>
    </w:tbl>
    <w:p w14:paraId="266071AF" w14:textId="77777777" w:rsidR="00911F85" w:rsidRPr="00A46784" w:rsidRDefault="00911F85" w:rsidP="00911F85">
      <w:pPr>
        <w:pStyle w:val="Tablenotes1"/>
      </w:pPr>
    </w:p>
    <w:p w14:paraId="5CF5FB4E" w14:textId="77777777" w:rsidR="00911F85" w:rsidRDefault="00911F85" w:rsidP="00911F85">
      <w:pPr>
        <w:pStyle w:val="Heading5"/>
      </w:pPr>
      <w:r>
        <w:t>Infections with bronchiectasis</w:t>
      </w:r>
    </w:p>
    <w:p w14:paraId="63B6BC3F" w14:textId="2C42B010" w:rsidR="00911F85" w:rsidRDefault="00911F85" w:rsidP="00911F85">
      <w:r>
        <w:t xml:space="preserve">The resource utilisation of treating infections with bronchiectasis has been estimated using a similar approach as for infections without bronchiectasis, and assumes the cost of hospitalisation (based on </w:t>
      </w:r>
      <w:r>
        <w:lastRenderedPageBreak/>
        <w:t xml:space="preserve">the weighted relevant AR-DRG costs) and a follow-up outpatient attendance. The estimated cost per serious infection is estimated to be $9,143. This is lightly lower than the cost modelled in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 xml:space="preserve">, $9,580, and the alternate cost will be tested in a sensitivity analysis. No difference in resource utilisation, and so cost, has been assumed for the treatment of non-serious infections. </w:t>
      </w:r>
    </w:p>
    <w:p w14:paraId="74609FB7" w14:textId="4B7D8BEE" w:rsidR="00911F85" w:rsidRDefault="00911F85" w:rsidP="00911F85">
      <w:r>
        <w:t xml:space="preserve">The model presented will assume that the cost of treating infections in the bronchiectasis health state will be the same irrespective of model arm and that the proportion of serious infections is as reported in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 xml:space="preserve"> (i.e. 12.5%). Thus the average cost of treating an infection with bronchiectasis is estimated to be $1,360. This is applied on the transition between the bronchiectasis and the bronchiectasis with infection health states.</w:t>
      </w:r>
    </w:p>
    <w:p w14:paraId="39DC1FB9" w14:textId="39CEC555" w:rsidR="00911F85" w:rsidRDefault="00911F85" w:rsidP="00911F85">
      <w:pPr>
        <w:pStyle w:val="Caption"/>
        <w:keepNext/>
      </w:pPr>
      <w:bookmarkStart w:id="520" w:name="_Toc14348885"/>
      <w:bookmarkStart w:id="521" w:name="_Toc16671649"/>
      <w:r>
        <w:t xml:space="preserve">Table </w:t>
      </w:r>
      <w:r>
        <w:rPr>
          <w:noProof/>
        </w:rPr>
        <w:fldChar w:fldCharType="begin"/>
      </w:r>
      <w:r>
        <w:rPr>
          <w:noProof/>
        </w:rPr>
        <w:instrText xml:space="preserve"> SEQ Table \* ARABIC </w:instrText>
      </w:r>
      <w:r>
        <w:rPr>
          <w:noProof/>
        </w:rPr>
        <w:fldChar w:fldCharType="separate"/>
      </w:r>
      <w:r w:rsidR="00A7463B">
        <w:rPr>
          <w:noProof/>
        </w:rPr>
        <w:t>51</w:t>
      </w:r>
      <w:r>
        <w:rPr>
          <w:noProof/>
        </w:rPr>
        <w:fldChar w:fldCharType="end"/>
      </w:r>
      <w:r>
        <w:tab/>
        <w:t>Average cost of treating infections by model arm</w:t>
      </w:r>
      <w:bookmarkEnd w:id="520"/>
      <w:bookmarkEnd w:id="521"/>
    </w:p>
    <w:tbl>
      <w:tblPr>
        <w:tblStyle w:val="TableGrid1"/>
        <w:tblW w:w="5000" w:type="pct"/>
        <w:tblLayout w:type="fixed"/>
        <w:tblLook w:val="04A0" w:firstRow="1" w:lastRow="0" w:firstColumn="1" w:lastColumn="0" w:noHBand="0" w:noVBand="1"/>
        <w:tblCaption w:val="Average cost of treating infections by model arm"/>
      </w:tblPr>
      <w:tblGrid>
        <w:gridCol w:w="4645"/>
        <w:gridCol w:w="1599"/>
        <w:gridCol w:w="2998"/>
      </w:tblGrid>
      <w:tr w:rsidR="00911F85" w:rsidRPr="00F2284E" w14:paraId="2C6C1461" w14:textId="77777777" w:rsidTr="008742A1">
        <w:trPr>
          <w:cnfStyle w:val="100000000000" w:firstRow="1" w:lastRow="0" w:firstColumn="0" w:lastColumn="0" w:oddVBand="0" w:evenVBand="0" w:oddHBand="0" w:evenHBand="0" w:firstRowFirstColumn="0" w:firstRowLastColumn="0" w:lastRowFirstColumn="0" w:lastRowLastColumn="0"/>
          <w:cantSplit/>
          <w:trHeight w:val="300"/>
          <w:tblHeader/>
        </w:trPr>
        <w:tc>
          <w:tcPr>
            <w:tcW w:w="2513" w:type="pct"/>
            <w:noWrap/>
            <w:hideMark/>
          </w:tcPr>
          <w:p w14:paraId="4CB9D9F1" w14:textId="77777777" w:rsidR="00911F85" w:rsidRPr="00F2284E" w:rsidRDefault="00911F85" w:rsidP="008742A1">
            <w:pPr>
              <w:pStyle w:val="TableHeading"/>
            </w:pPr>
            <w:r w:rsidRPr="00F2284E">
              <w:t>Cost associated with treating infections</w:t>
            </w:r>
          </w:p>
        </w:tc>
        <w:tc>
          <w:tcPr>
            <w:tcW w:w="865" w:type="pct"/>
            <w:noWrap/>
            <w:hideMark/>
          </w:tcPr>
          <w:p w14:paraId="10EAD54F" w14:textId="77777777" w:rsidR="00911F85" w:rsidRPr="00F2284E" w:rsidRDefault="00911F85" w:rsidP="008742A1">
            <w:pPr>
              <w:pStyle w:val="TableHeading"/>
              <w:jc w:val="center"/>
            </w:pPr>
            <w:r>
              <w:t>Cost</w:t>
            </w:r>
          </w:p>
        </w:tc>
        <w:tc>
          <w:tcPr>
            <w:tcW w:w="1622" w:type="pct"/>
            <w:noWrap/>
            <w:hideMark/>
          </w:tcPr>
          <w:p w14:paraId="1C05FA9D" w14:textId="77777777" w:rsidR="00911F85" w:rsidRPr="00F2284E" w:rsidRDefault="00911F85" w:rsidP="008742A1">
            <w:pPr>
              <w:pStyle w:val="TableHeading"/>
            </w:pPr>
            <w:r>
              <w:t>Source</w:t>
            </w:r>
          </w:p>
        </w:tc>
      </w:tr>
      <w:tr w:rsidR="00911F85" w:rsidRPr="00F2284E" w14:paraId="2F6B9065" w14:textId="77777777" w:rsidTr="008742A1">
        <w:trPr>
          <w:cantSplit/>
          <w:trHeight w:val="300"/>
        </w:trPr>
        <w:tc>
          <w:tcPr>
            <w:tcW w:w="2513" w:type="pct"/>
            <w:tcBorders>
              <w:bottom w:val="single" w:sz="4" w:space="0" w:color="auto"/>
            </w:tcBorders>
            <w:noWrap/>
            <w:hideMark/>
          </w:tcPr>
          <w:p w14:paraId="4956A1AF" w14:textId="77777777" w:rsidR="00911F85" w:rsidRPr="00F2284E" w:rsidRDefault="00911F85" w:rsidP="008742A1">
            <w:pPr>
              <w:pStyle w:val="Tabletext1"/>
            </w:pPr>
            <w:r w:rsidRPr="005F0236">
              <w:t>Proportion of serious infections</w:t>
            </w:r>
          </w:p>
        </w:tc>
        <w:tc>
          <w:tcPr>
            <w:tcW w:w="865" w:type="pct"/>
            <w:tcBorders>
              <w:bottom w:val="single" w:sz="4" w:space="0" w:color="auto"/>
            </w:tcBorders>
            <w:noWrap/>
            <w:hideMark/>
          </w:tcPr>
          <w:p w14:paraId="1B858540" w14:textId="77777777" w:rsidR="00911F85" w:rsidRPr="00F2284E" w:rsidRDefault="00911F85" w:rsidP="008742A1">
            <w:pPr>
              <w:pStyle w:val="Tabletext1"/>
              <w:jc w:val="right"/>
            </w:pPr>
            <w:r w:rsidRPr="005F0236">
              <w:t>12.5%</w:t>
            </w:r>
          </w:p>
        </w:tc>
        <w:tc>
          <w:tcPr>
            <w:tcW w:w="1622" w:type="pct"/>
            <w:tcBorders>
              <w:bottom w:val="single" w:sz="4" w:space="0" w:color="auto"/>
            </w:tcBorders>
            <w:noWrap/>
            <w:hideMark/>
          </w:tcPr>
          <w:p w14:paraId="6C55B772" w14:textId="562A2F77" w:rsidR="00911F85" w:rsidRPr="00F2284E" w:rsidRDefault="00911F85" w:rsidP="00BB0145">
            <w:pPr>
              <w:pStyle w:val="Tabletext1"/>
            </w:pPr>
            <w:r w:rsidRPr="005F0236">
              <w:t xml:space="preserve">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p>
        </w:tc>
      </w:tr>
      <w:tr w:rsidR="00911F85" w:rsidRPr="00F2284E" w14:paraId="3D326B95" w14:textId="77777777" w:rsidTr="008742A1">
        <w:trPr>
          <w:cantSplit/>
          <w:trHeight w:val="300"/>
        </w:trPr>
        <w:tc>
          <w:tcPr>
            <w:tcW w:w="2513" w:type="pct"/>
            <w:tcBorders>
              <w:bottom w:val="single" w:sz="4" w:space="0" w:color="auto"/>
              <w:right w:val="nil"/>
            </w:tcBorders>
            <w:noWrap/>
            <w:hideMark/>
          </w:tcPr>
          <w:p w14:paraId="4C8F2F75" w14:textId="77777777" w:rsidR="00911F85" w:rsidRPr="00F2284E" w:rsidRDefault="00911F85" w:rsidP="008742A1">
            <w:pPr>
              <w:pStyle w:val="Tabletext1"/>
            </w:pPr>
            <w:r w:rsidRPr="005F0236">
              <w:t>Cost to treat a serious infection</w:t>
            </w:r>
          </w:p>
        </w:tc>
        <w:tc>
          <w:tcPr>
            <w:tcW w:w="865" w:type="pct"/>
            <w:tcBorders>
              <w:left w:val="nil"/>
              <w:bottom w:val="single" w:sz="4" w:space="0" w:color="auto"/>
              <w:right w:val="nil"/>
            </w:tcBorders>
            <w:noWrap/>
            <w:hideMark/>
          </w:tcPr>
          <w:p w14:paraId="2C1C8142" w14:textId="77777777" w:rsidR="00911F85" w:rsidRPr="00F2284E" w:rsidRDefault="00911F85" w:rsidP="008742A1">
            <w:pPr>
              <w:pStyle w:val="Tabletext1"/>
              <w:jc w:val="right"/>
            </w:pPr>
          </w:p>
        </w:tc>
        <w:tc>
          <w:tcPr>
            <w:tcW w:w="1622" w:type="pct"/>
            <w:tcBorders>
              <w:left w:val="nil"/>
              <w:bottom w:val="single" w:sz="4" w:space="0" w:color="auto"/>
            </w:tcBorders>
            <w:noWrap/>
          </w:tcPr>
          <w:p w14:paraId="5C978E14" w14:textId="77777777" w:rsidR="00911F85" w:rsidRPr="00F2284E" w:rsidRDefault="00911F85" w:rsidP="008742A1">
            <w:pPr>
              <w:pStyle w:val="Tabletext1"/>
            </w:pPr>
          </w:p>
        </w:tc>
      </w:tr>
      <w:tr w:rsidR="00911F85" w:rsidRPr="00F2284E" w14:paraId="228D5666" w14:textId="77777777" w:rsidTr="008742A1">
        <w:trPr>
          <w:cantSplit/>
          <w:trHeight w:val="300"/>
        </w:trPr>
        <w:tc>
          <w:tcPr>
            <w:tcW w:w="2513" w:type="pct"/>
            <w:tcBorders>
              <w:bottom w:val="nil"/>
            </w:tcBorders>
            <w:noWrap/>
          </w:tcPr>
          <w:p w14:paraId="5256168F" w14:textId="77777777" w:rsidR="00911F85" w:rsidRPr="005F0236" w:rsidRDefault="00911F85" w:rsidP="00331FB9">
            <w:pPr>
              <w:pStyle w:val="Tabletext1"/>
              <w:numPr>
                <w:ilvl w:val="0"/>
                <w:numId w:val="21"/>
              </w:numPr>
              <w:ind w:left="454" w:hanging="283"/>
            </w:pPr>
            <w:r>
              <w:t>Hospitalisation</w:t>
            </w:r>
          </w:p>
        </w:tc>
        <w:tc>
          <w:tcPr>
            <w:tcW w:w="865" w:type="pct"/>
            <w:tcBorders>
              <w:bottom w:val="nil"/>
            </w:tcBorders>
            <w:noWrap/>
          </w:tcPr>
          <w:p w14:paraId="4BAC4736" w14:textId="77777777" w:rsidR="00911F85" w:rsidRPr="005F0236" w:rsidRDefault="00911F85" w:rsidP="008742A1">
            <w:pPr>
              <w:pStyle w:val="Tabletext1"/>
              <w:jc w:val="right"/>
            </w:pPr>
            <w:r>
              <w:t>$9,066</w:t>
            </w:r>
          </w:p>
        </w:tc>
        <w:tc>
          <w:tcPr>
            <w:tcW w:w="1622" w:type="pct"/>
            <w:tcBorders>
              <w:bottom w:val="nil"/>
            </w:tcBorders>
            <w:noWrap/>
          </w:tcPr>
          <w:p w14:paraId="2B34C599" w14:textId="2F7A1899" w:rsidR="00911F85" w:rsidRPr="005F0236" w:rsidRDefault="00911F85" w:rsidP="00BB0145">
            <w:pPr>
              <w:pStyle w:val="Tabletext1"/>
            </w:pPr>
            <w:r>
              <w:t xml:space="preserve">Average weighted cost per E77A and B AR-DRG </w:t>
            </w:r>
            <w:r>
              <w:fldChar w:fldCharType="begin"/>
            </w:r>
            <w:r>
              <w:instrText xml:space="preserve"> ADDIN EN.CITE &lt;EndNote&gt;&lt;Cite ExcludeAuth="1"&gt;&lt;Author&gt;Independent Hospital Pricing Authority [IHPA]&lt;/Author&gt;&lt;Year&gt;2019&lt;/Year&gt;&lt;RecNum&gt;107&lt;/RecNum&gt;&lt;Prefix&gt;IHPA &lt;/Prefix&gt;&lt;DisplayText&gt;(IHPA 2019)&lt;/DisplayText&gt;&lt;record&gt;&lt;rec-number&gt;107&lt;/rec-number&gt;&lt;foreign-keys&gt;&lt;key app="EN" db-id="z0vwsepdwpt20pewwts5z9eup9e2r2pd2tad" timestamp="1563421468"&gt;107&lt;/key&gt;&lt;/foreign-keys&gt;&lt;ref-type name="Web Page"&gt;12&lt;/ref-type&gt;&lt;contributors&gt;&lt;authors&gt;&lt;author&gt;Independent Hospital Pricing Authority [IHPA],&lt;/author&gt;&lt;/authors&gt;&lt;/contributors&gt;&lt;titles&gt;&lt;title&gt;National Hospital Cost Data Collection Report, Public Sector, Round 21 (Financial year 2016-17)&lt;/title&gt;&lt;/titles&gt;&lt;volume&gt;2019&lt;/volume&gt;&lt;number&gt;5 July&lt;/number&gt;&lt;dates&gt;&lt;year&gt;2019&lt;/year&gt;&lt;pub-dates&gt;&lt;date&gt;12 March&lt;/date&gt;&lt;/pub-dates&gt;&lt;/dates&gt;&lt;publisher&gt;Independent Hospital Pricing Authority,&lt;/publisher&gt;&lt;urls&gt;&lt;related-urls&gt;&lt;url&gt;https://www.ihpa.gov.au/publications/national-hospital-cost-data-collection-report-public-sector-round-21-financial-year&lt;/url&gt;&lt;/related-urls&gt;&lt;/urls&gt;&lt;/record&gt;&lt;/Cite&gt;&lt;/EndNote&gt;</w:instrText>
            </w:r>
            <w:r>
              <w:fldChar w:fldCharType="separate"/>
            </w:r>
            <w:r>
              <w:rPr>
                <w:noProof/>
              </w:rPr>
              <w:t>(</w:t>
            </w:r>
            <w:hyperlink w:anchor="_ENREF_23" w:tooltip="Independent Hospital Pricing Authority [IHPA], 2019 #107" w:history="1">
              <w:r w:rsidR="00BB0145">
                <w:rPr>
                  <w:noProof/>
                </w:rPr>
                <w:t>IHPA 2019</w:t>
              </w:r>
            </w:hyperlink>
            <w:r>
              <w:rPr>
                <w:noProof/>
              </w:rPr>
              <w:t>)</w:t>
            </w:r>
            <w:r>
              <w:fldChar w:fldCharType="end"/>
            </w:r>
          </w:p>
        </w:tc>
      </w:tr>
      <w:tr w:rsidR="00911F85" w:rsidRPr="00F2284E" w14:paraId="64D63BE8" w14:textId="77777777" w:rsidTr="008742A1">
        <w:trPr>
          <w:cantSplit/>
          <w:trHeight w:val="300"/>
        </w:trPr>
        <w:tc>
          <w:tcPr>
            <w:tcW w:w="2513" w:type="pct"/>
            <w:tcBorders>
              <w:top w:val="nil"/>
              <w:bottom w:val="nil"/>
            </w:tcBorders>
            <w:noWrap/>
          </w:tcPr>
          <w:p w14:paraId="23385C66" w14:textId="77777777" w:rsidR="00911F85" w:rsidRPr="005F0236" w:rsidRDefault="00911F85" w:rsidP="00331FB9">
            <w:pPr>
              <w:pStyle w:val="Tabletext1"/>
              <w:numPr>
                <w:ilvl w:val="0"/>
                <w:numId w:val="21"/>
              </w:numPr>
              <w:ind w:left="454" w:hanging="283"/>
            </w:pPr>
            <w:r>
              <w:t>Follow-up outpatient attendance</w:t>
            </w:r>
          </w:p>
        </w:tc>
        <w:tc>
          <w:tcPr>
            <w:tcW w:w="865" w:type="pct"/>
            <w:tcBorders>
              <w:top w:val="nil"/>
              <w:bottom w:val="nil"/>
            </w:tcBorders>
            <w:noWrap/>
          </w:tcPr>
          <w:p w14:paraId="443D8A9F" w14:textId="77777777" w:rsidR="00911F85" w:rsidRPr="005F0236" w:rsidRDefault="00911F85" w:rsidP="008742A1">
            <w:pPr>
              <w:pStyle w:val="Tabletext1"/>
              <w:jc w:val="right"/>
            </w:pPr>
            <w:r>
              <w:t>$77</w:t>
            </w:r>
          </w:p>
        </w:tc>
        <w:tc>
          <w:tcPr>
            <w:tcW w:w="1622" w:type="pct"/>
            <w:tcBorders>
              <w:top w:val="nil"/>
              <w:bottom w:val="nil"/>
            </w:tcBorders>
            <w:noWrap/>
          </w:tcPr>
          <w:p w14:paraId="07FBE03D" w14:textId="77777777" w:rsidR="00911F85" w:rsidRPr="005F0236" w:rsidRDefault="00911F85" w:rsidP="008742A1">
            <w:pPr>
              <w:pStyle w:val="Tabletext1"/>
            </w:pPr>
            <w:r>
              <w:t>MBS item 116</w:t>
            </w:r>
          </w:p>
        </w:tc>
      </w:tr>
      <w:tr w:rsidR="00911F85" w:rsidRPr="00F2284E" w14:paraId="2B4A43CE" w14:textId="77777777" w:rsidTr="008742A1">
        <w:trPr>
          <w:cantSplit/>
          <w:trHeight w:val="300"/>
        </w:trPr>
        <w:tc>
          <w:tcPr>
            <w:tcW w:w="2513" w:type="pct"/>
            <w:tcBorders>
              <w:top w:val="nil"/>
            </w:tcBorders>
            <w:noWrap/>
          </w:tcPr>
          <w:p w14:paraId="09C51285" w14:textId="77777777" w:rsidR="00911F85" w:rsidRDefault="00911F85" w:rsidP="008742A1">
            <w:pPr>
              <w:pStyle w:val="Tabletext1"/>
            </w:pPr>
            <w:r>
              <w:t>Total cost</w:t>
            </w:r>
          </w:p>
        </w:tc>
        <w:tc>
          <w:tcPr>
            <w:tcW w:w="865" w:type="pct"/>
            <w:tcBorders>
              <w:top w:val="nil"/>
            </w:tcBorders>
            <w:noWrap/>
          </w:tcPr>
          <w:p w14:paraId="6864269F" w14:textId="77777777" w:rsidR="00911F85" w:rsidRDefault="00911F85" w:rsidP="008742A1">
            <w:pPr>
              <w:pStyle w:val="Tabletext1"/>
              <w:jc w:val="right"/>
            </w:pPr>
            <w:r>
              <w:t>$9,143</w:t>
            </w:r>
          </w:p>
        </w:tc>
        <w:tc>
          <w:tcPr>
            <w:tcW w:w="1622" w:type="pct"/>
            <w:tcBorders>
              <w:top w:val="nil"/>
            </w:tcBorders>
            <w:noWrap/>
          </w:tcPr>
          <w:p w14:paraId="652A8557" w14:textId="77777777" w:rsidR="00911F85" w:rsidRPr="005F0236" w:rsidRDefault="00911F85" w:rsidP="008742A1">
            <w:pPr>
              <w:pStyle w:val="Tabletext1"/>
            </w:pPr>
          </w:p>
        </w:tc>
      </w:tr>
      <w:tr w:rsidR="00911F85" w:rsidRPr="00F2284E" w14:paraId="190F746A" w14:textId="77777777" w:rsidTr="008742A1">
        <w:trPr>
          <w:cantSplit/>
          <w:trHeight w:val="300"/>
        </w:trPr>
        <w:tc>
          <w:tcPr>
            <w:tcW w:w="2513" w:type="pct"/>
            <w:noWrap/>
            <w:hideMark/>
          </w:tcPr>
          <w:p w14:paraId="5B181093" w14:textId="77777777" w:rsidR="00911F85" w:rsidRPr="00F2284E" w:rsidRDefault="00911F85" w:rsidP="008742A1">
            <w:pPr>
              <w:pStyle w:val="Tabletext1"/>
            </w:pPr>
            <w:r w:rsidRPr="005F0236">
              <w:t>Cost to treat a non-serious infection</w:t>
            </w:r>
          </w:p>
        </w:tc>
        <w:tc>
          <w:tcPr>
            <w:tcW w:w="865" w:type="pct"/>
            <w:noWrap/>
            <w:hideMark/>
          </w:tcPr>
          <w:p w14:paraId="4540AFF8" w14:textId="77777777" w:rsidR="00911F85" w:rsidRPr="00F2284E" w:rsidRDefault="00911F85" w:rsidP="008742A1">
            <w:pPr>
              <w:pStyle w:val="Tabletext1"/>
              <w:jc w:val="right"/>
            </w:pPr>
            <w:r w:rsidRPr="005F0236">
              <w:t>$</w:t>
            </w:r>
            <w:r>
              <w:t>183.95</w:t>
            </w:r>
          </w:p>
        </w:tc>
        <w:tc>
          <w:tcPr>
            <w:tcW w:w="1622" w:type="pct"/>
            <w:noWrap/>
            <w:hideMark/>
          </w:tcPr>
          <w:p w14:paraId="5DAB8B64" w14:textId="3CCCCE53" w:rsidR="00911F85" w:rsidRPr="00F2284E" w:rsidRDefault="00911F85" w:rsidP="008742A1">
            <w:pPr>
              <w:pStyle w:val="Tabletext1"/>
            </w:pPr>
            <w:r>
              <w:fldChar w:fldCharType="begin"/>
            </w:r>
            <w:r>
              <w:instrText xml:space="preserve"> REF _Ref13668862 \h </w:instrText>
            </w:r>
            <w:r>
              <w:fldChar w:fldCharType="separate"/>
            </w:r>
            <w:r w:rsidR="00A7463B">
              <w:t xml:space="preserve">Table </w:t>
            </w:r>
            <w:r w:rsidR="00A7463B">
              <w:rPr>
                <w:noProof/>
              </w:rPr>
              <w:t>48</w:t>
            </w:r>
            <w:r>
              <w:fldChar w:fldCharType="end"/>
            </w:r>
          </w:p>
        </w:tc>
      </w:tr>
      <w:tr w:rsidR="00911F85" w:rsidRPr="007B49B0" w14:paraId="4FFC0023" w14:textId="77777777" w:rsidTr="008742A1">
        <w:trPr>
          <w:cantSplit/>
          <w:trHeight w:val="300"/>
        </w:trPr>
        <w:tc>
          <w:tcPr>
            <w:tcW w:w="2513" w:type="pct"/>
            <w:noWrap/>
            <w:hideMark/>
          </w:tcPr>
          <w:p w14:paraId="00F1CE5E" w14:textId="77777777" w:rsidR="00911F85" w:rsidRPr="007B49B0" w:rsidRDefault="00911F85" w:rsidP="008742A1">
            <w:pPr>
              <w:pStyle w:val="Tabletext1"/>
              <w:rPr>
                <w:b/>
              </w:rPr>
            </w:pPr>
            <w:r w:rsidRPr="007B49B0">
              <w:rPr>
                <w:b/>
              </w:rPr>
              <w:t>Average cost per infection with bronchiectasis</w:t>
            </w:r>
          </w:p>
        </w:tc>
        <w:tc>
          <w:tcPr>
            <w:tcW w:w="865" w:type="pct"/>
            <w:noWrap/>
            <w:hideMark/>
          </w:tcPr>
          <w:p w14:paraId="5786A70A" w14:textId="77777777" w:rsidR="00911F85" w:rsidRPr="007B49B0" w:rsidRDefault="00911F85" w:rsidP="008742A1">
            <w:pPr>
              <w:pStyle w:val="Tabletext1"/>
              <w:jc w:val="right"/>
              <w:rPr>
                <w:b/>
              </w:rPr>
            </w:pPr>
            <w:r>
              <w:rPr>
                <w:b/>
              </w:rPr>
              <w:t>$1,303.83</w:t>
            </w:r>
          </w:p>
        </w:tc>
        <w:tc>
          <w:tcPr>
            <w:tcW w:w="1622" w:type="pct"/>
            <w:noWrap/>
            <w:hideMark/>
          </w:tcPr>
          <w:p w14:paraId="63C321FE" w14:textId="77777777" w:rsidR="00911F85" w:rsidRPr="007B49B0" w:rsidRDefault="00911F85" w:rsidP="008742A1">
            <w:pPr>
              <w:pStyle w:val="Tabletext1"/>
              <w:rPr>
                <w:b/>
              </w:rPr>
            </w:pPr>
          </w:p>
        </w:tc>
      </w:tr>
    </w:tbl>
    <w:p w14:paraId="119E2A04" w14:textId="77777777" w:rsidR="00911F85" w:rsidRDefault="00911F85" w:rsidP="00911F85">
      <w:pPr>
        <w:pStyle w:val="Tablenotes1"/>
      </w:pPr>
    </w:p>
    <w:p w14:paraId="7BBE931F" w14:textId="77777777" w:rsidR="00911F85" w:rsidRDefault="00911F85" w:rsidP="00911F85">
      <w:pPr>
        <w:pStyle w:val="Heading5"/>
      </w:pPr>
      <w:r>
        <w:t xml:space="preserve">Costs associated with chronic </w:t>
      </w:r>
      <w:r w:rsidRPr="007B49B0">
        <w:t>P. aeruginosa infection</w:t>
      </w:r>
    </w:p>
    <w:p w14:paraId="591F0AE4" w14:textId="40FB0514" w:rsidR="00911F85" w:rsidRDefault="00911F85" w:rsidP="00911F85">
      <w:r>
        <w:t xml:space="preserve">The model presented in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 xml:space="preserve"> did not quantify resource use with the chronic </w:t>
      </w:r>
      <w:r w:rsidRPr="00246F7C">
        <w:rPr>
          <w:i/>
        </w:rPr>
        <w:t>P</w:t>
      </w:r>
      <w:r>
        <w:rPr>
          <w:i/>
        </w:rPr>
        <w:t>.</w:t>
      </w:r>
      <w:r w:rsidRPr="00246F7C">
        <w:rPr>
          <w:i/>
        </w:rPr>
        <w:t xml:space="preserve"> aeruginosa</w:t>
      </w:r>
      <w:r w:rsidRPr="00246F7C">
        <w:t xml:space="preserve"> infection</w:t>
      </w:r>
      <w:r>
        <w:t xml:space="preserve"> health state and assumed the same cost as for the bronchiectasis with infection. Blanchette et al. </w:t>
      </w:r>
      <w:r>
        <w:fldChar w:fldCharType="begin">
          <w:fldData xml:space="preserve">PEVuZE5vdGU+PENpdGUgRXhjbHVkZUF1dGg9IjEiPjxBdXRob3I+QmxhbmNoZXR0ZTwvQXV0aG9y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</w:fldData>
        </w:fldChar>
      </w:r>
      <w:r>
        <w:instrText xml:space="preserve"> ADDIN EN.CITE </w:instrText>
      </w:r>
      <w:r>
        <w:fldChar w:fldCharType="begin">
          <w:fldData xml:space="preserve">PEVuZE5vdGU+PENpdGUgRXhjbHVkZUF1dGg9IjEiPjxBdXRob3I+QmxhbmNoZXR0ZTwvQXV0aG9y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</w:fldData>
        </w:fldChar>
      </w:r>
      <w:r>
        <w:instrText xml:space="preserve"> ADDIN EN.CITE.DATA </w:instrText>
      </w:r>
      <w:r>
        <w:fldChar w:fldCharType="end"/>
      </w:r>
      <w:r>
        <w:fldChar w:fldCharType="separate"/>
      </w:r>
      <w:r>
        <w:rPr>
          <w:noProof/>
        </w:rPr>
        <w:t>(</w:t>
      </w:r>
      <w:hyperlink w:anchor="_ENREF_5" w:tooltip="Blanchette, 2017 #106" w:history="1">
        <w:r w:rsidR="00BB0145">
          <w:rPr>
            <w:noProof/>
          </w:rPr>
          <w:t>2017</w:t>
        </w:r>
      </w:hyperlink>
      <w:r>
        <w:rPr>
          <w:noProof/>
        </w:rPr>
        <w:t>)</w:t>
      </w:r>
      <w:r>
        <w:fldChar w:fldCharType="end"/>
      </w:r>
      <w:r>
        <w:t xml:space="preserve"> compared resource utilisation in a US population in patients with non-cystic fibrosis bronchiectasis 12-months before and after a diagnosis of </w:t>
      </w:r>
      <w:r w:rsidRPr="00246F7C">
        <w:rPr>
          <w:i/>
        </w:rPr>
        <w:t>P</w:t>
      </w:r>
      <w:r>
        <w:rPr>
          <w:i/>
        </w:rPr>
        <w:t>.</w:t>
      </w:r>
      <w:r w:rsidRPr="00246F7C">
        <w:rPr>
          <w:i/>
        </w:rPr>
        <w:t xml:space="preserve"> aeruginosa</w:t>
      </w:r>
      <w:r>
        <w:t xml:space="preserve"> infection. This study observed a significant increase in the number of hospitalisations (from 3.45 to 7.44), ER attendances (from 0.53 to 0.98) and outpatient physician attendances (from 16.33 to 27.11) in the year after </w:t>
      </w:r>
      <w:r w:rsidRPr="00246F7C">
        <w:rPr>
          <w:i/>
        </w:rPr>
        <w:t>P</w:t>
      </w:r>
      <w:r>
        <w:rPr>
          <w:i/>
        </w:rPr>
        <w:t>.</w:t>
      </w:r>
      <w:r w:rsidRPr="00246F7C">
        <w:rPr>
          <w:i/>
        </w:rPr>
        <w:t xml:space="preserve"> aeruginosa</w:t>
      </w:r>
      <w:r>
        <w:t xml:space="preserve"> diagnosis. Assuming annual resource utilisation as per this study and applying local costs, the estimated cost per cycle is estimated to be $1,322 (</w:t>
      </w:r>
      <w:r>
        <w:fldChar w:fldCharType="begin"/>
      </w:r>
      <w:r>
        <w:instrText xml:space="preserve"> REF _Ref14254783 \h </w:instrText>
      </w:r>
      <w:r>
        <w:fldChar w:fldCharType="separate"/>
      </w:r>
      <w:r w:rsidR="00A7463B">
        <w:t xml:space="preserve">Table </w:t>
      </w:r>
      <w:r w:rsidR="00A7463B">
        <w:rPr>
          <w:noProof/>
        </w:rPr>
        <w:t>52</w:t>
      </w:r>
      <w:r>
        <w:fldChar w:fldCharType="end"/>
      </w:r>
      <w:r>
        <w:t xml:space="preserve">). This is slightly lower than the cost modelled in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 xml:space="preserve"> for this health state when the cost of Ig is excluded ($1,370). This alternate cost will be tested in a sensitivity analysis.</w:t>
      </w:r>
    </w:p>
    <w:p w14:paraId="16F1A5C5" w14:textId="66EADBC8" w:rsidR="00911F85" w:rsidRDefault="00911F85" w:rsidP="00911F85">
      <w:pPr>
        <w:pStyle w:val="Caption"/>
        <w:keepNext/>
      </w:pPr>
      <w:bookmarkStart w:id="522" w:name="_Ref14254783"/>
      <w:bookmarkStart w:id="523" w:name="_Toc14348886"/>
      <w:bookmarkStart w:id="524" w:name="_Toc14429592"/>
      <w:bookmarkStart w:id="525" w:name="_Toc16671650"/>
      <w:r>
        <w:t xml:space="preserve">Table </w:t>
      </w:r>
      <w:r>
        <w:rPr>
          <w:noProof/>
        </w:rPr>
        <w:fldChar w:fldCharType="begin"/>
      </w:r>
      <w:r>
        <w:rPr>
          <w:noProof/>
        </w:rPr>
        <w:instrText xml:space="preserve"> SEQ Table \* ARABIC </w:instrText>
      </w:r>
      <w:r>
        <w:rPr>
          <w:noProof/>
        </w:rPr>
        <w:fldChar w:fldCharType="separate"/>
      </w:r>
      <w:r w:rsidR="00A7463B">
        <w:rPr>
          <w:noProof/>
        </w:rPr>
        <w:t>52</w:t>
      </w:r>
      <w:r>
        <w:rPr>
          <w:noProof/>
        </w:rPr>
        <w:fldChar w:fldCharType="end"/>
      </w:r>
      <w:bookmarkEnd w:id="522"/>
      <w:r>
        <w:tab/>
        <w:t xml:space="preserve">Cost per cycle in the </w:t>
      </w:r>
      <w:r w:rsidRPr="00BF0864">
        <w:t xml:space="preserve">chronic </w:t>
      </w:r>
      <w:r w:rsidRPr="00447FE8">
        <w:rPr>
          <w:i/>
        </w:rPr>
        <w:t>P. aeruginosa</w:t>
      </w:r>
      <w:r w:rsidRPr="00BF0864">
        <w:t xml:space="preserve"> infection health state</w:t>
      </w:r>
      <w:bookmarkEnd w:id="523"/>
      <w:bookmarkEnd w:id="524"/>
      <w:bookmarkEnd w:id="525"/>
    </w:p>
    <w:tbl>
      <w:tblPr>
        <w:tblStyle w:val="TableGrid1"/>
        <w:tblW w:w="5000" w:type="pct"/>
        <w:tblLayout w:type="fixed"/>
        <w:tblLook w:val="04A0" w:firstRow="1" w:lastRow="0" w:firstColumn="1" w:lastColumn="0" w:noHBand="0" w:noVBand="1"/>
        <w:tblCaption w:val="Cost per cycle in the chronic P. aeruginosa infection health state"/>
      </w:tblPr>
      <w:tblGrid>
        <w:gridCol w:w="4935"/>
        <w:gridCol w:w="1309"/>
        <w:gridCol w:w="2998"/>
      </w:tblGrid>
      <w:tr w:rsidR="00911F85" w:rsidRPr="0073405C" w14:paraId="790214DF" w14:textId="77777777" w:rsidTr="008742A1">
        <w:trPr>
          <w:cnfStyle w:val="100000000000" w:firstRow="1" w:lastRow="0" w:firstColumn="0" w:lastColumn="0" w:oddVBand="0" w:evenVBand="0" w:oddHBand="0" w:evenHBand="0" w:firstRowFirstColumn="0" w:firstRowLastColumn="0" w:lastRowFirstColumn="0" w:lastRowLastColumn="0"/>
          <w:cantSplit/>
          <w:trHeight w:val="300"/>
          <w:tblHeader/>
        </w:trPr>
        <w:tc>
          <w:tcPr>
            <w:tcW w:w="2670" w:type="pct"/>
            <w:noWrap/>
            <w:hideMark/>
          </w:tcPr>
          <w:p w14:paraId="4F714158" w14:textId="77777777" w:rsidR="00911F85" w:rsidRPr="0073405C" w:rsidRDefault="00911F85" w:rsidP="008742A1">
            <w:pPr>
              <w:pStyle w:val="TableHeading"/>
            </w:pPr>
          </w:p>
        </w:tc>
        <w:tc>
          <w:tcPr>
            <w:tcW w:w="708" w:type="pct"/>
            <w:noWrap/>
            <w:hideMark/>
          </w:tcPr>
          <w:p w14:paraId="46E4B173" w14:textId="77777777" w:rsidR="00911F85" w:rsidRPr="0073405C" w:rsidRDefault="00911F85" w:rsidP="008742A1">
            <w:pPr>
              <w:pStyle w:val="TableHeading"/>
              <w:jc w:val="center"/>
            </w:pPr>
            <w:r>
              <w:t>Annual resource use and cost</w:t>
            </w:r>
          </w:p>
        </w:tc>
        <w:tc>
          <w:tcPr>
            <w:tcW w:w="1622" w:type="pct"/>
          </w:tcPr>
          <w:p w14:paraId="4E785282" w14:textId="77777777" w:rsidR="00911F85" w:rsidRPr="0073405C" w:rsidRDefault="00911F85" w:rsidP="008742A1">
            <w:pPr>
              <w:pStyle w:val="TableHeading"/>
            </w:pPr>
            <w:r>
              <w:t>Source</w:t>
            </w:r>
          </w:p>
        </w:tc>
      </w:tr>
      <w:tr w:rsidR="00911F85" w:rsidRPr="0073405C" w14:paraId="1F49EC2D" w14:textId="77777777" w:rsidTr="008742A1">
        <w:trPr>
          <w:cantSplit/>
          <w:trHeight w:val="300"/>
        </w:trPr>
        <w:tc>
          <w:tcPr>
            <w:tcW w:w="2670" w:type="pct"/>
            <w:noWrap/>
            <w:hideMark/>
          </w:tcPr>
          <w:p w14:paraId="5FE7B26F" w14:textId="77777777" w:rsidR="00911F85" w:rsidRPr="0073405C" w:rsidRDefault="00911F85" w:rsidP="008742A1">
            <w:pPr>
              <w:pStyle w:val="Tabletext1"/>
            </w:pPr>
            <w:r w:rsidRPr="0073405C">
              <w:t>Hospital admissions</w:t>
            </w:r>
          </w:p>
        </w:tc>
        <w:tc>
          <w:tcPr>
            <w:tcW w:w="708" w:type="pct"/>
            <w:noWrap/>
            <w:hideMark/>
          </w:tcPr>
          <w:p w14:paraId="56B53D3D" w14:textId="77777777" w:rsidR="00911F85" w:rsidRPr="0073405C" w:rsidRDefault="00911F85" w:rsidP="008742A1">
            <w:pPr>
              <w:pStyle w:val="Tabletext1"/>
              <w:jc w:val="right"/>
            </w:pPr>
            <w:r w:rsidRPr="0073405C">
              <w:t>7.44</w:t>
            </w:r>
          </w:p>
        </w:tc>
        <w:tc>
          <w:tcPr>
            <w:tcW w:w="1622" w:type="pct"/>
          </w:tcPr>
          <w:p w14:paraId="01FB431A" w14:textId="15FD351D" w:rsidR="00911F85" w:rsidRPr="0073405C" w:rsidRDefault="00911F85" w:rsidP="00BB0145">
            <w:pPr>
              <w:pStyle w:val="Tabletext1"/>
            </w:pPr>
            <w:r>
              <w:t xml:space="preserve">Blanchette et al. </w:t>
            </w:r>
            <w:r>
              <w:fldChar w:fldCharType="begin">
                <w:fldData xml:space="preserve">PEVuZE5vdGU+PENpdGUgRXhjbHVkZUF1dGg9IjEiPjxBdXRob3I+QmxhbmNoZXR0ZTwvQXV0aG9y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</w:fldData>
              </w:fldChar>
            </w:r>
            <w:r>
              <w:instrText xml:space="preserve"> ADDIN EN.CITE </w:instrText>
            </w:r>
            <w:r>
              <w:fldChar w:fldCharType="begin">
                <w:fldData xml:space="preserve">PEVuZE5vdGU+PENpdGUgRXhjbHVkZUF1dGg9IjEiPjxBdXRob3I+QmxhbmNoZXR0ZTwvQXV0aG9y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</w:fldData>
              </w:fldChar>
            </w:r>
            <w:r>
              <w:instrText xml:space="preserve"> ADDIN EN.CITE.DATA </w:instrText>
            </w:r>
            <w:r>
              <w:fldChar w:fldCharType="end"/>
            </w:r>
            <w:r>
              <w:fldChar w:fldCharType="separate"/>
            </w:r>
            <w:r>
              <w:rPr>
                <w:noProof/>
              </w:rPr>
              <w:t>(</w:t>
            </w:r>
            <w:hyperlink w:anchor="_ENREF_5" w:tooltip="Blanchette, 2017 #106" w:history="1">
              <w:r w:rsidR="00BB0145">
                <w:rPr>
                  <w:noProof/>
                </w:rPr>
                <w:t>2017</w:t>
              </w:r>
            </w:hyperlink>
            <w:r>
              <w:rPr>
                <w:noProof/>
              </w:rPr>
              <w:t>)</w:t>
            </w:r>
            <w:r>
              <w:fldChar w:fldCharType="end"/>
            </w:r>
          </w:p>
        </w:tc>
      </w:tr>
      <w:tr w:rsidR="00911F85" w:rsidRPr="0073405C" w14:paraId="71C5CE18" w14:textId="77777777" w:rsidTr="008742A1">
        <w:trPr>
          <w:cantSplit/>
          <w:trHeight w:val="300"/>
        </w:trPr>
        <w:tc>
          <w:tcPr>
            <w:tcW w:w="2670" w:type="pct"/>
            <w:tcBorders>
              <w:bottom w:val="single" w:sz="4" w:space="0" w:color="auto"/>
            </w:tcBorders>
            <w:noWrap/>
            <w:hideMark/>
          </w:tcPr>
          <w:p w14:paraId="71F648DF" w14:textId="77777777" w:rsidR="00911F85" w:rsidRPr="0073405C" w:rsidRDefault="00911F85" w:rsidP="008742A1">
            <w:pPr>
              <w:pStyle w:val="Tabletext1"/>
            </w:pPr>
            <w:r w:rsidRPr="0073405C">
              <w:t>Cost per admission</w:t>
            </w:r>
          </w:p>
        </w:tc>
        <w:tc>
          <w:tcPr>
            <w:tcW w:w="708" w:type="pct"/>
            <w:tcBorders>
              <w:bottom w:val="single" w:sz="4" w:space="0" w:color="auto"/>
            </w:tcBorders>
            <w:noWrap/>
            <w:hideMark/>
          </w:tcPr>
          <w:p w14:paraId="105691A5" w14:textId="77777777" w:rsidR="00911F85" w:rsidRPr="0073405C" w:rsidRDefault="00911F85" w:rsidP="008742A1">
            <w:pPr>
              <w:pStyle w:val="Tabletext1"/>
              <w:jc w:val="right"/>
            </w:pPr>
            <w:r w:rsidRPr="0073405C">
              <w:t>$9,066</w:t>
            </w:r>
          </w:p>
        </w:tc>
        <w:tc>
          <w:tcPr>
            <w:tcW w:w="1622" w:type="pct"/>
            <w:tcBorders>
              <w:bottom w:val="single" w:sz="4" w:space="0" w:color="auto"/>
            </w:tcBorders>
          </w:tcPr>
          <w:p w14:paraId="641E1984" w14:textId="5683DE79" w:rsidR="00911F85" w:rsidRPr="0073405C" w:rsidRDefault="00911F85" w:rsidP="00BB0145">
            <w:pPr>
              <w:pStyle w:val="Tabletext1"/>
            </w:pPr>
            <w:r>
              <w:t xml:space="preserve">Average weighted cost per E77A and B AR-DRG </w:t>
            </w:r>
            <w:r>
              <w:fldChar w:fldCharType="begin"/>
            </w:r>
            <w:r>
              <w:instrText xml:space="preserve"> ADDIN EN.CITE &lt;EndNote&gt;&lt;Cite ExcludeAuth="1"&gt;&lt;Author&gt;Independent Hospital Pricing Authority [IHPA]&lt;/Author&gt;&lt;Year&gt;2019&lt;/Year&gt;&lt;RecNum&gt;107&lt;/RecNum&gt;&lt;Prefix&gt;IHPA &lt;/Prefix&gt;&lt;DisplayText&gt;(IHPA 2019)&lt;/DisplayText&gt;&lt;record&gt;&lt;rec-number&gt;107&lt;/rec-number&gt;&lt;foreign-keys&gt;&lt;key app="EN" db-id="z0vwsepdwpt20pewwts5z9eup9e2r2pd2tad" timestamp="1563421468"&gt;107&lt;/key&gt;&lt;/foreign-keys&gt;&lt;ref-type name="Web Page"&gt;12&lt;/ref-type&gt;&lt;contributors&gt;&lt;authors&gt;&lt;author&gt;Independent Hospital Pricing Authority [IHPA],&lt;/author&gt;&lt;/authors&gt;&lt;/contributors&gt;&lt;titles&gt;&lt;title&gt;National Hospital Cost Data Collection Report, Public Sector, Round 21 (Financial year 2016-17)&lt;/title&gt;&lt;/titles&gt;&lt;volume&gt;2019&lt;/volume&gt;&lt;number&gt;5 July&lt;/number&gt;&lt;dates&gt;&lt;year&gt;2019&lt;/year&gt;&lt;pub-dates&gt;&lt;date&gt;12 March&lt;/date&gt;&lt;/pub-dates&gt;&lt;/dates&gt;&lt;publisher&gt;Independent Hospital Pricing Authority,&lt;/publisher&gt;&lt;urls&gt;&lt;related-urls&gt;&lt;url&gt;https://www.ihpa.gov.au/publications/national-hospital-cost-data-collection-report-public-sector-round-21-financial-year&lt;/url&gt;&lt;/related-urls&gt;&lt;/urls&gt;&lt;/record&gt;&lt;/Cite&gt;&lt;/EndNote&gt;</w:instrText>
            </w:r>
            <w:r>
              <w:fldChar w:fldCharType="separate"/>
            </w:r>
            <w:r>
              <w:rPr>
                <w:noProof/>
              </w:rPr>
              <w:t>(</w:t>
            </w:r>
            <w:hyperlink w:anchor="_ENREF_23" w:tooltip="Independent Hospital Pricing Authority [IHPA], 2019 #107" w:history="1">
              <w:r w:rsidR="00BB0145">
                <w:rPr>
                  <w:noProof/>
                </w:rPr>
                <w:t>IHPA 2019</w:t>
              </w:r>
            </w:hyperlink>
            <w:r>
              <w:rPr>
                <w:noProof/>
              </w:rPr>
              <w:t>)</w:t>
            </w:r>
            <w:r>
              <w:fldChar w:fldCharType="end"/>
            </w:r>
          </w:p>
        </w:tc>
      </w:tr>
      <w:tr w:rsidR="00911F85" w:rsidRPr="0073405C" w14:paraId="51D64513" w14:textId="77777777" w:rsidTr="008742A1">
        <w:trPr>
          <w:cantSplit/>
          <w:trHeight w:val="300"/>
        </w:trPr>
        <w:tc>
          <w:tcPr>
            <w:tcW w:w="2670" w:type="pct"/>
            <w:tcBorders>
              <w:bottom w:val="double" w:sz="4" w:space="0" w:color="auto"/>
            </w:tcBorders>
            <w:noWrap/>
            <w:hideMark/>
          </w:tcPr>
          <w:p w14:paraId="4C805332" w14:textId="77777777" w:rsidR="00911F85" w:rsidRPr="0073405C" w:rsidRDefault="00911F85" w:rsidP="008742A1">
            <w:pPr>
              <w:pStyle w:val="Tabletext1"/>
            </w:pPr>
            <w:r w:rsidRPr="0073405C">
              <w:t>Cost of hospital admissions</w:t>
            </w:r>
            <w:r>
              <w:t xml:space="preserve"> with chronic </w:t>
            </w:r>
            <w:r w:rsidRPr="004849E5">
              <w:rPr>
                <w:i/>
              </w:rPr>
              <w:t>P. aeruginosa</w:t>
            </w:r>
            <w:r w:rsidRPr="004849E5">
              <w:t xml:space="preserve"> infection</w:t>
            </w:r>
          </w:p>
        </w:tc>
        <w:tc>
          <w:tcPr>
            <w:tcW w:w="708" w:type="pct"/>
            <w:tcBorders>
              <w:bottom w:val="double" w:sz="4" w:space="0" w:color="auto"/>
            </w:tcBorders>
            <w:noWrap/>
            <w:hideMark/>
          </w:tcPr>
          <w:p w14:paraId="72049554" w14:textId="77777777" w:rsidR="00911F85" w:rsidRPr="0073405C" w:rsidRDefault="00911F85" w:rsidP="008742A1">
            <w:pPr>
              <w:pStyle w:val="Tabletext1"/>
              <w:jc w:val="right"/>
            </w:pPr>
            <w:r w:rsidRPr="0073405C">
              <w:t>$67,454</w:t>
            </w:r>
          </w:p>
        </w:tc>
        <w:tc>
          <w:tcPr>
            <w:tcW w:w="1622" w:type="pct"/>
            <w:tcBorders>
              <w:bottom w:val="double" w:sz="4" w:space="0" w:color="auto"/>
            </w:tcBorders>
          </w:tcPr>
          <w:p w14:paraId="34E1B47F" w14:textId="77777777" w:rsidR="00911F85" w:rsidRPr="0073405C" w:rsidRDefault="00911F85" w:rsidP="008742A1">
            <w:pPr>
              <w:pStyle w:val="Tabletext1"/>
            </w:pPr>
          </w:p>
        </w:tc>
      </w:tr>
      <w:tr w:rsidR="00911F85" w:rsidRPr="0073405C" w14:paraId="0320ED60" w14:textId="77777777" w:rsidTr="008742A1">
        <w:trPr>
          <w:cantSplit/>
          <w:trHeight w:val="300"/>
        </w:trPr>
        <w:tc>
          <w:tcPr>
            <w:tcW w:w="2670" w:type="pct"/>
            <w:tcBorders>
              <w:top w:val="double" w:sz="4" w:space="0" w:color="auto"/>
            </w:tcBorders>
            <w:noWrap/>
            <w:hideMark/>
          </w:tcPr>
          <w:p w14:paraId="2424DB0C" w14:textId="77777777" w:rsidR="00911F85" w:rsidRPr="0073405C" w:rsidRDefault="00911F85" w:rsidP="008742A1">
            <w:pPr>
              <w:pStyle w:val="Tabletext1"/>
            </w:pPr>
            <w:r>
              <w:lastRenderedPageBreak/>
              <w:t>ED</w:t>
            </w:r>
            <w:r w:rsidRPr="0073405C">
              <w:t xml:space="preserve"> visits</w:t>
            </w:r>
          </w:p>
        </w:tc>
        <w:tc>
          <w:tcPr>
            <w:tcW w:w="708" w:type="pct"/>
            <w:tcBorders>
              <w:top w:val="double" w:sz="4" w:space="0" w:color="auto"/>
            </w:tcBorders>
            <w:noWrap/>
            <w:hideMark/>
          </w:tcPr>
          <w:p w14:paraId="34F4197A" w14:textId="77777777" w:rsidR="00911F85" w:rsidRPr="0073405C" w:rsidRDefault="00911F85" w:rsidP="008742A1">
            <w:pPr>
              <w:pStyle w:val="Tabletext1"/>
              <w:jc w:val="right"/>
            </w:pPr>
            <w:r w:rsidRPr="0073405C">
              <w:t>0.98</w:t>
            </w:r>
          </w:p>
        </w:tc>
        <w:tc>
          <w:tcPr>
            <w:tcW w:w="1622" w:type="pct"/>
            <w:tcBorders>
              <w:top w:val="double" w:sz="4" w:space="0" w:color="auto"/>
            </w:tcBorders>
          </w:tcPr>
          <w:p w14:paraId="1382270E" w14:textId="52F6C378" w:rsidR="00911F85" w:rsidRPr="0073405C" w:rsidRDefault="00911F85" w:rsidP="00BB0145">
            <w:pPr>
              <w:pStyle w:val="Tabletext1"/>
            </w:pPr>
            <w:r>
              <w:t xml:space="preserve">Blanchette et al. </w:t>
            </w:r>
            <w:r>
              <w:fldChar w:fldCharType="begin">
                <w:fldData xml:space="preserve">PEVuZE5vdGU+PENpdGUgRXhjbHVkZUF1dGg9IjEiPjxBdXRob3I+QmxhbmNoZXR0ZTwvQXV0aG9y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</w:fldData>
              </w:fldChar>
            </w:r>
            <w:r>
              <w:instrText xml:space="preserve"> ADDIN EN.CITE </w:instrText>
            </w:r>
            <w:r>
              <w:fldChar w:fldCharType="begin">
                <w:fldData xml:space="preserve">PEVuZE5vdGU+PENpdGUgRXhjbHVkZUF1dGg9IjEiPjxBdXRob3I+QmxhbmNoZXR0ZTwvQXV0aG9y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</w:fldData>
              </w:fldChar>
            </w:r>
            <w:r>
              <w:instrText xml:space="preserve"> ADDIN EN.CITE.DATA </w:instrText>
            </w:r>
            <w:r>
              <w:fldChar w:fldCharType="end"/>
            </w:r>
            <w:r>
              <w:fldChar w:fldCharType="separate"/>
            </w:r>
            <w:r>
              <w:rPr>
                <w:noProof/>
              </w:rPr>
              <w:t>(</w:t>
            </w:r>
            <w:hyperlink w:anchor="_ENREF_5" w:tooltip="Blanchette, 2017 #106" w:history="1">
              <w:r w:rsidR="00BB0145">
                <w:rPr>
                  <w:noProof/>
                </w:rPr>
                <w:t>2017</w:t>
              </w:r>
            </w:hyperlink>
            <w:r>
              <w:rPr>
                <w:noProof/>
              </w:rPr>
              <w:t>)</w:t>
            </w:r>
            <w:r>
              <w:fldChar w:fldCharType="end"/>
            </w:r>
          </w:p>
        </w:tc>
      </w:tr>
      <w:tr w:rsidR="00911F85" w:rsidRPr="0073405C" w14:paraId="29D96960" w14:textId="77777777" w:rsidTr="008742A1">
        <w:trPr>
          <w:cantSplit/>
          <w:trHeight w:val="300"/>
        </w:trPr>
        <w:tc>
          <w:tcPr>
            <w:tcW w:w="2670" w:type="pct"/>
            <w:tcBorders>
              <w:bottom w:val="single" w:sz="4" w:space="0" w:color="auto"/>
            </w:tcBorders>
            <w:noWrap/>
            <w:hideMark/>
          </w:tcPr>
          <w:p w14:paraId="213F3293" w14:textId="77777777" w:rsidR="00911F85" w:rsidRPr="0073405C" w:rsidRDefault="00911F85" w:rsidP="008742A1">
            <w:pPr>
              <w:pStyle w:val="Tabletext1"/>
            </w:pPr>
            <w:r w:rsidRPr="0073405C">
              <w:t>Cost per E</w:t>
            </w:r>
            <w:r>
              <w:t>D</w:t>
            </w:r>
            <w:r w:rsidRPr="0073405C">
              <w:t xml:space="preserve"> visit</w:t>
            </w:r>
          </w:p>
        </w:tc>
        <w:tc>
          <w:tcPr>
            <w:tcW w:w="708" w:type="pct"/>
            <w:tcBorders>
              <w:bottom w:val="single" w:sz="4" w:space="0" w:color="auto"/>
            </w:tcBorders>
            <w:noWrap/>
            <w:hideMark/>
          </w:tcPr>
          <w:p w14:paraId="1083FBD0" w14:textId="77777777" w:rsidR="00911F85" w:rsidRPr="0073405C" w:rsidRDefault="00911F85" w:rsidP="008742A1">
            <w:pPr>
              <w:pStyle w:val="Tabletext1"/>
              <w:jc w:val="right"/>
            </w:pPr>
            <w:r w:rsidRPr="0073405C">
              <w:t>$533</w:t>
            </w:r>
          </w:p>
        </w:tc>
        <w:tc>
          <w:tcPr>
            <w:tcW w:w="1622" w:type="pct"/>
            <w:tcBorders>
              <w:bottom w:val="single" w:sz="4" w:space="0" w:color="auto"/>
            </w:tcBorders>
          </w:tcPr>
          <w:p w14:paraId="32600CD7" w14:textId="75B864C0" w:rsidR="00911F85" w:rsidRPr="0073405C" w:rsidRDefault="00911F85" w:rsidP="00BB0145">
            <w:pPr>
              <w:pStyle w:val="Tabletext1"/>
            </w:pPr>
            <w:r>
              <w:t xml:space="preserve">Average cost per non-admitted ED presentation </w:t>
            </w:r>
            <w:r>
              <w:fldChar w:fldCharType="begin"/>
            </w:r>
            <w:r>
              <w:instrText xml:space="preserve"> ADDIN EN.CITE &lt;EndNote&gt;&lt;Cite ExcludeAuth="1"&gt;&lt;Author&gt;Independent Hospital Pricing Authority [IHPA]&lt;/Author&gt;&lt;Year&gt;2019&lt;/Year&gt;&lt;RecNum&gt;107&lt;/RecNum&gt;&lt;Prefix&gt;IHPA &lt;/Prefix&gt;&lt;DisplayText&gt;(IHPA 2019)&lt;/DisplayText&gt;&lt;record&gt;&lt;rec-number&gt;107&lt;/rec-number&gt;&lt;foreign-keys&gt;&lt;key app="EN" db-id="z0vwsepdwpt20pewwts5z9eup9e2r2pd2tad" timestamp="1563421468"&gt;107&lt;/key&gt;&lt;/foreign-keys&gt;&lt;ref-type name="Web Page"&gt;12&lt;/ref-type&gt;&lt;contributors&gt;&lt;authors&gt;&lt;author&gt;Independent Hospital Pricing Authority [IHPA],&lt;/author&gt;&lt;/authors&gt;&lt;/contributors&gt;&lt;titles&gt;&lt;title&gt;National Hospital Cost Data Collection Report, Public Sector, Round 21 (Financial year 2016-17)&lt;/title&gt;&lt;/titles&gt;&lt;volume&gt;2019&lt;/volume&gt;&lt;number&gt;5 July&lt;/number&gt;&lt;dates&gt;&lt;year&gt;2019&lt;/year&gt;&lt;pub-dates&gt;&lt;date&gt;12 March&lt;/date&gt;&lt;/pub-dates&gt;&lt;/dates&gt;&lt;publisher&gt;Independent Hospital Pricing Authority,&lt;/publisher&gt;&lt;urls&gt;&lt;related-urls&gt;&lt;url&gt;https://www.ihpa.gov.au/publications/national-hospital-cost-data-collection-report-public-sector-round-21-financial-year&lt;/url&gt;&lt;/related-urls&gt;&lt;/urls&gt;&lt;/record&gt;&lt;/Cite&gt;&lt;/EndNote&gt;</w:instrText>
            </w:r>
            <w:r>
              <w:fldChar w:fldCharType="separate"/>
            </w:r>
            <w:r>
              <w:rPr>
                <w:noProof/>
              </w:rPr>
              <w:t>(</w:t>
            </w:r>
            <w:hyperlink w:anchor="_ENREF_23" w:tooltip="Independent Hospital Pricing Authority [IHPA], 2019 #107" w:history="1">
              <w:r w:rsidR="00BB0145">
                <w:rPr>
                  <w:noProof/>
                </w:rPr>
                <w:t>IHPA 2019</w:t>
              </w:r>
            </w:hyperlink>
            <w:r>
              <w:rPr>
                <w:noProof/>
              </w:rPr>
              <w:t>)</w:t>
            </w:r>
            <w:r>
              <w:fldChar w:fldCharType="end"/>
            </w:r>
          </w:p>
        </w:tc>
      </w:tr>
      <w:tr w:rsidR="00911F85" w:rsidRPr="0073405C" w14:paraId="19001DC3" w14:textId="77777777" w:rsidTr="008742A1">
        <w:trPr>
          <w:cantSplit/>
          <w:trHeight w:val="300"/>
        </w:trPr>
        <w:tc>
          <w:tcPr>
            <w:tcW w:w="2670" w:type="pct"/>
            <w:tcBorders>
              <w:bottom w:val="double" w:sz="4" w:space="0" w:color="auto"/>
            </w:tcBorders>
            <w:noWrap/>
            <w:hideMark/>
          </w:tcPr>
          <w:p w14:paraId="14AC567A" w14:textId="77777777" w:rsidR="00911F85" w:rsidRPr="0073405C" w:rsidRDefault="00911F85" w:rsidP="008742A1">
            <w:pPr>
              <w:pStyle w:val="Tabletext1"/>
            </w:pPr>
            <w:r>
              <w:t>Cost of ED</w:t>
            </w:r>
            <w:r w:rsidRPr="0073405C">
              <w:t xml:space="preserve"> visits</w:t>
            </w:r>
            <w:r>
              <w:t xml:space="preserve"> with chronic </w:t>
            </w:r>
            <w:r w:rsidRPr="004849E5">
              <w:rPr>
                <w:i/>
              </w:rPr>
              <w:t>P. aeruginosa</w:t>
            </w:r>
            <w:r w:rsidRPr="004849E5">
              <w:t xml:space="preserve"> infection</w:t>
            </w:r>
          </w:p>
        </w:tc>
        <w:tc>
          <w:tcPr>
            <w:tcW w:w="708" w:type="pct"/>
            <w:tcBorders>
              <w:bottom w:val="double" w:sz="4" w:space="0" w:color="auto"/>
            </w:tcBorders>
            <w:noWrap/>
            <w:hideMark/>
          </w:tcPr>
          <w:p w14:paraId="327E4E8D" w14:textId="77777777" w:rsidR="00911F85" w:rsidRPr="0073405C" w:rsidRDefault="00911F85" w:rsidP="008742A1">
            <w:pPr>
              <w:pStyle w:val="Tabletext1"/>
              <w:jc w:val="right"/>
            </w:pPr>
            <w:r w:rsidRPr="0073405C">
              <w:t>$522</w:t>
            </w:r>
          </w:p>
        </w:tc>
        <w:tc>
          <w:tcPr>
            <w:tcW w:w="1622" w:type="pct"/>
            <w:tcBorders>
              <w:bottom w:val="double" w:sz="4" w:space="0" w:color="auto"/>
            </w:tcBorders>
          </w:tcPr>
          <w:p w14:paraId="329854F6" w14:textId="77777777" w:rsidR="00911F85" w:rsidRPr="0073405C" w:rsidRDefault="00911F85" w:rsidP="008742A1">
            <w:pPr>
              <w:pStyle w:val="Tabletext1"/>
            </w:pPr>
          </w:p>
        </w:tc>
      </w:tr>
      <w:tr w:rsidR="00911F85" w:rsidRPr="0073405C" w14:paraId="6D8C57F3" w14:textId="77777777" w:rsidTr="008742A1">
        <w:trPr>
          <w:cantSplit/>
          <w:trHeight w:val="300"/>
        </w:trPr>
        <w:tc>
          <w:tcPr>
            <w:tcW w:w="2670" w:type="pct"/>
            <w:tcBorders>
              <w:top w:val="double" w:sz="4" w:space="0" w:color="auto"/>
            </w:tcBorders>
            <w:noWrap/>
            <w:hideMark/>
          </w:tcPr>
          <w:p w14:paraId="348284C0" w14:textId="77777777" w:rsidR="00911F85" w:rsidRPr="0073405C" w:rsidRDefault="00911F85" w:rsidP="008742A1">
            <w:pPr>
              <w:pStyle w:val="Tabletext1"/>
            </w:pPr>
            <w:r>
              <w:t>I</w:t>
            </w:r>
            <w:r w:rsidRPr="0073405C">
              <w:t>ncrease in annual outpatient physician attendances</w:t>
            </w:r>
          </w:p>
        </w:tc>
        <w:tc>
          <w:tcPr>
            <w:tcW w:w="708" w:type="pct"/>
            <w:tcBorders>
              <w:top w:val="double" w:sz="4" w:space="0" w:color="auto"/>
            </w:tcBorders>
            <w:noWrap/>
            <w:hideMark/>
          </w:tcPr>
          <w:p w14:paraId="0E2B9B76" w14:textId="77777777" w:rsidR="00911F85" w:rsidRPr="0073405C" w:rsidRDefault="00911F85" w:rsidP="008742A1">
            <w:pPr>
              <w:pStyle w:val="Tabletext1"/>
              <w:jc w:val="right"/>
            </w:pPr>
            <w:r w:rsidRPr="0073405C">
              <w:t>166%</w:t>
            </w:r>
          </w:p>
        </w:tc>
        <w:tc>
          <w:tcPr>
            <w:tcW w:w="1622" w:type="pct"/>
            <w:tcBorders>
              <w:top w:val="double" w:sz="4" w:space="0" w:color="auto"/>
            </w:tcBorders>
          </w:tcPr>
          <w:p w14:paraId="39F7ABF3" w14:textId="3B8E7670" w:rsidR="00911F85" w:rsidRPr="0073405C" w:rsidRDefault="00911F85" w:rsidP="00BB0145">
            <w:pPr>
              <w:pStyle w:val="Tabletext1"/>
            </w:pPr>
            <w:r>
              <w:t xml:space="preserve">Blanchette et al. </w:t>
            </w:r>
            <w:r>
              <w:fldChar w:fldCharType="begin">
                <w:fldData xml:space="preserve">PEVuZE5vdGU+PENpdGUgRXhjbHVkZUF1dGg9IjEiPjxBdXRob3I+QmxhbmNoZXR0ZTwvQXV0aG9y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</w:fldData>
              </w:fldChar>
            </w:r>
            <w:r>
              <w:instrText xml:space="preserve"> ADDIN EN.CITE </w:instrText>
            </w:r>
            <w:r>
              <w:fldChar w:fldCharType="begin">
                <w:fldData xml:space="preserve">PEVuZE5vdGU+PENpdGUgRXhjbHVkZUF1dGg9IjEiPjxBdXRob3I+QmxhbmNoZXR0ZTwvQXV0aG9y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</w:fldData>
              </w:fldChar>
            </w:r>
            <w:r>
              <w:instrText xml:space="preserve"> ADDIN EN.CITE.DATA </w:instrText>
            </w:r>
            <w:r>
              <w:fldChar w:fldCharType="end"/>
            </w:r>
            <w:r>
              <w:fldChar w:fldCharType="separate"/>
            </w:r>
            <w:r>
              <w:rPr>
                <w:noProof/>
              </w:rPr>
              <w:t>(</w:t>
            </w:r>
            <w:hyperlink w:anchor="_ENREF_5" w:tooltip="Blanchette, 2017 #106" w:history="1">
              <w:r w:rsidR="00BB0145">
                <w:rPr>
                  <w:noProof/>
                </w:rPr>
                <w:t>2017</w:t>
              </w:r>
            </w:hyperlink>
            <w:r>
              <w:rPr>
                <w:noProof/>
              </w:rPr>
              <w:t>)</w:t>
            </w:r>
            <w:r>
              <w:fldChar w:fldCharType="end"/>
            </w:r>
          </w:p>
        </w:tc>
      </w:tr>
      <w:tr w:rsidR="00911F85" w:rsidRPr="0073405C" w14:paraId="613B5C19" w14:textId="77777777" w:rsidTr="008742A1">
        <w:trPr>
          <w:cantSplit/>
          <w:trHeight w:val="300"/>
        </w:trPr>
        <w:tc>
          <w:tcPr>
            <w:tcW w:w="2670" w:type="pct"/>
            <w:tcBorders>
              <w:bottom w:val="single" w:sz="4" w:space="0" w:color="auto"/>
            </w:tcBorders>
            <w:noWrap/>
          </w:tcPr>
          <w:p w14:paraId="3C16FAD7" w14:textId="77777777" w:rsidR="00911F85" w:rsidRDefault="00911F85" w:rsidP="008742A1">
            <w:pPr>
              <w:pStyle w:val="Tabletext1"/>
            </w:pPr>
            <w:r>
              <w:t>Annual cost of physician attendances with bronchiectasis</w:t>
            </w:r>
          </w:p>
        </w:tc>
        <w:tc>
          <w:tcPr>
            <w:tcW w:w="708" w:type="pct"/>
            <w:tcBorders>
              <w:bottom w:val="single" w:sz="4" w:space="0" w:color="auto"/>
            </w:tcBorders>
            <w:noWrap/>
          </w:tcPr>
          <w:p w14:paraId="58A1E3CB" w14:textId="77777777" w:rsidR="00911F85" w:rsidRPr="0073405C" w:rsidRDefault="00911F85" w:rsidP="008742A1">
            <w:pPr>
              <w:pStyle w:val="Tabletext1"/>
              <w:jc w:val="right"/>
            </w:pPr>
            <w:r>
              <w:t>$465</w:t>
            </w:r>
          </w:p>
        </w:tc>
        <w:tc>
          <w:tcPr>
            <w:tcW w:w="1622" w:type="pct"/>
            <w:tcBorders>
              <w:bottom w:val="single" w:sz="4" w:space="0" w:color="auto"/>
            </w:tcBorders>
          </w:tcPr>
          <w:p w14:paraId="55ACCCD8" w14:textId="53F1AB72" w:rsidR="00911F85" w:rsidRDefault="00911F85" w:rsidP="008742A1">
            <w:pPr>
              <w:pStyle w:val="Tabletext1"/>
            </w:pPr>
            <w:r>
              <w:t xml:space="preserve">Annual cost of respiratory consultant (based on </w:t>
            </w:r>
            <w:r>
              <w:fldChar w:fldCharType="begin"/>
            </w:r>
            <w:r>
              <w:instrText xml:space="preserve"> REF _Ref11230493 \h  \* MERGEFORMAT </w:instrText>
            </w:r>
            <w:r>
              <w:fldChar w:fldCharType="separate"/>
            </w:r>
            <w:r w:rsidR="00A7463B">
              <w:t xml:space="preserve">Table </w:t>
            </w:r>
            <w:r w:rsidR="00A7463B">
              <w:rPr>
                <w:noProof/>
              </w:rPr>
              <w:t>50</w:t>
            </w:r>
            <w:r>
              <w:fldChar w:fldCharType="end"/>
            </w:r>
            <w:r>
              <w:t>)</w:t>
            </w:r>
          </w:p>
        </w:tc>
      </w:tr>
      <w:tr w:rsidR="00911F85" w:rsidRPr="0073405C" w14:paraId="2B676A92" w14:textId="77777777" w:rsidTr="008742A1">
        <w:trPr>
          <w:cantSplit/>
          <w:trHeight w:val="300"/>
        </w:trPr>
        <w:tc>
          <w:tcPr>
            <w:tcW w:w="2670" w:type="pct"/>
            <w:tcBorders>
              <w:bottom w:val="double" w:sz="4" w:space="0" w:color="auto"/>
            </w:tcBorders>
            <w:noWrap/>
            <w:hideMark/>
          </w:tcPr>
          <w:p w14:paraId="3D491EEC" w14:textId="77777777" w:rsidR="00911F85" w:rsidRPr="0073405C" w:rsidRDefault="00911F85" w:rsidP="008742A1">
            <w:pPr>
              <w:pStyle w:val="Tabletext1"/>
            </w:pPr>
            <w:r w:rsidRPr="0073405C">
              <w:t>Cost of physician visits</w:t>
            </w:r>
            <w:r>
              <w:t xml:space="preserve"> with chronic </w:t>
            </w:r>
            <w:r w:rsidRPr="004849E5">
              <w:rPr>
                <w:i/>
              </w:rPr>
              <w:t>P. aeruginosa</w:t>
            </w:r>
            <w:r w:rsidRPr="004849E5">
              <w:t xml:space="preserve"> infection</w:t>
            </w:r>
          </w:p>
        </w:tc>
        <w:tc>
          <w:tcPr>
            <w:tcW w:w="708" w:type="pct"/>
            <w:tcBorders>
              <w:bottom w:val="double" w:sz="4" w:space="0" w:color="auto"/>
            </w:tcBorders>
            <w:noWrap/>
            <w:hideMark/>
          </w:tcPr>
          <w:p w14:paraId="39341688" w14:textId="77777777" w:rsidR="00911F85" w:rsidRPr="0073405C" w:rsidRDefault="00911F85" w:rsidP="008742A1">
            <w:pPr>
              <w:pStyle w:val="Tabletext1"/>
              <w:jc w:val="right"/>
            </w:pPr>
            <w:r w:rsidRPr="0073405C">
              <w:t>$773</w:t>
            </w:r>
          </w:p>
        </w:tc>
        <w:tc>
          <w:tcPr>
            <w:tcW w:w="1622" w:type="pct"/>
            <w:tcBorders>
              <w:bottom w:val="double" w:sz="4" w:space="0" w:color="auto"/>
            </w:tcBorders>
          </w:tcPr>
          <w:p w14:paraId="1E512E3C" w14:textId="77777777" w:rsidR="00911F85" w:rsidRPr="0073405C" w:rsidRDefault="00911F85" w:rsidP="008742A1">
            <w:pPr>
              <w:pStyle w:val="Tabletext1"/>
            </w:pPr>
          </w:p>
        </w:tc>
      </w:tr>
      <w:tr w:rsidR="00911F85" w:rsidRPr="0073405C" w14:paraId="69B1CD14" w14:textId="77777777" w:rsidTr="008742A1">
        <w:trPr>
          <w:cantSplit/>
          <w:trHeight w:val="300"/>
        </w:trPr>
        <w:tc>
          <w:tcPr>
            <w:tcW w:w="2670" w:type="pct"/>
            <w:tcBorders>
              <w:top w:val="double" w:sz="4" w:space="0" w:color="auto"/>
            </w:tcBorders>
            <w:noWrap/>
            <w:hideMark/>
          </w:tcPr>
          <w:p w14:paraId="39703469" w14:textId="77777777" w:rsidR="00911F85" w:rsidRPr="0073405C" w:rsidRDefault="00911F85" w:rsidP="008742A1">
            <w:pPr>
              <w:pStyle w:val="Tabletext1"/>
            </w:pPr>
            <w:r w:rsidRPr="0073405C">
              <w:t>Total annual cost</w:t>
            </w:r>
          </w:p>
        </w:tc>
        <w:tc>
          <w:tcPr>
            <w:tcW w:w="708" w:type="pct"/>
            <w:tcBorders>
              <w:top w:val="double" w:sz="4" w:space="0" w:color="auto"/>
            </w:tcBorders>
            <w:noWrap/>
            <w:hideMark/>
          </w:tcPr>
          <w:p w14:paraId="20978407" w14:textId="77777777" w:rsidR="00911F85" w:rsidRPr="0073405C" w:rsidRDefault="00911F85" w:rsidP="008742A1">
            <w:pPr>
              <w:pStyle w:val="Tabletext1"/>
              <w:jc w:val="right"/>
            </w:pPr>
            <w:r w:rsidRPr="0073405C">
              <w:t>$68,749</w:t>
            </w:r>
          </w:p>
        </w:tc>
        <w:tc>
          <w:tcPr>
            <w:tcW w:w="1622" w:type="pct"/>
            <w:tcBorders>
              <w:top w:val="double" w:sz="4" w:space="0" w:color="auto"/>
            </w:tcBorders>
          </w:tcPr>
          <w:p w14:paraId="6FB0B8E3" w14:textId="77777777" w:rsidR="00911F85" w:rsidRPr="0073405C" w:rsidRDefault="00911F85" w:rsidP="008742A1">
            <w:pPr>
              <w:pStyle w:val="Tabletext1"/>
            </w:pPr>
          </w:p>
        </w:tc>
      </w:tr>
      <w:tr w:rsidR="00911F85" w:rsidRPr="0073405C" w14:paraId="0DCF96C2" w14:textId="77777777" w:rsidTr="008742A1">
        <w:trPr>
          <w:cantSplit/>
          <w:trHeight w:val="300"/>
        </w:trPr>
        <w:tc>
          <w:tcPr>
            <w:tcW w:w="2670" w:type="pct"/>
            <w:noWrap/>
            <w:hideMark/>
          </w:tcPr>
          <w:p w14:paraId="651578C4" w14:textId="77777777" w:rsidR="00911F85" w:rsidRPr="00BF0864" w:rsidRDefault="00911F85" w:rsidP="008742A1">
            <w:pPr>
              <w:pStyle w:val="Tabletext1"/>
              <w:rPr>
                <w:b/>
              </w:rPr>
            </w:pPr>
            <w:r w:rsidRPr="00BF0864">
              <w:rPr>
                <w:b/>
              </w:rPr>
              <w:t>Total cost per week</w:t>
            </w:r>
          </w:p>
        </w:tc>
        <w:tc>
          <w:tcPr>
            <w:tcW w:w="708" w:type="pct"/>
            <w:noWrap/>
            <w:hideMark/>
          </w:tcPr>
          <w:p w14:paraId="03C6E4C1" w14:textId="77777777" w:rsidR="00911F85" w:rsidRPr="00BF0864" w:rsidRDefault="00911F85" w:rsidP="008742A1">
            <w:pPr>
              <w:pStyle w:val="Tabletext1"/>
              <w:jc w:val="right"/>
              <w:rPr>
                <w:b/>
              </w:rPr>
            </w:pPr>
            <w:r w:rsidRPr="00BF0864">
              <w:rPr>
                <w:b/>
              </w:rPr>
              <w:t>$1,322</w:t>
            </w:r>
          </w:p>
        </w:tc>
        <w:tc>
          <w:tcPr>
            <w:tcW w:w="1622" w:type="pct"/>
          </w:tcPr>
          <w:p w14:paraId="004262A9" w14:textId="77777777" w:rsidR="00911F85" w:rsidRPr="00BF0864" w:rsidRDefault="00911F85" w:rsidP="008742A1">
            <w:pPr>
              <w:pStyle w:val="Tabletext1"/>
              <w:rPr>
                <w:b/>
              </w:rPr>
            </w:pPr>
          </w:p>
        </w:tc>
      </w:tr>
    </w:tbl>
    <w:p w14:paraId="6FD74E24" w14:textId="77777777" w:rsidR="00911F85" w:rsidRDefault="00911F85" w:rsidP="00911F85">
      <w:pPr>
        <w:pStyle w:val="Tablenotes1"/>
      </w:pPr>
      <w:r>
        <w:t>ED = emergency department; NHCDC = Nation Hospital Cost Data Collection.</w:t>
      </w:r>
    </w:p>
    <w:p w14:paraId="31DDB618" w14:textId="77777777" w:rsidR="00911F85" w:rsidRPr="00677853" w:rsidRDefault="00911F85" w:rsidP="00911F85"/>
    <w:p w14:paraId="219F7BE1" w14:textId="77777777" w:rsidR="00911F85" w:rsidRDefault="00911F85" w:rsidP="00911F85">
      <w:pPr>
        <w:pStyle w:val="Heading4"/>
      </w:pPr>
      <w:r>
        <w:t>Summary of health state costs</w:t>
      </w:r>
    </w:p>
    <w:p w14:paraId="7E603350" w14:textId="5B1049AE" w:rsidR="00911F85" w:rsidRDefault="00911F85" w:rsidP="00911F85">
      <w:r>
        <w:t xml:space="preserve">The weekly cost per cycle in each model health state are summarised in </w:t>
      </w:r>
      <w:r>
        <w:fldChar w:fldCharType="begin"/>
      </w:r>
      <w:r>
        <w:instrText xml:space="preserve"> REF _Ref11232151 \h </w:instrText>
      </w:r>
      <w:r>
        <w:fldChar w:fldCharType="separate"/>
      </w:r>
      <w:r w:rsidR="00A7463B">
        <w:t xml:space="preserve">Table </w:t>
      </w:r>
      <w:r w:rsidR="00A7463B">
        <w:rPr>
          <w:noProof/>
        </w:rPr>
        <w:t>53</w:t>
      </w:r>
      <w:r>
        <w:fldChar w:fldCharType="end"/>
      </w:r>
      <w:r>
        <w:t>.</w:t>
      </w:r>
      <w:r w:rsidRPr="00202B7F">
        <w:t xml:space="preserve"> </w:t>
      </w:r>
    </w:p>
    <w:p w14:paraId="4B9D7654" w14:textId="1AE788FB" w:rsidR="00911F85" w:rsidRDefault="00911F85" w:rsidP="00911F85">
      <w:pPr>
        <w:pStyle w:val="Caption"/>
        <w:keepNext/>
      </w:pPr>
      <w:bookmarkStart w:id="526" w:name="_Ref11232151"/>
      <w:bookmarkStart w:id="527" w:name="_Toc14348887"/>
      <w:bookmarkStart w:id="528" w:name="_Toc14429593"/>
      <w:bookmarkStart w:id="529" w:name="_Toc16671651"/>
      <w:r>
        <w:t xml:space="preserve">Table </w:t>
      </w:r>
      <w:r>
        <w:rPr>
          <w:noProof/>
        </w:rPr>
        <w:fldChar w:fldCharType="begin"/>
      </w:r>
      <w:r>
        <w:rPr>
          <w:noProof/>
        </w:rPr>
        <w:instrText xml:space="preserve"> SEQ Table \* ARABIC </w:instrText>
      </w:r>
      <w:r>
        <w:rPr>
          <w:noProof/>
        </w:rPr>
        <w:fldChar w:fldCharType="separate"/>
      </w:r>
      <w:r w:rsidR="00A7463B">
        <w:rPr>
          <w:noProof/>
        </w:rPr>
        <w:t>53</w:t>
      </w:r>
      <w:r>
        <w:rPr>
          <w:noProof/>
        </w:rPr>
        <w:fldChar w:fldCharType="end"/>
      </w:r>
      <w:bookmarkEnd w:id="526"/>
      <w:r>
        <w:tab/>
        <w:t>Health state costs per cycle</w:t>
      </w:r>
      <w:bookmarkEnd w:id="527"/>
      <w:bookmarkEnd w:id="528"/>
      <w:bookmarkEnd w:id="529"/>
    </w:p>
    <w:tbl>
      <w:tblPr>
        <w:tblStyle w:val="TableGrid1"/>
        <w:tblW w:w="5000" w:type="pct"/>
        <w:tblLook w:val="04A0" w:firstRow="1" w:lastRow="0" w:firstColumn="1" w:lastColumn="0" w:noHBand="0" w:noVBand="1"/>
        <w:tblCaption w:val="Health state costs per cycle"/>
      </w:tblPr>
      <w:tblGrid>
        <w:gridCol w:w="5458"/>
        <w:gridCol w:w="1893"/>
        <w:gridCol w:w="1891"/>
      </w:tblGrid>
      <w:tr w:rsidR="00911F85" w:rsidRPr="00202B7F" w14:paraId="79147BC8" w14:textId="77777777" w:rsidTr="0007662C">
        <w:trPr>
          <w:cnfStyle w:val="100000000000" w:firstRow="1" w:lastRow="0" w:firstColumn="0" w:lastColumn="0" w:oddVBand="0" w:evenVBand="0" w:oddHBand="0" w:evenHBand="0" w:firstRowFirstColumn="0" w:firstRowLastColumn="0" w:lastRowFirstColumn="0" w:lastRowLastColumn="0"/>
          <w:cantSplit/>
          <w:trHeight w:val="300"/>
          <w:tblHeader/>
        </w:trPr>
        <w:tc>
          <w:tcPr>
            <w:tcW w:w="2953" w:type="pct"/>
            <w:noWrap/>
            <w:hideMark/>
          </w:tcPr>
          <w:p w14:paraId="72D14E80" w14:textId="77777777" w:rsidR="00911F85" w:rsidRPr="00202B7F" w:rsidRDefault="00911F85" w:rsidP="008742A1">
            <w:pPr>
              <w:pStyle w:val="TableHeading"/>
            </w:pPr>
          </w:p>
        </w:tc>
        <w:tc>
          <w:tcPr>
            <w:tcW w:w="1024" w:type="pct"/>
            <w:noWrap/>
            <w:hideMark/>
          </w:tcPr>
          <w:p w14:paraId="62BD8A78" w14:textId="77777777" w:rsidR="00911F85" w:rsidRPr="00202B7F" w:rsidRDefault="00911F85" w:rsidP="008742A1">
            <w:pPr>
              <w:pStyle w:val="TableHeading"/>
              <w:jc w:val="center"/>
              <w:rPr>
                <w:rFonts w:cs="Calibri"/>
                <w:color w:val="000000"/>
              </w:rPr>
            </w:pPr>
            <w:r w:rsidRPr="00202B7F">
              <w:rPr>
                <w:rFonts w:cs="Calibri"/>
                <w:color w:val="000000"/>
              </w:rPr>
              <w:t>Ig</w:t>
            </w:r>
          </w:p>
        </w:tc>
        <w:tc>
          <w:tcPr>
            <w:tcW w:w="1023" w:type="pct"/>
            <w:noWrap/>
            <w:hideMark/>
          </w:tcPr>
          <w:p w14:paraId="1C76151B" w14:textId="77777777" w:rsidR="00911F85" w:rsidRPr="00202B7F" w:rsidRDefault="00911F85" w:rsidP="008742A1">
            <w:pPr>
              <w:pStyle w:val="TableHeading"/>
              <w:jc w:val="center"/>
              <w:rPr>
                <w:rFonts w:cs="Calibri"/>
                <w:color w:val="000000"/>
              </w:rPr>
            </w:pPr>
            <w:r w:rsidRPr="00202B7F">
              <w:rPr>
                <w:rFonts w:cs="Calibri"/>
                <w:color w:val="000000"/>
              </w:rPr>
              <w:t>No Ig</w:t>
            </w:r>
          </w:p>
        </w:tc>
      </w:tr>
      <w:tr w:rsidR="00911F85" w:rsidRPr="00202B7F" w14:paraId="212F739C" w14:textId="77777777" w:rsidTr="0007662C">
        <w:trPr>
          <w:cantSplit/>
          <w:trHeight w:val="300"/>
        </w:trPr>
        <w:tc>
          <w:tcPr>
            <w:tcW w:w="2953" w:type="pct"/>
            <w:noWrap/>
            <w:hideMark/>
          </w:tcPr>
          <w:p w14:paraId="21DD92BB" w14:textId="77777777" w:rsidR="00911F85" w:rsidRPr="00202B7F" w:rsidRDefault="00911F85" w:rsidP="008742A1">
            <w:pPr>
              <w:pStyle w:val="Tabletext1"/>
            </w:pPr>
            <w:r>
              <w:t>Infection-free</w:t>
            </w:r>
          </w:p>
        </w:tc>
        <w:tc>
          <w:tcPr>
            <w:tcW w:w="1024" w:type="pct"/>
            <w:noWrap/>
            <w:hideMark/>
          </w:tcPr>
          <w:p w14:paraId="4C52D923" w14:textId="77777777" w:rsidR="00911F85" w:rsidRPr="00202B7F" w:rsidRDefault="00911F85" w:rsidP="008742A1">
            <w:pPr>
              <w:pStyle w:val="Tabletext1"/>
              <w:jc w:val="right"/>
            </w:pPr>
            <w:r>
              <w:t>$487.43</w:t>
            </w:r>
          </w:p>
        </w:tc>
        <w:tc>
          <w:tcPr>
            <w:tcW w:w="1023" w:type="pct"/>
            <w:noWrap/>
            <w:hideMark/>
          </w:tcPr>
          <w:p w14:paraId="2160FF50" w14:textId="77777777" w:rsidR="00911F85" w:rsidRPr="00202B7F" w:rsidRDefault="00911F85" w:rsidP="008742A1">
            <w:pPr>
              <w:pStyle w:val="Tabletext1"/>
              <w:jc w:val="right"/>
            </w:pPr>
            <w:r w:rsidRPr="00202B7F">
              <w:t>$</w:t>
            </w:r>
            <w:r>
              <w:t>6.26</w:t>
            </w:r>
          </w:p>
        </w:tc>
      </w:tr>
      <w:tr w:rsidR="009C683E" w:rsidRPr="00202B7F" w14:paraId="7DBC1A4A" w14:textId="77777777" w:rsidTr="0007662C">
        <w:trPr>
          <w:cantSplit/>
          <w:trHeight w:val="300"/>
        </w:trPr>
        <w:tc>
          <w:tcPr>
            <w:tcW w:w="2953" w:type="pct"/>
            <w:noWrap/>
            <w:hideMark/>
          </w:tcPr>
          <w:p w14:paraId="3472EF74" w14:textId="77777777" w:rsidR="009C683E" w:rsidRPr="00202B7F" w:rsidRDefault="009C683E" w:rsidP="009C683E">
            <w:pPr>
              <w:pStyle w:val="Tabletext1"/>
            </w:pPr>
            <w:r>
              <w:t>Infection (applied only on transition to health state)</w:t>
            </w:r>
          </w:p>
        </w:tc>
        <w:tc>
          <w:tcPr>
            <w:tcW w:w="1024" w:type="pct"/>
            <w:noWrap/>
            <w:hideMark/>
          </w:tcPr>
          <w:p w14:paraId="38590F6E" w14:textId="63ABB698" w:rsidR="009C683E" w:rsidRPr="00202B7F" w:rsidRDefault="009C683E" w:rsidP="009C683E">
            <w:pPr>
              <w:pStyle w:val="Tabletext1"/>
              <w:jc w:val="right"/>
            </w:pPr>
            <w:r w:rsidRPr="005E3A70">
              <w:t>$1,313.44</w:t>
            </w:r>
          </w:p>
        </w:tc>
        <w:tc>
          <w:tcPr>
            <w:tcW w:w="1023" w:type="pct"/>
            <w:noWrap/>
            <w:hideMark/>
          </w:tcPr>
          <w:p w14:paraId="4BB1C414" w14:textId="4D88CB02" w:rsidR="009C683E" w:rsidRPr="00202B7F" w:rsidRDefault="009C683E" w:rsidP="009C683E">
            <w:pPr>
              <w:pStyle w:val="Tabletext1"/>
              <w:jc w:val="right"/>
            </w:pPr>
            <w:r w:rsidRPr="005E3A70">
              <w:t>$3,861.10</w:t>
            </w:r>
          </w:p>
        </w:tc>
      </w:tr>
      <w:tr w:rsidR="00911F85" w:rsidRPr="00202B7F" w14:paraId="1421C378" w14:textId="77777777" w:rsidTr="0007662C">
        <w:trPr>
          <w:cantSplit/>
          <w:trHeight w:val="300"/>
        </w:trPr>
        <w:tc>
          <w:tcPr>
            <w:tcW w:w="2953" w:type="pct"/>
            <w:noWrap/>
            <w:hideMark/>
          </w:tcPr>
          <w:p w14:paraId="34497FB8" w14:textId="77777777" w:rsidR="00911F85" w:rsidRPr="00202B7F" w:rsidRDefault="00911F85" w:rsidP="008742A1">
            <w:pPr>
              <w:pStyle w:val="Tabletext1"/>
            </w:pPr>
            <w:r w:rsidRPr="00202B7F">
              <w:t>Bronchiectasis</w:t>
            </w:r>
          </w:p>
        </w:tc>
        <w:tc>
          <w:tcPr>
            <w:tcW w:w="1024" w:type="pct"/>
            <w:noWrap/>
            <w:hideMark/>
          </w:tcPr>
          <w:p w14:paraId="02B592FC" w14:textId="77777777" w:rsidR="00911F85" w:rsidRPr="00202B7F" w:rsidRDefault="00911F85" w:rsidP="008742A1">
            <w:pPr>
              <w:pStyle w:val="Tabletext1"/>
              <w:jc w:val="right"/>
            </w:pPr>
            <w:r w:rsidRPr="00EB50E5">
              <w:t>$</w:t>
            </w:r>
            <w:r>
              <w:t>520.08</w:t>
            </w:r>
          </w:p>
        </w:tc>
        <w:tc>
          <w:tcPr>
            <w:tcW w:w="1023" w:type="pct"/>
            <w:noWrap/>
            <w:hideMark/>
          </w:tcPr>
          <w:p w14:paraId="0AD4788F" w14:textId="77777777" w:rsidR="00911F85" w:rsidRPr="00202B7F" w:rsidRDefault="00911F85" w:rsidP="008742A1">
            <w:pPr>
              <w:pStyle w:val="Tabletext1"/>
              <w:jc w:val="right"/>
            </w:pPr>
            <w:r w:rsidRPr="00EB50E5">
              <w:t>$</w:t>
            </w:r>
            <w:r>
              <w:t>38.91</w:t>
            </w:r>
          </w:p>
        </w:tc>
      </w:tr>
      <w:tr w:rsidR="00911F85" w:rsidRPr="00202B7F" w14:paraId="67B00865" w14:textId="77777777" w:rsidTr="0007662C">
        <w:trPr>
          <w:cantSplit/>
          <w:trHeight w:val="300"/>
        </w:trPr>
        <w:tc>
          <w:tcPr>
            <w:tcW w:w="2953" w:type="pct"/>
            <w:noWrap/>
            <w:hideMark/>
          </w:tcPr>
          <w:p w14:paraId="6E54A1EE" w14:textId="77777777" w:rsidR="00911F85" w:rsidRPr="00202B7F" w:rsidRDefault="00911F85" w:rsidP="008742A1">
            <w:pPr>
              <w:pStyle w:val="Tabletext1"/>
            </w:pPr>
            <w:r w:rsidRPr="00202B7F">
              <w:t>Bronchiectasis</w:t>
            </w:r>
            <w:r>
              <w:t xml:space="preserve"> with infection (applied only on transition to health state)</w:t>
            </w:r>
          </w:p>
        </w:tc>
        <w:tc>
          <w:tcPr>
            <w:tcW w:w="1024" w:type="pct"/>
            <w:noWrap/>
            <w:hideMark/>
          </w:tcPr>
          <w:p w14:paraId="3FD52621" w14:textId="77777777" w:rsidR="00911F85" w:rsidRPr="00202B7F" w:rsidRDefault="00911F85" w:rsidP="008742A1">
            <w:pPr>
              <w:pStyle w:val="Tabletext1"/>
              <w:jc w:val="right"/>
            </w:pPr>
            <w:r w:rsidRPr="00DF131E">
              <w:t>$1,303.83</w:t>
            </w:r>
          </w:p>
        </w:tc>
        <w:tc>
          <w:tcPr>
            <w:tcW w:w="1023" w:type="pct"/>
            <w:noWrap/>
            <w:hideMark/>
          </w:tcPr>
          <w:p w14:paraId="6F248931" w14:textId="77777777" w:rsidR="00911F85" w:rsidRPr="00202B7F" w:rsidRDefault="00911F85" w:rsidP="008742A1">
            <w:pPr>
              <w:pStyle w:val="Tabletext1"/>
              <w:jc w:val="right"/>
            </w:pPr>
            <w:r w:rsidRPr="00DF131E">
              <w:t>$1,303.83</w:t>
            </w:r>
          </w:p>
        </w:tc>
      </w:tr>
      <w:tr w:rsidR="00911F85" w:rsidRPr="00202B7F" w14:paraId="3CA0091E" w14:textId="77777777" w:rsidTr="0007662C">
        <w:trPr>
          <w:cantSplit/>
          <w:trHeight w:val="300"/>
        </w:trPr>
        <w:tc>
          <w:tcPr>
            <w:tcW w:w="2953" w:type="pct"/>
            <w:noWrap/>
            <w:hideMark/>
          </w:tcPr>
          <w:p w14:paraId="673F0499" w14:textId="77777777" w:rsidR="00911F85" w:rsidRPr="00202B7F" w:rsidRDefault="00911F85" w:rsidP="008742A1">
            <w:pPr>
              <w:pStyle w:val="Tabletext1"/>
            </w:pPr>
            <w:r>
              <w:t xml:space="preserve">Bronchiectasis with chronic </w:t>
            </w:r>
            <w:r w:rsidRPr="00246F7C">
              <w:rPr>
                <w:i/>
              </w:rPr>
              <w:t>P</w:t>
            </w:r>
            <w:r>
              <w:rPr>
                <w:i/>
              </w:rPr>
              <w:t>.</w:t>
            </w:r>
            <w:r w:rsidRPr="00246F7C">
              <w:rPr>
                <w:i/>
              </w:rPr>
              <w:t xml:space="preserve"> aeruginosa</w:t>
            </w:r>
            <w:r w:rsidRPr="00246F7C">
              <w:t xml:space="preserve"> infection</w:t>
            </w:r>
          </w:p>
        </w:tc>
        <w:tc>
          <w:tcPr>
            <w:tcW w:w="1024" w:type="pct"/>
            <w:noWrap/>
            <w:hideMark/>
          </w:tcPr>
          <w:p w14:paraId="77A04FB9" w14:textId="77777777" w:rsidR="00911F85" w:rsidRPr="00202B7F" w:rsidRDefault="00911F85" w:rsidP="008742A1">
            <w:pPr>
              <w:pStyle w:val="Tabletext1"/>
              <w:jc w:val="right"/>
            </w:pPr>
            <w:r w:rsidRPr="00EB50E5">
              <w:t>$</w:t>
            </w:r>
            <w:r>
              <w:t>1,842.16</w:t>
            </w:r>
          </w:p>
        </w:tc>
        <w:tc>
          <w:tcPr>
            <w:tcW w:w="1023" w:type="pct"/>
            <w:noWrap/>
            <w:hideMark/>
          </w:tcPr>
          <w:p w14:paraId="5C1F6CDC" w14:textId="77777777" w:rsidR="00911F85" w:rsidRPr="00202B7F" w:rsidRDefault="00911F85" w:rsidP="008742A1">
            <w:pPr>
              <w:pStyle w:val="Tabletext1"/>
              <w:jc w:val="right"/>
            </w:pPr>
            <w:r w:rsidRPr="00EB50E5">
              <w:t>$</w:t>
            </w:r>
            <w:r>
              <w:t>1,361.00</w:t>
            </w:r>
          </w:p>
        </w:tc>
      </w:tr>
    </w:tbl>
    <w:p w14:paraId="628A8B87" w14:textId="77777777" w:rsidR="00911F85" w:rsidRDefault="00911F85" w:rsidP="00911F85">
      <w:pPr>
        <w:pStyle w:val="Tablenotes1"/>
      </w:pPr>
      <w:r>
        <w:t>Ig = immunoglobulin.</w:t>
      </w:r>
    </w:p>
    <w:p w14:paraId="7817ACC1" w14:textId="77777777" w:rsidR="00911F85" w:rsidRDefault="00911F85" w:rsidP="00911F85"/>
    <w:p w14:paraId="3F4B6BD6" w14:textId="77777777" w:rsidR="00911F85" w:rsidRDefault="00911F85" w:rsidP="00911F85">
      <w:pPr>
        <w:pStyle w:val="Heading3"/>
      </w:pPr>
      <w:bookmarkStart w:id="530" w:name="_Toc14431167"/>
      <w:bookmarkStart w:id="531" w:name="_Toc16856340"/>
      <w:r w:rsidRPr="00002FB0">
        <w:rPr>
          <w:sz w:val="22"/>
        </w:rPr>
        <w:t>D.4.3.</w:t>
      </w:r>
      <w:r>
        <w:tab/>
      </w:r>
      <w:r>
        <w:tab/>
        <w:t>Utility weights</w:t>
      </w:r>
      <w:bookmarkEnd w:id="530"/>
      <w:bookmarkEnd w:id="531"/>
    </w:p>
    <w:p w14:paraId="13A4567B" w14:textId="3F6A9CC8" w:rsidR="00911F85" w:rsidRDefault="00312B95" w:rsidP="00911F85">
      <w:bookmarkStart w:id="532" w:name="_Toc14348888"/>
      <w:bookmarkStart w:id="533" w:name="_Toc14429594"/>
      <w:r>
        <w:t xml:space="preserve">A premodelling study was presented in Section C.4.1 to identify relevant utility weights for use in the </w:t>
      </w:r>
      <w:r w:rsidR="00B057B6">
        <w:t xml:space="preserve">economic </w:t>
      </w:r>
      <w:r>
        <w:t xml:space="preserve">model. </w:t>
      </w:r>
      <w:r w:rsidR="00B057B6">
        <w:t>A summary of t</w:t>
      </w:r>
      <w:r w:rsidR="00911F85">
        <w:t xml:space="preserve">he utility weights used </w:t>
      </w:r>
      <w:r w:rsidR="00B057B6">
        <w:t>is</w:t>
      </w:r>
      <w:r w:rsidR="00911F85">
        <w:t xml:space="preserve"> presented in </w:t>
      </w:r>
      <w:r w:rsidR="00911F85">
        <w:fldChar w:fldCharType="begin"/>
      </w:r>
      <w:r w:rsidR="00911F85">
        <w:instrText xml:space="preserve"> REF _Ref11236166 \h </w:instrText>
      </w:r>
      <w:r w:rsidR="00911F85">
        <w:fldChar w:fldCharType="separate"/>
      </w:r>
      <w:r w:rsidR="00A7463B">
        <w:t xml:space="preserve">Table </w:t>
      </w:r>
      <w:r w:rsidR="00A7463B">
        <w:rPr>
          <w:noProof/>
        </w:rPr>
        <w:t>54</w:t>
      </w:r>
      <w:r w:rsidR="00911F85">
        <w:fldChar w:fldCharType="end"/>
      </w:r>
      <w:r w:rsidR="00911F85">
        <w:t>.</w:t>
      </w:r>
    </w:p>
    <w:p w14:paraId="22966C73" w14:textId="75B19988" w:rsidR="00911F85" w:rsidRDefault="00911F85" w:rsidP="00911F85">
      <w:pPr>
        <w:pStyle w:val="Caption"/>
        <w:keepNext/>
      </w:pPr>
      <w:bookmarkStart w:id="534" w:name="_Ref11236166"/>
      <w:bookmarkStart w:id="535" w:name="_Toc14348889"/>
      <w:bookmarkStart w:id="536" w:name="_Toc16671652"/>
      <w:r>
        <w:t xml:space="preserve">Table </w:t>
      </w:r>
      <w:r>
        <w:rPr>
          <w:noProof/>
        </w:rPr>
        <w:fldChar w:fldCharType="begin"/>
      </w:r>
      <w:r>
        <w:rPr>
          <w:noProof/>
        </w:rPr>
        <w:instrText xml:space="preserve"> SEQ Table \* ARABIC </w:instrText>
      </w:r>
      <w:r>
        <w:rPr>
          <w:noProof/>
        </w:rPr>
        <w:fldChar w:fldCharType="separate"/>
      </w:r>
      <w:r w:rsidR="00A7463B">
        <w:rPr>
          <w:noProof/>
        </w:rPr>
        <w:t>54</w:t>
      </w:r>
      <w:r>
        <w:rPr>
          <w:noProof/>
        </w:rPr>
        <w:fldChar w:fldCharType="end"/>
      </w:r>
      <w:bookmarkEnd w:id="534"/>
      <w:r>
        <w:tab/>
        <w:t>Utility weights used in the economic evaluation</w:t>
      </w:r>
      <w:bookmarkEnd w:id="535"/>
      <w:bookmarkEnd w:id="536"/>
    </w:p>
    <w:tbl>
      <w:tblPr>
        <w:tblStyle w:val="TableGrid"/>
        <w:tblW w:w="5000" w:type="pct"/>
        <w:tblLook w:val="04A0" w:firstRow="1" w:lastRow="0" w:firstColumn="1" w:lastColumn="0" w:noHBand="0" w:noVBand="1"/>
        <w:tblCaption w:val="Utility weights used in the economic evaluation"/>
      </w:tblPr>
      <w:tblGrid>
        <w:gridCol w:w="6231"/>
        <w:gridCol w:w="1505"/>
        <w:gridCol w:w="1506"/>
      </w:tblGrid>
      <w:tr w:rsidR="00B057B6" w:rsidRPr="00CF107F" w14:paraId="65D85D82" w14:textId="77777777" w:rsidTr="00190B86">
        <w:trPr>
          <w:cantSplit/>
          <w:tblHeader/>
        </w:trPr>
        <w:tc>
          <w:tcPr>
            <w:tcW w:w="3371" w:type="pct"/>
            <w:tcBorders>
              <w:bottom w:val="single" w:sz="4" w:space="0" w:color="auto"/>
            </w:tcBorders>
          </w:tcPr>
          <w:p w14:paraId="7FCB415A" w14:textId="77777777" w:rsidR="00B057B6" w:rsidRPr="00CF107F" w:rsidRDefault="00B057B6" w:rsidP="008742A1">
            <w:pPr>
              <w:pStyle w:val="TableHeading"/>
            </w:pPr>
          </w:p>
        </w:tc>
        <w:tc>
          <w:tcPr>
            <w:tcW w:w="814" w:type="pct"/>
            <w:tcBorders>
              <w:bottom w:val="single" w:sz="4" w:space="0" w:color="auto"/>
            </w:tcBorders>
          </w:tcPr>
          <w:p w14:paraId="33972823" w14:textId="77777777" w:rsidR="00B057B6" w:rsidRPr="00CF107F" w:rsidRDefault="00B057B6" w:rsidP="008742A1">
            <w:pPr>
              <w:pStyle w:val="TableHeading"/>
              <w:jc w:val="center"/>
            </w:pPr>
            <w:r>
              <w:t>Ig</w:t>
            </w:r>
          </w:p>
        </w:tc>
        <w:tc>
          <w:tcPr>
            <w:tcW w:w="815" w:type="pct"/>
            <w:tcBorders>
              <w:bottom w:val="single" w:sz="4" w:space="0" w:color="auto"/>
            </w:tcBorders>
          </w:tcPr>
          <w:p w14:paraId="48EB85BB" w14:textId="77777777" w:rsidR="00B057B6" w:rsidRPr="00CF107F" w:rsidRDefault="00B057B6" w:rsidP="008742A1">
            <w:pPr>
              <w:pStyle w:val="TableHeading"/>
              <w:jc w:val="center"/>
            </w:pPr>
            <w:r>
              <w:t>No Ig</w:t>
            </w:r>
          </w:p>
        </w:tc>
      </w:tr>
      <w:tr w:rsidR="00B057B6" w:rsidRPr="00CF107F" w14:paraId="57FCF57E" w14:textId="77777777" w:rsidTr="00190B86">
        <w:trPr>
          <w:cantSplit/>
        </w:trPr>
        <w:tc>
          <w:tcPr>
            <w:tcW w:w="3371" w:type="pct"/>
            <w:tcBorders>
              <w:top w:val="single" w:sz="4" w:space="0" w:color="auto"/>
              <w:bottom w:val="single" w:sz="4" w:space="0" w:color="auto"/>
            </w:tcBorders>
          </w:tcPr>
          <w:p w14:paraId="404E01A1" w14:textId="77777777" w:rsidR="00B057B6" w:rsidRDefault="00B057B6" w:rsidP="008742A1">
            <w:pPr>
              <w:pStyle w:val="Tabletext1"/>
            </w:pPr>
            <w:r w:rsidRPr="00386727">
              <w:t>Utility in infection-free, including IV infusions</w:t>
            </w:r>
          </w:p>
        </w:tc>
        <w:tc>
          <w:tcPr>
            <w:tcW w:w="814" w:type="pct"/>
            <w:tcBorders>
              <w:top w:val="single" w:sz="4" w:space="0" w:color="auto"/>
              <w:bottom w:val="single" w:sz="4" w:space="0" w:color="auto"/>
            </w:tcBorders>
          </w:tcPr>
          <w:p w14:paraId="0BA1535C" w14:textId="77777777" w:rsidR="00B057B6" w:rsidRDefault="00B057B6" w:rsidP="008742A1">
            <w:pPr>
              <w:pStyle w:val="Tabletext1"/>
              <w:jc w:val="center"/>
            </w:pPr>
            <w:r w:rsidRPr="00C977B4">
              <w:t>0.7073</w:t>
            </w:r>
          </w:p>
        </w:tc>
        <w:tc>
          <w:tcPr>
            <w:tcW w:w="815" w:type="pct"/>
            <w:tcBorders>
              <w:top w:val="single" w:sz="4" w:space="0" w:color="auto"/>
              <w:bottom w:val="single" w:sz="4" w:space="0" w:color="auto"/>
            </w:tcBorders>
          </w:tcPr>
          <w:p w14:paraId="4707AA0B" w14:textId="13A7AAEF" w:rsidR="00B057B6" w:rsidRPr="00CF107F" w:rsidRDefault="00B057B6" w:rsidP="00B057B6">
            <w:pPr>
              <w:pStyle w:val="Tabletext1"/>
              <w:jc w:val="center"/>
            </w:pPr>
            <w:r w:rsidRPr="00C977B4">
              <w:t>0.7148</w:t>
            </w:r>
          </w:p>
        </w:tc>
      </w:tr>
      <w:tr w:rsidR="00B057B6" w:rsidRPr="00CF107F" w14:paraId="44FC90D8" w14:textId="77777777" w:rsidTr="00190B86">
        <w:trPr>
          <w:cantSplit/>
        </w:trPr>
        <w:tc>
          <w:tcPr>
            <w:tcW w:w="3371" w:type="pct"/>
            <w:tcBorders>
              <w:top w:val="single" w:sz="4" w:space="0" w:color="auto"/>
              <w:bottom w:val="single" w:sz="4" w:space="0" w:color="auto"/>
            </w:tcBorders>
          </w:tcPr>
          <w:p w14:paraId="769D1CF4" w14:textId="77777777" w:rsidR="00B057B6" w:rsidRPr="00CF107F" w:rsidRDefault="00B057B6" w:rsidP="008742A1">
            <w:pPr>
              <w:pStyle w:val="Tabletext1"/>
            </w:pPr>
            <w:r w:rsidRPr="00CF107F">
              <w:t>Utility with infection</w:t>
            </w:r>
          </w:p>
        </w:tc>
        <w:tc>
          <w:tcPr>
            <w:tcW w:w="814" w:type="pct"/>
            <w:tcBorders>
              <w:top w:val="single" w:sz="4" w:space="0" w:color="auto"/>
              <w:bottom w:val="single" w:sz="4" w:space="0" w:color="auto"/>
            </w:tcBorders>
          </w:tcPr>
          <w:p w14:paraId="046CBB0C" w14:textId="77777777" w:rsidR="00B057B6" w:rsidRPr="00CF107F" w:rsidRDefault="00B057B6" w:rsidP="008742A1">
            <w:pPr>
              <w:pStyle w:val="Tabletext1"/>
              <w:jc w:val="center"/>
            </w:pPr>
            <w:r w:rsidRPr="00DF4642">
              <w:t>0.5805</w:t>
            </w:r>
          </w:p>
        </w:tc>
        <w:tc>
          <w:tcPr>
            <w:tcW w:w="815" w:type="pct"/>
            <w:tcBorders>
              <w:top w:val="single" w:sz="4" w:space="0" w:color="auto"/>
              <w:bottom w:val="single" w:sz="4" w:space="0" w:color="auto"/>
            </w:tcBorders>
          </w:tcPr>
          <w:p w14:paraId="5A507F51" w14:textId="77777777" w:rsidR="00B057B6" w:rsidRPr="00CF107F" w:rsidRDefault="00B057B6" w:rsidP="008742A1">
            <w:pPr>
              <w:pStyle w:val="Tabletext1"/>
              <w:jc w:val="center"/>
            </w:pPr>
            <w:r w:rsidRPr="00DF4642">
              <w:t>0.5532</w:t>
            </w:r>
          </w:p>
        </w:tc>
      </w:tr>
      <w:tr w:rsidR="00B057B6" w:rsidRPr="00CF107F" w14:paraId="4735EA1E" w14:textId="77777777" w:rsidTr="00190B86">
        <w:trPr>
          <w:cantSplit/>
        </w:trPr>
        <w:tc>
          <w:tcPr>
            <w:tcW w:w="3371" w:type="pct"/>
            <w:tcBorders>
              <w:top w:val="single" w:sz="4" w:space="0" w:color="auto"/>
              <w:bottom w:val="single" w:sz="4" w:space="0" w:color="auto"/>
            </w:tcBorders>
          </w:tcPr>
          <w:p w14:paraId="284D8264" w14:textId="77777777" w:rsidR="00B057B6" w:rsidRPr="00CF107F" w:rsidRDefault="00B057B6" w:rsidP="008742A1">
            <w:pPr>
              <w:pStyle w:val="Tabletext1"/>
            </w:pPr>
            <w:r w:rsidRPr="00CF107F">
              <w:t xml:space="preserve">Utility of </w:t>
            </w:r>
            <w:r>
              <w:t>b</w:t>
            </w:r>
            <w:r w:rsidRPr="00CF107F">
              <w:t>ronchiectasis</w:t>
            </w:r>
          </w:p>
        </w:tc>
        <w:tc>
          <w:tcPr>
            <w:tcW w:w="814" w:type="pct"/>
            <w:tcBorders>
              <w:top w:val="single" w:sz="4" w:space="0" w:color="auto"/>
              <w:bottom w:val="single" w:sz="4" w:space="0" w:color="auto"/>
            </w:tcBorders>
          </w:tcPr>
          <w:p w14:paraId="408FFA97" w14:textId="77777777" w:rsidR="00B057B6" w:rsidRPr="00CF107F" w:rsidRDefault="00B057B6" w:rsidP="008742A1">
            <w:pPr>
              <w:pStyle w:val="Tabletext1"/>
              <w:jc w:val="center"/>
            </w:pPr>
            <w:r w:rsidRPr="00CF107F">
              <w:t>0.6392</w:t>
            </w:r>
          </w:p>
        </w:tc>
        <w:tc>
          <w:tcPr>
            <w:tcW w:w="815" w:type="pct"/>
            <w:tcBorders>
              <w:top w:val="single" w:sz="4" w:space="0" w:color="auto"/>
              <w:bottom w:val="single" w:sz="4" w:space="0" w:color="auto"/>
            </w:tcBorders>
          </w:tcPr>
          <w:p w14:paraId="6E8D3889" w14:textId="77777777" w:rsidR="00B057B6" w:rsidRPr="00CF107F" w:rsidRDefault="00B057B6" w:rsidP="008742A1">
            <w:pPr>
              <w:pStyle w:val="Tabletext1"/>
              <w:jc w:val="center"/>
            </w:pPr>
            <w:r w:rsidRPr="00CF107F">
              <w:t>0.6392</w:t>
            </w:r>
          </w:p>
        </w:tc>
      </w:tr>
      <w:tr w:rsidR="00B057B6" w:rsidRPr="00CF107F" w14:paraId="2ADA9C73" w14:textId="77777777" w:rsidTr="00190B86">
        <w:trPr>
          <w:cantSplit/>
        </w:trPr>
        <w:tc>
          <w:tcPr>
            <w:tcW w:w="3371" w:type="pct"/>
            <w:tcBorders>
              <w:top w:val="single" w:sz="4" w:space="0" w:color="auto"/>
              <w:bottom w:val="single" w:sz="4" w:space="0" w:color="auto"/>
            </w:tcBorders>
          </w:tcPr>
          <w:p w14:paraId="5EFB04AF" w14:textId="77777777" w:rsidR="00B057B6" w:rsidRPr="00CF107F" w:rsidRDefault="00B057B6" w:rsidP="008742A1">
            <w:pPr>
              <w:pStyle w:val="Tabletext1"/>
            </w:pPr>
            <w:r w:rsidRPr="00CF107F">
              <w:t xml:space="preserve">Utility of </w:t>
            </w:r>
            <w:r>
              <w:t>b</w:t>
            </w:r>
            <w:r w:rsidRPr="00CF107F">
              <w:t>ronchiectasis with infection</w:t>
            </w:r>
          </w:p>
        </w:tc>
        <w:tc>
          <w:tcPr>
            <w:tcW w:w="814" w:type="pct"/>
            <w:tcBorders>
              <w:top w:val="single" w:sz="4" w:space="0" w:color="auto"/>
              <w:bottom w:val="single" w:sz="4" w:space="0" w:color="auto"/>
            </w:tcBorders>
          </w:tcPr>
          <w:p w14:paraId="5EEF91AD" w14:textId="77777777" w:rsidR="00B057B6" w:rsidRPr="00CF107F" w:rsidRDefault="00B057B6" w:rsidP="008742A1">
            <w:pPr>
              <w:pStyle w:val="Tabletext1"/>
              <w:jc w:val="center"/>
            </w:pPr>
            <w:r w:rsidRPr="00831E1B">
              <w:t>0.5355</w:t>
            </w:r>
          </w:p>
        </w:tc>
        <w:tc>
          <w:tcPr>
            <w:tcW w:w="815" w:type="pct"/>
            <w:tcBorders>
              <w:top w:val="single" w:sz="4" w:space="0" w:color="auto"/>
              <w:bottom w:val="single" w:sz="4" w:space="0" w:color="auto"/>
            </w:tcBorders>
          </w:tcPr>
          <w:p w14:paraId="27B48D77" w14:textId="77777777" w:rsidR="00B057B6" w:rsidRPr="00CF107F" w:rsidRDefault="00B057B6" w:rsidP="008742A1">
            <w:pPr>
              <w:pStyle w:val="Tabletext1"/>
              <w:jc w:val="center"/>
            </w:pPr>
            <w:r w:rsidRPr="00831E1B">
              <w:t>0.5355</w:t>
            </w:r>
          </w:p>
        </w:tc>
      </w:tr>
      <w:tr w:rsidR="00B057B6" w:rsidRPr="00CF107F" w14:paraId="30815864" w14:textId="77777777" w:rsidTr="00190B86">
        <w:trPr>
          <w:cantSplit/>
        </w:trPr>
        <w:tc>
          <w:tcPr>
            <w:tcW w:w="3371" w:type="pct"/>
            <w:tcBorders>
              <w:top w:val="single" w:sz="4" w:space="0" w:color="auto"/>
            </w:tcBorders>
          </w:tcPr>
          <w:p w14:paraId="1FB0C3CB" w14:textId="77777777" w:rsidR="00B057B6" w:rsidRPr="00CF107F" w:rsidRDefault="00B057B6" w:rsidP="008742A1">
            <w:pPr>
              <w:pStyle w:val="Tabletext1"/>
            </w:pPr>
            <w:r w:rsidRPr="00CF107F">
              <w:t xml:space="preserve">Utility of Bronchiectasis with chronic </w:t>
            </w:r>
            <w:r w:rsidRPr="00CF107F">
              <w:rPr>
                <w:i/>
              </w:rPr>
              <w:t>Pseudomonas aeruginosa</w:t>
            </w:r>
            <w:r w:rsidRPr="00CF107F">
              <w:t xml:space="preserve"> infection</w:t>
            </w:r>
          </w:p>
        </w:tc>
        <w:tc>
          <w:tcPr>
            <w:tcW w:w="814" w:type="pct"/>
            <w:tcBorders>
              <w:top w:val="single" w:sz="4" w:space="0" w:color="auto"/>
            </w:tcBorders>
          </w:tcPr>
          <w:p w14:paraId="5B53F852" w14:textId="77777777" w:rsidR="00B057B6" w:rsidRPr="00CF107F" w:rsidRDefault="00B057B6" w:rsidP="008742A1">
            <w:pPr>
              <w:pStyle w:val="Tabletext1"/>
              <w:jc w:val="center"/>
            </w:pPr>
            <w:r w:rsidRPr="00617B3F">
              <w:t>0.5355</w:t>
            </w:r>
          </w:p>
        </w:tc>
        <w:tc>
          <w:tcPr>
            <w:tcW w:w="815" w:type="pct"/>
            <w:tcBorders>
              <w:top w:val="single" w:sz="4" w:space="0" w:color="auto"/>
            </w:tcBorders>
          </w:tcPr>
          <w:p w14:paraId="3F6A36C2" w14:textId="77777777" w:rsidR="00B057B6" w:rsidRPr="00CF107F" w:rsidRDefault="00B057B6" w:rsidP="008742A1">
            <w:pPr>
              <w:pStyle w:val="Tabletext1"/>
              <w:jc w:val="center"/>
            </w:pPr>
            <w:r w:rsidRPr="00617B3F">
              <w:t>0.5355</w:t>
            </w:r>
          </w:p>
        </w:tc>
      </w:tr>
    </w:tbl>
    <w:p w14:paraId="6D28D090" w14:textId="77777777" w:rsidR="00911F85" w:rsidRPr="00E86BCE" w:rsidRDefault="00911F85" w:rsidP="00911F85">
      <w:pPr>
        <w:pStyle w:val="Tablenotes1"/>
      </w:pPr>
      <w:r>
        <w:t>Ig = immunoglobulin; IV = intravenous.</w:t>
      </w:r>
    </w:p>
    <w:bookmarkEnd w:id="532"/>
    <w:bookmarkEnd w:id="533"/>
    <w:p w14:paraId="0325643B" w14:textId="26D647EB" w:rsidR="00911F85" w:rsidRPr="00183E4D" w:rsidRDefault="00911F85" w:rsidP="00911F85"/>
    <w:p w14:paraId="4C82CE20" w14:textId="77777777" w:rsidR="00911F85" w:rsidRDefault="00911F85" w:rsidP="00331FB9">
      <w:pPr>
        <w:pStyle w:val="Heading2"/>
        <w:numPr>
          <w:ilvl w:val="3"/>
          <w:numId w:val="10"/>
        </w:numPr>
      </w:pPr>
      <w:bookmarkStart w:id="537" w:name="_Toc381796480"/>
      <w:bookmarkStart w:id="538" w:name="_Toc9515615"/>
      <w:bookmarkStart w:id="539" w:name="_Toc14431168"/>
      <w:bookmarkStart w:id="540" w:name="_Toc16856341"/>
      <w:r>
        <w:lastRenderedPageBreak/>
        <w:t>Results of</w:t>
      </w:r>
      <w:r w:rsidRPr="00183E4D">
        <w:t xml:space="preserve"> the </w:t>
      </w:r>
      <w:r>
        <w:t>economic e</w:t>
      </w:r>
      <w:r w:rsidRPr="00183E4D">
        <w:t>valuation</w:t>
      </w:r>
      <w:bookmarkEnd w:id="537"/>
      <w:bookmarkEnd w:id="538"/>
      <w:bookmarkEnd w:id="539"/>
      <w:bookmarkEnd w:id="540"/>
    </w:p>
    <w:p w14:paraId="512A7F49" w14:textId="77777777" w:rsidR="00911F85" w:rsidRPr="006401D0" w:rsidRDefault="00911F85" w:rsidP="00911F85">
      <w:pPr>
        <w:pStyle w:val="Heading3"/>
        <w:rPr>
          <w:sz w:val="22"/>
        </w:rPr>
      </w:pPr>
      <w:bookmarkStart w:id="541" w:name="_Toc14431169"/>
      <w:bookmarkStart w:id="542" w:name="_Toc16856342"/>
      <w:r>
        <w:rPr>
          <w:sz w:val="22"/>
        </w:rPr>
        <w:t>D.5.1</w:t>
      </w:r>
      <w:r w:rsidRPr="00002FB0">
        <w:rPr>
          <w:sz w:val="22"/>
        </w:rPr>
        <w:t>.</w:t>
      </w:r>
      <w:r>
        <w:tab/>
      </w:r>
      <w:r>
        <w:tab/>
      </w:r>
      <w:r w:rsidRPr="006401D0">
        <w:rPr>
          <w:sz w:val="22"/>
        </w:rPr>
        <w:t>Stepped economic evaluation</w:t>
      </w:r>
      <w:bookmarkEnd w:id="541"/>
      <w:bookmarkEnd w:id="542"/>
    </w:p>
    <w:p w14:paraId="6662064F" w14:textId="77777777" w:rsidR="00911F85" w:rsidRDefault="00911F85" w:rsidP="00911F85">
      <w:r>
        <w:t>A stepped economic evaluation will be presented. A summary of each of the steps is presented below:</w:t>
      </w:r>
    </w:p>
    <w:p w14:paraId="5998E907" w14:textId="23C572DE" w:rsidR="00911F85" w:rsidRDefault="00911F85" w:rsidP="00331FB9">
      <w:pPr>
        <w:pStyle w:val="ListParagraph"/>
        <w:numPr>
          <w:ilvl w:val="0"/>
          <w:numId w:val="16"/>
        </w:numPr>
      </w:pPr>
      <w:r>
        <w:t xml:space="preserve">Step 1: Trial-based analysis. This step will apply the dose, dose frequency, relative infection rates, trial time horizon and Ig treatment duration from the Chapel et al. </w:t>
      </w:r>
      <w:r>
        <w:fldChar w:fldCharType="begin">
          <w:fldData xml:space="preserve">PEVuZE5vdGU+PENpdGUgRXhjbHVkZUF1dGg9IjEiPjxBdXRob3I+Q2hhcGVsPC9BdXRob3I+PFll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==
</w:fldData>
        </w:fldChar>
      </w:r>
      <w:r w:rsidR="00896BE2">
        <w:instrText xml:space="preserve"> ADDIN EN.CITE </w:instrText>
      </w:r>
      <w:r w:rsidR="00896BE2">
        <w:fldChar w:fldCharType="begin">
          <w:fldData xml:space="preserve">PEVuZE5vdGU+PENpdGUgRXhjbHVkZUF1dGg9IjEiPjxBdXRob3I+Q2hhcGVsPC9BdXRob3I+PFll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==
</w:fldData>
        </w:fldChar>
      </w:r>
      <w:r w:rsidR="00896BE2">
        <w:instrText xml:space="preserve"> ADDIN EN.CITE.DATA </w:instrText>
      </w:r>
      <w:r w:rsidR="00896BE2">
        <w:fldChar w:fldCharType="end"/>
      </w:r>
      <w:r>
        <w:fldChar w:fldCharType="separate"/>
      </w:r>
      <w:r w:rsidR="00896BE2">
        <w:rPr>
          <w:noProof/>
        </w:rPr>
        <w:t>(</w:t>
      </w:r>
      <w:hyperlink w:anchor="_ENREF_13" w:tooltip="Chapel, 1994 #56" w:history="1">
        <w:r w:rsidR="00BB0145">
          <w:rPr>
            <w:noProof/>
          </w:rPr>
          <w:t>1994b</w:t>
        </w:r>
      </w:hyperlink>
      <w:r w:rsidR="00896BE2">
        <w:rPr>
          <w:noProof/>
        </w:rPr>
        <w:t>)</w:t>
      </w:r>
      <w:r>
        <w:fldChar w:fldCharType="end"/>
      </w:r>
      <w:r>
        <w:t xml:space="preserve"> </w:t>
      </w:r>
      <w:r w:rsidRPr="004A44AA">
        <w:t>trial</w:t>
      </w:r>
      <w:r>
        <w:t xml:space="preserve">. This study was selected on the basis that, of the randomised studies, this study had the most patient years of data and used a dose that was most consistent with those recommended in the Version 3 criteria. </w:t>
      </w:r>
    </w:p>
    <w:p w14:paraId="5A3093B3" w14:textId="6E5FA023" w:rsidR="00911F85" w:rsidRDefault="00911F85" w:rsidP="00331FB9">
      <w:pPr>
        <w:pStyle w:val="ListParagraph"/>
        <w:numPr>
          <w:ilvl w:val="0"/>
          <w:numId w:val="16"/>
        </w:numPr>
      </w:pPr>
      <w:r>
        <w:t xml:space="preserve">Step 2: Trial-based analysis, extrapolated. The second step of the model will continue to apply the trial doses, dose frequency and relative infection rates as reported in the Chapel et al. </w:t>
      </w:r>
      <w:r>
        <w:fldChar w:fldCharType="begin">
          <w:fldData xml:space="preserve">PEVuZE5vdGU+PENpdGUgRXhjbHVkZUF1dGg9IjEiPjxBdXRob3I+Q2hhcGVsPC9BdXRob3I+PFll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==
</w:fldData>
        </w:fldChar>
      </w:r>
      <w:r w:rsidR="00896BE2">
        <w:instrText xml:space="preserve"> ADDIN EN.CITE </w:instrText>
      </w:r>
      <w:r w:rsidR="00896BE2">
        <w:fldChar w:fldCharType="begin">
          <w:fldData xml:space="preserve">PEVuZE5vdGU+PENpdGUgRXhjbHVkZUF1dGg9IjEiPjxBdXRob3I+Q2hhcGVsPC9BdXRob3I+PFll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==
</w:fldData>
        </w:fldChar>
      </w:r>
      <w:r w:rsidR="00896BE2">
        <w:instrText xml:space="preserve"> ADDIN EN.CITE.DATA </w:instrText>
      </w:r>
      <w:r w:rsidR="00896BE2">
        <w:fldChar w:fldCharType="end"/>
      </w:r>
      <w:r>
        <w:fldChar w:fldCharType="separate"/>
      </w:r>
      <w:r w:rsidR="00896BE2">
        <w:rPr>
          <w:noProof/>
        </w:rPr>
        <w:t>(</w:t>
      </w:r>
      <w:hyperlink w:anchor="_ENREF_13" w:tooltip="Chapel, 1994 #56" w:history="1">
        <w:r w:rsidR="00BB0145">
          <w:rPr>
            <w:noProof/>
          </w:rPr>
          <w:t>1994b</w:t>
        </w:r>
      </w:hyperlink>
      <w:r w:rsidR="00896BE2">
        <w:rPr>
          <w:noProof/>
        </w:rPr>
        <w:t>)</w:t>
      </w:r>
      <w:r>
        <w:fldChar w:fldCharType="end"/>
      </w:r>
      <w:r>
        <w:t xml:space="preserve"> </w:t>
      </w:r>
      <w:r w:rsidRPr="00967C61">
        <w:t>trial</w:t>
      </w:r>
      <w:r>
        <w:t xml:space="preserve">. However the time horizon is extrapolated to 10 years and the model allows for the development of bronchiectasis. Ig treatment duration is estimated based on </w:t>
      </w:r>
      <w:r w:rsidRPr="00F55739">
        <w:t>Paxton, Hawkins &amp; Crispin</w:t>
      </w:r>
      <w:r>
        <w:t xml:space="preserve"> </w:t>
      </w:r>
      <w:r>
        <w:fldChar w:fldCharType="begin">
          <w:fldData xml:space="preserve">PEVuZE5vdGU+PENpdGUgRXhjbHVkZUF1dGg9IjEiPjxBdXRob3I+UGF4dG9uPC9BdXRob3I+PFll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</w:fldData>
        </w:fldChar>
      </w:r>
      <w:r>
        <w:instrText xml:space="preserve"> ADDIN EN.CITE </w:instrText>
      </w:r>
      <w:r>
        <w:fldChar w:fldCharType="begin">
          <w:fldData xml:space="preserve">PEVuZE5vdGU+PENpdGUgRXhjbHVkZUF1dGg9IjEiPjxBdXRob3I+UGF4dG9uPC9BdXRob3I+PFll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</w:fldData>
        </w:fldChar>
      </w:r>
      <w:r>
        <w:instrText xml:space="preserve"> ADDIN EN.CITE.DATA </w:instrText>
      </w:r>
      <w:r>
        <w:fldChar w:fldCharType="end"/>
      </w:r>
      <w:r>
        <w:fldChar w:fldCharType="separate"/>
      </w:r>
      <w:r>
        <w:rPr>
          <w:noProof/>
        </w:rPr>
        <w:t>(</w:t>
      </w:r>
      <w:hyperlink w:anchor="_ENREF_39" w:tooltip="Paxton, 2016 #66" w:history="1">
        <w:r w:rsidR="00BB0145">
          <w:rPr>
            <w:noProof/>
          </w:rPr>
          <w:t>2016</w:t>
        </w:r>
      </w:hyperlink>
      <w:r>
        <w:rPr>
          <w:noProof/>
        </w:rPr>
        <w:t>)</w:t>
      </w:r>
      <w:r>
        <w:fldChar w:fldCharType="end"/>
      </w:r>
      <w:r>
        <w:t>.</w:t>
      </w:r>
    </w:p>
    <w:p w14:paraId="149F11EC" w14:textId="39CBDCA2" w:rsidR="00911F85" w:rsidRDefault="00911F85" w:rsidP="00331FB9">
      <w:pPr>
        <w:pStyle w:val="ListParagraph"/>
        <w:numPr>
          <w:ilvl w:val="0"/>
          <w:numId w:val="16"/>
        </w:numPr>
      </w:pPr>
      <w:r>
        <w:t xml:space="preserve">Step 3: Modelled base case analysis. The final step of the analysis models the benefit of Ig relative to no Ig based on the pooled IRRs estimated in Section B.6, assuming baseline infection rates from </w:t>
      </w:r>
      <w:r w:rsidRPr="00F55739">
        <w:t>Paxton, Hawkins &amp; Crispin</w:t>
      </w:r>
      <w:r>
        <w:t xml:space="preserve"> </w:t>
      </w:r>
      <w:r>
        <w:fldChar w:fldCharType="begin">
          <w:fldData xml:space="preserve">PEVuZE5vdGU+PENpdGUgRXhjbHVkZUF1dGg9IjEiPjxBdXRob3I+UGF4dG9uPC9BdXRob3I+PFll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</w:fldData>
        </w:fldChar>
      </w:r>
      <w:r>
        <w:instrText xml:space="preserve"> ADDIN EN.CITE </w:instrText>
      </w:r>
      <w:r>
        <w:fldChar w:fldCharType="begin">
          <w:fldData xml:space="preserve">PEVuZE5vdGU+PENpdGUgRXhjbHVkZUF1dGg9IjEiPjxBdXRob3I+UGF4dG9uPC9BdXRob3I+PFll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</w:fldData>
        </w:fldChar>
      </w:r>
      <w:r>
        <w:instrText xml:space="preserve"> ADDIN EN.CITE.DATA </w:instrText>
      </w:r>
      <w:r>
        <w:fldChar w:fldCharType="end"/>
      </w:r>
      <w:r>
        <w:fldChar w:fldCharType="separate"/>
      </w:r>
      <w:r>
        <w:rPr>
          <w:noProof/>
        </w:rPr>
        <w:t>(</w:t>
      </w:r>
      <w:hyperlink w:anchor="_ENREF_39" w:tooltip="Paxton, 2016 #66" w:history="1">
        <w:r w:rsidR="00BB0145">
          <w:rPr>
            <w:noProof/>
          </w:rPr>
          <w:t>2016</w:t>
        </w:r>
      </w:hyperlink>
      <w:r>
        <w:rPr>
          <w:noProof/>
        </w:rPr>
        <w:t>)</w:t>
      </w:r>
      <w:r>
        <w:fldChar w:fldCharType="end"/>
      </w:r>
      <w:r>
        <w:t xml:space="preserve">. The dose of Ig modelled is that of the weighted average dose estimated from 2017/18 BloodSTAR data, with a dose frequency of every four weeks assumed. </w:t>
      </w:r>
    </w:p>
    <w:p w14:paraId="357F40AF" w14:textId="28486397" w:rsidR="00911F85" w:rsidRDefault="00911F85" w:rsidP="00911F85">
      <w:r>
        <w:t xml:space="preserve">The results of the stepped analysis is presented in </w:t>
      </w:r>
      <w:r>
        <w:fldChar w:fldCharType="begin"/>
      </w:r>
      <w:r>
        <w:instrText xml:space="preserve"> REF _Ref13227870 \h </w:instrText>
      </w:r>
      <w:r>
        <w:fldChar w:fldCharType="separate"/>
      </w:r>
      <w:r w:rsidR="00A7463B">
        <w:t xml:space="preserve">Table </w:t>
      </w:r>
      <w:r w:rsidR="00A7463B">
        <w:rPr>
          <w:noProof/>
        </w:rPr>
        <w:t>55</w:t>
      </w:r>
      <w:r>
        <w:fldChar w:fldCharType="end"/>
      </w:r>
      <w:r>
        <w:t>.</w:t>
      </w:r>
    </w:p>
    <w:p w14:paraId="6DE14B05" w14:textId="7C2166E7" w:rsidR="00911F85" w:rsidRDefault="00911F85" w:rsidP="00911F85">
      <w:pPr>
        <w:pStyle w:val="Caption"/>
        <w:keepNext/>
      </w:pPr>
      <w:bookmarkStart w:id="543" w:name="_Ref13227870"/>
      <w:bookmarkStart w:id="544" w:name="_Toc14348890"/>
      <w:bookmarkStart w:id="545" w:name="_Toc14429596"/>
      <w:bookmarkStart w:id="546" w:name="_Toc16671653"/>
      <w:r>
        <w:t xml:space="preserve">Table </w:t>
      </w:r>
      <w:r>
        <w:rPr>
          <w:noProof/>
        </w:rPr>
        <w:fldChar w:fldCharType="begin"/>
      </w:r>
      <w:r>
        <w:rPr>
          <w:noProof/>
        </w:rPr>
        <w:instrText xml:space="preserve"> SEQ Table \* ARABIC </w:instrText>
      </w:r>
      <w:r>
        <w:rPr>
          <w:noProof/>
        </w:rPr>
        <w:fldChar w:fldCharType="separate"/>
      </w:r>
      <w:r w:rsidR="00A7463B">
        <w:rPr>
          <w:noProof/>
        </w:rPr>
        <w:t>55</w:t>
      </w:r>
      <w:r>
        <w:rPr>
          <w:noProof/>
        </w:rPr>
        <w:fldChar w:fldCharType="end"/>
      </w:r>
      <w:bookmarkEnd w:id="543"/>
      <w:r>
        <w:tab/>
        <w:t>Results of the stepped economic analysis</w:t>
      </w:r>
      <w:bookmarkEnd w:id="544"/>
      <w:bookmarkEnd w:id="545"/>
      <w:bookmarkEnd w:id="546"/>
    </w:p>
    <w:tbl>
      <w:tblPr>
        <w:tblStyle w:val="TableGrid1"/>
        <w:tblW w:w="5000" w:type="pct"/>
        <w:tblLayout w:type="fixed"/>
        <w:tblLook w:val="04A0" w:firstRow="1" w:lastRow="0" w:firstColumn="1" w:lastColumn="0" w:noHBand="0" w:noVBand="1"/>
        <w:tblCaption w:val="Results of the stepped economic analyses"/>
      </w:tblPr>
      <w:tblGrid>
        <w:gridCol w:w="5517"/>
        <w:gridCol w:w="1235"/>
        <w:gridCol w:w="1235"/>
        <w:gridCol w:w="1255"/>
      </w:tblGrid>
      <w:tr w:rsidR="00911F85" w:rsidRPr="007B7239" w14:paraId="7465CAE9" w14:textId="77777777" w:rsidTr="008742A1">
        <w:trPr>
          <w:cnfStyle w:val="100000000000" w:firstRow="1" w:lastRow="0" w:firstColumn="0" w:lastColumn="0" w:oddVBand="0" w:evenVBand="0" w:oddHBand="0" w:evenHBand="0" w:firstRowFirstColumn="0" w:firstRowLastColumn="0" w:lastRowFirstColumn="0" w:lastRowLastColumn="0"/>
          <w:cantSplit/>
          <w:trHeight w:val="300"/>
          <w:tblHeader/>
        </w:trPr>
        <w:tc>
          <w:tcPr>
            <w:tcW w:w="2985" w:type="pct"/>
            <w:noWrap/>
            <w:hideMark/>
          </w:tcPr>
          <w:p w14:paraId="7707E9A9" w14:textId="77777777" w:rsidR="00911F85" w:rsidRPr="007B7239" w:rsidRDefault="00911F85" w:rsidP="008742A1">
            <w:pPr>
              <w:pStyle w:val="TableHeading"/>
            </w:pPr>
          </w:p>
        </w:tc>
        <w:tc>
          <w:tcPr>
            <w:tcW w:w="668" w:type="pct"/>
            <w:noWrap/>
            <w:hideMark/>
          </w:tcPr>
          <w:p w14:paraId="059BF980" w14:textId="77777777" w:rsidR="00911F85" w:rsidRPr="007B7239" w:rsidRDefault="00911F85" w:rsidP="008742A1">
            <w:pPr>
              <w:pStyle w:val="TableHeading"/>
              <w:jc w:val="center"/>
            </w:pPr>
            <w:r w:rsidRPr="007B7239">
              <w:t>Inc. cost</w:t>
            </w:r>
          </w:p>
        </w:tc>
        <w:tc>
          <w:tcPr>
            <w:tcW w:w="668" w:type="pct"/>
            <w:noWrap/>
            <w:hideMark/>
          </w:tcPr>
          <w:p w14:paraId="4BBF55C7" w14:textId="77777777" w:rsidR="00911F85" w:rsidRPr="007B7239" w:rsidRDefault="00911F85" w:rsidP="008742A1">
            <w:pPr>
              <w:pStyle w:val="TableHeading"/>
              <w:jc w:val="center"/>
            </w:pPr>
            <w:r w:rsidRPr="007B7239">
              <w:t>Inc. QALYs</w:t>
            </w:r>
          </w:p>
        </w:tc>
        <w:tc>
          <w:tcPr>
            <w:tcW w:w="679" w:type="pct"/>
            <w:noWrap/>
            <w:hideMark/>
          </w:tcPr>
          <w:p w14:paraId="064A8891" w14:textId="77777777" w:rsidR="00911F85" w:rsidRPr="007B7239" w:rsidRDefault="00911F85" w:rsidP="008742A1">
            <w:pPr>
              <w:pStyle w:val="TableHeading"/>
              <w:jc w:val="center"/>
            </w:pPr>
            <w:r w:rsidRPr="007B7239">
              <w:t>ICER</w:t>
            </w:r>
          </w:p>
        </w:tc>
      </w:tr>
      <w:tr w:rsidR="000F4711" w:rsidRPr="007B7239" w14:paraId="34AE75E5" w14:textId="77777777" w:rsidTr="006C7914">
        <w:trPr>
          <w:cantSplit/>
          <w:trHeight w:val="300"/>
        </w:trPr>
        <w:tc>
          <w:tcPr>
            <w:tcW w:w="2985" w:type="pct"/>
            <w:noWrap/>
            <w:hideMark/>
          </w:tcPr>
          <w:p w14:paraId="74F1E76D" w14:textId="77777777" w:rsidR="000F4711" w:rsidRPr="00F309FB" w:rsidRDefault="000F4711" w:rsidP="000F4711">
            <w:pPr>
              <w:pStyle w:val="Tabletext1"/>
              <w:rPr>
                <w:b/>
              </w:rPr>
            </w:pPr>
            <w:r w:rsidRPr="00F309FB">
              <w:rPr>
                <w:b/>
              </w:rPr>
              <w:t>Step 1 – Trial-based analysis.</w:t>
            </w:r>
          </w:p>
          <w:p w14:paraId="55BB70E5" w14:textId="10A90632" w:rsidR="000F4711" w:rsidRPr="007B7239" w:rsidRDefault="000F4711" w:rsidP="00BB0145">
            <w:pPr>
              <w:pStyle w:val="Tabletext1"/>
            </w:pPr>
            <w:r>
              <w:t xml:space="preserve">Applies the dose (0.4 g/kg), dose frequency (q4w), infection rates, time horizon (1 year) and Ig treatment duration (1 year) as per the Chapel et al. </w:t>
            </w:r>
            <w:r>
              <w:fldChar w:fldCharType="begin">
                <w:fldData xml:space="preserve">PEVuZE5vdGU+PENpdGUgRXhjbHVkZUF1dGg9IjEiPjxBdXRob3I+Q2hhcGVsPC9BdXRob3I+PFll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==
</w:fldData>
              </w:fldChar>
            </w:r>
            <w:r>
              <w:instrText xml:space="preserve"> ADDIN EN.CITE </w:instrText>
            </w:r>
            <w:r>
              <w:fldChar w:fldCharType="begin">
                <w:fldData xml:space="preserve">PEVuZE5vdGU+PENpdGUgRXhjbHVkZUF1dGg9IjEiPjxBdXRob3I+Q2hhcGVsPC9BdXRob3I+PFll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==
</w:fldData>
              </w:fldChar>
            </w:r>
            <w:r>
              <w:instrText xml:space="preserve"> ADDIN EN.CITE.DATA </w:instrText>
            </w:r>
            <w:r>
              <w:fldChar w:fldCharType="end"/>
            </w:r>
            <w:r>
              <w:fldChar w:fldCharType="separate"/>
            </w:r>
            <w:r>
              <w:rPr>
                <w:noProof/>
              </w:rPr>
              <w:t>(</w:t>
            </w:r>
            <w:hyperlink w:anchor="_ENREF_13" w:tooltip="Chapel, 1994 #56" w:history="1">
              <w:r w:rsidR="00BB0145">
                <w:rPr>
                  <w:noProof/>
                </w:rPr>
                <w:t>1994b</w:t>
              </w:r>
            </w:hyperlink>
            <w:r>
              <w:rPr>
                <w:noProof/>
              </w:rPr>
              <w:t>)</w:t>
            </w:r>
            <w:r>
              <w:fldChar w:fldCharType="end"/>
            </w:r>
            <w:r>
              <w:t xml:space="preserve"> study.</w:t>
            </w:r>
            <w:r w:rsidR="00006518">
              <w:rPr>
                <w:vertAlign w:val="superscript"/>
              </w:rPr>
              <w:t>a</w:t>
            </w:r>
          </w:p>
        </w:tc>
        <w:tc>
          <w:tcPr>
            <w:tcW w:w="668" w:type="pct"/>
            <w:noWrap/>
          </w:tcPr>
          <w:p w14:paraId="12E6E3F4" w14:textId="1BAD4805" w:rsidR="000F4711" w:rsidRPr="007B7239" w:rsidRDefault="000F4711" w:rsidP="000F4711">
            <w:pPr>
              <w:pStyle w:val="Tabletext1"/>
              <w:jc w:val="right"/>
            </w:pPr>
            <w:r w:rsidRPr="007178F4">
              <w:t>$22,734</w:t>
            </w:r>
          </w:p>
        </w:tc>
        <w:tc>
          <w:tcPr>
            <w:tcW w:w="668" w:type="pct"/>
            <w:noWrap/>
          </w:tcPr>
          <w:p w14:paraId="3EC3B293" w14:textId="11A209E7" w:rsidR="000F4711" w:rsidRPr="007B7239" w:rsidRDefault="000F4711" w:rsidP="000F4711">
            <w:pPr>
              <w:pStyle w:val="Tabletext1"/>
              <w:jc w:val="right"/>
            </w:pPr>
            <w:r w:rsidRPr="007178F4">
              <w:t>–0.0035</w:t>
            </w:r>
          </w:p>
        </w:tc>
        <w:tc>
          <w:tcPr>
            <w:tcW w:w="679" w:type="pct"/>
            <w:noWrap/>
          </w:tcPr>
          <w:p w14:paraId="74A68E4F" w14:textId="5086F24F" w:rsidR="000F4711" w:rsidRPr="007B7239" w:rsidRDefault="000F4711" w:rsidP="000F4711">
            <w:pPr>
              <w:pStyle w:val="Tabletext1"/>
              <w:jc w:val="right"/>
            </w:pPr>
            <w:r>
              <w:t>Dominated</w:t>
            </w:r>
            <w:r w:rsidR="00471C1D">
              <w:t xml:space="preserve"> </w:t>
            </w:r>
            <w:r w:rsidR="00006518">
              <w:rPr>
                <w:vertAlign w:val="superscript"/>
              </w:rPr>
              <w:t>b</w:t>
            </w:r>
          </w:p>
        </w:tc>
      </w:tr>
      <w:tr w:rsidR="000F4711" w:rsidRPr="007B7239" w14:paraId="19C11A24" w14:textId="77777777" w:rsidTr="006C7914">
        <w:trPr>
          <w:cantSplit/>
          <w:trHeight w:val="300"/>
        </w:trPr>
        <w:tc>
          <w:tcPr>
            <w:tcW w:w="2985" w:type="pct"/>
            <w:noWrap/>
            <w:hideMark/>
          </w:tcPr>
          <w:p w14:paraId="05A5CC15" w14:textId="77777777" w:rsidR="000F4711" w:rsidRPr="00F309FB" w:rsidRDefault="000F4711" w:rsidP="000F4711">
            <w:pPr>
              <w:pStyle w:val="Tabletext1"/>
              <w:rPr>
                <w:b/>
              </w:rPr>
            </w:pPr>
            <w:r w:rsidRPr="00F309FB">
              <w:rPr>
                <w:b/>
              </w:rPr>
              <w:t>Step 2 – Trial-based, extrapolated analysis</w:t>
            </w:r>
          </w:p>
          <w:p w14:paraId="6D8C1BFE" w14:textId="0C86453A" w:rsidR="000F4711" w:rsidRPr="007B7239" w:rsidRDefault="000F4711" w:rsidP="00BB0145">
            <w:pPr>
              <w:pStyle w:val="Tabletext1"/>
            </w:pPr>
            <w:r>
              <w:t xml:space="preserve">Applies the dose, dose frequency and infection rates from the Chapel et al. </w:t>
            </w:r>
            <w:r>
              <w:fldChar w:fldCharType="begin">
                <w:fldData xml:space="preserve">PEVuZE5vdGU+PENpdGUgRXhjbHVkZUF1dGg9IjEiPjxBdXRob3I+Q2hhcGVsPC9BdXRob3I+PFll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==
</w:fldData>
              </w:fldChar>
            </w:r>
            <w:r>
              <w:instrText xml:space="preserve"> ADDIN EN.CITE </w:instrText>
            </w:r>
            <w:r>
              <w:fldChar w:fldCharType="begin">
                <w:fldData xml:space="preserve">PEVuZE5vdGU+PENpdGUgRXhjbHVkZUF1dGg9IjEiPjxBdXRob3I+Q2hhcGVsPC9BdXRob3I+PFll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==
</w:fldData>
              </w:fldChar>
            </w:r>
            <w:r>
              <w:instrText xml:space="preserve"> ADDIN EN.CITE.DATA </w:instrText>
            </w:r>
            <w:r>
              <w:fldChar w:fldCharType="end"/>
            </w:r>
            <w:r>
              <w:fldChar w:fldCharType="separate"/>
            </w:r>
            <w:r>
              <w:rPr>
                <w:noProof/>
              </w:rPr>
              <w:t>(</w:t>
            </w:r>
            <w:hyperlink w:anchor="_ENREF_13" w:tooltip="Chapel, 1994 #56" w:history="1">
              <w:r w:rsidR="00BB0145">
                <w:rPr>
                  <w:noProof/>
                </w:rPr>
                <w:t>1994b</w:t>
              </w:r>
            </w:hyperlink>
            <w:r>
              <w:rPr>
                <w:noProof/>
              </w:rPr>
              <w:t>)</w:t>
            </w:r>
            <w:r>
              <w:fldChar w:fldCharType="end"/>
            </w:r>
            <w:r w:rsidR="00471C1D">
              <w:t xml:space="preserve"> </w:t>
            </w:r>
            <w:r>
              <w:t xml:space="preserve">study, with the model time horizon extrapolated to 10 years, with the development of bronchiectasis to be modelled. Ig treatment duration is based on </w:t>
            </w:r>
            <w:r w:rsidRPr="00F55739">
              <w:t>Paxton, Hawkins &amp; Crispin</w:t>
            </w:r>
            <w:r>
              <w:t xml:space="preserve"> </w:t>
            </w:r>
            <w:r>
              <w:fldChar w:fldCharType="begin">
                <w:fldData xml:space="preserve">PEVuZE5vdGU+PENpdGUgRXhjbHVkZUF1dGg9IjEiPjxBdXRob3I+UGF4dG9uPC9BdXRob3I+PFll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</w:fldData>
              </w:fldChar>
            </w:r>
            <w:r>
              <w:instrText xml:space="preserve"> ADDIN EN.CITE </w:instrText>
            </w:r>
            <w:r>
              <w:fldChar w:fldCharType="begin">
                <w:fldData xml:space="preserve">PEVuZE5vdGU+PENpdGUgRXhjbHVkZUF1dGg9IjEiPjxBdXRob3I+UGF4dG9uPC9BdXRob3I+PFll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</w:fldData>
              </w:fldChar>
            </w:r>
            <w:r>
              <w:instrText xml:space="preserve"> ADDIN EN.CITE.DATA </w:instrText>
            </w:r>
            <w:r>
              <w:fldChar w:fldCharType="end"/>
            </w:r>
            <w:r>
              <w:fldChar w:fldCharType="separate"/>
            </w:r>
            <w:r>
              <w:rPr>
                <w:noProof/>
              </w:rPr>
              <w:t>(</w:t>
            </w:r>
            <w:hyperlink w:anchor="_ENREF_39" w:tooltip="Paxton, 2016 #66" w:history="1">
              <w:r w:rsidR="00BB0145">
                <w:rPr>
                  <w:noProof/>
                </w:rPr>
                <w:t>2016</w:t>
              </w:r>
            </w:hyperlink>
            <w:r>
              <w:rPr>
                <w:noProof/>
              </w:rPr>
              <w:t>)</w:t>
            </w:r>
            <w:r>
              <w:fldChar w:fldCharType="end"/>
            </w:r>
            <w:r>
              <w:t xml:space="preserve"> (26 months).</w:t>
            </w:r>
          </w:p>
        </w:tc>
        <w:tc>
          <w:tcPr>
            <w:tcW w:w="668" w:type="pct"/>
            <w:noWrap/>
          </w:tcPr>
          <w:p w14:paraId="331AD656" w14:textId="7065A55B" w:rsidR="000F4711" w:rsidRPr="007B7239" w:rsidRDefault="000F4711" w:rsidP="000F4711">
            <w:pPr>
              <w:pStyle w:val="Tabletext1"/>
              <w:jc w:val="right"/>
            </w:pPr>
            <w:r w:rsidRPr="007178F4">
              <w:t>$66,922</w:t>
            </w:r>
          </w:p>
        </w:tc>
        <w:tc>
          <w:tcPr>
            <w:tcW w:w="668" w:type="pct"/>
            <w:noWrap/>
          </w:tcPr>
          <w:p w14:paraId="279D6CD9" w14:textId="5CC9FFBC" w:rsidR="000F4711" w:rsidRPr="007B7239" w:rsidRDefault="000F4711" w:rsidP="000F4711">
            <w:pPr>
              <w:pStyle w:val="Tabletext1"/>
              <w:jc w:val="right"/>
            </w:pPr>
            <w:r w:rsidRPr="007178F4">
              <w:t>0.2556</w:t>
            </w:r>
          </w:p>
        </w:tc>
        <w:tc>
          <w:tcPr>
            <w:tcW w:w="679" w:type="pct"/>
            <w:noWrap/>
          </w:tcPr>
          <w:p w14:paraId="5D657EDF" w14:textId="103958BE" w:rsidR="000F4711" w:rsidRPr="007B7239" w:rsidRDefault="000F4711" w:rsidP="000F4711">
            <w:pPr>
              <w:pStyle w:val="Tabletext1"/>
              <w:jc w:val="right"/>
            </w:pPr>
            <w:r w:rsidRPr="007178F4">
              <w:t>$261,789</w:t>
            </w:r>
          </w:p>
        </w:tc>
      </w:tr>
      <w:tr w:rsidR="000F4711" w:rsidRPr="007B7239" w14:paraId="784C36E9" w14:textId="77777777" w:rsidTr="006C7914">
        <w:trPr>
          <w:cantSplit/>
          <w:trHeight w:val="300"/>
        </w:trPr>
        <w:tc>
          <w:tcPr>
            <w:tcW w:w="2985" w:type="pct"/>
            <w:noWrap/>
            <w:hideMark/>
          </w:tcPr>
          <w:p w14:paraId="1A0B9B70" w14:textId="77777777" w:rsidR="000F4711" w:rsidRPr="00F309FB" w:rsidRDefault="000F4711" w:rsidP="000F4711">
            <w:pPr>
              <w:pStyle w:val="Tabletext1"/>
              <w:rPr>
                <w:b/>
              </w:rPr>
            </w:pPr>
            <w:r w:rsidRPr="00F309FB">
              <w:rPr>
                <w:b/>
              </w:rPr>
              <w:t>Step 3 –</w:t>
            </w:r>
            <w:r>
              <w:rPr>
                <w:b/>
              </w:rPr>
              <w:t xml:space="preserve"> </w:t>
            </w:r>
            <w:r w:rsidRPr="00F309FB">
              <w:rPr>
                <w:b/>
              </w:rPr>
              <w:t>Modelled economic evaluation</w:t>
            </w:r>
          </w:p>
          <w:p w14:paraId="4E2B65BC" w14:textId="4A56DD25" w:rsidR="000F4711" w:rsidRPr="007B7239" w:rsidRDefault="000F4711" w:rsidP="000F4711">
            <w:pPr>
              <w:pStyle w:val="Tabletext1"/>
            </w:pPr>
            <w:r>
              <w:t xml:space="preserve">Applies the pooled IRRs estimated in Section B.6 to the best available source of baseline infection rates in Australia (based on </w:t>
            </w:r>
            <w:r w:rsidRPr="00F55739">
              <w:t>Paxton, Hawkins &amp; Crispin</w:t>
            </w:r>
            <w:r>
              <w:t xml:space="preserve"> 2016), while assuming the weighted average dose from BloodSTAR data (0.37 g/kg).</w:t>
            </w:r>
          </w:p>
        </w:tc>
        <w:tc>
          <w:tcPr>
            <w:tcW w:w="668" w:type="pct"/>
            <w:noWrap/>
          </w:tcPr>
          <w:p w14:paraId="71EAAB38" w14:textId="0DBBC5AA" w:rsidR="000F4711" w:rsidRPr="006362C6" w:rsidRDefault="000F4711" w:rsidP="000F4711">
            <w:pPr>
              <w:pStyle w:val="Tabletext1"/>
              <w:jc w:val="right"/>
              <w:rPr>
                <w:b/>
              </w:rPr>
            </w:pPr>
            <w:r w:rsidRPr="006362C6">
              <w:rPr>
                <w:b/>
              </w:rPr>
              <w:t>$41,011</w:t>
            </w:r>
          </w:p>
        </w:tc>
        <w:tc>
          <w:tcPr>
            <w:tcW w:w="668" w:type="pct"/>
            <w:noWrap/>
          </w:tcPr>
          <w:p w14:paraId="52B77FF3" w14:textId="4DDBA0E0" w:rsidR="000F4711" w:rsidRPr="006362C6" w:rsidRDefault="000F4711" w:rsidP="000F4711">
            <w:pPr>
              <w:pStyle w:val="Tabletext1"/>
              <w:jc w:val="right"/>
              <w:rPr>
                <w:b/>
              </w:rPr>
            </w:pPr>
            <w:r w:rsidRPr="006362C6">
              <w:rPr>
                <w:b/>
              </w:rPr>
              <w:t>0.4109</w:t>
            </w:r>
          </w:p>
        </w:tc>
        <w:tc>
          <w:tcPr>
            <w:tcW w:w="679" w:type="pct"/>
            <w:noWrap/>
          </w:tcPr>
          <w:p w14:paraId="64B469D0" w14:textId="779AAFFE" w:rsidR="000F4711" w:rsidRPr="006362C6" w:rsidRDefault="000F4711" w:rsidP="000F4711">
            <w:pPr>
              <w:pStyle w:val="Tabletext1"/>
              <w:jc w:val="right"/>
              <w:rPr>
                <w:b/>
              </w:rPr>
            </w:pPr>
            <w:r w:rsidRPr="006362C6">
              <w:rPr>
                <w:b/>
              </w:rPr>
              <w:t>$99,803</w:t>
            </w:r>
          </w:p>
        </w:tc>
      </w:tr>
    </w:tbl>
    <w:p w14:paraId="1EE38D7F" w14:textId="77777777" w:rsidR="00911F85" w:rsidRDefault="00911F85" w:rsidP="00911F85">
      <w:pPr>
        <w:pStyle w:val="Tablenotes1"/>
      </w:pPr>
      <w:r>
        <w:t>ICER = incremental cost-effectiveness ratio; Ig = immunoglobulin; IRR = incidence rate ratio; QALY = quality-adjusted life years.</w:t>
      </w:r>
    </w:p>
    <w:p w14:paraId="5B7CF527" w14:textId="662AD0F0" w:rsidR="00A82613" w:rsidRPr="00A82613" w:rsidRDefault="00A82613" w:rsidP="00911F85">
      <w:pPr>
        <w:pStyle w:val="Tablenotes1"/>
      </w:pPr>
      <w:r>
        <w:rPr>
          <w:vertAlign w:val="superscript"/>
        </w:rPr>
        <w:t>a</w:t>
      </w:r>
      <w:r w:rsidRPr="00A82613">
        <w:t xml:space="preserve"> </w:t>
      </w:r>
      <w:r>
        <w:t>This study was chosen on the basis that, of the randomised studies, this study had the most patient years of data and used a dose that was most consistent with those recommended in the Version 3 criteria</w:t>
      </w:r>
      <w:r w:rsidRPr="00A82613">
        <w:t>.</w:t>
      </w:r>
    </w:p>
    <w:p w14:paraId="1AB7F690" w14:textId="44F1C6BC" w:rsidR="00911F85" w:rsidRDefault="00471C1D" w:rsidP="00911F85">
      <w:pPr>
        <w:pStyle w:val="Tablenotes1"/>
      </w:pPr>
      <w:r w:rsidRPr="00740914">
        <w:rPr>
          <w:vertAlign w:val="superscript"/>
        </w:rPr>
        <w:t>b</w:t>
      </w:r>
      <w:r>
        <w:t xml:space="preserve"> </w:t>
      </w:r>
      <w:r w:rsidR="00A82613" w:rsidRPr="00A82613">
        <w:t>Ig is more costly and less effective than the comparator</w:t>
      </w:r>
      <w:r w:rsidR="00A82613">
        <w:t>.</w:t>
      </w:r>
    </w:p>
    <w:p w14:paraId="1051589D" w14:textId="77777777" w:rsidR="00AF32E4" w:rsidRDefault="00AF32E4" w:rsidP="00AF32E4">
      <w:r>
        <w:lastRenderedPageBreak/>
        <w:t>In Step 1 of the analysis the ICER of Ig is observed to be dominated, with a net reduction in QALYs resulting from the inclusion of a disutility per IV infusion. In Step 2, the time horizon is extrapolated to 10 years and allows for the development of bronchiectasis which leads to a substantial improvement in the ICER. Further improvements in the ICER are observed when the best estimates of baseline infection rates, Ig treatment effect and dose are included in the modelling.</w:t>
      </w:r>
    </w:p>
    <w:p w14:paraId="1E7AB959" w14:textId="77777777" w:rsidR="00911F85" w:rsidRDefault="00911F85" w:rsidP="00911F85"/>
    <w:p w14:paraId="6525464C" w14:textId="77777777" w:rsidR="00911F85" w:rsidRPr="006401D0" w:rsidRDefault="00911F85" w:rsidP="00911F85">
      <w:pPr>
        <w:pStyle w:val="Heading3"/>
        <w:rPr>
          <w:sz w:val="22"/>
        </w:rPr>
      </w:pPr>
      <w:bookmarkStart w:id="547" w:name="_Toc14431170"/>
      <w:bookmarkStart w:id="548" w:name="_Toc16856343"/>
      <w:r>
        <w:rPr>
          <w:sz w:val="22"/>
        </w:rPr>
        <w:t>D.5.2</w:t>
      </w:r>
      <w:r w:rsidRPr="00002FB0">
        <w:rPr>
          <w:sz w:val="22"/>
        </w:rPr>
        <w:t>.</w:t>
      </w:r>
      <w:r>
        <w:tab/>
      </w:r>
      <w:r>
        <w:tab/>
      </w:r>
      <w:r>
        <w:rPr>
          <w:sz w:val="22"/>
        </w:rPr>
        <w:t>Modelled base case analysis</w:t>
      </w:r>
      <w:bookmarkEnd w:id="547"/>
      <w:bookmarkEnd w:id="548"/>
    </w:p>
    <w:p w14:paraId="6206CFF0" w14:textId="77777777" w:rsidR="00911F85" w:rsidRDefault="00911F85" w:rsidP="00911F85">
      <w:pPr>
        <w:pStyle w:val="Heading4"/>
      </w:pPr>
      <w:r>
        <w:t>Disaggregated costs and outcomes</w:t>
      </w:r>
    </w:p>
    <w:p w14:paraId="3A640D78" w14:textId="3F479EC2" w:rsidR="00911F85" w:rsidRDefault="00911F85" w:rsidP="00911F85">
      <w:r>
        <w:t xml:space="preserve">The costs and outcomes disaggregated for the base case analysis are presented in </w:t>
      </w:r>
      <w:r>
        <w:fldChar w:fldCharType="begin"/>
      </w:r>
      <w:r>
        <w:instrText xml:space="preserve"> REF _Ref13228370 \h </w:instrText>
      </w:r>
      <w:r>
        <w:fldChar w:fldCharType="separate"/>
      </w:r>
      <w:r w:rsidR="00A7463B">
        <w:t xml:space="preserve">Table </w:t>
      </w:r>
      <w:r w:rsidR="00A7463B">
        <w:rPr>
          <w:noProof/>
        </w:rPr>
        <w:t>56</w:t>
      </w:r>
      <w:r>
        <w:fldChar w:fldCharType="end"/>
      </w:r>
      <w:r>
        <w:t xml:space="preserve"> and </w:t>
      </w:r>
      <w:r>
        <w:fldChar w:fldCharType="begin"/>
      </w:r>
      <w:r>
        <w:instrText xml:space="preserve"> REF _Ref13228376 \h </w:instrText>
      </w:r>
      <w:r>
        <w:fldChar w:fldCharType="separate"/>
      </w:r>
      <w:r w:rsidR="00A7463B">
        <w:t xml:space="preserve">Table </w:t>
      </w:r>
      <w:r w:rsidR="00A7463B">
        <w:rPr>
          <w:noProof/>
        </w:rPr>
        <w:t>57</w:t>
      </w:r>
      <w:r>
        <w:fldChar w:fldCharType="end"/>
      </w:r>
      <w:r>
        <w:t xml:space="preserve">. </w:t>
      </w:r>
    </w:p>
    <w:p w14:paraId="2B6581EC" w14:textId="39A24C3F" w:rsidR="00911F85" w:rsidRDefault="00911F85" w:rsidP="00911F85">
      <w:pPr>
        <w:pStyle w:val="Caption"/>
        <w:keepNext/>
      </w:pPr>
      <w:bookmarkStart w:id="549" w:name="_Ref13228370"/>
      <w:bookmarkStart w:id="550" w:name="_Toc14348891"/>
      <w:bookmarkStart w:id="551" w:name="_Toc14429597"/>
      <w:bookmarkStart w:id="552" w:name="_Toc16671654"/>
      <w:r>
        <w:t xml:space="preserve">Table </w:t>
      </w:r>
      <w:r>
        <w:rPr>
          <w:noProof/>
        </w:rPr>
        <w:fldChar w:fldCharType="begin"/>
      </w:r>
      <w:r>
        <w:rPr>
          <w:noProof/>
        </w:rPr>
        <w:instrText xml:space="preserve"> SEQ Table \* ARABIC </w:instrText>
      </w:r>
      <w:r>
        <w:rPr>
          <w:noProof/>
        </w:rPr>
        <w:fldChar w:fldCharType="separate"/>
      </w:r>
      <w:r w:rsidR="00A7463B">
        <w:rPr>
          <w:noProof/>
        </w:rPr>
        <w:t>56</w:t>
      </w:r>
      <w:r>
        <w:rPr>
          <w:noProof/>
        </w:rPr>
        <w:fldChar w:fldCharType="end"/>
      </w:r>
      <w:bookmarkEnd w:id="549"/>
      <w:r>
        <w:tab/>
        <w:t>Disaggregated costs</w:t>
      </w:r>
      <w:bookmarkEnd w:id="550"/>
      <w:bookmarkEnd w:id="551"/>
      <w:bookmarkEnd w:id="552"/>
    </w:p>
    <w:tbl>
      <w:tblPr>
        <w:tblStyle w:val="TableGrid1"/>
        <w:tblW w:w="5000" w:type="pct"/>
        <w:tblLook w:val="04A0" w:firstRow="1" w:lastRow="0" w:firstColumn="1" w:lastColumn="0" w:noHBand="0" w:noVBand="1"/>
        <w:tblCaption w:val="Disaggregated costs"/>
      </w:tblPr>
      <w:tblGrid>
        <w:gridCol w:w="4176"/>
        <w:gridCol w:w="1689"/>
        <w:gridCol w:w="1689"/>
        <w:gridCol w:w="1688"/>
      </w:tblGrid>
      <w:tr w:rsidR="00911F85" w:rsidRPr="007B7239" w14:paraId="3F438453" w14:textId="77777777" w:rsidTr="008742A1">
        <w:trPr>
          <w:cnfStyle w:val="100000000000" w:firstRow="1" w:lastRow="0" w:firstColumn="0" w:lastColumn="0" w:oddVBand="0" w:evenVBand="0" w:oddHBand="0" w:evenHBand="0" w:firstRowFirstColumn="0" w:firstRowLastColumn="0" w:lastRowFirstColumn="0" w:lastRowLastColumn="0"/>
          <w:cantSplit/>
          <w:trHeight w:val="300"/>
          <w:tblHeader/>
        </w:trPr>
        <w:tc>
          <w:tcPr>
            <w:tcW w:w="2259" w:type="pct"/>
            <w:noWrap/>
            <w:hideMark/>
          </w:tcPr>
          <w:p w14:paraId="7035FF97" w14:textId="77777777" w:rsidR="00911F85" w:rsidRPr="007B7239" w:rsidRDefault="00911F85" w:rsidP="008742A1">
            <w:pPr>
              <w:pStyle w:val="TableHeading"/>
            </w:pPr>
          </w:p>
        </w:tc>
        <w:tc>
          <w:tcPr>
            <w:tcW w:w="914" w:type="pct"/>
            <w:noWrap/>
            <w:hideMark/>
          </w:tcPr>
          <w:p w14:paraId="629B4149" w14:textId="77777777" w:rsidR="00911F85" w:rsidRPr="007B7239" w:rsidRDefault="00911F85" w:rsidP="008742A1">
            <w:pPr>
              <w:pStyle w:val="TableHeading"/>
              <w:jc w:val="center"/>
            </w:pPr>
            <w:r w:rsidRPr="007B7239">
              <w:t>Ig</w:t>
            </w:r>
          </w:p>
        </w:tc>
        <w:tc>
          <w:tcPr>
            <w:tcW w:w="914" w:type="pct"/>
            <w:noWrap/>
            <w:hideMark/>
          </w:tcPr>
          <w:p w14:paraId="79246A0E" w14:textId="77777777" w:rsidR="00911F85" w:rsidRPr="007B7239" w:rsidRDefault="00911F85" w:rsidP="008742A1">
            <w:pPr>
              <w:pStyle w:val="TableHeading"/>
              <w:jc w:val="center"/>
            </w:pPr>
            <w:r w:rsidRPr="007B7239">
              <w:t>No Ig</w:t>
            </w:r>
          </w:p>
        </w:tc>
        <w:tc>
          <w:tcPr>
            <w:tcW w:w="913" w:type="pct"/>
            <w:noWrap/>
            <w:hideMark/>
          </w:tcPr>
          <w:p w14:paraId="05058171" w14:textId="77777777" w:rsidR="00911F85" w:rsidRPr="007B7239" w:rsidRDefault="00911F85" w:rsidP="008742A1">
            <w:pPr>
              <w:pStyle w:val="TableHeading"/>
              <w:jc w:val="center"/>
            </w:pPr>
            <w:r w:rsidRPr="007B7239">
              <w:t>Increment</w:t>
            </w:r>
            <w:r>
              <w:t>al cost</w:t>
            </w:r>
          </w:p>
        </w:tc>
      </w:tr>
      <w:tr w:rsidR="000F4711" w:rsidRPr="007B7239" w14:paraId="0ED2E300" w14:textId="77777777" w:rsidTr="00BA6336">
        <w:trPr>
          <w:cantSplit/>
          <w:trHeight w:val="300"/>
        </w:trPr>
        <w:tc>
          <w:tcPr>
            <w:tcW w:w="2259" w:type="pct"/>
            <w:noWrap/>
            <w:hideMark/>
          </w:tcPr>
          <w:p w14:paraId="1C382771" w14:textId="77777777" w:rsidR="000F4711" w:rsidRPr="007B7239" w:rsidRDefault="000F4711" w:rsidP="000F4711">
            <w:pPr>
              <w:pStyle w:val="Tabletext1"/>
            </w:pPr>
            <w:r w:rsidRPr="007B7239">
              <w:t>Ig</w:t>
            </w:r>
          </w:p>
        </w:tc>
        <w:tc>
          <w:tcPr>
            <w:tcW w:w="914" w:type="pct"/>
            <w:noWrap/>
          </w:tcPr>
          <w:p w14:paraId="314DD1E0" w14:textId="64A94DA4" w:rsidR="000F4711" w:rsidRPr="007B7239" w:rsidRDefault="000F4711" w:rsidP="000F4711">
            <w:pPr>
              <w:pStyle w:val="Tabletext1"/>
              <w:jc w:val="right"/>
            </w:pPr>
            <w:r w:rsidRPr="009F69A8">
              <w:t>$66,565</w:t>
            </w:r>
          </w:p>
        </w:tc>
        <w:tc>
          <w:tcPr>
            <w:tcW w:w="914" w:type="pct"/>
            <w:noWrap/>
          </w:tcPr>
          <w:p w14:paraId="11793E38" w14:textId="226A2C95" w:rsidR="000F4711" w:rsidRPr="007B7239" w:rsidRDefault="000F4711" w:rsidP="000F4711">
            <w:pPr>
              <w:pStyle w:val="Tabletext1"/>
              <w:jc w:val="right"/>
            </w:pPr>
            <w:r w:rsidRPr="009F69A8">
              <w:t>$0</w:t>
            </w:r>
          </w:p>
        </w:tc>
        <w:tc>
          <w:tcPr>
            <w:tcW w:w="913" w:type="pct"/>
            <w:noWrap/>
          </w:tcPr>
          <w:p w14:paraId="73549487" w14:textId="02E01A90" w:rsidR="000F4711" w:rsidRPr="007B7239" w:rsidRDefault="000F4711" w:rsidP="000F4711">
            <w:pPr>
              <w:pStyle w:val="Tabletext1"/>
              <w:jc w:val="right"/>
            </w:pPr>
            <w:r w:rsidRPr="009F69A8">
              <w:t>$66,565</w:t>
            </w:r>
          </w:p>
        </w:tc>
      </w:tr>
      <w:tr w:rsidR="000F4711" w:rsidRPr="007B7239" w14:paraId="749FAD56" w14:textId="77777777" w:rsidTr="00BA6336">
        <w:trPr>
          <w:cantSplit/>
          <w:trHeight w:val="300"/>
        </w:trPr>
        <w:tc>
          <w:tcPr>
            <w:tcW w:w="2259" w:type="pct"/>
            <w:noWrap/>
            <w:hideMark/>
          </w:tcPr>
          <w:p w14:paraId="4B5B3677" w14:textId="77777777" w:rsidR="000F4711" w:rsidRPr="007B7239" w:rsidRDefault="000F4711" w:rsidP="000F4711">
            <w:pPr>
              <w:pStyle w:val="Tabletext1"/>
            </w:pPr>
            <w:r w:rsidRPr="007B7239">
              <w:t>Antibiotic prophylaxis</w:t>
            </w:r>
          </w:p>
        </w:tc>
        <w:tc>
          <w:tcPr>
            <w:tcW w:w="914" w:type="pct"/>
            <w:noWrap/>
          </w:tcPr>
          <w:p w14:paraId="0545474E" w14:textId="46B2DF40" w:rsidR="000F4711" w:rsidRPr="007B7239" w:rsidRDefault="000F4711" w:rsidP="000F4711">
            <w:pPr>
              <w:pStyle w:val="Tabletext1"/>
              <w:jc w:val="right"/>
            </w:pPr>
            <w:r w:rsidRPr="009F69A8">
              <w:t>$0</w:t>
            </w:r>
          </w:p>
        </w:tc>
        <w:tc>
          <w:tcPr>
            <w:tcW w:w="914" w:type="pct"/>
            <w:noWrap/>
          </w:tcPr>
          <w:p w14:paraId="4DCD272B" w14:textId="396D63E4" w:rsidR="000F4711" w:rsidRPr="007B7239" w:rsidRDefault="000F4711" w:rsidP="000F4711">
            <w:pPr>
              <w:pStyle w:val="Tabletext1"/>
              <w:jc w:val="right"/>
            </w:pPr>
            <w:r w:rsidRPr="009F69A8">
              <w:t>$0</w:t>
            </w:r>
          </w:p>
        </w:tc>
        <w:tc>
          <w:tcPr>
            <w:tcW w:w="913" w:type="pct"/>
            <w:noWrap/>
          </w:tcPr>
          <w:p w14:paraId="5264806D" w14:textId="29377E8A" w:rsidR="000F4711" w:rsidRPr="007B7239" w:rsidRDefault="000F4711" w:rsidP="000F4711">
            <w:pPr>
              <w:pStyle w:val="Tabletext1"/>
              <w:jc w:val="right"/>
            </w:pPr>
            <w:r w:rsidRPr="009F69A8">
              <w:t>$0</w:t>
            </w:r>
          </w:p>
        </w:tc>
      </w:tr>
      <w:tr w:rsidR="000F4711" w:rsidRPr="007B7239" w14:paraId="6390EEB7" w14:textId="77777777" w:rsidTr="00BA6336">
        <w:trPr>
          <w:cantSplit/>
          <w:trHeight w:val="300"/>
        </w:trPr>
        <w:tc>
          <w:tcPr>
            <w:tcW w:w="2259" w:type="pct"/>
            <w:noWrap/>
            <w:hideMark/>
          </w:tcPr>
          <w:p w14:paraId="2CC9B0FB" w14:textId="77777777" w:rsidR="000F4711" w:rsidRPr="007B7239" w:rsidRDefault="000F4711" w:rsidP="000F4711">
            <w:pPr>
              <w:pStyle w:val="Tabletext1"/>
            </w:pPr>
            <w:r w:rsidRPr="007B7239">
              <w:t>Disease management</w:t>
            </w:r>
          </w:p>
        </w:tc>
        <w:tc>
          <w:tcPr>
            <w:tcW w:w="914" w:type="pct"/>
            <w:noWrap/>
          </w:tcPr>
          <w:p w14:paraId="50976706" w14:textId="4541AF4E" w:rsidR="000F4711" w:rsidRPr="007B7239" w:rsidRDefault="000F4711" w:rsidP="000F4711">
            <w:pPr>
              <w:pStyle w:val="Tabletext1"/>
              <w:jc w:val="right"/>
            </w:pPr>
            <w:r w:rsidRPr="009F69A8">
              <w:t>$596</w:t>
            </w:r>
          </w:p>
        </w:tc>
        <w:tc>
          <w:tcPr>
            <w:tcW w:w="914" w:type="pct"/>
            <w:noWrap/>
          </w:tcPr>
          <w:p w14:paraId="5B5822DA" w14:textId="05C969D6" w:rsidR="000F4711" w:rsidRPr="007B7239" w:rsidRDefault="000F4711" w:rsidP="000F4711">
            <w:pPr>
              <w:pStyle w:val="Tabletext1"/>
              <w:jc w:val="right"/>
            </w:pPr>
            <w:r w:rsidRPr="009F69A8">
              <w:t>$519</w:t>
            </w:r>
          </w:p>
        </w:tc>
        <w:tc>
          <w:tcPr>
            <w:tcW w:w="913" w:type="pct"/>
            <w:noWrap/>
          </w:tcPr>
          <w:p w14:paraId="5F3DDE95" w14:textId="33FA3B1F" w:rsidR="000F4711" w:rsidRPr="007B7239" w:rsidRDefault="000F4711" w:rsidP="000F4711">
            <w:pPr>
              <w:pStyle w:val="Tabletext1"/>
              <w:jc w:val="right"/>
            </w:pPr>
            <w:r w:rsidRPr="009F69A8">
              <w:t>$77</w:t>
            </w:r>
          </w:p>
        </w:tc>
      </w:tr>
      <w:tr w:rsidR="000F4711" w:rsidRPr="007B7239" w14:paraId="67459F32" w14:textId="77777777" w:rsidTr="00BA6336">
        <w:trPr>
          <w:cantSplit/>
          <w:trHeight w:val="300"/>
        </w:trPr>
        <w:tc>
          <w:tcPr>
            <w:tcW w:w="2259" w:type="pct"/>
            <w:noWrap/>
            <w:hideMark/>
          </w:tcPr>
          <w:p w14:paraId="4A22D499" w14:textId="77777777" w:rsidR="000F4711" w:rsidRPr="007B7239" w:rsidRDefault="000F4711" w:rsidP="000F4711">
            <w:pPr>
              <w:pStyle w:val="Tabletext1"/>
            </w:pPr>
            <w:r w:rsidRPr="007B7239">
              <w:t>Infections</w:t>
            </w:r>
          </w:p>
        </w:tc>
        <w:tc>
          <w:tcPr>
            <w:tcW w:w="914" w:type="pct"/>
            <w:noWrap/>
          </w:tcPr>
          <w:p w14:paraId="3542BD8F" w14:textId="6A67BAE9" w:rsidR="000F4711" w:rsidRPr="007B7239" w:rsidRDefault="000F4711" w:rsidP="000F4711">
            <w:pPr>
              <w:pStyle w:val="Tabletext1"/>
              <w:jc w:val="right"/>
            </w:pPr>
            <w:r w:rsidRPr="009F69A8">
              <w:t>$1,659</w:t>
            </w:r>
          </w:p>
        </w:tc>
        <w:tc>
          <w:tcPr>
            <w:tcW w:w="914" w:type="pct"/>
            <w:noWrap/>
          </w:tcPr>
          <w:p w14:paraId="5C6EF7D5" w14:textId="287A6A1E" w:rsidR="000F4711" w:rsidRPr="007B7239" w:rsidRDefault="000F4711" w:rsidP="000F4711">
            <w:pPr>
              <w:pStyle w:val="Tabletext1"/>
              <w:jc w:val="right"/>
            </w:pPr>
            <w:r w:rsidRPr="009F69A8">
              <w:t>$8,668</w:t>
            </w:r>
          </w:p>
        </w:tc>
        <w:tc>
          <w:tcPr>
            <w:tcW w:w="913" w:type="pct"/>
            <w:noWrap/>
          </w:tcPr>
          <w:p w14:paraId="28267AE6" w14:textId="7B45D9D6" w:rsidR="000F4711" w:rsidRPr="007B7239" w:rsidRDefault="000F4711" w:rsidP="000F4711">
            <w:pPr>
              <w:pStyle w:val="Tabletext1"/>
              <w:jc w:val="right"/>
            </w:pPr>
            <w:r w:rsidRPr="009F69A8">
              <w:t>–$7,009</w:t>
            </w:r>
          </w:p>
        </w:tc>
      </w:tr>
      <w:tr w:rsidR="000F4711" w:rsidRPr="007B7239" w14:paraId="68602CA3" w14:textId="77777777" w:rsidTr="00BA6336">
        <w:trPr>
          <w:cantSplit/>
          <w:trHeight w:val="300"/>
        </w:trPr>
        <w:tc>
          <w:tcPr>
            <w:tcW w:w="2259" w:type="pct"/>
            <w:noWrap/>
            <w:hideMark/>
          </w:tcPr>
          <w:p w14:paraId="74F9329A" w14:textId="77777777" w:rsidR="000F4711" w:rsidRPr="007B7239" w:rsidRDefault="000F4711" w:rsidP="000F4711">
            <w:pPr>
              <w:pStyle w:val="Tabletext1"/>
            </w:pPr>
            <w:r w:rsidRPr="007B7239">
              <w:t>Bronchiectasis</w:t>
            </w:r>
          </w:p>
        </w:tc>
        <w:tc>
          <w:tcPr>
            <w:tcW w:w="914" w:type="pct"/>
            <w:noWrap/>
          </w:tcPr>
          <w:p w14:paraId="17173E4D" w14:textId="6D27C69B" w:rsidR="000F4711" w:rsidRPr="007B7239" w:rsidRDefault="000F4711" w:rsidP="000F4711">
            <w:pPr>
              <w:pStyle w:val="Tabletext1"/>
              <w:jc w:val="right"/>
            </w:pPr>
            <w:r w:rsidRPr="009F69A8">
              <w:t>$1,680</w:t>
            </w:r>
          </w:p>
        </w:tc>
        <w:tc>
          <w:tcPr>
            <w:tcW w:w="914" w:type="pct"/>
            <w:noWrap/>
          </w:tcPr>
          <w:p w14:paraId="71BDC94A" w14:textId="23C6B5E8" w:rsidR="000F4711" w:rsidRPr="007B7239" w:rsidRDefault="000F4711" w:rsidP="000F4711">
            <w:pPr>
              <w:pStyle w:val="Tabletext1"/>
              <w:jc w:val="right"/>
            </w:pPr>
            <w:r w:rsidRPr="009F69A8">
              <w:t>$3,528</w:t>
            </w:r>
          </w:p>
        </w:tc>
        <w:tc>
          <w:tcPr>
            <w:tcW w:w="913" w:type="pct"/>
            <w:noWrap/>
          </w:tcPr>
          <w:p w14:paraId="18E01A5D" w14:textId="607FF090" w:rsidR="000F4711" w:rsidRPr="007B7239" w:rsidRDefault="000F4711" w:rsidP="000F4711">
            <w:pPr>
              <w:pStyle w:val="Tabletext1"/>
              <w:jc w:val="right"/>
            </w:pPr>
            <w:r w:rsidRPr="009F69A8">
              <w:t>–$1,848</w:t>
            </w:r>
          </w:p>
        </w:tc>
      </w:tr>
      <w:tr w:rsidR="000F4711" w:rsidRPr="007B7239" w14:paraId="411862D7" w14:textId="77777777" w:rsidTr="00BA6336">
        <w:trPr>
          <w:cantSplit/>
          <w:trHeight w:val="300"/>
        </w:trPr>
        <w:tc>
          <w:tcPr>
            <w:tcW w:w="2259" w:type="pct"/>
            <w:noWrap/>
            <w:hideMark/>
          </w:tcPr>
          <w:p w14:paraId="4C9D54A9" w14:textId="77777777" w:rsidR="000F4711" w:rsidRPr="007B7239" w:rsidRDefault="000F4711" w:rsidP="000F4711">
            <w:pPr>
              <w:pStyle w:val="Tabletext1"/>
            </w:pPr>
            <w:r w:rsidRPr="007B7239">
              <w:t>Infections in bronchiectasis</w:t>
            </w:r>
          </w:p>
        </w:tc>
        <w:tc>
          <w:tcPr>
            <w:tcW w:w="914" w:type="pct"/>
            <w:noWrap/>
          </w:tcPr>
          <w:p w14:paraId="4AC5C35E" w14:textId="60127BB8" w:rsidR="000F4711" w:rsidRPr="007B7239" w:rsidRDefault="000F4711" w:rsidP="000F4711">
            <w:pPr>
              <w:pStyle w:val="Tabletext1"/>
              <w:jc w:val="right"/>
            </w:pPr>
            <w:r w:rsidRPr="009F69A8">
              <w:t>$2,136</w:t>
            </w:r>
          </w:p>
        </w:tc>
        <w:tc>
          <w:tcPr>
            <w:tcW w:w="914" w:type="pct"/>
            <w:noWrap/>
          </w:tcPr>
          <w:p w14:paraId="1FE4BD2D" w14:textId="55320C13" w:rsidR="000F4711" w:rsidRPr="007B7239" w:rsidRDefault="000F4711" w:rsidP="000F4711">
            <w:pPr>
              <w:pStyle w:val="Tabletext1"/>
              <w:jc w:val="right"/>
            </w:pPr>
            <w:r w:rsidRPr="009F69A8">
              <w:t>$6,713</w:t>
            </w:r>
          </w:p>
        </w:tc>
        <w:tc>
          <w:tcPr>
            <w:tcW w:w="913" w:type="pct"/>
            <w:noWrap/>
          </w:tcPr>
          <w:p w14:paraId="253A1A87" w14:textId="131C5669" w:rsidR="000F4711" w:rsidRPr="007B7239" w:rsidRDefault="000F4711" w:rsidP="000F4711">
            <w:pPr>
              <w:pStyle w:val="Tabletext1"/>
              <w:jc w:val="right"/>
            </w:pPr>
            <w:r w:rsidRPr="009F69A8">
              <w:t>–$4,577</w:t>
            </w:r>
          </w:p>
        </w:tc>
      </w:tr>
      <w:tr w:rsidR="000F4711" w:rsidRPr="007B7239" w14:paraId="2B97163C" w14:textId="77777777" w:rsidTr="00BA6336">
        <w:trPr>
          <w:cantSplit/>
          <w:trHeight w:val="300"/>
        </w:trPr>
        <w:tc>
          <w:tcPr>
            <w:tcW w:w="2259" w:type="pct"/>
            <w:noWrap/>
            <w:hideMark/>
          </w:tcPr>
          <w:p w14:paraId="5F94BBFA" w14:textId="41C2D7E2" w:rsidR="000F4711" w:rsidRPr="007B7239" w:rsidRDefault="000F4711" w:rsidP="000F4711">
            <w:pPr>
              <w:pStyle w:val="Tabletext1"/>
            </w:pPr>
            <w:r>
              <w:t xml:space="preserve">Bronchiectasis with chronic </w:t>
            </w:r>
            <w:r w:rsidRPr="00916AF5">
              <w:rPr>
                <w:i/>
              </w:rPr>
              <w:t>P. aeruginosa</w:t>
            </w:r>
          </w:p>
        </w:tc>
        <w:tc>
          <w:tcPr>
            <w:tcW w:w="914" w:type="pct"/>
            <w:noWrap/>
          </w:tcPr>
          <w:p w14:paraId="67FC58E8" w14:textId="42E7477D" w:rsidR="000F4711" w:rsidRPr="007B7239" w:rsidRDefault="000F4711" w:rsidP="000F4711">
            <w:pPr>
              <w:pStyle w:val="Tabletext1"/>
              <w:jc w:val="right"/>
            </w:pPr>
            <w:r w:rsidRPr="009F69A8">
              <w:t>$5,638</w:t>
            </w:r>
          </w:p>
        </w:tc>
        <w:tc>
          <w:tcPr>
            <w:tcW w:w="914" w:type="pct"/>
            <w:noWrap/>
          </w:tcPr>
          <w:p w14:paraId="56EBBC7C" w14:textId="62DAE983" w:rsidR="000F4711" w:rsidRPr="007B7239" w:rsidRDefault="000F4711" w:rsidP="000F4711">
            <w:pPr>
              <w:pStyle w:val="Tabletext1"/>
              <w:jc w:val="right"/>
            </w:pPr>
            <w:r w:rsidRPr="009F69A8">
              <w:t>$17,835</w:t>
            </w:r>
          </w:p>
        </w:tc>
        <w:tc>
          <w:tcPr>
            <w:tcW w:w="913" w:type="pct"/>
            <w:noWrap/>
          </w:tcPr>
          <w:p w14:paraId="2CAAB2B8" w14:textId="5B6829C0" w:rsidR="000F4711" w:rsidRPr="007B7239" w:rsidRDefault="000F4711" w:rsidP="000F4711">
            <w:pPr>
              <w:pStyle w:val="Tabletext1"/>
              <w:jc w:val="right"/>
            </w:pPr>
            <w:r w:rsidRPr="009F69A8">
              <w:t>–$12,197</w:t>
            </w:r>
          </w:p>
        </w:tc>
      </w:tr>
      <w:tr w:rsidR="000F4711" w:rsidRPr="007B7239" w14:paraId="5470E794" w14:textId="77777777" w:rsidTr="00BA6336">
        <w:trPr>
          <w:cantSplit/>
          <w:trHeight w:val="300"/>
        </w:trPr>
        <w:tc>
          <w:tcPr>
            <w:tcW w:w="2259" w:type="pct"/>
            <w:noWrap/>
            <w:hideMark/>
          </w:tcPr>
          <w:p w14:paraId="5E3CCA05" w14:textId="77777777" w:rsidR="000F4711" w:rsidRPr="007B7239" w:rsidRDefault="000F4711" w:rsidP="000F4711">
            <w:pPr>
              <w:pStyle w:val="Tabletext1"/>
              <w:rPr>
                <w:b/>
              </w:rPr>
            </w:pPr>
            <w:r w:rsidRPr="007B7239">
              <w:rPr>
                <w:b/>
              </w:rPr>
              <w:t>Total</w:t>
            </w:r>
            <w:r>
              <w:rPr>
                <w:b/>
              </w:rPr>
              <w:t xml:space="preserve"> cost</w:t>
            </w:r>
          </w:p>
        </w:tc>
        <w:tc>
          <w:tcPr>
            <w:tcW w:w="914" w:type="pct"/>
            <w:noWrap/>
          </w:tcPr>
          <w:p w14:paraId="5D1F13EE" w14:textId="6AE0DDBA" w:rsidR="000F4711" w:rsidRPr="000F4711" w:rsidRDefault="000F4711" w:rsidP="000F4711">
            <w:pPr>
              <w:pStyle w:val="Tabletext1"/>
              <w:jc w:val="right"/>
              <w:rPr>
                <w:b/>
              </w:rPr>
            </w:pPr>
            <w:r w:rsidRPr="000F4711">
              <w:rPr>
                <w:b/>
              </w:rPr>
              <w:t>$78,273</w:t>
            </w:r>
          </w:p>
        </w:tc>
        <w:tc>
          <w:tcPr>
            <w:tcW w:w="914" w:type="pct"/>
            <w:noWrap/>
          </w:tcPr>
          <w:p w14:paraId="0C4C83CE" w14:textId="4FA72699" w:rsidR="000F4711" w:rsidRPr="000F4711" w:rsidRDefault="000F4711" w:rsidP="000F4711">
            <w:pPr>
              <w:pStyle w:val="Tabletext1"/>
              <w:jc w:val="right"/>
              <w:rPr>
                <w:b/>
              </w:rPr>
            </w:pPr>
            <w:r w:rsidRPr="000F4711">
              <w:rPr>
                <w:b/>
              </w:rPr>
              <w:t>$37,262</w:t>
            </w:r>
          </w:p>
        </w:tc>
        <w:tc>
          <w:tcPr>
            <w:tcW w:w="913" w:type="pct"/>
            <w:noWrap/>
          </w:tcPr>
          <w:p w14:paraId="6E69305A" w14:textId="5A80A980" w:rsidR="000F4711" w:rsidRPr="000F4711" w:rsidRDefault="000F4711" w:rsidP="000F4711">
            <w:pPr>
              <w:pStyle w:val="Tabletext1"/>
              <w:jc w:val="right"/>
              <w:rPr>
                <w:b/>
              </w:rPr>
            </w:pPr>
            <w:r w:rsidRPr="000F4711">
              <w:rPr>
                <w:b/>
              </w:rPr>
              <w:t>$41,011</w:t>
            </w:r>
          </w:p>
        </w:tc>
      </w:tr>
    </w:tbl>
    <w:p w14:paraId="0A70EE6A" w14:textId="77777777" w:rsidR="00911F85" w:rsidRDefault="00911F85" w:rsidP="00911F85">
      <w:pPr>
        <w:pStyle w:val="Tablenotes1"/>
      </w:pPr>
      <w:r>
        <w:t>Ig = immunoglobulin.</w:t>
      </w:r>
    </w:p>
    <w:p w14:paraId="2976FD39" w14:textId="77777777" w:rsidR="00911F85" w:rsidRDefault="00911F85" w:rsidP="00911F85">
      <w:r>
        <w:t xml:space="preserve">The cost of Ig was the main driver of the incremental cost, with offsets related to a reduction in the number of infections and costs associated with managing chronic </w:t>
      </w:r>
      <w:r w:rsidRPr="00A977D4">
        <w:rPr>
          <w:i/>
        </w:rPr>
        <w:t>P. aeruginosa</w:t>
      </w:r>
      <w:r w:rsidRPr="00A977D4">
        <w:t xml:space="preserve"> infection</w:t>
      </w:r>
      <w:r>
        <w:t>s.</w:t>
      </w:r>
    </w:p>
    <w:p w14:paraId="54DD4DB2" w14:textId="02968CEF" w:rsidR="00911F85" w:rsidRDefault="00911F85" w:rsidP="00911F85">
      <w:pPr>
        <w:pStyle w:val="Caption"/>
        <w:keepNext/>
      </w:pPr>
      <w:bookmarkStart w:id="553" w:name="_Ref13228376"/>
      <w:bookmarkStart w:id="554" w:name="_Toc14348892"/>
      <w:bookmarkStart w:id="555" w:name="_Toc14429598"/>
      <w:bookmarkStart w:id="556" w:name="_Toc16671655"/>
      <w:r>
        <w:t xml:space="preserve">Table </w:t>
      </w:r>
      <w:r>
        <w:rPr>
          <w:noProof/>
        </w:rPr>
        <w:fldChar w:fldCharType="begin"/>
      </w:r>
      <w:r>
        <w:rPr>
          <w:noProof/>
        </w:rPr>
        <w:instrText xml:space="preserve"> SEQ Table \* ARABIC </w:instrText>
      </w:r>
      <w:r>
        <w:rPr>
          <w:noProof/>
        </w:rPr>
        <w:fldChar w:fldCharType="separate"/>
      </w:r>
      <w:r w:rsidR="00A7463B">
        <w:rPr>
          <w:noProof/>
        </w:rPr>
        <w:t>57</w:t>
      </w:r>
      <w:r>
        <w:rPr>
          <w:noProof/>
        </w:rPr>
        <w:fldChar w:fldCharType="end"/>
      </w:r>
      <w:bookmarkEnd w:id="553"/>
      <w:r>
        <w:tab/>
        <w:t xml:space="preserve">Disaggregated </w:t>
      </w:r>
      <w:r w:rsidR="00471C1D">
        <w:t xml:space="preserve">LYs and </w:t>
      </w:r>
      <w:r>
        <w:t>QALYs</w:t>
      </w:r>
      <w:bookmarkEnd w:id="554"/>
      <w:bookmarkEnd w:id="555"/>
      <w:bookmarkEnd w:id="556"/>
    </w:p>
    <w:tbl>
      <w:tblPr>
        <w:tblStyle w:val="TableGrid1"/>
        <w:tblW w:w="5000" w:type="pct"/>
        <w:tblLook w:val="04A0" w:firstRow="1" w:lastRow="0" w:firstColumn="1" w:lastColumn="0" w:noHBand="0" w:noVBand="1"/>
        <w:tblCaption w:val="Disaggregated QALYs"/>
      </w:tblPr>
      <w:tblGrid>
        <w:gridCol w:w="4176"/>
        <w:gridCol w:w="1689"/>
        <w:gridCol w:w="1689"/>
        <w:gridCol w:w="1688"/>
      </w:tblGrid>
      <w:tr w:rsidR="00911F85" w:rsidRPr="007B7239" w14:paraId="4524156D" w14:textId="77777777" w:rsidTr="0007662C">
        <w:trPr>
          <w:cnfStyle w:val="100000000000" w:firstRow="1" w:lastRow="0" w:firstColumn="0" w:lastColumn="0" w:oddVBand="0" w:evenVBand="0" w:oddHBand="0" w:evenHBand="0" w:firstRowFirstColumn="0" w:firstRowLastColumn="0" w:lastRowFirstColumn="0" w:lastRowLastColumn="0"/>
          <w:cantSplit/>
          <w:trHeight w:val="300"/>
          <w:tblHeader/>
        </w:trPr>
        <w:tc>
          <w:tcPr>
            <w:tcW w:w="2259" w:type="pct"/>
            <w:tcBorders>
              <w:bottom w:val="single" w:sz="4" w:space="0" w:color="auto"/>
            </w:tcBorders>
            <w:noWrap/>
            <w:hideMark/>
          </w:tcPr>
          <w:p w14:paraId="48FA8546" w14:textId="77777777" w:rsidR="00911F85" w:rsidRPr="007B7239" w:rsidRDefault="00911F85" w:rsidP="008742A1">
            <w:pPr>
              <w:pStyle w:val="TableHeading"/>
            </w:pPr>
          </w:p>
        </w:tc>
        <w:tc>
          <w:tcPr>
            <w:tcW w:w="914" w:type="pct"/>
            <w:tcBorders>
              <w:bottom w:val="single" w:sz="4" w:space="0" w:color="auto"/>
            </w:tcBorders>
            <w:noWrap/>
            <w:hideMark/>
          </w:tcPr>
          <w:p w14:paraId="4DD79F94" w14:textId="77777777" w:rsidR="00911F85" w:rsidRPr="007B7239" w:rsidRDefault="00911F85" w:rsidP="008742A1">
            <w:pPr>
              <w:pStyle w:val="TableHeading"/>
              <w:jc w:val="center"/>
            </w:pPr>
            <w:r w:rsidRPr="007B7239">
              <w:t>Ig</w:t>
            </w:r>
          </w:p>
        </w:tc>
        <w:tc>
          <w:tcPr>
            <w:tcW w:w="914" w:type="pct"/>
            <w:tcBorders>
              <w:bottom w:val="single" w:sz="4" w:space="0" w:color="auto"/>
            </w:tcBorders>
            <w:noWrap/>
            <w:hideMark/>
          </w:tcPr>
          <w:p w14:paraId="6411BFBD" w14:textId="77777777" w:rsidR="00911F85" w:rsidRPr="007B7239" w:rsidRDefault="00911F85" w:rsidP="008742A1">
            <w:pPr>
              <w:pStyle w:val="TableHeading"/>
              <w:jc w:val="center"/>
            </w:pPr>
            <w:r w:rsidRPr="007B7239">
              <w:t>No Ig</w:t>
            </w:r>
          </w:p>
        </w:tc>
        <w:tc>
          <w:tcPr>
            <w:tcW w:w="913" w:type="pct"/>
            <w:tcBorders>
              <w:bottom w:val="single" w:sz="4" w:space="0" w:color="auto"/>
            </w:tcBorders>
            <w:noWrap/>
            <w:hideMark/>
          </w:tcPr>
          <w:p w14:paraId="17F5A0BC" w14:textId="77777777" w:rsidR="00911F85" w:rsidRPr="007B7239" w:rsidRDefault="00911F85" w:rsidP="008742A1">
            <w:pPr>
              <w:pStyle w:val="TableHeading"/>
              <w:jc w:val="center"/>
            </w:pPr>
            <w:r w:rsidRPr="007B7239">
              <w:t>Increment</w:t>
            </w:r>
          </w:p>
        </w:tc>
      </w:tr>
      <w:tr w:rsidR="001534D0" w:rsidRPr="007B7239" w14:paraId="13E2AACE" w14:textId="77777777" w:rsidTr="001534D0">
        <w:trPr>
          <w:cantSplit/>
          <w:trHeight w:val="300"/>
        </w:trPr>
        <w:tc>
          <w:tcPr>
            <w:tcW w:w="2259" w:type="pct"/>
            <w:tcBorders>
              <w:bottom w:val="single" w:sz="4" w:space="0" w:color="auto"/>
              <w:right w:val="nil"/>
            </w:tcBorders>
            <w:noWrap/>
          </w:tcPr>
          <w:p w14:paraId="50F1FAE4" w14:textId="1785599B" w:rsidR="001534D0" w:rsidRPr="001534D0" w:rsidRDefault="001534D0" w:rsidP="008742A1">
            <w:pPr>
              <w:pStyle w:val="Tabletext1"/>
              <w:rPr>
                <w:i/>
              </w:rPr>
            </w:pPr>
            <w:r w:rsidRPr="001534D0">
              <w:rPr>
                <w:i/>
              </w:rPr>
              <w:t>Life-years gained</w:t>
            </w:r>
          </w:p>
        </w:tc>
        <w:tc>
          <w:tcPr>
            <w:tcW w:w="914" w:type="pct"/>
            <w:tcBorders>
              <w:left w:val="nil"/>
              <w:bottom w:val="single" w:sz="4" w:space="0" w:color="auto"/>
              <w:right w:val="nil"/>
            </w:tcBorders>
            <w:noWrap/>
          </w:tcPr>
          <w:p w14:paraId="6E32E4C0" w14:textId="77777777" w:rsidR="001534D0" w:rsidRPr="001534D0" w:rsidRDefault="001534D0" w:rsidP="008742A1">
            <w:pPr>
              <w:pStyle w:val="Tabletext1"/>
              <w:jc w:val="center"/>
              <w:rPr>
                <w:i/>
              </w:rPr>
            </w:pPr>
          </w:p>
        </w:tc>
        <w:tc>
          <w:tcPr>
            <w:tcW w:w="914" w:type="pct"/>
            <w:tcBorders>
              <w:left w:val="nil"/>
              <w:bottom w:val="single" w:sz="4" w:space="0" w:color="auto"/>
              <w:right w:val="nil"/>
            </w:tcBorders>
            <w:noWrap/>
          </w:tcPr>
          <w:p w14:paraId="317E977B" w14:textId="77777777" w:rsidR="001534D0" w:rsidRPr="001534D0" w:rsidRDefault="001534D0" w:rsidP="008742A1">
            <w:pPr>
              <w:pStyle w:val="Tabletext1"/>
              <w:jc w:val="center"/>
              <w:rPr>
                <w:i/>
              </w:rPr>
            </w:pPr>
          </w:p>
        </w:tc>
        <w:tc>
          <w:tcPr>
            <w:tcW w:w="913" w:type="pct"/>
            <w:tcBorders>
              <w:left w:val="nil"/>
              <w:bottom w:val="single" w:sz="4" w:space="0" w:color="auto"/>
            </w:tcBorders>
            <w:noWrap/>
          </w:tcPr>
          <w:p w14:paraId="60861BBA" w14:textId="77777777" w:rsidR="001534D0" w:rsidRPr="001534D0" w:rsidRDefault="001534D0" w:rsidP="008742A1">
            <w:pPr>
              <w:pStyle w:val="Tabletext1"/>
              <w:jc w:val="center"/>
              <w:rPr>
                <w:i/>
              </w:rPr>
            </w:pPr>
          </w:p>
        </w:tc>
      </w:tr>
      <w:tr w:rsidR="001534D0" w:rsidRPr="007B7239" w14:paraId="3419DA0C" w14:textId="77777777" w:rsidTr="001534D0">
        <w:trPr>
          <w:cantSplit/>
          <w:trHeight w:val="300"/>
        </w:trPr>
        <w:tc>
          <w:tcPr>
            <w:tcW w:w="2259" w:type="pct"/>
            <w:tcBorders>
              <w:bottom w:val="nil"/>
            </w:tcBorders>
            <w:noWrap/>
          </w:tcPr>
          <w:p w14:paraId="55EABDD0" w14:textId="6C511490" w:rsidR="001534D0" w:rsidRPr="007B7239" w:rsidRDefault="001534D0" w:rsidP="001534D0">
            <w:pPr>
              <w:pStyle w:val="Tabletext1"/>
            </w:pPr>
            <w:r w:rsidRPr="007B7239">
              <w:t>Infection-free LYs</w:t>
            </w:r>
          </w:p>
        </w:tc>
        <w:tc>
          <w:tcPr>
            <w:tcW w:w="914" w:type="pct"/>
            <w:tcBorders>
              <w:bottom w:val="nil"/>
            </w:tcBorders>
            <w:noWrap/>
          </w:tcPr>
          <w:p w14:paraId="2980BF90" w14:textId="7BF4761B" w:rsidR="001534D0" w:rsidRPr="00F577D2" w:rsidRDefault="001534D0" w:rsidP="001534D0">
            <w:pPr>
              <w:pStyle w:val="Tabletext1"/>
              <w:jc w:val="center"/>
            </w:pPr>
            <w:r w:rsidRPr="00D04D2A">
              <w:t>5.8997</w:t>
            </w:r>
          </w:p>
        </w:tc>
        <w:tc>
          <w:tcPr>
            <w:tcW w:w="914" w:type="pct"/>
            <w:tcBorders>
              <w:bottom w:val="nil"/>
            </w:tcBorders>
            <w:noWrap/>
          </w:tcPr>
          <w:p w14:paraId="4B41B979" w14:textId="6C63DC85" w:rsidR="001534D0" w:rsidRPr="00F577D2" w:rsidRDefault="001534D0" w:rsidP="001534D0">
            <w:pPr>
              <w:pStyle w:val="Tabletext1"/>
              <w:jc w:val="center"/>
            </w:pPr>
            <w:r w:rsidRPr="00D04D2A">
              <w:t>4.5297</w:t>
            </w:r>
          </w:p>
        </w:tc>
        <w:tc>
          <w:tcPr>
            <w:tcW w:w="913" w:type="pct"/>
            <w:tcBorders>
              <w:bottom w:val="nil"/>
            </w:tcBorders>
            <w:noWrap/>
          </w:tcPr>
          <w:p w14:paraId="33753FB5" w14:textId="4E0FDE1D" w:rsidR="001534D0" w:rsidRPr="00F577D2" w:rsidRDefault="001534D0" w:rsidP="001534D0">
            <w:pPr>
              <w:pStyle w:val="Tabletext1"/>
              <w:jc w:val="center"/>
            </w:pPr>
            <w:r w:rsidRPr="00D04D2A">
              <w:t>1.3700</w:t>
            </w:r>
          </w:p>
        </w:tc>
      </w:tr>
      <w:tr w:rsidR="001534D0" w:rsidRPr="007B7239" w14:paraId="0107EAE9" w14:textId="77777777" w:rsidTr="001534D0">
        <w:trPr>
          <w:cantSplit/>
          <w:trHeight w:val="300"/>
        </w:trPr>
        <w:tc>
          <w:tcPr>
            <w:tcW w:w="2259" w:type="pct"/>
            <w:tcBorders>
              <w:top w:val="nil"/>
              <w:bottom w:val="nil"/>
            </w:tcBorders>
            <w:noWrap/>
          </w:tcPr>
          <w:p w14:paraId="5ECEC949" w14:textId="097C6957" w:rsidR="001534D0" w:rsidRPr="007B7239" w:rsidRDefault="001534D0" w:rsidP="001534D0">
            <w:pPr>
              <w:pStyle w:val="Tabletext1"/>
            </w:pPr>
            <w:r>
              <w:t xml:space="preserve">Infection </w:t>
            </w:r>
            <w:r w:rsidRPr="007B7239">
              <w:t>LYs</w:t>
            </w:r>
          </w:p>
        </w:tc>
        <w:tc>
          <w:tcPr>
            <w:tcW w:w="914" w:type="pct"/>
            <w:tcBorders>
              <w:top w:val="nil"/>
              <w:bottom w:val="nil"/>
            </w:tcBorders>
            <w:noWrap/>
          </w:tcPr>
          <w:p w14:paraId="3E0CE7EF" w14:textId="51C8EBDB" w:rsidR="001534D0" w:rsidRPr="00F577D2" w:rsidRDefault="001534D0" w:rsidP="001534D0">
            <w:pPr>
              <w:pStyle w:val="Tabletext1"/>
              <w:jc w:val="center"/>
            </w:pPr>
            <w:r w:rsidRPr="00D04D2A">
              <w:t>0.0349</w:t>
            </w:r>
          </w:p>
        </w:tc>
        <w:tc>
          <w:tcPr>
            <w:tcW w:w="914" w:type="pct"/>
            <w:tcBorders>
              <w:top w:val="nil"/>
              <w:bottom w:val="nil"/>
            </w:tcBorders>
            <w:noWrap/>
          </w:tcPr>
          <w:p w14:paraId="102AA3AE" w14:textId="240D0AED" w:rsidR="001534D0" w:rsidRPr="00F577D2" w:rsidRDefault="001534D0" w:rsidP="001534D0">
            <w:pPr>
              <w:pStyle w:val="Tabletext1"/>
              <w:jc w:val="center"/>
            </w:pPr>
            <w:r w:rsidRPr="00D04D2A">
              <w:t>0.0668</w:t>
            </w:r>
          </w:p>
        </w:tc>
        <w:tc>
          <w:tcPr>
            <w:tcW w:w="913" w:type="pct"/>
            <w:tcBorders>
              <w:top w:val="nil"/>
              <w:bottom w:val="nil"/>
            </w:tcBorders>
            <w:noWrap/>
          </w:tcPr>
          <w:p w14:paraId="4ED5F43F" w14:textId="2368DBD3" w:rsidR="001534D0" w:rsidRPr="00F577D2" w:rsidRDefault="001534D0" w:rsidP="001534D0">
            <w:pPr>
              <w:pStyle w:val="Tabletext1"/>
              <w:jc w:val="center"/>
            </w:pPr>
            <w:r w:rsidRPr="00D04D2A">
              <w:t>–0.0319</w:t>
            </w:r>
          </w:p>
        </w:tc>
      </w:tr>
      <w:tr w:rsidR="001534D0" w:rsidRPr="007B7239" w14:paraId="544B291F" w14:textId="77777777" w:rsidTr="001534D0">
        <w:trPr>
          <w:cantSplit/>
          <w:trHeight w:val="300"/>
        </w:trPr>
        <w:tc>
          <w:tcPr>
            <w:tcW w:w="2259" w:type="pct"/>
            <w:tcBorders>
              <w:top w:val="nil"/>
              <w:bottom w:val="nil"/>
            </w:tcBorders>
            <w:noWrap/>
          </w:tcPr>
          <w:p w14:paraId="27CB8DD7" w14:textId="12B51289" w:rsidR="001534D0" w:rsidRPr="007B7239" w:rsidRDefault="001534D0" w:rsidP="001534D0">
            <w:pPr>
              <w:pStyle w:val="Tabletext1"/>
            </w:pPr>
            <w:r w:rsidRPr="007B7239">
              <w:t>Bronchiectasis LYs</w:t>
            </w:r>
          </w:p>
        </w:tc>
        <w:tc>
          <w:tcPr>
            <w:tcW w:w="914" w:type="pct"/>
            <w:tcBorders>
              <w:top w:val="nil"/>
              <w:bottom w:val="nil"/>
            </w:tcBorders>
            <w:noWrap/>
          </w:tcPr>
          <w:p w14:paraId="470D367D" w14:textId="08C5EA33" w:rsidR="001534D0" w:rsidRPr="00F577D2" w:rsidRDefault="001534D0" w:rsidP="001534D0">
            <w:pPr>
              <w:pStyle w:val="Tabletext1"/>
              <w:jc w:val="center"/>
            </w:pPr>
            <w:r w:rsidRPr="00D04D2A">
              <w:t>0.6303</w:t>
            </w:r>
          </w:p>
        </w:tc>
        <w:tc>
          <w:tcPr>
            <w:tcW w:w="914" w:type="pct"/>
            <w:tcBorders>
              <w:top w:val="nil"/>
              <w:bottom w:val="nil"/>
            </w:tcBorders>
            <w:noWrap/>
          </w:tcPr>
          <w:p w14:paraId="60F04664" w14:textId="2BB65103" w:rsidR="001534D0" w:rsidRPr="00F577D2" w:rsidRDefault="001534D0" w:rsidP="001534D0">
            <w:pPr>
              <w:pStyle w:val="Tabletext1"/>
              <w:jc w:val="center"/>
            </w:pPr>
            <w:r w:rsidRPr="00D04D2A">
              <w:t>1.1162</w:t>
            </w:r>
          </w:p>
        </w:tc>
        <w:tc>
          <w:tcPr>
            <w:tcW w:w="913" w:type="pct"/>
            <w:tcBorders>
              <w:top w:val="nil"/>
              <w:bottom w:val="nil"/>
            </w:tcBorders>
            <w:noWrap/>
          </w:tcPr>
          <w:p w14:paraId="7CC95EEA" w14:textId="0C4EB98F" w:rsidR="001534D0" w:rsidRPr="00F577D2" w:rsidRDefault="001534D0" w:rsidP="001534D0">
            <w:pPr>
              <w:pStyle w:val="Tabletext1"/>
              <w:jc w:val="center"/>
            </w:pPr>
            <w:r w:rsidRPr="00D04D2A">
              <w:t>–0.4859</w:t>
            </w:r>
          </w:p>
        </w:tc>
      </w:tr>
      <w:tr w:rsidR="001534D0" w:rsidRPr="007B7239" w14:paraId="3BC56EF5" w14:textId="77777777" w:rsidTr="001534D0">
        <w:trPr>
          <w:cantSplit/>
          <w:trHeight w:val="300"/>
        </w:trPr>
        <w:tc>
          <w:tcPr>
            <w:tcW w:w="2259" w:type="pct"/>
            <w:tcBorders>
              <w:top w:val="nil"/>
              <w:bottom w:val="nil"/>
            </w:tcBorders>
            <w:noWrap/>
          </w:tcPr>
          <w:p w14:paraId="62757CAD" w14:textId="03B2F0E9" w:rsidR="001534D0" w:rsidRPr="007B7239" w:rsidRDefault="001534D0" w:rsidP="001534D0">
            <w:pPr>
              <w:pStyle w:val="Tabletext1"/>
            </w:pPr>
            <w:r w:rsidRPr="007B7239">
              <w:t>Bronchiectasis with infection L</w:t>
            </w:r>
            <w:r>
              <w:t>Y</w:t>
            </w:r>
            <w:r w:rsidRPr="007B7239">
              <w:t>s</w:t>
            </w:r>
          </w:p>
        </w:tc>
        <w:tc>
          <w:tcPr>
            <w:tcW w:w="914" w:type="pct"/>
            <w:tcBorders>
              <w:top w:val="nil"/>
              <w:bottom w:val="nil"/>
            </w:tcBorders>
            <w:noWrap/>
          </w:tcPr>
          <w:p w14:paraId="503CE0B3" w14:textId="433151C8" w:rsidR="001534D0" w:rsidRPr="00F577D2" w:rsidRDefault="001534D0" w:rsidP="001534D0">
            <w:pPr>
              <w:pStyle w:val="Tabletext1"/>
              <w:jc w:val="center"/>
            </w:pPr>
            <w:r w:rsidRPr="00D04D2A">
              <w:t>0.1177</w:t>
            </w:r>
          </w:p>
        </w:tc>
        <w:tc>
          <w:tcPr>
            <w:tcW w:w="914" w:type="pct"/>
            <w:tcBorders>
              <w:top w:val="nil"/>
              <w:bottom w:val="nil"/>
            </w:tcBorders>
            <w:noWrap/>
          </w:tcPr>
          <w:p w14:paraId="4A85036D" w14:textId="561B2D49" w:rsidR="001534D0" w:rsidRPr="00F577D2" w:rsidRDefault="001534D0" w:rsidP="001534D0">
            <w:pPr>
              <w:pStyle w:val="Tabletext1"/>
              <w:jc w:val="center"/>
            </w:pPr>
            <w:r w:rsidRPr="00D04D2A">
              <w:t>0.3676</w:t>
            </w:r>
          </w:p>
        </w:tc>
        <w:tc>
          <w:tcPr>
            <w:tcW w:w="913" w:type="pct"/>
            <w:tcBorders>
              <w:top w:val="nil"/>
              <w:bottom w:val="nil"/>
            </w:tcBorders>
            <w:noWrap/>
          </w:tcPr>
          <w:p w14:paraId="6BE1429D" w14:textId="6BA53C3B" w:rsidR="001534D0" w:rsidRPr="00F577D2" w:rsidRDefault="001534D0" w:rsidP="001534D0">
            <w:pPr>
              <w:pStyle w:val="Tabletext1"/>
              <w:jc w:val="center"/>
            </w:pPr>
            <w:r w:rsidRPr="00D04D2A">
              <w:t>–0.2500</w:t>
            </w:r>
          </w:p>
        </w:tc>
      </w:tr>
      <w:tr w:rsidR="001534D0" w:rsidRPr="007B7239" w14:paraId="17BC78AD" w14:textId="77777777" w:rsidTr="001534D0">
        <w:trPr>
          <w:cantSplit/>
          <w:trHeight w:val="300"/>
        </w:trPr>
        <w:tc>
          <w:tcPr>
            <w:tcW w:w="2259" w:type="pct"/>
            <w:tcBorders>
              <w:top w:val="nil"/>
              <w:bottom w:val="nil"/>
            </w:tcBorders>
            <w:noWrap/>
          </w:tcPr>
          <w:p w14:paraId="203E7277" w14:textId="546A80C0" w:rsidR="001534D0" w:rsidRPr="007B7239" w:rsidRDefault="001534D0" w:rsidP="001534D0">
            <w:pPr>
              <w:pStyle w:val="Tabletext1"/>
            </w:pPr>
            <w:r w:rsidRPr="001534D0">
              <w:t xml:space="preserve">Bronchiectasis with chronic </w:t>
            </w:r>
            <w:r w:rsidRPr="00916AF5">
              <w:rPr>
                <w:i/>
              </w:rPr>
              <w:t>P. aeruginosa</w:t>
            </w:r>
            <w:r w:rsidRPr="001534D0">
              <w:t xml:space="preserve"> </w:t>
            </w:r>
            <w:r w:rsidRPr="007B7239">
              <w:t>LYs</w:t>
            </w:r>
          </w:p>
        </w:tc>
        <w:tc>
          <w:tcPr>
            <w:tcW w:w="914" w:type="pct"/>
            <w:tcBorders>
              <w:top w:val="nil"/>
              <w:bottom w:val="nil"/>
            </w:tcBorders>
            <w:noWrap/>
          </w:tcPr>
          <w:p w14:paraId="16BA0152" w14:textId="3D04A728" w:rsidR="001534D0" w:rsidRPr="00F577D2" w:rsidRDefault="001534D0" w:rsidP="001534D0">
            <w:pPr>
              <w:pStyle w:val="Tabletext1"/>
              <w:jc w:val="center"/>
            </w:pPr>
            <w:r w:rsidRPr="00D04D2A">
              <w:t>0.0820</w:t>
            </w:r>
          </w:p>
        </w:tc>
        <w:tc>
          <w:tcPr>
            <w:tcW w:w="914" w:type="pct"/>
            <w:tcBorders>
              <w:top w:val="nil"/>
              <w:bottom w:val="nil"/>
            </w:tcBorders>
            <w:noWrap/>
          </w:tcPr>
          <w:p w14:paraId="78D16234" w14:textId="768D8FF5" w:rsidR="001534D0" w:rsidRPr="00F577D2" w:rsidRDefault="001534D0" w:rsidP="001534D0">
            <w:pPr>
              <w:pStyle w:val="Tabletext1"/>
              <w:jc w:val="center"/>
            </w:pPr>
            <w:r w:rsidRPr="00D04D2A">
              <w:t>0.2594</w:t>
            </w:r>
          </w:p>
        </w:tc>
        <w:tc>
          <w:tcPr>
            <w:tcW w:w="913" w:type="pct"/>
            <w:tcBorders>
              <w:top w:val="nil"/>
              <w:bottom w:val="nil"/>
            </w:tcBorders>
            <w:noWrap/>
          </w:tcPr>
          <w:p w14:paraId="13B166AB" w14:textId="2FD88F75" w:rsidR="001534D0" w:rsidRPr="00F577D2" w:rsidRDefault="001534D0" w:rsidP="001534D0">
            <w:pPr>
              <w:pStyle w:val="Tabletext1"/>
              <w:jc w:val="center"/>
            </w:pPr>
            <w:r w:rsidRPr="00D04D2A">
              <w:t>–0.1774</w:t>
            </w:r>
          </w:p>
        </w:tc>
      </w:tr>
      <w:tr w:rsidR="001534D0" w:rsidRPr="007B7239" w14:paraId="78752AD4" w14:textId="77777777" w:rsidTr="001534D0">
        <w:trPr>
          <w:cantSplit/>
          <w:trHeight w:val="300"/>
        </w:trPr>
        <w:tc>
          <w:tcPr>
            <w:tcW w:w="2259" w:type="pct"/>
            <w:tcBorders>
              <w:top w:val="nil"/>
              <w:bottom w:val="single" w:sz="4" w:space="0" w:color="auto"/>
            </w:tcBorders>
            <w:noWrap/>
          </w:tcPr>
          <w:p w14:paraId="346E546C" w14:textId="56A974BD" w:rsidR="001534D0" w:rsidRPr="001534D0" w:rsidRDefault="001534D0" w:rsidP="001534D0">
            <w:pPr>
              <w:pStyle w:val="Tabletext1"/>
              <w:rPr>
                <w:b/>
              </w:rPr>
            </w:pPr>
            <w:r w:rsidRPr="001534D0">
              <w:rPr>
                <w:b/>
              </w:rPr>
              <w:t>Total LYs</w:t>
            </w:r>
          </w:p>
        </w:tc>
        <w:tc>
          <w:tcPr>
            <w:tcW w:w="914" w:type="pct"/>
            <w:tcBorders>
              <w:top w:val="nil"/>
              <w:bottom w:val="single" w:sz="4" w:space="0" w:color="auto"/>
            </w:tcBorders>
            <w:noWrap/>
          </w:tcPr>
          <w:p w14:paraId="07A98955" w14:textId="2204533F" w:rsidR="001534D0" w:rsidRPr="001534D0" w:rsidRDefault="001534D0" w:rsidP="001534D0">
            <w:pPr>
              <w:pStyle w:val="Tabletext1"/>
              <w:jc w:val="center"/>
              <w:rPr>
                <w:b/>
              </w:rPr>
            </w:pPr>
            <w:r w:rsidRPr="001534D0">
              <w:rPr>
                <w:b/>
              </w:rPr>
              <w:t>6.7646</w:t>
            </w:r>
          </w:p>
        </w:tc>
        <w:tc>
          <w:tcPr>
            <w:tcW w:w="914" w:type="pct"/>
            <w:tcBorders>
              <w:top w:val="nil"/>
              <w:bottom w:val="single" w:sz="4" w:space="0" w:color="auto"/>
            </w:tcBorders>
            <w:noWrap/>
          </w:tcPr>
          <w:p w14:paraId="0E062A0B" w14:textId="1AFA6644" w:rsidR="001534D0" w:rsidRPr="001534D0" w:rsidRDefault="001534D0" w:rsidP="001534D0">
            <w:pPr>
              <w:pStyle w:val="Tabletext1"/>
              <w:jc w:val="center"/>
              <w:rPr>
                <w:b/>
              </w:rPr>
            </w:pPr>
            <w:r w:rsidRPr="001534D0">
              <w:rPr>
                <w:b/>
              </w:rPr>
              <w:t>6.3398</w:t>
            </w:r>
          </w:p>
        </w:tc>
        <w:tc>
          <w:tcPr>
            <w:tcW w:w="913" w:type="pct"/>
            <w:tcBorders>
              <w:top w:val="nil"/>
              <w:bottom w:val="single" w:sz="4" w:space="0" w:color="auto"/>
            </w:tcBorders>
            <w:noWrap/>
          </w:tcPr>
          <w:p w14:paraId="1D87A943" w14:textId="1331F208" w:rsidR="001534D0" w:rsidRPr="001534D0" w:rsidRDefault="001534D0" w:rsidP="001534D0">
            <w:pPr>
              <w:pStyle w:val="Tabletext1"/>
              <w:jc w:val="center"/>
              <w:rPr>
                <w:b/>
              </w:rPr>
            </w:pPr>
            <w:r w:rsidRPr="001534D0">
              <w:rPr>
                <w:b/>
              </w:rPr>
              <w:t>0.4248</w:t>
            </w:r>
          </w:p>
        </w:tc>
      </w:tr>
      <w:tr w:rsidR="001534D0" w:rsidRPr="007B7239" w14:paraId="1A5FBE57" w14:textId="77777777" w:rsidTr="001534D0">
        <w:trPr>
          <w:cantSplit/>
          <w:trHeight w:val="300"/>
        </w:trPr>
        <w:tc>
          <w:tcPr>
            <w:tcW w:w="2259" w:type="pct"/>
            <w:tcBorders>
              <w:bottom w:val="single" w:sz="4" w:space="0" w:color="auto"/>
              <w:right w:val="nil"/>
            </w:tcBorders>
            <w:noWrap/>
          </w:tcPr>
          <w:p w14:paraId="294A6E61" w14:textId="2FC11E10" w:rsidR="001534D0" w:rsidRPr="001534D0" w:rsidRDefault="001534D0" w:rsidP="001534D0">
            <w:pPr>
              <w:pStyle w:val="Tabletext1"/>
              <w:rPr>
                <w:i/>
              </w:rPr>
            </w:pPr>
            <w:r w:rsidRPr="001534D0">
              <w:rPr>
                <w:i/>
              </w:rPr>
              <w:t>QALYs gained</w:t>
            </w:r>
          </w:p>
        </w:tc>
        <w:tc>
          <w:tcPr>
            <w:tcW w:w="914" w:type="pct"/>
            <w:tcBorders>
              <w:left w:val="nil"/>
              <w:bottom w:val="single" w:sz="4" w:space="0" w:color="auto"/>
              <w:right w:val="nil"/>
            </w:tcBorders>
            <w:noWrap/>
          </w:tcPr>
          <w:p w14:paraId="27795B07" w14:textId="77777777" w:rsidR="001534D0" w:rsidRPr="001534D0" w:rsidRDefault="001534D0" w:rsidP="001534D0">
            <w:pPr>
              <w:pStyle w:val="Tabletext1"/>
              <w:jc w:val="center"/>
              <w:rPr>
                <w:i/>
              </w:rPr>
            </w:pPr>
          </w:p>
        </w:tc>
        <w:tc>
          <w:tcPr>
            <w:tcW w:w="914" w:type="pct"/>
            <w:tcBorders>
              <w:left w:val="nil"/>
              <w:bottom w:val="single" w:sz="4" w:space="0" w:color="auto"/>
              <w:right w:val="nil"/>
            </w:tcBorders>
            <w:noWrap/>
          </w:tcPr>
          <w:p w14:paraId="75A5E292" w14:textId="77777777" w:rsidR="001534D0" w:rsidRPr="001534D0" w:rsidRDefault="001534D0" w:rsidP="001534D0">
            <w:pPr>
              <w:pStyle w:val="Tabletext1"/>
              <w:jc w:val="center"/>
              <w:rPr>
                <w:i/>
              </w:rPr>
            </w:pPr>
          </w:p>
        </w:tc>
        <w:tc>
          <w:tcPr>
            <w:tcW w:w="913" w:type="pct"/>
            <w:tcBorders>
              <w:left w:val="nil"/>
              <w:bottom w:val="single" w:sz="4" w:space="0" w:color="auto"/>
            </w:tcBorders>
            <w:noWrap/>
          </w:tcPr>
          <w:p w14:paraId="77F202BB" w14:textId="77777777" w:rsidR="001534D0" w:rsidRPr="001534D0" w:rsidRDefault="001534D0" w:rsidP="001534D0">
            <w:pPr>
              <w:pStyle w:val="Tabletext1"/>
              <w:jc w:val="center"/>
              <w:rPr>
                <w:i/>
              </w:rPr>
            </w:pPr>
          </w:p>
        </w:tc>
      </w:tr>
      <w:tr w:rsidR="001534D0" w:rsidRPr="007B7239" w14:paraId="298AAF46" w14:textId="77777777" w:rsidTr="0007662C">
        <w:trPr>
          <w:cantSplit/>
          <w:trHeight w:val="300"/>
        </w:trPr>
        <w:tc>
          <w:tcPr>
            <w:tcW w:w="2259" w:type="pct"/>
            <w:tcBorders>
              <w:bottom w:val="nil"/>
            </w:tcBorders>
            <w:noWrap/>
            <w:hideMark/>
          </w:tcPr>
          <w:p w14:paraId="1456DB3B" w14:textId="77777777" w:rsidR="001534D0" w:rsidRPr="007B7239" w:rsidRDefault="001534D0" w:rsidP="001534D0">
            <w:pPr>
              <w:pStyle w:val="Tabletext1"/>
            </w:pPr>
            <w:r w:rsidRPr="007B7239">
              <w:t>Infection-free QALYs</w:t>
            </w:r>
          </w:p>
        </w:tc>
        <w:tc>
          <w:tcPr>
            <w:tcW w:w="914" w:type="pct"/>
            <w:tcBorders>
              <w:bottom w:val="nil"/>
            </w:tcBorders>
            <w:noWrap/>
            <w:hideMark/>
          </w:tcPr>
          <w:p w14:paraId="632517BC" w14:textId="77777777" w:rsidR="001534D0" w:rsidRPr="007B7239" w:rsidRDefault="001534D0" w:rsidP="001534D0">
            <w:pPr>
              <w:pStyle w:val="Tabletext1"/>
              <w:jc w:val="center"/>
            </w:pPr>
            <w:r w:rsidRPr="00F577D2">
              <w:t>4.2035</w:t>
            </w:r>
          </w:p>
        </w:tc>
        <w:tc>
          <w:tcPr>
            <w:tcW w:w="914" w:type="pct"/>
            <w:tcBorders>
              <w:bottom w:val="nil"/>
            </w:tcBorders>
            <w:noWrap/>
            <w:hideMark/>
          </w:tcPr>
          <w:p w14:paraId="210C7512" w14:textId="77777777" w:rsidR="001534D0" w:rsidRPr="007B7239" w:rsidRDefault="001534D0" w:rsidP="001534D0">
            <w:pPr>
              <w:pStyle w:val="Tabletext1"/>
              <w:jc w:val="center"/>
            </w:pPr>
            <w:r w:rsidRPr="00F577D2">
              <w:t>3.2377</w:t>
            </w:r>
          </w:p>
        </w:tc>
        <w:tc>
          <w:tcPr>
            <w:tcW w:w="913" w:type="pct"/>
            <w:tcBorders>
              <w:bottom w:val="nil"/>
            </w:tcBorders>
            <w:noWrap/>
            <w:hideMark/>
          </w:tcPr>
          <w:p w14:paraId="75F3EAFC" w14:textId="77777777" w:rsidR="001534D0" w:rsidRPr="007B7239" w:rsidRDefault="001534D0" w:rsidP="001534D0">
            <w:pPr>
              <w:pStyle w:val="Tabletext1"/>
              <w:jc w:val="center"/>
            </w:pPr>
            <w:r w:rsidRPr="00F577D2">
              <w:t>0.9658</w:t>
            </w:r>
          </w:p>
        </w:tc>
      </w:tr>
      <w:tr w:rsidR="001534D0" w:rsidRPr="007B7239" w14:paraId="135B5711" w14:textId="77777777" w:rsidTr="0007662C">
        <w:trPr>
          <w:cantSplit/>
          <w:trHeight w:val="300"/>
        </w:trPr>
        <w:tc>
          <w:tcPr>
            <w:tcW w:w="2259" w:type="pct"/>
            <w:tcBorders>
              <w:top w:val="nil"/>
              <w:bottom w:val="nil"/>
            </w:tcBorders>
            <w:noWrap/>
            <w:hideMark/>
          </w:tcPr>
          <w:p w14:paraId="4872CF4B" w14:textId="77777777" w:rsidR="001534D0" w:rsidRPr="007B7239" w:rsidRDefault="001534D0" w:rsidP="001534D0">
            <w:pPr>
              <w:pStyle w:val="Tabletext1"/>
            </w:pPr>
            <w:r w:rsidRPr="007B7239">
              <w:t>Infection QALYs</w:t>
            </w:r>
          </w:p>
        </w:tc>
        <w:tc>
          <w:tcPr>
            <w:tcW w:w="914" w:type="pct"/>
            <w:tcBorders>
              <w:top w:val="nil"/>
              <w:bottom w:val="nil"/>
            </w:tcBorders>
            <w:noWrap/>
            <w:hideMark/>
          </w:tcPr>
          <w:p w14:paraId="7787594B" w14:textId="77777777" w:rsidR="001534D0" w:rsidRPr="007B7239" w:rsidRDefault="001534D0" w:rsidP="001534D0">
            <w:pPr>
              <w:pStyle w:val="Tabletext1"/>
              <w:jc w:val="center"/>
            </w:pPr>
            <w:r w:rsidRPr="00F577D2">
              <w:t>0.0215</w:t>
            </w:r>
          </w:p>
        </w:tc>
        <w:tc>
          <w:tcPr>
            <w:tcW w:w="914" w:type="pct"/>
            <w:tcBorders>
              <w:top w:val="nil"/>
              <w:bottom w:val="nil"/>
            </w:tcBorders>
            <w:noWrap/>
            <w:hideMark/>
          </w:tcPr>
          <w:p w14:paraId="1E79856A" w14:textId="77777777" w:rsidR="001534D0" w:rsidRPr="007B7239" w:rsidRDefault="001534D0" w:rsidP="001534D0">
            <w:pPr>
              <w:pStyle w:val="Tabletext1"/>
              <w:jc w:val="center"/>
            </w:pPr>
            <w:r w:rsidRPr="00F577D2">
              <w:t>0.0369</w:t>
            </w:r>
          </w:p>
        </w:tc>
        <w:tc>
          <w:tcPr>
            <w:tcW w:w="913" w:type="pct"/>
            <w:tcBorders>
              <w:top w:val="nil"/>
              <w:bottom w:val="nil"/>
            </w:tcBorders>
            <w:noWrap/>
            <w:hideMark/>
          </w:tcPr>
          <w:p w14:paraId="36FFEE07" w14:textId="77777777" w:rsidR="001534D0" w:rsidRPr="007B7239" w:rsidRDefault="001534D0" w:rsidP="001534D0">
            <w:pPr>
              <w:pStyle w:val="Tabletext1"/>
              <w:jc w:val="center"/>
            </w:pPr>
            <w:r w:rsidRPr="00F577D2">
              <w:t>–0.0154</w:t>
            </w:r>
          </w:p>
        </w:tc>
      </w:tr>
      <w:tr w:rsidR="001534D0" w:rsidRPr="007B7239" w14:paraId="7907E55F" w14:textId="77777777" w:rsidTr="0007662C">
        <w:trPr>
          <w:cantSplit/>
          <w:trHeight w:val="300"/>
        </w:trPr>
        <w:tc>
          <w:tcPr>
            <w:tcW w:w="2259" w:type="pct"/>
            <w:tcBorders>
              <w:top w:val="nil"/>
              <w:bottom w:val="nil"/>
            </w:tcBorders>
            <w:noWrap/>
            <w:hideMark/>
          </w:tcPr>
          <w:p w14:paraId="3227D675" w14:textId="77777777" w:rsidR="001534D0" w:rsidRPr="007B7239" w:rsidRDefault="001534D0" w:rsidP="001534D0">
            <w:pPr>
              <w:pStyle w:val="Tabletext1"/>
            </w:pPr>
            <w:r w:rsidRPr="007B7239">
              <w:t>Bronchiectasis QALYs</w:t>
            </w:r>
          </w:p>
        </w:tc>
        <w:tc>
          <w:tcPr>
            <w:tcW w:w="914" w:type="pct"/>
            <w:tcBorders>
              <w:top w:val="nil"/>
              <w:bottom w:val="nil"/>
            </w:tcBorders>
            <w:noWrap/>
            <w:hideMark/>
          </w:tcPr>
          <w:p w14:paraId="3D5B1195" w14:textId="77777777" w:rsidR="001534D0" w:rsidRPr="007B7239" w:rsidRDefault="001534D0" w:rsidP="001534D0">
            <w:pPr>
              <w:pStyle w:val="Tabletext1"/>
              <w:jc w:val="center"/>
            </w:pPr>
            <w:r w:rsidRPr="00F577D2">
              <w:t>0.4029</w:t>
            </w:r>
          </w:p>
        </w:tc>
        <w:tc>
          <w:tcPr>
            <w:tcW w:w="914" w:type="pct"/>
            <w:tcBorders>
              <w:top w:val="nil"/>
              <w:bottom w:val="nil"/>
            </w:tcBorders>
            <w:noWrap/>
            <w:hideMark/>
          </w:tcPr>
          <w:p w14:paraId="69BE5B1E" w14:textId="77777777" w:rsidR="001534D0" w:rsidRPr="007B7239" w:rsidRDefault="001534D0" w:rsidP="001534D0">
            <w:pPr>
              <w:pStyle w:val="Tabletext1"/>
              <w:jc w:val="center"/>
            </w:pPr>
            <w:r w:rsidRPr="00F577D2">
              <w:t>0.7135</w:t>
            </w:r>
          </w:p>
        </w:tc>
        <w:tc>
          <w:tcPr>
            <w:tcW w:w="913" w:type="pct"/>
            <w:tcBorders>
              <w:top w:val="nil"/>
              <w:bottom w:val="nil"/>
            </w:tcBorders>
            <w:noWrap/>
            <w:hideMark/>
          </w:tcPr>
          <w:p w14:paraId="46BA6D82" w14:textId="77777777" w:rsidR="001534D0" w:rsidRPr="007B7239" w:rsidRDefault="001534D0" w:rsidP="001534D0">
            <w:pPr>
              <w:pStyle w:val="Tabletext1"/>
              <w:jc w:val="center"/>
            </w:pPr>
            <w:r w:rsidRPr="00F577D2">
              <w:t>–0.3106</w:t>
            </w:r>
          </w:p>
        </w:tc>
      </w:tr>
      <w:tr w:rsidR="001534D0" w:rsidRPr="007B7239" w14:paraId="15582614" w14:textId="77777777" w:rsidTr="0007662C">
        <w:trPr>
          <w:cantSplit/>
          <w:trHeight w:val="300"/>
        </w:trPr>
        <w:tc>
          <w:tcPr>
            <w:tcW w:w="2259" w:type="pct"/>
            <w:tcBorders>
              <w:top w:val="nil"/>
              <w:bottom w:val="nil"/>
            </w:tcBorders>
            <w:noWrap/>
            <w:hideMark/>
          </w:tcPr>
          <w:p w14:paraId="3EF762DA" w14:textId="77777777" w:rsidR="001534D0" w:rsidRPr="007B7239" w:rsidRDefault="001534D0" w:rsidP="001534D0">
            <w:pPr>
              <w:pStyle w:val="Tabletext1"/>
            </w:pPr>
            <w:r w:rsidRPr="007B7239">
              <w:t>Bronchiectasis with infection QALYs</w:t>
            </w:r>
          </w:p>
        </w:tc>
        <w:tc>
          <w:tcPr>
            <w:tcW w:w="914" w:type="pct"/>
            <w:tcBorders>
              <w:top w:val="nil"/>
              <w:bottom w:val="nil"/>
            </w:tcBorders>
            <w:noWrap/>
            <w:hideMark/>
          </w:tcPr>
          <w:p w14:paraId="33980A0E" w14:textId="77777777" w:rsidR="001534D0" w:rsidRPr="007B7239" w:rsidRDefault="001534D0" w:rsidP="001534D0">
            <w:pPr>
              <w:pStyle w:val="Tabletext1"/>
              <w:jc w:val="center"/>
            </w:pPr>
            <w:r w:rsidRPr="00F577D2">
              <w:t>0.0630</w:t>
            </w:r>
          </w:p>
        </w:tc>
        <w:tc>
          <w:tcPr>
            <w:tcW w:w="914" w:type="pct"/>
            <w:tcBorders>
              <w:top w:val="nil"/>
              <w:bottom w:val="nil"/>
            </w:tcBorders>
            <w:noWrap/>
            <w:hideMark/>
          </w:tcPr>
          <w:p w14:paraId="6AC69226" w14:textId="77777777" w:rsidR="001534D0" w:rsidRPr="007B7239" w:rsidRDefault="001534D0" w:rsidP="001534D0">
            <w:pPr>
              <w:pStyle w:val="Tabletext1"/>
              <w:jc w:val="center"/>
            </w:pPr>
            <w:r w:rsidRPr="00F577D2">
              <w:t>0.1969</w:t>
            </w:r>
          </w:p>
        </w:tc>
        <w:tc>
          <w:tcPr>
            <w:tcW w:w="913" w:type="pct"/>
            <w:tcBorders>
              <w:top w:val="nil"/>
              <w:bottom w:val="nil"/>
            </w:tcBorders>
            <w:noWrap/>
            <w:hideMark/>
          </w:tcPr>
          <w:p w14:paraId="5EE1BE8E" w14:textId="77777777" w:rsidR="001534D0" w:rsidRPr="007B7239" w:rsidRDefault="001534D0" w:rsidP="001534D0">
            <w:pPr>
              <w:pStyle w:val="Tabletext1"/>
              <w:jc w:val="center"/>
            </w:pPr>
            <w:r w:rsidRPr="00F577D2">
              <w:t>–0.1338</w:t>
            </w:r>
          </w:p>
        </w:tc>
      </w:tr>
      <w:tr w:rsidR="001534D0" w:rsidRPr="007B7239" w14:paraId="2D1B1670" w14:textId="77777777" w:rsidTr="0007662C">
        <w:trPr>
          <w:cantSplit/>
          <w:trHeight w:val="300"/>
        </w:trPr>
        <w:tc>
          <w:tcPr>
            <w:tcW w:w="2259" w:type="pct"/>
            <w:tcBorders>
              <w:top w:val="nil"/>
              <w:bottom w:val="nil"/>
            </w:tcBorders>
            <w:noWrap/>
            <w:hideMark/>
          </w:tcPr>
          <w:p w14:paraId="71B99498" w14:textId="500F1EC0" w:rsidR="001534D0" w:rsidRPr="007B7239" w:rsidRDefault="001534D0" w:rsidP="001534D0">
            <w:pPr>
              <w:pStyle w:val="Tabletext1"/>
            </w:pPr>
            <w:r w:rsidRPr="001534D0">
              <w:t xml:space="preserve">Bronchiectasis with chronic </w:t>
            </w:r>
            <w:r w:rsidRPr="00916AF5">
              <w:rPr>
                <w:i/>
              </w:rPr>
              <w:t>P. aeruginosa</w:t>
            </w:r>
            <w:r w:rsidRPr="001534D0" w:rsidDel="001534D0">
              <w:t xml:space="preserve"> </w:t>
            </w:r>
            <w:r w:rsidRPr="007B7239">
              <w:t>QALYs</w:t>
            </w:r>
          </w:p>
        </w:tc>
        <w:tc>
          <w:tcPr>
            <w:tcW w:w="914" w:type="pct"/>
            <w:tcBorders>
              <w:top w:val="nil"/>
              <w:bottom w:val="nil"/>
            </w:tcBorders>
            <w:noWrap/>
            <w:hideMark/>
          </w:tcPr>
          <w:p w14:paraId="7786886C" w14:textId="77777777" w:rsidR="001534D0" w:rsidRPr="007B7239" w:rsidRDefault="001534D0" w:rsidP="001534D0">
            <w:pPr>
              <w:pStyle w:val="Tabletext1"/>
              <w:jc w:val="center"/>
            </w:pPr>
            <w:r w:rsidRPr="00F577D2">
              <w:t>0.0439</w:t>
            </w:r>
          </w:p>
        </w:tc>
        <w:tc>
          <w:tcPr>
            <w:tcW w:w="914" w:type="pct"/>
            <w:tcBorders>
              <w:top w:val="nil"/>
              <w:bottom w:val="nil"/>
            </w:tcBorders>
            <w:noWrap/>
            <w:hideMark/>
          </w:tcPr>
          <w:p w14:paraId="7F2C8527" w14:textId="77777777" w:rsidR="001534D0" w:rsidRPr="007B7239" w:rsidRDefault="001534D0" w:rsidP="001534D0">
            <w:pPr>
              <w:pStyle w:val="Tabletext1"/>
              <w:jc w:val="center"/>
            </w:pPr>
            <w:r w:rsidRPr="00F577D2">
              <w:t>0.1389</w:t>
            </w:r>
          </w:p>
        </w:tc>
        <w:tc>
          <w:tcPr>
            <w:tcW w:w="913" w:type="pct"/>
            <w:tcBorders>
              <w:top w:val="nil"/>
              <w:bottom w:val="nil"/>
            </w:tcBorders>
            <w:noWrap/>
            <w:hideMark/>
          </w:tcPr>
          <w:p w14:paraId="69FD14FD" w14:textId="77777777" w:rsidR="001534D0" w:rsidRPr="007B7239" w:rsidRDefault="001534D0" w:rsidP="001534D0">
            <w:pPr>
              <w:pStyle w:val="Tabletext1"/>
              <w:jc w:val="center"/>
            </w:pPr>
            <w:r w:rsidRPr="00F577D2">
              <w:t>–0.0950</w:t>
            </w:r>
          </w:p>
        </w:tc>
      </w:tr>
      <w:tr w:rsidR="001534D0" w:rsidRPr="007B7239" w14:paraId="6F50D3B6" w14:textId="77777777" w:rsidTr="0007662C">
        <w:trPr>
          <w:cantSplit/>
          <w:trHeight w:val="300"/>
        </w:trPr>
        <w:tc>
          <w:tcPr>
            <w:tcW w:w="2259" w:type="pct"/>
            <w:tcBorders>
              <w:top w:val="nil"/>
              <w:bottom w:val="single" w:sz="4" w:space="0" w:color="auto"/>
            </w:tcBorders>
            <w:noWrap/>
            <w:hideMark/>
          </w:tcPr>
          <w:p w14:paraId="03388914" w14:textId="77777777" w:rsidR="001534D0" w:rsidRPr="007B7239" w:rsidRDefault="001534D0" w:rsidP="001534D0">
            <w:pPr>
              <w:pStyle w:val="Tabletext1"/>
              <w:rPr>
                <w:b/>
              </w:rPr>
            </w:pPr>
            <w:r w:rsidRPr="007B7239">
              <w:rPr>
                <w:b/>
              </w:rPr>
              <w:lastRenderedPageBreak/>
              <w:t>Total QALYs</w:t>
            </w:r>
          </w:p>
        </w:tc>
        <w:tc>
          <w:tcPr>
            <w:tcW w:w="914" w:type="pct"/>
            <w:tcBorders>
              <w:top w:val="nil"/>
              <w:bottom w:val="single" w:sz="4" w:space="0" w:color="auto"/>
            </w:tcBorders>
            <w:noWrap/>
            <w:hideMark/>
          </w:tcPr>
          <w:p w14:paraId="2AEF7532" w14:textId="77777777" w:rsidR="001534D0" w:rsidRPr="00ED28B4" w:rsidRDefault="001534D0" w:rsidP="001534D0">
            <w:pPr>
              <w:pStyle w:val="Tabletext1"/>
              <w:jc w:val="center"/>
              <w:rPr>
                <w:b/>
              </w:rPr>
            </w:pPr>
            <w:r w:rsidRPr="00ED28B4">
              <w:rPr>
                <w:b/>
              </w:rPr>
              <w:t>4.7349</w:t>
            </w:r>
          </w:p>
        </w:tc>
        <w:tc>
          <w:tcPr>
            <w:tcW w:w="914" w:type="pct"/>
            <w:tcBorders>
              <w:top w:val="nil"/>
              <w:bottom w:val="single" w:sz="4" w:space="0" w:color="auto"/>
            </w:tcBorders>
            <w:noWrap/>
            <w:hideMark/>
          </w:tcPr>
          <w:p w14:paraId="3F6FCA18" w14:textId="77777777" w:rsidR="001534D0" w:rsidRPr="00ED28B4" w:rsidRDefault="001534D0" w:rsidP="001534D0">
            <w:pPr>
              <w:pStyle w:val="Tabletext1"/>
              <w:jc w:val="center"/>
              <w:rPr>
                <w:b/>
              </w:rPr>
            </w:pPr>
            <w:r w:rsidRPr="00ED28B4">
              <w:rPr>
                <w:b/>
              </w:rPr>
              <w:t>4.3239</w:t>
            </w:r>
          </w:p>
        </w:tc>
        <w:tc>
          <w:tcPr>
            <w:tcW w:w="913" w:type="pct"/>
            <w:tcBorders>
              <w:top w:val="nil"/>
              <w:bottom w:val="single" w:sz="4" w:space="0" w:color="auto"/>
            </w:tcBorders>
            <w:noWrap/>
            <w:hideMark/>
          </w:tcPr>
          <w:p w14:paraId="3EA8DDC6" w14:textId="77777777" w:rsidR="001534D0" w:rsidRPr="00ED28B4" w:rsidRDefault="001534D0" w:rsidP="001534D0">
            <w:pPr>
              <w:pStyle w:val="Tabletext1"/>
              <w:jc w:val="center"/>
              <w:rPr>
                <w:b/>
              </w:rPr>
            </w:pPr>
            <w:r w:rsidRPr="00ED28B4">
              <w:rPr>
                <w:b/>
              </w:rPr>
              <w:t>0.4109</w:t>
            </w:r>
          </w:p>
        </w:tc>
      </w:tr>
      <w:tr w:rsidR="001534D0" w:rsidRPr="007B7239" w14:paraId="7DB921BE" w14:textId="77777777" w:rsidTr="001534D0">
        <w:trPr>
          <w:cantSplit/>
          <w:trHeight w:val="300"/>
        </w:trPr>
        <w:tc>
          <w:tcPr>
            <w:tcW w:w="2259" w:type="pct"/>
            <w:tcBorders>
              <w:bottom w:val="single" w:sz="4" w:space="0" w:color="auto"/>
              <w:right w:val="nil"/>
            </w:tcBorders>
            <w:noWrap/>
          </w:tcPr>
          <w:p w14:paraId="5651878B" w14:textId="2539CD80" w:rsidR="001534D0" w:rsidRPr="001534D0" w:rsidRDefault="001534D0" w:rsidP="001534D0">
            <w:pPr>
              <w:pStyle w:val="Tabletext1"/>
              <w:rPr>
                <w:i/>
              </w:rPr>
            </w:pPr>
            <w:r w:rsidRPr="001534D0">
              <w:rPr>
                <w:i/>
              </w:rPr>
              <w:t>Number of infections</w:t>
            </w:r>
          </w:p>
        </w:tc>
        <w:tc>
          <w:tcPr>
            <w:tcW w:w="914" w:type="pct"/>
            <w:tcBorders>
              <w:left w:val="nil"/>
              <w:bottom w:val="single" w:sz="4" w:space="0" w:color="auto"/>
              <w:right w:val="nil"/>
            </w:tcBorders>
            <w:noWrap/>
          </w:tcPr>
          <w:p w14:paraId="10C9B046" w14:textId="77777777" w:rsidR="001534D0" w:rsidRPr="001534D0" w:rsidRDefault="001534D0" w:rsidP="001534D0">
            <w:pPr>
              <w:pStyle w:val="Tabletext1"/>
              <w:jc w:val="center"/>
              <w:rPr>
                <w:i/>
              </w:rPr>
            </w:pPr>
          </w:p>
        </w:tc>
        <w:tc>
          <w:tcPr>
            <w:tcW w:w="914" w:type="pct"/>
            <w:tcBorders>
              <w:left w:val="nil"/>
              <w:bottom w:val="single" w:sz="4" w:space="0" w:color="auto"/>
              <w:right w:val="nil"/>
            </w:tcBorders>
            <w:noWrap/>
          </w:tcPr>
          <w:p w14:paraId="247C1991" w14:textId="77777777" w:rsidR="001534D0" w:rsidRPr="001534D0" w:rsidRDefault="001534D0" w:rsidP="001534D0">
            <w:pPr>
              <w:pStyle w:val="Tabletext1"/>
              <w:jc w:val="center"/>
              <w:rPr>
                <w:i/>
              </w:rPr>
            </w:pPr>
          </w:p>
        </w:tc>
        <w:tc>
          <w:tcPr>
            <w:tcW w:w="913" w:type="pct"/>
            <w:tcBorders>
              <w:left w:val="nil"/>
              <w:bottom w:val="single" w:sz="4" w:space="0" w:color="auto"/>
            </w:tcBorders>
            <w:noWrap/>
          </w:tcPr>
          <w:p w14:paraId="47ED82A0" w14:textId="77777777" w:rsidR="001534D0" w:rsidRPr="001534D0" w:rsidRDefault="001534D0" w:rsidP="001534D0">
            <w:pPr>
              <w:pStyle w:val="Tabletext1"/>
              <w:jc w:val="center"/>
              <w:rPr>
                <w:i/>
              </w:rPr>
            </w:pPr>
          </w:p>
        </w:tc>
      </w:tr>
      <w:tr w:rsidR="001534D0" w:rsidRPr="007B7239" w14:paraId="347F48C2" w14:textId="77777777" w:rsidTr="001534D0">
        <w:trPr>
          <w:cantSplit/>
          <w:trHeight w:val="300"/>
        </w:trPr>
        <w:tc>
          <w:tcPr>
            <w:tcW w:w="2259" w:type="pct"/>
            <w:tcBorders>
              <w:bottom w:val="nil"/>
            </w:tcBorders>
            <w:noWrap/>
          </w:tcPr>
          <w:p w14:paraId="5052996B" w14:textId="37F74303" w:rsidR="001534D0" w:rsidRPr="001534D0" w:rsidRDefault="001534D0" w:rsidP="001534D0">
            <w:pPr>
              <w:pStyle w:val="Tabletext1"/>
            </w:pPr>
            <w:r w:rsidRPr="00561CB9">
              <w:t>No. infections, without bronchiectasis</w:t>
            </w:r>
          </w:p>
        </w:tc>
        <w:tc>
          <w:tcPr>
            <w:tcW w:w="914" w:type="pct"/>
            <w:tcBorders>
              <w:bottom w:val="nil"/>
            </w:tcBorders>
            <w:noWrap/>
          </w:tcPr>
          <w:p w14:paraId="0BD485F3" w14:textId="3D5016F6" w:rsidR="001534D0" w:rsidRPr="001534D0" w:rsidRDefault="001534D0" w:rsidP="001534D0">
            <w:pPr>
              <w:pStyle w:val="Tabletext1"/>
              <w:jc w:val="center"/>
            </w:pPr>
            <w:r w:rsidRPr="005B3534">
              <w:t>1.26</w:t>
            </w:r>
          </w:p>
        </w:tc>
        <w:tc>
          <w:tcPr>
            <w:tcW w:w="914" w:type="pct"/>
            <w:tcBorders>
              <w:bottom w:val="nil"/>
            </w:tcBorders>
            <w:noWrap/>
          </w:tcPr>
          <w:p w14:paraId="73237A37" w14:textId="448DB043" w:rsidR="001534D0" w:rsidRPr="001534D0" w:rsidRDefault="001534D0" w:rsidP="001534D0">
            <w:pPr>
              <w:pStyle w:val="Tabletext1"/>
              <w:jc w:val="center"/>
            </w:pPr>
            <w:r w:rsidRPr="005B3534">
              <w:t>2.24</w:t>
            </w:r>
          </w:p>
        </w:tc>
        <w:tc>
          <w:tcPr>
            <w:tcW w:w="913" w:type="pct"/>
            <w:tcBorders>
              <w:bottom w:val="nil"/>
            </w:tcBorders>
            <w:noWrap/>
          </w:tcPr>
          <w:p w14:paraId="33148000" w14:textId="0AAFCC77" w:rsidR="001534D0" w:rsidRPr="001534D0" w:rsidRDefault="001534D0" w:rsidP="001534D0">
            <w:pPr>
              <w:pStyle w:val="Tabletext1"/>
              <w:jc w:val="center"/>
            </w:pPr>
            <w:r w:rsidRPr="005B3534">
              <w:t>–0.98</w:t>
            </w:r>
          </w:p>
        </w:tc>
      </w:tr>
      <w:tr w:rsidR="001534D0" w:rsidRPr="007B7239" w14:paraId="4C8768FB" w14:textId="77777777" w:rsidTr="001534D0">
        <w:trPr>
          <w:cantSplit/>
          <w:trHeight w:val="300"/>
        </w:trPr>
        <w:tc>
          <w:tcPr>
            <w:tcW w:w="2259" w:type="pct"/>
            <w:tcBorders>
              <w:top w:val="nil"/>
              <w:bottom w:val="nil"/>
            </w:tcBorders>
            <w:noWrap/>
          </w:tcPr>
          <w:p w14:paraId="30AB3223" w14:textId="23D29EB0" w:rsidR="001534D0" w:rsidRPr="001534D0" w:rsidRDefault="001534D0" w:rsidP="001534D0">
            <w:pPr>
              <w:pStyle w:val="Tabletext1"/>
            </w:pPr>
            <w:r w:rsidRPr="00561CB9">
              <w:t>No. infections, with bronchiectasis</w:t>
            </w:r>
          </w:p>
        </w:tc>
        <w:tc>
          <w:tcPr>
            <w:tcW w:w="914" w:type="pct"/>
            <w:tcBorders>
              <w:top w:val="nil"/>
              <w:bottom w:val="nil"/>
            </w:tcBorders>
            <w:noWrap/>
          </w:tcPr>
          <w:p w14:paraId="32AF42C8" w14:textId="1543A7B5" w:rsidR="001534D0" w:rsidRPr="001534D0" w:rsidRDefault="001534D0" w:rsidP="001534D0">
            <w:pPr>
              <w:pStyle w:val="Tabletext1"/>
              <w:jc w:val="center"/>
            </w:pPr>
            <w:r w:rsidRPr="005B3534">
              <w:t>1.64</w:t>
            </w:r>
          </w:p>
        </w:tc>
        <w:tc>
          <w:tcPr>
            <w:tcW w:w="914" w:type="pct"/>
            <w:tcBorders>
              <w:top w:val="nil"/>
              <w:bottom w:val="nil"/>
            </w:tcBorders>
            <w:noWrap/>
          </w:tcPr>
          <w:p w14:paraId="08A1B2E0" w14:textId="5F858040" w:rsidR="001534D0" w:rsidRPr="001534D0" w:rsidRDefault="001534D0" w:rsidP="001534D0">
            <w:pPr>
              <w:pStyle w:val="Tabletext1"/>
              <w:jc w:val="center"/>
            </w:pPr>
            <w:r w:rsidRPr="005B3534">
              <w:t>5.15</w:t>
            </w:r>
          </w:p>
        </w:tc>
        <w:tc>
          <w:tcPr>
            <w:tcW w:w="913" w:type="pct"/>
            <w:tcBorders>
              <w:top w:val="nil"/>
              <w:bottom w:val="nil"/>
            </w:tcBorders>
            <w:noWrap/>
          </w:tcPr>
          <w:p w14:paraId="3E57E20A" w14:textId="1F960B9E" w:rsidR="001534D0" w:rsidRPr="001534D0" w:rsidRDefault="001534D0" w:rsidP="001534D0">
            <w:pPr>
              <w:pStyle w:val="Tabletext1"/>
              <w:jc w:val="center"/>
            </w:pPr>
            <w:r w:rsidRPr="005B3534">
              <w:t>–3.51</w:t>
            </w:r>
          </w:p>
        </w:tc>
      </w:tr>
      <w:tr w:rsidR="001534D0" w:rsidRPr="007B7239" w14:paraId="7C4D0CF2" w14:textId="77777777" w:rsidTr="0007662C">
        <w:trPr>
          <w:cantSplit/>
          <w:trHeight w:val="300"/>
        </w:trPr>
        <w:tc>
          <w:tcPr>
            <w:tcW w:w="2259" w:type="pct"/>
            <w:tcBorders>
              <w:top w:val="nil"/>
              <w:bottom w:val="nil"/>
            </w:tcBorders>
            <w:noWrap/>
            <w:hideMark/>
          </w:tcPr>
          <w:p w14:paraId="0AD6E4B5" w14:textId="77777777" w:rsidR="001534D0" w:rsidRPr="0007662C" w:rsidRDefault="001534D0" w:rsidP="001534D0">
            <w:pPr>
              <w:pStyle w:val="Tabletext1"/>
              <w:rPr>
                <w:b/>
              </w:rPr>
            </w:pPr>
            <w:r w:rsidRPr="0007662C">
              <w:rPr>
                <w:b/>
              </w:rPr>
              <w:t>Number of infections</w:t>
            </w:r>
          </w:p>
        </w:tc>
        <w:tc>
          <w:tcPr>
            <w:tcW w:w="914" w:type="pct"/>
            <w:tcBorders>
              <w:top w:val="nil"/>
              <w:bottom w:val="nil"/>
            </w:tcBorders>
            <w:noWrap/>
            <w:hideMark/>
          </w:tcPr>
          <w:p w14:paraId="7110A355" w14:textId="77777777" w:rsidR="001534D0" w:rsidRPr="0007662C" w:rsidRDefault="001534D0" w:rsidP="001534D0">
            <w:pPr>
              <w:pStyle w:val="Tabletext1"/>
              <w:jc w:val="center"/>
              <w:rPr>
                <w:b/>
              </w:rPr>
            </w:pPr>
            <w:r w:rsidRPr="0007662C">
              <w:rPr>
                <w:b/>
              </w:rPr>
              <w:t>2.90</w:t>
            </w:r>
          </w:p>
        </w:tc>
        <w:tc>
          <w:tcPr>
            <w:tcW w:w="914" w:type="pct"/>
            <w:tcBorders>
              <w:top w:val="nil"/>
              <w:bottom w:val="nil"/>
            </w:tcBorders>
            <w:noWrap/>
            <w:hideMark/>
          </w:tcPr>
          <w:p w14:paraId="2656DAD5" w14:textId="77777777" w:rsidR="001534D0" w:rsidRPr="0007662C" w:rsidRDefault="001534D0" w:rsidP="001534D0">
            <w:pPr>
              <w:pStyle w:val="Tabletext1"/>
              <w:jc w:val="center"/>
              <w:rPr>
                <w:b/>
              </w:rPr>
            </w:pPr>
            <w:r w:rsidRPr="0007662C">
              <w:rPr>
                <w:b/>
              </w:rPr>
              <w:t>7.39</w:t>
            </w:r>
          </w:p>
        </w:tc>
        <w:tc>
          <w:tcPr>
            <w:tcW w:w="913" w:type="pct"/>
            <w:tcBorders>
              <w:top w:val="nil"/>
              <w:bottom w:val="nil"/>
            </w:tcBorders>
            <w:noWrap/>
            <w:hideMark/>
          </w:tcPr>
          <w:p w14:paraId="6D15E708" w14:textId="77777777" w:rsidR="001534D0" w:rsidRPr="0007662C" w:rsidRDefault="001534D0" w:rsidP="001534D0">
            <w:pPr>
              <w:pStyle w:val="Tabletext1"/>
              <w:jc w:val="center"/>
              <w:rPr>
                <w:b/>
              </w:rPr>
            </w:pPr>
            <w:r w:rsidRPr="0007662C">
              <w:rPr>
                <w:b/>
              </w:rPr>
              <w:t>–4.49</w:t>
            </w:r>
          </w:p>
        </w:tc>
      </w:tr>
      <w:tr w:rsidR="001534D0" w:rsidRPr="007B7239" w14:paraId="78A59084" w14:textId="77777777" w:rsidTr="001534D0">
        <w:trPr>
          <w:cantSplit/>
          <w:trHeight w:val="300"/>
        </w:trPr>
        <w:tc>
          <w:tcPr>
            <w:tcW w:w="2259" w:type="pct"/>
            <w:tcBorders>
              <w:top w:val="nil"/>
            </w:tcBorders>
            <w:noWrap/>
          </w:tcPr>
          <w:p w14:paraId="6876F3AF" w14:textId="410A844D" w:rsidR="001534D0" w:rsidRPr="007B7239" w:rsidRDefault="001534D0" w:rsidP="007C1DE7">
            <w:pPr>
              <w:pStyle w:val="Tabletext1"/>
            </w:pPr>
            <w:r w:rsidRPr="001534D0">
              <w:t>Devel</w:t>
            </w:r>
            <w:r w:rsidR="007C1DE7">
              <w:t xml:space="preserve">opment of chronic </w:t>
            </w:r>
            <w:r w:rsidR="007C1DE7" w:rsidRPr="00916AF5">
              <w:rPr>
                <w:i/>
              </w:rPr>
              <w:t>P. aeruginosa</w:t>
            </w:r>
          </w:p>
        </w:tc>
        <w:tc>
          <w:tcPr>
            <w:tcW w:w="914" w:type="pct"/>
            <w:tcBorders>
              <w:top w:val="nil"/>
            </w:tcBorders>
            <w:noWrap/>
          </w:tcPr>
          <w:p w14:paraId="366F668D" w14:textId="6FCC424C" w:rsidR="001534D0" w:rsidRPr="006B51ED" w:rsidRDefault="001534D0" w:rsidP="001534D0">
            <w:pPr>
              <w:pStyle w:val="Tabletext1"/>
              <w:jc w:val="center"/>
            </w:pPr>
            <w:r w:rsidRPr="00C82F5D">
              <w:t>1.18</w:t>
            </w:r>
          </w:p>
        </w:tc>
        <w:tc>
          <w:tcPr>
            <w:tcW w:w="914" w:type="pct"/>
            <w:tcBorders>
              <w:top w:val="nil"/>
            </w:tcBorders>
            <w:noWrap/>
          </w:tcPr>
          <w:p w14:paraId="6ABE113A" w14:textId="0A1862E9" w:rsidR="001534D0" w:rsidRPr="006B51ED" w:rsidRDefault="001534D0" w:rsidP="001534D0">
            <w:pPr>
              <w:pStyle w:val="Tabletext1"/>
              <w:jc w:val="center"/>
            </w:pPr>
            <w:r w:rsidRPr="00C82F5D">
              <w:t>3.75</w:t>
            </w:r>
          </w:p>
        </w:tc>
        <w:tc>
          <w:tcPr>
            <w:tcW w:w="913" w:type="pct"/>
            <w:tcBorders>
              <w:top w:val="nil"/>
            </w:tcBorders>
            <w:noWrap/>
          </w:tcPr>
          <w:p w14:paraId="18A7CE64" w14:textId="64973D83" w:rsidR="001534D0" w:rsidRPr="006B51ED" w:rsidRDefault="001534D0" w:rsidP="001534D0">
            <w:pPr>
              <w:pStyle w:val="Tabletext1"/>
              <w:jc w:val="center"/>
            </w:pPr>
            <w:r w:rsidRPr="00C82F5D">
              <w:t>–2.56</w:t>
            </w:r>
          </w:p>
        </w:tc>
      </w:tr>
    </w:tbl>
    <w:p w14:paraId="32F6A79C" w14:textId="5C65755E" w:rsidR="00911F85" w:rsidRDefault="00911F85" w:rsidP="00911F85">
      <w:pPr>
        <w:pStyle w:val="Tablenotes1"/>
      </w:pPr>
      <w:r>
        <w:t xml:space="preserve">Ig = immunoglobulin; </w:t>
      </w:r>
      <w:r w:rsidR="00471C1D">
        <w:t xml:space="preserve">LY = life years; </w:t>
      </w:r>
      <w:r>
        <w:t>QALY = quality-adjusted life years.</w:t>
      </w:r>
    </w:p>
    <w:p w14:paraId="3B88E3B7" w14:textId="77777777" w:rsidR="00911F85" w:rsidRDefault="00911F85" w:rsidP="00911F85">
      <w:r>
        <w:t xml:space="preserve">The incremental QALYs were primarily accrued in the infection-free health state. As Ig was associated with fewer infections of lower severity, less time was spent in the infection health state with Ig and patients had a lower risk of developing bronchiectasis and subsequent health states. </w:t>
      </w:r>
    </w:p>
    <w:p w14:paraId="0D94A75E" w14:textId="721E0D82" w:rsidR="00911F85" w:rsidRDefault="00A82613" w:rsidP="00911F85">
      <w:r>
        <w:t xml:space="preserve">Markov traces depicting health state membership over time are presented in </w:t>
      </w:r>
      <w:r>
        <w:fldChar w:fldCharType="begin"/>
      </w:r>
      <w:r>
        <w:instrText xml:space="preserve"> REF _Ref16607293 \h </w:instrText>
      </w:r>
      <w:r>
        <w:fldChar w:fldCharType="separate"/>
      </w:r>
      <w:r w:rsidR="00A7463B">
        <w:t xml:space="preserve">Figure </w:t>
      </w:r>
      <w:r w:rsidR="00A7463B">
        <w:rPr>
          <w:noProof/>
        </w:rPr>
        <w:t>10</w:t>
      </w:r>
      <w:r>
        <w:fldChar w:fldCharType="end"/>
      </w:r>
      <w:r>
        <w:t xml:space="preserve">. </w:t>
      </w:r>
    </w:p>
    <w:p w14:paraId="53EC7A02" w14:textId="6E136A15" w:rsidR="00A82613" w:rsidRDefault="00A82613" w:rsidP="00A82613">
      <w:pPr>
        <w:pStyle w:val="Caption"/>
        <w:keepNext/>
        <w:jc w:val="left"/>
      </w:pPr>
      <w:bookmarkStart w:id="557" w:name="_Ref16607293"/>
      <w:bookmarkStart w:id="558" w:name="_Toc16671706"/>
      <w:r>
        <w:lastRenderedPageBreak/>
        <w:t xml:space="preserve">Figure </w:t>
      </w:r>
      <w:r>
        <w:rPr>
          <w:noProof/>
        </w:rPr>
        <w:fldChar w:fldCharType="begin"/>
      </w:r>
      <w:r>
        <w:rPr>
          <w:noProof/>
        </w:rPr>
        <w:instrText xml:space="preserve"> SEQ Figure \* ARABIC </w:instrText>
      </w:r>
      <w:r>
        <w:rPr>
          <w:noProof/>
        </w:rPr>
        <w:fldChar w:fldCharType="separate"/>
      </w:r>
      <w:r w:rsidR="00A7463B">
        <w:rPr>
          <w:noProof/>
        </w:rPr>
        <w:t>10</w:t>
      </w:r>
      <w:r>
        <w:rPr>
          <w:noProof/>
        </w:rPr>
        <w:fldChar w:fldCharType="end"/>
      </w:r>
      <w:bookmarkEnd w:id="557"/>
      <w:r>
        <w:tab/>
        <w:t>Markov model traces</w:t>
      </w:r>
      <w:bookmarkEnd w:id="558"/>
    </w:p>
    <w:p w14:paraId="69FC9E9A" w14:textId="79C965FE" w:rsidR="00A82613" w:rsidRDefault="00A82613" w:rsidP="001932D9">
      <w:pPr>
        <w:keepNext/>
        <w:pBdr>
          <w:top w:val="single" w:sz="4" w:space="1" w:color="auto"/>
          <w:left w:val="single" w:sz="4" w:space="4" w:color="auto"/>
          <w:bottom w:val="single" w:sz="4" w:space="1" w:color="auto"/>
          <w:right w:val="single" w:sz="4" w:space="4" w:color="auto"/>
        </w:pBdr>
        <w:spacing w:after="0"/>
      </w:pPr>
      <w:r>
        <w:rPr>
          <w:noProof/>
        </w:rPr>
        <w:drawing>
          <wp:inline distT="0" distB="0" distL="0" distR="0" wp14:anchorId="29378042" wp14:editId="3E6F762B">
            <wp:extent cx="5742000" cy="3081226"/>
            <wp:effectExtent l="0" t="0" r="0" b="5080"/>
            <wp:docPr id="9" name="Picture 9" title="Markov model traces - Ig model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l="996" t="2318" r="1293" b="16332"/>
                    <a:stretch/>
                  </pic:blipFill>
                  <pic:spPr bwMode="auto">
                    <a:xfrm>
                      <a:off x="0" y="0"/>
                      <a:ext cx="5742000" cy="3081226"/>
                    </a:xfrm>
                    <a:prstGeom prst="rect">
                      <a:avLst/>
                    </a:prstGeom>
                    <a:noFill/>
                    <a:ln>
                      <a:noFill/>
                    </a:ln>
                    <a:extLst>
                      <a:ext uri="{53640926-AAD7-44D8-BBD7-CCE9431645EC}">
                        <a14:shadowObscured xmlns:a14="http://schemas.microsoft.com/office/drawing/2010/main"/>
                      </a:ext>
                    </a:extLst>
                  </pic:spPr>
                </pic:pic>
              </a:graphicData>
            </a:graphic>
          </wp:inline>
        </w:drawing>
      </w:r>
    </w:p>
    <w:p w14:paraId="7F8C9FA8" w14:textId="1CA4C1C2" w:rsidR="00A82613" w:rsidRDefault="00A82613" w:rsidP="001932D9">
      <w:pPr>
        <w:pBdr>
          <w:top w:val="single" w:sz="4" w:space="1" w:color="auto"/>
          <w:left w:val="single" w:sz="4" w:space="4" w:color="auto"/>
          <w:bottom w:val="single" w:sz="4" w:space="1" w:color="auto"/>
          <w:right w:val="single" w:sz="4" w:space="4" w:color="auto"/>
        </w:pBdr>
      </w:pPr>
      <w:r>
        <w:rPr>
          <w:noProof/>
        </w:rPr>
        <w:drawing>
          <wp:inline distT="0" distB="0" distL="0" distR="0" wp14:anchorId="08E5C9F8" wp14:editId="11ACF431">
            <wp:extent cx="5742000" cy="3625116"/>
            <wp:effectExtent l="0" t="0" r="0" b="0"/>
            <wp:docPr id="12" name="Picture 12" title="Markov model traces - No Ig model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a:extLst>
                        <a:ext uri="{28A0092B-C50C-407E-A947-70E740481C1C}">
                          <a14:useLocalDpi xmlns:a14="http://schemas.microsoft.com/office/drawing/2010/main" val="0"/>
                        </a:ext>
                      </a:extLst>
                    </a:blip>
                    <a:srcRect l="1493" t="2315" r="1262" b="2504"/>
                    <a:stretch/>
                  </pic:blipFill>
                  <pic:spPr bwMode="auto">
                    <a:xfrm>
                      <a:off x="0" y="0"/>
                      <a:ext cx="5742000" cy="3625116"/>
                    </a:xfrm>
                    <a:prstGeom prst="rect">
                      <a:avLst/>
                    </a:prstGeom>
                    <a:noFill/>
                    <a:ln>
                      <a:noFill/>
                    </a:ln>
                    <a:extLst>
                      <a:ext uri="{53640926-AAD7-44D8-BBD7-CCE9431645EC}">
                        <a14:shadowObscured xmlns:a14="http://schemas.microsoft.com/office/drawing/2010/main"/>
                      </a:ext>
                    </a:extLst>
                  </pic:spPr>
                </pic:pic>
              </a:graphicData>
            </a:graphic>
          </wp:inline>
        </w:drawing>
      </w:r>
    </w:p>
    <w:p w14:paraId="40C34ECF" w14:textId="1FB33E42" w:rsidR="00A82613" w:rsidRDefault="00A82613" w:rsidP="00A82613">
      <w:pPr>
        <w:pStyle w:val="Tablenotes1"/>
      </w:pPr>
      <w:r>
        <w:t>Ig = immunoglobulin.</w:t>
      </w:r>
    </w:p>
    <w:p w14:paraId="691E9843" w14:textId="77777777" w:rsidR="00A82613" w:rsidRDefault="00A82613" w:rsidP="00911F85"/>
    <w:p w14:paraId="1AE58A5B" w14:textId="77777777" w:rsidR="00911F85" w:rsidRPr="006401D0" w:rsidRDefault="00911F85" w:rsidP="00911F85">
      <w:pPr>
        <w:pStyle w:val="Heading4"/>
      </w:pPr>
      <w:r>
        <w:t>Incremental cost-effectiveness</w:t>
      </w:r>
    </w:p>
    <w:p w14:paraId="72F98A4A" w14:textId="18BBFAC7" w:rsidR="00911F85" w:rsidRDefault="00911F85" w:rsidP="00911F85">
      <w:r>
        <w:t xml:space="preserve">The ICERs per additional QALYs gained and per infection avoided are presented in </w:t>
      </w:r>
      <w:r>
        <w:fldChar w:fldCharType="begin"/>
      </w:r>
      <w:r>
        <w:instrText xml:space="preserve"> REF _Ref13229107 \h </w:instrText>
      </w:r>
      <w:r>
        <w:fldChar w:fldCharType="separate"/>
      </w:r>
      <w:r w:rsidR="00A7463B">
        <w:t xml:space="preserve">Table </w:t>
      </w:r>
      <w:r w:rsidR="00A7463B">
        <w:rPr>
          <w:noProof/>
        </w:rPr>
        <w:t>58</w:t>
      </w:r>
      <w:r>
        <w:fldChar w:fldCharType="end"/>
      </w:r>
      <w:r>
        <w:t>.</w:t>
      </w:r>
    </w:p>
    <w:p w14:paraId="6A3B32CA" w14:textId="7E9050A6" w:rsidR="00911F85" w:rsidRDefault="00911F85" w:rsidP="00911F85">
      <w:pPr>
        <w:pStyle w:val="Caption"/>
        <w:keepNext/>
      </w:pPr>
      <w:bookmarkStart w:id="559" w:name="_Ref13229107"/>
      <w:bookmarkStart w:id="560" w:name="_Toc14348893"/>
      <w:bookmarkStart w:id="561" w:name="_Toc14429599"/>
      <w:bookmarkStart w:id="562" w:name="_Toc16671656"/>
      <w:r>
        <w:lastRenderedPageBreak/>
        <w:t xml:space="preserve">Table </w:t>
      </w:r>
      <w:r>
        <w:rPr>
          <w:noProof/>
        </w:rPr>
        <w:fldChar w:fldCharType="begin"/>
      </w:r>
      <w:r>
        <w:rPr>
          <w:noProof/>
        </w:rPr>
        <w:instrText xml:space="preserve"> SEQ Table \* ARABIC </w:instrText>
      </w:r>
      <w:r>
        <w:rPr>
          <w:noProof/>
        </w:rPr>
        <w:fldChar w:fldCharType="separate"/>
      </w:r>
      <w:r w:rsidR="00A7463B">
        <w:rPr>
          <w:noProof/>
        </w:rPr>
        <w:t>58</w:t>
      </w:r>
      <w:r>
        <w:rPr>
          <w:noProof/>
        </w:rPr>
        <w:fldChar w:fldCharType="end"/>
      </w:r>
      <w:bookmarkEnd w:id="559"/>
      <w:r>
        <w:tab/>
        <w:t>Incremental cost-effectiveness ratios</w:t>
      </w:r>
      <w:bookmarkEnd w:id="560"/>
      <w:bookmarkEnd w:id="561"/>
      <w:bookmarkEnd w:id="562"/>
    </w:p>
    <w:tbl>
      <w:tblPr>
        <w:tblStyle w:val="TableGrid2"/>
        <w:tblW w:w="5000" w:type="pct"/>
        <w:tblLook w:val="04A0" w:firstRow="1" w:lastRow="0" w:firstColumn="1" w:lastColumn="0" w:noHBand="0" w:noVBand="1"/>
        <w:tblCaption w:val="Incremental cost-effectiveness ratios"/>
      </w:tblPr>
      <w:tblGrid>
        <w:gridCol w:w="4186"/>
        <w:gridCol w:w="1686"/>
        <w:gridCol w:w="1686"/>
        <w:gridCol w:w="1684"/>
      </w:tblGrid>
      <w:tr w:rsidR="00911F85" w:rsidRPr="007B7239" w14:paraId="38AFAD62" w14:textId="77777777" w:rsidTr="008742A1">
        <w:trPr>
          <w:cnfStyle w:val="100000000000" w:firstRow="1" w:lastRow="0" w:firstColumn="0" w:lastColumn="0" w:oddVBand="0" w:evenVBand="0" w:oddHBand="0" w:evenHBand="0" w:firstRowFirstColumn="0" w:firstRowLastColumn="0" w:lastRowFirstColumn="0" w:lastRowLastColumn="0"/>
          <w:cantSplit/>
          <w:trHeight w:val="300"/>
          <w:tblHeader/>
        </w:trPr>
        <w:tc>
          <w:tcPr>
            <w:tcW w:w="2264" w:type="pct"/>
            <w:noWrap/>
          </w:tcPr>
          <w:p w14:paraId="7C185D99" w14:textId="77777777" w:rsidR="00911F85" w:rsidRPr="007B7239" w:rsidRDefault="00911F85" w:rsidP="008742A1">
            <w:pPr>
              <w:pStyle w:val="TableHeading"/>
            </w:pPr>
          </w:p>
        </w:tc>
        <w:tc>
          <w:tcPr>
            <w:tcW w:w="912" w:type="pct"/>
            <w:noWrap/>
          </w:tcPr>
          <w:p w14:paraId="4DCBBE34" w14:textId="77777777" w:rsidR="00911F85" w:rsidRPr="007B7239" w:rsidRDefault="00911F85" w:rsidP="008742A1">
            <w:pPr>
              <w:pStyle w:val="TableHeading"/>
              <w:jc w:val="center"/>
            </w:pPr>
            <w:r w:rsidRPr="007B7239">
              <w:t>Ig</w:t>
            </w:r>
          </w:p>
        </w:tc>
        <w:tc>
          <w:tcPr>
            <w:tcW w:w="912" w:type="pct"/>
            <w:noWrap/>
          </w:tcPr>
          <w:p w14:paraId="1C4CA20A" w14:textId="77777777" w:rsidR="00911F85" w:rsidRPr="007B7239" w:rsidRDefault="00911F85" w:rsidP="008742A1">
            <w:pPr>
              <w:pStyle w:val="TableHeading"/>
              <w:jc w:val="center"/>
            </w:pPr>
            <w:r w:rsidRPr="007B7239">
              <w:t>No Ig</w:t>
            </w:r>
          </w:p>
        </w:tc>
        <w:tc>
          <w:tcPr>
            <w:tcW w:w="911" w:type="pct"/>
            <w:noWrap/>
          </w:tcPr>
          <w:p w14:paraId="42F1289B" w14:textId="77777777" w:rsidR="00911F85" w:rsidRPr="007B7239" w:rsidRDefault="00911F85" w:rsidP="008742A1">
            <w:pPr>
              <w:pStyle w:val="TableHeading"/>
              <w:jc w:val="center"/>
            </w:pPr>
            <w:r w:rsidRPr="007B7239">
              <w:t>Increment</w:t>
            </w:r>
          </w:p>
        </w:tc>
      </w:tr>
      <w:tr w:rsidR="000F4711" w:rsidRPr="007B7239" w14:paraId="224F88AB" w14:textId="77777777" w:rsidTr="001534D0">
        <w:trPr>
          <w:cantSplit/>
          <w:trHeight w:val="300"/>
        </w:trPr>
        <w:tc>
          <w:tcPr>
            <w:tcW w:w="2264" w:type="pct"/>
            <w:noWrap/>
            <w:hideMark/>
          </w:tcPr>
          <w:p w14:paraId="469B51BB" w14:textId="77777777" w:rsidR="000F4711" w:rsidRPr="007B7239" w:rsidRDefault="000F4711" w:rsidP="000F4711">
            <w:pPr>
              <w:pStyle w:val="Tabletext1"/>
            </w:pPr>
            <w:r w:rsidRPr="007B7239">
              <w:t>Total cost</w:t>
            </w:r>
          </w:p>
        </w:tc>
        <w:tc>
          <w:tcPr>
            <w:tcW w:w="912" w:type="pct"/>
            <w:noWrap/>
          </w:tcPr>
          <w:p w14:paraId="4F9B5790" w14:textId="0172DE87" w:rsidR="000F4711" w:rsidRPr="007B7239" w:rsidRDefault="000F4711" w:rsidP="000F4711">
            <w:pPr>
              <w:pStyle w:val="Tabletext1"/>
              <w:jc w:val="right"/>
            </w:pPr>
            <w:r w:rsidRPr="0028345F">
              <w:t>$78,273</w:t>
            </w:r>
          </w:p>
        </w:tc>
        <w:tc>
          <w:tcPr>
            <w:tcW w:w="912" w:type="pct"/>
            <w:noWrap/>
          </w:tcPr>
          <w:p w14:paraId="157B06FB" w14:textId="77DC6203" w:rsidR="000F4711" w:rsidRPr="007B7239" w:rsidRDefault="000F4711" w:rsidP="000F4711">
            <w:pPr>
              <w:pStyle w:val="Tabletext1"/>
              <w:jc w:val="right"/>
            </w:pPr>
            <w:r w:rsidRPr="0028345F">
              <w:t>$37,262</w:t>
            </w:r>
          </w:p>
        </w:tc>
        <w:tc>
          <w:tcPr>
            <w:tcW w:w="911" w:type="pct"/>
            <w:noWrap/>
          </w:tcPr>
          <w:p w14:paraId="2BC79298" w14:textId="3C3E94BC" w:rsidR="000F4711" w:rsidRPr="007B7239" w:rsidRDefault="000F4711" w:rsidP="000F4711">
            <w:pPr>
              <w:pStyle w:val="Tabletext1"/>
              <w:jc w:val="right"/>
            </w:pPr>
            <w:r w:rsidRPr="0028345F">
              <w:t>$41,011</w:t>
            </w:r>
          </w:p>
        </w:tc>
      </w:tr>
      <w:tr w:rsidR="000F4711" w:rsidRPr="007B7239" w14:paraId="66945FD5" w14:textId="77777777" w:rsidTr="001534D0">
        <w:trPr>
          <w:cantSplit/>
          <w:trHeight w:val="300"/>
        </w:trPr>
        <w:tc>
          <w:tcPr>
            <w:tcW w:w="2264" w:type="pct"/>
            <w:tcBorders>
              <w:bottom w:val="single" w:sz="4" w:space="0" w:color="auto"/>
            </w:tcBorders>
            <w:noWrap/>
            <w:hideMark/>
          </w:tcPr>
          <w:p w14:paraId="603ACB7B" w14:textId="77777777" w:rsidR="000F4711" w:rsidRPr="007B7239" w:rsidRDefault="000F4711" w:rsidP="000F4711">
            <w:pPr>
              <w:pStyle w:val="Tabletext1"/>
            </w:pPr>
            <w:r w:rsidRPr="007B7239">
              <w:t>Total QALYs</w:t>
            </w:r>
          </w:p>
        </w:tc>
        <w:tc>
          <w:tcPr>
            <w:tcW w:w="912" w:type="pct"/>
            <w:tcBorders>
              <w:bottom w:val="single" w:sz="4" w:space="0" w:color="auto"/>
            </w:tcBorders>
            <w:noWrap/>
          </w:tcPr>
          <w:p w14:paraId="4A9D12D6" w14:textId="22B08A99" w:rsidR="000F4711" w:rsidRPr="007B7239" w:rsidRDefault="000F4711" w:rsidP="000F4711">
            <w:pPr>
              <w:pStyle w:val="Tabletext1"/>
              <w:jc w:val="right"/>
            </w:pPr>
            <w:r w:rsidRPr="0028345F">
              <w:t>4.7349</w:t>
            </w:r>
          </w:p>
        </w:tc>
        <w:tc>
          <w:tcPr>
            <w:tcW w:w="912" w:type="pct"/>
            <w:tcBorders>
              <w:bottom w:val="single" w:sz="4" w:space="0" w:color="auto"/>
            </w:tcBorders>
            <w:noWrap/>
          </w:tcPr>
          <w:p w14:paraId="06E87DD4" w14:textId="4EB76AD2" w:rsidR="000F4711" w:rsidRPr="007B7239" w:rsidRDefault="000F4711" w:rsidP="000F4711">
            <w:pPr>
              <w:pStyle w:val="Tabletext1"/>
              <w:jc w:val="right"/>
            </w:pPr>
            <w:r w:rsidRPr="0028345F">
              <w:t>4.3239</w:t>
            </w:r>
          </w:p>
        </w:tc>
        <w:tc>
          <w:tcPr>
            <w:tcW w:w="911" w:type="pct"/>
            <w:noWrap/>
          </w:tcPr>
          <w:p w14:paraId="202FD894" w14:textId="5C034301" w:rsidR="000F4711" w:rsidRPr="007B7239" w:rsidRDefault="000F4711" w:rsidP="000F4711">
            <w:pPr>
              <w:pStyle w:val="Tabletext1"/>
              <w:jc w:val="right"/>
            </w:pPr>
            <w:r w:rsidRPr="0028345F">
              <w:t>0.4109</w:t>
            </w:r>
          </w:p>
        </w:tc>
      </w:tr>
      <w:tr w:rsidR="000F4711" w:rsidRPr="007B7239" w14:paraId="0F871B2C" w14:textId="77777777" w:rsidTr="001534D0">
        <w:trPr>
          <w:cantSplit/>
          <w:trHeight w:val="300"/>
        </w:trPr>
        <w:tc>
          <w:tcPr>
            <w:tcW w:w="2264" w:type="pct"/>
            <w:tcBorders>
              <w:right w:val="nil"/>
            </w:tcBorders>
            <w:noWrap/>
            <w:hideMark/>
          </w:tcPr>
          <w:p w14:paraId="652D65D0" w14:textId="77777777" w:rsidR="000F4711" w:rsidRPr="007B7239" w:rsidRDefault="000F4711" w:rsidP="000F4711">
            <w:pPr>
              <w:pStyle w:val="Tabletext1"/>
              <w:rPr>
                <w:b/>
              </w:rPr>
            </w:pPr>
            <w:r w:rsidRPr="007B7239">
              <w:rPr>
                <w:b/>
              </w:rPr>
              <w:t>ICER per additional QALY gained</w:t>
            </w:r>
          </w:p>
        </w:tc>
        <w:tc>
          <w:tcPr>
            <w:tcW w:w="912" w:type="pct"/>
            <w:tcBorders>
              <w:left w:val="nil"/>
              <w:right w:val="nil"/>
            </w:tcBorders>
            <w:noWrap/>
          </w:tcPr>
          <w:p w14:paraId="19A7CAEF" w14:textId="77777777" w:rsidR="000F4711" w:rsidRPr="000F4711" w:rsidRDefault="000F4711" w:rsidP="000F4711">
            <w:pPr>
              <w:pStyle w:val="Tabletext1"/>
              <w:jc w:val="right"/>
              <w:rPr>
                <w:b/>
              </w:rPr>
            </w:pPr>
          </w:p>
        </w:tc>
        <w:tc>
          <w:tcPr>
            <w:tcW w:w="912" w:type="pct"/>
            <w:tcBorders>
              <w:left w:val="nil"/>
            </w:tcBorders>
            <w:noWrap/>
          </w:tcPr>
          <w:p w14:paraId="5520FBA7" w14:textId="77777777" w:rsidR="000F4711" w:rsidRPr="000F4711" w:rsidRDefault="000F4711" w:rsidP="000F4711">
            <w:pPr>
              <w:pStyle w:val="Tabletext1"/>
              <w:jc w:val="right"/>
              <w:rPr>
                <w:b/>
              </w:rPr>
            </w:pPr>
          </w:p>
        </w:tc>
        <w:tc>
          <w:tcPr>
            <w:tcW w:w="911" w:type="pct"/>
            <w:noWrap/>
          </w:tcPr>
          <w:p w14:paraId="6D6324C9" w14:textId="1B176254" w:rsidR="000F4711" w:rsidRPr="000F4711" w:rsidRDefault="000F4711" w:rsidP="000F4711">
            <w:pPr>
              <w:pStyle w:val="Tabletext1"/>
              <w:jc w:val="right"/>
              <w:rPr>
                <w:b/>
              </w:rPr>
            </w:pPr>
            <w:r w:rsidRPr="000F4711">
              <w:rPr>
                <w:b/>
              </w:rPr>
              <w:t>$99,803</w:t>
            </w:r>
          </w:p>
        </w:tc>
      </w:tr>
      <w:tr w:rsidR="000F4711" w:rsidRPr="007B7239" w14:paraId="15EA068C" w14:textId="77777777" w:rsidTr="001534D0">
        <w:trPr>
          <w:cantSplit/>
          <w:trHeight w:val="300"/>
        </w:trPr>
        <w:tc>
          <w:tcPr>
            <w:tcW w:w="2264" w:type="pct"/>
            <w:tcBorders>
              <w:bottom w:val="single" w:sz="4" w:space="0" w:color="auto"/>
            </w:tcBorders>
            <w:noWrap/>
            <w:hideMark/>
          </w:tcPr>
          <w:p w14:paraId="4D2A2D0B" w14:textId="77777777" w:rsidR="000F4711" w:rsidRPr="007B7239" w:rsidRDefault="000F4711" w:rsidP="000F4711">
            <w:pPr>
              <w:pStyle w:val="Tabletext1"/>
            </w:pPr>
            <w:r w:rsidRPr="007B7239">
              <w:t>Number of infections</w:t>
            </w:r>
          </w:p>
        </w:tc>
        <w:tc>
          <w:tcPr>
            <w:tcW w:w="912" w:type="pct"/>
            <w:tcBorders>
              <w:bottom w:val="single" w:sz="4" w:space="0" w:color="auto"/>
            </w:tcBorders>
            <w:noWrap/>
          </w:tcPr>
          <w:p w14:paraId="660ED277" w14:textId="42259C98" w:rsidR="000F4711" w:rsidRPr="007B7239" w:rsidRDefault="000F4711" w:rsidP="000F4711">
            <w:pPr>
              <w:pStyle w:val="Tabletext1"/>
              <w:jc w:val="right"/>
            </w:pPr>
            <w:r w:rsidRPr="0028345F">
              <w:t>2.90</w:t>
            </w:r>
          </w:p>
        </w:tc>
        <w:tc>
          <w:tcPr>
            <w:tcW w:w="912" w:type="pct"/>
            <w:tcBorders>
              <w:bottom w:val="single" w:sz="4" w:space="0" w:color="auto"/>
            </w:tcBorders>
            <w:noWrap/>
          </w:tcPr>
          <w:p w14:paraId="61AD0668" w14:textId="58F0463D" w:rsidR="000F4711" w:rsidRPr="007B7239" w:rsidRDefault="000F4711" w:rsidP="000F4711">
            <w:pPr>
              <w:pStyle w:val="Tabletext1"/>
              <w:jc w:val="right"/>
            </w:pPr>
            <w:r w:rsidRPr="0028345F">
              <w:t>7.39</w:t>
            </w:r>
          </w:p>
        </w:tc>
        <w:tc>
          <w:tcPr>
            <w:tcW w:w="911" w:type="pct"/>
            <w:noWrap/>
          </w:tcPr>
          <w:p w14:paraId="45DBA231" w14:textId="2C79DAFA" w:rsidR="000F4711" w:rsidRPr="007B7239" w:rsidRDefault="000F4711" w:rsidP="000F4711">
            <w:pPr>
              <w:pStyle w:val="Tabletext1"/>
              <w:jc w:val="right"/>
            </w:pPr>
            <w:r w:rsidRPr="0028345F">
              <w:t>–4.49</w:t>
            </w:r>
          </w:p>
        </w:tc>
      </w:tr>
      <w:tr w:rsidR="000F4711" w:rsidRPr="007B7239" w14:paraId="59E36632" w14:textId="77777777" w:rsidTr="001534D0">
        <w:trPr>
          <w:cantSplit/>
          <w:trHeight w:val="300"/>
        </w:trPr>
        <w:tc>
          <w:tcPr>
            <w:tcW w:w="2264" w:type="pct"/>
            <w:tcBorders>
              <w:right w:val="nil"/>
            </w:tcBorders>
            <w:noWrap/>
            <w:hideMark/>
          </w:tcPr>
          <w:p w14:paraId="4E09ED0B" w14:textId="77777777" w:rsidR="000F4711" w:rsidRPr="007B7239" w:rsidRDefault="000F4711" w:rsidP="000F4711">
            <w:pPr>
              <w:pStyle w:val="Tabletext1"/>
              <w:rPr>
                <w:b/>
              </w:rPr>
            </w:pPr>
            <w:r w:rsidRPr="007B7239">
              <w:rPr>
                <w:b/>
              </w:rPr>
              <w:t>ICER per infection avoided</w:t>
            </w:r>
          </w:p>
        </w:tc>
        <w:tc>
          <w:tcPr>
            <w:tcW w:w="912" w:type="pct"/>
            <w:tcBorders>
              <w:left w:val="nil"/>
              <w:right w:val="nil"/>
            </w:tcBorders>
            <w:noWrap/>
          </w:tcPr>
          <w:p w14:paraId="6DD7A412" w14:textId="77777777" w:rsidR="000F4711" w:rsidRPr="000F4711" w:rsidRDefault="000F4711" w:rsidP="000F4711">
            <w:pPr>
              <w:pStyle w:val="Tabletext1"/>
              <w:jc w:val="right"/>
              <w:rPr>
                <w:b/>
              </w:rPr>
            </w:pPr>
          </w:p>
        </w:tc>
        <w:tc>
          <w:tcPr>
            <w:tcW w:w="912" w:type="pct"/>
            <w:tcBorders>
              <w:left w:val="nil"/>
            </w:tcBorders>
            <w:noWrap/>
          </w:tcPr>
          <w:p w14:paraId="04BE4805" w14:textId="77777777" w:rsidR="000F4711" w:rsidRPr="000F4711" w:rsidRDefault="000F4711" w:rsidP="000F4711">
            <w:pPr>
              <w:pStyle w:val="Tabletext1"/>
              <w:jc w:val="right"/>
              <w:rPr>
                <w:b/>
              </w:rPr>
            </w:pPr>
          </w:p>
        </w:tc>
        <w:tc>
          <w:tcPr>
            <w:tcW w:w="911" w:type="pct"/>
            <w:noWrap/>
          </w:tcPr>
          <w:p w14:paraId="12DD9680" w14:textId="4CB18970" w:rsidR="000F4711" w:rsidRPr="000F4711" w:rsidRDefault="000F4711" w:rsidP="000F4711">
            <w:pPr>
              <w:pStyle w:val="Tabletext1"/>
              <w:jc w:val="right"/>
              <w:rPr>
                <w:b/>
              </w:rPr>
            </w:pPr>
            <w:r w:rsidRPr="000F4711">
              <w:rPr>
                <w:b/>
              </w:rPr>
              <w:t>$9,128</w:t>
            </w:r>
          </w:p>
        </w:tc>
      </w:tr>
    </w:tbl>
    <w:p w14:paraId="03D460C3" w14:textId="77777777" w:rsidR="00911F85" w:rsidRDefault="00911F85" w:rsidP="00911F85">
      <w:pPr>
        <w:pStyle w:val="Tablenotes1"/>
      </w:pPr>
      <w:r>
        <w:t>ICER = incremental cost-effectiveness ratio; Ig = immunoglobulin; QALY = quality-adjusted life years.</w:t>
      </w:r>
    </w:p>
    <w:p w14:paraId="0590CF18" w14:textId="77777777" w:rsidR="00911F85" w:rsidRDefault="00911F85" w:rsidP="00911F85"/>
    <w:p w14:paraId="44F4EB42" w14:textId="77777777" w:rsidR="003D3BB9" w:rsidRPr="00183E4D" w:rsidRDefault="003D3BB9" w:rsidP="0007662C">
      <w:pPr>
        <w:pStyle w:val="Heading2"/>
        <w:numPr>
          <w:ilvl w:val="3"/>
          <w:numId w:val="10"/>
        </w:numPr>
      </w:pPr>
      <w:bookmarkStart w:id="563" w:name="_Toc9515618"/>
      <w:bookmarkStart w:id="564" w:name="_Toc16856344"/>
      <w:bookmarkStart w:id="565" w:name="_Ref378943976"/>
      <w:r w:rsidRPr="00183E4D">
        <w:t>Sensitivity analyses</w:t>
      </w:r>
      <w:bookmarkEnd w:id="563"/>
      <w:bookmarkEnd w:id="564"/>
    </w:p>
    <w:p w14:paraId="1F656C51" w14:textId="30BBB752" w:rsidR="00911F85" w:rsidRPr="0007662C" w:rsidRDefault="00911F85" w:rsidP="0007662C">
      <w:pPr>
        <w:pStyle w:val="Heading3"/>
        <w:rPr>
          <w:sz w:val="22"/>
        </w:rPr>
      </w:pPr>
      <w:bookmarkStart w:id="566" w:name="_Toc14431171"/>
      <w:bookmarkStart w:id="567" w:name="_Toc16856345"/>
      <w:bookmarkEnd w:id="565"/>
      <w:r>
        <w:rPr>
          <w:sz w:val="22"/>
        </w:rPr>
        <w:t>D.</w:t>
      </w:r>
      <w:bookmarkEnd w:id="566"/>
      <w:r w:rsidR="003D3BB9">
        <w:rPr>
          <w:sz w:val="22"/>
        </w:rPr>
        <w:t>6.1</w:t>
      </w:r>
      <w:r w:rsidRPr="00002FB0">
        <w:rPr>
          <w:sz w:val="22"/>
        </w:rPr>
        <w:t>.</w:t>
      </w:r>
      <w:r>
        <w:tab/>
      </w:r>
      <w:r>
        <w:tab/>
      </w:r>
      <w:r w:rsidR="003D3BB9" w:rsidRPr="0007662C">
        <w:rPr>
          <w:sz w:val="22"/>
        </w:rPr>
        <w:t>Cost per gram of Ig</w:t>
      </w:r>
      <w:bookmarkEnd w:id="567"/>
    </w:p>
    <w:p w14:paraId="3E6B18AF" w14:textId="49A1AFF9" w:rsidR="00911F85" w:rsidRDefault="003D3BB9" w:rsidP="00911F85">
      <w:r>
        <w:t>Sensitivity</w:t>
      </w:r>
      <w:r w:rsidR="00911F85">
        <w:t xml:space="preserve"> analyses (</w:t>
      </w:r>
      <w:r w:rsidR="00911F85">
        <w:fldChar w:fldCharType="begin"/>
      </w:r>
      <w:r w:rsidR="00911F85">
        <w:instrText xml:space="preserve"> REF _Ref14273310 \h </w:instrText>
      </w:r>
      <w:r w:rsidR="00911F85">
        <w:fldChar w:fldCharType="separate"/>
      </w:r>
      <w:r w:rsidR="00A7463B">
        <w:t xml:space="preserve">Table </w:t>
      </w:r>
      <w:r w:rsidR="00A7463B">
        <w:rPr>
          <w:noProof/>
        </w:rPr>
        <w:t>59</w:t>
      </w:r>
      <w:r w:rsidR="00911F85">
        <w:fldChar w:fldCharType="end"/>
      </w:r>
      <w:r w:rsidR="00911F85">
        <w:t xml:space="preserve">) are presented applying differing assumptions regarding the cost of Ig modelled. </w:t>
      </w:r>
    </w:p>
    <w:p w14:paraId="2D9ED47B" w14:textId="392E46B9" w:rsidR="00911F85" w:rsidRDefault="00911F85" w:rsidP="00911F85">
      <w:pPr>
        <w:pStyle w:val="Caption"/>
        <w:keepNext/>
      </w:pPr>
      <w:bookmarkStart w:id="568" w:name="_Ref14273310"/>
      <w:bookmarkStart w:id="569" w:name="_Toc14348894"/>
      <w:bookmarkStart w:id="570" w:name="_Toc14429600"/>
      <w:bookmarkStart w:id="571" w:name="_Toc16671657"/>
      <w:r>
        <w:t xml:space="preserve">Table </w:t>
      </w:r>
      <w:r>
        <w:rPr>
          <w:noProof/>
        </w:rPr>
        <w:fldChar w:fldCharType="begin"/>
      </w:r>
      <w:r>
        <w:rPr>
          <w:noProof/>
        </w:rPr>
        <w:instrText xml:space="preserve"> SEQ Table \* ARABIC </w:instrText>
      </w:r>
      <w:r>
        <w:rPr>
          <w:noProof/>
        </w:rPr>
        <w:fldChar w:fldCharType="separate"/>
      </w:r>
      <w:r w:rsidR="00A7463B">
        <w:rPr>
          <w:noProof/>
        </w:rPr>
        <w:t>59</w:t>
      </w:r>
      <w:r>
        <w:rPr>
          <w:noProof/>
        </w:rPr>
        <w:fldChar w:fldCharType="end"/>
      </w:r>
      <w:bookmarkEnd w:id="568"/>
      <w:r>
        <w:tab/>
        <w:t>Scenario analyses regarding the cost of Ig</w:t>
      </w:r>
      <w:bookmarkEnd w:id="569"/>
      <w:bookmarkEnd w:id="570"/>
      <w:bookmarkEnd w:id="571"/>
    </w:p>
    <w:tbl>
      <w:tblPr>
        <w:tblStyle w:val="TableGrid1"/>
        <w:tblW w:w="5000" w:type="pct"/>
        <w:tblLook w:val="04A0" w:firstRow="1" w:lastRow="0" w:firstColumn="1" w:lastColumn="0" w:noHBand="0" w:noVBand="1"/>
        <w:tblCaption w:val="Scenario analyses regarding the cost of Ig"/>
      </w:tblPr>
      <w:tblGrid>
        <w:gridCol w:w="4202"/>
        <w:gridCol w:w="1680"/>
        <w:gridCol w:w="1680"/>
        <w:gridCol w:w="1680"/>
      </w:tblGrid>
      <w:tr w:rsidR="00911F85" w:rsidRPr="00FA1F59" w14:paraId="1B21BDD2" w14:textId="77777777" w:rsidTr="008742A1">
        <w:trPr>
          <w:cnfStyle w:val="100000000000" w:firstRow="1" w:lastRow="0" w:firstColumn="0" w:lastColumn="0" w:oddVBand="0" w:evenVBand="0" w:oddHBand="0" w:evenHBand="0" w:firstRowFirstColumn="0" w:firstRowLastColumn="0" w:lastRowFirstColumn="0" w:lastRowLastColumn="0"/>
          <w:cantSplit/>
          <w:trHeight w:val="300"/>
          <w:tblHeader/>
        </w:trPr>
        <w:tc>
          <w:tcPr>
            <w:tcW w:w="2273" w:type="pct"/>
            <w:noWrap/>
            <w:hideMark/>
          </w:tcPr>
          <w:p w14:paraId="414A4388" w14:textId="77777777" w:rsidR="00911F85" w:rsidRPr="00FA1F59" w:rsidRDefault="00911F85" w:rsidP="008742A1">
            <w:pPr>
              <w:pStyle w:val="TableHeading"/>
            </w:pPr>
          </w:p>
        </w:tc>
        <w:tc>
          <w:tcPr>
            <w:tcW w:w="909" w:type="pct"/>
            <w:noWrap/>
            <w:hideMark/>
          </w:tcPr>
          <w:p w14:paraId="590D91DF" w14:textId="77777777" w:rsidR="00911F85" w:rsidRPr="00FA1F59" w:rsidRDefault="00911F85" w:rsidP="008742A1">
            <w:pPr>
              <w:pStyle w:val="TableHeading"/>
              <w:jc w:val="center"/>
            </w:pPr>
            <w:r w:rsidRPr="00FA1F59">
              <w:t>Inc. cost</w:t>
            </w:r>
          </w:p>
        </w:tc>
        <w:tc>
          <w:tcPr>
            <w:tcW w:w="909" w:type="pct"/>
            <w:noWrap/>
            <w:hideMark/>
          </w:tcPr>
          <w:p w14:paraId="78A1ED34" w14:textId="77777777" w:rsidR="00911F85" w:rsidRPr="00FA1F59" w:rsidRDefault="00911F85" w:rsidP="008742A1">
            <w:pPr>
              <w:pStyle w:val="TableHeading"/>
              <w:jc w:val="center"/>
            </w:pPr>
            <w:r w:rsidRPr="00FA1F59">
              <w:t>Inc. QALYs</w:t>
            </w:r>
          </w:p>
        </w:tc>
        <w:tc>
          <w:tcPr>
            <w:tcW w:w="909" w:type="pct"/>
            <w:noWrap/>
            <w:hideMark/>
          </w:tcPr>
          <w:p w14:paraId="7715D1E2" w14:textId="77777777" w:rsidR="00911F85" w:rsidRPr="00FA1F59" w:rsidRDefault="00911F85" w:rsidP="008742A1">
            <w:pPr>
              <w:pStyle w:val="TableHeading"/>
              <w:jc w:val="center"/>
            </w:pPr>
            <w:r w:rsidRPr="00FA1F59">
              <w:t>ICER</w:t>
            </w:r>
          </w:p>
        </w:tc>
      </w:tr>
      <w:tr w:rsidR="000F4711" w:rsidRPr="00FA1F59" w14:paraId="453D1435" w14:textId="77777777" w:rsidTr="00DC555D">
        <w:trPr>
          <w:cantSplit/>
          <w:trHeight w:val="300"/>
        </w:trPr>
        <w:tc>
          <w:tcPr>
            <w:tcW w:w="2273" w:type="pct"/>
            <w:noWrap/>
            <w:hideMark/>
          </w:tcPr>
          <w:p w14:paraId="787BD85C" w14:textId="77777777" w:rsidR="000F4711" w:rsidRPr="00FA1F59" w:rsidRDefault="000F4711" w:rsidP="000F4711">
            <w:pPr>
              <w:pStyle w:val="Tabletext1"/>
              <w:rPr>
                <w:b/>
              </w:rPr>
            </w:pPr>
            <w:r w:rsidRPr="00FA1F59">
              <w:rPr>
                <w:b/>
              </w:rPr>
              <w:t>Base case analysis</w:t>
            </w:r>
            <w:r>
              <w:rPr>
                <w:b/>
              </w:rPr>
              <w:t xml:space="preserve"> ($60.41)</w:t>
            </w:r>
          </w:p>
        </w:tc>
        <w:tc>
          <w:tcPr>
            <w:tcW w:w="909" w:type="pct"/>
            <w:noWrap/>
          </w:tcPr>
          <w:p w14:paraId="42282EAB" w14:textId="51F262E1" w:rsidR="000F4711" w:rsidRPr="000F4711" w:rsidRDefault="000F4711" w:rsidP="000F4711">
            <w:pPr>
              <w:pStyle w:val="Tabletext1"/>
              <w:jc w:val="right"/>
              <w:rPr>
                <w:b/>
              </w:rPr>
            </w:pPr>
            <w:r w:rsidRPr="000F4711">
              <w:rPr>
                <w:b/>
              </w:rPr>
              <w:t>$41,011</w:t>
            </w:r>
          </w:p>
        </w:tc>
        <w:tc>
          <w:tcPr>
            <w:tcW w:w="909" w:type="pct"/>
            <w:noWrap/>
          </w:tcPr>
          <w:p w14:paraId="1A9329AB" w14:textId="785358FD" w:rsidR="000F4711" w:rsidRPr="000F4711" w:rsidRDefault="000F4711" w:rsidP="000F4711">
            <w:pPr>
              <w:pStyle w:val="Tabletext1"/>
              <w:jc w:val="right"/>
              <w:rPr>
                <w:b/>
              </w:rPr>
            </w:pPr>
            <w:r w:rsidRPr="000F4711">
              <w:rPr>
                <w:b/>
              </w:rPr>
              <w:t>0.4109</w:t>
            </w:r>
          </w:p>
        </w:tc>
        <w:tc>
          <w:tcPr>
            <w:tcW w:w="909" w:type="pct"/>
            <w:noWrap/>
          </w:tcPr>
          <w:p w14:paraId="1AB24CE8" w14:textId="1B32FB7B" w:rsidR="000F4711" w:rsidRPr="000F4711" w:rsidRDefault="000F4711" w:rsidP="000F4711">
            <w:pPr>
              <w:pStyle w:val="Tabletext1"/>
              <w:jc w:val="right"/>
              <w:rPr>
                <w:b/>
              </w:rPr>
            </w:pPr>
            <w:r w:rsidRPr="000F4711">
              <w:rPr>
                <w:b/>
              </w:rPr>
              <w:t>$99,803</w:t>
            </w:r>
          </w:p>
        </w:tc>
      </w:tr>
      <w:tr w:rsidR="000F4711" w:rsidRPr="00FA1F59" w14:paraId="33AB490C" w14:textId="77777777" w:rsidTr="00DC555D">
        <w:trPr>
          <w:cantSplit/>
          <w:trHeight w:val="300"/>
        </w:trPr>
        <w:tc>
          <w:tcPr>
            <w:tcW w:w="2273" w:type="pct"/>
            <w:noWrap/>
            <w:hideMark/>
          </w:tcPr>
          <w:p w14:paraId="533D0A5F" w14:textId="77777777" w:rsidR="000F4711" w:rsidRPr="00FA1F59" w:rsidRDefault="000F4711" w:rsidP="000F4711">
            <w:pPr>
              <w:pStyle w:val="Tabletext1"/>
            </w:pPr>
            <w:r w:rsidRPr="00FA1F59">
              <w:t>High cost of Ig</w:t>
            </w:r>
            <w:r>
              <w:t xml:space="preserve"> ($140.18)</w:t>
            </w:r>
          </w:p>
        </w:tc>
        <w:tc>
          <w:tcPr>
            <w:tcW w:w="909" w:type="pct"/>
            <w:noWrap/>
          </w:tcPr>
          <w:p w14:paraId="67C3C589" w14:textId="0C0D57D5" w:rsidR="000F4711" w:rsidRPr="00FA1F59" w:rsidRDefault="000F4711" w:rsidP="000F4711">
            <w:pPr>
              <w:pStyle w:val="Tabletext1"/>
              <w:jc w:val="right"/>
            </w:pPr>
            <w:r w:rsidRPr="00C25908">
              <w:t>$117,335</w:t>
            </w:r>
          </w:p>
        </w:tc>
        <w:tc>
          <w:tcPr>
            <w:tcW w:w="909" w:type="pct"/>
            <w:noWrap/>
          </w:tcPr>
          <w:p w14:paraId="5C7E0F9B" w14:textId="5E788A76" w:rsidR="000F4711" w:rsidRPr="00FA1F59" w:rsidRDefault="000F4711" w:rsidP="000F4711">
            <w:pPr>
              <w:pStyle w:val="Tabletext1"/>
              <w:jc w:val="right"/>
            </w:pPr>
            <w:r w:rsidRPr="00C25908">
              <w:t>0.4109</w:t>
            </w:r>
          </w:p>
        </w:tc>
        <w:tc>
          <w:tcPr>
            <w:tcW w:w="909" w:type="pct"/>
            <w:noWrap/>
          </w:tcPr>
          <w:p w14:paraId="6B298A4B" w14:textId="6C1B6073" w:rsidR="000F4711" w:rsidRPr="00FA1F59" w:rsidRDefault="000F4711" w:rsidP="000F4711">
            <w:pPr>
              <w:pStyle w:val="Tabletext1"/>
              <w:jc w:val="right"/>
            </w:pPr>
            <w:r w:rsidRPr="00C25908">
              <w:t>$285,543</w:t>
            </w:r>
          </w:p>
        </w:tc>
      </w:tr>
      <w:tr w:rsidR="000F4711" w:rsidRPr="00FA1F59" w14:paraId="10D5A172" w14:textId="77777777" w:rsidTr="00DC555D">
        <w:trPr>
          <w:cantSplit/>
          <w:trHeight w:val="300"/>
        </w:trPr>
        <w:tc>
          <w:tcPr>
            <w:tcW w:w="2273" w:type="pct"/>
            <w:noWrap/>
            <w:hideMark/>
          </w:tcPr>
          <w:p w14:paraId="4D1E171E" w14:textId="77777777" w:rsidR="000F4711" w:rsidRPr="00FA1F59" w:rsidRDefault="000F4711" w:rsidP="000F4711">
            <w:pPr>
              <w:pStyle w:val="Tabletext1"/>
            </w:pPr>
            <w:r w:rsidRPr="00FA1F59">
              <w:t>Low cost of Ig</w:t>
            </w:r>
            <w:r>
              <w:t xml:space="preserve"> ($44.94)</w:t>
            </w:r>
          </w:p>
        </w:tc>
        <w:tc>
          <w:tcPr>
            <w:tcW w:w="909" w:type="pct"/>
            <w:noWrap/>
          </w:tcPr>
          <w:p w14:paraId="1669B7DD" w14:textId="38E1E406" w:rsidR="000F4711" w:rsidRPr="00FA1F59" w:rsidRDefault="000F4711" w:rsidP="000F4711">
            <w:pPr>
              <w:pStyle w:val="Tabletext1"/>
              <w:jc w:val="right"/>
            </w:pPr>
            <w:r w:rsidRPr="00C25908">
              <w:t>$26,209</w:t>
            </w:r>
          </w:p>
        </w:tc>
        <w:tc>
          <w:tcPr>
            <w:tcW w:w="909" w:type="pct"/>
            <w:noWrap/>
          </w:tcPr>
          <w:p w14:paraId="70BF4437" w14:textId="7ADF95DF" w:rsidR="000F4711" w:rsidRPr="00FA1F59" w:rsidRDefault="000F4711" w:rsidP="000F4711">
            <w:pPr>
              <w:pStyle w:val="Tabletext1"/>
              <w:jc w:val="right"/>
            </w:pPr>
            <w:r w:rsidRPr="00C25908">
              <w:t>0.4109</w:t>
            </w:r>
          </w:p>
        </w:tc>
        <w:tc>
          <w:tcPr>
            <w:tcW w:w="909" w:type="pct"/>
            <w:noWrap/>
          </w:tcPr>
          <w:p w14:paraId="74A8F540" w14:textId="266CE680" w:rsidR="000F4711" w:rsidRPr="00FA1F59" w:rsidRDefault="000F4711" w:rsidP="000F4711">
            <w:pPr>
              <w:pStyle w:val="Tabletext1"/>
              <w:jc w:val="right"/>
            </w:pPr>
            <w:r w:rsidRPr="00C25908">
              <w:t>$63,782</w:t>
            </w:r>
          </w:p>
        </w:tc>
      </w:tr>
      <w:tr w:rsidR="000F4711" w:rsidRPr="00FA1F59" w14:paraId="35073031" w14:textId="77777777" w:rsidTr="00DC555D">
        <w:trPr>
          <w:cantSplit/>
          <w:trHeight w:val="300"/>
        </w:trPr>
        <w:tc>
          <w:tcPr>
            <w:tcW w:w="2273" w:type="pct"/>
            <w:noWrap/>
            <w:hideMark/>
          </w:tcPr>
          <w:p w14:paraId="6E9F5C5E" w14:textId="77777777" w:rsidR="000F4711" w:rsidRPr="00FA1F59" w:rsidRDefault="000F4711" w:rsidP="000F4711">
            <w:pPr>
              <w:pStyle w:val="Tabletext1"/>
            </w:pPr>
            <w:r w:rsidRPr="00FA1F59">
              <w:t>Weighted average cost of Ig</w:t>
            </w:r>
            <w:r>
              <w:t xml:space="preserve"> ($94.51)</w:t>
            </w:r>
          </w:p>
        </w:tc>
        <w:tc>
          <w:tcPr>
            <w:tcW w:w="909" w:type="pct"/>
            <w:noWrap/>
          </w:tcPr>
          <w:p w14:paraId="72A766B3" w14:textId="29F79C46" w:rsidR="000F4711" w:rsidRPr="00FA1F59" w:rsidRDefault="000F4711" w:rsidP="000F4711">
            <w:pPr>
              <w:pStyle w:val="Tabletext1"/>
              <w:jc w:val="right"/>
            </w:pPr>
            <w:r w:rsidRPr="00C25908">
              <w:t>$73,634</w:t>
            </w:r>
          </w:p>
        </w:tc>
        <w:tc>
          <w:tcPr>
            <w:tcW w:w="909" w:type="pct"/>
            <w:noWrap/>
          </w:tcPr>
          <w:p w14:paraId="1B1BD83E" w14:textId="6B64FDA5" w:rsidR="000F4711" w:rsidRPr="00FA1F59" w:rsidRDefault="000F4711" w:rsidP="000F4711">
            <w:pPr>
              <w:pStyle w:val="Tabletext1"/>
              <w:jc w:val="right"/>
            </w:pPr>
            <w:r w:rsidRPr="00C25908">
              <w:t>0.4109</w:t>
            </w:r>
          </w:p>
        </w:tc>
        <w:tc>
          <w:tcPr>
            <w:tcW w:w="909" w:type="pct"/>
            <w:noWrap/>
          </w:tcPr>
          <w:p w14:paraId="164375B4" w14:textId="23BC9DD3" w:rsidR="000F4711" w:rsidRPr="00FA1F59" w:rsidRDefault="000F4711" w:rsidP="000F4711">
            <w:pPr>
              <w:pStyle w:val="Tabletext1"/>
              <w:jc w:val="right"/>
            </w:pPr>
            <w:r w:rsidRPr="00C25908">
              <w:t>$179,195</w:t>
            </w:r>
          </w:p>
        </w:tc>
      </w:tr>
    </w:tbl>
    <w:p w14:paraId="6FD08B4F" w14:textId="77777777" w:rsidR="00911F85" w:rsidRDefault="00911F85" w:rsidP="00911F85">
      <w:pPr>
        <w:pStyle w:val="Tablenotes1"/>
      </w:pPr>
      <w:r>
        <w:t>ICER = incremental cost-effectiveness ratio; Ig = immunoglobulin; QALY = quality-adjusted life years.</w:t>
      </w:r>
    </w:p>
    <w:p w14:paraId="2E7D48CA" w14:textId="77777777" w:rsidR="00911F85" w:rsidRDefault="00911F85" w:rsidP="00911F85"/>
    <w:p w14:paraId="175E473A" w14:textId="15C17AC2" w:rsidR="00911F85" w:rsidRPr="0007662C" w:rsidRDefault="003D3BB9" w:rsidP="0007662C">
      <w:pPr>
        <w:pStyle w:val="Heading3"/>
        <w:rPr>
          <w:sz w:val="22"/>
        </w:rPr>
      </w:pPr>
      <w:bookmarkStart w:id="572" w:name="_Toc16856346"/>
      <w:r>
        <w:rPr>
          <w:sz w:val="22"/>
        </w:rPr>
        <w:t>D.6.2.</w:t>
      </w:r>
      <w:r>
        <w:rPr>
          <w:sz w:val="22"/>
        </w:rPr>
        <w:tab/>
      </w:r>
      <w:r>
        <w:rPr>
          <w:sz w:val="22"/>
        </w:rPr>
        <w:tab/>
      </w:r>
      <w:r w:rsidR="00911F85" w:rsidRPr="0007662C">
        <w:rPr>
          <w:sz w:val="22"/>
        </w:rPr>
        <w:t>Scenario based on the study which included antibiotic prophylaxis</w:t>
      </w:r>
      <w:bookmarkEnd w:id="572"/>
    </w:p>
    <w:p w14:paraId="16DF2762" w14:textId="236C74F1" w:rsidR="00911F85" w:rsidRDefault="00911F85" w:rsidP="00911F85">
      <w:r>
        <w:t xml:space="preserve">As described in Section C.2.2, it is uncertain whether rates of antibiotic prophylaxis would increase in the absence of Ig (given that randomised trials, including one contemporary trial, did not allow antibiotic prophylaxis in the absence of Ig). In the case that rates did increase in the absence of Ig, it is uncertain what effect this would have on the relative treatment effect of Ig, given that this comparison is currently being explored. One non-randomised study was identified that did observe a decrease in prophylactic antibiotic use after Ig initiation </w:t>
      </w:r>
      <w:r>
        <w:fldChar w:fldCharType="begin">
          <w:fldData xml:space="preserve">PEVuZE5vdGU+PENpdGU+PEF1dGhvcj5EdXJhaXNpbmdoYW08L0F1dGhvcj48WWVhcj4yMDE0PC9Z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</w:fldData>
        </w:fldChar>
      </w:r>
      <w:r>
        <w:instrText xml:space="preserve"> ADDIN EN.CITE </w:instrText>
      </w:r>
      <w:r>
        <w:fldChar w:fldCharType="begin">
          <w:fldData xml:space="preserve">PEVuZE5vdGU+PENpdGU+PEF1dGhvcj5EdXJhaXNpbmdoYW08L0F1dGhvcj48WWVhcj4yMDE0PC9Z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</w:fldData>
        </w:fldChar>
      </w:r>
      <w:r>
        <w:instrText xml:space="preserve"> ADDIN EN.CITE.DATA </w:instrText>
      </w:r>
      <w:r>
        <w:fldChar w:fldCharType="end"/>
      </w:r>
      <w:r>
        <w:fldChar w:fldCharType="separate"/>
      </w:r>
      <w:r>
        <w:rPr>
          <w:noProof/>
        </w:rPr>
        <w:t>(</w:t>
      </w:r>
      <w:hyperlink w:anchor="_ENREF_16" w:tooltip="Duraisingham, 2014 #20" w:history="1">
        <w:r w:rsidR="00BB0145">
          <w:rPr>
            <w:noProof/>
          </w:rPr>
          <w:t>Duraisingham et al. 2014</w:t>
        </w:r>
      </w:hyperlink>
      <w:r>
        <w:rPr>
          <w:noProof/>
        </w:rPr>
        <w:t>)</w:t>
      </w:r>
      <w:r>
        <w:fldChar w:fldCharType="end"/>
      </w:r>
      <w:r>
        <w:t>, and so scenario analyses are presented based on the results of this study (</w:t>
      </w:r>
      <w:r>
        <w:fldChar w:fldCharType="begin"/>
      </w:r>
      <w:r>
        <w:instrText xml:space="preserve"> REF _Ref14273454 \h </w:instrText>
      </w:r>
      <w:r>
        <w:fldChar w:fldCharType="separate"/>
      </w:r>
      <w:r w:rsidR="00A7463B">
        <w:t xml:space="preserve">Table </w:t>
      </w:r>
      <w:r w:rsidR="00A7463B">
        <w:rPr>
          <w:noProof/>
        </w:rPr>
        <w:t>60</w:t>
      </w:r>
      <w:r>
        <w:fldChar w:fldCharType="end"/>
      </w:r>
      <w:r>
        <w:t xml:space="preserve">). </w:t>
      </w:r>
    </w:p>
    <w:p w14:paraId="09F68DA2" w14:textId="5D02F108" w:rsidR="00911F85" w:rsidRDefault="00911F85" w:rsidP="00911F85">
      <w:pPr>
        <w:pStyle w:val="Caption"/>
        <w:keepNext/>
      </w:pPr>
      <w:bookmarkStart w:id="573" w:name="_Ref14273454"/>
      <w:bookmarkStart w:id="574" w:name="_Toc14348895"/>
      <w:bookmarkStart w:id="575" w:name="_Toc14429601"/>
      <w:bookmarkStart w:id="576" w:name="_Toc16671658"/>
      <w:r>
        <w:t xml:space="preserve">Table </w:t>
      </w:r>
      <w:r>
        <w:rPr>
          <w:noProof/>
        </w:rPr>
        <w:fldChar w:fldCharType="begin"/>
      </w:r>
      <w:r>
        <w:rPr>
          <w:noProof/>
        </w:rPr>
        <w:instrText xml:space="preserve"> SEQ Table \* ARABIC </w:instrText>
      </w:r>
      <w:r>
        <w:rPr>
          <w:noProof/>
        </w:rPr>
        <w:fldChar w:fldCharType="separate"/>
      </w:r>
      <w:r w:rsidR="00A7463B">
        <w:rPr>
          <w:noProof/>
        </w:rPr>
        <w:t>60</w:t>
      </w:r>
      <w:r>
        <w:rPr>
          <w:noProof/>
        </w:rPr>
        <w:fldChar w:fldCharType="end"/>
      </w:r>
      <w:bookmarkEnd w:id="573"/>
      <w:r>
        <w:tab/>
        <w:t>Scenario analyses based on the study which included antibiotic prophylaxis</w:t>
      </w:r>
      <w:bookmarkEnd w:id="574"/>
      <w:bookmarkEnd w:id="575"/>
      <w:bookmarkEnd w:id="576"/>
    </w:p>
    <w:tbl>
      <w:tblPr>
        <w:tblStyle w:val="TableGrid2"/>
        <w:tblW w:w="5000" w:type="pct"/>
        <w:tblLook w:val="04A0" w:firstRow="1" w:lastRow="0" w:firstColumn="1" w:lastColumn="0" w:noHBand="0" w:noVBand="1"/>
        <w:tblCaption w:val="Scenario analysis based on the study which included antibiotic prophylaxis"/>
      </w:tblPr>
      <w:tblGrid>
        <w:gridCol w:w="4334"/>
        <w:gridCol w:w="1636"/>
        <w:gridCol w:w="1638"/>
        <w:gridCol w:w="1634"/>
      </w:tblGrid>
      <w:tr w:rsidR="00911F85" w:rsidRPr="00D77EBF" w14:paraId="1A2C5BD3" w14:textId="77777777" w:rsidTr="008742A1">
        <w:trPr>
          <w:cnfStyle w:val="100000000000" w:firstRow="1" w:lastRow="0" w:firstColumn="0" w:lastColumn="0" w:oddVBand="0" w:evenVBand="0" w:oddHBand="0" w:evenHBand="0" w:firstRowFirstColumn="0" w:firstRowLastColumn="0" w:lastRowFirstColumn="0" w:lastRowLastColumn="0"/>
          <w:trHeight w:val="300"/>
          <w:tblHeader/>
        </w:trPr>
        <w:tc>
          <w:tcPr>
            <w:tcW w:w="2345" w:type="pct"/>
            <w:noWrap/>
            <w:hideMark/>
          </w:tcPr>
          <w:p w14:paraId="52A427B6" w14:textId="77777777" w:rsidR="00911F85" w:rsidRPr="00D77EBF" w:rsidRDefault="00911F85" w:rsidP="008742A1">
            <w:pPr>
              <w:pStyle w:val="TableHeading"/>
            </w:pPr>
          </w:p>
        </w:tc>
        <w:tc>
          <w:tcPr>
            <w:tcW w:w="885" w:type="pct"/>
            <w:noWrap/>
            <w:hideMark/>
          </w:tcPr>
          <w:p w14:paraId="7E94633B" w14:textId="77777777" w:rsidR="00911F85" w:rsidRPr="00D77EBF" w:rsidRDefault="00911F85" w:rsidP="008742A1">
            <w:pPr>
              <w:pStyle w:val="TableHeading"/>
              <w:jc w:val="center"/>
            </w:pPr>
            <w:r w:rsidRPr="00D77EBF">
              <w:t>Inc. cost</w:t>
            </w:r>
          </w:p>
        </w:tc>
        <w:tc>
          <w:tcPr>
            <w:tcW w:w="886" w:type="pct"/>
            <w:noWrap/>
            <w:hideMark/>
          </w:tcPr>
          <w:p w14:paraId="1DAFC0C7" w14:textId="77777777" w:rsidR="00911F85" w:rsidRPr="00D77EBF" w:rsidRDefault="00911F85" w:rsidP="008742A1">
            <w:pPr>
              <w:pStyle w:val="TableHeading"/>
              <w:jc w:val="center"/>
            </w:pPr>
            <w:r w:rsidRPr="00D77EBF">
              <w:t>Inc. QALYs</w:t>
            </w:r>
          </w:p>
        </w:tc>
        <w:tc>
          <w:tcPr>
            <w:tcW w:w="884" w:type="pct"/>
            <w:noWrap/>
            <w:hideMark/>
          </w:tcPr>
          <w:p w14:paraId="7A834CF5" w14:textId="77777777" w:rsidR="00911F85" w:rsidRPr="00D77EBF" w:rsidRDefault="00911F85" w:rsidP="008742A1">
            <w:pPr>
              <w:pStyle w:val="TableHeading"/>
              <w:jc w:val="center"/>
            </w:pPr>
            <w:r w:rsidRPr="00D77EBF">
              <w:t>ICER</w:t>
            </w:r>
          </w:p>
        </w:tc>
      </w:tr>
      <w:tr w:rsidR="000F4711" w:rsidRPr="00D77EBF" w14:paraId="3BB7A60D" w14:textId="77777777" w:rsidTr="008742A1">
        <w:trPr>
          <w:cnfStyle w:val="100000000000" w:firstRow="1" w:lastRow="0" w:firstColumn="0" w:lastColumn="0" w:oddVBand="0" w:evenVBand="0" w:oddHBand="0" w:evenHBand="0" w:firstRowFirstColumn="0" w:firstRowLastColumn="0" w:lastRowFirstColumn="0" w:lastRowLastColumn="0"/>
          <w:trHeight w:val="300"/>
          <w:tblHeader/>
        </w:trPr>
        <w:tc>
          <w:tcPr>
            <w:tcW w:w="2345" w:type="pct"/>
            <w:noWrap/>
          </w:tcPr>
          <w:p w14:paraId="32CB7B34" w14:textId="77777777" w:rsidR="000F4711" w:rsidRPr="00170F5D" w:rsidRDefault="000F4711" w:rsidP="000F4711">
            <w:pPr>
              <w:pStyle w:val="Tabletext1"/>
              <w:rPr>
                <w:b/>
              </w:rPr>
            </w:pPr>
            <w:r w:rsidRPr="00FA1F59">
              <w:rPr>
                <w:b/>
              </w:rPr>
              <w:t>Base case analysis</w:t>
            </w:r>
          </w:p>
        </w:tc>
        <w:tc>
          <w:tcPr>
            <w:tcW w:w="885" w:type="pct"/>
            <w:noWrap/>
          </w:tcPr>
          <w:p w14:paraId="434253A8" w14:textId="54E5B4B8" w:rsidR="000F4711" w:rsidRPr="000F4711" w:rsidRDefault="000F4711" w:rsidP="000F4711">
            <w:pPr>
              <w:pStyle w:val="Tabletext1"/>
              <w:jc w:val="right"/>
              <w:rPr>
                <w:b/>
              </w:rPr>
            </w:pPr>
            <w:r w:rsidRPr="000F4711">
              <w:rPr>
                <w:b/>
              </w:rPr>
              <w:t>$41,011</w:t>
            </w:r>
          </w:p>
        </w:tc>
        <w:tc>
          <w:tcPr>
            <w:tcW w:w="886" w:type="pct"/>
            <w:noWrap/>
          </w:tcPr>
          <w:p w14:paraId="62901EBC" w14:textId="5E274D14" w:rsidR="000F4711" w:rsidRPr="000F4711" w:rsidRDefault="000F4711" w:rsidP="000F4711">
            <w:pPr>
              <w:pStyle w:val="Tabletext1"/>
              <w:jc w:val="right"/>
              <w:rPr>
                <w:b/>
              </w:rPr>
            </w:pPr>
            <w:r w:rsidRPr="000F4711">
              <w:rPr>
                <w:b/>
              </w:rPr>
              <w:t>0.4109</w:t>
            </w:r>
          </w:p>
        </w:tc>
        <w:tc>
          <w:tcPr>
            <w:tcW w:w="884" w:type="pct"/>
            <w:noWrap/>
          </w:tcPr>
          <w:p w14:paraId="4DF7EFCF" w14:textId="2FC2E764" w:rsidR="000F4711" w:rsidRPr="000F4711" w:rsidRDefault="000F4711" w:rsidP="000F4711">
            <w:pPr>
              <w:pStyle w:val="Tabletext1"/>
              <w:jc w:val="right"/>
              <w:rPr>
                <w:b/>
              </w:rPr>
            </w:pPr>
            <w:r w:rsidRPr="000F4711">
              <w:rPr>
                <w:b/>
              </w:rPr>
              <w:t>$99,803</w:t>
            </w:r>
          </w:p>
        </w:tc>
      </w:tr>
      <w:tr w:rsidR="000F4711" w:rsidRPr="00D77EBF" w14:paraId="5A0D4F3B" w14:textId="77777777" w:rsidTr="00DC555D">
        <w:trPr>
          <w:trHeight w:val="300"/>
        </w:trPr>
        <w:tc>
          <w:tcPr>
            <w:tcW w:w="2345" w:type="pct"/>
            <w:noWrap/>
            <w:hideMark/>
          </w:tcPr>
          <w:p w14:paraId="0F6A1000" w14:textId="661BD4D4" w:rsidR="000F4711" w:rsidRPr="00D77EBF" w:rsidRDefault="000F4711" w:rsidP="00BB0145">
            <w:pPr>
              <w:pStyle w:val="Tabletext1"/>
            </w:pPr>
            <w:r>
              <w:t xml:space="preserve">Duraisingham et al. </w:t>
            </w:r>
            <w:r>
              <w:fldChar w:fldCharType="begin">
                <w:fldData xml:space="preserve">PEVuZE5vdGU+PENpdGUgRXhjbHVkZUF1dGg9IjEiPjxBdXRob3I+RHVyYWlzaW5naGFtPC9BdXRo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</w:fldData>
              </w:fldChar>
            </w:r>
            <w:r>
              <w:instrText xml:space="preserve"> ADDIN EN.CITE </w:instrText>
            </w:r>
            <w:r>
              <w:fldChar w:fldCharType="begin">
                <w:fldData xml:space="preserve">PEVuZE5vdGU+PENpdGUgRXhjbHVkZUF1dGg9IjEiPjxBdXRob3I+RHVyYWlzaW5naGFtPC9BdXRo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</w:fldData>
              </w:fldChar>
            </w:r>
            <w:r>
              <w:instrText xml:space="preserve"> ADDIN EN.CITE.DATA </w:instrText>
            </w:r>
            <w:r>
              <w:fldChar w:fldCharType="end"/>
            </w:r>
            <w:r>
              <w:fldChar w:fldCharType="separate"/>
            </w:r>
            <w:r>
              <w:rPr>
                <w:noProof/>
              </w:rPr>
              <w:t>(</w:t>
            </w:r>
            <w:hyperlink w:anchor="_ENREF_16" w:tooltip="Duraisingham, 2014 #20" w:history="1">
              <w:r w:rsidR="00BB0145">
                <w:rPr>
                  <w:noProof/>
                </w:rPr>
                <w:t>2014</w:t>
              </w:r>
            </w:hyperlink>
            <w:r>
              <w:rPr>
                <w:noProof/>
              </w:rPr>
              <w:t>)</w:t>
            </w:r>
            <w:r>
              <w:fldChar w:fldCharType="end"/>
            </w:r>
            <w:r>
              <w:t xml:space="preserve"> (trial based dose, 0.53 g/kg)</w:t>
            </w:r>
          </w:p>
        </w:tc>
        <w:tc>
          <w:tcPr>
            <w:tcW w:w="885" w:type="pct"/>
            <w:noWrap/>
          </w:tcPr>
          <w:p w14:paraId="72F48A37" w14:textId="75FCD4E8" w:rsidR="000F4711" w:rsidRPr="00D77EBF" w:rsidRDefault="000F4711" w:rsidP="000F4711">
            <w:pPr>
              <w:pStyle w:val="Tabletext1"/>
              <w:jc w:val="right"/>
            </w:pPr>
            <w:r w:rsidRPr="0058222F">
              <w:t>$82,843</w:t>
            </w:r>
          </w:p>
        </w:tc>
        <w:tc>
          <w:tcPr>
            <w:tcW w:w="886" w:type="pct"/>
            <w:noWrap/>
          </w:tcPr>
          <w:p w14:paraId="2A67655B" w14:textId="571DF439" w:rsidR="000F4711" w:rsidRPr="00D77EBF" w:rsidRDefault="000F4711" w:rsidP="000F4711">
            <w:pPr>
              <w:pStyle w:val="Tabletext1"/>
              <w:jc w:val="right"/>
            </w:pPr>
            <w:r w:rsidRPr="0058222F">
              <w:t>0.5315</w:t>
            </w:r>
          </w:p>
        </w:tc>
        <w:tc>
          <w:tcPr>
            <w:tcW w:w="884" w:type="pct"/>
            <w:noWrap/>
          </w:tcPr>
          <w:p w14:paraId="5BA813D2" w14:textId="6AC10373" w:rsidR="000F4711" w:rsidRPr="00D77EBF" w:rsidRDefault="000F4711" w:rsidP="000F4711">
            <w:pPr>
              <w:pStyle w:val="Tabletext1"/>
              <w:jc w:val="right"/>
            </w:pPr>
            <w:r w:rsidRPr="0058222F">
              <w:t>$155,864</w:t>
            </w:r>
          </w:p>
        </w:tc>
      </w:tr>
      <w:tr w:rsidR="000F4711" w:rsidRPr="00D77EBF" w14:paraId="14D32DF5" w14:textId="77777777" w:rsidTr="008742A1">
        <w:trPr>
          <w:trHeight w:val="300"/>
        </w:trPr>
        <w:tc>
          <w:tcPr>
            <w:tcW w:w="2345" w:type="pct"/>
            <w:noWrap/>
          </w:tcPr>
          <w:p w14:paraId="4BA57282" w14:textId="730C5404" w:rsidR="000F4711" w:rsidRDefault="000F4711" w:rsidP="00BB0145">
            <w:pPr>
              <w:pStyle w:val="Tabletext1"/>
            </w:pPr>
            <w:r>
              <w:t xml:space="preserve">Duraisingham et al. </w:t>
            </w:r>
            <w:r>
              <w:fldChar w:fldCharType="begin">
                <w:fldData xml:space="preserve">PEVuZE5vdGU+PENpdGUgRXhjbHVkZUF1dGg9IjEiPjxBdXRob3I+RHVyYWlzaW5naGFtPC9BdXRo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</w:fldData>
              </w:fldChar>
            </w:r>
            <w:r>
              <w:instrText xml:space="preserve"> ADDIN EN.CITE </w:instrText>
            </w:r>
            <w:r>
              <w:fldChar w:fldCharType="begin">
                <w:fldData xml:space="preserve">PEVuZE5vdGU+PENpdGUgRXhjbHVkZUF1dGg9IjEiPjxBdXRob3I+RHVyYWlzaW5naGFtPC9BdXRo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</w:fldData>
              </w:fldChar>
            </w:r>
            <w:r>
              <w:instrText xml:space="preserve"> ADDIN EN.CITE.DATA </w:instrText>
            </w:r>
            <w:r>
              <w:fldChar w:fldCharType="end"/>
            </w:r>
            <w:r>
              <w:fldChar w:fldCharType="separate"/>
            </w:r>
            <w:r>
              <w:rPr>
                <w:noProof/>
              </w:rPr>
              <w:t>(</w:t>
            </w:r>
            <w:hyperlink w:anchor="_ENREF_16" w:tooltip="Duraisingham, 2014 #20" w:history="1">
              <w:r w:rsidR="00BB0145">
                <w:rPr>
                  <w:noProof/>
                </w:rPr>
                <w:t>2014</w:t>
              </w:r>
            </w:hyperlink>
            <w:r>
              <w:rPr>
                <w:noProof/>
              </w:rPr>
              <w:t>)</w:t>
            </w:r>
            <w:r>
              <w:fldChar w:fldCharType="end"/>
            </w:r>
            <w:r>
              <w:t xml:space="preserve"> (base case dose, 0.37 g/kg)</w:t>
            </w:r>
          </w:p>
        </w:tc>
        <w:tc>
          <w:tcPr>
            <w:tcW w:w="885" w:type="pct"/>
            <w:noWrap/>
          </w:tcPr>
          <w:p w14:paraId="2526CA88" w14:textId="7B8A3EA1" w:rsidR="000F4711" w:rsidRPr="007549F4" w:rsidRDefault="000F4711" w:rsidP="000F4711">
            <w:pPr>
              <w:pStyle w:val="Tabletext1"/>
              <w:jc w:val="right"/>
            </w:pPr>
            <w:r w:rsidRPr="0058222F">
              <w:t>$51,221</w:t>
            </w:r>
          </w:p>
        </w:tc>
        <w:tc>
          <w:tcPr>
            <w:tcW w:w="886" w:type="pct"/>
            <w:noWrap/>
          </w:tcPr>
          <w:p w14:paraId="5C348D0F" w14:textId="639B5C88" w:rsidR="000F4711" w:rsidRPr="007549F4" w:rsidRDefault="000F4711" w:rsidP="000F4711">
            <w:pPr>
              <w:pStyle w:val="Tabletext1"/>
              <w:jc w:val="right"/>
            </w:pPr>
            <w:r w:rsidRPr="0058222F">
              <w:t>0.5315</w:t>
            </w:r>
          </w:p>
        </w:tc>
        <w:tc>
          <w:tcPr>
            <w:tcW w:w="884" w:type="pct"/>
            <w:noWrap/>
          </w:tcPr>
          <w:p w14:paraId="6714677E" w14:textId="0191ABB7" w:rsidR="000F4711" w:rsidRPr="007549F4" w:rsidRDefault="000F4711" w:rsidP="000F4711">
            <w:pPr>
              <w:pStyle w:val="Tabletext1"/>
              <w:jc w:val="right"/>
            </w:pPr>
            <w:r w:rsidRPr="0058222F">
              <w:t>$96,369</w:t>
            </w:r>
          </w:p>
        </w:tc>
      </w:tr>
    </w:tbl>
    <w:p w14:paraId="0496DA09" w14:textId="77777777" w:rsidR="00911F85" w:rsidRDefault="00911F85" w:rsidP="00911F85">
      <w:pPr>
        <w:pStyle w:val="Tablenotes1"/>
      </w:pPr>
      <w:r>
        <w:t>ICER = incremental cost-effectiveness ratio; Ig = immunoglobulin; QALY = quality-adjusted life years.</w:t>
      </w:r>
    </w:p>
    <w:p w14:paraId="2A37506E" w14:textId="4C753D75" w:rsidR="00911F85" w:rsidRDefault="00911F85" w:rsidP="00911F85">
      <w:r>
        <w:lastRenderedPageBreak/>
        <w:t>A substantial increase in the ICER is observed relative to the base case analysis. This is predominantly driven by a higher dose of Ig used (0.53 g/kg). When the dose is decreased to the weighted average (0.37 g/kg), a moderate reduction in the ICER relative to the base case analysis is observed (</w:t>
      </w:r>
      <w:r>
        <w:fldChar w:fldCharType="begin"/>
      </w:r>
      <w:r>
        <w:instrText xml:space="preserve"> REF _Ref14273454 \h </w:instrText>
      </w:r>
      <w:r>
        <w:fldChar w:fldCharType="separate"/>
      </w:r>
      <w:r w:rsidR="00A7463B">
        <w:t xml:space="preserve">Table </w:t>
      </w:r>
      <w:r w:rsidR="00A7463B">
        <w:rPr>
          <w:noProof/>
        </w:rPr>
        <w:t>60</w:t>
      </w:r>
      <w:r>
        <w:fldChar w:fldCharType="end"/>
      </w:r>
      <w:r>
        <w:t>).</w:t>
      </w:r>
    </w:p>
    <w:p w14:paraId="2715588A" w14:textId="77777777" w:rsidR="00911F85" w:rsidRDefault="00911F85" w:rsidP="00911F85"/>
    <w:p w14:paraId="78F27208" w14:textId="2554F71F" w:rsidR="00911F85" w:rsidRPr="0007662C" w:rsidRDefault="003D3BB9" w:rsidP="0007662C">
      <w:pPr>
        <w:pStyle w:val="Heading3"/>
        <w:rPr>
          <w:sz w:val="22"/>
        </w:rPr>
      </w:pPr>
      <w:bookmarkStart w:id="577" w:name="_Toc16856347"/>
      <w:r>
        <w:rPr>
          <w:sz w:val="22"/>
        </w:rPr>
        <w:t>D.6.3.</w:t>
      </w:r>
      <w:r>
        <w:rPr>
          <w:sz w:val="22"/>
        </w:rPr>
        <w:tab/>
      </w:r>
      <w:r>
        <w:rPr>
          <w:sz w:val="22"/>
        </w:rPr>
        <w:tab/>
      </w:r>
      <w:r w:rsidR="00911F85" w:rsidRPr="0007662C">
        <w:rPr>
          <w:sz w:val="22"/>
        </w:rPr>
        <w:t xml:space="preserve">Scenarios based on the best estimates </w:t>
      </w:r>
      <w:r w:rsidR="000C44D1">
        <w:rPr>
          <w:sz w:val="22"/>
        </w:rPr>
        <w:t xml:space="preserve">of analysis for specific </w:t>
      </w:r>
      <w:r w:rsidR="00911F85" w:rsidRPr="0007662C">
        <w:rPr>
          <w:sz w:val="22"/>
        </w:rPr>
        <w:t>indication</w:t>
      </w:r>
      <w:r w:rsidR="000C44D1">
        <w:rPr>
          <w:sz w:val="22"/>
        </w:rPr>
        <w:t>s</w:t>
      </w:r>
      <w:bookmarkEnd w:id="577"/>
    </w:p>
    <w:p w14:paraId="080D9D30" w14:textId="4A725526" w:rsidR="00911F85" w:rsidRDefault="00911F85" w:rsidP="009B0175">
      <w:r>
        <w:t xml:space="preserve">Scenario analyses are presented </w:t>
      </w:r>
      <w:r w:rsidR="000C44D1">
        <w:t>using</w:t>
      </w:r>
      <w:r>
        <w:t xml:space="preserve"> the best estimates </w:t>
      </w:r>
      <w:r w:rsidR="000C44D1" w:rsidRPr="000C44D1">
        <w:t xml:space="preserve">of model inputs specific to each </w:t>
      </w:r>
      <w:r>
        <w:t>indication</w:t>
      </w:r>
      <w:r w:rsidR="00455636">
        <w:t xml:space="preserve"> (</w:t>
      </w:r>
      <w:r w:rsidR="009B0175">
        <w:fldChar w:fldCharType="begin"/>
      </w:r>
      <w:r w:rsidR="009B0175">
        <w:instrText xml:space="preserve"> REF _Ref16671931 \h </w:instrText>
      </w:r>
      <w:r w:rsidR="009B0175">
        <w:fldChar w:fldCharType="separate"/>
      </w:r>
      <w:r w:rsidR="00A7463B">
        <w:t xml:space="preserve">Table </w:t>
      </w:r>
      <w:r w:rsidR="00A7463B">
        <w:rPr>
          <w:noProof/>
        </w:rPr>
        <w:t>61</w:t>
      </w:r>
      <w:r w:rsidR="009B0175">
        <w:fldChar w:fldCharType="end"/>
      </w:r>
      <w:r w:rsidR="00455636">
        <w:t>)</w:t>
      </w:r>
      <w:r>
        <w:t xml:space="preserve">. </w:t>
      </w:r>
      <w:r w:rsidR="00455636">
        <w:t xml:space="preserve">Disaggregated events (i.e. infections and development of chronic </w:t>
      </w:r>
      <w:r w:rsidR="00455636" w:rsidRPr="00455636">
        <w:rPr>
          <w:i/>
        </w:rPr>
        <w:t>P. aeruginosa</w:t>
      </w:r>
      <w:r w:rsidR="00455636">
        <w:t xml:space="preserve"> infections) are also depicted in</w:t>
      </w:r>
      <w:r w:rsidR="009B0175">
        <w:t xml:space="preserve"> </w:t>
      </w:r>
      <w:r w:rsidR="009B0175">
        <w:fldChar w:fldCharType="begin"/>
      </w:r>
      <w:r w:rsidR="009B0175">
        <w:instrText xml:space="preserve"> REF _Ref16671937 \h </w:instrText>
      </w:r>
      <w:r w:rsidR="009B0175">
        <w:fldChar w:fldCharType="separate"/>
      </w:r>
      <w:r w:rsidR="00A7463B">
        <w:t xml:space="preserve">Table </w:t>
      </w:r>
      <w:r w:rsidR="00A7463B">
        <w:rPr>
          <w:noProof/>
        </w:rPr>
        <w:t>62</w:t>
      </w:r>
      <w:r w:rsidR="009B0175">
        <w:fldChar w:fldCharType="end"/>
      </w:r>
      <w:r w:rsidR="00455636">
        <w:t xml:space="preserve">. </w:t>
      </w:r>
      <w:r w:rsidR="00471C1D">
        <w:t xml:space="preserve">Given that there was not data to inform all model inputs specifically by indication, these are indicative results only, and should be interpreted with caution. </w:t>
      </w:r>
      <w:r>
        <w:t>No studies were available to enable an estimate for the ‘other haematological malignancies’ indication.</w:t>
      </w:r>
    </w:p>
    <w:p w14:paraId="7162ED6A" w14:textId="77777777" w:rsidR="009B0175" w:rsidRDefault="009B0175" w:rsidP="009B0175">
      <w:pPr>
        <w:spacing w:after="0" w:line="240" w:lineRule="auto"/>
        <w:jc w:val="left"/>
      </w:pPr>
    </w:p>
    <w:p w14:paraId="2AB42B53" w14:textId="77777777" w:rsidR="00455636" w:rsidRDefault="00455636" w:rsidP="00911F85">
      <w:pPr>
        <w:pStyle w:val="Caption"/>
        <w:keepNext/>
        <w:sectPr w:rsidR="00455636" w:rsidSect="002A7E30">
          <w:pgSz w:w="11906" w:h="16838"/>
          <w:pgMar w:top="1440" w:right="1440" w:bottom="1440" w:left="1440" w:header="720" w:footer="720" w:gutter="0"/>
          <w:paperSrc w:first="7" w:other="7"/>
          <w:cols w:space="720"/>
        </w:sectPr>
      </w:pPr>
      <w:bookmarkStart w:id="578" w:name="_Toc14348896"/>
    </w:p>
    <w:p w14:paraId="0D53ECB8" w14:textId="7EEEFEB7" w:rsidR="00911F85" w:rsidRDefault="00911F85" w:rsidP="00911F85">
      <w:pPr>
        <w:pStyle w:val="Caption"/>
        <w:keepNext/>
      </w:pPr>
      <w:bookmarkStart w:id="579" w:name="_Ref16671931"/>
      <w:bookmarkStart w:id="580" w:name="_Toc14429602"/>
      <w:bookmarkStart w:id="581" w:name="_Toc16671659"/>
      <w:r>
        <w:lastRenderedPageBreak/>
        <w:t xml:space="preserve">Table </w:t>
      </w:r>
      <w:r>
        <w:rPr>
          <w:noProof/>
        </w:rPr>
        <w:fldChar w:fldCharType="begin"/>
      </w:r>
      <w:r>
        <w:rPr>
          <w:noProof/>
        </w:rPr>
        <w:instrText xml:space="preserve"> SEQ Table \* ARABIC </w:instrText>
      </w:r>
      <w:r>
        <w:rPr>
          <w:noProof/>
        </w:rPr>
        <w:fldChar w:fldCharType="separate"/>
      </w:r>
      <w:r w:rsidR="00A7463B">
        <w:rPr>
          <w:noProof/>
        </w:rPr>
        <w:t>61</w:t>
      </w:r>
      <w:r>
        <w:rPr>
          <w:noProof/>
        </w:rPr>
        <w:fldChar w:fldCharType="end"/>
      </w:r>
      <w:bookmarkEnd w:id="579"/>
      <w:r>
        <w:tab/>
        <w:t xml:space="preserve">Scenario analyses estimating </w:t>
      </w:r>
      <w:r w:rsidR="000C44D1" w:rsidRPr="000C44D1">
        <w:t>indicative</w:t>
      </w:r>
      <w:r>
        <w:t xml:space="preserve"> cost-effectiveness per indication</w:t>
      </w:r>
      <w:bookmarkEnd w:id="578"/>
      <w:bookmarkEnd w:id="580"/>
      <w:bookmarkEnd w:id="581"/>
    </w:p>
    <w:tbl>
      <w:tblPr>
        <w:tblStyle w:val="TableGrid2"/>
        <w:tblW w:w="5029" w:type="pct"/>
        <w:tblLayout w:type="fixed"/>
        <w:tblLook w:val="04A0" w:firstRow="1" w:lastRow="0" w:firstColumn="1" w:lastColumn="0" w:noHBand="0" w:noVBand="1"/>
        <w:tblCaption w:val="Scenario analyses estimating the best estimates of the cost-effectiveness per indication"/>
      </w:tblPr>
      <w:tblGrid>
        <w:gridCol w:w="4894"/>
        <w:gridCol w:w="962"/>
        <w:gridCol w:w="961"/>
        <w:gridCol w:w="961"/>
        <w:gridCol w:w="892"/>
        <w:gridCol w:w="892"/>
        <w:gridCol w:w="892"/>
        <w:gridCol w:w="892"/>
        <w:gridCol w:w="892"/>
        <w:gridCol w:w="892"/>
        <w:gridCol w:w="1126"/>
      </w:tblGrid>
      <w:tr w:rsidR="00455636" w:rsidRPr="00ED3101" w14:paraId="78F83485" w14:textId="77777777" w:rsidTr="00E26DD4">
        <w:trPr>
          <w:cnfStyle w:val="100000000000" w:firstRow="1" w:lastRow="0" w:firstColumn="0" w:lastColumn="0" w:oddVBand="0" w:evenVBand="0" w:oddHBand="0" w:evenHBand="0" w:firstRowFirstColumn="0" w:firstRowLastColumn="0" w:lastRowFirstColumn="0" w:lastRowLastColumn="0"/>
          <w:cantSplit/>
          <w:trHeight w:val="300"/>
          <w:tblHeader/>
        </w:trPr>
        <w:tc>
          <w:tcPr>
            <w:tcW w:w="1716" w:type="pct"/>
            <w:noWrap/>
            <w:hideMark/>
          </w:tcPr>
          <w:p w14:paraId="6E204DCA" w14:textId="77777777" w:rsidR="00455636" w:rsidRPr="00ED3101" w:rsidRDefault="00455636" w:rsidP="00414134">
            <w:pPr>
              <w:pStyle w:val="TableHeading"/>
            </w:pPr>
          </w:p>
        </w:tc>
        <w:tc>
          <w:tcPr>
            <w:tcW w:w="1011" w:type="pct"/>
            <w:gridSpan w:val="3"/>
            <w:noWrap/>
            <w:hideMark/>
          </w:tcPr>
          <w:p w14:paraId="6855239C" w14:textId="77777777" w:rsidR="00455636" w:rsidRPr="00ED3101" w:rsidRDefault="00455636" w:rsidP="00414134">
            <w:pPr>
              <w:pStyle w:val="TableHeading"/>
              <w:jc w:val="center"/>
            </w:pPr>
            <w:r w:rsidRPr="00ED3101">
              <w:t>Cost</w:t>
            </w:r>
          </w:p>
        </w:tc>
        <w:tc>
          <w:tcPr>
            <w:tcW w:w="939" w:type="pct"/>
            <w:gridSpan w:val="3"/>
            <w:noWrap/>
            <w:hideMark/>
          </w:tcPr>
          <w:p w14:paraId="254400CC" w14:textId="77777777" w:rsidR="00455636" w:rsidRPr="00ED3101" w:rsidRDefault="00455636" w:rsidP="00414134">
            <w:pPr>
              <w:pStyle w:val="TableHeading"/>
              <w:jc w:val="center"/>
            </w:pPr>
            <w:r w:rsidRPr="00ED3101">
              <w:t>LYs</w:t>
            </w:r>
          </w:p>
        </w:tc>
        <w:tc>
          <w:tcPr>
            <w:tcW w:w="939" w:type="pct"/>
            <w:gridSpan w:val="3"/>
            <w:noWrap/>
            <w:hideMark/>
          </w:tcPr>
          <w:p w14:paraId="3CDF65E1" w14:textId="77777777" w:rsidR="00455636" w:rsidRPr="00ED3101" w:rsidRDefault="00455636" w:rsidP="00414134">
            <w:pPr>
              <w:pStyle w:val="TableHeading"/>
              <w:jc w:val="center"/>
            </w:pPr>
            <w:r w:rsidRPr="00ED3101">
              <w:t>QALYs</w:t>
            </w:r>
          </w:p>
        </w:tc>
        <w:tc>
          <w:tcPr>
            <w:tcW w:w="395" w:type="pct"/>
            <w:vMerge w:val="restart"/>
            <w:noWrap/>
            <w:hideMark/>
          </w:tcPr>
          <w:p w14:paraId="6154456C" w14:textId="77777777" w:rsidR="00455636" w:rsidRPr="00ED3101" w:rsidRDefault="00455636" w:rsidP="00414134">
            <w:pPr>
              <w:pStyle w:val="TableHeading"/>
              <w:jc w:val="center"/>
            </w:pPr>
            <w:r w:rsidRPr="00ED3101">
              <w:t xml:space="preserve">ICER </w:t>
            </w:r>
            <w:r>
              <w:t>/QALY (Low – High cost)</w:t>
            </w:r>
          </w:p>
        </w:tc>
      </w:tr>
      <w:tr w:rsidR="00455636" w:rsidRPr="00ED3101" w14:paraId="12526DA5" w14:textId="77777777" w:rsidTr="00E26DD4">
        <w:trPr>
          <w:cnfStyle w:val="100000000000" w:firstRow="1" w:lastRow="0" w:firstColumn="0" w:lastColumn="0" w:oddVBand="0" w:evenVBand="0" w:oddHBand="0" w:evenHBand="0" w:firstRowFirstColumn="0" w:firstRowLastColumn="0" w:lastRowFirstColumn="0" w:lastRowLastColumn="0"/>
          <w:cantSplit/>
          <w:trHeight w:val="300"/>
          <w:tblHeader/>
        </w:trPr>
        <w:tc>
          <w:tcPr>
            <w:tcW w:w="1716" w:type="pct"/>
            <w:noWrap/>
            <w:hideMark/>
          </w:tcPr>
          <w:p w14:paraId="6503CEEC" w14:textId="77777777" w:rsidR="00455636" w:rsidRPr="00ED3101" w:rsidRDefault="00455636" w:rsidP="00414134">
            <w:pPr>
              <w:pStyle w:val="TableHeading"/>
            </w:pPr>
          </w:p>
        </w:tc>
        <w:tc>
          <w:tcPr>
            <w:tcW w:w="337" w:type="pct"/>
            <w:noWrap/>
            <w:hideMark/>
          </w:tcPr>
          <w:p w14:paraId="5E261045" w14:textId="77777777" w:rsidR="00455636" w:rsidRPr="00ED3101" w:rsidRDefault="00455636" w:rsidP="00414134">
            <w:pPr>
              <w:pStyle w:val="TableHeading"/>
              <w:jc w:val="center"/>
            </w:pPr>
            <w:r w:rsidRPr="00ED3101">
              <w:t>Ig</w:t>
            </w:r>
          </w:p>
        </w:tc>
        <w:tc>
          <w:tcPr>
            <w:tcW w:w="337" w:type="pct"/>
            <w:noWrap/>
            <w:hideMark/>
          </w:tcPr>
          <w:p w14:paraId="754B0D6A" w14:textId="77777777" w:rsidR="00455636" w:rsidRPr="00ED3101" w:rsidRDefault="00455636" w:rsidP="00414134">
            <w:pPr>
              <w:pStyle w:val="TableHeading"/>
              <w:jc w:val="center"/>
            </w:pPr>
            <w:r w:rsidRPr="00ED3101">
              <w:t>No Ig</w:t>
            </w:r>
          </w:p>
        </w:tc>
        <w:tc>
          <w:tcPr>
            <w:tcW w:w="337" w:type="pct"/>
            <w:noWrap/>
            <w:hideMark/>
          </w:tcPr>
          <w:p w14:paraId="5B4EA05B" w14:textId="392042A7" w:rsidR="00455636" w:rsidRPr="00ED3101" w:rsidRDefault="00455636" w:rsidP="00414134">
            <w:pPr>
              <w:pStyle w:val="TableHeading"/>
              <w:jc w:val="center"/>
            </w:pPr>
            <w:r>
              <w:t>Inc.</w:t>
            </w:r>
          </w:p>
        </w:tc>
        <w:tc>
          <w:tcPr>
            <w:tcW w:w="313" w:type="pct"/>
            <w:noWrap/>
            <w:hideMark/>
          </w:tcPr>
          <w:p w14:paraId="726A9ED8" w14:textId="77777777" w:rsidR="00455636" w:rsidRPr="00ED3101" w:rsidRDefault="00455636" w:rsidP="00414134">
            <w:pPr>
              <w:pStyle w:val="TableHeading"/>
              <w:jc w:val="center"/>
            </w:pPr>
            <w:r w:rsidRPr="00ED3101">
              <w:t>Ig</w:t>
            </w:r>
          </w:p>
        </w:tc>
        <w:tc>
          <w:tcPr>
            <w:tcW w:w="313" w:type="pct"/>
            <w:noWrap/>
            <w:hideMark/>
          </w:tcPr>
          <w:p w14:paraId="7F5CB1DC" w14:textId="77777777" w:rsidR="00455636" w:rsidRPr="00ED3101" w:rsidRDefault="00455636" w:rsidP="00414134">
            <w:pPr>
              <w:pStyle w:val="TableHeading"/>
              <w:jc w:val="center"/>
            </w:pPr>
            <w:r w:rsidRPr="00ED3101">
              <w:t>No Ig</w:t>
            </w:r>
          </w:p>
        </w:tc>
        <w:tc>
          <w:tcPr>
            <w:tcW w:w="313" w:type="pct"/>
            <w:noWrap/>
            <w:hideMark/>
          </w:tcPr>
          <w:p w14:paraId="22204C9F" w14:textId="25A9CD2C" w:rsidR="00455636" w:rsidRPr="00ED3101" w:rsidRDefault="00455636" w:rsidP="00414134">
            <w:pPr>
              <w:pStyle w:val="TableHeading"/>
              <w:jc w:val="center"/>
            </w:pPr>
            <w:r>
              <w:t>Inc.</w:t>
            </w:r>
          </w:p>
        </w:tc>
        <w:tc>
          <w:tcPr>
            <w:tcW w:w="313" w:type="pct"/>
            <w:noWrap/>
            <w:hideMark/>
          </w:tcPr>
          <w:p w14:paraId="4C282170" w14:textId="7E30D5EA" w:rsidR="00455636" w:rsidRPr="00ED3101" w:rsidRDefault="00455636" w:rsidP="00414134">
            <w:pPr>
              <w:pStyle w:val="TableHeading"/>
              <w:jc w:val="center"/>
            </w:pPr>
            <w:r w:rsidRPr="00ED3101">
              <w:t>Ig</w:t>
            </w:r>
          </w:p>
        </w:tc>
        <w:tc>
          <w:tcPr>
            <w:tcW w:w="313" w:type="pct"/>
            <w:noWrap/>
            <w:hideMark/>
          </w:tcPr>
          <w:p w14:paraId="3A97AFF0" w14:textId="77777777" w:rsidR="00455636" w:rsidRPr="00ED3101" w:rsidRDefault="00455636" w:rsidP="00414134">
            <w:pPr>
              <w:pStyle w:val="TableHeading"/>
              <w:jc w:val="center"/>
            </w:pPr>
            <w:r w:rsidRPr="00ED3101">
              <w:t>No Ig</w:t>
            </w:r>
          </w:p>
        </w:tc>
        <w:tc>
          <w:tcPr>
            <w:tcW w:w="313" w:type="pct"/>
            <w:noWrap/>
            <w:hideMark/>
          </w:tcPr>
          <w:p w14:paraId="68455364" w14:textId="77777777" w:rsidR="00455636" w:rsidRPr="00ED3101" w:rsidRDefault="00455636" w:rsidP="00414134">
            <w:pPr>
              <w:pStyle w:val="TableHeading"/>
              <w:jc w:val="center"/>
            </w:pPr>
            <w:r>
              <w:t>Inc.</w:t>
            </w:r>
          </w:p>
        </w:tc>
        <w:tc>
          <w:tcPr>
            <w:tcW w:w="395" w:type="pct"/>
            <w:vMerge/>
            <w:noWrap/>
            <w:hideMark/>
          </w:tcPr>
          <w:p w14:paraId="469D0EED" w14:textId="77777777" w:rsidR="00455636" w:rsidRPr="00ED3101" w:rsidRDefault="00455636" w:rsidP="00414134">
            <w:pPr>
              <w:pStyle w:val="TableHeading"/>
            </w:pPr>
          </w:p>
        </w:tc>
      </w:tr>
      <w:tr w:rsidR="0066486F" w:rsidRPr="00ED3101" w14:paraId="1CC552F1" w14:textId="77777777" w:rsidTr="00D81C95">
        <w:trPr>
          <w:trHeight w:val="300"/>
        </w:trPr>
        <w:tc>
          <w:tcPr>
            <w:tcW w:w="1716" w:type="pct"/>
            <w:hideMark/>
          </w:tcPr>
          <w:p w14:paraId="7F451AB8" w14:textId="77777777" w:rsidR="0066486F" w:rsidRDefault="0066486F" w:rsidP="0066486F">
            <w:pPr>
              <w:pStyle w:val="Tabletext1"/>
              <w:rPr>
                <w:b/>
              </w:rPr>
            </w:pPr>
            <w:r w:rsidRPr="006F2C42">
              <w:rPr>
                <w:b/>
              </w:rPr>
              <w:t>Base case analysis</w:t>
            </w:r>
          </w:p>
          <w:p w14:paraId="191F0580" w14:textId="77777777" w:rsidR="0066486F" w:rsidRPr="00C07C52" w:rsidRDefault="0066486F" w:rsidP="0066486F">
            <w:pPr>
              <w:pStyle w:val="Tabletext1"/>
            </w:pPr>
            <w:r>
              <w:t>Assumes the average patient demographics (age: 66, weight: 75.0 kg) and dose (0.37 g/kg) from BloodSTAR data for acquired hypogammaglobulinaemia patients overall. The treatment effect of Ig is based on the pooled IRRs (IRR</w:t>
            </w:r>
            <w:r w:rsidRPr="00CD50BB">
              <w:rPr>
                <w:vertAlign w:val="subscript"/>
              </w:rPr>
              <w:t>S</w:t>
            </w:r>
            <w:r>
              <w:t xml:space="preserve"> = 0.146, IRR</w:t>
            </w:r>
            <w:r w:rsidRPr="00CD50BB">
              <w:rPr>
                <w:vertAlign w:val="subscript"/>
              </w:rPr>
              <w:t>NS</w:t>
            </w:r>
            <w:r>
              <w:t xml:space="preserve"> = 0.61).</w:t>
            </w:r>
          </w:p>
        </w:tc>
        <w:tc>
          <w:tcPr>
            <w:tcW w:w="337" w:type="pct"/>
            <w:noWrap/>
            <w:hideMark/>
          </w:tcPr>
          <w:p w14:paraId="5622AE54" w14:textId="159A9BE7" w:rsidR="0066486F" w:rsidRPr="0066486F" w:rsidRDefault="0066486F" w:rsidP="0066486F">
            <w:pPr>
              <w:pStyle w:val="Tabletext1"/>
              <w:jc w:val="right"/>
              <w:rPr>
                <w:b/>
              </w:rPr>
            </w:pPr>
            <w:r w:rsidRPr="0066486F">
              <w:rPr>
                <w:b/>
              </w:rPr>
              <w:t>$78,273</w:t>
            </w:r>
          </w:p>
        </w:tc>
        <w:tc>
          <w:tcPr>
            <w:tcW w:w="337" w:type="pct"/>
            <w:noWrap/>
            <w:hideMark/>
          </w:tcPr>
          <w:p w14:paraId="0B86BA84" w14:textId="01384549" w:rsidR="0066486F" w:rsidRPr="0066486F" w:rsidRDefault="0066486F" w:rsidP="0066486F">
            <w:pPr>
              <w:pStyle w:val="Tabletext1"/>
              <w:jc w:val="right"/>
              <w:rPr>
                <w:b/>
              </w:rPr>
            </w:pPr>
            <w:r w:rsidRPr="0066486F">
              <w:rPr>
                <w:b/>
              </w:rPr>
              <w:t>$37,262</w:t>
            </w:r>
          </w:p>
        </w:tc>
        <w:tc>
          <w:tcPr>
            <w:tcW w:w="337" w:type="pct"/>
            <w:noWrap/>
            <w:hideMark/>
          </w:tcPr>
          <w:p w14:paraId="4AADFFF1" w14:textId="6D0531D1" w:rsidR="0066486F" w:rsidRPr="0066486F" w:rsidRDefault="0066486F" w:rsidP="0066486F">
            <w:pPr>
              <w:pStyle w:val="Tabletext1"/>
              <w:jc w:val="right"/>
              <w:rPr>
                <w:b/>
              </w:rPr>
            </w:pPr>
            <w:r w:rsidRPr="0066486F">
              <w:rPr>
                <w:b/>
              </w:rPr>
              <w:t>$41,011</w:t>
            </w:r>
          </w:p>
        </w:tc>
        <w:tc>
          <w:tcPr>
            <w:tcW w:w="313" w:type="pct"/>
            <w:noWrap/>
            <w:hideMark/>
          </w:tcPr>
          <w:p w14:paraId="10409DEA" w14:textId="07D23231" w:rsidR="0066486F" w:rsidRPr="0066486F" w:rsidRDefault="0066486F" w:rsidP="0066486F">
            <w:pPr>
              <w:pStyle w:val="Tabletext1"/>
              <w:jc w:val="right"/>
              <w:rPr>
                <w:b/>
              </w:rPr>
            </w:pPr>
            <w:r w:rsidRPr="0066486F">
              <w:rPr>
                <w:b/>
              </w:rPr>
              <w:t>6.76</w:t>
            </w:r>
          </w:p>
        </w:tc>
        <w:tc>
          <w:tcPr>
            <w:tcW w:w="313" w:type="pct"/>
            <w:noWrap/>
            <w:hideMark/>
          </w:tcPr>
          <w:p w14:paraId="19F6D9ED" w14:textId="0D7BA4E1" w:rsidR="0066486F" w:rsidRPr="0066486F" w:rsidRDefault="0066486F" w:rsidP="0066486F">
            <w:pPr>
              <w:pStyle w:val="Tabletext1"/>
              <w:jc w:val="right"/>
              <w:rPr>
                <w:b/>
              </w:rPr>
            </w:pPr>
            <w:r w:rsidRPr="0066486F">
              <w:rPr>
                <w:b/>
              </w:rPr>
              <w:t>6.34</w:t>
            </w:r>
          </w:p>
        </w:tc>
        <w:tc>
          <w:tcPr>
            <w:tcW w:w="313" w:type="pct"/>
            <w:noWrap/>
            <w:hideMark/>
          </w:tcPr>
          <w:p w14:paraId="2E130A41" w14:textId="675BB3A6" w:rsidR="0066486F" w:rsidRPr="0066486F" w:rsidRDefault="0066486F" w:rsidP="0066486F">
            <w:pPr>
              <w:pStyle w:val="Tabletext1"/>
              <w:jc w:val="right"/>
              <w:rPr>
                <w:b/>
              </w:rPr>
            </w:pPr>
            <w:r w:rsidRPr="0066486F">
              <w:rPr>
                <w:b/>
              </w:rPr>
              <w:t>0.42</w:t>
            </w:r>
          </w:p>
        </w:tc>
        <w:tc>
          <w:tcPr>
            <w:tcW w:w="313" w:type="pct"/>
            <w:noWrap/>
            <w:hideMark/>
          </w:tcPr>
          <w:p w14:paraId="2B7D1916" w14:textId="4407D320" w:rsidR="0066486F" w:rsidRPr="0066486F" w:rsidRDefault="0066486F" w:rsidP="0066486F">
            <w:pPr>
              <w:pStyle w:val="Tabletext1"/>
              <w:jc w:val="right"/>
              <w:rPr>
                <w:b/>
              </w:rPr>
            </w:pPr>
            <w:r w:rsidRPr="0066486F">
              <w:rPr>
                <w:b/>
              </w:rPr>
              <w:t>4.73</w:t>
            </w:r>
          </w:p>
        </w:tc>
        <w:tc>
          <w:tcPr>
            <w:tcW w:w="313" w:type="pct"/>
            <w:noWrap/>
            <w:hideMark/>
          </w:tcPr>
          <w:p w14:paraId="793820AE" w14:textId="4C4552C6" w:rsidR="0066486F" w:rsidRPr="0066486F" w:rsidRDefault="0066486F" w:rsidP="0066486F">
            <w:pPr>
              <w:pStyle w:val="Tabletext1"/>
              <w:jc w:val="right"/>
              <w:rPr>
                <w:b/>
              </w:rPr>
            </w:pPr>
            <w:r w:rsidRPr="0066486F">
              <w:rPr>
                <w:b/>
              </w:rPr>
              <w:t>4.32</w:t>
            </w:r>
          </w:p>
        </w:tc>
        <w:tc>
          <w:tcPr>
            <w:tcW w:w="313" w:type="pct"/>
            <w:noWrap/>
            <w:hideMark/>
          </w:tcPr>
          <w:p w14:paraId="794A9C2F" w14:textId="05582101" w:rsidR="0066486F" w:rsidRPr="0066486F" w:rsidRDefault="0066486F" w:rsidP="0066486F">
            <w:pPr>
              <w:pStyle w:val="Tabletext1"/>
              <w:jc w:val="right"/>
              <w:rPr>
                <w:b/>
              </w:rPr>
            </w:pPr>
            <w:r w:rsidRPr="0066486F">
              <w:rPr>
                <w:b/>
              </w:rPr>
              <w:t>0.41</w:t>
            </w:r>
          </w:p>
        </w:tc>
        <w:tc>
          <w:tcPr>
            <w:tcW w:w="395" w:type="pct"/>
            <w:noWrap/>
            <w:hideMark/>
          </w:tcPr>
          <w:p w14:paraId="3E56A359" w14:textId="38018EC3" w:rsidR="0066486F" w:rsidRPr="00B25A63" w:rsidRDefault="0066486F" w:rsidP="0066486F">
            <w:pPr>
              <w:pStyle w:val="Tabletext1"/>
              <w:jc w:val="right"/>
            </w:pPr>
            <w:r w:rsidRPr="0066486F">
              <w:rPr>
                <w:b/>
              </w:rPr>
              <w:t>$99,803</w:t>
            </w:r>
            <w:r w:rsidRPr="00387B86">
              <w:t xml:space="preserve"> ($63,782 − $285,543)</w:t>
            </w:r>
          </w:p>
        </w:tc>
      </w:tr>
      <w:tr w:rsidR="0066486F" w:rsidRPr="00ED3101" w14:paraId="37C89D0B" w14:textId="77777777" w:rsidTr="00D81C95">
        <w:trPr>
          <w:trHeight w:val="300"/>
        </w:trPr>
        <w:tc>
          <w:tcPr>
            <w:tcW w:w="1716" w:type="pct"/>
            <w:hideMark/>
          </w:tcPr>
          <w:p w14:paraId="590BB793" w14:textId="77777777" w:rsidR="0066486F" w:rsidRDefault="0066486F" w:rsidP="0066486F">
            <w:pPr>
              <w:pStyle w:val="Tabletext1"/>
            </w:pPr>
            <w:r w:rsidRPr="00950823">
              <w:t>CLL</w:t>
            </w:r>
          </w:p>
          <w:p w14:paraId="318E5BF1" w14:textId="2F4BA956" w:rsidR="0066486F" w:rsidRPr="00D77EBF" w:rsidRDefault="0066486F" w:rsidP="0066486F">
            <w:pPr>
              <w:pStyle w:val="Tabletext1"/>
            </w:pPr>
            <w:r>
              <w:t>Assumes the average patient demographics (age: 72, weight: 77.3 kg) and dose (0.37 g/kg) from BloodSTAR data for this indication. Baseline infection rates and mortality rates are unchanged from the base case analysis and the treatment effect of Ig is based on the pooled IRRs for CLL (IRR</w:t>
            </w:r>
            <w:r w:rsidRPr="00CD50BB">
              <w:rPr>
                <w:vertAlign w:val="subscript"/>
              </w:rPr>
              <w:t>S</w:t>
            </w:r>
            <w:r>
              <w:t xml:space="preserve"> = 0.38, IRR</w:t>
            </w:r>
            <w:r w:rsidRPr="00CD50BB">
              <w:rPr>
                <w:vertAlign w:val="subscript"/>
              </w:rPr>
              <w:t>NS</w:t>
            </w:r>
            <w:r>
              <w:t xml:space="preserve"> = 0.69).</w:t>
            </w:r>
          </w:p>
        </w:tc>
        <w:tc>
          <w:tcPr>
            <w:tcW w:w="337" w:type="pct"/>
            <w:noWrap/>
            <w:hideMark/>
          </w:tcPr>
          <w:p w14:paraId="3D6A08B7" w14:textId="04AC13B3" w:rsidR="0066486F" w:rsidRPr="00496273" w:rsidRDefault="0066486F" w:rsidP="0066486F">
            <w:pPr>
              <w:pStyle w:val="Tabletext1"/>
              <w:jc w:val="right"/>
            </w:pPr>
            <w:r w:rsidRPr="00387B86">
              <w:t>$81,220</w:t>
            </w:r>
          </w:p>
        </w:tc>
        <w:tc>
          <w:tcPr>
            <w:tcW w:w="337" w:type="pct"/>
            <w:noWrap/>
            <w:hideMark/>
          </w:tcPr>
          <w:p w14:paraId="27DD17FE" w14:textId="7F36A119" w:rsidR="0066486F" w:rsidRPr="00496273" w:rsidRDefault="0066486F" w:rsidP="0066486F">
            <w:pPr>
              <w:pStyle w:val="Tabletext1"/>
              <w:jc w:val="right"/>
            </w:pPr>
            <w:r w:rsidRPr="00387B86">
              <w:t>$28,345</w:t>
            </w:r>
          </w:p>
        </w:tc>
        <w:tc>
          <w:tcPr>
            <w:tcW w:w="337" w:type="pct"/>
            <w:noWrap/>
            <w:hideMark/>
          </w:tcPr>
          <w:p w14:paraId="67EE37FF" w14:textId="3FADAC45" w:rsidR="0066486F" w:rsidRPr="00496273" w:rsidRDefault="0066486F" w:rsidP="0066486F">
            <w:pPr>
              <w:pStyle w:val="Tabletext1"/>
              <w:jc w:val="right"/>
            </w:pPr>
            <w:r w:rsidRPr="00387B86">
              <w:t>$52,875</w:t>
            </w:r>
          </w:p>
        </w:tc>
        <w:tc>
          <w:tcPr>
            <w:tcW w:w="313" w:type="pct"/>
            <w:noWrap/>
            <w:hideMark/>
          </w:tcPr>
          <w:p w14:paraId="38E731D7" w14:textId="6F9E0BBE" w:rsidR="0066486F" w:rsidRPr="00496273" w:rsidRDefault="0066486F" w:rsidP="0066486F">
            <w:pPr>
              <w:pStyle w:val="Tabletext1"/>
              <w:jc w:val="right"/>
            </w:pPr>
            <w:r w:rsidRPr="00387B86">
              <w:t>5.91</w:t>
            </w:r>
          </w:p>
        </w:tc>
        <w:tc>
          <w:tcPr>
            <w:tcW w:w="313" w:type="pct"/>
            <w:noWrap/>
            <w:hideMark/>
          </w:tcPr>
          <w:p w14:paraId="186FD6C8" w14:textId="265AE5F1" w:rsidR="0066486F" w:rsidRPr="00496273" w:rsidRDefault="0066486F" w:rsidP="0066486F">
            <w:pPr>
              <w:pStyle w:val="Tabletext1"/>
              <w:jc w:val="right"/>
            </w:pPr>
            <w:r w:rsidRPr="00387B86">
              <w:t>5.52</w:t>
            </w:r>
          </w:p>
        </w:tc>
        <w:tc>
          <w:tcPr>
            <w:tcW w:w="313" w:type="pct"/>
            <w:noWrap/>
            <w:hideMark/>
          </w:tcPr>
          <w:p w14:paraId="158F69AF" w14:textId="587C6A21" w:rsidR="0066486F" w:rsidRPr="00496273" w:rsidRDefault="0066486F" w:rsidP="0066486F">
            <w:pPr>
              <w:pStyle w:val="Tabletext1"/>
              <w:jc w:val="right"/>
            </w:pPr>
            <w:r w:rsidRPr="00387B86">
              <w:t>0.39</w:t>
            </w:r>
          </w:p>
        </w:tc>
        <w:tc>
          <w:tcPr>
            <w:tcW w:w="313" w:type="pct"/>
            <w:noWrap/>
            <w:hideMark/>
          </w:tcPr>
          <w:p w14:paraId="39D62CCD" w14:textId="3800655B" w:rsidR="0066486F" w:rsidRPr="00496273" w:rsidRDefault="0066486F" w:rsidP="0066486F">
            <w:pPr>
              <w:pStyle w:val="Tabletext1"/>
              <w:jc w:val="right"/>
            </w:pPr>
            <w:r w:rsidRPr="00387B86">
              <w:t>4.12</w:t>
            </w:r>
          </w:p>
        </w:tc>
        <w:tc>
          <w:tcPr>
            <w:tcW w:w="313" w:type="pct"/>
            <w:noWrap/>
            <w:hideMark/>
          </w:tcPr>
          <w:p w14:paraId="68818039" w14:textId="6A3D98EE" w:rsidR="0066486F" w:rsidRPr="00496273" w:rsidRDefault="0066486F" w:rsidP="0066486F">
            <w:pPr>
              <w:pStyle w:val="Tabletext1"/>
              <w:jc w:val="right"/>
            </w:pPr>
            <w:r w:rsidRPr="00387B86">
              <w:t>3.79</w:t>
            </w:r>
          </w:p>
        </w:tc>
        <w:tc>
          <w:tcPr>
            <w:tcW w:w="313" w:type="pct"/>
            <w:noWrap/>
            <w:hideMark/>
          </w:tcPr>
          <w:p w14:paraId="4B20FD0C" w14:textId="7D20ADE8" w:rsidR="0066486F" w:rsidRPr="00496273" w:rsidRDefault="0066486F" w:rsidP="0066486F">
            <w:pPr>
              <w:pStyle w:val="Tabletext1"/>
              <w:jc w:val="right"/>
            </w:pPr>
            <w:r w:rsidRPr="00387B86">
              <w:t>0.33</w:t>
            </w:r>
          </w:p>
        </w:tc>
        <w:tc>
          <w:tcPr>
            <w:tcW w:w="395" w:type="pct"/>
            <w:noWrap/>
            <w:hideMark/>
          </w:tcPr>
          <w:p w14:paraId="4B98963E" w14:textId="01B66975" w:rsidR="0066486F" w:rsidRPr="00B25A63" w:rsidRDefault="0066486F" w:rsidP="0066486F">
            <w:pPr>
              <w:pStyle w:val="Tabletext1"/>
              <w:jc w:val="right"/>
            </w:pPr>
            <w:r w:rsidRPr="00387B86">
              <w:t>$161,491 ($115,562 − $398,319)</w:t>
            </w:r>
          </w:p>
        </w:tc>
      </w:tr>
      <w:tr w:rsidR="0066486F" w:rsidRPr="00ED3101" w14:paraId="3B269839" w14:textId="77777777" w:rsidTr="00D81C95">
        <w:trPr>
          <w:trHeight w:val="300"/>
        </w:trPr>
        <w:tc>
          <w:tcPr>
            <w:tcW w:w="1716" w:type="pct"/>
            <w:hideMark/>
          </w:tcPr>
          <w:p w14:paraId="263D84A4" w14:textId="77777777" w:rsidR="0066486F" w:rsidRDefault="0066486F" w:rsidP="0066486F">
            <w:pPr>
              <w:pStyle w:val="Tabletext1"/>
            </w:pPr>
            <w:r w:rsidRPr="00D35108">
              <w:t>MM</w:t>
            </w:r>
          </w:p>
          <w:p w14:paraId="211652A9" w14:textId="7E1270CA" w:rsidR="0066486F" w:rsidRPr="00D77EBF" w:rsidRDefault="0066486F" w:rsidP="0066486F">
            <w:pPr>
              <w:pStyle w:val="Tabletext1"/>
            </w:pPr>
            <w:r>
              <w:t>Assumes the average patient demographics (age: 70, weight: 77.8 kg) and dose (0.37 g/kg) from BloodSTAR data for this indication. Baseline infection rates are unchanged from the base case analysis however a 100% increase in the infection-free mortality rate has been assumed</w:t>
            </w:r>
            <w:r w:rsidRPr="0098670C">
              <w:rPr>
                <w:vertAlign w:val="superscript"/>
              </w:rPr>
              <w:t>a</w:t>
            </w:r>
            <w:r>
              <w:t>. The treatment effect of Ig is based on the pooled IRRs for MM (IRR</w:t>
            </w:r>
            <w:r w:rsidRPr="00CD50BB">
              <w:rPr>
                <w:vertAlign w:val="subscript"/>
              </w:rPr>
              <w:t>S</w:t>
            </w:r>
            <w:r>
              <w:t xml:space="preserve"> = 0.08, IRR</w:t>
            </w:r>
            <w:r w:rsidRPr="00CD50BB">
              <w:rPr>
                <w:vertAlign w:val="subscript"/>
              </w:rPr>
              <w:t>NS</w:t>
            </w:r>
            <w:r>
              <w:t xml:space="preserve"> = 0.55).</w:t>
            </w:r>
          </w:p>
        </w:tc>
        <w:tc>
          <w:tcPr>
            <w:tcW w:w="337" w:type="pct"/>
            <w:noWrap/>
            <w:hideMark/>
          </w:tcPr>
          <w:p w14:paraId="706DD104" w14:textId="247DEBB2" w:rsidR="0066486F" w:rsidRPr="00496273" w:rsidRDefault="0066486F" w:rsidP="0066486F">
            <w:pPr>
              <w:pStyle w:val="Tabletext1"/>
              <w:jc w:val="right"/>
            </w:pPr>
            <w:r w:rsidRPr="00387B86">
              <w:t>$62,096</w:t>
            </w:r>
          </w:p>
        </w:tc>
        <w:tc>
          <w:tcPr>
            <w:tcW w:w="337" w:type="pct"/>
            <w:noWrap/>
            <w:hideMark/>
          </w:tcPr>
          <w:p w14:paraId="3FF88C6D" w14:textId="06DD46B8" w:rsidR="0066486F" w:rsidRPr="00496273" w:rsidRDefault="0066486F" w:rsidP="0066486F">
            <w:pPr>
              <w:pStyle w:val="Tabletext1"/>
              <w:jc w:val="right"/>
            </w:pPr>
            <w:r w:rsidRPr="00387B86">
              <w:t>$24,391</w:t>
            </w:r>
          </w:p>
        </w:tc>
        <w:tc>
          <w:tcPr>
            <w:tcW w:w="337" w:type="pct"/>
            <w:noWrap/>
            <w:hideMark/>
          </w:tcPr>
          <w:p w14:paraId="3D3002BF" w14:textId="70571F20" w:rsidR="0066486F" w:rsidRPr="00496273" w:rsidRDefault="0066486F" w:rsidP="0066486F">
            <w:pPr>
              <w:pStyle w:val="Tabletext1"/>
              <w:jc w:val="right"/>
            </w:pPr>
            <w:r w:rsidRPr="00387B86">
              <w:t>$37,705</w:t>
            </w:r>
          </w:p>
        </w:tc>
        <w:tc>
          <w:tcPr>
            <w:tcW w:w="313" w:type="pct"/>
            <w:noWrap/>
            <w:hideMark/>
          </w:tcPr>
          <w:p w14:paraId="75E6285C" w14:textId="3CD323F8" w:rsidR="0066486F" w:rsidRPr="00496273" w:rsidRDefault="0066486F" w:rsidP="0066486F">
            <w:pPr>
              <w:pStyle w:val="Tabletext1"/>
              <w:jc w:val="right"/>
            </w:pPr>
            <w:r w:rsidRPr="00387B86">
              <w:t>5.33</w:t>
            </w:r>
          </w:p>
        </w:tc>
        <w:tc>
          <w:tcPr>
            <w:tcW w:w="313" w:type="pct"/>
            <w:noWrap/>
            <w:hideMark/>
          </w:tcPr>
          <w:p w14:paraId="19A73C7F" w14:textId="27A4DD6C" w:rsidR="0066486F" w:rsidRPr="00496273" w:rsidRDefault="0066486F" w:rsidP="0066486F">
            <w:pPr>
              <w:pStyle w:val="Tabletext1"/>
              <w:jc w:val="right"/>
            </w:pPr>
            <w:r w:rsidRPr="00387B86">
              <w:t>4.69</w:t>
            </w:r>
          </w:p>
        </w:tc>
        <w:tc>
          <w:tcPr>
            <w:tcW w:w="313" w:type="pct"/>
            <w:noWrap/>
            <w:hideMark/>
          </w:tcPr>
          <w:p w14:paraId="3FC89D58" w14:textId="0DC7DE50" w:rsidR="0066486F" w:rsidRPr="00496273" w:rsidRDefault="0066486F" w:rsidP="0066486F">
            <w:pPr>
              <w:pStyle w:val="Tabletext1"/>
              <w:jc w:val="right"/>
            </w:pPr>
            <w:r w:rsidRPr="00387B86">
              <w:t>0.65</w:t>
            </w:r>
          </w:p>
        </w:tc>
        <w:tc>
          <w:tcPr>
            <w:tcW w:w="313" w:type="pct"/>
            <w:noWrap/>
            <w:hideMark/>
          </w:tcPr>
          <w:p w14:paraId="0E48FE35" w14:textId="47A863F3" w:rsidR="0066486F" w:rsidRPr="00496273" w:rsidRDefault="0066486F" w:rsidP="0066486F">
            <w:pPr>
              <w:pStyle w:val="Tabletext1"/>
              <w:jc w:val="right"/>
            </w:pPr>
            <w:r w:rsidRPr="00387B86">
              <w:t>3.76</w:t>
            </w:r>
          </w:p>
        </w:tc>
        <w:tc>
          <w:tcPr>
            <w:tcW w:w="313" w:type="pct"/>
            <w:noWrap/>
            <w:hideMark/>
          </w:tcPr>
          <w:p w14:paraId="214CE470" w14:textId="0A6B626A" w:rsidR="0066486F" w:rsidRPr="00496273" w:rsidRDefault="0066486F" w:rsidP="0066486F">
            <w:pPr>
              <w:pStyle w:val="Tabletext1"/>
              <w:jc w:val="right"/>
            </w:pPr>
            <w:r w:rsidRPr="00387B86">
              <w:t>3.23</w:t>
            </w:r>
          </w:p>
        </w:tc>
        <w:tc>
          <w:tcPr>
            <w:tcW w:w="313" w:type="pct"/>
            <w:noWrap/>
            <w:hideMark/>
          </w:tcPr>
          <w:p w14:paraId="1DE46479" w14:textId="470080D9" w:rsidR="0066486F" w:rsidRPr="00496273" w:rsidRDefault="0066486F" w:rsidP="0066486F">
            <w:pPr>
              <w:pStyle w:val="Tabletext1"/>
              <w:jc w:val="right"/>
            </w:pPr>
            <w:r w:rsidRPr="00387B86">
              <w:t>0.52</w:t>
            </w:r>
          </w:p>
        </w:tc>
        <w:tc>
          <w:tcPr>
            <w:tcW w:w="395" w:type="pct"/>
            <w:noWrap/>
            <w:hideMark/>
          </w:tcPr>
          <w:p w14:paraId="5DEF29E1" w14:textId="53B3E714" w:rsidR="0066486F" w:rsidRPr="00B25A63" w:rsidRDefault="0066486F" w:rsidP="0066486F">
            <w:pPr>
              <w:pStyle w:val="Tabletext1"/>
              <w:jc w:val="right"/>
            </w:pPr>
            <w:r w:rsidRPr="00387B86">
              <w:t>$71,951 ($48,060 − $195,142)</w:t>
            </w:r>
          </w:p>
        </w:tc>
      </w:tr>
      <w:tr w:rsidR="0066486F" w:rsidRPr="00ED3101" w14:paraId="3C9862E6" w14:textId="77777777" w:rsidTr="00D81C95">
        <w:trPr>
          <w:trHeight w:val="300"/>
        </w:trPr>
        <w:tc>
          <w:tcPr>
            <w:tcW w:w="1716" w:type="pct"/>
            <w:hideMark/>
          </w:tcPr>
          <w:p w14:paraId="52AA835F" w14:textId="77777777" w:rsidR="0066486F" w:rsidRDefault="0066486F" w:rsidP="0066486F">
            <w:pPr>
              <w:pStyle w:val="Tabletext1"/>
            </w:pPr>
            <w:r w:rsidRPr="00903496">
              <w:t>NHL</w:t>
            </w:r>
          </w:p>
          <w:p w14:paraId="727EA3FB" w14:textId="0245FD2D" w:rsidR="0066486F" w:rsidRPr="00D77EBF" w:rsidRDefault="0066486F" w:rsidP="00BB0145">
            <w:pPr>
              <w:pStyle w:val="Tabletext1"/>
            </w:pPr>
            <w:r>
              <w:t>Assumes the average patient demographics (age: 68, weight: 76.3 kg) and dose (0.36 g/kg) from BloodSTAR data for this indication. Baseline infection rates and mortality rates</w:t>
            </w:r>
            <w:r w:rsidRPr="001A6A75">
              <w:rPr>
                <w:vertAlign w:val="superscript"/>
              </w:rPr>
              <w:t>b</w:t>
            </w:r>
            <w:r>
              <w:t xml:space="preserve"> are unchanged from the base case analysis and the treatment effect of Ig is based on the Duraisingham et al. </w:t>
            </w:r>
            <w:r>
              <w:fldChar w:fldCharType="begin">
                <w:fldData xml:space="preserve">PEVuZE5vdGU+PENpdGUgRXhjbHVkZUF1dGg9IjEiPjxBdXRob3I+RHVyYWlzaW5naGFtPC9BdXRo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</w:fldData>
              </w:fldChar>
            </w:r>
            <w:r>
              <w:instrText xml:space="preserve"> ADDIN EN.CITE </w:instrText>
            </w:r>
            <w:r>
              <w:fldChar w:fldCharType="begin">
                <w:fldData xml:space="preserve">PEVuZE5vdGU+PENpdGUgRXhjbHVkZUF1dGg9IjEiPjxBdXRob3I+RHVyYWlzaW5naGFtPC9BdXRo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</w:fldData>
              </w:fldChar>
            </w:r>
            <w:r>
              <w:instrText xml:space="preserve"> ADDIN EN.CITE.DATA </w:instrText>
            </w:r>
            <w:r>
              <w:fldChar w:fldCharType="end"/>
            </w:r>
            <w:r>
              <w:fldChar w:fldCharType="separate"/>
            </w:r>
            <w:r>
              <w:rPr>
                <w:noProof/>
              </w:rPr>
              <w:t>(</w:t>
            </w:r>
            <w:hyperlink w:anchor="_ENREF_16" w:tooltip="Duraisingham, 2014 #20" w:history="1">
              <w:r w:rsidR="00BB0145">
                <w:rPr>
                  <w:noProof/>
                </w:rPr>
                <w:t>2014</w:t>
              </w:r>
            </w:hyperlink>
            <w:r>
              <w:rPr>
                <w:noProof/>
              </w:rPr>
              <w:t>)</w:t>
            </w:r>
            <w:r>
              <w:fldChar w:fldCharType="end"/>
            </w:r>
            <w:r>
              <w:t xml:space="preserve"> study</w:t>
            </w:r>
            <w:r w:rsidRPr="001A6A75">
              <w:rPr>
                <w:vertAlign w:val="superscript"/>
              </w:rPr>
              <w:t>c</w:t>
            </w:r>
            <w:r>
              <w:t xml:space="preserve"> (IRR</w:t>
            </w:r>
            <w:r w:rsidRPr="00CD50BB">
              <w:rPr>
                <w:vertAlign w:val="subscript"/>
              </w:rPr>
              <w:t>S</w:t>
            </w:r>
            <w:r>
              <w:t xml:space="preserve"> = 0.27, IRR</w:t>
            </w:r>
            <w:r w:rsidRPr="00CD50BB">
              <w:rPr>
                <w:vertAlign w:val="subscript"/>
              </w:rPr>
              <w:t>NS</w:t>
            </w:r>
            <w:r>
              <w:t xml:space="preserve"> = 0.57).</w:t>
            </w:r>
          </w:p>
        </w:tc>
        <w:tc>
          <w:tcPr>
            <w:tcW w:w="337" w:type="pct"/>
            <w:noWrap/>
            <w:hideMark/>
          </w:tcPr>
          <w:p w14:paraId="7F65D788" w14:textId="2F2436D7" w:rsidR="0066486F" w:rsidRPr="00496273" w:rsidRDefault="0066486F" w:rsidP="0066486F">
            <w:pPr>
              <w:pStyle w:val="Tabletext1"/>
              <w:jc w:val="right"/>
            </w:pPr>
            <w:r w:rsidRPr="00387B86">
              <w:t>$78,786</w:t>
            </w:r>
          </w:p>
        </w:tc>
        <w:tc>
          <w:tcPr>
            <w:tcW w:w="337" w:type="pct"/>
            <w:noWrap/>
            <w:hideMark/>
          </w:tcPr>
          <w:p w14:paraId="010A6649" w14:textId="3393B1E6" w:rsidR="0066486F" w:rsidRPr="00496273" w:rsidRDefault="0066486F" w:rsidP="0066486F">
            <w:pPr>
              <w:pStyle w:val="Tabletext1"/>
              <w:jc w:val="right"/>
            </w:pPr>
            <w:r w:rsidRPr="00387B86">
              <w:t>$35,295</w:t>
            </w:r>
          </w:p>
        </w:tc>
        <w:tc>
          <w:tcPr>
            <w:tcW w:w="337" w:type="pct"/>
            <w:noWrap/>
            <w:hideMark/>
          </w:tcPr>
          <w:p w14:paraId="0702A4F6" w14:textId="175D2CBB" w:rsidR="0066486F" w:rsidRPr="00496273" w:rsidRDefault="0066486F" w:rsidP="0066486F">
            <w:pPr>
              <w:pStyle w:val="Tabletext1"/>
              <w:jc w:val="right"/>
            </w:pPr>
            <w:r w:rsidRPr="00387B86">
              <w:t>$43,491</w:t>
            </w:r>
          </w:p>
        </w:tc>
        <w:tc>
          <w:tcPr>
            <w:tcW w:w="313" w:type="pct"/>
            <w:noWrap/>
            <w:hideMark/>
          </w:tcPr>
          <w:p w14:paraId="0B7F2BD1" w14:textId="7B65BEC7" w:rsidR="0066486F" w:rsidRPr="00496273" w:rsidRDefault="0066486F" w:rsidP="0066486F">
            <w:pPr>
              <w:pStyle w:val="Tabletext1"/>
              <w:jc w:val="right"/>
            </w:pPr>
            <w:r w:rsidRPr="00387B86">
              <w:t>6.53</w:t>
            </w:r>
          </w:p>
        </w:tc>
        <w:tc>
          <w:tcPr>
            <w:tcW w:w="313" w:type="pct"/>
            <w:noWrap/>
            <w:hideMark/>
          </w:tcPr>
          <w:p w14:paraId="28C0A39E" w14:textId="151F679D" w:rsidR="0066486F" w:rsidRPr="00496273" w:rsidRDefault="0066486F" w:rsidP="0066486F">
            <w:pPr>
              <w:pStyle w:val="Tabletext1"/>
              <w:jc w:val="right"/>
            </w:pPr>
            <w:r w:rsidRPr="00387B86">
              <w:t>6.08</w:t>
            </w:r>
          </w:p>
        </w:tc>
        <w:tc>
          <w:tcPr>
            <w:tcW w:w="313" w:type="pct"/>
            <w:noWrap/>
            <w:hideMark/>
          </w:tcPr>
          <w:p w14:paraId="0151A674" w14:textId="0C25FAEB" w:rsidR="0066486F" w:rsidRPr="00496273" w:rsidRDefault="0066486F" w:rsidP="0066486F">
            <w:pPr>
              <w:pStyle w:val="Tabletext1"/>
              <w:jc w:val="right"/>
            </w:pPr>
            <w:r w:rsidRPr="00387B86">
              <w:t>0.45</w:t>
            </w:r>
          </w:p>
        </w:tc>
        <w:tc>
          <w:tcPr>
            <w:tcW w:w="313" w:type="pct"/>
            <w:noWrap/>
            <w:hideMark/>
          </w:tcPr>
          <w:p w14:paraId="346B54E5" w14:textId="38BF759D" w:rsidR="0066486F" w:rsidRPr="00496273" w:rsidRDefault="0066486F" w:rsidP="0066486F">
            <w:pPr>
              <w:pStyle w:val="Tabletext1"/>
              <w:jc w:val="right"/>
            </w:pPr>
            <w:r w:rsidRPr="00387B86">
              <w:t>4.57</w:t>
            </w:r>
          </w:p>
        </w:tc>
        <w:tc>
          <w:tcPr>
            <w:tcW w:w="313" w:type="pct"/>
            <w:noWrap/>
            <w:hideMark/>
          </w:tcPr>
          <w:p w14:paraId="14A49F7D" w14:textId="0D931FFE" w:rsidR="0066486F" w:rsidRPr="00496273" w:rsidRDefault="0066486F" w:rsidP="0066486F">
            <w:pPr>
              <w:pStyle w:val="Tabletext1"/>
              <w:jc w:val="right"/>
            </w:pPr>
            <w:r w:rsidRPr="00387B86">
              <w:t>4.16</w:t>
            </w:r>
          </w:p>
        </w:tc>
        <w:tc>
          <w:tcPr>
            <w:tcW w:w="313" w:type="pct"/>
            <w:noWrap/>
            <w:hideMark/>
          </w:tcPr>
          <w:p w14:paraId="0A872DEB" w14:textId="2817C58A" w:rsidR="0066486F" w:rsidRPr="00496273" w:rsidRDefault="0066486F" w:rsidP="0066486F">
            <w:pPr>
              <w:pStyle w:val="Tabletext1"/>
              <w:jc w:val="right"/>
            </w:pPr>
            <w:r w:rsidRPr="00387B86">
              <w:t>0.41</w:t>
            </w:r>
          </w:p>
        </w:tc>
        <w:tc>
          <w:tcPr>
            <w:tcW w:w="395" w:type="pct"/>
            <w:noWrap/>
            <w:hideMark/>
          </w:tcPr>
          <w:p w14:paraId="7EF949FD" w14:textId="33021381" w:rsidR="0066486F" w:rsidRPr="00B25A63" w:rsidRDefault="0066486F" w:rsidP="0066486F">
            <w:pPr>
              <w:pStyle w:val="Tabletext1"/>
              <w:jc w:val="right"/>
            </w:pPr>
            <w:r w:rsidRPr="00387B86">
              <w:t>$106,290 ($70,579 − $290,434)</w:t>
            </w:r>
          </w:p>
        </w:tc>
      </w:tr>
      <w:tr w:rsidR="0066486F" w:rsidRPr="00ED3101" w14:paraId="31AD30D9" w14:textId="77777777" w:rsidTr="007D3D74">
        <w:trPr>
          <w:cantSplit/>
          <w:trHeight w:val="300"/>
        </w:trPr>
        <w:tc>
          <w:tcPr>
            <w:tcW w:w="1716" w:type="pct"/>
            <w:hideMark/>
          </w:tcPr>
          <w:p w14:paraId="3D16F24A" w14:textId="77777777" w:rsidR="0066486F" w:rsidRDefault="0066486F" w:rsidP="0066486F">
            <w:pPr>
              <w:pStyle w:val="Tabletext1"/>
            </w:pPr>
            <w:r w:rsidRPr="00611885">
              <w:lastRenderedPageBreak/>
              <w:t>AL</w:t>
            </w:r>
          </w:p>
          <w:p w14:paraId="3459C777" w14:textId="0FCFAF61" w:rsidR="0066486F" w:rsidRPr="00D77EBF" w:rsidRDefault="0066486F" w:rsidP="00BB0145">
            <w:pPr>
              <w:pStyle w:val="Tabletext1"/>
            </w:pPr>
            <w:r>
              <w:t>Assumes the average patient demographics (age: 37, weight: 57.1 kg) and dose (0.37 g/kg) from BloodSTAR data for this indication. Baseline infection rates and mortality rates</w:t>
            </w:r>
            <w:r>
              <w:rPr>
                <w:vertAlign w:val="superscript"/>
              </w:rPr>
              <w:t>d</w:t>
            </w:r>
            <w:r>
              <w:t xml:space="preserve"> are unchanged from the base case analysis and the treatment effect of Ig is based on the Van Winkle et al. </w:t>
            </w:r>
            <w:r>
              <w:fldChar w:fldCharType="begin">
                <w:fldData xml:space="preserve">PEVuZE5vdGU+PENpdGUgRXhjbHVkZUF1dGg9IjEiPjxBdXRob3I+VmFuIFdpbmtsZTwvQXV0aG9y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</w:fldData>
              </w:fldChar>
            </w:r>
            <w:r>
              <w:instrText xml:space="preserve"> ADDIN EN.CITE </w:instrText>
            </w:r>
            <w:r>
              <w:fldChar w:fldCharType="begin">
                <w:fldData xml:space="preserve">PEVuZE5vdGU+PENpdGUgRXhjbHVkZUF1dGg9IjEiPjxBdXRob3I+VmFuIFdpbmtsZTwvQXV0aG9y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</w:fldData>
              </w:fldChar>
            </w:r>
            <w:r>
              <w:instrText xml:space="preserve"> ADDIN EN.CITE.DATA </w:instrText>
            </w:r>
            <w:r>
              <w:fldChar w:fldCharType="end"/>
            </w:r>
            <w:r>
              <w:fldChar w:fldCharType="separate"/>
            </w:r>
            <w:r>
              <w:rPr>
                <w:noProof/>
              </w:rPr>
              <w:t>(</w:t>
            </w:r>
            <w:hyperlink w:anchor="_ENREF_53" w:tooltip="Van Winkle, 2018 #26" w:history="1">
              <w:r w:rsidR="00BB0145">
                <w:rPr>
                  <w:noProof/>
                </w:rPr>
                <w:t>2018</w:t>
              </w:r>
            </w:hyperlink>
            <w:r>
              <w:rPr>
                <w:noProof/>
              </w:rPr>
              <w:t>)</w:t>
            </w:r>
            <w:r>
              <w:fldChar w:fldCharType="end"/>
            </w:r>
            <w:r>
              <w:t xml:space="preserve"> study (IRR</w:t>
            </w:r>
            <w:r w:rsidRPr="00CD50BB">
              <w:rPr>
                <w:vertAlign w:val="subscript"/>
              </w:rPr>
              <w:t>S</w:t>
            </w:r>
            <w:r>
              <w:t xml:space="preserve"> = 0.32, IRR</w:t>
            </w:r>
            <w:r w:rsidRPr="00CD50BB">
              <w:rPr>
                <w:vertAlign w:val="subscript"/>
              </w:rPr>
              <w:t>NS</w:t>
            </w:r>
            <w:r>
              <w:t xml:space="preserve"> = 0.11).</w:t>
            </w:r>
          </w:p>
        </w:tc>
        <w:tc>
          <w:tcPr>
            <w:tcW w:w="337" w:type="pct"/>
            <w:noWrap/>
            <w:hideMark/>
          </w:tcPr>
          <w:p w14:paraId="7345FE1D" w14:textId="19D1FCED" w:rsidR="0066486F" w:rsidRPr="00496273" w:rsidRDefault="0066486F" w:rsidP="0066486F">
            <w:pPr>
              <w:pStyle w:val="Tabletext1"/>
              <w:jc w:val="right"/>
            </w:pPr>
            <w:r w:rsidRPr="00387B86">
              <w:t>$64,623</w:t>
            </w:r>
          </w:p>
        </w:tc>
        <w:tc>
          <w:tcPr>
            <w:tcW w:w="337" w:type="pct"/>
            <w:noWrap/>
            <w:hideMark/>
          </w:tcPr>
          <w:p w14:paraId="5F328F3A" w14:textId="78172967" w:rsidR="0066486F" w:rsidRPr="00496273" w:rsidRDefault="0066486F" w:rsidP="0066486F">
            <w:pPr>
              <w:pStyle w:val="Tabletext1"/>
              <w:jc w:val="right"/>
            </w:pPr>
            <w:r w:rsidRPr="00387B86">
              <w:t>$82,737</w:t>
            </w:r>
          </w:p>
        </w:tc>
        <w:tc>
          <w:tcPr>
            <w:tcW w:w="337" w:type="pct"/>
            <w:noWrap/>
            <w:hideMark/>
          </w:tcPr>
          <w:p w14:paraId="31AD851B" w14:textId="26A6921A" w:rsidR="0066486F" w:rsidRPr="00496273" w:rsidRDefault="0066486F" w:rsidP="0066486F">
            <w:pPr>
              <w:pStyle w:val="Tabletext1"/>
              <w:jc w:val="right"/>
            </w:pPr>
            <w:r w:rsidRPr="00387B86">
              <w:t>–$18,113</w:t>
            </w:r>
          </w:p>
        </w:tc>
        <w:tc>
          <w:tcPr>
            <w:tcW w:w="313" w:type="pct"/>
            <w:noWrap/>
            <w:hideMark/>
          </w:tcPr>
          <w:p w14:paraId="68D818E6" w14:textId="286B1D1F" w:rsidR="0066486F" w:rsidRPr="00496273" w:rsidRDefault="0066486F" w:rsidP="0066486F">
            <w:pPr>
              <w:pStyle w:val="Tabletext1"/>
              <w:jc w:val="right"/>
            </w:pPr>
            <w:r w:rsidRPr="00387B86">
              <w:t>7.79</w:t>
            </w:r>
          </w:p>
        </w:tc>
        <w:tc>
          <w:tcPr>
            <w:tcW w:w="313" w:type="pct"/>
            <w:noWrap/>
            <w:hideMark/>
          </w:tcPr>
          <w:p w14:paraId="45402352" w14:textId="7B898D78" w:rsidR="0066486F" w:rsidRPr="00496273" w:rsidRDefault="0066486F" w:rsidP="0066486F">
            <w:pPr>
              <w:pStyle w:val="Tabletext1"/>
              <w:jc w:val="right"/>
            </w:pPr>
            <w:r w:rsidRPr="00387B86">
              <w:t>7.64</w:t>
            </w:r>
          </w:p>
        </w:tc>
        <w:tc>
          <w:tcPr>
            <w:tcW w:w="313" w:type="pct"/>
            <w:noWrap/>
            <w:hideMark/>
          </w:tcPr>
          <w:p w14:paraId="4897CC9E" w14:textId="282511A6" w:rsidR="0066486F" w:rsidRPr="00496273" w:rsidRDefault="0066486F" w:rsidP="0066486F">
            <w:pPr>
              <w:pStyle w:val="Tabletext1"/>
              <w:jc w:val="right"/>
            </w:pPr>
            <w:r w:rsidRPr="00387B86">
              <w:t>0.15</w:t>
            </w:r>
          </w:p>
        </w:tc>
        <w:tc>
          <w:tcPr>
            <w:tcW w:w="313" w:type="pct"/>
            <w:noWrap/>
            <w:hideMark/>
          </w:tcPr>
          <w:p w14:paraId="02919C59" w14:textId="3122E127" w:rsidR="0066486F" w:rsidRPr="00496273" w:rsidRDefault="0066486F" w:rsidP="0066486F">
            <w:pPr>
              <w:pStyle w:val="Tabletext1"/>
              <w:jc w:val="right"/>
            </w:pPr>
            <w:r w:rsidRPr="00387B86">
              <w:t>5.48</w:t>
            </w:r>
          </w:p>
        </w:tc>
        <w:tc>
          <w:tcPr>
            <w:tcW w:w="313" w:type="pct"/>
            <w:noWrap/>
            <w:hideMark/>
          </w:tcPr>
          <w:p w14:paraId="2727B8BB" w14:textId="11E391D1" w:rsidR="0066486F" w:rsidRPr="00496273" w:rsidRDefault="0066486F" w:rsidP="0066486F">
            <w:pPr>
              <w:pStyle w:val="Tabletext1"/>
              <w:jc w:val="right"/>
            </w:pPr>
            <w:r w:rsidRPr="00387B86">
              <w:t>5.08</w:t>
            </w:r>
          </w:p>
        </w:tc>
        <w:tc>
          <w:tcPr>
            <w:tcW w:w="313" w:type="pct"/>
            <w:noWrap/>
            <w:hideMark/>
          </w:tcPr>
          <w:p w14:paraId="39E6B2D5" w14:textId="3F1090E9" w:rsidR="0066486F" w:rsidRPr="00496273" w:rsidRDefault="0066486F" w:rsidP="0066486F">
            <w:pPr>
              <w:pStyle w:val="Tabletext1"/>
              <w:jc w:val="right"/>
            </w:pPr>
            <w:r w:rsidRPr="00387B86">
              <w:t>0.40</w:t>
            </w:r>
          </w:p>
        </w:tc>
        <w:tc>
          <w:tcPr>
            <w:tcW w:w="395" w:type="pct"/>
            <w:noWrap/>
            <w:hideMark/>
          </w:tcPr>
          <w:p w14:paraId="62675823" w14:textId="4A4773F1" w:rsidR="0066486F" w:rsidRPr="00B25A63" w:rsidRDefault="0066486F" w:rsidP="0066486F">
            <w:pPr>
              <w:pStyle w:val="Tabletext1"/>
              <w:jc w:val="right"/>
            </w:pPr>
            <w:r w:rsidRPr="00387B86">
              <w:t>Dominant</w:t>
            </w:r>
            <w:r w:rsidR="000C44D1" w:rsidRPr="000C44D1">
              <w:rPr>
                <w:vertAlign w:val="superscript"/>
              </w:rPr>
              <w:t>e</w:t>
            </w:r>
            <w:r w:rsidRPr="00387B86">
              <w:t xml:space="preserve"> (Dominant − $98,879)</w:t>
            </w:r>
          </w:p>
        </w:tc>
      </w:tr>
      <w:tr w:rsidR="0066486F" w:rsidRPr="00ED3101" w14:paraId="04A838B1" w14:textId="77777777" w:rsidTr="00D81C95">
        <w:trPr>
          <w:trHeight w:val="300"/>
        </w:trPr>
        <w:tc>
          <w:tcPr>
            <w:tcW w:w="1716" w:type="pct"/>
            <w:hideMark/>
          </w:tcPr>
          <w:p w14:paraId="5C37D184" w14:textId="77777777" w:rsidR="0066486F" w:rsidRDefault="0066486F" w:rsidP="0066486F">
            <w:pPr>
              <w:pStyle w:val="Tabletext1"/>
            </w:pPr>
            <w:r w:rsidRPr="00987097">
              <w:t>Post-HSCT</w:t>
            </w:r>
          </w:p>
          <w:p w14:paraId="646DA93D" w14:textId="24D478DA" w:rsidR="0066486F" w:rsidRPr="00D77EBF" w:rsidRDefault="0066486F" w:rsidP="00BB0145">
            <w:pPr>
              <w:pStyle w:val="Tabletext1"/>
            </w:pPr>
            <w:r>
              <w:t>Assumes the average patient demographics (age: 42, weight: 63.6 kg) and dose (0.37 g/kg) from BloodSTAR data for this indication. Baseline infection rates and mortality rates</w:t>
            </w:r>
            <w:r w:rsidR="000C44D1">
              <w:rPr>
                <w:vertAlign w:val="superscript"/>
              </w:rPr>
              <w:t>f</w:t>
            </w:r>
            <w:r>
              <w:t xml:space="preserve"> are unchanged from the base case analysis and the treatment effect of Ig is based on the Sullivan et al. </w:t>
            </w:r>
            <w:r>
              <w:fldChar w:fldCharType="begin">
                <w:fldData xml:space="preserve">PEVuZE5vdGU+PENpdGUgRXhjbHVkZUF1dGg9IjEiPjxBdXRob3I+U3VsbGl2YW48L0F1dGhvcj48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</w:fldData>
              </w:fldChar>
            </w:r>
            <w:r>
              <w:instrText xml:space="preserve"> ADDIN EN.CITE </w:instrText>
            </w:r>
            <w:r>
              <w:fldChar w:fldCharType="begin">
                <w:fldData xml:space="preserve">PEVuZE5vdGU+PENpdGUgRXhjbHVkZUF1dGg9IjEiPjxBdXRob3I+U3VsbGl2YW48L0F1dGhvcj48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</w:fldData>
              </w:fldChar>
            </w:r>
            <w:r>
              <w:instrText xml:space="preserve"> ADDIN EN.CITE.DATA </w:instrText>
            </w:r>
            <w:r>
              <w:fldChar w:fldCharType="end"/>
            </w:r>
            <w:r>
              <w:fldChar w:fldCharType="separate"/>
            </w:r>
            <w:r>
              <w:rPr>
                <w:noProof/>
              </w:rPr>
              <w:t>(</w:t>
            </w:r>
            <w:hyperlink w:anchor="_ENREF_48" w:tooltip="Sullivan, 1990 #67" w:history="1">
              <w:r w:rsidR="00BB0145">
                <w:rPr>
                  <w:noProof/>
                </w:rPr>
                <w:t>1990</w:t>
              </w:r>
            </w:hyperlink>
            <w:r>
              <w:rPr>
                <w:noProof/>
              </w:rPr>
              <w:t>)</w:t>
            </w:r>
            <w:r>
              <w:fldChar w:fldCharType="end"/>
            </w:r>
            <w:r>
              <w:t xml:space="preserve"> study (IRR</w:t>
            </w:r>
            <w:r w:rsidRPr="00CD50BB">
              <w:rPr>
                <w:vertAlign w:val="subscript"/>
              </w:rPr>
              <w:t>S</w:t>
            </w:r>
            <w:r>
              <w:t xml:space="preserve"> = 0.59, IRR</w:t>
            </w:r>
            <w:r w:rsidRPr="00CD50BB">
              <w:rPr>
                <w:vertAlign w:val="subscript"/>
              </w:rPr>
              <w:t>NS</w:t>
            </w:r>
            <w:r>
              <w:t xml:space="preserve"> = 0.68).</w:t>
            </w:r>
          </w:p>
        </w:tc>
        <w:tc>
          <w:tcPr>
            <w:tcW w:w="337" w:type="pct"/>
            <w:noWrap/>
            <w:hideMark/>
          </w:tcPr>
          <w:p w14:paraId="5E0285C4" w14:textId="6FC69E80" w:rsidR="0066486F" w:rsidRPr="00496273" w:rsidRDefault="0066486F" w:rsidP="0066486F">
            <w:pPr>
              <w:pStyle w:val="Tabletext1"/>
              <w:jc w:val="right"/>
            </w:pPr>
            <w:r w:rsidRPr="00387B86">
              <w:t>$104,842</w:t>
            </w:r>
          </w:p>
        </w:tc>
        <w:tc>
          <w:tcPr>
            <w:tcW w:w="337" w:type="pct"/>
            <w:noWrap/>
            <w:hideMark/>
          </w:tcPr>
          <w:p w14:paraId="21D28CAB" w14:textId="31BB8498" w:rsidR="0066486F" w:rsidRPr="00496273" w:rsidRDefault="0066486F" w:rsidP="0066486F">
            <w:pPr>
              <w:pStyle w:val="Tabletext1"/>
              <w:jc w:val="right"/>
            </w:pPr>
            <w:r w:rsidRPr="00387B86">
              <w:t>$46,594</w:t>
            </w:r>
          </w:p>
        </w:tc>
        <w:tc>
          <w:tcPr>
            <w:tcW w:w="337" w:type="pct"/>
            <w:noWrap/>
            <w:hideMark/>
          </w:tcPr>
          <w:p w14:paraId="256B3525" w14:textId="01DA8ADF" w:rsidR="0066486F" w:rsidRPr="00496273" w:rsidRDefault="0066486F" w:rsidP="0066486F">
            <w:pPr>
              <w:pStyle w:val="Tabletext1"/>
              <w:jc w:val="right"/>
            </w:pPr>
            <w:r w:rsidRPr="00387B86">
              <w:t>$58,249</w:t>
            </w:r>
          </w:p>
        </w:tc>
        <w:tc>
          <w:tcPr>
            <w:tcW w:w="313" w:type="pct"/>
            <w:noWrap/>
            <w:hideMark/>
          </w:tcPr>
          <w:p w14:paraId="1CE288B0" w14:textId="67C51A74" w:rsidR="0066486F" w:rsidRPr="00496273" w:rsidRDefault="0066486F" w:rsidP="0066486F">
            <w:pPr>
              <w:pStyle w:val="Tabletext1"/>
              <w:jc w:val="right"/>
            </w:pPr>
            <w:r w:rsidRPr="00387B86">
              <w:t>7.68</w:t>
            </w:r>
          </w:p>
        </w:tc>
        <w:tc>
          <w:tcPr>
            <w:tcW w:w="313" w:type="pct"/>
            <w:noWrap/>
            <w:hideMark/>
          </w:tcPr>
          <w:p w14:paraId="39A27CEA" w14:textId="58EB64F0" w:rsidR="0066486F" w:rsidRPr="00496273" w:rsidRDefault="0066486F" w:rsidP="0066486F">
            <w:pPr>
              <w:pStyle w:val="Tabletext1"/>
              <w:jc w:val="right"/>
            </w:pPr>
            <w:r w:rsidRPr="00387B86">
              <w:t>7.62</w:t>
            </w:r>
          </w:p>
        </w:tc>
        <w:tc>
          <w:tcPr>
            <w:tcW w:w="313" w:type="pct"/>
            <w:noWrap/>
            <w:hideMark/>
          </w:tcPr>
          <w:p w14:paraId="299EE098" w14:textId="705E503F" w:rsidR="0066486F" w:rsidRPr="00496273" w:rsidRDefault="0066486F" w:rsidP="0066486F">
            <w:pPr>
              <w:pStyle w:val="Tabletext1"/>
              <w:jc w:val="right"/>
            </w:pPr>
            <w:r w:rsidRPr="00387B86">
              <w:t>0.06</w:t>
            </w:r>
          </w:p>
        </w:tc>
        <w:tc>
          <w:tcPr>
            <w:tcW w:w="313" w:type="pct"/>
            <w:noWrap/>
            <w:hideMark/>
          </w:tcPr>
          <w:p w14:paraId="4F1AFAEA" w14:textId="5139EB30" w:rsidR="0066486F" w:rsidRPr="00496273" w:rsidRDefault="0066486F" w:rsidP="0066486F">
            <w:pPr>
              <w:pStyle w:val="Tabletext1"/>
              <w:jc w:val="right"/>
            </w:pPr>
            <w:r w:rsidRPr="00387B86">
              <w:t>5.29</w:t>
            </w:r>
          </w:p>
        </w:tc>
        <w:tc>
          <w:tcPr>
            <w:tcW w:w="313" w:type="pct"/>
            <w:noWrap/>
            <w:hideMark/>
          </w:tcPr>
          <w:p w14:paraId="5918B8B9" w14:textId="4C2492FF" w:rsidR="0066486F" w:rsidRPr="00496273" w:rsidRDefault="0066486F" w:rsidP="0066486F">
            <w:pPr>
              <w:pStyle w:val="Tabletext1"/>
              <w:jc w:val="right"/>
            </w:pPr>
            <w:r w:rsidRPr="00387B86">
              <w:t>5.16</w:t>
            </w:r>
          </w:p>
        </w:tc>
        <w:tc>
          <w:tcPr>
            <w:tcW w:w="313" w:type="pct"/>
            <w:noWrap/>
            <w:hideMark/>
          </w:tcPr>
          <w:p w14:paraId="2473899E" w14:textId="45CC202B" w:rsidR="0066486F" w:rsidRDefault="0066486F" w:rsidP="0066486F">
            <w:pPr>
              <w:pStyle w:val="Tabletext1"/>
              <w:jc w:val="right"/>
            </w:pPr>
            <w:r w:rsidRPr="00387B86">
              <w:t>0.13</w:t>
            </w:r>
          </w:p>
        </w:tc>
        <w:tc>
          <w:tcPr>
            <w:tcW w:w="395" w:type="pct"/>
            <w:noWrap/>
            <w:hideMark/>
          </w:tcPr>
          <w:p w14:paraId="7F734843" w14:textId="2DB2305A" w:rsidR="0066486F" w:rsidRDefault="0066486F" w:rsidP="0066486F">
            <w:pPr>
              <w:pStyle w:val="Tabletext1"/>
              <w:jc w:val="right"/>
            </w:pPr>
            <w:r w:rsidRPr="00387B86">
              <w:t>$442,863 ($314,180 − $1,106,408)</w:t>
            </w:r>
          </w:p>
        </w:tc>
      </w:tr>
    </w:tbl>
    <w:p w14:paraId="6815A8DB" w14:textId="46C71A04" w:rsidR="00911F85" w:rsidRDefault="00CB2D9B" w:rsidP="00911F85">
      <w:pPr>
        <w:pStyle w:val="Tablenotes1"/>
      </w:pPr>
      <w:r>
        <w:t xml:space="preserve">AL = acute leukemia; </w:t>
      </w:r>
      <w:r w:rsidR="00911F85">
        <w:t>CLL = chronic lymphocytic lymphoma; HSCT = haemopoietic stem cell transplantation; ICER = incremental cost-effectiveness ratio; Ig = immunoglobulin; IRR</w:t>
      </w:r>
      <w:r w:rsidR="00911F85">
        <w:rPr>
          <w:vertAlign w:val="subscript"/>
        </w:rPr>
        <w:t>NS</w:t>
      </w:r>
      <w:r w:rsidR="00911F85">
        <w:t xml:space="preserve"> = incidence rate ratio for non-serious infections; IRR</w:t>
      </w:r>
      <w:r w:rsidR="00911F85" w:rsidRPr="007619A0">
        <w:rPr>
          <w:vertAlign w:val="subscript"/>
        </w:rPr>
        <w:t>S</w:t>
      </w:r>
      <w:r w:rsidR="00911F85">
        <w:t xml:space="preserve"> = incidence rate ratio for serious infections; MM = multiple myeloma; NHL = non-Hodgkin’s lymphoma; QALY = quality-adjusted life years.</w:t>
      </w:r>
    </w:p>
    <w:p w14:paraId="21FBB5F3" w14:textId="6116B695" w:rsidR="00911F85" w:rsidRDefault="00911F85" w:rsidP="00911F85">
      <w:pPr>
        <w:pStyle w:val="Tablenotes1"/>
      </w:pPr>
      <w:r w:rsidRPr="0098670C">
        <w:rPr>
          <w:vertAlign w:val="superscript"/>
        </w:rPr>
        <w:t>a</w:t>
      </w:r>
      <w:r>
        <w:t xml:space="preserve"> higher mortality rate has been assumed as Cancer Australia statistics indicate that five-year survival at MM diagnosis was approximately </w:t>
      </w:r>
      <w:r w:rsidR="001B4ED6">
        <w:t>49</w:t>
      </w:r>
      <w:r>
        <w:t xml:space="preserve">%, compared to five-year survival at diagnosis in CLL of </w:t>
      </w:r>
      <w:r w:rsidR="001B4ED6">
        <w:t>77</w:t>
      </w:r>
      <w:r>
        <w:t>%. The ICER is not sensitive to this change – assuming the same mortality risk as in the base case analysis increases the ICER slightly to $</w:t>
      </w:r>
      <w:r w:rsidR="008E4EB1">
        <w:t>73,306</w:t>
      </w:r>
      <w:r>
        <w:t>.</w:t>
      </w:r>
    </w:p>
    <w:p w14:paraId="507FDD54" w14:textId="115EFE81" w:rsidR="00911F85" w:rsidRDefault="00911F85" w:rsidP="00911F85">
      <w:pPr>
        <w:pStyle w:val="Tablenotes1"/>
      </w:pPr>
      <w:r w:rsidRPr="001A6A75">
        <w:rPr>
          <w:vertAlign w:val="superscript"/>
        </w:rPr>
        <w:t>b</w:t>
      </w:r>
      <w:r>
        <w:t xml:space="preserve"> No change in the mortality rate has been assumed relative to the CLL mortality rate used in the base case analysis as five-year survival estimates at diagnosis were similar between NHL</w:t>
      </w:r>
      <w:r w:rsidR="001B4ED6">
        <w:t xml:space="preserve"> (72%)</w:t>
      </w:r>
      <w:r>
        <w:t xml:space="preserve"> and CLL</w:t>
      </w:r>
      <w:r w:rsidR="001B4ED6">
        <w:t xml:space="preserve"> (77%)</w:t>
      </w:r>
      <w:r>
        <w:t>.</w:t>
      </w:r>
    </w:p>
    <w:p w14:paraId="545AC63E" w14:textId="5A3A78E7" w:rsidR="00911F85" w:rsidRDefault="00911F85" w:rsidP="00911F85">
      <w:pPr>
        <w:pStyle w:val="Tablenotes1"/>
      </w:pPr>
      <w:r w:rsidRPr="001A6A75">
        <w:rPr>
          <w:vertAlign w:val="superscript"/>
        </w:rPr>
        <w:t>c</w:t>
      </w:r>
      <w:r>
        <w:t xml:space="preserve"> While the Duraisingham et al. </w:t>
      </w:r>
      <w:r>
        <w:fldChar w:fldCharType="begin">
          <w:fldData xml:space="preserve">PEVuZE5vdGU+PENpdGUgRXhjbHVkZUF1dGg9IjEiPjxBdXRob3I+RHVyYWlzaW5naGFtPC9BdXRo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</w:fldData>
        </w:fldChar>
      </w:r>
      <w:r>
        <w:instrText xml:space="preserve"> ADDIN EN.CITE </w:instrText>
      </w:r>
      <w:r>
        <w:fldChar w:fldCharType="begin">
          <w:fldData xml:space="preserve">PEVuZE5vdGU+PENpdGUgRXhjbHVkZUF1dGg9IjEiPjxBdXRob3I+RHVyYWlzaW5naGFtPC9BdXRo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</w:fldData>
        </w:fldChar>
      </w:r>
      <w:r>
        <w:instrText xml:space="preserve"> ADDIN EN.CITE.DATA </w:instrText>
      </w:r>
      <w:r>
        <w:fldChar w:fldCharType="end"/>
      </w:r>
      <w:r>
        <w:fldChar w:fldCharType="separate"/>
      </w:r>
      <w:r>
        <w:rPr>
          <w:noProof/>
        </w:rPr>
        <w:t>(</w:t>
      </w:r>
      <w:hyperlink w:anchor="_ENREF_16" w:tooltip="Duraisingham, 2014 #20" w:history="1">
        <w:r w:rsidR="00BB0145">
          <w:rPr>
            <w:noProof/>
          </w:rPr>
          <w:t>2014</w:t>
        </w:r>
      </w:hyperlink>
      <w:r>
        <w:rPr>
          <w:noProof/>
        </w:rPr>
        <w:t>)</w:t>
      </w:r>
      <w:r>
        <w:fldChar w:fldCharType="end"/>
      </w:r>
      <w:r>
        <w:t xml:space="preserve"> study included patients with mixed haematological malignancies, these were predominantly NHL.</w:t>
      </w:r>
    </w:p>
    <w:p w14:paraId="3974137D" w14:textId="77777777" w:rsidR="00911F85" w:rsidRDefault="00911F85" w:rsidP="00911F85">
      <w:pPr>
        <w:pStyle w:val="Tablenotes1"/>
      </w:pPr>
      <w:r w:rsidRPr="001A6A75">
        <w:rPr>
          <w:vertAlign w:val="superscript"/>
        </w:rPr>
        <w:t>d</w:t>
      </w:r>
      <w:r>
        <w:t xml:space="preserve"> No change in the mortality rate has been assumed relative to the CLL mortality rate used in the base case analysis as it is unclear what proportion of patients with AL and acquired hypogammaglobulinaemia have AML or ALL, which are associated with different five-year survival estimates at diagnosis (25% and 90%, respectively). One average, it is assumed that it would be approximately similar to CLL patients.</w:t>
      </w:r>
    </w:p>
    <w:p w14:paraId="3237BBFE" w14:textId="41E2A0EC" w:rsidR="000C44D1" w:rsidRDefault="00911F85" w:rsidP="00911F85">
      <w:pPr>
        <w:pStyle w:val="Tablenotes1"/>
      </w:pPr>
      <w:r w:rsidRPr="001A6A75">
        <w:rPr>
          <w:vertAlign w:val="superscript"/>
        </w:rPr>
        <w:t>e</w:t>
      </w:r>
      <w:r>
        <w:t xml:space="preserve"> </w:t>
      </w:r>
      <w:r w:rsidR="000C44D1">
        <w:t>Ig</w:t>
      </w:r>
      <w:r w:rsidR="000C44D1" w:rsidRPr="000C44D1">
        <w:t xml:space="preserve"> is less costly and more effective than no treatment.</w:t>
      </w:r>
    </w:p>
    <w:p w14:paraId="351C6985" w14:textId="22F7A0E4" w:rsidR="00911F85" w:rsidRDefault="000C44D1" w:rsidP="00911F85">
      <w:pPr>
        <w:pStyle w:val="Tablenotes1"/>
      </w:pPr>
      <w:r w:rsidRPr="000C44D1">
        <w:rPr>
          <w:vertAlign w:val="superscript"/>
        </w:rPr>
        <w:t>f</w:t>
      </w:r>
      <w:r>
        <w:t xml:space="preserve"> </w:t>
      </w:r>
      <w:r w:rsidR="00911F85">
        <w:t>No change in the mortality rate has been assumed relative to the CLL mortality rate used in the base case analysis as no data could be identified to inform what the difference would be.</w:t>
      </w:r>
    </w:p>
    <w:p w14:paraId="45BDF384" w14:textId="77777777" w:rsidR="00006518" w:rsidRDefault="00006518">
      <w:pPr>
        <w:spacing w:after="0" w:line="240" w:lineRule="auto"/>
        <w:jc w:val="left"/>
        <w:rPr>
          <w:rFonts w:ascii="Arial Narrow" w:hAnsi="Arial Narrow"/>
          <w:b/>
          <w:bCs/>
          <w:sz w:val="20"/>
        </w:rPr>
      </w:pPr>
      <w:bookmarkStart w:id="582" w:name="_Ref15301045"/>
      <w:r>
        <w:br w:type="page"/>
      </w:r>
    </w:p>
    <w:p w14:paraId="50BFF9DE" w14:textId="490E541F" w:rsidR="00455636" w:rsidRDefault="00455636" w:rsidP="00455636">
      <w:pPr>
        <w:pStyle w:val="Caption"/>
        <w:keepNext/>
      </w:pPr>
      <w:bookmarkStart w:id="583" w:name="_Ref16671937"/>
      <w:bookmarkStart w:id="584" w:name="_Toc16671660"/>
      <w:r>
        <w:lastRenderedPageBreak/>
        <w:t xml:space="preserve">Table </w:t>
      </w:r>
      <w:r>
        <w:rPr>
          <w:noProof/>
        </w:rPr>
        <w:fldChar w:fldCharType="begin"/>
      </w:r>
      <w:r>
        <w:rPr>
          <w:noProof/>
        </w:rPr>
        <w:instrText xml:space="preserve"> SEQ Table \* ARABIC </w:instrText>
      </w:r>
      <w:r>
        <w:rPr>
          <w:noProof/>
        </w:rPr>
        <w:fldChar w:fldCharType="separate"/>
      </w:r>
      <w:r w:rsidR="00A7463B">
        <w:rPr>
          <w:noProof/>
        </w:rPr>
        <w:t>62</w:t>
      </w:r>
      <w:r>
        <w:rPr>
          <w:noProof/>
        </w:rPr>
        <w:fldChar w:fldCharType="end"/>
      </w:r>
      <w:bookmarkEnd w:id="582"/>
      <w:bookmarkEnd w:id="583"/>
      <w:r>
        <w:tab/>
        <w:t>Disaggregated events estimated for each of the per-</w:t>
      </w:r>
      <w:r w:rsidR="00F61B05">
        <w:t>indication</w:t>
      </w:r>
      <w:r>
        <w:t xml:space="preserve"> analyses</w:t>
      </w:r>
      <w:bookmarkEnd w:id="584"/>
    </w:p>
    <w:tbl>
      <w:tblPr>
        <w:tblStyle w:val="TableGrid2"/>
        <w:tblW w:w="4978" w:type="pct"/>
        <w:tblLayout w:type="fixed"/>
        <w:tblLook w:val="04A0" w:firstRow="1" w:lastRow="0" w:firstColumn="1" w:lastColumn="0" w:noHBand="0" w:noVBand="1"/>
        <w:tblCaption w:val="Disaggregated events estimated for each of the per-indication analyses"/>
      </w:tblPr>
      <w:tblGrid>
        <w:gridCol w:w="4751"/>
        <w:gridCol w:w="1040"/>
        <w:gridCol w:w="1041"/>
        <w:gridCol w:w="1041"/>
        <w:gridCol w:w="1041"/>
        <w:gridCol w:w="1039"/>
        <w:gridCol w:w="1041"/>
        <w:gridCol w:w="1041"/>
        <w:gridCol w:w="1041"/>
        <w:gridCol w:w="1036"/>
      </w:tblGrid>
      <w:tr w:rsidR="00455636" w:rsidRPr="00ED3101" w14:paraId="7547E161" w14:textId="77777777" w:rsidTr="00E26DD4">
        <w:trPr>
          <w:cnfStyle w:val="100000000000" w:firstRow="1" w:lastRow="0" w:firstColumn="0" w:lastColumn="0" w:oddVBand="0" w:evenVBand="0" w:oddHBand="0" w:evenHBand="0" w:firstRowFirstColumn="0" w:firstRowLastColumn="0" w:lastRowFirstColumn="0" w:lastRowLastColumn="0"/>
          <w:cantSplit/>
          <w:trHeight w:val="300"/>
          <w:tblHeader/>
        </w:trPr>
        <w:tc>
          <w:tcPr>
            <w:tcW w:w="1683" w:type="pct"/>
            <w:vMerge w:val="restart"/>
            <w:noWrap/>
            <w:hideMark/>
          </w:tcPr>
          <w:p w14:paraId="7E68D6D4" w14:textId="77777777" w:rsidR="00455636" w:rsidRPr="00ED3101" w:rsidRDefault="00455636" w:rsidP="00414134">
            <w:pPr>
              <w:pStyle w:val="TableHeading"/>
            </w:pPr>
          </w:p>
        </w:tc>
        <w:tc>
          <w:tcPr>
            <w:tcW w:w="1106" w:type="pct"/>
            <w:gridSpan w:val="3"/>
            <w:noWrap/>
            <w:hideMark/>
          </w:tcPr>
          <w:p w14:paraId="170680AD" w14:textId="77777777" w:rsidR="00455636" w:rsidRPr="00ED3101" w:rsidRDefault="00455636" w:rsidP="00414134">
            <w:pPr>
              <w:pStyle w:val="TableHeading"/>
              <w:jc w:val="center"/>
            </w:pPr>
            <w:r w:rsidRPr="00ED3101">
              <w:t>No. infections - no bronchiectasis</w:t>
            </w:r>
          </w:p>
        </w:tc>
        <w:tc>
          <w:tcPr>
            <w:tcW w:w="1106" w:type="pct"/>
            <w:gridSpan w:val="3"/>
            <w:noWrap/>
            <w:hideMark/>
          </w:tcPr>
          <w:p w14:paraId="6F83286A" w14:textId="77777777" w:rsidR="00455636" w:rsidRPr="00ED3101" w:rsidRDefault="00455636" w:rsidP="00414134">
            <w:pPr>
              <w:pStyle w:val="TableHeading"/>
              <w:jc w:val="center"/>
            </w:pPr>
            <w:r w:rsidRPr="00ED3101">
              <w:t>No. infections - with bronchiectasis</w:t>
            </w:r>
          </w:p>
        </w:tc>
        <w:tc>
          <w:tcPr>
            <w:tcW w:w="1105" w:type="pct"/>
            <w:gridSpan w:val="3"/>
            <w:noWrap/>
            <w:hideMark/>
          </w:tcPr>
          <w:p w14:paraId="15B253DC" w14:textId="77777777" w:rsidR="00455636" w:rsidRPr="00ED3101" w:rsidRDefault="00455636" w:rsidP="00414134">
            <w:pPr>
              <w:pStyle w:val="TableHeading"/>
              <w:jc w:val="center"/>
            </w:pPr>
            <w:r w:rsidRPr="00ED3101">
              <w:t xml:space="preserve">Development of chronic </w:t>
            </w:r>
            <w:r w:rsidRPr="00ED3101">
              <w:rPr>
                <w:i/>
              </w:rPr>
              <w:t>P. aeruginosa</w:t>
            </w:r>
          </w:p>
        </w:tc>
      </w:tr>
      <w:tr w:rsidR="00455636" w:rsidRPr="00ED3101" w14:paraId="60B2CAC6" w14:textId="77777777" w:rsidTr="00E26DD4">
        <w:trPr>
          <w:cnfStyle w:val="100000000000" w:firstRow="1" w:lastRow="0" w:firstColumn="0" w:lastColumn="0" w:oddVBand="0" w:evenVBand="0" w:oddHBand="0" w:evenHBand="0" w:firstRowFirstColumn="0" w:firstRowLastColumn="0" w:lastRowFirstColumn="0" w:lastRowLastColumn="0"/>
          <w:cantSplit/>
          <w:trHeight w:val="300"/>
          <w:tblHeader/>
        </w:trPr>
        <w:tc>
          <w:tcPr>
            <w:tcW w:w="1683" w:type="pct"/>
            <w:vMerge/>
            <w:noWrap/>
            <w:hideMark/>
          </w:tcPr>
          <w:p w14:paraId="619E4ADC" w14:textId="77777777" w:rsidR="00455636" w:rsidRPr="00ED3101" w:rsidRDefault="00455636" w:rsidP="00414134">
            <w:pPr>
              <w:pStyle w:val="TableHeading"/>
            </w:pPr>
          </w:p>
        </w:tc>
        <w:tc>
          <w:tcPr>
            <w:tcW w:w="368" w:type="pct"/>
            <w:noWrap/>
            <w:hideMark/>
          </w:tcPr>
          <w:p w14:paraId="10AAC73F" w14:textId="77777777" w:rsidR="00455636" w:rsidRPr="00ED3101" w:rsidRDefault="00455636" w:rsidP="00414134">
            <w:pPr>
              <w:pStyle w:val="TableHeading"/>
              <w:jc w:val="center"/>
            </w:pPr>
            <w:r w:rsidRPr="00ED3101">
              <w:t>Ig</w:t>
            </w:r>
          </w:p>
        </w:tc>
        <w:tc>
          <w:tcPr>
            <w:tcW w:w="369" w:type="pct"/>
            <w:noWrap/>
            <w:hideMark/>
          </w:tcPr>
          <w:p w14:paraId="02AA6FE4" w14:textId="77777777" w:rsidR="00455636" w:rsidRPr="00ED3101" w:rsidRDefault="00455636" w:rsidP="00414134">
            <w:pPr>
              <w:pStyle w:val="TableHeading"/>
              <w:jc w:val="center"/>
            </w:pPr>
            <w:r w:rsidRPr="00ED3101">
              <w:t>No Ig</w:t>
            </w:r>
          </w:p>
        </w:tc>
        <w:tc>
          <w:tcPr>
            <w:tcW w:w="369" w:type="pct"/>
            <w:noWrap/>
            <w:hideMark/>
          </w:tcPr>
          <w:p w14:paraId="5F93338D" w14:textId="77777777" w:rsidR="00455636" w:rsidRPr="00ED3101" w:rsidRDefault="00455636" w:rsidP="00414134">
            <w:pPr>
              <w:pStyle w:val="TableHeading"/>
              <w:jc w:val="center"/>
            </w:pPr>
            <w:r>
              <w:t>Inc.</w:t>
            </w:r>
          </w:p>
        </w:tc>
        <w:tc>
          <w:tcPr>
            <w:tcW w:w="369" w:type="pct"/>
            <w:noWrap/>
            <w:hideMark/>
          </w:tcPr>
          <w:p w14:paraId="2D2D8B22" w14:textId="77777777" w:rsidR="00455636" w:rsidRPr="00ED3101" w:rsidRDefault="00455636" w:rsidP="00414134">
            <w:pPr>
              <w:pStyle w:val="TableHeading"/>
              <w:jc w:val="center"/>
            </w:pPr>
            <w:r w:rsidRPr="00ED3101">
              <w:t>Ig</w:t>
            </w:r>
          </w:p>
        </w:tc>
        <w:tc>
          <w:tcPr>
            <w:tcW w:w="368" w:type="pct"/>
            <w:noWrap/>
            <w:hideMark/>
          </w:tcPr>
          <w:p w14:paraId="473F58D7" w14:textId="77777777" w:rsidR="00455636" w:rsidRPr="00ED3101" w:rsidRDefault="00455636" w:rsidP="00414134">
            <w:pPr>
              <w:pStyle w:val="TableHeading"/>
              <w:jc w:val="center"/>
            </w:pPr>
            <w:r w:rsidRPr="00ED3101">
              <w:t>No Ig</w:t>
            </w:r>
          </w:p>
        </w:tc>
        <w:tc>
          <w:tcPr>
            <w:tcW w:w="369" w:type="pct"/>
            <w:noWrap/>
            <w:hideMark/>
          </w:tcPr>
          <w:p w14:paraId="64400080" w14:textId="77777777" w:rsidR="00455636" w:rsidRPr="00ED3101" w:rsidRDefault="00455636" w:rsidP="00414134">
            <w:pPr>
              <w:pStyle w:val="TableHeading"/>
              <w:jc w:val="center"/>
            </w:pPr>
            <w:r>
              <w:t>Inc.</w:t>
            </w:r>
          </w:p>
        </w:tc>
        <w:tc>
          <w:tcPr>
            <w:tcW w:w="369" w:type="pct"/>
            <w:noWrap/>
            <w:hideMark/>
          </w:tcPr>
          <w:p w14:paraId="06602AE3" w14:textId="77777777" w:rsidR="00455636" w:rsidRPr="00ED3101" w:rsidRDefault="00455636" w:rsidP="00414134">
            <w:pPr>
              <w:pStyle w:val="TableHeading"/>
              <w:jc w:val="center"/>
            </w:pPr>
            <w:r w:rsidRPr="00ED3101">
              <w:t>Ig</w:t>
            </w:r>
          </w:p>
        </w:tc>
        <w:tc>
          <w:tcPr>
            <w:tcW w:w="369" w:type="pct"/>
            <w:noWrap/>
            <w:hideMark/>
          </w:tcPr>
          <w:p w14:paraId="3259E7A9" w14:textId="77777777" w:rsidR="00455636" w:rsidRPr="00ED3101" w:rsidRDefault="00455636" w:rsidP="00414134">
            <w:pPr>
              <w:pStyle w:val="TableHeading"/>
              <w:jc w:val="center"/>
            </w:pPr>
            <w:r w:rsidRPr="00ED3101">
              <w:t>No Ig</w:t>
            </w:r>
          </w:p>
        </w:tc>
        <w:tc>
          <w:tcPr>
            <w:tcW w:w="367" w:type="pct"/>
            <w:noWrap/>
            <w:hideMark/>
          </w:tcPr>
          <w:p w14:paraId="3E1903C7" w14:textId="77777777" w:rsidR="00455636" w:rsidRPr="00ED3101" w:rsidRDefault="00455636" w:rsidP="00414134">
            <w:pPr>
              <w:pStyle w:val="TableHeading"/>
              <w:jc w:val="center"/>
            </w:pPr>
            <w:r>
              <w:t>Inc.</w:t>
            </w:r>
          </w:p>
        </w:tc>
      </w:tr>
      <w:tr w:rsidR="00505FCE" w:rsidRPr="00ED3101" w14:paraId="61A5AD78" w14:textId="77777777" w:rsidTr="00414134">
        <w:trPr>
          <w:trHeight w:val="300"/>
        </w:trPr>
        <w:tc>
          <w:tcPr>
            <w:tcW w:w="1683" w:type="pct"/>
            <w:hideMark/>
          </w:tcPr>
          <w:p w14:paraId="4619F3D5" w14:textId="77777777" w:rsidR="00505FCE" w:rsidRPr="008612D2" w:rsidRDefault="00505FCE" w:rsidP="00505FCE">
            <w:pPr>
              <w:pStyle w:val="Tabletext1"/>
              <w:rPr>
                <w:b/>
              </w:rPr>
            </w:pPr>
            <w:r w:rsidRPr="006F2C42">
              <w:rPr>
                <w:b/>
              </w:rPr>
              <w:t>Base case analysis</w:t>
            </w:r>
          </w:p>
        </w:tc>
        <w:tc>
          <w:tcPr>
            <w:tcW w:w="368" w:type="pct"/>
            <w:noWrap/>
            <w:hideMark/>
          </w:tcPr>
          <w:p w14:paraId="6CAC0D6A" w14:textId="13189240" w:rsidR="00505FCE" w:rsidRPr="00505FCE" w:rsidRDefault="00505FCE" w:rsidP="00505FCE">
            <w:pPr>
              <w:pStyle w:val="Tabletext1"/>
              <w:jc w:val="center"/>
              <w:rPr>
                <w:b/>
              </w:rPr>
            </w:pPr>
            <w:r w:rsidRPr="00505FCE">
              <w:rPr>
                <w:b/>
              </w:rPr>
              <w:t>1.26</w:t>
            </w:r>
          </w:p>
        </w:tc>
        <w:tc>
          <w:tcPr>
            <w:tcW w:w="369" w:type="pct"/>
            <w:noWrap/>
            <w:hideMark/>
          </w:tcPr>
          <w:p w14:paraId="1F8B8FF3" w14:textId="4FCB46D4" w:rsidR="00505FCE" w:rsidRPr="00505FCE" w:rsidRDefault="00505FCE" w:rsidP="00505FCE">
            <w:pPr>
              <w:pStyle w:val="Tabletext1"/>
              <w:jc w:val="center"/>
              <w:rPr>
                <w:b/>
              </w:rPr>
            </w:pPr>
            <w:r w:rsidRPr="00505FCE">
              <w:rPr>
                <w:b/>
              </w:rPr>
              <w:t>2.24</w:t>
            </w:r>
          </w:p>
        </w:tc>
        <w:tc>
          <w:tcPr>
            <w:tcW w:w="369" w:type="pct"/>
            <w:noWrap/>
            <w:hideMark/>
          </w:tcPr>
          <w:p w14:paraId="481E1B3E" w14:textId="108E97A9" w:rsidR="00505FCE" w:rsidRPr="00505FCE" w:rsidRDefault="00505FCE" w:rsidP="00505FCE">
            <w:pPr>
              <w:pStyle w:val="Tabletext1"/>
              <w:jc w:val="center"/>
              <w:rPr>
                <w:b/>
              </w:rPr>
            </w:pPr>
            <w:r w:rsidRPr="00505FCE">
              <w:rPr>
                <w:b/>
              </w:rPr>
              <w:t>–0.98</w:t>
            </w:r>
          </w:p>
        </w:tc>
        <w:tc>
          <w:tcPr>
            <w:tcW w:w="369" w:type="pct"/>
            <w:noWrap/>
            <w:hideMark/>
          </w:tcPr>
          <w:p w14:paraId="4607FBAE" w14:textId="0BFE71ED" w:rsidR="00505FCE" w:rsidRPr="00505FCE" w:rsidRDefault="00505FCE" w:rsidP="00505FCE">
            <w:pPr>
              <w:pStyle w:val="Tabletext1"/>
              <w:jc w:val="center"/>
              <w:rPr>
                <w:b/>
              </w:rPr>
            </w:pPr>
            <w:r w:rsidRPr="00505FCE">
              <w:rPr>
                <w:b/>
              </w:rPr>
              <w:t>1.64</w:t>
            </w:r>
          </w:p>
        </w:tc>
        <w:tc>
          <w:tcPr>
            <w:tcW w:w="368" w:type="pct"/>
            <w:noWrap/>
            <w:hideMark/>
          </w:tcPr>
          <w:p w14:paraId="3B4F1A1A" w14:textId="3A23A91F" w:rsidR="00505FCE" w:rsidRPr="00505FCE" w:rsidRDefault="00505FCE" w:rsidP="00505FCE">
            <w:pPr>
              <w:pStyle w:val="Tabletext1"/>
              <w:jc w:val="center"/>
              <w:rPr>
                <w:b/>
              </w:rPr>
            </w:pPr>
            <w:r w:rsidRPr="00505FCE">
              <w:rPr>
                <w:b/>
              </w:rPr>
              <w:t>5.15</w:t>
            </w:r>
          </w:p>
        </w:tc>
        <w:tc>
          <w:tcPr>
            <w:tcW w:w="369" w:type="pct"/>
            <w:noWrap/>
            <w:hideMark/>
          </w:tcPr>
          <w:p w14:paraId="64A933C1" w14:textId="1AC282D8" w:rsidR="00505FCE" w:rsidRPr="00505FCE" w:rsidRDefault="00505FCE" w:rsidP="00505FCE">
            <w:pPr>
              <w:pStyle w:val="Tabletext1"/>
              <w:jc w:val="center"/>
              <w:rPr>
                <w:b/>
              </w:rPr>
            </w:pPr>
            <w:r w:rsidRPr="00505FCE">
              <w:rPr>
                <w:b/>
              </w:rPr>
              <w:t>–3.51</w:t>
            </w:r>
          </w:p>
        </w:tc>
        <w:tc>
          <w:tcPr>
            <w:tcW w:w="369" w:type="pct"/>
            <w:noWrap/>
            <w:hideMark/>
          </w:tcPr>
          <w:p w14:paraId="4A336AEC" w14:textId="466F0D16" w:rsidR="00505FCE" w:rsidRPr="00505FCE" w:rsidRDefault="00505FCE" w:rsidP="00505FCE">
            <w:pPr>
              <w:pStyle w:val="Tabletext1"/>
              <w:jc w:val="center"/>
              <w:rPr>
                <w:b/>
              </w:rPr>
            </w:pPr>
            <w:r w:rsidRPr="00505FCE">
              <w:rPr>
                <w:b/>
              </w:rPr>
              <w:t>1.18</w:t>
            </w:r>
          </w:p>
        </w:tc>
        <w:tc>
          <w:tcPr>
            <w:tcW w:w="369" w:type="pct"/>
            <w:noWrap/>
            <w:hideMark/>
          </w:tcPr>
          <w:p w14:paraId="3199CA95" w14:textId="50EDF316" w:rsidR="00505FCE" w:rsidRPr="00505FCE" w:rsidRDefault="00505FCE" w:rsidP="00505FCE">
            <w:pPr>
              <w:pStyle w:val="Tabletext1"/>
              <w:jc w:val="center"/>
              <w:rPr>
                <w:b/>
              </w:rPr>
            </w:pPr>
            <w:r w:rsidRPr="00505FCE">
              <w:rPr>
                <w:b/>
              </w:rPr>
              <w:t>3.75</w:t>
            </w:r>
          </w:p>
        </w:tc>
        <w:tc>
          <w:tcPr>
            <w:tcW w:w="367" w:type="pct"/>
            <w:noWrap/>
            <w:hideMark/>
          </w:tcPr>
          <w:p w14:paraId="73FD90B7" w14:textId="5B89249E" w:rsidR="00505FCE" w:rsidRPr="00505FCE" w:rsidRDefault="00505FCE" w:rsidP="00505FCE">
            <w:pPr>
              <w:pStyle w:val="Tabletext1"/>
              <w:jc w:val="center"/>
              <w:rPr>
                <w:b/>
              </w:rPr>
            </w:pPr>
            <w:r w:rsidRPr="00505FCE">
              <w:rPr>
                <w:b/>
              </w:rPr>
              <w:t>–2.56</w:t>
            </w:r>
          </w:p>
        </w:tc>
      </w:tr>
      <w:tr w:rsidR="00505FCE" w:rsidRPr="00ED3101" w14:paraId="55A0EA3D" w14:textId="77777777" w:rsidTr="00414134">
        <w:trPr>
          <w:trHeight w:val="300"/>
        </w:trPr>
        <w:tc>
          <w:tcPr>
            <w:tcW w:w="1683" w:type="pct"/>
            <w:hideMark/>
          </w:tcPr>
          <w:p w14:paraId="2BFCD180" w14:textId="77777777" w:rsidR="00505FCE" w:rsidRPr="00D77EBF" w:rsidRDefault="00505FCE" w:rsidP="00505FCE">
            <w:pPr>
              <w:pStyle w:val="Tabletext1"/>
            </w:pPr>
            <w:r w:rsidRPr="00950823">
              <w:t>CLL</w:t>
            </w:r>
          </w:p>
        </w:tc>
        <w:tc>
          <w:tcPr>
            <w:tcW w:w="368" w:type="pct"/>
            <w:noWrap/>
            <w:hideMark/>
          </w:tcPr>
          <w:p w14:paraId="1CFDED79" w14:textId="5DBD43CC" w:rsidR="00505FCE" w:rsidRPr="00F64D2A" w:rsidRDefault="00505FCE" w:rsidP="00505FCE">
            <w:pPr>
              <w:pStyle w:val="Tabletext1"/>
              <w:jc w:val="center"/>
            </w:pPr>
            <w:r w:rsidRPr="00E00E54">
              <w:t>1.50</w:t>
            </w:r>
          </w:p>
        </w:tc>
        <w:tc>
          <w:tcPr>
            <w:tcW w:w="369" w:type="pct"/>
            <w:noWrap/>
            <w:hideMark/>
          </w:tcPr>
          <w:p w14:paraId="548C09DB" w14:textId="3DA76D6A" w:rsidR="00505FCE" w:rsidRPr="00F64D2A" w:rsidRDefault="00505FCE" w:rsidP="00505FCE">
            <w:pPr>
              <w:pStyle w:val="Tabletext1"/>
              <w:jc w:val="center"/>
            </w:pPr>
            <w:r w:rsidRPr="00E00E54">
              <w:t>2.21</w:t>
            </w:r>
          </w:p>
        </w:tc>
        <w:tc>
          <w:tcPr>
            <w:tcW w:w="369" w:type="pct"/>
            <w:noWrap/>
            <w:hideMark/>
          </w:tcPr>
          <w:p w14:paraId="1B62FAAA" w14:textId="0ECA8FBB" w:rsidR="00505FCE" w:rsidRPr="00F64D2A" w:rsidRDefault="00505FCE" w:rsidP="00505FCE">
            <w:pPr>
              <w:pStyle w:val="Tabletext1"/>
              <w:jc w:val="center"/>
            </w:pPr>
            <w:r w:rsidRPr="00E00E54">
              <w:t>–0.71</w:t>
            </w:r>
          </w:p>
        </w:tc>
        <w:tc>
          <w:tcPr>
            <w:tcW w:w="369" w:type="pct"/>
            <w:noWrap/>
            <w:hideMark/>
          </w:tcPr>
          <w:p w14:paraId="3F371902" w14:textId="614823CB" w:rsidR="00505FCE" w:rsidRPr="00F64D2A" w:rsidRDefault="00505FCE" w:rsidP="00505FCE">
            <w:pPr>
              <w:pStyle w:val="Tabletext1"/>
              <w:jc w:val="center"/>
            </w:pPr>
            <w:r w:rsidRPr="00E00E54">
              <w:t>1.68</w:t>
            </w:r>
          </w:p>
        </w:tc>
        <w:tc>
          <w:tcPr>
            <w:tcW w:w="368" w:type="pct"/>
            <w:noWrap/>
            <w:hideMark/>
          </w:tcPr>
          <w:p w14:paraId="3FC745FB" w14:textId="28E9BD44" w:rsidR="00505FCE" w:rsidRPr="00F64D2A" w:rsidRDefault="00505FCE" w:rsidP="00505FCE">
            <w:pPr>
              <w:pStyle w:val="Tabletext1"/>
              <w:jc w:val="center"/>
            </w:pPr>
            <w:r w:rsidRPr="00E00E54">
              <w:t>3.51</w:t>
            </w:r>
          </w:p>
        </w:tc>
        <w:tc>
          <w:tcPr>
            <w:tcW w:w="369" w:type="pct"/>
            <w:noWrap/>
            <w:hideMark/>
          </w:tcPr>
          <w:p w14:paraId="5AD4895F" w14:textId="0EFF84B5" w:rsidR="00505FCE" w:rsidRPr="00F64D2A" w:rsidRDefault="00505FCE" w:rsidP="00505FCE">
            <w:pPr>
              <w:pStyle w:val="Tabletext1"/>
              <w:jc w:val="center"/>
            </w:pPr>
            <w:r w:rsidRPr="00E00E54">
              <w:t>–1.84</w:t>
            </w:r>
          </w:p>
        </w:tc>
        <w:tc>
          <w:tcPr>
            <w:tcW w:w="369" w:type="pct"/>
            <w:noWrap/>
            <w:hideMark/>
          </w:tcPr>
          <w:p w14:paraId="26A6DD87" w14:textId="4C0B5069" w:rsidR="00505FCE" w:rsidRPr="00F64D2A" w:rsidRDefault="00505FCE" w:rsidP="00505FCE">
            <w:pPr>
              <w:pStyle w:val="Tabletext1"/>
              <w:jc w:val="center"/>
            </w:pPr>
            <w:r w:rsidRPr="00E00E54">
              <w:t>1.21</w:t>
            </w:r>
          </w:p>
        </w:tc>
        <w:tc>
          <w:tcPr>
            <w:tcW w:w="369" w:type="pct"/>
            <w:noWrap/>
            <w:hideMark/>
          </w:tcPr>
          <w:p w14:paraId="6A8D399D" w14:textId="739E6F74" w:rsidR="00505FCE" w:rsidRPr="00F64D2A" w:rsidRDefault="00505FCE" w:rsidP="00505FCE">
            <w:pPr>
              <w:pStyle w:val="Tabletext1"/>
              <w:jc w:val="center"/>
            </w:pPr>
            <w:r w:rsidRPr="00E00E54">
              <w:t>2.55</w:t>
            </w:r>
          </w:p>
        </w:tc>
        <w:tc>
          <w:tcPr>
            <w:tcW w:w="367" w:type="pct"/>
            <w:noWrap/>
            <w:hideMark/>
          </w:tcPr>
          <w:p w14:paraId="46E8375E" w14:textId="08807D4A" w:rsidR="00505FCE" w:rsidRPr="00F64D2A" w:rsidRDefault="00505FCE" w:rsidP="00505FCE">
            <w:pPr>
              <w:pStyle w:val="Tabletext1"/>
              <w:jc w:val="center"/>
            </w:pPr>
            <w:r w:rsidRPr="00E00E54">
              <w:t>–1.34</w:t>
            </w:r>
          </w:p>
        </w:tc>
      </w:tr>
      <w:tr w:rsidR="00505FCE" w:rsidRPr="00ED3101" w14:paraId="5A63CAFC" w14:textId="77777777" w:rsidTr="00414134">
        <w:trPr>
          <w:trHeight w:val="300"/>
        </w:trPr>
        <w:tc>
          <w:tcPr>
            <w:tcW w:w="1683" w:type="pct"/>
            <w:hideMark/>
          </w:tcPr>
          <w:p w14:paraId="1946FEE1" w14:textId="77777777" w:rsidR="00505FCE" w:rsidRPr="00D77EBF" w:rsidRDefault="00505FCE" w:rsidP="00505FCE">
            <w:pPr>
              <w:pStyle w:val="Tabletext1"/>
            </w:pPr>
            <w:r w:rsidRPr="00D35108">
              <w:t>MM</w:t>
            </w:r>
          </w:p>
        </w:tc>
        <w:tc>
          <w:tcPr>
            <w:tcW w:w="368" w:type="pct"/>
            <w:noWrap/>
            <w:hideMark/>
          </w:tcPr>
          <w:p w14:paraId="53ACB39C" w14:textId="44EF18BA" w:rsidR="00505FCE" w:rsidRPr="00F64D2A" w:rsidRDefault="00505FCE" w:rsidP="00505FCE">
            <w:pPr>
              <w:pStyle w:val="Tabletext1"/>
              <w:jc w:val="center"/>
            </w:pPr>
            <w:r w:rsidRPr="00E00E54">
              <w:t>1.07</w:t>
            </w:r>
          </w:p>
        </w:tc>
        <w:tc>
          <w:tcPr>
            <w:tcW w:w="369" w:type="pct"/>
            <w:noWrap/>
            <w:hideMark/>
          </w:tcPr>
          <w:p w14:paraId="23735884" w14:textId="0F9648EB" w:rsidR="00505FCE" w:rsidRPr="00F64D2A" w:rsidRDefault="00505FCE" w:rsidP="00505FCE">
            <w:pPr>
              <w:pStyle w:val="Tabletext1"/>
              <w:jc w:val="center"/>
            </w:pPr>
            <w:r w:rsidRPr="00E00E54">
              <w:t>2.16</w:t>
            </w:r>
          </w:p>
        </w:tc>
        <w:tc>
          <w:tcPr>
            <w:tcW w:w="369" w:type="pct"/>
            <w:noWrap/>
            <w:hideMark/>
          </w:tcPr>
          <w:p w14:paraId="1B178890" w14:textId="7EBA548C" w:rsidR="00505FCE" w:rsidRPr="00F64D2A" w:rsidRDefault="00505FCE" w:rsidP="00505FCE">
            <w:pPr>
              <w:pStyle w:val="Tabletext1"/>
              <w:jc w:val="center"/>
            </w:pPr>
            <w:r w:rsidRPr="00E00E54">
              <w:t>–1.09</w:t>
            </w:r>
          </w:p>
        </w:tc>
        <w:tc>
          <w:tcPr>
            <w:tcW w:w="369" w:type="pct"/>
            <w:noWrap/>
            <w:hideMark/>
          </w:tcPr>
          <w:p w14:paraId="70DEB029" w14:textId="3BE5928F" w:rsidR="00505FCE" w:rsidRPr="00F64D2A" w:rsidRDefault="00505FCE" w:rsidP="00505FCE">
            <w:pPr>
              <w:pStyle w:val="Tabletext1"/>
              <w:jc w:val="center"/>
            </w:pPr>
            <w:r w:rsidRPr="00E00E54">
              <w:t>0.79</w:t>
            </w:r>
          </w:p>
        </w:tc>
        <w:tc>
          <w:tcPr>
            <w:tcW w:w="368" w:type="pct"/>
            <w:noWrap/>
            <w:hideMark/>
          </w:tcPr>
          <w:p w14:paraId="2A190969" w14:textId="007D1530" w:rsidR="00505FCE" w:rsidRPr="00F64D2A" w:rsidRDefault="00505FCE" w:rsidP="00505FCE">
            <w:pPr>
              <w:pStyle w:val="Tabletext1"/>
              <w:jc w:val="center"/>
            </w:pPr>
            <w:r w:rsidRPr="00E00E54">
              <w:t>2.91</w:t>
            </w:r>
          </w:p>
        </w:tc>
        <w:tc>
          <w:tcPr>
            <w:tcW w:w="369" w:type="pct"/>
            <w:noWrap/>
            <w:hideMark/>
          </w:tcPr>
          <w:p w14:paraId="1D8AC602" w14:textId="48E18BBC" w:rsidR="00505FCE" w:rsidRPr="00F64D2A" w:rsidRDefault="00505FCE" w:rsidP="00505FCE">
            <w:pPr>
              <w:pStyle w:val="Tabletext1"/>
              <w:jc w:val="center"/>
            </w:pPr>
            <w:r w:rsidRPr="00E00E54">
              <w:t>–2.12</w:t>
            </w:r>
          </w:p>
        </w:tc>
        <w:tc>
          <w:tcPr>
            <w:tcW w:w="369" w:type="pct"/>
            <w:noWrap/>
            <w:hideMark/>
          </w:tcPr>
          <w:p w14:paraId="6FDAEB6D" w14:textId="031C2FAC" w:rsidR="00505FCE" w:rsidRPr="00F64D2A" w:rsidRDefault="00505FCE" w:rsidP="00505FCE">
            <w:pPr>
              <w:pStyle w:val="Tabletext1"/>
              <w:jc w:val="center"/>
            </w:pPr>
            <w:r w:rsidRPr="00E00E54">
              <w:t>0.57</w:t>
            </w:r>
          </w:p>
        </w:tc>
        <w:tc>
          <w:tcPr>
            <w:tcW w:w="369" w:type="pct"/>
            <w:noWrap/>
            <w:hideMark/>
          </w:tcPr>
          <w:p w14:paraId="3C86B759" w14:textId="00851912" w:rsidR="00505FCE" w:rsidRPr="00F64D2A" w:rsidRDefault="00505FCE" w:rsidP="00505FCE">
            <w:pPr>
              <w:pStyle w:val="Tabletext1"/>
              <w:jc w:val="center"/>
            </w:pPr>
            <w:r w:rsidRPr="00E00E54">
              <w:t>2.11</w:t>
            </w:r>
          </w:p>
        </w:tc>
        <w:tc>
          <w:tcPr>
            <w:tcW w:w="367" w:type="pct"/>
            <w:noWrap/>
            <w:hideMark/>
          </w:tcPr>
          <w:p w14:paraId="1734A9D3" w14:textId="09C530E4" w:rsidR="00505FCE" w:rsidRPr="00F64D2A" w:rsidRDefault="00505FCE" w:rsidP="00505FCE">
            <w:pPr>
              <w:pStyle w:val="Tabletext1"/>
              <w:jc w:val="center"/>
            </w:pPr>
            <w:r w:rsidRPr="00E00E54">
              <w:t>–1.55</w:t>
            </w:r>
          </w:p>
        </w:tc>
      </w:tr>
      <w:tr w:rsidR="00505FCE" w:rsidRPr="00ED3101" w14:paraId="1FBD5E1B" w14:textId="77777777" w:rsidTr="00414134">
        <w:trPr>
          <w:trHeight w:val="300"/>
        </w:trPr>
        <w:tc>
          <w:tcPr>
            <w:tcW w:w="1683" w:type="pct"/>
            <w:hideMark/>
          </w:tcPr>
          <w:p w14:paraId="416EFC64" w14:textId="77777777" w:rsidR="00505FCE" w:rsidRPr="00D77EBF" w:rsidRDefault="00505FCE" w:rsidP="00505FCE">
            <w:pPr>
              <w:pStyle w:val="Tabletext1"/>
            </w:pPr>
            <w:r w:rsidRPr="00903496">
              <w:t>NHL</w:t>
            </w:r>
          </w:p>
        </w:tc>
        <w:tc>
          <w:tcPr>
            <w:tcW w:w="368" w:type="pct"/>
            <w:noWrap/>
            <w:hideMark/>
          </w:tcPr>
          <w:p w14:paraId="59D54FCF" w14:textId="0173DB25" w:rsidR="00505FCE" w:rsidRPr="00F64D2A" w:rsidRDefault="00505FCE" w:rsidP="00505FCE">
            <w:pPr>
              <w:pStyle w:val="Tabletext1"/>
              <w:jc w:val="center"/>
            </w:pPr>
            <w:r w:rsidRPr="00E00E54">
              <w:t>1.26</w:t>
            </w:r>
          </w:p>
        </w:tc>
        <w:tc>
          <w:tcPr>
            <w:tcW w:w="369" w:type="pct"/>
            <w:noWrap/>
            <w:hideMark/>
          </w:tcPr>
          <w:p w14:paraId="67639CFA" w14:textId="36854F3C" w:rsidR="00505FCE" w:rsidRPr="00F64D2A" w:rsidRDefault="00505FCE" w:rsidP="00505FCE">
            <w:pPr>
              <w:pStyle w:val="Tabletext1"/>
              <w:jc w:val="center"/>
            </w:pPr>
            <w:r w:rsidRPr="00E00E54">
              <w:t>2.24</w:t>
            </w:r>
          </w:p>
        </w:tc>
        <w:tc>
          <w:tcPr>
            <w:tcW w:w="369" w:type="pct"/>
            <w:noWrap/>
            <w:hideMark/>
          </w:tcPr>
          <w:p w14:paraId="738A086C" w14:textId="5C63B0B8" w:rsidR="00505FCE" w:rsidRPr="00F64D2A" w:rsidRDefault="00505FCE" w:rsidP="00505FCE">
            <w:pPr>
              <w:pStyle w:val="Tabletext1"/>
              <w:jc w:val="center"/>
            </w:pPr>
            <w:r w:rsidRPr="00E00E54">
              <w:t>–0.97</w:t>
            </w:r>
          </w:p>
        </w:tc>
        <w:tc>
          <w:tcPr>
            <w:tcW w:w="369" w:type="pct"/>
            <w:noWrap/>
            <w:hideMark/>
          </w:tcPr>
          <w:p w14:paraId="1171FCC4" w14:textId="6F4C7221" w:rsidR="00505FCE" w:rsidRPr="00F64D2A" w:rsidRDefault="00505FCE" w:rsidP="00505FCE">
            <w:pPr>
              <w:pStyle w:val="Tabletext1"/>
              <w:jc w:val="center"/>
            </w:pPr>
            <w:r w:rsidRPr="00E00E54">
              <w:t>1.66</w:t>
            </w:r>
          </w:p>
        </w:tc>
        <w:tc>
          <w:tcPr>
            <w:tcW w:w="368" w:type="pct"/>
            <w:noWrap/>
            <w:hideMark/>
          </w:tcPr>
          <w:p w14:paraId="5CFAA379" w14:textId="76E08D28" w:rsidR="00505FCE" w:rsidRPr="00F64D2A" w:rsidRDefault="00505FCE" w:rsidP="00505FCE">
            <w:pPr>
              <w:pStyle w:val="Tabletext1"/>
              <w:jc w:val="center"/>
            </w:pPr>
            <w:r w:rsidRPr="00E00E54">
              <w:t>4.81</w:t>
            </w:r>
          </w:p>
        </w:tc>
        <w:tc>
          <w:tcPr>
            <w:tcW w:w="369" w:type="pct"/>
            <w:noWrap/>
            <w:hideMark/>
          </w:tcPr>
          <w:p w14:paraId="165E429C" w14:textId="107F0343" w:rsidR="00505FCE" w:rsidRPr="00F64D2A" w:rsidRDefault="00505FCE" w:rsidP="00505FCE">
            <w:pPr>
              <w:pStyle w:val="Tabletext1"/>
              <w:jc w:val="center"/>
            </w:pPr>
            <w:r w:rsidRPr="00E00E54">
              <w:t>–3.15</w:t>
            </w:r>
          </w:p>
        </w:tc>
        <w:tc>
          <w:tcPr>
            <w:tcW w:w="369" w:type="pct"/>
            <w:noWrap/>
            <w:hideMark/>
          </w:tcPr>
          <w:p w14:paraId="392E127F" w14:textId="4916BFF8" w:rsidR="00505FCE" w:rsidRPr="00F64D2A" w:rsidRDefault="00505FCE" w:rsidP="00505FCE">
            <w:pPr>
              <w:pStyle w:val="Tabletext1"/>
              <w:jc w:val="center"/>
            </w:pPr>
            <w:r w:rsidRPr="00E00E54">
              <w:t>1.20</w:t>
            </w:r>
          </w:p>
        </w:tc>
        <w:tc>
          <w:tcPr>
            <w:tcW w:w="369" w:type="pct"/>
            <w:noWrap/>
            <w:hideMark/>
          </w:tcPr>
          <w:p w14:paraId="378851FA" w14:textId="15AD0785" w:rsidR="00505FCE" w:rsidRPr="00F64D2A" w:rsidRDefault="00505FCE" w:rsidP="00505FCE">
            <w:pPr>
              <w:pStyle w:val="Tabletext1"/>
              <w:jc w:val="center"/>
            </w:pPr>
            <w:r w:rsidRPr="00E00E54">
              <w:t>3.50</w:t>
            </w:r>
          </w:p>
        </w:tc>
        <w:tc>
          <w:tcPr>
            <w:tcW w:w="367" w:type="pct"/>
            <w:noWrap/>
            <w:hideMark/>
          </w:tcPr>
          <w:p w14:paraId="03BDB45F" w14:textId="4A92322D" w:rsidR="00505FCE" w:rsidRPr="00F64D2A" w:rsidRDefault="00505FCE" w:rsidP="00505FCE">
            <w:pPr>
              <w:pStyle w:val="Tabletext1"/>
              <w:jc w:val="center"/>
            </w:pPr>
            <w:r w:rsidRPr="00E00E54">
              <w:t>–2.30</w:t>
            </w:r>
          </w:p>
        </w:tc>
      </w:tr>
      <w:tr w:rsidR="00505FCE" w:rsidRPr="00ED3101" w14:paraId="31423CB2" w14:textId="77777777" w:rsidTr="00414134">
        <w:trPr>
          <w:trHeight w:val="300"/>
        </w:trPr>
        <w:tc>
          <w:tcPr>
            <w:tcW w:w="1683" w:type="pct"/>
            <w:hideMark/>
          </w:tcPr>
          <w:p w14:paraId="3ECFF120" w14:textId="77777777" w:rsidR="00505FCE" w:rsidRPr="00D77EBF" w:rsidRDefault="00505FCE" w:rsidP="00505FCE">
            <w:pPr>
              <w:pStyle w:val="Tabletext1"/>
            </w:pPr>
            <w:r w:rsidRPr="00611885">
              <w:t>AL</w:t>
            </w:r>
          </w:p>
        </w:tc>
        <w:tc>
          <w:tcPr>
            <w:tcW w:w="368" w:type="pct"/>
            <w:noWrap/>
            <w:hideMark/>
          </w:tcPr>
          <w:p w14:paraId="4A621EC2" w14:textId="234D3EEC" w:rsidR="00505FCE" w:rsidRPr="00F64D2A" w:rsidRDefault="00505FCE" w:rsidP="00505FCE">
            <w:pPr>
              <w:pStyle w:val="Tabletext1"/>
              <w:jc w:val="center"/>
            </w:pPr>
            <w:r w:rsidRPr="00E00E54">
              <w:t>0.49</w:t>
            </w:r>
          </w:p>
        </w:tc>
        <w:tc>
          <w:tcPr>
            <w:tcW w:w="369" w:type="pct"/>
            <w:noWrap/>
            <w:hideMark/>
          </w:tcPr>
          <w:p w14:paraId="3142D2EB" w14:textId="215123B3" w:rsidR="00505FCE" w:rsidRPr="00F64D2A" w:rsidRDefault="00505FCE" w:rsidP="00505FCE">
            <w:pPr>
              <w:pStyle w:val="Tabletext1"/>
              <w:jc w:val="center"/>
            </w:pPr>
            <w:r w:rsidRPr="00E00E54">
              <w:t>2.28</w:t>
            </w:r>
          </w:p>
        </w:tc>
        <w:tc>
          <w:tcPr>
            <w:tcW w:w="369" w:type="pct"/>
            <w:noWrap/>
            <w:hideMark/>
          </w:tcPr>
          <w:p w14:paraId="6BA23E10" w14:textId="083252C1" w:rsidR="00505FCE" w:rsidRPr="00F64D2A" w:rsidRDefault="00505FCE" w:rsidP="00505FCE">
            <w:pPr>
              <w:pStyle w:val="Tabletext1"/>
              <w:jc w:val="center"/>
            </w:pPr>
            <w:r w:rsidRPr="00E00E54">
              <w:t>–1.80</w:t>
            </w:r>
          </w:p>
        </w:tc>
        <w:tc>
          <w:tcPr>
            <w:tcW w:w="369" w:type="pct"/>
            <w:noWrap/>
            <w:hideMark/>
          </w:tcPr>
          <w:p w14:paraId="4A33CA99" w14:textId="6DC8766B" w:rsidR="00505FCE" w:rsidRPr="00F64D2A" w:rsidRDefault="00505FCE" w:rsidP="00505FCE">
            <w:pPr>
              <w:pStyle w:val="Tabletext1"/>
              <w:jc w:val="center"/>
            </w:pPr>
            <w:r w:rsidRPr="00E00E54">
              <w:t>1.38</w:t>
            </w:r>
          </w:p>
        </w:tc>
        <w:tc>
          <w:tcPr>
            <w:tcW w:w="368" w:type="pct"/>
            <w:noWrap/>
            <w:hideMark/>
          </w:tcPr>
          <w:p w14:paraId="3FF020E1" w14:textId="7C837787" w:rsidR="00505FCE" w:rsidRPr="00F64D2A" w:rsidRDefault="00505FCE" w:rsidP="00505FCE">
            <w:pPr>
              <w:pStyle w:val="Tabletext1"/>
              <w:jc w:val="center"/>
            </w:pPr>
            <w:r w:rsidRPr="00E00E54">
              <w:t>13.75</w:t>
            </w:r>
          </w:p>
        </w:tc>
        <w:tc>
          <w:tcPr>
            <w:tcW w:w="369" w:type="pct"/>
            <w:noWrap/>
            <w:hideMark/>
          </w:tcPr>
          <w:p w14:paraId="7A2A34A5" w14:textId="01CCEBBE" w:rsidR="00505FCE" w:rsidRPr="00F64D2A" w:rsidRDefault="00505FCE" w:rsidP="00505FCE">
            <w:pPr>
              <w:pStyle w:val="Tabletext1"/>
              <w:jc w:val="center"/>
            </w:pPr>
            <w:r w:rsidRPr="00E00E54">
              <w:t>–12.36</w:t>
            </w:r>
          </w:p>
        </w:tc>
        <w:tc>
          <w:tcPr>
            <w:tcW w:w="369" w:type="pct"/>
            <w:noWrap/>
            <w:hideMark/>
          </w:tcPr>
          <w:p w14:paraId="4032A723" w14:textId="1C3D337B" w:rsidR="00505FCE" w:rsidRPr="00F64D2A" w:rsidRDefault="00505FCE" w:rsidP="00505FCE">
            <w:pPr>
              <w:pStyle w:val="Tabletext1"/>
              <w:jc w:val="center"/>
            </w:pPr>
            <w:r w:rsidRPr="00E00E54">
              <w:t>1.00</w:t>
            </w:r>
          </w:p>
        </w:tc>
        <w:tc>
          <w:tcPr>
            <w:tcW w:w="369" w:type="pct"/>
            <w:noWrap/>
            <w:hideMark/>
          </w:tcPr>
          <w:p w14:paraId="7242B3AB" w14:textId="7EBD3D8F" w:rsidR="00505FCE" w:rsidRPr="00F64D2A" w:rsidRDefault="00505FCE" w:rsidP="00505FCE">
            <w:pPr>
              <w:pStyle w:val="Tabletext1"/>
              <w:jc w:val="center"/>
            </w:pPr>
            <w:r w:rsidRPr="00E00E54">
              <w:t>10.48</w:t>
            </w:r>
          </w:p>
        </w:tc>
        <w:tc>
          <w:tcPr>
            <w:tcW w:w="367" w:type="pct"/>
            <w:noWrap/>
            <w:hideMark/>
          </w:tcPr>
          <w:p w14:paraId="03F38BAE" w14:textId="4EEE0042" w:rsidR="00505FCE" w:rsidRPr="00F64D2A" w:rsidRDefault="00505FCE" w:rsidP="00505FCE">
            <w:pPr>
              <w:pStyle w:val="Tabletext1"/>
              <w:jc w:val="center"/>
            </w:pPr>
            <w:r w:rsidRPr="00E00E54">
              <w:t>–9.48</w:t>
            </w:r>
          </w:p>
        </w:tc>
      </w:tr>
      <w:tr w:rsidR="00505FCE" w:rsidRPr="00ED3101" w14:paraId="02305D88" w14:textId="77777777" w:rsidTr="00414134">
        <w:trPr>
          <w:trHeight w:val="300"/>
        </w:trPr>
        <w:tc>
          <w:tcPr>
            <w:tcW w:w="1683" w:type="pct"/>
            <w:hideMark/>
          </w:tcPr>
          <w:p w14:paraId="551F5221" w14:textId="77777777" w:rsidR="00505FCE" w:rsidRPr="00D77EBF" w:rsidRDefault="00505FCE" w:rsidP="00505FCE">
            <w:pPr>
              <w:pStyle w:val="Tabletext1"/>
            </w:pPr>
            <w:r w:rsidRPr="00987097">
              <w:t>Post-HSCT</w:t>
            </w:r>
          </w:p>
        </w:tc>
        <w:tc>
          <w:tcPr>
            <w:tcW w:w="368" w:type="pct"/>
            <w:noWrap/>
            <w:hideMark/>
          </w:tcPr>
          <w:p w14:paraId="2D9E912F" w14:textId="0318588E" w:rsidR="00505FCE" w:rsidRPr="00F64D2A" w:rsidRDefault="00505FCE" w:rsidP="00505FCE">
            <w:pPr>
              <w:pStyle w:val="Tabletext1"/>
              <w:jc w:val="center"/>
            </w:pPr>
            <w:r w:rsidRPr="00E00E54">
              <w:t>1.65</w:t>
            </w:r>
          </w:p>
        </w:tc>
        <w:tc>
          <w:tcPr>
            <w:tcW w:w="369" w:type="pct"/>
            <w:noWrap/>
            <w:hideMark/>
          </w:tcPr>
          <w:p w14:paraId="37347FB5" w14:textId="12AFC81E" w:rsidR="00505FCE" w:rsidRPr="00F64D2A" w:rsidRDefault="00505FCE" w:rsidP="00505FCE">
            <w:pPr>
              <w:pStyle w:val="Tabletext1"/>
              <w:jc w:val="center"/>
            </w:pPr>
            <w:r w:rsidRPr="00E00E54">
              <w:t>2.28</w:t>
            </w:r>
          </w:p>
        </w:tc>
        <w:tc>
          <w:tcPr>
            <w:tcW w:w="369" w:type="pct"/>
            <w:noWrap/>
            <w:hideMark/>
          </w:tcPr>
          <w:p w14:paraId="74140F1A" w14:textId="2878264A" w:rsidR="00505FCE" w:rsidRPr="00F64D2A" w:rsidRDefault="00505FCE" w:rsidP="00505FCE">
            <w:pPr>
              <w:pStyle w:val="Tabletext1"/>
              <w:jc w:val="center"/>
            </w:pPr>
            <w:r w:rsidRPr="00E00E54">
              <w:t>–0.63</w:t>
            </w:r>
          </w:p>
        </w:tc>
        <w:tc>
          <w:tcPr>
            <w:tcW w:w="369" w:type="pct"/>
            <w:noWrap/>
            <w:hideMark/>
          </w:tcPr>
          <w:p w14:paraId="40945C2B" w14:textId="53911FE1" w:rsidR="00505FCE" w:rsidRPr="00F64D2A" w:rsidRDefault="00505FCE" w:rsidP="00505FCE">
            <w:pPr>
              <w:pStyle w:val="Tabletext1"/>
              <w:jc w:val="center"/>
            </w:pPr>
            <w:r w:rsidRPr="00E00E54">
              <w:t>3.56</w:t>
            </w:r>
          </w:p>
        </w:tc>
        <w:tc>
          <w:tcPr>
            <w:tcW w:w="368" w:type="pct"/>
            <w:noWrap/>
            <w:hideMark/>
          </w:tcPr>
          <w:p w14:paraId="16A0C40D" w14:textId="48FD25B1" w:rsidR="00505FCE" w:rsidRPr="00F64D2A" w:rsidRDefault="00505FCE" w:rsidP="00505FCE">
            <w:pPr>
              <w:pStyle w:val="Tabletext1"/>
              <w:jc w:val="center"/>
            </w:pPr>
            <w:r w:rsidRPr="00E00E54">
              <w:t>6.70</w:t>
            </w:r>
          </w:p>
        </w:tc>
        <w:tc>
          <w:tcPr>
            <w:tcW w:w="369" w:type="pct"/>
            <w:noWrap/>
            <w:hideMark/>
          </w:tcPr>
          <w:p w14:paraId="308DE5D0" w14:textId="20511C98" w:rsidR="00505FCE" w:rsidRPr="00F64D2A" w:rsidRDefault="00505FCE" w:rsidP="00505FCE">
            <w:pPr>
              <w:pStyle w:val="Tabletext1"/>
              <w:jc w:val="center"/>
            </w:pPr>
            <w:r w:rsidRPr="00E00E54">
              <w:t>–3.14</w:t>
            </w:r>
          </w:p>
        </w:tc>
        <w:tc>
          <w:tcPr>
            <w:tcW w:w="369" w:type="pct"/>
            <w:noWrap/>
            <w:hideMark/>
          </w:tcPr>
          <w:p w14:paraId="4EB63427" w14:textId="624AD7C5" w:rsidR="00505FCE" w:rsidRPr="00F64D2A" w:rsidRDefault="00505FCE" w:rsidP="00505FCE">
            <w:pPr>
              <w:pStyle w:val="Tabletext1"/>
              <w:jc w:val="center"/>
            </w:pPr>
            <w:r w:rsidRPr="00E00E54">
              <w:t>2.58</w:t>
            </w:r>
          </w:p>
        </w:tc>
        <w:tc>
          <w:tcPr>
            <w:tcW w:w="369" w:type="pct"/>
            <w:noWrap/>
            <w:hideMark/>
          </w:tcPr>
          <w:p w14:paraId="3EFBA2F8" w14:textId="1F515D52" w:rsidR="00505FCE" w:rsidRPr="00F64D2A" w:rsidRDefault="00505FCE" w:rsidP="00505FCE">
            <w:pPr>
              <w:pStyle w:val="Tabletext1"/>
              <w:jc w:val="center"/>
            </w:pPr>
            <w:r w:rsidRPr="00E00E54">
              <w:t>4.87</w:t>
            </w:r>
          </w:p>
        </w:tc>
        <w:tc>
          <w:tcPr>
            <w:tcW w:w="367" w:type="pct"/>
            <w:noWrap/>
            <w:hideMark/>
          </w:tcPr>
          <w:p w14:paraId="56A7E606" w14:textId="347D6DCA" w:rsidR="00505FCE" w:rsidRPr="00F64D2A" w:rsidRDefault="00505FCE" w:rsidP="00505FCE">
            <w:pPr>
              <w:pStyle w:val="Tabletext1"/>
              <w:jc w:val="center"/>
            </w:pPr>
            <w:r w:rsidRPr="00E00E54">
              <w:t>–2.29</w:t>
            </w:r>
          </w:p>
        </w:tc>
      </w:tr>
    </w:tbl>
    <w:p w14:paraId="5F34ADAF" w14:textId="5F3DE06C" w:rsidR="00455636" w:rsidRDefault="00CB2D9B" w:rsidP="00911F85">
      <w:pPr>
        <w:pStyle w:val="Tablenotes1"/>
      </w:pPr>
      <w:r>
        <w:t xml:space="preserve">AL = acute leukemia; </w:t>
      </w:r>
      <w:r w:rsidR="00455636">
        <w:t>CLL = chronic lymphocytic lymphoma; HSCT = haemopoietic stem cell transplantation; Ig = immunoglobulin; MM = multiple myeloma; NHL = non-Hodgkin’s lymphoma.</w:t>
      </w:r>
    </w:p>
    <w:p w14:paraId="4FD57ED7" w14:textId="77777777" w:rsidR="00455636" w:rsidRDefault="00455636" w:rsidP="00911F85">
      <w:pPr>
        <w:sectPr w:rsidR="00455636" w:rsidSect="00455636">
          <w:pgSz w:w="16838" w:h="11906" w:orient="landscape"/>
          <w:pgMar w:top="1440" w:right="1440" w:bottom="1440" w:left="1440" w:header="720" w:footer="720" w:gutter="0"/>
          <w:paperSrc w:first="7" w:other="7"/>
          <w:cols w:space="720"/>
          <w:docGrid w:linePitch="299"/>
        </w:sectPr>
      </w:pPr>
    </w:p>
    <w:p w14:paraId="1E08D541" w14:textId="7423C6CF" w:rsidR="00911F85" w:rsidRDefault="00911F85" w:rsidP="00911F85">
      <w:r>
        <w:lastRenderedPageBreak/>
        <w:t>In AL</w:t>
      </w:r>
      <w:r w:rsidR="000C44D1">
        <w:t>, Ig</w:t>
      </w:r>
      <w:r>
        <w:t xml:space="preserve"> is observed to be </w:t>
      </w:r>
      <w:r w:rsidR="000C44D1">
        <w:t xml:space="preserve">both less costly and more effective (i.e. the ICER is </w:t>
      </w:r>
      <w:r>
        <w:t>dominant</w:t>
      </w:r>
      <w:r w:rsidR="000C44D1">
        <w:t xml:space="preserve">). This appears to be </w:t>
      </w:r>
      <w:r>
        <w:t>due to a</w:t>
      </w:r>
      <w:r w:rsidR="000C44D1">
        <w:t>n assumed</w:t>
      </w:r>
      <w:r>
        <w:t xml:space="preserve"> younger patient age, and </w:t>
      </w:r>
      <w:r w:rsidR="000C44D1">
        <w:t xml:space="preserve">therefore </w:t>
      </w:r>
      <w:r>
        <w:t xml:space="preserve">lower background mortality risk. </w:t>
      </w:r>
      <w:r w:rsidR="000C44D1">
        <w:t>AL p</w:t>
      </w:r>
      <w:r>
        <w:t>atients therefore spend more time alive in the bronchiectasis health states which are associated with a higher cost. Further, the study in which this analysis was based on reported a substantial reduction in non-serious infections (and so preventing bronchiectasis with Ig). A substantial increase is observed in the ICER for post-HSCT. This is driven by higher IRRs modelled.</w:t>
      </w:r>
    </w:p>
    <w:p w14:paraId="53E9F275" w14:textId="77777777" w:rsidR="00911F85" w:rsidRPr="006401D0" w:rsidRDefault="00911F85" w:rsidP="00911F85"/>
    <w:p w14:paraId="6567307E" w14:textId="48C39143" w:rsidR="003D3BB9" w:rsidRDefault="003D3BB9" w:rsidP="0007662C">
      <w:pPr>
        <w:pStyle w:val="Heading3"/>
      </w:pPr>
      <w:bookmarkStart w:id="585" w:name="_Toc14431172"/>
      <w:bookmarkStart w:id="586" w:name="_Toc16856348"/>
      <w:bookmarkStart w:id="587" w:name="_Ref378945269"/>
      <w:r>
        <w:t>D.6.4.</w:t>
      </w:r>
      <w:r>
        <w:tab/>
        <w:t>Univariate sensitivity analyses</w:t>
      </w:r>
      <w:bookmarkEnd w:id="585"/>
      <w:bookmarkEnd w:id="586"/>
    </w:p>
    <w:p w14:paraId="21812CB3" w14:textId="0D57668C" w:rsidR="00911F85" w:rsidRDefault="00911F85" w:rsidP="00911F85">
      <w:r>
        <w:t xml:space="preserve">All </w:t>
      </w:r>
      <w:r w:rsidR="006337E9">
        <w:t xml:space="preserve">other </w:t>
      </w:r>
      <w:r>
        <w:t xml:space="preserve">sensitivity analyses conducted </w:t>
      </w:r>
      <w:r w:rsidR="006337E9">
        <w:t xml:space="preserve">around areas of uncertainty in the model </w:t>
      </w:r>
      <w:r>
        <w:t xml:space="preserve">are presented in </w:t>
      </w:r>
      <w:r>
        <w:fldChar w:fldCharType="begin"/>
      </w:r>
      <w:r>
        <w:instrText xml:space="preserve"> REF _Ref13241082 \h </w:instrText>
      </w:r>
      <w:r>
        <w:fldChar w:fldCharType="separate"/>
      </w:r>
      <w:r w:rsidR="00A7463B">
        <w:t xml:space="preserve">Table </w:t>
      </w:r>
      <w:r w:rsidR="00A7463B">
        <w:rPr>
          <w:noProof/>
        </w:rPr>
        <w:t>97</w:t>
      </w:r>
      <w:r>
        <w:fldChar w:fldCharType="end"/>
      </w:r>
      <w:r>
        <w:t xml:space="preserve">, </w:t>
      </w:r>
      <w:r>
        <w:fldChar w:fldCharType="begin"/>
      </w:r>
      <w:r>
        <w:instrText xml:space="preserve"> REF _Ref13644183 \h </w:instrText>
      </w:r>
      <w:r>
        <w:fldChar w:fldCharType="separate"/>
      </w:r>
      <w:r w:rsidR="00A7463B" w:rsidRPr="00183E4D">
        <w:t xml:space="preserve">Appendix </w:t>
      </w:r>
      <w:r w:rsidR="00A7463B">
        <w:rPr>
          <w:noProof/>
        </w:rPr>
        <w:t>G</w:t>
      </w:r>
      <w:r>
        <w:fldChar w:fldCharType="end"/>
      </w:r>
      <w:r>
        <w:t xml:space="preserve">. Key sensitivity analyses (i.e. those which changed the ICER by more than 10%) are presented in </w:t>
      </w:r>
      <w:r>
        <w:fldChar w:fldCharType="begin"/>
      </w:r>
      <w:r>
        <w:instrText xml:space="preserve"> REF _Ref13241088 \h </w:instrText>
      </w:r>
      <w:r>
        <w:fldChar w:fldCharType="separate"/>
      </w:r>
      <w:r w:rsidR="00A7463B">
        <w:t xml:space="preserve">Table </w:t>
      </w:r>
      <w:r w:rsidR="00A7463B">
        <w:rPr>
          <w:noProof/>
        </w:rPr>
        <w:t>63</w:t>
      </w:r>
      <w:r>
        <w:fldChar w:fldCharType="end"/>
      </w:r>
      <w:r>
        <w:t>, below.</w:t>
      </w:r>
    </w:p>
    <w:p w14:paraId="739CA5A4" w14:textId="6D05BD9B" w:rsidR="00911F85" w:rsidRDefault="00911F85" w:rsidP="00911F85">
      <w:pPr>
        <w:pStyle w:val="Caption"/>
        <w:keepNext/>
      </w:pPr>
      <w:bookmarkStart w:id="588" w:name="_Ref13241088"/>
      <w:bookmarkStart w:id="589" w:name="_Toc14348897"/>
      <w:bookmarkStart w:id="590" w:name="_Toc14429603"/>
      <w:bookmarkStart w:id="591" w:name="_Toc16671661"/>
      <w:r>
        <w:t xml:space="preserve">Table </w:t>
      </w:r>
      <w:r>
        <w:rPr>
          <w:noProof/>
        </w:rPr>
        <w:fldChar w:fldCharType="begin"/>
      </w:r>
      <w:r>
        <w:rPr>
          <w:noProof/>
        </w:rPr>
        <w:instrText xml:space="preserve"> SEQ Table \* ARABIC </w:instrText>
      </w:r>
      <w:r>
        <w:rPr>
          <w:noProof/>
        </w:rPr>
        <w:fldChar w:fldCharType="separate"/>
      </w:r>
      <w:r w:rsidR="00A7463B">
        <w:rPr>
          <w:noProof/>
        </w:rPr>
        <w:t>63</w:t>
      </w:r>
      <w:r>
        <w:rPr>
          <w:noProof/>
        </w:rPr>
        <w:fldChar w:fldCharType="end"/>
      </w:r>
      <w:bookmarkEnd w:id="588"/>
      <w:r>
        <w:tab/>
        <w:t>Key sensitivity analyses</w:t>
      </w:r>
      <w:bookmarkEnd w:id="589"/>
      <w:bookmarkEnd w:id="590"/>
      <w:bookmarkEnd w:id="591"/>
    </w:p>
    <w:bookmarkEnd w:id="587"/>
    <w:tbl>
      <w:tblPr>
        <w:tblStyle w:val="TableGrid1"/>
        <w:tblW w:w="5000" w:type="pct"/>
        <w:tblLayout w:type="fixed"/>
        <w:tblLook w:val="04A0" w:firstRow="1" w:lastRow="0" w:firstColumn="1" w:lastColumn="0" w:noHBand="0" w:noVBand="1"/>
        <w:tblCaption w:val="Sensitivity analyses"/>
      </w:tblPr>
      <w:tblGrid>
        <w:gridCol w:w="4934"/>
        <w:gridCol w:w="1163"/>
        <w:gridCol w:w="1163"/>
        <w:gridCol w:w="1163"/>
        <w:gridCol w:w="819"/>
      </w:tblGrid>
      <w:tr w:rsidR="00A9264E" w:rsidRPr="008B0DF4" w14:paraId="4F3AB03C" w14:textId="77777777" w:rsidTr="008437D6">
        <w:trPr>
          <w:cnfStyle w:val="100000000000" w:firstRow="1" w:lastRow="0" w:firstColumn="0" w:lastColumn="0" w:oddVBand="0" w:evenVBand="0" w:oddHBand="0" w:evenHBand="0" w:firstRowFirstColumn="0" w:firstRowLastColumn="0" w:lastRowFirstColumn="0" w:lastRowLastColumn="0"/>
          <w:trHeight w:val="300"/>
          <w:tblHeader/>
        </w:trPr>
        <w:tc>
          <w:tcPr>
            <w:tcW w:w="2670" w:type="pct"/>
            <w:noWrap/>
          </w:tcPr>
          <w:p w14:paraId="3419CBD5" w14:textId="77777777" w:rsidR="00A9264E" w:rsidRPr="008B0DF4" w:rsidRDefault="00A9264E" w:rsidP="008437D6">
            <w:pPr>
              <w:pStyle w:val="TableHeading"/>
            </w:pPr>
          </w:p>
        </w:tc>
        <w:tc>
          <w:tcPr>
            <w:tcW w:w="629" w:type="pct"/>
            <w:noWrap/>
          </w:tcPr>
          <w:p w14:paraId="5CAD880A" w14:textId="77777777" w:rsidR="00A9264E" w:rsidRPr="008B0DF4" w:rsidRDefault="00A9264E" w:rsidP="008437D6">
            <w:pPr>
              <w:pStyle w:val="TableHeading"/>
              <w:jc w:val="center"/>
            </w:pPr>
            <w:r w:rsidRPr="00FA1F59">
              <w:t>Inc. cost</w:t>
            </w:r>
          </w:p>
        </w:tc>
        <w:tc>
          <w:tcPr>
            <w:tcW w:w="629" w:type="pct"/>
            <w:noWrap/>
          </w:tcPr>
          <w:p w14:paraId="0848C36C" w14:textId="77777777" w:rsidR="00A9264E" w:rsidRPr="008B0DF4" w:rsidRDefault="00A9264E" w:rsidP="008437D6">
            <w:pPr>
              <w:pStyle w:val="TableHeading"/>
              <w:jc w:val="center"/>
            </w:pPr>
            <w:r w:rsidRPr="00FA1F59">
              <w:t>Inc. QALYs</w:t>
            </w:r>
          </w:p>
        </w:tc>
        <w:tc>
          <w:tcPr>
            <w:tcW w:w="629" w:type="pct"/>
            <w:noWrap/>
          </w:tcPr>
          <w:p w14:paraId="6A7DCD44" w14:textId="77777777" w:rsidR="00A9264E" w:rsidRPr="008B0DF4" w:rsidRDefault="00A9264E" w:rsidP="008437D6">
            <w:pPr>
              <w:pStyle w:val="TableHeading"/>
              <w:jc w:val="center"/>
            </w:pPr>
            <w:r w:rsidRPr="00FA1F59">
              <w:t>ICER</w:t>
            </w:r>
          </w:p>
        </w:tc>
        <w:tc>
          <w:tcPr>
            <w:tcW w:w="443" w:type="pct"/>
            <w:noWrap/>
          </w:tcPr>
          <w:p w14:paraId="77388B08" w14:textId="77777777" w:rsidR="00A9264E" w:rsidRPr="008B0DF4" w:rsidRDefault="00A9264E" w:rsidP="008437D6">
            <w:pPr>
              <w:pStyle w:val="TableHeading"/>
              <w:jc w:val="center"/>
            </w:pPr>
            <w:r>
              <w:t>% change</w:t>
            </w:r>
          </w:p>
        </w:tc>
      </w:tr>
      <w:tr w:rsidR="00A9264E" w:rsidRPr="008B0DF4" w14:paraId="7D96EEEE" w14:textId="77777777" w:rsidTr="008437D6">
        <w:trPr>
          <w:cnfStyle w:val="100000000000" w:firstRow="1" w:lastRow="0" w:firstColumn="0" w:lastColumn="0" w:oddVBand="0" w:evenVBand="0" w:oddHBand="0" w:evenHBand="0" w:firstRowFirstColumn="0" w:firstRowLastColumn="0" w:lastRowFirstColumn="0" w:lastRowLastColumn="0"/>
          <w:trHeight w:val="300"/>
          <w:tblHeader/>
        </w:trPr>
        <w:tc>
          <w:tcPr>
            <w:tcW w:w="2670" w:type="pct"/>
            <w:tcBorders>
              <w:bottom w:val="single" w:sz="4" w:space="0" w:color="auto"/>
            </w:tcBorders>
            <w:noWrap/>
            <w:hideMark/>
          </w:tcPr>
          <w:p w14:paraId="1987D13B" w14:textId="77777777" w:rsidR="00A9264E" w:rsidRPr="008B0DF4" w:rsidRDefault="00A9264E" w:rsidP="008437D6">
            <w:pPr>
              <w:pStyle w:val="TableHeading"/>
            </w:pPr>
            <w:r w:rsidRPr="008B0DF4">
              <w:t>Base case analysis</w:t>
            </w:r>
          </w:p>
        </w:tc>
        <w:tc>
          <w:tcPr>
            <w:tcW w:w="629" w:type="pct"/>
            <w:tcBorders>
              <w:bottom w:val="single" w:sz="4" w:space="0" w:color="auto"/>
            </w:tcBorders>
            <w:noWrap/>
            <w:hideMark/>
          </w:tcPr>
          <w:p w14:paraId="0A727956" w14:textId="1047DEB8" w:rsidR="00A9264E" w:rsidRPr="008B0DF4" w:rsidRDefault="00A9264E" w:rsidP="008437D6">
            <w:pPr>
              <w:pStyle w:val="TableHeading"/>
              <w:jc w:val="right"/>
            </w:pPr>
            <w:r w:rsidRPr="00D6502A">
              <w:t>$41,011</w:t>
            </w:r>
          </w:p>
        </w:tc>
        <w:tc>
          <w:tcPr>
            <w:tcW w:w="629" w:type="pct"/>
            <w:tcBorders>
              <w:bottom w:val="single" w:sz="4" w:space="0" w:color="auto"/>
            </w:tcBorders>
            <w:noWrap/>
            <w:hideMark/>
          </w:tcPr>
          <w:p w14:paraId="64A594DB" w14:textId="77777777" w:rsidR="00A9264E" w:rsidRPr="008B0DF4" w:rsidRDefault="00A9264E" w:rsidP="008437D6">
            <w:pPr>
              <w:pStyle w:val="TableHeading"/>
              <w:jc w:val="right"/>
            </w:pPr>
            <w:r w:rsidRPr="00D6502A">
              <w:t>0.4109</w:t>
            </w:r>
          </w:p>
        </w:tc>
        <w:tc>
          <w:tcPr>
            <w:tcW w:w="629" w:type="pct"/>
            <w:tcBorders>
              <w:bottom w:val="single" w:sz="4" w:space="0" w:color="auto"/>
            </w:tcBorders>
            <w:noWrap/>
            <w:hideMark/>
          </w:tcPr>
          <w:p w14:paraId="3F4C93BD" w14:textId="2ABF4596" w:rsidR="00A9264E" w:rsidRPr="008B0DF4" w:rsidRDefault="00A9264E" w:rsidP="008437D6">
            <w:pPr>
              <w:pStyle w:val="TableHeading"/>
              <w:jc w:val="right"/>
            </w:pPr>
            <w:r w:rsidRPr="00D6502A">
              <w:t>$99,803</w:t>
            </w:r>
          </w:p>
        </w:tc>
        <w:tc>
          <w:tcPr>
            <w:tcW w:w="443" w:type="pct"/>
            <w:tcBorders>
              <w:bottom w:val="single" w:sz="4" w:space="0" w:color="auto"/>
            </w:tcBorders>
            <w:noWrap/>
            <w:hideMark/>
          </w:tcPr>
          <w:p w14:paraId="77CC8F00" w14:textId="77777777" w:rsidR="00A9264E" w:rsidRPr="008B0DF4" w:rsidRDefault="00A9264E" w:rsidP="008437D6">
            <w:pPr>
              <w:pStyle w:val="TableHeading"/>
              <w:jc w:val="right"/>
            </w:pPr>
            <w:r w:rsidRPr="00D6502A">
              <w:t>-</w:t>
            </w:r>
          </w:p>
        </w:tc>
      </w:tr>
      <w:tr w:rsidR="00A9264E" w:rsidRPr="00E86C72" w14:paraId="0EFD9CB4" w14:textId="77777777" w:rsidTr="008437D6">
        <w:trPr>
          <w:trHeight w:val="300"/>
        </w:trPr>
        <w:tc>
          <w:tcPr>
            <w:tcW w:w="2670" w:type="pct"/>
            <w:tcBorders>
              <w:bottom w:val="single" w:sz="4" w:space="0" w:color="auto"/>
              <w:right w:val="nil"/>
            </w:tcBorders>
            <w:noWrap/>
            <w:hideMark/>
          </w:tcPr>
          <w:p w14:paraId="22590B16" w14:textId="4D2CAC06" w:rsidR="00A9264E" w:rsidRPr="00E86C72" w:rsidRDefault="00A9264E" w:rsidP="008437D6">
            <w:pPr>
              <w:pStyle w:val="Tabletext1"/>
            </w:pPr>
            <w:r w:rsidRPr="004666A8">
              <w:t xml:space="preserve">Baseline </w:t>
            </w:r>
            <w:r w:rsidR="00AD3B7D">
              <w:t xml:space="preserve">annual </w:t>
            </w:r>
            <w:r w:rsidRPr="004666A8">
              <w:t>infection rates (base case: Paxton, Hawkins &amp; Crispin 2016, serious 0.43, non-serious 1.05)</w:t>
            </w:r>
          </w:p>
        </w:tc>
        <w:tc>
          <w:tcPr>
            <w:tcW w:w="629" w:type="pct"/>
            <w:tcBorders>
              <w:left w:val="nil"/>
              <w:bottom w:val="single" w:sz="4" w:space="0" w:color="auto"/>
              <w:right w:val="nil"/>
            </w:tcBorders>
            <w:noWrap/>
            <w:hideMark/>
          </w:tcPr>
          <w:p w14:paraId="4D0B10C0" w14:textId="77777777" w:rsidR="00A9264E" w:rsidRPr="00E86C72" w:rsidRDefault="00A9264E" w:rsidP="008437D6">
            <w:pPr>
              <w:pStyle w:val="Tabletext1"/>
              <w:jc w:val="right"/>
            </w:pPr>
          </w:p>
        </w:tc>
        <w:tc>
          <w:tcPr>
            <w:tcW w:w="629" w:type="pct"/>
            <w:tcBorders>
              <w:left w:val="nil"/>
              <w:bottom w:val="single" w:sz="4" w:space="0" w:color="auto"/>
              <w:right w:val="nil"/>
            </w:tcBorders>
            <w:noWrap/>
            <w:hideMark/>
          </w:tcPr>
          <w:p w14:paraId="3C8E73B6" w14:textId="77777777" w:rsidR="00A9264E" w:rsidRPr="00E86C72" w:rsidRDefault="00A9264E" w:rsidP="008437D6">
            <w:pPr>
              <w:pStyle w:val="Tabletext1"/>
              <w:jc w:val="right"/>
            </w:pPr>
          </w:p>
        </w:tc>
        <w:tc>
          <w:tcPr>
            <w:tcW w:w="629" w:type="pct"/>
            <w:tcBorders>
              <w:left w:val="nil"/>
              <w:bottom w:val="single" w:sz="4" w:space="0" w:color="auto"/>
              <w:right w:val="nil"/>
            </w:tcBorders>
            <w:noWrap/>
            <w:hideMark/>
          </w:tcPr>
          <w:p w14:paraId="3FF9DE6A" w14:textId="77777777" w:rsidR="00A9264E" w:rsidRPr="00E86C72" w:rsidRDefault="00A9264E" w:rsidP="008437D6">
            <w:pPr>
              <w:pStyle w:val="Tabletext1"/>
              <w:jc w:val="right"/>
            </w:pPr>
          </w:p>
        </w:tc>
        <w:tc>
          <w:tcPr>
            <w:tcW w:w="443" w:type="pct"/>
            <w:tcBorders>
              <w:left w:val="nil"/>
              <w:bottom w:val="single" w:sz="4" w:space="0" w:color="auto"/>
            </w:tcBorders>
            <w:noWrap/>
            <w:hideMark/>
          </w:tcPr>
          <w:p w14:paraId="6FD6656B" w14:textId="77777777" w:rsidR="00A9264E" w:rsidRPr="00E86C72" w:rsidRDefault="00A9264E" w:rsidP="008437D6">
            <w:pPr>
              <w:pStyle w:val="Tabletext1"/>
              <w:jc w:val="right"/>
            </w:pPr>
          </w:p>
        </w:tc>
      </w:tr>
      <w:tr w:rsidR="00A9264E" w:rsidRPr="00E86C72" w14:paraId="748BADAB" w14:textId="77777777" w:rsidTr="008437D6">
        <w:trPr>
          <w:trHeight w:val="300"/>
        </w:trPr>
        <w:tc>
          <w:tcPr>
            <w:tcW w:w="2670" w:type="pct"/>
            <w:tcBorders>
              <w:top w:val="nil"/>
              <w:bottom w:val="nil"/>
            </w:tcBorders>
            <w:noWrap/>
            <w:hideMark/>
          </w:tcPr>
          <w:p w14:paraId="00C04444" w14:textId="77777777" w:rsidR="00A9264E" w:rsidRPr="00E86C72" w:rsidRDefault="00A9264E" w:rsidP="008437D6">
            <w:pPr>
              <w:pStyle w:val="Tabletext1"/>
            </w:pPr>
            <w:r w:rsidRPr="004666A8">
              <w:t>Molica et al. (1996): serious 0.29, non-serious 1.73</w:t>
            </w:r>
          </w:p>
        </w:tc>
        <w:tc>
          <w:tcPr>
            <w:tcW w:w="629" w:type="pct"/>
            <w:tcBorders>
              <w:top w:val="nil"/>
              <w:bottom w:val="nil"/>
            </w:tcBorders>
            <w:noWrap/>
            <w:hideMark/>
          </w:tcPr>
          <w:p w14:paraId="6B079E8C" w14:textId="23623370" w:rsidR="00A9264E" w:rsidRPr="00E86C72" w:rsidRDefault="00A9264E" w:rsidP="008437D6">
            <w:pPr>
              <w:pStyle w:val="Tabletext1"/>
              <w:jc w:val="right"/>
            </w:pPr>
            <w:r w:rsidRPr="00D6502A">
              <w:t>$50,160</w:t>
            </w:r>
          </w:p>
        </w:tc>
        <w:tc>
          <w:tcPr>
            <w:tcW w:w="629" w:type="pct"/>
            <w:tcBorders>
              <w:top w:val="nil"/>
              <w:bottom w:val="nil"/>
            </w:tcBorders>
            <w:noWrap/>
            <w:hideMark/>
          </w:tcPr>
          <w:p w14:paraId="1E5A4365" w14:textId="77777777" w:rsidR="00A9264E" w:rsidRPr="00E86C72" w:rsidRDefault="00A9264E" w:rsidP="008437D6">
            <w:pPr>
              <w:pStyle w:val="Tabletext1"/>
              <w:jc w:val="right"/>
            </w:pPr>
            <w:r w:rsidRPr="00D6502A">
              <w:t>0.3819</w:t>
            </w:r>
          </w:p>
        </w:tc>
        <w:tc>
          <w:tcPr>
            <w:tcW w:w="629" w:type="pct"/>
            <w:tcBorders>
              <w:top w:val="nil"/>
              <w:bottom w:val="nil"/>
            </w:tcBorders>
            <w:noWrap/>
            <w:hideMark/>
          </w:tcPr>
          <w:p w14:paraId="07D83351" w14:textId="5CF52D6B" w:rsidR="00A9264E" w:rsidRPr="00E86C72" w:rsidRDefault="00A9264E" w:rsidP="008437D6">
            <w:pPr>
              <w:pStyle w:val="Tabletext1"/>
              <w:jc w:val="right"/>
            </w:pPr>
            <w:r w:rsidRPr="00D6502A">
              <w:t>$131,328</w:t>
            </w:r>
          </w:p>
        </w:tc>
        <w:tc>
          <w:tcPr>
            <w:tcW w:w="443" w:type="pct"/>
            <w:tcBorders>
              <w:top w:val="nil"/>
              <w:bottom w:val="nil"/>
            </w:tcBorders>
            <w:noWrap/>
            <w:hideMark/>
          </w:tcPr>
          <w:p w14:paraId="0C3551B1" w14:textId="30DC142B" w:rsidR="00A9264E" w:rsidRPr="00E86C72" w:rsidRDefault="00A9264E" w:rsidP="008437D6">
            <w:pPr>
              <w:pStyle w:val="Tabletext1"/>
              <w:jc w:val="right"/>
            </w:pPr>
            <w:r w:rsidRPr="00D6502A">
              <w:t>32%</w:t>
            </w:r>
          </w:p>
        </w:tc>
      </w:tr>
      <w:tr w:rsidR="00A9264E" w:rsidRPr="00E86C72" w14:paraId="0711BEA2" w14:textId="77777777" w:rsidTr="008437D6">
        <w:trPr>
          <w:trHeight w:val="300"/>
        </w:trPr>
        <w:tc>
          <w:tcPr>
            <w:tcW w:w="2670" w:type="pct"/>
            <w:tcBorders>
              <w:top w:val="nil"/>
              <w:bottom w:val="nil"/>
            </w:tcBorders>
            <w:noWrap/>
            <w:hideMark/>
          </w:tcPr>
          <w:p w14:paraId="2D926611" w14:textId="77777777" w:rsidR="00A9264E" w:rsidRPr="00E86C72" w:rsidRDefault="00A9264E" w:rsidP="008437D6">
            <w:pPr>
              <w:pStyle w:val="Tabletext1"/>
            </w:pPr>
            <w:r w:rsidRPr="004666A8">
              <w:t>Chapel et al. (1994): serious 0.26, non-serious 1.75</w:t>
            </w:r>
          </w:p>
        </w:tc>
        <w:tc>
          <w:tcPr>
            <w:tcW w:w="629" w:type="pct"/>
            <w:tcBorders>
              <w:top w:val="nil"/>
              <w:bottom w:val="nil"/>
            </w:tcBorders>
            <w:noWrap/>
            <w:hideMark/>
          </w:tcPr>
          <w:p w14:paraId="64627835" w14:textId="1824949A" w:rsidR="00A9264E" w:rsidRPr="00E86C72" w:rsidRDefault="00A9264E" w:rsidP="008437D6">
            <w:pPr>
              <w:pStyle w:val="Tabletext1"/>
              <w:jc w:val="right"/>
            </w:pPr>
            <w:r w:rsidRPr="00D6502A">
              <w:t>$51,346</w:t>
            </w:r>
          </w:p>
        </w:tc>
        <w:tc>
          <w:tcPr>
            <w:tcW w:w="629" w:type="pct"/>
            <w:tcBorders>
              <w:top w:val="nil"/>
              <w:bottom w:val="nil"/>
            </w:tcBorders>
            <w:noWrap/>
            <w:hideMark/>
          </w:tcPr>
          <w:p w14:paraId="30AA87E2" w14:textId="77777777" w:rsidR="00A9264E" w:rsidRPr="00E86C72" w:rsidRDefault="00A9264E" w:rsidP="008437D6">
            <w:pPr>
              <w:pStyle w:val="Tabletext1"/>
              <w:jc w:val="right"/>
            </w:pPr>
            <w:r w:rsidRPr="00D6502A">
              <w:t>0.3653</w:t>
            </w:r>
          </w:p>
        </w:tc>
        <w:tc>
          <w:tcPr>
            <w:tcW w:w="629" w:type="pct"/>
            <w:tcBorders>
              <w:top w:val="nil"/>
              <w:bottom w:val="nil"/>
            </w:tcBorders>
            <w:noWrap/>
            <w:hideMark/>
          </w:tcPr>
          <w:p w14:paraId="192BC1E5" w14:textId="21B5C042" w:rsidR="00A9264E" w:rsidRPr="00E86C72" w:rsidRDefault="00A9264E" w:rsidP="008437D6">
            <w:pPr>
              <w:pStyle w:val="Tabletext1"/>
              <w:jc w:val="right"/>
            </w:pPr>
            <w:r w:rsidRPr="00D6502A">
              <w:t>$140,555</w:t>
            </w:r>
          </w:p>
        </w:tc>
        <w:tc>
          <w:tcPr>
            <w:tcW w:w="443" w:type="pct"/>
            <w:tcBorders>
              <w:top w:val="nil"/>
              <w:bottom w:val="nil"/>
            </w:tcBorders>
            <w:noWrap/>
            <w:hideMark/>
          </w:tcPr>
          <w:p w14:paraId="3EBA2B09" w14:textId="43651C20" w:rsidR="00A9264E" w:rsidRPr="00E86C72" w:rsidRDefault="00A9264E" w:rsidP="008437D6">
            <w:pPr>
              <w:pStyle w:val="Tabletext1"/>
              <w:jc w:val="right"/>
            </w:pPr>
            <w:r w:rsidRPr="00D6502A">
              <w:t>41%</w:t>
            </w:r>
          </w:p>
        </w:tc>
      </w:tr>
      <w:tr w:rsidR="00A9264E" w:rsidRPr="00E86C72" w14:paraId="77CD4E50" w14:textId="77777777" w:rsidTr="008437D6">
        <w:trPr>
          <w:trHeight w:val="300"/>
        </w:trPr>
        <w:tc>
          <w:tcPr>
            <w:tcW w:w="2670" w:type="pct"/>
            <w:tcBorders>
              <w:top w:val="nil"/>
              <w:bottom w:val="nil"/>
            </w:tcBorders>
            <w:noWrap/>
            <w:hideMark/>
          </w:tcPr>
          <w:p w14:paraId="1D15A112" w14:textId="77777777" w:rsidR="00A9264E" w:rsidRPr="00E86C72" w:rsidRDefault="00A9264E" w:rsidP="008437D6">
            <w:pPr>
              <w:pStyle w:val="Tabletext1"/>
            </w:pPr>
            <w:r w:rsidRPr="004666A8">
              <w:t>Sullivan et al. (1990): serious 1.79, non-serious 3.79</w:t>
            </w:r>
          </w:p>
        </w:tc>
        <w:tc>
          <w:tcPr>
            <w:tcW w:w="629" w:type="pct"/>
            <w:tcBorders>
              <w:top w:val="nil"/>
              <w:bottom w:val="nil"/>
            </w:tcBorders>
            <w:noWrap/>
            <w:hideMark/>
          </w:tcPr>
          <w:p w14:paraId="61D0F658" w14:textId="3D14C9E1" w:rsidR="00A9264E" w:rsidRPr="00E86C72" w:rsidRDefault="00A9264E" w:rsidP="008437D6">
            <w:pPr>
              <w:pStyle w:val="Tabletext1"/>
              <w:jc w:val="right"/>
            </w:pPr>
            <w:r w:rsidRPr="00D6502A">
              <w:t>$48,062</w:t>
            </w:r>
          </w:p>
        </w:tc>
        <w:tc>
          <w:tcPr>
            <w:tcW w:w="629" w:type="pct"/>
            <w:tcBorders>
              <w:top w:val="nil"/>
              <w:bottom w:val="nil"/>
            </w:tcBorders>
            <w:noWrap/>
            <w:hideMark/>
          </w:tcPr>
          <w:p w14:paraId="288780C3" w14:textId="77777777" w:rsidR="00A9264E" w:rsidRPr="00E86C72" w:rsidRDefault="00A9264E" w:rsidP="008437D6">
            <w:pPr>
              <w:pStyle w:val="Tabletext1"/>
              <w:jc w:val="right"/>
            </w:pPr>
            <w:r w:rsidRPr="00D6502A">
              <w:t>0.7121</w:t>
            </w:r>
          </w:p>
        </w:tc>
        <w:tc>
          <w:tcPr>
            <w:tcW w:w="629" w:type="pct"/>
            <w:tcBorders>
              <w:top w:val="nil"/>
              <w:bottom w:val="nil"/>
            </w:tcBorders>
            <w:noWrap/>
            <w:hideMark/>
          </w:tcPr>
          <w:p w14:paraId="716376CE" w14:textId="2C32B327" w:rsidR="00A9264E" w:rsidRPr="00E86C72" w:rsidRDefault="00A9264E" w:rsidP="008437D6">
            <w:pPr>
              <w:pStyle w:val="Tabletext1"/>
              <w:jc w:val="right"/>
            </w:pPr>
            <w:r w:rsidRPr="00D6502A">
              <w:t>$67,493</w:t>
            </w:r>
          </w:p>
        </w:tc>
        <w:tc>
          <w:tcPr>
            <w:tcW w:w="443" w:type="pct"/>
            <w:tcBorders>
              <w:top w:val="nil"/>
              <w:bottom w:val="nil"/>
            </w:tcBorders>
            <w:noWrap/>
            <w:hideMark/>
          </w:tcPr>
          <w:p w14:paraId="0FD19EFF" w14:textId="710E431F" w:rsidR="00A9264E" w:rsidRPr="00E86C72" w:rsidRDefault="00A9264E" w:rsidP="008437D6">
            <w:pPr>
              <w:pStyle w:val="Tabletext1"/>
              <w:jc w:val="right"/>
            </w:pPr>
            <w:r w:rsidRPr="00D6502A">
              <w:t>–32%</w:t>
            </w:r>
          </w:p>
        </w:tc>
      </w:tr>
      <w:tr w:rsidR="00A9264E" w:rsidRPr="00E86C72" w14:paraId="44DBD3D4" w14:textId="77777777" w:rsidTr="008437D6">
        <w:trPr>
          <w:trHeight w:val="300"/>
        </w:trPr>
        <w:tc>
          <w:tcPr>
            <w:tcW w:w="2670" w:type="pct"/>
            <w:tcBorders>
              <w:bottom w:val="single" w:sz="4" w:space="0" w:color="auto"/>
              <w:right w:val="nil"/>
            </w:tcBorders>
            <w:noWrap/>
            <w:hideMark/>
          </w:tcPr>
          <w:p w14:paraId="4AEDA2D9" w14:textId="77777777" w:rsidR="00A9264E" w:rsidRPr="00E86C72" w:rsidRDefault="00A9264E" w:rsidP="008437D6">
            <w:pPr>
              <w:pStyle w:val="Tabletext1"/>
            </w:pPr>
            <w:r>
              <w:t>I</w:t>
            </w:r>
            <w:r w:rsidRPr="00CC785D">
              <w:t>RR of Ig treatment effect (base case: serious, 0.15; non-serious 0.61)</w:t>
            </w:r>
          </w:p>
        </w:tc>
        <w:tc>
          <w:tcPr>
            <w:tcW w:w="629" w:type="pct"/>
            <w:tcBorders>
              <w:left w:val="nil"/>
              <w:bottom w:val="single" w:sz="4" w:space="0" w:color="auto"/>
              <w:right w:val="nil"/>
            </w:tcBorders>
            <w:noWrap/>
            <w:hideMark/>
          </w:tcPr>
          <w:p w14:paraId="198D4290" w14:textId="77777777" w:rsidR="00A9264E" w:rsidRPr="00E86C72" w:rsidRDefault="00A9264E" w:rsidP="008437D6">
            <w:pPr>
              <w:pStyle w:val="Tabletext1"/>
              <w:jc w:val="right"/>
            </w:pPr>
          </w:p>
        </w:tc>
        <w:tc>
          <w:tcPr>
            <w:tcW w:w="629" w:type="pct"/>
            <w:tcBorders>
              <w:left w:val="nil"/>
              <w:bottom w:val="single" w:sz="4" w:space="0" w:color="auto"/>
              <w:right w:val="nil"/>
            </w:tcBorders>
            <w:noWrap/>
            <w:hideMark/>
          </w:tcPr>
          <w:p w14:paraId="5B3F5F15" w14:textId="77777777" w:rsidR="00A9264E" w:rsidRPr="00E86C72" w:rsidRDefault="00A9264E" w:rsidP="008437D6">
            <w:pPr>
              <w:pStyle w:val="Tabletext1"/>
              <w:jc w:val="right"/>
            </w:pPr>
          </w:p>
        </w:tc>
        <w:tc>
          <w:tcPr>
            <w:tcW w:w="629" w:type="pct"/>
            <w:tcBorders>
              <w:left w:val="nil"/>
              <w:bottom w:val="single" w:sz="4" w:space="0" w:color="auto"/>
              <w:right w:val="nil"/>
            </w:tcBorders>
            <w:noWrap/>
            <w:hideMark/>
          </w:tcPr>
          <w:p w14:paraId="292FA17D" w14:textId="77777777" w:rsidR="00A9264E" w:rsidRPr="00E86C72" w:rsidRDefault="00A9264E" w:rsidP="008437D6">
            <w:pPr>
              <w:pStyle w:val="Tabletext1"/>
              <w:jc w:val="right"/>
            </w:pPr>
          </w:p>
        </w:tc>
        <w:tc>
          <w:tcPr>
            <w:tcW w:w="443" w:type="pct"/>
            <w:tcBorders>
              <w:left w:val="nil"/>
              <w:bottom w:val="single" w:sz="4" w:space="0" w:color="auto"/>
            </w:tcBorders>
            <w:noWrap/>
            <w:hideMark/>
          </w:tcPr>
          <w:p w14:paraId="235311BA" w14:textId="77777777" w:rsidR="00A9264E" w:rsidRPr="00E86C72" w:rsidRDefault="00A9264E" w:rsidP="008437D6">
            <w:pPr>
              <w:pStyle w:val="Tabletext1"/>
              <w:jc w:val="right"/>
            </w:pPr>
          </w:p>
        </w:tc>
      </w:tr>
      <w:tr w:rsidR="00A9264E" w:rsidRPr="00E86C72" w14:paraId="4D0ED196" w14:textId="77777777" w:rsidTr="008437D6">
        <w:trPr>
          <w:trHeight w:val="300"/>
        </w:trPr>
        <w:tc>
          <w:tcPr>
            <w:tcW w:w="2670" w:type="pct"/>
            <w:tcBorders>
              <w:top w:val="nil"/>
              <w:bottom w:val="nil"/>
            </w:tcBorders>
            <w:noWrap/>
            <w:hideMark/>
          </w:tcPr>
          <w:p w14:paraId="2A64F617" w14:textId="77777777" w:rsidR="00A9264E" w:rsidRPr="00E86C72" w:rsidRDefault="00A9264E" w:rsidP="008437D6">
            <w:pPr>
              <w:pStyle w:val="Tabletext1"/>
            </w:pPr>
            <w:r w:rsidRPr="00CC785D">
              <w:t>Serious infections, 0.43</w:t>
            </w:r>
          </w:p>
        </w:tc>
        <w:tc>
          <w:tcPr>
            <w:tcW w:w="629" w:type="pct"/>
            <w:tcBorders>
              <w:top w:val="nil"/>
              <w:bottom w:val="nil"/>
            </w:tcBorders>
            <w:noWrap/>
            <w:hideMark/>
          </w:tcPr>
          <w:p w14:paraId="7E41A698" w14:textId="63E2D6EE" w:rsidR="00A9264E" w:rsidRPr="00E86C72" w:rsidRDefault="00A9264E" w:rsidP="008437D6">
            <w:pPr>
              <w:pStyle w:val="Tabletext1"/>
              <w:jc w:val="right"/>
            </w:pPr>
            <w:r w:rsidRPr="00D6502A">
              <w:t>$52,526</w:t>
            </w:r>
          </w:p>
        </w:tc>
        <w:tc>
          <w:tcPr>
            <w:tcW w:w="629" w:type="pct"/>
            <w:tcBorders>
              <w:top w:val="nil"/>
              <w:bottom w:val="nil"/>
            </w:tcBorders>
            <w:noWrap/>
            <w:hideMark/>
          </w:tcPr>
          <w:p w14:paraId="37A1180B" w14:textId="77777777" w:rsidR="00A9264E" w:rsidRPr="00E86C72" w:rsidRDefault="00A9264E" w:rsidP="008437D6">
            <w:pPr>
              <w:pStyle w:val="Tabletext1"/>
              <w:jc w:val="right"/>
            </w:pPr>
            <w:r w:rsidRPr="00D6502A">
              <w:t>0.3139</w:t>
            </w:r>
          </w:p>
        </w:tc>
        <w:tc>
          <w:tcPr>
            <w:tcW w:w="629" w:type="pct"/>
            <w:tcBorders>
              <w:top w:val="nil"/>
              <w:bottom w:val="nil"/>
            </w:tcBorders>
            <w:noWrap/>
            <w:hideMark/>
          </w:tcPr>
          <w:p w14:paraId="3A243D88" w14:textId="58F0B619" w:rsidR="00A9264E" w:rsidRPr="00E86C72" w:rsidRDefault="00A9264E" w:rsidP="008437D6">
            <w:pPr>
              <w:pStyle w:val="Tabletext1"/>
              <w:jc w:val="right"/>
            </w:pPr>
            <w:r w:rsidRPr="00D6502A">
              <w:t>$167,315</w:t>
            </w:r>
          </w:p>
        </w:tc>
        <w:tc>
          <w:tcPr>
            <w:tcW w:w="443" w:type="pct"/>
            <w:tcBorders>
              <w:top w:val="nil"/>
              <w:bottom w:val="nil"/>
            </w:tcBorders>
            <w:noWrap/>
            <w:hideMark/>
          </w:tcPr>
          <w:p w14:paraId="1B595496" w14:textId="2E8A14A1" w:rsidR="00A9264E" w:rsidRPr="00E86C72" w:rsidRDefault="00A9264E" w:rsidP="008437D6">
            <w:pPr>
              <w:pStyle w:val="Tabletext1"/>
              <w:jc w:val="right"/>
            </w:pPr>
            <w:r w:rsidRPr="00D6502A">
              <w:t>68%</w:t>
            </w:r>
          </w:p>
        </w:tc>
      </w:tr>
      <w:tr w:rsidR="00A9264E" w:rsidRPr="00E86C72" w14:paraId="1B38DBF8" w14:textId="77777777" w:rsidTr="008437D6">
        <w:trPr>
          <w:trHeight w:val="300"/>
        </w:trPr>
        <w:tc>
          <w:tcPr>
            <w:tcW w:w="2670" w:type="pct"/>
            <w:tcBorders>
              <w:top w:val="nil"/>
              <w:bottom w:val="nil"/>
            </w:tcBorders>
            <w:noWrap/>
            <w:hideMark/>
          </w:tcPr>
          <w:p w14:paraId="24E75C4D" w14:textId="77777777" w:rsidR="00A9264E" w:rsidRPr="00E86C72" w:rsidRDefault="00A9264E" w:rsidP="008437D6">
            <w:pPr>
              <w:pStyle w:val="Tabletext1"/>
            </w:pPr>
            <w:r w:rsidRPr="00CC785D">
              <w:t>Non-serious infections, 0.72</w:t>
            </w:r>
          </w:p>
        </w:tc>
        <w:tc>
          <w:tcPr>
            <w:tcW w:w="629" w:type="pct"/>
            <w:tcBorders>
              <w:top w:val="nil"/>
              <w:bottom w:val="nil"/>
            </w:tcBorders>
            <w:noWrap/>
            <w:hideMark/>
          </w:tcPr>
          <w:p w14:paraId="5ACCC013" w14:textId="27F3C40F" w:rsidR="00A9264E" w:rsidRPr="00E86C72" w:rsidRDefault="00A9264E" w:rsidP="008437D6">
            <w:pPr>
              <w:pStyle w:val="Tabletext1"/>
              <w:jc w:val="right"/>
            </w:pPr>
            <w:r w:rsidRPr="00D6502A">
              <w:t>$46,236</w:t>
            </w:r>
          </w:p>
        </w:tc>
        <w:tc>
          <w:tcPr>
            <w:tcW w:w="629" w:type="pct"/>
            <w:tcBorders>
              <w:top w:val="nil"/>
              <w:bottom w:val="nil"/>
            </w:tcBorders>
            <w:noWrap/>
            <w:hideMark/>
          </w:tcPr>
          <w:p w14:paraId="7BF18B64" w14:textId="77777777" w:rsidR="00A9264E" w:rsidRPr="00E86C72" w:rsidRDefault="00A9264E" w:rsidP="008437D6">
            <w:pPr>
              <w:pStyle w:val="Tabletext1"/>
              <w:jc w:val="right"/>
            </w:pPr>
            <w:r w:rsidRPr="00D6502A">
              <w:t>0.3523</w:t>
            </w:r>
          </w:p>
        </w:tc>
        <w:tc>
          <w:tcPr>
            <w:tcW w:w="629" w:type="pct"/>
            <w:tcBorders>
              <w:top w:val="nil"/>
              <w:bottom w:val="nil"/>
            </w:tcBorders>
            <w:noWrap/>
            <w:hideMark/>
          </w:tcPr>
          <w:p w14:paraId="7C7D6A25" w14:textId="05D070E1" w:rsidR="00A9264E" w:rsidRPr="00E86C72" w:rsidRDefault="00A9264E" w:rsidP="008437D6">
            <w:pPr>
              <w:pStyle w:val="Tabletext1"/>
              <w:jc w:val="right"/>
            </w:pPr>
            <w:r w:rsidRPr="00D6502A">
              <w:t>$131,233</w:t>
            </w:r>
          </w:p>
        </w:tc>
        <w:tc>
          <w:tcPr>
            <w:tcW w:w="443" w:type="pct"/>
            <w:tcBorders>
              <w:top w:val="nil"/>
              <w:bottom w:val="nil"/>
            </w:tcBorders>
            <w:noWrap/>
            <w:hideMark/>
          </w:tcPr>
          <w:p w14:paraId="725E0027" w14:textId="77777777" w:rsidR="00A9264E" w:rsidRPr="00E86C72" w:rsidRDefault="00A9264E" w:rsidP="008437D6">
            <w:pPr>
              <w:pStyle w:val="Tabletext1"/>
              <w:jc w:val="right"/>
            </w:pPr>
            <w:r w:rsidRPr="00D6502A">
              <w:t>31%</w:t>
            </w:r>
          </w:p>
        </w:tc>
      </w:tr>
      <w:tr w:rsidR="00A9264E" w:rsidRPr="00E86C72" w14:paraId="46C035F2" w14:textId="77777777" w:rsidTr="008437D6">
        <w:trPr>
          <w:trHeight w:val="300"/>
        </w:trPr>
        <w:tc>
          <w:tcPr>
            <w:tcW w:w="2670" w:type="pct"/>
            <w:tcBorders>
              <w:bottom w:val="single" w:sz="4" w:space="0" w:color="auto"/>
              <w:right w:val="nil"/>
            </w:tcBorders>
            <w:noWrap/>
            <w:hideMark/>
          </w:tcPr>
          <w:p w14:paraId="18001F45" w14:textId="77777777" w:rsidR="00A9264E" w:rsidRPr="00E86C72" w:rsidRDefault="00A9264E" w:rsidP="008437D6">
            <w:pPr>
              <w:pStyle w:val="Tabletext1"/>
            </w:pPr>
            <w:r w:rsidRPr="00E86C72">
              <w:t>Duration of Ig treatment (base case: 2.2 years)</w:t>
            </w:r>
          </w:p>
        </w:tc>
        <w:tc>
          <w:tcPr>
            <w:tcW w:w="629" w:type="pct"/>
            <w:tcBorders>
              <w:left w:val="nil"/>
              <w:bottom w:val="single" w:sz="4" w:space="0" w:color="auto"/>
              <w:right w:val="nil"/>
            </w:tcBorders>
            <w:noWrap/>
            <w:hideMark/>
          </w:tcPr>
          <w:p w14:paraId="57BC5B54" w14:textId="77777777" w:rsidR="00A9264E" w:rsidRPr="00E86C72" w:rsidRDefault="00A9264E" w:rsidP="008437D6">
            <w:pPr>
              <w:pStyle w:val="Tabletext1"/>
              <w:jc w:val="right"/>
            </w:pPr>
          </w:p>
        </w:tc>
        <w:tc>
          <w:tcPr>
            <w:tcW w:w="629" w:type="pct"/>
            <w:tcBorders>
              <w:left w:val="nil"/>
              <w:bottom w:val="single" w:sz="4" w:space="0" w:color="auto"/>
              <w:right w:val="nil"/>
            </w:tcBorders>
            <w:noWrap/>
            <w:hideMark/>
          </w:tcPr>
          <w:p w14:paraId="7008875F" w14:textId="77777777" w:rsidR="00A9264E" w:rsidRPr="00E86C72" w:rsidRDefault="00A9264E" w:rsidP="008437D6">
            <w:pPr>
              <w:pStyle w:val="Tabletext1"/>
              <w:jc w:val="right"/>
            </w:pPr>
          </w:p>
        </w:tc>
        <w:tc>
          <w:tcPr>
            <w:tcW w:w="629" w:type="pct"/>
            <w:tcBorders>
              <w:left w:val="nil"/>
              <w:bottom w:val="single" w:sz="4" w:space="0" w:color="auto"/>
              <w:right w:val="nil"/>
            </w:tcBorders>
            <w:noWrap/>
            <w:hideMark/>
          </w:tcPr>
          <w:p w14:paraId="123E29E5" w14:textId="77777777" w:rsidR="00A9264E" w:rsidRPr="00E86C72" w:rsidRDefault="00A9264E" w:rsidP="008437D6">
            <w:pPr>
              <w:pStyle w:val="Tabletext1"/>
              <w:jc w:val="right"/>
            </w:pPr>
          </w:p>
        </w:tc>
        <w:tc>
          <w:tcPr>
            <w:tcW w:w="443" w:type="pct"/>
            <w:tcBorders>
              <w:left w:val="nil"/>
              <w:bottom w:val="single" w:sz="4" w:space="0" w:color="auto"/>
            </w:tcBorders>
            <w:noWrap/>
            <w:hideMark/>
          </w:tcPr>
          <w:p w14:paraId="75D9FCB2" w14:textId="77777777" w:rsidR="00A9264E" w:rsidRPr="00E86C72" w:rsidRDefault="00A9264E" w:rsidP="008437D6">
            <w:pPr>
              <w:pStyle w:val="Tabletext1"/>
              <w:jc w:val="right"/>
            </w:pPr>
          </w:p>
        </w:tc>
      </w:tr>
      <w:tr w:rsidR="00A9264E" w:rsidRPr="00E86C72" w14:paraId="0F426C9E" w14:textId="77777777" w:rsidTr="008437D6">
        <w:trPr>
          <w:trHeight w:val="300"/>
        </w:trPr>
        <w:tc>
          <w:tcPr>
            <w:tcW w:w="2670" w:type="pct"/>
            <w:tcBorders>
              <w:top w:val="nil"/>
              <w:bottom w:val="nil"/>
            </w:tcBorders>
            <w:noWrap/>
            <w:hideMark/>
          </w:tcPr>
          <w:p w14:paraId="7DD2CF24" w14:textId="77777777" w:rsidR="00A9264E" w:rsidRPr="00E86C72" w:rsidRDefault="00A9264E" w:rsidP="008437D6">
            <w:pPr>
              <w:pStyle w:val="Tabletext1"/>
            </w:pPr>
            <w:r w:rsidRPr="00E86C72">
              <w:t>5 years</w:t>
            </w:r>
          </w:p>
        </w:tc>
        <w:tc>
          <w:tcPr>
            <w:tcW w:w="629" w:type="pct"/>
            <w:tcBorders>
              <w:top w:val="nil"/>
              <w:bottom w:val="nil"/>
            </w:tcBorders>
            <w:noWrap/>
            <w:hideMark/>
          </w:tcPr>
          <w:p w14:paraId="1B619510" w14:textId="716B8DBB" w:rsidR="00A9264E" w:rsidRPr="00E86C72" w:rsidRDefault="00A9264E" w:rsidP="008437D6">
            <w:pPr>
              <w:pStyle w:val="Tabletext1"/>
              <w:jc w:val="right"/>
            </w:pPr>
            <w:r w:rsidRPr="00D6502A">
              <w:t>$84,261</w:t>
            </w:r>
          </w:p>
        </w:tc>
        <w:tc>
          <w:tcPr>
            <w:tcW w:w="629" w:type="pct"/>
            <w:tcBorders>
              <w:top w:val="nil"/>
              <w:bottom w:val="nil"/>
            </w:tcBorders>
            <w:noWrap/>
            <w:hideMark/>
          </w:tcPr>
          <w:p w14:paraId="09A03965" w14:textId="77777777" w:rsidR="00A9264E" w:rsidRPr="00E86C72" w:rsidRDefault="00A9264E" w:rsidP="008437D6">
            <w:pPr>
              <w:pStyle w:val="Tabletext1"/>
              <w:jc w:val="right"/>
            </w:pPr>
            <w:r w:rsidRPr="00D6502A">
              <w:t>0.5430</w:t>
            </w:r>
          </w:p>
        </w:tc>
        <w:tc>
          <w:tcPr>
            <w:tcW w:w="629" w:type="pct"/>
            <w:tcBorders>
              <w:top w:val="nil"/>
              <w:bottom w:val="nil"/>
            </w:tcBorders>
            <w:noWrap/>
            <w:hideMark/>
          </w:tcPr>
          <w:p w14:paraId="62C67C1B" w14:textId="2E444274" w:rsidR="00A9264E" w:rsidRPr="00E86C72" w:rsidRDefault="00A9264E" w:rsidP="008437D6">
            <w:pPr>
              <w:pStyle w:val="Tabletext1"/>
              <w:jc w:val="right"/>
            </w:pPr>
            <w:r w:rsidRPr="00D6502A">
              <w:t>$155,168</w:t>
            </w:r>
          </w:p>
        </w:tc>
        <w:tc>
          <w:tcPr>
            <w:tcW w:w="443" w:type="pct"/>
            <w:tcBorders>
              <w:top w:val="nil"/>
              <w:bottom w:val="nil"/>
            </w:tcBorders>
            <w:noWrap/>
            <w:hideMark/>
          </w:tcPr>
          <w:p w14:paraId="7393FC49" w14:textId="7F09441A" w:rsidR="00A9264E" w:rsidRPr="00E86C72" w:rsidRDefault="00A9264E" w:rsidP="008437D6">
            <w:pPr>
              <w:pStyle w:val="Tabletext1"/>
              <w:jc w:val="right"/>
            </w:pPr>
            <w:r w:rsidRPr="00D6502A">
              <w:t>55%</w:t>
            </w:r>
          </w:p>
        </w:tc>
      </w:tr>
      <w:tr w:rsidR="00A9264E" w:rsidRPr="00E86C72" w14:paraId="46C8218A" w14:textId="77777777" w:rsidTr="008437D6">
        <w:trPr>
          <w:trHeight w:val="300"/>
        </w:trPr>
        <w:tc>
          <w:tcPr>
            <w:tcW w:w="2670" w:type="pct"/>
            <w:tcBorders>
              <w:top w:val="nil"/>
            </w:tcBorders>
            <w:noWrap/>
            <w:hideMark/>
          </w:tcPr>
          <w:p w14:paraId="024D92B0" w14:textId="77777777" w:rsidR="00A9264E" w:rsidRPr="00E86C72" w:rsidRDefault="00A9264E" w:rsidP="008437D6">
            <w:pPr>
              <w:pStyle w:val="Tabletext1"/>
            </w:pPr>
            <w:r w:rsidRPr="00E86C72">
              <w:t>10 years</w:t>
            </w:r>
          </w:p>
        </w:tc>
        <w:tc>
          <w:tcPr>
            <w:tcW w:w="629" w:type="pct"/>
            <w:tcBorders>
              <w:top w:val="nil"/>
            </w:tcBorders>
            <w:noWrap/>
            <w:hideMark/>
          </w:tcPr>
          <w:p w14:paraId="750120A2" w14:textId="4A7B3790" w:rsidR="00A9264E" w:rsidRPr="00E86C72" w:rsidRDefault="00A9264E" w:rsidP="008437D6">
            <w:pPr>
              <w:pStyle w:val="Tabletext1"/>
              <w:jc w:val="right"/>
            </w:pPr>
            <w:r w:rsidRPr="00D6502A">
              <w:t>$125,097</w:t>
            </w:r>
          </w:p>
        </w:tc>
        <w:tc>
          <w:tcPr>
            <w:tcW w:w="629" w:type="pct"/>
            <w:tcBorders>
              <w:top w:val="nil"/>
            </w:tcBorders>
            <w:noWrap/>
            <w:hideMark/>
          </w:tcPr>
          <w:p w14:paraId="474DD79F" w14:textId="77777777" w:rsidR="00A9264E" w:rsidRPr="00E86C72" w:rsidRDefault="00A9264E" w:rsidP="008437D6">
            <w:pPr>
              <w:pStyle w:val="Tabletext1"/>
              <w:jc w:val="right"/>
            </w:pPr>
            <w:r w:rsidRPr="00D6502A">
              <w:t>0.5457</w:t>
            </w:r>
          </w:p>
        </w:tc>
        <w:tc>
          <w:tcPr>
            <w:tcW w:w="629" w:type="pct"/>
            <w:tcBorders>
              <w:top w:val="nil"/>
            </w:tcBorders>
            <w:noWrap/>
            <w:hideMark/>
          </w:tcPr>
          <w:p w14:paraId="1055C768" w14:textId="5590C79B" w:rsidR="00A9264E" w:rsidRPr="00E86C72" w:rsidRDefault="00A9264E" w:rsidP="008437D6">
            <w:pPr>
              <w:pStyle w:val="Tabletext1"/>
              <w:jc w:val="right"/>
            </w:pPr>
            <w:r w:rsidRPr="00D6502A">
              <w:t>$229,233</w:t>
            </w:r>
          </w:p>
        </w:tc>
        <w:tc>
          <w:tcPr>
            <w:tcW w:w="443" w:type="pct"/>
            <w:tcBorders>
              <w:top w:val="nil"/>
            </w:tcBorders>
            <w:noWrap/>
            <w:hideMark/>
          </w:tcPr>
          <w:p w14:paraId="45CF8FB0" w14:textId="7A3DFF66" w:rsidR="00A9264E" w:rsidRPr="00E86C72" w:rsidRDefault="00A9264E" w:rsidP="008437D6">
            <w:pPr>
              <w:pStyle w:val="Tabletext1"/>
              <w:jc w:val="right"/>
            </w:pPr>
            <w:r w:rsidRPr="00D6502A">
              <w:t>130%</w:t>
            </w:r>
          </w:p>
        </w:tc>
      </w:tr>
      <w:tr w:rsidR="00A9264E" w:rsidRPr="00E86C72" w14:paraId="72FB8082" w14:textId="77777777" w:rsidTr="008437D6">
        <w:trPr>
          <w:trHeight w:val="300"/>
        </w:trPr>
        <w:tc>
          <w:tcPr>
            <w:tcW w:w="2670" w:type="pct"/>
            <w:tcBorders>
              <w:bottom w:val="single" w:sz="4" w:space="0" w:color="auto"/>
            </w:tcBorders>
            <w:noWrap/>
            <w:hideMark/>
          </w:tcPr>
          <w:p w14:paraId="06BB735E" w14:textId="77777777" w:rsidR="00A9264E" w:rsidRPr="00E86C72" w:rsidRDefault="00A9264E" w:rsidP="008437D6">
            <w:pPr>
              <w:pStyle w:val="Tabletext1"/>
            </w:pPr>
            <w:r w:rsidRPr="00E86C72">
              <w:t>Exclude development of bronchiectasis</w:t>
            </w:r>
          </w:p>
        </w:tc>
        <w:tc>
          <w:tcPr>
            <w:tcW w:w="629" w:type="pct"/>
            <w:tcBorders>
              <w:bottom w:val="single" w:sz="4" w:space="0" w:color="auto"/>
            </w:tcBorders>
            <w:noWrap/>
            <w:hideMark/>
          </w:tcPr>
          <w:p w14:paraId="60459485" w14:textId="5650C7A0" w:rsidR="00A9264E" w:rsidRPr="00E86C72" w:rsidRDefault="00A9264E" w:rsidP="008437D6">
            <w:pPr>
              <w:pStyle w:val="Tabletext1"/>
              <w:jc w:val="right"/>
            </w:pPr>
            <w:r w:rsidRPr="00D6502A">
              <w:t>$41,213</w:t>
            </w:r>
          </w:p>
        </w:tc>
        <w:tc>
          <w:tcPr>
            <w:tcW w:w="629" w:type="pct"/>
            <w:tcBorders>
              <w:bottom w:val="single" w:sz="4" w:space="0" w:color="auto"/>
            </w:tcBorders>
            <w:noWrap/>
            <w:hideMark/>
          </w:tcPr>
          <w:p w14:paraId="685F9512" w14:textId="77777777" w:rsidR="00A9264E" w:rsidRPr="00E86C72" w:rsidRDefault="00A9264E" w:rsidP="008437D6">
            <w:pPr>
              <w:pStyle w:val="Tabletext1"/>
              <w:jc w:val="right"/>
            </w:pPr>
            <w:r w:rsidRPr="00D6502A">
              <w:t>0.0141</w:t>
            </w:r>
          </w:p>
        </w:tc>
        <w:tc>
          <w:tcPr>
            <w:tcW w:w="629" w:type="pct"/>
            <w:tcBorders>
              <w:bottom w:val="single" w:sz="4" w:space="0" w:color="auto"/>
            </w:tcBorders>
            <w:noWrap/>
            <w:hideMark/>
          </w:tcPr>
          <w:p w14:paraId="35E6BCD0" w14:textId="5FC3AD95" w:rsidR="00A9264E" w:rsidRPr="00E86C72" w:rsidRDefault="00A9264E" w:rsidP="008437D6">
            <w:pPr>
              <w:pStyle w:val="Tabletext1"/>
              <w:jc w:val="right"/>
            </w:pPr>
            <w:r w:rsidRPr="00D6502A">
              <w:t>$2,927,525</w:t>
            </w:r>
          </w:p>
        </w:tc>
        <w:tc>
          <w:tcPr>
            <w:tcW w:w="443" w:type="pct"/>
            <w:tcBorders>
              <w:bottom w:val="single" w:sz="4" w:space="0" w:color="auto"/>
            </w:tcBorders>
            <w:noWrap/>
            <w:hideMark/>
          </w:tcPr>
          <w:p w14:paraId="6FE65944" w14:textId="0286E285" w:rsidR="00A9264E" w:rsidRPr="00E86C72" w:rsidRDefault="00A9264E" w:rsidP="008437D6">
            <w:pPr>
              <w:pStyle w:val="Tabletext1"/>
              <w:jc w:val="right"/>
            </w:pPr>
            <w:r w:rsidRPr="00D6502A">
              <w:t>2833%</w:t>
            </w:r>
          </w:p>
        </w:tc>
      </w:tr>
      <w:tr w:rsidR="00A9264E" w:rsidRPr="00E86C72" w14:paraId="65E8AB0E" w14:textId="77777777" w:rsidTr="008437D6">
        <w:trPr>
          <w:trHeight w:val="300"/>
        </w:trPr>
        <w:tc>
          <w:tcPr>
            <w:tcW w:w="2670" w:type="pct"/>
            <w:tcBorders>
              <w:bottom w:val="single" w:sz="4" w:space="0" w:color="auto"/>
              <w:right w:val="nil"/>
            </w:tcBorders>
            <w:noWrap/>
            <w:hideMark/>
          </w:tcPr>
          <w:p w14:paraId="357DF057" w14:textId="77777777" w:rsidR="00A9264E" w:rsidRPr="00E86C72" w:rsidRDefault="00A9264E" w:rsidP="008437D6">
            <w:pPr>
              <w:pStyle w:val="Tabletext1"/>
            </w:pPr>
            <w:r w:rsidRPr="00E86C72">
              <w:t>Time horizon (base case: 10 years)</w:t>
            </w:r>
          </w:p>
        </w:tc>
        <w:tc>
          <w:tcPr>
            <w:tcW w:w="629" w:type="pct"/>
            <w:tcBorders>
              <w:left w:val="nil"/>
              <w:bottom w:val="single" w:sz="4" w:space="0" w:color="auto"/>
              <w:right w:val="nil"/>
            </w:tcBorders>
            <w:noWrap/>
            <w:hideMark/>
          </w:tcPr>
          <w:p w14:paraId="3B7A0FD9" w14:textId="77777777" w:rsidR="00A9264E" w:rsidRPr="00E86C72" w:rsidRDefault="00A9264E" w:rsidP="008437D6">
            <w:pPr>
              <w:pStyle w:val="Tabletext1"/>
              <w:jc w:val="right"/>
            </w:pPr>
          </w:p>
        </w:tc>
        <w:tc>
          <w:tcPr>
            <w:tcW w:w="629" w:type="pct"/>
            <w:tcBorders>
              <w:left w:val="nil"/>
              <w:bottom w:val="single" w:sz="4" w:space="0" w:color="auto"/>
              <w:right w:val="nil"/>
            </w:tcBorders>
            <w:noWrap/>
            <w:hideMark/>
          </w:tcPr>
          <w:p w14:paraId="54BED44B" w14:textId="77777777" w:rsidR="00A9264E" w:rsidRPr="00E86C72" w:rsidRDefault="00A9264E" w:rsidP="008437D6">
            <w:pPr>
              <w:pStyle w:val="Tabletext1"/>
              <w:jc w:val="right"/>
            </w:pPr>
          </w:p>
        </w:tc>
        <w:tc>
          <w:tcPr>
            <w:tcW w:w="629" w:type="pct"/>
            <w:tcBorders>
              <w:left w:val="nil"/>
              <w:bottom w:val="single" w:sz="4" w:space="0" w:color="auto"/>
              <w:right w:val="nil"/>
            </w:tcBorders>
            <w:noWrap/>
            <w:hideMark/>
          </w:tcPr>
          <w:p w14:paraId="37E320A1" w14:textId="77777777" w:rsidR="00A9264E" w:rsidRPr="00E86C72" w:rsidRDefault="00A9264E" w:rsidP="008437D6">
            <w:pPr>
              <w:pStyle w:val="Tabletext1"/>
              <w:jc w:val="right"/>
            </w:pPr>
          </w:p>
        </w:tc>
        <w:tc>
          <w:tcPr>
            <w:tcW w:w="443" w:type="pct"/>
            <w:tcBorders>
              <w:left w:val="nil"/>
              <w:bottom w:val="single" w:sz="4" w:space="0" w:color="auto"/>
            </w:tcBorders>
            <w:noWrap/>
            <w:hideMark/>
          </w:tcPr>
          <w:p w14:paraId="1F67A319" w14:textId="77777777" w:rsidR="00A9264E" w:rsidRPr="00E86C72" w:rsidRDefault="00A9264E" w:rsidP="008437D6">
            <w:pPr>
              <w:pStyle w:val="Tabletext1"/>
              <w:jc w:val="right"/>
            </w:pPr>
          </w:p>
        </w:tc>
      </w:tr>
      <w:tr w:rsidR="00A9264E" w:rsidRPr="00E86C72" w14:paraId="5239CA4C" w14:textId="77777777" w:rsidTr="008437D6">
        <w:trPr>
          <w:trHeight w:val="315"/>
        </w:trPr>
        <w:tc>
          <w:tcPr>
            <w:tcW w:w="2670" w:type="pct"/>
            <w:tcBorders>
              <w:bottom w:val="nil"/>
            </w:tcBorders>
            <w:noWrap/>
            <w:hideMark/>
          </w:tcPr>
          <w:p w14:paraId="29F72209" w14:textId="77777777" w:rsidR="00A9264E" w:rsidRPr="00E86C72" w:rsidRDefault="00A9264E" w:rsidP="008437D6">
            <w:pPr>
              <w:pStyle w:val="Tabletext1"/>
            </w:pPr>
            <w:r w:rsidRPr="00E86C72">
              <w:t>2.2 years (as per Ig treatment duration)</w:t>
            </w:r>
          </w:p>
        </w:tc>
        <w:tc>
          <w:tcPr>
            <w:tcW w:w="629" w:type="pct"/>
            <w:tcBorders>
              <w:bottom w:val="nil"/>
            </w:tcBorders>
            <w:noWrap/>
            <w:hideMark/>
          </w:tcPr>
          <w:p w14:paraId="08E186F8" w14:textId="217A9505" w:rsidR="00A9264E" w:rsidRPr="00E86C72" w:rsidRDefault="00A9264E" w:rsidP="008437D6">
            <w:pPr>
              <w:pStyle w:val="Tabletext1"/>
              <w:jc w:val="right"/>
            </w:pPr>
            <w:r w:rsidRPr="00D6502A">
              <w:t>$38,869</w:t>
            </w:r>
          </w:p>
        </w:tc>
        <w:tc>
          <w:tcPr>
            <w:tcW w:w="629" w:type="pct"/>
            <w:tcBorders>
              <w:bottom w:val="nil"/>
            </w:tcBorders>
            <w:noWrap/>
            <w:hideMark/>
          </w:tcPr>
          <w:p w14:paraId="4F038773" w14:textId="77777777" w:rsidR="00A9264E" w:rsidRPr="00E86C72" w:rsidRDefault="00A9264E" w:rsidP="008437D6">
            <w:pPr>
              <w:pStyle w:val="Tabletext1"/>
              <w:jc w:val="right"/>
            </w:pPr>
            <w:r w:rsidRPr="00D6502A">
              <w:t>0.0322</w:t>
            </w:r>
          </w:p>
        </w:tc>
        <w:tc>
          <w:tcPr>
            <w:tcW w:w="629" w:type="pct"/>
            <w:tcBorders>
              <w:bottom w:val="nil"/>
            </w:tcBorders>
            <w:noWrap/>
            <w:hideMark/>
          </w:tcPr>
          <w:p w14:paraId="557018D3" w14:textId="28150295" w:rsidR="00A9264E" w:rsidRPr="00E86C72" w:rsidRDefault="00A9264E" w:rsidP="008437D6">
            <w:pPr>
              <w:pStyle w:val="Tabletext1"/>
              <w:jc w:val="right"/>
            </w:pPr>
            <w:r w:rsidRPr="00D6502A">
              <w:t>$1,208,343</w:t>
            </w:r>
          </w:p>
        </w:tc>
        <w:tc>
          <w:tcPr>
            <w:tcW w:w="443" w:type="pct"/>
            <w:tcBorders>
              <w:bottom w:val="nil"/>
            </w:tcBorders>
            <w:noWrap/>
            <w:hideMark/>
          </w:tcPr>
          <w:p w14:paraId="48752C85" w14:textId="7FB3E446" w:rsidR="00A9264E" w:rsidRPr="00E86C72" w:rsidRDefault="00A9264E" w:rsidP="008437D6">
            <w:pPr>
              <w:pStyle w:val="Tabletext1"/>
              <w:jc w:val="right"/>
            </w:pPr>
            <w:r w:rsidRPr="00D6502A">
              <w:t>1111%</w:t>
            </w:r>
          </w:p>
        </w:tc>
      </w:tr>
      <w:tr w:rsidR="00A9264E" w:rsidRPr="00E86C72" w14:paraId="34D210C0" w14:textId="77777777" w:rsidTr="008437D6">
        <w:trPr>
          <w:trHeight w:val="300"/>
        </w:trPr>
        <w:tc>
          <w:tcPr>
            <w:tcW w:w="2670" w:type="pct"/>
            <w:tcBorders>
              <w:top w:val="nil"/>
              <w:bottom w:val="single" w:sz="4" w:space="0" w:color="auto"/>
            </w:tcBorders>
            <w:noWrap/>
            <w:hideMark/>
          </w:tcPr>
          <w:p w14:paraId="0E12B99A" w14:textId="77777777" w:rsidR="00A9264E" w:rsidRPr="00E86C72" w:rsidRDefault="00A9264E" w:rsidP="008437D6">
            <w:pPr>
              <w:pStyle w:val="Tabletext1"/>
            </w:pPr>
            <w:r w:rsidRPr="00E86C72">
              <w:t>5 years</w:t>
            </w:r>
          </w:p>
        </w:tc>
        <w:tc>
          <w:tcPr>
            <w:tcW w:w="629" w:type="pct"/>
            <w:tcBorders>
              <w:top w:val="nil"/>
              <w:bottom w:val="single" w:sz="4" w:space="0" w:color="auto"/>
            </w:tcBorders>
            <w:noWrap/>
            <w:hideMark/>
          </w:tcPr>
          <w:p w14:paraId="7F670350" w14:textId="7DD5B02E" w:rsidR="00A9264E" w:rsidRPr="00E86C72" w:rsidRDefault="00A9264E" w:rsidP="008437D6">
            <w:pPr>
              <w:pStyle w:val="Tabletext1"/>
              <w:jc w:val="right"/>
            </w:pPr>
            <w:r w:rsidRPr="00D6502A">
              <w:t>$39,552</w:t>
            </w:r>
          </w:p>
        </w:tc>
        <w:tc>
          <w:tcPr>
            <w:tcW w:w="629" w:type="pct"/>
            <w:tcBorders>
              <w:top w:val="nil"/>
              <w:bottom w:val="single" w:sz="4" w:space="0" w:color="auto"/>
            </w:tcBorders>
            <w:noWrap/>
            <w:hideMark/>
          </w:tcPr>
          <w:p w14:paraId="2DF70102" w14:textId="77777777" w:rsidR="00A9264E" w:rsidRPr="00E86C72" w:rsidRDefault="00A9264E" w:rsidP="008437D6">
            <w:pPr>
              <w:pStyle w:val="Tabletext1"/>
              <w:jc w:val="right"/>
            </w:pPr>
            <w:r w:rsidRPr="00D6502A">
              <w:t>0.1509</w:t>
            </w:r>
          </w:p>
        </w:tc>
        <w:tc>
          <w:tcPr>
            <w:tcW w:w="629" w:type="pct"/>
            <w:tcBorders>
              <w:top w:val="nil"/>
              <w:bottom w:val="single" w:sz="4" w:space="0" w:color="auto"/>
            </w:tcBorders>
            <w:noWrap/>
            <w:hideMark/>
          </w:tcPr>
          <w:p w14:paraId="77EE87C2" w14:textId="254473CC" w:rsidR="00A9264E" w:rsidRPr="00E86C72" w:rsidRDefault="00A9264E" w:rsidP="008437D6">
            <w:pPr>
              <w:pStyle w:val="Tabletext1"/>
              <w:jc w:val="right"/>
            </w:pPr>
            <w:r w:rsidRPr="00D6502A">
              <w:t>$262,086</w:t>
            </w:r>
          </w:p>
        </w:tc>
        <w:tc>
          <w:tcPr>
            <w:tcW w:w="443" w:type="pct"/>
            <w:tcBorders>
              <w:top w:val="nil"/>
              <w:bottom w:val="single" w:sz="4" w:space="0" w:color="auto"/>
            </w:tcBorders>
            <w:noWrap/>
            <w:hideMark/>
          </w:tcPr>
          <w:p w14:paraId="14DB1C1C" w14:textId="77777777" w:rsidR="00A9264E" w:rsidRPr="00E86C72" w:rsidRDefault="00A9264E" w:rsidP="008437D6">
            <w:pPr>
              <w:pStyle w:val="Tabletext1"/>
              <w:jc w:val="right"/>
            </w:pPr>
            <w:r w:rsidRPr="00D6502A">
              <w:t>163%</w:t>
            </w:r>
          </w:p>
        </w:tc>
      </w:tr>
      <w:tr w:rsidR="00A9264E" w:rsidRPr="00F70D40" w14:paraId="5E97680B" w14:textId="77777777" w:rsidTr="008437D6">
        <w:trPr>
          <w:trHeight w:val="300"/>
        </w:trPr>
        <w:tc>
          <w:tcPr>
            <w:tcW w:w="2670" w:type="pct"/>
            <w:tcBorders>
              <w:top w:val="single" w:sz="4" w:space="0" w:color="auto"/>
              <w:bottom w:val="single" w:sz="4" w:space="0" w:color="auto"/>
              <w:right w:val="nil"/>
            </w:tcBorders>
            <w:noWrap/>
          </w:tcPr>
          <w:p w14:paraId="0AD01A37" w14:textId="77777777" w:rsidR="00A9264E" w:rsidRPr="00F70D40" w:rsidRDefault="00A9264E" w:rsidP="008437D6">
            <w:pPr>
              <w:pStyle w:val="Tabletext1"/>
            </w:pPr>
            <w:r>
              <w:t>Transition probabilities (base case: adjusted)</w:t>
            </w:r>
          </w:p>
        </w:tc>
        <w:tc>
          <w:tcPr>
            <w:tcW w:w="629" w:type="pct"/>
            <w:tcBorders>
              <w:top w:val="single" w:sz="4" w:space="0" w:color="auto"/>
              <w:left w:val="nil"/>
              <w:bottom w:val="single" w:sz="4" w:space="0" w:color="auto"/>
              <w:right w:val="nil"/>
            </w:tcBorders>
            <w:noWrap/>
          </w:tcPr>
          <w:p w14:paraId="6C8A68EC" w14:textId="77777777" w:rsidR="00A9264E" w:rsidRPr="00F70D40" w:rsidRDefault="00A9264E" w:rsidP="008437D6">
            <w:pPr>
              <w:pStyle w:val="Tabletext1"/>
              <w:jc w:val="right"/>
            </w:pPr>
          </w:p>
        </w:tc>
        <w:tc>
          <w:tcPr>
            <w:tcW w:w="629" w:type="pct"/>
            <w:tcBorders>
              <w:top w:val="single" w:sz="4" w:space="0" w:color="auto"/>
              <w:left w:val="nil"/>
              <w:bottom w:val="single" w:sz="4" w:space="0" w:color="auto"/>
              <w:right w:val="nil"/>
            </w:tcBorders>
            <w:noWrap/>
          </w:tcPr>
          <w:p w14:paraId="14E827BD" w14:textId="77777777" w:rsidR="00A9264E" w:rsidRPr="00F70D40" w:rsidRDefault="00A9264E" w:rsidP="008437D6">
            <w:pPr>
              <w:pStyle w:val="Tabletext1"/>
              <w:jc w:val="right"/>
            </w:pPr>
          </w:p>
        </w:tc>
        <w:tc>
          <w:tcPr>
            <w:tcW w:w="629" w:type="pct"/>
            <w:tcBorders>
              <w:top w:val="single" w:sz="4" w:space="0" w:color="auto"/>
              <w:left w:val="nil"/>
              <w:bottom w:val="single" w:sz="4" w:space="0" w:color="auto"/>
              <w:right w:val="nil"/>
            </w:tcBorders>
            <w:noWrap/>
          </w:tcPr>
          <w:p w14:paraId="294936D5" w14:textId="77777777" w:rsidR="00A9264E" w:rsidRPr="00F70D40" w:rsidRDefault="00A9264E" w:rsidP="008437D6">
            <w:pPr>
              <w:pStyle w:val="Tabletext1"/>
              <w:jc w:val="right"/>
            </w:pPr>
          </w:p>
        </w:tc>
        <w:tc>
          <w:tcPr>
            <w:tcW w:w="443" w:type="pct"/>
            <w:tcBorders>
              <w:top w:val="single" w:sz="4" w:space="0" w:color="auto"/>
              <w:left w:val="nil"/>
              <w:bottom w:val="single" w:sz="4" w:space="0" w:color="auto"/>
            </w:tcBorders>
            <w:noWrap/>
          </w:tcPr>
          <w:p w14:paraId="78C9538E" w14:textId="77777777" w:rsidR="00A9264E" w:rsidRPr="00F70D40" w:rsidRDefault="00A9264E" w:rsidP="008437D6">
            <w:pPr>
              <w:pStyle w:val="Tabletext1"/>
              <w:jc w:val="right"/>
            </w:pPr>
          </w:p>
        </w:tc>
      </w:tr>
      <w:tr w:rsidR="00A9264E" w:rsidRPr="00E86C72" w14:paraId="7CADAEF9" w14:textId="77777777" w:rsidTr="008437D6">
        <w:trPr>
          <w:trHeight w:val="300"/>
        </w:trPr>
        <w:tc>
          <w:tcPr>
            <w:tcW w:w="2670" w:type="pct"/>
            <w:tcBorders>
              <w:top w:val="nil"/>
              <w:bottom w:val="nil"/>
            </w:tcBorders>
            <w:noWrap/>
            <w:hideMark/>
          </w:tcPr>
          <w:p w14:paraId="717F58C4" w14:textId="77777777" w:rsidR="00A9264E" w:rsidRPr="00E86C72" w:rsidRDefault="00A9264E" w:rsidP="008437D6">
            <w:pPr>
              <w:pStyle w:val="Tabletext1"/>
            </w:pPr>
            <w:r w:rsidRPr="00F70D40">
              <w:t>Transitions from infection health state, unadjusted</w:t>
            </w:r>
          </w:p>
        </w:tc>
        <w:tc>
          <w:tcPr>
            <w:tcW w:w="629" w:type="pct"/>
            <w:tcBorders>
              <w:top w:val="nil"/>
              <w:bottom w:val="nil"/>
            </w:tcBorders>
            <w:noWrap/>
            <w:hideMark/>
          </w:tcPr>
          <w:p w14:paraId="3D7D5130" w14:textId="5FDB5924" w:rsidR="00A9264E" w:rsidRPr="00E86C72" w:rsidRDefault="00A9264E" w:rsidP="008437D6">
            <w:pPr>
              <w:pStyle w:val="Tabletext1"/>
              <w:jc w:val="right"/>
            </w:pPr>
            <w:r w:rsidRPr="00D6502A">
              <w:t>$45,309</w:t>
            </w:r>
          </w:p>
        </w:tc>
        <w:tc>
          <w:tcPr>
            <w:tcW w:w="629" w:type="pct"/>
            <w:tcBorders>
              <w:top w:val="nil"/>
              <w:bottom w:val="nil"/>
            </w:tcBorders>
            <w:noWrap/>
            <w:hideMark/>
          </w:tcPr>
          <w:p w14:paraId="0BA06D31" w14:textId="77777777" w:rsidR="00A9264E" w:rsidRPr="00E86C72" w:rsidRDefault="00A9264E" w:rsidP="008437D6">
            <w:pPr>
              <w:pStyle w:val="Tabletext1"/>
              <w:jc w:val="right"/>
            </w:pPr>
            <w:r w:rsidRPr="00D6502A">
              <w:t>0.3087</w:t>
            </w:r>
          </w:p>
        </w:tc>
        <w:tc>
          <w:tcPr>
            <w:tcW w:w="629" w:type="pct"/>
            <w:tcBorders>
              <w:top w:val="nil"/>
              <w:bottom w:val="nil"/>
            </w:tcBorders>
            <w:noWrap/>
            <w:hideMark/>
          </w:tcPr>
          <w:p w14:paraId="2489A09B" w14:textId="6A0552DF" w:rsidR="00A9264E" w:rsidRPr="00E86C72" w:rsidRDefault="00A9264E" w:rsidP="008437D6">
            <w:pPr>
              <w:pStyle w:val="Tabletext1"/>
              <w:jc w:val="right"/>
            </w:pPr>
            <w:r w:rsidRPr="00D6502A">
              <w:t>$146,792</w:t>
            </w:r>
          </w:p>
        </w:tc>
        <w:tc>
          <w:tcPr>
            <w:tcW w:w="443" w:type="pct"/>
            <w:tcBorders>
              <w:top w:val="nil"/>
              <w:bottom w:val="nil"/>
            </w:tcBorders>
            <w:noWrap/>
            <w:hideMark/>
          </w:tcPr>
          <w:p w14:paraId="4EE32FCD" w14:textId="77777777" w:rsidR="00A9264E" w:rsidRPr="00E86C72" w:rsidRDefault="00A9264E" w:rsidP="008437D6">
            <w:pPr>
              <w:pStyle w:val="Tabletext1"/>
              <w:jc w:val="right"/>
            </w:pPr>
            <w:r w:rsidRPr="00D6502A">
              <w:t>47%</w:t>
            </w:r>
          </w:p>
        </w:tc>
      </w:tr>
      <w:tr w:rsidR="00A9264E" w:rsidRPr="00E86C72" w14:paraId="0D83743A" w14:textId="77777777" w:rsidTr="008437D6">
        <w:trPr>
          <w:trHeight w:val="300"/>
        </w:trPr>
        <w:tc>
          <w:tcPr>
            <w:tcW w:w="2670" w:type="pct"/>
            <w:tcBorders>
              <w:top w:val="nil"/>
              <w:bottom w:val="single" w:sz="4" w:space="0" w:color="auto"/>
            </w:tcBorders>
            <w:noWrap/>
          </w:tcPr>
          <w:p w14:paraId="3D7ED308" w14:textId="77777777" w:rsidR="00A9264E" w:rsidRPr="00AD053E" w:rsidRDefault="00A9264E" w:rsidP="008437D6">
            <w:pPr>
              <w:pStyle w:val="Tabletext1"/>
            </w:pPr>
            <w:r>
              <w:t>Transitions from infection and bronchiectasis, unadjusted</w:t>
            </w:r>
          </w:p>
        </w:tc>
        <w:tc>
          <w:tcPr>
            <w:tcW w:w="629" w:type="pct"/>
            <w:tcBorders>
              <w:top w:val="nil"/>
              <w:bottom w:val="single" w:sz="4" w:space="0" w:color="auto"/>
            </w:tcBorders>
            <w:noWrap/>
          </w:tcPr>
          <w:p w14:paraId="4572A7AF" w14:textId="05E982F5" w:rsidR="00A9264E" w:rsidRPr="00E86C72" w:rsidRDefault="00A9264E" w:rsidP="008437D6">
            <w:pPr>
              <w:pStyle w:val="Tabletext1"/>
              <w:jc w:val="right"/>
            </w:pPr>
            <w:r w:rsidRPr="00D6502A">
              <w:t>$29,927</w:t>
            </w:r>
          </w:p>
        </w:tc>
        <w:tc>
          <w:tcPr>
            <w:tcW w:w="629" w:type="pct"/>
            <w:tcBorders>
              <w:top w:val="nil"/>
              <w:bottom w:val="single" w:sz="4" w:space="0" w:color="auto"/>
            </w:tcBorders>
            <w:noWrap/>
          </w:tcPr>
          <w:p w14:paraId="5A97ACE1" w14:textId="77777777" w:rsidR="00A9264E" w:rsidRPr="00E86C72" w:rsidRDefault="00A9264E" w:rsidP="008437D6">
            <w:pPr>
              <w:pStyle w:val="Tabletext1"/>
              <w:jc w:val="right"/>
            </w:pPr>
            <w:r w:rsidRPr="00D6502A">
              <w:t>0.2335</w:t>
            </w:r>
          </w:p>
        </w:tc>
        <w:tc>
          <w:tcPr>
            <w:tcW w:w="629" w:type="pct"/>
            <w:tcBorders>
              <w:top w:val="nil"/>
              <w:bottom w:val="single" w:sz="4" w:space="0" w:color="auto"/>
            </w:tcBorders>
            <w:noWrap/>
          </w:tcPr>
          <w:p w14:paraId="07D01872" w14:textId="11534E26" w:rsidR="00A9264E" w:rsidRPr="00E86C72" w:rsidRDefault="00A9264E" w:rsidP="008437D6">
            <w:pPr>
              <w:pStyle w:val="Tabletext1"/>
              <w:jc w:val="right"/>
            </w:pPr>
            <w:r w:rsidRPr="00D6502A">
              <w:t>$128,154</w:t>
            </w:r>
          </w:p>
        </w:tc>
        <w:tc>
          <w:tcPr>
            <w:tcW w:w="443" w:type="pct"/>
            <w:tcBorders>
              <w:top w:val="nil"/>
              <w:bottom w:val="single" w:sz="4" w:space="0" w:color="auto"/>
            </w:tcBorders>
            <w:noWrap/>
          </w:tcPr>
          <w:p w14:paraId="554685AF" w14:textId="40FC40CD" w:rsidR="00A9264E" w:rsidRPr="00944E02" w:rsidRDefault="00A9264E" w:rsidP="008437D6">
            <w:pPr>
              <w:pStyle w:val="Tabletext1"/>
              <w:jc w:val="right"/>
            </w:pPr>
            <w:r w:rsidRPr="00D6502A">
              <w:t>28%</w:t>
            </w:r>
          </w:p>
        </w:tc>
      </w:tr>
      <w:tr w:rsidR="00A9264E" w:rsidRPr="00E86C72" w14:paraId="330BBE49" w14:textId="77777777" w:rsidTr="0007662C">
        <w:trPr>
          <w:trHeight w:val="300"/>
        </w:trPr>
        <w:tc>
          <w:tcPr>
            <w:tcW w:w="2670" w:type="pct"/>
            <w:tcBorders>
              <w:bottom w:val="single" w:sz="4" w:space="0" w:color="auto"/>
              <w:right w:val="single" w:sz="4" w:space="0" w:color="auto"/>
            </w:tcBorders>
            <w:noWrap/>
            <w:hideMark/>
          </w:tcPr>
          <w:p w14:paraId="65356372" w14:textId="7ED210DE" w:rsidR="00A9264E" w:rsidRPr="00E86C72" w:rsidRDefault="00A9264E" w:rsidP="008437D6">
            <w:pPr>
              <w:pStyle w:val="Tabletext1"/>
            </w:pPr>
            <w:r w:rsidRPr="008301F2">
              <w:t xml:space="preserve">Cost of </w:t>
            </w:r>
            <w:r>
              <w:t>hospitalisation of</w:t>
            </w:r>
            <w:r w:rsidRPr="008301F2">
              <w:t xml:space="preserve"> serious infections (base case: $</w:t>
            </w:r>
            <w:r>
              <w:t>12,775</w:t>
            </w:r>
            <w:r w:rsidRPr="008301F2">
              <w:t>)</w:t>
            </w:r>
          </w:p>
        </w:tc>
        <w:tc>
          <w:tcPr>
            <w:tcW w:w="629" w:type="pct"/>
            <w:tcBorders>
              <w:left w:val="single" w:sz="4" w:space="0" w:color="auto"/>
              <w:bottom w:val="single" w:sz="4" w:space="0" w:color="auto"/>
              <w:right w:val="single" w:sz="4" w:space="0" w:color="auto"/>
            </w:tcBorders>
            <w:noWrap/>
            <w:hideMark/>
          </w:tcPr>
          <w:p w14:paraId="4C34EC3F" w14:textId="5BDE21AA" w:rsidR="00A9264E" w:rsidRPr="00E86C72" w:rsidRDefault="00A9264E" w:rsidP="008437D6">
            <w:pPr>
              <w:pStyle w:val="Tabletext1"/>
              <w:jc w:val="right"/>
            </w:pPr>
          </w:p>
        </w:tc>
        <w:tc>
          <w:tcPr>
            <w:tcW w:w="629" w:type="pct"/>
            <w:tcBorders>
              <w:left w:val="single" w:sz="4" w:space="0" w:color="auto"/>
              <w:bottom w:val="single" w:sz="4" w:space="0" w:color="auto"/>
              <w:right w:val="single" w:sz="4" w:space="0" w:color="auto"/>
            </w:tcBorders>
            <w:noWrap/>
            <w:hideMark/>
          </w:tcPr>
          <w:p w14:paraId="255812F1" w14:textId="73BE4AE6" w:rsidR="00A9264E" w:rsidRPr="00E86C72" w:rsidRDefault="00A9264E" w:rsidP="008437D6">
            <w:pPr>
              <w:pStyle w:val="Tabletext1"/>
              <w:jc w:val="right"/>
            </w:pPr>
          </w:p>
        </w:tc>
        <w:tc>
          <w:tcPr>
            <w:tcW w:w="629" w:type="pct"/>
            <w:tcBorders>
              <w:left w:val="single" w:sz="4" w:space="0" w:color="auto"/>
              <w:bottom w:val="single" w:sz="4" w:space="0" w:color="auto"/>
              <w:right w:val="single" w:sz="4" w:space="0" w:color="auto"/>
            </w:tcBorders>
            <w:noWrap/>
            <w:hideMark/>
          </w:tcPr>
          <w:p w14:paraId="3EDB6A2A" w14:textId="664C5915" w:rsidR="00A9264E" w:rsidRPr="00E86C72" w:rsidRDefault="00A9264E" w:rsidP="008437D6">
            <w:pPr>
              <w:pStyle w:val="Tabletext1"/>
              <w:jc w:val="right"/>
            </w:pPr>
          </w:p>
        </w:tc>
        <w:tc>
          <w:tcPr>
            <w:tcW w:w="443" w:type="pct"/>
            <w:tcBorders>
              <w:left w:val="single" w:sz="4" w:space="0" w:color="auto"/>
              <w:bottom w:val="single" w:sz="4" w:space="0" w:color="auto"/>
            </w:tcBorders>
            <w:noWrap/>
            <w:hideMark/>
          </w:tcPr>
          <w:p w14:paraId="02849318" w14:textId="1A025A77" w:rsidR="00A9264E" w:rsidRPr="00E86C72" w:rsidRDefault="00A9264E" w:rsidP="008437D6">
            <w:pPr>
              <w:pStyle w:val="Tabletext1"/>
              <w:jc w:val="right"/>
            </w:pPr>
          </w:p>
        </w:tc>
      </w:tr>
      <w:tr w:rsidR="00A9264E" w:rsidRPr="00E86C72" w14:paraId="19A4E35E" w14:textId="77777777" w:rsidTr="0007662C">
        <w:trPr>
          <w:trHeight w:val="300"/>
        </w:trPr>
        <w:tc>
          <w:tcPr>
            <w:tcW w:w="2670" w:type="pct"/>
            <w:tcBorders>
              <w:top w:val="nil"/>
              <w:bottom w:val="single" w:sz="4" w:space="0" w:color="auto"/>
            </w:tcBorders>
            <w:noWrap/>
            <w:hideMark/>
          </w:tcPr>
          <w:p w14:paraId="18FE7727" w14:textId="72620A4C" w:rsidR="00A9264E" w:rsidRPr="00E86C72" w:rsidRDefault="00A9264E" w:rsidP="008437D6">
            <w:pPr>
              <w:pStyle w:val="Tabletext1"/>
            </w:pPr>
            <w:r w:rsidRPr="00263E7E">
              <w:t>$52,961, based on AR-DRG R01A</w:t>
            </w:r>
          </w:p>
        </w:tc>
        <w:tc>
          <w:tcPr>
            <w:tcW w:w="629" w:type="pct"/>
            <w:tcBorders>
              <w:top w:val="nil"/>
              <w:bottom w:val="single" w:sz="4" w:space="0" w:color="auto"/>
            </w:tcBorders>
            <w:noWrap/>
            <w:hideMark/>
          </w:tcPr>
          <w:p w14:paraId="752DCBF6" w14:textId="36320C7B" w:rsidR="00A9264E" w:rsidRPr="00E86C72" w:rsidRDefault="00A9264E" w:rsidP="008437D6">
            <w:pPr>
              <w:pStyle w:val="Tabletext1"/>
              <w:jc w:val="right"/>
            </w:pPr>
            <w:r w:rsidRPr="00D6502A">
              <w:t>$19,349</w:t>
            </w:r>
          </w:p>
        </w:tc>
        <w:tc>
          <w:tcPr>
            <w:tcW w:w="629" w:type="pct"/>
            <w:tcBorders>
              <w:top w:val="nil"/>
              <w:bottom w:val="single" w:sz="4" w:space="0" w:color="auto"/>
            </w:tcBorders>
            <w:noWrap/>
            <w:hideMark/>
          </w:tcPr>
          <w:p w14:paraId="78F6906E" w14:textId="77777777" w:rsidR="00A9264E" w:rsidRPr="00E86C72" w:rsidRDefault="00A9264E" w:rsidP="008437D6">
            <w:pPr>
              <w:pStyle w:val="Tabletext1"/>
              <w:jc w:val="right"/>
            </w:pPr>
            <w:r w:rsidRPr="00D6502A">
              <w:t>0.4109</w:t>
            </w:r>
          </w:p>
        </w:tc>
        <w:tc>
          <w:tcPr>
            <w:tcW w:w="629" w:type="pct"/>
            <w:tcBorders>
              <w:top w:val="nil"/>
              <w:bottom w:val="single" w:sz="4" w:space="0" w:color="auto"/>
            </w:tcBorders>
            <w:noWrap/>
            <w:hideMark/>
          </w:tcPr>
          <w:p w14:paraId="260FB3BD" w14:textId="3915A2BA" w:rsidR="00A9264E" w:rsidRPr="00E86C72" w:rsidRDefault="00A9264E" w:rsidP="008437D6">
            <w:pPr>
              <w:pStyle w:val="Tabletext1"/>
              <w:jc w:val="right"/>
            </w:pPr>
            <w:r w:rsidRPr="00D6502A">
              <w:t>$47,088</w:t>
            </w:r>
          </w:p>
        </w:tc>
        <w:tc>
          <w:tcPr>
            <w:tcW w:w="443" w:type="pct"/>
            <w:tcBorders>
              <w:top w:val="nil"/>
              <w:bottom w:val="single" w:sz="4" w:space="0" w:color="auto"/>
            </w:tcBorders>
            <w:noWrap/>
            <w:hideMark/>
          </w:tcPr>
          <w:p w14:paraId="436F232A" w14:textId="0E107D75" w:rsidR="00A9264E" w:rsidRPr="00E86C72" w:rsidRDefault="00A9264E" w:rsidP="008437D6">
            <w:pPr>
              <w:pStyle w:val="Tabletext1"/>
              <w:jc w:val="right"/>
            </w:pPr>
            <w:r w:rsidRPr="00D6502A">
              <w:t>–53%</w:t>
            </w:r>
          </w:p>
        </w:tc>
      </w:tr>
    </w:tbl>
    <w:p w14:paraId="7CFD85DE" w14:textId="66D4E28E" w:rsidR="00AF32E4" w:rsidRDefault="00911F85" w:rsidP="00AF32E4">
      <w:pPr>
        <w:pStyle w:val="Tablenotes1"/>
      </w:pPr>
      <w:r>
        <w:t>ICER = incremental cost-effectiveness ratio; Ig = immunoglobulin; IRR = incidence rate ratio; QALY = quality-adjusted life year.</w:t>
      </w:r>
      <w:r w:rsidR="00AF32E4" w:rsidRPr="00AF32E4">
        <w:t xml:space="preserve"> </w:t>
      </w:r>
    </w:p>
    <w:p w14:paraId="25058704" w14:textId="6F650431" w:rsidR="00AF32E4" w:rsidRDefault="00AF32E4" w:rsidP="00AF32E4">
      <w:r>
        <w:t xml:space="preserve">The model is highly sensitive to the inclusion of the bronchiectasis health states. When these health states are excluded, the ICER significantly increases to $3 million per additional QALY gained. This result is consistent with that observed in </w:t>
      </w:r>
      <w:r w:rsidRPr="00C127B0">
        <w:t>Weeks, Tierney &amp; Weinstein</w:t>
      </w:r>
      <w:r>
        <w:t xml:space="preserve"> </w:t>
      </w:r>
      <w:r>
        <w:fldChar w:fldCharType="begin"/>
      </w:r>
      <w:r>
        <w:instrText xml:space="preserve"> ADDIN EN.CITE &lt;EndNote&gt;&lt;Cite ExcludeAuth="1"&gt;&lt;Author&gt;Weeks&lt;/Author&gt;&lt;Year&gt;1991&lt;/Year&gt;&lt;RecNum&gt;35&lt;/RecNum&gt;&lt;DisplayText&gt;(1991)&lt;/DisplayText&gt;&lt;record&gt;&lt;rec-number&gt;35&lt;/rec-number&gt;&lt;foreign-keys&gt;&lt;key app="EN" db-id="z0vwsepdwpt20pewwts5z9eup9e2r2pd2tad" timestamp="1553825060"&gt;35&lt;/key&gt;&lt;/foreign-keys&gt;&lt;ref-type name="Journal Article"&gt;17&lt;/ref-type&gt;&lt;contributors&gt;&lt;authors&gt;&lt;author&gt;Weeks, J. C.&lt;/author&gt;&lt;author&gt;Tierney, M. R.&lt;/author&gt;&lt;author&gt;Weinstein, M. C.&lt;/author&gt;&lt;/authors&gt;&lt;/contributors&gt;&lt;titles&gt;&lt;title&gt;Cost effectiveness of prophylactic intravenous immune globulin in chronic lymphocytic leukemia&lt;/title&gt;&lt;secondary-title&gt;New England journal of medicine&lt;/secondary-title&gt;&lt;/titles&gt;&lt;periodical&gt;&lt;full-title&gt;New England journal of medicine&lt;/full-title&gt;&lt;/periodical&gt;&lt;pages&gt;81‐86&lt;/pages&gt;&lt;volume&gt;325&lt;/volume&gt;&lt;number&gt;2&lt;/number&gt;&lt;keywords&gt;&lt;keyword&gt;Agammaglobulinemia [complications]&lt;/keyword&gt;&lt;keyword&gt;Bacterial Infections [*prevention &amp;amp; control]&lt;/keyword&gt;&lt;keyword&gt;Cost‐Benefit Analysis&lt;/keyword&gt;&lt;keyword&gt;Humans&lt;/keyword&gt;&lt;keyword&gt;Immunization, Passive [*economics]&lt;/keyword&gt;&lt;keyword&gt;Immunoglobulins [*administration &amp;amp; dosage]&lt;/keyword&gt;&lt;keyword&gt;Infusions, Intravenous&lt;/keyword&gt;&lt;keyword&gt;Leukemia, Lymphocytic, Chronic, B‐Cell [*complications, economics]&lt;/keyword&gt;&lt;keyword&gt;Life Expectancy&lt;/keyword&gt;&lt;keyword&gt;Models, Theoretical&lt;/keyword&gt;&lt;keyword&gt;Quality of Life&lt;/keyword&gt;&lt;keyword&gt;United States&lt;/keyword&gt;&lt;keyword&gt;Cost-Benefit Analysis&lt;/keyword&gt;&lt;keyword&gt;Leukemia, Lymphoid&lt;/keyword&gt;&lt;keyword&gt;Immunoglobulins, Intravenous&lt;/keyword&gt;&lt;keyword&gt;Immunoglobulins&lt;/keyword&gt;&lt;/keywords&gt;&lt;dates&gt;&lt;year&gt;1991&lt;/year&gt;&lt;pub-dates&gt;&lt;date&gt;1991&lt;/date&gt;&lt;/pub-dates&gt;&lt;/dates&gt;&lt;accession-num&gt;CN-00076105&lt;/accession-num&gt;&lt;urls&gt;&lt;related-urls&gt;&lt;url&gt;&lt;style face="underline" font="default" size="100%"&gt;https://www.cochranelibrary.com/central/doi/10.1002/central/CN-00076105/full&lt;/style&gt;&lt;/url&gt;&lt;/related-urls&gt;&lt;/urls&gt;&lt;custom1&gt;RAYYAN-INCLUSION: {&amp;quot;Skye&amp;quot;=&amp;gt;&amp;quot;Included&amp;quot;}&lt;/custom1&gt;&lt;research-notes&gt;X - decision analytic study, no new clinical data&lt;/research-notes&gt;&lt;/record&gt;&lt;/Cite&gt;&lt;/EndNote&gt;</w:instrText>
      </w:r>
      <w:r>
        <w:fldChar w:fldCharType="separate"/>
      </w:r>
      <w:r>
        <w:rPr>
          <w:noProof/>
        </w:rPr>
        <w:t>(</w:t>
      </w:r>
      <w:hyperlink w:anchor="_ENREF_56" w:tooltip="Weeks, 1991 #35" w:history="1">
        <w:r w:rsidR="00BB0145">
          <w:rPr>
            <w:noProof/>
          </w:rPr>
          <w:t>1991</w:t>
        </w:r>
      </w:hyperlink>
      <w:r>
        <w:rPr>
          <w:noProof/>
        </w:rPr>
        <w:t>)</w:t>
      </w:r>
      <w:r>
        <w:fldChar w:fldCharType="end"/>
      </w:r>
      <w:r>
        <w:t xml:space="preserve">, which also did not </w:t>
      </w:r>
      <w:r>
        <w:lastRenderedPageBreak/>
        <w:t xml:space="preserve">model the development of bronchiectasis. The inclusion of these health states had been justified based on the model structure used in a contemporary economic evaluation </w:t>
      </w:r>
      <w:r>
        <w:fldChar w:fldCharType="begin"/>
      </w:r>
      <w:r>
        <w:instrText xml:space="preserve"> ADDIN EN.CITE &lt;EndNote&gt;&lt;Cite&gt;&lt;Author&gt;Windegger&lt;/Author&gt;&lt;Year&gt;2019&lt;/Year&gt;&lt;RecNum&gt;55&lt;/RecNum&gt;&lt;DisplayText&gt;(Windegger et al. 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Windegger et al. 2019</w:t>
        </w:r>
      </w:hyperlink>
      <w:r>
        <w:rPr>
          <w:noProof/>
        </w:rPr>
        <w:t>)</w:t>
      </w:r>
      <w:r>
        <w:fldChar w:fldCharType="end"/>
      </w:r>
      <w:r>
        <w:t>.</w:t>
      </w:r>
    </w:p>
    <w:p w14:paraId="5E22547B" w14:textId="6C15A10B" w:rsidR="00911F85" w:rsidRPr="00183E4D" w:rsidRDefault="00AF32E4" w:rsidP="00AF32E4">
      <w:r>
        <w:t xml:space="preserve">The model is also sensitive to the selection of the time horizon, the treatment effect of Ig, baseline infection rates and whether transition probabilities from Windegger et al. </w:t>
      </w:r>
      <w:r>
        <w:fldChar w:fldCharType="begin"/>
      </w:r>
      <w:r>
        <w:instrText xml:space="preserve"> ADDIN EN.CITE &lt;EndNote&gt;&lt;Cite ExcludeAuth="1"&gt;&lt;Author&gt;Windegger&lt;/Author&gt;&lt;Year&gt;2019&lt;/Year&gt;&lt;RecNum&gt;55&lt;/RecNum&gt;&lt;DisplayText&gt;(2019)&lt;/DisplayText&gt;&lt;record&gt;&lt;rec-number&gt;55&lt;/rec-number&gt;&lt;foreign-keys&gt;&lt;key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fldChar w:fldCharType="separate"/>
      </w:r>
      <w:r>
        <w:rPr>
          <w:noProof/>
        </w:rPr>
        <w:t>(</w:t>
      </w:r>
      <w:hyperlink w:anchor="_ENREF_57" w:tooltip="Windegger, 2019 #55" w:history="1">
        <w:r w:rsidR="00BB0145">
          <w:rPr>
            <w:noProof/>
          </w:rPr>
          <w:t>2019</w:t>
        </w:r>
      </w:hyperlink>
      <w:r>
        <w:rPr>
          <w:noProof/>
        </w:rPr>
        <w:t>)</w:t>
      </w:r>
      <w:r>
        <w:fldChar w:fldCharType="end"/>
      </w:r>
      <w:r>
        <w:t xml:space="preserve"> have been adjusted for the comparison to no Ig.</w:t>
      </w:r>
    </w:p>
    <w:p w14:paraId="660FE971" w14:textId="77777777" w:rsidR="00911F85" w:rsidRPr="00183E4D" w:rsidRDefault="00911F85" w:rsidP="00911F85">
      <w:pPr>
        <w:pStyle w:val="Heading1"/>
      </w:pPr>
      <w:bookmarkStart w:id="592" w:name="_Toc14431173"/>
      <w:bookmarkStart w:id="593" w:name="_Toc16856349"/>
      <w:r w:rsidRPr="00183E4D">
        <w:lastRenderedPageBreak/>
        <w:t xml:space="preserve">Section </w:t>
      </w:r>
      <w:r>
        <w:t>E</w:t>
      </w:r>
      <w:r w:rsidRPr="00183E4D">
        <w:tab/>
      </w:r>
      <w:r>
        <w:t>Financial Implications</w:t>
      </w:r>
      <w:bookmarkEnd w:id="592"/>
      <w:bookmarkEnd w:id="593"/>
    </w:p>
    <w:p w14:paraId="0B7B906F" w14:textId="79BA0D63" w:rsidR="00911F85" w:rsidRDefault="00911F85" w:rsidP="00911F85">
      <w:bookmarkStart w:id="594" w:name="_Toc214091269"/>
      <w:bookmarkStart w:id="595" w:name="_Toc341796089"/>
      <w:bookmarkStart w:id="596" w:name="_Toc9515620"/>
      <w:r w:rsidRPr="00DF372B">
        <w:t xml:space="preserve">A market-based approach has been used to estimate the financial implications of Ig in acquired </w:t>
      </w:r>
      <w:r>
        <w:t>hypogammaglobulinaemia, based on current utilisation of Ig products in patients with acquired hypogammaglobulinaemia</w:t>
      </w:r>
      <w:r w:rsidRPr="00DF372B">
        <w:t xml:space="preserve">. </w:t>
      </w:r>
      <w:r w:rsidR="00315700">
        <w:t xml:space="preserve">As data available on utilisation were only available </w:t>
      </w:r>
      <w:r w:rsidR="00A530B5">
        <w:t xml:space="preserve">for use under the Version 2 Criteria, the impact of transitioning to the Version 3 Criteria were not able to be captured in the analysis. </w:t>
      </w:r>
      <w:r w:rsidR="000C44D1">
        <w:t>T</w:t>
      </w:r>
      <w:r w:rsidR="00A530B5">
        <w:t>here is uncertainty as to whether trends observed in the past would continue</w:t>
      </w:r>
      <w:r w:rsidR="000C44D1">
        <w:t>.</w:t>
      </w:r>
    </w:p>
    <w:p w14:paraId="2873B380" w14:textId="1A4123D0" w:rsidR="000C44D1" w:rsidRDefault="000C44D1" w:rsidP="00911F85">
      <w:r w:rsidRPr="000C44D1">
        <w:t>It is also acknowledged that rapid technological development is occurring in this therapeutic area and this may also change clinical demand and Ig use in the future. For example</w:t>
      </w:r>
      <w:r>
        <w:t>,</w:t>
      </w:r>
      <w:r w:rsidRPr="000C44D1">
        <w:t xml:space="preserve"> demand may increase if patients using new therapies (such as monoclonal antibodies, CAR-T cell therapy and BTK inhibitors) live longer with suppressed immune systems.</w:t>
      </w:r>
    </w:p>
    <w:p w14:paraId="6BEDF177" w14:textId="77777777" w:rsidR="00A530B5" w:rsidRPr="00DF372B" w:rsidRDefault="00A530B5" w:rsidP="00911F85"/>
    <w:p w14:paraId="1E60B9E2" w14:textId="77777777" w:rsidR="00911F85" w:rsidRDefault="00911F85" w:rsidP="00331FB9">
      <w:pPr>
        <w:pStyle w:val="Heading2"/>
        <w:numPr>
          <w:ilvl w:val="4"/>
          <w:numId w:val="10"/>
        </w:numPr>
      </w:pPr>
      <w:bookmarkStart w:id="597" w:name="_Toc14431174"/>
      <w:bookmarkStart w:id="598" w:name="_Toc16856350"/>
      <w:bookmarkStart w:id="599" w:name="OLE_LINK14"/>
      <w:bookmarkStart w:id="600" w:name="OLE_LINK15"/>
      <w:r>
        <w:t>Justification of the selection of sources of data</w:t>
      </w:r>
      <w:bookmarkEnd w:id="594"/>
      <w:bookmarkEnd w:id="595"/>
      <w:bookmarkEnd w:id="596"/>
      <w:bookmarkEnd w:id="597"/>
      <w:bookmarkEnd w:id="598"/>
    </w:p>
    <w:p w14:paraId="7FC7D87B" w14:textId="77777777" w:rsidR="00911F85" w:rsidRDefault="00911F85" w:rsidP="00911F85">
      <w:r>
        <w:t>The primary sources of data used in the estimates of the financial impact of Ig in acquired hypogammaglobulinaemia are:</w:t>
      </w:r>
    </w:p>
    <w:p w14:paraId="30C8EE88" w14:textId="569B95DB" w:rsidR="00911F85" w:rsidRDefault="00911F85" w:rsidP="00331FB9">
      <w:pPr>
        <w:pStyle w:val="ListParagraph"/>
        <w:numPr>
          <w:ilvl w:val="0"/>
          <w:numId w:val="16"/>
        </w:numPr>
      </w:pPr>
      <w:r>
        <w:t xml:space="preserve">NBA </w:t>
      </w:r>
      <w:r>
        <w:fldChar w:fldCharType="begin"/>
      </w:r>
      <w:r>
        <w:instrText xml:space="preserve"> ADDIN EN.CITE &lt;EndNote&gt;&lt;Cite ExcludeAuth="1"&gt;&lt;Author&gt;National Blood Authority [NBA]&lt;/Author&gt;&lt;Year&gt;2019&lt;/Year&gt;&lt;RecNum&gt;108&lt;/RecNum&gt;&lt;DisplayText&gt;(2019a)&lt;/DisplayText&gt;&lt;record&gt;&lt;rec-number&gt;108&lt;/rec-number&gt;&lt;foreign-keys&gt;&lt;key app="EN" db-id="z0vwsepdwpt20pewwts5z9eup9e2r2pd2tad" timestamp="1563421468"&gt;108&lt;/key&gt;&lt;/foreign-keys&gt;&lt;ref-type name="Web Page"&gt;12&lt;/ref-type&gt;&lt;contributors&gt;&lt;authors&gt;&lt;author&gt;National Blood Authority [NBA],&lt;/author&gt;&lt;/authors&gt;&lt;/contributors&gt;&lt;titles&gt;&lt;title&gt;Data Analysis and Reporting&lt;/title&gt;&lt;/titles&gt;&lt;dates&gt;&lt;year&gt;2019&lt;/year&gt;&lt;/dates&gt;&lt;pub-location&gt;Canberra&lt;/pub-location&gt;&lt;publisher&gt;National Blood Authority &lt;/publisher&gt;&lt;urls&gt;&lt;related-urls&gt;&lt;url&gt;https://www.blood.gov.au/data-analysis-reporting&lt;/url&gt;&lt;/related-urls&gt;&lt;/urls&gt;&lt;/record&gt;&lt;/Cite&gt;&lt;/EndNote&gt;</w:instrText>
      </w:r>
      <w:r>
        <w:fldChar w:fldCharType="separate"/>
      </w:r>
      <w:r>
        <w:rPr>
          <w:noProof/>
        </w:rPr>
        <w:t>(</w:t>
      </w:r>
      <w:hyperlink w:anchor="_ENREF_34" w:tooltip="National Blood Authority [NBA], 2019 #108" w:history="1">
        <w:r w:rsidR="00BB0145">
          <w:rPr>
            <w:noProof/>
          </w:rPr>
          <w:t>2019a</w:t>
        </w:r>
      </w:hyperlink>
      <w:r>
        <w:rPr>
          <w:noProof/>
        </w:rPr>
        <w:t>)</w:t>
      </w:r>
      <w:r>
        <w:fldChar w:fldCharType="end"/>
      </w:r>
      <w:r>
        <w:t xml:space="preserve"> </w:t>
      </w:r>
      <w:r w:rsidRPr="0095052E">
        <w:t>National report</w:t>
      </w:r>
      <w:r>
        <w:t>s</w:t>
      </w:r>
      <w:r w:rsidRPr="0095052E">
        <w:t xml:space="preserve"> on the issue</w:t>
      </w:r>
      <w:r>
        <w:t xml:space="preserve"> and use of immunoglobulin (Ig),</w:t>
      </w:r>
      <w:r w:rsidRPr="0095052E">
        <w:t xml:space="preserve"> </w:t>
      </w:r>
      <w:r>
        <w:t>which report the number of patients and Ig use, by indication, from 2011-12 to 2015-16.</w:t>
      </w:r>
    </w:p>
    <w:p w14:paraId="27739706" w14:textId="1A8F610B" w:rsidR="00911F85" w:rsidRPr="00DF372B" w:rsidRDefault="00911F85" w:rsidP="00331FB9">
      <w:pPr>
        <w:pStyle w:val="ListParagraph"/>
        <w:numPr>
          <w:ilvl w:val="0"/>
          <w:numId w:val="16"/>
        </w:numPr>
      </w:pPr>
      <w:r>
        <w:t xml:space="preserve">The </w:t>
      </w:r>
      <w:r w:rsidRPr="0095052E">
        <w:t xml:space="preserve">'HTA Data April2019.xlsx' workbook provided by the </w:t>
      </w:r>
      <w:r w:rsidR="00D51F34">
        <w:t>NBA</w:t>
      </w:r>
      <w:r w:rsidRPr="007D0A00">
        <w:t xml:space="preserve"> </w:t>
      </w:r>
      <w:r>
        <w:t xml:space="preserve">- which reports use, by indication, for the full financial year 2017-18 and for the 2018-19 partial year to December 31, 2018 (and so reports some use under the Version 3 criteria). </w:t>
      </w:r>
    </w:p>
    <w:p w14:paraId="18757CD3" w14:textId="60D73481" w:rsidR="00911F85" w:rsidRDefault="00911F85" w:rsidP="00911F85">
      <w:r>
        <w:t xml:space="preserve">The full year data available from these sources are summarised in </w:t>
      </w:r>
      <w:r>
        <w:fldChar w:fldCharType="begin"/>
      </w:r>
      <w:r>
        <w:instrText xml:space="preserve"> REF _Ref9868003 \h </w:instrText>
      </w:r>
      <w:r>
        <w:fldChar w:fldCharType="separate"/>
      </w:r>
      <w:r w:rsidR="00A7463B">
        <w:t xml:space="preserve">Table </w:t>
      </w:r>
      <w:r w:rsidR="00A7463B">
        <w:rPr>
          <w:noProof/>
        </w:rPr>
        <w:t>64</w:t>
      </w:r>
      <w:r>
        <w:fldChar w:fldCharType="end"/>
      </w:r>
      <w:r>
        <w:t xml:space="preserve"> and </w:t>
      </w:r>
      <w:r>
        <w:fldChar w:fldCharType="begin"/>
      </w:r>
      <w:r>
        <w:instrText xml:space="preserve"> REF _Ref12448325 \h </w:instrText>
      </w:r>
      <w:r>
        <w:fldChar w:fldCharType="separate"/>
      </w:r>
      <w:r w:rsidR="00A7463B">
        <w:t xml:space="preserve">Table </w:t>
      </w:r>
      <w:r w:rsidR="00A7463B">
        <w:rPr>
          <w:noProof/>
        </w:rPr>
        <w:t>65</w:t>
      </w:r>
      <w:r>
        <w:fldChar w:fldCharType="end"/>
      </w:r>
      <w:r>
        <w:t xml:space="preserve">. </w:t>
      </w:r>
    </w:p>
    <w:p w14:paraId="6E42749B" w14:textId="3B061E9E" w:rsidR="00911F85" w:rsidRDefault="00911F85" w:rsidP="00911F85">
      <w:pPr>
        <w:pStyle w:val="Caption"/>
        <w:keepNext/>
      </w:pPr>
      <w:bookmarkStart w:id="601" w:name="_Ref9868003"/>
      <w:bookmarkStart w:id="602" w:name="_Toc14348898"/>
      <w:bookmarkStart w:id="603" w:name="_Toc14429604"/>
      <w:bookmarkStart w:id="604" w:name="_Toc16671662"/>
      <w:r>
        <w:t xml:space="preserve">Table </w:t>
      </w:r>
      <w:r>
        <w:rPr>
          <w:noProof/>
        </w:rPr>
        <w:fldChar w:fldCharType="begin"/>
      </w:r>
      <w:r>
        <w:rPr>
          <w:noProof/>
        </w:rPr>
        <w:instrText xml:space="preserve"> SEQ Table \* ARABIC </w:instrText>
      </w:r>
      <w:r>
        <w:rPr>
          <w:noProof/>
        </w:rPr>
        <w:fldChar w:fldCharType="separate"/>
      </w:r>
      <w:r w:rsidR="00A7463B">
        <w:rPr>
          <w:noProof/>
        </w:rPr>
        <w:t>64</w:t>
      </w:r>
      <w:r>
        <w:rPr>
          <w:noProof/>
        </w:rPr>
        <w:fldChar w:fldCharType="end"/>
      </w:r>
      <w:bookmarkEnd w:id="601"/>
      <w:r>
        <w:tab/>
        <w:t>Number of patients who received Ig by indication, 2011-12 to 2017-18</w:t>
      </w:r>
      <w:bookmarkEnd w:id="602"/>
      <w:bookmarkEnd w:id="603"/>
      <w:bookmarkEnd w:id="604"/>
    </w:p>
    <w:tbl>
      <w:tblPr>
        <w:tblStyle w:val="TableGrid1"/>
        <w:tblW w:w="5000" w:type="pct"/>
        <w:tblLook w:val="04A0" w:firstRow="1" w:lastRow="0" w:firstColumn="1" w:lastColumn="0" w:noHBand="0" w:noVBand="1"/>
        <w:tblCaption w:val="Number of patients who received Ig by indication, 2011-12 to 2017-18"/>
      </w:tblPr>
      <w:tblGrid>
        <w:gridCol w:w="1761"/>
        <w:gridCol w:w="1076"/>
        <w:gridCol w:w="1076"/>
        <w:gridCol w:w="1076"/>
        <w:gridCol w:w="1076"/>
        <w:gridCol w:w="1076"/>
        <w:gridCol w:w="1033"/>
        <w:gridCol w:w="1068"/>
      </w:tblGrid>
      <w:tr w:rsidR="00911F85" w:rsidRPr="00EB2111" w14:paraId="7B6892B6" w14:textId="77777777" w:rsidTr="008742A1">
        <w:trPr>
          <w:cnfStyle w:val="100000000000" w:firstRow="1" w:lastRow="0" w:firstColumn="0" w:lastColumn="0" w:oddVBand="0" w:evenVBand="0" w:oddHBand="0" w:evenHBand="0" w:firstRowFirstColumn="0" w:firstRowLastColumn="0" w:lastRowFirstColumn="0" w:lastRowLastColumn="0"/>
          <w:cantSplit/>
          <w:trHeight w:val="300"/>
          <w:tblHeader/>
        </w:trPr>
        <w:tc>
          <w:tcPr>
            <w:tcW w:w="953" w:type="pct"/>
            <w:noWrap/>
            <w:hideMark/>
          </w:tcPr>
          <w:p w14:paraId="068042DE" w14:textId="77777777" w:rsidR="00911F85" w:rsidRPr="00EB2111" w:rsidRDefault="00911F85" w:rsidP="008742A1">
            <w:pPr>
              <w:pStyle w:val="TableHeading"/>
            </w:pPr>
          </w:p>
        </w:tc>
        <w:tc>
          <w:tcPr>
            <w:tcW w:w="582" w:type="pct"/>
            <w:noWrap/>
            <w:hideMark/>
          </w:tcPr>
          <w:p w14:paraId="0191E923" w14:textId="77777777" w:rsidR="00911F85" w:rsidRPr="00EB2111" w:rsidRDefault="00911F85" w:rsidP="008742A1">
            <w:pPr>
              <w:pStyle w:val="TableHeading"/>
              <w:jc w:val="center"/>
              <w:rPr>
                <w:rFonts w:cs="Calibri"/>
                <w:color w:val="000000"/>
              </w:rPr>
            </w:pPr>
            <w:r w:rsidRPr="00EB2111">
              <w:rPr>
                <w:rFonts w:cs="Calibri"/>
                <w:color w:val="000000"/>
              </w:rPr>
              <w:t>2011-12</w:t>
            </w:r>
          </w:p>
        </w:tc>
        <w:tc>
          <w:tcPr>
            <w:tcW w:w="582" w:type="pct"/>
            <w:noWrap/>
            <w:hideMark/>
          </w:tcPr>
          <w:p w14:paraId="55A996D1" w14:textId="77777777" w:rsidR="00911F85" w:rsidRPr="00EB2111" w:rsidRDefault="00911F85" w:rsidP="008742A1">
            <w:pPr>
              <w:pStyle w:val="TableHeading"/>
              <w:jc w:val="center"/>
              <w:rPr>
                <w:rFonts w:cs="Calibri"/>
                <w:color w:val="000000"/>
              </w:rPr>
            </w:pPr>
            <w:r w:rsidRPr="00EB2111">
              <w:rPr>
                <w:rFonts w:cs="Calibri"/>
                <w:color w:val="000000"/>
              </w:rPr>
              <w:t>2012-13</w:t>
            </w:r>
          </w:p>
        </w:tc>
        <w:tc>
          <w:tcPr>
            <w:tcW w:w="582" w:type="pct"/>
            <w:noWrap/>
            <w:hideMark/>
          </w:tcPr>
          <w:p w14:paraId="660BA51E" w14:textId="77777777" w:rsidR="00911F85" w:rsidRPr="00EB2111" w:rsidRDefault="00911F85" w:rsidP="008742A1">
            <w:pPr>
              <w:pStyle w:val="TableHeading"/>
              <w:jc w:val="center"/>
              <w:rPr>
                <w:rFonts w:cs="Calibri"/>
                <w:color w:val="000000"/>
              </w:rPr>
            </w:pPr>
            <w:r w:rsidRPr="00EB2111">
              <w:rPr>
                <w:rFonts w:cs="Calibri"/>
                <w:color w:val="000000"/>
              </w:rPr>
              <w:t>2013-14</w:t>
            </w:r>
          </w:p>
        </w:tc>
        <w:tc>
          <w:tcPr>
            <w:tcW w:w="582" w:type="pct"/>
            <w:noWrap/>
            <w:hideMark/>
          </w:tcPr>
          <w:p w14:paraId="67CA695B" w14:textId="77777777" w:rsidR="00911F85" w:rsidRPr="00EB2111" w:rsidRDefault="00911F85" w:rsidP="008742A1">
            <w:pPr>
              <w:pStyle w:val="TableHeading"/>
              <w:jc w:val="center"/>
              <w:rPr>
                <w:rFonts w:cs="Calibri"/>
                <w:color w:val="000000"/>
              </w:rPr>
            </w:pPr>
            <w:r w:rsidRPr="00EB2111">
              <w:rPr>
                <w:rFonts w:cs="Calibri"/>
                <w:color w:val="000000"/>
              </w:rPr>
              <w:t>2014-15</w:t>
            </w:r>
          </w:p>
        </w:tc>
        <w:tc>
          <w:tcPr>
            <w:tcW w:w="582" w:type="pct"/>
            <w:noWrap/>
            <w:hideMark/>
          </w:tcPr>
          <w:p w14:paraId="5B38B2C1" w14:textId="77777777" w:rsidR="00911F85" w:rsidRPr="00EB2111" w:rsidRDefault="00911F85" w:rsidP="008742A1">
            <w:pPr>
              <w:pStyle w:val="TableHeading"/>
              <w:jc w:val="center"/>
              <w:rPr>
                <w:rFonts w:cs="Calibri"/>
                <w:color w:val="000000"/>
              </w:rPr>
            </w:pPr>
            <w:r w:rsidRPr="00EB2111">
              <w:rPr>
                <w:rFonts w:cs="Calibri"/>
                <w:color w:val="000000"/>
              </w:rPr>
              <w:t>2015-16</w:t>
            </w:r>
          </w:p>
        </w:tc>
        <w:tc>
          <w:tcPr>
            <w:tcW w:w="559" w:type="pct"/>
            <w:noWrap/>
            <w:hideMark/>
          </w:tcPr>
          <w:p w14:paraId="292E8921" w14:textId="77777777" w:rsidR="00911F85" w:rsidRPr="00EB2111" w:rsidRDefault="00911F85" w:rsidP="008742A1">
            <w:pPr>
              <w:pStyle w:val="TableHeading"/>
              <w:jc w:val="center"/>
              <w:rPr>
                <w:rFonts w:cs="Calibri"/>
                <w:color w:val="000000"/>
              </w:rPr>
            </w:pPr>
            <w:r w:rsidRPr="00EB2111">
              <w:rPr>
                <w:rFonts w:cs="Calibri"/>
                <w:color w:val="000000"/>
              </w:rPr>
              <w:t>2016-17</w:t>
            </w:r>
          </w:p>
        </w:tc>
        <w:tc>
          <w:tcPr>
            <w:tcW w:w="578" w:type="pct"/>
            <w:noWrap/>
            <w:hideMark/>
          </w:tcPr>
          <w:p w14:paraId="794F89DB" w14:textId="77777777" w:rsidR="00911F85" w:rsidRPr="00EB2111" w:rsidRDefault="00911F85" w:rsidP="008742A1">
            <w:pPr>
              <w:pStyle w:val="TableHeading"/>
              <w:jc w:val="center"/>
              <w:rPr>
                <w:rFonts w:cs="Calibri"/>
                <w:color w:val="000000"/>
              </w:rPr>
            </w:pPr>
            <w:r w:rsidRPr="00EB2111">
              <w:rPr>
                <w:rFonts w:cs="Calibri"/>
                <w:color w:val="000000"/>
              </w:rPr>
              <w:t>2017-18</w:t>
            </w:r>
          </w:p>
        </w:tc>
      </w:tr>
      <w:tr w:rsidR="00911F85" w:rsidRPr="00EB2111" w14:paraId="56502A6F" w14:textId="77777777" w:rsidTr="008742A1">
        <w:trPr>
          <w:cantSplit/>
          <w:trHeight w:val="300"/>
        </w:trPr>
        <w:tc>
          <w:tcPr>
            <w:tcW w:w="953" w:type="pct"/>
            <w:noWrap/>
            <w:hideMark/>
          </w:tcPr>
          <w:p w14:paraId="75D14F91" w14:textId="77777777" w:rsidR="00911F85" w:rsidRPr="00EB2111" w:rsidRDefault="00911F85" w:rsidP="008742A1">
            <w:pPr>
              <w:pStyle w:val="Tabletext1"/>
            </w:pPr>
            <w:r w:rsidRPr="00EB2111">
              <w:t>CLL</w:t>
            </w:r>
          </w:p>
        </w:tc>
        <w:tc>
          <w:tcPr>
            <w:tcW w:w="582" w:type="pct"/>
            <w:noWrap/>
            <w:hideMark/>
          </w:tcPr>
          <w:p w14:paraId="79E66CD3" w14:textId="77777777" w:rsidR="00911F85" w:rsidRPr="00030044" w:rsidRDefault="00911F85" w:rsidP="008742A1">
            <w:pPr>
              <w:pStyle w:val="Tabletext1"/>
              <w:jc w:val="center"/>
            </w:pPr>
            <w:r w:rsidRPr="00030044">
              <w:t>1,060</w:t>
            </w:r>
          </w:p>
        </w:tc>
        <w:tc>
          <w:tcPr>
            <w:tcW w:w="582" w:type="pct"/>
            <w:noWrap/>
            <w:hideMark/>
          </w:tcPr>
          <w:p w14:paraId="17E9E44C" w14:textId="77777777" w:rsidR="00911F85" w:rsidRPr="00030044" w:rsidRDefault="00911F85" w:rsidP="008742A1">
            <w:pPr>
              <w:pStyle w:val="Tabletext1"/>
              <w:jc w:val="center"/>
            </w:pPr>
            <w:r w:rsidRPr="00030044">
              <w:t>1,080</w:t>
            </w:r>
          </w:p>
        </w:tc>
        <w:tc>
          <w:tcPr>
            <w:tcW w:w="582" w:type="pct"/>
            <w:noWrap/>
            <w:hideMark/>
          </w:tcPr>
          <w:p w14:paraId="02E80504" w14:textId="77777777" w:rsidR="00911F85" w:rsidRPr="00030044" w:rsidRDefault="00911F85" w:rsidP="008742A1">
            <w:pPr>
              <w:pStyle w:val="Tabletext1"/>
              <w:jc w:val="center"/>
            </w:pPr>
            <w:r w:rsidRPr="00030044">
              <w:t>1,179</w:t>
            </w:r>
          </w:p>
        </w:tc>
        <w:tc>
          <w:tcPr>
            <w:tcW w:w="582" w:type="pct"/>
            <w:noWrap/>
            <w:hideMark/>
          </w:tcPr>
          <w:p w14:paraId="1A150FEB" w14:textId="77777777" w:rsidR="00911F85" w:rsidRPr="00030044" w:rsidRDefault="00911F85" w:rsidP="008742A1">
            <w:pPr>
              <w:pStyle w:val="Tabletext1"/>
              <w:jc w:val="center"/>
            </w:pPr>
            <w:r w:rsidRPr="00030044">
              <w:t>1,283</w:t>
            </w:r>
          </w:p>
        </w:tc>
        <w:tc>
          <w:tcPr>
            <w:tcW w:w="582" w:type="pct"/>
            <w:noWrap/>
            <w:hideMark/>
          </w:tcPr>
          <w:p w14:paraId="35107D52" w14:textId="77777777" w:rsidR="00911F85" w:rsidRPr="00030044" w:rsidRDefault="00911F85" w:rsidP="008742A1">
            <w:pPr>
              <w:pStyle w:val="Tabletext1"/>
              <w:jc w:val="center"/>
            </w:pPr>
            <w:r w:rsidRPr="00030044">
              <w:t>1,380</w:t>
            </w:r>
          </w:p>
        </w:tc>
        <w:tc>
          <w:tcPr>
            <w:tcW w:w="559" w:type="pct"/>
            <w:noWrap/>
          </w:tcPr>
          <w:p w14:paraId="54A48030" w14:textId="77777777" w:rsidR="00911F85" w:rsidRPr="00030044" w:rsidRDefault="00911F85" w:rsidP="008742A1">
            <w:pPr>
              <w:pStyle w:val="Tabletext1"/>
              <w:jc w:val="center"/>
            </w:pPr>
            <w:r w:rsidRPr="002C16E7">
              <w:t>-</w:t>
            </w:r>
          </w:p>
        </w:tc>
        <w:tc>
          <w:tcPr>
            <w:tcW w:w="578" w:type="pct"/>
            <w:noWrap/>
            <w:hideMark/>
          </w:tcPr>
          <w:p w14:paraId="45D6A3A1" w14:textId="77777777" w:rsidR="00911F85" w:rsidRPr="00030044" w:rsidRDefault="00911F85" w:rsidP="008742A1">
            <w:pPr>
              <w:pStyle w:val="Tabletext1"/>
              <w:jc w:val="center"/>
            </w:pPr>
            <w:r w:rsidRPr="00030044">
              <w:t>1,632</w:t>
            </w:r>
          </w:p>
        </w:tc>
      </w:tr>
      <w:tr w:rsidR="00911F85" w:rsidRPr="00EB2111" w14:paraId="6155FE2C" w14:textId="77777777" w:rsidTr="008742A1">
        <w:trPr>
          <w:cantSplit/>
          <w:trHeight w:val="300"/>
        </w:trPr>
        <w:tc>
          <w:tcPr>
            <w:tcW w:w="953" w:type="pct"/>
            <w:noWrap/>
            <w:hideMark/>
          </w:tcPr>
          <w:p w14:paraId="5C78C116" w14:textId="77777777" w:rsidR="00911F85" w:rsidRPr="00EB2111" w:rsidRDefault="00911F85" w:rsidP="008742A1">
            <w:pPr>
              <w:pStyle w:val="Tabletext1"/>
            </w:pPr>
            <w:r w:rsidRPr="00EB2111">
              <w:t>MM</w:t>
            </w:r>
          </w:p>
        </w:tc>
        <w:tc>
          <w:tcPr>
            <w:tcW w:w="582" w:type="pct"/>
            <w:noWrap/>
            <w:hideMark/>
          </w:tcPr>
          <w:p w14:paraId="1F943DE3" w14:textId="77777777" w:rsidR="00911F85" w:rsidRPr="00030044" w:rsidRDefault="00911F85" w:rsidP="008742A1">
            <w:pPr>
              <w:pStyle w:val="Tabletext1"/>
              <w:jc w:val="center"/>
            </w:pPr>
            <w:r w:rsidRPr="00030044">
              <w:t>901</w:t>
            </w:r>
          </w:p>
        </w:tc>
        <w:tc>
          <w:tcPr>
            <w:tcW w:w="582" w:type="pct"/>
            <w:noWrap/>
            <w:hideMark/>
          </w:tcPr>
          <w:p w14:paraId="1516FF97" w14:textId="77777777" w:rsidR="00911F85" w:rsidRPr="00030044" w:rsidRDefault="00911F85" w:rsidP="008742A1">
            <w:pPr>
              <w:pStyle w:val="Tabletext1"/>
              <w:jc w:val="center"/>
            </w:pPr>
            <w:r w:rsidRPr="00030044">
              <w:t>971</w:t>
            </w:r>
          </w:p>
        </w:tc>
        <w:tc>
          <w:tcPr>
            <w:tcW w:w="582" w:type="pct"/>
            <w:noWrap/>
            <w:hideMark/>
          </w:tcPr>
          <w:p w14:paraId="2E57FA54" w14:textId="77777777" w:rsidR="00911F85" w:rsidRPr="00030044" w:rsidRDefault="00911F85" w:rsidP="008742A1">
            <w:pPr>
              <w:pStyle w:val="Tabletext1"/>
              <w:jc w:val="center"/>
            </w:pPr>
            <w:r w:rsidRPr="00030044">
              <w:t>1,012</w:t>
            </w:r>
          </w:p>
        </w:tc>
        <w:tc>
          <w:tcPr>
            <w:tcW w:w="582" w:type="pct"/>
            <w:noWrap/>
            <w:hideMark/>
          </w:tcPr>
          <w:p w14:paraId="002B4462" w14:textId="77777777" w:rsidR="00911F85" w:rsidRPr="00030044" w:rsidRDefault="00911F85" w:rsidP="008742A1">
            <w:pPr>
              <w:pStyle w:val="Tabletext1"/>
              <w:jc w:val="center"/>
            </w:pPr>
            <w:r w:rsidRPr="00030044">
              <w:t>1,100</w:t>
            </w:r>
          </w:p>
        </w:tc>
        <w:tc>
          <w:tcPr>
            <w:tcW w:w="582" w:type="pct"/>
            <w:noWrap/>
            <w:hideMark/>
          </w:tcPr>
          <w:p w14:paraId="16EB0B3E" w14:textId="77777777" w:rsidR="00911F85" w:rsidRPr="00030044" w:rsidRDefault="00911F85" w:rsidP="008742A1">
            <w:pPr>
              <w:pStyle w:val="Tabletext1"/>
              <w:jc w:val="center"/>
            </w:pPr>
            <w:r w:rsidRPr="00030044">
              <w:t>1,177</w:t>
            </w:r>
          </w:p>
        </w:tc>
        <w:tc>
          <w:tcPr>
            <w:tcW w:w="559" w:type="pct"/>
            <w:noWrap/>
          </w:tcPr>
          <w:p w14:paraId="521B005F" w14:textId="77777777" w:rsidR="00911F85" w:rsidRPr="00030044" w:rsidRDefault="00911F85" w:rsidP="008742A1">
            <w:pPr>
              <w:pStyle w:val="Tabletext1"/>
              <w:jc w:val="center"/>
            </w:pPr>
            <w:r w:rsidRPr="002C16E7">
              <w:t>-</w:t>
            </w:r>
          </w:p>
        </w:tc>
        <w:tc>
          <w:tcPr>
            <w:tcW w:w="578" w:type="pct"/>
            <w:noWrap/>
            <w:hideMark/>
          </w:tcPr>
          <w:p w14:paraId="70EA2338" w14:textId="77777777" w:rsidR="00911F85" w:rsidRPr="00030044" w:rsidRDefault="00911F85" w:rsidP="008742A1">
            <w:pPr>
              <w:pStyle w:val="Tabletext1"/>
              <w:jc w:val="center"/>
            </w:pPr>
            <w:r w:rsidRPr="00030044">
              <w:t>1,458</w:t>
            </w:r>
          </w:p>
        </w:tc>
      </w:tr>
      <w:tr w:rsidR="00911F85" w:rsidRPr="00EB2111" w14:paraId="0CA103AE" w14:textId="77777777" w:rsidTr="008742A1">
        <w:trPr>
          <w:cantSplit/>
          <w:trHeight w:val="300"/>
        </w:trPr>
        <w:tc>
          <w:tcPr>
            <w:tcW w:w="953" w:type="pct"/>
            <w:noWrap/>
            <w:hideMark/>
          </w:tcPr>
          <w:p w14:paraId="3B04CE4D" w14:textId="77777777" w:rsidR="00911F85" w:rsidRPr="00EB2111" w:rsidRDefault="00911F85" w:rsidP="008742A1">
            <w:pPr>
              <w:pStyle w:val="Tabletext1"/>
            </w:pPr>
            <w:r w:rsidRPr="00EB2111">
              <w:t>NHL</w:t>
            </w:r>
          </w:p>
        </w:tc>
        <w:tc>
          <w:tcPr>
            <w:tcW w:w="582" w:type="pct"/>
            <w:noWrap/>
          </w:tcPr>
          <w:p w14:paraId="426B4487" w14:textId="77777777" w:rsidR="00911F85" w:rsidRPr="00030044" w:rsidRDefault="00911F85" w:rsidP="008742A1">
            <w:pPr>
              <w:pStyle w:val="Tabletext1"/>
              <w:jc w:val="center"/>
            </w:pPr>
            <w:r>
              <w:t>-</w:t>
            </w:r>
          </w:p>
        </w:tc>
        <w:tc>
          <w:tcPr>
            <w:tcW w:w="582" w:type="pct"/>
            <w:noWrap/>
          </w:tcPr>
          <w:p w14:paraId="2830BFBE" w14:textId="77777777" w:rsidR="00911F85" w:rsidRPr="00030044" w:rsidRDefault="00911F85" w:rsidP="008742A1">
            <w:pPr>
              <w:pStyle w:val="Tabletext1"/>
              <w:jc w:val="center"/>
            </w:pPr>
            <w:r w:rsidRPr="00030044">
              <w:t>940</w:t>
            </w:r>
          </w:p>
        </w:tc>
        <w:tc>
          <w:tcPr>
            <w:tcW w:w="582" w:type="pct"/>
            <w:noWrap/>
          </w:tcPr>
          <w:p w14:paraId="7138A78C" w14:textId="77777777" w:rsidR="00911F85" w:rsidRPr="00030044" w:rsidRDefault="00911F85" w:rsidP="008742A1">
            <w:pPr>
              <w:pStyle w:val="Tabletext1"/>
              <w:jc w:val="center"/>
            </w:pPr>
            <w:r w:rsidRPr="00030044">
              <w:t>1,060</w:t>
            </w:r>
          </w:p>
        </w:tc>
        <w:tc>
          <w:tcPr>
            <w:tcW w:w="582" w:type="pct"/>
            <w:noWrap/>
          </w:tcPr>
          <w:p w14:paraId="2580A9A9" w14:textId="77777777" w:rsidR="00911F85" w:rsidRPr="00030044" w:rsidRDefault="00911F85" w:rsidP="008742A1">
            <w:pPr>
              <w:pStyle w:val="Tabletext1"/>
              <w:jc w:val="center"/>
            </w:pPr>
            <w:r w:rsidRPr="00030044">
              <w:t>1,208</w:t>
            </w:r>
          </w:p>
        </w:tc>
        <w:tc>
          <w:tcPr>
            <w:tcW w:w="582" w:type="pct"/>
            <w:noWrap/>
            <w:hideMark/>
          </w:tcPr>
          <w:p w14:paraId="53F97F5A" w14:textId="77777777" w:rsidR="00911F85" w:rsidRPr="00030044" w:rsidRDefault="00911F85" w:rsidP="008742A1">
            <w:pPr>
              <w:pStyle w:val="Tabletext1"/>
              <w:jc w:val="center"/>
            </w:pPr>
            <w:r w:rsidRPr="00030044">
              <w:t>1,308</w:t>
            </w:r>
          </w:p>
        </w:tc>
        <w:tc>
          <w:tcPr>
            <w:tcW w:w="559" w:type="pct"/>
            <w:noWrap/>
          </w:tcPr>
          <w:p w14:paraId="25977A10" w14:textId="77777777" w:rsidR="00911F85" w:rsidRPr="00030044" w:rsidRDefault="00911F85" w:rsidP="008742A1">
            <w:pPr>
              <w:pStyle w:val="Tabletext1"/>
              <w:jc w:val="center"/>
            </w:pPr>
            <w:r w:rsidRPr="002C16E7">
              <w:t>-</w:t>
            </w:r>
          </w:p>
        </w:tc>
        <w:tc>
          <w:tcPr>
            <w:tcW w:w="578" w:type="pct"/>
            <w:noWrap/>
            <w:hideMark/>
          </w:tcPr>
          <w:p w14:paraId="3F326D89" w14:textId="77777777" w:rsidR="00911F85" w:rsidRPr="00030044" w:rsidRDefault="00911F85" w:rsidP="008742A1">
            <w:pPr>
              <w:pStyle w:val="Tabletext1"/>
              <w:jc w:val="center"/>
            </w:pPr>
            <w:r w:rsidRPr="00030044">
              <w:t>1,651</w:t>
            </w:r>
          </w:p>
        </w:tc>
      </w:tr>
      <w:tr w:rsidR="00911F85" w:rsidRPr="00EB2111" w14:paraId="32A9CC28" w14:textId="77777777" w:rsidTr="008742A1">
        <w:trPr>
          <w:cantSplit/>
          <w:trHeight w:val="300"/>
        </w:trPr>
        <w:tc>
          <w:tcPr>
            <w:tcW w:w="953" w:type="pct"/>
            <w:noWrap/>
            <w:hideMark/>
          </w:tcPr>
          <w:p w14:paraId="1816D4B3" w14:textId="77777777" w:rsidR="00911F85" w:rsidRPr="00EB2111" w:rsidRDefault="00911F85" w:rsidP="008742A1">
            <w:pPr>
              <w:pStyle w:val="Tabletext1"/>
            </w:pPr>
            <w:r w:rsidRPr="00EB2111">
              <w:t>Post HSCT</w:t>
            </w:r>
          </w:p>
        </w:tc>
        <w:tc>
          <w:tcPr>
            <w:tcW w:w="582" w:type="pct"/>
            <w:noWrap/>
          </w:tcPr>
          <w:p w14:paraId="3EEA8A21" w14:textId="77777777" w:rsidR="00911F85" w:rsidRPr="00030044" w:rsidRDefault="00911F85" w:rsidP="008742A1">
            <w:pPr>
              <w:pStyle w:val="Tabletext1"/>
              <w:jc w:val="center"/>
            </w:pPr>
            <w:r w:rsidRPr="00355C4A">
              <w:t>-</w:t>
            </w:r>
          </w:p>
        </w:tc>
        <w:tc>
          <w:tcPr>
            <w:tcW w:w="582" w:type="pct"/>
            <w:noWrap/>
          </w:tcPr>
          <w:p w14:paraId="46C1E92F" w14:textId="77777777" w:rsidR="00911F85" w:rsidRPr="00030044" w:rsidRDefault="00911F85" w:rsidP="008742A1">
            <w:pPr>
              <w:pStyle w:val="Tabletext1"/>
              <w:jc w:val="center"/>
            </w:pPr>
            <w:r w:rsidRPr="007D0058">
              <w:t>-</w:t>
            </w:r>
          </w:p>
        </w:tc>
        <w:tc>
          <w:tcPr>
            <w:tcW w:w="582" w:type="pct"/>
            <w:noWrap/>
          </w:tcPr>
          <w:p w14:paraId="181B77B5" w14:textId="77777777" w:rsidR="00911F85" w:rsidRPr="00030044" w:rsidRDefault="00911F85" w:rsidP="008742A1">
            <w:pPr>
              <w:pStyle w:val="Tabletext1"/>
              <w:jc w:val="center"/>
            </w:pPr>
            <w:r w:rsidRPr="007D0058">
              <w:t>-</w:t>
            </w:r>
          </w:p>
        </w:tc>
        <w:tc>
          <w:tcPr>
            <w:tcW w:w="582" w:type="pct"/>
            <w:noWrap/>
          </w:tcPr>
          <w:p w14:paraId="70CC271A" w14:textId="77777777" w:rsidR="00911F85" w:rsidRPr="00030044" w:rsidRDefault="00911F85" w:rsidP="008742A1">
            <w:pPr>
              <w:pStyle w:val="Tabletext1"/>
              <w:jc w:val="center"/>
            </w:pPr>
            <w:r w:rsidRPr="00030044">
              <w:t>307</w:t>
            </w:r>
          </w:p>
        </w:tc>
        <w:tc>
          <w:tcPr>
            <w:tcW w:w="582" w:type="pct"/>
            <w:noWrap/>
            <w:hideMark/>
          </w:tcPr>
          <w:p w14:paraId="6305142B" w14:textId="77777777" w:rsidR="00911F85" w:rsidRPr="00030044" w:rsidRDefault="00911F85" w:rsidP="008742A1">
            <w:pPr>
              <w:pStyle w:val="Tabletext1"/>
              <w:jc w:val="center"/>
            </w:pPr>
            <w:r w:rsidRPr="00030044">
              <w:t>345</w:t>
            </w:r>
          </w:p>
        </w:tc>
        <w:tc>
          <w:tcPr>
            <w:tcW w:w="559" w:type="pct"/>
            <w:noWrap/>
          </w:tcPr>
          <w:p w14:paraId="54E39C0C" w14:textId="77777777" w:rsidR="00911F85" w:rsidRPr="00030044" w:rsidRDefault="00911F85" w:rsidP="008742A1">
            <w:pPr>
              <w:pStyle w:val="Tabletext1"/>
              <w:jc w:val="center"/>
            </w:pPr>
            <w:r w:rsidRPr="002C16E7">
              <w:t>-</w:t>
            </w:r>
          </w:p>
        </w:tc>
        <w:tc>
          <w:tcPr>
            <w:tcW w:w="578" w:type="pct"/>
            <w:noWrap/>
            <w:hideMark/>
          </w:tcPr>
          <w:p w14:paraId="3AE65DD0" w14:textId="77777777" w:rsidR="00911F85" w:rsidRPr="00030044" w:rsidRDefault="00911F85" w:rsidP="008742A1">
            <w:pPr>
              <w:pStyle w:val="Tabletext1"/>
              <w:jc w:val="center"/>
            </w:pPr>
            <w:r w:rsidRPr="00030044">
              <w:t>443</w:t>
            </w:r>
          </w:p>
        </w:tc>
      </w:tr>
      <w:tr w:rsidR="00911F85" w:rsidRPr="00EB2111" w14:paraId="12C99879" w14:textId="77777777" w:rsidTr="008742A1">
        <w:trPr>
          <w:cantSplit/>
          <w:trHeight w:val="300"/>
        </w:trPr>
        <w:tc>
          <w:tcPr>
            <w:tcW w:w="953" w:type="pct"/>
            <w:noWrap/>
            <w:hideMark/>
          </w:tcPr>
          <w:p w14:paraId="3709DAF8" w14:textId="77777777" w:rsidR="00911F85" w:rsidRPr="00EB2111" w:rsidRDefault="00911F85" w:rsidP="008742A1">
            <w:pPr>
              <w:pStyle w:val="Tabletext1"/>
            </w:pPr>
            <w:r w:rsidRPr="00EB2111">
              <w:t>Other</w:t>
            </w:r>
            <w:r>
              <w:t xml:space="preserve"> HM</w:t>
            </w:r>
          </w:p>
        </w:tc>
        <w:tc>
          <w:tcPr>
            <w:tcW w:w="582" w:type="pct"/>
            <w:noWrap/>
          </w:tcPr>
          <w:p w14:paraId="10223E07" w14:textId="77777777" w:rsidR="00911F85" w:rsidRPr="00030044" w:rsidRDefault="00911F85" w:rsidP="008742A1">
            <w:pPr>
              <w:pStyle w:val="Tabletext1"/>
              <w:jc w:val="center"/>
            </w:pPr>
            <w:r w:rsidRPr="00355C4A">
              <w:t>-</w:t>
            </w:r>
          </w:p>
        </w:tc>
        <w:tc>
          <w:tcPr>
            <w:tcW w:w="582" w:type="pct"/>
            <w:noWrap/>
          </w:tcPr>
          <w:p w14:paraId="0CB25588" w14:textId="77777777" w:rsidR="00911F85" w:rsidRPr="00030044" w:rsidRDefault="00911F85" w:rsidP="008742A1">
            <w:pPr>
              <w:pStyle w:val="Tabletext1"/>
              <w:jc w:val="center"/>
            </w:pPr>
            <w:r w:rsidRPr="00030044">
              <w:t>510</w:t>
            </w:r>
          </w:p>
        </w:tc>
        <w:tc>
          <w:tcPr>
            <w:tcW w:w="582" w:type="pct"/>
            <w:noWrap/>
          </w:tcPr>
          <w:p w14:paraId="308804B8" w14:textId="77777777" w:rsidR="00911F85" w:rsidRPr="00030044" w:rsidRDefault="00911F85" w:rsidP="008742A1">
            <w:pPr>
              <w:pStyle w:val="Tabletext1"/>
              <w:jc w:val="center"/>
            </w:pPr>
            <w:r w:rsidRPr="00030044">
              <w:t>448</w:t>
            </w:r>
          </w:p>
        </w:tc>
        <w:tc>
          <w:tcPr>
            <w:tcW w:w="582" w:type="pct"/>
            <w:noWrap/>
          </w:tcPr>
          <w:p w14:paraId="6D29D72A" w14:textId="77777777" w:rsidR="00911F85" w:rsidRPr="00030044" w:rsidRDefault="00911F85" w:rsidP="008742A1">
            <w:pPr>
              <w:pStyle w:val="Tabletext1"/>
              <w:jc w:val="center"/>
            </w:pPr>
            <w:r w:rsidRPr="00030044">
              <w:t>428</w:t>
            </w:r>
          </w:p>
        </w:tc>
        <w:tc>
          <w:tcPr>
            <w:tcW w:w="582" w:type="pct"/>
            <w:noWrap/>
            <w:hideMark/>
          </w:tcPr>
          <w:p w14:paraId="79305BAB" w14:textId="77777777" w:rsidR="00911F85" w:rsidRPr="00030044" w:rsidRDefault="00911F85" w:rsidP="008742A1">
            <w:pPr>
              <w:pStyle w:val="Tabletext1"/>
              <w:jc w:val="center"/>
            </w:pPr>
            <w:r w:rsidRPr="00030044">
              <w:t>574</w:t>
            </w:r>
          </w:p>
        </w:tc>
        <w:tc>
          <w:tcPr>
            <w:tcW w:w="559" w:type="pct"/>
            <w:noWrap/>
          </w:tcPr>
          <w:p w14:paraId="4F39A13C" w14:textId="77777777" w:rsidR="00911F85" w:rsidRPr="00030044" w:rsidRDefault="00911F85" w:rsidP="008742A1">
            <w:pPr>
              <w:pStyle w:val="Tabletext1"/>
              <w:jc w:val="center"/>
            </w:pPr>
            <w:r w:rsidRPr="002C16E7">
              <w:t>-</w:t>
            </w:r>
          </w:p>
        </w:tc>
        <w:tc>
          <w:tcPr>
            <w:tcW w:w="578" w:type="pct"/>
            <w:noWrap/>
            <w:hideMark/>
          </w:tcPr>
          <w:p w14:paraId="70EB6D36" w14:textId="77777777" w:rsidR="00911F85" w:rsidRPr="00030044" w:rsidRDefault="00911F85" w:rsidP="008742A1">
            <w:pPr>
              <w:pStyle w:val="Tabletext1"/>
              <w:jc w:val="center"/>
            </w:pPr>
            <w:r w:rsidRPr="00030044">
              <w:t>625</w:t>
            </w:r>
          </w:p>
        </w:tc>
      </w:tr>
    </w:tbl>
    <w:p w14:paraId="5AEB0424" w14:textId="77777777" w:rsidR="00911F85" w:rsidRDefault="00911F85" w:rsidP="00911F85">
      <w:pPr>
        <w:pStyle w:val="Tablenotes1"/>
      </w:pPr>
      <w:r>
        <w:t>CLL = chronic lymphocytic lymphoma; HM = haematological malignancies; HSCT = haemopoietic stem cell transplantation; Ig = immunoglobulin; MM = multiple myeloma; NHL = non-Hodgkin’s lymphoma.</w:t>
      </w:r>
    </w:p>
    <w:p w14:paraId="050ABD09" w14:textId="5C8200C6" w:rsidR="00911F85" w:rsidRDefault="00911F85" w:rsidP="00911F85">
      <w:pPr>
        <w:pStyle w:val="Tablenotes1"/>
      </w:pPr>
      <w:r>
        <w:t xml:space="preserve">Source: </w:t>
      </w:r>
      <w:r w:rsidRPr="00D82D8A">
        <w:t xml:space="preserve">NBA </w:t>
      </w:r>
      <w:r>
        <w:fldChar w:fldCharType="begin"/>
      </w:r>
      <w:r>
        <w:instrText xml:space="preserve"> ADDIN EN.CITE &lt;EndNote&gt;&lt;Cite ExcludeAuth="1"&gt;&lt;Author&gt;National Blood Authority [NBA]&lt;/Author&gt;&lt;Year&gt;2019&lt;/Year&gt;&lt;RecNum&gt;108&lt;/RecNum&gt;&lt;DisplayText&gt;(2019a)&lt;/DisplayText&gt;&lt;record&gt;&lt;rec-number&gt;108&lt;/rec-number&gt;&lt;foreign-keys&gt;&lt;key app="EN" db-id="z0vwsepdwpt20pewwts5z9eup9e2r2pd2tad" timestamp="1563421468"&gt;108&lt;/key&gt;&lt;/foreign-keys&gt;&lt;ref-type name="Web Page"&gt;12&lt;/ref-type&gt;&lt;contributors&gt;&lt;authors&gt;&lt;author&gt;National Blood Authority [NBA],&lt;/author&gt;&lt;/authors&gt;&lt;/contributors&gt;&lt;titles&gt;&lt;title&gt;Data Analysis and Reporting&lt;/title&gt;&lt;/titles&gt;&lt;dates&gt;&lt;year&gt;2019&lt;/year&gt;&lt;/dates&gt;&lt;pub-location&gt;Canberra&lt;/pub-location&gt;&lt;publisher&gt;National Blood Authority &lt;/publisher&gt;&lt;urls&gt;&lt;related-urls&gt;&lt;url&gt;https://www.blood.gov.au/data-analysis-reporting&lt;/url&gt;&lt;/related-urls&gt;&lt;/urls&gt;&lt;/record&gt;&lt;/Cite&gt;&lt;/EndNote&gt;</w:instrText>
      </w:r>
      <w:r>
        <w:fldChar w:fldCharType="separate"/>
      </w:r>
      <w:r>
        <w:rPr>
          <w:noProof/>
        </w:rPr>
        <w:t>(</w:t>
      </w:r>
      <w:hyperlink w:anchor="_ENREF_34" w:tooltip="National Blood Authority [NBA], 2019 #108" w:history="1">
        <w:r w:rsidR="00BB0145">
          <w:rPr>
            <w:noProof/>
          </w:rPr>
          <w:t>2019a</w:t>
        </w:r>
      </w:hyperlink>
      <w:r>
        <w:rPr>
          <w:noProof/>
        </w:rPr>
        <w:t>)</w:t>
      </w:r>
      <w:r>
        <w:fldChar w:fldCharType="end"/>
      </w:r>
      <w:r>
        <w:t xml:space="preserve"> </w:t>
      </w:r>
      <w:r w:rsidRPr="00D82D8A">
        <w:t>National Reports on the issue and use of immunoglobulin (Ig), 2012-13, 2013-14, 20114-15 and 2015-1</w:t>
      </w:r>
      <w:r>
        <w:t>6</w:t>
      </w:r>
      <w:r w:rsidRPr="00D82D8A">
        <w:t xml:space="preserve"> and the 'HTA Data April2019.xlsx' workbook provided by the </w:t>
      </w:r>
      <w:r w:rsidR="00D51F34">
        <w:t>NBA</w:t>
      </w:r>
      <w:r>
        <w:t>.</w:t>
      </w:r>
    </w:p>
    <w:p w14:paraId="0802C196" w14:textId="7035C352" w:rsidR="00911F85" w:rsidRDefault="00911F85" w:rsidP="00911F85">
      <w:pPr>
        <w:pStyle w:val="Caption"/>
        <w:keepNext/>
      </w:pPr>
      <w:bookmarkStart w:id="605" w:name="_Ref12448325"/>
      <w:bookmarkStart w:id="606" w:name="_Toc14348899"/>
      <w:bookmarkStart w:id="607" w:name="_Toc14429605"/>
      <w:bookmarkStart w:id="608" w:name="_Toc16671663"/>
      <w:bookmarkEnd w:id="599"/>
      <w:bookmarkEnd w:id="600"/>
      <w:r>
        <w:lastRenderedPageBreak/>
        <w:t xml:space="preserve">Table </w:t>
      </w:r>
      <w:r>
        <w:rPr>
          <w:noProof/>
        </w:rPr>
        <w:fldChar w:fldCharType="begin"/>
      </w:r>
      <w:r>
        <w:rPr>
          <w:noProof/>
        </w:rPr>
        <w:instrText xml:space="preserve"> SEQ Table \* ARABIC </w:instrText>
      </w:r>
      <w:r>
        <w:rPr>
          <w:noProof/>
        </w:rPr>
        <w:fldChar w:fldCharType="separate"/>
      </w:r>
      <w:r w:rsidR="00A7463B">
        <w:rPr>
          <w:noProof/>
        </w:rPr>
        <w:t>65</w:t>
      </w:r>
      <w:r>
        <w:rPr>
          <w:noProof/>
        </w:rPr>
        <w:fldChar w:fldCharType="end"/>
      </w:r>
      <w:bookmarkEnd w:id="605"/>
      <w:r>
        <w:tab/>
        <w:t>Ig grams issued by indication, 2011-12 to 2017-18</w:t>
      </w:r>
      <w:bookmarkEnd w:id="606"/>
      <w:bookmarkEnd w:id="607"/>
      <w:bookmarkEnd w:id="608"/>
    </w:p>
    <w:tbl>
      <w:tblPr>
        <w:tblStyle w:val="TableGrid1"/>
        <w:tblW w:w="5000" w:type="pct"/>
        <w:tblLook w:val="04A0" w:firstRow="1" w:lastRow="0" w:firstColumn="1" w:lastColumn="0" w:noHBand="0" w:noVBand="1"/>
        <w:tblCaption w:val="Ig grams issued by indication, 2011-12 to 2017-18"/>
      </w:tblPr>
      <w:tblGrid>
        <w:gridCol w:w="1761"/>
        <w:gridCol w:w="1076"/>
        <w:gridCol w:w="1076"/>
        <w:gridCol w:w="1076"/>
        <w:gridCol w:w="1076"/>
        <w:gridCol w:w="1076"/>
        <w:gridCol w:w="1033"/>
        <w:gridCol w:w="1068"/>
      </w:tblGrid>
      <w:tr w:rsidR="00911F85" w:rsidRPr="00EB2111" w14:paraId="758C6E34" w14:textId="77777777" w:rsidTr="002E6399">
        <w:trPr>
          <w:cnfStyle w:val="100000000000" w:firstRow="1" w:lastRow="0" w:firstColumn="0" w:lastColumn="0" w:oddVBand="0" w:evenVBand="0" w:oddHBand="0" w:evenHBand="0" w:firstRowFirstColumn="0" w:firstRowLastColumn="0" w:lastRowFirstColumn="0" w:lastRowLastColumn="0"/>
          <w:cantSplit/>
          <w:trHeight w:val="300"/>
          <w:tblHeader/>
        </w:trPr>
        <w:tc>
          <w:tcPr>
            <w:tcW w:w="953" w:type="pct"/>
            <w:noWrap/>
            <w:hideMark/>
          </w:tcPr>
          <w:p w14:paraId="6CC95D9F" w14:textId="77777777" w:rsidR="00911F85" w:rsidRPr="00EB2111" w:rsidRDefault="00911F85" w:rsidP="008742A1">
            <w:pPr>
              <w:pStyle w:val="TableHeading"/>
            </w:pPr>
          </w:p>
        </w:tc>
        <w:tc>
          <w:tcPr>
            <w:tcW w:w="582" w:type="pct"/>
            <w:noWrap/>
            <w:hideMark/>
          </w:tcPr>
          <w:p w14:paraId="04199D91" w14:textId="77777777" w:rsidR="00911F85" w:rsidRPr="00EB2111" w:rsidRDefault="00911F85" w:rsidP="008742A1">
            <w:pPr>
              <w:pStyle w:val="TableHeading"/>
              <w:jc w:val="center"/>
              <w:rPr>
                <w:rFonts w:cs="Calibri"/>
                <w:color w:val="000000"/>
              </w:rPr>
            </w:pPr>
            <w:r w:rsidRPr="00EB2111">
              <w:rPr>
                <w:rFonts w:cs="Calibri"/>
                <w:color w:val="000000"/>
              </w:rPr>
              <w:t>2011-12</w:t>
            </w:r>
          </w:p>
        </w:tc>
        <w:tc>
          <w:tcPr>
            <w:tcW w:w="582" w:type="pct"/>
            <w:noWrap/>
            <w:hideMark/>
          </w:tcPr>
          <w:p w14:paraId="65BE8071" w14:textId="77777777" w:rsidR="00911F85" w:rsidRPr="00EB2111" w:rsidRDefault="00911F85" w:rsidP="008742A1">
            <w:pPr>
              <w:pStyle w:val="TableHeading"/>
              <w:jc w:val="center"/>
              <w:rPr>
                <w:rFonts w:cs="Calibri"/>
                <w:color w:val="000000"/>
              </w:rPr>
            </w:pPr>
            <w:r w:rsidRPr="00EB2111">
              <w:rPr>
                <w:rFonts w:cs="Calibri"/>
                <w:color w:val="000000"/>
              </w:rPr>
              <w:t>2012-13</w:t>
            </w:r>
          </w:p>
        </w:tc>
        <w:tc>
          <w:tcPr>
            <w:tcW w:w="582" w:type="pct"/>
            <w:noWrap/>
            <w:hideMark/>
          </w:tcPr>
          <w:p w14:paraId="585254CD" w14:textId="77777777" w:rsidR="00911F85" w:rsidRPr="00EB2111" w:rsidRDefault="00911F85" w:rsidP="008742A1">
            <w:pPr>
              <w:pStyle w:val="TableHeading"/>
              <w:jc w:val="center"/>
              <w:rPr>
                <w:rFonts w:cs="Calibri"/>
                <w:color w:val="000000"/>
              </w:rPr>
            </w:pPr>
            <w:r w:rsidRPr="00EB2111">
              <w:rPr>
                <w:rFonts w:cs="Calibri"/>
                <w:color w:val="000000"/>
              </w:rPr>
              <w:t>2013-14</w:t>
            </w:r>
          </w:p>
        </w:tc>
        <w:tc>
          <w:tcPr>
            <w:tcW w:w="582" w:type="pct"/>
            <w:noWrap/>
            <w:hideMark/>
          </w:tcPr>
          <w:p w14:paraId="698C2FEF" w14:textId="77777777" w:rsidR="00911F85" w:rsidRPr="00EB2111" w:rsidRDefault="00911F85" w:rsidP="008742A1">
            <w:pPr>
              <w:pStyle w:val="TableHeading"/>
              <w:jc w:val="center"/>
              <w:rPr>
                <w:rFonts w:cs="Calibri"/>
                <w:color w:val="000000"/>
              </w:rPr>
            </w:pPr>
            <w:r w:rsidRPr="00EB2111">
              <w:rPr>
                <w:rFonts w:cs="Calibri"/>
                <w:color w:val="000000"/>
              </w:rPr>
              <w:t>2014-15</w:t>
            </w:r>
          </w:p>
        </w:tc>
        <w:tc>
          <w:tcPr>
            <w:tcW w:w="582" w:type="pct"/>
            <w:noWrap/>
            <w:hideMark/>
          </w:tcPr>
          <w:p w14:paraId="4217E081" w14:textId="77777777" w:rsidR="00911F85" w:rsidRPr="00EB2111" w:rsidRDefault="00911F85" w:rsidP="008742A1">
            <w:pPr>
              <w:pStyle w:val="TableHeading"/>
              <w:jc w:val="center"/>
              <w:rPr>
                <w:rFonts w:cs="Calibri"/>
                <w:color w:val="000000"/>
              </w:rPr>
            </w:pPr>
            <w:r w:rsidRPr="00EB2111">
              <w:rPr>
                <w:rFonts w:cs="Calibri"/>
                <w:color w:val="000000"/>
              </w:rPr>
              <w:t>2015-16</w:t>
            </w:r>
          </w:p>
        </w:tc>
        <w:tc>
          <w:tcPr>
            <w:tcW w:w="559" w:type="pct"/>
            <w:noWrap/>
            <w:hideMark/>
          </w:tcPr>
          <w:p w14:paraId="290C984B" w14:textId="77777777" w:rsidR="00911F85" w:rsidRPr="00EB2111" w:rsidRDefault="00911F85" w:rsidP="008742A1">
            <w:pPr>
              <w:pStyle w:val="TableHeading"/>
              <w:jc w:val="center"/>
              <w:rPr>
                <w:rFonts w:cs="Calibri"/>
                <w:color w:val="000000"/>
              </w:rPr>
            </w:pPr>
            <w:r w:rsidRPr="00EB2111">
              <w:rPr>
                <w:rFonts w:cs="Calibri"/>
                <w:color w:val="000000"/>
              </w:rPr>
              <w:t>2016-17</w:t>
            </w:r>
          </w:p>
        </w:tc>
        <w:tc>
          <w:tcPr>
            <w:tcW w:w="578" w:type="pct"/>
            <w:noWrap/>
            <w:hideMark/>
          </w:tcPr>
          <w:p w14:paraId="633B5082" w14:textId="77777777" w:rsidR="00911F85" w:rsidRPr="00EB2111" w:rsidRDefault="00911F85" w:rsidP="008742A1">
            <w:pPr>
              <w:pStyle w:val="TableHeading"/>
              <w:jc w:val="center"/>
              <w:rPr>
                <w:rFonts w:cs="Calibri"/>
                <w:color w:val="000000"/>
              </w:rPr>
            </w:pPr>
            <w:r w:rsidRPr="00EB2111">
              <w:rPr>
                <w:rFonts w:cs="Calibri"/>
                <w:color w:val="000000"/>
              </w:rPr>
              <w:t>2017-18</w:t>
            </w:r>
          </w:p>
        </w:tc>
      </w:tr>
      <w:tr w:rsidR="002E6399" w:rsidRPr="00EB2111" w14:paraId="7DD55F8C" w14:textId="77777777" w:rsidTr="002E6399">
        <w:trPr>
          <w:cantSplit/>
          <w:trHeight w:val="300"/>
        </w:trPr>
        <w:tc>
          <w:tcPr>
            <w:tcW w:w="953" w:type="pct"/>
            <w:noWrap/>
            <w:hideMark/>
          </w:tcPr>
          <w:p w14:paraId="276CBF12" w14:textId="77777777" w:rsidR="002E6399" w:rsidRPr="00EB2111" w:rsidRDefault="002E6399" w:rsidP="002E6399">
            <w:pPr>
              <w:pStyle w:val="Tabletext1"/>
            </w:pPr>
            <w:r w:rsidRPr="00EB2111">
              <w:t>CLL</w:t>
            </w:r>
          </w:p>
        </w:tc>
        <w:tc>
          <w:tcPr>
            <w:tcW w:w="582" w:type="pct"/>
            <w:noWrap/>
          </w:tcPr>
          <w:p w14:paraId="11EAEAE3" w14:textId="77777777" w:rsidR="002E6399" w:rsidRPr="00EB2111" w:rsidRDefault="002E6399" w:rsidP="002E6399">
            <w:pPr>
              <w:pStyle w:val="Tabletext1"/>
              <w:jc w:val="center"/>
            </w:pPr>
            <w:r>
              <w:t>-</w:t>
            </w:r>
          </w:p>
        </w:tc>
        <w:tc>
          <w:tcPr>
            <w:tcW w:w="582" w:type="pct"/>
            <w:noWrap/>
          </w:tcPr>
          <w:p w14:paraId="7C41B5AB" w14:textId="77777777" w:rsidR="002E6399" w:rsidRPr="00EB2111" w:rsidRDefault="002E6399" w:rsidP="002E6399">
            <w:pPr>
              <w:pStyle w:val="Tabletext1"/>
              <w:jc w:val="center"/>
            </w:pPr>
            <w:r>
              <w:t>253,763</w:t>
            </w:r>
          </w:p>
        </w:tc>
        <w:tc>
          <w:tcPr>
            <w:tcW w:w="582" w:type="pct"/>
            <w:noWrap/>
          </w:tcPr>
          <w:p w14:paraId="7FE34B97" w14:textId="77777777" w:rsidR="002E6399" w:rsidRPr="00EB2111" w:rsidRDefault="002E6399" w:rsidP="002E6399">
            <w:pPr>
              <w:pStyle w:val="Tabletext1"/>
              <w:jc w:val="center"/>
            </w:pPr>
            <w:r>
              <w:t>280,076</w:t>
            </w:r>
          </w:p>
        </w:tc>
        <w:tc>
          <w:tcPr>
            <w:tcW w:w="582" w:type="pct"/>
            <w:noWrap/>
          </w:tcPr>
          <w:p w14:paraId="4DD7E467" w14:textId="77777777" w:rsidR="002E6399" w:rsidRPr="00EB2111" w:rsidRDefault="002E6399" w:rsidP="002E6399">
            <w:pPr>
              <w:pStyle w:val="Tabletext1"/>
              <w:jc w:val="center"/>
            </w:pPr>
            <w:r>
              <w:t>315,205</w:t>
            </w:r>
          </w:p>
        </w:tc>
        <w:tc>
          <w:tcPr>
            <w:tcW w:w="582" w:type="pct"/>
            <w:noWrap/>
          </w:tcPr>
          <w:p w14:paraId="6E6229B1" w14:textId="77777777" w:rsidR="002E6399" w:rsidRPr="00EB2111" w:rsidRDefault="002E6399" w:rsidP="002E6399">
            <w:pPr>
              <w:pStyle w:val="Tabletext1"/>
              <w:jc w:val="center"/>
            </w:pPr>
            <w:r>
              <w:t>350,066</w:t>
            </w:r>
          </w:p>
        </w:tc>
        <w:tc>
          <w:tcPr>
            <w:tcW w:w="559" w:type="pct"/>
            <w:noWrap/>
          </w:tcPr>
          <w:p w14:paraId="46E6692E" w14:textId="4BD3DE8A" w:rsidR="002E6399" w:rsidRPr="00EB2111" w:rsidRDefault="002E6399" w:rsidP="002E6399">
            <w:pPr>
              <w:pStyle w:val="Tabletext1"/>
              <w:jc w:val="center"/>
            </w:pPr>
          </w:p>
        </w:tc>
        <w:tc>
          <w:tcPr>
            <w:tcW w:w="578" w:type="pct"/>
            <w:noWrap/>
            <w:hideMark/>
          </w:tcPr>
          <w:p w14:paraId="105DE98C" w14:textId="77777777" w:rsidR="002E6399" w:rsidRDefault="002E6399" w:rsidP="002E6399">
            <w:pPr>
              <w:pStyle w:val="Tabletext1"/>
              <w:jc w:val="center"/>
            </w:pPr>
            <w:r w:rsidRPr="00561F36">
              <w:t>435,193</w:t>
            </w:r>
          </w:p>
        </w:tc>
      </w:tr>
      <w:tr w:rsidR="002E6399" w:rsidRPr="00EB2111" w14:paraId="22590471" w14:textId="77777777" w:rsidTr="002E6399">
        <w:trPr>
          <w:cantSplit/>
          <w:trHeight w:val="300"/>
        </w:trPr>
        <w:tc>
          <w:tcPr>
            <w:tcW w:w="953" w:type="pct"/>
            <w:noWrap/>
            <w:hideMark/>
          </w:tcPr>
          <w:p w14:paraId="7DBF66D5" w14:textId="77777777" w:rsidR="002E6399" w:rsidRPr="00EB2111" w:rsidRDefault="002E6399" w:rsidP="002E6399">
            <w:pPr>
              <w:pStyle w:val="Tabletext1"/>
            </w:pPr>
            <w:r w:rsidRPr="00EB2111">
              <w:t>MM</w:t>
            </w:r>
          </w:p>
        </w:tc>
        <w:tc>
          <w:tcPr>
            <w:tcW w:w="582" w:type="pct"/>
            <w:noWrap/>
          </w:tcPr>
          <w:p w14:paraId="32D8E5A7" w14:textId="77777777" w:rsidR="002E6399" w:rsidRPr="00EB2111" w:rsidRDefault="002E6399" w:rsidP="002E6399">
            <w:pPr>
              <w:pStyle w:val="Tabletext1"/>
              <w:jc w:val="center"/>
            </w:pPr>
            <w:r>
              <w:t>-</w:t>
            </w:r>
          </w:p>
        </w:tc>
        <w:tc>
          <w:tcPr>
            <w:tcW w:w="582" w:type="pct"/>
            <w:noWrap/>
          </w:tcPr>
          <w:p w14:paraId="45EEFD47" w14:textId="77777777" w:rsidR="002E6399" w:rsidRPr="00EB2111" w:rsidRDefault="002E6399" w:rsidP="002E6399">
            <w:pPr>
              <w:pStyle w:val="Tabletext1"/>
              <w:jc w:val="center"/>
            </w:pPr>
            <w:r>
              <w:t>208,997</w:t>
            </w:r>
          </w:p>
        </w:tc>
        <w:tc>
          <w:tcPr>
            <w:tcW w:w="582" w:type="pct"/>
            <w:noWrap/>
          </w:tcPr>
          <w:p w14:paraId="7C775CD0" w14:textId="77777777" w:rsidR="002E6399" w:rsidRPr="00EB2111" w:rsidRDefault="002E6399" w:rsidP="002E6399">
            <w:pPr>
              <w:pStyle w:val="Tabletext1"/>
              <w:jc w:val="center"/>
            </w:pPr>
            <w:r>
              <w:t>229,303</w:t>
            </w:r>
          </w:p>
        </w:tc>
        <w:tc>
          <w:tcPr>
            <w:tcW w:w="582" w:type="pct"/>
            <w:noWrap/>
          </w:tcPr>
          <w:p w14:paraId="0A309778" w14:textId="77777777" w:rsidR="002E6399" w:rsidRPr="00EB2111" w:rsidRDefault="002E6399" w:rsidP="002E6399">
            <w:pPr>
              <w:pStyle w:val="Tabletext1"/>
              <w:jc w:val="center"/>
            </w:pPr>
            <w:r>
              <w:t>255,962</w:t>
            </w:r>
          </w:p>
        </w:tc>
        <w:tc>
          <w:tcPr>
            <w:tcW w:w="582" w:type="pct"/>
            <w:noWrap/>
          </w:tcPr>
          <w:p w14:paraId="052F8C79" w14:textId="77777777" w:rsidR="002E6399" w:rsidRPr="00EB2111" w:rsidRDefault="002E6399" w:rsidP="002E6399">
            <w:pPr>
              <w:pStyle w:val="Tabletext1"/>
              <w:jc w:val="center"/>
            </w:pPr>
            <w:r>
              <w:t>275,685</w:t>
            </w:r>
          </w:p>
        </w:tc>
        <w:tc>
          <w:tcPr>
            <w:tcW w:w="559" w:type="pct"/>
            <w:noWrap/>
          </w:tcPr>
          <w:p w14:paraId="0C2CA213" w14:textId="1A0D3F95" w:rsidR="002E6399" w:rsidRPr="00EB2111" w:rsidRDefault="002E6399" w:rsidP="002E6399">
            <w:pPr>
              <w:pStyle w:val="Tabletext1"/>
              <w:jc w:val="center"/>
            </w:pPr>
          </w:p>
        </w:tc>
        <w:tc>
          <w:tcPr>
            <w:tcW w:w="578" w:type="pct"/>
            <w:noWrap/>
            <w:hideMark/>
          </w:tcPr>
          <w:p w14:paraId="27527B82" w14:textId="77777777" w:rsidR="002E6399" w:rsidRDefault="002E6399" w:rsidP="002E6399">
            <w:pPr>
              <w:pStyle w:val="Tabletext1"/>
              <w:jc w:val="center"/>
            </w:pPr>
            <w:r w:rsidRPr="00561F36">
              <w:t>354,158</w:t>
            </w:r>
          </w:p>
        </w:tc>
      </w:tr>
      <w:tr w:rsidR="002E6399" w:rsidRPr="00EB2111" w14:paraId="03C5675C" w14:textId="77777777" w:rsidTr="002E6399">
        <w:trPr>
          <w:cantSplit/>
          <w:trHeight w:val="300"/>
        </w:trPr>
        <w:tc>
          <w:tcPr>
            <w:tcW w:w="953" w:type="pct"/>
            <w:noWrap/>
            <w:hideMark/>
          </w:tcPr>
          <w:p w14:paraId="4C0C3133" w14:textId="77777777" w:rsidR="002E6399" w:rsidRPr="00EB2111" w:rsidRDefault="002E6399" w:rsidP="002E6399">
            <w:pPr>
              <w:pStyle w:val="Tabletext1"/>
            </w:pPr>
            <w:r w:rsidRPr="00EB2111">
              <w:t>NHL</w:t>
            </w:r>
          </w:p>
        </w:tc>
        <w:tc>
          <w:tcPr>
            <w:tcW w:w="582" w:type="pct"/>
            <w:noWrap/>
          </w:tcPr>
          <w:p w14:paraId="0AC85CAE" w14:textId="77777777" w:rsidR="002E6399" w:rsidRPr="00EB2111" w:rsidRDefault="002E6399" w:rsidP="002E6399">
            <w:pPr>
              <w:pStyle w:val="Tabletext1"/>
              <w:jc w:val="center"/>
            </w:pPr>
            <w:r>
              <w:t>-</w:t>
            </w:r>
          </w:p>
        </w:tc>
        <w:tc>
          <w:tcPr>
            <w:tcW w:w="582" w:type="pct"/>
            <w:noWrap/>
          </w:tcPr>
          <w:p w14:paraId="439828F2" w14:textId="77777777" w:rsidR="002E6399" w:rsidRPr="00EB2111" w:rsidRDefault="002E6399" w:rsidP="002E6399">
            <w:pPr>
              <w:pStyle w:val="Tabletext1"/>
              <w:jc w:val="center"/>
            </w:pPr>
            <w:r>
              <w:t>218,655</w:t>
            </w:r>
          </w:p>
        </w:tc>
        <w:tc>
          <w:tcPr>
            <w:tcW w:w="582" w:type="pct"/>
            <w:noWrap/>
          </w:tcPr>
          <w:p w14:paraId="3F67AC6C" w14:textId="77777777" w:rsidR="002E6399" w:rsidRPr="00EB2111" w:rsidRDefault="002E6399" w:rsidP="002E6399">
            <w:pPr>
              <w:pStyle w:val="Tabletext1"/>
              <w:jc w:val="center"/>
            </w:pPr>
            <w:r>
              <w:t>245,436</w:t>
            </w:r>
          </w:p>
        </w:tc>
        <w:tc>
          <w:tcPr>
            <w:tcW w:w="582" w:type="pct"/>
            <w:noWrap/>
          </w:tcPr>
          <w:p w14:paraId="074E8347" w14:textId="77777777" w:rsidR="002E6399" w:rsidRPr="00EB2111" w:rsidRDefault="002E6399" w:rsidP="002E6399">
            <w:pPr>
              <w:pStyle w:val="Tabletext1"/>
              <w:jc w:val="center"/>
            </w:pPr>
            <w:r>
              <w:t>287,900</w:t>
            </w:r>
          </w:p>
        </w:tc>
        <w:tc>
          <w:tcPr>
            <w:tcW w:w="582" w:type="pct"/>
            <w:noWrap/>
          </w:tcPr>
          <w:p w14:paraId="6A0EFEAD" w14:textId="77777777" w:rsidR="002E6399" w:rsidRPr="00EB2111" w:rsidRDefault="002E6399" w:rsidP="002E6399">
            <w:pPr>
              <w:pStyle w:val="Tabletext1"/>
              <w:jc w:val="center"/>
            </w:pPr>
            <w:r>
              <w:t>332,148</w:t>
            </w:r>
          </w:p>
        </w:tc>
        <w:tc>
          <w:tcPr>
            <w:tcW w:w="559" w:type="pct"/>
            <w:noWrap/>
          </w:tcPr>
          <w:p w14:paraId="5C4D226A" w14:textId="2AB30F0D" w:rsidR="002E6399" w:rsidRPr="00EB2111" w:rsidRDefault="002E6399" w:rsidP="002E6399">
            <w:pPr>
              <w:pStyle w:val="Tabletext1"/>
              <w:jc w:val="center"/>
            </w:pPr>
          </w:p>
        </w:tc>
        <w:tc>
          <w:tcPr>
            <w:tcW w:w="578" w:type="pct"/>
            <w:noWrap/>
            <w:hideMark/>
          </w:tcPr>
          <w:p w14:paraId="162E281C" w14:textId="77777777" w:rsidR="002E6399" w:rsidRDefault="002E6399" w:rsidP="002E6399">
            <w:pPr>
              <w:pStyle w:val="Tabletext1"/>
              <w:jc w:val="center"/>
            </w:pPr>
            <w:r w:rsidRPr="00561F36">
              <w:t>422,919</w:t>
            </w:r>
          </w:p>
        </w:tc>
      </w:tr>
      <w:tr w:rsidR="002E6399" w:rsidRPr="00EB2111" w14:paraId="632256CB" w14:textId="77777777" w:rsidTr="002E6399">
        <w:trPr>
          <w:cantSplit/>
          <w:trHeight w:val="300"/>
        </w:trPr>
        <w:tc>
          <w:tcPr>
            <w:tcW w:w="953" w:type="pct"/>
            <w:noWrap/>
            <w:hideMark/>
          </w:tcPr>
          <w:p w14:paraId="471AD5D7" w14:textId="77777777" w:rsidR="002E6399" w:rsidRPr="00EB2111" w:rsidRDefault="002E6399" w:rsidP="002E6399">
            <w:pPr>
              <w:pStyle w:val="Tabletext1"/>
            </w:pPr>
            <w:r w:rsidRPr="00EB2111">
              <w:t>Post HSCT</w:t>
            </w:r>
          </w:p>
        </w:tc>
        <w:tc>
          <w:tcPr>
            <w:tcW w:w="582" w:type="pct"/>
            <w:noWrap/>
          </w:tcPr>
          <w:p w14:paraId="6B8A7364" w14:textId="77777777" w:rsidR="002E6399" w:rsidRPr="00EB2111" w:rsidRDefault="002E6399" w:rsidP="002E6399">
            <w:pPr>
              <w:pStyle w:val="Tabletext1"/>
              <w:jc w:val="center"/>
            </w:pPr>
            <w:r>
              <w:t>-</w:t>
            </w:r>
          </w:p>
        </w:tc>
        <w:tc>
          <w:tcPr>
            <w:tcW w:w="582" w:type="pct"/>
            <w:noWrap/>
          </w:tcPr>
          <w:p w14:paraId="3979BED0" w14:textId="77777777" w:rsidR="002E6399" w:rsidRPr="00EB2111" w:rsidRDefault="002E6399" w:rsidP="002E6399">
            <w:pPr>
              <w:pStyle w:val="Tabletext1"/>
              <w:jc w:val="center"/>
            </w:pPr>
            <w:r>
              <w:t>-</w:t>
            </w:r>
          </w:p>
        </w:tc>
        <w:tc>
          <w:tcPr>
            <w:tcW w:w="582" w:type="pct"/>
            <w:noWrap/>
          </w:tcPr>
          <w:p w14:paraId="0E99F23B" w14:textId="77777777" w:rsidR="002E6399" w:rsidRPr="00EB2111" w:rsidRDefault="002E6399" w:rsidP="002E6399">
            <w:pPr>
              <w:pStyle w:val="Tabletext1"/>
              <w:jc w:val="center"/>
            </w:pPr>
            <w:r>
              <w:t>-</w:t>
            </w:r>
          </w:p>
        </w:tc>
        <w:tc>
          <w:tcPr>
            <w:tcW w:w="582" w:type="pct"/>
            <w:noWrap/>
          </w:tcPr>
          <w:p w14:paraId="42EE6B8B" w14:textId="77777777" w:rsidR="002E6399" w:rsidRPr="00EB2111" w:rsidRDefault="002E6399" w:rsidP="002E6399">
            <w:pPr>
              <w:pStyle w:val="Tabletext1"/>
              <w:jc w:val="center"/>
            </w:pPr>
            <w:r>
              <w:t>42,738</w:t>
            </w:r>
          </w:p>
        </w:tc>
        <w:tc>
          <w:tcPr>
            <w:tcW w:w="582" w:type="pct"/>
            <w:noWrap/>
          </w:tcPr>
          <w:p w14:paraId="4FA0907B" w14:textId="77777777" w:rsidR="002E6399" w:rsidRPr="00EB2111" w:rsidRDefault="002E6399" w:rsidP="002E6399">
            <w:pPr>
              <w:pStyle w:val="Tabletext1"/>
              <w:jc w:val="center"/>
            </w:pPr>
            <w:r>
              <w:t>48,266</w:t>
            </w:r>
          </w:p>
        </w:tc>
        <w:tc>
          <w:tcPr>
            <w:tcW w:w="559" w:type="pct"/>
            <w:noWrap/>
          </w:tcPr>
          <w:p w14:paraId="5DD3A87B" w14:textId="347AFE6C" w:rsidR="002E6399" w:rsidRPr="00EB2111" w:rsidRDefault="002E6399" w:rsidP="002E6399">
            <w:pPr>
              <w:pStyle w:val="Tabletext1"/>
              <w:jc w:val="center"/>
            </w:pPr>
          </w:p>
        </w:tc>
        <w:tc>
          <w:tcPr>
            <w:tcW w:w="578" w:type="pct"/>
            <w:noWrap/>
            <w:hideMark/>
          </w:tcPr>
          <w:p w14:paraId="1BF362CF" w14:textId="77777777" w:rsidR="002E6399" w:rsidRDefault="002E6399" w:rsidP="002E6399">
            <w:pPr>
              <w:pStyle w:val="Tabletext1"/>
              <w:jc w:val="center"/>
            </w:pPr>
            <w:r w:rsidRPr="00561F36">
              <w:t>72,141</w:t>
            </w:r>
          </w:p>
        </w:tc>
      </w:tr>
      <w:tr w:rsidR="002E6399" w:rsidRPr="00EB2111" w14:paraId="3F62392B" w14:textId="77777777" w:rsidTr="002E6399">
        <w:trPr>
          <w:cantSplit/>
          <w:trHeight w:val="300"/>
        </w:trPr>
        <w:tc>
          <w:tcPr>
            <w:tcW w:w="953" w:type="pct"/>
            <w:noWrap/>
            <w:hideMark/>
          </w:tcPr>
          <w:p w14:paraId="3768A168" w14:textId="77777777" w:rsidR="002E6399" w:rsidRPr="00EB2111" w:rsidRDefault="002E6399" w:rsidP="002E6399">
            <w:pPr>
              <w:pStyle w:val="Tabletext1"/>
            </w:pPr>
            <w:r w:rsidRPr="00EB2111">
              <w:t>Other</w:t>
            </w:r>
            <w:r>
              <w:t xml:space="preserve"> HM</w:t>
            </w:r>
          </w:p>
        </w:tc>
        <w:tc>
          <w:tcPr>
            <w:tcW w:w="582" w:type="pct"/>
            <w:noWrap/>
          </w:tcPr>
          <w:p w14:paraId="4404EFB1" w14:textId="77777777" w:rsidR="002E6399" w:rsidRPr="00EB2111" w:rsidRDefault="002E6399" w:rsidP="002E6399">
            <w:pPr>
              <w:pStyle w:val="Tabletext1"/>
              <w:jc w:val="center"/>
            </w:pPr>
            <w:r>
              <w:t>-</w:t>
            </w:r>
          </w:p>
        </w:tc>
        <w:tc>
          <w:tcPr>
            <w:tcW w:w="582" w:type="pct"/>
            <w:noWrap/>
          </w:tcPr>
          <w:p w14:paraId="0C6C3C22" w14:textId="77777777" w:rsidR="002E6399" w:rsidRPr="00EB2111" w:rsidRDefault="002E6399" w:rsidP="002E6399">
            <w:pPr>
              <w:pStyle w:val="Tabletext1"/>
              <w:jc w:val="center"/>
            </w:pPr>
            <w:r>
              <w:t>83,571</w:t>
            </w:r>
          </w:p>
        </w:tc>
        <w:tc>
          <w:tcPr>
            <w:tcW w:w="582" w:type="pct"/>
            <w:noWrap/>
          </w:tcPr>
          <w:p w14:paraId="2F4BAE3B" w14:textId="77777777" w:rsidR="002E6399" w:rsidRPr="00EB2111" w:rsidRDefault="002E6399" w:rsidP="002E6399">
            <w:pPr>
              <w:pStyle w:val="Tabletext1"/>
              <w:jc w:val="center"/>
            </w:pPr>
            <w:r>
              <w:t>80,807</w:t>
            </w:r>
          </w:p>
        </w:tc>
        <w:tc>
          <w:tcPr>
            <w:tcW w:w="582" w:type="pct"/>
            <w:noWrap/>
          </w:tcPr>
          <w:p w14:paraId="0567EB06" w14:textId="77777777" w:rsidR="002E6399" w:rsidRPr="00EB2111" w:rsidRDefault="002E6399" w:rsidP="002E6399">
            <w:pPr>
              <w:pStyle w:val="Tabletext1"/>
              <w:jc w:val="center"/>
            </w:pPr>
            <w:r>
              <w:t>80,969</w:t>
            </w:r>
          </w:p>
        </w:tc>
        <w:tc>
          <w:tcPr>
            <w:tcW w:w="582" w:type="pct"/>
            <w:noWrap/>
          </w:tcPr>
          <w:p w14:paraId="7EAFF3A2" w14:textId="77777777" w:rsidR="002E6399" w:rsidRPr="00EB2111" w:rsidRDefault="002E6399" w:rsidP="002E6399">
            <w:pPr>
              <w:pStyle w:val="Tabletext1"/>
              <w:jc w:val="center"/>
            </w:pPr>
            <w:r>
              <w:t>94,004</w:t>
            </w:r>
          </w:p>
        </w:tc>
        <w:tc>
          <w:tcPr>
            <w:tcW w:w="559" w:type="pct"/>
            <w:noWrap/>
          </w:tcPr>
          <w:p w14:paraId="3F227F5E" w14:textId="094CFCBE" w:rsidR="002E6399" w:rsidRPr="00EB2111" w:rsidRDefault="002E6399" w:rsidP="002E6399">
            <w:pPr>
              <w:pStyle w:val="Tabletext1"/>
              <w:jc w:val="center"/>
            </w:pPr>
          </w:p>
        </w:tc>
        <w:tc>
          <w:tcPr>
            <w:tcW w:w="578" w:type="pct"/>
            <w:noWrap/>
            <w:hideMark/>
          </w:tcPr>
          <w:p w14:paraId="297D1A2F" w14:textId="77777777" w:rsidR="002E6399" w:rsidRPr="00EB2111" w:rsidRDefault="002E6399" w:rsidP="002E6399">
            <w:pPr>
              <w:pStyle w:val="Tabletext1"/>
              <w:jc w:val="center"/>
            </w:pPr>
            <w:r>
              <w:t>117,613</w:t>
            </w:r>
          </w:p>
        </w:tc>
      </w:tr>
    </w:tbl>
    <w:p w14:paraId="3637F406" w14:textId="77777777" w:rsidR="00911F85" w:rsidRDefault="00911F85" w:rsidP="00911F85">
      <w:pPr>
        <w:pStyle w:val="Tablenotes1"/>
      </w:pPr>
      <w:r>
        <w:t>CLL = chronic lymphocytic lymphoma; HM = haematological malignancies; HSCT = haemopoietic stem cell transplantation; Ig = immunoglobulin; MM = multiple myeloma; NHL = non-Hodgkin’s lymphoma.</w:t>
      </w:r>
    </w:p>
    <w:p w14:paraId="1B995602" w14:textId="18FC55DE" w:rsidR="00911F85" w:rsidRDefault="00911F85" w:rsidP="00911F85">
      <w:pPr>
        <w:pStyle w:val="Tablenotes1"/>
      </w:pPr>
      <w:r>
        <w:t xml:space="preserve">Source: </w:t>
      </w:r>
      <w:r w:rsidRPr="00D82D8A">
        <w:t xml:space="preserve">NBA </w:t>
      </w:r>
      <w:r>
        <w:fldChar w:fldCharType="begin"/>
      </w:r>
      <w:r>
        <w:instrText xml:space="preserve"> ADDIN EN.CITE &lt;EndNote&gt;&lt;Cite ExcludeAuth="1"&gt;&lt;Author&gt;National Blood Authority [NBA]&lt;/Author&gt;&lt;Year&gt;2019&lt;/Year&gt;&lt;RecNum&gt;108&lt;/RecNum&gt;&lt;DisplayText&gt;(2019a)&lt;/DisplayText&gt;&lt;record&gt;&lt;rec-number&gt;108&lt;/rec-number&gt;&lt;foreign-keys&gt;&lt;key app="EN" db-id="z0vwsepdwpt20pewwts5z9eup9e2r2pd2tad" timestamp="1563421468"&gt;108&lt;/key&gt;&lt;/foreign-keys&gt;&lt;ref-type name="Web Page"&gt;12&lt;/ref-type&gt;&lt;contributors&gt;&lt;authors&gt;&lt;author&gt;National Blood Authority [NBA],&lt;/author&gt;&lt;/authors&gt;&lt;/contributors&gt;&lt;titles&gt;&lt;title&gt;Data Analysis and Reporting&lt;/title&gt;&lt;/titles&gt;&lt;dates&gt;&lt;year&gt;2019&lt;/year&gt;&lt;/dates&gt;&lt;pub-location&gt;Canberra&lt;/pub-location&gt;&lt;publisher&gt;National Blood Authority &lt;/publisher&gt;&lt;urls&gt;&lt;related-urls&gt;&lt;url&gt;https://www.blood.gov.au/data-analysis-reporting&lt;/url&gt;&lt;/related-urls&gt;&lt;/urls&gt;&lt;/record&gt;&lt;/Cite&gt;&lt;/EndNote&gt;</w:instrText>
      </w:r>
      <w:r>
        <w:fldChar w:fldCharType="separate"/>
      </w:r>
      <w:r>
        <w:rPr>
          <w:noProof/>
        </w:rPr>
        <w:t>(</w:t>
      </w:r>
      <w:hyperlink w:anchor="_ENREF_34" w:tooltip="National Blood Authority [NBA], 2019 #108" w:history="1">
        <w:r w:rsidR="00BB0145">
          <w:rPr>
            <w:noProof/>
          </w:rPr>
          <w:t>2019a</w:t>
        </w:r>
      </w:hyperlink>
      <w:r>
        <w:rPr>
          <w:noProof/>
        </w:rPr>
        <w:t>)</w:t>
      </w:r>
      <w:r>
        <w:fldChar w:fldCharType="end"/>
      </w:r>
      <w:r>
        <w:t xml:space="preserve"> </w:t>
      </w:r>
      <w:r w:rsidRPr="00D82D8A">
        <w:t>National Reports on the issue and use of immunoglobulin (Ig), 2012-13, 2013-14, 20114-15 and 2015-1</w:t>
      </w:r>
      <w:r>
        <w:t>6</w:t>
      </w:r>
      <w:r w:rsidRPr="00D82D8A">
        <w:t xml:space="preserve"> and the 'HTA Data April2019.xlsx' workbook provided by the </w:t>
      </w:r>
      <w:r w:rsidR="00D51F34">
        <w:t>NBA</w:t>
      </w:r>
      <w:r>
        <w:t>.</w:t>
      </w:r>
    </w:p>
    <w:p w14:paraId="64855DAC" w14:textId="77777777" w:rsidR="00911F85" w:rsidRDefault="00911F85" w:rsidP="00911F85"/>
    <w:p w14:paraId="6B676C3E" w14:textId="77777777" w:rsidR="00911F85" w:rsidRDefault="00911F85" w:rsidP="00331FB9">
      <w:pPr>
        <w:pStyle w:val="Heading2"/>
        <w:numPr>
          <w:ilvl w:val="4"/>
          <w:numId w:val="10"/>
        </w:numPr>
      </w:pPr>
      <w:bookmarkStart w:id="609" w:name="_Toc214091270"/>
      <w:bookmarkStart w:id="610" w:name="_Toc341796094"/>
      <w:bookmarkStart w:id="611" w:name="_Toc9515621"/>
      <w:bookmarkStart w:id="612" w:name="_Toc14431175"/>
      <w:bookmarkStart w:id="613" w:name="_Toc16856351"/>
      <w:bookmarkStart w:id="614" w:name="_Toc379118300"/>
      <w:bookmarkStart w:id="615" w:name="_Toc381796483"/>
      <w:r>
        <w:t>Use and cost of</w:t>
      </w:r>
      <w:bookmarkEnd w:id="609"/>
      <w:bookmarkEnd w:id="610"/>
      <w:bookmarkEnd w:id="611"/>
      <w:r>
        <w:t xml:space="preserve"> Ig for acquired hypogammaglobulinaemia</w:t>
      </w:r>
      <w:bookmarkEnd w:id="612"/>
      <w:bookmarkEnd w:id="613"/>
    </w:p>
    <w:p w14:paraId="79B081C7" w14:textId="77777777" w:rsidR="00911F85" w:rsidRDefault="00911F85" w:rsidP="00911F85">
      <w:pPr>
        <w:pStyle w:val="Heading3"/>
      </w:pPr>
      <w:bookmarkStart w:id="616" w:name="_Toc14431176"/>
      <w:bookmarkStart w:id="617" w:name="_Toc16856352"/>
      <w:bookmarkEnd w:id="614"/>
      <w:bookmarkEnd w:id="615"/>
      <w:r>
        <w:t>Estimated number of patients who receive Ig</w:t>
      </w:r>
      <w:bookmarkEnd w:id="616"/>
      <w:bookmarkEnd w:id="617"/>
    </w:p>
    <w:p w14:paraId="036FA7DB" w14:textId="4CBCA65C" w:rsidR="00911F85" w:rsidRDefault="00911F85" w:rsidP="00911F85">
      <w:r>
        <w:t xml:space="preserve">Patient numbers were projected using linear extrapolations fitted to the observed data presented in </w:t>
      </w:r>
      <w:r>
        <w:fldChar w:fldCharType="begin"/>
      </w:r>
      <w:r>
        <w:instrText xml:space="preserve"> REF _Ref9868003 \h </w:instrText>
      </w:r>
      <w:r>
        <w:fldChar w:fldCharType="separate"/>
      </w:r>
      <w:r w:rsidR="00A7463B">
        <w:t xml:space="preserve">Table </w:t>
      </w:r>
      <w:r w:rsidR="00A7463B">
        <w:rPr>
          <w:noProof/>
        </w:rPr>
        <w:t>64</w:t>
      </w:r>
      <w:r>
        <w:fldChar w:fldCharType="end"/>
      </w:r>
      <w:r>
        <w:t xml:space="preserve"> (</w:t>
      </w:r>
      <w:r>
        <w:fldChar w:fldCharType="begin"/>
      </w:r>
      <w:r>
        <w:instrText xml:space="preserve"> REF _Ref9868017 \h </w:instrText>
      </w:r>
      <w:r>
        <w:fldChar w:fldCharType="separate"/>
      </w:r>
      <w:r w:rsidR="00A7463B">
        <w:t xml:space="preserve">Figure </w:t>
      </w:r>
      <w:r w:rsidR="00A7463B">
        <w:rPr>
          <w:noProof/>
        </w:rPr>
        <w:t>11</w:t>
      </w:r>
      <w:r>
        <w:fldChar w:fldCharType="end"/>
      </w:r>
      <w:r>
        <w:t xml:space="preserve">). The projected estimated patient numbers for each indication are presented in </w:t>
      </w:r>
      <w:r>
        <w:fldChar w:fldCharType="begin"/>
      </w:r>
      <w:r>
        <w:instrText xml:space="preserve"> REF _Ref10797587 \h </w:instrText>
      </w:r>
      <w:r>
        <w:fldChar w:fldCharType="separate"/>
      </w:r>
      <w:r w:rsidR="00A7463B">
        <w:t xml:space="preserve">Table </w:t>
      </w:r>
      <w:r w:rsidR="00A7463B">
        <w:rPr>
          <w:noProof/>
        </w:rPr>
        <w:t>66</w:t>
      </w:r>
      <w:r>
        <w:fldChar w:fldCharType="end"/>
      </w:r>
      <w:r>
        <w:t xml:space="preserve">. </w:t>
      </w:r>
    </w:p>
    <w:p w14:paraId="6D873A13" w14:textId="77777777" w:rsidR="00911F85" w:rsidRDefault="00911F85" w:rsidP="00911F85">
      <w:pPr>
        <w:pStyle w:val="Caption"/>
        <w:keepNext/>
      </w:pPr>
      <w:bookmarkStart w:id="618" w:name="_Ref9868017"/>
      <w:bookmarkStart w:id="619" w:name="_Toc14348932"/>
      <w:bookmarkStart w:id="620" w:name="_Toc14429647"/>
      <w:bookmarkStart w:id="621" w:name="_Toc16671707"/>
      <w:r>
        <w:t xml:space="preserve">Figure </w:t>
      </w:r>
      <w:r>
        <w:rPr>
          <w:noProof/>
        </w:rPr>
        <w:fldChar w:fldCharType="begin"/>
      </w:r>
      <w:r>
        <w:rPr>
          <w:noProof/>
        </w:rPr>
        <w:instrText xml:space="preserve"> SEQ Figure \* ARABIC </w:instrText>
      </w:r>
      <w:r>
        <w:rPr>
          <w:noProof/>
        </w:rPr>
        <w:fldChar w:fldCharType="separate"/>
      </w:r>
      <w:r w:rsidR="00A7463B">
        <w:rPr>
          <w:noProof/>
        </w:rPr>
        <w:t>11</w:t>
      </w:r>
      <w:r>
        <w:rPr>
          <w:noProof/>
        </w:rPr>
        <w:fldChar w:fldCharType="end"/>
      </w:r>
      <w:bookmarkEnd w:id="618"/>
      <w:r>
        <w:tab/>
        <w:t>Patient number projections</w:t>
      </w:r>
      <w:bookmarkEnd w:id="619"/>
      <w:bookmarkEnd w:id="620"/>
      <w:bookmarkEnd w:id="621"/>
    </w:p>
    <w:p w14:paraId="77CBC99C" w14:textId="77777777" w:rsidR="00911F85" w:rsidRDefault="00911F85" w:rsidP="00911F85">
      <w:pPr>
        <w:spacing w:after="0"/>
      </w:pPr>
      <w:r>
        <w:rPr>
          <w:noProof/>
        </w:rPr>
        <w:drawing>
          <wp:inline distT="0" distB="0" distL="0" distR="0" wp14:anchorId="008DE304" wp14:editId="2B5858E5">
            <wp:extent cx="4788000" cy="2874783"/>
            <wp:effectExtent l="0" t="0" r="0" b="1905"/>
            <wp:docPr id="16" name="Picture 16" title="Patient number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l="1994" t="1654" r="1676" b="2420"/>
                    <a:stretch/>
                  </pic:blipFill>
                  <pic:spPr bwMode="auto">
                    <a:xfrm>
                      <a:off x="0" y="0"/>
                      <a:ext cx="4788000" cy="2874783"/>
                    </a:xfrm>
                    <a:prstGeom prst="rect">
                      <a:avLst/>
                    </a:prstGeom>
                    <a:noFill/>
                    <a:ln>
                      <a:noFill/>
                    </a:ln>
                    <a:extLst>
                      <a:ext uri="{53640926-AAD7-44D8-BBD7-CCE9431645EC}">
                        <a14:shadowObscured xmlns:a14="http://schemas.microsoft.com/office/drawing/2010/main"/>
                      </a:ext>
                    </a:extLst>
                  </pic:spPr>
                </pic:pic>
              </a:graphicData>
            </a:graphic>
          </wp:inline>
        </w:drawing>
      </w:r>
    </w:p>
    <w:p w14:paraId="6002564A" w14:textId="77777777" w:rsidR="00911F85" w:rsidRDefault="00911F85" w:rsidP="00911F85">
      <w:pPr>
        <w:pStyle w:val="Tablenotes1"/>
      </w:pPr>
      <w:r>
        <w:t>CLL = chronic lymphocytic lymphoma; HM = haematological malignancies; HSCT = haemopoietic stem cell transplantation; Ig = immunoglobulin; MM = multiple myeloma; NHL = non-Hodgkin’s lymphoma.</w:t>
      </w:r>
    </w:p>
    <w:p w14:paraId="54B52F05" w14:textId="77777777" w:rsidR="00911F85" w:rsidRDefault="00911F85" w:rsidP="00911F85">
      <w:pPr>
        <w:pStyle w:val="Tablenotes1"/>
      </w:pPr>
      <w:r>
        <w:t>Note: Grey portion denotes estimates that have been projected.</w:t>
      </w:r>
    </w:p>
    <w:p w14:paraId="45D9C05D" w14:textId="77777777" w:rsidR="00911F85" w:rsidRDefault="00911F85" w:rsidP="00911F85">
      <w:pPr>
        <w:pStyle w:val="Tablenotes1"/>
      </w:pPr>
      <w:r>
        <w:t>Source: ‘Estimated patient numbers’ worksheet in ‘1565 Financials.xlsx’ workbook.</w:t>
      </w:r>
    </w:p>
    <w:p w14:paraId="4DB578B1" w14:textId="77777777" w:rsidR="00911F85" w:rsidRDefault="00911F85" w:rsidP="00911F85">
      <w:bookmarkStart w:id="622" w:name="_Ref9868007"/>
      <w:r>
        <w:t>Prior to the Version 3 criteria, patients with acute leukaemia were counted under the ‘</w:t>
      </w:r>
      <w:r w:rsidRPr="00DD52AC">
        <w:t>Other relevant haematological malignancies</w:t>
      </w:r>
      <w:r>
        <w:t xml:space="preserve">’ indication. Thus to project patient numbers with acute leukaemia, the partial 2018-19 Version 3 data have been used. During the observation period, 68 patients with acute leukaemia received Ig, while 86 patients received Ig for other haematological </w:t>
      </w:r>
      <w:r>
        <w:lastRenderedPageBreak/>
        <w:t>malignancies. Therefore patients with acute leukaemia are estimated to account for 44.2% of other haematological malignancies.</w:t>
      </w:r>
    </w:p>
    <w:p w14:paraId="45E3EE06" w14:textId="7C46F202" w:rsidR="00911F85" w:rsidRDefault="00911F85" w:rsidP="00911F85">
      <w:pPr>
        <w:pStyle w:val="Caption"/>
        <w:keepNext/>
      </w:pPr>
      <w:bookmarkStart w:id="623" w:name="_Ref10797587"/>
      <w:bookmarkStart w:id="624" w:name="_Toc14348900"/>
      <w:bookmarkStart w:id="625" w:name="_Toc14429606"/>
      <w:bookmarkStart w:id="626" w:name="_Toc16671664"/>
      <w:bookmarkEnd w:id="622"/>
      <w:r>
        <w:t xml:space="preserve">Table </w:t>
      </w:r>
      <w:r>
        <w:rPr>
          <w:noProof/>
        </w:rPr>
        <w:fldChar w:fldCharType="begin"/>
      </w:r>
      <w:r>
        <w:rPr>
          <w:noProof/>
        </w:rPr>
        <w:instrText xml:space="preserve"> SEQ Table \* ARABIC </w:instrText>
      </w:r>
      <w:r>
        <w:rPr>
          <w:noProof/>
        </w:rPr>
        <w:fldChar w:fldCharType="separate"/>
      </w:r>
      <w:r w:rsidR="00A7463B">
        <w:rPr>
          <w:noProof/>
        </w:rPr>
        <w:t>66</w:t>
      </w:r>
      <w:r>
        <w:rPr>
          <w:noProof/>
        </w:rPr>
        <w:fldChar w:fldCharType="end"/>
      </w:r>
      <w:bookmarkEnd w:id="623"/>
      <w:r>
        <w:tab/>
      </w:r>
      <w:r w:rsidRPr="00A911CD">
        <w:t>Number of patients projected to receive Ig by indication, 2019-20 to 2023-24</w:t>
      </w:r>
      <w:bookmarkEnd w:id="624"/>
      <w:bookmarkEnd w:id="625"/>
      <w:bookmarkEnd w:id="626"/>
    </w:p>
    <w:tbl>
      <w:tblPr>
        <w:tblStyle w:val="TableGrid1"/>
        <w:tblW w:w="5000" w:type="pct"/>
        <w:tblLook w:val="04A0" w:firstRow="1" w:lastRow="0" w:firstColumn="1" w:lastColumn="0" w:noHBand="0" w:noVBand="1"/>
        <w:tblCaption w:val="Number of patients projected to receive Ig by indication, 2019-20 to 2023-24"/>
      </w:tblPr>
      <w:tblGrid>
        <w:gridCol w:w="2176"/>
        <w:gridCol w:w="1412"/>
        <w:gridCol w:w="1414"/>
        <w:gridCol w:w="1414"/>
        <w:gridCol w:w="1414"/>
        <w:gridCol w:w="1412"/>
      </w:tblGrid>
      <w:tr w:rsidR="00911F85" w:rsidRPr="004F159E" w14:paraId="2FF273BE" w14:textId="77777777" w:rsidTr="008742A1">
        <w:trPr>
          <w:cnfStyle w:val="100000000000" w:firstRow="1" w:lastRow="0" w:firstColumn="0" w:lastColumn="0" w:oddVBand="0" w:evenVBand="0" w:oddHBand="0" w:evenHBand="0" w:firstRowFirstColumn="0" w:firstRowLastColumn="0" w:lastRowFirstColumn="0" w:lastRowLastColumn="0"/>
          <w:cantSplit/>
          <w:trHeight w:val="300"/>
          <w:tblHeader/>
        </w:trPr>
        <w:tc>
          <w:tcPr>
            <w:tcW w:w="1177" w:type="pct"/>
          </w:tcPr>
          <w:p w14:paraId="542F4035" w14:textId="77777777" w:rsidR="00911F85" w:rsidRPr="004F159E" w:rsidRDefault="00911F85" w:rsidP="008742A1">
            <w:pPr>
              <w:pStyle w:val="TableHeading"/>
            </w:pPr>
          </w:p>
        </w:tc>
        <w:tc>
          <w:tcPr>
            <w:tcW w:w="764" w:type="pct"/>
            <w:noWrap/>
            <w:hideMark/>
          </w:tcPr>
          <w:p w14:paraId="33BF1DE7" w14:textId="77777777" w:rsidR="00911F85" w:rsidRPr="004F159E" w:rsidRDefault="00911F85" w:rsidP="008742A1">
            <w:pPr>
              <w:pStyle w:val="TableHeading"/>
              <w:jc w:val="center"/>
            </w:pPr>
            <w:r w:rsidRPr="004F159E">
              <w:t>2019-20</w:t>
            </w:r>
          </w:p>
        </w:tc>
        <w:tc>
          <w:tcPr>
            <w:tcW w:w="765" w:type="pct"/>
            <w:noWrap/>
            <w:hideMark/>
          </w:tcPr>
          <w:p w14:paraId="45EAE8EE" w14:textId="77777777" w:rsidR="00911F85" w:rsidRPr="004F159E" w:rsidRDefault="00911F85" w:rsidP="008742A1">
            <w:pPr>
              <w:pStyle w:val="TableHeading"/>
              <w:jc w:val="center"/>
            </w:pPr>
            <w:r w:rsidRPr="004F159E">
              <w:t>2020-21</w:t>
            </w:r>
          </w:p>
        </w:tc>
        <w:tc>
          <w:tcPr>
            <w:tcW w:w="765" w:type="pct"/>
            <w:noWrap/>
            <w:hideMark/>
          </w:tcPr>
          <w:p w14:paraId="5FF6CD46" w14:textId="77777777" w:rsidR="00911F85" w:rsidRPr="004F159E" w:rsidRDefault="00911F85" w:rsidP="008742A1">
            <w:pPr>
              <w:pStyle w:val="TableHeading"/>
              <w:jc w:val="center"/>
            </w:pPr>
            <w:r w:rsidRPr="004F159E">
              <w:t>2021-22</w:t>
            </w:r>
          </w:p>
        </w:tc>
        <w:tc>
          <w:tcPr>
            <w:tcW w:w="765" w:type="pct"/>
            <w:noWrap/>
            <w:hideMark/>
          </w:tcPr>
          <w:p w14:paraId="1A2DD5F7" w14:textId="77777777" w:rsidR="00911F85" w:rsidRPr="004F159E" w:rsidRDefault="00911F85" w:rsidP="008742A1">
            <w:pPr>
              <w:pStyle w:val="TableHeading"/>
              <w:jc w:val="center"/>
            </w:pPr>
            <w:r w:rsidRPr="004F159E">
              <w:t>2022-23</w:t>
            </w:r>
          </w:p>
        </w:tc>
        <w:tc>
          <w:tcPr>
            <w:tcW w:w="764" w:type="pct"/>
            <w:noWrap/>
            <w:hideMark/>
          </w:tcPr>
          <w:p w14:paraId="6B762EE8" w14:textId="77777777" w:rsidR="00911F85" w:rsidRPr="004F159E" w:rsidRDefault="00911F85" w:rsidP="008742A1">
            <w:pPr>
              <w:pStyle w:val="TableHeading"/>
              <w:jc w:val="center"/>
            </w:pPr>
            <w:r w:rsidRPr="004F159E">
              <w:t>2023-24</w:t>
            </w:r>
          </w:p>
        </w:tc>
      </w:tr>
      <w:tr w:rsidR="00911F85" w:rsidRPr="004F159E" w14:paraId="48F2AF2B" w14:textId="77777777" w:rsidTr="008742A1">
        <w:trPr>
          <w:cantSplit/>
          <w:trHeight w:val="300"/>
        </w:trPr>
        <w:tc>
          <w:tcPr>
            <w:tcW w:w="1177" w:type="pct"/>
          </w:tcPr>
          <w:p w14:paraId="034F0470" w14:textId="77777777" w:rsidR="00911F85" w:rsidRPr="004F159E" w:rsidRDefault="00911F85" w:rsidP="008742A1">
            <w:pPr>
              <w:pStyle w:val="Tabletext1"/>
              <w:rPr>
                <w:rFonts w:cs="Calibri"/>
                <w:color w:val="000000"/>
              </w:rPr>
            </w:pPr>
            <w:r w:rsidRPr="00EB2111">
              <w:t>CLL</w:t>
            </w:r>
          </w:p>
        </w:tc>
        <w:tc>
          <w:tcPr>
            <w:tcW w:w="764" w:type="pct"/>
            <w:noWrap/>
            <w:hideMark/>
          </w:tcPr>
          <w:p w14:paraId="0969E9F3" w14:textId="77777777" w:rsidR="00911F85" w:rsidRPr="004F159E" w:rsidRDefault="00911F85" w:rsidP="008742A1">
            <w:pPr>
              <w:pStyle w:val="Tabletext1"/>
              <w:jc w:val="center"/>
              <w:rPr>
                <w:rFonts w:cs="Calibri"/>
                <w:color w:val="000000"/>
              </w:rPr>
            </w:pPr>
            <w:r w:rsidRPr="00766078">
              <w:t>1,794</w:t>
            </w:r>
          </w:p>
        </w:tc>
        <w:tc>
          <w:tcPr>
            <w:tcW w:w="765" w:type="pct"/>
            <w:noWrap/>
            <w:hideMark/>
          </w:tcPr>
          <w:p w14:paraId="3F40B7AB" w14:textId="77777777" w:rsidR="00911F85" w:rsidRPr="004F159E" w:rsidRDefault="00911F85" w:rsidP="008742A1">
            <w:pPr>
              <w:pStyle w:val="Tabletext1"/>
              <w:jc w:val="center"/>
              <w:rPr>
                <w:rFonts w:cs="Calibri"/>
                <w:color w:val="000000"/>
              </w:rPr>
            </w:pPr>
            <w:r w:rsidRPr="00766078">
              <w:t>1,892</w:t>
            </w:r>
          </w:p>
        </w:tc>
        <w:tc>
          <w:tcPr>
            <w:tcW w:w="765" w:type="pct"/>
            <w:noWrap/>
            <w:hideMark/>
          </w:tcPr>
          <w:p w14:paraId="30D2E1EC" w14:textId="77777777" w:rsidR="00911F85" w:rsidRPr="004F159E" w:rsidRDefault="00911F85" w:rsidP="008742A1">
            <w:pPr>
              <w:pStyle w:val="Tabletext1"/>
              <w:jc w:val="center"/>
              <w:rPr>
                <w:rFonts w:cs="Calibri"/>
                <w:color w:val="000000"/>
              </w:rPr>
            </w:pPr>
            <w:r w:rsidRPr="00766078">
              <w:t>1,990</w:t>
            </w:r>
          </w:p>
        </w:tc>
        <w:tc>
          <w:tcPr>
            <w:tcW w:w="765" w:type="pct"/>
            <w:noWrap/>
            <w:hideMark/>
          </w:tcPr>
          <w:p w14:paraId="2531D7E1" w14:textId="77777777" w:rsidR="00911F85" w:rsidRPr="004F159E" w:rsidRDefault="00911F85" w:rsidP="008742A1">
            <w:pPr>
              <w:pStyle w:val="Tabletext1"/>
              <w:jc w:val="center"/>
              <w:rPr>
                <w:rFonts w:cs="Calibri"/>
                <w:color w:val="000000"/>
              </w:rPr>
            </w:pPr>
            <w:r w:rsidRPr="00766078">
              <w:t>2,089</w:t>
            </w:r>
          </w:p>
        </w:tc>
        <w:tc>
          <w:tcPr>
            <w:tcW w:w="764" w:type="pct"/>
            <w:noWrap/>
            <w:hideMark/>
          </w:tcPr>
          <w:p w14:paraId="04338E9C" w14:textId="77777777" w:rsidR="00911F85" w:rsidRPr="004F159E" w:rsidRDefault="00911F85" w:rsidP="008742A1">
            <w:pPr>
              <w:pStyle w:val="Tabletext1"/>
              <w:jc w:val="center"/>
              <w:rPr>
                <w:rFonts w:cs="Calibri"/>
                <w:color w:val="000000"/>
              </w:rPr>
            </w:pPr>
            <w:r w:rsidRPr="00766078">
              <w:t>2,187</w:t>
            </w:r>
          </w:p>
        </w:tc>
      </w:tr>
      <w:tr w:rsidR="00911F85" w:rsidRPr="004F159E" w14:paraId="0676FE3F" w14:textId="77777777" w:rsidTr="008742A1">
        <w:trPr>
          <w:cantSplit/>
          <w:trHeight w:val="300"/>
        </w:trPr>
        <w:tc>
          <w:tcPr>
            <w:tcW w:w="1177" w:type="pct"/>
          </w:tcPr>
          <w:p w14:paraId="2136DCD0" w14:textId="77777777" w:rsidR="00911F85" w:rsidRPr="004F159E" w:rsidRDefault="00911F85" w:rsidP="008742A1">
            <w:pPr>
              <w:pStyle w:val="Tabletext1"/>
              <w:rPr>
                <w:rFonts w:cs="Calibri"/>
                <w:color w:val="000000"/>
              </w:rPr>
            </w:pPr>
            <w:r w:rsidRPr="00EB2111">
              <w:t>MM</w:t>
            </w:r>
          </w:p>
        </w:tc>
        <w:tc>
          <w:tcPr>
            <w:tcW w:w="764" w:type="pct"/>
            <w:noWrap/>
            <w:hideMark/>
          </w:tcPr>
          <w:p w14:paraId="50C1E962" w14:textId="77777777" w:rsidR="00911F85" w:rsidRPr="004F159E" w:rsidRDefault="00911F85" w:rsidP="008742A1">
            <w:pPr>
              <w:pStyle w:val="Tabletext1"/>
              <w:jc w:val="center"/>
              <w:rPr>
                <w:rFonts w:cs="Calibri"/>
                <w:color w:val="000000"/>
              </w:rPr>
            </w:pPr>
            <w:r w:rsidRPr="005D0993">
              <w:t>1,583</w:t>
            </w:r>
          </w:p>
        </w:tc>
        <w:tc>
          <w:tcPr>
            <w:tcW w:w="765" w:type="pct"/>
            <w:noWrap/>
            <w:hideMark/>
          </w:tcPr>
          <w:p w14:paraId="3A233BEE" w14:textId="77777777" w:rsidR="00911F85" w:rsidRPr="004F159E" w:rsidRDefault="00911F85" w:rsidP="008742A1">
            <w:pPr>
              <w:pStyle w:val="Tabletext1"/>
              <w:jc w:val="center"/>
              <w:rPr>
                <w:rFonts w:cs="Calibri"/>
                <w:color w:val="000000"/>
              </w:rPr>
            </w:pPr>
            <w:r w:rsidRPr="005D0993">
              <w:t>1,673</w:t>
            </w:r>
          </w:p>
        </w:tc>
        <w:tc>
          <w:tcPr>
            <w:tcW w:w="765" w:type="pct"/>
            <w:noWrap/>
            <w:hideMark/>
          </w:tcPr>
          <w:p w14:paraId="74BEDF71" w14:textId="77777777" w:rsidR="00911F85" w:rsidRPr="004F159E" w:rsidRDefault="00911F85" w:rsidP="008742A1">
            <w:pPr>
              <w:pStyle w:val="Tabletext1"/>
              <w:jc w:val="center"/>
              <w:rPr>
                <w:rFonts w:cs="Calibri"/>
                <w:color w:val="000000"/>
              </w:rPr>
            </w:pPr>
            <w:r w:rsidRPr="005D0993">
              <w:t>1,763</w:t>
            </w:r>
          </w:p>
        </w:tc>
        <w:tc>
          <w:tcPr>
            <w:tcW w:w="765" w:type="pct"/>
            <w:noWrap/>
            <w:hideMark/>
          </w:tcPr>
          <w:p w14:paraId="598EE4EA" w14:textId="77777777" w:rsidR="00911F85" w:rsidRPr="004F159E" w:rsidRDefault="00911F85" w:rsidP="008742A1">
            <w:pPr>
              <w:pStyle w:val="Tabletext1"/>
              <w:jc w:val="center"/>
              <w:rPr>
                <w:rFonts w:cs="Calibri"/>
                <w:color w:val="000000"/>
              </w:rPr>
            </w:pPr>
            <w:r w:rsidRPr="005D0993">
              <w:t>1,853</w:t>
            </w:r>
          </w:p>
        </w:tc>
        <w:tc>
          <w:tcPr>
            <w:tcW w:w="764" w:type="pct"/>
            <w:noWrap/>
            <w:hideMark/>
          </w:tcPr>
          <w:p w14:paraId="59F0D061" w14:textId="77777777" w:rsidR="00911F85" w:rsidRPr="004F159E" w:rsidRDefault="00911F85" w:rsidP="008742A1">
            <w:pPr>
              <w:pStyle w:val="Tabletext1"/>
              <w:jc w:val="center"/>
              <w:rPr>
                <w:rFonts w:cs="Calibri"/>
                <w:color w:val="000000"/>
              </w:rPr>
            </w:pPr>
            <w:r w:rsidRPr="005D0993">
              <w:t>1,943</w:t>
            </w:r>
          </w:p>
        </w:tc>
      </w:tr>
      <w:tr w:rsidR="00911F85" w:rsidRPr="004F159E" w14:paraId="04D7CF77" w14:textId="77777777" w:rsidTr="008742A1">
        <w:trPr>
          <w:cantSplit/>
          <w:trHeight w:val="300"/>
        </w:trPr>
        <w:tc>
          <w:tcPr>
            <w:tcW w:w="1177" w:type="pct"/>
          </w:tcPr>
          <w:p w14:paraId="1E0464AC" w14:textId="77777777" w:rsidR="00911F85" w:rsidRPr="004F159E" w:rsidRDefault="00911F85" w:rsidP="008742A1">
            <w:pPr>
              <w:pStyle w:val="Tabletext1"/>
              <w:rPr>
                <w:rFonts w:cs="Calibri"/>
                <w:color w:val="000000"/>
              </w:rPr>
            </w:pPr>
            <w:r w:rsidRPr="00EB2111">
              <w:t>NHL</w:t>
            </w:r>
          </w:p>
        </w:tc>
        <w:tc>
          <w:tcPr>
            <w:tcW w:w="764" w:type="pct"/>
            <w:noWrap/>
            <w:hideMark/>
          </w:tcPr>
          <w:p w14:paraId="2996CD4A" w14:textId="77777777" w:rsidR="00911F85" w:rsidRPr="004F159E" w:rsidRDefault="00911F85" w:rsidP="008742A1">
            <w:pPr>
              <w:pStyle w:val="Tabletext1"/>
              <w:jc w:val="center"/>
              <w:rPr>
                <w:rFonts w:cs="Calibri"/>
                <w:color w:val="000000"/>
              </w:rPr>
            </w:pPr>
            <w:r w:rsidRPr="004318F2">
              <w:t>1,910</w:t>
            </w:r>
          </w:p>
        </w:tc>
        <w:tc>
          <w:tcPr>
            <w:tcW w:w="765" w:type="pct"/>
            <w:noWrap/>
            <w:hideMark/>
          </w:tcPr>
          <w:p w14:paraId="194E4935" w14:textId="77777777" w:rsidR="00911F85" w:rsidRPr="004F159E" w:rsidRDefault="00911F85" w:rsidP="008742A1">
            <w:pPr>
              <w:pStyle w:val="Tabletext1"/>
              <w:jc w:val="center"/>
              <w:rPr>
                <w:rFonts w:cs="Calibri"/>
                <w:color w:val="000000"/>
              </w:rPr>
            </w:pPr>
            <w:r w:rsidRPr="004318F2">
              <w:t>2,051</w:t>
            </w:r>
          </w:p>
        </w:tc>
        <w:tc>
          <w:tcPr>
            <w:tcW w:w="765" w:type="pct"/>
            <w:noWrap/>
            <w:hideMark/>
          </w:tcPr>
          <w:p w14:paraId="6B5B2801" w14:textId="77777777" w:rsidR="00911F85" w:rsidRPr="004F159E" w:rsidRDefault="00911F85" w:rsidP="008742A1">
            <w:pPr>
              <w:pStyle w:val="Tabletext1"/>
              <w:jc w:val="center"/>
              <w:rPr>
                <w:rFonts w:cs="Calibri"/>
                <w:color w:val="000000"/>
              </w:rPr>
            </w:pPr>
            <w:r w:rsidRPr="004318F2">
              <w:t>2,193</w:t>
            </w:r>
          </w:p>
        </w:tc>
        <w:tc>
          <w:tcPr>
            <w:tcW w:w="765" w:type="pct"/>
            <w:noWrap/>
            <w:hideMark/>
          </w:tcPr>
          <w:p w14:paraId="231A9F95" w14:textId="77777777" w:rsidR="00911F85" w:rsidRPr="004F159E" w:rsidRDefault="00911F85" w:rsidP="008742A1">
            <w:pPr>
              <w:pStyle w:val="Tabletext1"/>
              <w:jc w:val="center"/>
              <w:rPr>
                <w:rFonts w:cs="Calibri"/>
                <w:color w:val="000000"/>
              </w:rPr>
            </w:pPr>
            <w:r w:rsidRPr="004318F2">
              <w:t>2,334</w:t>
            </w:r>
          </w:p>
        </w:tc>
        <w:tc>
          <w:tcPr>
            <w:tcW w:w="764" w:type="pct"/>
            <w:noWrap/>
            <w:hideMark/>
          </w:tcPr>
          <w:p w14:paraId="4F68DC49" w14:textId="77777777" w:rsidR="00911F85" w:rsidRPr="004F159E" w:rsidRDefault="00911F85" w:rsidP="008742A1">
            <w:pPr>
              <w:pStyle w:val="Tabletext1"/>
              <w:jc w:val="center"/>
              <w:rPr>
                <w:rFonts w:cs="Calibri"/>
                <w:color w:val="000000"/>
              </w:rPr>
            </w:pPr>
            <w:r w:rsidRPr="004318F2">
              <w:t>2,475</w:t>
            </w:r>
          </w:p>
        </w:tc>
      </w:tr>
      <w:tr w:rsidR="00911F85" w:rsidRPr="004F159E" w14:paraId="746BD030" w14:textId="77777777" w:rsidTr="008742A1">
        <w:trPr>
          <w:cantSplit/>
          <w:trHeight w:val="300"/>
        </w:trPr>
        <w:tc>
          <w:tcPr>
            <w:tcW w:w="1177" w:type="pct"/>
          </w:tcPr>
          <w:p w14:paraId="663EADC4" w14:textId="77777777" w:rsidR="00911F85" w:rsidRPr="004F159E" w:rsidRDefault="00911F85" w:rsidP="008742A1">
            <w:pPr>
              <w:pStyle w:val="Tabletext1"/>
              <w:rPr>
                <w:rFonts w:cs="Calibri"/>
                <w:color w:val="000000"/>
              </w:rPr>
            </w:pPr>
            <w:r w:rsidRPr="00EB2111">
              <w:t>Post HSCT</w:t>
            </w:r>
          </w:p>
        </w:tc>
        <w:tc>
          <w:tcPr>
            <w:tcW w:w="764" w:type="pct"/>
            <w:noWrap/>
            <w:hideMark/>
          </w:tcPr>
          <w:p w14:paraId="0D9D387C" w14:textId="77777777" w:rsidR="00911F85" w:rsidRPr="004F159E" w:rsidRDefault="00911F85" w:rsidP="008742A1">
            <w:pPr>
              <w:pStyle w:val="Tabletext1"/>
              <w:jc w:val="center"/>
              <w:rPr>
                <w:rFonts w:cs="Calibri"/>
                <w:color w:val="000000"/>
              </w:rPr>
            </w:pPr>
            <w:r w:rsidRPr="00F351E8">
              <w:t>533</w:t>
            </w:r>
          </w:p>
        </w:tc>
        <w:tc>
          <w:tcPr>
            <w:tcW w:w="765" w:type="pct"/>
            <w:noWrap/>
            <w:hideMark/>
          </w:tcPr>
          <w:p w14:paraId="638C9F52" w14:textId="77777777" w:rsidR="00911F85" w:rsidRPr="004F159E" w:rsidRDefault="00911F85" w:rsidP="008742A1">
            <w:pPr>
              <w:pStyle w:val="Tabletext1"/>
              <w:jc w:val="center"/>
              <w:rPr>
                <w:rFonts w:cs="Calibri"/>
                <w:color w:val="000000"/>
              </w:rPr>
            </w:pPr>
            <w:r w:rsidRPr="00F351E8">
              <w:t>579</w:t>
            </w:r>
          </w:p>
        </w:tc>
        <w:tc>
          <w:tcPr>
            <w:tcW w:w="765" w:type="pct"/>
            <w:noWrap/>
            <w:hideMark/>
          </w:tcPr>
          <w:p w14:paraId="24C9086C" w14:textId="77777777" w:rsidR="00911F85" w:rsidRPr="004F159E" w:rsidRDefault="00911F85" w:rsidP="008742A1">
            <w:pPr>
              <w:pStyle w:val="Tabletext1"/>
              <w:jc w:val="center"/>
              <w:rPr>
                <w:rFonts w:cs="Calibri"/>
                <w:color w:val="000000"/>
              </w:rPr>
            </w:pPr>
            <w:r w:rsidRPr="00F351E8">
              <w:t>625</w:t>
            </w:r>
          </w:p>
        </w:tc>
        <w:tc>
          <w:tcPr>
            <w:tcW w:w="765" w:type="pct"/>
            <w:noWrap/>
            <w:hideMark/>
          </w:tcPr>
          <w:p w14:paraId="4F54E5D5" w14:textId="77777777" w:rsidR="00911F85" w:rsidRPr="004F159E" w:rsidRDefault="00911F85" w:rsidP="008742A1">
            <w:pPr>
              <w:pStyle w:val="Tabletext1"/>
              <w:jc w:val="center"/>
              <w:rPr>
                <w:rFonts w:cs="Calibri"/>
                <w:color w:val="000000"/>
              </w:rPr>
            </w:pPr>
            <w:r w:rsidRPr="00F351E8">
              <w:t>670</w:t>
            </w:r>
          </w:p>
        </w:tc>
        <w:tc>
          <w:tcPr>
            <w:tcW w:w="764" w:type="pct"/>
            <w:noWrap/>
            <w:hideMark/>
          </w:tcPr>
          <w:p w14:paraId="07020AFA" w14:textId="77777777" w:rsidR="00911F85" w:rsidRPr="004F159E" w:rsidRDefault="00911F85" w:rsidP="008742A1">
            <w:pPr>
              <w:pStyle w:val="Tabletext1"/>
              <w:jc w:val="center"/>
              <w:rPr>
                <w:rFonts w:cs="Calibri"/>
                <w:color w:val="000000"/>
              </w:rPr>
            </w:pPr>
            <w:r w:rsidRPr="00F351E8">
              <w:t>716</w:t>
            </w:r>
          </w:p>
        </w:tc>
      </w:tr>
      <w:tr w:rsidR="00911F85" w:rsidRPr="004F159E" w14:paraId="3B157359" w14:textId="77777777" w:rsidTr="008742A1">
        <w:trPr>
          <w:cantSplit/>
          <w:trHeight w:val="300"/>
        </w:trPr>
        <w:tc>
          <w:tcPr>
            <w:tcW w:w="1177" w:type="pct"/>
          </w:tcPr>
          <w:p w14:paraId="671ECA8E" w14:textId="77777777" w:rsidR="00911F85" w:rsidRPr="004F159E" w:rsidRDefault="00911F85" w:rsidP="008742A1">
            <w:pPr>
              <w:pStyle w:val="Tabletext1"/>
              <w:rPr>
                <w:rFonts w:cs="Calibri"/>
                <w:color w:val="000000"/>
              </w:rPr>
            </w:pPr>
            <w:r w:rsidRPr="00EB2111">
              <w:t>Other</w:t>
            </w:r>
            <w:r>
              <w:t xml:space="preserve"> HM (Version 2)</w:t>
            </w:r>
          </w:p>
        </w:tc>
        <w:tc>
          <w:tcPr>
            <w:tcW w:w="764" w:type="pct"/>
            <w:noWrap/>
            <w:hideMark/>
          </w:tcPr>
          <w:p w14:paraId="234D9303" w14:textId="77777777" w:rsidR="00911F85" w:rsidRPr="004F159E" w:rsidRDefault="00911F85" w:rsidP="008742A1">
            <w:pPr>
              <w:pStyle w:val="Tabletext1"/>
              <w:jc w:val="center"/>
              <w:rPr>
                <w:rFonts w:cs="Calibri"/>
                <w:color w:val="000000"/>
              </w:rPr>
            </w:pPr>
            <w:r w:rsidRPr="0076407C">
              <w:t>667</w:t>
            </w:r>
          </w:p>
        </w:tc>
        <w:tc>
          <w:tcPr>
            <w:tcW w:w="765" w:type="pct"/>
            <w:noWrap/>
            <w:hideMark/>
          </w:tcPr>
          <w:p w14:paraId="720DA35E" w14:textId="77777777" w:rsidR="00911F85" w:rsidRPr="004F159E" w:rsidRDefault="00911F85" w:rsidP="008742A1">
            <w:pPr>
              <w:pStyle w:val="Tabletext1"/>
              <w:jc w:val="center"/>
              <w:rPr>
                <w:rFonts w:cs="Calibri"/>
                <w:color w:val="000000"/>
              </w:rPr>
            </w:pPr>
            <w:r w:rsidRPr="0076407C">
              <w:t>699</w:t>
            </w:r>
          </w:p>
        </w:tc>
        <w:tc>
          <w:tcPr>
            <w:tcW w:w="765" w:type="pct"/>
            <w:noWrap/>
            <w:hideMark/>
          </w:tcPr>
          <w:p w14:paraId="10413FB8" w14:textId="77777777" w:rsidR="00911F85" w:rsidRPr="004F159E" w:rsidRDefault="00911F85" w:rsidP="008742A1">
            <w:pPr>
              <w:pStyle w:val="Tabletext1"/>
              <w:jc w:val="center"/>
              <w:rPr>
                <w:rFonts w:cs="Calibri"/>
                <w:color w:val="000000"/>
              </w:rPr>
            </w:pPr>
            <w:r w:rsidRPr="0076407C">
              <w:t>730</w:t>
            </w:r>
          </w:p>
        </w:tc>
        <w:tc>
          <w:tcPr>
            <w:tcW w:w="765" w:type="pct"/>
            <w:noWrap/>
            <w:hideMark/>
          </w:tcPr>
          <w:p w14:paraId="32361EFB" w14:textId="77777777" w:rsidR="00911F85" w:rsidRPr="004F159E" w:rsidRDefault="00911F85" w:rsidP="008742A1">
            <w:pPr>
              <w:pStyle w:val="Tabletext1"/>
              <w:jc w:val="center"/>
              <w:rPr>
                <w:rFonts w:cs="Calibri"/>
                <w:color w:val="000000"/>
              </w:rPr>
            </w:pPr>
            <w:r w:rsidRPr="0076407C">
              <w:t>762</w:t>
            </w:r>
          </w:p>
        </w:tc>
        <w:tc>
          <w:tcPr>
            <w:tcW w:w="764" w:type="pct"/>
            <w:noWrap/>
            <w:hideMark/>
          </w:tcPr>
          <w:p w14:paraId="614F524E" w14:textId="77777777" w:rsidR="00911F85" w:rsidRPr="004F159E" w:rsidRDefault="00911F85" w:rsidP="008742A1">
            <w:pPr>
              <w:pStyle w:val="Tabletext1"/>
              <w:jc w:val="center"/>
              <w:rPr>
                <w:rFonts w:cs="Calibri"/>
                <w:color w:val="000000"/>
              </w:rPr>
            </w:pPr>
            <w:r w:rsidRPr="0076407C">
              <w:t>793</w:t>
            </w:r>
          </w:p>
        </w:tc>
      </w:tr>
      <w:tr w:rsidR="00911F85" w:rsidRPr="004F159E" w14:paraId="0E5C3443" w14:textId="77777777" w:rsidTr="008742A1">
        <w:trPr>
          <w:cantSplit/>
          <w:trHeight w:val="300"/>
        </w:trPr>
        <w:tc>
          <w:tcPr>
            <w:tcW w:w="1177" w:type="pct"/>
          </w:tcPr>
          <w:p w14:paraId="40F6DE38" w14:textId="77777777" w:rsidR="00911F85" w:rsidRPr="00EB2111" w:rsidRDefault="00911F85" w:rsidP="008742A1">
            <w:pPr>
              <w:pStyle w:val="Tabletext1"/>
            </w:pPr>
            <w:r>
              <w:t xml:space="preserve">  Acute leukaemia (44.2%)</w:t>
            </w:r>
          </w:p>
        </w:tc>
        <w:tc>
          <w:tcPr>
            <w:tcW w:w="764" w:type="pct"/>
            <w:noWrap/>
          </w:tcPr>
          <w:p w14:paraId="59B7EFB8" w14:textId="77777777" w:rsidR="00911F85" w:rsidRPr="004F159E" w:rsidRDefault="00911F85" w:rsidP="008742A1">
            <w:pPr>
              <w:pStyle w:val="Tabletext1"/>
              <w:jc w:val="center"/>
              <w:rPr>
                <w:rFonts w:cs="Calibri"/>
                <w:color w:val="000000"/>
              </w:rPr>
            </w:pPr>
            <w:r w:rsidRPr="00037702">
              <w:t>295</w:t>
            </w:r>
          </w:p>
        </w:tc>
        <w:tc>
          <w:tcPr>
            <w:tcW w:w="765" w:type="pct"/>
            <w:noWrap/>
          </w:tcPr>
          <w:p w14:paraId="00745CD6" w14:textId="77777777" w:rsidR="00911F85" w:rsidRPr="004F159E" w:rsidRDefault="00911F85" w:rsidP="008742A1">
            <w:pPr>
              <w:pStyle w:val="Tabletext1"/>
              <w:jc w:val="center"/>
              <w:rPr>
                <w:rFonts w:cs="Calibri"/>
                <w:color w:val="000000"/>
              </w:rPr>
            </w:pPr>
            <w:r w:rsidRPr="00037702">
              <w:t>309</w:t>
            </w:r>
          </w:p>
        </w:tc>
        <w:tc>
          <w:tcPr>
            <w:tcW w:w="765" w:type="pct"/>
            <w:noWrap/>
          </w:tcPr>
          <w:p w14:paraId="0B1A1BF1" w14:textId="77777777" w:rsidR="00911F85" w:rsidRPr="004F159E" w:rsidRDefault="00911F85" w:rsidP="008742A1">
            <w:pPr>
              <w:pStyle w:val="Tabletext1"/>
              <w:jc w:val="center"/>
              <w:rPr>
                <w:rFonts w:cs="Calibri"/>
                <w:color w:val="000000"/>
              </w:rPr>
            </w:pPr>
            <w:r w:rsidRPr="00037702">
              <w:t>322</w:t>
            </w:r>
          </w:p>
        </w:tc>
        <w:tc>
          <w:tcPr>
            <w:tcW w:w="765" w:type="pct"/>
            <w:noWrap/>
          </w:tcPr>
          <w:p w14:paraId="03AEA7C0" w14:textId="77777777" w:rsidR="00911F85" w:rsidRPr="004F159E" w:rsidRDefault="00911F85" w:rsidP="008742A1">
            <w:pPr>
              <w:pStyle w:val="Tabletext1"/>
              <w:jc w:val="center"/>
              <w:rPr>
                <w:rFonts w:cs="Calibri"/>
                <w:color w:val="000000"/>
              </w:rPr>
            </w:pPr>
            <w:r w:rsidRPr="00037702">
              <w:t>336</w:t>
            </w:r>
          </w:p>
        </w:tc>
        <w:tc>
          <w:tcPr>
            <w:tcW w:w="764" w:type="pct"/>
            <w:noWrap/>
          </w:tcPr>
          <w:p w14:paraId="5E661C65" w14:textId="77777777" w:rsidR="00911F85" w:rsidRPr="004F159E" w:rsidRDefault="00911F85" w:rsidP="008742A1">
            <w:pPr>
              <w:pStyle w:val="Tabletext1"/>
              <w:jc w:val="center"/>
              <w:rPr>
                <w:rFonts w:cs="Calibri"/>
                <w:color w:val="000000"/>
              </w:rPr>
            </w:pPr>
            <w:r w:rsidRPr="00037702">
              <w:t>350</w:t>
            </w:r>
          </w:p>
        </w:tc>
      </w:tr>
      <w:tr w:rsidR="00911F85" w:rsidRPr="004F159E" w14:paraId="4FA3374B" w14:textId="77777777" w:rsidTr="008742A1">
        <w:trPr>
          <w:cantSplit/>
          <w:trHeight w:val="300"/>
        </w:trPr>
        <w:tc>
          <w:tcPr>
            <w:tcW w:w="1177" w:type="pct"/>
          </w:tcPr>
          <w:p w14:paraId="024D96CE" w14:textId="77777777" w:rsidR="00911F85" w:rsidRPr="00EB2111" w:rsidRDefault="00911F85" w:rsidP="008742A1">
            <w:pPr>
              <w:pStyle w:val="Tabletext1"/>
            </w:pPr>
            <w:r>
              <w:t xml:space="preserve">  Other HM (Version 3)</w:t>
            </w:r>
          </w:p>
        </w:tc>
        <w:tc>
          <w:tcPr>
            <w:tcW w:w="764" w:type="pct"/>
            <w:noWrap/>
          </w:tcPr>
          <w:p w14:paraId="759F139B" w14:textId="77777777" w:rsidR="00911F85" w:rsidRPr="004F159E" w:rsidRDefault="00911F85" w:rsidP="008742A1">
            <w:pPr>
              <w:pStyle w:val="Tabletext1"/>
              <w:jc w:val="center"/>
              <w:rPr>
                <w:rFonts w:cs="Calibri"/>
                <w:color w:val="000000"/>
              </w:rPr>
            </w:pPr>
            <w:r w:rsidRPr="00645C9C">
              <w:t>373</w:t>
            </w:r>
          </w:p>
        </w:tc>
        <w:tc>
          <w:tcPr>
            <w:tcW w:w="765" w:type="pct"/>
            <w:noWrap/>
          </w:tcPr>
          <w:p w14:paraId="72C0190B" w14:textId="77777777" w:rsidR="00911F85" w:rsidRPr="004F159E" w:rsidRDefault="00911F85" w:rsidP="008742A1">
            <w:pPr>
              <w:pStyle w:val="Tabletext1"/>
              <w:jc w:val="center"/>
              <w:rPr>
                <w:rFonts w:cs="Calibri"/>
                <w:color w:val="000000"/>
              </w:rPr>
            </w:pPr>
            <w:r w:rsidRPr="00645C9C">
              <w:t>390</w:t>
            </w:r>
          </w:p>
        </w:tc>
        <w:tc>
          <w:tcPr>
            <w:tcW w:w="765" w:type="pct"/>
            <w:noWrap/>
          </w:tcPr>
          <w:p w14:paraId="4E8DB5F4" w14:textId="77777777" w:rsidR="00911F85" w:rsidRPr="004F159E" w:rsidRDefault="00911F85" w:rsidP="008742A1">
            <w:pPr>
              <w:pStyle w:val="Tabletext1"/>
              <w:jc w:val="center"/>
              <w:rPr>
                <w:rFonts w:cs="Calibri"/>
                <w:color w:val="000000"/>
              </w:rPr>
            </w:pPr>
            <w:r w:rsidRPr="00645C9C">
              <w:t>408</w:t>
            </w:r>
          </w:p>
        </w:tc>
        <w:tc>
          <w:tcPr>
            <w:tcW w:w="765" w:type="pct"/>
            <w:noWrap/>
          </w:tcPr>
          <w:p w14:paraId="2D8A2E54" w14:textId="77777777" w:rsidR="00911F85" w:rsidRPr="004F159E" w:rsidRDefault="00911F85" w:rsidP="008742A1">
            <w:pPr>
              <w:pStyle w:val="Tabletext1"/>
              <w:jc w:val="center"/>
              <w:rPr>
                <w:rFonts w:cs="Calibri"/>
                <w:color w:val="000000"/>
              </w:rPr>
            </w:pPr>
            <w:r w:rsidRPr="00645C9C">
              <w:t>425</w:t>
            </w:r>
          </w:p>
        </w:tc>
        <w:tc>
          <w:tcPr>
            <w:tcW w:w="764" w:type="pct"/>
            <w:noWrap/>
          </w:tcPr>
          <w:p w14:paraId="29201A71" w14:textId="77777777" w:rsidR="00911F85" w:rsidRPr="004F159E" w:rsidRDefault="00911F85" w:rsidP="008742A1">
            <w:pPr>
              <w:pStyle w:val="Tabletext1"/>
              <w:jc w:val="center"/>
              <w:rPr>
                <w:rFonts w:cs="Calibri"/>
                <w:color w:val="000000"/>
              </w:rPr>
            </w:pPr>
            <w:r w:rsidRPr="00645C9C">
              <w:t>443</w:t>
            </w:r>
          </w:p>
        </w:tc>
      </w:tr>
      <w:tr w:rsidR="00911F85" w:rsidRPr="004F159E" w14:paraId="248FF1CD" w14:textId="77777777" w:rsidTr="008742A1">
        <w:trPr>
          <w:cantSplit/>
          <w:trHeight w:val="300"/>
        </w:trPr>
        <w:tc>
          <w:tcPr>
            <w:tcW w:w="1177" w:type="pct"/>
          </w:tcPr>
          <w:p w14:paraId="438D14B5" w14:textId="77777777" w:rsidR="00911F85" w:rsidRPr="007D0A00" w:rsidRDefault="00911F85" w:rsidP="008742A1">
            <w:pPr>
              <w:pStyle w:val="Tabletext1"/>
              <w:rPr>
                <w:b/>
              </w:rPr>
            </w:pPr>
            <w:r w:rsidRPr="007D0A00">
              <w:rPr>
                <w:b/>
              </w:rPr>
              <w:t>Total</w:t>
            </w:r>
          </w:p>
        </w:tc>
        <w:tc>
          <w:tcPr>
            <w:tcW w:w="764" w:type="pct"/>
            <w:noWrap/>
          </w:tcPr>
          <w:p w14:paraId="16604324" w14:textId="77777777" w:rsidR="00911F85" w:rsidRPr="00030044" w:rsidRDefault="00911F85" w:rsidP="008742A1">
            <w:pPr>
              <w:pStyle w:val="Tabletext1"/>
              <w:jc w:val="center"/>
              <w:rPr>
                <w:b/>
              </w:rPr>
            </w:pPr>
            <w:r w:rsidRPr="00030044">
              <w:rPr>
                <w:b/>
              </w:rPr>
              <w:t>6,488</w:t>
            </w:r>
          </w:p>
        </w:tc>
        <w:tc>
          <w:tcPr>
            <w:tcW w:w="765" w:type="pct"/>
            <w:noWrap/>
          </w:tcPr>
          <w:p w14:paraId="05FC7853" w14:textId="77777777" w:rsidR="00911F85" w:rsidRPr="00030044" w:rsidRDefault="00911F85" w:rsidP="008742A1">
            <w:pPr>
              <w:pStyle w:val="Tabletext1"/>
              <w:jc w:val="center"/>
              <w:rPr>
                <w:b/>
              </w:rPr>
            </w:pPr>
            <w:r w:rsidRPr="00030044">
              <w:rPr>
                <w:b/>
              </w:rPr>
              <w:t>6,894</w:t>
            </w:r>
          </w:p>
        </w:tc>
        <w:tc>
          <w:tcPr>
            <w:tcW w:w="765" w:type="pct"/>
            <w:noWrap/>
          </w:tcPr>
          <w:p w14:paraId="41A0BD20" w14:textId="77777777" w:rsidR="00911F85" w:rsidRPr="00030044" w:rsidRDefault="00911F85" w:rsidP="008742A1">
            <w:pPr>
              <w:pStyle w:val="Tabletext1"/>
              <w:jc w:val="center"/>
              <w:rPr>
                <w:b/>
              </w:rPr>
            </w:pPr>
            <w:r w:rsidRPr="00030044">
              <w:rPr>
                <w:b/>
              </w:rPr>
              <w:t>7,301</w:t>
            </w:r>
          </w:p>
        </w:tc>
        <w:tc>
          <w:tcPr>
            <w:tcW w:w="765" w:type="pct"/>
            <w:noWrap/>
          </w:tcPr>
          <w:p w14:paraId="4E845E93" w14:textId="77777777" w:rsidR="00911F85" w:rsidRPr="00030044" w:rsidRDefault="00911F85" w:rsidP="008742A1">
            <w:pPr>
              <w:pStyle w:val="Tabletext1"/>
              <w:jc w:val="center"/>
              <w:rPr>
                <w:b/>
              </w:rPr>
            </w:pPr>
            <w:r w:rsidRPr="00030044">
              <w:rPr>
                <w:b/>
              </w:rPr>
              <w:t>7,707</w:t>
            </w:r>
          </w:p>
        </w:tc>
        <w:tc>
          <w:tcPr>
            <w:tcW w:w="764" w:type="pct"/>
            <w:noWrap/>
          </w:tcPr>
          <w:p w14:paraId="472D0119" w14:textId="77777777" w:rsidR="00911F85" w:rsidRPr="00030044" w:rsidRDefault="00911F85" w:rsidP="008742A1">
            <w:pPr>
              <w:pStyle w:val="Tabletext1"/>
              <w:jc w:val="center"/>
              <w:rPr>
                <w:b/>
              </w:rPr>
            </w:pPr>
            <w:r w:rsidRPr="00030044">
              <w:rPr>
                <w:b/>
              </w:rPr>
              <w:t>8,114</w:t>
            </w:r>
          </w:p>
        </w:tc>
      </w:tr>
    </w:tbl>
    <w:p w14:paraId="413C1785" w14:textId="77777777" w:rsidR="00911F85" w:rsidRDefault="00911F85" w:rsidP="00911F85">
      <w:pPr>
        <w:pStyle w:val="Tablenotes1"/>
      </w:pPr>
      <w:r>
        <w:t>CLL = chronic lymphocytic lymphoma; HM = haematological malignancies; HSCT = haemopoietic stem cell transplantation; Ig = immunoglobulin; MM = multiple myeloma; NHL = non-Hodgkin’s lymphoma.</w:t>
      </w:r>
    </w:p>
    <w:p w14:paraId="395F1F2F" w14:textId="77777777" w:rsidR="00911F85" w:rsidRDefault="00911F85" w:rsidP="00911F85">
      <w:pPr>
        <w:pStyle w:val="Tablenotes1"/>
      </w:pPr>
      <w:r>
        <w:t>Source: ‘Estimated patient numbers’ worksheet in ‘1565 Financials.xlsx’ workbook.</w:t>
      </w:r>
    </w:p>
    <w:p w14:paraId="113C2E0F" w14:textId="77777777" w:rsidR="00911F85" w:rsidRDefault="00911F85" w:rsidP="00911F85"/>
    <w:p w14:paraId="4CBFC313" w14:textId="77777777" w:rsidR="00911F85" w:rsidRDefault="00911F85" w:rsidP="00911F85">
      <w:pPr>
        <w:pStyle w:val="Heading3"/>
      </w:pPr>
      <w:bookmarkStart w:id="627" w:name="_Toc14431177"/>
      <w:bookmarkStart w:id="628" w:name="_Toc16856353"/>
      <w:r>
        <w:t>Estimated use and cost per patient who receives Ig</w:t>
      </w:r>
      <w:bookmarkEnd w:id="627"/>
      <w:bookmarkEnd w:id="628"/>
    </w:p>
    <w:p w14:paraId="73AB90A2" w14:textId="77777777" w:rsidR="00911F85" w:rsidRDefault="00911F85" w:rsidP="00911F85">
      <w:pPr>
        <w:pStyle w:val="Heading4"/>
      </w:pPr>
      <w:r>
        <w:t>Average grams per patient per year</w:t>
      </w:r>
    </w:p>
    <w:p w14:paraId="17D883CD" w14:textId="48BF27B8" w:rsidR="00911F85" w:rsidRDefault="00911F85" w:rsidP="00911F85">
      <w:r>
        <w:t xml:space="preserve">A similar approach is used to estimate Ig use over the projected period, as patient weights and dose may change over time. The projected estimated grams for each indication are presented in </w:t>
      </w:r>
      <w:r>
        <w:fldChar w:fldCharType="begin"/>
      </w:r>
      <w:r>
        <w:instrText xml:space="preserve"> REF _Ref12448852 \h </w:instrText>
      </w:r>
      <w:r>
        <w:fldChar w:fldCharType="separate"/>
      </w:r>
      <w:r w:rsidR="00A7463B">
        <w:t xml:space="preserve">Table </w:t>
      </w:r>
      <w:r w:rsidR="00A7463B">
        <w:rPr>
          <w:noProof/>
        </w:rPr>
        <w:t>67</w:t>
      </w:r>
      <w:r>
        <w:fldChar w:fldCharType="end"/>
      </w:r>
      <w:r>
        <w:t xml:space="preserve">. </w:t>
      </w:r>
    </w:p>
    <w:p w14:paraId="68450724" w14:textId="77777777" w:rsidR="00911F85" w:rsidRDefault="00911F85" w:rsidP="00911F85">
      <w:pPr>
        <w:pStyle w:val="Caption"/>
        <w:keepNext/>
      </w:pPr>
      <w:bookmarkStart w:id="629" w:name="_Toc14348933"/>
      <w:bookmarkStart w:id="630" w:name="_Toc14429648"/>
      <w:bookmarkStart w:id="631" w:name="_Toc16671708"/>
      <w:r>
        <w:t xml:space="preserve">Figure </w:t>
      </w:r>
      <w:r>
        <w:rPr>
          <w:noProof/>
        </w:rPr>
        <w:fldChar w:fldCharType="begin"/>
      </w:r>
      <w:r>
        <w:rPr>
          <w:noProof/>
        </w:rPr>
        <w:instrText xml:space="preserve"> SEQ Figure \* ARABIC </w:instrText>
      </w:r>
      <w:r>
        <w:rPr>
          <w:noProof/>
        </w:rPr>
        <w:fldChar w:fldCharType="separate"/>
      </w:r>
      <w:r w:rsidR="00A7463B">
        <w:rPr>
          <w:noProof/>
        </w:rPr>
        <w:t>12</w:t>
      </w:r>
      <w:r>
        <w:rPr>
          <w:noProof/>
        </w:rPr>
        <w:fldChar w:fldCharType="end"/>
      </w:r>
      <w:r>
        <w:tab/>
        <w:t>Ig use projections</w:t>
      </w:r>
      <w:bookmarkEnd w:id="629"/>
      <w:bookmarkEnd w:id="630"/>
      <w:bookmarkEnd w:id="631"/>
    </w:p>
    <w:p w14:paraId="3B2FEEB5" w14:textId="77777777" w:rsidR="00911F85" w:rsidRDefault="00911F85" w:rsidP="00911F85">
      <w:r>
        <w:rPr>
          <w:noProof/>
        </w:rPr>
        <w:drawing>
          <wp:inline distT="0" distB="0" distL="0" distR="0" wp14:anchorId="734BAA27" wp14:editId="3FEC33EB">
            <wp:extent cx="4788000" cy="2845135"/>
            <wp:effectExtent l="0" t="0" r="0" b="0"/>
            <wp:docPr id="20" name="Picture 20" title="Ig use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l="996" t="1323" r="1830" b="2735"/>
                    <a:stretch/>
                  </pic:blipFill>
                  <pic:spPr bwMode="auto">
                    <a:xfrm>
                      <a:off x="0" y="0"/>
                      <a:ext cx="4788000" cy="2845135"/>
                    </a:xfrm>
                    <a:prstGeom prst="rect">
                      <a:avLst/>
                    </a:prstGeom>
                    <a:noFill/>
                    <a:ln>
                      <a:noFill/>
                    </a:ln>
                    <a:extLst>
                      <a:ext uri="{53640926-AAD7-44D8-BBD7-CCE9431645EC}">
                        <a14:shadowObscured xmlns:a14="http://schemas.microsoft.com/office/drawing/2010/main"/>
                      </a:ext>
                    </a:extLst>
                  </pic:spPr>
                </pic:pic>
              </a:graphicData>
            </a:graphic>
          </wp:inline>
        </w:drawing>
      </w:r>
    </w:p>
    <w:p w14:paraId="38E56E8B" w14:textId="77777777" w:rsidR="00911F85" w:rsidRDefault="00911F85" w:rsidP="00911F85">
      <w:pPr>
        <w:pStyle w:val="Tablenotes1"/>
      </w:pPr>
      <w:r>
        <w:t>CLL = chronic lymphocytic lymphoma; HM = haematological malignancies; HSCT = haemopoietic stem cell transplantation; Ig = immunoglobulin; MM = multiple myeloma; NHL = non-Hodgkin’s lymphoma.</w:t>
      </w:r>
    </w:p>
    <w:p w14:paraId="54CEADB3" w14:textId="77777777" w:rsidR="00911F85" w:rsidRDefault="00911F85" w:rsidP="00911F85">
      <w:pPr>
        <w:pStyle w:val="Tablenotes1"/>
      </w:pPr>
      <w:r>
        <w:t>Note: Grey portion denotes estimates that have been projected.</w:t>
      </w:r>
    </w:p>
    <w:p w14:paraId="17EA98C0" w14:textId="77777777" w:rsidR="00911F85" w:rsidRDefault="00911F85" w:rsidP="00911F85">
      <w:pPr>
        <w:pStyle w:val="Tablenotes1"/>
      </w:pPr>
      <w:r>
        <w:t>Source: ‘Estimated grams issued’ worksheet in ‘1565 Financials.xlsx’ workbook.</w:t>
      </w:r>
    </w:p>
    <w:p w14:paraId="1DF2C6BC" w14:textId="77777777" w:rsidR="00911F85" w:rsidRDefault="00911F85" w:rsidP="00911F85">
      <w:r>
        <w:lastRenderedPageBreak/>
        <w:t>The proportion of Ig use attributable to acute leukaemia was also estimated using a similar approach, with 6,700 grams issued during the observed period under the Version 3 criteria for acute leukaemia, compared to 13,407 for other haematological malignancies. Thus the proportion attributable to acute leukaemia was estimated to be 33.3%.</w:t>
      </w:r>
    </w:p>
    <w:p w14:paraId="05BECAA1" w14:textId="68639462" w:rsidR="00911F85" w:rsidRDefault="00911F85" w:rsidP="00911F85">
      <w:pPr>
        <w:pStyle w:val="Caption"/>
        <w:keepNext/>
      </w:pPr>
      <w:bookmarkStart w:id="632" w:name="_Ref12448852"/>
      <w:bookmarkStart w:id="633" w:name="_Toc14348901"/>
      <w:bookmarkStart w:id="634" w:name="_Toc14429607"/>
      <w:bookmarkStart w:id="635" w:name="_Toc16671665"/>
      <w:r>
        <w:t xml:space="preserve">Table </w:t>
      </w:r>
      <w:r>
        <w:rPr>
          <w:noProof/>
        </w:rPr>
        <w:fldChar w:fldCharType="begin"/>
      </w:r>
      <w:r>
        <w:rPr>
          <w:noProof/>
        </w:rPr>
        <w:instrText xml:space="preserve"> SEQ Table \* ARABIC </w:instrText>
      </w:r>
      <w:r>
        <w:rPr>
          <w:noProof/>
        </w:rPr>
        <w:fldChar w:fldCharType="separate"/>
      </w:r>
      <w:r w:rsidR="00A7463B">
        <w:rPr>
          <w:noProof/>
        </w:rPr>
        <w:t>67</w:t>
      </w:r>
      <w:r>
        <w:rPr>
          <w:noProof/>
        </w:rPr>
        <w:fldChar w:fldCharType="end"/>
      </w:r>
      <w:bookmarkEnd w:id="632"/>
      <w:r>
        <w:tab/>
      </w:r>
      <w:r w:rsidRPr="00A911CD">
        <w:t xml:space="preserve">Number of </w:t>
      </w:r>
      <w:r>
        <w:t>Ig grams</w:t>
      </w:r>
      <w:r w:rsidRPr="00A911CD">
        <w:t xml:space="preserve"> </w:t>
      </w:r>
      <w:r>
        <w:t>issued</w:t>
      </w:r>
      <w:r w:rsidRPr="00A911CD">
        <w:t xml:space="preserve"> by indication, 2019-20 to 2023-24</w:t>
      </w:r>
      <w:bookmarkEnd w:id="633"/>
      <w:bookmarkEnd w:id="634"/>
      <w:bookmarkEnd w:id="635"/>
    </w:p>
    <w:tbl>
      <w:tblPr>
        <w:tblStyle w:val="TableGrid1"/>
        <w:tblW w:w="5000" w:type="pct"/>
        <w:tblLook w:val="04A0" w:firstRow="1" w:lastRow="0" w:firstColumn="1" w:lastColumn="0" w:noHBand="0" w:noVBand="1"/>
        <w:tblCaption w:val="Number of Ig grams issued by indication, 2019-20 to 2023-24"/>
      </w:tblPr>
      <w:tblGrid>
        <w:gridCol w:w="2176"/>
        <w:gridCol w:w="1412"/>
        <w:gridCol w:w="1414"/>
        <w:gridCol w:w="1414"/>
        <w:gridCol w:w="1414"/>
        <w:gridCol w:w="1412"/>
      </w:tblGrid>
      <w:tr w:rsidR="00911F85" w:rsidRPr="004F159E" w14:paraId="7C84C9E0" w14:textId="77777777" w:rsidTr="008742A1">
        <w:trPr>
          <w:cnfStyle w:val="100000000000" w:firstRow="1" w:lastRow="0" w:firstColumn="0" w:lastColumn="0" w:oddVBand="0" w:evenVBand="0" w:oddHBand="0" w:evenHBand="0" w:firstRowFirstColumn="0" w:firstRowLastColumn="0" w:lastRowFirstColumn="0" w:lastRowLastColumn="0"/>
          <w:cantSplit/>
          <w:trHeight w:val="300"/>
          <w:tblHeader/>
        </w:trPr>
        <w:tc>
          <w:tcPr>
            <w:tcW w:w="1177" w:type="pct"/>
          </w:tcPr>
          <w:p w14:paraId="03703C0A" w14:textId="77777777" w:rsidR="00911F85" w:rsidRPr="004F159E" w:rsidRDefault="00911F85" w:rsidP="008742A1">
            <w:pPr>
              <w:pStyle w:val="TableHeading"/>
            </w:pPr>
          </w:p>
        </w:tc>
        <w:tc>
          <w:tcPr>
            <w:tcW w:w="764" w:type="pct"/>
            <w:noWrap/>
            <w:hideMark/>
          </w:tcPr>
          <w:p w14:paraId="03BBEBEE" w14:textId="77777777" w:rsidR="00911F85" w:rsidRPr="004F159E" w:rsidRDefault="00911F85" w:rsidP="008742A1">
            <w:pPr>
              <w:pStyle w:val="TableHeading"/>
              <w:jc w:val="center"/>
            </w:pPr>
            <w:r w:rsidRPr="004F159E">
              <w:t>2019-20</w:t>
            </w:r>
          </w:p>
        </w:tc>
        <w:tc>
          <w:tcPr>
            <w:tcW w:w="765" w:type="pct"/>
            <w:noWrap/>
            <w:hideMark/>
          </w:tcPr>
          <w:p w14:paraId="5B56C7F3" w14:textId="77777777" w:rsidR="00911F85" w:rsidRPr="004F159E" w:rsidRDefault="00911F85" w:rsidP="008742A1">
            <w:pPr>
              <w:pStyle w:val="TableHeading"/>
              <w:jc w:val="center"/>
            </w:pPr>
            <w:r w:rsidRPr="004F159E">
              <w:t>2020-21</w:t>
            </w:r>
          </w:p>
        </w:tc>
        <w:tc>
          <w:tcPr>
            <w:tcW w:w="765" w:type="pct"/>
            <w:noWrap/>
            <w:hideMark/>
          </w:tcPr>
          <w:p w14:paraId="2B41A1DA" w14:textId="77777777" w:rsidR="00911F85" w:rsidRPr="004F159E" w:rsidRDefault="00911F85" w:rsidP="008742A1">
            <w:pPr>
              <w:pStyle w:val="TableHeading"/>
              <w:jc w:val="center"/>
            </w:pPr>
            <w:r w:rsidRPr="004F159E">
              <w:t>2021-22</w:t>
            </w:r>
          </w:p>
        </w:tc>
        <w:tc>
          <w:tcPr>
            <w:tcW w:w="765" w:type="pct"/>
            <w:noWrap/>
            <w:hideMark/>
          </w:tcPr>
          <w:p w14:paraId="0FEAE33E" w14:textId="77777777" w:rsidR="00911F85" w:rsidRPr="004F159E" w:rsidRDefault="00911F85" w:rsidP="008742A1">
            <w:pPr>
              <w:pStyle w:val="TableHeading"/>
              <w:jc w:val="center"/>
            </w:pPr>
            <w:r w:rsidRPr="004F159E">
              <w:t>2022-23</w:t>
            </w:r>
          </w:p>
        </w:tc>
        <w:tc>
          <w:tcPr>
            <w:tcW w:w="764" w:type="pct"/>
            <w:noWrap/>
            <w:hideMark/>
          </w:tcPr>
          <w:p w14:paraId="411C7A18" w14:textId="77777777" w:rsidR="00911F85" w:rsidRPr="004F159E" w:rsidRDefault="00911F85" w:rsidP="008742A1">
            <w:pPr>
              <w:pStyle w:val="TableHeading"/>
              <w:jc w:val="center"/>
            </w:pPr>
            <w:r w:rsidRPr="004F159E">
              <w:t>2023-24</w:t>
            </w:r>
          </w:p>
        </w:tc>
      </w:tr>
      <w:tr w:rsidR="00911F85" w:rsidRPr="004F159E" w14:paraId="51BBA695" w14:textId="77777777" w:rsidTr="008742A1">
        <w:trPr>
          <w:cantSplit/>
          <w:trHeight w:val="300"/>
        </w:trPr>
        <w:tc>
          <w:tcPr>
            <w:tcW w:w="1177" w:type="pct"/>
          </w:tcPr>
          <w:p w14:paraId="0D418A71" w14:textId="77777777" w:rsidR="00911F85" w:rsidRPr="004F159E" w:rsidRDefault="00911F85" w:rsidP="008742A1">
            <w:pPr>
              <w:pStyle w:val="Tabletext1"/>
              <w:rPr>
                <w:rFonts w:cs="Calibri"/>
                <w:color w:val="000000"/>
              </w:rPr>
            </w:pPr>
            <w:r w:rsidRPr="00EB2111">
              <w:t>CLL</w:t>
            </w:r>
          </w:p>
        </w:tc>
        <w:tc>
          <w:tcPr>
            <w:tcW w:w="764" w:type="pct"/>
            <w:noWrap/>
            <w:hideMark/>
          </w:tcPr>
          <w:p w14:paraId="2668D277" w14:textId="77777777" w:rsidR="00911F85" w:rsidRPr="004F159E" w:rsidRDefault="00911F85" w:rsidP="008742A1">
            <w:pPr>
              <w:pStyle w:val="Tabletext1"/>
              <w:jc w:val="center"/>
              <w:rPr>
                <w:rFonts w:cs="Calibri"/>
                <w:color w:val="000000"/>
              </w:rPr>
            </w:pPr>
            <w:r w:rsidRPr="005A2A6A">
              <w:t>502,376</w:t>
            </w:r>
          </w:p>
        </w:tc>
        <w:tc>
          <w:tcPr>
            <w:tcW w:w="765" w:type="pct"/>
            <w:noWrap/>
            <w:hideMark/>
          </w:tcPr>
          <w:p w14:paraId="1E5EE8AA" w14:textId="77777777" w:rsidR="00911F85" w:rsidRPr="004F159E" w:rsidRDefault="00911F85" w:rsidP="008742A1">
            <w:pPr>
              <w:pStyle w:val="Tabletext1"/>
              <w:jc w:val="center"/>
              <w:rPr>
                <w:rFonts w:cs="Calibri"/>
                <w:color w:val="000000"/>
              </w:rPr>
            </w:pPr>
            <w:r w:rsidRPr="005A2A6A">
              <w:t>538,942</w:t>
            </w:r>
          </w:p>
        </w:tc>
        <w:tc>
          <w:tcPr>
            <w:tcW w:w="765" w:type="pct"/>
            <w:noWrap/>
            <w:hideMark/>
          </w:tcPr>
          <w:p w14:paraId="3A107589" w14:textId="77777777" w:rsidR="00911F85" w:rsidRPr="004F159E" w:rsidRDefault="00911F85" w:rsidP="008742A1">
            <w:pPr>
              <w:pStyle w:val="Tabletext1"/>
              <w:jc w:val="center"/>
              <w:rPr>
                <w:rFonts w:cs="Calibri"/>
                <w:color w:val="000000"/>
              </w:rPr>
            </w:pPr>
            <w:r w:rsidRPr="005A2A6A">
              <w:t>575,508</w:t>
            </w:r>
          </w:p>
        </w:tc>
        <w:tc>
          <w:tcPr>
            <w:tcW w:w="765" w:type="pct"/>
            <w:noWrap/>
            <w:hideMark/>
          </w:tcPr>
          <w:p w14:paraId="2479CFF4" w14:textId="77777777" w:rsidR="00911F85" w:rsidRPr="004F159E" w:rsidRDefault="00911F85" w:rsidP="008742A1">
            <w:pPr>
              <w:pStyle w:val="Tabletext1"/>
              <w:jc w:val="center"/>
              <w:rPr>
                <w:rFonts w:cs="Calibri"/>
                <w:color w:val="000000"/>
              </w:rPr>
            </w:pPr>
            <w:r w:rsidRPr="005A2A6A">
              <w:t>612,074</w:t>
            </w:r>
          </w:p>
        </w:tc>
        <w:tc>
          <w:tcPr>
            <w:tcW w:w="764" w:type="pct"/>
            <w:noWrap/>
            <w:hideMark/>
          </w:tcPr>
          <w:p w14:paraId="702B8C8B" w14:textId="77777777" w:rsidR="00911F85" w:rsidRPr="004F159E" w:rsidRDefault="00911F85" w:rsidP="008742A1">
            <w:pPr>
              <w:pStyle w:val="Tabletext1"/>
              <w:jc w:val="center"/>
              <w:rPr>
                <w:rFonts w:cs="Calibri"/>
                <w:color w:val="000000"/>
              </w:rPr>
            </w:pPr>
            <w:r w:rsidRPr="005A2A6A">
              <w:t>648,640</w:t>
            </w:r>
          </w:p>
        </w:tc>
      </w:tr>
      <w:tr w:rsidR="00911F85" w:rsidRPr="004F159E" w14:paraId="6918B878" w14:textId="77777777" w:rsidTr="008742A1">
        <w:trPr>
          <w:cantSplit/>
          <w:trHeight w:val="300"/>
        </w:trPr>
        <w:tc>
          <w:tcPr>
            <w:tcW w:w="1177" w:type="pct"/>
          </w:tcPr>
          <w:p w14:paraId="26F28629" w14:textId="77777777" w:rsidR="00911F85" w:rsidRPr="004F159E" w:rsidRDefault="00911F85" w:rsidP="008742A1">
            <w:pPr>
              <w:pStyle w:val="Tabletext1"/>
              <w:rPr>
                <w:rFonts w:cs="Calibri"/>
                <w:color w:val="000000"/>
              </w:rPr>
            </w:pPr>
            <w:r w:rsidRPr="00EB2111">
              <w:t>MM</w:t>
            </w:r>
          </w:p>
        </w:tc>
        <w:tc>
          <w:tcPr>
            <w:tcW w:w="764" w:type="pct"/>
            <w:noWrap/>
            <w:hideMark/>
          </w:tcPr>
          <w:p w14:paraId="4111992D" w14:textId="77777777" w:rsidR="00911F85" w:rsidRPr="004F159E" w:rsidRDefault="00911F85" w:rsidP="008742A1">
            <w:pPr>
              <w:pStyle w:val="Tabletext1"/>
              <w:jc w:val="center"/>
              <w:rPr>
                <w:rFonts w:cs="Calibri"/>
                <w:color w:val="000000"/>
              </w:rPr>
            </w:pPr>
            <w:r w:rsidRPr="005A2A6A">
              <w:t>403,000</w:t>
            </w:r>
          </w:p>
        </w:tc>
        <w:tc>
          <w:tcPr>
            <w:tcW w:w="765" w:type="pct"/>
            <w:noWrap/>
            <w:hideMark/>
          </w:tcPr>
          <w:p w14:paraId="5B2E3BB9" w14:textId="77777777" w:rsidR="00911F85" w:rsidRPr="004F159E" w:rsidRDefault="00911F85" w:rsidP="008742A1">
            <w:pPr>
              <w:pStyle w:val="Tabletext1"/>
              <w:jc w:val="center"/>
              <w:rPr>
                <w:rFonts w:cs="Calibri"/>
                <w:color w:val="000000"/>
              </w:rPr>
            </w:pPr>
            <w:r w:rsidRPr="005A2A6A">
              <w:t>431,787</w:t>
            </w:r>
          </w:p>
        </w:tc>
        <w:tc>
          <w:tcPr>
            <w:tcW w:w="765" w:type="pct"/>
            <w:noWrap/>
            <w:hideMark/>
          </w:tcPr>
          <w:p w14:paraId="17B60306" w14:textId="77777777" w:rsidR="00911F85" w:rsidRPr="004F159E" w:rsidRDefault="00911F85" w:rsidP="008742A1">
            <w:pPr>
              <w:pStyle w:val="Tabletext1"/>
              <w:jc w:val="center"/>
              <w:rPr>
                <w:rFonts w:cs="Calibri"/>
                <w:color w:val="000000"/>
              </w:rPr>
            </w:pPr>
            <w:r w:rsidRPr="005A2A6A">
              <w:t>460,574</w:t>
            </w:r>
          </w:p>
        </w:tc>
        <w:tc>
          <w:tcPr>
            <w:tcW w:w="765" w:type="pct"/>
            <w:noWrap/>
            <w:hideMark/>
          </w:tcPr>
          <w:p w14:paraId="3C9EB65A" w14:textId="77777777" w:rsidR="00911F85" w:rsidRPr="004F159E" w:rsidRDefault="00911F85" w:rsidP="008742A1">
            <w:pPr>
              <w:pStyle w:val="Tabletext1"/>
              <w:jc w:val="center"/>
              <w:rPr>
                <w:rFonts w:cs="Calibri"/>
                <w:color w:val="000000"/>
              </w:rPr>
            </w:pPr>
            <w:r w:rsidRPr="005A2A6A">
              <w:t>489,361</w:t>
            </w:r>
          </w:p>
        </w:tc>
        <w:tc>
          <w:tcPr>
            <w:tcW w:w="764" w:type="pct"/>
            <w:noWrap/>
            <w:hideMark/>
          </w:tcPr>
          <w:p w14:paraId="2FC664E0" w14:textId="77777777" w:rsidR="00911F85" w:rsidRPr="004F159E" w:rsidRDefault="00911F85" w:rsidP="008742A1">
            <w:pPr>
              <w:pStyle w:val="Tabletext1"/>
              <w:jc w:val="center"/>
              <w:rPr>
                <w:rFonts w:cs="Calibri"/>
                <w:color w:val="000000"/>
              </w:rPr>
            </w:pPr>
            <w:r w:rsidRPr="005A2A6A">
              <w:t>518,148</w:t>
            </w:r>
          </w:p>
        </w:tc>
      </w:tr>
      <w:tr w:rsidR="00911F85" w:rsidRPr="004F159E" w14:paraId="2997E235" w14:textId="77777777" w:rsidTr="008742A1">
        <w:trPr>
          <w:cantSplit/>
          <w:trHeight w:val="300"/>
        </w:trPr>
        <w:tc>
          <w:tcPr>
            <w:tcW w:w="1177" w:type="pct"/>
          </w:tcPr>
          <w:p w14:paraId="7469BE4A" w14:textId="77777777" w:rsidR="00911F85" w:rsidRPr="004F159E" w:rsidRDefault="00911F85" w:rsidP="008742A1">
            <w:pPr>
              <w:pStyle w:val="Tabletext1"/>
              <w:rPr>
                <w:rFonts w:cs="Calibri"/>
                <w:color w:val="000000"/>
              </w:rPr>
            </w:pPr>
            <w:r w:rsidRPr="00EB2111">
              <w:t>NHL</w:t>
            </w:r>
          </w:p>
        </w:tc>
        <w:tc>
          <w:tcPr>
            <w:tcW w:w="764" w:type="pct"/>
            <w:noWrap/>
            <w:hideMark/>
          </w:tcPr>
          <w:p w14:paraId="17B60FE7" w14:textId="77777777" w:rsidR="00911F85" w:rsidRPr="004F159E" w:rsidRDefault="00911F85" w:rsidP="008742A1">
            <w:pPr>
              <w:pStyle w:val="Tabletext1"/>
              <w:jc w:val="center"/>
              <w:rPr>
                <w:rFonts w:cs="Calibri"/>
                <w:color w:val="000000"/>
              </w:rPr>
            </w:pPr>
            <w:r w:rsidRPr="005A2A6A">
              <w:t>501,437</w:t>
            </w:r>
          </w:p>
        </w:tc>
        <w:tc>
          <w:tcPr>
            <w:tcW w:w="765" w:type="pct"/>
            <w:noWrap/>
            <w:hideMark/>
          </w:tcPr>
          <w:p w14:paraId="3E8CBD80" w14:textId="77777777" w:rsidR="00911F85" w:rsidRPr="004F159E" w:rsidRDefault="00911F85" w:rsidP="008742A1">
            <w:pPr>
              <w:pStyle w:val="Tabletext1"/>
              <w:jc w:val="center"/>
              <w:rPr>
                <w:rFonts w:cs="Calibri"/>
                <w:color w:val="000000"/>
              </w:rPr>
            </w:pPr>
            <w:r w:rsidRPr="005A2A6A">
              <w:t>543,109</w:t>
            </w:r>
          </w:p>
        </w:tc>
        <w:tc>
          <w:tcPr>
            <w:tcW w:w="765" w:type="pct"/>
            <w:noWrap/>
            <w:hideMark/>
          </w:tcPr>
          <w:p w14:paraId="384EB443" w14:textId="77777777" w:rsidR="00911F85" w:rsidRPr="004F159E" w:rsidRDefault="00911F85" w:rsidP="008742A1">
            <w:pPr>
              <w:pStyle w:val="Tabletext1"/>
              <w:jc w:val="center"/>
              <w:rPr>
                <w:rFonts w:cs="Calibri"/>
                <w:color w:val="000000"/>
              </w:rPr>
            </w:pPr>
            <w:r w:rsidRPr="005A2A6A">
              <w:t>584,781</w:t>
            </w:r>
          </w:p>
        </w:tc>
        <w:tc>
          <w:tcPr>
            <w:tcW w:w="765" w:type="pct"/>
            <w:noWrap/>
            <w:hideMark/>
          </w:tcPr>
          <w:p w14:paraId="3E66433C" w14:textId="77777777" w:rsidR="00911F85" w:rsidRPr="004F159E" w:rsidRDefault="00911F85" w:rsidP="008742A1">
            <w:pPr>
              <w:pStyle w:val="Tabletext1"/>
              <w:jc w:val="center"/>
              <w:rPr>
                <w:rFonts w:cs="Calibri"/>
                <w:color w:val="000000"/>
              </w:rPr>
            </w:pPr>
            <w:r w:rsidRPr="005A2A6A">
              <w:t>626,453</w:t>
            </w:r>
          </w:p>
        </w:tc>
        <w:tc>
          <w:tcPr>
            <w:tcW w:w="764" w:type="pct"/>
            <w:noWrap/>
            <w:hideMark/>
          </w:tcPr>
          <w:p w14:paraId="742E26EA" w14:textId="77777777" w:rsidR="00911F85" w:rsidRPr="004F159E" w:rsidRDefault="00911F85" w:rsidP="008742A1">
            <w:pPr>
              <w:pStyle w:val="Tabletext1"/>
              <w:jc w:val="center"/>
              <w:rPr>
                <w:rFonts w:cs="Calibri"/>
                <w:color w:val="000000"/>
              </w:rPr>
            </w:pPr>
            <w:r w:rsidRPr="005A2A6A">
              <w:t>668,125</w:t>
            </w:r>
          </w:p>
        </w:tc>
      </w:tr>
      <w:tr w:rsidR="00911F85" w:rsidRPr="004F159E" w14:paraId="1B1B3C1F" w14:textId="77777777" w:rsidTr="008742A1">
        <w:trPr>
          <w:cantSplit/>
          <w:trHeight w:val="300"/>
        </w:trPr>
        <w:tc>
          <w:tcPr>
            <w:tcW w:w="1177" w:type="pct"/>
          </w:tcPr>
          <w:p w14:paraId="42CDE731" w14:textId="77777777" w:rsidR="00911F85" w:rsidRPr="004F159E" w:rsidRDefault="00911F85" w:rsidP="008742A1">
            <w:pPr>
              <w:pStyle w:val="Tabletext1"/>
              <w:rPr>
                <w:rFonts w:cs="Calibri"/>
                <w:color w:val="000000"/>
              </w:rPr>
            </w:pPr>
            <w:r w:rsidRPr="00EB2111">
              <w:t>Post HSCT</w:t>
            </w:r>
          </w:p>
        </w:tc>
        <w:tc>
          <w:tcPr>
            <w:tcW w:w="764" w:type="pct"/>
            <w:noWrap/>
            <w:hideMark/>
          </w:tcPr>
          <w:p w14:paraId="702B17C4" w14:textId="77777777" w:rsidR="00911F85" w:rsidRPr="004F159E" w:rsidRDefault="00911F85" w:rsidP="008742A1">
            <w:pPr>
              <w:pStyle w:val="Tabletext1"/>
              <w:jc w:val="center"/>
              <w:rPr>
                <w:rFonts w:cs="Calibri"/>
                <w:color w:val="000000"/>
              </w:rPr>
            </w:pPr>
            <w:r w:rsidRPr="005A2A6A">
              <w:t>91,434</w:t>
            </w:r>
          </w:p>
        </w:tc>
        <w:tc>
          <w:tcPr>
            <w:tcW w:w="765" w:type="pct"/>
            <w:noWrap/>
            <w:hideMark/>
          </w:tcPr>
          <w:p w14:paraId="403BB9A8" w14:textId="77777777" w:rsidR="00911F85" w:rsidRPr="004F159E" w:rsidRDefault="00911F85" w:rsidP="008742A1">
            <w:pPr>
              <w:pStyle w:val="Tabletext1"/>
              <w:jc w:val="center"/>
              <w:rPr>
                <w:rFonts w:cs="Calibri"/>
                <w:color w:val="000000"/>
              </w:rPr>
            </w:pPr>
            <w:r w:rsidRPr="005A2A6A">
              <w:t>101,543</w:t>
            </w:r>
          </w:p>
        </w:tc>
        <w:tc>
          <w:tcPr>
            <w:tcW w:w="765" w:type="pct"/>
            <w:noWrap/>
            <w:hideMark/>
          </w:tcPr>
          <w:p w14:paraId="4E4E3AD2" w14:textId="77777777" w:rsidR="00911F85" w:rsidRPr="004F159E" w:rsidRDefault="00911F85" w:rsidP="008742A1">
            <w:pPr>
              <w:pStyle w:val="Tabletext1"/>
              <w:jc w:val="center"/>
              <w:rPr>
                <w:rFonts w:cs="Calibri"/>
                <w:color w:val="000000"/>
              </w:rPr>
            </w:pPr>
            <w:r w:rsidRPr="005A2A6A">
              <w:t>111,652</w:t>
            </w:r>
          </w:p>
        </w:tc>
        <w:tc>
          <w:tcPr>
            <w:tcW w:w="765" w:type="pct"/>
            <w:noWrap/>
            <w:hideMark/>
          </w:tcPr>
          <w:p w14:paraId="2A336D7F" w14:textId="77777777" w:rsidR="00911F85" w:rsidRPr="004F159E" w:rsidRDefault="00911F85" w:rsidP="008742A1">
            <w:pPr>
              <w:pStyle w:val="Tabletext1"/>
              <w:jc w:val="center"/>
              <w:rPr>
                <w:rFonts w:cs="Calibri"/>
                <w:color w:val="000000"/>
              </w:rPr>
            </w:pPr>
            <w:r w:rsidRPr="005A2A6A">
              <w:t>121,761</w:t>
            </w:r>
          </w:p>
        </w:tc>
        <w:tc>
          <w:tcPr>
            <w:tcW w:w="764" w:type="pct"/>
            <w:noWrap/>
            <w:hideMark/>
          </w:tcPr>
          <w:p w14:paraId="11FC677F" w14:textId="77777777" w:rsidR="00911F85" w:rsidRPr="004F159E" w:rsidRDefault="00911F85" w:rsidP="008742A1">
            <w:pPr>
              <w:pStyle w:val="Tabletext1"/>
              <w:jc w:val="center"/>
              <w:rPr>
                <w:rFonts w:cs="Calibri"/>
                <w:color w:val="000000"/>
              </w:rPr>
            </w:pPr>
            <w:r w:rsidRPr="005A2A6A">
              <w:t>131,870</w:t>
            </w:r>
          </w:p>
        </w:tc>
      </w:tr>
      <w:tr w:rsidR="00911F85" w:rsidRPr="004F159E" w14:paraId="6AB75BDD" w14:textId="77777777" w:rsidTr="008742A1">
        <w:trPr>
          <w:cantSplit/>
          <w:trHeight w:val="300"/>
        </w:trPr>
        <w:tc>
          <w:tcPr>
            <w:tcW w:w="1177" w:type="pct"/>
          </w:tcPr>
          <w:p w14:paraId="7EDE2196" w14:textId="77777777" w:rsidR="00911F85" w:rsidRPr="004F159E" w:rsidRDefault="00911F85" w:rsidP="008742A1">
            <w:pPr>
              <w:pStyle w:val="Tabletext1"/>
              <w:rPr>
                <w:rFonts w:cs="Calibri"/>
                <w:color w:val="000000"/>
              </w:rPr>
            </w:pPr>
            <w:r w:rsidRPr="00EB2111">
              <w:t>Other</w:t>
            </w:r>
            <w:r>
              <w:t xml:space="preserve"> HM (Version 2)</w:t>
            </w:r>
          </w:p>
        </w:tc>
        <w:tc>
          <w:tcPr>
            <w:tcW w:w="764" w:type="pct"/>
            <w:noWrap/>
            <w:hideMark/>
          </w:tcPr>
          <w:p w14:paraId="2ABB7DC4" w14:textId="77777777" w:rsidR="00911F85" w:rsidRPr="004F159E" w:rsidRDefault="00911F85" w:rsidP="008742A1">
            <w:pPr>
              <w:pStyle w:val="Tabletext1"/>
              <w:jc w:val="center"/>
              <w:rPr>
                <w:rFonts w:cs="Calibri"/>
                <w:color w:val="000000"/>
              </w:rPr>
            </w:pPr>
            <w:r w:rsidRPr="005A2A6A">
              <w:t>126,258</w:t>
            </w:r>
          </w:p>
        </w:tc>
        <w:tc>
          <w:tcPr>
            <w:tcW w:w="765" w:type="pct"/>
            <w:noWrap/>
            <w:hideMark/>
          </w:tcPr>
          <w:p w14:paraId="75D48EDC" w14:textId="77777777" w:rsidR="00911F85" w:rsidRPr="004F159E" w:rsidRDefault="00911F85" w:rsidP="008742A1">
            <w:pPr>
              <w:pStyle w:val="Tabletext1"/>
              <w:jc w:val="center"/>
              <w:rPr>
                <w:rFonts w:cs="Calibri"/>
                <w:color w:val="000000"/>
              </w:rPr>
            </w:pPr>
            <w:r w:rsidRPr="005A2A6A">
              <w:t>133,522</w:t>
            </w:r>
          </w:p>
        </w:tc>
        <w:tc>
          <w:tcPr>
            <w:tcW w:w="765" w:type="pct"/>
            <w:noWrap/>
            <w:hideMark/>
          </w:tcPr>
          <w:p w14:paraId="767972C6" w14:textId="77777777" w:rsidR="00911F85" w:rsidRPr="004F159E" w:rsidRDefault="00911F85" w:rsidP="008742A1">
            <w:pPr>
              <w:pStyle w:val="Tabletext1"/>
              <w:jc w:val="center"/>
              <w:rPr>
                <w:rFonts w:cs="Calibri"/>
                <w:color w:val="000000"/>
              </w:rPr>
            </w:pPr>
            <w:r w:rsidRPr="005A2A6A">
              <w:t>140,786</w:t>
            </w:r>
          </w:p>
        </w:tc>
        <w:tc>
          <w:tcPr>
            <w:tcW w:w="765" w:type="pct"/>
            <w:noWrap/>
            <w:hideMark/>
          </w:tcPr>
          <w:p w14:paraId="2C3502A7" w14:textId="77777777" w:rsidR="00911F85" w:rsidRPr="004F159E" w:rsidRDefault="00911F85" w:rsidP="008742A1">
            <w:pPr>
              <w:pStyle w:val="Tabletext1"/>
              <w:jc w:val="center"/>
              <w:rPr>
                <w:rFonts w:cs="Calibri"/>
                <w:color w:val="000000"/>
              </w:rPr>
            </w:pPr>
            <w:r w:rsidRPr="005A2A6A">
              <w:t>148,049</w:t>
            </w:r>
          </w:p>
        </w:tc>
        <w:tc>
          <w:tcPr>
            <w:tcW w:w="764" w:type="pct"/>
            <w:noWrap/>
            <w:hideMark/>
          </w:tcPr>
          <w:p w14:paraId="08B389BA" w14:textId="77777777" w:rsidR="00911F85" w:rsidRPr="004F159E" w:rsidRDefault="00911F85" w:rsidP="008742A1">
            <w:pPr>
              <w:pStyle w:val="Tabletext1"/>
              <w:jc w:val="center"/>
              <w:rPr>
                <w:rFonts w:cs="Calibri"/>
                <w:color w:val="000000"/>
              </w:rPr>
            </w:pPr>
            <w:r w:rsidRPr="005A2A6A">
              <w:t>155,313</w:t>
            </w:r>
          </w:p>
        </w:tc>
      </w:tr>
      <w:tr w:rsidR="00911F85" w:rsidRPr="004F159E" w14:paraId="71D5411E" w14:textId="77777777" w:rsidTr="008742A1">
        <w:trPr>
          <w:cantSplit/>
          <w:trHeight w:val="300"/>
        </w:trPr>
        <w:tc>
          <w:tcPr>
            <w:tcW w:w="1177" w:type="pct"/>
          </w:tcPr>
          <w:p w14:paraId="174C2F70" w14:textId="77777777" w:rsidR="00911F85" w:rsidRPr="00EB2111" w:rsidRDefault="00911F85" w:rsidP="008742A1">
            <w:pPr>
              <w:pStyle w:val="Tabletext1"/>
            </w:pPr>
            <w:r>
              <w:t xml:space="preserve">  Acute leukaemia (33.3%)</w:t>
            </w:r>
          </w:p>
        </w:tc>
        <w:tc>
          <w:tcPr>
            <w:tcW w:w="764" w:type="pct"/>
            <w:noWrap/>
          </w:tcPr>
          <w:p w14:paraId="60C4A2B8" w14:textId="77777777" w:rsidR="00911F85" w:rsidRPr="004F159E" w:rsidRDefault="00911F85" w:rsidP="008742A1">
            <w:pPr>
              <w:pStyle w:val="Tabletext1"/>
              <w:jc w:val="center"/>
              <w:rPr>
                <w:rFonts w:cs="Calibri"/>
                <w:color w:val="000000"/>
              </w:rPr>
            </w:pPr>
            <w:r w:rsidRPr="00901265">
              <w:t>42,073</w:t>
            </w:r>
          </w:p>
        </w:tc>
        <w:tc>
          <w:tcPr>
            <w:tcW w:w="765" w:type="pct"/>
            <w:noWrap/>
          </w:tcPr>
          <w:p w14:paraId="72A34E2C" w14:textId="77777777" w:rsidR="00911F85" w:rsidRPr="004F159E" w:rsidRDefault="00911F85" w:rsidP="008742A1">
            <w:pPr>
              <w:pStyle w:val="Tabletext1"/>
              <w:jc w:val="center"/>
              <w:rPr>
                <w:rFonts w:cs="Calibri"/>
                <w:color w:val="000000"/>
              </w:rPr>
            </w:pPr>
            <w:r w:rsidRPr="00901265">
              <w:t>44,494</w:t>
            </w:r>
          </w:p>
        </w:tc>
        <w:tc>
          <w:tcPr>
            <w:tcW w:w="765" w:type="pct"/>
            <w:noWrap/>
          </w:tcPr>
          <w:p w14:paraId="7DFAEC4F" w14:textId="77777777" w:rsidR="00911F85" w:rsidRPr="004F159E" w:rsidRDefault="00911F85" w:rsidP="008742A1">
            <w:pPr>
              <w:pStyle w:val="Tabletext1"/>
              <w:jc w:val="center"/>
              <w:rPr>
                <w:rFonts w:cs="Calibri"/>
                <w:color w:val="000000"/>
              </w:rPr>
            </w:pPr>
            <w:r w:rsidRPr="00901265">
              <w:t>46,914</w:t>
            </w:r>
          </w:p>
        </w:tc>
        <w:tc>
          <w:tcPr>
            <w:tcW w:w="765" w:type="pct"/>
            <w:noWrap/>
          </w:tcPr>
          <w:p w14:paraId="1E489C7F" w14:textId="77777777" w:rsidR="00911F85" w:rsidRPr="004F159E" w:rsidRDefault="00911F85" w:rsidP="008742A1">
            <w:pPr>
              <w:pStyle w:val="Tabletext1"/>
              <w:jc w:val="center"/>
              <w:rPr>
                <w:rFonts w:cs="Calibri"/>
                <w:color w:val="000000"/>
              </w:rPr>
            </w:pPr>
            <w:r w:rsidRPr="00901265">
              <w:t>49,335</w:t>
            </w:r>
          </w:p>
        </w:tc>
        <w:tc>
          <w:tcPr>
            <w:tcW w:w="764" w:type="pct"/>
            <w:noWrap/>
          </w:tcPr>
          <w:p w14:paraId="62A8691C" w14:textId="77777777" w:rsidR="00911F85" w:rsidRPr="004F159E" w:rsidRDefault="00911F85" w:rsidP="008742A1">
            <w:pPr>
              <w:pStyle w:val="Tabletext1"/>
              <w:jc w:val="center"/>
              <w:rPr>
                <w:rFonts w:cs="Calibri"/>
                <w:color w:val="000000"/>
              </w:rPr>
            </w:pPr>
            <w:r w:rsidRPr="00901265">
              <w:t>51,755</w:t>
            </w:r>
          </w:p>
        </w:tc>
      </w:tr>
      <w:tr w:rsidR="00911F85" w:rsidRPr="004F159E" w14:paraId="37E406EB" w14:textId="77777777" w:rsidTr="008742A1">
        <w:trPr>
          <w:cantSplit/>
          <w:trHeight w:val="300"/>
        </w:trPr>
        <w:tc>
          <w:tcPr>
            <w:tcW w:w="1177" w:type="pct"/>
          </w:tcPr>
          <w:p w14:paraId="1D3015F6" w14:textId="77777777" w:rsidR="00911F85" w:rsidRPr="00EB2111" w:rsidRDefault="00911F85" w:rsidP="008742A1">
            <w:pPr>
              <w:pStyle w:val="Tabletext1"/>
            </w:pPr>
            <w:r>
              <w:t xml:space="preserve">  Other HM (Version 3)</w:t>
            </w:r>
          </w:p>
        </w:tc>
        <w:tc>
          <w:tcPr>
            <w:tcW w:w="764" w:type="pct"/>
            <w:noWrap/>
          </w:tcPr>
          <w:p w14:paraId="58C72DCC" w14:textId="77777777" w:rsidR="00911F85" w:rsidRPr="004F159E" w:rsidRDefault="00911F85" w:rsidP="008742A1">
            <w:pPr>
              <w:pStyle w:val="Tabletext1"/>
              <w:jc w:val="center"/>
              <w:rPr>
                <w:rFonts w:cs="Calibri"/>
                <w:color w:val="000000"/>
              </w:rPr>
            </w:pPr>
            <w:r w:rsidRPr="00901265">
              <w:t>84,185</w:t>
            </w:r>
          </w:p>
        </w:tc>
        <w:tc>
          <w:tcPr>
            <w:tcW w:w="765" w:type="pct"/>
            <w:noWrap/>
          </w:tcPr>
          <w:p w14:paraId="6C34C41F" w14:textId="77777777" w:rsidR="00911F85" w:rsidRPr="004F159E" w:rsidRDefault="00911F85" w:rsidP="008742A1">
            <w:pPr>
              <w:pStyle w:val="Tabletext1"/>
              <w:jc w:val="center"/>
              <w:rPr>
                <w:rFonts w:cs="Calibri"/>
                <w:color w:val="000000"/>
              </w:rPr>
            </w:pPr>
            <w:r w:rsidRPr="00901265">
              <w:t>89,028</w:t>
            </w:r>
          </w:p>
        </w:tc>
        <w:tc>
          <w:tcPr>
            <w:tcW w:w="765" w:type="pct"/>
            <w:noWrap/>
          </w:tcPr>
          <w:p w14:paraId="3F54D15F" w14:textId="77777777" w:rsidR="00911F85" w:rsidRPr="004F159E" w:rsidRDefault="00911F85" w:rsidP="008742A1">
            <w:pPr>
              <w:pStyle w:val="Tabletext1"/>
              <w:jc w:val="center"/>
              <w:rPr>
                <w:rFonts w:cs="Calibri"/>
                <w:color w:val="000000"/>
              </w:rPr>
            </w:pPr>
            <w:r w:rsidRPr="00901265">
              <w:t>93,871</w:t>
            </w:r>
          </w:p>
        </w:tc>
        <w:tc>
          <w:tcPr>
            <w:tcW w:w="765" w:type="pct"/>
            <w:noWrap/>
          </w:tcPr>
          <w:p w14:paraId="33F109F2" w14:textId="77777777" w:rsidR="00911F85" w:rsidRPr="004F159E" w:rsidRDefault="00911F85" w:rsidP="008742A1">
            <w:pPr>
              <w:pStyle w:val="Tabletext1"/>
              <w:jc w:val="center"/>
              <w:rPr>
                <w:rFonts w:cs="Calibri"/>
                <w:color w:val="000000"/>
              </w:rPr>
            </w:pPr>
            <w:r w:rsidRPr="00901265">
              <w:t>98,714</w:t>
            </w:r>
          </w:p>
        </w:tc>
        <w:tc>
          <w:tcPr>
            <w:tcW w:w="764" w:type="pct"/>
            <w:noWrap/>
          </w:tcPr>
          <w:p w14:paraId="411759FD" w14:textId="77777777" w:rsidR="00911F85" w:rsidRPr="004F159E" w:rsidRDefault="00911F85" w:rsidP="008742A1">
            <w:pPr>
              <w:pStyle w:val="Tabletext1"/>
              <w:jc w:val="center"/>
              <w:rPr>
                <w:rFonts w:cs="Calibri"/>
                <w:color w:val="000000"/>
              </w:rPr>
            </w:pPr>
            <w:r w:rsidRPr="00901265">
              <w:t>103,558</w:t>
            </w:r>
          </w:p>
        </w:tc>
      </w:tr>
      <w:tr w:rsidR="00911F85" w:rsidRPr="004F159E" w14:paraId="18FD1B5A" w14:textId="77777777" w:rsidTr="008742A1">
        <w:trPr>
          <w:cantSplit/>
          <w:trHeight w:val="300"/>
        </w:trPr>
        <w:tc>
          <w:tcPr>
            <w:tcW w:w="1177" w:type="pct"/>
          </w:tcPr>
          <w:p w14:paraId="41EA2E34" w14:textId="77777777" w:rsidR="00911F85" w:rsidRPr="007D0A00" w:rsidRDefault="00911F85" w:rsidP="008742A1">
            <w:pPr>
              <w:pStyle w:val="Tabletext1"/>
              <w:rPr>
                <w:b/>
              </w:rPr>
            </w:pPr>
            <w:r w:rsidRPr="007D0A00">
              <w:rPr>
                <w:b/>
              </w:rPr>
              <w:t>Total</w:t>
            </w:r>
          </w:p>
        </w:tc>
        <w:tc>
          <w:tcPr>
            <w:tcW w:w="764" w:type="pct"/>
            <w:noWrap/>
          </w:tcPr>
          <w:p w14:paraId="4FFB49A5" w14:textId="77777777" w:rsidR="00911F85" w:rsidRPr="00FA4734" w:rsidRDefault="00911F85" w:rsidP="008742A1">
            <w:pPr>
              <w:pStyle w:val="Tabletext1"/>
              <w:jc w:val="center"/>
              <w:rPr>
                <w:b/>
              </w:rPr>
            </w:pPr>
            <w:r w:rsidRPr="00FA4734">
              <w:rPr>
                <w:b/>
              </w:rPr>
              <w:t>1,624,506</w:t>
            </w:r>
          </w:p>
        </w:tc>
        <w:tc>
          <w:tcPr>
            <w:tcW w:w="765" w:type="pct"/>
            <w:noWrap/>
          </w:tcPr>
          <w:p w14:paraId="76452717" w14:textId="77777777" w:rsidR="00911F85" w:rsidRPr="00FA4734" w:rsidRDefault="00911F85" w:rsidP="008742A1">
            <w:pPr>
              <w:pStyle w:val="Tabletext1"/>
              <w:jc w:val="center"/>
              <w:rPr>
                <w:b/>
              </w:rPr>
            </w:pPr>
            <w:r w:rsidRPr="00FA4734">
              <w:rPr>
                <w:b/>
              </w:rPr>
              <w:t>1,748,903</w:t>
            </w:r>
          </w:p>
        </w:tc>
        <w:tc>
          <w:tcPr>
            <w:tcW w:w="765" w:type="pct"/>
            <w:noWrap/>
          </w:tcPr>
          <w:p w14:paraId="55F989A0" w14:textId="77777777" w:rsidR="00911F85" w:rsidRPr="00FA4734" w:rsidRDefault="00911F85" w:rsidP="008742A1">
            <w:pPr>
              <w:pStyle w:val="Tabletext1"/>
              <w:jc w:val="center"/>
              <w:rPr>
                <w:b/>
              </w:rPr>
            </w:pPr>
            <w:r w:rsidRPr="00FA4734">
              <w:rPr>
                <w:b/>
              </w:rPr>
              <w:t>1,873,301</w:t>
            </w:r>
          </w:p>
        </w:tc>
        <w:tc>
          <w:tcPr>
            <w:tcW w:w="765" w:type="pct"/>
            <w:noWrap/>
          </w:tcPr>
          <w:p w14:paraId="6121AB18" w14:textId="77777777" w:rsidR="00911F85" w:rsidRPr="00FA4734" w:rsidRDefault="00911F85" w:rsidP="008742A1">
            <w:pPr>
              <w:pStyle w:val="Tabletext1"/>
              <w:jc w:val="center"/>
              <w:rPr>
                <w:b/>
              </w:rPr>
            </w:pPr>
            <w:r w:rsidRPr="00FA4734">
              <w:rPr>
                <w:b/>
              </w:rPr>
              <w:t>1,997,698</w:t>
            </w:r>
          </w:p>
        </w:tc>
        <w:tc>
          <w:tcPr>
            <w:tcW w:w="764" w:type="pct"/>
            <w:noWrap/>
          </w:tcPr>
          <w:p w14:paraId="63ADAE1B" w14:textId="77777777" w:rsidR="00911F85" w:rsidRPr="00FA4734" w:rsidRDefault="00911F85" w:rsidP="008742A1">
            <w:pPr>
              <w:pStyle w:val="Tabletext1"/>
              <w:jc w:val="center"/>
              <w:rPr>
                <w:b/>
              </w:rPr>
            </w:pPr>
            <w:r w:rsidRPr="00FA4734">
              <w:rPr>
                <w:b/>
              </w:rPr>
              <w:t>2,122,096</w:t>
            </w:r>
          </w:p>
        </w:tc>
      </w:tr>
    </w:tbl>
    <w:p w14:paraId="410F017E" w14:textId="77777777" w:rsidR="00911F85" w:rsidRDefault="00911F85" w:rsidP="00911F85">
      <w:pPr>
        <w:pStyle w:val="Tablenotes1"/>
      </w:pPr>
      <w:r>
        <w:t>CLL = chronic lymphocytic lymphoma; HM = haematological malignancies; HSCT = haemopoietic stem cell transplantation; Ig = immunoglobulin; MM = multiple myeloma; NHL = non-Hodgkin’s lymphoma.</w:t>
      </w:r>
    </w:p>
    <w:p w14:paraId="77B928A5" w14:textId="77777777" w:rsidR="00911F85" w:rsidRDefault="00911F85" w:rsidP="00911F85">
      <w:pPr>
        <w:pStyle w:val="Tablenotes1"/>
      </w:pPr>
      <w:r>
        <w:t>Source: ‘Estimated grams issued’ worksheet in ‘1565 Financials.xlsx’ workbook.</w:t>
      </w:r>
    </w:p>
    <w:p w14:paraId="15593509" w14:textId="77777777" w:rsidR="00911F85" w:rsidRDefault="00911F85" w:rsidP="00911F85"/>
    <w:p w14:paraId="1A544DBF" w14:textId="4F406BF0" w:rsidR="00911F85" w:rsidRDefault="00911F85" w:rsidP="00911F85">
      <w:r>
        <w:t>Using the projected number of grams issued and the projected patient numbers, the average number of grams of Ig issued per patient is estimated to increase over the projected period (</w:t>
      </w:r>
      <w:r>
        <w:fldChar w:fldCharType="begin"/>
      </w:r>
      <w:r>
        <w:instrText xml:space="preserve"> REF _Ref9933803 \h </w:instrText>
      </w:r>
      <w:r>
        <w:fldChar w:fldCharType="separate"/>
      </w:r>
      <w:r w:rsidR="00A7463B">
        <w:t xml:space="preserve">Table </w:t>
      </w:r>
      <w:r w:rsidR="00A7463B">
        <w:rPr>
          <w:noProof/>
        </w:rPr>
        <w:t>68</w:t>
      </w:r>
      <w:r>
        <w:fldChar w:fldCharType="end"/>
      </w:r>
      <w:r>
        <w:t xml:space="preserve">). </w:t>
      </w:r>
    </w:p>
    <w:p w14:paraId="2F376A0F" w14:textId="7579A516" w:rsidR="00911F85" w:rsidRDefault="00911F85" w:rsidP="00911F85">
      <w:pPr>
        <w:pStyle w:val="Caption"/>
        <w:keepNext/>
      </w:pPr>
      <w:bookmarkStart w:id="636" w:name="_Ref9933803"/>
      <w:bookmarkStart w:id="637" w:name="_Toc14348902"/>
      <w:bookmarkStart w:id="638" w:name="_Toc14429608"/>
      <w:bookmarkStart w:id="639" w:name="_Toc16671666"/>
      <w:bookmarkStart w:id="640" w:name="OLE_LINK2"/>
      <w:bookmarkStart w:id="641" w:name="OLE_LINK3"/>
      <w:r>
        <w:t xml:space="preserve">Table </w:t>
      </w:r>
      <w:r>
        <w:rPr>
          <w:noProof/>
        </w:rPr>
        <w:fldChar w:fldCharType="begin"/>
      </w:r>
      <w:r>
        <w:rPr>
          <w:noProof/>
        </w:rPr>
        <w:instrText xml:space="preserve"> SEQ Table \* ARABIC </w:instrText>
      </w:r>
      <w:r>
        <w:rPr>
          <w:noProof/>
        </w:rPr>
        <w:fldChar w:fldCharType="separate"/>
      </w:r>
      <w:r w:rsidR="00A7463B">
        <w:rPr>
          <w:noProof/>
        </w:rPr>
        <w:t>68</w:t>
      </w:r>
      <w:r>
        <w:rPr>
          <w:noProof/>
        </w:rPr>
        <w:fldChar w:fldCharType="end"/>
      </w:r>
      <w:bookmarkEnd w:id="636"/>
      <w:r>
        <w:tab/>
        <w:t>Average Ig use (g) per patient per year</w:t>
      </w:r>
      <w:bookmarkEnd w:id="637"/>
      <w:bookmarkEnd w:id="638"/>
      <w:bookmarkEnd w:id="639"/>
    </w:p>
    <w:tbl>
      <w:tblPr>
        <w:tblStyle w:val="TableGrid1"/>
        <w:tblW w:w="5000" w:type="pct"/>
        <w:tblLook w:val="04A0" w:firstRow="1" w:lastRow="0" w:firstColumn="1" w:lastColumn="0" w:noHBand="0" w:noVBand="1"/>
        <w:tblCaption w:val="Average Ig use (g) per patient per year"/>
      </w:tblPr>
      <w:tblGrid>
        <w:gridCol w:w="1886"/>
        <w:gridCol w:w="1226"/>
        <w:gridCol w:w="1226"/>
        <w:gridCol w:w="1226"/>
        <w:gridCol w:w="1226"/>
        <w:gridCol w:w="1226"/>
        <w:gridCol w:w="1226"/>
      </w:tblGrid>
      <w:tr w:rsidR="00911F85" w:rsidRPr="004F159E" w14:paraId="64B7CB61" w14:textId="77777777" w:rsidTr="008742A1">
        <w:trPr>
          <w:cnfStyle w:val="100000000000" w:firstRow="1" w:lastRow="0" w:firstColumn="0" w:lastColumn="0" w:oddVBand="0" w:evenVBand="0" w:oddHBand="0" w:evenHBand="0" w:firstRowFirstColumn="0" w:firstRowLastColumn="0" w:lastRowFirstColumn="0" w:lastRowLastColumn="0"/>
          <w:cantSplit/>
          <w:trHeight w:val="300"/>
          <w:tblHeader/>
        </w:trPr>
        <w:tc>
          <w:tcPr>
            <w:tcW w:w="1020" w:type="pct"/>
          </w:tcPr>
          <w:p w14:paraId="7BEC9AD6" w14:textId="77777777" w:rsidR="00911F85" w:rsidRPr="004F159E" w:rsidRDefault="00911F85" w:rsidP="008742A1">
            <w:pPr>
              <w:pStyle w:val="TableHeading"/>
            </w:pPr>
          </w:p>
        </w:tc>
        <w:tc>
          <w:tcPr>
            <w:tcW w:w="663" w:type="pct"/>
            <w:noWrap/>
          </w:tcPr>
          <w:p w14:paraId="3EFCF855" w14:textId="77777777" w:rsidR="00911F85" w:rsidRDefault="00911F85" w:rsidP="008742A1">
            <w:pPr>
              <w:pStyle w:val="TableHeading"/>
              <w:jc w:val="center"/>
            </w:pPr>
            <w:r>
              <w:t>2017-18</w:t>
            </w:r>
          </w:p>
          <w:p w14:paraId="09CFA0A3" w14:textId="77777777" w:rsidR="00911F85" w:rsidRPr="004F159E" w:rsidRDefault="00911F85" w:rsidP="008742A1">
            <w:pPr>
              <w:pStyle w:val="TableHeading"/>
              <w:jc w:val="center"/>
            </w:pPr>
            <w:r>
              <w:t>[observed]</w:t>
            </w:r>
          </w:p>
        </w:tc>
        <w:tc>
          <w:tcPr>
            <w:tcW w:w="663" w:type="pct"/>
            <w:noWrap/>
          </w:tcPr>
          <w:p w14:paraId="7D5232D3" w14:textId="77777777" w:rsidR="00911F85" w:rsidRPr="004F159E" w:rsidRDefault="00911F85" w:rsidP="008742A1">
            <w:pPr>
              <w:pStyle w:val="TableHeading"/>
              <w:jc w:val="center"/>
            </w:pPr>
            <w:r w:rsidRPr="004F159E">
              <w:t>2019-20</w:t>
            </w:r>
          </w:p>
        </w:tc>
        <w:tc>
          <w:tcPr>
            <w:tcW w:w="663" w:type="pct"/>
            <w:noWrap/>
          </w:tcPr>
          <w:p w14:paraId="5574CFE6" w14:textId="77777777" w:rsidR="00911F85" w:rsidRPr="004F159E" w:rsidRDefault="00911F85" w:rsidP="008742A1">
            <w:pPr>
              <w:pStyle w:val="TableHeading"/>
              <w:jc w:val="center"/>
            </w:pPr>
            <w:r w:rsidRPr="004F159E">
              <w:t>2020-21</w:t>
            </w:r>
          </w:p>
        </w:tc>
        <w:tc>
          <w:tcPr>
            <w:tcW w:w="663" w:type="pct"/>
            <w:noWrap/>
          </w:tcPr>
          <w:p w14:paraId="7D587F25" w14:textId="77777777" w:rsidR="00911F85" w:rsidRPr="004F159E" w:rsidRDefault="00911F85" w:rsidP="008742A1">
            <w:pPr>
              <w:pStyle w:val="TableHeading"/>
              <w:jc w:val="center"/>
            </w:pPr>
            <w:r w:rsidRPr="004F159E">
              <w:t>2021-22</w:t>
            </w:r>
          </w:p>
        </w:tc>
        <w:tc>
          <w:tcPr>
            <w:tcW w:w="663" w:type="pct"/>
            <w:noWrap/>
          </w:tcPr>
          <w:p w14:paraId="4712B16A" w14:textId="77777777" w:rsidR="00911F85" w:rsidRPr="004F159E" w:rsidRDefault="00911F85" w:rsidP="008742A1">
            <w:pPr>
              <w:pStyle w:val="TableHeading"/>
              <w:jc w:val="center"/>
            </w:pPr>
            <w:r w:rsidRPr="004F159E">
              <w:t>2022-23</w:t>
            </w:r>
          </w:p>
        </w:tc>
        <w:tc>
          <w:tcPr>
            <w:tcW w:w="663" w:type="pct"/>
          </w:tcPr>
          <w:p w14:paraId="332D1CD4" w14:textId="77777777" w:rsidR="00911F85" w:rsidRPr="004F159E" w:rsidRDefault="00911F85" w:rsidP="008742A1">
            <w:pPr>
              <w:pStyle w:val="TableHeading"/>
              <w:jc w:val="center"/>
            </w:pPr>
            <w:r w:rsidRPr="004F159E">
              <w:t>2023-24</w:t>
            </w:r>
          </w:p>
        </w:tc>
      </w:tr>
      <w:tr w:rsidR="00911F85" w:rsidRPr="004F159E" w14:paraId="15100926" w14:textId="77777777" w:rsidTr="008742A1">
        <w:trPr>
          <w:cantSplit/>
          <w:trHeight w:val="300"/>
        </w:trPr>
        <w:tc>
          <w:tcPr>
            <w:tcW w:w="1020" w:type="pct"/>
          </w:tcPr>
          <w:p w14:paraId="7A022452" w14:textId="77777777" w:rsidR="00911F85" w:rsidRPr="004F159E" w:rsidRDefault="00911F85" w:rsidP="008742A1">
            <w:pPr>
              <w:pStyle w:val="Tabletext1"/>
              <w:rPr>
                <w:rFonts w:cs="Calibri"/>
                <w:color w:val="000000"/>
              </w:rPr>
            </w:pPr>
            <w:r w:rsidRPr="00EB2111">
              <w:t>CLL</w:t>
            </w:r>
          </w:p>
        </w:tc>
        <w:tc>
          <w:tcPr>
            <w:tcW w:w="663" w:type="pct"/>
            <w:noWrap/>
          </w:tcPr>
          <w:p w14:paraId="3F38670F" w14:textId="77777777" w:rsidR="00911F85" w:rsidRPr="004F159E" w:rsidRDefault="00911F85" w:rsidP="008742A1">
            <w:pPr>
              <w:pStyle w:val="Tabletext1"/>
              <w:jc w:val="center"/>
              <w:rPr>
                <w:rFonts w:cs="Calibri"/>
                <w:color w:val="000000"/>
              </w:rPr>
            </w:pPr>
            <w:r w:rsidRPr="0051218F">
              <w:t>267</w:t>
            </w:r>
          </w:p>
        </w:tc>
        <w:tc>
          <w:tcPr>
            <w:tcW w:w="663" w:type="pct"/>
            <w:noWrap/>
          </w:tcPr>
          <w:p w14:paraId="71D67B4B" w14:textId="77777777" w:rsidR="00911F85" w:rsidRPr="004F159E" w:rsidRDefault="00911F85" w:rsidP="008742A1">
            <w:pPr>
              <w:pStyle w:val="Tabletext1"/>
              <w:jc w:val="center"/>
              <w:rPr>
                <w:rFonts w:cs="Calibri"/>
                <w:color w:val="000000"/>
              </w:rPr>
            </w:pPr>
            <w:r w:rsidRPr="00DB0214">
              <w:t>280</w:t>
            </w:r>
          </w:p>
        </w:tc>
        <w:tc>
          <w:tcPr>
            <w:tcW w:w="663" w:type="pct"/>
            <w:noWrap/>
          </w:tcPr>
          <w:p w14:paraId="4C44EC13" w14:textId="77777777" w:rsidR="00911F85" w:rsidRPr="004F159E" w:rsidRDefault="00911F85" w:rsidP="008742A1">
            <w:pPr>
              <w:pStyle w:val="Tabletext1"/>
              <w:jc w:val="center"/>
              <w:rPr>
                <w:rFonts w:cs="Calibri"/>
                <w:color w:val="000000"/>
              </w:rPr>
            </w:pPr>
            <w:r w:rsidRPr="00DB0214">
              <w:t>285</w:t>
            </w:r>
          </w:p>
        </w:tc>
        <w:tc>
          <w:tcPr>
            <w:tcW w:w="663" w:type="pct"/>
            <w:noWrap/>
          </w:tcPr>
          <w:p w14:paraId="0B216A40" w14:textId="77777777" w:rsidR="00911F85" w:rsidRPr="004F159E" w:rsidRDefault="00911F85" w:rsidP="008742A1">
            <w:pPr>
              <w:pStyle w:val="Tabletext1"/>
              <w:jc w:val="center"/>
              <w:rPr>
                <w:rFonts w:cs="Calibri"/>
                <w:color w:val="000000"/>
              </w:rPr>
            </w:pPr>
            <w:r w:rsidRPr="00DB0214">
              <w:t>289</w:t>
            </w:r>
          </w:p>
        </w:tc>
        <w:tc>
          <w:tcPr>
            <w:tcW w:w="663" w:type="pct"/>
            <w:noWrap/>
          </w:tcPr>
          <w:p w14:paraId="1BF5C875" w14:textId="77777777" w:rsidR="00911F85" w:rsidRPr="004F159E" w:rsidRDefault="00911F85" w:rsidP="008742A1">
            <w:pPr>
              <w:pStyle w:val="Tabletext1"/>
              <w:jc w:val="center"/>
              <w:rPr>
                <w:rFonts w:cs="Calibri"/>
                <w:color w:val="000000"/>
              </w:rPr>
            </w:pPr>
            <w:r w:rsidRPr="00DB0214">
              <w:t>293</w:t>
            </w:r>
          </w:p>
        </w:tc>
        <w:tc>
          <w:tcPr>
            <w:tcW w:w="663" w:type="pct"/>
          </w:tcPr>
          <w:p w14:paraId="3F17F49D" w14:textId="77777777" w:rsidR="00911F85" w:rsidRPr="005A2A6A" w:rsidRDefault="00911F85" w:rsidP="008742A1">
            <w:pPr>
              <w:pStyle w:val="Tabletext1"/>
              <w:jc w:val="center"/>
            </w:pPr>
            <w:r w:rsidRPr="00DB0214">
              <w:t>297</w:t>
            </w:r>
          </w:p>
        </w:tc>
      </w:tr>
      <w:tr w:rsidR="00911F85" w:rsidRPr="004F159E" w14:paraId="6FCFBF84" w14:textId="77777777" w:rsidTr="008742A1">
        <w:trPr>
          <w:cantSplit/>
          <w:trHeight w:val="300"/>
        </w:trPr>
        <w:tc>
          <w:tcPr>
            <w:tcW w:w="1020" w:type="pct"/>
          </w:tcPr>
          <w:p w14:paraId="233BAFAD" w14:textId="77777777" w:rsidR="00911F85" w:rsidRPr="004F159E" w:rsidRDefault="00911F85" w:rsidP="008742A1">
            <w:pPr>
              <w:pStyle w:val="Tabletext1"/>
              <w:rPr>
                <w:rFonts w:cs="Calibri"/>
                <w:color w:val="000000"/>
              </w:rPr>
            </w:pPr>
            <w:r w:rsidRPr="00EB2111">
              <w:t>MM</w:t>
            </w:r>
          </w:p>
        </w:tc>
        <w:tc>
          <w:tcPr>
            <w:tcW w:w="663" w:type="pct"/>
            <w:noWrap/>
          </w:tcPr>
          <w:p w14:paraId="43CF5484" w14:textId="77777777" w:rsidR="00911F85" w:rsidRPr="004F159E" w:rsidRDefault="00911F85" w:rsidP="008742A1">
            <w:pPr>
              <w:pStyle w:val="Tabletext1"/>
              <w:jc w:val="center"/>
              <w:rPr>
                <w:rFonts w:cs="Calibri"/>
                <w:color w:val="000000"/>
              </w:rPr>
            </w:pPr>
            <w:r w:rsidRPr="0051218F">
              <w:t>243</w:t>
            </w:r>
          </w:p>
        </w:tc>
        <w:tc>
          <w:tcPr>
            <w:tcW w:w="663" w:type="pct"/>
            <w:noWrap/>
          </w:tcPr>
          <w:p w14:paraId="03EA2F89" w14:textId="77777777" w:rsidR="00911F85" w:rsidRPr="004F159E" w:rsidRDefault="00911F85" w:rsidP="008742A1">
            <w:pPr>
              <w:pStyle w:val="Tabletext1"/>
              <w:jc w:val="center"/>
              <w:rPr>
                <w:rFonts w:cs="Calibri"/>
                <w:color w:val="000000"/>
              </w:rPr>
            </w:pPr>
            <w:r w:rsidRPr="002261EE">
              <w:t>255</w:t>
            </w:r>
          </w:p>
        </w:tc>
        <w:tc>
          <w:tcPr>
            <w:tcW w:w="663" w:type="pct"/>
            <w:noWrap/>
          </w:tcPr>
          <w:p w14:paraId="4A2E5D9B" w14:textId="77777777" w:rsidR="00911F85" w:rsidRPr="004F159E" w:rsidRDefault="00911F85" w:rsidP="008742A1">
            <w:pPr>
              <w:pStyle w:val="Tabletext1"/>
              <w:jc w:val="center"/>
              <w:rPr>
                <w:rFonts w:cs="Calibri"/>
                <w:color w:val="000000"/>
              </w:rPr>
            </w:pPr>
            <w:r w:rsidRPr="002261EE">
              <w:t>258</w:t>
            </w:r>
          </w:p>
        </w:tc>
        <w:tc>
          <w:tcPr>
            <w:tcW w:w="663" w:type="pct"/>
            <w:noWrap/>
          </w:tcPr>
          <w:p w14:paraId="6FC9DE0B" w14:textId="77777777" w:rsidR="00911F85" w:rsidRPr="004F159E" w:rsidRDefault="00911F85" w:rsidP="008742A1">
            <w:pPr>
              <w:pStyle w:val="Tabletext1"/>
              <w:jc w:val="center"/>
              <w:rPr>
                <w:rFonts w:cs="Calibri"/>
                <w:color w:val="000000"/>
              </w:rPr>
            </w:pPr>
            <w:r w:rsidRPr="002261EE">
              <w:t>261</w:t>
            </w:r>
          </w:p>
        </w:tc>
        <w:tc>
          <w:tcPr>
            <w:tcW w:w="663" w:type="pct"/>
            <w:noWrap/>
          </w:tcPr>
          <w:p w14:paraId="2E584AED" w14:textId="77777777" w:rsidR="00911F85" w:rsidRPr="004F159E" w:rsidRDefault="00911F85" w:rsidP="008742A1">
            <w:pPr>
              <w:pStyle w:val="Tabletext1"/>
              <w:jc w:val="center"/>
              <w:rPr>
                <w:rFonts w:cs="Calibri"/>
                <w:color w:val="000000"/>
              </w:rPr>
            </w:pPr>
            <w:r w:rsidRPr="002261EE">
              <w:t>264</w:t>
            </w:r>
          </w:p>
        </w:tc>
        <w:tc>
          <w:tcPr>
            <w:tcW w:w="663" w:type="pct"/>
          </w:tcPr>
          <w:p w14:paraId="0C3F348D" w14:textId="77777777" w:rsidR="00911F85" w:rsidRPr="005A2A6A" w:rsidRDefault="00911F85" w:rsidP="008742A1">
            <w:pPr>
              <w:pStyle w:val="Tabletext1"/>
              <w:jc w:val="center"/>
            </w:pPr>
            <w:r w:rsidRPr="002261EE">
              <w:t>267</w:t>
            </w:r>
          </w:p>
        </w:tc>
      </w:tr>
      <w:tr w:rsidR="00911F85" w:rsidRPr="004F159E" w14:paraId="67673889" w14:textId="77777777" w:rsidTr="008742A1">
        <w:trPr>
          <w:cantSplit/>
          <w:trHeight w:val="300"/>
        </w:trPr>
        <w:tc>
          <w:tcPr>
            <w:tcW w:w="1020" w:type="pct"/>
          </w:tcPr>
          <w:p w14:paraId="0FF310EF" w14:textId="77777777" w:rsidR="00911F85" w:rsidRPr="004F159E" w:rsidRDefault="00911F85" w:rsidP="008742A1">
            <w:pPr>
              <w:pStyle w:val="Tabletext1"/>
              <w:rPr>
                <w:rFonts w:cs="Calibri"/>
                <w:color w:val="000000"/>
              </w:rPr>
            </w:pPr>
            <w:r w:rsidRPr="00EB2111">
              <w:t>NHL</w:t>
            </w:r>
          </w:p>
        </w:tc>
        <w:tc>
          <w:tcPr>
            <w:tcW w:w="663" w:type="pct"/>
            <w:noWrap/>
          </w:tcPr>
          <w:p w14:paraId="7ADD5C8A" w14:textId="77777777" w:rsidR="00911F85" w:rsidRPr="004F159E" w:rsidRDefault="00911F85" w:rsidP="008742A1">
            <w:pPr>
              <w:pStyle w:val="Tabletext1"/>
              <w:jc w:val="center"/>
              <w:rPr>
                <w:rFonts w:cs="Calibri"/>
                <w:color w:val="000000"/>
              </w:rPr>
            </w:pPr>
            <w:r w:rsidRPr="0051218F">
              <w:t>256</w:t>
            </w:r>
          </w:p>
        </w:tc>
        <w:tc>
          <w:tcPr>
            <w:tcW w:w="663" w:type="pct"/>
            <w:noWrap/>
          </w:tcPr>
          <w:p w14:paraId="1934116C" w14:textId="77777777" w:rsidR="00911F85" w:rsidRPr="004F159E" w:rsidRDefault="00911F85" w:rsidP="008742A1">
            <w:pPr>
              <w:pStyle w:val="Tabletext1"/>
              <w:jc w:val="center"/>
              <w:rPr>
                <w:rFonts w:cs="Calibri"/>
                <w:color w:val="000000"/>
              </w:rPr>
            </w:pPr>
            <w:r w:rsidRPr="00251B76">
              <w:t>262</w:t>
            </w:r>
          </w:p>
        </w:tc>
        <w:tc>
          <w:tcPr>
            <w:tcW w:w="663" w:type="pct"/>
            <w:noWrap/>
          </w:tcPr>
          <w:p w14:paraId="7D8D164D" w14:textId="77777777" w:rsidR="00911F85" w:rsidRPr="004F159E" w:rsidRDefault="00911F85" w:rsidP="008742A1">
            <w:pPr>
              <w:pStyle w:val="Tabletext1"/>
              <w:jc w:val="center"/>
              <w:rPr>
                <w:rFonts w:cs="Calibri"/>
                <w:color w:val="000000"/>
              </w:rPr>
            </w:pPr>
            <w:r w:rsidRPr="00251B76">
              <w:t>265</w:t>
            </w:r>
          </w:p>
        </w:tc>
        <w:tc>
          <w:tcPr>
            <w:tcW w:w="663" w:type="pct"/>
            <w:noWrap/>
          </w:tcPr>
          <w:p w14:paraId="289D7F69" w14:textId="77777777" w:rsidR="00911F85" w:rsidRPr="004F159E" w:rsidRDefault="00911F85" w:rsidP="008742A1">
            <w:pPr>
              <w:pStyle w:val="Tabletext1"/>
              <w:jc w:val="center"/>
              <w:rPr>
                <w:rFonts w:cs="Calibri"/>
                <w:color w:val="000000"/>
              </w:rPr>
            </w:pPr>
            <w:r w:rsidRPr="00251B76">
              <w:t>267</w:t>
            </w:r>
          </w:p>
        </w:tc>
        <w:tc>
          <w:tcPr>
            <w:tcW w:w="663" w:type="pct"/>
            <w:noWrap/>
          </w:tcPr>
          <w:p w14:paraId="3D2DA74D" w14:textId="77777777" w:rsidR="00911F85" w:rsidRPr="004F159E" w:rsidRDefault="00911F85" w:rsidP="008742A1">
            <w:pPr>
              <w:pStyle w:val="Tabletext1"/>
              <w:jc w:val="center"/>
              <w:rPr>
                <w:rFonts w:cs="Calibri"/>
                <w:color w:val="000000"/>
              </w:rPr>
            </w:pPr>
            <w:r w:rsidRPr="00251B76">
              <w:t>268</w:t>
            </w:r>
          </w:p>
        </w:tc>
        <w:tc>
          <w:tcPr>
            <w:tcW w:w="663" w:type="pct"/>
          </w:tcPr>
          <w:p w14:paraId="1B780BBE" w14:textId="77777777" w:rsidR="00911F85" w:rsidRPr="005A2A6A" w:rsidRDefault="00911F85" w:rsidP="008742A1">
            <w:pPr>
              <w:pStyle w:val="Tabletext1"/>
              <w:jc w:val="center"/>
            </w:pPr>
            <w:r w:rsidRPr="00251B76">
              <w:t>270</w:t>
            </w:r>
          </w:p>
        </w:tc>
      </w:tr>
      <w:tr w:rsidR="00911F85" w:rsidRPr="004F159E" w14:paraId="79AB93A6" w14:textId="77777777" w:rsidTr="008742A1">
        <w:trPr>
          <w:cantSplit/>
          <w:trHeight w:val="300"/>
        </w:trPr>
        <w:tc>
          <w:tcPr>
            <w:tcW w:w="1020" w:type="pct"/>
          </w:tcPr>
          <w:p w14:paraId="7DF0C8AA" w14:textId="77777777" w:rsidR="00911F85" w:rsidRPr="004F159E" w:rsidRDefault="00911F85" w:rsidP="008742A1">
            <w:pPr>
              <w:pStyle w:val="Tabletext1"/>
              <w:rPr>
                <w:rFonts w:cs="Calibri"/>
                <w:color w:val="000000"/>
              </w:rPr>
            </w:pPr>
            <w:r w:rsidRPr="00EB2111">
              <w:t>Post HSCT</w:t>
            </w:r>
          </w:p>
        </w:tc>
        <w:tc>
          <w:tcPr>
            <w:tcW w:w="663" w:type="pct"/>
            <w:noWrap/>
          </w:tcPr>
          <w:p w14:paraId="194F2D5A" w14:textId="77777777" w:rsidR="00911F85" w:rsidRPr="004F159E" w:rsidRDefault="00911F85" w:rsidP="008742A1">
            <w:pPr>
              <w:pStyle w:val="Tabletext1"/>
              <w:jc w:val="center"/>
              <w:rPr>
                <w:rFonts w:cs="Calibri"/>
                <w:color w:val="000000"/>
              </w:rPr>
            </w:pPr>
            <w:r w:rsidRPr="0051218F">
              <w:t>163</w:t>
            </w:r>
          </w:p>
        </w:tc>
        <w:tc>
          <w:tcPr>
            <w:tcW w:w="663" w:type="pct"/>
            <w:noWrap/>
          </w:tcPr>
          <w:p w14:paraId="0D8B9876" w14:textId="77777777" w:rsidR="00911F85" w:rsidRPr="004F159E" w:rsidRDefault="00911F85" w:rsidP="008742A1">
            <w:pPr>
              <w:pStyle w:val="Tabletext1"/>
              <w:jc w:val="center"/>
              <w:rPr>
                <w:rFonts w:cs="Calibri"/>
                <w:color w:val="000000"/>
              </w:rPr>
            </w:pPr>
            <w:r w:rsidRPr="00EA350B">
              <w:t>172</w:t>
            </w:r>
          </w:p>
        </w:tc>
        <w:tc>
          <w:tcPr>
            <w:tcW w:w="663" w:type="pct"/>
            <w:noWrap/>
          </w:tcPr>
          <w:p w14:paraId="3F649446" w14:textId="77777777" w:rsidR="00911F85" w:rsidRPr="004F159E" w:rsidRDefault="00911F85" w:rsidP="008742A1">
            <w:pPr>
              <w:pStyle w:val="Tabletext1"/>
              <w:jc w:val="center"/>
              <w:rPr>
                <w:rFonts w:cs="Calibri"/>
                <w:color w:val="000000"/>
              </w:rPr>
            </w:pPr>
            <w:r w:rsidRPr="00EA350B">
              <w:t>175</w:t>
            </w:r>
          </w:p>
        </w:tc>
        <w:tc>
          <w:tcPr>
            <w:tcW w:w="663" w:type="pct"/>
            <w:noWrap/>
          </w:tcPr>
          <w:p w14:paraId="10991E1F" w14:textId="77777777" w:rsidR="00911F85" w:rsidRPr="004F159E" w:rsidRDefault="00911F85" w:rsidP="008742A1">
            <w:pPr>
              <w:pStyle w:val="Tabletext1"/>
              <w:jc w:val="center"/>
              <w:rPr>
                <w:rFonts w:cs="Calibri"/>
                <w:color w:val="000000"/>
              </w:rPr>
            </w:pPr>
            <w:r w:rsidRPr="00EA350B">
              <w:t>179</w:t>
            </w:r>
          </w:p>
        </w:tc>
        <w:tc>
          <w:tcPr>
            <w:tcW w:w="663" w:type="pct"/>
            <w:noWrap/>
          </w:tcPr>
          <w:p w14:paraId="5D2532D3" w14:textId="77777777" w:rsidR="00911F85" w:rsidRPr="004F159E" w:rsidRDefault="00911F85" w:rsidP="008742A1">
            <w:pPr>
              <w:pStyle w:val="Tabletext1"/>
              <w:jc w:val="center"/>
              <w:rPr>
                <w:rFonts w:cs="Calibri"/>
                <w:color w:val="000000"/>
              </w:rPr>
            </w:pPr>
            <w:r w:rsidRPr="00EA350B">
              <w:t>182</w:t>
            </w:r>
          </w:p>
        </w:tc>
        <w:tc>
          <w:tcPr>
            <w:tcW w:w="663" w:type="pct"/>
          </w:tcPr>
          <w:p w14:paraId="771B9EE4" w14:textId="77777777" w:rsidR="00911F85" w:rsidRPr="005A2A6A" w:rsidRDefault="00911F85" w:rsidP="008742A1">
            <w:pPr>
              <w:pStyle w:val="Tabletext1"/>
              <w:jc w:val="center"/>
            </w:pPr>
            <w:r w:rsidRPr="00EA350B">
              <w:t>184</w:t>
            </w:r>
          </w:p>
        </w:tc>
      </w:tr>
      <w:tr w:rsidR="00911F85" w:rsidRPr="004F159E" w14:paraId="0F8D3E66" w14:textId="77777777" w:rsidTr="008742A1">
        <w:trPr>
          <w:cantSplit/>
          <w:trHeight w:val="300"/>
        </w:trPr>
        <w:tc>
          <w:tcPr>
            <w:tcW w:w="1020" w:type="pct"/>
          </w:tcPr>
          <w:p w14:paraId="464C4D34" w14:textId="77777777" w:rsidR="00911F85" w:rsidRPr="00EB2111" w:rsidRDefault="00911F85" w:rsidP="008742A1">
            <w:pPr>
              <w:pStyle w:val="Tabletext1"/>
            </w:pPr>
            <w:r>
              <w:t>Acute leukaemia</w:t>
            </w:r>
          </w:p>
        </w:tc>
        <w:tc>
          <w:tcPr>
            <w:tcW w:w="663" w:type="pct"/>
            <w:noWrap/>
          </w:tcPr>
          <w:p w14:paraId="783A8E24" w14:textId="77777777" w:rsidR="00911F85" w:rsidRPr="004F159E" w:rsidRDefault="00911F85" w:rsidP="008742A1">
            <w:pPr>
              <w:pStyle w:val="Tabletext1"/>
              <w:jc w:val="center"/>
              <w:rPr>
                <w:rFonts w:cs="Calibri"/>
                <w:color w:val="000000"/>
              </w:rPr>
            </w:pPr>
            <w:r w:rsidRPr="0051218F">
              <w:t>133</w:t>
            </w:r>
          </w:p>
        </w:tc>
        <w:tc>
          <w:tcPr>
            <w:tcW w:w="663" w:type="pct"/>
            <w:noWrap/>
          </w:tcPr>
          <w:p w14:paraId="796BFB81" w14:textId="77777777" w:rsidR="00911F85" w:rsidRPr="004F159E" w:rsidRDefault="00911F85" w:rsidP="008742A1">
            <w:pPr>
              <w:pStyle w:val="Tabletext1"/>
              <w:jc w:val="center"/>
              <w:rPr>
                <w:rFonts w:cs="Calibri"/>
                <w:color w:val="000000"/>
              </w:rPr>
            </w:pPr>
            <w:r w:rsidRPr="001677DB">
              <w:t>143</w:t>
            </w:r>
          </w:p>
        </w:tc>
        <w:tc>
          <w:tcPr>
            <w:tcW w:w="663" w:type="pct"/>
            <w:noWrap/>
          </w:tcPr>
          <w:p w14:paraId="3E9C6A97" w14:textId="77777777" w:rsidR="00911F85" w:rsidRPr="004F159E" w:rsidRDefault="00911F85" w:rsidP="008742A1">
            <w:pPr>
              <w:pStyle w:val="Tabletext1"/>
              <w:jc w:val="center"/>
              <w:rPr>
                <w:rFonts w:cs="Calibri"/>
                <w:color w:val="000000"/>
              </w:rPr>
            </w:pPr>
            <w:r w:rsidRPr="001677DB">
              <w:t>144</w:t>
            </w:r>
          </w:p>
        </w:tc>
        <w:tc>
          <w:tcPr>
            <w:tcW w:w="663" w:type="pct"/>
            <w:noWrap/>
          </w:tcPr>
          <w:p w14:paraId="11B1FDE6" w14:textId="77777777" w:rsidR="00911F85" w:rsidRPr="004F159E" w:rsidRDefault="00911F85" w:rsidP="008742A1">
            <w:pPr>
              <w:pStyle w:val="Tabletext1"/>
              <w:jc w:val="center"/>
              <w:rPr>
                <w:rFonts w:cs="Calibri"/>
                <w:color w:val="000000"/>
              </w:rPr>
            </w:pPr>
            <w:r w:rsidRPr="001677DB">
              <w:t>146</w:t>
            </w:r>
          </w:p>
        </w:tc>
        <w:tc>
          <w:tcPr>
            <w:tcW w:w="663" w:type="pct"/>
            <w:noWrap/>
          </w:tcPr>
          <w:p w14:paraId="74660844" w14:textId="77777777" w:rsidR="00911F85" w:rsidRPr="004F159E" w:rsidRDefault="00911F85" w:rsidP="008742A1">
            <w:pPr>
              <w:pStyle w:val="Tabletext1"/>
              <w:jc w:val="center"/>
              <w:rPr>
                <w:rFonts w:cs="Calibri"/>
                <w:color w:val="000000"/>
              </w:rPr>
            </w:pPr>
            <w:r w:rsidRPr="001677DB">
              <w:t>147</w:t>
            </w:r>
          </w:p>
        </w:tc>
        <w:tc>
          <w:tcPr>
            <w:tcW w:w="663" w:type="pct"/>
          </w:tcPr>
          <w:p w14:paraId="0957FCE3" w14:textId="77777777" w:rsidR="00911F85" w:rsidRPr="00901265" w:rsidRDefault="00911F85" w:rsidP="008742A1">
            <w:pPr>
              <w:pStyle w:val="Tabletext1"/>
              <w:jc w:val="center"/>
            </w:pPr>
            <w:r w:rsidRPr="001677DB">
              <w:t>148</w:t>
            </w:r>
          </w:p>
        </w:tc>
      </w:tr>
      <w:tr w:rsidR="00911F85" w:rsidRPr="004F159E" w14:paraId="2A2749D3" w14:textId="77777777" w:rsidTr="008742A1">
        <w:trPr>
          <w:cantSplit/>
          <w:trHeight w:val="300"/>
        </w:trPr>
        <w:tc>
          <w:tcPr>
            <w:tcW w:w="1020" w:type="pct"/>
          </w:tcPr>
          <w:p w14:paraId="389F8FCB" w14:textId="77777777" w:rsidR="00911F85" w:rsidRPr="00EB2111" w:rsidRDefault="00911F85" w:rsidP="008742A1">
            <w:pPr>
              <w:pStyle w:val="Tabletext1"/>
            </w:pPr>
            <w:r>
              <w:t>Other HM</w:t>
            </w:r>
          </w:p>
        </w:tc>
        <w:tc>
          <w:tcPr>
            <w:tcW w:w="663" w:type="pct"/>
            <w:noWrap/>
          </w:tcPr>
          <w:p w14:paraId="5C5C3630" w14:textId="77777777" w:rsidR="00911F85" w:rsidRPr="004F159E" w:rsidRDefault="00911F85" w:rsidP="008742A1">
            <w:pPr>
              <w:pStyle w:val="Tabletext1"/>
              <w:jc w:val="center"/>
              <w:rPr>
                <w:rFonts w:cs="Calibri"/>
                <w:color w:val="000000"/>
              </w:rPr>
            </w:pPr>
            <w:r w:rsidRPr="0051218F">
              <w:t>232</w:t>
            </w:r>
          </w:p>
        </w:tc>
        <w:tc>
          <w:tcPr>
            <w:tcW w:w="663" w:type="pct"/>
            <w:noWrap/>
          </w:tcPr>
          <w:p w14:paraId="5897A84D" w14:textId="77777777" w:rsidR="00911F85" w:rsidRPr="004F159E" w:rsidRDefault="00911F85" w:rsidP="008742A1">
            <w:pPr>
              <w:pStyle w:val="Tabletext1"/>
              <w:jc w:val="center"/>
              <w:rPr>
                <w:rFonts w:cs="Calibri"/>
                <w:color w:val="000000"/>
              </w:rPr>
            </w:pPr>
            <w:r w:rsidRPr="00697F7C">
              <w:t>226</w:t>
            </w:r>
          </w:p>
        </w:tc>
        <w:tc>
          <w:tcPr>
            <w:tcW w:w="663" w:type="pct"/>
            <w:noWrap/>
          </w:tcPr>
          <w:p w14:paraId="4D207C25" w14:textId="77777777" w:rsidR="00911F85" w:rsidRPr="004F159E" w:rsidRDefault="00911F85" w:rsidP="008742A1">
            <w:pPr>
              <w:pStyle w:val="Tabletext1"/>
              <w:jc w:val="center"/>
              <w:rPr>
                <w:rFonts w:cs="Calibri"/>
                <w:color w:val="000000"/>
              </w:rPr>
            </w:pPr>
            <w:r w:rsidRPr="00697F7C">
              <w:t>228</w:t>
            </w:r>
          </w:p>
        </w:tc>
        <w:tc>
          <w:tcPr>
            <w:tcW w:w="663" w:type="pct"/>
            <w:noWrap/>
          </w:tcPr>
          <w:p w14:paraId="7247800A" w14:textId="77777777" w:rsidR="00911F85" w:rsidRPr="004F159E" w:rsidRDefault="00911F85" w:rsidP="008742A1">
            <w:pPr>
              <w:pStyle w:val="Tabletext1"/>
              <w:jc w:val="center"/>
              <w:rPr>
                <w:rFonts w:cs="Calibri"/>
                <w:color w:val="000000"/>
              </w:rPr>
            </w:pPr>
            <w:r w:rsidRPr="00697F7C">
              <w:t>230</w:t>
            </w:r>
          </w:p>
        </w:tc>
        <w:tc>
          <w:tcPr>
            <w:tcW w:w="663" w:type="pct"/>
            <w:noWrap/>
          </w:tcPr>
          <w:p w14:paraId="3C07EF5A" w14:textId="77777777" w:rsidR="00911F85" w:rsidRPr="004F159E" w:rsidRDefault="00911F85" w:rsidP="008742A1">
            <w:pPr>
              <w:pStyle w:val="Tabletext1"/>
              <w:jc w:val="center"/>
              <w:rPr>
                <w:rFonts w:cs="Calibri"/>
                <w:color w:val="000000"/>
              </w:rPr>
            </w:pPr>
            <w:r w:rsidRPr="00697F7C">
              <w:t>232</w:t>
            </w:r>
          </w:p>
        </w:tc>
        <w:tc>
          <w:tcPr>
            <w:tcW w:w="663" w:type="pct"/>
          </w:tcPr>
          <w:p w14:paraId="177622F2" w14:textId="77777777" w:rsidR="00911F85" w:rsidRPr="00901265" w:rsidRDefault="00911F85" w:rsidP="008742A1">
            <w:pPr>
              <w:pStyle w:val="Tabletext1"/>
              <w:jc w:val="center"/>
            </w:pPr>
            <w:r w:rsidRPr="00697F7C">
              <w:t>234</w:t>
            </w:r>
          </w:p>
        </w:tc>
      </w:tr>
    </w:tbl>
    <w:p w14:paraId="4047E810" w14:textId="77777777" w:rsidR="00911F85" w:rsidRDefault="00911F85" w:rsidP="00911F85">
      <w:pPr>
        <w:pStyle w:val="Tablenotes1"/>
      </w:pPr>
      <w:r>
        <w:t>CLL = chronic lymphocytic lymphoma; HM = haematological malignancies; HSCT = haemopoietic stem cell transplantation; Ig = immunoglobulin; MM = multiple myeloma; NHL = non-Hodgkin’s lymphoma.</w:t>
      </w:r>
    </w:p>
    <w:p w14:paraId="219E816F" w14:textId="77777777" w:rsidR="00911F85" w:rsidRDefault="00911F85" w:rsidP="00911F85">
      <w:pPr>
        <w:pStyle w:val="Tablenotes1"/>
      </w:pPr>
      <w:r>
        <w:t>Source: ‘Section E tables’ worksheet in ‘1565 Financials.xlsx’ workbook.</w:t>
      </w:r>
    </w:p>
    <w:p w14:paraId="58D84E13" w14:textId="77777777" w:rsidR="00911F85" w:rsidRPr="009B317B" w:rsidRDefault="00911F85" w:rsidP="00911F85"/>
    <w:bookmarkEnd w:id="640"/>
    <w:bookmarkEnd w:id="641"/>
    <w:p w14:paraId="7D380511" w14:textId="77777777" w:rsidR="00911F85" w:rsidRDefault="00911F85" w:rsidP="00911F85">
      <w:pPr>
        <w:pStyle w:val="Heading4"/>
      </w:pPr>
      <w:r>
        <w:t>Average cost per gram of Ig</w:t>
      </w:r>
    </w:p>
    <w:p w14:paraId="69275908" w14:textId="77777777" w:rsidR="00911F85" w:rsidRDefault="00911F85" w:rsidP="00911F85">
      <w:r>
        <w:t>The base case financial estimates will assume the cost per gram of Ig of $60.41 (see Section D.4.2). As per Section D, sensitivity analyses will be conducted assuming:</w:t>
      </w:r>
    </w:p>
    <w:p w14:paraId="258F6B7D" w14:textId="77777777" w:rsidR="00911F85" w:rsidRDefault="00911F85" w:rsidP="00331FB9">
      <w:pPr>
        <w:pStyle w:val="ListParagraph"/>
        <w:numPr>
          <w:ilvl w:val="0"/>
          <w:numId w:val="25"/>
        </w:numPr>
      </w:pPr>
      <w:r>
        <w:t>The highest cost of Ig (i.e. domestic Ig including plasma, $140.18)</w:t>
      </w:r>
    </w:p>
    <w:p w14:paraId="0A1B5D40" w14:textId="77777777" w:rsidR="00911F85" w:rsidRDefault="00911F85" w:rsidP="00331FB9">
      <w:pPr>
        <w:pStyle w:val="ListParagraph"/>
        <w:numPr>
          <w:ilvl w:val="0"/>
          <w:numId w:val="25"/>
        </w:numPr>
      </w:pPr>
      <w:r>
        <w:lastRenderedPageBreak/>
        <w:t>The lowest cost of Ig (i.e. imported IVIg, $44.94)</w:t>
      </w:r>
    </w:p>
    <w:p w14:paraId="56D514A0" w14:textId="77777777" w:rsidR="00911F85" w:rsidRDefault="00911F85" w:rsidP="00331FB9">
      <w:pPr>
        <w:pStyle w:val="ListParagraph"/>
        <w:numPr>
          <w:ilvl w:val="0"/>
          <w:numId w:val="25"/>
        </w:numPr>
      </w:pPr>
      <w:r>
        <w:t>Average cost of Ig, weighted across all indications, $94.51</w:t>
      </w:r>
    </w:p>
    <w:p w14:paraId="478516B1" w14:textId="77777777" w:rsidR="00911F85" w:rsidRDefault="00911F85" w:rsidP="00911F85">
      <w:r>
        <w:t>Prices per gram are assumed to remain constant over the projected period.</w:t>
      </w:r>
    </w:p>
    <w:p w14:paraId="57C4529A" w14:textId="77777777" w:rsidR="00911F85" w:rsidRDefault="00911F85" w:rsidP="00911F85"/>
    <w:p w14:paraId="21A1B0AB" w14:textId="77777777" w:rsidR="00911F85" w:rsidRDefault="00911F85" w:rsidP="00911F85">
      <w:pPr>
        <w:pStyle w:val="Heading4"/>
      </w:pPr>
      <w:r>
        <w:t>Estimated cost of Ig</w:t>
      </w:r>
    </w:p>
    <w:p w14:paraId="530357FA" w14:textId="56BF2118" w:rsidR="00911F85" w:rsidRPr="00D61E67" w:rsidRDefault="00911F85" w:rsidP="00911F85">
      <w:r>
        <w:t xml:space="preserve">Projected costs across the acquired hypogammaglobulinaemia indications are presented in </w:t>
      </w:r>
      <w:r>
        <w:fldChar w:fldCharType="begin"/>
      </w:r>
      <w:r>
        <w:instrText xml:space="preserve"> REF _Ref9939196 \h </w:instrText>
      </w:r>
      <w:r>
        <w:fldChar w:fldCharType="separate"/>
      </w:r>
      <w:r w:rsidR="00A7463B">
        <w:t xml:space="preserve">Table </w:t>
      </w:r>
      <w:r w:rsidR="00A7463B">
        <w:rPr>
          <w:noProof/>
        </w:rPr>
        <w:t>69</w:t>
      </w:r>
      <w:r>
        <w:fldChar w:fldCharType="end"/>
      </w:r>
      <w:r>
        <w:t>.</w:t>
      </w:r>
    </w:p>
    <w:p w14:paraId="4252F314" w14:textId="7D658954" w:rsidR="00911F85" w:rsidRDefault="00911F85" w:rsidP="00911F85">
      <w:pPr>
        <w:pStyle w:val="Caption"/>
        <w:keepNext/>
      </w:pPr>
      <w:bookmarkStart w:id="642" w:name="_Ref9939196"/>
      <w:bookmarkStart w:id="643" w:name="_Toc14348903"/>
      <w:bookmarkStart w:id="644" w:name="_Toc14429609"/>
      <w:bookmarkStart w:id="645" w:name="_Toc16671667"/>
      <w:r>
        <w:t xml:space="preserve">Table </w:t>
      </w:r>
      <w:r>
        <w:rPr>
          <w:noProof/>
        </w:rPr>
        <w:fldChar w:fldCharType="begin"/>
      </w:r>
      <w:r>
        <w:rPr>
          <w:noProof/>
        </w:rPr>
        <w:instrText xml:space="preserve"> SEQ Table \* ARABIC </w:instrText>
      </w:r>
      <w:r>
        <w:rPr>
          <w:noProof/>
        </w:rPr>
        <w:fldChar w:fldCharType="separate"/>
      </w:r>
      <w:r w:rsidR="00A7463B">
        <w:rPr>
          <w:noProof/>
        </w:rPr>
        <w:t>69</w:t>
      </w:r>
      <w:r>
        <w:rPr>
          <w:noProof/>
        </w:rPr>
        <w:fldChar w:fldCharType="end"/>
      </w:r>
      <w:bookmarkEnd w:id="642"/>
      <w:r>
        <w:tab/>
        <w:t>Cost of Ig for acquired hypogammaglobulinaemia, 2019-20 to 2023-24</w:t>
      </w:r>
      <w:bookmarkEnd w:id="643"/>
      <w:bookmarkEnd w:id="644"/>
      <w:bookmarkEnd w:id="645"/>
    </w:p>
    <w:tbl>
      <w:tblPr>
        <w:tblStyle w:val="TableGrid1"/>
        <w:tblW w:w="5000" w:type="pct"/>
        <w:tblLayout w:type="fixed"/>
        <w:tblLook w:val="04A0" w:firstRow="1" w:lastRow="0" w:firstColumn="1" w:lastColumn="0" w:noHBand="0" w:noVBand="1"/>
        <w:tblCaption w:val="Cost of Ig for acquired hypogammaglobulinaemia, 2019-20 to 2023-24"/>
      </w:tblPr>
      <w:tblGrid>
        <w:gridCol w:w="2900"/>
        <w:gridCol w:w="1268"/>
        <w:gridCol w:w="1268"/>
        <w:gridCol w:w="1268"/>
        <w:gridCol w:w="1268"/>
        <w:gridCol w:w="1270"/>
      </w:tblGrid>
      <w:tr w:rsidR="00911F85" w:rsidRPr="00B01A0A" w14:paraId="428AB6E8" w14:textId="77777777" w:rsidTr="008742A1">
        <w:trPr>
          <w:cnfStyle w:val="100000000000" w:firstRow="1" w:lastRow="0" w:firstColumn="0" w:lastColumn="0" w:oddVBand="0" w:evenVBand="0" w:oddHBand="0" w:evenHBand="0" w:firstRowFirstColumn="0" w:firstRowLastColumn="0" w:lastRowFirstColumn="0" w:lastRowLastColumn="0"/>
          <w:cantSplit/>
          <w:trHeight w:val="300"/>
          <w:tblHeader/>
        </w:trPr>
        <w:tc>
          <w:tcPr>
            <w:tcW w:w="1569" w:type="pct"/>
            <w:noWrap/>
            <w:hideMark/>
          </w:tcPr>
          <w:p w14:paraId="03441744" w14:textId="77777777" w:rsidR="00911F85" w:rsidRPr="00B01A0A" w:rsidRDefault="00911F85" w:rsidP="008742A1">
            <w:pPr>
              <w:pStyle w:val="TableHeading"/>
            </w:pPr>
          </w:p>
        </w:tc>
        <w:tc>
          <w:tcPr>
            <w:tcW w:w="686" w:type="pct"/>
            <w:noWrap/>
            <w:hideMark/>
          </w:tcPr>
          <w:p w14:paraId="663D4CBD" w14:textId="77777777" w:rsidR="00911F85" w:rsidRPr="00B01A0A" w:rsidRDefault="00911F85" w:rsidP="008742A1">
            <w:pPr>
              <w:pStyle w:val="TableHeading"/>
              <w:jc w:val="center"/>
            </w:pPr>
            <w:r w:rsidRPr="00B01A0A">
              <w:t>2019-20</w:t>
            </w:r>
          </w:p>
        </w:tc>
        <w:tc>
          <w:tcPr>
            <w:tcW w:w="686" w:type="pct"/>
            <w:noWrap/>
            <w:hideMark/>
          </w:tcPr>
          <w:p w14:paraId="58B5E1FA" w14:textId="77777777" w:rsidR="00911F85" w:rsidRPr="00B01A0A" w:rsidRDefault="00911F85" w:rsidP="008742A1">
            <w:pPr>
              <w:pStyle w:val="TableHeading"/>
              <w:jc w:val="center"/>
            </w:pPr>
            <w:r w:rsidRPr="00B01A0A">
              <w:t>2020-21</w:t>
            </w:r>
          </w:p>
        </w:tc>
        <w:tc>
          <w:tcPr>
            <w:tcW w:w="686" w:type="pct"/>
            <w:noWrap/>
            <w:hideMark/>
          </w:tcPr>
          <w:p w14:paraId="54AB1334" w14:textId="77777777" w:rsidR="00911F85" w:rsidRPr="00B01A0A" w:rsidRDefault="00911F85" w:rsidP="008742A1">
            <w:pPr>
              <w:pStyle w:val="TableHeading"/>
              <w:jc w:val="center"/>
            </w:pPr>
            <w:r w:rsidRPr="00B01A0A">
              <w:t>2021-22</w:t>
            </w:r>
          </w:p>
        </w:tc>
        <w:tc>
          <w:tcPr>
            <w:tcW w:w="686" w:type="pct"/>
            <w:noWrap/>
            <w:hideMark/>
          </w:tcPr>
          <w:p w14:paraId="420C947F" w14:textId="77777777" w:rsidR="00911F85" w:rsidRPr="00B01A0A" w:rsidRDefault="00911F85" w:rsidP="008742A1">
            <w:pPr>
              <w:pStyle w:val="TableHeading"/>
              <w:jc w:val="center"/>
            </w:pPr>
            <w:r w:rsidRPr="00B01A0A">
              <w:t>2022-23</w:t>
            </w:r>
          </w:p>
        </w:tc>
        <w:tc>
          <w:tcPr>
            <w:tcW w:w="687" w:type="pct"/>
            <w:noWrap/>
            <w:hideMark/>
          </w:tcPr>
          <w:p w14:paraId="77A9A779" w14:textId="77777777" w:rsidR="00911F85" w:rsidRPr="00B01A0A" w:rsidRDefault="00911F85" w:rsidP="008742A1">
            <w:pPr>
              <w:pStyle w:val="TableHeading"/>
              <w:jc w:val="center"/>
            </w:pPr>
            <w:r w:rsidRPr="00B01A0A">
              <w:t>2023-24</w:t>
            </w:r>
          </w:p>
        </w:tc>
      </w:tr>
      <w:tr w:rsidR="00911F85" w:rsidRPr="00B01A0A" w14:paraId="2E68DB1F" w14:textId="77777777" w:rsidTr="008742A1">
        <w:trPr>
          <w:cantSplit/>
          <w:trHeight w:val="300"/>
        </w:trPr>
        <w:tc>
          <w:tcPr>
            <w:tcW w:w="1569" w:type="pct"/>
            <w:noWrap/>
            <w:hideMark/>
          </w:tcPr>
          <w:p w14:paraId="5E97B620" w14:textId="77777777" w:rsidR="00911F85" w:rsidRPr="00B01A0A" w:rsidRDefault="00911F85" w:rsidP="008742A1">
            <w:pPr>
              <w:pStyle w:val="Tabletext1"/>
            </w:pPr>
            <w:r w:rsidRPr="00B01A0A">
              <w:t>Cost per gram of Ig</w:t>
            </w:r>
          </w:p>
        </w:tc>
        <w:tc>
          <w:tcPr>
            <w:tcW w:w="686" w:type="pct"/>
            <w:noWrap/>
            <w:hideMark/>
          </w:tcPr>
          <w:p w14:paraId="7D32CD47" w14:textId="77777777" w:rsidR="00911F85" w:rsidRPr="00B01A0A" w:rsidRDefault="00911F85" w:rsidP="008742A1">
            <w:pPr>
              <w:pStyle w:val="Tabletext1"/>
              <w:jc w:val="right"/>
            </w:pPr>
            <w:r w:rsidRPr="003F17B3">
              <w:t>$60.41</w:t>
            </w:r>
          </w:p>
        </w:tc>
        <w:tc>
          <w:tcPr>
            <w:tcW w:w="686" w:type="pct"/>
            <w:noWrap/>
            <w:hideMark/>
          </w:tcPr>
          <w:p w14:paraId="20FA0CF6" w14:textId="77777777" w:rsidR="00911F85" w:rsidRPr="00B01A0A" w:rsidRDefault="00911F85" w:rsidP="008742A1">
            <w:pPr>
              <w:pStyle w:val="Tabletext1"/>
              <w:jc w:val="right"/>
            </w:pPr>
          </w:p>
        </w:tc>
        <w:tc>
          <w:tcPr>
            <w:tcW w:w="686" w:type="pct"/>
            <w:noWrap/>
            <w:hideMark/>
          </w:tcPr>
          <w:p w14:paraId="33D0100F" w14:textId="77777777" w:rsidR="00911F85" w:rsidRPr="00B01A0A" w:rsidRDefault="00911F85" w:rsidP="008742A1">
            <w:pPr>
              <w:pStyle w:val="Tabletext1"/>
              <w:jc w:val="right"/>
            </w:pPr>
          </w:p>
        </w:tc>
        <w:tc>
          <w:tcPr>
            <w:tcW w:w="686" w:type="pct"/>
            <w:noWrap/>
            <w:hideMark/>
          </w:tcPr>
          <w:p w14:paraId="5004EF5B" w14:textId="77777777" w:rsidR="00911F85" w:rsidRPr="00B01A0A" w:rsidRDefault="00911F85" w:rsidP="008742A1">
            <w:pPr>
              <w:pStyle w:val="Tabletext1"/>
              <w:jc w:val="right"/>
            </w:pPr>
          </w:p>
        </w:tc>
        <w:tc>
          <w:tcPr>
            <w:tcW w:w="687" w:type="pct"/>
            <w:noWrap/>
            <w:hideMark/>
          </w:tcPr>
          <w:p w14:paraId="685F6314" w14:textId="77777777" w:rsidR="00911F85" w:rsidRPr="00B01A0A" w:rsidRDefault="00911F85" w:rsidP="008742A1">
            <w:pPr>
              <w:pStyle w:val="Tabletext1"/>
              <w:jc w:val="right"/>
            </w:pPr>
          </w:p>
        </w:tc>
      </w:tr>
      <w:tr w:rsidR="00911F85" w:rsidRPr="00B01A0A" w14:paraId="7B41E050" w14:textId="77777777" w:rsidTr="008742A1">
        <w:trPr>
          <w:cantSplit/>
          <w:trHeight w:val="300"/>
        </w:trPr>
        <w:tc>
          <w:tcPr>
            <w:tcW w:w="1569" w:type="pct"/>
            <w:noWrap/>
            <w:hideMark/>
          </w:tcPr>
          <w:p w14:paraId="07AAFA79" w14:textId="77777777" w:rsidR="00911F85" w:rsidRPr="00B01A0A" w:rsidRDefault="00911F85" w:rsidP="008742A1">
            <w:pPr>
              <w:pStyle w:val="Tabletext1"/>
            </w:pPr>
            <w:r w:rsidRPr="00B01A0A">
              <w:t>No. CLL patients</w:t>
            </w:r>
          </w:p>
        </w:tc>
        <w:tc>
          <w:tcPr>
            <w:tcW w:w="686" w:type="pct"/>
            <w:noWrap/>
            <w:hideMark/>
          </w:tcPr>
          <w:p w14:paraId="4557AF00" w14:textId="77777777" w:rsidR="00911F85" w:rsidRPr="00B01A0A" w:rsidRDefault="00911F85" w:rsidP="008742A1">
            <w:pPr>
              <w:pStyle w:val="Tabletext1"/>
              <w:jc w:val="right"/>
            </w:pPr>
            <w:r w:rsidRPr="003F17B3">
              <w:t>1,794</w:t>
            </w:r>
          </w:p>
        </w:tc>
        <w:tc>
          <w:tcPr>
            <w:tcW w:w="686" w:type="pct"/>
            <w:noWrap/>
            <w:hideMark/>
          </w:tcPr>
          <w:p w14:paraId="4FE171EF" w14:textId="77777777" w:rsidR="00911F85" w:rsidRPr="00B01A0A" w:rsidRDefault="00911F85" w:rsidP="008742A1">
            <w:pPr>
              <w:pStyle w:val="Tabletext1"/>
              <w:jc w:val="right"/>
            </w:pPr>
            <w:r w:rsidRPr="003F17B3">
              <w:t>1,892</w:t>
            </w:r>
          </w:p>
        </w:tc>
        <w:tc>
          <w:tcPr>
            <w:tcW w:w="686" w:type="pct"/>
            <w:noWrap/>
            <w:hideMark/>
          </w:tcPr>
          <w:p w14:paraId="16DCBCFC" w14:textId="77777777" w:rsidR="00911F85" w:rsidRPr="00B01A0A" w:rsidRDefault="00911F85" w:rsidP="008742A1">
            <w:pPr>
              <w:pStyle w:val="Tabletext1"/>
              <w:jc w:val="right"/>
            </w:pPr>
            <w:r w:rsidRPr="003F17B3">
              <w:t>1,990</w:t>
            </w:r>
          </w:p>
        </w:tc>
        <w:tc>
          <w:tcPr>
            <w:tcW w:w="686" w:type="pct"/>
            <w:noWrap/>
            <w:hideMark/>
          </w:tcPr>
          <w:p w14:paraId="2D4ADD40" w14:textId="77777777" w:rsidR="00911F85" w:rsidRPr="00B01A0A" w:rsidRDefault="00911F85" w:rsidP="008742A1">
            <w:pPr>
              <w:pStyle w:val="Tabletext1"/>
              <w:jc w:val="right"/>
            </w:pPr>
            <w:r w:rsidRPr="003F17B3">
              <w:t>2,089</w:t>
            </w:r>
          </w:p>
        </w:tc>
        <w:tc>
          <w:tcPr>
            <w:tcW w:w="687" w:type="pct"/>
            <w:noWrap/>
            <w:hideMark/>
          </w:tcPr>
          <w:p w14:paraId="2C16A197" w14:textId="77777777" w:rsidR="00911F85" w:rsidRPr="00B01A0A" w:rsidRDefault="00911F85" w:rsidP="008742A1">
            <w:pPr>
              <w:pStyle w:val="Tabletext1"/>
              <w:jc w:val="right"/>
            </w:pPr>
            <w:r w:rsidRPr="003F17B3">
              <w:t>2,187</w:t>
            </w:r>
          </w:p>
        </w:tc>
      </w:tr>
      <w:tr w:rsidR="00911F85" w:rsidRPr="00B01A0A" w14:paraId="427B32D0" w14:textId="77777777" w:rsidTr="008742A1">
        <w:trPr>
          <w:cantSplit/>
          <w:trHeight w:val="300"/>
        </w:trPr>
        <w:tc>
          <w:tcPr>
            <w:tcW w:w="1569" w:type="pct"/>
            <w:tcBorders>
              <w:bottom w:val="single" w:sz="4" w:space="0" w:color="auto"/>
            </w:tcBorders>
            <w:noWrap/>
            <w:hideMark/>
          </w:tcPr>
          <w:p w14:paraId="294761B0" w14:textId="77777777" w:rsidR="00911F85" w:rsidRPr="00B01A0A" w:rsidRDefault="00911F85" w:rsidP="008742A1">
            <w:pPr>
              <w:pStyle w:val="Tabletext1"/>
            </w:pPr>
            <w:r w:rsidRPr="00B01A0A">
              <w:t>Ig grams issued for CLL</w:t>
            </w:r>
          </w:p>
        </w:tc>
        <w:tc>
          <w:tcPr>
            <w:tcW w:w="686" w:type="pct"/>
            <w:tcBorders>
              <w:bottom w:val="single" w:sz="4" w:space="0" w:color="auto"/>
            </w:tcBorders>
            <w:noWrap/>
            <w:hideMark/>
          </w:tcPr>
          <w:p w14:paraId="327B63E5" w14:textId="77777777" w:rsidR="00911F85" w:rsidRPr="00B01A0A" w:rsidRDefault="00911F85" w:rsidP="008742A1">
            <w:pPr>
              <w:pStyle w:val="Tabletext1"/>
              <w:jc w:val="right"/>
            </w:pPr>
            <w:r w:rsidRPr="003F17B3">
              <w:t>502,376</w:t>
            </w:r>
          </w:p>
        </w:tc>
        <w:tc>
          <w:tcPr>
            <w:tcW w:w="686" w:type="pct"/>
            <w:tcBorders>
              <w:bottom w:val="single" w:sz="4" w:space="0" w:color="auto"/>
            </w:tcBorders>
            <w:noWrap/>
            <w:hideMark/>
          </w:tcPr>
          <w:p w14:paraId="42B4228E" w14:textId="77777777" w:rsidR="00911F85" w:rsidRPr="00B01A0A" w:rsidRDefault="00911F85" w:rsidP="008742A1">
            <w:pPr>
              <w:pStyle w:val="Tabletext1"/>
              <w:jc w:val="right"/>
            </w:pPr>
            <w:r w:rsidRPr="003F17B3">
              <w:t>538,942</w:t>
            </w:r>
          </w:p>
        </w:tc>
        <w:tc>
          <w:tcPr>
            <w:tcW w:w="686" w:type="pct"/>
            <w:tcBorders>
              <w:bottom w:val="single" w:sz="4" w:space="0" w:color="auto"/>
            </w:tcBorders>
            <w:noWrap/>
            <w:hideMark/>
          </w:tcPr>
          <w:p w14:paraId="139E7DAD" w14:textId="77777777" w:rsidR="00911F85" w:rsidRPr="00B01A0A" w:rsidRDefault="00911F85" w:rsidP="008742A1">
            <w:pPr>
              <w:pStyle w:val="Tabletext1"/>
              <w:jc w:val="right"/>
            </w:pPr>
            <w:r w:rsidRPr="003F17B3">
              <w:t>575,508</w:t>
            </w:r>
          </w:p>
        </w:tc>
        <w:tc>
          <w:tcPr>
            <w:tcW w:w="686" w:type="pct"/>
            <w:tcBorders>
              <w:bottom w:val="single" w:sz="4" w:space="0" w:color="auto"/>
            </w:tcBorders>
            <w:noWrap/>
            <w:hideMark/>
          </w:tcPr>
          <w:p w14:paraId="42481264" w14:textId="77777777" w:rsidR="00911F85" w:rsidRPr="00B01A0A" w:rsidRDefault="00911F85" w:rsidP="008742A1">
            <w:pPr>
              <w:pStyle w:val="Tabletext1"/>
              <w:jc w:val="right"/>
            </w:pPr>
            <w:r w:rsidRPr="003F17B3">
              <w:t>612,074</w:t>
            </w:r>
          </w:p>
        </w:tc>
        <w:tc>
          <w:tcPr>
            <w:tcW w:w="687" w:type="pct"/>
            <w:tcBorders>
              <w:bottom w:val="single" w:sz="4" w:space="0" w:color="auto"/>
            </w:tcBorders>
            <w:noWrap/>
            <w:hideMark/>
          </w:tcPr>
          <w:p w14:paraId="61F6572D" w14:textId="77777777" w:rsidR="00911F85" w:rsidRPr="00B01A0A" w:rsidRDefault="00911F85" w:rsidP="008742A1">
            <w:pPr>
              <w:pStyle w:val="Tabletext1"/>
              <w:jc w:val="right"/>
            </w:pPr>
            <w:r w:rsidRPr="003F17B3">
              <w:t>648,640</w:t>
            </w:r>
          </w:p>
        </w:tc>
      </w:tr>
      <w:tr w:rsidR="00911F85" w:rsidRPr="00B01A0A" w14:paraId="26D52002" w14:textId="77777777" w:rsidTr="008742A1">
        <w:trPr>
          <w:cantSplit/>
          <w:trHeight w:val="300"/>
        </w:trPr>
        <w:tc>
          <w:tcPr>
            <w:tcW w:w="1569" w:type="pct"/>
            <w:tcBorders>
              <w:bottom w:val="double" w:sz="4" w:space="0" w:color="auto"/>
            </w:tcBorders>
            <w:noWrap/>
            <w:hideMark/>
          </w:tcPr>
          <w:p w14:paraId="0B592AC2" w14:textId="77777777" w:rsidR="00911F85" w:rsidRPr="00B01A0A" w:rsidRDefault="00911F85" w:rsidP="008742A1">
            <w:pPr>
              <w:pStyle w:val="Tabletext1"/>
            </w:pPr>
            <w:r w:rsidRPr="00B01A0A">
              <w:t>Cost of Ig for CLL</w:t>
            </w:r>
          </w:p>
        </w:tc>
        <w:tc>
          <w:tcPr>
            <w:tcW w:w="686" w:type="pct"/>
            <w:tcBorders>
              <w:bottom w:val="double" w:sz="4" w:space="0" w:color="auto"/>
            </w:tcBorders>
            <w:noWrap/>
            <w:hideMark/>
          </w:tcPr>
          <w:p w14:paraId="76CA1C1B" w14:textId="77777777" w:rsidR="00911F85" w:rsidRPr="00B01A0A" w:rsidRDefault="00911F85" w:rsidP="008742A1">
            <w:pPr>
              <w:pStyle w:val="Tabletext1"/>
              <w:jc w:val="right"/>
            </w:pPr>
            <w:r w:rsidRPr="003F17B3">
              <w:t>$30,348,534</w:t>
            </w:r>
          </w:p>
        </w:tc>
        <w:tc>
          <w:tcPr>
            <w:tcW w:w="686" w:type="pct"/>
            <w:tcBorders>
              <w:bottom w:val="double" w:sz="4" w:space="0" w:color="auto"/>
            </w:tcBorders>
            <w:noWrap/>
            <w:hideMark/>
          </w:tcPr>
          <w:p w14:paraId="42A52A86" w14:textId="77777777" w:rsidR="00911F85" w:rsidRPr="00B01A0A" w:rsidRDefault="00911F85" w:rsidP="008742A1">
            <w:pPr>
              <w:pStyle w:val="Tabletext1"/>
              <w:jc w:val="right"/>
            </w:pPr>
            <w:r w:rsidRPr="003F17B3">
              <w:t>$32,557,486</w:t>
            </w:r>
          </w:p>
        </w:tc>
        <w:tc>
          <w:tcPr>
            <w:tcW w:w="686" w:type="pct"/>
            <w:tcBorders>
              <w:bottom w:val="double" w:sz="4" w:space="0" w:color="auto"/>
            </w:tcBorders>
            <w:noWrap/>
            <w:hideMark/>
          </w:tcPr>
          <w:p w14:paraId="555D341D" w14:textId="77777777" w:rsidR="00911F85" w:rsidRPr="00B01A0A" w:rsidRDefault="00911F85" w:rsidP="008742A1">
            <w:pPr>
              <w:pStyle w:val="Tabletext1"/>
              <w:jc w:val="right"/>
            </w:pPr>
            <w:r w:rsidRPr="003F17B3">
              <w:t>$34,766,438</w:t>
            </w:r>
          </w:p>
        </w:tc>
        <w:tc>
          <w:tcPr>
            <w:tcW w:w="686" w:type="pct"/>
            <w:tcBorders>
              <w:bottom w:val="double" w:sz="4" w:space="0" w:color="auto"/>
            </w:tcBorders>
            <w:noWrap/>
            <w:hideMark/>
          </w:tcPr>
          <w:p w14:paraId="73A529C7" w14:textId="77777777" w:rsidR="00911F85" w:rsidRPr="00B01A0A" w:rsidRDefault="00911F85" w:rsidP="008742A1">
            <w:pPr>
              <w:pStyle w:val="Tabletext1"/>
              <w:jc w:val="right"/>
            </w:pPr>
            <w:r w:rsidRPr="003F17B3">
              <w:t>$36,975,390</w:t>
            </w:r>
          </w:p>
        </w:tc>
        <w:tc>
          <w:tcPr>
            <w:tcW w:w="687" w:type="pct"/>
            <w:tcBorders>
              <w:bottom w:val="double" w:sz="4" w:space="0" w:color="auto"/>
            </w:tcBorders>
            <w:noWrap/>
            <w:hideMark/>
          </w:tcPr>
          <w:p w14:paraId="2240B10E" w14:textId="77777777" w:rsidR="00911F85" w:rsidRPr="00B01A0A" w:rsidRDefault="00911F85" w:rsidP="008742A1">
            <w:pPr>
              <w:pStyle w:val="Tabletext1"/>
              <w:jc w:val="right"/>
            </w:pPr>
            <w:r w:rsidRPr="003F17B3">
              <w:t>$39,184,342</w:t>
            </w:r>
          </w:p>
        </w:tc>
      </w:tr>
      <w:tr w:rsidR="00911F85" w:rsidRPr="00B01A0A" w14:paraId="5D4A99D1" w14:textId="77777777" w:rsidTr="008742A1">
        <w:trPr>
          <w:cantSplit/>
          <w:trHeight w:val="300"/>
        </w:trPr>
        <w:tc>
          <w:tcPr>
            <w:tcW w:w="1569" w:type="pct"/>
            <w:tcBorders>
              <w:top w:val="double" w:sz="4" w:space="0" w:color="auto"/>
            </w:tcBorders>
            <w:noWrap/>
            <w:hideMark/>
          </w:tcPr>
          <w:p w14:paraId="5939AFDC" w14:textId="77777777" w:rsidR="00911F85" w:rsidRPr="00B01A0A" w:rsidRDefault="00911F85" w:rsidP="008742A1">
            <w:pPr>
              <w:pStyle w:val="Tabletext1"/>
            </w:pPr>
            <w:r w:rsidRPr="00B01A0A">
              <w:t>No. MM patients</w:t>
            </w:r>
          </w:p>
        </w:tc>
        <w:tc>
          <w:tcPr>
            <w:tcW w:w="686" w:type="pct"/>
            <w:tcBorders>
              <w:top w:val="double" w:sz="4" w:space="0" w:color="auto"/>
            </w:tcBorders>
            <w:noWrap/>
            <w:hideMark/>
          </w:tcPr>
          <w:p w14:paraId="151C8189" w14:textId="77777777" w:rsidR="00911F85" w:rsidRPr="00B01A0A" w:rsidRDefault="00911F85" w:rsidP="008742A1">
            <w:pPr>
              <w:pStyle w:val="Tabletext1"/>
              <w:jc w:val="right"/>
            </w:pPr>
            <w:r w:rsidRPr="003F17B3">
              <w:t>1,583</w:t>
            </w:r>
          </w:p>
        </w:tc>
        <w:tc>
          <w:tcPr>
            <w:tcW w:w="686" w:type="pct"/>
            <w:tcBorders>
              <w:top w:val="double" w:sz="4" w:space="0" w:color="auto"/>
            </w:tcBorders>
            <w:noWrap/>
            <w:hideMark/>
          </w:tcPr>
          <w:p w14:paraId="01A22CDB" w14:textId="77777777" w:rsidR="00911F85" w:rsidRPr="00B01A0A" w:rsidRDefault="00911F85" w:rsidP="008742A1">
            <w:pPr>
              <w:pStyle w:val="Tabletext1"/>
              <w:jc w:val="right"/>
            </w:pPr>
            <w:r w:rsidRPr="003F17B3">
              <w:t>1,673</w:t>
            </w:r>
          </w:p>
        </w:tc>
        <w:tc>
          <w:tcPr>
            <w:tcW w:w="686" w:type="pct"/>
            <w:tcBorders>
              <w:top w:val="double" w:sz="4" w:space="0" w:color="auto"/>
            </w:tcBorders>
            <w:noWrap/>
            <w:hideMark/>
          </w:tcPr>
          <w:p w14:paraId="459F76FE" w14:textId="77777777" w:rsidR="00911F85" w:rsidRPr="00B01A0A" w:rsidRDefault="00911F85" w:rsidP="008742A1">
            <w:pPr>
              <w:pStyle w:val="Tabletext1"/>
              <w:jc w:val="right"/>
            </w:pPr>
            <w:r w:rsidRPr="003F17B3">
              <w:t>1,763</w:t>
            </w:r>
          </w:p>
        </w:tc>
        <w:tc>
          <w:tcPr>
            <w:tcW w:w="686" w:type="pct"/>
            <w:tcBorders>
              <w:top w:val="double" w:sz="4" w:space="0" w:color="auto"/>
            </w:tcBorders>
            <w:noWrap/>
            <w:hideMark/>
          </w:tcPr>
          <w:p w14:paraId="11A4D946" w14:textId="77777777" w:rsidR="00911F85" w:rsidRPr="00B01A0A" w:rsidRDefault="00911F85" w:rsidP="008742A1">
            <w:pPr>
              <w:pStyle w:val="Tabletext1"/>
              <w:jc w:val="right"/>
            </w:pPr>
            <w:r w:rsidRPr="003F17B3">
              <w:t>1,853</w:t>
            </w:r>
          </w:p>
        </w:tc>
        <w:tc>
          <w:tcPr>
            <w:tcW w:w="687" w:type="pct"/>
            <w:tcBorders>
              <w:top w:val="double" w:sz="4" w:space="0" w:color="auto"/>
            </w:tcBorders>
            <w:noWrap/>
            <w:hideMark/>
          </w:tcPr>
          <w:p w14:paraId="7C30200D" w14:textId="77777777" w:rsidR="00911F85" w:rsidRPr="00B01A0A" w:rsidRDefault="00911F85" w:rsidP="008742A1">
            <w:pPr>
              <w:pStyle w:val="Tabletext1"/>
              <w:jc w:val="right"/>
            </w:pPr>
            <w:r w:rsidRPr="003F17B3">
              <w:t>1,943</w:t>
            </w:r>
          </w:p>
        </w:tc>
      </w:tr>
      <w:tr w:rsidR="00911F85" w:rsidRPr="00B01A0A" w14:paraId="649C42ED" w14:textId="77777777" w:rsidTr="008742A1">
        <w:trPr>
          <w:cantSplit/>
          <w:trHeight w:val="300"/>
        </w:trPr>
        <w:tc>
          <w:tcPr>
            <w:tcW w:w="1569" w:type="pct"/>
            <w:tcBorders>
              <w:bottom w:val="single" w:sz="4" w:space="0" w:color="auto"/>
            </w:tcBorders>
            <w:noWrap/>
            <w:hideMark/>
          </w:tcPr>
          <w:p w14:paraId="11FBD3F3" w14:textId="77777777" w:rsidR="00911F85" w:rsidRPr="00B01A0A" w:rsidRDefault="00911F85" w:rsidP="008742A1">
            <w:pPr>
              <w:pStyle w:val="Tabletext1"/>
            </w:pPr>
            <w:r w:rsidRPr="00B01A0A">
              <w:t>Ig grams issued for MM</w:t>
            </w:r>
          </w:p>
        </w:tc>
        <w:tc>
          <w:tcPr>
            <w:tcW w:w="686" w:type="pct"/>
            <w:tcBorders>
              <w:bottom w:val="single" w:sz="4" w:space="0" w:color="auto"/>
            </w:tcBorders>
            <w:noWrap/>
            <w:hideMark/>
          </w:tcPr>
          <w:p w14:paraId="04FECFC5" w14:textId="77777777" w:rsidR="00911F85" w:rsidRPr="00B01A0A" w:rsidRDefault="00911F85" w:rsidP="008742A1">
            <w:pPr>
              <w:pStyle w:val="Tabletext1"/>
              <w:jc w:val="right"/>
            </w:pPr>
            <w:r w:rsidRPr="003F17B3">
              <w:t>403,000</w:t>
            </w:r>
          </w:p>
        </w:tc>
        <w:tc>
          <w:tcPr>
            <w:tcW w:w="686" w:type="pct"/>
            <w:tcBorders>
              <w:bottom w:val="single" w:sz="4" w:space="0" w:color="auto"/>
            </w:tcBorders>
            <w:noWrap/>
            <w:hideMark/>
          </w:tcPr>
          <w:p w14:paraId="3E757EC6" w14:textId="77777777" w:rsidR="00911F85" w:rsidRPr="00B01A0A" w:rsidRDefault="00911F85" w:rsidP="008742A1">
            <w:pPr>
              <w:pStyle w:val="Tabletext1"/>
              <w:jc w:val="right"/>
            </w:pPr>
            <w:r w:rsidRPr="003F17B3">
              <w:t>431,787</w:t>
            </w:r>
          </w:p>
        </w:tc>
        <w:tc>
          <w:tcPr>
            <w:tcW w:w="686" w:type="pct"/>
            <w:tcBorders>
              <w:bottom w:val="single" w:sz="4" w:space="0" w:color="auto"/>
            </w:tcBorders>
            <w:noWrap/>
            <w:hideMark/>
          </w:tcPr>
          <w:p w14:paraId="3C8D5356" w14:textId="77777777" w:rsidR="00911F85" w:rsidRPr="00B01A0A" w:rsidRDefault="00911F85" w:rsidP="008742A1">
            <w:pPr>
              <w:pStyle w:val="Tabletext1"/>
              <w:jc w:val="right"/>
            </w:pPr>
            <w:r w:rsidRPr="003F17B3">
              <w:t>460,574</w:t>
            </w:r>
          </w:p>
        </w:tc>
        <w:tc>
          <w:tcPr>
            <w:tcW w:w="686" w:type="pct"/>
            <w:tcBorders>
              <w:bottom w:val="single" w:sz="4" w:space="0" w:color="auto"/>
            </w:tcBorders>
            <w:noWrap/>
            <w:hideMark/>
          </w:tcPr>
          <w:p w14:paraId="14C2E92E" w14:textId="77777777" w:rsidR="00911F85" w:rsidRPr="00B01A0A" w:rsidRDefault="00911F85" w:rsidP="008742A1">
            <w:pPr>
              <w:pStyle w:val="Tabletext1"/>
              <w:jc w:val="right"/>
            </w:pPr>
            <w:r w:rsidRPr="003F17B3">
              <w:t>489,361</w:t>
            </w:r>
          </w:p>
        </w:tc>
        <w:tc>
          <w:tcPr>
            <w:tcW w:w="687" w:type="pct"/>
            <w:tcBorders>
              <w:bottom w:val="single" w:sz="4" w:space="0" w:color="auto"/>
            </w:tcBorders>
            <w:noWrap/>
            <w:hideMark/>
          </w:tcPr>
          <w:p w14:paraId="14784282" w14:textId="77777777" w:rsidR="00911F85" w:rsidRPr="00B01A0A" w:rsidRDefault="00911F85" w:rsidP="008742A1">
            <w:pPr>
              <w:pStyle w:val="Tabletext1"/>
              <w:jc w:val="right"/>
            </w:pPr>
            <w:r w:rsidRPr="003F17B3">
              <w:t>518,148</w:t>
            </w:r>
          </w:p>
        </w:tc>
      </w:tr>
      <w:tr w:rsidR="00911F85" w:rsidRPr="00B01A0A" w14:paraId="18BD7B43" w14:textId="77777777" w:rsidTr="008742A1">
        <w:trPr>
          <w:cantSplit/>
          <w:trHeight w:val="300"/>
        </w:trPr>
        <w:tc>
          <w:tcPr>
            <w:tcW w:w="1569" w:type="pct"/>
            <w:tcBorders>
              <w:bottom w:val="double" w:sz="4" w:space="0" w:color="auto"/>
            </w:tcBorders>
            <w:noWrap/>
            <w:hideMark/>
          </w:tcPr>
          <w:p w14:paraId="59C065CC" w14:textId="77777777" w:rsidR="00911F85" w:rsidRPr="00B01A0A" w:rsidRDefault="00911F85" w:rsidP="008742A1">
            <w:pPr>
              <w:pStyle w:val="Tabletext1"/>
            </w:pPr>
            <w:r w:rsidRPr="00B01A0A">
              <w:t>Cost of Ig for MM</w:t>
            </w:r>
          </w:p>
        </w:tc>
        <w:tc>
          <w:tcPr>
            <w:tcW w:w="686" w:type="pct"/>
            <w:tcBorders>
              <w:bottom w:val="double" w:sz="4" w:space="0" w:color="auto"/>
            </w:tcBorders>
            <w:noWrap/>
            <w:hideMark/>
          </w:tcPr>
          <w:p w14:paraId="450E2BEF" w14:textId="77777777" w:rsidR="00911F85" w:rsidRPr="00B01A0A" w:rsidRDefault="00911F85" w:rsidP="008742A1">
            <w:pPr>
              <w:pStyle w:val="Tabletext1"/>
              <w:jc w:val="right"/>
            </w:pPr>
            <w:r w:rsidRPr="003F17B3">
              <w:t>$24,345,230</w:t>
            </w:r>
          </w:p>
        </w:tc>
        <w:tc>
          <w:tcPr>
            <w:tcW w:w="686" w:type="pct"/>
            <w:tcBorders>
              <w:bottom w:val="double" w:sz="4" w:space="0" w:color="auto"/>
            </w:tcBorders>
            <w:noWrap/>
            <w:hideMark/>
          </w:tcPr>
          <w:p w14:paraId="4BB84E15" w14:textId="77777777" w:rsidR="00911F85" w:rsidRPr="00B01A0A" w:rsidRDefault="00911F85" w:rsidP="008742A1">
            <w:pPr>
              <w:pStyle w:val="Tabletext1"/>
              <w:jc w:val="right"/>
            </w:pPr>
            <w:r w:rsidRPr="003F17B3">
              <w:t>$26,084,253</w:t>
            </w:r>
          </w:p>
        </w:tc>
        <w:tc>
          <w:tcPr>
            <w:tcW w:w="686" w:type="pct"/>
            <w:tcBorders>
              <w:bottom w:val="double" w:sz="4" w:space="0" w:color="auto"/>
            </w:tcBorders>
            <w:noWrap/>
            <w:hideMark/>
          </w:tcPr>
          <w:p w14:paraId="789868CC" w14:textId="77777777" w:rsidR="00911F85" w:rsidRPr="00B01A0A" w:rsidRDefault="00911F85" w:rsidP="008742A1">
            <w:pPr>
              <w:pStyle w:val="Tabletext1"/>
              <w:jc w:val="right"/>
            </w:pPr>
            <w:r w:rsidRPr="003F17B3">
              <w:t>$27,823,275</w:t>
            </w:r>
          </w:p>
        </w:tc>
        <w:tc>
          <w:tcPr>
            <w:tcW w:w="686" w:type="pct"/>
            <w:tcBorders>
              <w:bottom w:val="double" w:sz="4" w:space="0" w:color="auto"/>
            </w:tcBorders>
            <w:noWrap/>
            <w:hideMark/>
          </w:tcPr>
          <w:p w14:paraId="09F94CE7" w14:textId="77777777" w:rsidR="00911F85" w:rsidRPr="00B01A0A" w:rsidRDefault="00911F85" w:rsidP="008742A1">
            <w:pPr>
              <w:pStyle w:val="Tabletext1"/>
              <w:jc w:val="right"/>
            </w:pPr>
            <w:r w:rsidRPr="003F17B3">
              <w:t>$29,562,298</w:t>
            </w:r>
          </w:p>
        </w:tc>
        <w:tc>
          <w:tcPr>
            <w:tcW w:w="687" w:type="pct"/>
            <w:tcBorders>
              <w:bottom w:val="double" w:sz="4" w:space="0" w:color="auto"/>
            </w:tcBorders>
            <w:noWrap/>
            <w:hideMark/>
          </w:tcPr>
          <w:p w14:paraId="3C07F7E2" w14:textId="77777777" w:rsidR="00911F85" w:rsidRPr="00B01A0A" w:rsidRDefault="00911F85" w:rsidP="008742A1">
            <w:pPr>
              <w:pStyle w:val="Tabletext1"/>
              <w:jc w:val="right"/>
            </w:pPr>
            <w:r w:rsidRPr="003F17B3">
              <w:t>$31,301,321</w:t>
            </w:r>
          </w:p>
        </w:tc>
      </w:tr>
      <w:tr w:rsidR="00911F85" w:rsidRPr="00B01A0A" w14:paraId="753EF4A3" w14:textId="77777777" w:rsidTr="008742A1">
        <w:trPr>
          <w:cantSplit/>
          <w:trHeight w:val="300"/>
        </w:trPr>
        <w:tc>
          <w:tcPr>
            <w:tcW w:w="1569" w:type="pct"/>
            <w:tcBorders>
              <w:top w:val="double" w:sz="4" w:space="0" w:color="auto"/>
            </w:tcBorders>
            <w:noWrap/>
            <w:hideMark/>
          </w:tcPr>
          <w:p w14:paraId="382E6ADE" w14:textId="77777777" w:rsidR="00911F85" w:rsidRPr="00B01A0A" w:rsidRDefault="00911F85" w:rsidP="008742A1">
            <w:pPr>
              <w:pStyle w:val="Tabletext1"/>
            </w:pPr>
            <w:r w:rsidRPr="00B01A0A">
              <w:t>No. NHL patients</w:t>
            </w:r>
          </w:p>
        </w:tc>
        <w:tc>
          <w:tcPr>
            <w:tcW w:w="686" w:type="pct"/>
            <w:tcBorders>
              <w:top w:val="double" w:sz="4" w:space="0" w:color="auto"/>
            </w:tcBorders>
            <w:noWrap/>
            <w:hideMark/>
          </w:tcPr>
          <w:p w14:paraId="67C6A2F5" w14:textId="77777777" w:rsidR="00911F85" w:rsidRPr="00B01A0A" w:rsidRDefault="00911F85" w:rsidP="008742A1">
            <w:pPr>
              <w:pStyle w:val="Tabletext1"/>
              <w:jc w:val="right"/>
            </w:pPr>
            <w:r w:rsidRPr="003F17B3">
              <w:t>1,910</w:t>
            </w:r>
          </w:p>
        </w:tc>
        <w:tc>
          <w:tcPr>
            <w:tcW w:w="686" w:type="pct"/>
            <w:tcBorders>
              <w:top w:val="double" w:sz="4" w:space="0" w:color="auto"/>
            </w:tcBorders>
            <w:noWrap/>
            <w:hideMark/>
          </w:tcPr>
          <w:p w14:paraId="4A6688D0" w14:textId="77777777" w:rsidR="00911F85" w:rsidRPr="00B01A0A" w:rsidRDefault="00911F85" w:rsidP="008742A1">
            <w:pPr>
              <w:pStyle w:val="Tabletext1"/>
              <w:jc w:val="right"/>
            </w:pPr>
            <w:r w:rsidRPr="003F17B3">
              <w:t>2,051</w:t>
            </w:r>
          </w:p>
        </w:tc>
        <w:tc>
          <w:tcPr>
            <w:tcW w:w="686" w:type="pct"/>
            <w:tcBorders>
              <w:top w:val="double" w:sz="4" w:space="0" w:color="auto"/>
            </w:tcBorders>
            <w:noWrap/>
            <w:hideMark/>
          </w:tcPr>
          <w:p w14:paraId="5A9B7E69" w14:textId="77777777" w:rsidR="00911F85" w:rsidRPr="00B01A0A" w:rsidRDefault="00911F85" w:rsidP="008742A1">
            <w:pPr>
              <w:pStyle w:val="Tabletext1"/>
              <w:jc w:val="right"/>
            </w:pPr>
            <w:r w:rsidRPr="003F17B3">
              <w:t>2,193</w:t>
            </w:r>
          </w:p>
        </w:tc>
        <w:tc>
          <w:tcPr>
            <w:tcW w:w="686" w:type="pct"/>
            <w:tcBorders>
              <w:top w:val="double" w:sz="4" w:space="0" w:color="auto"/>
            </w:tcBorders>
            <w:noWrap/>
            <w:hideMark/>
          </w:tcPr>
          <w:p w14:paraId="1A4D5CBC" w14:textId="77777777" w:rsidR="00911F85" w:rsidRPr="00B01A0A" w:rsidRDefault="00911F85" w:rsidP="008742A1">
            <w:pPr>
              <w:pStyle w:val="Tabletext1"/>
              <w:jc w:val="right"/>
            </w:pPr>
            <w:r w:rsidRPr="003F17B3">
              <w:t>2,334</w:t>
            </w:r>
          </w:p>
        </w:tc>
        <w:tc>
          <w:tcPr>
            <w:tcW w:w="687" w:type="pct"/>
            <w:tcBorders>
              <w:top w:val="double" w:sz="4" w:space="0" w:color="auto"/>
            </w:tcBorders>
            <w:noWrap/>
            <w:hideMark/>
          </w:tcPr>
          <w:p w14:paraId="24EB62ED" w14:textId="77777777" w:rsidR="00911F85" w:rsidRPr="00B01A0A" w:rsidRDefault="00911F85" w:rsidP="008742A1">
            <w:pPr>
              <w:pStyle w:val="Tabletext1"/>
              <w:jc w:val="right"/>
            </w:pPr>
            <w:r w:rsidRPr="003F17B3">
              <w:t>2,475</w:t>
            </w:r>
          </w:p>
        </w:tc>
      </w:tr>
      <w:tr w:rsidR="00911F85" w:rsidRPr="00B01A0A" w14:paraId="78B86149" w14:textId="77777777" w:rsidTr="008742A1">
        <w:trPr>
          <w:cantSplit/>
          <w:trHeight w:val="300"/>
        </w:trPr>
        <w:tc>
          <w:tcPr>
            <w:tcW w:w="1569" w:type="pct"/>
            <w:tcBorders>
              <w:bottom w:val="single" w:sz="4" w:space="0" w:color="auto"/>
            </w:tcBorders>
            <w:noWrap/>
            <w:hideMark/>
          </w:tcPr>
          <w:p w14:paraId="0B3C098E" w14:textId="77777777" w:rsidR="00911F85" w:rsidRPr="00B01A0A" w:rsidRDefault="00911F85" w:rsidP="008742A1">
            <w:pPr>
              <w:pStyle w:val="Tabletext1"/>
            </w:pPr>
            <w:r w:rsidRPr="00B01A0A">
              <w:t>Ig grams issued for NHL</w:t>
            </w:r>
          </w:p>
        </w:tc>
        <w:tc>
          <w:tcPr>
            <w:tcW w:w="686" w:type="pct"/>
            <w:tcBorders>
              <w:bottom w:val="single" w:sz="4" w:space="0" w:color="auto"/>
            </w:tcBorders>
            <w:noWrap/>
            <w:hideMark/>
          </w:tcPr>
          <w:p w14:paraId="19473546" w14:textId="77777777" w:rsidR="00911F85" w:rsidRPr="00B01A0A" w:rsidRDefault="00911F85" w:rsidP="008742A1">
            <w:pPr>
              <w:pStyle w:val="Tabletext1"/>
              <w:jc w:val="right"/>
            </w:pPr>
            <w:r w:rsidRPr="003F17B3">
              <w:t>501,437</w:t>
            </w:r>
          </w:p>
        </w:tc>
        <w:tc>
          <w:tcPr>
            <w:tcW w:w="686" w:type="pct"/>
            <w:tcBorders>
              <w:bottom w:val="single" w:sz="4" w:space="0" w:color="auto"/>
            </w:tcBorders>
            <w:noWrap/>
            <w:hideMark/>
          </w:tcPr>
          <w:p w14:paraId="5BD38A1B" w14:textId="77777777" w:rsidR="00911F85" w:rsidRPr="00B01A0A" w:rsidRDefault="00911F85" w:rsidP="008742A1">
            <w:pPr>
              <w:pStyle w:val="Tabletext1"/>
              <w:jc w:val="right"/>
            </w:pPr>
            <w:r w:rsidRPr="003F17B3">
              <w:t>543,109</w:t>
            </w:r>
          </w:p>
        </w:tc>
        <w:tc>
          <w:tcPr>
            <w:tcW w:w="686" w:type="pct"/>
            <w:tcBorders>
              <w:bottom w:val="single" w:sz="4" w:space="0" w:color="auto"/>
            </w:tcBorders>
            <w:noWrap/>
            <w:hideMark/>
          </w:tcPr>
          <w:p w14:paraId="5D66192E" w14:textId="77777777" w:rsidR="00911F85" w:rsidRPr="00B01A0A" w:rsidRDefault="00911F85" w:rsidP="008742A1">
            <w:pPr>
              <w:pStyle w:val="Tabletext1"/>
              <w:jc w:val="right"/>
            </w:pPr>
            <w:r w:rsidRPr="003F17B3">
              <w:t>584,781</w:t>
            </w:r>
          </w:p>
        </w:tc>
        <w:tc>
          <w:tcPr>
            <w:tcW w:w="686" w:type="pct"/>
            <w:tcBorders>
              <w:bottom w:val="single" w:sz="4" w:space="0" w:color="auto"/>
            </w:tcBorders>
            <w:noWrap/>
            <w:hideMark/>
          </w:tcPr>
          <w:p w14:paraId="30E0DEB7" w14:textId="77777777" w:rsidR="00911F85" w:rsidRPr="00B01A0A" w:rsidRDefault="00911F85" w:rsidP="008742A1">
            <w:pPr>
              <w:pStyle w:val="Tabletext1"/>
              <w:jc w:val="right"/>
            </w:pPr>
            <w:r w:rsidRPr="003F17B3">
              <w:t>626,453</w:t>
            </w:r>
          </w:p>
        </w:tc>
        <w:tc>
          <w:tcPr>
            <w:tcW w:w="687" w:type="pct"/>
            <w:tcBorders>
              <w:bottom w:val="single" w:sz="4" w:space="0" w:color="auto"/>
            </w:tcBorders>
            <w:noWrap/>
            <w:hideMark/>
          </w:tcPr>
          <w:p w14:paraId="3DCCE6A0" w14:textId="77777777" w:rsidR="00911F85" w:rsidRPr="00B01A0A" w:rsidRDefault="00911F85" w:rsidP="008742A1">
            <w:pPr>
              <w:pStyle w:val="Tabletext1"/>
              <w:jc w:val="right"/>
            </w:pPr>
            <w:r w:rsidRPr="003F17B3">
              <w:t>668,125</w:t>
            </w:r>
          </w:p>
        </w:tc>
      </w:tr>
      <w:tr w:rsidR="00911F85" w:rsidRPr="00B01A0A" w14:paraId="44EDE807" w14:textId="77777777" w:rsidTr="008742A1">
        <w:trPr>
          <w:cantSplit/>
          <w:trHeight w:val="300"/>
        </w:trPr>
        <w:tc>
          <w:tcPr>
            <w:tcW w:w="1569" w:type="pct"/>
            <w:tcBorders>
              <w:bottom w:val="double" w:sz="4" w:space="0" w:color="auto"/>
            </w:tcBorders>
            <w:noWrap/>
            <w:hideMark/>
          </w:tcPr>
          <w:p w14:paraId="54793391" w14:textId="77777777" w:rsidR="00911F85" w:rsidRPr="00B01A0A" w:rsidRDefault="00911F85" w:rsidP="008742A1">
            <w:pPr>
              <w:pStyle w:val="Tabletext1"/>
            </w:pPr>
            <w:r w:rsidRPr="00B01A0A">
              <w:t>Cost of Ig for NHL</w:t>
            </w:r>
          </w:p>
        </w:tc>
        <w:tc>
          <w:tcPr>
            <w:tcW w:w="686" w:type="pct"/>
            <w:tcBorders>
              <w:bottom w:val="double" w:sz="4" w:space="0" w:color="auto"/>
            </w:tcBorders>
            <w:noWrap/>
            <w:hideMark/>
          </w:tcPr>
          <w:p w14:paraId="48BC19DE" w14:textId="77777777" w:rsidR="00911F85" w:rsidRPr="00B01A0A" w:rsidRDefault="00911F85" w:rsidP="008742A1">
            <w:pPr>
              <w:pStyle w:val="Tabletext1"/>
              <w:jc w:val="right"/>
            </w:pPr>
            <w:r w:rsidRPr="003F17B3">
              <w:t>$30,291,809</w:t>
            </w:r>
          </w:p>
        </w:tc>
        <w:tc>
          <w:tcPr>
            <w:tcW w:w="686" w:type="pct"/>
            <w:tcBorders>
              <w:bottom w:val="double" w:sz="4" w:space="0" w:color="auto"/>
            </w:tcBorders>
            <w:noWrap/>
            <w:hideMark/>
          </w:tcPr>
          <w:p w14:paraId="73392B78" w14:textId="77777777" w:rsidR="00911F85" w:rsidRPr="00B01A0A" w:rsidRDefault="00911F85" w:rsidP="008742A1">
            <w:pPr>
              <w:pStyle w:val="Tabletext1"/>
              <w:jc w:val="right"/>
            </w:pPr>
            <w:r w:rsidRPr="003F17B3">
              <w:t>$32,809,215</w:t>
            </w:r>
          </w:p>
        </w:tc>
        <w:tc>
          <w:tcPr>
            <w:tcW w:w="686" w:type="pct"/>
            <w:tcBorders>
              <w:bottom w:val="double" w:sz="4" w:space="0" w:color="auto"/>
            </w:tcBorders>
            <w:noWrap/>
            <w:hideMark/>
          </w:tcPr>
          <w:p w14:paraId="734581EB" w14:textId="77777777" w:rsidR="00911F85" w:rsidRPr="00B01A0A" w:rsidRDefault="00911F85" w:rsidP="008742A1">
            <w:pPr>
              <w:pStyle w:val="Tabletext1"/>
              <w:jc w:val="right"/>
            </w:pPr>
            <w:r w:rsidRPr="003F17B3">
              <w:t>$35,326,620</w:t>
            </w:r>
          </w:p>
        </w:tc>
        <w:tc>
          <w:tcPr>
            <w:tcW w:w="686" w:type="pct"/>
            <w:tcBorders>
              <w:bottom w:val="double" w:sz="4" w:space="0" w:color="auto"/>
            </w:tcBorders>
            <w:noWrap/>
            <w:hideMark/>
          </w:tcPr>
          <w:p w14:paraId="4C9600CB" w14:textId="77777777" w:rsidR="00911F85" w:rsidRPr="00B01A0A" w:rsidRDefault="00911F85" w:rsidP="008742A1">
            <w:pPr>
              <w:pStyle w:val="Tabletext1"/>
              <w:jc w:val="right"/>
            </w:pPr>
            <w:r w:rsidRPr="003F17B3">
              <w:t>$37,844,026</w:t>
            </w:r>
          </w:p>
        </w:tc>
        <w:tc>
          <w:tcPr>
            <w:tcW w:w="687" w:type="pct"/>
            <w:tcBorders>
              <w:bottom w:val="double" w:sz="4" w:space="0" w:color="auto"/>
            </w:tcBorders>
            <w:noWrap/>
            <w:hideMark/>
          </w:tcPr>
          <w:p w14:paraId="31A93F4B" w14:textId="77777777" w:rsidR="00911F85" w:rsidRPr="00B01A0A" w:rsidRDefault="00911F85" w:rsidP="008742A1">
            <w:pPr>
              <w:pStyle w:val="Tabletext1"/>
              <w:jc w:val="right"/>
            </w:pPr>
            <w:r w:rsidRPr="003F17B3">
              <w:t>$40,361,431</w:t>
            </w:r>
          </w:p>
        </w:tc>
      </w:tr>
      <w:tr w:rsidR="00911F85" w:rsidRPr="00B01A0A" w14:paraId="58E0B0BE" w14:textId="77777777" w:rsidTr="008742A1">
        <w:trPr>
          <w:cantSplit/>
          <w:trHeight w:val="300"/>
        </w:trPr>
        <w:tc>
          <w:tcPr>
            <w:tcW w:w="1569" w:type="pct"/>
            <w:tcBorders>
              <w:top w:val="double" w:sz="4" w:space="0" w:color="auto"/>
            </w:tcBorders>
            <w:noWrap/>
            <w:hideMark/>
          </w:tcPr>
          <w:p w14:paraId="75EB2ED4" w14:textId="77777777" w:rsidR="00911F85" w:rsidRPr="00B01A0A" w:rsidRDefault="00911F85" w:rsidP="008742A1">
            <w:pPr>
              <w:pStyle w:val="Tabletext1"/>
            </w:pPr>
            <w:r w:rsidRPr="00B01A0A">
              <w:t>No. post-HSCT patients</w:t>
            </w:r>
          </w:p>
        </w:tc>
        <w:tc>
          <w:tcPr>
            <w:tcW w:w="686" w:type="pct"/>
            <w:tcBorders>
              <w:top w:val="double" w:sz="4" w:space="0" w:color="auto"/>
            </w:tcBorders>
            <w:noWrap/>
            <w:hideMark/>
          </w:tcPr>
          <w:p w14:paraId="5A70767F" w14:textId="77777777" w:rsidR="00911F85" w:rsidRPr="00B01A0A" w:rsidRDefault="00911F85" w:rsidP="008742A1">
            <w:pPr>
              <w:pStyle w:val="Tabletext1"/>
              <w:jc w:val="right"/>
            </w:pPr>
            <w:r w:rsidRPr="003F17B3">
              <w:t>533</w:t>
            </w:r>
          </w:p>
        </w:tc>
        <w:tc>
          <w:tcPr>
            <w:tcW w:w="686" w:type="pct"/>
            <w:tcBorders>
              <w:top w:val="double" w:sz="4" w:space="0" w:color="auto"/>
            </w:tcBorders>
            <w:noWrap/>
            <w:hideMark/>
          </w:tcPr>
          <w:p w14:paraId="277ECD2A" w14:textId="77777777" w:rsidR="00911F85" w:rsidRPr="00B01A0A" w:rsidRDefault="00911F85" w:rsidP="008742A1">
            <w:pPr>
              <w:pStyle w:val="Tabletext1"/>
              <w:jc w:val="right"/>
            </w:pPr>
            <w:r w:rsidRPr="003F17B3">
              <w:t>579</w:t>
            </w:r>
          </w:p>
        </w:tc>
        <w:tc>
          <w:tcPr>
            <w:tcW w:w="686" w:type="pct"/>
            <w:tcBorders>
              <w:top w:val="double" w:sz="4" w:space="0" w:color="auto"/>
            </w:tcBorders>
            <w:noWrap/>
            <w:hideMark/>
          </w:tcPr>
          <w:p w14:paraId="469194BB" w14:textId="77777777" w:rsidR="00911F85" w:rsidRPr="00B01A0A" w:rsidRDefault="00911F85" w:rsidP="008742A1">
            <w:pPr>
              <w:pStyle w:val="Tabletext1"/>
              <w:jc w:val="right"/>
            </w:pPr>
            <w:r w:rsidRPr="003F17B3">
              <w:t>625</w:t>
            </w:r>
          </w:p>
        </w:tc>
        <w:tc>
          <w:tcPr>
            <w:tcW w:w="686" w:type="pct"/>
            <w:tcBorders>
              <w:top w:val="double" w:sz="4" w:space="0" w:color="auto"/>
            </w:tcBorders>
            <w:noWrap/>
            <w:hideMark/>
          </w:tcPr>
          <w:p w14:paraId="5A03A6EB" w14:textId="77777777" w:rsidR="00911F85" w:rsidRPr="00B01A0A" w:rsidRDefault="00911F85" w:rsidP="008742A1">
            <w:pPr>
              <w:pStyle w:val="Tabletext1"/>
              <w:jc w:val="right"/>
            </w:pPr>
            <w:r w:rsidRPr="003F17B3">
              <w:t>670</w:t>
            </w:r>
          </w:p>
        </w:tc>
        <w:tc>
          <w:tcPr>
            <w:tcW w:w="687" w:type="pct"/>
            <w:tcBorders>
              <w:top w:val="double" w:sz="4" w:space="0" w:color="auto"/>
            </w:tcBorders>
            <w:noWrap/>
            <w:hideMark/>
          </w:tcPr>
          <w:p w14:paraId="59276F2B" w14:textId="77777777" w:rsidR="00911F85" w:rsidRPr="00B01A0A" w:rsidRDefault="00911F85" w:rsidP="008742A1">
            <w:pPr>
              <w:pStyle w:val="Tabletext1"/>
              <w:jc w:val="right"/>
            </w:pPr>
            <w:r w:rsidRPr="003F17B3">
              <w:t>716</w:t>
            </w:r>
          </w:p>
        </w:tc>
      </w:tr>
      <w:tr w:rsidR="00911F85" w:rsidRPr="00B01A0A" w14:paraId="213A2811" w14:textId="77777777" w:rsidTr="008742A1">
        <w:trPr>
          <w:cantSplit/>
          <w:trHeight w:val="300"/>
        </w:trPr>
        <w:tc>
          <w:tcPr>
            <w:tcW w:w="1569" w:type="pct"/>
            <w:tcBorders>
              <w:bottom w:val="single" w:sz="4" w:space="0" w:color="auto"/>
            </w:tcBorders>
            <w:noWrap/>
            <w:hideMark/>
          </w:tcPr>
          <w:p w14:paraId="3EE946FC" w14:textId="77777777" w:rsidR="00911F85" w:rsidRPr="00B01A0A" w:rsidRDefault="00911F85" w:rsidP="008742A1">
            <w:pPr>
              <w:pStyle w:val="Tabletext1"/>
            </w:pPr>
            <w:r w:rsidRPr="00B01A0A">
              <w:t>Ig grams issued for post-HSCT</w:t>
            </w:r>
          </w:p>
        </w:tc>
        <w:tc>
          <w:tcPr>
            <w:tcW w:w="686" w:type="pct"/>
            <w:tcBorders>
              <w:bottom w:val="single" w:sz="4" w:space="0" w:color="auto"/>
            </w:tcBorders>
            <w:noWrap/>
            <w:hideMark/>
          </w:tcPr>
          <w:p w14:paraId="165502D9" w14:textId="77777777" w:rsidR="00911F85" w:rsidRPr="00B01A0A" w:rsidRDefault="00911F85" w:rsidP="008742A1">
            <w:pPr>
              <w:pStyle w:val="Tabletext1"/>
              <w:jc w:val="right"/>
            </w:pPr>
            <w:r w:rsidRPr="003F17B3">
              <w:t>91,434</w:t>
            </w:r>
          </w:p>
        </w:tc>
        <w:tc>
          <w:tcPr>
            <w:tcW w:w="686" w:type="pct"/>
            <w:tcBorders>
              <w:bottom w:val="single" w:sz="4" w:space="0" w:color="auto"/>
            </w:tcBorders>
            <w:noWrap/>
            <w:hideMark/>
          </w:tcPr>
          <w:p w14:paraId="565AF561" w14:textId="77777777" w:rsidR="00911F85" w:rsidRPr="00B01A0A" w:rsidRDefault="00911F85" w:rsidP="008742A1">
            <w:pPr>
              <w:pStyle w:val="Tabletext1"/>
              <w:jc w:val="right"/>
            </w:pPr>
            <w:r w:rsidRPr="003F17B3">
              <w:t>101,543</w:t>
            </w:r>
          </w:p>
        </w:tc>
        <w:tc>
          <w:tcPr>
            <w:tcW w:w="686" w:type="pct"/>
            <w:tcBorders>
              <w:bottom w:val="single" w:sz="4" w:space="0" w:color="auto"/>
            </w:tcBorders>
            <w:noWrap/>
            <w:hideMark/>
          </w:tcPr>
          <w:p w14:paraId="7A846D11" w14:textId="77777777" w:rsidR="00911F85" w:rsidRPr="00B01A0A" w:rsidRDefault="00911F85" w:rsidP="008742A1">
            <w:pPr>
              <w:pStyle w:val="Tabletext1"/>
              <w:jc w:val="right"/>
            </w:pPr>
            <w:r w:rsidRPr="003F17B3">
              <w:t>111,652</w:t>
            </w:r>
          </w:p>
        </w:tc>
        <w:tc>
          <w:tcPr>
            <w:tcW w:w="686" w:type="pct"/>
            <w:tcBorders>
              <w:bottom w:val="single" w:sz="4" w:space="0" w:color="auto"/>
            </w:tcBorders>
            <w:noWrap/>
            <w:hideMark/>
          </w:tcPr>
          <w:p w14:paraId="4559156B" w14:textId="77777777" w:rsidR="00911F85" w:rsidRPr="00B01A0A" w:rsidRDefault="00911F85" w:rsidP="008742A1">
            <w:pPr>
              <w:pStyle w:val="Tabletext1"/>
              <w:jc w:val="right"/>
            </w:pPr>
            <w:r w:rsidRPr="003F17B3">
              <w:t>121,761</w:t>
            </w:r>
          </w:p>
        </w:tc>
        <w:tc>
          <w:tcPr>
            <w:tcW w:w="687" w:type="pct"/>
            <w:tcBorders>
              <w:bottom w:val="single" w:sz="4" w:space="0" w:color="auto"/>
            </w:tcBorders>
            <w:noWrap/>
            <w:hideMark/>
          </w:tcPr>
          <w:p w14:paraId="0597879C" w14:textId="77777777" w:rsidR="00911F85" w:rsidRPr="00B01A0A" w:rsidRDefault="00911F85" w:rsidP="008742A1">
            <w:pPr>
              <w:pStyle w:val="Tabletext1"/>
              <w:jc w:val="right"/>
            </w:pPr>
            <w:r w:rsidRPr="003F17B3">
              <w:t>131,870</w:t>
            </w:r>
          </w:p>
        </w:tc>
      </w:tr>
      <w:tr w:rsidR="00911F85" w:rsidRPr="00B01A0A" w14:paraId="109AD760" w14:textId="77777777" w:rsidTr="008742A1">
        <w:trPr>
          <w:cantSplit/>
          <w:trHeight w:val="300"/>
        </w:trPr>
        <w:tc>
          <w:tcPr>
            <w:tcW w:w="1569" w:type="pct"/>
            <w:tcBorders>
              <w:bottom w:val="double" w:sz="4" w:space="0" w:color="auto"/>
            </w:tcBorders>
            <w:noWrap/>
            <w:hideMark/>
          </w:tcPr>
          <w:p w14:paraId="4F1FD716" w14:textId="77777777" w:rsidR="00911F85" w:rsidRPr="00B01A0A" w:rsidRDefault="00911F85" w:rsidP="008742A1">
            <w:pPr>
              <w:pStyle w:val="Tabletext1"/>
            </w:pPr>
            <w:r w:rsidRPr="00B01A0A">
              <w:t>Cost of Ig for post-HSCT</w:t>
            </w:r>
          </w:p>
        </w:tc>
        <w:tc>
          <w:tcPr>
            <w:tcW w:w="686" w:type="pct"/>
            <w:tcBorders>
              <w:bottom w:val="double" w:sz="4" w:space="0" w:color="auto"/>
            </w:tcBorders>
            <w:noWrap/>
            <w:hideMark/>
          </w:tcPr>
          <w:p w14:paraId="138B48B4" w14:textId="77777777" w:rsidR="00911F85" w:rsidRPr="00B01A0A" w:rsidRDefault="00911F85" w:rsidP="008742A1">
            <w:pPr>
              <w:pStyle w:val="Tabletext1"/>
              <w:jc w:val="right"/>
            </w:pPr>
            <w:r w:rsidRPr="003F17B3">
              <w:t>$5,523,545</w:t>
            </w:r>
          </w:p>
        </w:tc>
        <w:tc>
          <w:tcPr>
            <w:tcW w:w="686" w:type="pct"/>
            <w:tcBorders>
              <w:bottom w:val="double" w:sz="4" w:space="0" w:color="auto"/>
            </w:tcBorders>
            <w:noWrap/>
            <w:hideMark/>
          </w:tcPr>
          <w:p w14:paraId="6170CF78" w14:textId="77777777" w:rsidR="00911F85" w:rsidRPr="00B01A0A" w:rsidRDefault="00911F85" w:rsidP="008742A1">
            <w:pPr>
              <w:pStyle w:val="Tabletext1"/>
              <w:jc w:val="right"/>
            </w:pPr>
            <w:r w:rsidRPr="003F17B3">
              <w:t>$6,134,230</w:t>
            </w:r>
          </w:p>
        </w:tc>
        <w:tc>
          <w:tcPr>
            <w:tcW w:w="686" w:type="pct"/>
            <w:tcBorders>
              <w:bottom w:val="double" w:sz="4" w:space="0" w:color="auto"/>
            </w:tcBorders>
            <w:noWrap/>
            <w:hideMark/>
          </w:tcPr>
          <w:p w14:paraId="3FD423A2" w14:textId="77777777" w:rsidR="00911F85" w:rsidRPr="00B01A0A" w:rsidRDefault="00911F85" w:rsidP="008742A1">
            <w:pPr>
              <w:pStyle w:val="Tabletext1"/>
              <w:jc w:val="right"/>
            </w:pPr>
            <w:r w:rsidRPr="003F17B3">
              <w:t>$6,744,915</w:t>
            </w:r>
          </w:p>
        </w:tc>
        <w:tc>
          <w:tcPr>
            <w:tcW w:w="686" w:type="pct"/>
            <w:tcBorders>
              <w:bottom w:val="double" w:sz="4" w:space="0" w:color="auto"/>
            </w:tcBorders>
            <w:noWrap/>
            <w:hideMark/>
          </w:tcPr>
          <w:p w14:paraId="4867CD0D" w14:textId="77777777" w:rsidR="00911F85" w:rsidRPr="00B01A0A" w:rsidRDefault="00911F85" w:rsidP="008742A1">
            <w:pPr>
              <w:pStyle w:val="Tabletext1"/>
              <w:jc w:val="right"/>
            </w:pPr>
            <w:r w:rsidRPr="003F17B3">
              <w:t>$7,355,600</w:t>
            </w:r>
          </w:p>
        </w:tc>
        <w:tc>
          <w:tcPr>
            <w:tcW w:w="687" w:type="pct"/>
            <w:tcBorders>
              <w:bottom w:val="double" w:sz="4" w:space="0" w:color="auto"/>
            </w:tcBorders>
            <w:noWrap/>
            <w:hideMark/>
          </w:tcPr>
          <w:p w14:paraId="51324556" w14:textId="77777777" w:rsidR="00911F85" w:rsidRPr="00B01A0A" w:rsidRDefault="00911F85" w:rsidP="008742A1">
            <w:pPr>
              <w:pStyle w:val="Tabletext1"/>
              <w:jc w:val="right"/>
            </w:pPr>
            <w:r w:rsidRPr="003F17B3">
              <w:t>$7,966,284</w:t>
            </w:r>
          </w:p>
        </w:tc>
      </w:tr>
      <w:tr w:rsidR="00911F85" w:rsidRPr="00B01A0A" w14:paraId="3F591256" w14:textId="77777777" w:rsidTr="008742A1">
        <w:trPr>
          <w:cantSplit/>
          <w:trHeight w:val="300"/>
        </w:trPr>
        <w:tc>
          <w:tcPr>
            <w:tcW w:w="1569" w:type="pct"/>
            <w:tcBorders>
              <w:top w:val="double" w:sz="4" w:space="0" w:color="auto"/>
            </w:tcBorders>
            <w:noWrap/>
            <w:hideMark/>
          </w:tcPr>
          <w:p w14:paraId="1F453D44" w14:textId="77777777" w:rsidR="00911F85" w:rsidRPr="00B01A0A" w:rsidRDefault="00911F85" w:rsidP="008742A1">
            <w:pPr>
              <w:pStyle w:val="Tabletext1"/>
            </w:pPr>
            <w:r w:rsidRPr="00B01A0A">
              <w:t>No. AL patients</w:t>
            </w:r>
          </w:p>
        </w:tc>
        <w:tc>
          <w:tcPr>
            <w:tcW w:w="686" w:type="pct"/>
            <w:tcBorders>
              <w:top w:val="double" w:sz="4" w:space="0" w:color="auto"/>
            </w:tcBorders>
            <w:noWrap/>
            <w:hideMark/>
          </w:tcPr>
          <w:p w14:paraId="3E4C26CE" w14:textId="77777777" w:rsidR="00911F85" w:rsidRPr="00B01A0A" w:rsidRDefault="00911F85" w:rsidP="008742A1">
            <w:pPr>
              <w:pStyle w:val="Tabletext1"/>
              <w:jc w:val="right"/>
            </w:pPr>
            <w:r w:rsidRPr="003F17B3">
              <w:t>295</w:t>
            </w:r>
          </w:p>
        </w:tc>
        <w:tc>
          <w:tcPr>
            <w:tcW w:w="686" w:type="pct"/>
            <w:tcBorders>
              <w:top w:val="double" w:sz="4" w:space="0" w:color="auto"/>
            </w:tcBorders>
            <w:noWrap/>
            <w:hideMark/>
          </w:tcPr>
          <w:p w14:paraId="0A798328" w14:textId="77777777" w:rsidR="00911F85" w:rsidRPr="00B01A0A" w:rsidRDefault="00911F85" w:rsidP="008742A1">
            <w:pPr>
              <w:pStyle w:val="Tabletext1"/>
              <w:jc w:val="right"/>
            </w:pPr>
            <w:r w:rsidRPr="003F17B3">
              <w:t>309</w:t>
            </w:r>
          </w:p>
        </w:tc>
        <w:tc>
          <w:tcPr>
            <w:tcW w:w="686" w:type="pct"/>
            <w:tcBorders>
              <w:top w:val="double" w:sz="4" w:space="0" w:color="auto"/>
            </w:tcBorders>
            <w:noWrap/>
            <w:hideMark/>
          </w:tcPr>
          <w:p w14:paraId="72A95298" w14:textId="77777777" w:rsidR="00911F85" w:rsidRPr="00B01A0A" w:rsidRDefault="00911F85" w:rsidP="008742A1">
            <w:pPr>
              <w:pStyle w:val="Tabletext1"/>
              <w:jc w:val="right"/>
            </w:pPr>
            <w:r w:rsidRPr="003F17B3">
              <w:t>322</w:t>
            </w:r>
          </w:p>
        </w:tc>
        <w:tc>
          <w:tcPr>
            <w:tcW w:w="686" w:type="pct"/>
            <w:tcBorders>
              <w:top w:val="double" w:sz="4" w:space="0" w:color="auto"/>
            </w:tcBorders>
            <w:noWrap/>
            <w:hideMark/>
          </w:tcPr>
          <w:p w14:paraId="64D292D8" w14:textId="77777777" w:rsidR="00911F85" w:rsidRPr="00B01A0A" w:rsidRDefault="00911F85" w:rsidP="008742A1">
            <w:pPr>
              <w:pStyle w:val="Tabletext1"/>
              <w:jc w:val="right"/>
            </w:pPr>
            <w:r w:rsidRPr="003F17B3">
              <w:t>336</w:t>
            </w:r>
          </w:p>
        </w:tc>
        <w:tc>
          <w:tcPr>
            <w:tcW w:w="687" w:type="pct"/>
            <w:tcBorders>
              <w:top w:val="double" w:sz="4" w:space="0" w:color="auto"/>
            </w:tcBorders>
            <w:noWrap/>
            <w:hideMark/>
          </w:tcPr>
          <w:p w14:paraId="7D584B98" w14:textId="77777777" w:rsidR="00911F85" w:rsidRPr="00B01A0A" w:rsidRDefault="00911F85" w:rsidP="008742A1">
            <w:pPr>
              <w:pStyle w:val="Tabletext1"/>
              <w:jc w:val="right"/>
            </w:pPr>
            <w:r w:rsidRPr="003F17B3">
              <w:t>350</w:t>
            </w:r>
          </w:p>
        </w:tc>
      </w:tr>
      <w:tr w:rsidR="00911F85" w:rsidRPr="00B01A0A" w14:paraId="1C21CF39" w14:textId="77777777" w:rsidTr="008742A1">
        <w:trPr>
          <w:cantSplit/>
          <w:trHeight w:val="300"/>
        </w:trPr>
        <w:tc>
          <w:tcPr>
            <w:tcW w:w="1569" w:type="pct"/>
            <w:tcBorders>
              <w:bottom w:val="single" w:sz="4" w:space="0" w:color="auto"/>
            </w:tcBorders>
            <w:noWrap/>
            <w:hideMark/>
          </w:tcPr>
          <w:p w14:paraId="57213A7E" w14:textId="77777777" w:rsidR="00911F85" w:rsidRPr="00B01A0A" w:rsidRDefault="00911F85" w:rsidP="008742A1">
            <w:pPr>
              <w:pStyle w:val="Tabletext1"/>
            </w:pPr>
            <w:r w:rsidRPr="00B01A0A">
              <w:t>Ig grams issued for AL</w:t>
            </w:r>
          </w:p>
        </w:tc>
        <w:tc>
          <w:tcPr>
            <w:tcW w:w="686" w:type="pct"/>
            <w:tcBorders>
              <w:bottom w:val="single" w:sz="4" w:space="0" w:color="auto"/>
            </w:tcBorders>
            <w:noWrap/>
            <w:hideMark/>
          </w:tcPr>
          <w:p w14:paraId="30CDD807" w14:textId="77777777" w:rsidR="00911F85" w:rsidRPr="00B01A0A" w:rsidRDefault="00911F85" w:rsidP="008742A1">
            <w:pPr>
              <w:pStyle w:val="Tabletext1"/>
              <w:jc w:val="right"/>
            </w:pPr>
            <w:r w:rsidRPr="003F17B3">
              <w:t>42,073</w:t>
            </w:r>
          </w:p>
        </w:tc>
        <w:tc>
          <w:tcPr>
            <w:tcW w:w="686" w:type="pct"/>
            <w:tcBorders>
              <w:bottom w:val="single" w:sz="4" w:space="0" w:color="auto"/>
            </w:tcBorders>
            <w:noWrap/>
            <w:hideMark/>
          </w:tcPr>
          <w:p w14:paraId="63E55FBB" w14:textId="77777777" w:rsidR="00911F85" w:rsidRPr="00B01A0A" w:rsidRDefault="00911F85" w:rsidP="008742A1">
            <w:pPr>
              <w:pStyle w:val="Tabletext1"/>
              <w:jc w:val="right"/>
            </w:pPr>
            <w:r w:rsidRPr="003F17B3">
              <w:t>44,494</w:t>
            </w:r>
          </w:p>
        </w:tc>
        <w:tc>
          <w:tcPr>
            <w:tcW w:w="686" w:type="pct"/>
            <w:tcBorders>
              <w:bottom w:val="single" w:sz="4" w:space="0" w:color="auto"/>
            </w:tcBorders>
            <w:noWrap/>
            <w:hideMark/>
          </w:tcPr>
          <w:p w14:paraId="719664F1" w14:textId="77777777" w:rsidR="00911F85" w:rsidRPr="00B01A0A" w:rsidRDefault="00911F85" w:rsidP="008742A1">
            <w:pPr>
              <w:pStyle w:val="Tabletext1"/>
              <w:jc w:val="right"/>
            </w:pPr>
            <w:r w:rsidRPr="003F17B3">
              <w:t>46,914</w:t>
            </w:r>
          </w:p>
        </w:tc>
        <w:tc>
          <w:tcPr>
            <w:tcW w:w="686" w:type="pct"/>
            <w:tcBorders>
              <w:bottom w:val="single" w:sz="4" w:space="0" w:color="auto"/>
            </w:tcBorders>
            <w:noWrap/>
            <w:hideMark/>
          </w:tcPr>
          <w:p w14:paraId="31AB73DA" w14:textId="77777777" w:rsidR="00911F85" w:rsidRPr="00B01A0A" w:rsidRDefault="00911F85" w:rsidP="008742A1">
            <w:pPr>
              <w:pStyle w:val="Tabletext1"/>
              <w:jc w:val="right"/>
            </w:pPr>
            <w:r w:rsidRPr="003F17B3">
              <w:t>49,335</w:t>
            </w:r>
          </w:p>
        </w:tc>
        <w:tc>
          <w:tcPr>
            <w:tcW w:w="687" w:type="pct"/>
            <w:tcBorders>
              <w:bottom w:val="single" w:sz="4" w:space="0" w:color="auto"/>
            </w:tcBorders>
            <w:noWrap/>
            <w:hideMark/>
          </w:tcPr>
          <w:p w14:paraId="1988473E" w14:textId="77777777" w:rsidR="00911F85" w:rsidRPr="00B01A0A" w:rsidRDefault="00911F85" w:rsidP="008742A1">
            <w:pPr>
              <w:pStyle w:val="Tabletext1"/>
              <w:jc w:val="right"/>
            </w:pPr>
            <w:r w:rsidRPr="003F17B3">
              <w:t>51,755</w:t>
            </w:r>
          </w:p>
        </w:tc>
      </w:tr>
      <w:tr w:rsidR="00911F85" w:rsidRPr="00B01A0A" w14:paraId="6BD49AE4" w14:textId="77777777" w:rsidTr="008742A1">
        <w:trPr>
          <w:cantSplit/>
          <w:trHeight w:val="300"/>
        </w:trPr>
        <w:tc>
          <w:tcPr>
            <w:tcW w:w="1569" w:type="pct"/>
            <w:tcBorders>
              <w:bottom w:val="double" w:sz="4" w:space="0" w:color="auto"/>
            </w:tcBorders>
            <w:noWrap/>
            <w:hideMark/>
          </w:tcPr>
          <w:p w14:paraId="58176BF0" w14:textId="77777777" w:rsidR="00911F85" w:rsidRPr="00B01A0A" w:rsidRDefault="00911F85" w:rsidP="008742A1">
            <w:pPr>
              <w:pStyle w:val="Tabletext1"/>
            </w:pPr>
            <w:r w:rsidRPr="00B01A0A">
              <w:t>Cost of Ig for AL</w:t>
            </w:r>
          </w:p>
        </w:tc>
        <w:tc>
          <w:tcPr>
            <w:tcW w:w="686" w:type="pct"/>
            <w:tcBorders>
              <w:bottom w:val="double" w:sz="4" w:space="0" w:color="auto"/>
            </w:tcBorders>
            <w:noWrap/>
            <w:hideMark/>
          </w:tcPr>
          <w:p w14:paraId="1594B2CD" w14:textId="77777777" w:rsidR="00911F85" w:rsidRPr="00B01A0A" w:rsidRDefault="00911F85" w:rsidP="008742A1">
            <w:pPr>
              <w:pStyle w:val="Tabletext1"/>
              <w:jc w:val="right"/>
            </w:pPr>
            <w:r w:rsidRPr="003F17B3">
              <w:t>$2,541,652</w:t>
            </w:r>
          </w:p>
        </w:tc>
        <w:tc>
          <w:tcPr>
            <w:tcW w:w="686" w:type="pct"/>
            <w:tcBorders>
              <w:bottom w:val="double" w:sz="4" w:space="0" w:color="auto"/>
            </w:tcBorders>
            <w:noWrap/>
            <w:hideMark/>
          </w:tcPr>
          <w:p w14:paraId="049C296F" w14:textId="77777777" w:rsidR="00911F85" w:rsidRPr="00B01A0A" w:rsidRDefault="00911F85" w:rsidP="008742A1">
            <w:pPr>
              <w:pStyle w:val="Tabletext1"/>
              <w:jc w:val="right"/>
            </w:pPr>
            <w:r w:rsidRPr="003F17B3">
              <w:t>$2,687,872</w:t>
            </w:r>
          </w:p>
        </w:tc>
        <w:tc>
          <w:tcPr>
            <w:tcW w:w="686" w:type="pct"/>
            <w:tcBorders>
              <w:bottom w:val="double" w:sz="4" w:space="0" w:color="auto"/>
            </w:tcBorders>
            <w:noWrap/>
            <w:hideMark/>
          </w:tcPr>
          <w:p w14:paraId="75EE3B52" w14:textId="77777777" w:rsidR="00911F85" w:rsidRPr="00B01A0A" w:rsidRDefault="00911F85" w:rsidP="008742A1">
            <w:pPr>
              <w:pStyle w:val="Tabletext1"/>
              <w:jc w:val="right"/>
            </w:pPr>
            <w:r w:rsidRPr="003F17B3">
              <w:t>$2,834,093</w:t>
            </w:r>
          </w:p>
        </w:tc>
        <w:tc>
          <w:tcPr>
            <w:tcW w:w="686" w:type="pct"/>
            <w:tcBorders>
              <w:bottom w:val="double" w:sz="4" w:space="0" w:color="auto"/>
            </w:tcBorders>
            <w:noWrap/>
            <w:hideMark/>
          </w:tcPr>
          <w:p w14:paraId="4F66BB3D" w14:textId="77777777" w:rsidR="00911F85" w:rsidRPr="00B01A0A" w:rsidRDefault="00911F85" w:rsidP="008742A1">
            <w:pPr>
              <w:pStyle w:val="Tabletext1"/>
              <w:jc w:val="right"/>
            </w:pPr>
            <w:r w:rsidRPr="003F17B3">
              <w:t>$2,980,313</w:t>
            </w:r>
          </w:p>
        </w:tc>
        <w:tc>
          <w:tcPr>
            <w:tcW w:w="687" w:type="pct"/>
            <w:tcBorders>
              <w:bottom w:val="double" w:sz="4" w:space="0" w:color="auto"/>
            </w:tcBorders>
            <w:noWrap/>
            <w:hideMark/>
          </w:tcPr>
          <w:p w14:paraId="3329F624" w14:textId="77777777" w:rsidR="00911F85" w:rsidRPr="00B01A0A" w:rsidRDefault="00911F85" w:rsidP="008742A1">
            <w:pPr>
              <w:pStyle w:val="Tabletext1"/>
              <w:jc w:val="right"/>
            </w:pPr>
            <w:r w:rsidRPr="003F17B3">
              <w:t>$3,126,533</w:t>
            </w:r>
          </w:p>
        </w:tc>
      </w:tr>
      <w:tr w:rsidR="00911F85" w:rsidRPr="00B01A0A" w14:paraId="644515E1" w14:textId="77777777" w:rsidTr="008742A1">
        <w:trPr>
          <w:cantSplit/>
          <w:trHeight w:val="300"/>
        </w:trPr>
        <w:tc>
          <w:tcPr>
            <w:tcW w:w="1569" w:type="pct"/>
            <w:tcBorders>
              <w:top w:val="double" w:sz="4" w:space="0" w:color="auto"/>
            </w:tcBorders>
            <w:noWrap/>
            <w:hideMark/>
          </w:tcPr>
          <w:p w14:paraId="56471889" w14:textId="77777777" w:rsidR="00911F85" w:rsidRPr="00B01A0A" w:rsidRDefault="00911F85" w:rsidP="008742A1">
            <w:pPr>
              <w:pStyle w:val="Tabletext1"/>
            </w:pPr>
            <w:r w:rsidRPr="00B01A0A">
              <w:t>No. other HM patients</w:t>
            </w:r>
          </w:p>
        </w:tc>
        <w:tc>
          <w:tcPr>
            <w:tcW w:w="686" w:type="pct"/>
            <w:tcBorders>
              <w:top w:val="double" w:sz="4" w:space="0" w:color="auto"/>
            </w:tcBorders>
            <w:noWrap/>
            <w:hideMark/>
          </w:tcPr>
          <w:p w14:paraId="0085156B" w14:textId="77777777" w:rsidR="00911F85" w:rsidRPr="00B01A0A" w:rsidRDefault="00911F85" w:rsidP="008742A1">
            <w:pPr>
              <w:pStyle w:val="Tabletext1"/>
              <w:jc w:val="right"/>
            </w:pPr>
            <w:r w:rsidRPr="003F17B3">
              <w:t>373</w:t>
            </w:r>
          </w:p>
        </w:tc>
        <w:tc>
          <w:tcPr>
            <w:tcW w:w="686" w:type="pct"/>
            <w:tcBorders>
              <w:top w:val="double" w:sz="4" w:space="0" w:color="auto"/>
            </w:tcBorders>
            <w:noWrap/>
            <w:hideMark/>
          </w:tcPr>
          <w:p w14:paraId="0C934E97" w14:textId="77777777" w:rsidR="00911F85" w:rsidRPr="00B01A0A" w:rsidRDefault="00911F85" w:rsidP="008742A1">
            <w:pPr>
              <w:pStyle w:val="Tabletext1"/>
              <w:jc w:val="right"/>
            </w:pPr>
            <w:r w:rsidRPr="003F17B3">
              <w:t>390</w:t>
            </w:r>
          </w:p>
        </w:tc>
        <w:tc>
          <w:tcPr>
            <w:tcW w:w="686" w:type="pct"/>
            <w:tcBorders>
              <w:top w:val="double" w:sz="4" w:space="0" w:color="auto"/>
            </w:tcBorders>
            <w:noWrap/>
            <w:hideMark/>
          </w:tcPr>
          <w:p w14:paraId="0A3AAA7C" w14:textId="77777777" w:rsidR="00911F85" w:rsidRPr="00B01A0A" w:rsidRDefault="00911F85" w:rsidP="008742A1">
            <w:pPr>
              <w:pStyle w:val="Tabletext1"/>
              <w:jc w:val="right"/>
            </w:pPr>
            <w:r w:rsidRPr="003F17B3">
              <w:t>408</w:t>
            </w:r>
          </w:p>
        </w:tc>
        <w:tc>
          <w:tcPr>
            <w:tcW w:w="686" w:type="pct"/>
            <w:tcBorders>
              <w:top w:val="double" w:sz="4" w:space="0" w:color="auto"/>
            </w:tcBorders>
            <w:noWrap/>
            <w:hideMark/>
          </w:tcPr>
          <w:p w14:paraId="07AB1BCC" w14:textId="77777777" w:rsidR="00911F85" w:rsidRPr="00B01A0A" w:rsidRDefault="00911F85" w:rsidP="008742A1">
            <w:pPr>
              <w:pStyle w:val="Tabletext1"/>
              <w:jc w:val="right"/>
            </w:pPr>
            <w:r w:rsidRPr="003F17B3">
              <w:t>425</w:t>
            </w:r>
          </w:p>
        </w:tc>
        <w:tc>
          <w:tcPr>
            <w:tcW w:w="687" w:type="pct"/>
            <w:tcBorders>
              <w:top w:val="double" w:sz="4" w:space="0" w:color="auto"/>
            </w:tcBorders>
            <w:noWrap/>
            <w:hideMark/>
          </w:tcPr>
          <w:p w14:paraId="4A561A8B" w14:textId="77777777" w:rsidR="00911F85" w:rsidRPr="00B01A0A" w:rsidRDefault="00911F85" w:rsidP="008742A1">
            <w:pPr>
              <w:pStyle w:val="Tabletext1"/>
              <w:jc w:val="right"/>
            </w:pPr>
            <w:r w:rsidRPr="003F17B3">
              <w:t>443</w:t>
            </w:r>
          </w:p>
        </w:tc>
      </w:tr>
      <w:tr w:rsidR="00911F85" w:rsidRPr="00B01A0A" w14:paraId="7501439C" w14:textId="77777777" w:rsidTr="008742A1">
        <w:trPr>
          <w:cantSplit/>
          <w:trHeight w:val="300"/>
        </w:trPr>
        <w:tc>
          <w:tcPr>
            <w:tcW w:w="1569" w:type="pct"/>
            <w:tcBorders>
              <w:bottom w:val="single" w:sz="4" w:space="0" w:color="auto"/>
            </w:tcBorders>
            <w:noWrap/>
            <w:hideMark/>
          </w:tcPr>
          <w:p w14:paraId="496556EB" w14:textId="77777777" w:rsidR="00911F85" w:rsidRPr="00B01A0A" w:rsidRDefault="00911F85" w:rsidP="008742A1">
            <w:pPr>
              <w:pStyle w:val="Tabletext1"/>
            </w:pPr>
            <w:r w:rsidRPr="00B01A0A">
              <w:t>Ig grams issued for other HM</w:t>
            </w:r>
          </w:p>
        </w:tc>
        <w:tc>
          <w:tcPr>
            <w:tcW w:w="686" w:type="pct"/>
            <w:tcBorders>
              <w:bottom w:val="single" w:sz="4" w:space="0" w:color="auto"/>
            </w:tcBorders>
            <w:noWrap/>
            <w:hideMark/>
          </w:tcPr>
          <w:p w14:paraId="4FC44AB7" w14:textId="77777777" w:rsidR="00911F85" w:rsidRPr="00B01A0A" w:rsidRDefault="00911F85" w:rsidP="008742A1">
            <w:pPr>
              <w:pStyle w:val="Tabletext1"/>
              <w:jc w:val="right"/>
            </w:pPr>
            <w:r w:rsidRPr="003F17B3">
              <w:t>84,185</w:t>
            </w:r>
          </w:p>
        </w:tc>
        <w:tc>
          <w:tcPr>
            <w:tcW w:w="686" w:type="pct"/>
            <w:tcBorders>
              <w:bottom w:val="single" w:sz="4" w:space="0" w:color="auto"/>
            </w:tcBorders>
            <w:noWrap/>
            <w:hideMark/>
          </w:tcPr>
          <w:p w14:paraId="3873240D" w14:textId="77777777" w:rsidR="00911F85" w:rsidRPr="00B01A0A" w:rsidRDefault="00911F85" w:rsidP="008742A1">
            <w:pPr>
              <w:pStyle w:val="Tabletext1"/>
              <w:jc w:val="right"/>
            </w:pPr>
            <w:r w:rsidRPr="003F17B3">
              <w:t>89,028</w:t>
            </w:r>
          </w:p>
        </w:tc>
        <w:tc>
          <w:tcPr>
            <w:tcW w:w="686" w:type="pct"/>
            <w:tcBorders>
              <w:bottom w:val="single" w:sz="4" w:space="0" w:color="auto"/>
            </w:tcBorders>
            <w:noWrap/>
            <w:hideMark/>
          </w:tcPr>
          <w:p w14:paraId="343ACAD5" w14:textId="77777777" w:rsidR="00911F85" w:rsidRPr="00B01A0A" w:rsidRDefault="00911F85" w:rsidP="008742A1">
            <w:pPr>
              <w:pStyle w:val="Tabletext1"/>
              <w:jc w:val="right"/>
            </w:pPr>
            <w:r w:rsidRPr="003F17B3">
              <w:t>93,871</w:t>
            </w:r>
          </w:p>
        </w:tc>
        <w:tc>
          <w:tcPr>
            <w:tcW w:w="686" w:type="pct"/>
            <w:tcBorders>
              <w:bottom w:val="single" w:sz="4" w:space="0" w:color="auto"/>
            </w:tcBorders>
            <w:noWrap/>
            <w:hideMark/>
          </w:tcPr>
          <w:p w14:paraId="4E842B7D" w14:textId="77777777" w:rsidR="00911F85" w:rsidRPr="00B01A0A" w:rsidRDefault="00911F85" w:rsidP="008742A1">
            <w:pPr>
              <w:pStyle w:val="Tabletext1"/>
              <w:jc w:val="right"/>
            </w:pPr>
            <w:r w:rsidRPr="003F17B3">
              <w:t>98,714</w:t>
            </w:r>
          </w:p>
        </w:tc>
        <w:tc>
          <w:tcPr>
            <w:tcW w:w="687" w:type="pct"/>
            <w:tcBorders>
              <w:bottom w:val="single" w:sz="4" w:space="0" w:color="auto"/>
            </w:tcBorders>
            <w:noWrap/>
            <w:hideMark/>
          </w:tcPr>
          <w:p w14:paraId="3F8539A5" w14:textId="77777777" w:rsidR="00911F85" w:rsidRPr="00B01A0A" w:rsidRDefault="00911F85" w:rsidP="008742A1">
            <w:pPr>
              <w:pStyle w:val="Tabletext1"/>
              <w:jc w:val="right"/>
            </w:pPr>
            <w:r w:rsidRPr="003F17B3">
              <w:t>103,558</w:t>
            </w:r>
          </w:p>
        </w:tc>
      </w:tr>
      <w:tr w:rsidR="00911F85" w:rsidRPr="00B01A0A" w14:paraId="51AD8506" w14:textId="77777777" w:rsidTr="008742A1">
        <w:trPr>
          <w:cantSplit/>
          <w:trHeight w:val="300"/>
        </w:trPr>
        <w:tc>
          <w:tcPr>
            <w:tcW w:w="1569" w:type="pct"/>
            <w:tcBorders>
              <w:bottom w:val="double" w:sz="4" w:space="0" w:color="auto"/>
            </w:tcBorders>
            <w:noWrap/>
            <w:hideMark/>
          </w:tcPr>
          <w:p w14:paraId="4C8B9B40" w14:textId="77777777" w:rsidR="00911F85" w:rsidRPr="00B01A0A" w:rsidRDefault="00911F85" w:rsidP="008742A1">
            <w:pPr>
              <w:pStyle w:val="Tabletext1"/>
            </w:pPr>
            <w:r w:rsidRPr="00B01A0A">
              <w:t>Cost of Ig for other HM</w:t>
            </w:r>
          </w:p>
        </w:tc>
        <w:tc>
          <w:tcPr>
            <w:tcW w:w="686" w:type="pct"/>
            <w:tcBorders>
              <w:bottom w:val="double" w:sz="4" w:space="0" w:color="auto"/>
            </w:tcBorders>
            <w:noWrap/>
            <w:hideMark/>
          </w:tcPr>
          <w:p w14:paraId="22CFCF87" w14:textId="77777777" w:rsidR="00911F85" w:rsidRPr="00B01A0A" w:rsidRDefault="00911F85" w:rsidP="008742A1">
            <w:pPr>
              <w:pStyle w:val="Tabletext1"/>
              <w:jc w:val="right"/>
            </w:pPr>
            <w:r w:rsidRPr="003F17B3">
              <w:t>$5,085,618</w:t>
            </w:r>
          </w:p>
        </w:tc>
        <w:tc>
          <w:tcPr>
            <w:tcW w:w="686" w:type="pct"/>
            <w:tcBorders>
              <w:bottom w:val="double" w:sz="4" w:space="0" w:color="auto"/>
            </w:tcBorders>
            <w:noWrap/>
            <w:hideMark/>
          </w:tcPr>
          <w:p w14:paraId="19592964" w14:textId="77777777" w:rsidR="00911F85" w:rsidRPr="00B01A0A" w:rsidRDefault="00911F85" w:rsidP="008742A1">
            <w:pPr>
              <w:pStyle w:val="Tabletext1"/>
              <w:jc w:val="right"/>
            </w:pPr>
            <w:r w:rsidRPr="003F17B3">
              <w:t>$5,378,192</w:t>
            </w:r>
          </w:p>
        </w:tc>
        <w:tc>
          <w:tcPr>
            <w:tcW w:w="686" w:type="pct"/>
            <w:tcBorders>
              <w:bottom w:val="double" w:sz="4" w:space="0" w:color="auto"/>
            </w:tcBorders>
            <w:noWrap/>
            <w:hideMark/>
          </w:tcPr>
          <w:p w14:paraId="0C958F6A" w14:textId="77777777" w:rsidR="00911F85" w:rsidRPr="00B01A0A" w:rsidRDefault="00911F85" w:rsidP="008742A1">
            <w:pPr>
              <w:pStyle w:val="Tabletext1"/>
              <w:jc w:val="right"/>
            </w:pPr>
            <w:r w:rsidRPr="003F17B3">
              <w:t>$5,670,765</w:t>
            </w:r>
          </w:p>
        </w:tc>
        <w:tc>
          <w:tcPr>
            <w:tcW w:w="686" w:type="pct"/>
            <w:tcBorders>
              <w:bottom w:val="double" w:sz="4" w:space="0" w:color="auto"/>
            </w:tcBorders>
            <w:noWrap/>
            <w:hideMark/>
          </w:tcPr>
          <w:p w14:paraId="60AB7DD1" w14:textId="77777777" w:rsidR="00911F85" w:rsidRPr="00B01A0A" w:rsidRDefault="00911F85" w:rsidP="008742A1">
            <w:pPr>
              <w:pStyle w:val="Tabletext1"/>
              <w:jc w:val="right"/>
            </w:pPr>
            <w:r w:rsidRPr="003F17B3">
              <w:t>$5,963,339</w:t>
            </w:r>
          </w:p>
        </w:tc>
        <w:tc>
          <w:tcPr>
            <w:tcW w:w="687" w:type="pct"/>
            <w:tcBorders>
              <w:bottom w:val="double" w:sz="4" w:space="0" w:color="auto"/>
            </w:tcBorders>
            <w:noWrap/>
            <w:hideMark/>
          </w:tcPr>
          <w:p w14:paraId="2E06B07D" w14:textId="77777777" w:rsidR="00911F85" w:rsidRPr="00B01A0A" w:rsidRDefault="00911F85" w:rsidP="008742A1">
            <w:pPr>
              <w:pStyle w:val="Tabletext1"/>
              <w:jc w:val="right"/>
            </w:pPr>
            <w:r w:rsidRPr="003F17B3">
              <w:t>$6,255,913</w:t>
            </w:r>
          </w:p>
        </w:tc>
      </w:tr>
      <w:tr w:rsidR="00911F85" w:rsidRPr="00B01A0A" w14:paraId="1B682518" w14:textId="77777777" w:rsidTr="008742A1">
        <w:trPr>
          <w:cantSplit/>
          <w:trHeight w:val="300"/>
        </w:trPr>
        <w:tc>
          <w:tcPr>
            <w:tcW w:w="1569" w:type="pct"/>
            <w:tcBorders>
              <w:top w:val="double" w:sz="4" w:space="0" w:color="auto"/>
            </w:tcBorders>
            <w:noWrap/>
            <w:hideMark/>
          </w:tcPr>
          <w:p w14:paraId="08D51A50" w14:textId="77777777" w:rsidR="00911F85" w:rsidRPr="00B01A0A" w:rsidRDefault="00911F85" w:rsidP="008742A1">
            <w:pPr>
              <w:pStyle w:val="Tabletext1"/>
              <w:rPr>
                <w:b/>
                <w:bCs/>
              </w:rPr>
            </w:pPr>
            <w:r w:rsidRPr="00B01A0A">
              <w:rPr>
                <w:b/>
                <w:bCs/>
              </w:rPr>
              <w:t>Total number of patients</w:t>
            </w:r>
          </w:p>
        </w:tc>
        <w:tc>
          <w:tcPr>
            <w:tcW w:w="686" w:type="pct"/>
            <w:tcBorders>
              <w:top w:val="double" w:sz="4" w:space="0" w:color="auto"/>
            </w:tcBorders>
            <w:noWrap/>
            <w:hideMark/>
          </w:tcPr>
          <w:p w14:paraId="725F2E73" w14:textId="77777777" w:rsidR="00911F85" w:rsidRPr="001A6224" w:rsidRDefault="00911F85" w:rsidP="008742A1">
            <w:pPr>
              <w:pStyle w:val="Tabletext1"/>
              <w:jc w:val="right"/>
              <w:rPr>
                <w:b/>
                <w:bCs/>
              </w:rPr>
            </w:pPr>
            <w:r w:rsidRPr="001A6224">
              <w:rPr>
                <w:b/>
              </w:rPr>
              <w:t>6,488</w:t>
            </w:r>
          </w:p>
        </w:tc>
        <w:tc>
          <w:tcPr>
            <w:tcW w:w="686" w:type="pct"/>
            <w:tcBorders>
              <w:top w:val="double" w:sz="4" w:space="0" w:color="auto"/>
            </w:tcBorders>
            <w:noWrap/>
            <w:hideMark/>
          </w:tcPr>
          <w:p w14:paraId="4885E53E" w14:textId="77777777" w:rsidR="00911F85" w:rsidRPr="001A6224" w:rsidRDefault="00911F85" w:rsidP="008742A1">
            <w:pPr>
              <w:pStyle w:val="Tabletext1"/>
              <w:jc w:val="right"/>
              <w:rPr>
                <w:b/>
                <w:bCs/>
              </w:rPr>
            </w:pPr>
            <w:r w:rsidRPr="001A6224">
              <w:rPr>
                <w:b/>
              </w:rPr>
              <w:t>6,894</w:t>
            </w:r>
          </w:p>
        </w:tc>
        <w:tc>
          <w:tcPr>
            <w:tcW w:w="686" w:type="pct"/>
            <w:tcBorders>
              <w:top w:val="double" w:sz="4" w:space="0" w:color="auto"/>
            </w:tcBorders>
            <w:noWrap/>
            <w:hideMark/>
          </w:tcPr>
          <w:p w14:paraId="53B851EA" w14:textId="77777777" w:rsidR="00911F85" w:rsidRPr="001A6224" w:rsidRDefault="00911F85" w:rsidP="008742A1">
            <w:pPr>
              <w:pStyle w:val="Tabletext1"/>
              <w:jc w:val="right"/>
              <w:rPr>
                <w:b/>
                <w:bCs/>
              </w:rPr>
            </w:pPr>
            <w:r w:rsidRPr="001A6224">
              <w:rPr>
                <w:b/>
              </w:rPr>
              <w:t>7,301</w:t>
            </w:r>
          </w:p>
        </w:tc>
        <w:tc>
          <w:tcPr>
            <w:tcW w:w="686" w:type="pct"/>
            <w:tcBorders>
              <w:top w:val="double" w:sz="4" w:space="0" w:color="auto"/>
            </w:tcBorders>
            <w:noWrap/>
            <w:hideMark/>
          </w:tcPr>
          <w:p w14:paraId="612B6867" w14:textId="77777777" w:rsidR="00911F85" w:rsidRPr="001A6224" w:rsidRDefault="00911F85" w:rsidP="008742A1">
            <w:pPr>
              <w:pStyle w:val="Tabletext1"/>
              <w:jc w:val="right"/>
              <w:rPr>
                <w:b/>
                <w:bCs/>
              </w:rPr>
            </w:pPr>
            <w:r w:rsidRPr="001A6224">
              <w:rPr>
                <w:b/>
              </w:rPr>
              <w:t>7,707</w:t>
            </w:r>
          </w:p>
        </w:tc>
        <w:tc>
          <w:tcPr>
            <w:tcW w:w="687" w:type="pct"/>
            <w:tcBorders>
              <w:top w:val="double" w:sz="4" w:space="0" w:color="auto"/>
            </w:tcBorders>
            <w:noWrap/>
            <w:hideMark/>
          </w:tcPr>
          <w:p w14:paraId="595134EC" w14:textId="77777777" w:rsidR="00911F85" w:rsidRPr="001A6224" w:rsidRDefault="00911F85" w:rsidP="008742A1">
            <w:pPr>
              <w:pStyle w:val="Tabletext1"/>
              <w:jc w:val="right"/>
              <w:rPr>
                <w:b/>
                <w:bCs/>
              </w:rPr>
            </w:pPr>
            <w:r w:rsidRPr="001A6224">
              <w:rPr>
                <w:b/>
              </w:rPr>
              <w:t>8,114</w:t>
            </w:r>
          </w:p>
        </w:tc>
      </w:tr>
      <w:tr w:rsidR="00911F85" w:rsidRPr="00B01A0A" w14:paraId="27D06A7B" w14:textId="77777777" w:rsidTr="008742A1">
        <w:trPr>
          <w:cantSplit/>
          <w:trHeight w:val="300"/>
        </w:trPr>
        <w:tc>
          <w:tcPr>
            <w:tcW w:w="1569" w:type="pct"/>
            <w:noWrap/>
            <w:hideMark/>
          </w:tcPr>
          <w:p w14:paraId="0563B7A7" w14:textId="77777777" w:rsidR="00911F85" w:rsidRPr="00B01A0A" w:rsidRDefault="00911F85" w:rsidP="008742A1">
            <w:pPr>
              <w:pStyle w:val="Tabletext1"/>
              <w:rPr>
                <w:b/>
                <w:bCs/>
              </w:rPr>
            </w:pPr>
            <w:r w:rsidRPr="00B01A0A">
              <w:rPr>
                <w:b/>
                <w:bCs/>
              </w:rPr>
              <w:t>Total number of Ig grams issued</w:t>
            </w:r>
          </w:p>
        </w:tc>
        <w:tc>
          <w:tcPr>
            <w:tcW w:w="686" w:type="pct"/>
            <w:noWrap/>
            <w:hideMark/>
          </w:tcPr>
          <w:p w14:paraId="5D894268" w14:textId="77777777" w:rsidR="00911F85" w:rsidRPr="001A6224" w:rsidRDefault="00911F85" w:rsidP="008742A1">
            <w:pPr>
              <w:pStyle w:val="Tabletext1"/>
              <w:jc w:val="right"/>
              <w:rPr>
                <w:b/>
                <w:bCs/>
              </w:rPr>
            </w:pPr>
            <w:r w:rsidRPr="001A6224">
              <w:rPr>
                <w:b/>
              </w:rPr>
              <w:t>1,624,506</w:t>
            </w:r>
          </w:p>
        </w:tc>
        <w:tc>
          <w:tcPr>
            <w:tcW w:w="686" w:type="pct"/>
            <w:noWrap/>
            <w:hideMark/>
          </w:tcPr>
          <w:p w14:paraId="75C56738" w14:textId="77777777" w:rsidR="00911F85" w:rsidRPr="001A6224" w:rsidRDefault="00911F85" w:rsidP="008742A1">
            <w:pPr>
              <w:pStyle w:val="Tabletext1"/>
              <w:jc w:val="right"/>
              <w:rPr>
                <w:b/>
                <w:bCs/>
              </w:rPr>
            </w:pPr>
            <w:r w:rsidRPr="001A6224">
              <w:rPr>
                <w:b/>
              </w:rPr>
              <w:t>1,748,903</w:t>
            </w:r>
          </w:p>
        </w:tc>
        <w:tc>
          <w:tcPr>
            <w:tcW w:w="686" w:type="pct"/>
            <w:noWrap/>
            <w:hideMark/>
          </w:tcPr>
          <w:p w14:paraId="3115CE93" w14:textId="77777777" w:rsidR="00911F85" w:rsidRPr="001A6224" w:rsidRDefault="00911F85" w:rsidP="008742A1">
            <w:pPr>
              <w:pStyle w:val="Tabletext1"/>
              <w:jc w:val="right"/>
              <w:rPr>
                <w:b/>
                <w:bCs/>
              </w:rPr>
            </w:pPr>
            <w:r w:rsidRPr="001A6224">
              <w:rPr>
                <w:b/>
              </w:rPr>
              <w:t>1,873,301</w:t>
            </w:r>
          </w:p>
        </w:tc>
        <w:tc>
          <w:tcPr>
            <w:tcW w:w="686" w:type="pct"/>
            <w:noWrap/>
            <w:hideMark/>
          </w:tcPr>
          <w:p w14:paraId="2CA2A15D" w14:textId="77777777" w:rsidR="00911F85" w:rsidRPr="001A6224" w:rsidRDefault="00911F85" w:rsidP="008742A1">
            <w:pPr>
              <w:pStyle w:val="Tabletext1"/>
              <w:jc w:val="right"/>
              <w:rPr>
                <w:b/>
                <w:bCs/>
              </w:rPr>
            </w:pPr>
            <w:r w:rsidRPr="001A6224">
              <w:rPr>
                <w:b/>
              </w:rPr>
              <w:t>1,997,698</w:t>
            </w:r>
          </w:p>
        </w:tc>
        <w:tc>
          <w:tcPr>
            <w:tcW w:w="687" w:type="pct"/>
            <w:noWrap/>
            <w:hideMark/>
          </w:tcPr>
          <w:p w14:paraId="76153CF5" w14:textId="77777777" w:rsidR="00911F85" w:rsidRPr="001A6224" w:rsidRDefault="00911F85" w:rsidP="008742A1">
            <w:pPr>
              <w:pStyle w:val="Tabletext1"/>
              <w:jc w:val="right"/>
              <w:rPr>
                <w:b/>
                <w:bCs/>
              </w:rPr>
            </w:pPr>
            <w:r w:rsidRPr="001A6224">
              <w:rPr>
                <w:b/>
              </w:rPr>
              <w:t>2,122,096</w:t>
            </w:r>
          </w:p>
        </w:tc>
      </w:tr>
      <w:tr w:rsidR="00911F85" w:rsidRPr="00B01A0A" w14:paraId="3F89D20C" w14:textId="77777777" w:rsidTr="008742A1">
        <w:trPr>
          <w:cantSplit/>
          <w:trHeight w:val="300"/>
        </w:trPr>
        <w:tc>
          <w:tcPr>
            <w:tcW w:w="1569" w:type="pct"/>
            <w:noWrap/>
            <w:hideMark/>
          </w:tcPr>
          <w:p w14:paraId="0191C4AF" w14:textId="77777777" w:rsidR="00911F85" w:rsidRPr="00B01A0A" w:rsidRDefault="00911F85" w:rsidP="008742A1">
            <w:pPr>
              <w:pStyle w:val="Tabletext1"/>
              <w:rPr>
                <w:b/>
                <w:bCs/>
              </w:rPr>
            </w:pPr>
            <w:r>
              <w:rPr>
                <w:b/>
                <w:bCs/>
              </w:rPr>
              <w:t>Total cost of Ig</w:t>
            </w:r>
          </w:p>
        </w:tc>
        <w:tc>
          <w:tcPr>
            <w:tcW w:w="686" w:type="pct"/>
            <w:noWrap/>
            <w:hideMark/>
          </w:tcPr>
          <w:p w14:paraId="50331270" w14:textId="77777777" w:rsidR="00911F85" w:rsidRPr="001A6224" w:rsidRDefault="00911F85" w:rsidP="008742A1">
            <w:pPr>
              <w:pStyle w:val="Tabletext1"/>
              <w:jc w:val="right"/>
              <w:rPr>
                <w:b/>
                <w:bCs/>
              </w:rPr>
            </w:pPr>
            <w:r w:rsidRPr="001A6224">
              <w:rPr>
                <w:b/>
              </w:rPr>
              <w:t>$98,136,389</w:t>
            </w:r>
          </w:p>
        </w:tc>
        <w:tc>
          <w:tcPr>
            <w:tcW w:w="686" w:type="pct"/>
            <w:noWrap/>
            <w:hideMark/>
          </w:tcPr>
          <w:p w14:paraId="52573A9D" w14:textId="77777777" w:rsidR="00911F85" w:rsidRPr="001A6224" w:rsidRDefault="00911F85" w:rsidP="008742A1">
            <w:pPr>
              <w:pStyle w:val="Tabletext1"/>
              <w:jc w:val="right"/>
              <w:rPr>
                <w:b/>
                <w:bCs/>
              </w:rPr>
            </w:pPr>
            <w:r w:rsidRPr="001A6224">
              <w:rPr>
                <w:b/>
              </w:rPr>
              <w:t>$105,651,248</w:t>
            </w:r>
          </w:p>
        </w:tc>
        <w:tc>
          <w:tcPr>
            <w:tcW w:w="686" w:type="pct"/>
            <w:noWrap/>
            <w:hideMark/>
          </w:tcPr>
          <w:p w14:paraId="77707BDD" w14:textId="77777777" w:rsidR="00911F85" w:rsidRPr="001A6224" w:rsidRDefault="00911F85" w:rsidP="008742A1">
            <w:pPr>
              <w:pStyle w:val="Tabletext1"/>
              <w:jc w:val="right"/>
              <w:rPr>
                <w:b/>
                <w:bCs/>
              </w:rPr>
            </w:pPr>
            <w:r w:rsidRPr="001A6224">
              <w:rPr>
                <w:b/>
              </w:rPr>
              <w:t>$113,166,107</w:t>
            </w:r>
          </w:p>
        </w:tc>
        <w:tc>
          <w:tcPr>
            <w:tcW w:w="686" w:type="pct"/>
            <w:noWrap/>
            <w:hideMark/>
          </w:tcPr>
          <w:p w14:paraId="314CBD87" w14:textId="77777777" w:rsidR="00911F85" w:rsidRPr="001A6224" w:rsidRDefault="00911F85" w:rsidP="008742A1">
            <w:pPr>
              <w:pStyle w:val="Tabletext1"/>
              <w:jc w:val="right"/>
              <w:rPr>
                <w:b/>
                <w:bCs/>
              </w:rPr>
            </w:pPr>
            <w:r w:rsidRPr="001A6224">
              <w:rPr>
                <w:b/>
              </w:rPr>
              <w:t>$120,680,966</w:t>
            </w:r>
          </w:p>
        </w:tc>
        <w:tc>
          <w:tcPr>
            <w:tcW w:w="687" w:type="pct"/>
            <w:noWrap/>
            <w:hideMark/>
          </w:tcPr>
          <w:p w14:paraId="680FC1C7" w14:textId="77777777" w:rsidR="00911F85" w:rsidRPr="001A6224" w:rsidRDefault="00911F85" w:rsidP="008742A1">
            <w:pPr>
              <w:pStyle w:val="Tabletext1"/>
              <w:jc w:val="right"/>
              <w:rPr>
                <w:b/>
                <w:bCs/>
              </w:rPr>
            </w:pPr>
            <w:r w:rsidRPr="001A6224">
              <w:rPr>
                <w:b/>
              </w:rPr>
              <w:t>$128,195,825</w:t>
            </w:r>
          </w:p>
        </w:tc>
      </w:tr>
      <w:tr w:rsidR="00911F85" w:rsidRPr="00B01A0A" w14:paraId="7FE4DD3E" w14:textId="77777777" w:rsidTr="008742A1">
        <w:trPr>
          <w:cantSplit/>
          <w:trHeight w:val="300"/>
        </w:trPr>
        <w:tc>
          <w:tcPr>
            <w:tcW w:w="1569" w:type="pct"/>
            <w:noWrap/>
            <w:hideMark/>
          </w:tcPr>
          <w:p w14:paraId="254BFFA3" w14:textId="77777777" w:rsidR="00911F85" w:rsidRPr="00B01A0A" w:rsidRDefault="00911F85" w:rsidP="008742A1">
            <w:pPr>
              <w:pStyle w:val="Tabletext1"/>
            </w:pPr>
            <w:r w:rsidRPr="00B01A0A">
              <w:t>Proportion Commonwealth funded</w:t>
            </w:r>
          </w:p>
        </w:tc>
        <w:tc>
          <w:tcPr>
            <w:tcW w:w="686" w:type="pct"/>
            <w:noWrap/>
            <w:hideMark/>
          </w:tcPr>
          <w:p w14:paraId="6F9ACB8E" w14:textId="77777777" w:rsidR="00911F85" w:rsidRPr="00B01A0A" w:rsidRDefault="00911F85" w:rsidP="008742A1">
            <w:pPr>
              <w:pStyle w:val="Tabletext1"/>
              <w:jc w:val="right"/>
            </w:pPr>
            <w:r w:rsidRPr="003F17B3">
              <w:t>63.0%</w:t>
            </w:r>
          </w:p>
        </w:tc>
        <w:tc>
          <w:tcPr>
            <w:tcW w:w="686" w:type="pct"/>
            <w:noWrap/>
            <w:hideMark/>
          </w:tcPr>
          <w:p w14:paraId="20800165" w14:textId="77777777" w:rsidR="00911F85" w:rsidRPr="00B01A0A" w:rsidRDefault="00911F85" w:rsidP="008742A1">
            <w:pPr>
              <w:pStyle w:val="Tabletext1"/>
              <w:jc w:val="right"/>
            </w:pPr>
          </w:p>
        </w:tc>
        <w:tc>
          <w:tcPr>
            <w:tcW w:w="686" w:type="pct"/>
            <w:noWrap/>
            <w:hideMark/>
          </w:tcPr>
          <w:p w14:paraId="69C24E70" w14:textId="77777777" w:rsidR="00911F85" w:rsidRPr="00B01A0A" w:rsidRDefault="00911F85" w:rsidP="008742A1">
            <w:pPr>
              <w:pStyle w:val="Tabletext1"/>
              <w:jc w:val="right"/>
              <w:rPr>
                <w:rFonts w:ascii="Times New Roman" w:hAnsi="Times New Roman" w:cs="Times New Roman"/>
              </w:rPr>
            </w:pPr>
          </w:p>
        </w:tc>
        <w:tc>
          <w:tcPr>
            <w:tcW w:w="686" w:type="pct"/>
            <w:noWrap/>
            <w:hideMark/>
          </w:tcPr>
          <w:p w14:paraId="5E481B37" w14:textId="77777777" w:rsidR="00911F85" w:rsidRPr="00B01A0A" w:rsidRDefault="00911F85" w:rsidP="008742A1">
            <w:pPr>
              <w:pStyle w:val="Tabletext1"/>
              <w:jc w:val="right"/>
              <w:rPr>
                <w:rFonts w:ascii="Times New Roman" w:hAnsi="Times New Roman" w:cs="Times New Roman"/>
              </w:rPr>
            </w:pPr>
          </w:p>
        </w:tc>
        <w:tc>
          <w:tcPr>
            <w:tcW w:w="687" w:type="pct"/>
            <w:noWrap/>
            <w:hideMark/>
          </w:tcPr>
          <w:p w14:paraId="0F4908D7" w14:textId="77777777" w:rsidR="00911F85" w:rsidRPr="00B01A0A" w:rsidRDefault="00911F85" w:rsidP="008742A1">
            <w:pPr>
              <w:pStyle w:val="Tabletext1"/>
              <w:jc w:val="right"/>
              <w:rPr>
                <w:rFonts w:ascii="Times New Roman" w:hAnsi="Times New Roman" w:cs="Times New Roman"/>
              </w:rPr>
            </w:pPr>
          </w:p>
        </w:tc>
      </w:tr>
      <w:tr w:rsidR="00911F85" w:rsidRPr="00B01A0A" w14:paraId="37CCE9B1" w14:textId="77777777" w:rsidTr="008742A1">
        <w:trPr>
          <w:cantSplit/>
          <w:trHeight w:val="300"/>
        </w:trPr>
        <w:tc>
          <w:tcPr>
            <w:tcW w:w="1569" w:type="pct"/>
            <w:noWrap/>
            <w:hideMark/>
          </w:tcPr>
          <w:p w14:paraId="0A089C1F" w14:textId="77777777" w:rsidR="00911F85" w:rsidRPr="00B01A0A" w:rsidRDefault="00911F85" w:rsidP="008742A1">
            <w:pPr>
              <w:pStyle w:val="Tabletext1"/>
            </w:pPr>
            <w:r w:rsidRPr="00B01A0A">
              <w:t>Cost of Ig to the Commonwealth</w:t>
            </w:r>
          </w:p>
        </w:tc>
        <w:tc>
          <w:tcPr>
            <w:tcW w:w="686" w:type="pct"/>
            <w:noWrap/>
            <w:hideMark/>
          </w:tcPr>
          <w:p w14:paraId="075A09D6" w14:textId="77777777" w:rsidR="00911F85" w:rsidRPr="00B01A0A" w:rsidRDefault="00911F85" w:rsidP="008742A1">
            <w:pPr>
              <w:pStyle w:val="Tabletext1"/>
              <w:jc w:val="right"/>
            </w:pPr>
            <w:r w:rsidRPr="003F17B3">
              <w:t>$61,825,925</w:t>
            </w:r>
          </w:p>
        </w:tc>
        <w:tc>
          <w:tcPr>
            <w:tcW w:w="686" w:type="pct"/>
            <w:noWrap/>
            <w:hideMark/>
          </w:tcPr>
          <w:p w14:paraId="24380F8A" w14:textId="77777777" w:rsidR="00911F85" w:rsidRPr="00B01A0A" w:rsidRDefault="00911F85" w:rsidP="008742A1">
            <w:pPr>
              <w:pStyle w:val="Tabletext1"/>
              <w:jc w:val="right"/>
            </w:pPr>
            <w:r w:rsidRPr="003F17B3">
              <w:t>$66,560,286</w:t>
            </w:r>
          </w:p>
        </w:tc>
        <w:tc>
          <w:tcPr>
            <w:tcW w:w="686" w:type="pct"/>
            <w:noWrap/>
            <w:hideMark/>
          </w:tcPr>
          <w:p w14:paraId="15B8EED6" w14:textId="77777777" w:rsidR="00911F85" w:rsidRPr="00B01A0A" w:rsidRDefault="00911F85" w:rsidP="008742A1">
            <w:pPr>
              <w:pStyle w:val="Tabletext1"/>
              <w:jc w:val="right"/>
            </w:pPr>
            <w:r w:rsidRPr="003F17B3">
              <w:t>$71,294,647</w:t>
            </w:r>
          </w:p>
        </w:tc>
        <w:tc>
          <w:tcPr>
            <w:tcW w:w="686" w:type="pct"/>
            <w:noWrap/>
            <w:hideMark/>
          </w:tcPr>
          <w:p w14:paraId="72AF4914" w14:textId="77777777" w:rsidR="00911F85" w:rsidRPr="00B01A0A" w:rsidRDefault="00911F85" w:rsidP="008742A1">
            <w:pPr>
              <w:pStyle w:val="Tabletext1"/>
              <w:jc w:val="right"/>
            </w:pPr>
            <w:r w:rsidRPr="003F17B3">
              <w:t>$76,029,008</w:t>
            </w:r>
          </w:p>
        </w:tc>
        <w:tc>
          <w:tcPr>
            <w:tcW w:w="687" w:type="pct"/>
            <w:noWrap/>
            <w:hideMark/>
          </w:tcPr>
          <w:p w14:paraId="49936D17" w14:textId="77777777" w:rsidR="00911F85" w:rsidRPr="00B01A0A" w:rsidRDefault="00911F85" w:rsidP="008742A1">
            <w:pPr>
              <w:pStyle w:val="Tabletext1"/>
              <w:jc w:val="right"/>
            </w:pPr>
            <w:r w:rsidRPr="003F17B3">
              <w:t>$80,763,370</w:t>
            </w:r>
          </w:p>
        </w:tc>
      </w:tr>
      <w:tr w:rsidR="00911F85" w:rsidRPr="00B01A0A" w14:paraId="5B25EFF8" w14:textId="77777777" w:rsidTr="008742A1">
        <w:trPr>
          <w:cantSplit/>
          <w:trHeight w:val="300"/>
        </w:trPr>
        <w:tc>
          <w:tcPr>
            <w:tcW w:w="1569" w:type="pct"/>
            <w:noWrap/>
            <w:hideMark/>
          </w:tcPr>
          <w:p w14:paraId="4B2DF913" w14:textId="77777777" w:rsidR="00911F85" w:rsidRPr="00B01A0A" w:rsidRDefault="00911F85" w:rsidP="008742A1">
            <w:pPr>
              <w:pStyle w:val="Tabletext1"/>
            </w:pPr>
            <w:r w:rsidRPr="00B01A0A">
              <w:t>Cost of Ig to the States</w:t>
            </w:r>
          </w:p>
        </w:tc>
        <w:tc>
          <w:tcPr>
            <w:tcW w:w="686" w:type="pct"/>
            <w:noWrap/>
            <w:hideMark/>
          </w:tcPr>
          <w:p w14:paraId="3DB93C92" w14:textId="77777777" w:rsidR="00911F85" w:rsidRPr="00B01A0A" w:rsidRDefault="00911F85" w:rsidP="008742A1">
            <w:pPr>
              <w:pStyle w:val="Tabletext1"/>
              <w:jc w:val="right"/>
            </w:pPr>
            <w:r w:rsidRPr="003F17B3">
              <w:t>$36,310,464</w:t>
            </w:r>
          </w:p>
        </w:tc>
        <w:tc>
          <w:tcPr>
            <w:tcW w:w="686" w:type="pct"/>
            <w:noWrap/>
            <w:hideMark/>
          </w:tcPr>
          <w:p w14:paraId="065591BF" w14:textId="77777777" w:rsidR="00911F85" w:rsidRPr="00B01A0A" w:rsidRDefault="00911F85" w:rsidP="008742A1">
            <w:pPr>
              <w:pStyle w:val="Tabletext1"/>
              <w:jc w:val="right"/>
            </w:pPr>
            <w:r w:rsidRPr="003F17B3">
              <w:t>$39,090,962</w:t>
            </w:r>
          </w:p>
        </w:tc>
        <w:tc>
          <w:tcPr>
            <w:tcW w:w="686" w:type="pct"/>
            <w:noWrap/>
            <w:hideMark/>
          </w:tcPr>
          <w:p w14:paraId="1BC504A9" w14:textId="77777777" w:rsidR="00911F85" w:rsidRPr="00B01A0A" w:rsidRDefault="00911F85" w:rsidP="008742A1">
            <w:pPr>
              <w:pStyle w:val="Tabletext1"/>
              <w:jc w:val="right"/>
            </w:pPr>
            <w:r w:rsidRPr="003F17B3">
              <w:t>$41,871,460</w:t>
            </w:r>
          </w:p>
        </w:tc>
        <w:tc>
          <w:tcPr>
            <w:tcW w:w="686" w:type="pct"/>
            <w:noWrap/>
            <w:hideMark/>
          </w:tcPr>
          <w:p w14:paraId="70508AAD" w14:textId="77777777" w:rsidR="00911F85" w:rsidRPr="00B01A0A" w:rsidRDefault="00911F85" w:rsidP="008742A1">
            <w:pPr>
              <w:pStyle w:val="Tabletext1"/>
              <w:jc w:val="right"/>
            </w:pPr>
            <w:r w:rsidRPr="003F17B3">
              <w:t>$44,651,957</w:t>
            </w:r>
          </w:p>
        </w:tc>
        <w:tc>
          <w:tcPr>
            <w:tcW w:w="687" w:type="pct"/>
            <w:noWrap/>
            <w:hideMark/>
          </w:tcPr>
          <w:p w14:paraId="5CE51365" w14:textId="77777777" w:rsidR="00911F85" w:rsidRPr="00B01A0A" w:rsidRDefault="00911F85" w:rsidP="008742A1">
            <w:pPr>
              <w:pStyle w:val="Tabletext1"/>
              <w:jc w:val="right"/>
            </w:pPr>
            <w:r w:rsidRPr="003F17B3">
              <w:t>$47,432,455</w:t>
            </w:r>
          </w:p>
        </w:tc>
      </w:tr>
    </w:tbl>
    <w:p w14:paraId="5973D49C" w14:textId="77777777" w:rsidR="00911F85" w:rsidRDefault="00911F85" w:rsidP="00911F85">
      <w:pPr>
        <w:pStyle w:val="Tablenotes1"/>
      </w:pPr>
      <w:r>
        <w:t>CLL = chronic lymphocytic lymphoma; HM = haematological malignancies; HSCT = haemopoietic stem cell transplantation; Ig = immunoglobulin; MM = multiple myeloma; NHL = non-Hodgkin’s lymphoma.</w:t>
      </w:r>
    </w:p>
    <w:p w14:paraId="4BB04481" w14:textId="77777777" w:rsidR="00911F85" w:rsidRDefault="00911F85" w:rsidP="00911F85">
      <w:pPr>
        <w:pStyle w:val="Tablenotes1"/>
      </w:pPr>
      <w:r w:rsidRPr="00E73AC6">
        <w:rPr>
          <w:vertAlign w:val="superscript"/>
        </w:rPr>
        <w:t>a</w:t>
      </w:r>
      <w:r>
        <w:t xml:space="preserve"> Under </w:t>
      </w:r>
      <w:r w:rsidRPr="00E73AC6">
        <w:t>the National Blood Agreement</w:t>
      </w:r>
      <w:r>
        <w:t xml:space="preserve">, products are funded </w:t>
      </w:r>
      <w:r w:rsidRPr="00E73AC6">
        <w:t>63% by the Commonwealth and 37% by the states and territories.</w:t>
      </w:r>
    </w:p>
    <w:p w14:paraId="4440EEEA" w14:textId="77777777" w:rsidR="00911F85" w:rsidRPr="007D0A00" w:rsidRDefault="00911F85" w:rsidP="00911F85"/>
    <w:p w14:paraId="0A1A6FFC" w14:textId="77777777" w:rsidR="00911F85" w:rsidRPr="00183E4D" w:rsidRDefault="00911F85" w:rsidP="00331FB9">
      <w:pPr>
        <w:pStyle w:val="Heading2"/>
        <w:numPr>
          <w:ilvl w:val="4"/>
          <w:numId w:val="10"/>
        </w:numPr>
      </w:pPr>
      <w:bookmarkStart w:id="646" w:name="_Toc14431178"/>
      <w:bookmarkStart w:id="647" w:name="_Toc16856354"/>
      <w:r>
        <w:lastRenderedPageBreak/>
        <w:t>Changes in use and c</w:t>
      </w:r>
      <w:r w:rsidRPr="00183E4D">
        <w:t>ost of</w:t>
      </w:r>
      <w:bookmarkEnd w:id="354"/>
      <w:bookmarkEnd w:id="355"/>
      <w:r>
        <w:t xml:space="preserve"> other medical services</w:t>
      </w:r>
      <w:bookmarkEnd w:id="356"/>
      <w:bookmarkEnd w:id="646"/>
      <w:bookmarkEnd w:id="647"/>
      <w:r>
        <w:t xml:space="preserve"> </w:t>
      </w:r>
    </w:p>
    <w:p w14:paraId="3346DC62" w14:textId="77777777" w:rsidR="00911F85" w:rsidRDefault="00911F85" w:rsidP="00911F85">
      <w:pPr>
        <w:pStyle w:val="Heading4"/>
      </w:pPr>
      <w:bookmarkStart w:id="648" w:name="_Toc379118302"/>
      <w:r>
        <w:t>Additional costs due to Ig administration</w:t>
      </w:r>
    </w:p>
    <w:p w14:paraId="40815A2B" w14:textId="0BCE729B" w:rsidR="00911F85" w:rsidRDefault="00911F85" w:rsidP="00911F85">
      <w:r>
        <w:t xml:space="preserve">The majority of patients who currently receive Ig for acquired hypogammaglobulinaemia do so by intravenous infusion. The average number of treatment episodes per year has been derived from data provided by the </w:t>
      </w:r>
      <w:r w:rsidR="00D51F34">
        <w:t>NBA</w:t>
      </w:r>
      <w:r>
        <w:t xml:space="preserve"> (</w:t>
      </w:r>
      <w:r>
        <w:fldChar w:fldCharType="begin"/>
      </w:r>
      <w:r>
        <w:instrText xml:space="preserve"> REF _Ref14263806 \h </w:instrText>
      </w:r>
      <w:r>
        <w:fldChar w:fldCharType="separate"/>
      </w:r>
      <w:r w:rsidR="00A7463B">
        <w:t xml:space="preserve">Table </w:t>
      </w:r>
      <w:r w:rsidR="00A7463B">
        <w:rPr>
          <w:noProof/>
        </w:rPr>
        <w:t>70</w:t>
      </w:r>
      <w:r>
        <w:fldChar w:fldCharType="end"/>
      </w:r>
      <w:r>
        <w:t xml:space="preserve">). These have been used to approximate the average number of IV infusions per year to estimate the additional cost associated with Ig administration. </w:t>
      </w:r>
    </w:p>
    <w:p w14:paraId="3D6CF0CC" w14:textId="632501B0" w:rsidR="00911F85" w:rsidRDefault="00911F85" w:rsidP="00911F85">
      <w:pPr>
        <w:pStyle w:val="Caption"/>
        <w:keepNext/>
      </w:pPr>
      <w:bookmarkStart w:id="649" w:name="_Ref14263806"/>
      <w:bookmarkStart w:id="650" w:name="_Toc14348904"/>
      <w:bookmarkStart w:id="651" w:name="_Toc14429610"/>
      <w:bookmarkStart w:id="652" w:name="_Toc16671668"/>
      <w:r>
        <w:t xml:space="preserve">Table </w:t>
      </w:r>
      <w:r>
        <w:rPr>
          <w:noProof/>
        </w:rPr>
        <w:fldChar w:fldCharType="begin"/>
      </w:r>
      <w:r>
        <w:rPr>
          <w:noProof/>
        </w:rPr>
        <w:instrText xml:space="preserve"> SEQ Table \* ARABIC </w:instrText>
      </w:r>
      <w:r>
        <w:rPr>
          <w:noProof/>
        </w:rPr>
        <w:fldChar w:fldCharType="separate"/>
      </w:r>
      <w:r w:rsidR="00A7463B">
        <w:rPr>
          <w:noProof/>
        </w:rPr>
        <w:t>70</w:t>
      </w:r>
      <w:r>
        <w:rPr>
          <w:noProof/>
        </w:rPr>
        <w:fldChar w:fldCharType="end"/>
      </w:r>
      <w:bookmarkEnd w:id="649"/>
      <w:r>
        <w:tab/>
        <w:t>Average number of treatment episodes per year</w:t>
      </w:r>
      <w:bookmarkEnd w:id="650"/>
      <w:bookmarkEnd w:id="651"/>
      <w:bookmarkEnd w:id="652"/>
    </w:p>
    <w:tbl>
      <w:tblPr>
        <w:tblStyle w:val="TableGrid1"/>
        <w:tblW w:w="5000" w:type="pct"/>
        <w:tblLook w:val="04A0" w:firstRow="1" w:lastRow="0" w:firstColumn="1" w:lastColumn="0" w:noHBand="0" w:noVBand="1"/>
        <w:tblCaption w:val="Average number of treatment episodes per year"/>
      </w:tblPr>
      <w:tblGrid>
        <w:gridCol w:w="3482"/>
        <w:gridCol w:w="5760"/>
      </w:tblGrid>
      <w:tr w:rsidR="00911F85" w:rsidRPr="004F159E" w14:paraId="72336CA2" w14:textId="77777777" w:rsidTr="008742A1">
        <w:trPr>
          <w:cnfStyle w:val="100000000000" w:firstRow="1" w:lastRow="0" w:firstColumn="0" w:lastColumn="0" w:oddVBand="0" w:evenVBand="0" w:oddHBand="0" w:evenHBand="0" w:firstRowFirstColumn="0" w:firstRowLastColumn="0" w:lastRowFirstColumn="0" w:lastRowLastColumn="0"/>
          <w:cantSplit/>
          <w:trHeight w:val="300"/>
          <w:tblHeader/>
        </w:trPr>
        <w:tc>
          <w:tcPr>
            <w:tcW w:w="1884" w:type="pct"/>
          </w:tcPr>
          <w:p w14:paraId="175E9F66" w14:textId="77777777" w:rsidR="00911F85" w:rsidRPr="004F159E" w:rsidRDefault="00911F85" w:rsidP="008742A1">
            <w:pPr>
              <w:pStyle w:val="TableHeading"/>
            </w:pPr>
          </w:p>
        </w:tc>
        <w:tc>
          <w:tcPr>
            <w:tcW w:w="3116" w:type="pct"/>
          </w:tcPr>
          <w:p w14:paraId="2415C501" w14:textId="77777777" w:rsidR="00911F85" w:rsidRPr="004F159E" w:rsidRDefault="00911F85" w:rsidP="008742A1">
            <w:pPr>
              <w:pStyle w:val="TableHeading"/>
              <w:jc w:val="center"/>
            </w:pPr>
            <w:r>
              <w:t>Average number of treatment episodes per year</w:t>
            </w:r>
          </w:p>
        </w:tc>
      </w:tr>
      <w:tr w:rsidR="00911F85" w:rsidRPr="004F159E" w14:paraId="2F088E69" w14:textId="77777777" w:rsidTr="008742A1">
        <w:trPr>
          <w:cantSplit/>
          <w:trHeight w:val="300"/>
        </w:trPr>
        <w:tc>
          <w:tcPr>
            <w:tcW w:w="1884" w:type="pct"/>
          </w:tcPr>
          <w:p w14:paraId="39DB88AD" w14:textId="77777777" w:rsidR="00911F85" w:rsidRPr="004F159E" w:rsidRDefault="00911F85" w:rsidP="008742A1">
            <w:pPr>
              <w:pStyle w:val="Tabletext1"/>
              <w:rPr>
                <w:rFonts w:cs="Calibri"/>
                <w:color w:val="000000"/>
              </w:rPr>
            </w:pPr>
            <w:r w:rsidRPr="00EB2111">
              <w:t>CLL</w:t>
            </w:r>
          </w:p>
        </w:tc>
        <w:tc>
          <w:tcPr>
            <w:tcW w:w="3116" w:type="pct"/>
          </w:tcPr>
          <w:p w14:paraId="36171836" w14:textId="77777777" w:rsidR="00911F85" w:rsidRPr="005A2A6A" w:rsidRDefault="00911F85" w:rsidP="008742A1">
            <w:pPr>
              <w:pStyle w:val="Tabletext1"/>
              <w:jc w:val="center"/>
            </w:pPr>
            <w:r w:rsidRPr="005700BA">
              <w:t>10.0</w:t>
            </w:r>
          </w:p>
        </w:tc>
      </w:tr>
      <w:tr w:rsidR="00911F85" w:rsidRPr="004F159E" w14:paraId="068DD9B1" w14:textId="77777777" w:rsidTr="008742A1">
        <w:trPr>
          <w:cantSplit/>
          <w:trHeight w:val="300"/>
        </w:trPr>
        <w:tc>
          <w:tcPr>
            <w:tcW w:w="1884" w:type="pct"/>
          </w:tcPr>
          <w:p w14:paraId="764C0DDC" w14:textId="77777777" w:rsidR="00911F85" w:rsidRPr="004F159E" w:rsidRDefault="00911F85" w:rsidP="008742A1">
            <w:pPr>
              <w:pStyle w:val="Tabletext1"/>
              <w:rPr>
                <w:rFonts w:cs="Calibri"/>
                <w:color w:val="000000"/>
              </w:rPr>
            </w:pPr>
            <w:r w:rsidRPr="00EB2111">
              <w:t>MM</w:t>
            </w:r>
          </w:p>
        </w:tc>
        <w:tc>
          <w:tcPr>
            <w:tcW w:w="3116" w:type="pct"/>
          </w:tcPr>
          <w:p w14:paraId="5EBCA835" w14:textId="77777777" w:rsidR="00911F85" w:rsidRPr="005A2A6A" w:rsidRDefault="00911F85" w:rsidP="008742A1">
            <w:pPr>
              <w:pStyle w:val="Tabletext1"/>
              <w:jc w:val="center"/>
            </w:pPr>
            <w:r w:rsidRPr="005700BA">
              <w:t>9.1</w:t>
            </w:r>
          </w:p>
        </w:tc>
      </w:tr>
      <w:tr w:rsidR="00911F85" w:rsidRPr="004F159E" w14:paraId="02E0ACEB" w14:textId="77777777" w:rsidTr="008742A1">
        <w:trPr>
          <w:cantSplit/>
          <w:trHeight w:val="300"/>
        </w:trPr>
        <w:tc>
          <w:tcPr>
            <w:tcW w:w="1884" w:type="pct"/>
          </w:tcPr>
          <w:p w14:paraId="0AE50603" w14:textId="77777777" w:rsidR="00911F85" w:rsidRPr="004F159E" w:rsidRDefault="00911F85" w:rsidP="008742A1">
            <w:pPr>
              <w:pStyle w:val="Tabletext1"/>
              <w:rPr>
                <w:rFonts w:cs="Calibri"/>
                <w:color w:val="000000"/>
              </w:rPr>
            </w:pPr>
            <w:r w:rsidRPr="00EB2111">
              <w:t>NHL</w:t>
            </w:r>
          </w:p>
        </w:tc>
        <w:tc>
          <w:tcPr>
            <w:tcW w:w="3116" w:type="pct"/>
          </w:tcPr>
          <w:p w14:paraId="0F246919" w14:textId="77777777" w:rsidR="00911F85" w:rsidRPr="005A2A6A" w:rsidRDefault="00911F85" w:rsidP="008742A1">
            <w:pPr>
              <w:pStyle w:val="Tabletext1"/>
              <w:jc w:val="center"/>
            </w:pPr>
            <w:r w:rsidRPr="005700BA">
              <w:t>10.1</w:t>
            </w:r>
          </w:p>
        </w:tc>
      </w:tr>
      <w:tr w:rsidR="00911F85" w:rsidRPr="004F159E" w14:paraId="25CA4A2E" w14:textId="77777777" w:rsidTr="008742A1">
        <w:trPr>
          <w:cantSplit/>
          <w:trHeight w:val="300"/>
        </w:trPr>
        <w:tc>
          <w:tcPr>
            <w:tcW w:w="1884" w:type="pct"/>
          </w:tcPr>
          <w:p w14:paraId="005655C4" w14:textId="77777777" w:rsidR="00911F85" w:rsidRPr="004F159E" w:rsidRDefault="00911F85" w:rsidP="008742A1">
            <w:pPr>
              <w:pStyle w:val="Tabletext1"/>
              <w:rPr>
                <w:rFonts w:cs="Calibri"/>
                <w:color w:val="000000"/>
              </w:rPr>
            </w:pPr>
            <w:r w:rsidRPr="00EB2111">
              <w:t>Post HSCT</w:t>
            </w:r>
          </w:p>
        </w:tc>
        <w:tc>
          <w:tcPr>
            <w:tcW w:w="3116" w:type="pct"/>
          </w:tcPr>
          <w:p w14:paraId="0B2501FF" w14:textId="77777777" w:rsidR="00911F85" w:rsidRPr="005A2A6A" w:rsidRDefault="00911F85" w:rsidP="008742A1">
            <w:pPr>
              <w:pStyle w:val="Tabletext1"/>
              <w:jc w:val="center"/>
            </w:pPr>
            <w:r w:rsidRPr="005700BA">
              <w:t>7.6</w:t>
            </w:r>
          </w:p>
        </w:tc>
      </w:tr>
      <w:tr w:rsidR="00911F85" w:rsidRPr="004F159E" w14:paraId="2214067B" w14:textId="77777777" w:rsidTr="008742A1">
        <w:trPr>
          <w:cantSplit/>
          <w:trHeight w:val="300"/>
        </w:trPr>
        <w:tc>
          <w:tcPr>
            <w:tcW w:w="1884" w:type="pct"/>
          </w:tcPr>
          <w:p w14:paraId="5C8C994A" w14:textId="77777777" w:rsidR="00911F85" w:rsidRPr="00EB2111" w:rsidRDefault="00911F85" w:rsidP="008742A1">
            <w:pPr>
              <w:pStyle w:val="Tabletext1"/>
            </w:pPr>
            <w:r>
              <w:t>Acute leukaemia</w:t>
            </w:r>
          </w:p>
        </w:tc>
        <w:tc>
          <w:tcPr>
            <w:tcW w:w="3116" w:type="pct"/>
          </w:tcPr>
          <w:p w14:paraId="18E19B6B" w14:textId="77777777" w:rsidR="00911F85" w:rsidRPr="00901265" w:rsidRDefault="00911F85" w:rsidP="008742A1">
            <w:pPr>
              <w:pStyle w:val="Tabletext1"/>
              <w:jc w:val="center"/>
            </w:pPr>
            <w:r w:rsidRPr="005700BA">
              <w:t>7.1</w:t>
            </w:r>
          </w:p>
        </w:tc>
      </w:tr>
      <w:tr w:rsidR="00911F85" w:rsidRPr="004F159E" w14:paraId="59699F28" w14:textId="77777777" w:rsidTr="008742A1">
        <w:trPr>
          <w:cantSplit/>
          <w:trHeight w:val="300"/>
        </w:trPr>
        <w:tc>
          <w:tcPr>
            <w:tcW w:w="1884" w:type="pct"/>
          </w:tcPr>
          <w:p w14:paraId="75494F68" w14:textId="77777777" w:rsidR="00911F85" w:rsidRPr="00EB2111" w:rsidRDefault="00911F85" w:rsidP="008742A1">
            <w:pPr>
              <w:pStyle w:val="Tabletext1"/>
            </w:pPr>
            <w:r>
              <w:t>Other HM</w:t>
            </w:r>
          </w:p>
        </w:tc>
        <w:tc>
          <w:tcPr>
            <w:tcW w:w="3116" w:type="pct"/>
          </w:tcPr>
          <w:p w14:paraId="187847DD" w14:textId="77777777" w:rsidR="00911F85" w:rsidRPr="00901265" w:rsidRDefault="00911F85" w:rsidP="008742A1">
            <w:pPr>
              <w:pStyle w:val="Tabletext1"/>
              <w:jc w:val="center"/>
            </w:pPr>
            <w:r w:rsidRPr="005700BA">
              <w:t>8.4</w:t>
            </w:r>
          </w:p>
        </w:tc>
      </w:tr>
    </w:tbl>
    <w:p w14:paraId="440BB260" w14:textId="77777777" w:rsidR="00911F85" w:rsidRDefault="00911F85" w:rsidP="00911F85">
      <w:pPr>
        <w:pStyle w:val="Tablenotes1"/>
      </w:pPr>
      <w:r>
        <w:t>CLL = chronic lymphocytic lymphoma; HM = haematological malignancies; HSCT = haemopoietic stem cell transplantation; Ig = immunoglobulin; MM = multiple myeloma; NHL = non-Hodgkin’s lymphoma.</w:t>
      </w:r>
    </w:p>
    <w:p w14:paraId="0FC6D57C" w14:textId="77777777" w:rsidR="00911F85" w:rsidRDefault="00911F85" w:rsidP="00911F85">
      <w:pPr>
        <w:pStyle w:val="Tablenotes1"/>
      </w:pPr>
      <w:r>
        <w:t>Source: ‘Ig use’ worksheet in ‘1565 Financials.xlsx’ workbook.</w:t>
      </w:r>
    </w:p>
    <w:p w14:paraId="59F8A9E5" w14:textId="4D08025B" w:rsidR="00911F85" w:rsidRDefault="00911F85" w:rsidP="00911F85">
      <w:r>
        <w:t xml:space="preserve">The total number of administrations per year are estimated </w:t>
      </w:r>
      <w:r w:rsidR="00D51F34">
        <w:t xml:space="preserve">within each indication </w:t>
      </w:r>
      <w:r>
        <w:t xml:space="preserve">by multiplying the number of patients per year by the </w:t>
      </w:r>
      <w:r w:rsidR="00D51F34">
        <w:t xml:space="preserve">average </w:t>
      </w:r>
      <w:r>
        <w:t xml:space="preserve">number of treatment episodes </w:t>
      </w:r>
      <w:r w:rsidR="004F0E86">
        <w:t>per patient</w:t>
      </w:r>
      <w:r>
        <w:t>. The estimated cost per infusion is $253.42, as per Section D.4.2. The estimated additional costs due to administration increase from $15.4 million in 2019-20 to $19.3 million in 2023-24. Administration costs are all assumed to be incurred by the States.</w:t>
      </w:r>
    </w:p>
    <w:p w14:paraId="339AAAB5" w14:textId="1DBEA6E3" w:rsidR="00911F85" w:rsidRDefault="00911F85" w:rsidP="00911F85">
      <w:pPr>
        <w:pStyle w:val="Caption"/>
        <w:keepNext/>
      </w:pPr>
      <w:bookmarkStart w:id="653" w:name="_Toc14348905"/>
      <w:bookmarkStart w:id="654" w:name="_Toc14429611"/>
      <w:bookmarkStart w:id="655" w:name="_Toc16671669"/>
      <w:r>
        <w:t xml:space="preserve">Table </w:t>
      </w:r>
      <w:r>
        <w:rPr>
          <w:noProof/>
        </w:rPr>
        <w:fldChar w:fldCharType="begin"/>
      </w:r>
      <w:r>
        <w:rPr>
          <w:noProof/>
        </w:rPr>
        <w:instrText xml:space="preserve"> SEQ Table \* ARABIC </w:instrText>
      </w:r>
      <w:r>
        <w:rPr>
          <w:noProof/>
        </w:rPr>
        <w:fldChar w:fldCharType="separate"/>
      </w:r>
      <w:r w:rsidR="00A7463B">
        <w:rPr>
          <w:noProof/>
        </w:rPr>
        <w:t>71</w:t>
      </w:r>
      <w:r>
        <w:rPr>
          <w:noProof/>
        </w:rPr>
        <w:fldChar w:fldCharType="end"/>
      </w:r>
      <w:r>
        <w:tab/>
        <w:t>Additional costs due to Ig administration</w:t>
      </w:r>
      <w:bookmarkEnd w:id="653"/>
      <w:bookmarkEnd w:id="654"/>
      <w:bookmarkEnd w:id="655"/>
    </w:p>
    <w:tbl>
      <w:tblPr>
        <w:tblStyle w:val="TableGrid1"/>
        <w:tblW w:w="5000" w:type="pct"/>
        <w:tblLayout w:type="fixed"/>
        <w:tblLook w:val="04A0" w:firstRow="1" w:lastRow="0" w:firstColumn="1" w:lastColumn="0" w:noHBand="0" w:noVBand="1"/>
        <w:tblCaption w:val="Additional costs due to Ig administration"/>
      </w:tblPr>
      <w:tblGrid>
        <w:gridCol w:w="2900"/>
        <w:gridCol w:w="1268"/>
        <w:gridCol w:w="1268"/>
        <w:gridCol w:w="1268"/>
        <w:gridCol w:w="1268"/>
        <w:gridCol w:w="1270"/>
      </w:tblGrid>
      <w:tr w:rsidR="00911F85" w:rsidRPr="002C55F2" w14:paraId="75E2AE6D" w14:textId="77777777" w:rsidTr="008742A1">
        <w:trPr>
          <w:cnfStyle w:val="100000000000" w:firstRow="1" w:lastRow="0" w:firstColumn="0" w:lastColumn="0" w:oddVBand="0" w:evenVBand="0" w:oddHBand="0" w:evenHBand="0" w:firstRowFirstColumn="0" w:firstRowLastColumn="0" w:lastRowFirstColumn="0" w:lastRowLastColumn="0"/>
          <w:cantSplit/>
          <w:trHeight w:val="300"/>
          <w:tblHeader/>
        </w:trPr>
        <w:tc>
          <w:tcPr>
            <w:tcW w:w="1569" w:type="pct"/>
            <w:noWrap/>
          </w:tcPr>
          <w:p w14:paraId="4F93A68A" w14:textId="77777777" w:rsidR="00911F85" w:rsidRPr="002C55F2" w:rsidRDefault="00911F85" w:rsidP="008742A1">
            <w:pPr>
              <w:pStyle w:val="TableHeading"/>
              <w:jc w:val="center"/>
            </w:pPr>
          </w:p>
        </w:tc>
        <w:tc>
          <w:tcPr>
            <w:tcW w:w="686" w:type="pct"/>
            <w:noWrap/>
          </w:tcPr>
          <w:p w14:paraId="6E68CC3B" w14:textId="77777777" w:rsidR="00911F85" w:rsidRPr="002C55F2" w:rsidRDefault="00911F85" w:rsidP="008742A1">
            <w:pPr>
              <w:pStyle w:val="TableHeading"/>
              <w:jc w:val="center"/>
            </w:pPr>
            <w:r w:rsidRPr="004B58C2">
              <w:t>2019-20</w:t>
            </w:r>
          </w:p>
        </w:tc>
        <w:tc>
          <w:tcPr>
            <w:tcW w:w="686" w:type="pct"/>
            <w:noWrap/>
          </w:tcPr>
          <w:p w14:paraId="456FD3F1" w14:textId="77777777" w:rsidR="00911F85" w:rsidRPr="002C55F2" w:rsidRDefault="00911F85" w:rsidP="008742A1">
            <w:pPr>
              <w:pStyle w:val="TableHeading"/>
              <w:jc w:val="center"/>
            </w:pPr>
            <w:r w:rsidRPr="004B58C2">
              <w:t>2020-21</w:t>
            </w:r>
          </w:p>
        </w:tc>
        <w:tc>
          <w:tcPr>
            <w:tcW w:w="686" w:type="pct"/>
            <w:noWrap/>
          </w:tcPr>
          <w:p w14:paraId="6E229C97" w14:textId="77777777" w:rsidR="00911F85" w:rsidRPr="002C55F2" w:rsidRDefault="00911F85" w:rsidP="008742A1">
            <w:pPr>
              <w:pStyle w:val="TableHeading"/>
              <w:jc w:val="center"/>
              <w:rPr>
                <w:rFonts w:ascii="Times New Roman" w:hAnsi="Times New Roman" w:cs="Times New Roman"/>
              </w:rPr>
            </w:pPr>
            <w:r w:rsidRPr="004B58C2">
              <w:t>2021-22</w:t>
            </w:r>
          </w:p>
        </w:tc>
        <w:tc>
          <w:tcPr>
            <w:tcW w:w="686" w:type="pct"/>
            <w:noWrap/>
          </w:tcPr>
          <w:p w14:paraId="40DE371B" w14:textId="77777777" w:rsidR="00911F85" w:rsidRPr="002C55F2" w:rsidRDefault="00911F85" w:rsidP="008742A1">
            <w:pPr>
              <w:pStyle w:val="TableHeading"/>
              <w:jc w:val="center"/>
              <w:rPr>
                <w:rFonts w:ascii="Times New Roman" w:hAnsi="Times New Roman" w:cs="Times New Roman"/>
              </w:rPr>
            </w:pPr>
            <w:r w:rsidRPr="004B58C2">
              <w:t>2022-23</w:t>
            </w:r>
          </w:p>
        </w:tc>
        <w:tc>
          <w:tcPr>
            <w:tcW w:w="687" w:type="pct"/>
            <w:noWrap/>
          </w:tcPr>
          <w:p w14:paraId="27F4D02A" w14:textId="77777777" w:rsidR="00911F85" w:rsidRPr="002C55F2" w:rsidRDefault="00911F85" w:rsidP="008742A1">
            <w:pPr>
              <w:pStyle w:val="TableHeading"/>
              <w:jc w:val="center"/>
              <w:rPr>
                <w:rFonts w:ascii="Times New Roman" w:hAnsi="Times New Roman" w:cs="Times New Roman"/>
              </w:rPr>
            </w:pPr>
            <w:r w:rsidRPr="004B58C2">
              <w:t>2023-24</w:t>
            </w:r>
          </w:p>
        </w:tc>
      </w:tr>
      <w:tr w:rsidR="00911F85" w:rsidRPr="002C55F2" w14:paraId="38DEE435" w14:textId="77777777" w:rsidTr="008742A1">
        <w:trPr>
          <w:trHeight w:val="300"/>
        </w:trPr>
        <w:tc>
          <w:tcPr>
            <w:tcW w:w="1569" w:type="pct"/>
            <w:noWrap/>
            <w:hideMark/>
          </w:tcPr>
          <w:p w14:paraId="144A7D44" w14:textId="77777777" w:rsidR="00911F85" w:rsidRPr="002C55F2" w:rsidRDefault="00911F85" w:rsidP="008742A1">
            <w:pPr>
              <w:pStyle w:val="Tabletext1"/>
            </w:pPr>
            <w:r w:rsidRPr="00844B1A">
              <w:t>Number of infusions per year</w:t>
            </w:r>
          </w:p>
        </w:tc>
        <w:tc>
          <w:tcPr>
            <w:tcW w:w="686" w:type="pct"/>
            <w:noWrap/>
            <w:hideMark/>
          </w:tcPr>
          <w:p w14:paraId="08B46250" w14:textId="77777777" w:rsidR="00911F85" w:rsidRPr="002C55F2" w:rsidRDefault="00911F85" w:rsidP="008742A1">
            <w:pPr>
              <w:pStyle w:val="Tabletext1"/>
              <w:jc w:val="right"/>
            </w:pPr>
            <w:r w:rsidRPr="00844B1A">
              <w:t>60,876</w:t>
            </w:r>
          </w:p>
        </w:tc>
        <w:tc>
          <w:tcPr>
            <w:tcW w:w="686" w:type="pct"/>
            <w:noWrap/>
            <w:hideMark/>
          </w:tcPr>
          <w:p w14:paraId="0B2C4AEB" w14:textId="77777777" w:rsidR="00911F85" w:rsidRPr="002C55F2" w:rsidRDefault="00911F85" w:rsidP="008742A1">
            <w:pPr>
              <w:pStyle w:val="Tabletext1"/>
              <w:jc w:val="right"/>
            </w:pPr>
            <w:r w:rsidRPr="00844B1A">
              <w:t>64,694</w:t>
            </w:r>
          </w:p>
        </w:tc>
        <w:tc>
          <w:tcPr>
            <w:tcW w:w="686" w:type="pct"/>
            <w:noWrap/>
            <w:hideMark/>
          </w:tcPr>
          <w:p w14:paraId="3D42C129" w14:textId="77777777" w:rsidR="00911F85" w:rsidRPr="002C55F2" w:rsidRDefault="00911F85" w:rsidP="008742A1">
            <w:pPr>
              <w:pStyle w:val="Tabletext1"/>
              <w:jc w:val="right"/>
            </w:pPr>
            <w:r w:rsidRPr="00844B1A">
              <w:t>68,513</w:t>
            </w:r>
          </w:p>
        </w:tc>
        <w:tc>
          <w:tcPr>
            <w:tcW w:w="686" w:type="pct"/>
            <w:noWrap/>
            <w:hideMark/>
          </w:tcPr>
          <w:p w14:paraId="44F906AE" w14:textId="77777777" w:rsidR="00911F85" w:rsidRPr="002C55F2" w:rsidRDefault="00911F85" w:rsidP="008742A1">
            <w:pPr>
              <w:pStyle w:val="Tabletext1"/>
              <w:jc w:val="right"/>
            </w:pPr>
            <w:r w:rsidRPr="00844B1A">
              <w:t>72,331</w:t>
            </w:r>
          </w:p>
        </w:tc>
        <w:tc>
          <w:tcPr>
            <w:tcW w:w="687" w:type="pct"/>
            <w:noWrap/>
            <w:hideMark/>
          </w:tcPr>
          <w:p w14:paraId="20821150" w14:textId="77777777" w:rsidR="00911F85" w:rsidRPr="002C55F2" w:rsidRDefault="00911F85" w:rsidP="008742A1">
            <w:pPr>
              <w:pStyle w:val="Tabletext1"/>
              <w:jc w:val="right"/>
            </w:pPr>
            <w:r w:rsidRPr="00844B1A">
              <w:t>76,149</w:t>
            </w:r>
          </w:p>
        </w:tc>
      </w:tr>
      <w:tr w:rsidR="00911F85" w:rsidRPr="002C55F2" w14:paraId="420BEDD4" w14:textId="77777777" w:rsidTr="008742A1">
        <w:trPr>
          <w:trHeight w:val="300"/>
        </w:trPr>
        <w:tc>
          <w:tcPr>
            <w:tcW w:w="1569" w:type="pct"/>
            <w:noWrap/>
            <w:hideMark/>
          </w:tcPr>
          <w:p w14:paraId="59E59D4B" w14:textId="77777777" w:rsidR="00911F85" w:rsidRPr="002C55F2" w:rsidRDefault="00911F85" w:rsidP="008742A1">
            <w:pPr>
              <w:pStyle w:val="Tabletext1"/>
            </w:pPr>
            <w:r w:rsidRPr="00844B1A">
              <w:t>Cost per administration</w:t>
            </w:r>
          </w:p>
        </w:tc>
        <w:tc>
          <w:tcPr>
            <w:tcW w:w="686" w:type="pct"/>
            <w:noWrap/>
            <w:hideMark/>
          </w:tcPr>
          <w:p w14:paraId="58D0307E" w14:textId="77777777" w:rsidR="00911F85" w:rsidRPr="002C55F2" w:rsidRDefault="00911F85" w:rsidP="008742A1">
            <w:pPr>
              <w:pStyle w:val="Tabletext1"/>
              <w:jc w:val="right"/>
            </w:pPr>
            <w:r w:rsidRPr="00844B1A">
              <w:t>$253.42</w:t>
            </w:r>
          </w:p>
        </w:tc>
        <w:tc>
          <w:tcPr>
            <w:tcW w:w="686" w:type="pct"/>
            <w:noWrap/>
            <w:hideMark/>
          </w:tcPr>
          <w:p w14:paraId="45E14157" w14:textId="77777777" w:rsidR="00911F85" w:rsidRPr="002C55F2" w:rsidRDefault="00911F85" w:rsidP="008742A1">
            <w:pPr>
              <w:pStyle w:val="Tabletext1"/>
              <w:jc w:val="right"/>
            </w:pPr>
          </w:p>
        </w:tc>
        <w:tc>
          <w:tcPr>
            <w:tcW w:w="686" w:type="pct"/>
            <w:noWrap/>
            <w:hideMark/>
          </w:tcPr>
          <w:p w14:paraId="6D949233" w14:textId="77777777" w:rsidR="00911F85" w:rsidRPr="002C55F2" w:rsidRDefault="00911F85" w:rsidP="008742A1">
            <w:pPr>
              <w:pStyle w:val="Tabletext1"/>
              <w:jc w:val="right"/>
            </w:pPr>
          </w:p>
        </w:tc>
        <w:tc>
          <w:tcPr>
            <w:tcW w:w="686" w:type="pct"/>
            <w:noWrap/>
            <w:hideMark/>
          </w:tcPr>
          <w:p w14:paraId="77B9A86F" w14:textId="77777777" w:rsidR="00911F85" w:rsidRPr="002C55F2" w:rsidRDefault="00911F85" w:rsidP="008742A1">
            <w:pPr>
              <w:pStyle w:val="Tabletext1"/>
              <w:jc w:val="right"/>
            </w:pPr>
          </w:p>
        </w:tc>
        <w:tc>
          <w:tcPr>
            <w:tcW w:w="687" w:type="pct"/>
            <w:noWrap/>
            <w:hideMark/>
          </w:tcPr>
          <w:p w14:paraId="287F988C" w14:textId="77777777" w:rsidR="00911F85" w:rsidRPr="002C55F2" w:rsidRDefault="00911F85" w:rsidP="008742A1">
            <w:pPr>
              <w:pStyle w:val="Tabletext1"/>
              <w:jc w:val="right"/>
            </w:pPr>
          </w:p>
        </w:tc>
      </w:tr>
      <w:tr w:rsidR="00911F85" w:rsidRPr="002C55F2" w14:paraId="3423E897" w14:textId="77777777" w:rsidTr="008742A1">
        <w:trPr>
          <w:trHeight w:val="300"/>
        </w:trPr>
        <w:tc>
          <w:tcPr>
            <w:tcW w:w="1569" w:type="pct"/>
            <w:noWrap/>
            <w:hideMark/>
          </w:tcPr>
          <w:p w14:paraId="5EAFB5FB" w14:textId="77777777" w:rsidR="00911F85" w:rsidRPr="004146E3" w:rsidRDefault="00911F85" w:rsidP="008742A1">
            <w:pPr>
              <w:pStyle w:val="Tabletext1"/>
              <w:rPr>
                <w:b/>
              </w:rPr>
            </w:pPr>
            <w:r w:rsidRPr="004146E3">
              <w:rPr>
                <w:b/>
              </w:rPr>
              <w:t>Cost associated with Ig due to infusion administration</w:t>
            </w:r>
          </w:p>
        </w:tc>
        <w:tc>
          <w:tcPr>
            <w:tcW w:w="686" w:type="pct"/>
            <w:noWrap/>
            <w:hideMark/>
          </w:tcPr>
          <w:p w14:paraId="15E54177" w14:textId="77777777" w:rsidR="00911F85" w:rsidRPr="004146E3" w:rsidRDefault="00911F85" w:rsidP="008742A1">
            <w:pPr>
              <w:pStyle w:val="Tabletext1"/>
              <w:jc w:val="right"/>
              <w:rPr>
                <w:b/>
              </w:rPr>
            </w:pPr>
            <w:r w:rsidRPr="004146E3">
              <w:rPr>
                <w:b/>
              </w:rPr>
              <w:t>$15,427,172</w:t>
            </w:r>
          </w:p>
        </w:tc>
        <w:tc>
          <w:tcPr>
            <w:tcW w:w="686" w:type="pct"/>
            <w:noWrap/>
            <w:hideMark/>
          </w:tcPr>
          <w:p w14:paraId="170D3F8F" w14:textId="77777777" w:rsidR="00911F85" w:rsidRPr="004146E3" w:rsidRDefault="00911F85" w:rsidP="008742A1">
            <w:pPr>
              <w:pStyle w:val="Tabletext1"/>
              <w:jc w:val="right"/>
              <w:rPr>
                <w:b/>
              </w:rPr>
            </w:pPr>
            <w:r w:rsidRPr="004146E3">
              <w:rPr>
                <w:b/>
              </w:rPr>
              <w:t>$16,394,813</w:t>
            </w:r>
          </w:p>
        </w:tc>
        <w:tc>
          <w:tcPr>
            <w:tcW w:w="686" w:type="pct"/>
            <w:noWrap/>
            <w:hideMark/>
          </w:tcPr>
          <w:p w14:paraId="724C15CE" w14:textId="77777777" w:rsidR="00911F85" w:rsidRPr="004146E3" w:rsidRDefault="00911F85" w:rsidP="008742A1">
            <w:pPr>
              <w:pStyle w:val="Tabletext1"/>
              <w:jc w:val="right"/>
              <w:rPr>
                <w:b/>
              </w:rPr>
            </w:pPr>
            <w:r w:rsidRPr="004146E3">
              <w:rPr>
                <w:b/>
              </w:rPr>
              <w:t>$17,362,453</w:t>
            </w:r>
          </w:p>
        </w:tc>
        <w:tc>
          <w:tcPr>
            <w:tcW w:w="686" w:type="pct"/>
            <w:noWrap/>
            <w:hideMark/>
          </w:tcPr>
          <w:p w14:paraId="6BED7D43" w14:textId="77777777" w:rsidR="00911F85" w:rsidRPr="004146E3" w:rsidRDefault="00911F85" w:rsidP="008742A1">
            <w:pPr>
              <w:pStyle w:val="Tabletext1"/>
              <w:jc w:val="right"/>
              <w:rPr>
                <w:b/>
              </w:rPr>
            </w:pPr>
            <w:r w:rsidRPr="004146E3">
              <w:rPr>
                <w:b/>
              </w:rPr>
              <w:t>$18,330,093</w:t>
            </w:r>
          </w:p>
        </w:tc>
        <w:tc>
          <w:tcPr>
            <w:tcW w:w="687" w:type="pct"/>
            <w:noWrap/>
            <w:hideMark/>
          </w:tcPr>
          <w:p w14:paraId="10EB763E" w14:textId="77777777" w:rsidR="00911F85" w:rsidRPr="004146E3" w:rsidRDefault="00911F85" w:rsidP="008742A1">
            <w:pPr>
              <w:pStyle w:val="Tabletext1"/>
              <w:jc w:val="right"/>
              <w:rPr>
                <w:b/>
              </w:rPr>
            </w:pPr>
            <w:r w:rsidRPr="004146E3">
              <w:rPr>
                <w:b/>
              </w:rPr>
              <w:t>$19,297,734</w:t>
            </w:r>
          </w:p>
        </w:tc>
      </w:tr>
    </w:tbl>
    <w:p w14:paraId="609EA7F2" w14:textId="77777777" w:rsidR="00911F85" w:rsidRDefault="00911F85" w:rsidP="00911F85">
      <w:pPr>
        <w:pStyle w:val="Tablenotes1"/>
      </w:pPr>
      <w:r>
        <w:t>Ig = immunoglobulin.</w:t>
      </w:r>
    </w:p>
    <w:p w14:paraId="419DC681" w14:textId="77777777" w:rsidR="00911F85" w:rsidRDefault="00911F85" w:rsidP="00911F85"/>
    <w:p w14:paraId="5CD529AA" w14:textId="77777777" w:rsidR="00911F85" w:rsidRDefault="00911F85" w:rsidP="00911F85">
      <w:pPr>
        <w:pStyle w:val="Heading4"/>
      </w:pPr>
      <w:r>
        <w:t>Changes in costs associated with Ig due to a reduction in infections</w:t>
      </w:r>
    </w:p>
    <w:p w14:paraId="78AC40B0" w14:textId="36152629" w:rsidR="00911F85" w:rsidRDefault="00911F85" w:rsidP="00911F85">
      <w:r>
        <w:t xml:space="preserve">It is unclear whether in the absence of Ig, use of prophylactic antibiotics would increase (see Section C.2.2), and so no direct cost offsets have been assumed. However the clinical evidence did support that Ig would lead to a reduction in antibiotic use and hospitalisations, due to a reduction in infections. While these are indirect cost offsets, these have been quantified in </w:t>
      </w:r>
      <w:r>
        <w:fldChar w:fldCharType="begin"/>
      </w:r>
      <w:r>
        <w:instrText xml:space="preserve"> REF _Ref13666595 \h </w:instrText>
      </w:r>
      <w:r>
        <w:fldChar w:fldCharType="separate"/>
      </w:r>
      <w:r w:rsidR="00A7463B">
        <w:t xml:space="preserve">Table </w:t>
      </w:r>
      <w:r w:rsidR="00A7463B">
        <w:rPr>
          <w:noProof/>
        </w:rPr>
        <w:t>72</w:t>
      </w:r>
      <w:r>
        <w:fldChar w:fldCharType="end"/>
      </w:r>
      <w:r>
        <w:t xml:space="preserve"> and an estimate of the net financial implications to different government budgets is presented. As per Section D.4.2, each serious infection is associated with one hospitalisation (assumed to be </w:t>
      </w:r>
      <w:r>
        <w:lastRenderedPageBreak/>
        <w:t>attributable to State budgets) and one follow-up outpatient attendance (attributable to the Commonwealth), while non-serious infections were associated with outpatient attendance(s), and depending on the severity of infection, oral antibiotics and pathology and imaging tests (all assumed to be attributable to the Commonwealth).</w:t>
      </w:r>
    </w:p>
    <w:p w14:paraId="033A894A" w14:textId="6465C89C" w:rsidR="00911F85" w:rsidRDefault="00911F85" w:rsidP="00911F85">
      <w:pPr>
        <w:pStyle w:val="Caption"/>
        <w:keepNext/>
      </w:pPr>
      <w:bookmarkStart w:id="656" w:name="_Ref13666595"/>
      <w:bookmarkStart w:id="657" w:name="_Toc14348906"/>
      <w:bookmarkStart w:id="658" w:name="_Toc14429612"/>
      <w:bookmarkStart w:id="659" w:name="_Toc16671670"/>
      <w:r>
        <w:t xml:space="preserve">Table </w:t>
      </w:r>
      <w:r>
        <w:rPr>
          <w:noProof/>
        </w:rPr>
        <w:fldChar w:fldCharType="begin"/>
      </w:r>
      <w:r>
        <w:rPr>
          <w:noProof/>
        </w:rPr>
        <w:instrText xml:space="preserve"> SEQ Table \* ARABIC </w:instrText>
      </w:r>
      <w:r>
        <w:rPr>
          <w:noProof/>
        </w:rPr>
        <w:fldChar w:fldCharType="separate"/>
      </w:r>
      <w:r w:rsidR="00A7463B">
        <w:rPr>
          <w:noProof/>
        </w:rPr>
        <w:t>72</w:t>
      </w:r>
      <w:r>
        <w:rPr>
          <w:noProof/>
        </w:rPr>
        <w:fldChar w:fldCharType="end"/>
      </w:r>
      <w:bookmarkEnd w:id="656"/>
      <w:r>
        <w:tab/>
        <w:t>Cost offsets associated with Ig use due to a reduction in infections</w:t>
      </w:r>
      <w:bookmarkEnd w:id="657"/>
      <w:bookmarkEnd w:id="658"/>
      <w:bookmarkEnd w:id="659"/>
    </w:p>
    <w:tbl>
      <w:tblPr>
        <w:tblStyle w:val="TableGrid1"/>
        <w:tblW w:w="5000" w:type="pct"/>
        <w:tblLayout w:type="fixed"/>
        <w:tblLook w:val="04A0" w:firstRow="1" w:lastRow="0" w:firstColumn="1" w:lastColumn="0" w:noHBand="0" w:noVBand="1"/>
        <w:tblCaption w:val="Cost offsets due to a reduction in infections"/>
      </w:tblPr>
      <w:tblGrid>
        <w:gridCol w:w="2900"/>
        <w:gridCol w:w="1268"/>
        <w:gridCol w:w="1268"/>
        <w:gridCol w:w="1268"/>
        <w:gridCol w:w="1268"/>
        <w:gridCol w:w="1270"/>
      </w:tblGrid>
      <w:tr w:rsidR="00911F85" w:rsidRPr="002C55F2" w14:paraId="107654FA" w14:textId="77777777" w:rsidTr="008742A1">
        <w:trPr>
          <w:cnfStyle w:val="100000000000" w:firstRow="1" w:lastRow="0" w:firstColumn="0" w:lastColumn="0" w:oddVBand="0" w:evenVBand="0" w:oddHBand="0" w:evenHBand="0" w:firstRowFirstColumn="0" w:firstRowLastColumn="0" w:lastRowFirstColumn="0" w:lastRowLastColumn="0"/>
          <w:trHeight w:val="300"/>
          <w:tblHeader/>
        </w:trPr>
        <w:tc>
          <w:tcPr>
            <w:tcW w:w="1569" w:type="pct"/>
            <w:noWrap/>
          </w:tcPr>
          <w:p w14:paraId="77B19E57" w14:textId="77777777" w:rsidR="00911F85" w:rsidRPr="002C55F2" w:rsidRDefault="00911F85" w:rsidP="008742A1">
            <w:pPr>
              <w:pStyle w:val="TableHeading"/>
              <w:jc w:val="center"/>
            </w:pPr>
          </w:p>
        </w:tc>
        <w:tc>
          <w:tcPr>
            <w:tcW w:w="686" w:type="pct"/>
            <w:noWrap/>
          </w:tcPr>
          <w:p w14:paraId="7414743A" w14:textId="77777777" w:rsidR="00911F85" w:rsidRPr="002C55F2" w:rsidRDefault="00911F85" w:rsidP="008742A1">
            <w:pPr>
              <w:pStyle w:val="TableHeading"/>
              <w:jc w:val="center"/>
            </w:pPr>
            <w:r w:rsidRPr="004B58C2">
              <w:t>2019-20</w:t>
            </w:r>
          </w:p>
        </w:tc>
        <w:tc>
          <w:tcPr>
            <w:tcW w:w="686" w:type="pct"/>
            <w:noWrap/>
          </w:tcPr>
          <w:p w14:paraId="4FBBD951" w14:textId="77777777" w:rsidR="00911F85" w:rsidRPr="002C55F2" w:rsidRDefault="00911F85" w:rsidP="008742A1">
            <w:pPr>
              <w:pStyle w:val="TableHeading"/>
              <w:jc w:val="center"/>
            </w:pPr>
            <w:r w:rsidRPr="004B58C2">
              <w:t>2020-21</w:t>
            </w:r>
          </w:p>
        </w:tc>
        <w:tc>
          <w:tcPr>
            <w:tcW w:w="686" w:type="pct"/>
            <w:noWrap/>
          </w:tcPr>
          <w:p w14:paraId="748CE931" w14:textId="77777777" w:rsidR="00911F85" w:rsidRPr="002C55F2" w:rsidRDefault="00911F85" w:rsidP="008742A1">
            <w:pPr>
              <w:pStyle w:val="TableHeading"/>
              <w:jc w:val="center"/>
              <w:rPr>
                <w:rFonts w:ascii="Times New Roman" w:hAnsi="Times New Roman" w:cs="Times New Roman"/>
              </w:rPr>
            </w:pPr>
            <w:r w:rsidRPr="004B58C2">
              <w:t>2021-22</w:t>
            </w:r>
          </w:p>
        </w:tc>
        <w:tc>
          <w:tcPr>
            <w:tcW w:w="686" w:type="pct"/>
            <w:noWrap/>
          </w:tcPr>
          <w:p w14:paraId="5CDAE4CD" w14:textId="77777777" w:rsidR="00911F85" w:rsidRPr="002C55F2" w:rsidRDefault="00911F85" w:rsidP="008742A1">
            <w:pPr>
              <w:pStyle w:val="TableHeading"/>
              <w:jc w:val="center"/>
              <w:rPr>
                <w:rFonts w:ascii="Times New Roman" w:hAnsi="Times New Roman" w:cs="Times New Roman"/>
              </w:rPr>
            </w:pPr>
            <w:r w:rsidRPr="004B58C2">
              <w:t>2022-23</w:t>
            </w:r>
          </w:p>
        </w:tc>
        <w:tc>
          <w:tcPr>
            <w:tcW w:w="687" w:type="pct"/>
            <w:noWrap/>
          </w:tcPr>
          <w:p w14:paraId="54886ACE" w14:textId="77777777" w:rsidR="00911F85" w:rsidRPr="002C55F2" w:rsidRDefault="00911F85" w:rsidP="008742A1">
            <w:pPr>
              <w:pStyle w:val="TableHeading"/>
              <w:jc w:val="center"/>
              <w:rPr>
                <w:rFonts w:ascii="Times New Roman" w:hAnsi="Times New Roman" w:cs="Times New Roman"/>
              </w:rPr>
            </w:pPr>
            <w:r w:rsidRPr="004B58C2">
              <w:t>2023-24</w:t>
            </w:r>
          </w:p>
        </w:tc>
      </w:tr>
      <w:tr w:rsidR="00911F85" w:rsidRPr="002C55F2" w14:paraId="25BC789C" w14:textId="77777777" w:rsidTr="008742A1">
        <w:trPr>
          <w:trHeight w:val="300"/>
        </w:trPr>
        <w:tc>
          <w:tcPr>
            <w:tcW w:w="1569" w:type="pct"/>
            <w:noWrap/>
            <w:hideMark/>
          </w:tcPr>
          <w:p w14:paraId="26A6C321" w14:textId="77777777" w:rsidR="00911F85" w:rsidRPr="002C55F2" w:rsidRDefault="00911F85" w:rsidP="008742A1">
            <w:pPr>
              <w:pStyle w:val="Tabletext1"/>
            </w:pPr>
            <w:r w:rsidRPr="00EB663D">
              <w:t>Change in the number of serious infections per patient per year</w:t>
            </w:r>
          </w:p>
        </w:tc>
        <w:tc>
          <w:tcPr>
            <w:tcW w:w="686" w:type="pct"/>
            <w:noWrap/>
            <w:hideMark/>
          </w:tcPr>
          <w:p w14:paraId="66988754" w14:textId="77777777" w:rsidR="00911F85" w:rsidRPr="002C55F2" w:rsidRDefault="00911F85" w:rsidP="008742A1">
            <w:pPr>
              <w:pStyle w:val="Tabletext1"/>
              <w:jc w:val="right"/>
            </w:pPr>
            <w:r w:rsidRPr="005B7D8E">
              <w:t>–0.37</w:t>
            </w:r>
          </w:p>
        </w:tc>
        <w:tc>
          <w:tcPr>
            <w:tcW w:w="686" w:type="pct"/>
            <w:noWrap/>
            <w:hideMark/>
          </w:tcPr>
          <w:p w14:paraId="048C8027" w14:textId="77777777" w:rsidR="00911F85" w:rsidRPr="002C55F2" w:rsidRDefault="00911F85" w:rsidP="008742A1">
            <w:pPr>
              <w:pStyle w:val="Tabletext1"/>
              <w:jc w:val="right"/>
            </w:pPr>
          </w:p>
        </w:tc>
        <w:tc>
          <w:tcPr>
            <w:tcW w:w="686" w:type="pct"/>
            <w:noWrap/>
            <w:hideMark/>
          </w:tcPr>
          <w:p w14:paraId="1D1D1B75" w14:textId="77777777" w:rsidR="00911F85" w:rsidRPr="002C55F2" w:rsidRDefault="00911F85" w:rsidP="008742A1">
            <w:pPr>
              <w:pStyle w:val="Tabletext1"/>
              <w:jc w:val="right"/>
            </w:pPr>
          </w:p>
        </w:tc>
        <w:tc>
          <w:tcPr>
            <w:tcW w:w="686" w:type="pct"/>
            <w:noWrap/>
            <w:hideMark/>
          </w:tcPr>
          <w:p w14:paraId="00B30F54" w14:textId="77777777" w:rsidR="00911F85" w:rsidRPr="002C55F2" w:rsidRDefault="00911F85" w:rsidP="008742A1">
            <w:pPr>
              <w:pStyle w:val="Tabletext1"/>
              <w:jc w:val="right"/>
            </w:pPr>
          </w:p>
        </w:tc>
        <w:tc>
          <w:tcPr>
            <w:tcW w:w="687" w:type="pct"/>
            <w:noWrap/>
            <w:hideMark/>
          </w:tcPr>
          <w:p w14:paraId="705FC95A" w14:textId="77777777" w:rsidR="00911F85" w:rsidRPr="002C55F2" w:rsidRDefault="00911F85" w:rsidP="008742A1">
            <w:pPr>
              <w:pStyle w:val="Tabletext1"/>
              <w:jc w:val="right"/>
            </w:pPr>
          </w:p>
        </w:tc>
      </w:tr>
      <w:tr w:rsidR="00911F85" w:rsidRPr="002C55F2" w14:paraId="117564C1" w14:textId="77777777" w:rsidTr="008742A1">
        <w:trPr>
          <w:trHeight w:val="300"/>
        </w:trPr>
        <w:tc>
          <w:tcPr>
            <w:tcW w:w="1569" w:type="pct"/>
            <w:noWrap/>
            <w:hideMark/>
          </w:tcPr>
          <w:p w14:paraId="4A6BC1E0" w14:textId="77777777" w:rsidR="00911F85" w:rsidRPr="002C55F2" w:rsidRDefault="00911F85" w:rsidP="008742A1">
            <w:pPr>
              <w:pStyle w:val="Tabletext1"/>
            </w:pPr>
            <w:r w:rsidRPr="00EB663D">
              <w:t>Total change in serious infections</w:t>
            </w:r>
          </w:p>
        </w:tc>
        <w:tc>
          <w:tcPr>
            <w:tcW w:w="686" w:type="pct"/>
            <w:noWrap/>
            <w:hideMark/>
          </w:tcPr>
          <w:p w14:paraId="22F999F9" w14:textId="77777777" w:rsidR="00911F85" w:rsidRPr="002C55F2" w:rsidRDefault="00911F85" w:rsidP="008742A1">
            <w:pPr>
              <w:pStyle w:val="Tabletext1"/>
              <w:jc w:val="right"/>
            </w:pPr>
            <w:r w:rsidRPr="005B7D8E">
              <w:t>–2,382</w:t>
            </w:r>
          </w:p>
        </w:tc>
        <w:tc>
          <w:tcPr>
            <w:tcW w:w="686" w:type="pct"/>
            <w:noWrap/>
            <w:hideMark/>
          </w:tcPr>
          <w:p w14:paraId="5C94B900" w14:textId="77777777" w:rsidR="00911F85" w:rsidRPr="002C55F2" w:rsidRDefault="00911F85" w:rsidP="008742A1">
            <w:pPr>
              <w:pStyle w:val="Tabletext1"/>
              <w:jc w:val="right"/>
            </w:pPr>
            <w:r w:rsidRPr="005B7D8E">
              <w:t>–2,532</w:t>
            </w:r>
          </w:p>
        </w:tc>
        <w:tc>
          <w:tcPr>
            <w:tcW w:w="686" w:type="pct"/>
            <w:noWrap/>
            <w:hideMark/>
          </w:tcPr>
          <w:p w14:paraId="508A2325" w14:textId="77777777" w:rsidR="00911F85" w:rsidRPr="002C55F2" w:rsidRDefault="00911F85" w:rsidP="008742A1">
            <w:pPr>
              <w:pStyle w:val="Tabletext1"/>
              <w:jc w:val="right"/>
            </w:pPr>
            <w:r w:rsidRPr="005B7D8E">
              <w:t>–2,681</w:t>
            </w:r>
          </w:p>
        </w:tc>
        <w:tc>
          <w:tcPr>
            <w:tcW w:w="686" w:type="pct"/>
            <w:noWrap/>
            <w:hideMark/>
          </w:tcPr>
          <w:p w14:paraId="5E731CBA" w14:textId="77777777" w:rsidR="00911F85" w:rsidRPr="002C55F2" w:rsidRDefault="00911F85" w:rsidP="008742A1">
            <w:pPr>
              <w:pStyle w:val="Tabletext1"/>
              <w:jc w:val="right"/>
            </w:pPr>
            <w:r w:rsidRPr="005B7D8E">
              <w:t>–2,830</w:t>
            </w:r>
          </w:p>
        </w:tc>
        <w:tc>
          <w:tcPr>
            <w:tcW w:w="687" w:type="pct"/>
            <w:noWrap/>
            <w:hideMark/>
          </w:tcPr>
          <w:p w14:paraId="0122070E" w14:textId="77777777" w:rsidR="00911F85" w:rsidRPr="002C55F2" w:rsidRDefault="00911F85" w:rsidP="008742A1">
            <w:pPr>
              <w:pStyle w:val="Tabletext1"/>
              <w:jc w:val="right"/>
            </w:pPr>
            <w:r w:rsidRPr="005B7D8E">
              <w:t>–2,980</w:t>
            </w:r>
          </w:p>
        </w:tc>
      </w:tr>
      <w:tr w:rsidR="00911F85" w:rsidRPr="002C55F2" w14:paraId="5E03F853" w14:textId="77777777" w:rsidTr="008742A1">
        <w:trPr>
          <w:trHeight w:val="300"/>
        </w:trPr>
        <w:tc>
          <w:tcPr>
            <w:tcW w:w="1569" w:type="pct"/>
            <w:noWrap/>
            <w:hideMark/>
          </w:tcPr>
          <w:p w14:paraId="5FA6EA39" w14:textId="77777777" w:rsidR="00911F85" w:rsidRPr="002C55F2" w:rsidRDefault="00911F85" w:rsidP="008742A1">
            <w:pPr>
              <w:pStyle w:val="Tabletext1"/>
            </w:pPr>
            <w:r w:rsidRPr="00EB663D">
              <w:t>Cost of hospitalisation for serious infection</w:t>
            </w:r>
          </w:p>
        </w:tc>
        <w:tc>
          <w:tcPr>
            <w:tcW w:w="686" w:type="pct"/>
            <w:noWrap/>
            <w:hideMark/>
          </w:tcPr>
          <w:p w14:paraId="21747532" w14:textId="77777777" w:rsidR="00911F85" w:rsidRPr="002C55F2" w:rsidRDefault="00911F85" w:rsidP="008742A1">
            <w:pPr>
              <w:pStyle w:val="Tabletext1"/>
              <w:jc w:val="right"/>
            </w:pPr>
            <w:r w:rsidRPr="005B7D8E">
              <w:t>$7,349</w:t>
            </w:r>
          </w:p>
        </w:tc>
        <w:tc>
          <w:tcPr>
            <w:tcW w:w="686" w:type="pct"/>
            <w:noWrap/>
            <w:hideMark/>
          </w:tcPr>
          <w:p w14:paraId="0BC0D14A" w14:textId="77777777" w:rsidR="00911F85" w:rsidRPr="002C55F2" w:rsidRDefault="00911F85" w:rsidP="008742A1">
            <w:pPr>
              <w:pStyle w:val="Tabletext1"/>
              <w:jc w:val="right"/>
            </w:pPr>
          </w:p>
        </w:tc>
        <w:tc>
          <w:tcPr>
            <w:tcW w:w="686" w:type="pct"/>
            <w:noWrap/>
            <w:hideMark/>
          </w:tcPr>
          <w:p w14:paraId="7F29BA5A" w14:textId="77777777" w:rsidR="00911F85" w:rsidRPr="002C55F2" w:rsidRDefault="00911F85" w:rsidP="008742A1">
            <w:pPr>
              <w:pStyle w:val="Tabletext1"/>
              <w:jc w:val="right"/>
            </w:pPr>
          </w:p>
        </w:tc>
        <w:tc>
          <w:tcPr>
            <w:tcW w:w="686" w:type="pct"/>
            <w:noWrap/>
            <w:hideMark/>
          </w:tcPr>
          <w:p w14:paraId="7EDF10EB" w14:textId="77777777" w:rsidR="00911F85" w:rsidRPr="002C55F2" w:rsidRDefault="00911F85" w:rsidP="008742A1">
            <w:pPr>
              <w:pStyle w:val="Tabletext1"/>
              <w:jc w:val="right"/>
            </w:pPr>
          </w:p>
        </w:tc>
        <w:tc>
          <w:tcPr>
            <w:tcW w:w="687" w:type="pct"/>
            <w:noWrap/>
            <w:hideMark/>
          </w:tcPr>
          <w:p w14:paraId="4E98FBE2" w14:textId="77777777" w:rsidR="00911F85" w:rsidRPr="002C55F2" w:rsidRDefault="00911F85" w:rsidP="008742A1">
            <w:pPr>
              <w:pStyle w:val="Tabletext1"/>
              <w:jc w:val="right"/>
            </w:pPr>
          </w:p>
        </w:tc>
      </w:tr>
      <w:tr w:rsidR="00911F85" w:rsidRPr="002C55F2" w14:paraId="5C3B3455" w14:textId="77777777" w:rsidTr="008742A1">
        <w:trPr>
          <w:trHeight w:val="300"/>
        </w:trPr>
        <w:tc>
          <w:tcPr>
            <w:tcW w:w="1569" w:type="pct"/>
            <w:noWrap/>
          </w:tcPr>
          <w:p w14:paraId="595A5F38" w14:textId="77777777" w:rsidR="00911F85" w:rsidRPr="002C55F2" w:rsidRDefault="00911F85" w:rsidP="008742A1">
            <w:pPr>
              <w:pStyle w:val="Tabletext1"/>
            </w:pPr>
            <w:r w:rsidRPr="00EB663D">
              <w:t>Cost of follow-up outpatient attendance for serious infection</w:t>
            </w:r>
          </w:p>
        </w:tc>
        <w:tc>
          <w:tcPr>
            <w:tcW w:w="686" w:type="pct"/>
            <w:noWrap/>
          </w:tcPr>
          <w:p w14:paraId="7B03C3BA" w14:textId="77777777" w:rsidR="00911F85" w:rsidRPr="002C55F2" w:rsidRDefault="00911F85" w:rsidP="008742A1">
            <w:pPr>
              <w:pStyle w:val="Tabletext1"/>
              <w:jc w:val="right"/>
            </w:pPr>
            <w:r w:rsidRPr="005B7D8E">
              <w:t>$77</w:t>
            </w:r>
          </w:p>
        </w:tc>
        <w:tc>
          <w:tcPr>
            <w:tcW w:w="686" w:type="pct"/>
            <w:noWrap/>
          </w:tcPr>
          <w:p w14:paraId="5A78B559" w14:textId="77777777" w:rsidR="00911F85" w:rsidRPr="002C55F2" w:rsidRDefault="00911F85" w:rsidP="008742A1">
            <w:pPr>
              <w:pStyle w:val="Tabletext1"/>
              <w:jc w:val="right"/>
            </w:pPr>
          </w:p>
        </w:tc>
        <w:tc>
          <w:tcPr>
            <w:tcW w:w="686" w:type="pct"/>
            <w:noWrap/>
          </w:tcPr>
          <w:p w14:paraId="63D1FE0F" w14:textId="77777777" w:rsidR="00911F85" w:rsidRPr="002C55F2" w:rsidRDefault="00911F85" w:rsidP="008742A1">
            <w:pPr>
              <w:pStyle w:val="Tabletext1"/>
              <w:jc w:val="right"/>
            </w:pPr>
          </w:p>
        </w:tc>
        <w:tc>
          <w:tcPr>
            <w:tcW w:w="686" w:type="pct"/>
            <w:noWrap/>
          </w:tcPr>
          <w:p w14:paraId="0A0C606A" w14:textId="77777777" w:rsidR="00911F85" w:rsidRPr="002C55F2" w:rsidRDefault="00911F85" w:rsidP="008742A1">
            <w:pPr>
              <w:pStyle w:val="Tabletext1"/>
              <w:jc w:val="right"/>
            </w:pPr>
          </w:p>
        </w:tc>
        <w:tc>
          <w:tcPr>
            <w:tcW w:w="687" w:type="pct"/>
            <w:noWrap/>
          </w:tcPr>
          <w:p w14:paraId="17DB899E" w14:textId="77777777" w:rsidR="00911F85" w:rsidRPr="002C55F2" w:rsidRDefault="00911F85" w:rsidP="008742A1">
            <w:pPr>
              <w:pStyle w:val="Tabletext1"/>
              <w:jc w:val="right"/>
            </w:pPr>
          </w:p>
        </w:tc>
      </w:tr>
      <w:tr w:rsidR="00911F85" w:rsidRPr="002C55F2" w14:paraId="124BC6F1" w14:textId="77777777" w:rsidTr="008742A1">
        <w:trPr>
          <w:trHeight w:val="300"/>
        </w:trPr>
        <w:tc>
          <w:tcPr>
            <w:tcW w:w="1569" w:type="pct"/>
            <w:noWrap/>
            <w:hideMark/>
          </w:tcPr>
          <w:p w14:paraId="66539B16" w14:textId="77777777" w:rsidR="00911F85" w:rsidRPr="002C55F2" w:rsidRDefault="00911F85" w:rsidP="008742A1">
            <w:pPr>
              <w:pStyle w:val="Tabletext1"/>
            </w:pPr>
            <w:r w:rsidRPr="00EB663D">
              <w:t>Change in hospitalisation costs due to reduction in serious infections</w:t>
            </w:r>
          </w:p>
        </w:tc>
        <w:tc>
          <w:tcPr>
            <w:tcW w:w="686" w:type="pct"/>
            <w:noWrap/>
            <w:hideMark/>
          </w:tcPr>
          <w:p w14:paraId="30717EA6" w14:textId="77777777" w:rsidR="00911F85" w:rsidRPr="002C55F2" w:rsidRDefault="00911F85" w:rsidP="008742A1">
            <w:pPr>
              <w:pStyle w:val="Tabletext1"/>
              <w:jc w:val="right"/>
            </w:pPr>
            <w:r w:rsidRPr="005B7D8E">
              <w:t>–$17,508,780</w:t>
            </w:r>
          </w:p>
        </w:tc>
        <w:tc>
          <w:tcPr>
            <w:tcW w:w="686" w:type="pct"/>
            <w:noWrap/>
            <w:hideMark/>
          </w:tcPr>
          <w:p w14:paraId="0D14701D" w14:textId="77777777" w:rsidR="00911F85" w:rsidRPr="002C55F2" w:rsidRDefault="00911F85" w:rsidP="008742A1">
            <w:pPr>
              <w:pStyle w:val="Tabletext1"/>
              <w:jc w:val="right"/>
            </w:pPr>
            <w:r w:rsidRPr="005B7D8E">
              <w:t>–$18,606,202</w:t>
            </w:r>
          </w:p>
        </w:tc>
        <w:tc>
          <w:tcPr>
            <w:tcW w:w="686" w:type="pct"/>
            <w:noWrap/>
            <w:hideMark/>
          </w:tcPr>
          <w:p w14:paraId="641DB8C9" w14:textId="77777777" w:rsidR="00911F85" w:rsidRPr="002C55F2" w:rsidRDefault="00911F85" w:rsidP="008742A1">
            <w:pPr>
              <w:pStyle w:val="Tabletext1"/>
              <w:jc w:val="right"/>
            </w:pPr>
            <w:r w:rsidRPr="005B7D8E">
              <w:t>–$19,703,623</w:t>
            </w:r>
          </w:p>
        </w:tc>
        <w:tc>
          <w:tcPr>
            <w:tcW w:w="686" w:type="pct"/>
            <w:noWrap/>
            <w:hideMark/>
          </w:tcPr>
          <w:p w14:paraId="6346F652" w14:textId="77777777" w:rsidR="00911F85" w:rsidRPr="002C55F2" w:rsidRDefault="00911F85" w:rsidP="008742A1">
            <w:pPr>
              <w:pStyle w:val="Tabletext1"/>
              <w:jc w:val="right"/>
            </w:pPr>
            <w:r w:rsidRPr="005B7D8E">
              <w:t>–$20,801,045</w:t>
            </w:r>
          </w:p>
        </w:tc>
        <w:tc>
          <w:tcPr>
            <w:tcW w:w="687" w:type="pct"/>
            <w:noWrap/>
            <w:hideMark/>
          </w:tcPr>
          <w:p w14:paraId="346498EF" w14:textId="77777777" w:rsidR="00911F85" w:rsidRPr="002C55F2" w:rsidRDefault="00911F85" w:rsidP="008742A1">
            <w:pPr>
              <w:pStyle w:val="Tabletext1"/>
              <w:jc w:val="right"/>
            </w:pPr>
            <w:r w:rsidRPr="005B7D8E">
              <w:t>–$21,898,466</w:t>
            </w:r>
          </w:p>
        </w:tc>
      </w:tr>
      <w:tr w:rsidR="00911F85" w:rsidRPr="002C55F2" w14:paraId="5269B0E2" w14:textId="77777777" w:rsidTr="008742A1">
        <w:trPr>
          <w:trHeight w:val="300"/>
        </w:trPr>
        <w:tc>
          <w:tcPr>
            <w:tcW w:w="1569" w:type="pct"/>
            <w:noWrap/>
          </w:tcPr>
          <w:p w14:paraId="001BD549" w14:textId="77777777" w:rsidR="00911F85" w:rsidRPr="002C55F2" w:rsidRDefault="00911F85" w:rsidP="008742A1">
            <w:pPr>
              <w:pStyle w:val="Tabletext1"/>
            </w:pPr>
            <w:r w:rsidRPr="00EB663D">
              <w:t>Change in outpatient attendance costs due to reduction in serious infections</w:t>
            </w:r>
          </w:p>
        </w:tc>
        <w:tc>
          <w:tcPr>
            <w:tcW w:w="686" w:type="pct"/>
            <w:noWrap/>
          </w:tcPr>
          <w:p w14:paraId="46D1FACE" w14:textId="77777777" w:rsidR="00911F85" w:rsidRPr="002C55F2" w:rsidRDefault="00911F85" w:rsidP="008742A1">
            <w:pPr>
              <w:pStyle w:val="Tabletext1"/>
              <w:jc w:val="right"/>
            </w:pPr>
            <w:r w:rsidRPr="005B7D8E">
              <w:t>–$182,608</w:t>
            </w:r>
          </w:p>
        </w:tc>
        <w:tc>
          <w:tcPr>
            <w:tcW w:w="686" w:type="pct"/>
            <w:noWrap/>
          </w:tcPr>
          <w:p w14:paraId="008F8DE7" w14:textId="77777777" w:rsidR="00911F85" w:rsidRPr="002C55F2" w:rsidRDefault="00911F85" w:rsidP="008742A1">
            <w:pPr>
              <w:pStyle w:val="Tabletext1"/>
              <w:jc w:val="right"/>
            </w:pPr>
            <w:r w:rsidRPr="005B7D8E">
              <w:t>–$194,053</w:t>
            </w:r>
          </w:p>
        </w:tc>
        <w:tc>
          <w:tcPr>
            <w:tcW w:w="686" w:type="pct"/>
            <w:noWrap/>
          </w:tcPr>
          <w:p w14:paraId="1E438959" w14:textId="77777777" w:rsidR="00911F85" w:rsidRPr="002C55F2" w:rsidRDefault="00911F85" w:rsidP="008742A1">
            <w:pPr>
              <w:pStyle w:val="Tabletext1"/>
              <w:jc w:val="right"/>
            </w:pPr>
            <w:r w:rsidRPr="005B7D8E">
              <w:t>–$205,499</w:t>
            </w:r>
          </w:p>
        </w:tc>
        <w:tc>
          <w:tcPr>
            <w:tcW w:w="686" w:type="pct"/>
            <w:noWrap/>
          </w:tcPr>
          <w:p w14:paraId="1FF8D82D" w14:textId="77777777" w:rsidR="00911F85" w:rsidRPr="002C55F2" w:rsidRDefault="00911F85" w:rsidP="008742A1">
            <w:pPr>
              <w:pStyle w:val="Tabletext1"/>
              <w:jc w:val="right"/>
            </w:pPr>
            <w:r w:rsidRPr="005B7D8E">
              <w:t>–$216,944</w:t>
            </w:r>
          </w:p>
        </w:tc>
        <w:tc>
          <w:tcPr>
            <w:tcW w:w="687" w:type="pct"/>
            <w:noWrap/>
          </w:tcPr>
          <w:p w14:paraId="288A0835" w14:textId="77777777" w:rsidR="00911F85" w:rsidRPr="002C55F2" w:rsidRDefault="00911F85" w:rsidP="008742A1">
            <w:pPr>
              <w:pStyle w:val="Tabletext1"/>
              <w:jc w:val="right"/>
            </w:pPr>
            <w:r w:rsidRPr="005B7D8E">
              <w:t>–$228,390</w:t>
            </w:r>
          </w:p>
        </w:tc>
      </w:tr>
      <w:tr w:rsidR="00911F85" w:rsidRPr="002C55F2" w14:paraId="60114ACC" w14:textId="77777777" w:rsidTr="008742A1">
        <w:trPr>
          <w:trHeight w:val="300"/>
        </w:trPr>
        <w:tc>
          <w:tcPr>
            <w:tcW w:w="1569" w:type="pct"/>
            <w:noWrap/>
            <w:hideMark/>
          </w:tcPr>
          <w:p w14:paraId="3BB3A535" w14:textId="77777777" w:rsidR="00911F85" w:rsidRPr="002C55F2" w:rsidRDefault="00911F85" w:rsidP="008742A1">
            <w:pPr>
              <w:pStyle w:val="Tabletext1"/>
            </w:pPr>
            <w:r w:rsidRPr="00EB663D">
              <w:t>Change in the number of non-serious infections per patient per year</w:t>
            </w:r>
          </w:p>
        </w:tc>
        <w:tc>
          <w:tcPr>
            <w:tcW w:w="686" w:type="pct"/>
            <w:noWrap/>
            <w:hideMark/>
          </w:tcPr>
          <w:p w14:paraId="75D5AEFA" w14:textId="77777777" w:rsidR="00911F85" w:rsidRPr="002C55F2" w:rsidRDefault="00911F85" w:rsidP="008742A1">
            <w:pPr>
              <w:pStyle w:val="Tabletext1"/>
              <w:jc w:val="right"/>
            </w:pPr>
            <w:r w:rsidRPr="005B7D8E">
              <w:t>–0.41</w:t>
            </w:r>
          </w:p>
        </w:tc>
        <w:tc>
          <w:tcPr>
            <w:tcW w:w="686" w:type="pct"/>
            <w:noWrap/>
            <w:hideMark/>
          </w:tcPr>
          <w:p w14:paraId="21A6AD06" w14:textId="77777777" w:rsidR="00911F85" w:rsidRPr="002C55F2" w:rsidRDefault="00911F85" w:rsidP="008742A1">
            <w:pPr>
              <w:pStyle w:val="Tabletext1"/>
              <w:jc w:val="right"/>
            </w:pPr>
          </w:p>
        </w:tc>
        <w:tc>
          <w:tcPr>
            <w:tcW w:w="686" w:type="pct"/>
            <w:noWrap/>
            <w:hideMark/>
          </w:tcPr>
          <w:p w14:paraId="124890EE" w14:textId="77777777" w:rsidR="00911F85" w:rsidRPr="002C55F2" w:rsidRDefault="00911F85" w:rsidP="008742A1">
            <w:pPr>
              <w:pStyle w:val="Tabletext1"/>
              <w:jc w:val="right"/>
            </w:pPr>
          </w:p>
        </w:tc>
        <w:tc>
          <w:tcPr>
            <w:tcW w:w="686" w:type="pct"/>
            <w:noWrap/>
            <w:hideMark/>
          </w:tcPr>
          <w:p w14:paraId="04ECB476" w14:textId="77777777" w:rsidR="00911F85" w:rsidRPr="002C55F2" w:rsidRDefault="00911F85" w:rsidP="008742A1">
            <w:pPr>
              <w:pStyle w:val="Tabletext1"/>
              <w:jc w:val="right"/>
            </w:pPr>
          </w:p>
        </w:tc>
        <w:tc>
          <w:tcPr>
            <w:tcW w:w="687" w:type="pct"/>
            <w:noWrap/>
            <w:hideMark/>
          </w:tcPr>
          <w:p w14:paraId="07D3B69D" w14:textId="77777777" w:rsidR="00911F85" w:rsidRPr="002C55F2" w:rsidRDefault="00911F85" w:rsidP="008742A1">
            <w:pPr>
              <w:pStyle w:val="Tabletext1"/>
              <w:jc w:val="right"/>
            </w:pPr>
          </w:p>
        </w:tc>
      </w:tr>
      <w:tr w:rsidR="00911F85" w:rsidRPr="002C55F2" w14:paraId="2C0368B0" w14:textId="77777777" w:rsidTr="008742A1">
        <w:trPr>
          <w:trHeight w:val="300"/>
        </w:trPr>
        <w:tc>
          <w:tcPr>
            <w:tcW w:w="1569" w:type="pct"/>
            <w:noWrap/>
            <w:hideMark/>
          </w:tcPr>
          <w:p w14:paraId="126F62EE" w14:textId="77777777" w:rsidR="00911F85" w:rsidRPr="002C55F2" w:rsidRDefault="00911F85" w:rsidP="008742A1">
            <w:pPr>
              <w:pStyle w:val="Tabletext1"/>
            </w:pPr>
            <w:r w:rsidRPr="00EB663D">
              <w:t>Total change in non-serious infections</w:t>
            </w:r>
          </w:p>
        </w:tc>
        <w:tc>
          <w:tcPr>
            <w:tcW w:w="686" w:type="pct"/>
            <w:noWrap/>
            <w:hideMark/>
          </w:tcPr>
          <w:p w14:paraId="563310BD" w14:textId="77777777" w:rsidR="00911F85" w:rsidRPr="002C55F2" w:rsidRDefault="00911F85" w:rsidP="008742A1">
            <w:pPr>
              <w:pStyle w:val="Tabletext1"/>
              <w:jc w:val="right"/>
            </w:pPr>
            <w:r w:rsidRPr="005B7D8E">
              <w:t>–2,660</w:t>
            </w:r>
          </w:p>
        </w:tc>
        <w:tc>
          <w:tcPr>
            <w:tcW w:w="686" w:type="pct"/>
            <w:noWrap/>
            <w:hideMark/>
          </w:tcPr>
          <w:p w14:paraId="0015F90F" w14:textId="77777777" w:rsidR="00911F85" w:rsidRPr="002C55F2" w:rsidRDefault="00911F85" w:rsidP="008742A1">
            <w:pPr>
              <w:pStyle w:val="Tabletext1"/>
              <w:jc w:val="right"/>
            </w:pPr>
            <w:r w:rsidRPr="005B7D8E">
              <w:t>–2,827</w:t>
            </w:r>
          </w:p>
        </w:tc>
        <w:tc>
          <w:tcPr>
            <w:tcW w:w="686" w:type="pct"/>
            <w:noWrap/>
            <w:hideMark/>
          </w:tcPr>
          <w:p w14:paraId="6600521E" w14:textId="77777777" w:rsidR="00911F85" w:rsidRPr="002C55F2" w:rsidRDefault="00911F85" w:rsidP="008742A1">
            <w:pPr>
              <w:pStyle w:val="Tabletext1"/>
              <w:jc w:val="right"/>
            </w:pPr>
            <w:r w:rsidRPr="005B7D8E">
              <w:t>–2,994</w:t>
            </w:r>
          </w:p>
        </w:tc>
        <w:tc>
          <w:tcPr>
            <w:tcW w:w="686" w:type="pct"/>
            <w:noWrap/>
            <w:hideMark/>
          </w:tcPr>
          <w:p w14:paraId="355B4668" w14:textId="77777777" w:rsidR="00911F85" w:rsidRPr="002C55F2" w:rsidRDefault="00911F85" w:rsidP="008742A1">
            <w:pPr>
              <w:pStyle w:val="Tabletext1"/>
              <w:jc w:val="right"/>
            </w:pPr>
            <w:r w:rsidRPr="005B7D8E">
              <w:t>–3,160</w:t>
            </w:r>
          </w:p>
        </w:tc>
        <w:tc>
          <w:tcPr>
            <w:tcW w:w="687" w:type="pct"/>
            <w:noWrap/>
            <w:hideMark/>
          </w:tcPr>
          <w:p w14:paraId="09A8CE6A" w14:textId="77777777" w:rsidR="00911F85" w:rsidRPr="002C55F2" w:rsidRDefault="00911F85" w:rsidP="008742A1">
            <w:pPr>
              <w:pStyle w:val="Tabletext1"/>
              <w:jc w:val="right"/>
            </w:pPr>
            <w:r w:rsidRPr="005B7D8E">
              <w:t>–3,327</w:t>
            </w:r>
          </w:p>
        </w:tc>
      </w:tr>
      <w:tr w:rsidR="00911F85" w:rsidRPr="002C55F2" w14:paraId="77D91475" w14:textId="77777777" w:rsidTr="008742A1">
        <w:trPr>
          <w:trHeight w:val="300"/>
        </w:trPr>
        <w:tc>
          <w:tcPr>
            <w:tcW w:w="1569" w:type="pct"/>
            <w:noWrap/>
            <w:hideMark/>
          </w:tcPr>
          <w:p w14:paraId="19D3F9E9" w14:textId="77777777" w:rsidR="00911F85" w:rsidRPr="002C55F2" w:rsidRDefault="00911F85" w:rsidP="008742A1">
            <w:pPr>
              <w:pStyle w:val="Tabletext1"/>
            </w:pPr>
            <w:r w:rsidRPr="00EB663D">
              <w:t>Cost per non-serious infection (attributable to the MBS or PBS)</w:t>
            </w:r>
          </w:p>
        </w:tc>
        <w:tc>
          <w:tcPr>
            <w:tcW w:w="686" w:type="pct"/>
            <w:noWrap/>
            <w:hideMark/>
          </w:tcPr>
          <w:p w14:paraId="74272E8B" w14:textId="77777777" w:rsidR="00911F85" w:rsidRPr="002C55F2" w:rsidRDefault="00911F85" w:rsidP="008742A1">
            <w:pPr>
              <w:pStyle w:val="Tabletext1"/>
              <w:jc w:val="right"/>
            </w:pPr>
            <w:r w:rsidRPr="005B7D8E">
              <w:t>$184</w:t>
            </w:r>
          </w:p>
        </w:tc>
        <w:tc>
          <w:tcPr>
            <w:tcW w:w="686" w:type="pct"/>
            <w:noWrap/>
            <w:hideMark/>
          </w:tcPr>
          <w:p w14:paraId="1E316E9A" w14:textId="77777777" w:rsidR="00911F85" w:rsidRPr="002C55F2" w:rsidRDefault="00911F85" w:rsidP="008742A1">
            <w:pPr>
              <w:pStyle w:val="Tabletext1"/>
              <w:jc w:val="right"/>
            </w:pPr>
          </w:p>
        </w:tc>
        <w:tc>
          <w:tcPr>
            <w:tcW w:w="686" w:type="pct"/>
            <w:noWrap/>
            <w:hideMark/>
          </w:tcPr>
          <w:p w14:paraId="696CD732" w14:textId="77777777" w:rsidR="00911F85" w:rsidRPr="002C55F2" w:rsidRDefault="00911F85" w:rsidP="008742A1">
            <w:pPr>
              <w:pStyle w:val="Tabletext1"/>
              <w:jc w:val="right"/>
            </w:pPr>
          </w:p>
        </w:tc>
        <w:tc>
          <w:tcPr>
            <w:tcW w:w="686" w:type="pct"/>
            <w:noWrap/>
            <w:hideMark/>
          </w:tcPr>
          <w:p w14:paraId="0F887D6C" w14:textId="77777777" w:rsidR="00911F85" w:rsidRPr="002C55F2" w:rsidRDefault="00911F85" w:rsidP="008742A1">
            <w:pPr>
              <w:pStyle w:val="Tabletext1"/>
              <w:jc w:val="right"/>
            </w:pPr>
          </w:p>
        </w:tc>
        <w:tc>
          <w:tcPr>
            <w:tcW w:w="687" w:type="pct"/>
            <w:noWrap/>
            <w:hideMark/>
          </w:tcPr>
          <w:p w14:paraId="02404D10" w14:textId="77777777" w:rsidR="00911F85" w:rsidRPr="002C55F2" w:rsidRDefault="00911F85" w:rsidP="008742A1">
            <w:pPr>
              <w:pStyle w:val="Tabletext1"/>
              <w:jc w:val="right"/>
            </w:pPr>
          </w:p>
        </w:tc>
      </w:tr>
      <w:tr w:rsidR="00911F85" w:rsidRPr="002C55F2" w14:paraId="7DCC5685" w14:textId="77777777" w:rsidTr="008742A1">
        <w:trPr>
          <w:trHeight w:val="300"/>
        </w:trPr>
        <w:tc>
          <w:tcPr>
            <w:tcW w:w="1569" w:type="pct"/>
            <w:noWrap/>
            <w:hideMark/>
          </w:tcPr>
          <w:p w14:paraId="5DF2CECE" w14:textId="77777777" w:rsidR="00911F85" w:rsidRPr="002C55F2" w:rsidRDefault="00911F85" w:rsidP="008742A1">
            <w:pPr>
              <w:pStyle w:val="Tabletext1"/>
            </w:pPr>
            <w:r w:rsidRPr="00EB663D">
              <w:t>Change in costs due to reduction in non-serious infections</w:t>
            </w:r>
          </w:p>
        </w:tc>
        <w:tc>
          <w:tcPr>
            <w:tcW w:w="686" w:type="pct"/>
            <w:noWrap/>
            <w:hideMark/>
          </w:tcPr>
          <w:p w14:paraId="46F4A0CF" w14:textId="77777777" w:rsidR="00911F85" w:rsidRPr="002C55F2" w:rsidRDefault="00911F85" w:rsidP="008742A1">
            <w:pPr>
              <w:pStyle w:val="Tabletext1"/>
              <w:jc w:val="right"/>
            </w:pPr>
            <w:r w:rsidRPr="005B7D8E">
              <w:t>–$489,328</w:t>
            </w:r>
          </w:p>
        </w:tc>
        <w:tc>
          <w:tcPr>
            <w:tcW w:w="686" w:type="pct"/>
            <w:noWrap/>
            <w:hideMark/>
          </w:tcPr>
          <w:p w14:paraId="31C9F539" w14:textId="77777777" w:rsidR="00911F85" w:rsidRPr="002C55F2" w:rsidRDefault="00911F85" w:rsidP="008742A1">
            <w:pPr>
              <w:pStyle w:val="Tabletext1"/>
              <w:jc w:val="right"/>
            </w:pPr>
            <w:r w:rsidRPr="005B7D8E">
              <w:t>–$519,998</w:t>
            </w:r>
          </w:p>
        </w:tc>
        <w:tc>
          <w:tcPr>
            <w:tcW w:w="686" w:type="pct"/>
            <w:noWrap/>
            <w:hideMark/>
          </w:tcPr>
          <w:p w14:paraId="2BD1653F" w14:textId="77777777" w:rsidR="00911F85" w:rsidRPr="002C55F2" w:rsidRDefault="00911F85" w:rsidP="008742A1">
            <w:pPr>
              <w:pStyle w:val="Tabletext1"/>
              <w:jc w:val="right"/>
            </w:pPr>
            <w:r w:rsidRPr="005B7D8E">
              <w:t>–$550,668</w:t>
            </w:r>
          </w:p>
        </w:tc>
        <w:tc>
          <w:tcPr>
            <w:tcW w:w="686" w:type="pct"/>
            <w:noWrap/>
            <w:hideMark/>
          </w:tcPr>
          <w:p w14:paraId="1B25FE0D" w14:textId="77777777" w:rsidR="00911F85" w:rsidRPr="002C55F2" w:rsidRDefault="00911F85" w:rsidP="008742A1">
            <w:pPr>
              <w:pStyle w:val="Tabletext1"/>
              <w:jc w:val="right"/>
            </w:pPr>
            <w:r w:rsidRPr="005B7D8E">
              <w:t>–$581,339</w:t>
            </w:r>
          </w:p>
        </w:tc>
        <w:tc>
          <w:tcPr>
            <w:tcW w:w="687" w:type="pct"/>
            <w:noWrap/>
            <w:hideMark/>
          </w:tcPr>
          <w:p w14:paraId="1B8FFC3C" w14:textId="77777777" w:rsidR="00911F85" w:rsidRPr="002C55F2" w:rsidRDefault="00911F85" w:rsidP="008742A1">
            <w:pPr>
              <w:pStyle w:val="Tabletext1"/>
              <w:jc w:val="right"/>
            </w:pPr>
            <w:r w:rsidRPr="005B7D8E">
              <w:t>–$612,009</w:t>
            </w:r>
          </w:p>
        </w:tc>
      </w:tr>
      <w:tr w:rsidR="00911F85" w:rsidRPr="001B1EEE" w14:paraId="11E91E09" w14:textId="77777777" w:rsidTr="008742A1">
        <w:trPr>
          <w:trHeight w:val="300"/>
        </w:trPr>
        <w:tc>
          <w:tcPr>
            <w:tcW w:w="1569" w:type="pct"/>
            <w:noWrap/>
            <w:hideMark/>
          </w:tcPr>
          <w:p w14:paraId="23202C85" w14:textId="77777777" w:rsidR="00911F85" w:rsidRPr="001B1EEE" w:rsidRDefault="00911F85" w:rsidP="008742A1">
            <w:pPr>
              <w:pStyle w:val="Tabletext1"/>
              <w:rPr>
                <w:b/>
              </w:rPr>
            </w:pPr>
            <w:r w:rsidRPr="001B1EEE">
              <w:rPr>
                <w:b/>
              </w:rPr>
              <w:t>Total cost offsets due to a reduction in the number of infections</w:t>
            </w:r>
          </w:p>
        </w:tc>
        <w:tc>
          <w:tcPr>
            <w:tcW w:w="686" w:type="pct"/>
            <w:noWrap/>
            <w:hideMark/>
          </w:tcPr>
          <w:p w14:paraId="2458BC11" w14:textId="77777777" w:rsidR="00911F85" w:rsidRPr="00680DD5" w:rsidRDefault="00911F85" w:rsidP="008742A1">
            <w:pPr>
              <w:pStyle w:val="Tabletext1"/>
              <w:jc w:val="right"/>
              <w:rPr>
                <w:b/>
              </w:rPr>
            </w:pPr>
            <w:r w:rsidRPr="00680DD5">
              <w:rPr>
                <w:b/>
              </w:rPr>
              <w:t>–$18,180,716</w:t>
            </w:r>
          </w:p>
        </w:tc>
        <w:tc>
          <w:tcPr>
            <w:tcW w:w="686" w:type="pct"/>
            <w:noWrap/>
            <w:hideMark/>
          </w:tcPr>
          <w:p w14:paraId="7B33922B" w14:textId="77777777" w:rsidR="00911F85" w:rsidRPr="00680DD5" w:rsidRDefault="00911F85" w:rsidP="008742A1">
            <w:pPr>
              <w:pStyle w:val="Tabletext1"/>
              <w:jc w:val="right"/>
              <w:rPr>
                <w:b/>
              </w:rPr>
            </w:pPr>
            <w:r w:rsidRPr="00680DD5">
              <w:rPr>
                <w:b/>
              </w:rPr>
              <w:t>–$19,320,253</w:t>
            </w:r>
          </w:p>
        </w:tc>
        <w:tc>
          <w:tcPr>
            <w:tcW w:w="686" w:type="pct"/>
            <w:noWrap/>
            <w:hideMark/>
          </w:tcPr>
          <w:p w14:paraId="047B6C18" w14:textId="77777777" w:rsidR="00911F85" w:rsidRPr="00680DD5" w:rsidRDefault="00911F85" w:rsidP="008742A1">
            <w:pPr>
              <w:pStyle w:val="Tabletext1"/>
              <w:jc w:val="right"/>
              <w:rPr>
                <w:b/>
              </w:rPr>
            </w:pPr>
            <w:r w:rsidRPr="00680DD5">
              <w:rPr>
                <w:b/>
              </w:rPr>
              <w:t>–$20,459,790</w:t>
            </w:r>
          </w:p>
        </w:tc>
        <w:tc>
          <w:tcPr>
            <w:tcW w:w="686" w:type="pct"/>
            <w:noWrap/>
            <w:hideMark/>
          </w:tcPr>
          <w:p w14:paraId="0DEE7A90" w14:textId="77777777" w:rsidR="00911F85" w:rsidRPr="00680DD5" w:rsidRDefault="00911F85" w:rsidP="008742A1">
            <w:pPr>
              <w:pStyle w:val="Tabletext1"/>
              <w:jc w:val="right"/>
              <w:rPr>
                <w:b/>
              </w:rPr>
            </w:pPr>
            <w:r w:rsidRPr="00680DD5">
              <w:rPr>
                <w:b/>
              </w:rPr>
              <w:t>–$21,599,328</w:t>
            </w:r>
          </w:p>
        </w:tc>
        <w:tc>
          <w:tcPr>
            <w:tcW w:w="687" w:type="pct"/>
            <w:noWrap/>
            <w:hideMark/>
          </w:tcPr>
          <w:p w14:paraId="10E08F60" w14:textId="77777777" w:rsidR="00911F85" w:rsidRPr="00680DD5" w:rsidRDefault="00911F85" w:rsidP="008742A1">
            <w:pPr>
              <w:pStyle w:val="Tabletext1"/>
              <w:jc w:val="right"/>
              <w:rPr>
                <w:b/>
              </w:rPr>
            </w:pPr>
            <w:r w:rsidRPr="00680DD5">
              <w:rPr>
                <w:b/>
              </w:rPr>
              <w:t>–$22,738,865</w:t>
            </w:r>
          </w:p>
        </w:tc>
      </w:tr>
      <w:tr w:rsidR="00911F85" w:rsidRPr="002C55F2" w14:paraId="3FDCE64F" w14:textId="77777777" w:rsidTr="008742A1">
        <w:trPr>
          <w:trHeight w:val="300"/>
        </w:trPr>
        <w:tc>
          <w:tcPr>
            <w:tcW w:w="1569" w:type="pct"/>
            <w:noWrap/>
          </w:tcPr>
          <w:p w14:paraId="3731EFAD" w14:textId="77777777" w:rsidR="00911F85" w:rsidRPr="002C55F2" w:rsidRDefault="00911F85" w:rsidP="008742A1">
            <w:pPr>
              <w:pStyle w:val="Tabletext1"/>
              <w:rPr>
                <w:b/>
              </w:rPr>
            </w:pPr>
            <w:r w:rsidRPr="00EB663D">
              <w:t>Offsets attributable to the Commonwealth</w:t>
            </w:r>
          </w:p>
        </w:tc>
        <w:tc>
          <w:tcPr>
            <w:tcW w:w="686" w:type="pct"/>
            <w:noWrap/>
          </w:tcPr>
          <w:p w14:paraId="11C4805D" w14:textId="77777777" w:rsidR="00911F85" w:rsidRPr="002C55F2" w:rsidRDefault="00911F85" w:rsidP="008742A1">
            <w:pPr>
              <w:pStyle w:val="Tabletext1"/>
              <w:jc w:val="right"/>
              <w:rPr>
                <w:b/>
              </w:rPr>
            </w:pPr>
            <w:r w:rsidRPr="005B7D8E">
              <w:t>–$671,936</w:t>
            </w:r>
          </w:p>
        </w:tc>
        <w:tc>
          <w:tcPr>
            <w:tcW w:w="686" w:type="pct"/>
            <w:noWrap/>
          </w:tcPr>
          <w:p w14:paraId="3A7D3252" w14:textId="77777777" w:rsidR="00911F85" w:rsidRPr="002C55F2" w:rsidRDefault="00911F85" w:rsidP="008742A1">
            <w:pPr>
              <w:pStyle w:val="Tabletext1"/>
              <w:jc w:val="right"/>
              <w:rPr>
                <w:b/>
              </w:rPr>
            </w:pPr>
            <w:r w:rsidRPr="005B7D8E">
              <w:t>–$714,051</w:t>
            </w:r>
          </w:p>
        </w:tc>
        <w:tc>
          <w:tcPr>
            <w:tcW w:w="686" w:type="pct"/>
            <w:noWrap/>
          </w:tcPr>
          <w:p w14:paraId="70005904" w14:textId="77777777" w:rsidR="00911F85" w:rsidRPr="002C55F2" w:rsidRDefault="00911F85" w:rsidP="008742A1">
            <w:pPr>
              <w:pStyle w:val="Tabletext1"/>
              <w:jc w:val="right"/>
              <w:rPr>
                <w:b/>
              </w:rPr>
            </w:pPr>
            <w:r w:rsidRPr="005B7D8E">
              <w:t>–$756,167</w:t>
            </w:r>
          </w:p>
        </w:tc>
        <w:tc>
          <w:tcPr>
            <w:tcW w:w="686" w:type="pct"/>
            <w:noWrap/>
          </w:tcPr>
          <w:p w14:paraId="5863D780" w14:textId="77777777" w:rsidR="00911F85" w:rsidRPr="002C55F2" w:rsidRDefault="00911F85" w:rsidP="008742A1">
            <w:pPr>
              <w:pStyle w:val="Tabletext1"/>
              <w:jc w:val="right"/>
              <w:rPr>
                <w:b/>
              </w:rPr>
            </w:pPr>
            <w:r w:rsidRPr="005B7D8E">
              <w:t>–$798,283</w:t>
            </w:r>
          </w:p>
        </w:tc>
        <w:tc>
          <w:tcPr>
            <w:tcW w:w="687" w:type="pct"/>
            <w:noWrap/>
          </w:tcPr>
          <w:p w14:paraId="094F3CD1" w14:textId="77777777" w:rsidR="00911F85" w:rsidRPr="002C55F2" w:rsidRDefault="00911F85" w:rsidP="008742A1">
            <w:pPr>
              <w:pStyle w:val="Tabletext1"/>
              <w:jc w:val="right"/>
              <w:rPr>
                <w:b/>
              </w:rPr>
            </w:pPr>
            <w:r w:rsidRPr="005B7D8E">
              <w:t>–$840,399</w:t>
            </w:r>
          </w:p>
        </w:tc>
      </w:tr>
      <w:tr w:rsidR="00911F85" w:rsidRPr="002C55F2" w14:paraId="3F8DE99B" w14:textId="77777777" w:rsidTr="008742A1">
        <w:trPr>
          <w:trHeight w:val="300"/>
        </w:trPr>
        <w:tc>
          <w:tcPr>
            <w:tcW w:w="1569" w:type="pct"/>
            <w:noWrap/>
          </w:tcPr>
          <w:p w14:paraId="187C2A03" w14:textId="77777777" w:rsidR="00911F85" w:rsidRPr="002C55F2" w:rsidRDefault="00911F85" w:rsidP="008742A1">
            <w:pPr>
              <w:pStyle w:val="Tabletext1"/>
              <w:rPr>
                <w:b/>
              </w:rPr>
            </w:pPr>
            <w:r w:rsidRPr="00EB663D">
              <w:t>Offsets attributable to the States</w:t>
            </w:r>
          </w:p>
        </w:tc>
        <w:tc>
          <w:tcPr>
            <w:tcW w:w="686" w:type="pct"/>
            <w:noWrap/>
          </w:tcPr>
          <w:p w14:paraId="6E64693D" w14:textId="77777777" w:rsidR="00911F85" w:rsidRPr="002C55F2" w:rsidRDefault="00911F85" w:rsidP="008742A1">
            <w:pPr>
              <w:pStyle w:val="Tabletext1"/>
              <w:jc w:val="right"/>
              <w:rPr>
                <w:b/>
              </w:rPr>
            </w:pPr>
            <w:r w:rsidRPr="005B7D8E">
              <w:t>–$17,508,780</w:t>
            </w:r>
          </w:p>
        </w:tc>
        <w:tc>
          <w:tcPr>
            <w:tcW w:w="686" w:type="pct"/>
            <w:noWrap/>
          </w:tcPr>
          <w:p w14:paraId="1D263330" w14:textId="77777777" w:rsidR="00911F85" w:rsidRPr="002C55F2" w:rsidRDefault="00911F85" w:rsidP="008742A1">
            <w:pPr>
              <w:pStyle w:val="Tabletext1"/>
              <w:jc w:val="right"/>
              <w:rPr>
                <w:b/>
              </w:rPr>
            </w:pPr>
            <w:r w:rsidRPr="005B7D8E">
              <w:t>–$18,606,202</w:t>
            </w:r>
          </w:p>
        </w:tc>
        <w:tc>
          <w:tcPr>
            <w:tcW w:w="686" w:type="pct"/>
            <w:noWrap/>
          </w:tcPr>
          <w:p w14:paraId="5D866CD0" w14:textId="77777777" w:rsidR="00911F85" w:rsidRPr="002C55F2" w:rsidRDefault="00911F85" w:rsidP="008742A1">
            <w:pPr>
              <w:pStyle w:val="Tabletext1"/>
              <w:jc w:val="right"/>
              <w:rPr>
                <w:b/>
              </w:rPr>
            </w:pPr>
            <w:r w:rsidRPr="005B7D8E">
              <w:t>–$19,703,623</w:t>
            </w:r>
          </w:p>
        </w:tc>
        <w:tc>
          <w:tcPr>
            <w:tcW w:w="686" w:type="pct"/>
            <w:noWrap/>
          </w:tcPr>
          <w:p w14:paraId="09094022" w14:textId="77777777" w:rsidR="00911F85" w:rsidRPr="002C55F2" w:rsidRDefault="00911F85" w:rsidP="008742A1">
            <w:pPr>
              <w:pStyle w:val="Tabletext1"/>
              <w:jc w:val="right"/>
              <w:rPr>
                <w:b/>
              </w:rPr>
            </w:pPr>
            <w:r w:rsidRPr="005B7D8E">
              <w:t>–$20,801,045</w:t>
            </w:r>
          </w:p>
        </w:tc>
        <w:tc>
          <w:tcPr>
            <w:tcW w:w="687" w:type="pct"/>
            <w:noWrap/>
          </w:tcPr>
          <w:p w14:paraId="42EE004A" w14:textId="77777777" w:rsidR="00911F85" w:rsidRPr="002C55F2" w:rsidRDefault="00911F85" w:rsidP="008742A1">
            <w:pPr>
              <w:pStyle w:val="Tabletext1"/>
              <w:jc w:val="right"/>
              <w:rPr>
                <w:b/>
              </w:rPr>
            </w:pPr>
            <w:r w:rsidRPr="005B7D8E">
              <w:t>–$21,898,466</w:t>
            </w:r>
          </w:p>
        </w:tc>
      </w:tr>
    </w:tbl>
    <w:p w14:paraId="4247A72A" w14:textId="77777777" w:rsidR="00911F85" w:rsidRDefault="00911F85" w:rsidP="00911F85">
      <w:pPr>
        <w:pStyle w:val="Tablenotes1"/>
      </w:pPr>
      <w:r>
        <w:t>Ig = immunoglobulin.</w:t>
      </w:r>
    </w:p>
    <w:p w14:paraId="51E4D784" w14:textId="77777777" w:rsidR="00911F85" w:rsidRPr="00991ED7" w:rsidRDefault="00911F85" w:rsidP="00911F85"/>
    <w:p w14:paraId="532CB3F3" w14:textId="77777777" w:rsidR="00911F85" w:rsidRDefault="00911F85" w:rsidP="00331FB9">
      <w:pPr>
        <w:pStyle w:val="Heading2"/>
        <w:numPr>
          <w:ilvl w:val="4"/>
          <w:numId w:val="10"/>
        </w:numPr>
      </w:pPr>
      <w:bookmarkStart w:id="660" w:name="_Toc11854777"/>
      <w:bookmarkStart w:id="661" w:name="_Toc14431179"/>
      <w:bookmarkStart w:id="662" w:name="_Toc16856355"/>
      <w:bookmarkEnd w:id="648"/>
      <w:r>
        <w:t>Financial i</w:t>
      </w:r>
      <w:r w:rsidRPr="00183E4D">
        <w:t>mplications</w:t>
      </w:r>
      <w:r>
        <w:t xml:space="preserve"> for</w:t>
      </w:r>
      <w:r w:rsidRPr="00183E4D">
        <w:t xml:space="preserve"> </w:t>
      </w:r>
      <w:r>
        <w:t>government health budgets</w:t>
      </w:r>
      <w:bookmarkEnd w:id="660"/>
      <w:bookmarkEnd w:id="661"/>
      <w:bookmarkEnd w:id="662"/>
      <w:r w:rsidRPr="00183E4D">
        <w:t xml:space="preserve"> </w:t>
      </w:r>
    </w:p>
    <w:p w14:paraId="750058AD" w14:textId="2FCE0115" w:rsidR="00911F85" w:rsidRDefault="00911F85" w:rsidP="00911F85">
      <w:r>
        <w:t xml:space="preserve">The net financial implications for government budgets associated with the funding of Ig for acquired hypogammaglobulinaemia are presented in </w:t>
      </w:r>
      <w:r>
        <w:fldChar w:fldCharType="begin"/>
      </w:r>
      <w:r>
        <w:instrText xml:space="preserve"> REF _Ref13664229 \h </w:instrText>
      </w:r>
      <w:r>
        <w:fldChar w:fldCharType="separate"/>
      </w:r>
      <w:r w:rsidR="00A7463B">
        <w:t xml:space="preserve">Table </w:t>
      </w:r>
      <w:r w:rsidR="00A7463B">
        <w:rPr>
          <w:noProof/>
        </w:rPr>
        <w:t>73</w:t>
      </w:r>
      <w:r>
        <w:fldChar w:fldCharType="end"/>
      </w:r>
      <w:r>
        <w:t xml:space="preserve">. However, there is uncertainty associated with the estimated cost offsets as these are indirect in nature and rely on assumptions regarding the treatment effect of Ig. </w:t>
      </w:r>
    </w:p>
    <w:p w14:paraId="2956D82A" w14:textId="0D0C5880" w:rsidR="00911F85" w:rsidRDefault="00911F85" w:rsidP="00911F85">
      <w:pPr>
        <w:pStyle w:val="Caption"/>
        <w:keepNext/>
      </w:pPr>
      <w:bookmarkStart w:id="663" w:name="_Ref13664229"/>
      <w:bookmarkStart w:id="664" w:name="_Toc14348907"/>
      <w:bookmarkStart w:id="665" w:name="_Toc14429613"/>
      <w:bookmarkStart w:id="666" w:name="_Toc16671671"/>
      <w:r>
        <w:lastRenderedPageBreak/>
        <w:t xml:space="preserve">Table </w:t>
      </w:r>
      <w:r>
        <w:rPr>
          <w:noProof/>
        </w:rPr>
        <w:fldChar w:fldCharType="begin"/>
      </w:r>
      <w:r>
        <w:rPr>
          <w:noProof/>
        </w:rPr>
        <w:instrText xml:space="preserve"> SEQ Table \* ARABIC </w:instrText>
      </w:r>
      <w:r>
        <w:rPr>
          <w:noProof/>
        </w:rPr>
        <w:fldChar w:fldCharType="separate"/>
      </w:r>
      <w:r w:rsidR="00A7463B">
        <w:rPr>
          <w:noProof/>
        </w:rPr>
        <w:t>73</w:t>
      </w:r>
      <w:r>
        <w:rPr>
          <w:noProof/>
        </w:rPr>
        <w:fldChar w:fldCharType="end"/>
      </w:r>
      <w:bookmarkEnd w:id="663"/>
      <w:r>
        <w:tab/>
        <w:t>Net financial implications to government associated with Ig for acquired hypogammaglobulinaemia</w:t>
      </w:r>
      <w:bookmarkEnd w:id="664"/>
      <w:bookmarkEnd w:id="665"/>
      <w:bookmarkEnd w:id="666"/>
    </w:p>
    <w:tbl>
      <w:tblPr>
        <w:tblStyle w:val="TableGrid1"/>
        <w:tblW w:w="5000" w:type="pct"/>
        <w:tblLayout w:type="fixed"/>
        <w:tblLook w:val="04A0" w:firstRow="1" w:lastRow="0" w:firstColumn="1" w:lastColumn="0" w:noHBand="0" w:noVBand="1"/>
        <w:tblCaption w:val="Net financial implications to government associated with Ig for acquired hypogammaglobulinaemia"/>
      </w:tblPr>
      <w:tblGrid>
        <w:gridCol w:w="2900"/>
        <w:gridCol w:w="1268"/>
        <w:gridCol w:w="1268"/>
        <w:gridCol w:w="1268"/>
        <w:gridCol w:w="1268"/>
        <w:gridCol w:w="1270"/>
      </w:tblGrid>
      <w:tr w:rsidR="00911F85" w:rsidRPr="002C55F2" w14:paraId="56067A01" w14:textId="77777777" w:rsidTr="008742A1">
        <w:trPr>
          <w:cnfStyle w:val="100000000000" w:firstRow="1" w:lastRow="0" w:firstColumn="0" w:lastColumn="0" w:oddVBand="0" w:evenVBand="0" w:oddHBand="0" w:evenHBand="0" w:firstRowFirstColumn="0" w:firstRowLastColumn="0" w:lastRowFirstColumn="0" w:lastRowLastColumn="0"/>
          <w:trHeight w:val="300"/>
          <w:tblHeader/>
        </w:trPr>
        <w:tc>
          <w:tcPr>
            <w:tcW w:w="1569" w:type="pct"/>
            <w:tcBorders>
              <w:bottom w:val="single" w:sz="4" w:space="0" w:color="auto"/>
            </w:tcBorders>
            <w:noWrap/>
          </w:tcPr>
          <w:p w14:paraId="03AF8BB8" w14:textId="77777777" w:rsidR="00911F85" w:rsidRPr="002C55F2" w:rsidRDefault="00911F85" w:rsidP="008742A1">
            <w:pPr>
              <w:pStyle w:val="TableHeading"/>
              <w:jc w:val="center"/>
            </w:pPr>
          </w:p>
        </w:tc>
        <w:tc>
          <w:tcPr>
            <w:tcW w:w="686" w:type="pct"/>
            <w:tcBorders>
              <w:bottom w:val="single" w:sz="4" w:space="0" w:color="auto"/>
            </w:tcBorders>
            <w:noWrap/>
          </w:tcPr>
          <w:p w14:paraId="008FB7C3" w14:textId="77777777" w:rsidR="00911F85" w:rsidRPr="002C55F2" w:rsidRDefault="00911F85" w:rsidP="008742A1">
            <w:pPr>
              <w:pStyle w:val="TableHeading"/>
              <w:jc w:val="center"/>
            </w:pPr>
            <w:r w:rsidRPr="004B58C2">
              <w:t>2019-20</w:t>
            </w:r>
          </w:p>
        </w:tc>
        <w:tc>
          <w:tcPr>
            <w:tcW w:w="686" w:type="pct"/>
            <w:tcBorders>
              <w:bottom w:val="single" w:sz="4" w:space="0" w:color="auto"/>
            </w:tcBorders>
            <w:noWrap/>
          </w:tcPr>
          <w:p w14:paraId="248963DF" w14:textId="77777777" w:rsidR="00911F85" w:rsidRPr="002C55F2" w:rsidRDefault="00911F85" w:rsidP="008742A1">
            <w:pPr>
              <w:pStyle w:val="TableHeading"/>
              <w:jc w:val="center"/>
            </w:pPr>
            <w:r w:rsidRPr="004B58C2">
              <w:t>2020-21</w:t>
            </w:r>
          </w:p>
        </w:tc>
        <w:tc>
          <w:tcPr>
            <w:tcW w:w="686" w:type="pct"/>
            <w:tcBorders>
              <w:bottom w:val="single" w:sz="4" w:space="0" w:color="auto"/>
            </w:tcBorders>
            <w:noWrap/>
          </w:tcPr>
          <w:p w14:paraId="45C9260C" w14:textId="77777777" w:rsidR="00911F85" w:rsidRPr="002C55F2" w:rsidRDefault="00911F85" w:rsidP="008742A1">
            <w:pPr>
              <w:pStyle w:val="TableHeading"/>
              <w:jc w:val="center"/>
              <w:rPr>
                <w:rFonts w:ascii="Times New Roman" w:hAnsi="Times New Roman" w:cs="Times New Roman"/>
              </w:rPr>
            </w:pPr>
            <w:r w:rsidRPr="004B58C2">
              <w:t>2021-22</w:t>
            </w:r>
          </w:p>
        </w:tc>
        <w:tc>
          <w:tcPr>
            <w:tcW w:w="686" w:type="pct"/>
            <w:tcBorders>
              <w:bottom w:val="single" w:sz="4" w:space="0" w:color="auto"/>
            </w:tcBorders>
            <w:noWrap/>
          </w:tcPr>
          <w:p w14:paraId="50C57D00" w14:textId="77777777" w:rsidR="00911F85" w:rsidRPr="002C55F2" w:rsidRDefault="00911F85" w:rsidP="008742A1">
            <w:pPr>
              <w:pStyle w:val="TableHeading"/>
              <w:jc w:val="center"/>
              <w:rPr>
                <w:rFonts w:ascii="Times New Roman" w:hAnsi="Times New Roman" w:cs="Times New Roman"/>
              </w:rPr>
            </w:pPr>
            <w:r w:rsidRPr="004B58C2">
              <w:t>2022-23</w:t>
            </w:r>
          </w:p>
        </w:tc>
        <w:tc>
          <w:tcPr>
            <w:tcW w:w="687" w:type="pct"/>
            <w:tcBorders>
              <w:bottom w:val="single" w:sz="4" w:space="0" w:color="auto"/>
            </w:tcBorders>
            <w:noWrap/>
          </w:tcPr>
          <w:p w14:paraId="43595B0A" w14:textId="77777777" w:rsidR="00911F85" w:rsidRPr="002C55F2" w:rsidRDefault="00911F85" w:rsidP="008742A1">
            <w:pPr>
              <w:pStyle w:val="TableHeading"/>
              <w:jc w:val="center"/>
              <w:rPr>
                <w:rFonts w:ascii="Times New Roman" w:hAnsi="Times New Roman" w:cs="Times New Roman"/>
              </w:rPr>
            </w:pPr>
            <w:r w:rsidRPr="004B58C2">
              <w:t>2023-24</w:t>
            </w:r>
          </w:p>
        </w:tc>
      </w:tr>
      <w:tr w:rsidR="00911F85" w:rsidRPr="001B1EEE" w14:paraId="1C882657" w14:textId="77777777" w:rsidTr="008742A1">
        <w:trPr>
          <w:trHeight w:val="300"/>
        </w:trPr>
        <w:tc>
          <w:tcPr>
            <w:tcW w:w="1569" w:type="pct"/>
            <w:tcBorders>
              <w:bottom w:val="nil"/>
            </w:tcBorders>
            <w:noWrap/>
          </w:tcPr>
          <w:p w14:paraId="51835D5E" w14:textId="77777777" w:rsidR="00911F85" w:rsidRPr="001B1EEE" w:rsidRDefault="00911F85" w:rsidP="008742A1">
            <w:pPr>
              <w:pStyle w:val="TableHeading"/>
              <w:jc w:val="left"/>
              <w:rPr>
                <w:b w:val="0"/>
              </w:rPr>
            </w:pPr>
            <w:bookmarkStart w:id="667" w:name="_Hlk13665069"/>
            <w:r w:rsidRPr="001B1EEE">
              <w:rPr>
                <w:b w:val="0"/>
              </w:rPr>
              <w:t>Total cost of Ig</w:t>
            </w:r>
          </w:p>
        </w:tc>
        <w:tc>
          <w:tcPr>
            <w:tcW w:w="686" w:type="pct"/>
            <w:tcBorders>
              <w:bottom w:val="nil"/>
            </w:tcBorders>
            <w:noWrap/>
          </w:tcPr>
          <w:p w14:paraId="37A1B34B" w14:textId="77777777" w:rsidR="00911F85" w:rsidRPr="00072228" w:rsidRDefault="00911F85" w:rsidP="008742A1">
            <w:pPr>
              <w:pStyle w:val="TableHeading"/>
              <w:keepNext w:val="0"/>
              <w:jc w:val="right"/>
              <w:rPr>
                <w:b w:val="0"/>
              </w:rPr>
            </w:pPr>
            <w:r w:rsidRPr="00072228">
              <w:rPr>
                <w:b w:val="0"/>
              </w:rPr>
              <w:t>$98,136,389</w:t>
            </w:r>
          </w:p>
        </w:tc>
        <w:tc>
          <w:tcPr>
            <w:tcW w:w="686" w:type="pct"/>
            <w:tcBorders>
              <w:bottom w:val="nil"/>
            </w:tcBorders>
            <w:noWrap/>
          </w:tcPr>
          <w:p w14:paraId="51681D69" w14:textId="77777777" w:rsidR="00911F85" w:rsidRPr="00072228" w:rsidRDefault="00911F85" w:rsidP="008742A1">
            <w:pPr>
              <w:pStyle w:val="TableHeading"/>
              <w:keepNext w:val="0"/>
              <w:jc w:val="right"/>
              <w:rPr>
                <w:b w:val="0"/>
              </w:rPr>
            </w:pPr>
            <w:r w:rsidRPr="00072228">
              <w:rPr>
                <w:b w:val="0"/>
              </w:rPr>
              <w:t>$105,651,248</w:t>
            </w:r>
          </w:p>
        </w:tc>
        <w:tc>
          <w:tcPr>
            <w:tcW w:w="686" w:type="pct"/>
            <w:tcBorders>
              <w:bottom w:val="nil"/>
            </w:tcBorders>
            <w:noWrap/>
          </w:tcPr>
          <w:p w14:paraId="223D24D5" w14:textId="77777777" w:rsidR="00911F85" w:rsidRPr="00072228" w:rsidRDefault="00911F85" w:rsidP="008742A1">
            <w:pPr>
              <w:pStyle w:val="TableHeading"/>
              <w:keepNext w:val="0"/>
              <w:jc w:val="right"/>
              <w:rPr>
                <w:b w:val="0"/>
              </w:rPr>
            </w:pPr>
            <w:r w:rsidRPr="00072228">
              <w:rPr>
                <w:b w:val="0"/>
              </w:rPr>
              <w:t>$113,166,107</w:t>
            </w:r>
          </w:p>
        </w:tc>
        <w:tc>
          <w:tcPr>
            <w:tcW w:w="686" w:type="pct"/>
            <w:tcBorders>
              <w:bottom w:val="nil"/>
            </w:tcBorders>
            <w:noWrap/>
          </w:tcPr>
          <w:p w14:paraId="1EBAB122" w14:textId="77777777" w:rsidR="00911F85" w:rsidRPr="00072228" w:rsidRDefault="00911F85" w:rsidP="008742A1">
            <w:pPr>
              <w:pStyle w:val="TableHeading"/>
              <w:keepNext w:val="0"/>
              <w:jc w:val="right"/>
              <w:rPr>
                <w:b w:val="0"/>
              </w:rPr>
            </w:pPr>
            <w:r w:rsidRPr="00072228">
              <w:rPr>
                <w:b w:val="0"/>
              </w:rPr>
              <w:t>$120,680,966</w:t>
            </w:r>
          </w:p>
        </w:tc>
        <w:tc>
          <w:tcPr>
            <w:tcW w:w="687" w:type="pct"/>
            <w:tcBorders>
              <w:bottom w:val="nil"/>
            </w:tcBorders>
            <w:noWrap/>
          </w:tcPr>
          <w:p w14:paraId="7B2A3034" w14:textId="77777777" w:rsidR="00911F85" w:rsidRPr="00072228" w:rsidRDefault="00911F85" w:rsidP="008742A1">
            <w:pPr>
              <w:pStyle w:val="TableHeading"/>
              <w:keepNext w:val="0"/>
              <w:jc w:val="right"/>
              <w:rPr>
                <w:b w:val="0"/>
              </w:rPr>
            </w:pPr>
            <w:r w:rsidRPr="00072228">
              <w:rPr>
                <w:b w:val="0"/>
              </w:rPr>
              <w:t>$128,195,825</w:t>
            </w:r>
          </w:p>
        </w:tc>
      </w:tr>
      <w:tr w:rsidR="00911F85" w:rsidRPr="001B1EEE" w14:paraId="5D8CD2FB" w14:textId="77777777" w:rsidTr="008742A1">
        <w:trPr>
          <w:trHeight w:val="300"/>
        </w:trPr>
        <w:tc>
          <w:tcPr>
            <w:tcW w:w="1569" w:type="pct"/>
            <w:tcBorders>
              <w:top w:val="nil"/>
              <w:bottom w:val="nil"/>
            </w:tcBorders>
            <w:noWrap/>
          </w:tcPr>
          <w:p w14:paraId="2E339D5D" w14:textId="77777777" w:rsidR="00911F85" w:rsidRPr="001B1EEE" w:rsidRDefault="00911F85" w:rsidP="008742A1">
            <w:pPr>
              <w:pStyle w:val="TableHeading"/>
              <w:jc w:val="left"/>
              <w:rPr>
                <w:b w:val="0"/>
              </w:rPr>
            </w:pPr>
            <w:r w:rsidRPr="001B1EEE">
              <w:rPr>
                <w:b w:val="0"/>
              </w:rPr>
              <w:t>Cost of Ig to the Commonwealth</w:t>
            </w:r>
          </w:p>
        </w:tc>
        <w:tc>
          <w:tcPr>
            <w:tcW w:w="686" w:type="pct"/>
            <w:tcBorders>
              <w:top w:val="nil"/>
              <w:bottom w:val="nil"/>
            </w:tcBorders>
            <w:noWrap/>
          </w:tcPr>
          <w:p w14:paraId="0D28D6C0" w14:textId="77777777" w:rsidR="00911F85" w:rsidRPr="00072228" w:rsidRDefault="00911F85" w:rsidP="008742A1">
            <w:pPr>
              <w:pStyle w:val="TableHeading"/>
              <w:keepNext w:val="0"/>
              <w:jc w:val="right"/>
              <w:rPr>
                <w:b w:val="0"/>
              </w:rPr>
            </w:pPr>
            <w:r w:rsidRPr="00072228">
              <w:rPr>
                <w:b w:val="0"/>
              </w:rPr>
              <w:t>$61,825,925</w:t>
            </w:r>
          </w:p>
        </w:tc>
        <w:tc>
          <w:tcPr>
            <w:tcW w:w="686" w:type="pct"/>
            <w:tcBorders>
              <w:top w:val="nil"/>
              <w:bottom w:val="nil"/>
            </w:tcBorders>
            <w:noWrap/>
          </w:tcPr>
          <w:p w14:paraId="72C32EAE" w14:textId="77777777" w:rsidR="00911F85" w:rsidRPr="00072228" w:rsidRDefault="00911F85" w:rsidP="008742A1">
            <w:pPr>
              <w:pStyle w:val="TableHeading"/>
              <w:keepNext w:val="0"/>
              <w:jc w:val="right"/>
              <w:rPr>
                <w:b w:val="0"/>
              </w:rPr>
            </w:pPr>
            <w:r w:rsidRPr="00072228">
              <w:rPr>
                <w:b w:val="0"/>
              </w:rPr>
              <w:t>$66,560,286</w:t>
            </w:r>
          </w:p>
        </w:tc>
        <w:tc>
          <w:tcPr>
            <w:tcW w:w="686" w:type="pct"/>
            <w:tcBorders>
              <w:top w:val="nil"/>
              <w:bottom w:val="nil"/>
            </w:tcBorders>
            <w:noWrap/>
          </w:tcPr>
          <w:p w14:paraId="44E2CC7C" w14:textId="77777777" w:rsidR="00911F85" w:rsidRPr="00072228" w:rsidRDefault="00911F85" w:rsidP="008742A1">
            <w:pPr>
              <w:pStyle w:val="TableHeading"/>
              <w:keepNext w:val="0"/>
              <w:jc w:val="right"/>
              <w:rPr>
                <w:b w:val="0"/>
              </w:rPr>
            </w:pPr>
            <w:r w:rsidRPr="00072228">
              <w:rPr>
                <w:b w:val="0"/>
              </w:rPr>
              <w:t>$71,294,647</w:t>
            </w:r>
          </w:p>
        </w:tc>
        <w:tc>
          <w:tcPr>
            <w:tcW w:w="686" w:type="pct"/>
            <w:tcBorders>
              <w:top w:val="nil"/>
              <w:bottom w:val="nil"/>
            </w:tcBorders>
            <w:noWrap/>
          </w:tcPr>
          <w:p w14:paraId="4BCB93E0" w14:textId="77777777" w:rsidR="00911F85" w:rsidRPr="00072228" w:rsidRDefault="00911F85" w:rsidP="008742A1">
            <w:pPr>
              <w:pStyle w:val="TableHeading"/>
              <w:keepNext w:val="0"/>
              <w:jc w:val="right"/>
              <w:rPr>
                <w:b w:val="0"/>
              </w:rPr>
            </w:pPr>
            <w:r w:rsidRPr="00072228">
              <w:rPr>
                <w:b w:val="0"/>
              </w:rPr>
              <w:t>$76,029,008</w:t>
            </w:r>
          </w:p>
        </w:tc>
        <w:tc>
          <w:tcPr>
            <w:tcW w:w="687" w:type="pct"/>
            <w:tcBorders>
              <w:top w:val="nil"/>
              <w:bottom w:val="nil"/>
            </w:tcBorders>
            <w:noWrap/>
          </w:tcPr>
          <w:p w14:paraId="5BF4E89E" w14:textId="77777777" w:rsidR="00911F85" w:rsidRPr="00072228" w:rsidRDefault="00911F85" w:rsidP="008742A1">
            <w:pPr>
              <w:pStyle w:val="TableHeading"/>
              <w:keepNext w:val="0"/>
              <w:jc w:val="right"/>
              <w:rPr>
                <w:b w:val="0"/>
              </w:rPr>
            </w:pPr>
            <w:r w:rsidRPr="00072228">
              <w:rPr>
                <w:b w:val="0"/>
              </w:rPr>
              <w:t>$80,763,370</w:t>
            </w:r>
          </w:p>
        </w:tc>
      </w:tr>
      <w:tr w:rsidR="00911F85" w:rsidRPr="001B1EEE" w14:paraId="6A2E71B7" w14:textId="77777777" w:rsidTr="008742A1">
        <w:trPr>
          <w:trHeight w:val="300"/>
        </w:trPr>
        <w:tc>
          <w:tcPr>
            <w:tcW w:w="1569" w:type="pct"/>
            <w:tcBorders>
              <w:top w:val="nil"/>
              <w:bottom w:val="single" w:sz="4" w:space="0" w:color="auto"/>
            </w:tcBorders>
            <w:noWrap/>
          </w:tcPr>
          <w:p w14:paraId="7E86E25D" w14:textId="77777777" w:rsidR="00911F85" w:rsidRPr="001B1EEE" w:rsidRDefault="00911F85" w:rsidP="008742A1">
            <w:pPr>
              <w:pStyle w:val="TableHeading"/>
              <w:keepNext w:val="0"/>
              <w:jc w:val="left"/>
              <w:rPr>
                <w:b w:val="0"/>
              </w:rPr>
            </w:pPr>
            <w:r w:rsidRPr="001B1EEE">
              <w:rPr>
                <w:b w:val="0"/>
              </w:rPr>
              <w:t>Cost of Ig to the States</w:t>
            </w:r>
          </w:p>
        </w:tc>
        <w:tc>
          <w:tcPr>
            <w:tcW w:w="686" w:type="pct"/>
            <w:tcBorders>
              <w:top w:val="nil"/>
              <w:bottom w:val="single" w:sz="4" w:space="0" w:color="auto"/>
            </w:tcBorders>
            <w:noWrap/>
          </w:tcPr>
          <w:p w14:paraId="17A6FB4E" w14:textId="77777777" w:rsidR="00911F85" w:rsidRPr="00072228" w:rsidRDefault="00911F85" w:rsidP="008742A1">
            <w:pPr>
              <w:pStyle w:val="TableHeading"/>
              <w:keepNext w:val="0"/>
              <w:jc w:val="right"/>
              <w:rPr>
                <w:b w:val="0"/>
              </w:rPr>
            </w:pPr>
            <w:r w:rsidRPr="00072228">
              <w:rPr>
                <w:b w:val="0"/>
              </w:rPr>
              <w:t>$36,310,464</w:t>
            </w:r>
          </w:p>
        </w:tc>
        <w:tc>
          <w:tcPr>
            <w:tcW w:w="686" w:type="pct"/>
            <w:tcBorders>
              <w:top w:val="nil"/>
              <w:bottom w:val="single" w:sz="4" w:space="0" w:color="auto"/>
            </w:tcBorders>
            <w:noWrap/>
          </w:tcPr>
          <w:p w14:paraId="7C039A00" w14:textId="77777777" w:rsidR="00911F85" w:rsidRPr="00072228" w:rsidRDefault="00911F85" w:rsidP="008742A1">
            <w:pPr>
              <w:pStyle w:val="TableHeading"/>
              <w:keepNext w:val="0"/>
              <w:jc w:val="right"/>
              <w:rPr>
                <w:b w:val="0"/>
              </w:rPr>
            </w:pPr>
            <w:r w:rsidRPr="00072228">
              <w:rPr>
                <w:b w:val="0"/>
              </w:rPr>
              <w:t>$39,090,962</w:t>
            </w:r>
          </w:p>
        </w:tc>
        <w:tc>
          <w:tcPr>
            <w:tcW w:w="686" w:type="pct"/>
            <w:tcBorders>
              <w:top w:val="nil"/>
              <w:bottom w:val="single" w:sz="4" w:space="0" w:color="auto"/>
            </w:tcBorders>
            <w:noWrap/>
          </w:tcPr>
          <w:p w14:paraId="3137FAD2" w14:textId="77777777" w:rsidR="00911F85" w:rsidRPr="00072228" w:rsidRDefault="00911F85" w:rsidP="008742A1">
            <w:pPr>
              <w:pStyle w:val="TableHeading"/>
              <w:keepNext w:val="0"/>
              <w:jc w:val="right"/>
              <w:rPr>
                <w:b w:val="0"/>
              </w:rPr>
            </w:pPr>
            <w:r w:rsidRPr="00072228">
              <w:rPr>
                <w:b w:val="0"/>
              </w:rPr>
              <w:t>$41,871,460</w:t>
            </w:r>
          </w:p>
        </w:tc>
        <w:tc>
          <w:tcPr>
            <w:tcW w:w="686" w:type="pct"/>
            <w:tcBorders>
              <w:top w:val="nil"/>
              <w:bottom w:val="single" w:sz="4" w:space="0" w:color="auto"/>
            </w:tcBorders>
            <w:noWrap/>
          </w:tcPr>
          <w:p w14:paraId="4B9E17D7" w14:textId="77777777" w:rsidR="00911F85" w:rsidRPr="00072228" w:rsidRDefault="00911F85" w:rsidP="008742A1">
            <w:pPr>
              <w:pStyle w:val="TableHeading"/>
              <w:keepNext w:val="0"/>
              <w:jc w:val="right"/>
              <w:rPr>
                <w:b w:val="0"/>
              </w:rPr>
            </w:pPr>
            <w:r w:rsidRPr="00072228">
              <w:rPr>
                <w:b w:val="0"/>
              </w:rPr>
              <w:t>$44,651,957</w:t>
            </w:r>
          </w:p>
        </w:tc>
        <w:tc>
          <w:tcPr>
            <w:tcW w:w="687" w:type="pct"/>
            <w:tcBorders>
              <w:top w:val="nil"/>
              <w:bottom w:val="single" w:sz="4" w:space="0" w:color="auto"/>
            </w:tcBorders>
            <w:noWrap/>
          </w:tcPr>
          <w:p w14:paraId="0B056CE0" w14:textId="77777777" w:rsidR="00911F85" w:rsidRPr="00072228" w:rsidRDefault="00911F85" w:rsidP="008742A1">
            <w:pPr>
              <w:pStyle w:val="TableHeading"/>
              <w:keepNext w:val="0"/>
              <w:jc w:val="right"/>
              <w:rPr>
                <w:b w:val="0"/>
              </w:rPr>
            </w:pPr>
            <w:r w:rsidRPr="00072228">
              <w:rPr>
                <w:b w:val="0"/>
              </w:rPr>
              <w:t>$47,432,455</w:t>
            </w:r>
          </w:p>
        </w:tc>
      </w:tr>
      <w:tr w:rsidR="00911F85" w:rsidRPr="001B1EEE" w14:paraId="062592D3" w14:textId="77777777" w:rsidTr="008742A1">
        <w:trPr>
          <w:trHeight w:val="300"/>
        </w:trPr>
        <w:tc>
          <w:tcPr>
            <w:tcW w:w="1569" w:type="pct"/>
            <w:tcBorders>
              <w:top w:val="nil"/>
              <w:bottom w:val="single" w:sz="4" w:space="0" w:color="auto"/>
            </w:tcBorders>
            <w:noWrap/>
          </w:tcPr>
          <w:p w14:paraId="12CD56FE" w14:textId="77777777" w:rsidR="00911F85" w:rsidRPr="001B1EEE" w:rsidRDefault="00911F85" w:rsidP="008742A1">
            <w:pPr>
              <w:pStyle w:val="TableHeading"/>
              <w:keepNext w:val="0"/>
              <w:jc w:val="left"/>
              <w:rPr>
                <w:b w:val="0"/>
              </w:rPr>
            </w:pPr>
            <w:r w:rsidRPr="00680DD5">
              <w:rPr>
                <w:b w:val="0"/>
              </w:rPr>
              <w:t>Cost of Ig administration to the States</w:t>
            </w:r>
          </w:p>
        </w:tc>
        <w:tc>
          <w:tcPr>
            <w:tcW w:w="686" w:type="pct"/>
            <w:tcBorders>
              <w:top w:val="nil"/>
              <w:bottom w:val="single" w:sz="4" w:space="0" w:color="auto"/>
            </w:tcBorders>
            <w:noWrap/>
          </w:tcPr>
          <w:p w14:paraId="6A8F1C1F" w14:textId="77777777" w:rsidR="00911F85" w:rsidRPr="00072228" w:rsidRDefault="00911F85" w:rsidP="008742A1">
            <w:pPr>
              <w:pStyle w:val="TableHeading"/>
              <w:keepNext w:val="0"/>
              <w:jc w:val="right"/>
              <w:rPr>
                <w:b w:val="0"/>
              </w:rPr>
            </w:pPr>
            <w:r w:rsidRPr="00072228">
              <w:rPr>
                <w:b w:val="0"/>
              </w:rPr>
              <w:t>$15,427,172</w:t>
            </w:r>
          </w:p>
        </w:tc>
        <w:tc>
          <w:tcPr>
            <w:tcW w:w="686" w:type="pct"/>
            <w:tcBorders>
              <w:top w:val="nil"/>
              <w:bottom w:val="single" w:sz="4" w:space="0" w:color="auto"/>
            </w:tcBorders>
            <w:noWrap/>
          </w:tcPr>
          <w:p w14:paraId="0F36C6E7" w14:textId="77777777" w:rsidR="00911F85" w:rsidRPr="00072228" w:rsidRDefault="00911F85" w:rsidP="008742A1">
            <w:pPr>
              <w:pStyle w:val="TableHeading"/>
              <w:keepNext w:val="0"/>
              <w:jc w:val="right"/>
              <w:rPr>
                <w:b w:val="0"/>
              </w:rPr>
            </w:pPr>
            <w:r w:rsidRPr="00072228">
              <w:rPr>
                <w:b w:val="0"/>
              </w:rPr>
              <w:t>$16,394,813</w:t>
            </w:r>
          </w:p>
        </w:tc>
        <w:tc>
          <w:tcPr>
            <w:tcW w:w="686" w:type="pct"/>
            <w:tcBorders>
              <w:top w:val="nil"/>
              <w:bottom w:val="single" w:sz="4" w:space="0" w:color="auto"/>
            </w:tcBorders>
            <w:noWrap/>
          </w:tcPr>
          <w:p w14:paraId="43794623" w14:textId="77777777" w:rsidR="00911F85" w:rsidRPr="00072228" w:rsidRDefault="00911F85" w:rsidP="008742A1">
            <w:pPr>
              <w:pStyle w:val="TableHeading"/>
              <w:keepNext w:val="0"/>
              <w:jc w:val="right"/>
              <w:rPr>
                <w:b w:val="0"/>
              </w:rPr>
            </w:pPr>
            <w:r w:rsidRPr="00072228">
              <w:rPr>
                <w:b w:val="0"/>
              </w:rPr>
              <w:t>$17,362,453</w:t>
            </w:r>
          </w:p>
        </w:tc>
        <w:tc>
          <w:tcPr>
            <w:tcW w:w="686" w:type="pct"/>
            <w:tcBorders>
              <w:top w:val="nil"/>
              <w:bottom w:val="single" w:sz="4" w:space="0" w:color="auto"/>
            </w:tcBorders>
            <w:noWrap/>
          </w:tcPr>
          <w:p w14:paraId="1E848BBA" w14:textId="77777777" w:rsidR="00911F85" w:rsidRPr="00072228" w:rsidRDefault="00911F85" w:rsidP="008742A1">
            <w:pPr>
              <w:pStyle w:val="TableHeading"/>
              <w:keepNext w:val="0"/>
              <w:jc w:val="right"/>
              <w:rPr>
                <w:b w:val="0"/>
              </w:rPr>
            </w:pPr>
            <w:r w:rsidRPr="00072228">
              <w:rPr>
                <w:b w:val="0"/>
              </w:rPr>
              <w:t>$18,330,093</w:t>
            </w:r>
          </w:p>
        </w:tc>
        <w:tc>
          <w:tcPr>
            <w:tcW w:w="687" w:type="pct"/>
            <w:tcBorders>
              <w:top w:val="nil"/>
              <w:bottom w:val="single" w:sz="4" w:space="0" w:color="auto"/>
            </w:tcBorders>
            <w:noWrap/>
          </w:tcPr>
          <w:p w14:paraId="5DF11E55" w14:textId="77777777" w:rsidR="00911F85" w:rsidRPr="00072228" w:rsidRDefault="00911F85" w:rsidP="008742A1">
            <w:pPr>
              <w:pStyle w:val="TableHeading"/>
              <w:keepNext w:val="0"/>
              <w:jc w:val="right"/>
              <w:rPr>
                <w:b w:val="0"/>
              </w:rPr>
            </w:pPr>
            <w:r w:rsidRPr="00072228">
              <w:rPr>
                <w:b w:val="0"/>
              </w:rPr>
              <w:t>$19,297,734</w:t>
            </w:r>
          </w:p>
        </w:tc>
      </w:tr>
      <w:tr w:rsidR="00911F85" w:rsidRPr="001B1EEE" w14:paraId="1C1D489A" w14:textId="77777777" w:rsidTr="008742A1">
        <w:trPr>
          <w:trHeight w:val="300"/>
        </w:trPr>
        <w:tc>
          <w:tcPr>
            <w:tcW w:w="1569" w:type="pct"/>
            <w:tcBorders>
              <w:bottom w:val="nil"/>
            </w:tcBorders>
            <w:noWrap/>
          </w:tcPr>
          <w:p w14:paraId="6A7E6A5D" w14:textId="77777777" w:rsidR="00911F85" w:rsidRPr="001B1EEE" w:rsidRDefault="00911F85" w:rsidP="008742A1">
            <w:pPr>
              <w:pStyle w:val="TableHeading"/>
              <w:jc w:val="left"/>
              <w:rPr>
                <w:b w:val="0"/>
              </w:rPr>
            </w:pPr>
            <w:r w:rsidRPr="001B1EEE">
              <w:rPr>
                <w:b w:val="0"/>
              </w:rPr>
              <w:t>Total cost offsets due to a reduction in the number of infections</w:t>
            </w:r>
          </w:p>
        </w:tc>
        <w:tc>
          <w:tcPr>
            <w:tcW w:w="686" w:type="pct"/>
            <w:tcBorders>
              <w:bottom w:val="nil"/>
            </w:tcBorders>
            <w:noWrap/>
          </w:tcPr>
          <w:p w14:paraId="0EC35717" w14:textId="77777777" w:rsidR="00911F85" w:rsidRPr="00072228" w:rsidRDefault="00911F85" w:rsidP="008742A1">
            <w:pPr>
              <w:pStyle w:val="TableHeading"/>
              <w:keepNext w:val="0"/>
              <w:jc w:val="right"/>
              <w:rPr>
                <w:b w:val="0"/>
              </w:rPr>
            </w:pPr>
            <w:r w:rsidRPr="00072228">
              <w:rPr>
                <w:b w:val="0"/>
              </w:rPr>
              <w:t>–$18,180,716</w:t>
            </w:r>
          </w:p>
        </w:tc>
        <w:tc>
          <w:tcPr>
            <w:tcW w:w="686" w:type="pct"/>
            <w:tcBorders>
              <w:bottom w:val="nil"/>
            </w:tcBorders>
            <w:noWrap/>
          </w:tcPr>
          <w:p w14:paraId="76F0D702" w14:textId="77777777" w:rsidR="00911F85" w:rsidRPr="00072228" w:rsidRDefault="00911F85" w:rsidP="008742A1">
            <w:pPr>
              <w:pStyle w:val="TableHeading"/>
              <w:keepNext w:val="0"/>
              <w:jc w:val="right"/>
              <w:rPr>
                <w:b w:val="0"/>
              </w:rPr>
            </w:pPr>
            <w:r w:rsidRPr="00072228">
              <w:rPr>
                <w:b w:val="0"/>
              </w:rPr>
              <w:t>–$19,320,253</w:t>
            </w:r>
          </w:p>
        </w:tc>
        <w:tc>
          <w:tcPr>
            <w:tcW w:w="686" w:type="pct"/>
            <w:tcBorders>
              <w:bottom w:val="nil"/>
            </w:tcBorders>
            <w:noWrap/>
          </w:tcPr>
          <w:p w14:paraId="107556C6" w14:textId="77777777" w:rsidR="00911F85" w:rsidRPr="00072228" w:rsidRDefault="00911F85" w:rsidP="008742A1">
            <w:pPr>
              <w:pStyle w:val="TableHeading"/>
              <w:keepNext w:val="0"/>
              <w:jc w:val="right"/>
              <w:rPr>
                <w:b w:val="0"/>
              </w:rPr>
            </w:pPr>
            <w:r w:rsidRPr="00072228">
              <w:rPr>
                <w:b w:val="0"/>
              </w:rPr>
              <w:t>–$20,459,790</w:t>
            </w:r>
          </w:p>
        </w:tc>
        <w:tc>
          <w:tcPr>
            <w:tcW w:w="686" w:type="pct"/>
            <w:tcBorders>
              <w:bottom w:val="nil"/>
            </w:tcBorders>
            <w:noWrap/>
          </w:tcPr>
          <w:p w14:paraId="008EA4E7" w14:textId="77777777" w:rsidR="00911F85" w:rsidRPr="00072228" w:rsidRDefault="00911F85" w:rsidP="008742A1">
            <w:pPr>
              <w:pStyle w:val="TableHeading"/>
              <w:keepNext w:val="0"/>
              <w:jc w:val="right"/>
              <w:rPr>
                <w:b w:val="0"/>
              </w:rPr>
            </w:pPr>
            <w:r w:rsidRPr="00072228">
              <w:rPr>
                <w:b w:val="0"/>
              </w:rPr>
              <w:t>–$21,599,328</w:t>
            </w:r>
          </w:p>
        </w:tc>
        <w:tc>
          <w:tcPr>
            <w:tcW w:w="687" w:type="pct"/>
            <w:tcBorders>
              <w:bottom w:val="nil"/>
            </w:tcBorders>
            <w:noWrap/>
          </w:tcPr>
          <w:p w14:paraId="7B58E384" w14:textId="77777777" w:rsidR="00911F85" w:rsidRPr="00072228" w:rsidRDefault="00911F85" w:rsidP="008742A1">
            <w:pPr>
              <w:pStyle w:val="TableHeading"/>
              <w:keepNext w:val="0"/>
              <w:jc w:val="right"/>
              <w:rPr>
                <w:b w:val="0"/>
              </w:rPr>
            </w:pPr>
            <w:r w:rsidRPr="00072228">
              <w:rPr>
                <w:b w:val="0"/>
              </w:rPr>
              <w:t>–$22,738,865</w:t>
            </w:r>
          </w:p>
        </w:tc>
      </w:tr>
      <w:tr w:rsidR="00911F85" w:rsidRPr="001B1EEE" w14:paraId="221B27F1" w14:textId="77777777" w:rsidTr="008742A1">
        <w:trPr>
          <w:trHeight w:val="300"/>
        </w:trPr>
        <w:tc>
          <w:tcPr>
            <w:tcW w:w="1569" w:type="pct"/>
            <w:tcBorders>
              <w:top w:val="nil"/>
              <w:bottom w:val="nil"/>
            </w:tcBorders>
            <w:noWrap/>
          </w:tcPr>
          <w:p w14:paraId="2A76EE86" w14:textId="77777777" w:rsidR="00911F85" w:rsidRPr="001B1EEE" w:rsidRDefault="00911F85" w:rsidP="008742A1">
            <w:pPr>
              <w:pStyle w:val="TableHeading"/>
              <w:jc w:val="left"/>
              <w:rPr>
                <w:b w:val="0"/>
              </w:rPr>
            </w:pPr>
            <w:r w:rsidRPr="001B1EEE">
              <w:rPr>
                <w:b w:val="0"/>
              </w:rPr>
              <w:t>Offsets to the Commonwealth</w:t>
            </w:r>
          </w:p>
        </w:tc>
        <w:tc>
          <w:tcPr>
            <w:tcW w:w="686" w:type="pct"/>
            <w:tcBorders>
              <w:top w:val="nil"/>
              <w:bottom w:val="nil"/>
            </w:tcBorders>
            <w:noWrap/>
          </w:tcPr>
          <w:p w14:paraId="2FA95576" w14:textId="77777777" w:rsidR="00911F85" w:rsidRPr="00072228" w:rsidRDefault="00911F85" w:rsidP="008742A1">
            <w:pPr>
              <w:pStyle w:val="TableHeading"/>
              <w:keepNext w:val="0"/>
              <w:jc w:val="right"/>
              <w:rPr>
                <w:b w:val="0"/>
              </w:rPr>
            </w:pPr>
            <w:r w:rsidRPr="00072228">
              <w:rPr>
                <w:b w:val="0"/>
              </w:rPr>
              <w:t>–$671,936</w:t>
            </w:r>
          </w:p>
        </w:tc>
        <w:tc>
          <w:tcPr>
            <w:tcW w:w="686" w:type="pct"/>
            <w:tcBorders>
              <w:top w:val="nil"/>
              <w:bottom w:val="nil"/>
            </w:tcBorders>
            <w:noWrap/>
          </w:tcPr>
          <w:p w14:paraId="0E404DFC" w14:textId="77777777" w:rsidR="00911F85" w:rsidRPr="00072228" w:rsidRDefault="00911F85" w:rsidP="008742A1">
            <w:pPr>
              <w:pStyle w:val="TableHeading"/>
              <w:keepNext w:val="0"/>
              <w:jc w:val="right"/>
              <w:rPr>
                <w:b w:val="0"/>
              </w:rPr>
            </w:pPr>
            <w:r w:rsidRPr="00072228">
              <w:rPr>
                <w:b w:val="0"/>
              </w:rPr>
              <w:t>–$714,051</w:t>
            </w:r>
          </w:p>
        </w:tc>
        <w:tc>
          <w:tcPr>
            <w:tcW w:w="686" w:type="pct"/>
            <w:tcBorders>
              <w:top w:val="nil"/>
              <w:bottom w:val="nil"/>
            </w:tcBorders>
            <w:noWrap/>
          </w:tcPr>
          <w:p w14:paraId="53FC8647" w14:textId="77777777" w:rsidR="00911F85" w:rsidRPr="00072228" w:rsidRDefault="00911F85" w:rsidP="008742A1">
            <w:pPr>
              <w:pStyle w:val="TableHeading"/>
              <w:keepNext w:val="0"/>
              <w:jc w:val="right"/>
              <w:rPr>
                <w:b w:val="0"/>
              </w:rPr>
            </w:pPr>
            <w:r w:rsidRPr="00072228">
              <w:rPr>
                <w:b w:val="0"/>
              </w:rPr>
              <w:t>–$756,167</w:t>
            </w:r>
          </w:p>
        </w:tc>
        <w:tc>
          <w:tcPr>
            <w:tcW w:w="686" w:type="pct"/>
            <w:tcBorders>
              <w:top w:val="nil"/>
              <w:bottom w:val="nil"/>
            </w:tcBorders>
            <w:noWrap/>
          </w:tcPr>
          <w:p w14:paraId="19B82172" w14:textId="77777777" w:rsidR="00911F85" w:rsidRPr="00072228" w:rsidRDefault="00911F85" w:rsidP="008742A1">
            <w:pPr>
              <w:pStyle w:val="TableHeading"/>
              <w:keepNext w:val="0"/>
              <w:jc w:val="right"/>
              <w:rPr>
                <w:b w:val="0"/>
              </w:rPr>
            </w:pPr>
            <w:r w:rsidRPr="00072228">
              <w:rPr>
                <w:b w:val="0"/>
              </w:rPr>
              <w:t>–$798,283</w:t>
            </w:r>
          </w:p>
        </w:tc>
        <w:tc>
          <w:tcPr>
            <w:tcW w:w="687" w:type="pct"/>
            <w:tcBorders>
              <w:top w:val="nil"/>
              <w:bottom w:val="nil"/>
            </w:tcBorders>
            <w:noWrap/>
          </w:tcPr>
          <w:p w14:paraId="47E7C91D" w14:textId="77777777" w:rsidR="00911F85" w:rsidRPr="00072228" w:rsidRDefault="00911F85" w:rsidP="008742A1">
            <w:pPr>
              <w:pStyle w:val="TableHeading"/>
              <w:keepNext w:val="0"/>
              <w:jc w:val="right"/>
              <w:rPr>
                <w:b w:val="0"/>
              </w:rPr>
            </w:pPr>
            <w:r w:rsidRPr="00072228">
              <w:rPr>
                <w:b w:val="0"/>
              </w:rPr>
              <w:t>–$840,399</w:t>
            </w:r>
          </w:p>
        </w:tc>
      </w:tr>
      <w:tr w:rsidR="00911F85" w:rsidRPr="001B1EEE" w14:paraId="35A5321F" w14:textId="77777777" w:rsidTr="008742A1">
        <w:trPr>
          <w:trHeight w:val="300"/>
        </w:trPr>
        <w:tc>
          <w:tcPr>
            <w:tcW w:w="1569" w:type="pct"/>
            <w:tcBorders>
              <w:top w:val="nil"/>
              <w:bottom w:val="single" w:sz="4" w:space="0" w:color="auto"/>
            </w:tcBorders>
            <w:noWrap/>
          </w:tcPr>
          <w:p w14:paraId="06D80A31" w14:textId="77777777" w:rsidR="00911F85" w:rsidRPr="001B1EEE" w:rsidRDefault="00911F85" w:rsidP="008742A1">
            <w:pPr>
              <w:pStyle w:val="TableHeading"/>
              <w:keepNext w:val="0"/>
              <w:jc w:val="left"/>
              <w:rPr>
                <w:b w:val="0"/>
              </w:rPr>
            </w:pPr>
            <w:r w:rsidRPr="001B1EEE">
              <w:rPr>
                <w:b w:val="0"/>
              </w:rPr>
              <w:t>Offsets to the States</w:t>
            </w:r>
          </w:p>
        </w:tc>
        <w:tc>
          <w:tcPr>
            <w:tcW w:w="686" w:type="pct"/>
            <w:tcBorders>
              <w:top w:val="nil"/>
              <w:bottom w:val="single" w:sz="4" w:space="0" w:color="auto"/>
            </w:tcBorders>
            <w:noWrap/>
          </w:tcPr>
          <w:p w14:paraId="290BB1C6" w14:textId="77777777" w:rsidR="00911F85" w:rsidRPr="00072228" w:rsidRDefault="00911F85" w:rsidP="008742A1">
            <w:pPr>
              <w:pStyle w:val="TableHeading"/>
              <w:keepNext w:val="0"/>
              <w:jc w:val="right"/>
              <w:rPr>
                <w:b w:val="0"/>
              </w:rPr>
            </w:pPr>
            <w:r w:rsidRPr="00072228">
              <w:rPr>
                <w:b w:val="0"/>
              </w:rPr>
              <w:t>–$17,508,780</w:t>
            </w:r>
          </w:p>
        </w:tc>
        <w:tc>
          <w:tcPr>
            <w:tcW w:w="686" w:type="pct"/>
            <w:tcBorders>
              <w:top w:val="nil"/>
              <w:bottom w:val="single" w:sz="4" w:space="0" w:color="auto"/>
            </w:tcBorders>
            <w:noWrap/>
          </w:tcPr>
          <w:p w14:paraId="40AFC6B5" w14:textId="77777777" w:rsidR="00911F85" w:rsidRPr="00072228" w:rsidRDefault="00911F85" w:rsidP="008742A1">
            <w:pPr>
              <w:pStyle w:val="TableHeading"/>
              <w:keepNext w:val="0"/>
              <w:jc w:val="right"/>
              <w:rPr>
                <w:b w:val="0"/>
              </w:rPr>
            </w:pPr>
            <w:r w:rsidRPr="00072228">
              <w:rPr>
                <w:b w:val="0"/>
              </w:rPr>
              <w:t>–$18,606,202</w:t>
            </w:r>
          </w:p>
        </w:tc>
        <w:tc>
          <w:tcPr>
            <w:tcW w:w="686" w:type="pct"/>
            <w:tcBorders>
              <w:top w:val="nil"/>
              <w:bottom w:val="single" w:sz="4" w:space="0" w:color="auto"/>
            </w:tcBorders>
            <w:noWrap/>
          </w:tcPr>
          <w:p w14:paraId="3266D610" w14:textId="77777777" w:rsidR="00911F85" w:rsidRPr="00072228" w:rsidRDefault="00911F85" w:rsidP="008742A1">
            <w:pPr>
              <w:pStyle w:val="TableHeading"/>
              <w:keepNext w:val="0"/>
              <w:jc w:val="right"/>
              <w:rPr>
                <w:b w:val="0"/>
              </w:rPr>
            </w:pPr>
            <w:r w:rsidRPr="00072228">
              <w:rPr>
                <w:b w:val="0"/>
              </w:rPr>
              <w:t>–$19,703,623</w:t>
            </w:r>
          </w:p>
        </w:tc>
        <w:tc>
          <w:tcPr>
            <w:tcW w:w="686" w:type="pct"/>
            <w:tcBorders>
              <w:top w:val="nil"/>
              <w:bottom w:val="single" w:sz="4" w:space="0" w:color="auto"/>
            </w:tcBorders>
            <w:noWrap/>
          </w:tcPr>
          <w:p w14:paraId="2E2EE227" w14:textId="77777777" w:rsidR="00911F85" w:rsidRPr="00072228" w:rsidRDefault="00911F85" w:rsidP="008742A1">
            <w:pPr>
              <w:pStyle w:val="TableHeading"/>
              <w:keepNext w:val="0"/>
              <w:jc w:val="right"/>
              <w:rPr>
                <w:b w:val="0"/>
              </w:rPr>
            </w:pPr>
            <w:r w:rsidRPr="00072228">
              <w:rPr>
                <w:b w:val="0"/>
              </w:rPr>
              <w:t>–$20,801,045</w:t>
            </w:r>
          </w:p>
        </w:tc>
        <w:tc>
          <w:tcPr>
            <w:tcW w:w="687" w:type="pct"/>
            <w:tcBorders>
              <w:top w:val="nil"/>
              <w:bottom w:val="single" w:sz="4" w:space="0" w:color="auto"/>
            </w:tcBorders>
            <w:noWrap/>
          </w:tcPr>
          <w:p w14:paraId="57A6D0CD" w14:textId="77777777" w:rsidR="00911F85" w:rsidRPr="00072228" w:rsidRDefault="00911F85" w:rsidP="008742A1">
            <w:pPr>
              <w:pStyle w:val="TableHeading"/>
              <w:keepNext w:val="0"/>
              <w:jc w:val="right"/>
              <w:rPr>
                <w:b w:val="0"/>
              </w:rPr>
            </w:pPr>
            <w:r w:rsidRPr="00072228">
              <w:rPr>
                <w:b w:val="0"/>
              </w:rPr>
              <w:t>–$21,898,466</w:t>
            </w:r>
          </w:p>
        </w:tc>
      </w:tr>
      <w:bookmarkEnd w:id="667"/>
      <w:tr w:rsidR="00911F85" w:rsidRPr="002C55F2" w14:paraId="0F4A84F3" w14:textId="77777777" w:rsidTr="008742A1">
        <w:trPr>
          <w:trHeight w:val="300"/>
        </w:trPr>
        <w:tc>
          <w:tcPr>
            <w:tcW w:w="1569" w:type="pct"/>
            <w:tcBorders>
              <w:bottom w:val="nil"/>
            </w:tcBorders>
            <w:noWrap/>
          </w:tcPr>
          <w:p w14:paraId="1D80AD73" w14:textId="77777777" w:rsidR="00911F85" w:rsidRPr="001B1EEE" w:rsidRDefault="00911F85" w:rsidP="008742A1">
            <w:pPr>
              <w:pStyle w:val="TableHeading"/>
              <w:jc w:val="left"/>
            </w:pPr>
            <w:r w:rsidRPr="001B1EEE">
              <w:t>Net cost</w:t>
            </w:r>
          </w:p>
        </w:tc>
        <w:tc>
          <w:tcPr>
            <w:tcW w:w="686" w:type="pct"/>
            <w:tcBorders>
              <w:bottom w:val="nil"/>
            </w:tcBorders>
            <w:noWrap/>
          </w:tcPr>
          <w:p w14:paraId="6C8AD49D" w14:textId="77777777" w:rsidR="00911F85" w:rsidRPr="00072228" w:rsidRDefault="00911F85" w:rsidP="008742A1">
            <w:pPr>
              <w:pStyle w:val="TableHeading"/>
              <w:keepNext w:val="0"/>
              <w:jc w:val="right"/>
            </w:pPr>
            <w:r w:rsidRPr="00072228">
              <w:t>$95,382,845</w:t>
            </w:r>
          </w:p>
        </w:tc>
        <w:tc>
          <w:tcPr>
            <w:tcW w:w="686" w:type="pct"/>
            <w:tcBorders>
              <w:bottom w:val="nil"/>
            </w:tcBorders>
            <w:noWrap/>
          </w:tcPr>
          <w:p w14:paraId="250B81F3" w14:textId="77777777" w:rsidR="00911F85" w:rsidRPr="00072228" w:rsidRDefault="00911F85" w:rsidP="008742A1">
            <w:pPr>
              <w:pStyle w:val="TableHeading"/>
              <w:keepNext w:val="0"/>
              <w:jc w:val="right"/>
            </w:pPr>
            <w:r w:rsidRPr="00072228">
              <w:t>$102,725,807</w:t>
            </w:r>
          </w:p>
        </w:tc>
        <w:tc>
          <w:tcPr>
            <w:tcW w:w="686" w:type="pct"/>
            <w:tcBorders>
              <w:bottom w:val="nil"/>
            </w:tcBorders>
            <w:noWrap/>
          </w:tcPr>
          <w:p w14:paraId="458504F1" w14:textId="77777777" w:rsidR="00911F85" w:rsidRPr="00072228" w:rsidRDefault="00911F85" w:rsidP="008742A1">
            <w:pPr>
              <w:pStyle w:val="TableHeading"/>
              <w:keepNext w:val="0"/>
              <w:jc w:val="right"/>
            </w:pPr>
            <w:r w:rsidRPr="00072228">
              <w:t>$110,068,769</w:t>
            </w:r>
          </w:p>
        </w:tc>
        <w:tc>
          <w:tcPr>
            <w:tcW w:w="686" w:type="pct"/>
            <w:tcBorders>
              <w:bottom w:val="nil"/>
            </w:tcBorders>
            <w:noWrap/>
          </w:tcPr>
          <w:p w14:paraId="1B1B7E33" w14:textId="77777777" w:rsidR="00911F85" w:rsidRPr="00072228" w:rsidRDefault="00911F85" w:rsidP="008742A1">
            <w:pPr>
              <w:pStyle w:val="TableHeading"/>
              <w:keepNext w:val="0"/>
              <w:jc w:val="right"/>
            </w:pPr>
            <w:r w:rsidRPr="00072228">
              <w:t>$117,411,732</w:t>
            </w:r>
          </w:p>
        </w:tc>
        <w:tc>
          <w:tcPr>
            <w:tcW w:w="687" w:type="pct"/>
            <w:tcBorders>
              <w:bottom w:val="nil"/>
            </w:tcBorders>
            <w:noWrap/>
          </w:tcPr>
          <w:p w14:paraId="08C52C8B" w14:textId="77777777" w:rsidR="00911F85" w:rsidRPr="00072228" w:rsidRDefault="00911F85" w:rsidP="008742A1">
            <w:pPr>
              <w:pStyle w:val="TableHeading"/>
              <w:keepNext w:val="0"/>
              <w:jc w:val="right"/>
            </w:pPr>
            <w:r w:rsidRPr="00072228">
              <w:t>$124,754,694</w:t>
            </w:r>
          </w:p>
        </w:tc>
      </w:tr>
      <w:tr w:rsidR="00911F85" w:rsidRPr="002C55F2" w14:paraId="47129FD5" w14:textId="77777777" w:rsidTr="008742A1">
        <w:trPr>
          <w:trHeight w:val="300"/>
        </w:trPr>
        <w:tc>
          <w:tcPr>
            <w:tcW w:w="1569" w:type="pct"/>
            <w:tcBorders>
              <w:top w:val="nil"/>
              <w:bottom w:val="nil"/>
            </w:tcBorders>
            <w:noWrap/>
          </w:tcPr>
          <w:p w14:paraId="38DB1773" w14:textId="77777777" w:rsidR="00911F85" w:rsidRPr="001B1EEE" w:rsidRDefault="00911F85" w:rsidP="008742A1">
            <w:pPr>
              <w:pStyle w:val="TableHeading"/>
              <w:jc w:val="left"/>
              <w:rPr>
                <w:b w:val="0"/>
              </w:rPr>
            </w:pPr>
            <w:r w:rsidRPr="001B1EEE">
              <w:rPr>
                <w:b w:val="0"/>
              </w:rPr>
              <w:t>Net cost to the Commonwealth</w:t>
            </w:r>
          </w:p>
        </w:tc>
        <w:tc>
          <w:tcPr>
            <w:tcW w:w="686" w:type="pct"/>
            <w:tcBorders>
              <w:top w:val="nil"/>
              <w:bottom w:val="nil"/>
            </w:tcBorders>
            <w:noWrap/>
          </w:tcPr>
          <w:p w14:paraId="481F60F5" w14:textId="77777777" w:rsidR="00911F85" w:rsidRPr="00072228" w:rsidRDefault="00911F85" w:rsidP="008742A1">
            <w:pPr>
              <w:pStyle w:val="TableHeading"/>
              <w:keepNext w:val="0"/>
              <w:jc w:val="right"/>
              <w:rPr>
                <w:b w:val="0"/>
              </w:rPr>
            </w:pPr>
            <w:r w:rsidRPr="00072228">
              <w:rPr>
                <w:b w:val="0"/>
              </w:rPr>
              <w:t>$61,153,989</w:t>
            </w:r>
          </w:p>
        </w:tc>
        <w:tc>
          <w:tcPr>
            <w:tcW w:w="686" w:type="pct"/>
            <w:tcBorders>
              <w:top w:val="nil"/>
              <w:bottom w:val="nil"/>
            </w:tcBorders>
            <w:noWrap/>
          </w:tcPr>
          <w:p w14:paraId="76D76A19" w14:textId="77777777" w:rsidR="00911F85" w:rsidRPr="00072228" w:rsidRDefault="00911F85" w:rsidP="008742A1">
            <w:pPr>
              <w:pStyle w:val="TableHeading"/>
              <w:keepNext w:val="0"/>
              <w:jc w:val="right"/>
              <w:rPr>
                <w:b w:val="0"/>
              </w:rPr>
            </w:pPr>
            <w:r w:rsidRPr="00072228">
              <w:rPr>
                <w:b w:val="0"/>
              </w:rPr>
              <w:t>$65,846,235</w:t>
            </w:r>
          </w:p>
        </w:tc>
        <w:tc>
          <w:tcPr>
            <w:tcW w:w="686" w:type="pct"/>
            <w:tcBorders>
              <w:top w:val="nil"/>
              <w:bottom w:val="nil"/>
            </w:tcBorders>
            <w:noWrap/>
          </w:tcPr>
          <w:p w14:paraId="410E2BC8" w14:textId="77777777" w:rsidR="00911F85" w:rsidRPr="00072228" w:rsidRDefault="00911F85" w:rsidP="008742A1">
            <w:pPr>
              <w:pStyle w:val="TableHeading"/>
              <w:keepNext w:val="0"/>
              <w:jc w:val="right"/>
              <w:rPr>
                <w:b w:val="0"/>
              </w:rPr>
            </w:pPr>
            <w:r w:rsidRPr="00072228">
              <w:rPr>
                <w:b w:val="0"/>
              </w:rPr>
              <w:t>$70,538,480</w:t>
            </w:r>
          </w:p>
        </w:tc>
        <w:tc>
          <w:tcPr>
            <w:tcW w:w="686" w:type="pct"/>
            <w:tcBorders>
              <w:top w:val="nil"/>
              <w:bottom w:val="nil"/>
            </w:tcBorders>
            <w:noWrap/>
          </w:tcPr>
          <w:p w14:paraId="57B2644F" w14:textId="77777777" w:rsidR="00911F85" w:rsidRPr="00072228" w:rsidRDefault="00911F85" w:rsidP="008742A1">
            <w:pPr>
              <w:pStyle w:val="TableHeading"/>
              <w:keepNext w:val="0"/>
              <w:jc w:val="right"/>
              <w:rPr>
                <w:b w:val="0"/>
              </w:rPr>
            </w:pPr>
            <w:r w:rsidRPr="00072228">
              <w:rPr>
                <w:b w:val="0"/>
              </w:rPr>
              <w:t>$75,230,725</w:t>
            </w:r>
          </w:p>
        </w:tc>
        <w:tc>
          <w:tcPr>
            <w:tcW w:w="687" w:type="pct"/>
            <w:tcBorders>
              <w:top w:val="nil"/>
              <w:bottom w:val="nil"/>
            </w:tcBorders>
            <w:noWrap/>
          </w:tcPr>
          <w:p w14:paraId="71BEFD91" w14:textId="77777777" w:rsidR="00911F85" w:rsidRPr="00072228" w:rsidRDefault="00911F85" w:rsidP="008742A1">
            <w:pPr>
              <w:pStyle w:val="TableHeading"/>
              <w:keepNext w:val="0"/>
              <w:jc w:val="right"/>
              <w:rPr>
                <w:b w:val="0"/>
              </w:rPr>
            </w:pPr>
            <w:r w:rsidRPr="00072228">
              <w:rPr>
                <w:b w:val="0"/>
              </w:rPr>
              <w:t>$79,922,971</w:t>
            </w:r>
          </w:p>
        </w:tc>
      </w:tr>
      <w:tr w:rsidR="00911F85" w:rsidRPr="002C55F2" w14:paraId="0E50542C" w14:textId="77777777" w:rsidTr="008742A1">
        <w:trPr>
          <w:trHeight w:val="300"/>
        </w:trPr>
        <w:tc>
          <w:tcPr>
            <w:tcW w:w="1569" w:type="pct"/>
            <w:tcBorders>
              <w:top w:val="nil"/>
            </w:tcBorders>
            <w:noWrap/>
          </w:tcPr>
          <w:p w14:paraId="308A8778" w14:textId="77777777" w:rsidR="00911F85" w:rsidRPr="001B1EEE" w:rsidRDefault="00911F85" w:rsidP="008742A1">
            <w:pPr>
              <w:pStyle w:val="TableHeading"/>
              <w:keepNext w:val="0"/>
              <w:jc w:val="left"/>
              <w:rPr>
                <w:b w:val="0"/>
              </w:rPr>
            </w:pPr>
            <w:r w:rsidRPr="001B1EEE">
              <w:rPr>
                <w:b w:val="0"/>
              </w:rPr>
              <w:t>Net cost to States</w:t>
            </w:r>
          </w:p>
        </w:tc>
        <w:tc>
          <w:tcPr>
            <w:tcW w:w="686" w:type="pct"/>
            <w:tcBorders>
              <w:top w:val="nil"/>
            </w:tcBorders>
            <w:noWrap/>
          </w:tcPr>
          <w:p w14:paraId="4D7BDF4F" w14:textId="77777777" w:rsidR="00911F85" w:rsidRPr="00072228" w:rsidRDefault="00911F85" w:rsidP="008742A1">
            <w:pPr>
              <w:pStyle w:val="TableHeading"/>
              <w:keepNext w:val="0"/>
              <w:jc w:val="right"/>
              <w:rPr>
                <w:b w:val="0"/>
              </w:rPr>
            </w:pPr>
            <w:r w:rsidRPr="00072228">
              <w:rPr>
                <w:b w:val="0"/>
              </w:rPr>
              <w:t>$34,228,856</w:t>
            </w:r>
          </w:p>
        </w:tc>
        <w:tc>
          <w:tcPr>
            <w:tcW w:w="686" w:type="pct"/>
            <w:tcBorders>
              <w:top w:val="nil"/>
            </w:tcBorders>
            <w:noWrap/>
          </w:tcPr>
          <w:p w14:paraId="2432B5F0" w14:textId="77777777" w:rsidR="00911F85" w:rsidRPr="00072228" w:rsidRDefault="00911F85" w:rsidP="008742A1">
            <w:pPr>
              <w:pStyle w:val="TableHeading"/>
              <w:keepNext w:val="0"/>
              <w:jc w:val="right"/>
              <w:rPr>
                <w:b w:val="0"/>
              </w:rPr>
            </w:pPr>
            <w:r w:rsidRPr="00072228">
              <w:rPr>
                <w:b w:val="0"/>
              </w:rPr>
              <w:t>$36,879,572</w:t>
            </w:r>
          </w:p>
        </w:tc>
        <w:tc>
          <w:tcPr>
            <w:tcW w:w="686" w:type="pct"/>
            <w:tcBorders>
              <w:top w:val="nil"/>
            </w:tcBorders>
            <w:noWrap/>
          </w:tcPr>
          <w:p w14:paraId="487A82AB" w14:textId="77777777" w:rsidR="00911F85" w:rsidRPr="00072228" w:rsidRDefault="00911F85" w:rsidP="008742A1">
            <w:pPr>
              <w:pStyle w:val="TableHeading"/>
              <w:keepNext w:val="0"/>
              <w:jc w:val="right"/>
              <w:rPr>
                <w:b w:val="0"/>
              </w:rPr>
            </w:pPr>
            <w:r w:rsidRPr="00072228">
              <w:rPr>
                <w:b w:val="0"/>
              </w:rPr>
              <w:t>$39,530,289</w:t>
            </w:r>
          </w:p>
        </w:tc>
        <w:tc>
          <w:tcPr>
            <w:tcW w:w="686" w:type="pct"/>
            <w:tcBorders>
              <w:top w:val="nil"/>
            </w:tcBorders>
            <w:noWrap/>
          </w:tcPr>
          <w:p w14:paraId="1EF3A2BB" w14:textId="77777777" w:rsidR="00911F85" w:rsidRPr="00072228" w:rsidRDefault="00911F85" w:rsidP="008742A1">
            <w:pPr>
              <w:pStyle w:val="TableHeading"/>
              <w:keepNext w:val="0"/>
              <w:jc w:val="right"/>
              <w:rPr>
                <w:b w:val="0"/>
              </w:rPr>
            </w:pPr>
            <w:r w:rsidRPr="00072228">
              <w:rPr>
                <w:b w:val="0"/>
              </w:rPr>
              <w:t>$42,181,006</w:t>
            </w:r>
          </w:p>
        </w:tc>
        <w:tc>
          <w:tcPr>
            <w:tcW w:w="687" w:type="pct"/>
            <w:tcBorders>
              <w:top w:val="nil"/>
            </w:tcBorders>
            <w:noWrap/>
          </w:tcPr>
          <w:p w14:paraId="03B693CA" w14:textId="77777777" w:rsidR="00911F85" w:rsidRPr="00072228" w:rsidRDefault="00911F85" w:rsidP="008742A1">
            <w:pPr>
              <w:pStyle w:val="TableHeading"/>
              <w:keepNext w:val="0"/>
              <w:jc w:val="right"/>
              <w:rPr>
                <w:b w:val="0"/>
              </w:rPr>
            </w:pPr>
            <w:r w:rsidRPr="00072228">
              <w:rPr>
                <w:b w:val="0"/>
              </w:rPr>
              <w:t>$44,831,723</w:t>
            </w:r>
          </w:p>
        </w:tc>
      </w:tr>
    </w:tbl>
    <w:p w14:paraId="3AB9E0C5" w14:textId="77777777" w:rsidR="00911F85" w:rsidRDefault="00911F85" w:rsidP="00911F85">
      <w:pPr>
        <w:pStyle w:val="Tablenotes1"/>
      </w:pPr>
      <w:r>
        <w:t>Ig = immunoglobulin.</w:t>
      </w:r>
    </w:p>
    <w:p w14:paraId="07F0B5AB" w14:textId="77777777" w:rsidR="00911F85" w:rsidRPr="00C550C1" w:rsidRDefault="00911F85" w:rsidP="00911F85"/>
    <w:p w14:paraId="38761B44" w14:textId="77777777" w:rsidR="00911F85" w:rsidRDefault="00911F85" w:rsidP="00331FB9">
      <w:pPr>
        <w:pStyle w:val="Heading2"/>
        <w:numPr>
          <w:ilvl w:val="4"/>
          <w:numId w:val="10"/>
        </w:numPr>
      </w:pPr>
      <w:bookmarkStart w:id="668" w:name="_Toc11854780"/>
      <w:bookmarkStart w:id="669" w:name="_Toc14431180"/>
      <w:bookmarkStart w:id="670" w:name="_Toc16856356"/>
      <w:r>
        <w:t>Identification, estimation and reduction of uncertainty</w:t>
      </w:r>
      <w:bookmarkEnd w:id="668"/>
      <w:bookmarkEnd w:id="669"/>
      <w:bookmarkEnd w:id="670"/>
    </w:p>
    <w:p w14:paraId="2600D7BF" w14:textId="2DABE01F" w:rsidR="00911F85" w:rsidRDefault="00911F85" w:rsidP="00911F85">
      <w:r>
        <w:t xml:space="preserve">Sensitivity analyses exploring uncertainty in the assumptions used to determine the financial implications are presented in </w:t>
      </w:r>
      <w:r>
        <w:fldChar w:fldCharType="begin"/>
      </w:r>
      <w:r>
        <w:instrText xml:space="preserve"> REF _Ref13667009 \h </w:instrText>
      </w:r>
      <w:r>
        <w:fldChar w:fldCharType="separate"/>
      </w:r>
      <w:r w:rsidR="00A7463B">
        <w:t xml:space="preserve">Table </w:t>
      </w:r>
      <w:r w:rsidR="00A7463B">
        <w:rPr>
          <w:noProof/>
        </w:rPr>
        <w:t>74</w:t>
      </w:r>
      <w:r>
        <w:fldChar w:fldCharType="end"/>
      </w:r>
      <w:r>
        <w:t>.</w:t>
      </w:r>
    </w:p>
    <w:p w14:paraId="09617E47" w14:textId="35C1D2E3" w:rsidR="00911F85" w:rsidRDefault="00911F85" w:rsidP="00911F85">
      <w:pPr>
        <w:pStyle w:val="Caption"/>
        <w:keepNext/>
      </w:pPr>
      <w:bookmarkStart w:id="671" w:name="_Ref13667009"/>
      <w:bookmarkStart w:id="672" w:name="_Toc14348908"/>
      <w:bookmarkStart w:id="673" w:name="_Toc14429614"/>
      <w:bookmarkStart w:id="674" w:name="_Toc16671672"/>
      <w:r>
        <w:t xml:space="preserve">Table </w:t>
      </w:r>
      <w:r>
        <w:rPr>
          <w:noProof/>
        </w:rPr>
        <w:fldChar w:fldCharType="begin"/>
      </w:r>
      <w:r>
        <w:rPr>
          <w:noProof/>
        </w:rPr>
        <w:instrText xml:space="preserve"> SEQ Table \* ARABIC </w:instrText>
      </w:r>
      <w:r>
        <w:rPr>
          <w:noProof/>
        </w:rPr>
        <w:fldChar w:fldCharType="separate"/>
      </w:r>
      <w:r w:rsidR="00A7463B">
        <w:rPr>
          <w:noProof/>
        </w:rPr>
        <w:t>74</w:t>
      </w:r>
      <w:r>
        <w:rPr>
          <w:noProof/>
        </w:rPr>
        <w:fldChar w:fldCharType="end"/>
      </w:r>
      <w:bookmarkEnd w:id="671"/>
      <w:r>
        <w:tab/>
        <w:t>Sensitivity analyses around the financial implication estimates</w:t>
      </w:r>
      <w:bookmarkEnd w:id="672"/>
      <w:bookmarkEnd w:id="673"/>
      <w:bookmarkEnd w:id="674"/>
    </w:p>
    <w:tbl>
      <w:tblPr>
        <w:tblStyle w:val="TableGrid1"/>
        <w:tblW w:w="5000" w:type="pct"/>
        <w:tblLayout w:type="fixed"/>
        <w:tblLook w:val="04A0" w:firstRow="1" w:lastRow="0" w:firstColumn="1" w:lastColumn="0" w:noHBand="0" w:noVBand="1"/>
        <w:tblCaption w:val="Sensitivity analyses around the financial implication estimates"/>
      </w:tblPr>
      <w:tblGrid>
        <w:gridCol w:w="2900"/>
        <w:gridCol w:w="1268"/>
        <w:gridCol w:w="1268"/>
        <w:gridCol w:w="1268"/>
        <w:gridCol w:w="1268"/>
        <w:gridCol w:w="1270"/>
      </w:tblGrid>
      <w:tr w:rsidR="00911F85" w:rsidRPr="002C55F2" w14:paraId="39BE51B2" w14:textId="77777777" w:rsidTr="008742A1">
        <w:trPr>
          <w:cnfStyle w:val="100000000000" w:firstRow="1" w:lastRow="0" w:firstColumn="0" w:lastColumn="0" w:oddVBand="0" w:evenVBand="0" w:oddHBand="0" w:evenHBand="0" w:firstRowFirstColumn="0" w:firstRowLastColumn="0" w:lastRowFirstColumn="0" w:lastRowLastColumn="0"/>
          <w:trHeight w:val="300"/>
          <w:tblHeader/>
        </w:trPr>
        <w:tc>
          <w:tcPr>
            <w:tcW w:w="1569" w:type="pct"/>
            <w:tcBorders>
              <w:bottom w:val="single" w:sz="4" w:space="0" w:color="auto"/>
            </w:tcBorders>
            <w:noWrap/>
          </w:tcPr>
          <w:p w14:paraId="7C360CA2" w14:textId="77777777" w:rsidR="00911F85" w:rsidRPr="002C55F2" w:rsidRDefault="00911F85" w:rsidP="008742A1">
            <w:pPr>
              <w:pStyle w:val="TableHeading"/>
              <w:jc w:val="center"/>
            </w:pPr>
          </w:p>
        </w:tc>
        <w:tc>
          <w:tcPr>
            <w:tcW w:w="686" w:type="pct"/>
            <w:tcBorders>
              <w:bottom w:val="single" w:sz="4" w:space="0" w:color="auto"/>
            </w:tcBorders>
            <w:noWrap/>
          </w:tcPr>
          <w:p w14:paraId="408F8E73" w14:textId="77777777" w:rsidR="00911F85" w:rsidRPr="002C55F2" w:rsidRDefault="00911F85" w:rsidP="008742A1">
            <w:pPr>
              <w:pStyle w:val="TableHeading"/>
              <w:jc w:val="center"/>
            </w:pPr>
            <w:r w:rsidRPr="004B58C2">
              <w:t>2019-20</w:t>
            </w:r>
          </w:p>
        </w:tc>
        <w:tc>
          <w:tcPr>
            <w:tcW w:w="686" w:type="pct"/>
            <w:tcBorders>
              <w:bottom w:val="single" w:sz="4" w:space="0" w:color="auto"/>
            </w:tcBorders>
            <w:noWrap/>
          </w:tcPr>
          <w:p w14:paraId="5E58A552" w14:textId="77777777" w:rsidR="00911F85" w:rsidRPr="002C55F2" w:rsidRDefault="00911F85" w:rsidP="008742A1">
            <w:pPr>
              <w:pStyle w:val="TableHeading"/>
              <w:jc w:val="center"/>
            </w:pPr>
            <w:r w:rsidRPr="004B58C2">
              <w:t>2020-21</w:t>
            </w:r>
          </w:p>
        </w:tc>
        <w:tc>
          <w:tcPr>
            <w:tcW w:w="686" w:type="pct"/>
            <w:tcBorders>
              <w:bottom w:val="single" w:sz="4" w:space="0" w:color="auto"/>
            </w:tcBorders>
            <w:noWrap/>
          </w:tcPr>
          <w:p w14:paraId="09CB28F0" w14:textId="77777777" w:rsidR="00911F85" w:rsidRPr="002C55F2" w:rsidRDefault="00911F85" w:rsidP="008742A1">
            <w:pPr>
              <w:pStyle w:val="TableHeading"/>
              <w:jc w:val="center"/>
              <w:rPr>
                <w:rFonts w:ascii="Times New Roman" w:hAnsi="Times New Roman" w:cs="Times New Roman"/>
              </w:rPr>
            </w:pPr>
            <w:r w:rsidRPr="004B58C2">
              <w:t>2021-22</w:t>
            </w:r>
          </w:p>
        </w:tc>
        <w:tc>
          <w:tcPr>
            <w:tcW w:w="686" w:type="pct"/>
            <w:tcBorders>
              <w:bottom w:val="single" w:sz="4" w:space="0" w:color="auto"/>
            </w:tcBorders>
            <w:noWrap/>
          </w:tcPr>
          <w:p w14:paraId="51EE331D" w14:textId="77777777" w:rsidR="00911F85" w:rsidRPr="002C55F2" w:rsidRDefault="00911F85" w:rsidP="008742A1">
            <w:pPr>
              <w:pStyle w:val="TableHeading"/>
              <w:jc w:val="center"/>
              <w:rPr>
                <w:rFonts w:ascii="Times New Roman" w:hAnsi="Times New Roman" w:cs="Times New Roman"/>
              </w:rPr>
            </w:pPr>
            <w:r w:rsidRPr="004B58C2">
              <w:t>2022-23</w:t>
            </w:r>
          </w:p>
        </w:tc>
        <w:tc>
          <w:tcPr>
            <w:tcW w:w="687" w:type="pct"/>
            <w:tcBorders>
              <w:bottom w:val="single" w:sz="4" w:space="0" w:color="auto"/>
            </w:tcBorders>
            <w:noWrap/>
          </w:tcPr>
          <w:p w14:paraId="3A2BB4A8" w14:textId="77777777" w:rsidR="00911F85" w:rsidRPr="002C55F2" w:rsidRDefault="00911F85" w:rsidP="008742A1">
            <w:pPr>
              <w:pStyle w:val="TableHeading"/>
              <w:jc w:val="center"/>
              <w:rPr>
                <w:rFonts w:ascii="Times New Roman" w:hAnsi="Times New Roman" w:cs="Times New Roman"/>
              </w:rPr>
            </w:pPr>
            <w:r w:rsidRPr="004B58C2">
              <w:t>2023-24</w:t>
            </w:r>
          </w:p>
        </w:tc>
      </w:tr>
      <w:tr w:rsidR="00911F85" w:rsidRPr="001B1EEE" w14:paraId="69BD366D" w14:textId="77777777" w:rsidTr="008742A1">
        <w:trPr>
          <w:cnfStyle w:val="100000000000" w:firstRow="1" w:lastRow="0" w:firstColumn="0" w:lastColumn="0" w:oddVBand="0" w:evenVBand="0" w:oddHBand="0" w:evenHBand="0" w:firstRowFirstColumn="0" w:firstRowLastColumn="0" w:lastRowFirstColumn="0" w:lastRowLastColumn="0"/>
          <w:trHeight w:val="300"/>
          <w:tblHeader/>
        </w:trPr>
        <w:tc>
          <w:tcPr>
            <w:tcW w:w="1569" w:type="pct"/>
            <w:tcBorders>
              <w:bottom w:val="single" w:sz="4" w:space="0" w:color="auto"/>
            </w:tcBorders>
            <w:noWrap/>
          </w:tcPr>
          <w:p w14:paraId="5550EA23" w14:textId="77777777" w:rsidR="00911F85" w:rsidRPr="001B1EEE" w:rsidRDefault="00911F85" w:rsidP="008742A1">
            <w:pPr>
              <w:pStyle w:val="TableHeading"/>
              <w:keepNext w:val="0"/>
              <w:jc w:val="left"/>
              <w:rPr>
                <w:b w:val="0"/>
              </w:rPr>
            </w:pPr>
            <w:r w:rsidRPr="00325939">
              <w:t>Base financial implications</w:t>
            </w:r>
          </w:p>
        </w:tc>
        <w:tc>
          <w:tcPr>
            <w:tcW w:w="686" w:type="pct"/>
            <w:tcBorders>
              <w:bottom w:val="single" w:sz="4" w:space="0" w:color="auto"/>
            </w:tcBorders>
            <w:noWrap/>
          </w:tcPr>
          <w:p w14:paraId="1C331DB4" w14:textId="77777777" w:rsidR="00911F85" w:rsidRPr="001B1EEE" w:rsidRDefault="00911F85" w:rsidP="008742A1">
            <w:pPr>
              <w:pStyle w:val="TableHeading"/>
              <w:keepNext w:val="0"/>
              <w:jc w:val="right"/>
              <w:rPr>
                <w:b w:val="0"/>
              </w:rPr>
            </w:pPr>
            <w:r w:rsidRPr="00351ABC">
              <w:t>$95,382,845</w:t>
            </w:r>
          </w:p>
        </w:tc>
        <w:tc>
          <w:tcPr>
            <w:tcW w:w="686" w:type="pct"/>
            <w:tcBorders>
              <w:bottom w:val="single" w:sz="4" w:space="0" w:color="auto"/>
            </w:tcBorders>
            <w:noWrap/>
          </w:tcPr>
          <w:p w14:paraId="700745D3" w14:textId="77777777" w:rsidR="00911F85" w:rsidRPr="001B1EEE" w:rsidRDefault="00911F85" w:rsidP="008742A1">
            <w:pPr>
              <w:pStyle w:val="TableHeading"/>
              <w:keepNext w:val="0"/>
              <w:jc w:val="right"/>
              <w:rPr>
                <w:b w:val="0"/>
              </w:rPr>
            </w:pPr>
            <w:r w:rsidRPr="00351ABC">
              <w:t>$102,725,807</w:t>
            </w:r>
          </w:p>
        </w:tc>
        <w:tc>
          <w:tcPr>
            <w:tcW w:w="686" w:type="pct"/>
            <w:tcBorders>
              <w:bottom w:val="single" w:sz="4" w:space="0" w:color="auto"/>
            </w:tcBorders>
            <w:noWrap/>
          </w:tcPr>
          <w:p w14:paraId="620E9BC6" w14:textId="77777777" w:rsidR="00911F85" w:rsidRPr="001B1EEE" w:rsidRDefault="00911F85" w:rsidP="008742A1">
            <w:pPr>
              <w:pStyle w:val="TableHeading"/>
              <w:keepNext w:val="0"/>
              <w:jc w:val="right"/>
              <w:rPr>
                <w:b w:val="0"/>
              </w:rPr>
            </w:pPr>
            <w:r w:rsidRPr="00351ABC">
              <w:t>$110,068,769</w:t>
            </w:r>
          </w:p>
        </w:tc>
        <w:tc>
          <w:tcPr>
            <w:tcW w:w="686" w:type="pct"/>
            <w:tcBorders>
              <w:bottom w:val="single" w:sz="4" w:space="0" w:color="auto"/>
            </w:tcBorders>
            <w:noWrap/>
          </w:tcPr>
          <w:p w14:paraId="657AD8F6" w14:textId="77777777" w:rsidR="00911F85" w:rsidRPr="001B1EEE" w:rsidRDefault="00911F85" w:rsidP="008742A1">
            <w:pPr>
              <w:pStyle w:val="TableHeading"/>
              <w:keepNext w:val="0"/>
              <w:jc w:val="right"/>
              <w:rPr>
                <w:b w:val="0"/>
              </w:rPr>
            </w:pPr>
            <w:r w:rsidRPr="00351ABC">
              <w:t>$117,411,732</w:t>
            </w:r>
          </w:p>
        </w:tc>
        <w:tc>
          <w:tcPr>
            <w:tcW w:w="687" w:type="pct"/>
            <w:tcBorders>
              <w:bottom w:val="single" w:sz="4" w:space="0" w:color="auto"/>
            </w:tcBorders>
            <w:noWrap/>
          </w:tcPr>
          <w:p w14:paraId="34E253FF" w14:textId="77777777" w:rsidR="00911F85" w:rsidRPr="001B1EEE" w:rsidRDefault="00911F85" w:rsidP="008742A1">
            <w:pPr>
              <w:pStyle w:val="TableHeading"/>
              <w:keepNext w:val="0"/>
              <w:jc w:val="right"/>
              <w:rPr>
                <w:b w:val="0"/>
              </w:rPr>
            </w:pPr>
            <w:r w:rsidRPr="00351ABC">
              <w:t>$124,754,694</w:t>
            </w:r>
          </w:p>
        </w:tc>
      </w:tr>
      <w:tr w:rsidR="0007662C" w:rsidRPr="00163497" w14:paraId="12A80069" w14:textId="77777777" w:rsidTr="00A070E8">
        <w:trPr>
          <w:trHeight w:val="300"/>
        </w:trPr>
        <w:tc>
          <w:tcPr>
            <w:tcW w:w="5000" w:type="pct"/>
            <w:gridSpan w:val="6"/>
            <w:tcBorders>
              <w:top w:val="single" w:sz="4" w:space="0" w:color="auto"/>
              <w:bottom w:val="single" w:sz="4" w:space="0" w:color="auto"/>
            </w:tcBorders>
            <w:noWrap/>
          </w:tcPr>
          <w:p w14:paraId="74A5AB42" w14:textId="77777777" w:rsidR="0007662C" w:rsidRPr="00072228" w:rsidRDefault="0007662C" w:rsidP="00E600B3">
            <w:pPr>
              <w:pStyle w:val="TableHeading"/>
              <w:keepNext w:val="0"/>
              <w:jc w:val="left"/>
              <w:rPr>
                <w:b w:val="0"/>
              </w:rPr>
            </w:pPr>
            <w:r w:rsidRPr="00AB4E3E">
              <w:rPr>
                <w:b w:val="0"/>
              </w:rPr>
              <w:t>Cost of Ig (base case: $60.41 per gram)</w:t>
            </w:r>
          </w:p>
        </w:tc>
      </w:tr>
      <w:tr w:rsidR="00911F85" w:rsidRPr="00163497" w14:paraId="493C5596" w14:textId="77777777" w:rsidTr="008742A1">
        <w:trPr>
          <w:trHeight w:val="300"/>
        </w:trPr>
        <w:tc>
          <w:tcPr>
            <w:tcW w:w="1569" w:type="pct"/>
            <w:tcBorders>
              <w:top w:val="single" w:sz="4" w:space="0" w:color="auto"/>
              <w:bottom w:val="nil"/>
            </w:tcBorders>
            <w:noWrap/>
          </w:tcPr>
          <w:p w14:paraId="527B572F" w14:textId="50079729" w:rsidR="00911F85" w:rsidRPr="00AB4E3E" w:rsidRDefault="00911F85" w:rsidP="00406972">
            <w:pPr>
              <w:pStyle w:val="TableHeading"/>
              <w:keepNext w:val="0"/>
              <w:jc w:val="left"/>
              <w:rPr>
                <w:b w:val="0"/>
              </w:rPr>
            </w:pPr>
            <w:r w:rsidRPr="00AB4E3E">
              <w:rPr>
                <w:b w:val="0"/>
              </w:rPr>
              <w:t xml:space="preserve">High cost </w:t>
            </w:r>
            <w:r w:rsidR="00406972">
              <w:rPr>
                <w:b w:val="0"/>
              </w:rPr>
              <w:t>of Ig</w:t>
            </w:r>
            <w:r w:rsidRPr="00AB4E3E">
              <w:rPr>
                <w:b w:val="0"/>
              </w:rPr>
              <w:t>, $140.18</w:t>
            </w:r>
          </w:p>
        </w:tc>
        <w:tc>
          <w:tcPr>
            <w:tcW w:w="686" w:type="pct"/>
            <w:tcBorders>
              <w:top w:val="single" w:sz="4" w:space="0" w:color="auto"/>
              <w:bottom w:val="nil"/>
            </w:tcBorders>
            <w:noWrap/>
          </w:tcPr>
          <w:p w14:paraId="60CC83F5" w14:textId="77777777" w:rsidR="00911F85" w:rsidRPr="00072228" w:rsidRDefault="00911F85" w:rsidP="008742A1">
            <w:pPr>
              <w:pStyle w:val="TableHeading"/>
              <w:keepNext w:val="0"/>
              <w:jc w:val="right"/>
              <w:rPr>
                <w:b w:val="0"/>
              </w:rPr>
            </w:pPr>
            <w:r w:rsidRPr="00072228">
              <w:rPr>
                <w:b w:val="0"/>
              </w:rPr>
              <w:t>$224,969,664</w:t>
            </w:r>
          </w:p>
        </w:tc>
        <w:tc>
          <w:tcPr>
            <w:tcW w:w="686" w:type="pct"/>
            <w:tcBorders>
              <w:top w:val="single" w:sz="4" w:space="0" w:color="auto"/>
              <w:bottom w:val="nil"/>
            </w:tcBorders>
            <w:noWrap/>
          </w:tcPr>
          <w:p w14:paraId="20EF3EB3" w14:textId="77777777" w:rsidR="00911F85" w:rsidRPr="00072228" w:rsidRDefault="00911F85" w:rsidP="008742A1">
            <w:pPr>
              <w:pStyle w:val="TableHeading"/>
              <w:keepNext w:val="0"/>
              <w:jc w:val="right"/>
              <w:rPr>
                <w:b w:val="0"/>
              </w:rPr>
            </w:pPr>
            <w:r w:rsidRPr="00072228">
              <w:rPr>
                <w:b w:val="0"/>
              </w:rPr>
              <w:t>$242,235,823</w:t>
            </w:r>
          </w:p>
        </w:tc>
        <w:tc>
          <w:tcPr>
            <w:tcW w:w="686" w:type="pct"/>
            <w:tcBorders>
              <w:top w:val="single" w:sz="4" w:space="0" w:color="auto"/>
              <w:bottom w:val="nil"/>
            </w:tcBorders>
            <w:noWrap/>
          </w:tcPr>
          <w:p w14:paraId="154513B3" w14:textId="77777777" w:rsidR="00911F85" w:rsidRPr="00072228" w:rsidRDefault="00911F85" w:rsidP="008742A1">
            <w:pPr>
              <w:pStyle w:val="TableHeading"/>
              <w:keepNext w:val="0"/>
              <w:jc w:val="right"/>
              <w:rPr>
                <w:b w:val="0"/>
              </w:rPr>
            </w:pPr>
            <w:r w:rsidRPr="00072228">
              <w:rPr>
                <w:b w:val="0"/>
              </w:rPr>
              <w:t>$259,501,981</w:t>
            </w:r>
          </w:p>
        </w:tc>
        <w:tc>
          <w:tcPr>
            <w:tcW w:w="686" w:type="pct"/>
            <w:tcBorders>
              <w:top w:val="single" w:sz="4" w:space="0" w:color="auto"/>
              <w:bottom w:val="nil"/>
            </w:tcBorders>
            <w:noWrap/>
          </w:tcPr>
          <w:p w14:paraId="1611761F" w14:textId="77777777" w:rsidR="00911F85" w:rsidRPr="00072228" w:rsidRDefault="00911F85" w:rsidP="008742A1">
            <w:pPr>
              <w:pStyle w:val="TableHeading"/>
              <w:keepNext w:val="0"/>
              <w:jc w:val="right"/>
              <w:rPr>
                <w:b w:val="0"/>
              </w:rPr>
            </w:pPr>
            <w:r w:rsidRPr="00072228">
              <w:rPr>
                <w:b w:val="0"/>
              </w:rPr>
              <w:t>$276,768,140</w:t>
            </w:r>
          </w:p>
        </w:tc>
        <w:tc>
          <w:tcPr>
            <w:tcW w:w="687" w:type="pct"/>
            <w:tcBorders>
              <w:top w:val="single" w:sz="4" w:space="0" w:color="auto"/>
              <w:bottom w:val="nil"/>
            </w:tcBorders>
            <w:noWrap/>
          </w:tcPr>
          <w:p w14:paraId="36ED50AA" w14:textId="77777777" w:rsidR="00911F85" w:rsidRPr="00072228" w:rsidRDefault="00911F85" w:rsidP="008742A1">
            <w:pPr>
              <w:pStyle w:val="TableHeading"/>
              <w:keepNext w:val="0"/>
              <w:jc w:val="right"/>
              <w:rPr>
                <w:b w:val="0"/>
              </w:rPr>
            </w:pPr>
            <w:r w:rsidRPr="00072228">
              <w:rPr>
                <w:b w:val="0"/>
              </w:rPr>
              <w:t>$294,034,299</w:t>
            </w:r>
          </w:p>
        </w:tc>
      </w:tr>
      <w:tr w:rsidR="00911F85" w:rsidRPr="00163497" w14:paraId="77B01F34" w14:textId="77777777" w:rsidTr="00AF32E4">
        <w:trPr>
          <w:trHeight w:val="300"/>
        </w:trPr>
        <w:tc>
          <w:tcPr>
            <w:tcW w:w="1569" w:type="pct"/>
            <w:tcBorders>
              <w:top w:val="nil"/>
              <w:bottom w:val="nil"/>
            </w:tcBorders>
            <w:noWrap/>
          </w:tcPr>
          <w:p w14:paraId="2AAC2E70" w14:textId="4E3EED5D" w:rsidR="00911F85" w:rsidRPr="00AB4E3E" w:rsidRDefault="00911F85" w:rsidP="00406972">
            <w:pPr>
              <w:pStyle w:val="TableHeading"/>
              <w:keepNext w:val="0"/>
              <w:jc w:val="left"/>
              <w:rPr>
                <w:b w:val="0"/>
              </w:rPr>
            </w:pPr>
            <w:r w:rsidRPr="00AB4E3E">
              <w:rPr>
                <w:b w:val="0"/>
              </w:rPr>
              <w:t>Low cost</w:t>
            </w:r>
            <w:r w:rsidR="00406972">
              <w:rPr>
                <w:b w:val="0"/>
              </w:rPr>
              <w:t xml:space="preserve"> of Ig</w:t>
            </w:r>
            <w:r w:rsidRPr="00AB4E3E">
              <w:rPr>
                <w:b w:val="0"/>
              </w:rPr>
              <w:t>, $44.94</w:t>
            </w:r>
          </w:p>
        </w:tc>
        <w:tc>
          <w:tcPr>
            <w:tcW w:w="686" w:type="pct"/>
            <w:tcBorders>
              <w:top w:val="nil"/>
              <w:bottom w:val="nil"/>
            </w:tcBorders>
            <w:noWrap/>
          </w:tcPr>
          <w:p w14:paraId="2A7E5B73" w14:textId="77777777" w:rsidR="00911F85" w:rsidRPr="00072228" w:rsidRDefault="00911F85" w:rsidP="008742A1">
            <w:pPr>
              <w:pStyle w:val="TableHeading"/>
              <w:keepNext w:val="0"/>
              <w:jc w:val="right"/>
              <w:rPr>
                <w:b w:val="0"/>
              </w:rPr>
            </w:pPr>
            <w:r w:rsidRPr="00072228">
              <w:rPr>
                <w:b w:val="0"/>
              </w:rPr>
              <w:t>$70,251,742</w:t>
            </w:r>
          </w:p>
        </w:tc>
        <w:tc>
          <w:tcPr>
            <w:tcW w:w="686" w:type="pct"/>
            <w:tcBorders>
              <w:top w:val="nil"/>
              <w:bottom w:val="nil"/>
            </w:tcBorders>
            <w:noWrap/>
          </w:tcPr>
          <w:p w14:paraId="4C871FAC" w14:textId="77777777" w:rsidR="00911F85" w:rsidRPr="00072228" w:rsidRDefault="00911F85" w:rsidP="008742A1">
            <w:pPr>
              <w:pStyle w:val="TableHeading"/>
              <w:keepNext w:val="0"/>
              <w:jc w:val="right"/>
              <w:rPr>
                <w:b w:val="0"/>
              </w:rPr>
            </w:pPr>
            <w:r w:rsidRPr="00072228">
              <w:rPr>
                <w:b w:val="0"/>
              </w:rPr>
              <w:t>$75,670,273</w:t>
            </w:r>
          </w:p>
        </w:tc>
        <w:tc>
          <w:tcPr>
            <w:tcW w:w="686" w:type="pct"/>
            <w:tcBorders>
              <w:top w:val="nil"/>
              <w:bottom w:val="nil"/>
            </w:tcBorders>
            <w:noWrap/>
          </w:tcPr>
          <w:p w14:paraId="76D6DB9A" w14:textId="77777777" w:rsidR="00911F85" w:rsidRPr="00072228" w:rsidRDefault="00911F85" w:rsidP="008742A1">
            <w:pPr>
              <w:pStyle w:val="TableHeading"/>
              <w:keepNext w:val="0"/>
              <w:jc w:val="right"/>
              <w:rPr>
                <w:b w:val="0"/>
              </w:rPr>
            </w:pPr>
            <w:r w:rsidRPr="00072228">
              <w:rPr>
                <w:b w:val="0"/>
              </w:rPr>
              <w:t>$81,088,805</w:t>
            </w:r>
          </w:p>
        </w:tc>
        <w:tc>
          <w:tcPr>
            <w:tcW w:w="686" w:type="pct"/>
            <w:tcBorders>
              <w:top w:val="nil"/>
              <w:bottom w:val="nil"/>
            </w:tcBorders>
            <w:noWrap/>
          </w:tcPr>
          <w:p w14:paraId="2BB3A625" w14:textId="77777777" w:rsidR="00911F85" w:rsidRPr="00072228" w:rsidRDefault="00911F85" w:rsidP="008742A1">
            <w:pPr>
              <w:pStyle w:val="TableHeading"/>
              <w:keepNext w:val="0"/>
              <w:jc w:val="right"/>
              <w:rPr>
                <w:b w:val="0"/>
              </w:rPr>
            </w:pPr>
            <w:r w:rsidRPr="00072228">
              <w:rPr>
                <w:b w:val="0"/>
              </w:rPr>
              <w:t>$86,507,336</w:t>
            </w:r>
          </w:p>
        </w:tc>
        <w:tc>
          <w:tcPr>
            <w:tcW w:w="687" w:type="pct"/>
            <w:tcBorders>
              <w:top w:val="nil"/>
              <w:bottom w:val="nil"/>
            </w:tcBorders>
            <w:noWrap/>
          </w:tcPr>
          <w:p w14:paraId="25F9B561" w14:textId="77777777" w:rsidR="00911F85" w:rsidRPr="00072228" w:rsidRDefault="00911F85" w:rsidP="008742A1">
            <w:pPr>
              <w:pStyle w:val="TableHeading"/>
              <w:keepNext w:val="0"/>
              <w:jc w:val="right"/>
              <w:rPr>
                <w:b w:val="0"/>
              </w:rPr>
            </w:pPr>
            <w:r w:rsidRPr="00072228">
              <w:rPr>
                <w:b w:val="0"/>
              </w:rPr>
              <w:t>$91,925,867</w:t>
            </w:r>
          </w:p>
        </w:tc>
      </w:tr>
      <w:tr w:rsidR="00911F85" w:rsidRPr="00163497" w14:paraId="7DF0A9F3" w14:textId="77777777" w:rsidTr="00AF32E4">
        <w:trPr>
          <w:trHeight w:val="300"/>
        </w:trPr>
        <w:tc>
          <w:tcPr>
            <w:tcW w:w="1569" w:type="pct"/>
            <w:tcBorders>
              <w:top w:val="nil"/>
              <w:bottom w:val="nil"/>
            </w:tcBorders>
            <w:noWrap/>
          </w:tcPr>
          <w:p w14:paraId="3AAA0D58" w14:textId="780370A8" w:rsidR="00911F85" w:rsidRPr="00AB4E3E" w:rsidRDefault="00911F85" w:rsidP="008474CF">
            <w:pPr>
              <w:pStyle w:val="TableHeading"/>
              <w:keepNext w:val="0"/>
              <w:jc w:val="left"/>
              <w:rPr>
                <w:b w:val="0"/>
              </w:rPr>
            </w:pPr>
            <w:r w:rsidRPr="00AB4E3E">
              <w:rPr>
                <w:b w:val="0"/>
              </w:rPr>
              <w:t>Weighted average</w:t>
            </w:r>
            <w:r w:rsidR="00406972">
              <w:rPr>
                <w:b w:val="0"/>
              </w:rPr>
              <w:t xml:space="preserve"> of Ig</w:t>
            </w:r>
            <w:r w:rsidR="008474CF">
              <w:rPr>
                <w:b w:val="0"/>
              </w:rPr>
              <w:t xml:space="preserve"> across all indications</w:t>
            </w:r>
            <w:r w:rsidRPr="00AB4E3E">
              <w:rPr>
                <w:b w:val="0"/>
              </w:rPr>
              <w:t>, $94.51</w:t>
            </w:r>
          </w:p>
        </w:tc>
        <w:tc>
          <w:tcPr>
            <w:tcW w:w="686" w:type="pct"/>
            <w:tcBorders>
              <w:top w:val="nil"/>
              <w:bottom w:val="nil"/>
            </w:tcBorders>
            <w:noWrap/>
          </w:tcPr>
          <w:p w14:paraId="28CEC1C3" w14:textId="77777777" w:rsidR="00911F85" w:rsidRPr="00072228" w:rsidRDefault="00911F85" w:rsidP="008742A1">
            <w:pPr>
              <w:pStyle w:val="TableHeading"/>
              <w:keepNext w:val="0"/>
              <w:jc w:val="right"/>
              <w:rPr>
                <w:b w:val="0"/>
              </w:rPr>
            </w:pPr>
            <w:r w:rsidRPr="00072228">
              <w:rPr>
                <w:b w:val="0"/>
              </w:rPr>
              <w:t>$150,773,057</w:t>
            </w:r>
          </w:p>
        </w:tc>
        <w:tc>
          <w:tcPr>
            <w:tcW w:w="686" w:type="pct"/>
            <w:tcBorders>
              <w:top w:val="nil"/>
              <w:bottom w:val="nil"/>
            </w:tcBorders>
            <w:noWrap/>
          </w:tcPr>
          <w:p w14:paraId="1EEC12AF" w14:textId="77777777" w:rsidR="00911F85" w:rsidRPr="00072228" w:rsidRDefault="00911F85" w:rsidP="008742A1">
            <w:pPr>
              <w:pStyle w:val="TableHeading"/>
              <w:keepNext w:val="0"/>
              <w:jc w:val="right"/>
              <w:rPr>
                <w:b w:val="0"/>
              </w:rPr>
            </w:pPr>
            <w:r w:rsidRPr="00072228">
              <w:rPr>
                <w:b w:val="0"/>
              </w:rPr>
              <w:t>$162,357,562</w:t>
            </w:r>
          </w:p>
        </w:tc>
        <w:tc>
          <w:tcPr>
            <w:tcW w:w="686" w:type="pct"/>
            <w:tcBorders>
              <w:top w:val="nil"/>
              <w:bottom w:val="nil"/>
            </w:tcBorders>
            <w:noWrap/>
          </w:tcPr>
          <w:p w14:paraId="619589EE" w14:textId="77777777" w:rsidR="00911F85" w:rsidRPr="00072228" w:rsidRDefault="00911F85" w:rsidP="008742A1">
            <w:pPr>
              <w:pStyle w:val="TableHeading"/>
              <w:keepNext w:val="0"/>
              <w:jc w:val="right"/>
              <w:rPr>
                <w:b w:val="0"/>
              </w:rPr>
            </w:pPr>
            <w:r w:rsidRPr="00072228">
              <w:rPr>
                <w:b w:val="0"/>
              </w:rPr>
              <w:t>$173,942,066</w:t>
            </w:r>
          </w:p>
        </w:tc>
        <w:tc>
          <w:tcPr>
            <w:tcW w:w="686" w:type="pct"/>
            <w:tcBorders>
              <w:top w:val="nil"/>
              <w:bottom w:val="nil"/>
            </w:tcBorders>
            <w:noWrap/>
          </w:tcPr>
          <w:p w14:paraId="40D95ECE" w14:textId="77777777" w:rsidR="00911F85" w:rsidRPr="00072228" w:rsidRDefault="00911F85" w:rsidP="008742A1">
            <w:pPr>
              <w:pStyle w:val="TableHeading"/>
              <w:keepNext w:val="0"/>
              <w:jc w:val="right"/>
              <w:rPr>
                <w:b w:val="0"/>
              </w:rPr>
            </w:pPr>
            <w:r w:rsidRPr="00072228">
              <w:rPr>
                <w:b w:val="0"/>
              </w:rPr>
              <w:t>$185,526,570</w:t>
            </w:r>
          </w:p>
        </w:tc>
        <w:tc>
          <w:tcPr>
            <w:tcW w:w="687" w:type="pct"/>
            <w:tcBorders>
              <w:top w:val="nil"/>
              <w:bottom w:val="nil"/>
            </w:tcBorders>
            <w:noWrap/>
          </w:tcPr>
          <w:p w14:paraId="6E16DB87" w14:textId="77777777" w:rsidR="00911F85" w:rsidRPr="00072228" w:rsidRDefault="00911F85" w:rsidP="008742A1">
            <w:pPr>
              <w:pStyle w:val="TableHeading"/>
              <w:keepNext w:val="0"/>
              <w:jc w:val="right"/>
              <w:rPr>
                <w:b w:val="0"/>
              </w:rPr>
            </w:pPr>
            <w:r w:rsidRPr="00072228">
              <w:rPr>
                <w:b w:val="0"/>
              </w:rPr>
              <w:t>$197,111,075</w:t>
            </w:r>
          </w:p>
        </w:tc>
      </w:tr>
      <w:tr w:rsidR="008474CF" w:rsidRPr="00464F65" w14:paraId="1E851373" w14:textId="77777777" w:rsidTr="00AF32E4">
        <w:trPr>
          <w:trHeight w:val="300"/>
        </w:trPr>
        <w:tc>
          <w:tcPr>
            <w:tcW w:w="1569" w:type="pct"/>
            <w:tcBorders>
              <w:top w:val="nil"/>
              <w:bottom w:val="nil"/>
            </w:tcBorders>
            <w:noWrap/>
          </w:tcPr>
          <w:p w14:paraId="25488BBC" w14:textId="4B58FE1E" w:rsidR="008474CF" w:rsidRPr="004D314C" w:rsidRDefault="008474CF" w:rsidP="008474CF">
            <w:pPr>
              <w:pStyle w:val="TableHeading"/>
              <w:keepNext w:val="0"/>
              <w:jc w:val="left"/>
            </w:pPr>
            <w:r w:rsidRPr="004D314C">
              <w:t xml:space="preserve">Weighted average across the acquired hypogammaglobulinemia indication, $129.66 </w:t>
            </w:r>
            <w:r w:rsidRPr="004D314C">
              <w:rPr>
                <w:vertAlign w:val="superscript"/>
              </w:rPr>
              <w:t>a</w:t>
            </w:r>
          </w:p>
        </w:tc>
        <w:tc>
          <w:tcPr>
            <w:tcW w:w="686" w:type="pct"/>
            <w:tcBorders>
              <w:top w:val="nil"/>
              <w:bottom w:val="nil"/>
            </w:tcBorders>
            <w:noWrap/>
          </w:tcPr>
          <w:p w14:paraId="6B257C4B" w14:textId="3E4D271D" w:rsidR="008474CF" w:rsidRPr="004D314C" w:rsidRDefault="008474CF" w:rsidP="008474CF">
            <w:pPr>
              <w:pStyle w:val="TableHeading"/>
              <w:keepNext w:val="0"/>
              <w:jc w:val="right"/>
            </w:pPr>
            <w:r w:rsidRPr="004D314C">
              <w:t>$207,881,199</w:t>
            </w:r>
          </w:p>
        </w:tc>
        <w:tc>
          <w:tcPr>
            <w:tcW w:w="686" w:type="pct"/>
            <w:tcBorders>
              <w:top w:val="nil"/>
              <w:bottom w:val="nil"/>
            </w:tcBorders>
            <w:noWrap/>
          </w:tcPr>
          <w:p w14:paraId="181E30A6" w14:textId="30E2579B" w:rsidR="008474CF" w:rsidRPr="004D314C" w:rsidRDefault="008474CF" w:rsidP="008474CF">
            <w:pPr>
              <w:pStyle w:val="TableHeading"/>
              <w:keepNext w:val="0"/>
              <w:jc w:val="right"/>
            </w:pPr>
            <w:r w:rsidRPr="004D314C">
              <w:t>$223,838,797</w:t>
            </w:r>
          </w:p>
        </w:tc>
        <w:tc>
          <w:tcPr>
            <w:tcW w:w="686" w:type="pct"/>
            <w:tcBorders>
              <w:top w:val="nil"/>
              <w:bottom w:val="nil"/>
            </w:tcBorders>
            <w:noWrap/>
          </w:tcPr>
          <w:p w14:paraId="593D1D41" w14:textId="7647A780" w:rsidR="008474CF" w:rsidRPr="004D314C" w:rsidRDefault="008474CF" w:rsidP="008474CF">
            <w:pPr>
              <w:pStyle w:val="TableHeading"/>
              <w:keepNext w:val="0"/>
              <w:jc w:val="right"/>
            </w:pPr>
            <w:r w:rsidRPr="004D314C">
              <w:t>$239,796,396</w:t>
            </w:r>
          </w:p>
        </w:tc>
        <w:tc>
          <w:tcPr>
            <w:tcW w:w="686" w:type="pct"/>
            <w:tcBorders>
              <w:top w:val="nil"/>
              <w:bottom w:val="nil"/>
            </w:tcBorders>
            <w:noWrap/>
          </w:tcPr>
          <w:p w14:paraId="1898355C" w14:textId="35F1E3AB" w:rsidR="008474CF" w:rsidRPr="004D314C" w:rsidRDefault="008474CF" w:rsidP="008474CF">
            <w:pPr>
              <w:pStyle w:val="TableHeading"/>
              <w:keepNext w:val="0"/>
              <w:jc w:val="right"/>
            </w:pPr>
            <w:r w:rsidRPr="004D314C">
              <w:t>$255,753,994</w:t>
            </w:r>
          </w:p>
        </w:tc>
        <w:tc>
          <w:tcPr>
            <w:tcW w:w="687" w:type="pct"/>
            <w:tcBorders>
              <w:top w:val="nil"/>
              <w:bottom w:val="nil"/>
            </w:tcBorders>
            <w:noWrap/>
          </w:tcPr>
          <w:p w14:paraId="2243CFBC" w14:textId="1BB7EEDD" w:rsidR="008474CF" w:rsidRPr="004D314C" w:rsidRDefault="008474CF" w:rsidP="008474CF">
            <w:pPr>
              <w:pStyle w:val="TableHeading"/>
              <w:keepNext w:val="0"/>
              <w:jc w:val="right"/>
            </w:pPr>
            <w:r w:rsidRPr="004D314C">
              <w:t>$271,711,592</w:t>
            </w:r>
          </w:p>
        </w:tc>
      </w:tr>
      <w:tr w:rsidR="00AF32E4" w:rsidRPr="00163497" w14:paraId="1BE592A2" w14:textId="77777777" w:rsidTr="00AF32E4">
        <w:trPr>
          <w:trHeight w:val="300"/>
        </w:trPr>
        <w:tc>
          <w:tcPr>
            <w:tcW w:w="1569" w:type="pct"/>
            <w:tcBorders>
              <w:top w:val="nil"/>
              <w:bottom w:val="single" w:sz="4" w:space="0" w:color="auto"/>
            </w:tcBorders>
            <w:noWrap/>
          </w:tcPr>
          <w:p w14:paraId="4EC04E3F" w14:textId="77777777" w:rsidR="00AF32E4" w:rsidRPr="00AB4E3E" w:rsidRDefault="00AF32E4" w:rsidP="00AF32E4">
            <w:pPr>
              <w:pStyle w:val="TableHeading"/>
              <w:keepNext w:val="0"/>
              <w:jc w:val="left"/>
              <w:rPr>
                <w:b w:val="0"/>
              </w:rPr>
            </w:pPr>
            <w:r>
              <w:rPr>
                <w:b w:val="0"/>
              </w:rPr>
              <w:t>Current published price, $58.23</w:t>
            </w:r>
          </w:p>
        </w:tc>
        <w:tc>
          <w:tcPr>
            <w:tcW w:w="686" w:type="pct"/>
            <w:tcBorders>
              <w:top w:val="nil"/>
              <w:bottom w:val="single" w:sz="4" w:space="0" w:color="auto"/>
            </w:tcBorders>
            <w:noWrap/>
          </w:tcPr>
          <w:p w14:paraId="4286B601" w14:textId="77777777" w:rsidR="00AF32E4" w:rsidRPr="00811F50" w:rsidRDefault="00AF32E4" w:rsidP="00AF32E4">
            <w:pPr>
              <w:pStyle w:val="TableHeading"/>
              <w:keepNext w:val="0"/>
              <w:jc w:val="right"/>
              <w:rPr>
                <w:b w:val="0"/>
              </w:rPr>
            </w:pPr>
            <w:r w:rsidRPr="00811F50">
              <w:rPr>
                <w:b w:val="0"/>
              </w:rPr>
              <w:t>$91,841,423</w:t>
            </w:r>
          </w:p>
        </w:tc>
        <w:tc>
          <w:tcPr>
            <w:tcW w:w="686" w:type="pct"/>
            <w:tcBorders>
              <w:top w:val="nil"/>
              <w:bottom w:val="single" w:sz="4" w:space="0" w:color="auto"/>
            </w:tcBorders>
            <w:noWrap/>
          </w:tcPr>
          <w:p w14:paraId="45012C83" w14:textId="77777777" w:rsidR="00AF32E4" w:rsidRPr="00811F50" w:rsidRDefault="00AF32E4" w:rsidP="00AF32E4">
            <w:pPr>
              <w:pStyle w:val="TableHeading"/>
              <w:keepNext w:val="0"/>
              <w:jc w:val="right"/>
              <w:rPr>
                <w:b w:val="0"/>
              </w:rPr>
            </w:pPr>
            <w:r w:rsidRPr="00811F50">
              <w:rPr>
                <w:b w:val="0"/>
              </w:rPr>
              <w:t>$98,913,198</w:t>
            </w:r>
          </w:p>
        </w:tc>
        <w:tc>
          <w:tcPr>
            <w:tcW w:w="686" w:type="pct"/>
            <w:tcBorders>
              <w:top w:val="nil"/>
              <w:bottom w:val="single" w:sz="4" w:space="0" w:color="auto"/>
            </w:tcBorders>
            <w:noWrap/>
          </w:tcPr>
          <w:p w14:paraId="591589DC" w14:textId="77777777" w:rsidR="00AF32E4" w:rsidRPr="00811F50" w:rsidRDefault="00AF32E4" w:rsidP="00AF32E4">
            <w:pPr>
              <w:pStyle w:val="TableHeading"/>
              <w:keepNext w:val="0"/>
              <w:jc w:val="right"/>
              <w:rPr>
                <w:b w:val="0"/>
              </w:rPr>
            </w:pPr>
            <w:r w:rsidRPr="00811F50">
              <w:rPr>
                <w:b w:val="0"/>
              </w:rPr>
              <w:t>$105,984,973</w:t>
            </w:r>
          </w:p>
        </w:tc>
        <w:tc>
          <w:tcPr>
            <w:tcW w:w="686" w:type="pct"/>
            <w:tcBorders>
              <w:top w:val="nil"/>
              <w:bottom w:val="single" w:sz="4" w:space="0" w:color="auto"/>
            </w:tcBorders>
            <w:noWrap/>
          </w:tcPr>
          <w:p w14:paraId="2A56A8D2" w14:textId="77777777" w:rsidR="00AF32E4" w:rsidRPr="00811F50" w:rsidRDefault="00AF32E4" w:rsidP="00AF32E4">
            <w:pPr>
              <w:pStyle w:val="TableHeading"/>
              <w:keepNext w:val="0"/>
              <w:jc w:val="right"/>
              <w:rPr>
                <w:b w:val="0"/>
              </w:rPr>
            </w:pPr>
            <w:r w:rsidRPr="00811F50">
              <w:rPr>
                <w:b w:val="0"/>
              </w:rPr>
              <w:t>$113,056,749</w:t>
            </w:r>
          </w:p>
        </w:tc>
        <w:tc>
          <w:tcPr>
            <w:tcW w:w="687" w:type="pct"/>
            <w:tcBorders>
              <w:top w:val="nil"/>
              <w:bottom w:val="single" w:sz="4" w:space="0" w:color="auto"/>
            </w:tcBorders>
            <w:noWrap/>
          </w:tcPr>
          <w:p w14:paraId="59974958" w14:textId="77777777" w:rsidR="00AF32E4" w:rsidRPr="00811F50" w:rsidRDefault="00AF32E4" w:rsidP="00AF32E4">
            <w:pPr>
              <w:pStyle w:val="TableHeading"/>
              <w:keepNext w:val="0"/>
              <w:jc w:val="right"/>
              <w:rPr>
                <w:b w:val="0"/>
              </w:rPr>
            </w:pPr>
            <w:r w:rsidRPr="00811F50">
              <w:rPr>
                <w:b w:val="0"/>
              </w:rPr>
              <w:t>$120,128,524</w:t>
            </w:r>
          </w:p>
        </w:tc>
      </w:tr>
      <w:tr w:rsidR="0007662C" w:rsidRPr="00163497" w14:paraId="4AF2FD20" w14:textId="77777777" w:rsidTr="00A070E8">
        <w:trPr>
          <w:trHeight w:val="300"/>
        </w:trPr>
        <w:tc>
          <w:tcPr>
            <w:tcW w:w="5000" w:type="pct"/>
            <w:gridSpan w:val="6"/>
            <w:tcBorders>
              <w:top w:val="single" w:sz="4" w:space="0" w:color="auto"/>
              <w:bottom w:val="single" w:sz="4" w:space="0" w:color="auto"/>
            </w:tcBorders>
            <w:noWrap/>
          </w:tcPr>
          <w:p w14:paraId="5508BACC" w14:textId="77777777" w:rsidR="0007662C" w:rsidRPr="0053782C" w:rsidRDefault="0007662C" w:rsidP="00E600B3">
            <w:pPr>
              <w:pStyle w:val="TableHeading"/>
              <w:keepNext w:val="0"/>
              <w:jc w:val="left"/>
              <w:rPr>
                <w:b w:val="0"/>
              </w:rPr>
            </w:pPr>
            <w:r>
              <w:rPr>
                <w:b w:val="0"/>
              </w:rPr>
              <w:t>Change in i</w:t>
            </w:r>
            <w:r w:rsidRPr="0053782C">
              <w:rPr>
                <w:b w:val="0"/>
              </w:rPr>
              <w:t>nfection</w:t>
            </w:r>
            <w:r>
              <w:rPr>
                <w:b w:val="0"/>
              </w:rPr>
              <w:t>s</w:t>
            </w:r>
            <w:r w:rsidRPr="0053782C">
              <w:rPr>
                <w:b w:val="0"/>
              </w:rPr>
              <w:t xml:space="preserve"> </w:t>
            </w:r>
            <w:r>
              <w:rPr>
                <w:b w:val="0"/>
              </w:rPr>
              <w:t xml:space="preserve">per patient per year </w:t>
            </w:r>
            <w:r w:rsidRPr="0053782C">
              <w:rPr>
                <w:b w:val="0"/>
              </w:rPr>
              <w:t xml:space="preserve">(base case: </w:t>
            </w:r>
            <w:r>
              <w:rPr>
                <w:b w:val="0"/>
              </w:rPr>
              <w:t>−</w:t>
            </w:r>
            <w:r w:rsidRPr="0053782C">
              <w:rPr>
                <w:b w:val="0"/>
              </w:rPr>
              <w:t>0.37 serious,</w:t>
            </w:r>
            <w:r>
              <w:rPr>
                <w:b w:val="0"/>
              </w:rPr>
              <w:t xml:space="preserve"> −</w:t>
            </w:r>
            <w:r w:rsidRPr="0053782C">
              <w:rPr>
                <w:b w:val="0"/>
              </w:rPr>
              <w:t>0.41 non-serious)</w:t>
            </w:r>
          </w:p>
        </w:tc>
      </w:tr>
      <w:tr w:rsidR="00911F85" w:rsidRPr="00163497" w14:paraId="15E9F76B" w14:textId="77777777" w:rsidTr="008742A1">
        <w:trPr>
          <w:trHeight w:val="300"/>
        </w:trPr>
        <w:tc>
          <w:tcPr>
            <w:tcW w:w="1569" w:type="pct"/>
            <w:tcBorders>
              <w:bottom w:val="nil"/>
            </w:tcBorders>
            <w:noWrap/>
          </w:tcPr>
          <w:p w14:paraId="0066A683" w14:textId="77777777" w:rsidR="00911F85" w:rsidRPr="0053782C" w:rsidRDefault="00911F85" w:rsidP="008742A1">
            <w:pPr>
              <w:pStyle w:val="TableHeading"/>
              <w:keepNext w:val="0"/>
              <w:jc w:val="left"/>
              <w:rPr>
                <w:b w:val="0"/>
              </w:rPr>
            </w:pPr>
            <w:r w:rsidRPr="0053782C">
              <w:rPr>
                <w:b w:val="0"/>
              </w:rPr>
              <w:t xml:space="preserve">Using lower bounds of the 95% CIs: </w:t>
            </w:r>
            <w:r>
              <w:rPr>
                <w:b w:val="0"/>
              </w:rPr>
              <w:t>−</w:t>
            </w:r>
            <w:r w:rsidRPr="0053782C">
              <w:rPr>
                <w:b w:val="0"/>
              </w:rPr>
              <w:t xml:space="preserve">0.41 serious, </w:t>
            </w:r>
            <w:r>
              <w:rPr>
                <w:b w:val="0"/>
              </w:rPr>
              <w:t>−</w:t>
            </w:r>
            <w:r w:rsidRPr="0053782C">
              <w:rPr>
                <w:b w:val="0"/>
              </w:rPr>
              <w:t>0.52 non-serious</w:t>
            </w:r>
          </w:p>
        </w:tc>
        <w:tc>
          <w:tcPr>
            <w:tcW w:w="686" w:type="pct"/>
            <w:tcBorders>
              <w:bottom w:val="nil"/>
            </w:tcBorders>
            <w:noWrap/>
          </w:tcPr>
          <w:p w14:paraId="7D0E9D84" w14:textId="77777777" w:rsidR="00911F85" w:rsidRPr="0053782C" w:rsidRDefault="00911F85" w:rsidP="008742A1">
            <w:pPr>
              <w:pStyle w:val="TableHeading"/>
              <w:keepNext w:val="0"/>
              <w:jc w:val="right"/>
              <w:rPr>
                <w:b w:val="0"/>
              </w:rPr>
            </w:pPr>
            <w:r w:rsidRPr="0053782C">
              <w:rPr>
                <w:b w:val="0"/>
              </w:rPr>
              <w:t>$93,268,649</w:t>
            </w:r>
          </w:p>
        </w:tc>
        <w:tc>
          <w:tcPr>
            <w:tcW w:w="686" w:type="pct"/>
            <w:tcBorders>
              <w:bottom w:val="nil"/>
            </w:tcBorders>
            <w:noWrap/>
          </w:tcPr>
          <w:p w14:paraId="34BDDE6C" w14:textId="77777777" w:rsidR="00911F85" w:rsidRPr="0053782C" w:rsidRDefault="00911F85" w:rsidP="008742A1">
            <w:pPr>
              <w:pStyle w:val="TableHeading"/>
              <w:keepNext w:val="0"/>
              <w:jc w:val="right"/>
              <w:rPr>
                <w:b w:val="0"/>
              </w:rPr>
            </w:pPr>
            <w:r w:rsidRPr="0053782C">
              <w:rPr>
                <w:b w:val="0"/>
              </w:rPr>
              <w:t>$100,479,097</w:t>
            </w:r>
          </w:p>
        </w:tc>
        <w:tc>
          <w:tcPr>
            <w:tcW w:w="686" w:type="pct"/>
            <w:tcBorders>
              <w:bottom w:val="nil"/>
            </w:tcBorders>
            <w:noWrap/>
          </w:tcPr>
          <w:p w14:paraId="730A94B2" w14:textId="77777777" w:rsidR="00911F85" w:rsidRPr="0053782C" w:rsidRDefault="00911F85" w:rsidP="008742A1">
            <w:pPr>
              <w:pStyle w:val="TableHeading"/>
              <w:keepNext w:val="0"/>
              <w:jc w:val="right"/>
              <w:rPr>
                <w:b w:val="0"/>
              </w:rPr>
            </w:pPr>
            <w:r w:rsidRPr="0053782C">
              <w:rPr>
                <w:b w:val="0"/>
              </w:rPr>
              <w:t>$107,689,545</w:t>
            </w:r>
          </w:p>
        </w:tc>
        <w:tc>
          <w:tcPr>
            <w:tcW w:w="686" w:type="pct"/>
            <w:tcBorders>
              <w:bottom w:val="nil"/>
            </w:tcBorders>
            <w:noWrap/>
          </w:tcPr>
          <w:p w14:paraId="77F76B18" w14:textId="77777777" w:rsidR="00911F85" w:rsidRPr="0053782C" w:rsidRDefault="00911F85" w:rsidP="008742A1">
            <w:pPr>
              <w:pStyle w:val="TableHeading"/>
              <w:keepNext w:val="0"/>
              <w:jc w:val="right"/>
              <w:rPr>
                <w:b w:val="0"/>
              </w:rPr>
            </w:pPr>
            <w:r w:rsidRPr="0053782C">
              <w:rPr>
                <w:b w:val="0"/>
              </w:rPr>
              <w:t>$114,899,992</w:t>
            </w:r>
          </w:p>
        </w:tc>
        <w:tc>
          <w:tcPr>
            <w:tcW w:w="687" w:type="pct"/>
            <w:tcBorders>
              <w:bottom w:val="nil"/>
            </w:tcBorders>
            <w:noWrap/>
          </w:tcPr>
          <w:p w14:paraId="69D4706D" w14:textId="77777777" w:rsidR="00911F85" w:rsidRPr="0053782C" w:rsidRDefault="00911F85" w:rsidP="008742A1">
            <w:pPr>
              <w:pStyle w:val="TableHeading"/>
              <w:keepNext w:val="0"/>
              <w:jc w:val="right"/>
              <w:rPr>
                <w:b w:val="0"/>
              </w:rPr>
            </w:pPr>
            <w:r w:rsidRPr="0053782C">
              <w:rPr>
                <w:b w:val="0"/>
              </w:rPr>
              <w:t>$122,110,440</w:t>
            </w:r>
          </w:p>
        </w:tc>
      </w:tr>
      <w:tr w:rsidR="00911F85" w:rsidRPr="00163497" w14:paraId="511D554F" w14:textId="77777777" w:rsidTr="008742A1">
        <w:trPr>
          <w:trHeight w:val="300"/>
        </w:trPr>
        <w:tc>
          <w:tcPr>
            <w:tcW w:w="1569" w:type="pct"/>
            <w:tcBorders>
              <w:top w:val="nil"/>
              <w:bottom w:val="nil"/>
            </w:tcBorders>
            <w:noWrap/>
          </w:tcPr>
          <w:p w14:paraId="4BC573FA" w14:textId="77777777" w:rsidR="00911F85" w:rsidRPr="0053782C" w:rsidRDefault="00911F85" w:rsidP="008742A1">
            <w:pPr>
              <w:pStyle w:val="TableHeading"/>
              <w:keepNext w:val="0"/>
              <w:jc w:val="left"/>
              <w:rPr>
                <w:b w:val="0"/>
              </w:rPr>
            </w:pPr>
            <w:r w:rsidRPr="0053782C">
              <w:rPr>
                <w:b w:val="0"/>
              </w:rPr>
              <w:t xml:space="preserve">Using the upper bounds of the 95% CIs: </w:t>
            </w:r>
            <w:r>
              <w:rPr>
                <w:b w:val="0"/>
              </w:rPr>
              <w:t>−</w:t>
            </w:r>
            <w:r w:rsidRPr="0053782C">
              <w:rPr>
                <w:b w:val="0"/>
              </w:rPr>
              <w:t xml:space="preserve">0.25 serious, </w:t>
            </w:r>
            <w:r>
              <w:rPr>
                <w:b w:val="0"/>
              </w:rPr>
              <w:t>−</w:t>
            </w:r>
            <w:r w:rsidRPr="0053782C">
              <w:rPr>
                <w:b w:val="0"/>
              </w:rPr>
              <w:t>0.29 non-serious</w:t>
            </w:r>
          </w:p>
        </w:tc>
        <w:tc>
          <w:tcPr>
            <w:tcW w:w="686" w:type="pct"/>
            <w:tcBorders>
              <w:top w:val="nil"/>
              <w:bottom w:val="nil"/>
            </w:tcBorders>
            <w:noWrap/>
          </w:tcPr>
          <w:p w14:paraId="70FF08D2" w14:textId="77777777" w:rsidR="00911F85" w:rsidRPr="0053782C" w:rsidRDefault="00911F85" w:rsidP="008742A1">
            <w:pPr>
              <w:pStyle w:val="TableHeading"/>
              <w:keepNext w:val="0"/>
              <w:jc w:val="right"/>
              <w:rPr>
                <w:b w:val="0"/>
              </w:rPr>
            </w:pPr>
            <w:r w:rsidRPr="0053782C">
              <w:rPr>
                <w:b w:val="0"/>
              </w:rPr>
              <w:t>$101,404,179</w:t>
            </w:r>
          </w:p>
        </w:tc>
        <w:tc>
          <w:tcPr>
            <w:tcW w:w="686" w:type="pct"/>
            <w:tcBorders>
              <w:top w:val="nil"/>
              <w:bottom w:val="nil"/>
            </w:tcBorders>
            <w:noWrap/>
          </w:tcPr>
          <w:p w14:paraId="030259AD" w14:textId="77777777" w:rsidR="00911F85" w:rsidRPr="0053782C" w:rsidRDefault="00911F85" w:rsidP="008742A1">
            <w:pPr>
              <w:pStyle w:val="TableHeading"/>
              <w:keepNext w:val="0"/>
              <w:jc w:val="right"/>
              <w:rPr>
                <w:b w:val="0"/>
              </w:rPr>
            </w:pPr>
            <w:r w:rsidRPr="0053782C">
              <w:rPr>
                <w:b w:val="0"/>
              </w:rPr>
              <w:t>$109,124,549</w:t>
            </w:r>
          </w:p>
        </w:tc>
        <w:tc>
          <w:tcPr>
            <w:tcW w:w="686" w:type="pct"/>
            <w:tcBorders>
              <w:top w:val="nil"/>
              <w:bottom w:val="nil"/>
            </w:tcBorders>
            <w:noWrap/>
          </w:tcPr>
          <w:p w14:paraId="0C36FF38" w14:textId="77777777" w:rsidR="00911F85" w:rsidRPr="0053782C" w:rsidRDefault="00911F85" w:rsidP="008742A1">
            <w:pPr>
              <w:pStyle w:val="TableHeading"/>
              <w:keepNext w:val="0"/>
              <w:jc w:val="right"/>
              <w:rPr>
                <w:b w:val="0"/>
              </w:rPr>
            </w:pPr>
            <w:r w:rsidRPr="0053782C">
              <w:rPr>
                <w:b w:val="0"/>
              </w:rPr>
              <w:t>$116,844,918</w:t>
            </w:r>
          </w:p>
        </w:tc>
        <w:tc>
          <w:tcPr>
            <w:tcW w:w="686" w:type="pct"/>
            <w:tcBorders>
              <w:top w:val="nil"/>
              <w:bottom w:val="nil"/>
            </w:tcBorders>
            <w:noWrap/>
          </w:tcPr>
          <w:p w14:paraId="34E9B1C2" w14:textId="77777777" w:rsidR="00911F85" w:rsidRPr="0053782C" w:rsidRDefault="00911F85" w:rsidP="008742A1">
            <w:pPr>
              <w:pStyle w:val="TableHeading"/>
              <w:keepNext w:val="0"/>
              <w:jc w:val="right"/>
              <w:rPr>
                <w:b w:val="0"/>
              </w:rPr>
            </w:pPr>
            <w:r w:rsidRPr="0053782C">
              <w:rPr>
                <w:b w:val="0"/>
              </w:rPr>
              <w:t>$124,565,288</w:t>
            </w:r>
          </w:p>
        </w:tc>
        <w:tc>
          <w:tcPr>
            <w:tcW w:w="687" w:type="pct"/>
            <w:tcBorders>
              <w:top w:val="nil"/>
              <w:bottom w:val="nil"/>
            </w:tcBorders>
            <w:noWrap/>
          </w:tcPr>
          <w:p w14:paraId="0455229B" w14:textId="77777777" w:rsidR="00911F85" w:rsidRPr="0053782C" w:rsidRDefault="00911F85" w:rsidP="008742A1">
            <w:pPr>
              <w:pStyle w:val="TableHeading"/>
              <w:keepNext w:val="0"/>
              <w:jc w:val="right"/>
              <w:rPr>
                <w:b w:val="0"/>
              </w:rPr>
            </w:pPr>
            <w:r w:rsidRPr="0053782C">
              <w:rPr>
                <w:b w:val="0"/>
              </w:rPr>
              <w:t>$132,285,657</w:t>
            </w:r>
          </w:p>
        </w:tc>
      </w:tr>
      <w:tr w:rsidR="00911F85" w:rsidRPr="00163497" w14:paraId="5A8D28A3" w14:textId="77777777" w:rsidTr="008742A1">
        <w:trPr>
          <w:trHeight w:val="300"/>
        </w:trPr>
        <w:tc>
          <w:tcPr>
            <w:tcW w:w="1569" w:type="pct"/>
            <w:tcBorders>
              <w:top w:val="nil"/>
            </w:tcBorders>
            <w:noWrap/>
          </w:tcPr>
          <w:p w14:paraId="6D5E9458" w14:textId="77777777" w:rsidR="00911F85" w:rsidRPr="0053782C" w:rsidRDefault="00911F85" w:rsidP="008742A1">
            <w:pPr>
              <w:pStyle w:val="TableHeading"/>
              <w:keepNext w:val="0"/>
              <w:jc w:val="left"/>
              <w:rPr>
                <w:b w:val="0"/>
              </w:rPr>
            </w:pPr>
            <w:r w:rsidRPr="0053782C">
              <w:rPr>
                <w:b w:val="0"/>
              </w:rPr>
              <w:t xml:space="preserve">Using the pooled </w:t>
            </w:r>
            <w:r>
              <w:rPr>
                <w:b w:val="0"/>
              </w:rPr>
              <w:t>I</w:t>
            </w:r>
            <w:r w:rsidRPr="0053782C">
              <w:rPr>
                <w:b w:val="0"/>
              </w:rPr>
              <w:t xml:space="preserve">RRs based on the non-randomised studies: </w:t>
            </w:r>
            <w:r>
              <w:rPr>
                <w:b w:val="0"/>
              </w:rPr>
              <w:t>−</w:t>
            </w:r>
            <w:r w:rsidRPr="0053782C">
              <w:rPr>
                <w:b w:val="0"/>
              </w:rPr>
              <w:t xml:space="preserve">0.32 serious, </w:t>
            </w:r>
            <w:r>
              <w:rPr>
                <w:b w:val="0"/>
              </w:rPr>
              <w:t>−</w:t>
            </w:r>
            <w:r w:rsidRPr="0053782C">
              <w:rPr>
                <w:b w:val="0"/>
              </w:rPr>
              <w:t>0.</w:t>
            </w:r>
            <w:r>
              <w:rPr>
                <w:b w:val="0"/>
              </w:rPr>
              <w:t>57</w:t>
            </w:r>
            <w:r w:rsidRPr="0053782C">
              <w:rPr>
                <w:b w:val="0"/>
              </w:rPr>
              <w:t xml:space="preserve"> non-serious</w:t>
            </w:r>
          </w:p>
        </w:tc>
        <w:tc>
          <w:tcPr>
            <w:tcW w:w="686" w:type="pct"/>
            <w:tcBorders>
              <w:top w:val="nil"/>
            </w:tcBorders>
            <w:noWrap/>
          </w:tcPr>
          <w:p w14:paraId="606DF7FE" w14:textId="77777777" w:rsidR="00911F85" w:rsidRPr="0002467C" w:rsidRDefault="00911F85" w:rsidP="008742A1">
            <w:pPr>
              <w:pStyle w:val="TableHeading"/>
              <w:keepNext w:val="0"/>
              <w:jc w:val="right"/>
              <w:rPr>
                <w:b w:val="0"/>
              </w:rPr>
            </w:pPr>
            <w:r w:rsidRPr="0002467C">
              <w:rPr>
                <w:b w:val="0"/>
              </w:rPr>
              <w:t>$97,349,097</w:t>
            </w:r>
          </w:p>
        </w:tc>
        <w:tc>
          <w:tcPr>
            <w:tcW w:w="686" w:type="pct"/>
            <w:tcBorders>
              <w:top w:val="nil"/>
            </w:tcBorders>
            <w:noWrap/>
          </w:tcPr>
          <w:p w14:paraId="75CFA735" w14:textId="77777777" w:rsidR="00911F85" w:rsidRPr="0002467C" w:rsidRDefault="00911F85" w:rsidP="008742A1">
            <w:pPr>
              <w:pStyle w:val="TableHeading"/>
              <w:keepNext w:val="0"/>
              <w:jc w:val="right"/>
              <w:rPr>
                <w:b w:val="0"/>
              </w:rPr>
            </w:pPr>
            <w:r w:rsidRPr="0002467C">
              <w:rPr>
                <w:b w:val="0"/>
              </w:rPr>
              <w:t>$104,815,300</w:t>
            </w:r>
          </w:p>
        </w:tc>
        <w:tc>
          <w:tcPr>
            <w:tcW w:w="686" w:type="pct"/>
            <w:tcBorders>
              <w:top w:val="nil"/>
            </w:tcBorders>
            <w:noWrap/>
          </w:tcPr>
          <w:p w14:paraId="3A4E9796" w14:textId="77777777" w:rsidR="00911F85" w:rsidRPr="0002467C" w:rsidRDefault="00911F85" w:rsidP="008742A1">
            <w:pPr>
              <w:pStyle w:val="TableHeading"/>
              <w:keepNext w:val="0"/>
              <w:jc w:val="right"/>
              <w:rPr>
                <w:b w:val="0"/>
              </w:rPr>
            </w:pPr>
            <w:r w:rsidRPr="0002467C">
              <w:rPr>
                <w:b w:val="0"/>
              </w:rPr>
              <w:t>$112,281,504</w:t>
            </w:r>
          </w:p>
        </w:tc>
        <w:tc>
          <w:tcPr>
            <w:tcW w:w="686" w:type="pct"/>
            <w:tcBorders>
              <w:top w:val="nil"/>
            </w:tcBorders>
            <w:noWrap/>
          </w:tcPr>
          <w:p w14:paraId="741A2EBB" w14:textId="77777777" w:rsidR="00911F85" w:rsidRPr="0002467C" w:rsidRDefault="00911F85" w:rsidP="008742A1">
            <w:pPr>
              <w:pStyle w:val="TableHeading"/>
              <w:keepNext w:val="0"/>
              <w:jc w:val="right"/>
              <w:rPr>
                <w:b w:val="0"/>
              </w:rPr>
            </w:pPr>
            <w:r w:rsidRPr="0002467C">
              <w:rPr>
                <w:b w:val="0"/>
              </w:rPr>
              <w:t>$119,747,708</w:t>
            </w:r>
          </w:p>
        </w:tc>
        <w:tc>
          <w:tcPr>
            <w:tcW w:w="687" w:type="pct"/>
            <w:tcBorders>
              <w:top w:val="nil"/>
            </w:tcBorders>
            <w:noWrap/>
          </w:tcPr>
          <w:p w14:paraId="2B7FA296" w14:textId="77777777" w:rsidR="00911F85" w:rsidRPr="0002467C" w:rsidRDefault="00911F85" w:rsidP="008742A1">
            <w:pPr>
              <w:pStyle w:val="TableHeading"/>
              <w:keepNext w:val="0"/>
              <w:jc w:val="right"/>
              <w:rPr>
                <w:b w:val="0"/>
              </w:rPr>
            </w:pPr>
            <w:r w:rsidRPr="0002467C">
              <w:rPr>
                <w:b w:val="0"/>
              </w:rPr>
              <w:t>$127,213,911</w:t>
            </w:r>
          </w:p>
        </w:tc>
      </w:tr>
      <w:tr w:rsidR="00E600B3" w:rsidRPr="002822F9" w14:paraId="62605111" w14:textId="77777777" w:rsidTr="00E600B3">
        <w:trPr>
          <w:trHeight w:val="300"/>
        </w:trPr>
        <w:tc>
          <w:tcPr>
            <w:tcW w:w="5000" w:type="pct"/>
            <w:gridSpan w:val="6"/>
            <w:tcBorders>
              <w:bottom w:val="single" w:sz="4" w:space="0" w:color="auto"/>
            </w:tcBorders>
            <w:noWrap/>
          </w:tcPr>
          <w:p w14:paraId="656EAFEF" w14:textId="033EE555" w:rsidR="00E600B3" w:rsidRPr="002822F9" w:rsidRDefault="00E600B3" w:rsidP="00E600B3">
            <w:pPr>
              <w:pStyle w:val="TableHeading"/>
              <w:keepNext w:val="0"/>
              <w:jc w:val="left"/>
              <w:rPr>
                <w:b w:val="0"/>
              </w:rPr>
            </w:pPr>
            <w:r w:rsidRPr="002822F9">
              <w:rPr>
                <w:b w:val="0"/>
              </w:rPr>
              <w:t xml:space="preserve">Growth rate of Ig use (base case: </w:t>
            </w:r>
            <w:r w:rsidR="00913827">
              <w:rPr>
                <w:b w:val="0"/>
              </w:rPr>
              <w:t xml:space="preserve">average </w:t>
            </w:r>
            <w:r w:rsidRPr="002822F9">
              <w:rPr>
                <w:b w:val="0"/>
              </w:rPr>
              <w:t>7.2%)</w:t>
            </w:r>
          </w:p>
        </w:tc>
      </w:tr>
      <w:tr w:rsidR="002822F9" w:rsidRPr="002822F9" w14:paraId="1EB8A570" w14:textId="77777777" w:rsidTr="002822F9">
        <w:trPr>
          <w:trHeight w:val="300"/>
        </w:trPr>
        <w:tc>
          <w:tcPr>
            <w:tcW w:w="1569" w:type="pct"/>
            <w:tcBorders>
              <w:bottom w:val="nil"/>
            </w:tcBorders>
            <w:noWrap/>
          </w:tcPr>
          <w:p w14:paraId="2412F2F0" w14:textId="40DE7B76" w:rsidR="002822F9" w:rsidRPr="002822F9" w:rsidRDefault="002822F9" w:rsidP="002822F9">
            <w:pPr>
              <w:pStyle w:val="TableHeading"/>
              <w:keepNext w:val="0"/>
              <w:jc w:val="left"/>
              <w:rPr>
                <w:b w:val="0"/>
              </w:rPr>
            </w:pPr>
            <w:r w:rsidRPr="002822F9">
              <w:rPr>
                <w:b w:val="0"/>
              </w:rPr>
              <w:t>5%</w:t>
            </w:r>
          </w:p>
        </w:tc>
        <w:tc>
          <w:tcPr>
            <w:tcW w:w="686" w:type="pct"/>
            <w:tcBorders>
              <w:bottom w:val="nil"/>
            </w:tcBorders>
            <w:noWrap/>
          </w:tcPr>
          <w:p w14:paraId="05FE9B09" w14:textId="71B64EE1" w:rsidR="002822F9" w:rsidRPr="002822F9" w:rsidRDefault="002822F9" w:rsidP="002822F9">
            <w:pPr>
              <w:pStyle w:val="TableHeading"/>
              <w:keepNext w:val="0"/>
              <w:jc w:val="right"/>
              <w:rPr>
                <w:b w:val="0"/>
              </w:rPr>
            </w:pPr>
            <w:r w:rsidRPr="002822F9">
              <w:rPr>
                <w:b w:val="0"/>
              </w:rPr>
              <w:t>$90,624,094</w:t>
            </w:r>
          </w:p>
        </w:tc>
        <w:tc>
          <w:tcPr>
            <w:tcW w:w="686" w:type="pct"/>
            <w:tcBorders>
              <w:bottom w:val="nil"/>
            </w:tcBorders>
            <w:noWrap/>
          </w:tcPr>
          <w:p w14:paraId="138E6471" w14:textId="7C37C66E" w:rsidR="002822F9" w:rsidRPr="002822F9" w:rsidRDefault="002822F9" w:rsidP="002822F9">
            <w:pPr>
              <w:pStyle w:val="TableHeading"/>
              <w:keepNext w:val="0"/>
              <w:jc w:val="right"/>
              <w:rPr>
                <w:b w:val="0"/>
              </w:rPr>
            </w:pPr>
            <w:r w:rsidRPr="002822F9">
              <w:rPr>
                <w:b w:val="0"/>
              </w:rPr>
              <w:t>$95,121,079</w:t>
            </w:r>
          </w:p>
        </w:tc>
        <w:tc>
          <w:tcPr>
            <w:tcW w:w="686" w:type="pct"/>
            <w:tcBorders>
              <w:bottom w:val="nil"/>
            </w:tcBorders>
            <w:noWrap/>
          </w:tcPr>
          <w:p w14:paraId="58AFF10E" w14:textId="42AE3013" w:rsidR="002822F9" w:rsidRPr="002822F9" w:rsidRDefault="002822F9" w:rsidP="002822F9">
            <w:pPr>
              <w:pStyle w:val="TableHeading"/>
              <w:keepNext w:val="0"/>
              <w:jc w:val="right"/>
              <w:rPr>
                <w:b w:val="0"/>
              </w:rPr>
            </w:pPr>
            <w:r w:rsidRPr="002822F9">
              <w:rPr>
                <w:b w:val="0"/>
              </w:rPr>
              <w:t>$99,851,508</w:t>
            </w:r>
          </w:p>
        </w:tc>
        <w:tc>
          <w:tcPr>
            <w:tcW w:w="686" w:type="pct"/>
            <w:tcBorders>
              <w:bottom w:val="nil"/>
            </w:tcBorders>
            <w:noWrap/>
          </w:tcPr>
          <w:p w14:paraId="70BF9427" w14:textId="0A7F448D" w:rsidR="002822F9" w:rsidRPr="002822F9" w:rsidRDefault="002822F9" w:rsidP="002822F9">
            <w:pPr>
              <w:pStyle w:val="TableHeading"/>
              <w:keepNext w:val="0"/>
              <w:jc w:val="right"/>
              <w:rPr>
                <w:b w:val="0"/>
              </w:rPr>
            </w:pPr>
            <w:r w:rsidRPr="002822F9">
              <w:rPr>
                <w:b w:val="0"/>
              </w:rPr>
              <w:t>$104,827,053</w:t>
            </w:r>
          </w:p>
        </w:tc>
        <w:tc>
          <w:tcPr>
            <w:tcW w:w="687" w:type="pct"/>
            <w:tcBorders>
              <w:bottom w:val="nil"/>
            </w:tcBorders>
            <w:noWrap/>
          </w:tcPr>
          <w:p w14:paraId="00A395DB" w14:textId="6E0C6A0A" w:rsidR="002822F9" w:rsidRPr="002822F9" w:rsidRDefault="002822F9" w:rsidP="002822F9">
            <w:pPr>
              <w:pStyle w:val="TableHeading"/>
              <w:keepNext w:val="0"/>
              <w:jc w:val="right"/>
              <w:rPr>
                <w:b w:val="0"/>
              </w:rPr>
            </w:pPr>
            <w:r w:rsidRPr="002822F9">
              <w:rPr>
                <w:b w:val="0"/>
              </w:rPr>
              <w:t>$110,059,971</w:t>
            </w:r>
          </w:p>
        </w:tc>
      </w:tr>
      <w:tr w:rsidR="002822F9" w:rsidRPr="002822F9" w14:paraId="1F0021CD" w14:textId="77777777" w:rsidTr="002822F9">
        <w:trPr>
          <w:trHeight w:val="300"/>
        </w:trPr>
        <w:tc>
          <w:tcPr>
            <w:tcW w:w="1569" w:type="pct"/>
            <w:tcBorders>
              <w:top w:val="nil"/>
              <w:bottom w:val="nil"/>
            </w:tcBorders>
            <w:noWrap/>
          </w:tcPr>
          <w:p w14:paraId="2CAF79FB" w14:textId="39B1B583" w:rsidR="002822F9" w:rsidRPr="002822F9" w:rsidRDefault="002822F9" w:rsidP="002822F9">
            <w:pPr>
              <w:pStyle w:val="TableHeading"/>
              <w:keepNext w:val="0"/>
              <w:jc w:val="left"/>
              <w:rPr>
                <w:b w:val="0"/>
              </w:rPr>
            </w:pPr>
            <w:r w:rsidRPr="002822F9">
              <w:rPr>
                <w:b w:val="0"/>
              </w:rPr>
              <w:lastRenderedPageBreak/>
              <w:t>6%</w:t>
            </w:r>
          </w:p>
        </w:tc>
        <w:tc>
          <w:tcPr>
            <w:tcW w:w="686" w:type="pct"/>
            <w:tcBorders>
              <w:top w:val="nil"/>
              <w:bottom w:val="nil"/>
            </w:tcBorders>
            <w:noWrap/>
          </w:tcPr>
          <w:p w14:paraId="62E74B51" w14:textId="53904B68" w:rsidR="002822F9" w:rsidRPr="002822F9" w:rsidRDefault="002822F9" w:rsidP="002822F9">
            <w:pPr>
              <w:pStyle w:val="TableHeading"/>
              <w:keepNext w:val="0"/>
              <w:jc w:val="right"/>
              <w:rPr>
                <w:b w:val="0"/>
              </w:rPr>
            </w:pPr>
            <w:r w:rsidRPr="002822F9">
              <w:rPr>
                <w:b w:val="0"/>
              </w:rPr>
              <w:t>$92,411,185</w:t>
            </w:r>
          </w:p>
        </w:tc>
        <w:tc>
          <w:tcPr>
            <w:tcW w:w="686" w:type="pct"/>
            <w:tcBorders>
              <w:top w:val="nil"/>
              <w:bottom w:val="nil"/>
            </w:tcBorders>
            <w:noWrap/>
          </w:tcPr>
          <w:p w14:paraId="5E413C4D" w14:textId="4699D00E" w:rsidR="002822F9" w:rsidRPr="002822F9" w:rsidRDefault="002822F9" w:rsidP="002822F9">
            <w:pPr>
              <w:pStyle w:val="TableHeading"/>
              <w:keepNext w:val="0"/>
              <w:jc w:val="right"/>
              <w:rPr>
                <w:b w:val="0"/>
              </w:rPr>
            </w:pPr>
            <w:r w:rsidRPr="002822F9">
              <w:rPr>
                <w:b w:val="0"/>
              </w:rPr>
              <w:t>$97,949,172</w:t>
            </w:r>
          </w:p>
        </w:tc>
        <w:tc>
          <w:tcPr>
            <w:tcW w:w="686" w:type="pct"/>
            <w:tcBorders>
              <w:top w:val="nil"/>
              <w:bottom w:val="nil"/>
            </w:tcBorders>
            <w:noWrap/>
          </w:tcPr>
          <w:p w14:paraId="07B33E47" w14:textId="52326E8C" w:rsidR="002822F9" w:rsidRPr="002822F9" w:rsidRDefault="002822F9" w:rsidP="002822F9">
            <w:pPr>
              <w:pStyle w:val="TableHeading"/>
              <w:keepNext w:val="0"/>
              <w:jc w:val="right"/>
              <w:rPr>
                <w:b w:val="0"/>
              </w:rPr>
            </w:pPr>
            <w:r w:rsidRPr="002822F9">
              <w:rPr>
                <w:b w:val="0"/>
              </w:rPr>
              <w:t>$103,829,752</w:t>
            </w:r>
          </w:p>
        </w:tc>
        <w:tc>
          <w:tcPr>
            <w:tcW w:w="686" w:type="pct"/>
            <w:tcBorders>
              <w:top w:val="nil"/>
              <w:bottom w:val="nil"/>
            </w:tcBorders>
            <w:noWrap/>
          </w:tcPr>
          <w:p w14:paraId="0268D747" w14:textId="55E861F8" w:rsidR="002822F9" w:rsidRPr="002822F9" w:rsidRDefault="002822F9" w:rsidP="002822F9">
            <w:pPr>
              <w:pStyle w:val="TableHeading"/>
              <w:keepNext w:val="0"/>
              <w:jc w:val="right"/>
              <w:rPr>
                <w:b w:val="0"/>
              </w:rPr>
            </w:pPr>
            <w:r w:rsidRPr="002822F9">
              <w:rPr>
                <w:b w:val="0"/>
              </w:rPr>
              <w:t>$110,073,480</w:t>
            </w:r>
          </w:p>
        </w:tc>
        <w:tc>
          <w:tcPr>
            <w:tcW w:w="687" w:type="pct"/>
            <w:tcBorders>
              <w:top w:val="nil"/>
              <w:bottom w:val="nil"/>
            </w:tcBorders>
            <w:noWrap/>
          </w:tcPr>
          <w:p w14:paraId="0B177C16" w14:textId="4DA7C26C" w:rsidR="002822F9" w:rsidRPr="002822F9" w:rsidRDefault="002822F9" w:rsidP="002822F9">
            <w:pPr>
              <w:pStyle w:val="TableHeading"/>
              <w:keepNext w:val="0"/>
              <w:jc w:val="right"/>
              <w:rPr>
                <w:b w:val="0"/>
              </w:rPr>
            </w:pPr>
            <w:r w:rsidRPr="002822F9">
              <w:rPr>
                <w:b w:val="0"/>
              </w:rPr>
              <w:t>$116,702,146</w:t>
            </w:r>
          </w:p>
        </w:tc>
      </w:tr>
      <w:tr w:rsidR="002822F9" w:rsidRPr="002822F9" w14:paraId="33977CC8" w14:textId="77777777" w:rsidTr="002822F9">
        <w:trPr>
          <w:trHeight w:val="300"/>
        </w:trPr>
        <w:tc>
          <w:tcPr>
            <w:tcW w:w="1569" w:type="pct"/>
            <w:tcBorders>
              <w:top w:val="nil"/>
            </w:tcBorders>
            <w:noWrap/>
          </w:tcPr>
          <w:p w14:paraId="631D7CB8" w14:textId="56E2EA8E" w:rsidR="002822F9" w:rsidRPr="002822F9" w:rsidRDefault="002822F9" w:rsidP="002822F9">
            <w:pPr>
              <w:pStyle w:val="TableHeading"/>
              <w:keepNext w:val="0"/>
              <w:jc w:val="left"/>
              <w:rPr>
                <w:b w:val="0"/>
              </w:rPr>
            </w:pPr>
            <w:r w:rsidRPr="002822F9">
              <w:rPr>
                <w:b w:val="0"/>
              </w:rPr>
              <w:t>8%</w:t>
            </w:r>
          </w:p>
        </w:tc>
        <w:tc>
          <w:tcPr>
            <w:tcW w:w="686" w:type="pct"/>
            <w:tcBorders>
              <w:top w:val="nil"/>
            </w:tcBorders>
            <w:noWrap/>
          </w:tcPr>
          <w:p w14:paraId="7D4685D4" w14:textId="5B916710" w:rsidR="002822F9" w:rsidRPr="002822F9" w:rsidRDefault="002822F9" w:rsidP="002822F9">
            <w:pPr>
              <w:pStyle w:val="TableHeading"/>
              <w:keepNext w:val="0"/>
              <w:jc w:val="right"/>
              <w:rPr>
                <w:b w:val="0"/>
              </w:rPr>
            </w:pPr>
            <w:r w:rsidRPr="002822F9">
              <w:rPr>
                <w:b w:val="0"/>
              </w:rPr>
              <w:t>$96,036,185</w:t>
            </w:r>
          </w:p>
        </w:tc>
        <w:tc>
          <w:tcPr>
            <w:tcW w:w="686" w:type="pct"/>
            <w:tcBorders>
              <w:top w:val="nil"/>
            </w:tcBorders>
            <w:noWrap/>
          </w:tcPr>
          <w:p w14:paraId="15891C97" w14:textId="4BEDC6F1" w:rsidR="002822F9" w:rsidRPr="002822F9" w:rsidRDefault="002822F9" w:rsidP="002822F9">
            <w:pPr>
              <w:pStyle w:val="TableHeading"/>
              <w:keepNext w:val="0"/>
              <w:jc w:val="right"/>
              <w:rPr>
                <w:b w:val="0"/>
              </w:rPr>
            </w:pPr>
            <w:r w:rsidRPr="002822F9">
              <w:rPr>
                <w:b w:val="0"/>
              </w:rPr>
              <w:t>$103,767,467</w:t>
            </w:r>
          </w:p>
        </w:tc>
        <w:tc>
          <w:tcPr>
            <w:tcW w:w="686" w:type="pct"/>
            <w:tcBorders>
              <w:top w:val="nil"/>
            </w:tcBorders>
            <w:noWrap/>
          </w:tcPr>
          <w:p w14:paraId="481A8906" w14:textId="22B60747" w:rsidR="002822F9" w:rsidRPr="002822F9" w:rsidRDefault="002822F9" w:rsidP="002822F9">
            <w:pPr>
              <w:pStyle w:val="TableHeading"/>
              <w:keepNext w:val="0"/>
              <w:jc w:val="right"/>
              <w:rPr>
                <w:b w:val="0"/>
              </w:rPr>
            </w:pPr>
            <w:r w:rsidRPr="002822F9">
              <w:rPr>
                <w:b w:val="0"/>
              </w:rPr>
              <w:t>$112,131,003</w:t>
            </w:r>
          </w:p>
        </w:tc>
        <w:tc>
          <w:tcPr>
            <w:tcW w:w="686" w:type="pct"/>
            <w:tcBorders>
              <w:top w:val="nil"/>
            </w:tcBorders>
            <w:noWrap/>
          </w:tcPr>
          <w:p w14:paraId="3D077F8D" w14:textId="4B8E8951" w:rsidR="002822F9" w:rsidRPr="002822F9" w:rsidRDefault="002822F9" w:rsidP="002822F9">
            <w:pPr>
              <w:pStyle w:val="TableHeading"/>
              <w:keepNext w:val="0"/>
              <w:jc w:val="right"/>
              <w:rPr>
                <w:b w:val="0"/>
              </w:rPr>
            </w:pPr>
            <w:r w:rsidRPr="002822F9">
              <w:rPr>
                <w:b w:val="0"/>
              </w:rPr>
              <w:t>$121,177,373</w:t>
            </w:r>
          </w:p>
        </w:tc>
        <w:tc>
          <w:tcPr>
            <w:tcW w:w="687" w:type="pct"/>
            <w:tcBorders>
              <w:top w:val="nil"/>
            </w:tcBorders>
            <w:noWrap/>
          </w:tcPr>
          <w:p w14:paraId="63B50BED" w14:textId="6F76A8F9" w:rsidR="002822F9" w:rsidRPr="002822F9" w:rsidRDefault="002822F9" w:rsidP="002822F9">
            <w:pPr>
              <w:pStyle w:val="TableHeading"/>
              <w:keepNext w:val="0"/>
              <w:jc w:val="right"/>
              <w:rPr>
                <w:b w:val="0"/>
              </w:rPr>
            </w:pPr>
            <w:r w:rsidRPr="002822F9">
              <w:rPr>
                <w:b w:val="0"/>
              </w:rPr>
              <w:t>$130,961,205</w:t>
            </w:r>
          </w:p>
        </w:tc>
      </w:tr>
    </w:tbl>
    <w:p w14:paraId="3019911A" w14:textId="34D7698E" w:rsidR="008474CF" w:rsidRDefault="008474CF" w:rsidP="00911F85">
      <w:pPr>
        <w:pStyle w:val="Tablenotes1"/>
      </w:pPr>
      <w:r w:rsidRPr="008474CF">
        <w:rPr>
          <w:vertAlign w:val="superscript"/>
        </w:rPr>
        <w:t>a</w:t>
      </w:r>
      <w:r>
        <w:t xml:space="preserve"> For estimation of the average weighted price per gram within the acquired hypogammaglobulinemia see </w:t>
      </w:r>
      <w:r>
        <w:fldChar w:fldCharType="begin"/>
      </w:r>
      <w:r>
        <w:instrText xml:space="preserve"> REF _Ref16607859 \h </w:instrText>
      </w:r>
      <w:r>
        <w:fldChar w:fldCharType="separate"/>
      </w:r>
      <w:r w:rsidR="00A7463B" w:rsidRPr="008474CF">
        <w:t xml:space="preserve">Table </w:t>
      </w:r>
      <w:r w:rsidR="00A7463B">
        <w:rPr>
          <w:noProof/>
        </w:rPr>
        <w:t>98</w:t>
      </w:r>
      <w:r>
        <w:fldChar w:fldCharType="end"/>
      </w:r>
      <w:r>
        <w:t>, Appendix H.</w:t>
      </w:r>
    </w:p>
    <w:p w14:paraId="745CCE60" w14:textId="77777777" w:rsidR="00911F85" w:rsidRDefault="00911F85" w:rsidP="00911F85">
      <w:pPr>
        <w:pStyle w:val="Tablenotes1"/>
      </w:pPr>
      <w:r>
        <w:t>Ig = immunoglobulin; IRR = incidence rate ratios.</w:t>
      </w:r>
    </w:p>
    <w:bookmarkEnd w:id="357"/>
    <w:bookmarkEnd w:id="358"/>
    <w:p w14:paraId="09FDC7B6" w14:textId="77777777" w:rsidR="007F27D7" w:rsidRPr="003B4D22" w:rsidRDefault="007F27D7" w:rsidP="0077418B"/>
    <w:p w14:paraId="62568A22" w14:textId="77777777" w:rsidR="007F27D7" w:rsidRPr="003B4D22" w:rsidRDefault="007F27D7" w:rsidP="0077418B">
      <w:pPr>
        <w:sectPr w:rsidR="007F27D7" w:rsidRPr="003B4D22" w:rsidSect="0007662C">
          <w:pgSz w:w="11906" w:h="16838"/>
          <w:pgMar w:top="1440" w:right="1440" w:bottom="1440" w:left="1440" w:header="720" w:footer="720" w:gutter="0"/>
          <w:paperSrc w:first="7" w:other="7"/>
          <w:cols w:space="720"/>
        </w:sectPr>
      </w:pPr>
    </w:p>
    <w:p w14:paraId="2323FA42" w14:textId="1E2BB7B4" w:rsidR="004E45C4" w:rsidRPr="00386411" w:rsidRDefault="004E45C4" w:rsidP="00DF343F">
      <w:pPr>
        <w:keepNext/>
        <w:pageBreakBefore/>
        <w:pBdr>
          <w:bottom w:val="single" w:sz="4" w:space="1" w:color="auto"/>
        </w:pBdr>
        <w:spacing w:after="360" w:line="240" w:lineRule="auto"/>
        <w:ind w:left="2835" w:hanging="2835"/>
        <w:outlineLvl w:val="0"/>
        <w:rPr>
          <w:b/>
          <w:sz w:val="44"/>
        </w:rPr>
      </w:pPr>
      <w:bookmarkStart w:id="675" w:name="_Ref352745383"/>
      <w:bookmarkStart w:id="676" w:name="_Toc352254677"/>
      <w:bookmarkStart w:id="677" w:name="_Toc352672949"/>
      <w:bookmarkStart w:id="678" w:name="_Toc355274740"/>
      <w:bookmarkStart w:id="679" w:name="_Toc379118097"/>
      <w:bookmarkStart w:id="680" w:name="_Toc381796496"/>
      <w:bookmarkStart w:id="681" w:name="_Toc14431181"/>
      <w:bookmarkStart w:id="682" w:name="_Toc16856357"/>
      <w:bookmarkStart w:id="683" w:name="_Ref237760111"/>
      <w:bookmarkEnd w:id="359"/>
      <w:bookmarkEnd w:id="360"/>
      <w:r w:rsidRPr="00386411">
        <w:rPr>
          <w:b/>
          <w:sz w:val="44"/>
        </w:rPr>
        <w:lastRenderedPageBreak/>
        <w:t xml:space="preserve">Appendix </w:t>
      </w:r>
      <w:r w:rsidR="0086593E" w:rsidRPr="00386411">
        <w:rPr>
          <w:b/>
          <w:sz w:val="44"/>
        </w:rPr>
        <w:fldChar w:fldCharType="begin"/>
      </w:r>
      <w:r w:rsidR="00A63A5D" w:rsidRPr="00386411">
        <w:rPr>
          <w:b/>
          <w:sz w:val="44"/>
        </w:rPr>
        <w:instrText xml:space="preserve"> SEQ Appendix \* ALPHABETIC </w:instrText>
      </w:r>
      <w:r w:rsidR="0086593E" w:rsidRPr="00386411">
        <w:rPr>
          <w:b/>
          <w:sz w:val="44"/>
        </w:rPr>
        <w:fldChar w:fldCharType="separate"/>
      </w:r>
      <w:r w:rsidR="00A7463B">
        <w:rPr>
          <w:b/>
          <w:noProof/>
          <w:sz w:val="44"/>
        </w:rPr>
        <w:t>A</w:t>
      </w:r>
      <w:r w:rsidR="0086593E" w:rsidRPr="00386411">
        <w:rPr>
          <w:b/>
          <w:sz w:val="44"/>
        </w:rPr>
        <w:fldChar w:fldCharType="end"/>
      </w:r>
      <w:bookmarkEnd w:id="675"/>
      <w:bookmarkEnd w:id="676"/>
      <w:bookmarkEnd w:id="677"/>
      <w:r w:rsidR="00745565" w:rsidRPr="00386411">
        <w:rPr>
          <w:b/>
          <w:sz w:val="44"/>
        </w:rPr>
        <w:tab/>
      </w:r>
      <w:r w:rsidR="003E626D" w:rsidRPr="00386411">
        <w:rPr>
          <w:b/>
          <w:sz w:val="44"/>
        </w:rPr>
        <w:t>Clinical Experts</w:t>
      </w:r>
      <w:r w:rsidR="00745565" w:rsidRPr="00386411">
        <w:rPr>
          <w:b/>
          <w:sz w:val="44"/>
        </w:rPr>
        <w:t xml:space="preserve"> </w:t>
      </w:r>
      <w:r w:rsidRPr="00386411">
        <w:rPr>
          <w:b/>
          <w:sz w:val="44"/>
        </w:rPr>
        <w:t>and Assessment Group</w:t>
      </w:r>
      <w:bookmarkEnd w:id="678"/>
      <w:bookmarkEnd w:id="679"/>
      <w:bookmarkEnd w:id="680"/>
      <w:bookmarkEnd w:id="681"/>
      <w:bookmarkEnd w:id="682"/>
    </w:p>
    <w:p w14:paraId="5E8E6E28" w14:textId="77777777" w:rsidR="001F63EA" w:rsidRPr="00183E4D" w:rsidRDefault="001F63EA" w:rsidP="001F63EA">
      <w:pPr>
        <w:pStyle w:val="Heading2"/>
      </w:pPr>
      <w:bookmarkStart w:id="684" w:name="_Toc379118099"/>
      <w:bookmarkStart w:id="685" w:name="_Toc381796498"/>
      <w:bookmarkStart w:id="686" w:name="_Toc14163766"/>
      <w:bookmarkStart w:id="687" w:name="_Toc14431183"/>
      <w:bookmarkStart w:id="688" w:name="_Toc16856358"/>
      <w:bookmarkStart w:id="689" w:name="_Ref10219231"/>
      <w:bookmarkStart w:id="690" w:name="_Toc379118100"/>
      <w:bookmarkStart w:id="691" w:name="_Toc381796499"/>
      <w:bookmarkEnd w:id="683"/>
      <w:r w:rsidRPr="00183E4D">
        <w:t>Assessment group</w:t>
      </w:r>
      <w:bookmarkEnd w:id="684"/>
      <w:bookmarkEnd w:id="685"/>
      <w:bookmarkEnd w:id="686"/>
      <w:bookmarkEnd w:id="687"/>
      <w:bookmarkEnd w:id="688"/>
      <w:r>
        <w:t xml:space="preserve"> </w:t>
      </w:r>
    </w:p>
    <w:p w14:paraId="1924CB3A" w14:textId="77777777" w:rsidR="001F63EA" w:rsidRPr="00183E4D" w:rsidRDefault="001F63EA" w:rsidP="001F63EA">
      <w:pPr>
        <w:spacing w:line="240" w:lineRule="auto"/>
        <w:rPr>
          <w:b/>
        </w:rPr>
      </w:pPr>
      <w:r w:rsidRPr="00EA3EA8">
        <w:rPr>
          <w:b/>
        </w:rPr>
        <w:t>Adelaide Health Technology Assessment</w:t>
      </w:r>
    </w:p>
    <w:p w14:paraId="3395299E" w14:textId="77777777" w:rsidR="001F63EA" w:rsidRPr="00183E4D" w:rsidRDefault="001F63EA" w:rsidP="001F63EA">
      <w:pPr>
        <w:tabs>
          <w:tab w:val="left" w:pos="4111"/>
        </w:tabs>
        <w:spacing w:after="40"/>
        <w:rPr>
          <w:u w:val="single"/>
        </w:rPr>
      </w:pPr>
      <w:r w:rsidRPr="00183E4D">
        <w:rPr>
          <w:u w:val="single"/>
        </w:rPr>
        <w:t>Name</w:t>
      </w:r>
      <w:r w:rsidRPr="00183E4D">
        <w:tab/>
      </w:r>
      <w:r w:rsidRPr="00183E4D">
        <w:rPr>
          <w:u w:val="single"/>
        </w:rPr>
        <w:t>Position</w:t>
      </w:r>
    </w:p>
    <w:p w14:paraId="7C6A590D" w14:textId="77777777" w:rsidR="001F63EA" w:rsidRDefault="001F63EA" w:rsidP="001F63EA">
      <w:pPr>
        <w:tabs>
          <w:tab w:val="left" w:pos="4111"/>
        </w:tabs>
      </w:pPr>
      <w:r>
        <w:t>Allison Wyndham</w:t>
      </w:r>
      <w:r>
        <w:tab/>
        <w:t>Senior research officer</w:t>
      </w:r>
    </w:p>
    <w:p w14:paraId="16E752F1" w14:textId="77777777" w:rsidR="001F63EA" w:rsidRDefault="001F63EA" w:rsidP="001F63EA">
      <w:pPr>
        <w:tabs>
          <w:tab w:val="left" w:pos="4111"/>
        </w:tabs>
      </w:pPr>
      <w:r>
        <w:t>Arlene Vogan</w:t>
      </w:r>
      <w:r>
        <w:tab/>
        <w:t>Health economist</w:t>
      </w:r>
    </w:p>
    <w:p w14:paraId="4365ADE9" w14:textId="77777777" w:rsidR="001F63EA" w:rsidRDefault="001F63EA" w:rsidP="001F63EA">
      <w:pPr>
        <w:tabs>
          <w:tab w:val="left" w:pos="4111"/>
        </w:tabs>
      </w:pPr>
      <w:r>
        <w:t>Skye Newton</w:t>
      </w:r>
      <w:r>
        <w:tab/>
        <w:t>Team leader</w:t>
      </w:r>
    </w:p>
    <w:p w14:paraId="2ECD8CA0" w14:textId="77777777" w:rsidR="001F63EA" w:rsidRDefault="001F63EA" w:rsidP="001F63EA">
      <w:pPr>
        <w:tabs>
          <w:tab w:val="left" w:pos="4111"/>
        </w:tabs>
      </w:pPr>
      <w:r>
        <w:t>Camille Schubert</w:t>
      </w:r>
      <w:r>
        <w:tab/>
        <w:t>Team leader - Health economics</w:t>
      </w:r>
    </w:p>
    <w:p w14:paraId="1E98ACD2" w14:textId="77777777" w:rsidR="001F63EA" w:rsidRPr="00183E4D" w:rsidRDefault="001F63EA" w:rsidP="001F63EA">
      <w:pPr>
        <w:tabs>
          <w:tab w:val="left" w:pos="4111"/>
        </w:tabs>
      </w:pPr>
    </w:p>
    <w:p w14:paraId="622AADD5" w14:textId="77777777" w:rsidR="001F63EA" w:rsidRPr="00183E4D" w:rsidRDefault="001F63EA" w:rsidP="001F63EA">
      <w:pPr>
        <w:spacing w:line="240" w:lineRule="auto"/>
        <w:rPr>
          <w:b/>
          <w:sz w:val="28"/>
          <w:szCs w:val="28"/>
        </w:rPr>
      </w:pPr>
      <w:bookmarkStart w:id="692" w:name="_Toc352254679"/>
      <w:bookmarkStart w:id="693" w:name="_Toc352672951"/>
      <w:bookmarkStart w:id="694" w:name="_Toc352761736"/>
      <w:r w:rsidRPr="00183E4D">
        <w:rPr>
          <w:b/>
          <w:sz w:val="28"/>
          <w:szCs w:val="28"/>
        </w:rPr>
        <w:t>Noted conflicts of interest</w:t>
      </w:r>
      <w:bookmarkEnd w:id="692"/>
      <w:bookmarkEnd w:id="693"/>
      <w:bookmarkEnd w:id="694"/>
    </w:p>
    <w:p w14:paraId="1A5BB167" w14:textId="77777777" w:rsidR="001F63EA" w:rsidRPr="00183E4D" w:rsidRDefault="001F63EA" w:rsidP="001F63EA">
      <w:pPr>
        <w:spacing w:line="240" w:lineRule="auto"/>
      </w:pPr>
      <w:r w:rsidRPr="00183E4D">
        <w:t>There were no conflicts of interest.</w:t>
      </w:r>
    </w:p>
    <w:p w14:paraId="20A3C1BB" w14:textId="3871E88E" w:rsidR="007A7960" w:rsidRPr="00386411" w:rsidRDefault="00193B87" w:rsidP="00DF343F">
      <w:pPr>
        <w:pStyle w:val="Heading1"/>
      </w:pPr>
      <w:bookmarkStart w:id="695" w:name="_Ref14354544"/>
      <w:bookmarkStart w:id="696" w:name="_Toc14431184"/>
      <w:bookmarkStart w:id="697" w:name="_Toc16856359"/>
      <w:r w:rsidRPr="00386411">
        <w:lastRenderedPageBreak/>
        <w:t xml:space="preserve">Appendix </w:t>
      </w:r>
      <w:r w:rsidR="00E46014" w:rsidRPr="00386411">
        <w:rPr>
          <w:noProof/>
        </w:rPr>
        <w:fldChar w:fldCharType="begin"/>
      </w:r>
      <w:r w:rsidR="00E46014" w:rsidRPr="00386411">
        <w:rPr>
          <w:noProof/>
        </w:rPr>
        <w:instrText xml:space="preserve"> SEQ Appendix \* ALPHABETIC </w:instrText>
      </w:r>
      <w:r w:rsidR="00E46014" w:rsidRPr="00386411">
        <w:rPr>
          <w:noProof/>
        </w:rPr>
        <w:fldChar w:fldCharType="separate"/>
      </w:r>
      <w:r w:rsidR="00A7463B">
        <w:rPr>
          <w:noProof/>
        </w:rPr>
        <w:t>B</w:t>
      </w:r>
      <w:r w:rsidR="00E46014" w:rsidRPr="00386411">
        <w:rPr>
          <w:noProof/>
        </w:rPr>
        <w:fldChar w:fldCharType="end"/>
      </w:r>
      <w:bookmarkEnd w:id="689"/>
      <w:bookmarkEnd w:id="695"/>
      <w:r w:rsidR="00871F61" w:rsidRPr="00386411">
        <w:tab/>
        <w:t>Search strategies</w:t>
      </w:r>
      <w:bookmarkEnd w:id="690"/>
      <w:bookmarkEnd w:id="691"/>
      <w:bookmarkEnd w:id="696"/>
      <w:bookmarkEnd w:id="697"/>
    </w:p>
    <w:p w14:paraId="5568A279" w14:textId="5D3C2039" w:rsidR="00C92BD0" w:rsidRPr="003B4D22" w:rsidRDefault="00C92BD0" w:rsidP="00C92BD0">
      <w:bookmarkStart w:id="698" w:name="_Toc294256148"/>
      <w:bookmarkStart w:id="699" w:name="_Toc301358577"/>
      <w:bookmarkStart w:id="700" w:name="_Toc303677590"/>
      <w:bookmarkStart w:id="701" w:name="_Toc303677762"/>
      <w:bookmarkStart w:id="702" w:name="_Toc381796500"/>
      <w:r w:rsidRPr="003B4D22">
        <w:t xml:space="preserve">IgG replacement therapy has been in use since the 1940s for primary immunodeficiencies, mostly as IM injections. IV presentations were developed in the late 1970s and early 80s at the same time as use of IgG in other indications began to be explored. Authorisation of commercial IVIg products for secondary immunodeficiencies did not occur until 1990 or so at which time consensus was reached that IgG could be used in certain haematological malignancies </w:t>
      </w:r>
      <w:r w:rsidRPr="003B4D22">
        <w:fldChar w:fldCharType="begin"/>
      </w:r>
      <w:r w:rsidRPr="003B4D22">
        <w:instrText xml:space="preserve"> ADDIN EN.CITE &lt;EndNote&gt;&lt;Cite&gt;&lt;Author&gt;Eibl&lt;/Author&gt;&lt;Year&gt;2008&lt;/Year&gt;&lt;RecNum&gt;95&lt;/RecNum&gt;&lt;DisplayText&gt;(Eibl 2008)&lt;/DisplayText&gt;&lt;record&gt;&lt;rec-number&gt;95&lt;/rec-number&gt;&lt;foreign-keys&gt;&lt;key app="EN" db-id="z0vwsepdwpt20pewwts5z9eup9e2r2pd2tad" timestamp="1559299453"&gt;95&lt;/key&gt;&lt;/foreign-keys&gt;&lt;ref-type name="Journal Article"&gt;17&lt;/ref-type&gt;&lt;contributors&gt;&lt;authors&gt;&lt;author&gt;Eibl, M. M.&lt;/author&gt;&lt;/authors&gt;&lt;/contributors&gt;&lt;auth-address&gt;Medical University of Vienna, Center for Physiology, Pathophysiology and Immunology, Institute of Immunology, Borschkegasse 8a, 1090 Vienna, Austria. martha.eibl@meduniwien.ac.at&lt;/auth-address&gt;&lt;titles&gt;&lt;title&gt;History of immunoglobulin replacement&lt;/title&gt;&lt;secondary-title&gt;Immunol Allergy Clin North Am&lt;/secondary-title&gt;&lt;/titles&gt;&lt;periodical&gt;&lt;full-title&gt;Immunol Allergy Clin North Am&lt;/full-title&gt;&lt;/periodical&gt;&lt;pages&gt;737-64, viii&lt;/pages&gt;&lt;volume&gt;28&lt;/volume&gt;&lt;number&gt;4&lt;/number&gt;&lt;keywords&gt;&lt;keyword&gt;Animals&lt;/keyword&gt;&lt;keyword&gt;Antibodies, Monoclonal/therapeutic use&lt;/keyword&gt;&lt;keyword&gt;Consensus Development Conferences, NIH as Topic&lt;/keyword&gt;&lt;keyword&gt;History, 19th Century&lt;/keyword&gt;&lt;keyword&gt;History, 20th Century&lt;/keyword&gt;&lt;keyword&gt;History, 21st Century&lt;/keyword&gt;&lt;keyword&gt;Humans&lt;/keyword&gt;&lt;keyword&gt;Immunization, Passive/*history&lt;/keyword&gt;&lt;keyword&gt;Immunoglobulins, Intravenous/*administration &amp;amp; dosage/*adverse&lt;/keyword&gt;&lt;keyword&gt;effects/chemistry/immunology&lt;/keyword&gt;&lt;keyword&gt;Immunologic Deficiency Syndromes/history/*therapy&lt;/keyword&gt;&lt;keyword&gt;National Institutes of Health (U.S.)/history&lt;/keyword&gt;&lt;keyword&gt;United States&lt;/keyword&gt;&lt;/keywords&gt;&lt;dates&gt;&lt;year&gt;2008&lt;/year&gt;&lt;pub-dates&gt;&lt;date&gt;Nov&lt;/date&gt;&lt;/pub-dates&gt;&lt;/dates&gt;&lt;isbn&gt;0889-8561 (Print)&amp;#xD;0889-8561 (Linking)&lt;/isbn&gt;&lt;accession-num&gt;18940572&lt;/accession-num&gt;&lt;urls&gt;&lt;related-urls&gt;&lt;url&gt;https://www.ncbi.nlm.nih.gov/pubmed/18940572&lt;/url&gt;&lt;/related-urls&gt;&lt;/urls&gt;&lt;electronic-resource-num&gt;10.1016/j.iac.2008.06.004&lt;/electronic-resource-num&gt;&lt;/record&gt;&lt;/Cite&gt;&lt;/EndNote&gt;</w:instrText>
      </w:r>
      <w:r w:rsidRPr="003B4D22">
        <w:fldChar w:fldCharType="separate"/>
      </w:r>
      <w:r w:rsidRPr="003B4D22">
        <w:rPr>
          <w:noProof/>
        </w:rPr>
        <w:t>(</w:t>
      </w:r>
      <w:hyperlink w:anchor="_ENREF_17" w:tooltip="Eibl, 2008 #95" w:history="1">
        <w:r w:rsidR="00BB0145" w:rsidRPr="003B4D22">
          <w:rPr>
            <w:noProof/>
          </w:rPr>
          <w:t>Eibl 2008</w:t>
        </w:r>
      </w:hyperlink>
      <w:r w:rsidRPr="003B4D22">
        <w:rPr>
          <w:noProof/>
        </w:rPr>
        <w:t>)</w:t>
      </w:r>
      <w:r w:rsidRPr="003B4D22">
        <w:fldChar w:fldCharType="end"/>
      </w:r>
      <w:r w:rsidRPr="003B4D22">
        <w:t xml:space="preserve">. </w:t>
      </w:r>
    </w:p>
    <w:p w14:paraId="3B727D7F" w14:textId="0C2E2540" w:rsidR="00845E2D" w:rsidRPr="003B4D22" w:rsidRDefault="00845E2D" w:rsidP="00845E2D">
      <w:r w:rsidRPr="003B4D22">
        <w:t xml:space="preserve">The literature search terms were kept broad to capture the range of terminology used for ‘immunoglobulin’ and ‘hypogammaglobulinaemia’ as well as the range of malignancies relevant to this evaluation. It was not possible to narrow the search string to exclude studies of patients with malignancy having immunoglobulin investigations </w:t>
      </w:r>
      <w:r w:rsidR="00B02E0D" w:rsidRPr="003B4D22">
        <w:t>but no</w:t>
      </w:r>
      <w:r w:rsidRPr="003B4D22">
        <w:t xml:space="preserve"> IVIg</w:t>
      </w:r>
      <w:r w:rsidR="00B02E0D" w:rsidRPr="003B4D22">
        <w:t xml:space="preserve"> given</w:t>
      </w:r>
      <w:r w:rsidRPr="003B4D22">
        <w:t xml:space="preserve">, </w:t>
      </w:r>
      <w:r w:rsidR="00B02E0D" w:rsidRPr="003B4D22">
        <w:t xml:space="preserve">or studies in </w:t>
      </w:r>
      <w:r w:rsidRPr="003B4D22">
        <w:t xml:space="preserve">patients with solid tumours or </w:t>
      </w:r>
      <w:r w:rsidR="00B02E0D" w:rsidRPr="003B4D22">
        <w:t>those</w:t>
      </w:r>
      <w:r w:rsidRPr="003B4D22">
        <w:t xml:space="preserve"> with primary immunodeficiencies. Hence there were a very large number of results from initial searches. There is a body of experimental literature from the 1980s investigating IVIg in patients with haematological malignancies, however the search strategy for this evaluation only included results from 1990 onwards in order to keep the number of search results manageable and the low likelihood of relevant trials conducted prior to 1990. </w:t>
      </w:r>
      <w:r w:rsidR="003B4D3F" w:rsidRPr="003B4D22">
        <w:t>R</w:t>
      </w:r>
      <w:r w:rsidRPr="003B4D22">
        <w:t xml:space="preserve">esults from Embase were further limited using the ‘evidence-based medicine’ </w:t>
      </w:r>
      <w:r w:rsidR="003B4D3F" w:rsidRPr="003B4D22">
        <w:t>function to focus results with the highest level of evidence</w:t>
      </w:r>
      <w:r w:rsidRPr="003B4D22">
        <w:t xml:space="preserve">. The search relied on pearling of the included and ‘near miss’ excluded studies, especially systematic reviews, to identify results not returned by the search strings. </w:t>
      </w:r>
    </w:p>
    <w:p w14:paraId="454BEBB1" w14:textId="683807F4" w:rsidR="00E40E41" w:rsidRPr="00386411" w:rsidRDefault="00E40E41" w:rsidP="00DF343F">
      <w:pPr>
        <w:pStyle w:val="Heading3"/>
      </w:pPr>
      <w:bookmarkStart w:id="703" w:name="_Toc14431185"/>
      <w:bookmarkStart w:id="704" w:name="_Toc16856360"/>
      <w:r w:rsidRPr="00386411">
        <w:t>Bibliographic databases</w:t>
      </w:r>
      <w:bookmarkEnd w:id="698"/>
      <w:bookmarkEnd w:id="699"/>
      <w:bookmarkEnd w:id="700"/>
      <w:bookmarkEnd w:id="701"/>
      <w:bookmarkEnd w:id="702"/>
      <w:bookmarkEnd w:id="703"/>
      <w:bookmarkEnd w:id="7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ibliographic databases"/>
        <w:tblDescription w:val="List of electronic databases searched for the systematic review."/>
      </w:tblPr>
      <w:tblGrid>
        <w:gridCol w:w="5135"/>
        <w:gridCol w:w="4107"/>
      </w:tblGrid>
      <w:tr w:rsidR="0021273B" w:rsidRPr="00386411" w14:paraId="7BCF69AB" w14:textId="77777777" w:rsidTr="00D7461D">
        <w:trPr>
          <w:trHeight w:val="303"/>
        </w:trPr>
        <w:tc>
          <w:tcPr>
            <w:tcW w:w="2778" w:type="pct"/>
          </w:tcPr>
          <w:p w14:paraId="0C9DBE18" w14:textId="77777777" w:rsidR="0021273B" w:rsidRPr="00386411" w:rsidRDefault="0021273B" w:rsidP="00591A6D">
            <w:pPr>
              <w:pStyle w:val="TableHeading"/>
            </w:pPr>
            <w:r w:rsidRPr="00386411">
              <w:t>Electronic database</w:t>
            </w:r>
          </w:p>
        </w:tc>
        <w:tc>
          <w:tcPr>
            <w:tcW w:w="2222" w:type="pct"/>
          </w:tcPr>
          <w:p w14:paraId="1A925B90" w14:textId="77777777" w:rsidR="0021273B" w:rsidRPr="00386411" w:rsidRDefault="0021273B" w:rsidP="00591A6D">
            <w:pPr>
              <w:pStyle w:val="TableHeading"/>
            </w:pPr>
            <w:r w:rsidRPr="00386411">
              <w:t>Time period</w:t>
            </w:r>
            <w:r w:rsidR="00591A6D" w:rsidRPr="00386411">
              <w:t xml:space="preserve"> searched</w:t>
            </w:r>
          </w:p>
        </w:tc>
      </w:tr>
      <w:tr w:rsidR="0021273B" w:rsidRPr="003B4D22" w14:paraId="7CAA7061" w14:textId="77777777" w:rsidTr="00D7461D">
        <w:tc>
          <w:tcPr>
            <w:tcW w:w="2778" w:type="pct"/>
          </w:tcPr>
          <w:p w14:paraId="5F15B477" w14:textId="5E11245A" w:rsidR="0021273B" w:rsidRPr="003B4D22" w:rsidRDefault="003E1B16" w:rsidP="00476D74">
            <w:pPr>
              <w:pStyle w:val="Tabletext1"/>
              <w:rPr>
                <w:vanish/>
              </w:rPr>
            </w:pPr>
            <w:r w:rsidRPr="003B4D22">
              <w:t>Embase</w:t>
            </w:r>
          </w:p>
        </w:tc>
        <w:tc>
          <w:tcPr>
            <w:tcW w:w="2222" w:type="pct"/>
          </w:tcPr>
          <w:p w14:paraId="5EB91012" w14:textId="51BC8A2D" w:rsidR="0021273B" w:rsidRPr="003B4D22" w:rsidRDefault="00476D74" w:rsidP="00236231">
            <w:pPr>
              <w:pStyle w:val="Tabletext1"/>
            </w:pPr>
            <w:r w:rsidRPr="003B4D22">
              <w:t xml:space="preserve">From 1990 </w:t>
            </w:r>
            <w:r w:rsidR="00236231" w:rsidRPr="003B4D22">
              <w:t>onwards</w:t>
            </w:r>
          </w:p>
        </w:tc>
      </w:tr>
      <w:tr w:rsidR="00236231" w:rsidRPr="003B4D22" w14:paraId="7E3A5780" w14:textId="77777777" w:rsidTr="00D7461D">
        <w:tc>
          <w:tcPr>
            <w:tcW w:w="2778" w:type="pct"/>
            <w:tcBorders>
              <w:top w:val="single" w:sz="4" w:space="0" w:color="auto"/>
              <w:left w:val="single" w:sz="4" w:space="0" w:color="auto"/>
              <w:bottom w:val="single" w:sz="4" w:space="0" w:color="auto"/>
              <w:right w:val="single" w:sz="4" w:space="0" w:color="auto"/>
            </w:tcBorders>
          </w:tcPr>
          <w:p w14:paraId="31A64462" w14:textId="77777777" w:rsidR="00236231" w:rsidRPr="003B4D22" w:rsidRDefault="00236231" w:rsidP="00236231">
            <w:pPr>
              <w:pStyle w:val="Tabletext1"/>
            </w:pPr>
            <w:r w:rsidRPr="003B4D22">
              <w:t>Medline</w:t>
            </w:r>
          </w:p>
        </w:tc>
        <w:tc>
          <w:tcPr>
            <w:tcW w:w="2222" w:type="pct"/>
            <w:tcBorders>
              <w:top w:val="single" w:sz="4" w:space="0" w:color="auto"/>
              <w:left w:val="single" w:sz="4" w:space="0" w:color="auto"/>
              <w:bottom w:val="single" w:sz="4" w:space="0" w:color="auto"/>
              <w:right w:val="single" w:sz="4" w:space="0" w:color="auto"/>
            </w:tcBorders>
          </w:tcPr>
          <w:p w14:paraId="529A22EA" w14:textId="550B12FA" w:rsidR="00236231" w:rsidRPr="003B4D22" w:rsidRDefault="00236231" w:rsidP="00236231">
            <w:pPr>
              <w:pStyle w:val="Tabletext1"/>
            </w:pPr>
            <w:r w:rsidRPr="003B4D22">
              <w:t>From 1990 onwards</w:t>
            </w:r>
          </w:p>
        </w:tc>
      </w:tr>
      <w:tr w:rsidR="00236231" w:rsidRPr="003B4D22" w14:paraId="7331FE32" w14:textId="77777777" w:rsidTr="00D7461D">
        <w:tc>
          <w:tcPr>
            <w:tcW w:w="2778" w:type="pct"/>
          </w:tcPr>
          <w:p w14:paraId="1F3BCA4E" w14:textId="77777777" w:rsidR="00236231" w:rsidRPr="003B4D22" w:rsidRDefault="00236231" w:rsidP="00236231">
            <w:pPr>
              <w:pStyle w:val="Tabletext1"/>
            </w:pPr>
            <w:r w:rsidRPr="003B4D22">
              <w:t>The Cochrane Library (CDSR, Central, DARE, HTA, HEED)</w:t>
            </w:r>
          </w:p>
        </w:tc>
        <w:tc>
          <w:tcPr>
            <w:tcW w:w="2222" w:type="pct"/>
          </w:tcPr>
          <w:p w14:paraId="53CCCF1A" w14:textId="1D610A46" w:rsidR="00236231" w:rsidRPr="003B4D22" w:rsidRDefault="00236231" w:rsidP="00236231">
            <w:pPr>
              <w:pStyle w:val="Tabletext1"/>
            </w:pPr>
            <w:r w:rsidRPr="003B4D22">
              <w:t>From 1990 onwards</w:t>
            </w:r>
          </w:p>
        </w:tc>
      </w:tr>
    </w:tbl>
    <w:p w14:paraId="27E387A8" w14:textId="77777777" w:rsidR="00476D74" w:rsidRPr="00386411" w:rsidRDefault="00476D74" w:rsidP="00CE2A67">
      <w:pPr>
        <w:rPr>
          <w:b/>
        </w:rPr>
      </w:pPr>
    </w:p>
    <w:p w14:paraId="67F1B988" w14:textId="158EEBC9" w:rsidR="003B4D3F" w:rsidRPr="003B4D22" w:rsidRDefault="00845E2D" w:rsidP="003B4D3F">
      <w:r w:rsidRPr="003B4D22">
        <w:t xml:space="preserve">The bibliographic databases above were searched for relevant studies using the representative search string in </w:t>
      </w:r>
      <w:r w:rsidRPr="003B4D22">
        <w:fldChar w:fldCharType="begin"/>
      </w:r>
      <w:r w:rsidRPr="003B4D22">
        <w:instrText xml:space="preserve"> REF _Ref9247600 \h </w:instrText>
      </w:r>
      <w:r w:rsidR="00386411" w:rsidRPr="003B4D22">
        <w:instrText xml:space="preserve"> \* MERGEFORMAT </w:instrText>
      </w:r>
      <w:r w:rsidRPr="003B4D22">
        <w:fldChar w:fldCharType="separate"/>
      </w:r>
      <w:r w:rsidR="00A7463B" w:rsidRPr="00386411">
        <w:t xml:space="preserve">Table </w:t>
      </w:r>
      <w:r w:rsidR="00A7463B">
        <w:rPr>
          <w:noProof/>
        </w:rPr>
        <w:t>75</w:t>
      </w:r>
      <w:r w:rsidRPr="003B4D22">
        <w:fldChar w:fldCharType="end"/>
      </w:r>
      <w:r w:rsidRPr="003B4D22">
        <w:t>. During the process of the review, it was apparent that studies with patients who have received bone marrow transplantation (BMT, as opposed to HSCT with mobilised stem cells collected by apheresis) may not have been identified with the search terms used. An additional search was therefore performed (</w:t>
      </w:r>
      <w:r w:rsidRPr="003B4D22">
        <w:fldChar w:fldCharType="begin"/>
      </w:r>
      <w:r w:rsidRPr="003B4D22">
        <w:instrText xml:space="preserve"> REF _Ref10106675 \h </w:instrText>
      </w:r>
      <w:r w:rsidR="00386411" w:rsidRPr="003B4D22">
        <w:instrText xml:space="preserve"> \* MERGEFORMAT </w:instrText>
      </w:r>
      <w:r w:rsidRPr="003B4D22">
        <w:fldChar w:fldCharType="separate"/>
      </w:r>
      <w:r w:rsidR="00A7463B" w:rsidRPr="00386411">
        <w:t xml:space="preserve">Table </w:t>
      </w:r>
      <w:r w:rsidR="00A7463B">
        <w:rPr>
          <w:noProof/>
        </w:rPr>
        <w:t>76</w:t>
      </w:r>
      <w:r w:rsidRPr="003B4D22">
        <w:fldChar w:fldCharType="end"/>
      </w:r>
      <w:r w:rsidRPr="003B4D22">
        <w:t xml:space="preserve">). </w:t>
      </w:r>
    </w:p>
    <w:p w14:paraId="7F9D234B" w14:textId="77777777" w:rsidR="003B4D3F" w:rsidRPr="003B4D22" w:rsidRDefault="00845E2D" w:rsidP="003B4D3F">
      <w:r w:rsidRPr="003B4D22">
        <w:t>IgG product brand names were included in both search strings but results indicated that these identified only a small number of results – they are included here for completeness.</w:t>
      </w:r>
      <w:r w:rsidR="003B4D3F" w:rsidRPr="003B4D22">
        <w:t xml:space="preserve"> </w:t>
      </w:r>
    </w:p>
    <w:p w14:paraId="57E7854D" w14:textId="3EECB319" w:rsidR="003B4D3F" w:rsidRPr="003B4D22" w:rsidRDefault="003B4D3F" w:rsidP="003B4D3F">
      <w:r w:rsidRPr="003B4D22">
        <w:t xml:space="preserve">As well as the terms in the search strings, pre-specified criteria for excluding studies included: no studies published prior to 1990, no grey literature, no non-peer reviewed articles, no non-English language articles, no conference abstracts or conference presentations. </w:t>
      </w:r>
    </w:p>
    <w:p w14:paraId="27C3E499" w14:textId="4939DC16" w:rsidR="00C92BD0" w:rsidRPr="003B4D22" w:rsidRDefault="00C92BD0" w:rsidP="003B4D3F">
      <w:r w:rsidRPr="003B4D22">
        <w:lastRenderedPageBreak/>
        <w:t>Culling against PICO criteria could not be done against the title and abstract</w:t>
      </w:r>
      <w:r w:rsidR="00B02E0D" w:rsidRPr="003B4D22">
        <w:t xml:space="preserve"> in some cases</w:t>
      </w:r>
      <w:r w:rsidRPr="003B4D22">
        <w:t xml:space="preserve">, thus many of the search results were downloaded and read in part particularly to determine whether the population and </w:t>
      </w:r>
      <w:r w:rsidR="00B02E0D" w:rsidRPr="003B4D22">
        <w:t>intervention were appropriate (articles read in part were not included</w:t>
      </w:r>
      <w:r w:rsidRPr="003B4D22">
        <w:t xml:space="preserve"> in the PRISMA flowchart in</w:t>
      </w:r>
      <w:r w:rsidR="00067DAF">
        <w:t xml:space="preserve"> </w:t>
      </w:r>
      <w:r w:rsidR="00067DAF">
        <w:fldChar w:fldCharType="begin"/>
      </w:r>
      <w:r w:rsidR="00067DAF">
        <w:instrText xml:space="preserve"> REF _Ref16673975 \h </w:instrText>
      </w:r>
      <w:r w:rsidR="00067DAF">
        <w:fldChar w:fldCharType="separate"/>
      </w:r>
      <w:r w:rsidR="00067DAF" w:rsidRPr="00386411">
        <w:t xml:space="preserve">Figure </w:t>
      </w:r>
      <w:r w:rsidR="00067DAF">
        <w:rPr>
          <w:noProof/>
        </w:rPr>
        <w:t>2</w:t>
      </w:r>
      <w:r w:rsidR="00067DAF">
        <w:fldChar w:fldCharType="end"/>
      </w:r>
      <w:r w:rsidRPr="003B4D22">
        <w:t xml:space="preserve">).  </w:t>
      </w:r>
    </w:p>
    <w:p w14:paraId="08D6F9E1" w14:textId="26F82D14" w:rsidR="00845E2D" w:rsidRPr="00386411" w:rsidRDefault="00845E2D" w:rsidP="00845E2D">
      <w:pPr>
        <w:pStyle w:val="TableHeading"/>
      </w:pPr>
      <w:bookmarkStart w:id="705" w:name="_Ref9247600"/>
      <w:bookmarkStart w:id="706" w:name="_Toc3369156"/>
      <w:bookmarkStart w:id="707" w:name="_Toc14429615"/>
      <w:bookmarkStart w:id="708" w:name="_Toc16671673"/>
      <w:r w:rsidRPr="00386411">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75</w:t>
      </w:r>
      <w:r w:rsidRPr="00386411">
        <w:rPr>
          <w:noProof/>
        </w:rPr>
        <w:fldChar w:fldCharType="end"/>
      </w:r>
      <w:bookmarkEnd w:id="705"/>
      <w:r w:rsidRPr="00386411">
        <w:tab/>
        <w:t>Search terms for</w:t>
      </w:r>
      <w:r w:rsidRPr="00386411">
        <w:rPr>
          <w:szCs w:val="22"/>
        </w:rPr>
        <w:t xml:space="preserve"> IgG replacement in patients with hypogammaglobulinaemia due to haematological malignancies</w:t>
      </w:r>
      <w:r w:rsidRPr="00386411">
        <w:t xml:space="preserve"> (Pubmed)</w:t>
      </w:r>
      <w:bookmarkEnd w:id="706"/>
      <w:bookmarkEnd w:id="707"/>
      <w:bookmarkEnd w:id="7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6926"/>
      </w:tblGrid>
      <w:tr w:rsidR="00845E2D" w:rsidRPr="00386411" w14:paraId="45669970" w14:textId="77777777" w:rsidTr="002874D8">
        <w:trPr>
          <w:cantSplit/>
        </w:trPr>
        <w:tc>
          <w:tcPr>
            <w:tcW w:w="1253" w:type="pct"/>
          </w:tcPr>
          <w:p w14:paraId="3A3CE6CF" w14:textId="77777777" w:rsidR="00845E2D" w:rsidRPr="00386411" w:rsidRDefault="00845E2D" w:rsidP="002874D8">
            <w:pPr>
              <w:keepNext/>
              <w:spacing w:after="40" w:line="240" w:lineRule="auto"/>
              <w:rPr>
                <w:rFonts w:ascii="Arial Narrow" w:hAnsi="Arial Narrow"/>
                <w:b/>
                <w:sz w:val="20"/>
                <w:szCs w:val="18"/>
              </w:rPr>
            </w:pPr>
            <w:r w:rsidRPr="00386411">
              <w:rPr>
                <w:rFonts w:ascii="Arial Narrow" w:hAnsi="Arial Narrow"/>
                <w:b/>
                <w:sz w:val="20"/>
                <w:szCs w:val="18"/>
              </w:rPr>
              <w:t>Element</w:t>
            </w:r>
          </w:p>
        </w:tc>
        <w:tc>
          <w:tcPr>
            <w:tcW w:w="3747" w:type="pct"/>
          </w:tcPr>
          <w:p w14:paraId="4D6F6445" w14:textId="77777777" w:rsidR="00845E2D" w:rsidRPr="00386411" w:rsidRDefault="00845E2D" w:rsidP="002874D8">
            <w:pPr>
              <w:keepNext/>
              <w:spacing w:after="40" w:line="240" w:lineRule="auto"/>
              <w:rPr>
                <w:rFonts w:ascii="Arial Narrow" w:hAnsi="Arial Narrow"/>
                <w:b/>
                <w:sz w:val="20"/>
                <w:szCs w:val="18"/>
              </w:rPr>
            </w:pPr>
            <w:r w:rsidRPr="00386411">
              <w:rPr>
                <w:rFonts w:ascii="Arial Narrow" w:hAnsi="Arial Narrow"/>
                <w:b/>
                <w:sz w:val="20"/>
                <w:szCs w:val="18"/>
              </w:rPr>
              <w:t>Pubmed search terms</w:t>
            </w:r>
          </w:p>
        </w:tc>
      </w:tr>
      <w:tr w:rsidR="00845E2D" w:rsidRPr="003B4D22" w14:paraId="795049CF" w14:textId="77777777" w:rsidTr="002874D8">
        <w:trPr>
          <w:cantSplit/>
        </w:trPr>
        <w:tc>
          <w:tcPr>
            <w:tcW w:w="1253" w:type="pct"/>
          </w:tcPr>
          <w:p w14:paraId="0C192685" w14:textId="77777777" w:rsidR="00845E2D" w:rsidRPr="003B4D22" w:rsidRDefault="00845E2D" w:rsidP="002874D8">
            <w:pPr>
              <w:spacing w:after="40" w:line="240" w:lineRule="auto"/>
              <w:rPr>
                <w:rFonts w:ascii="Arial Narrow" w:hAnsi="Arial Narrow"/>
                <w:sz w:val="20"/>
                <w:szCs w:val="18"/>
              </w:rPr>
            </w:pPr>
            <w:r w:rsidRPr="003B4D22">
              <w:rPr>
                <w:rFonts w:ascii="Arial Narrow" w:hAnsi="Arial Narrow"/>
                <w:sz w:val="20"/>
                <w:szCs w:val="18"/>
              </w:rPr>
              <w:t>Population</w:t>
            </w:r>
          </w:p>
        </w:tc>
        <w:tc>
          <w:tcPr>
            <w:tcW w:w="3747" w:type="pct"/>
          </w:tcPr>
          <w:p w14:paraId="3BE78513" w14:textId="77777777" w:rsidR="00845E2D" w:rsidRPr="003B4D22" w:rsidRDefault="00845E2D" w:rsidP="002874D8">
            <w:pPr>
              <w:spacing w:after="40" w:line="240" w:lineRule="auto"/>
              <w:ind w:right="-57"/>
              <w:rPr>
                <w:rFonts w:ascii="Arial Narrow" w:hAnsi="Arial Narrow"/>
                <w:sz w:val="20"/>
                <w:szCs w:val="18"/>
              </w:rPr>
            </w:pPr>
            <w:r w:rsidRPr="003B4D22">
              <w:rPr>
                <w:rFonts w:ascii="Arial Narrow" w:hAnsi="Arial Narrow"/>
                <w:sz w:val="20"/>
                <w:szCs w:val="18"/>
              </w:rPr>
              <w:t>(Hypogammaglobulinemia OR Hypogammaglobulinaemia  OR hypogamma* OR “low immunoglobulin” OR “immunoglobulin deficiency” [mh]) AND</w:t>
            </w:r>
          </w:p>
          <w:p w14:paraId="3BE8EBB1" w14:textId="77777777" w:rsidR="00845E2D" w:rsidRPr="003B4D22" w:rsidRDefault="00845E2D" w:rsidP="002874D8">
            <w:pPr>
              <w:spacing w:after="40" w:line="240" w:lineRule="auto"/>
              <w:ind w:right="-57"/>
              <w:rPr>
                <w:rFonts w:ascii="Arial Narrow" w:hAnsi="Arial Narrow"/>
                <w:sz w:val="20"/>
                <w:szCs w:val="18"/>
              </w:rPr>
            </w:pPr>
            <w:r w:rsidRPr="003B4D22">
              <w:rPr>
                <w:rFonts w:ascii="Arial Narrow" w:hAnsi="Arial Narrow"/>
                <w:sz w:val="20"/>
                <w:szCs w:val="18"/>
              </w:rPr>
              <w:t xml:space="preserve">(leukaemia* OR leukemia* OR “Leukemia, Lymphoid”[mh] OR “Leukemia, Mast-Cell”[mh] OR “Leukemia, Myeloid”[mh] OR “Leukemia, plasma cell”[mh] OR “Leukemia, Radiation-Induced”[mh] OR </w:t>
            </w:r>
          </w:p>
          <w:p w14:paraId="71A6AB35" w14:textId="77777777" w:rsidR="00845E2D" w:rsidRPr="003B4D22" w:rsidRDefault="00845E2D" w:rsidP="002874D8">
            <w:pPr>
              <w:spacing w:after="40" w:line="240" w:lineRule="auto"/>
              <w:ind w:right="-57"/>
              <w:rPr>
                <w:rFonts w:ascii="Arial Narrow" w:hAnsi="Arial Narrow"/>
                <w:sz w:val="20"/>
                <w:szCs w:val="18"/>
              </w:rPr>
            </w:pPr>
            <w:r w:rsidRPr="003B4D22">
              <w:rPr>
                <w:rFonts w:ascii="Arial Narrow" w:hAnsi="Arial Narrow"/>
                <w:sz w:val="20"/>
                <w:szCs w:val="18"/>
              </w:rPr>
              <w:t>“Multiple myeloma”[mh] OR “multiple myeloma”</w:t>
            </w:r>
          </w:p>
          <w:p w14:paraId="2202FC27" w14:textId="77777777" w:rsidR="00845E2D" w:rsidRPr="003B4D22" w:rsidRDefault="00845E2D" w:rsidP="002874D8">
            <w:pPr>
              <w:spacing w:after="40" w:line="240" w:lineRule="auto"/>
              <w:ind w:right="-57"/>
              <w:rPr>
                <w:rFonts w:ascii="Arial Narrow" w:hAnsi="Arial Narrow"/>
                <w:sz w:val="20"/>
                <w:szCs w:val="18"/>
              </w:rPr>
            </w:pPr>
            <w:r w:rsidRPr="003B4D22">
              <w:rPr>
                <w:rFonts w:ascii="Arial Narrow" w:hAnsi="Arial Narrow"/>
                <w:sz w:val="20"/>
                <w:szCs w:val="18"/>
              </w:rPr>
              <w:t>OR</w:t>
            </w:r>
          </w:p>
          <w:p w14:paraId="67902D39" w14:textId="77777777" w:rsidR="00845E2D" w:rsidRPr="003B4D22" w:rsidRDefault="00845E2D" w:rsidP="002874D8">
            <w:pPr>
              <w:spacing w:after="40" w:line="240" w:lineRule="auto"/>
              <w:ind w:right="-57"/>
              <w:rPr>
                <w:rFonts w:ascii="Arial Narrow" w:hAnsi="Arial Narrow"/>
                <w:sz w:val="20"/>
                <w:szCs w:val="18"/>
              </w:rPr>
            </w:pPr>
            <w:r w:rsidRPr="003B4D22">
              <w:rPr>
                <w:rFonts w:ascii="Arial Narrow" w:hAnsi="Arial Narrow"/>
                <w:sz w:val="20"/>
                <w:szCs w:val="18"/>
              </w:rPr>
              <w:t>“Lymphoma”[mh] OR lymphoma OR lymphoproliferative OR “non-hodgkin”</w:t>
            </w:r>
          </w:p>
          <w:p w14:paraId="2123C15F" w14:textId="77777777" w:rsidR="00845E2D" w:rsidRPr="003B4D22" w:rsidRDefault="00845E2D" w:rsidP="002874D8">
            <w:pPr>
              <w:spacing w:after="40" w:line="240" w:lineRule="auto"/>
              <w:ind w:right="-57"/>
              <w:rPr>
                <w:rFonts w:ascii="Arial Narrow" w:hAnsi="Arial Narrow"/>
                <w:sz w:val="20"/>
                <w:szCs w:val="18"/>
              </w:rPr>
            </w:pPr>
            <w:r w:rsidRPr="003B4D22">
              <w:rPr>
                <w:rFonts w:ascii="Arial Narrow" w:hAnsi="Arial Narrow"/>
                <w:sz w:val="20"/>
                <w:szCs w:val="18"/>
              </w:rPr>
              <w:t xml:space="preserve">OR </w:t>
            </w:r>
          </w:p>
          <w:p w14:paraId="73BE0EEF" w14:textId="77777777" w:rsidR="00845E2D" w:rsidRPr="003B4D22" w:rsidRDefault="00845E2D" w:rsidP="002874D8">
            <w:pPr>
              <w:spacing w:after="40" w:line="240" w:lineRule="auto"/>
              <w:ind w:right="-57"/>
              <w:rPr>
                <w:rFonts w:ascii="Arial Narrow" w:hAnsi="Arial Narrow"/>
                <w:sz w:val="20"/>
                <w:szCs w:val="18"/>
              </w:rPr>
            </w:pPr>
            <w:r w:rsidRPr="003B4D22">
              <w:rPr>
                <w:rFonts w:ascii="Arial Narrow" w:hAnsi="Arial Narrow"/>
                <w:sz w:val="20"/>
                <w:szCs w:val="18"/>
              </w:rPr>
              <w:t>((B-cell OR haematological OR hematological) AND (malignancy OR malignancies OR neoplasm[mh]) OR “Hematologic Neoplasms”[mh])</w:t>
            </w:r>
          </w:p>
          <w:p w14:paraId="5D4FD438" w14:textId="77777777" w:rsidR="00845E2D" w:rsidRPr="003B4D22" w:rsidRDefault="00845E2D" w:rsidP="002874D8">
            <w:pPr>
              <w:spacing w:after="40" w:line="240" w:lineRule="auto"/>
              <w:ind w:right="-57"/>
              <w:rPr>
                <w:rFonts w:ascii="Arial Narrow" w:hAnsi="Arial Narrow"/>
                <w:sz w:val="20"/>
                <w:szCs w:val="18"/>
              </w:rPr>
            </w:pPr>
            <w:r w:rsidRPr="003B4D22">
              <w:rPr>
                <w:rFonts w:ascii="Arial Narrow" w:hAnsi="Arial Narrow"/>
                <w:sz w:val="20"/>
                <w:szCs w:val="18"/>
              </w:rPr>
              <w:t>OR</w:t>
            </w:r>
          </w:p>
          <w:p w14:paraId="5A8D49AD" w14:textId="77777777" w:rsidR="00845E2D" w:rsidRPr="003B4D22" w:rsidRDefault="00845E2D" w:rsidP="002874D8">
            <w:pPr>
              <w:spacing w:after="40" w:line="240" w:lineRule="auto"/>
              <w:ind w:right="-57"/>
              <w:rPr>
                <w:rFonts w:ascii="Arial Narrow" w:hAnsi="Arial Narrow"/>
                <w:sz w:val="20"/>
                <w:szCs w:val="18"/>
              </w:rPr>
            </w:pPr>
            <w:r w:rsidRPr="003B4D22">
              <w:rPr>
                <w:rFonts w:ascii="Arial Narrow" w:hAnsi="Arial Narrow"/>
                <w:sz w:val="20"/>
                <w:szCs w:val="18"/>
              </w:rPr>
              <w:t>“Hematopoietic Stem Cell Transplantation”[mh] OR HSCT OR ((“stem cell” OR “progenitor cell”) AND (transplantation OR transplant OR transplants)))</w:t>
            </w:r>
          </w:p>
        </w:tc>
      </w:tr>
      <w:tr w:rsidR="00845E2D" w:rsidRPr="003B4D22" w14:paraId="6D1FC2C5" w14:textId="77777777" w:rsidTr="002874D8">
        <w:tc>
          <w:tcPr>
            <w:tcW w:w="1253" w:type="pct"/>
          </w:tcPr>
          <w:p w14:paraId="182C93D8" w14:textId="77777777" w:rsidR="00845E2D" w:rsidRPr="003B4D22" w:rsidRDefault="00845E2D" w:rsidP="002874D8">
            <w:pPr>
              <w:spacing w:after="40" w:line="240" w:lineRule="auto"/>
              <w:rPr>
                <w:rFonts w:ascii="Arial Narrow" w:hAnsi="Arial Narrow"/>
                <w:sz w:val="20"/>
                <w:szCs w:val="18"/>
              </w:rPr>
            </w:pPr>
            <w:r w:rsidRPr="003B4D22">
              <w:rPr>
                <w:rFonts w:ascii="Arial Narrow" w:hAnsi="Arial Narrow"/>
                <w:sz w:val="20"/>
                <w:szCs w:val="18"/>
              </w:rPr>
              <w:t>Intervention</w:t>
            </w:r>
          </w:p>
        </w:tc>
        <w:tc>
          <w:tcPr>
            <w:tcW w:w="3747" w:type="pct"/>
          </w:tcPr>
          <w:p w14:paraId="013092E0" w14:textId="77777777" w:rsidR="00845E2D" w:rsidRPr="003B4D22" w:rsidRDefault="00845E2D" w:rsidP="002874D8">
            <w:pPr>
              <w:spacing w:after="40" w:line="240" w:lineRule="auto"/>
              <w:rPr>
                <w:rFonts w:ascii="Arial Narrow" w:hAnsi="Arial Narrow"/>
                <w:sz w:val="20"/>
                <w:szCs w:val="18"/>
              </w:rPr>
            </w:pPr>
            <w:r w:rsidRPr="003B4D22">
              <w:rPr>
                <w:rFonts w:ascii="Arial Narrow" w:hAnsi="Arial Narrow"/>
                <w:sz w:val="20"/>
                <w:szCs w:val="18"/>
              </w:rPr>
              <w:t xml:space="preserve">AND (”Immunoglobulin G”[mh] OR immunoglob* OR “immune globulin” immunoglobulin OR “gamma globulin” OR gammaglobulin </w:t>
            </w:r>
          </w:p>
          <w:p w14:paraId="3F7F40D7" w14:textId="77777777" w:rsidR="00845E2D" w:rsidRPr="003B4D22" w:rsidRDefault="00845E2D" w:rsidP="002874D8">
            <w:pPr>
              <w:spacing w:after="40" w:line="240" w:lineRule="auto"/>
              <w:rPr>
                <w:rFonts w:ascii="Arial Narrow" w:hAnsi="Arial Narrow"/>
                <w:sz w:val="20"/>
                <w:szCs w:val="18"/>
              </w:rPr>
            </w:pPr>
            <w:r w:rsidRPr="003B4D22">
              <w:rPr>
                <w:rFonts w:ascii="Arial Narrow" w:hAnsi="Arial Narrow"/>
                <w:sz w:val="20"/>
                <w:szCs w:val="18"/>
              </w:rPr>
              <w:t>OR IVIg OR SCIg OR IgG OR Ig</w:t>
            </w:r>
          </w:p>
          <w:p w14:paraId="0FE74B0E" w14:textId="77777777" w:rsidR="00845E2D" w:rsidRPr="003B4D22" w:rsidRDefault="00845E2D" w:rsidP="002874D8">
            <w:pPr>
              <w:spacing w:after="40" w:line="240" w:lineRule="auto"/>
              <w:rPr>
                <w:rFonts w:ascii="Arial Narrow" w:hAnsi="Arial Narrow"/>
                <w:sz w:val="20"/>
                <w:szCs w:val="18"/>
              </w:rPr>
            </w:pPr>
            <w:r w:rsidRPr="003B4D22">
              <w:rPr>
                <w:rFonts w:ascii="Arial Narrow" w:hAnsi="Arial Narrow"/>
                <w:sz w:val="20"/>
                <w:szCs w:val="18"/>
              </w:rPr>
              <w:t xml:space="preserve">OR </w:t>
            </w:r>
          </w:p>
          <w:p w14:paraId="373719F3" w14:textId="77777777" w:rsidR="00845E2D" w:rsidRPr="003B4D22" w:rsidRDefault="00845E2D" w:rsidP="002874D8">
            <w:pPr>
              <w:spacing w:after="40" w:line="240" w:lineRule="auto"/>
              <w:rPr>
                <w:rFonts w:ascii="Arial Narrow" w:hAnsi="Arial Narrow"/>
                <w:sz w:val="20"/>
                <w:szCs w:val="18"/>
              </w:rPr>
            </w:pPr>
            <w:r w:rsidRPr="003B4D22">
              <w:rPr>
                <w:rFonts w:ascii="Arial Narrow" w:hAnsi="Arial Narrow"/>
                <w:sz w:val="20"/>
                <w:szCs w:val="18"/>
              </w:rPr>
              <w:t xml:space="preserve">Intragam OR Privigen OR Hizentra OR Gamunex OR Flebogamma OR Intragam OR Evogam OR Panzyga OR Hyqvia OR Intratect OR Octagam OR Kiovig OR Gammanorm OR Cuvitru </w:t>
            </w:r>
          </w:p>
          <w:p w14:paraId="57EB4C27" w14:textId="77777777" w:rsidR="00845E2D" w:rsidRPr="003B4D22" w:rsidRDefault="00845E2D" w:rsidP="002874D8">
            <w:pPr>
              <w:spacing w:after="40" w:line="240" w:lineRule="auto"/>
              <w:rPr>
                <w:rFonts w:ascii="Arial Narrow" w:hAnsi="Arial Narrow"/>
                <w:sz w:val="20"/>
                <w:szCs w:val="18"/>
              </w:rPr>
            </w:pPr>
            <w:r w:rsidRPr="003B4D22">
              <w:rPr>
                <w:rFonts w:ascii="Arial Narrow" w:hAnsi="Arial Narrow"/>
                <w:sz w:val="20"/>
                <w:szCs w:val="18"/>
              </w:rPr>
              <w:t xml:space="preserve">OR </w:t>
            </w:r>
          </w:p>
          <w:p w14:paraId="78D55BF1" w14:textId="77777777" w:rsidR="00845E2D" w:rsidRPr="003B4D22" w:rsidRDefault="00845E2D" w:rsidP="002874D8">
            <w:pPr>
              <w:spacing w:after="40" w:line="240" w:lineRule="auto"/>
              <w:rPr>
                <w:rFonts w:ascii="Arial Narrow" w:hAnsi="Arial Narrow"/>
                <w:sz w:val="20"/>
                <w:szCs w:val="18"/>
              </w:rPr>
            </w:pPr>
            <w:r w:rsidRPr="003B4D22">
              <w:rPr>
                <w:rFonts w:ascii="Arial Narrow" w:hAnsi="Arial Narrow"/>
                <w:sz w:val="20"/>
                <w:szCs w:val="18"/>
              </w:rPr>
              <w:t xml:space="preserve">GammaSTAN OR BayGam OR Polygam OR GAMMAGARD OR Sandoglobulin OR Panglobulin OR Carimune OR GAMMAKED OR Iveegam OR Bivigam OR Gammaplex </w:t>
            </w:r>
          </w:p>
          <w:p w14:paraId="2C351C58" w14:textId="77777777" w:rsidR="00845E2D" w:rsidRPr="003B4D22" w:rsidRDefault="00845E2D" w:rsidP="002874D8">
            <w:pPr>
              <w:spacing w:after="40" w:line="240" w:lineRule="auto"/>
              <w:rPr>
                <w:rFonts w:ascii="Arial Narrow" w:hAnsi="Arial Narrow"/>
                <w:sz w:val="20"/>
                <w:szCs w:val="18"/>
              </w:rPr>
            </w:pPr>
            <w:r w:rsidRPr="003B4D22">
              <w:rPr>
                <w:rFonts w:ascii="Arial Narrow" w:hAnsi="Arial Narrow"/>
                <w:sz w:val="20"/>
                <w:szCs w:val="18"/>
              </w:rPr>
              <w:t xml:space="preserve">OR </w:t>
            </w:r>
          </w:p>
          <w:p w14:paraId="0C8D361C" w14:textId="77777777" w:rsidR="00845E2D" w:rsidRPr="003B4D22" w:rsidRDefault="00845E2D" w:rsidP="002874D8">
            <w:pPr>
              <w:spacing w:after="40" w:line="240" w:lineRule="auto"/>
              <w:rPr>
                <w:rFonts w:ascii="Arial Narrow" w:hAnsi="Arial Narrow"/>
                <w:sz w:val="20"/>
                <w:szCs w:val="18"/>
              </w:rPr>
            </w:pPr>
            <w:r w:rsidRPr="003B4D22">
              <w:rPr>
                <w:rFonts w:ascii="Arial Narrow" w:hAnsi="Arial Narrow"/>
                <w:sz w:val="20"/>
                <w:szCs w:val="18"/>
              </w:rPr>
              <w:t xml:space="preserve">Intratect OR IQYMUNE OR SUBCUVIA OR Subgam OR Vigam </w:t>
            </w:r>
          </w:p>
          <w:p w14:paraId="2061975B" w14:textId="77777777" w:rsidR="00845E2D" w:rsidRPr="003B4D22" w:rsidRDefault="00845E2D" w:rsidP="002874D8">
            <w:pPr>
              <w:spacing w:after="40" w:line="240" w:lineRule="auto"/>
              <w:rPr>
                <w:rFonts w:ascii="Arial Narrow" w:hAnsi="Arial Narrow"/>
                <w:sz w:val="20"/>
                <w:szCs w:val="18"/>
              </w:rPr>
            </w:pPr>
            <w:r w:rsidRPr="003B4D22">
              <w:rPr>
                <w:rFonts w:ascii="Arial Narrow" w:hAnsi="Arial Narrow"/>
                <w:sz w:val="20"/>
                <w:szCs w:val="18"/>
              </w:rPr>
              <w:t xml:space="preserve">OR </w:t>
            </w:r>
          </w:p>
          <w:p w14:paraId="5AF846F6" w14:textId="77777777" w:rsidR="00845E2D" w:rsidRPr="003B4D22" w:rsidRDefault="00845E2D" w:rsidP="002874D8">
            <w:pPr>
              <w:spacing w:after="40" w:line="240" w:lineRule="auto"/>
              <w:rPr>
                <w:rFonts w:ascii="Arial Narrow" w:hAnsi="Arial Narrow"/>
                <w:sz w:val="20"/>
                <w:szCs w:val="18"/>
              </w:rPr>
            </w:pPr>
            <w:r w:rsidRPr="003B4D22">
              <w:rPr>
                <w:rFonts w:ascii="Arial Narrow" w:hAnsi="Arial Narrow"/>
                <w:sz w:val="20"/>
                <w:szCs w:val="18"/>
              </w:rPr>
              <w:t>CUTAQUIG OR GAMASTAN OR GAMIMUNE OR IGIVNEX OR RESPIGAM OR VIVAGLOBIN</w:t>
            </w:r>
          </w:p>
          <w:p w14:paraId="01C74175" w14:textId="77777777" w:rsidR="00845E2D" w:rsidRPr="003B4D22" w:rsidRDefault="00845E2D" w:rsidP="002874D8">
            <w:pPr>
              <w:spacing w:after="40" w:line="240" w:lineRule="auto"/>
              <w:rPr>
                <w:rFonts w:ascii="Arial Narrow" w:hAnsi="Arial Narrow"/>
                <w:sz w:val="20"/>
                <w:szCs w:val="18"/>
              </w:rPr>
            </w:pPr>
            <w:r w:rsidRPr="003B4D22">
              <w:rPr>
                <w:rFonts w:ascii="Arial Narrow" w:hAnsi="Arial Narrow"/>
                <w:sz w:val="20"/>
                <w:szCs w:val="18"/>
              </w:rPr>
              <w:t>OR</w:t>
            </w:r>
          </w:p>
          <w:p w14:paraId="5426E32B" w14:textId="77777777" w:rsidR="00845E2D" w:rsidRPr="003B4D22" w:rsidRDefault="00845E2D" w:rsidP="002874D8">
            <w:pPr>
              <w:spacing w:after="40" w:line="240" w:lineRule="auto"/>
              <w:rPr>
                <w:rFonts w:ascii="Arial Narrow" w:hAnsi="Arial Narrow"/>
                <w:sz w:val="20"/>
                <w:szCs w:val="18"/>
              </w:rPr>
            </w:pPr>
            <w:r w:rsidRPr="003B4D22">
              <w:rPr>
                <w:rFonts w:ascii="Arial Narrow" w:hAnsi="Arial Narrow"/>
                <w:sz w:val="20"/>
                <w:szCs w:val="18"/>
              </w:rPr>
              <w:t>GammaQuin OR Nanogam</w:t>
            </w:r>
          </w:p>
          <w:p w14:paraId="72E5D544" w14:textId="77777777" w:rsidR="00845E2D" w:rsidRPr="003B4D22" w:rsidRDefault="00845E2D" w:rsidP="002874D8">
            <w:pPr>
              <w:spacing w:after="40" w:line="240" w:lineRule="auto"/>
              <w:rPr>
                <w:rFonts w:ascii="Arial Narrow" w:hAnsi="Arial Narrow"/>
                <w:sz w:val="20"/>
                <w:szCs w:val="18"/>
              </w:rPr>
            </w:pPr>
            <w:r w:rsidRPr="003B4D22">
              <w:rPr>
                <w:rFonts w:ascii="Arial Narrow" w:hAnsi="Arial Narrow"/>
                <w:sz w:val="20"/>
                <w:szCs w:val="18"/>
              </w:rPr>
              <w:t>OR</w:t>
            </w:r>
          </w:p>
          <w:p w14:paraId="76339114" w14:textId="77777777" w:rsidR="00845E2D" w:rsidRPr="003B4D22" w:rsidRDefault="00845E2D" w:rsidP="002874D8">
            <w:pPr>
              <w:spacing w:after="40" w:line="240" w:lineRule="auto"/>
              <w:rPr>
                <w:rFonts w:ascii="Arial Narrow" w:hAnsi="Arial Narrow"/>
                <w:sz w:val="20"/>
                <w:szCs w:val="18"/>
              </w:rPr>
            </w:pPr>
            <w:r w:rsidRPr="003B4D22">
              <w:rPr>
                <w:rFonts w:ascii="Arial Narrow" w:hAnsi="Arial Narrow"/>
                <w:sz w:val="20"/>
                <w:szCs w:val="18"/>
              </w:rPr>
              <w:t>CLAIRYG OR ENDOBULINE OR SANDOGLOBULINE OR TECTASIM OR TEGELINE</w:t>
            </w:r>
          </w:p>
          <w:p w14:paraId="3351A460" w14:textId="77777777" w:rsidR="00845E2D" w:rsidRPr="003B4D22" w:rsidRDefault="00845E2D" w:rsidP="002874D8">
            <w:pPr>
              <w:spacing w:after="40" w:line="240" w:lineRule="auto"/>
              <w:rPr>
                <w:rFonts w:ascii="Arial Narrow" w:hAnsi="Arial Narrow"/>
                <w:sz w:val="20"/>
                <w:szCs w:val="18"/>
              </w:rPr>
            </w:pPr>
            <w:r w:rsidRPr="003B4D22">
              <w:rPr>
                <w:rFonts w:ascii="Arial Narrow" w:hAnsi="Arial Narrow"/>
                <w:sz w:val="20"/>
                <w:szCs w:val="18"/>
              </w:rPr>
              <w:t>OR</w:t>
            </w:r>
          </w:p>
          <w:p w14:paraId="5E1BD74E" w14:textId="77777777" w:rsidR="00845E2D" w:rsidRPr="003B4D22" w:rsidRDefault="00845E2D" w:rsidP="002874D8">
            <w:pPr>
              <w:spacing w:after="40" w:line="240" w:lineRule="auto"/>
              <w:rPr>
                <w:rFonts w:ascii="Arial Narrow" w:hAnsi="Arial Narrow"/>
                <w:sz w:val="20"/>
                <w:szCs w:val="18"/>
              </w:rPr>
            </w:pPr>
            <w:r w:rsidRPr="003B4D22">
              <w:rPr>
                <w:rFonts w:ascii="Arial Narrow" w:hAnsi="Arial Narrow"/>
                <w:sz w:val="20"/>
                <w:szCs w:val="18"/>
              </w:rPr>
              <w:t>“Kenketu Glovenin”)</w:t>
            </w:r>
          </w:p>
        </w:tc>
      </w:tr>
      <w:tr w:rsidR="00845E2D" w:rsidRPr="003B4D22" w14:paraId="07B03D85" w14:textId="77777777" w:rsidTr="002874D8">
        <w:tc>
          <w:tcPr>
            <w:tcW w:w="1253" w:type="pct"/>
          </w:tcPr>
          <w:p w14:paraId="767FEDEF" w14:textId="77777777" w:rsidR="00845E2D" w:rsidRPr="003B4D22" w:rsidRDefault="00845E2D" w:rsidP="002874D8">
            <w:pPr>
              <w:spacing w:after="40" w:line="240" w:lineRule="auto"/>
              <w:rPr>
                <w:rFonts w:ascii="Arial Narrow" w:hAnsi="Arial Narrow"/>
                <w:sz w:val="20"/>
                <w:szCs w:val="18"/>
              </w:rPr>
            </w:pPr>
            <w:r w:rsidRPr="003B4D22">
              <w:rPr>
                <w:rFonts w:ascii="Arial Narrow" w:hAnsi="Arial Narrow"/>
                <w:sz w:val="20"/>
                <w:szCs w:val="18"/>
              </w:rPr>
              <w:t>Comparator (if applicable)</w:t>
            </w:r>
          </w:p>
        </w:tc>
        <w:tc>
          <w:tcPr>
            <w:tcW w:w="3747" w:type="pct"/>
          </w:tcPr>
          <w:p w14:paraId="24D7D918" w14:textId="77777777" w:rsidR="00845E2D" w:rsidRPr="003B4D22" w:rsidRDefault="00845E2D" w:rsidP="002874D8">
            <w:pPr>
              <w:spacing w:after="40" w:line="240" w:lineRule="auto"/>
              <w:rPr>
                <w:rFonts w:ascii="Arial Narrow" w:hAnsi="Arial Narrow"/>
                <w:sz w:val="20"/>
                <w:szCs w:val="18"/>
              </w:rPr>
            </w:pPr>
            <w:r w:rsidRPr="003B4D22">
              <w:rPr>
                <w:rFonts w:cs="Calibri"/>
                <w:sz w:val="20"/>
                <w:szCs w:val="18"/>
              </w:rPr>
              <w:t>‒</w:t>
            </w:r>
          </w:p>
        </w:tc>
      </w:tr>
      <w:tr w:rsidR="00845E2D" w:rsidRPr="003B4D22" w14:paraId="29715E39" w14:textId="77777777" w:rsidTr="002874D8">
        <w:tc>
          <w:tcPr>
            <w:tcW w:w="1253" w:type="pct"/>
          </w:tcPr>
          <w:p w14:paraId="0F34DBF4" w14:textId="77777777" w:rsidR="00845E2D" w:rsidRPr="003B4D22" w:rsidRDefault="00845E2D" w:rsidP="002874D8">
            <w:pPr>
              <w:spacing w:after="40" w:line="240" w:lineRule="auto"/>
              <w:rPr>
                <w:rFonts w:ascii="Arial Narrow" w:hAnsi="Arial Narrow"/>
                <w:sz w:val="20"/>
                <w:szCs w:val="18"/>
              </w:rPr>
            </w:pPr>
            <w:r w:rsidRPr="003B4D22">
              <w:rPr>
                <w:rFonts w:ascii="Arial Narrow" w:hAnsi="Arial Narrow"/>
                <w:sz w:val="20"/>
                <w:szCs w:val="18"/>
              </w:rPr>
              <w:t>Outcomes (if applicable)</w:t>
            </w:r>
          </w:p>
        </w:tc>
        <w:tc>
          <w:tcPr>
            <w:tcW w:w="3747" w:type="pct"/>
          </w:tcPr>
          <w:p w14:paraId="79E6E1CD" w14:textId="77777777" w:rsidR="00845E2D" w:rsidRPr="003B4D22" w:rsidRDefault="00845E2D" w:rsidP="002874D8">
            <w:pPr>
              <w:spacing w:after="40" w:line="240" w:lineRule="auto"/>
              <w:rPr>
                <w:rFonts w:ascii="Arial Narrow" w:hAnsi="Arial Narrow"/>
                <w:sz w:val="20"/>
                <w:szCs w:val="18"/>
              </w:rPr>
            </w:pPr>
            <w:r w:rsidRPr="003B4D22">
              <w:rPr>
                <w:rFonts w:cs="Calibri"/>
                <w:sz w:val="20"/>
                <w:szCs w:val="18"/>
              </w:rPr>
              <w:t>‒</w:t>
            </w:r>
          </w:p>
        </w:tc>
      </w:tr>
      <w:tr w:rsidR="00845E2D" w:rsidRPr="003B4D22" w14:paraId="37297472" w14:textId="77777777" w:rsidTr="002874D8">
        <w:tc>
          <w:tcPr>
            <w:tcW w:w="1253" w:type="pct"/>
          </w:tcPr>
          <w:p w14:paraId="7D388825" w14:textId="77777777" w:rsidR="00845E2D" w:rsidRPr="003B4D22" w:rsidRDefault="00845E2D" w:rsidP="002874D8">
            <w:pPr>
              <w:spacing w:after="40" w:line="240" w:lineRule="auto"/>
              <w:rPr>
                <w:rFonts w:ascii="Arial Narrow" w:hAnsi="Arial Narrow"/>
                <w:sz w:val="20"/>
                <w:szCs w:val="18"/>
              </w:rPr>
            </w:pPr>
            <w:r w:rsidRPr="003B4D22">
              <w:rPr>
                <w:rFonts w:ascii="Arial Narrow" w:hAnsi="Arial Narrow"/>
                <w:sz w:val="20"/>
                <w:szCs w:val="18"/>
              </w:rPr>
              <w:t>Limits</w:t>
            </w:r>
          </w:p>
        </w:tc>
        <w:tc>
          <w:tcPr>
            <w:tcW w:w="3747" w:type="pct"/>
          </w:tcPr>
          <w:p w14:paraId="7CCBF2AB" w14:textId="77777777" w:rsidR="00845E2D" w:rsidRPr="003B4D22" w:rsidRDefault="00845E2D" w:rsidP="002874D8">
            <w:pPr>
              <w:spacing w:after="40" w:line="240" w:lineRule="auto"/>
              <w:rPr>
                <w:rFonts w:ascii="Arial Narrow" w:hAnsi="Arial Narrow"/>
                <w:sz w:val="20"/>
                <w:szCs w:val="18"/>
              </w:rPr>
            </w:pPr>
            <w:r w:rsidRPr="003B4D22">
              <w:rPr>
                <w:rFonts w:cs="Calibri"/>
                <w:sz w:val="20"/>
                <w:szCs w:val="18"/>
              </w:rPr>
              <w:t>‒</w:t>
            </w:r>
          </w:p>
        </w:tc>
      </w:tr>
    </w:tbl>
    <w:p w14:paraId="4C6509A9" w14:textId="77777777" w:rsidR="00845E2D" w:rsidRPr="003B4D22" w:rsidRDefault="00845E2D" w:rsidP="00845E2D">
      <w:pPr>
        <w:pStyle w:val="TableNotes"/>
        <w:keepLines w:val="0"/>
        <w:spacing w:before="40" w:after="240"/>
        <w:ind w:left="0"/>
        <w:rPr>
          <w:sz w:val="20"/>
          <w:szCs w:val="18"/>
        </w:rPr>
      </w:pPr>
      <w:r w:rsidRPr="003B4D22">
        <w:rPr>
          <w:sz w:val="20"/>
          <w:szCs w:val="18"/>
        </w:rPr>
        <w:t>mh = Medical Subject Heading, based on a PubMed platform</w:t>
      </w:r>
    </w:p>
    <w:p w14:paraId="6FB1B5E7" w14:textId="77777777" w:rsidR="00845E2D" w:rsidRPr="00386411" w:rsidRDefault="00845E2D" w:rsidP="00845E2D">
      <w:pPr>
        <w:rPr>
          <w:b/>
        </w:rPr>
      </w:pPr>
    </w:p>
    <w:p w14:paraId="0F9C49EB" w14:textId="19E60E71" w:rsidR="00845E2D" w:rsidRPr="00386411" w:rsidRDefault="00845E2D" w:rsidP="00845E2D">
      <w:pPr>
        <w:pStyle w:val="TableHeading"/>
      </w:pPr>
      <w:bookmarkStart w:id="709" w:name="_Ref10106675"/>
      <w:bookmarkStart w:id="710" w:name="_Toc14429616"/>
      <w:bookmarkStart w:id="711" w:name="_Toc16671674"/>
      <w:r w:rsidRPr="00386411">
        <w:lastRenderedPageBreak/>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76</w:t>
      </w:r>
      <w:r w:rsidRPr="00386411">
        <w:rPr>
          <w:noProof/>
        </w:rPr>
        <w:fldChar w:fldCharType="end"/>
      </w:r>
      <w:bookmarkEnd w:id="709"/>
      <w:r w:rsidRPr="00386411">
        <w:tab/>
      </w:r>
      <w:r w:rsidRPr="00386411">
        <w:tab/>
        <w:t>Further searches for bone marrow transplantation (Pubmed example)</w:t>
      </w:r>
      <w:bookmarkEnd w:id="710"/>
      <w:bookmarkEnd w:id="7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45E2D" w:rsidRPr="00386411" w14:paraId="351F1028" w14:textId="77777777" w:rsidTr="002874D8">
        <w:trPr>
          <w:cantSplit/>
        </w:trPr>
        <w:tc>
          <w:tcPr>
            <w:tcW w:w="0" w:type="auto"/>
          </w:tcPr>
          <w:p w14:paraId="79CC7E88" w14:textId="77777777" w:rsidR="00845E2D" w:rsidRPr="00386411" w:rsidRDefault="00845E2D" w:rsidP="002874D8">
            <w:pPr>
              <w:keepNext/>
              <w:spacing w:before="40" w:after="40"/>
              <w:rPr>
                <w:rFonts w:ascii="Arial Narrow" w:hAnsi="Arial Narrow"/>
                <w:b/>
                <w:sz w:val="20"/>
                <w:szCs w:val="18"/>
              </w:rPr>
            </w:pPr>
            <w:r w:rsidRPr="00386411">
              <w:rPr>
                <w:rFonts w:ascii="Arial Narrow" w:hAnsi="Arial Narrow"/>
                <w:b/>
                <w:sz w:val="20"/>
                <w:szCs w:val="18"/>
              </w:rPr>
              <w:t>Pubmed search terms</w:t>
            </w:r>
          </w:p>
        </w:tc>
      </w:tr>
      <w:tr w:rsidR="00845E2D" w:rsidRPr="00386411" w14:paraId="50DB1A52" w14:textId="77777777" w:rsidTr="002874D8">
        <w:trPr>
          <w:cantSplit/>
        </w:trPr>
        <w:tc>
          <w:tcPr>
            <w:tcW w:w="0" w:type="auto"/>
            <w:shd w:val="clear" w:color="auto" w:fill="D9D9D9" w:themeFill="background1" w:themeFillShade="D9"/>
          </w:tcPr>
          <w:p w14:paraId="03BBA5FA" w14:textId="77777777" w:rsidR="00845E2D" w:rsidRPr="00386411" w:rsidRDefault="00845E2D" w:rsidP="002874D8">
            <w:pPr>
              <w:keepNext/>
              <w:spacing w:before="40" w:after="40"/>
              <w:rPr>
                <w:rFonts w:ascii="Arial Narrow" w:hAnsi="Arial Narrow"/>
                <w:b/>
                <w:sz w:val="20"/>
                <w:szCs w:val="18"/>
              </w:rPr>
            </w:pPr>
            <w:r w:rsidRPr="00386411">
              <w:rPr>
                <w:rFonts w:ascii="Arial Narrow" w:hAnsi="Arial Narrow"/>
                <w:b/>
                <w:sz w:val="20"/>
                <w:szCs w:val="18"/>
              </w:rPr>
              <w:t>Population</w:t>
            </w:r>
          </w:p>
        </w:tc>
      </w:tr>
      <w:tr w:rsidR="00845E2D" w:rsidRPr="003B4D22" w14:paraId="2486476A" w14:textId="77777777" w:rsidTr="002874D8">
        <w:trPr>
          <w:cantSplit/>
        </w:trPr>
        <w:tc>
          <w:tcPr>
            <w:tcW w:w="0" w:type="auto"/>
          </w:tcPr>
          <w:p w14:paraId="008DA5F7" w14:textId="77777777" w:rsidR="00845E2D" w:rsidRPr="003B4D22" w:rsidRDefault="00845E2D" w:rsidP="002874D8">
            <w:pPr>
              <w:spacing w:before="40" w:after="40"/>
              <w:ind w:right="-57"/>
              <w:rPr>
                <w:rFonts w:ascii="Arial Narrow" w:hAnsi="Arial Narrow"/>
                <w:sz w:val="20"/>
                <w:szCs w:val="18"/>
              </w:rPr>
            </w:pPr>
            <w:r w:rsidRPr="003B4D22">
              <w:rPr>
                <w:rFonts w:ascii="Arial Narrow" w:hAnsi="Arial Narrow"/>
                <w:sz w:val="20"/>
                <w:szCs w:val="18"/>
              </w:rPr>
              <w:t xml:space="preserve">(Hypogammaglobulinemia OR Hypogammaglobulinaemia OR hypogamma* OR “low immunoglobulin” OR “immunoglobulin deficiency”[mh] OR "low Ig" OR "low IgG" OR "immunoglobulin deficiency" OR "immunoglobulin deficient" OR "Ig deficiency" OR "IgG deficiency" OR immunoparesis) </w:t>
            </w:r>
          </w:p>
          <w:p w14:paraId="5524B6F7" w14:textId="77777777" w:rsidR="00845E2D" w:rsidRPr="003B4D22" w:rsidRDefault="00845E2D" w:rsidP="002874D8">
            <w:pPr>
              <w:spacing w:before="40" w:after="40"/>
              <w:ind w:right="-57"/>
              <w:rPr>
                <w:rFonts w:ascii="Arial Narrow" w:hAnsi="Arial Narrow"/>
                <w:sz w:val="20"/>
                <w:szCs w:val="18"/>
              </w:rPr>
            </w:pPr>
            <w:r w:rsidRPr="003B4D22">
              <w:rPr>
                <w:rFonts w:ascii="Arial Narrow" w:hAnsi="Arial Narrow"/>
                <w:sz w:val="20"/>
                <w:szCs w:val="18"/>
              </w:rPr>
              <w:t xml:space="preserve">AND </w:t>
            </w:r>
          </w:p>
          <w:p w14:paraId="7C8C1172" w14:textId="77777777" w:rsidR="00845E2D" w:rsidRPr="003B4D22" w:rsidRDefault="00845E2D" w:rsidP="002874D8">
            <w:pPr>
              <w:spacing w:before="40" w:after="40"/>
              <w:ind w:right="-57"/>
              <w:rPr>
                <w:rFonts w:ascii="Arial Narrow" w:hAnsi="Arial Narrow"/>
                <w:sz w:val="20"/>
                <w:szCs w:val="18"/>
              </w:rPr>
            </w:pPr>
            <w:r w:rsidRPr="003B4D22">
              <w:rPr>
                <w:rFonts w:ascii="Arial Narrow" w:hAnsi="Arial Narrow"/>
                <w:sz w:val="20"/>
                <w:szCs w:val="18"/>
              </w:rPr>
              <w:t>(“bone marrow transplant”[mh] OR (bone AND marrow AND transplant*))</w:t>
            </w:r>
          </w:p>
        </w:tc>
      </w:tr>
      <w:tr w:rsidR="00845E2D" w:rsidRPr="00386411" w14:paraId="7DECD9CC" w14:textId="77777777" w:rsidTr="002874D8">
        <w:trPr>
          <w:cantSplit/>
        </w:trPr>
        <w:tc>
          <w:tcPr>
            <w:tcW w:w="0" w:type="auto"/>
            <w:shd w:val="clear" w:color="auto" w:fill="D9D9D9" w:themeFill="background1" w:themeFillShade="D9"/>
          </w:tcPr>
          <w:p w14:paraId="4E6E70DE" w14:textId="77777777" w:rsidR="00845E2D" w:rsidRPr="00386411" w:rsidRDefault="00845E2D" w:rsidP="002874D8">
            <w:pPr>
              <w:keepNext/>
              <w:spacing w:before="40" w:after="40"/>
              <w:rPr>
                <w:rFonts w:ascii="Arial Narrow" w:hAnsi="Arial Narrow"/>
                <w:b/>
                <w:sz w:val="20"/>
                <w:szCs w:val="18"/>
              </w:rPr>
            </w:pPr>
            <w:r w:rsidRPr="00386411">
              <w:rPr>
                <w:rFonts w:ascii="Arial Narrow" w:hAnsi="Arial Narrow"/>
                <w:b/>
                <w:sz w:val="20"/>
                <w:szCs w:val="18"/>
              </w:rPr>
              <w:t>Intervention</w:t>
            </w:r>
          </w:p>
        </w:tc>
      </w:tr>
      <w:tr w:rsidR="00845E2D" w:rsidRPr="003B4D22" w14:paraId="419D9376" w14:textId="77777777" w:rsidTr="002874D8">
        <w:tc>
          <w:tcPr>
            <w:tcW w:w="0" w:type="auto"/>
          </w:tcPr>
          <w:p w14:paraId="026C6F8F" w14:textId="77777777" w:rsidR="00845E2D" w:rsidRPr="003B4D22" w:rsidRDefault="00845E2D" w:rsidP="002874D8">
            <w:pPr>
              <w:spacing w:before="40" w:after="40"/>
              <w:rPr>
                <w:rFonts w:ascii="Arial Narrow" w:hAnsi="Arial Narrow"/>
                <w:sz w:val="20"/>
                <w:szCs w:val="18"/>
              </w:rPr>
            </w:pPr>
            <w:r w:rsidRPr="003B4D22">
              <w:rPr>
                <w:rFonts w:ascii="Arial Narrow" w:hAnsi="Arial Narrow"/>
                <w:sz w:val="20"/>
                <w:szCs w:val="18"/>
              </w:rPr>
              <w:t xml:space="preserve">AND (”Immunoglobulin G”[mh] OR immunoglob* OR “immune globulin” immunoglobulin OR “gamma globulin” OR gammaglobulin </w:t>
            </w:r>
          </w:p>
          <w:p w14:paraId="15006B96" w14:textId="77777777" w:rsidR="00845E2D" w:rsidRPr="003B4D22" w:rsidRDefault="00845E2D" w:rsidP="002874D8">
            <w:pPr>
              <w:spacing w:before="40" w:after="40"/>
              <w:rPr>
                <w:rFonts w:ascii="Arial Narrow" w:hAnsi="Arial Narrow"/>
                <w:sz w:val="20"/>
                <w:szCs w:val="18"/>
              </w:rPr>
            </w:pPr>
            <w:r w:rsidRPr="003B4D22">
              <w:rPr>
                <w:rFonts w:ascii="Arial Narrow" w:hAnsi="Arial Narrow"/>
                <w:sz w:val="20"/>
                <w:szCs w:val="18"/>
              </w:rPr>
              <w:t>OR IVIg OR SCIg OR IgG OR Ig</w:t>
            </w:r>
          </w:p>
          <w:p w14:paraId="4C2C1A88" w14:textId="77777777" w:rsidR="00845E2D" w:rsidRPr="003B4D22" w:rsidRDefault="00845E2D" w:rsidP="002874D8">
            <w:pPr>
              <w:spacing w:before="40" w:after="40"/>
              <w:rPr>
                <w:rFonts w:ascii="Arial Narrow" w:hAnsi="Arial Narrow"/>
                <w:sz w:val="20"/>
                <w:szCs w:val="18"/>
              </w:rPr>
            </w:pPr>
            <w:r w:rsidRPr="003B4D22">
              <w:rPr>
                <w:rFonts w:ascii="Arial Narrow" w:hAnsi="Arial Narrow"/>
                <w:sz w:val="20"/>
                <w:szCs w:val="18"/>
              </w:rPr>
              <w:t xml:space="preserve">OR </w:t>
            </w:r>
          </w:p>
          <w:p w14:paraId="5302B75C" w14:textId="77777777" w:rsidR="00845E2D" w:rsidRPr="003B4D22" w:rsidRDefault="00845E2D" w:rsidP="002874D8">
            <w:pPr>
              <w:spacing w:before="40" w:after="40"/>
              <w:rPr>
                <w:rFonts w:ascii="Arial Narrow" w:hAnsi="Arial Narrow"/>
                <w:sz w:val="20"/>
                <w:szCs w:val="18"/>
              </w:rPr>
            </w:pPr>
            <w:r w:rsidRPr="003B4D22">
              <w:rPr>
                <w:rFonts w:ascii="Arial Narrow" w:hAnsi="Arial Narrow"/>
                <w:sz w:val="20"/>
                <w:szCs w:val="18"/>
              </w:rPr>
              <w:t xml:space="preserve">Intragam OR Privigen OR Hizentra OR Gamunex OR Flebogamma OR Intragam OR Evogam OR Panzyga OR Hyqvia OR Intratect OR Octagam OR Kiovig OR Gammanorm OR Cuvitru </w:t>
            </w:r>
          </w:p>
          <w:p w14:paraId="2A412A1A" w14:textId="77777777" w:rsidR="00845E2D" w:rsidRPr="003B4D22" w:rsidRDefault="00845E2D" w:rsidP="002874D8">
            <w:pPr>
              <w:spacing w:before="40" w:after="40"/>
              <w:rPr>
                <w:rFonts w:ascii="Arial Narrow" w:hAnsi="Arial Narrow"/>
                <w:sz w:val="20"/>
                <w:szCs w:val="18"/>
              </w:rPr>
            </w:pPr>
            <w:r w:rsidRPr="003B4D22">
              <w:rPr>
                <w:rFonts w:ascii="Arial Narrow" w:hAnsi="Arial Narrow"/>
                <w:sz w:val="20"/>
                <w:szCs w:val="18"/>
              </w:rPr>
              <w:t xml:space="preserve">OR </w:t>
            </w:r>
          </w:p>
          <w:p w14:paraId="20F8ED95" w14:textId="77777777" w:rsidR="00845E2D" w:rsidRPr="003B4D22" w:rsidRDefault="00845E2D" w:rsidP="002874D8">
            <w:pPr>
              <w:spacing w:before="40" w:after="40"/>
              <w:rPr>
                <w:rFonts w:ascii="Arial Narrow" w:hAnsi="Arial Narrow"/>
                <w:sz w:val="20"/>
                <w:szCs w:val="18"/>
              </w:rPr>
            </w:pPr>
            <w:r w:rsidRPr="003B4D22">
              <w:rPr>
                <w:rFonts w:ascii="Arial Narrow" w:hAnsi="Arial Narrow"/>
                <w:sz w:val="20"/>
                <w:szCs w:val="18"/>
              </w:rPr>
              <w:t xml:space="preserve">GammaSTAN OR BayGam OR Polygam OR GAMMAGARD OR Sandoglobulin OR Panglobulin OR Carimune OR GAMMAKED OR Iveegam OR Bivigam OR Gammaplex </w:t>
            </w:r>
          </w:p>
          <w:p w14:paraId="08BF2135" w14:textId="77777777" w:rsidR="00845E2D" w:rsidRPr="003B4D22" w:rsidRDefault="00845E2D" w:rsidP="002874D8">
            <w:pPr>
              <w:spacing w:before="40" w:after="40"/>
              <w:rPr>
                <w:rFonts w:ascii="Arial Narrow" w:hAnsi="Arial Narrow"/>
                <w:sz w:val="20"/>
                <w:szCs w:val="18"/>
              </w:rPr>
            </w:pPr>
            <w:r w:rsidRPr="003B4D22">
              <w:rPr>
                <w:rFonts w:ascii="Arial Narrow" w:hAnsi="Arial Narrow"/>
                <w:sz w:val="20"/>
                <w:szCs w:val="18"/>
              </w:rPr>
              <w:t xml:space="preserve">OR </w:t>
            </w:r>
          </w:p>
          <w:p w14:paraId="2769AAF3" w14:textId="77777777" w:rsidR="00845E2D" w:rsidRPr="003B4D22" w:rsidRDefault="00845E2D" w:rsidP="002874D8">
            <w:pPr>
              <w:spacing w:before="40" w:after="40"/>
              <w:rPr>
                <w:rFonts w:ascii="Arial Narrow" w:hAnsi="Arial Narrow"/>
                <w:sz w:val="20"/>
                <w:szCs w:val="18"/>
              </w:rPr>
            </w:pPr>
            <w:r w:rsidRPr="003B4D22">
              <w:rPr>
                <w:rFonts w:ascii="Arial Narrow" w:hAnsi="Arial Narrow"/>
                <w:sz w:val="20"/>
                <w:szCs w:val="18"/>
              </w:rPr>
              <w:t xml:space="preserve">Intratect OR IQYMUNE OR SUBCUVIA OR Subgam OR Vigam </w:t>
            </w:r>
          </w:p>
          <w:p w14:paraId="1BCFE4B3" w14:textId="77777777" w:rsidR="00845E2D" w:rsidRPr="003B4D22" w:rsidRDefault="00845E2D" w:rsidP="002874D8">
            <w:pPr>
              <w:spacing w:before="40" w:after="40"/>
              <w:rPr>
                <w:rFonts w:ascii="Arial Narrow" w:hAnsi="Arial Narrow"/>
                <w:sz w:val="20"/>
                <w:szCs w:val="18"/>
              </w:rPr>
            </w:pPr>
            <w:r w:rsidRPr="003B4D22">
              <w:rPr>
                <w:rFonts w:ascii="Arial Narrow" w:hAnsi="Arial Narrow"/>
                <w:sz w:val="20"/>
                <w:szCs w:val="18"/>
              </w:rPr>
              <w:t xml:space="preserve">OR </w:t>
            </w:r>
          </w:p>
          <w:p w14:paraId="11857841" w14:textId="77777777" w:rsidR="00845E2D" w:rsidRPr="003B4D22" w:rsidRDefault="00845E2D" w:rsidP="002874D8">
            <w:pPr>
              <w:spacing w:before="40" w:after="40"/>
              <w:rPr>
                <w:rFonts w:ascii="Arial Narrow" w:hAnsi="Arial Narrow"/>
                <w:sz w:val="20"/>
                <w:szCs w:val="18"/>
              </w:rPr>
            </w:pPr>
            <w:r w:rsidRPr="003B4D22">
              <w:rPr>
                <w:rFonts w:ascii="Arial Narrow" w:hAnsi="Arial Narrow"/>
                <w:sz w:val="20"/>
                <w:szCs w:val="18"/>
              </w:rPr>
              <w:t>CUTAQUIG OR GAMASTAN OR GAMIMUNE OR IGIVNEX OR RESPIGAM OR VIVAGLOBIN</w:t>
            </w:r>
          </w:p>
          <w:p w14:paraId="48630531" w14:textId="77777777" w:rsidR="00845E2D" w:rsidRPr="003B4D22" w:rsidRDefault="00845E2D" w:rsidP="002874D8">
            <w:pPr>
              <w:spacing w:before="40" w:after="40"/>
              <w:rPr>
                <w:rFonts w:ascii="Arial Narrow" w:hAnsi="Arial Narrow"/>
                <w:sz w:val="20"/>
                <w:szCs w:val="18"/>
              </w:rPr>
            </w:pPr>
            <w:r w:rsidRPr="003B4D22">
              <w:rPr>
                <w:rFonts w:ascii="Arial Narrow" w:hAnsi="Arial Narrow"/>
                <w:sz w:val="20"/>
                <w:szCs w:val="18"/>
              </w:rPr>
              <w:t>OR</w:t>
            </w:r>
          </w:p>
          <w:p w14:paraId="19CB0FC1" w14:textId="77777777" w:rsidR="00845E2D" w:rsidRPr="003B4D22" w:rsidRDefault="00845E2D" w:rsidP="002874D8">
            <w:pPr>
              <w:spacing w:before="40" w:after="40"/>
              <w:rPr>
                <w:rFonts w:ascii="Arial Narrow" w:hAnsi="Arial Narrow"/>
                <w:sz w:val="20"/>
                <w:szCs w:val="18"/>
              </w:rPr>
            </w:pPr>
            <w:r w:rsidRPr="003B4D22">
              <w:rPr>
                <w:rFonts w:ascii="Arial Narrow" w:hAnsi="Arial Narrow"/>
                <w:sz w:val="20"/>
                <w:szCs w:val="18"/>
              </w:rPr>
              <w:t>GammaQuin OR Nanogam</w:t>
            </w:r>
          </w:p>
          <w:p w14:paraId="1E28289F" w14:textId="77777777" w:rsidR="00845E2D" w:rsidRPr="003B4D22" w:rsidRDefault="00845E2D" w:rsidP="002874D8">
            <w:pPr>
              <w:spacing w:before="40" w:after="40"/>
              <w:rPr>
                <w:rFonts w:ascii="Arial Narrow" w:hAnsi="Arial Narrow"/>
                <w:sz w:val="20"/>
                <w:szCs w:val="18"/>
              </w:rPr>
            </w:pPr>
            <w:r w:rsidRPr="003B4D22">
              <w:rPr>
                <w:rFonts w:ascii="Arial Narrow" w:hAnsi="Arial Narrow"/>
                <w:sz w:val="20"/>
                <w:szCs w:val="18"/>
              </w:rPr>
              <w:t>OR</w:t>
            </w:r>
          </w:p>
          <w:p w14:paraId="05AB1682" w14:textId="77777777" w:rsidR="00845E2D" w:rsidRPr="003B4D22" w:rsidRDefault="00845E2D" w:rsidP="002874D8">
            <w:pPr>
              <w:spacing w:before="40" w:after="40"/>
              <w:rPr>
                <w:rFonts w:ascii="Arial Narrow" w:hAnsi="Arial Narrow"/>
                <w:sz w:val="20"/>
                <w:szCs w:val="18"/>
              </w:rPr>
            </w:pPr>
            <w:r w:rsidRPr="003B4D22">
              <w:rPr>
                <w:rFonts w:ascii="Arial Narrow" w:hAnsi="Arial Narrow"/>
                <w:sz w:val="20"/>
                <w:szCs w:val="18"/>
              </w:rPr>
              <w:t>CLAIRYG OR ENDOBULINE OR SANDOGLOBULINE OR TECTASIM OR TEGELINE</w:t>
            </w:r>
          </w:p>
          <w:p w14:paraId="0F8B3C4A" w14:textId="77777777" w:rsidR="00845E2D" w:rsidRPr="003B4D22" w:rsidRDefault="00845E2D" w:rsidP="002874D8">
            <w:pPr>
              <w:spacing w:before="40" w:after="40"/>
              <w:rPr>
                <w:rFonts w:ascii="Arial Narrow" w:hAnsi="Arial Narrow"/>
                <w:sz w:val="20"/>
                <w:szCs w:val="18"/>
              </w:rPr>
            </w:pPr>
            <w:r w:rsidRPr="003B4D22">
              <w:rPr>
                <w:rFonts w:ascii="Arial Narrow" w:hAnsi="Arial Narrow"/>
                <w:sz w:val="20"/>
                <w:szCs w:val="18"/>
              </w:rPr>
              <w:t>OR</w:t>
            </w:r>
          </w:p>
          <w:p w14:paraId="6B94AC29" w14:textId="77777777" w:rsidR="00845E2D" w:rsidRPr="003B4D22" w:rsidRDefault="00845E2D" w:rsidP="002874D8">
            <w:pPr>
              <w:spacing w:before="40" w:after="40"/>
              <w:rPr>
                <w:rFonts w:ascii="Arial Narrow" w:hAnsi="Arial Narrow"/>
                <w:sz w:val="20"/>
                <w:szCs w:val="18"/>
              </w:rPr>
            </w:pPr>
            <w:r w:rsidRPr="003B4D22">
              <w:rPr>
                <w:rFonts w:ascii="Arial Narrow" w:hAnsi="Arial Narrow"/>
                <w:sz w:val="20"/>
                <w:szCs w:val="18"/>
              </w:rPr>
              <w:t>“Kenketu Glovenin”)</w:t>
            </w:r>
          </w:p>
        </w:tc>
      </w:tr>
    </w:tbl>
    <w:p w14:paraId="552EE55D" w14:textId="77777777" w:rsidR="00845E2D" w:rsidRPr="003B4D22" w:rsidRDefault="00845E2D" w:rsidP="00845E2D">
      <w:pPr>
        <w:pStyle w:val="TableNotes"/>
        <w:keepLines w:val="0"/>
        <w:spacing w:before="40" w:after="240"/>
        <w:ind w:left="0"/>
        <w:rPr>
          <w:sz w:val="20"/>
          <w:szCs w:val="18"/>
        </w:rPr>
      </w:pPr>
      <w:r w:rsidRPr="003B4D22">
        <w:rPr>
          <w:sz w:val="20"/>
          <w:szCs w:val="18"/>
        </w:rPr>
        <w:t>mh = Medical Subject Heading, based on a PubMed platform</w:t>
      </w:r>
    </w:p>
    <w:p w14:paraId="63BC4216" w14:textId="77777777" w:rsidR="00845E2D" w:rsidRPr="00386411" w:rsidRDefault="00845E2D" w:rsidP="00CE2A67">
      <w:pPr>
        <w:rPr>
          <w:b/>
        </w:rPr>
      </w:pPr>
    </w:p>
    <w:p w14:paraId="3068B553" w14:textId="77777777" w:rsidR="00476D74" w:rsidRPr="00386411" w:rsidRDefault="00476D74" w:rsidP="00CE2A67">
      <w:pPr>
        <w:rPr>
          <w:b/>
        </w:rPr>
      </w:pPr>
    </w:p>
    <w:p w14:paraId="18164992" w14:textId="77777777" w:rsidR="009A3655" w:rsidRPr="00386411" w:rsidRDefault="009A3655" w:rsidP="00DF343F">
      <w:pPr>
        <w:pStyle w:val="Heading1"/>
        <w:sectPr w:rsidR="009A3655" w:rsidRPr="00386411" w:rsidSect="007F27D7">
          <w:pgSz w:w="11906" w:h="16838"/>
          <w:pgMar w:top="1440" w:right="1440" w:bottom="1440" w:left="1440" w:header="720" w:footer="720" w:gutter="0"/>
          <w:paperSrc w:first="7" w:other="7"/>
          <w:cols w:space="720"/>
        </w:sectPr>
      </w:pPr>
      <w:bookmarkStart w:id="712" w:name="_Ref170808567"/>
      <w:bookmarkStart w:id="713" w:name="_Toc460813781"/>
      <w:bookmarkStart w:id="714" w:name="_Ref170792604"/>
    </w:p>
    <w:p w14:paraId="2A112116" w14:textId="38285D85" w:rsidR="007A7960" w:rsidRPr="00386411" w:rsidRDefault="00193B87" w:rsidP="00437741">
      <w:pPr>
        <w:pStyle w:val="Heading1"/>
        <w:ind w:left="1985" w:hanging="1985"/>
      </w:pPr>
      <w:bookmarkStart w:id="715" w:name="_Ref364237249"/>
      <w:bookmarkStart w:id="716" w:name="_Ref190841600"/>
      <w:bookmarkStart w:id="717" w:name="_Toc379118101"/>
      <w:bookmarkStart w:id="718" w:name="_Toc381796504"/>
      <w:bookmarkStart w:id="719" w:name="_Toc14431186"/>
      <w:bookmarkStart w:id="720" w:name="_Toc16856361"/>
      <w:bookmarkEnd w:id="712"/>
      <w:r w:rsidRPr="00386411">
        <w:lastRenderedPageBreak/>
        <w:t xml:space="preserve">Appendix </w:t>
      </w:r>
      <w:r w:rsidR="00E46014" w:rsidRPr="00386411">
        <w:rPr>
          <w:noProof/>
        </w:rPr>
        <w:fldChar w:fldCharType="begin"/>
      </w:r>
      <w:r w:rsidR="00E46014" w:rsidRPr="00386411">
        <w:rPr>
          <w:noProof/>
        </w:rPr>
        <w:instrText xml:space="preserve"> SEQ Appendix \* ALPHABETIC </w:instrText>
      </w:r>
      <w:r w:rsidR="00E46014" w:rsidRPr="00386411">
        <w:rPr>
          <w:noProof/>
        </w:rPr>
        <w:fldChar w:fldCharType="separate"/>
      </w:r>
      <w:r w:rsidR="00A7463B">
        <w:rPr>
          <w:noProof/>
        </w:rPr>
        <w:t>C</w:t>
      </w:r>
      <w:r w:rsidR="00E46014" w:rsidRPr="00386411">
        <w:rPr>
          <w:noProof/>
        </w:rPr>
        <w:fldChar w:fldCharType="end"/>
      </w:r>
      <w:bookmarkEnd w:id="715"/>
      <w:r w:rsidR="008F59A8" w:rsidRPr="00386411">
        <w:tab/>
        <w:t>S</w:t>
      </w:r>
      <w:r w:rsidR="00591A6D" w:rsidRPr="00386411">
        <w:t>tudies included in the Systematic R</w:t>
      </w:r>
      <w:r w:rsidR="008F59A8" w:rsidRPr="00386411">
        <w:t>eview</w:t>
      </w:r>
      <w:bookmarkEnd w:id="713"/>
      <w:bookmarkEnd w:id="714"/>
      <w:bookmarkEnd w:id="716"/>
      <w:bookmarkEnd w:id="717"/>
      <w:bookmarkEnd w:id="718"/>
      <w:bookmarkEnd w:id="719"/>
      <w:bookmarkEnd w:id="720"/>
    </w:p>
    <w:p w14:paraId="0B64BAF2" w14:textId="77777777" w:rsidR="00437741" w:rsidRPr="00386411" w:rsidRDefault="00437741" w:rsidP="00437741">
      <w:pPr>
        <w:spacing w:after="0" w:line="240" w:lineRule="auto"/>
        <w:rPr>
          <w:b/>
        </w:rPr>
      </w:pPr>
      <w:bookmarkStart w:id="721" w:name="_Ref192056948"/>
      <w:bookmarkStart w:id="722" w:name="_Ref169423889"/>
    </w:p>
    <w:p w14:paraId="3264989B" w14:textId="29C4C50B" w:rsidR="00437741" w:rsidRPr="00386411" w:rsidRDefault="00437741" w:rsidP="00437741">
      <w:pPr>
        <w:pStyle w:val="Caption"/>
        <w:rPr>
          <w:snapToGrid w:val="0"/>
          <w:lang w:eastAsia="en-US"/>
        </w:rPr>
      </w:pPr>
      <w:bookmarkStart w:id="723" w:name="_Ref10291240"/>
      <w:bookmarkStart w:id="724" w:name="_Toc14429617"/>
      <w:bookmarkStart w:id="725" w:name="_Toc16671675"/>
      <w:r w:rsidRPr="00386411">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77</w:t>
      </w:r>
      <w:r w:rsidRPr="00386411">
        <w:rPr>
          <w:noProof/>
        </w:rPr>
        <w:fldChar w:fldCharType="end"/>
      </w:r>
      <w:bookmarkEnd w:id="723"/>
      <w:r w:rsidRPr="00386411">
        <w:tab/>
      </w:r>
      <w:r w:rsidRPr="00386411">
        <w:rPr>
          <w:snapToGrid w:val="0"/>
          <w:lang w:eastAsia="en-US"/>
        </w:rPr>
        <w:t>List of the included studies</w:t>
      </w:r>
      <w:bookmarkEnd w:id="724"/>
      <w:bookmarkEnd w:id="725"/>
    </w:p>
    <w:tbl>
      <w:tblPr>
        <w:tblStyle w:val="TableGrid5"/>
        <w:tblW w:w="0" w:type="auto"/>
        <w:tblLook w:val="04A0" w:firstRow="1" w:lastRow="0" w:firstColumn="1" w:lastColumn="0" w:noHBand="0" w:noVBand="1"/>
        <w:tblCaption w:val="List of the included studies"/>
      </w:tblPr>
      <w:tblGrid>
        <w:gridCol w:w="1394"/>
        <w:gridCol w:w="5904"/>
        <w:gridCol w:w="1944"/>
      </w:tblGrid>
      <w:tr w:rsidR="00437741" w:rsidRPr="00386411" w14:paraId="699C7EC4" w14:textId="77777777" w:rsidTr="007667B3">
        <w:trPr>
          <w:tblHeader/>
        </w:trPr>
        <w:tc>
          <w:tcPr>
            <w:tcW w:w="0" w:type="auto"/>
          </w:tcPr>
          <w:p w14:paraId="583F2FBD" w14:textId="77777777" w:rsidR="00437741" w:rsidRPr="00386411" w:rsidRDefault="00437741" w:rsidP="002874D8">
            <w:pPr>
              <w:keepNext/>
              <w:spacing w:before="0" w:after="40" w:line="240" w:lineRule="auto"/>
              <w:rPr>
                <w:rFonts w:ascii="Arial Narrow" w:hAnsi="Arial Narrow"/>
                <w:b/>
                <w:sz w:val="20"/>
                <w:szCs w:val="20"/>
              </w:rPr>
            </w:pPr>
            <w:r w:rsidRPr="00386411">
              <w:rPr>
                <w:rFonts w:ascii="Arial Narrow" w:hAnsi="Arial Narrow"/>
                <w:b/>
                <w:sz w:val="20"/>
                <w:szCs w:val="20"/>
              </w:rPr>
              <w:t>Study ID</w:t>
            </w:r>
          </w:p>
        </w:tc>
        <w:tc>
          <w:tcPr>
            <w:tcW w:w="0" w:type="auto"/>
          </w:tcPr>
          <w:p w14:paraId="0B175485" w14:textId="77777777" w:rsidR="00437741" w:rsidRPr="00386411" w:rsidRDefault="00437741" w:rsidP="002874D8">
            <w:pPr>
              <w:keepNext/>
              <w:spacing w:before="0" w:after="40" w:line="240" w:lineRule="auto"/>
              <w:rPr>
                <w:rFonts w:ascii="Arial Narrow" w:hAnsi="Arial Narrow"/>
                <w:b/>
                <w:sz w:val="20"/>
                <w:szCs w:val="20"/>
              </w:rPr>
            </w:pPr>
            <w:r w:rsidRPr="00386411">
              <w:rPr>
                <w:rFonts w:ascii="Arial Narrow" w:hAnsi="Arial Narrow"/>
                <w:b/>
                <w:sz w:val="20"/>
                <w:szCs w:val="20"/>
              </w:rPr>
              <w:t>Title</w:t>
            </w:r>
          </w:p>
        </w:tc>
        <w:tc>
          <w:tcPr>
            <w:tcW w:w="0" w:type="auto"/>
          </w:tcPr>
          <w:p w14:paraId="19122EDC" w14:textId="77777777" w:rsidR="00437741" w:rsidRPr="00386411" w:rsidRDefault="00437741" w:rsidP="002874D8">
            <w:pPr>
              <w:keepNext/>
              <w:spacing w:before="0" w:after="40" w:line="240" w:lineRule="auto"/>
              <w:rPr>
                <w:rFonts w:ascii="Arial Narrow" w:hAnsi="Arial Narrow"/>
                <w:b/>
                <w:sz w:val="20"/>
                <w:szCs w:val="20"/>
                <w:highlight w:val="yellow"/>
              </w:rPr>
            </w:pPr>
            <w:r w:rsidRPr="00386411">
              <w:rPr>
                <w:rFonts w:ascii="Arial Narrow" w:hAnsi="Arial Narrow"/>
                <w:b/>
                <w:sz w:val="20"/>
                <w:szCs w:val="20"/>
              </w:rPr>
              <w:t>Citation</w:t>
            </w:r>
          </w:p>
        </w:tc>
      </w:tr>
      <w:tr w:rsidR="007667B3" w:rsidRPr="00386411" w14:paraId="78C86263" w14:textId="77777777" w:rsidTr="007667B3">
        <w:tc>
          <w:tcPr>
            <w:tcW w:w="0" w:type="auto"/>
            <w:gridSpan w:val="3"/>
            <w:shd w:val="clear" w:color="auto" w:fill="000000" w:themeFill="text1"/>
          </w:tcPr>
          <w:p w14:paraId="45FF9372" w14:textId="08FF2AB2" w:rsidR="007667B3" w:rsidRPr="00386411" w:rsidRDefault="007667B3" w:rsidP="006B4C5F">
            <w:pPr>
              <w:keepNext/>
              <w:spacing w:after="40" w:line="240" w:lineRule="auto"/>
              <w:rPr>
                <w:rFonts w:ascii="Arial Narrow" w:hAnsi="Arial Narrow"/>
                <w:b/>
                <w:color w:val="FFFFFF" w:themeColor="background1"/>
                <w:sz w:val="20"/>
                <w:szCs w:val="18"/>
              </w:rPr>
            </w:pPr>
            <w:r w:rsidRPr="00386411">
              <w:rPr>
                <w:rFonts w:ascii="Arial Narrow" w:hAnsi="Arial Narrow"/>
                <w:b/>
                <w:color w:val="FFFFFF" w:themeColor="background1"/>
                <w:sz w:val="20"/>
                <w:szCs w:val="18"/>
              </w:rPr>
              <w:t>Randomised studies – IVIg vs No IVIg</w:t>
            </w:r>
          </w:p>
        </w:tc>
      </w:tr>
      <w:tr w:rsidR="00437741" w:rsidRPr="003B4D22" w14:paraId="4E1FF499" w14:textId="77777777" w:rsidTr="007667B3">
        <w:tc>
          <w:tcPr>
            <w:tcW w:w="0" w:type="auto"/>
          </w:tcPr>
          <w:p w14:paraId="5EA26E59" w14:textId="77777777" w:rsidR="00437741" w:rsidRPr="003B4D22" w:rsidRDefault="00437741" w:rsidP="002874D8">
            <w:pPr>
              <w:spacing w:before="0" w:after="40" w:line="240" w:lineRule="auto"/>
              <w:rPr>
                <w:rFonts w:ascii="Arial Narrow" w:hAnsi="Arial Narrow"/>
                <w:sz w:val="20"/>
                <w:szCs w:val="20"/>
              </w:rPr>
            </w:pPr>
            <w:r w:rsidRPr="003B4D22">
              <w:rPr>
                <w:rFonts w:ascii="Arial Narrow" w:hAnsi="Arial Narrow"/>
                <w:sz w:val="20"/>
                <w:szCs w:val="20"/>
              </w:rPr>
              <w:t>Boughton et al., 1995</w:t>
            </w:r>
          </w:p>
        </w:tc>
        <w:tc>
          <w:tcPr>
            <w:tcW w:w="0" w:type="auto"/>
          </w:tcPr>
          <w:p w14:paraId="18702D97" w14:textId="77777777" w:rsidR="00437741" w:rsidRPr="003B4D22" w:rsidRDefault="00437741" w:rsidP="002874D8">
            <w:pPr>
              <w:spacing w:before="0" w:after="40" w:line="240" w:lineRule="auto"/>
              <w:rPr>
                <w:rFonts w:ascii="Arial Narrow" w:hAnsi="Arial Narrow"/>
                <w:sz w:val="20"/>
                <w:szCs w:val="20"/>
              </w:rPr>
            </w:pPr>
            <w:r w:rsidRPr="003B4D22">
              <w:rPr>
                <w:rFonts w:ascii="Arial Narrow" w:hAnsi="Arial Narrow"/>
                <w:sz w:val="20"/>
                <w:szCs w:val="20"/>
              </w:rPr>
              <w:t>Randomized trial of intravenous immunoglobulin prophylaxis for patients with chronic lymphocytic leukaemia and secondary hypogammaglobulinaemia</w:t>
            </w:r>
          </w:p>
        </w:tc>
        <w:tc>
          <w:tcPr>
            <w:tcW w:w="0" w:type="auto"/>
          </w:tcPr>
          <w:p w14:paraId="2291CADB" w14:textId="77777777" w:rsidR="00437741" w:rsidRPr="003B4D22" w:rsidRDefault="00437741" w:rsidP="002874D8">
            <w:pPr>
              <w:spacing w:before="0" w:after="40" w:line="240" w:lineRule="auto"/>
              <w:rPr>
                <w:rFonts w:ascii="Arial Narrow" w:hAnsi="Arial Narrow"/>
                <w:sz w:val="20"/>
                <w:szCs w:val="20"/>
                <w:highlight w:val="yellow"/>
              </w:rPr>
            </w:pPr>
            <w:r w:rsidRPr="003B4D22">
              <w:rPr>
                <w:rFonts w:ascii="Arial Narrow" w:hAnsi="Arial Narrow"/>
                <w:sz w:val="20"/>
                <w:szCs w:val="20"/>
              </w:rPr>
              <w:t>Clin Lab Haematol 17(1): 75-80.</w:t>
            </w:r>
          </w:p>
        </w:tc>
      </w:tr>
      <w:tr w:rsidR="00437741" w:rsidRPr="003B4D22" w14:paraId="2BACD1D6" w14:textId="77777777" w:rsidTr="007667B3">
        <w:tc>
          <w:tcPr>
            <w:tcW w:w="0" w:type="auto"/>
          </w:tcPr>
          <w:p w14:paraId="3AF75E89" w14:textId="77777777" w:rsidR="00437741" w:rsidRPr="003B4D22" w:rsidRDefault="00437741" w:rsidP="002874D8">
            <w:pPr>
              <w:spacing w:before="0" w:after="40" w:line="240" w:lineRule="auto"/>
              <w:rPr>
                <w:rFonts w:ascii="Arial Narrow" w:hAnsi="Arial Narrow"/>
                <w:sz w:val="20"/>
                <w:szCs w:val="20"/>
              </w:rPr>
            </w:pPr>
            <w:r w:rsidRPr="003B4D22">
              <w:rPr>
                <w:rFonts w:ascii="Arial Narrow" w:hAnsi="Arial Narrow"/>
                <w:sz w:val="20"/>
                <w:szCs w:val="20"/>
              </w:rPr>
              <w:t>Chapel et al., 1991</w:t>
            </w:r>
          </w:p>
        </w:tc>
        <w:tc>
          <w:tcPr>
            <w:tcW w:w="0" w:type="auto"/>
          </w:tcPr>
          <w:p w14:paraId="3EF27627" w14:textId="77777777" w:rsidR="00437741" w:rsidRPr="003B4D22" w:rsidRDefault="00437741" w:rsidP="002874D8">
            <w:pPr>
              <w:spacing w:before="0" w:after="40" w:line="240" w:lineRule="auto"/>
              <w:rPr>
                <w:rFonts w:ascii="Arial Narrow" w:hAnsi="Arial Narrow"/>
                <w:sz w:val="20"/>
                <w:szCs w:val="20"/>
              </w:rPr>
            </w:pPr>
            <w:r w:rsidRPr="003B4D22">
              <w:rPr>
                <w:rFonts w:ascii="Arial Narrow" w:hAnsi="Arial Narrow"/>
                <w:sz w:val="20"/>
                <w:szCs w:val="20"/>
              </w:rPr>
              <w:t>Hypogammaglobulinaemia in low grade B cell tumours; significance and therapy</w:t>
            </w:r>
          </w:p>
        </w:tc>
        <w:tc>
          <w:tcPr>
            <w:tcW w:w="0" w:type="auto"/>
          </w:tcPr>
          <w:p w14:paraId="76AB7B79" w14:textId="77777777" w:rsidR="00437741" w:rsidRPr="003B4D22" w:rsidRDefault="00437741" w:rsidP="002874D8">
            <w:pPr>
              <w:spacing w:before="0" w:after="40" w:line="240" w:lineRule="auto"/>
              <w:rPr>
                <w:rFonts w:ascii="Arial Narrow" w:hAnsi="Arial Narrow"/>
                <w:sz w:val="20"/>
                <w:szCs w:val="20"/>
                <w:highlight w:val="yellow"/>
              </w:rPr>
            </w:pPr>
            <w:r w:rsidRPr="003B4D22">
              <w:rPr>
                <w:rFonts w:ascii="Arial Narrow" w:hAnsi="Arial Narrow"/>
                <w:sz w:val="20"/>
                <w:szCs w:val="20"/>
              </w:rPr>
              <w:t>Immunol Invest 20(2): 187-191.</w:t>
            </w:r>
          </w:p>
        </w:tc>
      </w:tr>
      <w:tr w:rsidR="00437741" w:rsidRPr="003B4D22" w14:paraId="1DDA2292" w14:textId="77777777" w:rsidTr="007667B3">
        <w:tc>
          <w:tcPr>
            <w:tcW w:w="0" w:type="auto"/>
          </w:tcPr>
          <w:p w14:paraId="1FFAC268" w14:textId="77777777" w:rsidR="00437741" w:rsidRPr="003B4D22" w:rsidRDefault="00437741" w:rsidP="002874D8">
            <w:pPr>
              <w:spacing w:before="0" w:after="40" w:line="240" w:lineRule="auto"/>
              <w:rPr>
                <w:rFonts w:ascii="Arial Narrow" w:hAnsi="Arial Narrow"/>
                <w:sz w:val="20"/>
                <w:szCs w:val="20"/>
              </w:rPr>
            </w:pPr>
            <w:r w:rsidRPr="003B4D22">
              <w:rPr>
                <w:rFonts w:ascii="Arial Narrow" w:hAnsi="Arial Narrow"/>
                <w:sz w:val="20"/>
                <w:szCs w:val="20"/>
              </w:rPr>
              <w:t>Chapel et al., 1994</w:t>
            </w:r>
          </w:p>
        </w:tc>
        <w:tc>
          <w:tcPr>
            <w:tcW w:w="0" w:type="auto"/>
          </w:tcPr>
          <w:p w14:paraId="7200C414" w14:textId="77777777" w:rsidR="00437741" w:rsidRPr="003B4D22" w:rsidRDefault="00437741" w:rsidP="002874D8">
            <w:pPr>
              <w:spacing w:before="0" w:after="40" w:line="240" w:lineRule="auto"/>
              <w:rPr>
                <w:rFonts w:ascii="Arial Narrow" w:hAnsi="Arial Narrow"/>
                <w:sz w:val="20"/>
                <w:szCs w:val="20"/>
              </w:rPr>
            </w:pPr>
            <w:r w:rsidRPr="003B4D22">
              <w:rPr>
                <w:rFonts w:ascii="Arial Narrow" w:hAnsi="Arial Narrow"/>
                <w:sz w:val="20"/>
                <w:szCs w:val="20"/>
              </w:rPr>
              <w:t>Randomised trial of intravenous immunoglobulin as prophylaxis against infection in plateau-phase multiple myeloma. The UK Group for Immunoglobulin Replacement Therapy in Multiple Myeloma.</w:t>
            </w:r>
          </w:p>
        </w:tc>
        <w:tc>
          <w:tcPr>
            <w:tcW w:w="0" w:type="auto"/>
          </w:tcPr>
          <w:p w14:paraId="226F2B3A" w14:textId="77777777" w:rsidR="00437741" w:rsidRPr="003B4D22" w:rsidRDefault="00437741" w:rsidP="002874D8">
            <w:pPr>
              <w:spacing w:before="0" w:after="40" w:line="240" w:lineRule="auto"/>
              <w:rPr>
                <w:rFonts w:ascii="Arial Narrow" w:hAnsi="Arial Narrow"/>
                <w:sz w:val="20"/>
                <w:szCs w:val="20"/>
                <w:highlight w:val="yellow"/>
              </w:rPr>
            </w:pPr>
            <w:r w:rsidRPr="003B4D22">
              <w:rPr>
                <w:rFonts w:ascii="Arial Narrow" w:hAnsi="Arial Narrow"/>
                <w:sz w:val="20"/>
                <w:szCs w:val="20"/>
              </w:rPr>
              <w:t>Lancet 343(8905): 1059-1063.</w:t>
            </w:r>
          </w:p>
        </w:tc>
      </w:tr>
      <w:tr w:rsidR="0097721B" w:rsidRPr="003B4D22" w14:paraId="57171865" w14:textId="77777777" w:rsidTr="007667B3">
        <w:tc>
          <w:tcPr>
            <w:tcW w:w="0" w:type="auto"/>
          </w:tcPr>
          <w:p w14:paraId="3209A9AA" w14:textId="096B8C2F" w:rsidR="0097721B" w:rsidRPr="00F67034" w:rsidRDefault="00CD52C8" w:rsidP="0097721B">
            <w:pPr>
              <w:spacing w:after="40" w:line="240" w:lineRule="auto"/>
              <w:rPr>
                <w:rFonts w:ascii="Arial Narrow" w:hAnsi="Arial Narrow"/>
                <w:sz w:val="20"/>
                <w:szCs w:val="20"/>
              </w:rPr>
            </w:pPr>
            <w:r w:rsidRPr="00F67034">
              <w:rPr>
                <w:rFonts w:ascii="Arial Narrow" w:hAnsi="Arial Narrow"/>
                <w:sz w:val="20"/>
                <w:szCs w:val="20"/>
              </w:rPr>
              <w:t>Kobayashi et al., 2014</w:t>
            </w:r>
          </w:p>
        </w:tc>
        <w:tc>
          <w:tcPr>
            <w:tcW w:w="0" w:type="auto"/>
          </w:tcPr>
          <w:p w14:paraId="37BEBB12" w14:textId="022055BD" w:rsidR="0097721B" w:rsidRPr="00F67034" w:rsidRDefault="0097721B" w:rsidP="0097721B">
            <w:pPr>
              <w:spacing w:after="40" w:line="240" w:lineRule="auto"/>
              <w:rPr>
                <w:rFonts w:ascii="Arial Narrow" w:hAnsi="Arial Narrow"/>
                <w:sz w:val="20"/>
                <w:szCs w:val="20"/>
              </w:rPr>
            </w:pPr>
            <w:r w:rsidRPr="00F67034">
              <w:rPr>
                <w:rFonts w:ascii="Arial Narrow" w:hAnsi="Arial Narrow"/>
                <w:sz w:val="20"/>
                <w:szCs w:val="20"/>
              </w:rPr>
              <w:t>Effect of meropenem with or without immunoglobulin as second-line therapy for pediatric febrile neutropenia.</w:t>
            </w:r>
          </w:p>
        </w:tc>
        <w:tc>
          <w:tcPr>
            <w:tcW w:w="0" w:type="auto"/>
          </w:tcPr>
          <w:p w14:paraId="2B1B72FD" w14:textId="0E708772" w:rsidR="0097721B" w:rsidRPr="003B4D22" w:rsidRDefault="0097721B" w:rsidP="0097721B">
            <w:pPr>
              <w:spacing w:after="40" w:line="240" w:lineRule="auto"/>
              <w:rPr>
                <w:rFonts w:ascii="Arial Narrow" w:hAnsi="Arial Narrow"/>
                <w:sz w:val="20"/>
                <w:szCs w:val="20"/>
              </w:rPr>
            </w:pPr>
            <w:r w:rsidRPr="00F67034">
              <w:rPr>
                <w:rFonts w:ascii="Arial Narrow" w:hAnsi="Arial Narrow"/>
                <w:sz w:val="20"/>
                <w:szCs w:val="20"/>
              </w:rPr>
              <w:t>Pediatrics International 56(4): 526-529.</w:t>
            </w:r>
          </w:p>
        </w:tc>
      </w:tr>
      <w:tr w:rsidR="00437741" w:rsidRPr="003B4D22" w14:paraId="465AD2E9" w14:textId="77777777" w:rsidTr="007667B3">
        <w:tc>
          <w:tcPr>
            <w:tcW w:w="0" w:type="auto"/>
          </w:tcPr>
          <w:p w14:paraId="546CEDFD" w14:textId="77777777" w:rsidR="00437741" w:rsidRPr="003B4D22" w:rsidRDefault="00437741" w:rsidP="002874D8">
            <w:pPr>
              <w:spacing w:before="0" w:after="40" w:line="240" w:lineRule="auto"/>
              <w:rPr>
                <w:rFonts w:ascii="Arial Narrow" w:hAnsi="Arial Narrow"/>
                <w:sz w:val="20"/>
                <w:szCs w:val="20"/>
              </w:rPr>
            </w:pPr>
            <w:r w:rsidRPr="003B4D22">
              <w:rPr>
                <w:rFonts w:ascii="Arial Narrow" w:hAnsi="Arial Narrow"/>
                <w:sz w:val="20"/>
                <w:szCs w:val="20"/>
              </w:rPr>
              <w:t>Molica et al., 1996</w:t>
            </w:r>
          </w:p>
        </w:tc>
        <w:tc>
          <w:tcPr>
            <w:tcW w:w="0" w:type="auto"/>
          </w:tcPr>
          <w:p w14:paraId="71F2F087" w14:textId="77777777" w:rsidR="00437741" w:rsidRPr="003B4D22" w:rsidRDefault="00437741" w:rsidP="002874D8">
            <w:pPr>
              <w:spacing w:before="0" w:after="40" w:line="240" w:lineRule="auto"/>
              <w:rPr>
                <w:rFonts w:ascii="Arial Narrow" w:hAnsi="Arial Narrow"/>
                <w:sz w:val="20"/>
                <w:szCs w:val="20"/>
              </w:rPr>
            </w:pPr>
            <w:r w:rsidRPr="003B4D22">
              <w:rPr>
                <w:rFonts w:ascii="Arial Narrow" w:hAnsi="Arial Narrow"/>
                <w:sz w:val="20"/>
                <w:szCs w:val="20"/>
              </w:rPr>
              <w:t>Prophylaxis against infections with low-dose intravenous immunoglobulins (IVIG) in chronic lymphocytic leukemia. Results of a crossover study</w:t>
            </w:r>
          </w:p>
        </w:tc>
        <w:tc>
          <w:tcPr>
            <w:tcW w:w="0" w:type="auto"/>
          </w:tcPr>
          <w:p w14:paraId="10026148" w14:textId="77777777" w:rsidR="00437741" w:rsidRPr="003B4D22" w:rsidRDefault="00437741" w:rsidP="002874D8">
            <w:pPr>
              <w:spacing w:before="0" w:after="40" w:line="240" w:lineRule="auto"/>
              <w:rPr>
                <w:rFonts w:ascii="Arial Narrow" w:hAnsi="Arial Narrow"/>
                <w:sz w:val="20"/>
                <w:szCs w:val="20"/>
                <w:highlight w:val="yellow"/>
              </w:rPr>
            </w:pPr>
            <w:r w:rsidRPr="003B4D22">
              <w:rPr>
                <w:rFonts w:ascii="Arial Narrow" w:hAnsi="Arial Narrow"/>
                <w:sz w:val="20"/>
                <w:szCs w:val="20"/>
              </w:rPr>
              <w:t>Haematologica 81(2): 121-126.</w:t>
            </w:r>
          </w:p>
        </w:tc>
      </w:tr>
      <w:tr w:rsidR="00437741" w:rsidRPr="003B4D22" w14:paraId="4A4E6E83" w14:textId="77777777" w:rsidTr="007667B3">
        <w:tc>
          <w:tcPr>
            <w:tcW w:w="0" w:type="auto"/>
          </w:tcPr>
          <w:p w14:paraId="255A00A0" w14:textId="77777777" w:rsidR="00437741" w:rsidRPr="003B4D22" w:rsidRDefault="00437741" w:rsidP="002874D8">
            <w:pPr>
              <w:spacing w:before="0" w:after="40" w:line="240" w:lineRule="auto"/>
              <w:rPr>
                <w:rFonts w:ascii="Arial Narrow" w:hAnsi="Arial Narrow"/>
                <w:sz w:val="20"/>
                <w:szCs w:val="20"/>
              </w:rPr>
            </w:pPr>
            <w:r w:rsidRPr="003B4D22">
              <w:rPr>
                <w:rFonts w:ascii="Arial Narrow" w:hAnsi="Arial Narrow"/>
                <w:sz w:val="20"/>
                <w:szCs w:val="20"/>
              </w:rPr>
              <w:t>Musto et al., 1995</w:t>
            </w:r>
          </w:p>
        </w:tc>
        <w:tc>
          <w:tcPr>
            <w:tcW w:w="0" w:type="auto"/>
          </w:tcPr>
          <w:p w14:paraId="08D6B4A6" w14:textId="77777777" w:rsidR="00437741" w:rsidRPr="003B4D22" w:rsidRDefault="00437741" w:rsidP="002874D8">
            <w:pPr>
              <w:spacing w:after="40" w:line="240" w:lineRule="auto"/>
              <w:rPr>
                <w:rFonts w:ascii="Arial Narrow" w:hAnsi="Arial Narrow"/>
                <w:sz w:val="20"/>
                <w:szCs w:val="20"/>
              </w:rPr>
            </w:pPr>
            <w:r w:rsidRPr="003B4D22">
              <w:rPr>
                <w:rFonts w:ascii="Arial Narrow" w:hAnsi="Arial Narrow"/>
                <w:sz w:val="20"/>
                <w:szCs w:val="20"/>
              </w:rPr>
              <w:t xml:space="preserve">Prophylaxis against infections with intravenous immunoglobulins in multiple myeloma. </w:t>
            </w:r>
          </w:p>
        </w:tc>
        <w:tc>
          <w:tcPr>
            <w:tcW w:w="0" w:type="auto"/>
          </w:tcPr>
          <w:p w14:paraId="2FDCF276" w14:textId="77777777" w:rsidR="00437741" w:rsidRPr="003B4D22" w:rsidRDefault="00437741" w:rsidP="002874D8">
            <w:pPr>
              <w:spacing w:before="0" w:after="40" w:line="240" w:lineRule="auto"/>
              <w:rPr>
                <w:rFonts w:ascii="Arial Narrow" w:hAnsi="Arial Narrow"/>
                <w:sz w:val="20"/>
                <w:szCs w:val="20"/>
                <w:highlight w:val="yellow"/>
              </w:rPr>
            </w:pPr>
            <w:r w:rsidRPr="003B4D22">
              <w:rPr>
                <w:rFonts w:ascii="Arial Narrow" w:hAnsi="Arial Narrow"/>
                <w:sz w:val="20"/>
                <w:szCs w:val="20"/>
              </w:rPr>
              <w:t>Br J Haematol. 1995;89(4):945–6.</w:t>
            </w:r>
          </w:p>
        </w:tc>
      </w:tr>
      <w:tr w:rsidR="007667B3" w:rsidRPr="003B4D22" w14:paraId="28D97F3C" w14:textId="77777777" w:rsidTr="007667B3">
        <w:tc>
          <w:tcPr>
            <w:tcW w:w="0" w:type="auto"/>
          </w:tcPr>
          <w:p w14:paraId="1FD2F2CA" w14:textId="099BA40B" w:rsidR="007667B3" w:rsidRPr="003B4D22" w:rsidRDefault="007667B3" w:rsidP="007667B3">
            <w:pPr>
              <w:spacing w:after="40" w:line="240" w:lineRule="auto"/>
              <w:rPr>
                <w:rFonts w:ascii="Arial Narrow" w:hAnsi="Arial Narrow"/>
                <w:sz w:val="20"/>
                <w:szCs w:val="20"/>
              </w:rPr>
            </w:pPr>
            <w:r w:rsidRPr="003B4D22">
              <w:rPr>
                <w:rFonts w:ascii="Arial Narrow" w:hAnsi="Arial Narrow"/>
                <w:sz w:val="20"/>
                <w:szCs w:val="20"/>
              </w:rPr>
              <w:t>Sullivan et al., 1990</w:t>
            </w:r>
          </w:p>
        </w:tc>
        <w:tc>
          <w:tcPr>
            <w:tcW w:w="0" w:type="auto"/>
          </w:tcPr>
          <w:p w14:paraId="7AB8E747" w14:textId="32F0EAED" w:rsidR="007667B3" w:rsidRPr="003B4D22" w:rsidRDefault="007667B3" w:rsidP="007667B3">
            <w:pPr>
              <w:spacing w:after="40" w:line="240" w:lineRule="auto"/>
              <w:rPr>
                <w:rFonts w:ascii="Arial Narrow" w:hAnsi="Arial Narrow"/>
                <w:sz w:val="20"/>
                <w:szCs w:val="20"/>
              </w:rPr>
            </w:pPr>
            <w:r w:rsidRPr="003B4D22">
              <w:rPr>
                <w:rFonts w:ascii="Arial Narrow" w:hAnsi="Arial Narrow"/>
                <w:sz w:val="20"/>
                <w:szCs w:val="20"/>
              </w:rPr>
              <w:t xml:space="preserve">Immunomodulatory and antimicrobial efficacy of intravenous immunoglobulin in bone marrow transplantation." </w:t>
            </w:r>
          </w:p>
        </w:tc>
        <w:tc>
          <w:tcPr>
            <w:tcW w:w="0" w:type="auto"/>
          </w:tcPr>
          <w:p w14:paraId="228D7BF7" w14:textId="5F715106" w:rsidR="007667B3" w:rsidRPr="003B4D22" w:rsidRDefault="007667B3" w:rsidP="007667B3">
            <w:pPr>
              <w:spacing w:after="40" w:line="240" w:lineRule="auto"/>
              <w:rPr>
                <w:rFonts w:ascii="Arial Narrow" w:hAnsi="Arial Narrow"/>
                <w:sz w:val="20"/>
                <w:szCs w:val="20"/>
              </w:rPr>
            </w:pPr>
            <w:r w:rsidRPr="003B4D22">
              <w:rPr>
                <w:rFonts w:ascii="Arial Narrow" w:hAnsi="Arial Narrow"/>
                <w:sz w:val="20"/>
                <w:szCs w:val="20"/>
              </w:rPr>
              <w:t>N Engl J Med 323(11): 705-712.</w:t>
            </w:r>
          </w:p>
        </w:tc>
      </w:tr>
      <w:tr w:rsidR="007667B3" w:rsidRPr="00386411" w14:paraId="5E179AE2" w14:textId="77777777" w:rsidTr="007667B3">
        <w:tc>
          <w:tcPr>
            <w:tcW w:w="0" w:type="auto"/>
            <w:gridSpan w:val="3"/>
            <w:shd w:val="clear" w:color="auto" w:fill="000000" w:themeFill="text1"/>
          </w:tcPr>
          <w:p w14:paraId="182EFFCA" w14:textId="39BC8DA1" w:rsidR="007667B3" w:rsidRPr="00386411" w:rsidRDefault="007667B3" w:rsidP="006B4C5F">
            <w:pPr>
              <w:keepNext/>
              <w:spacing w:after="40" w:line="240" w:lineRule="auto"/>
              <w:rPr>
                <w:rFonts w:ascii="Arial Narrow" w:hAnsi="Arial Narrow"/>
                <w:b/>
                <w:color w:val="FFFFFF" w:themeColor="background1"/>
                <w:sz w:val="20"/>
                <w:szCs w:val="18"/>
              </w:rPr>
            </w:pPr>
            <w:r w:rsidRPr="00386411">
              <w:rPr>
                <w:rFonts w:ascii="Arial Narrow" w:hAnsi="Arial Narrow"/>
                <w:b/>
                <w:color w:val="FFFFFF" w:themeColor="background1"/>
                <w:sz w:val="20"/>
                <w:szCs w:val="18"/>
              </w:rPr>
              <w:t>Randomised studies – SCIg vs No SCIg</w:t>
            </w:r>
          </w:p>
        </w:tc>
      </w:tr>
      <w:tr w:rsidR="007667B3" w:rsidRPr="003B4D22" w14:paraId="24A52183" w14:textId="77777777" w:rsidTr="007667B3">
        <w:tc>
          <w:tcPr>
            <w:tcW w:w="0" w:type="auto"/>
          </w:tcPr>
          <w:p w14:paraId="4A9DBA46" w14:textId="77777777" w:rsidR="007667B3" w:rsidRPr="003B4D22" w:rsidRDefault="007667B3" w:rsidP="006B4C5F">
            <w:pPr>
              <w:spacing w:before="0" w:after="40" w:line="240" w:lineRule="auto"/>
              <w:rPr>
                <w:rFonts w:ascii="Arial Narrow" w:hAnsi="Arial Narrow"/>
                <w:sz w:val="20"/>
                <w:szCs w:val="20"/>
              </w:rPr>
            </w:pPr>
            <w:r w:rsidRPr="003B4D22">
              <w:rPr>
                <w:rFonts w:ascii="Arial Narrow" w:hAnsi="Arial Narrow"/>
                <w:sz w:val="20"/>
                <w:szCs w:val="20"/>
              </w:rPr>
              <w:t>Vacca et al., 2018</w:t>
            </w:r>
          </w:p>
        </w:tc>
        <w:tc>
          <w:tcPr>
            <w:tcW w:w="0" w:type="auto"/>
          </w:tcPr>
          <w:p w14:paraId="1FFFF808" w14:textId="77777777" w:rsidR="007667B3" w:rsidRPr="003B4D22" w:rsidRDefault="007667B3" w:rsidP="006B4C5F">
            <w:pPr>
              <w:spacing w:before="0" w:after="40" w:line="240" w:lineRule="auto"/>
              <w:rPr>
                <w:rFonts w:ascii="Arial Narrow" w:hAnsi="Arial Narrow"/>
                <w:sz w:val="20"/>
                <w:szCs w:val="20"/>
              </w:rPr>
            </w:pPr>
            <w:r w:rsidRPr="003B4D22">
              <w:rPr>
                <w:rFonts w:ascii="Arial Narrow" w:hAnsi="Arial Narrow"/>
                <w:sz w:val="20"/>
                <w:szCs w:val="20"/>
              </w:rPr>
              <w:t>Subcutaneous immunoglobulins in patients with multiple myeloma and secondary hypogammaglobulinemia: a randomized trial</w:t>
            </w:r>
          </w:p>
        </w:tc>
        <w:tc>
          <w:tcPr>
            <w:tcW w:w="0" w:type="auto"/>
          </w:tcPr>
          <w:p w14:paraId="39DB1443" w14:textId="77777777" w:rsidR="007667B3" w:rsidRPr="003B4D22" w:rsidRDefault="007667B3" w:rsidP="006B4C5F">
            <w:pPr>
              <w:spacing w:before="0" w:after="40" w:line="240" w:lineRule="auto"/>
              <w:rPr>
                <w:rFonts w:ascii="Arial Narrow" w:hAnsi="Arial Narrow"/>
                <w:sz w:val="20"/>
                <w:szCs w:val="20"/>
                <w:highlight w:val="yellow"/>
              </w:rPr>
            </w:pPr>
            <w:r w:rsidRPr="003B4D22">
              <w:rPr>
                <w:rFonts w:ascii="Arial Narrow" w:hAnsi="Arial Narrow"/>
                <w:sz w:val="20"/>
                <w:szCs w:val="20"/>
              </w:rPr>
              <w:t>Clinical Immunology 191: 110-115.</w:t>
            </w:r>
          </w:p>
        </w:tc>
      </w:tr>
      <w:tr w:rsidR="007667B3" w:rsidRPr="00386411" w14:paraId="13B0843C" w14:textId="77777777" w:rsidTr="007667B3">
        <w:tc>
          <w:tcPr>
            <w:tcW w:w="0" w:type="auto"/>
            <w:gridSpan w:val="3"/>
            <w:shd w:val="clear" w:color="auto" w:fill="000000" w:themeFill="text1"/>
          </w:tcPr>
          <w:p w14:paraId="643656E5" w14:textId="77777777" w:rsidR="007667B3" w:rsidRPr="00386411" w:rsidRDefault="007667B3" w:rsidP="007667B3">
            <w:pPr>
              <w:keepNext/>
              <w:spacing w:after="40" w:line="240" w:lineRule="auto"/>
              <w:rPr>
                <w:rFonts w:ascii="Arial Narrow" w:hAnsi="Arial Narrow"/>
                <w:b/>
                <w:color w:val="FFFFFF" w:themeColor="background1"/>
                <w:sz w:val="20"/>
                <w:szCs w:val="20"/>
              </w:rPr>
            </w:pPr>
            <w:r w:rsidRPr="00386411">
              <w:rPr>
                <w:rFonts w:ascii="Arial Narrow" w:hAnsi="Arial Narrow"/>
                <w:b/>
                <w:color w:val="FFFFFF" w:themeColor="background1"/>
                <w:sz w:val="20"/>
                <w:szCs w:val="20"/>
              </w:rPr>
              <w:t>Other comparative studies – IVIg vs No IVIg</w:t>
            </w:r>
          </w:p>
        </w:tc>
      </w:tr>
      <w:tr w:rsidR="007667B3" w:rsidRPr="003B4D22" w14:paraId="78ADA93F" w14:textId="77777777" w:rsidTr="007667B3">
        <w:tc>
          <w:tcPr>
            <w:tcW w:w="0" w:type="auto"/>
          </w:tcPr>
          <w:p w14:paraId="75CD9AA1" w14:textId="77777777" w:rsidR="007667B3" w:rsidRPr="003B4D22" w:rsidRDefault="007667B3" w:rsidP="007667B3">
            <w:pPr>
              <w:spacing w:afterLines="40" w:after="96" w:line="240" w:lineRule="auto"/>
              <w:rPr>
                <w:rFonts w:ascii="Arial Narrow" w:hAnsi="Arial Narrow"/>
                <w:sz w:val="20"/>
                <w:szCs w:val="20"/>
              </w:rPr>
            </w:pPr>
            <w:r w:rsidRPr="003B4D22">
              <w:rPr>
                <w:rFonts w:ascii="Arial Narrow" w:hAnsi="Arial Narrow"/>
                <w:sz w:val="20"/>
                <w:szCs w:val="20"/>
              </w:rPr>
              <w:t>Ammann et al., 2016</w:t>
            </w:r>
          </w:p>
        </w:tc>
        <w:tc>
          <w:tcPr>
            <w:tcW w:w="0" w:type="auto"/>
          </w:tcPr>
          <w:p w14:paraId="6BB21277" w14:textId="77777777" w:rsidR="007667B3" w:rsidRPr="003B4D22" w:rsidRDefault="007667B3" w:rsidP="007667B3">
            <w:pPr>
              <w:spacing w:afterLines="40" w:after="96" w:line="240" w:lineRule="auto"/>
              <w:rPr>
                <w:rFonts w:ascii="Arial Narrow" w:hAnsi="Arial Narrow"/>
                <w:sz w:val="20"/>
                <w:szCs w:val="20"/>
              </w:rPr>
            </w:pPr>
            <w:r w:rsidRPr="003B4D22">
              <w:rPr>
                <w:rFonts w:ascii="Arial Narrow" w:hAnsi="Arial Narrow"/>
                <w:sz w:val="20"/>
                <w:szCs w:val="20"/>
              </w:rPr>
              <w:t>Intravenous immune globulin and thromboembolic adverse events in patients with hematologic malignancy</w:t>
            </w:r>
          </w:p>
        </w:tc>
        <w:tc>
          <w:tcPr>
            <w:tcW w:w="0" w:type="auto"/>
          </w:tcPr>
          <w:p w14:paraId="297B425D" w14:textId="77777777" w:rsidR="007667B3" w:rsidRPr="003B4D22" w:rsidRDefault="007667B3" w:rsidP="007667B3">
            <w:pPr>
              <w:spacing w:afterLines="40" w:after="96" w:line="240" w:lineRule="auto"/>
              <w:rPr>
                <w:rFonts w:ascii="Arial Narrow" w:hAnsi="Arial Narrow"/>
                <w:sz w:val="20"/>
                <w:szCs w:val="20"/>
                <w:highlight w:val="yellow"/>
              </w:rPr>
            </w:pPr>
            <w:r w:rsidRPr="003B4D22">
              <w:rPr>
                <w:rFonts w:ascii="Arial Narrow" w:hAnsi="Arial Narrow"/>
                <w:sz w:val="20"/>
                <w:szCs w:val="20"/>
              </w:rPr>
              <w:t>Blood 127(2): 200-207.</w:t>
            </w:r>
          </w:p>
        </w:tc>
      </w:tr>
      <w:tr w:rsidR="007667B3" w:rsidRPr="003B4D22" w14:paraId="134B1639" w14:textId="77777777" w:rsidTr="007667B3">
        <w:tc>
          <w:tcPr>
            <w:tcW w:w="0" w:type="auto"/>
          </w:tcPr>
          <w:p w14:paraId="3942D052" w14:textId="77777777" w:rsidR="007667B3" w:rsidRPr="003B4D22" w:rsidRDefault="007667B3" w:rsidP="007667B3">
            <w:pPr>
              <w:spacing w:before="0" w:after="40" w:line="240" w:lineRule="auto"/>
              <w:rPr>
                <w:rFonts w:ascii="Arial Narrow" w:hAnsi="Arial Narrow"/>
                <w:sz w:val="20"/>
                <w:szCs w:val="20"/>
              </w:rPr>
            </w:pPr>
            <w:r w:rsidRPr="003B4D22">
              <w:rPr>
                <w:rFonts w:ascii="Arial Narrow" w:hAnsi="Arial Narrow"/>
                <w:sz w:val="20"/>
                <w:szCs w:val="20"/>
              </w:rPr>
              <w:t>Blombery et al., 2011</w:t>
            </w:r>
          </w:p>
        </w:tc>
        <w:tc>
          <w:tcPr>
            <w:tcW w:w="0" w:type="auto"/>
          </w:tcPr>
          <w:p w14:paraId="533EAC22" w14:textId="77777777" w:rsidR="007667B3" w:rsidRPr="003B4D22" w:rsidRDefault="007667B3" w:rsidP="007667B3">
            <w:pPr>
              <w:spacing w:before="0" w:after="40" w:line="240" w:lineRule="auto"/>
              <w:rPr>
                <w:rFonts w:ascii="Arial Narrow" w:hAnsi="Arial Narrow"/>
                <w:sz w:val="20"/>
                <w:szCs w:val="20"/>
              </w:rPr>
            </w:pPr>
            <w:r w:rsidRPr="003B4D22">
              <w:rPr>
                <w:rFonts w:ascii="Arial Narrow" w:hAnsi="Arial Narrow"/>
                <w:sz w:val="20"/>
                <w:szCs w:val="20"/>
              </w:rPr>
              <w:t>Prophylactic intravenous immunoglobulin during autologous haemopoietic stem cell transplantation for multiple myeloma is not associated with reduced infectious complications</w:t>
            </w:r>
          </w:p>
        </w:tc>
        <w:tc>
          <w:tcPr>
            <w:tcW w:w="0" w:type="auto"/>
          </w:tcPr>
          <w:p w14:paraId="265E8618" w14:textId="77777777" w:rsidR="007667B3" w:rsidRPr="003B4D22" w:rsidRDefault="007667B3" w:rsidP="007667B3">
            <w:pPr>
              <w:spacing w:before="0" w:after="40" w:line="240" w:lineRule="auto"/>
              <w:rPr>
                <w:rFonts w:ascii="Arial Narrow" w:hAnsi="Arial Narrow"/>
                <w:sz w:val="20"/>
                <w:szCs w:val="20"/>
                <w:highlight w:val="yellow"/>
              </w:rPr>
            </w:pPr>
            <w:r w:rsidRPr="003B4D22">
              <w:rPr>
                <w:rFonts w:ascii="Arial Narrow" w:hAnsi="Arial Narrow"/>
                <w:sz w:val="20"/>
                <w:szCs w:val="20"/>
              </w:rPr>
              <w:t>Ann Hematol 90(10): 1167-1172.</w:t>
            </w:r>
          </w:p>
        </w:tc>
      </w:tr>
      <w:tr w:rsidR="007667B3" w:rsidRPr="003B4D22" w14:paraId="1077AACF" w14:textId="77777777" w:rsidTr="007667B3">
        <w:tc>
          <w:tcPr>
            <w:tcW w:w="0" w:type="auto"/>
          </w:tcPr>
          <w:p w14:paraId="3DF262AB" w14:textId="3D536391" w:rsidR="007667B3" w:rsidRPr="003B4D22" w:rsidRDefault="007667B3" w:rsidP="007667B3">
            <w:pPr>
              <w:spacing w:before="0" w:after="40" w:line="240" w:lineRule="auto"/>
              <w:rPr>
                <w:rFonts w:ascii="Arial Narrow" w:hAnsi="Arial Narrow"/>
                <w:sz w:val="20"/>
                <w:szCs w:val="20"/>
              </w:rPr>
            </w:pPr>
            <w:r w:rsidRPr="003B4D22">
              <w:rPr>
                <w:rFonts w:ascii="Arial Narrow" w:hAnsi="Arial Narrow"/>
                <w:sz w:val="20"/>
                <w:szCs w:val="20"/>
              </w:rPr>
              <w:t>Paxton et al., 2016</w:t>
            </w:r>
          </w:p>
        </w:tc>
        <w:tc>
          <w:tcPr>
            <w:tcW w:w="0" w:type="auto"/>
          </w:tcPr>
          <w:p w14:paraId="16C0141D" w14:textId="77777777" w:rsidR="007667B3" w:rsidRPr="003B4D22" w:rsidRDefault="007667B3" w:rsidP="007667B3">
            <w:pPr>
              <w:spacing w:before="0" w:after="40" w:line="240" w:lineRule="auto"/>
              <w:rPr>
                <w:rFonts w:ascii="Arial Narrow" w:hAnsi="Arial Narrow"/>
                <w:sz w:val="20"/>
                <w:szCs w:val="20"/>
              </w:rPr>
            </w:pPr>
            <w:r w:rsidRPr="003B4D22">
              <w:rPr>
                <w:rFonts w:ascii="Arial Narrow" w:hAnsi="Arial Narrow"/>
                <w:sz w:val="20"/>
                <w:szCs w:val="20"/>
              </w:rPr>
              <w:t>Selecting haematological malignancy patients for intravenous immunoglobulin</w:t>
            </w:r>
          </w:p>
        </w:tc>
        <w:tc>
          <w:tcPr>
            <w:tcW w:w="0" w:type="auto"/>
          </w:tcPr>
          <w:p w14:paraId="61D055C7" w14:textId="77777777" w:rsidR="007667B3" w:rsidRPr="003B4D22" w:rsidRDefault="007667B3" w:rsidP="007667B3">
            <w:pPr>
              <w:spacing w:before="0" w:after="40" w:line="240" w:lineRule="auto"/>
              <w:rPr>
                <w:rFonts w:ascii="Arial Narrow" w:hAnsi="Arial Narrow"/>
                <w:sz w:val="20"/>
                <w:szCs w:val="20"/>
                <w:highlight w:val="yellow"/>
              </w:rPr>
            </w:pPr>
            <w:r w:rsidRPr="003B4D22">
              <w:rPr>
                <w:rFonts w:ascii="Arial Narrow" w:hAnsi="Arial Narrow"/>
                <w:sz w:val="20"/>
                <w:szCs w:val="20"/>
              </w:rPr>
              <w:t>Intern Med J 46(10): 1216-1218.</w:t>
            </w:r>
          </w:p>
        </w:tc>
      </w:tr>
      <w:tr w:rsidR="007667B3" w:rsidRPr="003B4D22" w14:paraId="06D78E9F" w14:textId="77777777" w:rsidTr="007667B3">
        <w:tc>
          <w:tcPr>
            <w:tcW w:w="0" w:type="auto"/>
          </w:tcPr>
          <w:p w14:paraId="74FA146E" w14:textId="089B4B7A" w:rsidR="007667B3" w:rsidRPr="003B4D22" w:rsidRDefault="007667B3" w:rsidP="007667B3">
            <w:pPr>
              <w:spacing w:before="0" w:after="40" w:line="240" w:lineRule="auto"/>
              <w:rPr>
                <w:rFonts w:ascii="Arial Narrow" w:hAnsi="Arial Narrow"/>
                <w:sz w:val="20"/>
                <w:szCs w:val="20"/>
              </w:rPr>
            </w:pPr>
            <w:r w:rsidRPr="003B4D22">
              <w:rPr>
                <w:rFonts w:ascii="Arial Narrow" w:hAnsi="Arial Narrow"/>
                <w:sz w:val="20"/>
                <w:szCs w:val="20"/>
              </w:rPr>
              <w:t>Van Winkle et al., 2018</w:t>
            </w:r>
          </w:p>
        </w:tc>
        <w:tc>
          <w:tcPr>
            <w:tcW w:w="0" w:type="auto"/>
          </w:tcPr>
          <w:p w14:paraId="38EEADBB" w14:textId="77777777" w:rsidR="007667B3" w:rsidRPr="003B4D22" w:rsidRDefault="007667B3" w:rsidP="007667B3">
            <w:pPr>
              <w:spacing w:before="0" w:after="40" w:line="240" w:lineRule="auto"/>
              <w:rPr>
                <w:rFonts w:ascii="Arial Narrow" w:hAnsi="Arial Narrow"/>
                <w:sz w:val="20"/>
                <w:szCs w:val="20"/>
              </w:rPr>
            </w:pPr>
            <w:r w:rsidRPr="003B4D22">
              <w:rPr>
                <w:rFonts w:ascii="Arial Narrow" w:hAnsi="Arial Narrow"/>
                <w:sz w:val="20"/>
                <w:szCs w:val="20"/>
              </w:rPr>
              <w:t>Prevalence and Safety of Intravenous Immunoglobulin Administration During Maintenance Chemotherapy in Children with Acute Lymphoblastic Leukemia in First Complete Remission: A Health Maintenance Organization Perspective.</w:t>
            </w:r>
          </w:p>
        </w:tc>
        <w:tc>
          <w:tcPr>
            <w:tcW w:w="0" w:type="auto"/>
          </w:tcPr>
          <w:p w14:paraId="378BBCD2" w14:textId="77777777" w:rsidR="007667B3" w:rsidRPr="003B4D22" w:rsidRDefault="007667B3" w:rsidP="007667B3">
            <w:pPr>
              <w:spacing w:before="0" w:after="40" w:line="240" w:lineRule="auto"/>
              <w:rPr>
                <w:rFonts w:ascii="Arial Narrow" w:hAnsi="Arial Narrow"/>
                <w:sz w:val="20"/>
                <w:szCs w:val="20"/>
                <w:highlight w:val="yellow"/>
              </w:rPr>
            </w:pPr>
            <w:r w:rsidRPr="003B4D22">
              <w:rPr>
                <w:rFonts w:ascii="Arial Narrow" w:hAnsi="Arial Narrow"/>
                <w:sz w:val="20"/>
                <w:szCs w:val="20"/>
              </w:rPr>
              <w:t>Perm J 22: 17-141.</w:t>
            </w:r>
          </w:p>
        </w:tc>
      </w:tr>
      <w:tr w:rsidR="007667B3" w:rsidRPr="00386411" w14:paraId="6E6C3F1A" w14:textId="77777777" w:rsidTr="007667B3">
        <w:tc>
          <w:tcPr>
            <w:tcW w:w="0" w:type="auto"/>
            <w:gridSpan w:val="3"/>
            <w:shd w:val="clear" w:color="auto" w:fill="000000" w:themeFill="text1"/>
          </w:tcPr>
          <w:p w14:paraId="1B3F8208" w14:textId="77777777" w:rsidR="007667B3" w:rsidRPr="00386411" w:rsidRDefault="007667B3" w:rsidP="007667B3">
            <w:pPr>
              <w:keepNext/>
              <w:spacing w:after="40" w:line="240" w:lineRule="auto"/>
              <w:rPr>
                <w:rFonts w:ascii="Arial Narrow" w:hAnsi="Arial Narrow"/>
                <w:b/>
                <w:color w:val="FFFFFF" w:themeColor="background1"/>
                <w:sz w:val="20"/>
                <w:szCs w:val="20"/>
              </w:rPr>
            </w:pPr>
            <w:r w:rsidRPr="00386411">
              <w:rPr>
                <w:rFonts w:ascii="Arial Narrow" w:hAnsi="Arial Narrow"/>
                <w:b/>
                <w:color w:val="FFFFFF" w:themeColor="background1"/>
                <w:sz w:val="20"/>
                <w:szCs w:val="20"/>
              </w:rPr>
              <w:t>Non-comparative studies – IVIg case series</w:t>
            </w:r>
          </w:p>
        </w:tc>
      </w:tr>
      <w:tr w:rsidR="007667B3" w:rsidRPr="003B4D22" w14:paraId="527B19FE" w14:textId="77777777" w:rsidTr="007667B3">
        <w:tc>
          <w:tcPr>
            <w:tcW w:w="0" w:type="auto"/>
          </w:tcPr>
          <w:p w14:paraId="49BDAC40" w14:textId="77777777" w:rsidR="007667B3" w:rsidRPr="003B4D22" w:rsidRDefault="007667B3" w:rsidP="007667B3">
            <w:pPr>
              <w:spacing w:after="40" w:line="240" w:lineRule="auto"/>
              <w:rPr>
                <w:rFonts w:ascii="Arial Narrow" w:hAnsi="Arial Narrow"/>
                <w:sz w:val="20"/>
                <w:szCs w:val="20"/>
              </w:rPr>
            </w:pPr>
            <w:r w:rsidRPr="003B4D22">
              <w:rPr>
                <w:rFonts w:ascii="Arial Narrow" w:hAnsi="Arial Narrow"/>
                <w:sz w:val="20"/>
                <w:szCs w:val="20"/>
              </w:rPr>
              <w:t>Besa, 1992</w:t>
            </w:r>
          </w:p>
        </w:tc>
        <w:tc>
          <w:tcPr>
            <w:tcW w:w="0" w:type="auto"/>
          </w:tcPr>
          <w:p w14:paraId="0C85EAFF" w14:textId="77777777" w:rsidR="007667B3" w:rsidRPr="003B4D22" w:rsidRDefault="007667B3" w:rsidP="007667B3">
            <w:pPr>
              <w:spacing w:after="40" w:line="240" w:lineRule="auto"/>
              <w:rPr>
                <w:rFonts w:ascii="Arial Narrow" w:hAnsi="Arial Narrow"/>
                <w:sz w:val="20"/>
                <w:szCs w:val="20"/>
              </w:rPr>
            </w:pPr>
            <w:r w:rsidRPr="003B4D22">
              <w:rPr>
                <w:rFonts w:ascii="Arial Narrow" w:hAnsi="Arial Narrow"/>
                <w:sz w:val="20"/>
                <w:szCs w:val="20"/>
              </w:rPr>
              <w:t>Recent advances in the treatment of chronic lymphocytic leukemia: defining the role of intravenous immunoglobulin.</w:t>
            </w:r>
          </w:p>
        </w:tc>
        <w:tc>
          <w:tcPr>
            <w:tcW w:w="0" w:type="auto"/>
          </w:tcPr>
          <w:p w14:paraId="0894E0A7" w14:textId="77777777" w:rsidR="007667B3" w:rsidRPr="003B4D22" w:rsidRDefault="007667B3" w:rsidP="007667B3">
            <w:pPr>
              <w:spacing w:after="40" w:line="240" w:lineRule="auto"/>
              <w:rPr>
                <w:rFonts w:ascii="Arial Narrow" w:hAnsi="Arial Narrow"/>
                <w:sz w:val="20"/>
                <w:szCs w:val="20"/>
                <w:highlight w:val="yellow"/>
              </w:rPr>
            </w:pPr>
            <w:r w:rsidRPr="003B4D22">
              <w:rPr>
                <w:rFonts w:ascii="Arial Narrow" w:hAnsi="Arial Narrow"/>
                <w:sz w:val="20"/>
                <w:szCs w:val="20"/>
              </w:rPr>
              <w:t>Semin Hematol 29(3): 14-23.</w:t>
            </w:r>
          </w:p>
        </w:tc>
      </w:tr>
      <w:tr w:rsidR="007667B3" w:rsidRPr="003B4D22" w14:paraId="4037DB2B" w14:textId="77777777" w:rsidTr="007667B3">
        <w:tc>
          <w:tcPr>
            <w:tcW w:w="0" w:type="auto"/>
          </w:tcPr>
          <w:p w14:paraId="57A10F5F" w14:textId="77777777" w:rsidR="007667B3" w:rsidRPr="003B4D22" w:rsidRDefault="007667B3" w:rsidP="007667B3">
            <w:pPr>
              <w:spacing w:after="40" w:line="240" w:lineRule="auto"/>
              <w:rPr>
                <w:rFonts w:ascii="Arial Narrow" w:hAnsi="Arial Narrow"/>
                <w:sz w:val="20"/>
                <w:szCs w:val="20"/>
              </w:rPr>
            </w:pPr>
            <w:r w:rsidRPr="003B4D22">
              <w:rPr>
                <w:rFonts w:ascii="Arial Narrow" w:hAnsi="Arial Narrow"/>
                <w:sz w:val="20"/>
                <w:szCs w:val="20"/>
              </w:rPr>
              <w:t>Brenner, 1996</w:t>
            </w:r>
          </w:p>
        </w:tc>
        <w:tc>
          <w:tcPr>
            <w:tcW w:w="0" w:type="auto"/>
          </w:tcPr>
          <w:p w14:paraId="58D79124" w14:textId="77777777" w:rsidR="007667B3" w:rsidRPr="003B4D22" w:rsidRDefault="007667B3" w:rsidP="007667B3">
            <w:pPr>
              <w:spacing w:after="40" w:line="240" w:lineRule="auto"/>
              <w:rPr>
                <w:rFonts w:ascii="Arial Narrow" w:hAnsi="Arial Narrow"/>
                <w:sz w:val="20"/>
                <w:szCs w:val="20"/>
              </w:rPr>
            </w:pPr>
            <w:r w:rsidRPr="003B4D22">
              <w:rPr>
                <w:rFonts w:ascii="Arial Narrow" w:hAnsi="Arial Narrow"/>
                <w:sz w:val="20"/>
                <w:szCs w:val="20"/>
              </w:rPr>
              <w:t>Clinical experience with Octagam, a solvent detergent (SD) virus inactivated intravenous gammaglobulin</w:t>
            </w:r>
          </w:p>
        </w:tc>
        <w:tc>
          <w:tcPr>
            <w:tcW w:w="0" w:type="auto"/>
          </w:tcPr>
          <w:p w14:paraId="60E805EA" w14:textId="77777777" w:rsidR="007667B3" w:rsidRPr="003B4D22" w:rsidRDefault="007667B3" w:rsidP="007667B3">
            <w:pPr>
              <w:spacing w:after="40" w:line="240" w:lineRule="auto"/>
              <w:rPr>
                <w:rFonts w:ascii="Arial Narrow" w:hAnsi="Arial Narrow"/>
                <w:sz w:val="20"/>
                <w:szCs w:val="20"/>
                <w:highlight w:val="yellow"/>
              </w:rPr>
            </w:pPr>
            <w:r w:rsidRPr="003B4D22">
              <w:rPr>
                <w:rFonts w:ascii="Arial Narrow" w:hAnsi="Arial Narrow"/>
                <w:sz w:val="20"/>
                <w:szCs w:val="20"/>
              </w:rPr>
              <w:t>Clin Exp Rheumatol 14 Suppl 15: S115-119.</w:t>
            </w:r>
          </w:p>
        </w:tc>
      </w:tr>
      <w:tr w:rsidR="007667B3" w:rsidRPr="003B4D22" w14:paraId="0CA8A21A" w14:textId="77777777" w:rsidTr="007667B3">
        <w:tc>
          <w:tcPr>
            <w:tcW w:w="0" w:type="auto"/>
          </w:tcPr>
          <w:p w14:paraId="39DFCF72" w14:textId="6DF2A66C" w:rsidR="007667B3" w:rsidRPr="003B4D22" w:rsidRDefault="007667B3" w:rsidP="007667B3">
            <w:pPr>
              <w:spacing w:after="40" w:line="240" w:lineRule="auto"/>
              <w:rPr>
                <w:rFonts w:ascii="Arial Narrow" w:hAnsi="Arial Narrow"/>
                <w:sz w:val="20"/>
                <w:szCs w:val="20"/>
              </w:rPr>
            </w:pPr>
            <w:r w:rsidRPr="003B4D22">
              <w:rPr>
                <w:rFonts w:ascii="Arial Narrow" w:hAnsi="Arial Narrow"/>
                <w:sz w:val="20"/>
                <w:szCs w:val="20"/>
              </w:rPr>
              <w:t>Günther &amp; Dreger 2013</w:t>
            </w:r>
          </w:p>
        </w:tc>
        <w:tc>
          <w:tcPr>
            <w:tcW w:w="0" w:type="auto"/>
          </w:tcPr>
          <w:p w14:paraId="5A26258C" w14:textId="77777777" w:rsidR="007667B3" w:rsidRPr="003B4D22" w:rsidRDefault="007667B3" w:rsidP="007667B3">
            <w:pPr>
              <w:spacing w:after="40" w:line="240" w:lineRule="auto"/>
              <w:rPr>
                <w:rFonts w:ascii="Arial Narrow" w:hAnsi="Arial Narrow"/>
                <w:sz w:val="20"/>
                <w:szCs w:val="20"/>
              </w:rPr>
            </w:pPr>
            <w:r w:rsidRPr="003B4D22">
              <w:rPr>
                <w:rFonts w:ascii="Arial Narrow" w:hAnsi="Arial Narrow"/>
                <w:sz w:val="20"/>
                <w:szCs w:val="20"/>
              </w:rPr>
              <w:t>Post-marketing observational study on 5% intravenous immunoglobulin therapy in patients with secondary immunodeficiency and recurrent serious bacterial infections</w:t>
            </w:r>
          </w:p>
        </w:tc>
        <w:tc>
          <w:tcPr>
            <w:tcW w:w="0" w:type="auto"/>
          </w:tcPr>
          <w:p w14:paraId="047B6399" w14:textId="77777777" w:rsidR="007667B3" w:rsidRPr="003B4D22" w:rsidRDefault="007667B3" w:rsidP="007667B3">
            <w:pPr>
              <w:spacing w:after="40" w:line="240" w:lineRule="auto"/>
              <w:rPr>
                <w:rFonts w:ascii="Arial Narrow" w:hAnsi="Arial Narrow"/>
                <w:sz w:val="20"/>
                <w:szCs w:val="20"/>
                <w:highlight w:val="yellow"/>
              </w:rPr>
            </w:pPr>
            <w:r w:rsidRPr="003B4D22">
              <w:rPr>
                <w:rFonts w:ascii="Arial Narrow" w:hAnsi="Arial Narrow"/>
                <w:sz w:val="20"/>
                <w:szCs w:val="20"/>
              </w:rPr>
              <w:t>Microbiol Immunol 57(7): 527-535.</w:t>
            </w:r>
          </w:p>
        </w:tc>
      </w:tr>
      <w:tr w:rsidR="007667B3" w:rsidRPr="003B4D22" w14:paraId="34B73764" w14:textId="77777777" w:rsidTr="007667B3">
        <w:tc>
          <w:tcPr>
            <w:tcW w:w="0" w:type="auto"/>
          </w:tcPr>
          <w:p w14:paraId="3C5F77CB" w14:textId="77777777" w:rsidR="007667B3" w:rsidRPr="003B4D22" w:rsidRDefault="007667B3" w:rsidP="007667B3">
            <w:pPr>
              <w:spacing w:after="40" w:line="240" w:lineRule="auto"/>
              <w:rPr>
                <w:rFonts w:ascii="Arial Narrow" w:hAnsi="Arial Narrow"/>
                <w:sz w:val="20"/>
                <w:szCs w:val="20"/>
              </w:rPr>
            </w:pPr>
            <w:r w:rsidRPr="003B4D22">
              <w:rPr>
                <w:rFonts w:ascii="Arial Narrow" w:hAnsi="Arial Narrow"/>
                <w:sz w:val="20"/>
                <w:szCs w:val="20"/>
              </w:rPr>
              <w:t>Jurlander et al., 1994</w:t>
            </w:r>
          </w:p>
        </w:tc>
        <w:tc>
          <w:tcPr>
            <w:tcW w:w="0" w:type="auto"/>
          </w:tcPr>
          <w:p w14:paraId="35837100" w14:textId="77777777" w:rsidR="007667B3" w:rsidRPr="003B4D22" w:rsidRDefault="007667B3" w:rsidP="007667B3">
            <w:pPr>
              <w:spacing w:after="40" w:line="240" w:lineRule="auto"/>
              <w:rPr>
                <w:rFonts w:ascii="Arial Narrow" w:hAnsi="Arial Narrow"/>
                <w:sz w:val="20"/>
                <w:szCs w:val="20"/>
              </w:rPr>
            </w:pPr>
            <w:r w:rsidRPr="003B4D22">
              <w:rPr>
                <w:rFonts w:ascii="Arial Narrow" w:hAnsi="Arial Narrow"/>
                <w:sz w:val="20"/>
                <w:szCs w:val="20"/>
              </w:rPr>
              <w:t>Treatment of hypogammaglobulinaemia in chronic lymphocytic leukaemia by low-dose intravenous gammaglobulin</w:t>
            </w:r>
          </w:p>
        </w:tc>
        <w:tc>
          <w:tcPr>
            <w:tcW w:w="0" w:type="auto"/>
          </w:tcPr>
          <w:p w14:paraId="0E92E711" w14:textId="77777777" w:rsidR="007667B3" w:rsidRPr="003B4D22" w:rsidRDefault="007667B3" w:rsidP="007667B3">
            <w:pPr>
              <w:spacing w:after="40" w:line="240" w:lineRule="auto"/>
              <w:rPr>
                <w:rFonts w:ascii="Arial Narrow" w:hAnsi="Arial Narrow"/>
                <w:sz w:val="20"/>
                <w:szCs w:val="20"/>
                <w:highlight w:val="yellow"/>
              </w:rPr>
            </w:pPr>
            <w:r w:rsidRPr="003B4D22">
              <w:rPr>
                <w:rFonts w:ascii="Arial Narrow" w:hAnsi="Arial Narrow"/>
                <w:sz w:val="20"/>
                <w:szCs w:val="20"/>
              </w:rPr>
              <w:t>Eur J Haematol 53(2): 114-118.</w:t>
            </w:r>
          </w:p>
        </w:tc>
      </w:tr>
      <w:tr w:rsidR="007667B3" w:rsidRPr="00386411" w14:paraId="447DA668" w14:textId="77777777" w:rsidTr="007667B3">
        <w:tc>
          <w:tcPr>
            <w:tcW w:w="0" w:type="auto"/>
            <w:gridSpan w:val="3"/>
            <w:shd w:val="clear" w:color="auto" w:fill="000000" w:themeFill="text1"/>
          </w:tcPr>
          <w:p w14:paraId="73D4C45A" w14:textId="77777777" w:rsidR="007667B3" w:rsidRPr="00386411" w:rsidRDefault="007667B3" w:rsidP="007667B3">
            <w:pPr>
              <w:keepNext/>
              <w:spacing w:after="40" w:line="240" w:lineRule="auto"/>
              <w:rPr>
                <w:rFonts w:ascii="Arial Narrow" w:hAnsi="Arial Narrow"/>
                <w:b/>
                <w:color w:val="FFFFFF" w:themeColor="background1"/>
                <w:sz w:val="20"/>
                <w:szCs w:val="20"/>
              </w:rPr>
            </w:pPr>
            <w:r w:rsidRPr="00386411">
              <w:rPr>
                <w:rFonts w:ascii="Arial Narrow" w:hAnsi="Arial Narrow"/>
                <w:b/>
                <w:color w:val="FFFFFF" w:themeColor="background1"/>
                <w:sz w:val="20"/>
                <w:szCs w:val="20"/>
              </w:rPr>
              <w:t>Non-comparative studies – SCIg case series</w:t>
            </w:r>
          </w:p>
        </w:tc>
      </w:tr>
      <w:tr w:rsidR="007667B3" w:rsidRPr="003B4D22" w14:paraId="2034CD04" w14:textId="77777777" w:rsidTr="007667B3">
        <w:tc>
          <w:tcPr>
            <w:tcW w:w="0" w:type="auto"/>
          </w:tcPr>
          <w:p w14:paraId="2365CB69" w14:textId="77777777" w:rsidR="007667B3" w:rsidRPr="003B4D22" w:rsidRDefault="007667B3" w:rsidP="007667B3">
            <w:pPr>
              <w:spacing w:after="40" w:line="240" w:lineRule="auto"/>
              <w:rPr>
                <w:rFonts w:ascii="Arial Narrow" w:hAnsi="Arial Narrow"/>
                <w:sz w:val="20"/>
                <w:szCs w:val="20"/>
              </w:rPr>
            </w:pPr>
            <w:r w:rsidRPr="003B4D22">
              <w:rPr>
                <w:rFonts w:ascii="Arial Narrow" w:hAnsi="Arial Narrow"/>
                <w:sz w:val="20"/>
                <w:szCs w:val="20"/>
              </w:rPr>
              <w:t xml:space="preserve">Dimou et al., </w:t>
            </w:r>
            <w:r w:rsidRPr="003B4D22">
              <w:rPr>
                <w:rFonts w:ascii="Arial Narrow" w:hAnsi="Arial Narrow"/>
                <w:sz w:val="20"/>
                <w:szCs w:val="20"/>
              </w:rPr>
              <w:lastRenderedPageBreak/>
              <w:t>2018</w:t>
            </w:r>
          </w:p>
        </w:tc>
        <w:tc>
          <w:tcPr>
            <w:tcW w:w="0" w:type="auto"/>
          </w:tcPr>
          <w:p w14:paraId="133936A4" w14:textId="77777777" w:rsidR="007667B3" w:rsidRPr="003B4D22" w:rsidRDefault="007667B3" w:rsidP="007667B3">
            <w:pPr>
              <w:spacing w:after="40" w:line="240" w:lineRule="auto"/>
              <w:rPr>
                <w:rFonts w:ascii="Arial Narrow" w:hAnsi="Arial Narrow"/>
                <w:sz w:val="20"/>
                <w:szCs w:val="20"/>
              </w:rPr>
            </w:pPr>
            <w:r w:rsidRPr="003B4D22">
              <w:rPr>
                <w:rFonts w:ascii="Arial Narrow" w:hAnsi="Arial Narrow"/>
                <w:sz w:val="20"/>
                <w:szCs w:val="20"/>
              </w:rPr>
              <w:lastRenderedPageBreak/>
              <w:t xml:space="preserve">Efficacy-safety of Facilitated Subcutaneous Immunoglobulin in </w:t>
            </w:r>
            <w:r w:rsidRPr="003B4D22">
              <w:rPr>
                <w:rFonts w:ascii="Arial Narrow" w:hAnsi="Arial Narrow"/>
                <w:sz w:val="20"/>
                <w:szCs w:val="20"/>
              </w:rPr>
              <w:lastRenderedPageBreak/>
              <w:t>Immunodeficiency Due to Hematological Malignancies. A Single-Center Retrospective Analysis</w:t>
            </w:r>
          </w:p>
        </w:tc>
        <w:tc>
          <w:tcPr>
            <w:tcW w:w="0" w:type="auto"/>
          </w:tcPr>
          <w:p w14:paraId="14F1ED99" w14:textId="77777777" w:rsidR="007667B3" w:rsidRPr="003B4D22" w:rsidRDefault="007667B3" w:rsidP="007667B3">
            <w:pPr>
              <w:spacing w:after="40" w:line="240" w:lineRule="auto"/>
              <w:rPr>
                <w:rFonts w:ascii="Arial Narrow" w:hAnsi="Arial Narrow"/>
                <w:sz w:val="20"/>
                <w:szCs w:val="20"/>
                <w:highlight w:val="yellow"/>
              </w:rPr>
            </w:pPr>
            <w:r w:rsidRPr="003B4D22">
              <w:rPr>
                <w:rFonts w:ascii="Arial Narrow" w:hAnsi="Arial Narrow"/>
                <w:sz w:val="20"/>
                <w:szCs w:val="20"/>
              </w:rPr>
              <w:lastRenderedPageBreak/>
              <w:t xml:space="preserve">Anticancer Res 38(7): </w:t>
            </w:r>
            <w:r w:rsidRPr="003B4D22">
              <w:rPr>
                <w:rFonts w:ascii="Arial Narrow" w:hAnsi="Arial Narrow"/>
                <w:sz w:val="20"/>
                <w:szCs w:val="20"/>
              </w:rPr>
              <w:lastRenderedPageBreak/>
              <w:t>4187-4191.</w:t>
            </w:r>
          </w:p>
        </w:tc>
      </w:tr>
      <w:tr w:rsidR="007667B3" w:rsidRPr="00386411" w14:paraId="245F5BFE" w14:textId="77777777" w:rsidTr="007667B3">
        <w:tc>
          <w:tcPr>
            <w:tcW w:w="0" w:type="auto"/>
            <w:gridSpan w:val="3"/>
            <w:shd w:val="clear" w:color="auto" w:fill="000000" w:themeFill="text1"/>
          </w:tcPr>
          <w:p w14:paraId="24A9E267" w14:textId="77777777" w:rsidR="007667B3" w:rsidRPr="00386411" w:rsidRDefault="007667B3" w:rsidP="007667B3">
            <w:pPr>
              <w:keepNext/>
              <w:spacing w:after="40" w:line="240" w:lineRule="auto"/>
              <w:rPr>
                <w:rFonts w:ascii="Arial Narrow" w:hAnsi="Arial Narrow"/>
                <w:b/>
                <w:color w:val="FFFFFF" w:themeColor="background1"/>
                <w:sz w:val="20"/>
                <w:szCs w:val="20"/>
              </w:rPr>
            </w:pPr>
            <w:r w:rsidRPr="00386411">
              <w:rPr>
                <w:rFonts w:ascii="Arial Narrow" w:hAnsi="Arial Narrow"/>
                <w:b/>
                <w:color w:val="FFFFFF" w:themeColor="background1"/>
                <w:sz w:val="20"/>
                <w:szCs w:val="20"/>
              </w:rPr>
              <w:lastRenderedPageBreak/>
              <w:t>Any IgG (IVIg and SCIg) case series</w:t>
            </w:r>
          </w:p>
        </w:tc>
      </w:tr>
      <w:tr w:rsidR="007667B3" w:rsidRPr="003B4D22" w14:paraId="69724AC9" w14:textId="77777777" w:rsidTr="007667B3">
        <w:tc>
          <w:tcPr>
            <w:tcW w:w="0" w:type="auto"/>
          </w:tcPr>
          <w:p w14:paraId="7958D931" w14:textId="77777777" w:rsidR="007667B3" w:rsidRPr="003B4D22" w:rsidRDefault="007667B3" w:rsidP="007667B3">
            <w:pPr>
              <w:spacing w:before="0" w:after="40" w:line="240" w:lineRule="auto"/>
              <w:rPr>
                <w:rFonts w:ascii="Arial Narrow" w:hAnsi="Arial Narrow"/>
                <w:sz w:val="20"/>
                <w:szCs w:val="20"/>
              </w:rPr>
            </w:pPr>
            <w:r w:rsidRPr="003B4D22">
              <w:rPr>
                <w:rFonts w:ascii="Arial Narrow" w:hAnsi="Arial Narrow"/>
                <w:sz w:val="20"/>
                <w:szCs w:val="20"/>
              </w:rPr>
              <w:t>Benbrahim et al., 2018</w:t>
            </w:r>
          </w:p>
        </w:tc>
        <w:tc>
          <w:tcPr>
            <w:tcW w:w="0" w:type="auto"/>
          </w:tcPr>
          <w:p w14:paraId="6091164C" w14:textId="77777777" w:rsidR="007667B3" w:rsidRPr="003B4D22" w:rsidRDefault="007667B3" w:rsidP="007667B3">
            <w:pPr>
              <w:spacing w:after="40" w:line="240" w:lineRule="auto"/>
              <w:rPr>
                <w:rFonts w:ascii="Arial Narrow" w:hAnsi="Arial Narrow"/>
                <w:sz w:val="20"/>
                <w:szCs w:val="20"/>
              </w:rPr>
            </w:pPr>
            <w:r w:rsidRPr="003B4D22">
              <w:rPr>
                <w:rFonts w:ascii="Arial Narrow" w:hAnsi="Arial Narrow"/>
                <w:sz w:val="20"/>
                <w:szCs w:val="20"/>
              </w:rPr>
              <w:t xml:space="preserve">A French observational study describing the use of human polyvalent immunoglobulins in hematological malignancy-associated secondary immunodeficiency </w:t>
            </w:r>
          </w:p>
        </w:tc>
        <w:tc>
          <w:tcPr>
            <w:tcW w:w="0" w:type="auto"/>
          </w:tcPr>
          <w:p w14:paraId="39115839" w14:textId="77777777" w:rsidR="007667B3" w:rsidRPr="003B4D22" w:rsidRDefault="007667B3" w:rsidP="007667B3">
            <w:pPr>
              <w:spacing w:after="40" w:line="240" w:lineRule="auto"/>
              <w:rPr>
                <w:rFonts w:ascii="Arial Narrow" w:hAnsi="Arial Narrow"/>
                <w:sz w:val="20"/>
                <w:szCs w:val="20"/>
                <w:highlight w:val="yellow"/>
              </w:rPr>
            </w:pPr>
            <w:r w:rsidRPr="003B4D22">
              <w:rPr>
                <w:rFonts w:ascii="Arial Narrow" w:hAnsi="Arial Narrow"/>
                <w:sz w:val="20"/>
                <w:szCs w:val="20"/>
              </w:rPr>
              <w:t>Eur J Haematol 101(1): 48-56.</w:t>
            </w:r>
          </w:p>
        </w:tc>
      </w:tr>
      <w:tr w:rsidR="007667B3" w:rsidRPr="003B4D22" w14:paraId="0E86CE8C" w14:textId="77777777" w:rsidTr="007667B3">
        <w:tc>
          <w:tcPr>
            <w:tcW w:w="0" w:type="auto"/>
          </w:tcPr>
          <w:p w14:paraId="60ABF72E" w14:textId="77777777" w:rsidR="007667B3" w:rsidRPr="003B4D22" w:rsidRDefault="007667B3" w:rsidP="007667B3">
            <w:pPr>
              <w:spacing w:after="40" w:line="240" w:lineRule="auto"/>
              <w:rPr>
                <w:rFonts w:ascii="Arial Narrow" w:hAnsi="Arial Narrow"/>
                <w:sz w:val="20"/>
                <w:szCs w:val="20"/>
              </w:rPr>
            </w:pPr>
            <w:r w:rsidRPr="003B4D22">
              <w:rPr>
                <w:rFonts w:ascii="Arial Narrow" w:hAnsi="Arial Narrow"/>
                <w:sz w:val="20"/>
                <w:szCs w:val="20"/>
              </w:rPr>
              <w:t>Benbrahim et al., 2019</w:t>
            </w:r>
          </w:p>
        </w:tc>
        <w:tc>
          <w:tcPr>
            <w:tcW w:w="0" w:type="auto"/>
          </w:tcPr>
          <w:p w14:paraId="40368AB5" w14:textId="77777777" w:rsidR="007667B3" w:rsidRPr="003B4D22" w:rsidRDefault="007667B3" w:rsidP="007667B3">
            <w:pPr>
              <w:spacing w:after="40" w:line="240" w:lineRule="auto"/>
              <w:rPr>
                <w:rFonts w:ascii="Arial Narrow" w:hAnsi="Arial Narrow"/>
                <w:sz w:val="20"/>
                <w:szCs w:val="20"/>
              </w:rPr>
            </w:pPr>
            <w:r w:rsidRPr="003B4D22">
              <w:rPr>
                <w:rFonts w:ascii="Arial Narrow" w:hAnsi="Arial Narrow"/>
                <w:sz w:val="20"/>
                <w:szCs w:val="20"/>
              </w:rPr>
              <w:t>The use of octagam and gammanorm in immunodeficiency associated with hematological malignancies: a prospective study from 21 French hematology departments</w:t>
            </w:r>
          </w:p>
        </w:tc>
        <w:tc>
          <w:tcPr>
            <w:tcW w:w="0" w:type="auto"/>
          </w:tcPr>
          <w:p w14:paraId="07742A48" w14:textId="77777777" w:rsidR="007667B3" w:rsidRPr="003B4D22" w:rsidRDefault="007667B3" w:rsidP="007667B3">
            <w:pPr>
              <w:spacing w:after="40" w:line="240" w:lineRule="auto"/>
              <w:rPr>
                <w:rFonts w:ascii="Arial Narrow" w:hAnsi="Arial Narrow"/>
                <w:sz w:val="20"/>
                <w:szCs w:val="20"/>
                <w:highlight w:val="yellow"/>
              </w:rPr>
            </w:pPr>
            <w:r w:rsidRPr="003B4D22">
              <w:rPr>
                <w:rFonts w:ascii="Arial Narrow" w:hAnsi="Arial Narrow"/>
                <w:sz w:val="20"/>
                <w:szCs w:val="20"/>
              </w:rPr>
              <w:t>Hematology 24(1): 173-182.</w:t>
            </w:r>
          </w:p>
        </w:tc>
      </w:tr>
      <w:tr w:rsidR="007667B3" w:rsidRPr="003B4D22" w14:paraId="4FB85A63" w14:textId="77777777" w:rsidTr="007667B3">
        <w:tc>
          <w:tcPr>
            <w:tcW w:w="0" w:type="auto"/>
          </w:tcPr>
          <w:p w14:paraId="64AE81C9" w14:textId="77777777" w:rsidR="007667B3" w:rsidRPr="003B4D22" w:rsidRDefault="007667B3" w:rsidP="007667B3">
            <w:pPr>
              <w:spacing w:after="40" w:line="240" w:lineRule="auto"/>
              <w:rPr>
                <w:rFonts w:ascii="Arial Narrow" w:hAnsi="Arial Narrow"/>
                <w:sz w:val="20"/>
                <w:szCs w:val="20"/>
              </w:rPr>
            </w:pPr>
            <w:r w:rsidRPr="003B4D22">
              <w:rPr>
                <w:rFonts w:ascii="Arial Narrow" w:hAnsi="Arial Narrow"/>
                <w:sz w:val="20"/>
                <w:szCs w:val="20"/>
              </w:rPr>
              <w:t>Duraisingham et al., 2014</w:t>
            </w:r>
          </w:p>
        </w:tc>
        <w:tc>
          <w:tcPr>
            <w:tcW w:w="0" w:type="auto"/>
          </w:tcPr>
          <w:p w14:paraId="15B5ED50" w14:textId="77777777" w:rsidR="007667B3" w:rsidRPr="003B4D22" w:rsidRDefault="007667B3" w:rsidP="007667B3">
            <w:pPr>
              <w:spacing w:after="40" w:line="240" w:lineRule="auto"/>
              <w:rPr>
                <w:rFonts w:ascii="Arial Narrow" w:hAnsi="Arial Narrow"/>
                <w:sz w:val="20"/>
                <w:szCs w:val="20"/>
              </w:rPr>
            </w:pPr>
            <w:r w:rsidRPr="003B4D22">
              <w:rPr>
                <w:rFonts w:ascii="Arial Narrow" w:hAnsi="Arial Narrow"/>
                <w:sz w:val="20"/>
                <w:szCs w:val="20"/>
              </w:rPr>
              <w:t>Primary vs. secondary antibody deficiency: clinical features and infection outcomes of immunoglobulin replacement.</w:t>
            </w:r>
          </w:p>
        </w:tc>
        <w:tc>
          <w:tcPr>
            <w:tcW w:w="0" w:type="auto"/>
          </w:tcPr>
          <w:p w14:paraId="7F5DE21C" w14:textId="77777777" w:rsidR="007667B3" w:rsidRPr="003B4D22" w:rsidRDefault="007667B3" w:rsidP="007667B3">
            <w:pPr>
              <w:spacing w:after="40" w:line="240" w:lineRule="auto"/>
              <w:rPr>
                <w:rFonts w:ascii="Arial Narrow" w:hAnsi="Arial Narrow"/>
                <w:sz w:val="20"/>
                <w:szCs w:val="20"/>
                <w:highlight w:val="yellow"/>
              </w:rPr>
            </w:pPr>
            <w:r w:rsidRPr="003B4D22">
              <w:rPr>
                <w:rFonts w:ascii="Arial Narrow" w:hAnsi="Arial Narrow"/>
                <w:sz w:val="20"/>
                <w:szCs w:val="20"/>
              </w:rPr>
              <w:t>PLoS One 9(6): e100324.</w:t>
            </w:r>
          </w:p>
        </w:tc>
      </w:tr>
      <w:tr w:rsidR="007667B3" w:rsidRPr="003B4D22" w14:paraId="76A0FB38" w14:textId="77777777" w:rsidTr="007667B3">
        <w:tc>
          <w:tcPr>
            <w:tcW w:w="0" w:type="auto"/>
          </w:tcPr>
          <w:p w14:paraId="6E705883" w14:textId="77777777" w:rsidR="007667B3" w:rsidRPr="003B4D22" w:rsidRDefault="007667B3" w:rsidP="007667B3">
            <w:pPr>
              <w:spacing w:after="40" w:line="240" w:lineRule="auto"/>
              <w:rPr>
                <w:rFonts w:ascii="Arial Narrow" w:hAnsi="Arial Narrow"/>
                <w:sz w:val="20"/>
                <w:szCs w:val="20"/>
              </w:rPr>
            </w:pPr>
            <w:r w:rsidRPr="003B4D22">
              <w:rPr>
                <w:rFonts w:ascii="Arial Narrow" w:hAnsi="Arial Narrow"/>
                <w:sz w:val="20"/>
                <w:szCs w:val="20"/>
              </w:rPr>
              <w:t>Reiser et al., 2017</w:t>
            </w:r>
          </w:p>
        </w:tc>
        <w:tc>
          <w:tcPr>
            <w:tcW w:w="0" w:type="auto"/>
          </w:tcPr>
          <w:p w14:paraId="67007D8B" w14:textId="77777777" w:rsidR="007667B3" w:rsidRPr="003B4D22" w:rsidRDefault="007667B3" w:rsidP="007667B3">
            <w:pPr>
              <w:spacing w:after="40" w:line="240" w:lineRule="auto"/>
              <w:rPr>
                <w:rFonts w:ascii="Arial Narrow" w:hAnsi="Arial Narrow"/>
                <w:sz w:val="20"/>
                <w:szCs w:val="20"/>
              </w:rPr>
            </w:pPr>
            <w:r w:rsidRPr="003B4D22">
              <w:rPr>
                <w:rFonts w:ascii="Arial Narrow" w:hAnsi="Arial Narrow"/>
                <w:sz w:val="20"/>
                <w:szCs w:val="20"/>
              </w:rPr>
              <w:t>Management of patients with malignancies and secondary immunodeficiencies treated with immunoglobulins in clinical practice: Long-term data of the SIGNS study</w:t>
            </w:r>
          </w:p>
        </w:tc>
        <w:tc>
          <w:tcPr>
            <w:tcW w:w="0" w:type="auto"/>
          </w:tcPr>
          <w:p w14:paraId="18DD2354" w14:textId="77777777" w:rsidR="007667B3" w:rsidRPr="003B4D22" w:rsidRDefault="007667B3" w:rsidP="007667B3">
            <w:pPr>
              <w:spacing w:after="40" w:line="240" w:lineRule="auto"/>
              <w:rPr>
                <w:rFonts w:ascii="Arial Narrow" w:hAnsi="Arial Narrow"/>
                <w:sz w:val="20"/>
                <w:szCs w:val="20"/>
                <w:highlight w:val="yellow"/>
              </w:rPr>
            </w:pPr>
            <w:r w:rsidRPr="003B4D22">
              <w:rPr>
                <w:rFonts w:ascii="Arial Narrow" w:hAnsi="Arial Narrow"/>
                <w:sz w:val="20"/>
                <w:szCs w:val="20"/>
              </w:rPr>
              <w:t>Eur J Haematol 99(2): 169-177.</w:t>
            </w:r>
          </w:p>
        </w:tc>
      </w:tr>
      <w:tr w:rsidR="007667B3" w:rsidRPr="00386411" w14:paraId="1FD1F28C" w14:textId="77777777" w:rsidTr="006B4C5F">
        <w:tc>
          <w:tcPr>
            <w:tcW w:w="0" w:type="auto"/>
            <w:gridSpan w:val="3"/>
            <w:shd w:val="clear" w:color="auto" w:fill="000000" w:themeFill="text1"/>
          </w:tcPr>
          <w:p w14:paraId="2B8170D2" w14:textId="23B75374" w:rsidR="007667B3" w:rsidRPr="00386411" w:rsidRDefault="00E518FC" w:rsidP="007667B3">
            <w:pPr>
              <w:keepNext/>
              <w:spacing w:before="0" w:after="0" w:line="240" w:lineRule="auto"/>
              <w:rPr>
                <w:rFonts w:ascii="Arial Narrow" w:hAnsi="Arial Narrow"/>
                <w:b/>
                <w:color w:val="FFFFFF" w:themeColor="background1"/>
                <w:sz w:val="20"/>
                <w:szCs w:val="20"/>
              </w:rPr>
            </w:pPr>
            <w:r>
              <w:rPr>
                <w:rFonts w:ascii="Arial Narrow" w:hAnsi="Arial Narrow"/>
                <w:b/>
                <w:color w:val="FFFFFF" w:themeColor="background1"/>
                <w:sz w:val="20"/>
                <w:szCs w:val="20"/>
              </w:rPr>
              <w:t xml:space="preserve">[Supportive] </w:t>
            </w:r>
            <w:r w:rsidR="007667B3" w:rsidRPr="00386411">
              <w:rPr>
                <w:rFonts w:ascii="Arial Narrow" w:hAnsi="Arial Narrow"/>
                <w:b/>
                <w:color w:val="FFFFFF" w:themeColor="background1"/>
                <w:sz w:val="20"/>
                <w:szCs w:val="20"/>
              </w:rPr>
              <w:t>Non-comparative studies – IVIg v SCIg case series</w:t>
            </w:r>
          </w:p>
        </w:tc>
      </w:tr>
      <w:tr w:rsidR="00A316EA" w:rsidRPr="003B4D22" w14:paraId="0235313A" w14:textId="77777777" w:rsidTr="007667B3">
        <w:tc>
          <w:tcPr>
            <w:tcW w:w="0" w:type="auto"/>
          </w:tcPr>
          <w:p w14:paraId="25A7BA27" w14:textId="73F5B990" w:rsidR="00A316EA" w:rsidRPr="003B4D22" w:rsidRDefault="00A316EA" w:rsidP="00A316EA">
            <w:pPr>
              <w:spacing w:after="40" w:line="240" w:lineRule="auto"/>
              <w:rPr>
                <w:rFonts w:ascii="Arial Narrow" w:hAnsi="Arial Narrow"/>
                <w:sz w:val="20"/>
                <w:szCs w:val="20"/>
              </w:rPr>
            </w:pPr>
            <w:r w:rsidRPr="003B4D22">
              <w:rPr>
                <w:rFonts w:ascii="Arial Narrow" w:hAnsi="Arial Narrow"/>
                <w:sz w:val="20"/>
                <w:szCs w:val="20"/>
              </w:rPr>
              <w:t>Sundin et al., 2012</w:t>
            </w:r>
          </w:p>
        </w:tc>
        <w:tc>
          <w:tcPr>
            <w:tcW w:w="0" w:type="auto"/>
          </w:tcPr>
          <w:p w14:paraId="2E9D1E78" w14:textId="34DCC552" w:rsidR="00A316EA" w:rsidRPr="003B4D22" w:rsidRDefault="00A316EA" w:rsidP="00A316EA">
            <w:pPr>
              <w:spacing w:after="40" w:line="240" w:lineRule="auto"/>
              <w:rPr>
                <w:rFonts w:ascii="Arial Narrow" w:hAnsi="Arial Narrow"/>
                <w:sz w:val="20"/>
                <w:szCs w:val="20"/>
              </w:rPr>
            </w:pPr>
            <w:r w:rsidRPr="003B4D22">
              <w:rPr>
                <w:rFonts w:ascii="Arial Narrow" w:hAnsi="Arial Narrow"/>
                <w:sz w:val="20"/>
                <w:szCs w:val="20"/>
              </w:rPr>
              <w:t>Subcutaneous IgG replacement after pediatric SCT</w:t>
            </w:r>
          </w:p>
        </w:tc>
        <w:tc>
          <w:tcPr>
            <w:tcW w:w="0" w:type="auto"/>
          </w:tcPr>
          <w:p w14:paraId="5CA6B330" w14:textId="148AA5F2" w:rsidR="00A316EA" w:rsidRPr="003B4D22" w:rsidRDefault="00A316EA" w:rsidP="00A316EA">
            <w:pPr>
              <w:spacing w:after="40" w:line="240" w:lineRule="auto"/>
              <w:rPr>
                <w:rFonts w:ascii="Arial Narrow" w:hAnsi="Arial Narrow"/>
                <w:sz w:val="20"/>
                <w:szCs w:val="20"/>
              </w:rPr>
            </w:pPr>
            <w:r w:rsidRPr="003B4D22">
              <w:rPr>
                <w:rFonts w:ascii="Arial Narrow" w:hAnsi="Arial Narrow"/>
                <w:sz w:val="20"/>
                <w:szCs w:val="20"/>
              </w:rPr>
              <w:t>Pediatric Transplantation 16(8): 866-871.</w:t>
            </w:r>
          </w:p>
        </w:tc>
      </w:tr>
      <w:tr w:rsidR="00A316EA" w:rsidRPr="003B4D22" w14:paraId="13E83D3C" w14:textId="77777777" w:rsidTr="007667B3">
        <w:tc>
          <w:tcPr>
            <w:tcW w:w="0" w:type="auto"/>
          </w:tcPr>
          <w:p w14:paraId="0CAFCD05" w14:textId="77777777" w:rsidR="00A316EA" w:rsidRPr="003B4D22" w:rsidRDefault="00A316EA" w:rsidP="00A316EA">
            <w:pPr>
              <w:spacing w:after="40" w:line="240" w:lineRule="auto"/>
              <w:rPr>
                <w:rFonts w:ascii="Arial Narrow" w:hAnsi="Arial Narrow"/>
                <w:sz w:val="20"/>
                <w:szCs w:val="20"/>
              </w:rPr>
            </w:pPr>
            <w:r w:rsidRPr="003B4D22">
              <w:rPr>
                <w:rFonts w:ascii="Arial Narrow" w:hAnsi="Arial Narrow"/>
                <w:sz w:val="20"/>
                <w:szCs w:val="20"/>
              </w:rPr>
              <w:t>Windegger et al. 2019</w:t>
            </w:r>
          </w:p>
        </w:tc>
        <w:tc>
          <w:tcPr>
            <w:tcW w:w="0" w:type="auto"/>
          </w:tcPr>
          <w:p w14:paraId="4F58ED57" w14:textId="77777777" w:rsidR="00A316EA" w:rsidRPr="003B4D22" w:rsidRDefault="00A316EA" w:rsidP="00A316EA">
            <w:pPr>
              <w:spacing w:after="40" w:line="240" w:lineRule="auto"/>
              <w:rPr>
                <w:rFonts w:ascii="Arial Narrow" w:hAnsi="Arial Narrow"/>
                <w:sz w:val="20"/>
                <w:szCs w:val="20"/>
              </w:rPr>
            </w:pPr>
            <w:r w:rsidRPr="003B4D22">
              <w:rPr>
                <w:rFonts w:ascii="Arial Narrow" w:hAnsi="Arial Narrow"/>
                <w:sz w:val="20"/>
                <w:szCs w:val="20"/>
              </w:rPr>
              <w:t>Cost-utility analysis comparing hospital-based intravenous immunoglobulin with home-based subcutaneous immunoglobulin in patients with secondary immunodeficiency.</w:t>
            </w:r>
          </w:p>
        </w:tc>
        <w:tc>
          <w:tcPr>
            <w:tcW w:w="0" w:type="auto"/>
          </w:tcPr>
          <w:p w14:paraId="2196091C" w14:textId="77777777" w:rsidR="00A316EA" w:rsidRPr="003B4D22" w:rsidRDefault="00A316EA" w:rsidP="00A316EA">
            <w:pPr>
              <w:spacing w:after="40" w:line="240" w:lineRule="auto"/>
              <w:rPr>
                <w:rFonts w:ascii="Arial Narrow" w:hAnsi="Arial Narrow"/>
                <w:sz w:val="20"/>
                <w:szCs w:val="20"/>
                <w:highlight w:val="yellow"/>
              </w:rPr>
            </w:pPr>
            <w:r w:rsidRPr="003B4D22">
              <w:rPr>
                <w:rFonts w:ascii="Arial Narrow" w:hAnsi="Arial Narrow"/>
                <w:sz w:val="20"/>
                <w:szCs w:val="20"/>
              </w:rPr>
              <w:t>Vox Sang. 2019 Apr;114(3):237-246.</w:t>
            </w:r>
          </w:p>
        </w:tc>
      </w:tr>
      <w:tr w:rsidR="00A316EA" w:rsidRPr="00386411" w14:paraId="42AB2C18" w14:textId="77777777" w:rsidTr="007667B3">
        <w:tc>
          <w:tcPr>
            <w:tcW w:w="0" w:type="auto"/>
            <w:gridSpan w:val="3"/>
            <w:shd w:val="clear" w:color="auto" w:fill="000000" w:themeFill="text1"/>
          </w:tcPr>
          <w:p w14:paraId="4F81D3E7" w14:textId="3E2D76A3" w:rsidR="00A316EA" w:rsidRPr="00386411" w:rsidRDefault="00E518FC" w:rsidP="00A316EA">
            <w:pPr>
              <w:keepNext/>
              <w:spacing w:after="40" w:line="240" w:lineRule="auto"/>
              <w:rPr>
                <w:rFonts w:ascii="Arial Narrow" w:hAnsi="Arial Narrow"/>
                <w:b/>
                <w:color w:val="FFFFFF" w:themeColor="background1"/>
                <w:sz w:val="20"/>
                <w:szCs w:val="20"/>
              </w:rPr>
            </w:pPr>
            <w:r>
              <w:rPr>
                <w:rFonts w:ascii="Arial Narrow" w:hAnsi="Arial Narrow"/>
                <w:b/>
                <w:color w:val="FFFFFF" w:themeColor="background1"/>
                <w:sz w:val="20"/>
                <w:szCs w:val="20"/>
              </w:rPr>
              <w:t xml:space="preserve">[Supportive] </w:t>
            </w:r>
            <w:r w:rsidR="00A316EA" w:rsidRPr="00386411">
              <w:rPr>
                <w:rFonts w:ascii="Arial Narrow" w:hAnsi="Arial Narrow"/>
                <w:b/>
                <w:color w:val="FFFFFF" w:themeColor="background1"/>
                <w:sz w:val="20"/>
                <w:szCs w:val="20"/>
              </w:rPr>
              <w:t>Other (IVIg or SCIg) – dosing studies</w:t>
            </w:r>
          </w:p>
        </w:tc>
      </w:tr>
      <w:tr w:rsidR="00A316EA" w:rsidRPr="003B4D22" w14:paraId="6C7E38E9" w14:textId="77777777" w:rsidTr="007667B3">
        <w:tc>
          <w:tcPr>
            <w:tcW w:w="0" w:type="auto"/>
          </w:tcPr>
          <w:p w14:paraId="3BC77321" w14:textId="77777777" w:rsidR="00A316EA" w:rsidRPr="003B4D22" w:rsidRDefault="00A316EA" w:rsidP="00A316EA">
            <w:pPr>
              <w:spacing w:after="40" w:line="240" w:lineRule="auto"/>
              <w:rPr>
                <w:rFonts w:ascii="Arial Narrow" w:hAnsi="Arial Narrow"/>
                <w:sz w:val="20"/>
                <w:szCs w:val="20"/>
              </w:rPr>
            </w:pPr>
            <w:r w:rsidRPr="003B4D22">
              <w:rPr>
                <w:rFonts w:ascii="Arial Narrow" w:hAnsi="Arial Narrow"/>
                <w:sz w:val="20"/>
                <w:szCs w:val="20"/>
              </w:rPr>
              <w:t>Chapel, Dicato et al. 1994</w:t>
            </w:r>
          </w:p>
        </w:tc>
        <w:tc>
          <w:tcPr>
            <w:tcW w:w="0" w:type="auto"/>
          </w:tcPr>
          <w:p w14:paraId="6D988DBB" w14:textId="77777777" w:rsidR="00A316EA" w:rsidRPr="003B4D22" w:rsidRDefault="00A316EA" w:rsidP="00A316EA">
            <w:pPr>
              <w:spacing w:after="40" w:line="240" w:lineRule="auto"/>
              <w:rPr>
                <w:rFonts w:ascii="Arial Narrow" w:hAnsi="Arial Narrow"/>
                <w:sz w:val="20"/>
                <w:szCs w:val="20"/>
              </w:rPr>
            </w:pPr>
            <w:r w:rsidRPr="003B4D22">
              <w:rPr>
                <w:rFonts w:ascii="Arial Narrow" w:hAnsi="Arial Narrow"/>
                <w:sz w:val="20"/>
                <w:szCs w:val="20"/>
              </w:rPr>
              <w:t>Immunoglobulin replacement in patients with chronic lymphocytic leukaemia: a comparison of two dose regimes</w:t>
            </w:r>
          </w:p>
        </w:tc>
        <w:tc>
          <w:tcPr>
            <w:tcW w:w="0" w:type="auto"/>
          </w:tcPr>
          <w:p w14:paraId="1082297C" w14:textId="77777777" w:rsidR="00A316EA" w:rsidRPr="003B4D22" w:rsidRDefault="00A316EA" w:rsidP="00A316EA">
            <w:pPr>
              <w:spacing w:after="40" w:line="240" w:lineRule="auto"/>
              <w:rPr>
                <w:rFonts w:ascii="Arial Narrow" w:hAnsi="Arial Narrow"/>
                <w:sz w:val="20"/>
                <w:szCs w:val="20"/>
                <w:highlight w:val="yellow"/>
              </w:rPr>
            </w:pPr>
            <w:r w:rsidRPr="003B4D22">
              <w:rPr>
                <w:rFonts w:ascii="Arial Narrow" w:hAnsi="Arial Narrow"/>
                <w:sz w:val="20"/>
                <w:szCs w:val="20"/>
              </w:rPr>
              <w:t>Br J Haematol 88(1): 209-212.</w:t>
            </w:r>
          </w:p>
        </w:tc>
      </w:tr>
      <w:tr w:rsidR="00A316EA" w:rsidRPr="003B4D22" w14:paraId="477516F7" w14:textId="77777777" w:rsidTr="007667B3">
        <w:tc>
          <w:tcPr>
            <w:tcW w:w="0" w:type="auto"/>
          </w:tcPr>
          <w:p w14:paraId="415A2BB2" w14:textId="77777777" w:rsidR="00A316EA" w:rsidRPr="003B4D22" w:rsidRDefault="00A316EA" w:rsidP="00A316EA">
            <w:pPr>
              <w:spacing w:after="40" w:line="240" w:lineRule="auto"/>
              <w:rPr>
                <w:rFonts w:ascii="Arial Narrow" w:hAnsi="Arial Narrow"/>
                <w:sz w:val="20"/>
                <w:szCs w:val="20"/>
              </w:rPr>
            </w:pPr>
            <w:r w:rsidRPr="003B4D22">
              <w:rPr>
                <w:rFonts w:ascii="Arial Narrow" w:hAnsi="Arial Narrow"/>
                <w:sz w:val="20"/>
                <w:szCs w:val="20"/>
              </w:rPr>
              <w:t>Stump et al., 2017</w:t>
            </w:r>
          </w:p>
        </w:tc>
        <w:tc>
          <w:tcPr>
            <w:tcW w:w="0" w:type="auto"/>
          </w:tcPr>
          <w:p w14:paraId="3B4B189E" w14:textId="77777777" w:rsidR="00A316EA" w:rsidRPr="003B4D22" w:rsidRDefault="00A316EA" w:rsidP="00A316EA">
            <w:pPr>
              <w:spacing w:after="40" w:line="240" w:lineRule="auto"/>
              <w:rPr>
                <w:rFonts w:ascii="Arial Narrow" w:hAnsi="Arial Narrow"/>
                <w:sz w:val="20"/>
                <w:szCs w:val="20"/>
              </w:rPr>
            </w:pPr>
            <w:r w:rsidRPr="003B4D22">
              <w:rPr>
                <w:rFonts w:ascii="Arial Narrow" w:hAnsi="Arial Narrow"/>
                <w:sz w:val="20"/>
                <w:szCs w:val="20"/>
              </w:rPr>
              <w:t>Comparison of Weight-Based Dosing Strategies for Intravenous Immunoglobulin in Patients with Hematologic Malignancies</w:t>
            </w:r>
          </w:p>
        </w:tc>
        <w:tc>
          <w:tcPr>
            <w:tcW w:w="0" w:type="auto"/>
          </w:tcPr>
          <w:p w14:paraId="4AFC2DC7" w14:textId="77777777" w:rsidR="00A316EA" w:rsidRPr="003B4D22" w:rsidRDefault="00A316EA" w:rsidP="00A316EA">
            <w:pPr>
              <w:spacing w:after="40" w:line="240" w:lineRule="auto"/>
              <w:rPr>
                <w:rFonts w:ascii="Arial Narrow" w:hAnsi="Arial Narrow"/>
                <w:sz w:val="20"/>
                <w:szCs w:val="20"/>
                <w:highlight w:val="yellow"/>
              </w:rPr>
            </w:pPr>
            <w:r w:rsidRPr="003B4D22">
              <w:rPr>
                <w:rFonts w:ascii="Arial Narrow" w:hAnsi="Arial Narrow"/>
                <w:sz w:val="20"/>
                <w:szCs w:val="20"/>
              </w:rPr>
              <w:t>Pharmacotherapy 37(12): 1530-1536.</w:t>
            </w:r>
          </w:p>
        </w:tc>
      </w:tr>
    </w:tbl>
    <w:p w14:paraId="2A9F69F8" w14:textId="77777777" w:rsidR="001671CA" w:rsidRPr="00386411" w:rsidRDefault="001671CA">
      <w:pPr>
        <w:spacing w:after="0" w:line="240" w:lineRule="auto"/>
        <w:rPr>
          <w:b/>
        </w:rPr>
      </w:pPr>
    </w:p>
    <w:p w14:paraId="79ED37DB" w14:textId="7CC7EF1D" w:rsidR="001671CA" w:rsidRPr="00386411" w:rsidRDefault="001671CA" w:rsidP="00B535BB">
      <w:pPr>
        <w:pStyle w:val="Caption"/>
        <w:keepNext/>
        <w:rPr>
          <w:snapToGrid w:val="0"/>
          <w:lang w:eastAsia="en-US"/>
        </w:rPr>
      </w:pPr>
      <w:bookmarkStart w:id="726" w:name="_Ref10291298"/>
      <w:bookmarkStart w:id="727" w:name="_Toc14429618"/>
      <w:bookmarkStart w:id="728" w:name="_Toc16671676"/>
      <w:r w:rsidRPr="00386411">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78</w:t>
      </w:r>
      <w:r w:rsidRPr="00386411">
        <w:rPr>
          <w:noProof/>
        </w:rPr>
        <w:fldChar w:fldCharType="end"/>
      </w:r>
      <w:bookmarkEnd w:id="726"/>
      <w:r w:rsidRPr="00386411">
        <w:tab/>
      </w:r>
      <w:r w:rsidRPr="00386411">
        <w:rPr>
          <w:snapToGrid w:val="0"/>
          <w:lang w:eastAsia="en-US"/>
        </w:rPr>
        <w:t>List of the included studies as they apply to the NBA-funded conditions</w:t>
      </w:r>
      <w:bookmarkEnd w:id="727"/>
      <w:bookmarkEnd w:id="728"/>
    </w:p>
    <w:tbl>
      <w:tblPr>
        <w:tblStyle w:val="TableGrid"/>
        <w:tblW w:w="5000" w:type="pct"/>
        <w:tblLook w:val="04A0" w:firstRow="1" w:lastRow="0" w:firstColumn="1" w:lastColumn="0" w:noHBand="0" w:noVBand="1"/>
        <w:tblCaption w:val="List of the included studies as they apply to the NBA-funded conditions"/>
      </w:tblPr>
      <w:tblGrid>
        <w:gridCol w:w="1883"/>
        <w:gridCol w:w="1309"/>
        <w:gridCol w:w="1889"/>
        <w:gridCol w:w="1163"/>
        <w:gridCol w:w="2998"/>
      </w:tblGrid>
      <w:tr w:rsidR="00B535BB" w:rsidRPr="00386411" w14:paraId="55C46082" w14:textId="77777777" w:rsidTr="009634B8">
        <w:trPr>
          <w:tblHeader/>
        </w:trPr>
        <w:tc>
          <w:tcPr>
            <w:tcW w:w="1019" w:type="pct"/>
          </w:tcPr>
          <w:p w14:paraId="52079135" w14:textId="77777777" w:rsidR="00B535BB" w:rsidRPr="00386411" w:rsidRDefault="00B535BB" w:rsidP="00B535BB">
            <w:pPr>
              <w:keepNext/>
              <w:spacing w:after="40" w:line="240" w:lineRule="auto"/>
              <w:ind w:left="-57" w:right="-57"/>
              <w:rPr>
                <w:rFonts w:ascii="Arial Narrow" w:hAnsi="Arial Narrow"/>
                <w:b/>
                <w:sz w:val="20"/>
                <w:szCs w:val="20"/>
              </w:rPr>
            </w:pPr>
            <w:r w:rsidRPr="00386411">
              <w:rPr>
                <w:rFonts w:ascii="Arial Narrow" w:hAnsi="Arial Narrow"/>
                <w:b/>
                <w:sz w:val="20"/>
                <w:szCs w:val="20"/>
              </w:rPr>
              <w:t xml:space="preserve">Study </w:t>
            </w:r>
          </w:p>
        </w:tc>
        <w:tc>
          <w:tcPr>
            <w:tcW w:w="708" w:type="pct"/>
          </w:tcPr>
          <w:p w14:paraId="075A868F" w14:textId="77777777" w:rsidR="00B535BB" w:rsidRPr="00386411" w:rsidRDefault="00B535BB" w:rsidP="00B535BB">
            <w:pPr>
              <w:keepNext/>
              <w:spacing w:after="40" w:line="240" w:lineRule="auto"/>
              <w:ind w:left="-57" w:right="-57"/>
              <w:rPr>
                <w:rFonts w:ascii="Arial Narrow" w:hAnsi="Arial Narrow"/>
                <w:b/>
                <w:sz w:val="20"/>
                <w:szCs w:val="20"/>
              </w:rPr>
            </w:pPr>
            <w:r w:rsidRPr="00386411">
              <w:rPr>
                <w:rFonts w:ascii="Arial Narrow" w:hAnsi="Arial Narrow"/>
                <w:b/>
                <w:sz w:val="20"/>
                <w:szCs w:val="20"/>
              </w:rPr>
              <w:t>Study type</w:t>
            </w:r>
          </w:p>
        </w:tc>
        <w:tc>
          <w:tcPr>
            <w:tcW w:w="1022" w:type="pct"/>
          </w:tcPr>
          <w:p w14:paraId="36E8C96E" w14:textId="77777777" w:rsidR="00B535BB" w:rsidRPr="00386411" w:rsidRDefault="00B535BB" w:rsidP="00B535BB">
            <w:pPr>
              <w:keepNext/>
              <w:spacing w:after="40" w:line="240" w:lineRule="auto"/>
              <w:ind w:left="-57" w:right="-57"/>
              <w:rPr>
                <w:rFonts w:ascii="Arial Narrow" w:hAnsi="Arial Narrow"/>
                <w:b/>
                <w:sz w:val="20"/>
                <w:szCs w:val="20"/>
              </w:rPr>
            </w:pPr>
            <w:r w:rsidRPr="00386411">
              <w:rPr>
                <w:rFonts w:ascii="Arial Narrow" w:hAnsi="Arial Narrow"/>
                <w:b/>
                <w:sz w:val="20"/>
                <w:szCs w:val="20"/>
              </w:rPr>
              <w:t>Risk of bias</w:t>
            </w:r>
          </w:p>
        </w:tc>
        <w:tc>
          <w:tcPr>
            <w:tcW w:w="629" w:type="pct"/>
          </w:tcPr>
          <w:p w14:paraId="1B84649E" w14:textId="77777777" w:rsidR="00B535BB" w:rsidRPr="00386411" w:rsidRDefault="00B535BB" w:rsidP="00B535BB">
            <w:pPr>
              <w:keepNext/>
              <w:spacing w:after="40" w:line="240" w:lineRule="auto"/>
              <w:ind w:left="-57" w:right="-57"/>
              <w:rPr>
                <w:rFonts w:ascii="Arial Narrow" w:hAnsi="Arial Narrow"/>
                <w:b/>
                <w:sz w:val="20"/>
                <w:szCs w:val="20"/>
              </w:rPr>
            </w:pPr>
            <w:r w:rsidRPr="00386411">
              <w:rPr>
                <w:rFonts w:ascii="Arial Narrow" w:hAnsi="Arial Narrow"/>
                <w:b/>
                <w:sz w:val="20"/>
                <w:szCs w:val="20"/>
              </w:rPr>
              <w:t>N</w:t>
            </w:r>
          </w:p>
        </w:tc>
        <w:tc>
          <w:tcPr>
            <w:tcW w:w="1622" w:type="pct"/>
          </w:tcPr>
          <w:p w14:paraId="4114CB34" w14:textId="77777777" w:rsidR="00B535BB" w:rsidRPr="00386411" w:rsidRDefault="00B535BB" w:rsidP="00B535BB">
            <w:pPr>
              <w:keepNext/>
              <w:spacing w:after="40" w:line="240" w:lineRule="auto"/>
              <w:ind w:left="-57" w:right="-57"/>
              <w:rPr>
                <w:rFonts w:ascii="Arial Narrow" w:hAnsi="Arial Narrow"/>
                <w:b/>
                <w:sz w:val="20"/>
                <w:szCs w:val="20"/>
              </w:rPr>
            </w:pPr>
            <w:r w:rsidRPr="00386411">
              <w:rPr>
                <w:rFonts w:ascii="Arial Narrow" w:hAnsi="Arial Narrow"/>
                <w:b/>
                <w:sz w:val="20"/>
                <w:szCs w:val="20"/>
              </w:rPr>
              <w:t>Studied indication(s)</w:t>
            </w:r>
          </w:p>
        </w:tc>
      </w:tr>
      <w:tr w:rsidR="00B535BB" w:rsidRPr="00386411" w14:paraId="44B36EDE" w14:textId="77777777" w:rsidTr="00B535BB">
        <w:tc>
          <w:tcPr>
            <w:tcW w:w="1019" w:type="pct"/>
            <w:tcBorders>
              <w:bottom w:val="single" w:sz="4" w:space="0" w:color="auto"/>
            </w:tcBorders>
            <w:shd w:val="clear" w:color="auto" w:fill="000000" w:themeFill="text1"/>
          </w:tcPr>
          <w:p w14:paraId="69B7342A" w14:textId="77777777" w:rsidR="00B535BB" w:rsidRPr="00386411" w:rsidRDefault="00B535BB" w:rsidP="00B535BB">
            <w:pPr>
              <w:keepNext/>
              <w:spacing w:after="40" w:line="240" w:lineRule="auto"/>
              <w:ind w:left="-57" w:right="-57"/>
              <w:rPr>
                <w:rFonts w:ascii="Arial Narrow" w:hAnsi="Arial Narrow"/>
                <w:b/>
                <w:sz w:val="20"/>
                <w:szCs w:val="20"/>
              </w:rPr>
            </w:pPr>
            <w:r w:rsidRPr="00386411">
              <w:rPr>
                <w:rFonts w:ascii="Arial Narrow" w:hAnsi="Arial Narrow"/>
                <w:b/>
                <w:sz w:val="20"/>
                <w:szCs w:val="20"/>
              </w:rPr>
              <w:t>Acute Leukaemia</w:t>
            </w:r>
          </w:p>
        </w:tc>
        <w:tc>
          <w:tcPr>
            <w:tcW w:w="708" w:type="pct"/>
            <w:tcBorders>
              <w:bottom w:val="single" w:sz="4" w:space="0" w:color="auto"/>
            </w:tcBorders>
            <w:shd w:val="clear" w:color="auto" w:fill="000000" w:themeFill="text1"/>
          </w:tcPr>
          <w:p w14:paraId="34592067" w14:textId="77777777" w:rsidR="00B535BB" w:rsidRPr="00386411" w:rsidRDefault="00B535BB" w:rsidP="00B535BB">
            <w:pPr>
              <w:keepNext/>
              <w:spacing w:after="40" w:line="240" w:lineRule="auto"/>
              <w:ind w:left="-57" w:right="-57"/>
              <w:rPr>
                <w:rFonts w:ascii="Arial Narrow" w:hAnsi="Arial Narrow"/>
                <w:b/>
                <w:sz w:val="20"/>
                <w:szCs w:val="20"/>
              </w:rPr>
            </w:pPr>
          </w:p>
        </w:tc>
        <w:tc>
          <w:tcPr>
            <w:tcW w:w="1022" w:type="pct"/>
            <w:tcBorders>
              <w:bottom w:val="single" w:sz="4" w:space="0" w:color="auto"/>
            </w:tcBorders>
            <w:shd w:val="clear" w:color="auto" w:fill="000000" w:themeFill="text1"/>
          </w:tcPr>
          <w:p w14:paraId="5A3CCD88" w14:textId="77777777" w:rsidR="00B535BB" w:rsidRPr="00386411" w:rsidRDefault="00B535BB" w:rsidP="00B535BB">
            <w:pPr>
              <w:keepNext/>
              <w:spacing w:after="40" w:line="240" w:lineRule="auto"/>
              <w:ind w:left="-57" w:right="-57"/>
              <w:rPr>
                <w:rFonts w:ascii="Arial Narrow" w:hAnsi="Arial Narrow"/>
                <w:b/>
                <w:sz w:val="20"/>
                <w:szCs w:val="20"/>
              </w:rPr>
            </w:pPr>
          </w:p>
        </w:tc>
        <w:tc>
          <w:tcPr>
            <w:tcW w:w="629" w:type="pct"/>
            <w:tcBorders>
              <w:bottom w:val="single" w:sz="4" w:space="0" w:color="auto"/>
            </w:tcBorders>
            <w:shd w:val="clear" w:color="auto" w:fill="000000" w:themeFill="text1"/>
          </w:tcPr>
          <w:p w14:paraId="69A5CA7F" w14:textId="77777777" w:rsidR="00B535BB" w:rsidRPr="00386411" w:rsidRDefault="00B535BB" w:rsidP="00B535BB">
            <w:pPr>
              <w:keepNext/>
              <w:spacing w:after="40" w:line="240" w:lineRule="auto"/>
              <w:ind w:left="-57" w:right="-57"/>
              <w:rPr>
                <w:rFonts w:ascii="Arial Narrow" w:hAnsi="Arial Narrow"/>
                <w:b/>
                <w:sz w:val="20"/>
                <w:szCs w:val="20"/>
              </w:rPr>
            </w:pPr>
          </w:p>
        </w:tc>
        <w:tc>
          <w:tcPr>
            <w:tcW w:w="1622" w:type="pct"/>
            <w:tcBorders>
              <w:bottom w:val="single" w:sz="4" w:space="0" w:color="auto"/>
            </w:tcBorders>
            <w:shd w:val="clear" w:color="auto" w:fill="000000" w:themeFill="text1"/>
          </w:tcPr>
          <w:p w14:paraId="18566027" w14:textId="77777777" w:rsidR="00B535BB" w:rsidRPr="00386411" w:rsidRDefault="00B535BB" w:rsidP="00B535BB">
            <w:pPr>
              <w:keepNext/>
              <w:spacing w:after="40" w:line="240" w:lineRule="auto"/>
              <w:ind w:left="-57" w:right="-57"/>
              <w:rPr>
                <w:rFonts w:ascii="Arial Narrow" w:hAnsi="Arial Narrow"/>
                <w:b/>
                <w:sz w:val="20"/>
                <w:szCs w:val="20"/>
              </w:rPr>
            </w:pPr>
          </w:p>
        </w:tc>
      </w:tr>
      <w:tr w:rsidR="00B535BB" w:rsidRPr="003B4D22" w14:paraId="3E03E200" w14:textId="77777777" w:rsidTr="00B535BB">
        <w:tc>
          <w:tcPr>
            <w:tcW w:w="1019" w:type="pct"/>
            <w:tcBorders>
              <w:top w:val="single" w:sz="4" w:space="0" w:color="auto"/>
              <w:bottom w:val="single" w:sz="4" w:space="0" w:color="auto"/>
            </w:tcBorders>
            <w:shd w:val="clear" w:color="auto" w:fill="FDE9D9" w:themeFill="accent6" w:themeFillTint="33"/>
          </w:tcPr>
          <w:p w14:paraId="32B1050E" w14:textId="77777777" w:rsidR="00B535BB" w:rsidRPr="00F67034" w:rsidRDefault="00B535BB" w:rsidP="00B535BB">
            <w:pPr>
              <w:spacing w:after="40" w:line="240" w:lineRule="auto"/>
              <w:ind w:left="-57" w:right="-57"/>
              <w:rPr>
                <w:rFonts w:ascii="Arial Narrow" w:hAnsi="Arial Narrow"/>
                <w:sz w:val="20"/>
                <w:szCs w:val="20"/>
              </w:rPr>
            </w:pPr>
            <w:r w:rsidRPr="00F67034">
              <w:rPr>
                <w:rFonts w:ascii="Arial Narrow" w:hAnsi="Arial Narrow"/>
                <w:sz w:val="20"/>
                <w:szCs w:val="20"/>
              </w:rPr>
              <w:t>Kobayashi et al., 2014</w:t>
            </w:r>
          </w:p>
        </w:tc>
        <w:tc>
          <w:tcPr>
            <w:tcW w:w="708" w:type="pct"/>
            <w:tcBorders>
              <w:top w:val="single" w:sz="4" w:space="0" w:color="auto"/>
              <w:bottom w:val="single" w:sz="4" w:space="0" w:color="auto"/>
            </w:tcBorders>
            <w:shd w:val="clear" w:color="auto" w:fill="FDE9D9" w:themeFill="accent6" w:themeFillTint="33"/>
          </w:tcPr>
          <w:p w14:paraId="4C1BABB9" w14:textId="77777777" w:rsidR="00B535BB" w:rsidRPr="00F67034" w:rsidRDefault="00B535BB" w:rsidP="00B535BB">
            <w:pPr>
              <w:spacing w:after="40" w:line="240" w:lineRule="auto"/>
              <w:ind w:left="-57" w:right="-57"/>
              <w:rPr>
                <w:rFonts w:ascii="Arial Narrow" w:hAnsi="Arial Narrow"/>
                <w:sz w:val="20"/>
                <w:szCs w:val="20"/>
              </w:rPr>
            </w:pPr>
            <w:r w:rsidRPr="00F67034">
              <w:rPr>
                <w:rFonts w:ascii="Arial Narrow" w:hAnsi="Arial Narrow"/>
                <w:sz w:val="20"/>
                <w:szCs w:val="20"/>
              </w:rPr>
              <w:t>RCT</w:t>
            </w:r>
          </w:p>
        </w:tc>
        <w:tc>
          <w:tcPr>
            <w:tcW w:w="1022" w:type="pct"/>
            <w:tcBorders>
              <w:top w:val="single" w:sz="4" w:space="0" w:color="auto"/>
              <w:bottom w:val="single" w:sz="4" w:space="0" w:color="auto"/>
            </w:tcBorders>
            <w:shd w:val="clear" w:color="auto" w:fill="FDE9D9" w:themeFill="accent6" w:themeFillTint="33"/>
          </w:tcPr>
          <w:p w14:paraId="5C97B68A" w14:textId="410E8F42" w:rsidR="00B535BB" w:rsidRPr="00F67034" w:rsidRDefault="00B535BB" w:rsidP="00B535BB">
            <w:pPr>
              <w:spacing w:after="40" w:line="240" w:lineRule="auto"/>
              <w:ind w:left="-57" w:right="-57"/>
              <w:rPr>
                <w:rFonts w:ascii="Arial Narrow" w:hAnsi="Arial Narrow"/>
                <w:sz w:val="20"/>
                <w:szCs w:val="20"/>
              </w:rPr>
            </w:pPr>
            <w:r>
              <w:rPr>
                <w:rFonts w:ascii="Arial Narrow" w:hAnsi="Arial Narrow"/>
                <w:sz w:val="20"/>
                <w:szCs w:val="20"/>
              </w:rPr>
              <w:t>Low (SIGN)</w:t>
            </w:r>
          </w:p>
        </w:tc>
        <w:tc>
          <w:tcPr>
            <w:tcW w:w="629" w:type="pct"/>
            <w:tcBorders>
              <w:top w:val="single" w:sz="4" w:space="0" w:color="auto"/>
              <w:bottom w:val="single" w:sz="4" w:space="0" w:color="auto"/>
            </w:tcBorders>
            <w:shd w:val="clear" w:color="auto" w:fill="FDE9D9" w:themeFill="accent6" w:themeFillTint="33"/>
          </w:tcPr>
          <w:p w14:paraId="4342C046" w14:textId="77777777" w:rsidR="00B535BB" w:rsidRPr="00F67034" w:rsidRDefault="00B535BB" w:rsidP="00B535BB">
            <w:pPr>
              <w:spacing w:after="40" w:line="240" w:lineRule="auto"/>
              <w:ind w:left="-57" w:right="-57"/>
              <w:rPr>
                <w:rFonts w:ascii="Arial Narrow" w:hAnsi="Arial Narrow"/>
                <w:sz w:val="20"/>
                <w:szCs w:val="20"/>
              </w:rPr>
            </w:pPr>
            <w:r w:rsidRPr="00F67034">
              <w:rPr>
                <w:rFonts w:ascii="Arial Narrow" w:hAnsi="Arial Narrow"/>
                <w:sz w:val="20"/>
                <w:szCs w:val="20"/>
              </w:rPr>
              <w:t>N=61</w:t>
            </w:r>
          </w:p>
        </w:tc>
        <w:tc>
          <w:tcPr>
            <w:tcW w:w="1622" w:type="pct"/>
            <w:tcBorders>
              <w:top w:val="single" w:sz="4" w:space="0" w:color="auto"/>
              <w:bottom w:val="single" w:sz="4" w:space="0" w:color="auto"/>
            </w:tcBorders>
            <w:shd w:val="clear" w:color="auto" w:fill="FDE9D9" w:themeFill="accent6" w:themeFillTint="33"/>
          </w:tcPr>
          <w:p w14:paraId="72D705BC" w14:textId="77777777" w:rsidR="00B535BB" w:rsidRPr="003B4D22" w:rsidRDefault="00B535BB" w:rsidP="00B535BB">
            <w:pPr>
              <w:spacing w:after="40" w:line="240" w:lineRule="auto"/>
              <w:ind w:left="-57" w:right="-57"/>
              <w:rPr>
                <w:rFonts w:ascii="Arial Narrow" w:hAnsi="Arial Narrow"/>
                <w:sz w:val="20"/>
                <w:szCs w:val="20"/>
              </w:rPr>
            </w:pPr>
            <w:r w:rsidRPr="00F67034">
              <w:rPr>
                <w:rFonts w:ascii="Arial Narrow" w:hAnsi="Arial Narrow"/>
                <w:sz w:val="20"/>
                <w:szCs w:val="20"/>
              </w:rPr>
              <w:t>[ALL(34); AML(12); other leukaemia(2); NHL(2); solid tumours(11)</w:t>
            </w:r>
            <w:r w:rsidRPr="00F67034">
              <w:rPr>
                <w:rFonts w:ascii="Arial Narrow" w:hAnsi="Arial Narrow"/>
                <w:sz w:val="20"/>
                <w:szCs w:val="20"/>
              </w:rPr>
              <w:br/>
              <w:t>Of whom 22 received HSCT (which ones not specified)</w:t>
            </w:r>
          </w:p>
        </w:tc>
      </w:tr>
      <w:tr w:rsidR="00B535BB" w:rsidRPr="003B4D22" w14:paraId="38EF5110" w14:textId="77777777" w:rsidTr="00B535BB">
        <w:tc>
          <w:tcPr>
            <w:tcW w:w="1019" w:type="pct"/>
            <w:tcBorders>
              <w:bottom w:val="single" w:sz="4" w:space="0" w:color="auto"/>
            </w:tcBorders>
          </w:tcPr>
          <w:p w14:paraId="3601F8A3"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Van Winkle et al., 2018</w:t>
            </w:r>
          </w:p>
        </w:tc>
        <w:tc>
          <w:tcPr>
            <w:tcW w:w="708" w:type="pct"/>
            <w:tcBorders>
              <w:bottom w:val="single" w:sz="4" w:space="0" w:color="auto"/>
            </w:tcBorders>
          </w:tcPr>
          <w:p w14:paraId="04AC4881"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Cohort study</w:t>
            </w:r>
          </w:p>
        </w:tc>
        <w:tc>
          <w:tcPr>
            <w:tcW w:w="1022" w:type="pct"/>
            <w:tcBorders>
              <w:bottom w:val="single" w:sz="4" w:space="0" w:color="auto"/>
            </w:tcBorders>
          </w:tcPr>
          <w:p w14:paraId="606634AF"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Moderate (SIGN)</w:t>
            </w:r>
          </w:p>
        </w:tc>
        <w:tc>
          <w:tcPr>
            <w:tcW w:w="629" w:type="pct"/>
            <w:tcBorders>
              <w:bottom w:val="single" w:sz="4" w:space="0" w:color="auto"/>
            </w:tcBorders>
          </w:tcPr>
          <w:p w14:paraId="4C0003C7"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N=118</w:t>
            </w:r>
          </w:p>
        </w:tc>
        <w:tc>
          <w:tcPr>
            <w:tcW w:w="1622" w:type="pct"/>
            <w:tcBorders>
              <w:bottom w:val="single" w:sz="4" w:space="0" w:color="auto"/>
            </w:tcBorders>
          </w:tcPr>
          <w:p w14:paraId="379DB9D7"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 xml:space="preserve">ALL </w:t>
            </w:r>
          </w:p>
        </w:tc>
      </w:tr>
      <w:tr w:rsidR="00B535BB" w:rsidRPr="00B535BB" w14:paraId="423B96D0" w14:textId="77777777" w:rsidTr="00016253">
        <w:tc>
          <w:tcPr>
            <w:tcW w:w="1019" w:type="pct"/>
            <w:shd w:val="clear" w:color="auto" w:fill="D9D9D9" w:themeFill="background1" w:themeFillShade="D9"/>
          </w:tcPr>
          <w:p w14:paraId="50059220" w14:textId="77777777" w:rsidR="00B535BB" w:rsidRPr="00B535BB" w:rsidRDefault="00B535BB" w:rsidP="00B535BB">
            <w:pPr>
              <w:spacing w:after="40" w:line="240" w:lineRule="auto"/>
              <w:ind w:left="-57" w:right="-57"/>
              <w:rPr>
                <w:rFonts w:ascii="Arial Narrow" w:hAnsi="Arial Narrow"/>
                <w:sz w:val="20"/>
                <w:szCs w:val="18"/>
              </w:rPr>
            </w:pPr>
            <w:r w:rsidRPr="00B535BB">
              <w:rPr>
                <w:rFonts w:ascii="Arial Narrow" w:hAnsi="Arial Narrow"/>
                <w:sz w:val="20"/>
                <w:szCs w:val="18"/>
              </w:rPr>
              <w:t>Stump et al., 2017</w:t>
            </w:r>
          </w:p>
        </w:tc>
        <w:tc>
          <w:tcPr>
            <w:tcW w:w="708" w:type="pct"/>
            <w:shd w:val="clear" w:color="auto" w:fill="D9D9D9" w:themeFill="background1" w:themeFillShade="D9"/>
          </w:tcPr>
          <w:p w14:paraId="00C3C220" w14:textId="77777777" w:rsidR="00B535BB" w:rsidRPr="00B535BB" w:rsidRDefault="00B535BB" w:rsidP="00B535BB">
            <w:pPr>
              <w:spacing w:after="40" w:line="240" w:lineRule="auto"/>
              <w:ind w:left="-57" w:right="-57"/>
              <w:rPr>
                <w:rFonts w:ascii="Arial Narrow" w:hAnsi="Arial Narrow"/>
                <w:sz w:val="20"/>
                <w:szCs w:val="18"/>
              </w:rPr>
            </w:pPr>
            <w:r w:rsidRPr="00B535BB">
              <w:rPr>
                <w:rFonts w:ascii="Arial Narrow" w:hAnsi="Arial Narrow"/>
                <w:sz w:val="20"/>
                <w:szCs w:val="18"/>
              </w:rPr>
              <w:t>Case series</w:t>
            </w:r>
          </w:p>
        </w:tc>
        <w:tc>
          <w:tcPr>
            <w:tcW w:w="1022" w:type="pct"/>
            <w:shd w:val="clear" w:color="auto" w:fill="D9D9D9" w:themeFill="background1" w:themeFillShade="D9"/>
          </w:tcPr>
          <w:p w14:paraId="70FAF9B3" w14:textId="77777777" w:rsidR="00B535BB" w:rsidRPr="00B535BB" w:rsidRDefault="00B535BB" w:rsidP="00B535BB">
            <w:pPr>
              <w:spacing w:after="40" w:line="240" w:lineRule="auto"/>
              <w:ind w:left="-57" w:right="-57"/>
              <w:rPr>
                <w:rFonts w:ascii="Arial Narrow" w:hAnsi="Arial Narrow"/>
                <w:sz w:val="20"/>
                <w:szCs w:val="18"/>
              </w:rPr>
            </w:pPr>
            <w:r w:rsidRPr="00B535BB">
              <w:rPr>
                <w:rFonts w:ascii="Arial Narrow" w:hAnsi="Arial Narrow"/>
                <w:sz w:val="20"/>
                <w:szCs w:val="18"/>
              </w:rPr>
              <w:t>RoB: high (IHE)</w:t>
            </w:r>
          </w:p>
        </w:tc>
        <w:tc>
          <w:tcPr>
            <w:tcW w:w="629" w:type="pct"/>
            <w:shd w:val="clear" w:color="auto" w:fill="D9D9D9" w:themeFill="background1" w:themeFillShade="D9"/>
          </w:tcPr>
          <w:p w14:paraId="674A2B15" w14:textId="77777777" w:rsidR="00B535BB" w:rsidRPr="00B535BB" w:rsidRDefault="00B535BB" w:rsidP="00B535BB">
            <w:pPr>
              <w:spacing w:after="40" w:line="240" w:lineRule="auto"/>
              <w:ind w:left="-57" w:right="-57"/>
              <w:rPr>
                <w:rFonts w:ascii="Arial Narrow" w:hAnsi="Arial Narrow"/>
                <w:sz w:val="20"/>
                <w:szCs w:val="18"/>
              </w:rPr>
            </w:pPr>
            <w:r w:rsidRPr="00B535BB">
              <w:rPr>
                <w:rFonts w:ascii="Arial Narrow" w:hAnsi="Arial Narrow"/>
                <w:sz w:val="20"/>
                <w:szCs w:val="18"/>
              </w:rPr>
              <w:t>N=79 (n=209 infusions)</w:t>
            </w:r>
          </w:p>
        </w:tc>
        <w:tc>
          <w:tcPr>
            <w:tcW w:w="1622" w:type="pct"/>
            <w:shd w:val="clear" w:color="auto" w:fill="D9D9D9" w:themeFill="background1" w:themeFillShade="D9"/>
          </w:tcPr>
          <w:p w14:paraId="2363AEF4" w14:textId="77777777" w:rsidR="00B535BB" w:rsidRPr="00B535BB" w:rsidRDefault="00B535BB" w:rsidP="00B535BB">
            <w:pPr>
              <w:spacing w:after="40" w:line="240" w:lineRule="auto"/>
              <w:ind w:left="-57" w:right="-57"/>
              <w:rPr>
                <w:rFonts w:ascii="Arial Narrow" w:hAnsi="Arial Narrow"/>
                <w:sz w:val="20"/>
                <w:szCs w:val="20"/>
              </w:rPr>
            </w:pPr>
            <w:r w:rsidRPr="00B535BB">
              <w:rPr>
                <w:rFonts w:ascii="Arial Narrow" w:hAnsi="Arial Narrow"/>
                <w:sz w:val="20"/>
                <w:szCs w:val="20"/>
              </w:rPr>
              <w:t>CLL(74); AL(65); MM(26); NHL(32); HL(7); CML(5)</w:t>
            </w:r>
          </w:p>
        </w:tc>
      </w:tr>
      <w:tr w:rsidR="00B535BB" w:rsidRPr="00386411" w14:paraId="32ECCCC4" w14:textId="77777777" w:rsidTr="00B535BB">
        <w:tc>
          <w:tcPr>
            <w:tcW w:w="1019" w:type="pct"/>
            <w:tcBorders>
              <w:bottom w:val="single" w:sz="4" w:space="0" w:color="auto"/>
            </w:tcBorders>
            <w:shd w:val="clear" w:color="auto" w:fill="000000" w:themeFill="text1"/>
          </w:tcPr>
          <w:p w14:paraId="0315910B" w14:textId="77777777" w:rsidR="00B535BB" w:rsidRPr="00386411" w:rsidRDefault="00B535BB" w:rsidP="00B535BB">
            <w:pPr>
              <w:spacing w:after="40" w:line="240" w:lineRule="auto"/>
              <w:ind w:left="-57" w:right="-57"/>
              <w:rPr>
                <w:rFonts w:ascii="Arial Narrow" w:hAnsi="Arial Narrow"/>
                <w:b/>
                <w:sz w:val="20"/>
                <w:szCs w:val="20"/>
              </w:rPr>
            </w:pPr>
            <w:r w:rsidRPr="00386411">
              <w:rPr>
                <w:rFonts w:ascii="Arial Narrow" w:hAnsi="Arial Narrow"/>
                <w:b/>
                <w:sz w:val="20"/>
                <w:szCs w:val="20"/>
              </w:rPr>
              <w:t>CLL</w:t>
            </w:r>
          </w:p>
        </w:tc>
        <w:tc>
          <w:tcPr>
            <w:tcW w:w="708" w:type="pct"/>
            <w:tcBorders>
              <w:bottom w:val="single" w:sz="4" w:space="0" w:color="auto"/>
            </w:tcBorders>
            <w:shd w:val="clear" w:color="auto" w:fill="000000" w:themeFill="text1"/>
          </w:tcPr>
          <w:p w14:paraId="6D6A008D" w14:textId="77777777" w:rsidR="00B535BB" w:rsidRPr="00386411" w:rsidRDefault="00B535BB" w:rsidP="00B535BB">
            <w:pPr>
              <w:spacing w:after="40" w:line="240" w:lineRule="auto"/>
              <w:ind w:left="-57" w:right="-57"/>
              <w:rPr>
                <w:rFonts w:ascii="Arial Narrow" w:hAnsi="Arial Narrow"/>
                <w:b/>
                <w:sz w:val="20"/>
                <w:szCs w:val="20"/>
              </w:rPr>
            </w:pPr>
          </w:p>
        </w:tc>
        <w:tc>
          <w:tcPr>
            <w:tcW w:w="1022" w:type="pct"/>
            <w:tcBorders>
              <w:bottom w:val="single" w:sz="4" w:space="0" w:color="auto"/>
            </w:tcBorders>
            <w:shd w:val="clear" w:color="auto" w:fill="000000" w:themeFill="text1"/>
          </w:tcPr>
          <w:p w14:paraId="16A40BDA" w14:textId="77777777" w:rsidR="00B535BB" w:rsidRPr="00386411" w:rsidRDefault="00B535BB" w:rsidP="00B535BB">
            <w:pPr>
              <w:spacing w:after="40" w:line="240" w:lineRule="auto"/>
              <w:ind w:left="-57" w:right="-57"/>
              <w:rPr>
                <w:rFonts w:ascii="Arial Narrow" w:hAnsi="Arial Narrow"/>
                <w:b/>
                <w:sz w:val="20"/>
                <w:szCs w:val="20"/>
              </w:rPr>
            </w:pPr>
          </w:p>
        </w:tc>
        <w:tc>
          <w:tcPr>
            <w:tcW w:w="629" w:type="pct"/>
            <w:tcBorders>
              <w:bottom w:val="single" w:sz="4" w:space="0" w:color="auto"/>
            </w:tcBorders>
            <w:shd w:val="clear" w:color="auto" w:fill="000000" w:themeFill="text1"/>
          </w:tcPr>
          <w:p w14:paraId="2E676085" w14:textId="77777777" w:rsidR="00B535BB" w:rsidRPr="00386411" w:rsidRDefault="00B535BB" w:rsidP="00B535BB">
            <w:pPr>
              <w:spacing w:after="40" w:line="240" w:lineRule="auto"/>
              <w:ind w:left="-57" w:right="-57"/>
              <w:rPr>
                <w:rFonts w:ascii="Arial Narrow" w:hAnsi="Arial Narrow"/>
                <w:b/>
                <w:sz w:val="20"/>
                <w:szCs w:val="20"/>
              </w:rPr>
            </w:pPr>
          </w:p>
        </w:tc>
        <w:tc>
          <w:tcPr>
            <w:tcW w:w="1622" w:type="pct"/>
            <w:tcBorders>
              <w:bottom w:val="single" w:sz="4" w:space="0" w:color="auto"/>
            </w:tcBorders>
            <w:shd w:val="clear" w:color="auto" w:fill="000000" w:themeFill="text1"/>
          </w:tcPr>
          <w:p w14:paraId="4EEE9C3E" w14:textId="77777777" w:rsidR="00B535BB" w:rsidRPr="00386411" w:rsidRDefault="00B535BB" w:rsidP="00B535BB">
            <w:pPr>
              <w:spacing w:after="40" w:line="240" w:lineRule="auto"/>
              <w:ind w:left="-57" w:right="-57"/>
              <w:rPr>
                <w:rFonts w:ascii="Arial Narrow" w:hAnsi="Arial Narrow"/>
                <w:b/>
                <w:sz w:val="20"/>
                <w:szCs w:val="20"/>
              </w:rPr>
            </w:pPr>
          </w:p>
        </w:tc>
      </w:tr>
      <w:tr w:rsidR="00B535BB" w:rsidRPr="003B4D22" w14:paraId="56ABE9EA" w14:textId="77777777" w:rsidTr="00B535BB">
        <w:tc>
          <w:tcPr>
            <w:tcW w:w="1019" w:type="pct"/>
            <w:tcBorders>
              <w:bottom w:val="single" w:sz="4" w:space="0" w:color="auto"/>
            </w:tcBorders>
            <w:shd w:val="clear" w:color="auto" w:fill="FDE9D9" w:themeFill="accent6" w:themeFillTint="33"/>
          </w:tcPr>
          <w:p w14:paraId="417857AA"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Boughton et al., 1995</w:t>
            </w:r>
          </w:p>
        </w:tc>
        <w:tc>
          <w:tcPr>
            <w:tcW w:w="708" w:type="pct"/>
            <w:tcBorders>
              <w:bottom w:val="single" w:sz="4" w:space="0" w:color="auto"/>
            </w:tcBorders>
            <w:shd w:val="clear" w:color="auto" w:fill="FDE9D9" w:themeFill="accent6" w:themeFillTint="33"/>
          </w:tcPr>
          <w:p w14:paraId="40C7F424"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RCT</w:t>
            </w:r>
          </w:p>
        </w:tc>
        <w:tc>
          <w:tcPr>
            <w:tcW w:w="1022" w:type="pct"/>
            <w:tcBorders>
              <w:bottom w:val="single" w:sz="4" w:space="0" w:color="auto"/>
            </w:tcBorders>
            <w:shd w:val="clear" w:color="auto" w:fill="FDE9D9" w:themeFill="accent6" w:themeFillTint="33"/>
          </w:tcPr>
          <w:p w14:paraId="51EDEBAF"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RoB: moderate (SIGN)</w:t>
            </w:r>
          </w:p>
        </w:tc>
        <w:tc>
          <w:tcPr>
            <w:tcW w:w="629" w:type="pct"/>
            <w:tcBorders>
              <w:bottom w:val="single" w:sz="4" w:space="0" w:color="auto"/>
            </w:tcBorders>
            <w:shd w:val="clear" w:color="auto" w:fill="FDE9D9" w:themeFill="accent6" w:themeFillTint="33"/>
          </w:tcPr>
          <w:p w14:paraId="2F7773EA"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N=42</w:t>
            </w:r>
          </w:p>
        </w:tc>
        <w:tc>
          <w:tcPr>
            <w:tcW w:w="1622" w:type="pct"/>
            <w:tcBorders>
              <w:bottom w:val="single" w:sz="4" w:space="0" w:color="auto"/>
            </w:tcBorders>
            <w:shd w:val="clear" w:color="auto" w:fill="FDE9D9" w:themeFill="accent6" w:themeFillTint="33"/>
          </w:tcPr>
          <w:p w14:paraId="14A69B99"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CLL</w:t>
            </w:r>
          </w:p>
        </w:tc>
      </w:tr>
      <w:tr w:rsidR="00B535BB" w:rsidRPr="003B4D22" w14:paraId="14CF1D0C" w14:textId="77777777" w:rsidTr="00B535BB">
        <w:tc>
          <w:tcPr>
            <w:tcW w:w="1019" w:type="pct"/>
            <w:tcBorders>
              <w:top w:val="single" w:sz="4" w:space="0" w:color="auto"/>
              <w:bottom w:val="single" w:sz="4" w:space="0" w:color="auto"/>
            </w:tcBorders>
            <w:shd w:val="clear" w:color="auto" w:fill="FDE9D9" w:themeFill="accent6" w:themeFillTint="33"/>
          </w:tcPr>
          <w:p w14:paraId="1C398BBA"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Chapel et al., 1991</w:t>
            </w:r>
          </w:p>
        </w:tc>
        <w:tc>
          <w:tcPr>
            <w:tcW w:w="708" w:type="pct"/>
            <w:tcBorders>
              <w:top w:val="single" w:sz="4" w:space="0" w:color="auto"/>
              <w:bottom w:val="single" w:sz="4" w:space="0" w:color="auto"/>
            </w:tcBorders>
            <w:shd w:val="clear" w:color="auto" w:fill="FDE9D9" w:themeFill="accent6" w:themeFillTint="33"/>
          </w:tcPr>
          <w:p w14:paraId="66B2309D"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RCT cross-over</w:t>
            </w:r>
          </w:p>
        </w:tc>
        <w:tc>
          <w:tcPr>
            <w:tcW w:w="1022" w:type="pct"/>
            <w:tcBorders>
              <w:top w:val="single" w:sz="4" w:space="0" w:color="auto"/>
              <w:bottom w:val="single" w:sz="4" w:space="0" w:color="auto"/>
            </w:tcBorders>
            <w:shd w:val="clear" w:color="auto" w:fill="FDE9D9" w:themeFill="accent6" w:themeFillTint="33"/>
          </w:tcPr>
          <w:p w14:paraId="5CFFF344"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RoB: low (SIGN)</w:t>
            </w:r>
          </w:p>
        </w:tc>
        <w:tc>
          <w:tcPr>
            <w:tcW w:w="629" w:type="pct"/>
            <w:tcBorders>
              <w:top w:val="single" w:sz="4" w:space="0" w:color="auto"/>
              <w:bottom w:val="single" w:sz="4" w:space="0" w:color="auto"/>
            </w:tcBorders>
            <w:shd w:val="clear" w:color="auto" w:fill="FDE9D9" w:themeFill="accent6" w:themeFillTint="33"/>
          </w:tcPr>
          <w:p w14:paraId="622457AF"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N=12</w:t>
            </w:r>
          </w:p>
        </w:tc>
        <w:tc>
          <w:tcPr>
            <w:tcW w:w="1622" w:type="pct"/>
            <w:tcBorders>
              <w:top w:val="single" w:sz="4" w:space="0" w:color="auto"/>
              <w:bottom w:val="single" w:sz="4" w:space="0" w:color="auto"/>
            </w:tcBorders>
            <w:shd w:val="clear" w:color="auto" w:fill="FDE9D9" w:themeFill="accent6" w:themeFillTint="33"/>
          </w:tcPr>
          <w:p w14:paraId="2744C891"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CLL, NHL (breakdown not given; NHL likely v small)</w:t>
            </w:r>
          </w:p>
        </w:tc>
      </w:tr>
      <w:tr w:rsidR="00B535BB" w:rsidRPr="003B4D22" w14:paraId="47C3F044" w14:textId="77777777" w:rsidTr="00B535BB">
        <w:tc>
          <w:tcPr>
            <w:tcW w:w="1019" w:type="pct"/>
            <w:tcBorders>
              <w:top w:val="single" w:sz="4" w:space="0" w:color="auto"/>
              <w:bottom w:val="single" w:sz="4" w:space="0" w:color="auto"/>
            </w:tcBorders>
            <w:shd w:val="clear" w:color="auto" w:fill="FDE9D9" w:themeFill="accent6" w:themeFillTint="33"/>
          </w:tcPr>
          <w:p w14:paraId="689A1BF1"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Molica et al., 1996</w:t>
            </w:r>
          </w:p>
        </w:tc>
        <w:tc>
          <w:tcPr>
            <w:tcW w:w="708" w:type="pct"/>
            <w:tcBorders>
              <w:top w:val="single" w:sz="4" w:space="0" w:color="auto"/>
              <w:bottom w:val="single" w:sz="4" w:space="0" w:color="auto"/>
            </w:tcBorders>
            <w:shd w:val="clear" w:color="auto" w:fill="FDE9D9" w:themeFill="accent6" w:themeFillTint="33"/>
          </w:tcPr>
          <w:p w14:paraId="7B2ECA6F"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RCT cross-over</w:t>
            </w:r>
          </w:p>
        </w:tc>
        <w:tc>
          <w:tcPr>
            <w:tcW w:w="1022" w:type="pct"/>
            <w:tcBorders>
              <w:top w:val="single" w:sz="4" w:space="0" w:color="auto"/>
              <w:bottom w:val="single" w:sz="4" w:space="0" w:color="auto"/>
            </w:tcBorders>
            <w:shd w:val="clear" w:color="auto" w:fill="FDE9D9" w:themeFill="accent6" w:themeFillTint="33"/>
          </w:tcPr>
          <w:p w14:paraId="4D18F504"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RoB: moderate (SIGN)</w:t>
            </w:r>
          </w:p>
        </w:tc>
        <w:tc>
          <w:tcPr>
            <w:tcW w:w="629" w:type="pct"/>
            <w:tcBorders>
              <w:top w:val="single" w:sz="4" w:space="0" w:color="auto"/>
              <w:bottom w:val="single" w:sz="4" w:space="0" w:color="auto"/>
            </w:tcBorders>
            <w:shd w:val="clear" w:color="auto" w:fill="FDE9D9" w:themeFill="accent6" w:themeFillTint="33"/>
          </w:tcPr>
          <w:p w14:paraId="517C7B7C"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N=42</w:t>
            </w:r>
          </w:p>
        </w:tc>
        <w:tc>
          <w:tcPr>
            <w:tcW w:w="1622" w:type="pct"/>
            <w:tcBorders>
              <w:top w:val="single" w:sz="4" w:space="0" w:color="auto"/>
              <w:bottom w:val="single" w:sz="4" w:space="0" w:color="auto"/>
            </w:tcBorders>
            <w:shd w:val="clear" w:color="auto" w:fill="FDE9D9" w:themeFill="accent6" w:themeFillTint="33"/>
          </w:tcPr>
          <w:p w14:paraId="2F9A2681"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CLL</w:t>
            </w:r>
          </w:p>
        </w:tc>
      </w:tr>
      <w:tr w:rsidR="00B535BB" w:rsidRPr="003B4D22" w14:paraId="31E80FD6" w14:textId="77777777" w:rsidTr="00B535BB">
        <w:tc>
          <w:tcPr>
            <w:tcW w:w="1019" w:type="pct"/>
            <w:tcBorders>
              <w:top w:val="single" w:sz="4" w:space="0" w:color="auto"/>
              <w:bottom w:val="single" w:sz="4" w:space="0" w:color="auto"/>
            </w:tcBorders>
          </w:tcPr>
          <w:p w14:paraId="42E52C88" w14:textId="13EABA80" w:rsidR="00B535BB" w:rsidRPr="003B4D22" w:rsidRDefault="00B535BB" w:rsidP="00BB0145">
            <w:pPr>
              <w:spacing w:after="40" w:line="240" w:lineRule="auto"/>
              <w:ind w:left="-57" w:right="-57"/>
              <w:rPr>
                <w:rFonts w:ascii="Arial Narrow" w:hAnsi="Arial Narrow"/>
                <w:sz w:val="20"/>
                <w:szCs w:val="20"/>
              </w:rPr>
            </w:pPr>
            <w:r w:rsidRPr="003B4D22">
              <w:rPr>
                <w:rFonts w:ascii="Arial Narrow" w:hAnsi="Arial Narrow"/>
                <w:sz w:val="20"/>
                <w:szCs w:val="20"/>
              </w:rPr>
              <w:fldChar w:fldCharType="begin">
                <w:fldData xml:space="preserve">PEVuZE5vdGU+PENpdGU+PEF1dGhvcj5BbW1hbm48L0F1dGhvcj48WWVhcj4yMDE2PC9ZZWFyPjxS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</w:fldData>
              </w:fldChar>
            </w:r>
            <w:r w:rsidRPr="003B4D22">
              <w:rPr>
                <w:rFonts w:ascii="Arial Narrow" w:hAnsi="Arial Narrow"/>
                <w:sz w:val="20"/>
                <w:szCs w:val="20"/>
              </w:rPr>
              <w:instrText xml:space="preserve"> ADDIN EN.CITE </w:instrText>
            </w:r>
            <w:r w:rsidRPr="003B4D22">
              <w:rPr>
                <w:rFonts w:ascii="Arial Narrow" w:hAnsi="Arial Narrow"/>
                <w:sz w:val="20"/>
                <w:szCs w:val="20"/>
              </w:rPr>
              <w:fldChar w:fldCharType="begin">
                <w:fldData xml:space="preserve">PEVuZE5vdGU+PENpdGU+PEF1dGhvcj5BbW1hbm48L0F1dGhvcj48WWVhcj4yMDE2PC9ZZWFyPjxS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</w:fldData>
              </w:fldChar>
            </w:r>
            <w:r w:rsidRPr="003B4D22">
              <w:rPr>
                <w:rFonts w:ascii="Arial Narrow" w:hAnsi="Arial Narrow"/>
                <w:sz w:val="20"/>
                <w:szCs w:val="20"/>
              </w:rPr>
              <w:instrText xml:space="preserve"> ADDIN EN.CITE.DATA </w:instrText>
            </w:r>
            <w:r w:rsidRPr="003B4D22">
              <w:rPr>
                <w:rFonts w:ascii="Arial Narrow" w:hAnsi="Arial Narrow"/>
                <w:sz w:val="20"/>
                <w:szCs w:val="20"/>
              </w:rPr>
            </w:r>
            <w:r w:rsidRPr="003B4D22">
              <w:rPr>
                <w:rFonts w:ascii="Arial Narrow" w:hAnsi="Arial Narrow"/>
                <w:sz w:val="20"/>
                <w:szCs w:val="20"/>
              </w:rPr>
              <w:fldChar w:fldCharType="end"/>
            </w:r>
            <w:r w:rsidRPr="003B4D22">
              <w:rPr>
                <w:rFonts w:ascii="Arial Narrow" w:hAnsi="Arial Narrow"/>
                <w:sz w:val="20"/>
                <w:szCs w:val="20"/>
              </w:rPr>
            </w:r>
            <w:r w:rsidRPr="003B4D22">
              <w:rPr>
                <w:rFonts w:ascii="Arial Narrow" w:hAnsi="Arial Narrow"/>
                <w:sz w:val="20"/>
                <w:szCs w:val="20"/>
              </w:rPr>
              <w:fldChar w:fldCharType="separate"/>
            </w:r>
            <w:r w:rsidRPr="003B4D22">
              <w:rPr>
                <w:rFonts w:ascii="Arial Narrow" w:hAnsi="Arial Narrow"/>
                <w:noProof/>
                <w:sz w:val="20"/>
                <w:szCs w:val="20"/>
              </w:rPr>
              <w:t>(</w:t>
            </w:r>
            <w:hyperlink w:anchor="_ENREF_1" w:tooltip="Ammann, 2016 #1" w:history="1">
              <w:r w:rsidR="00BB0145" w:rsidRPr="003B4D22">
                <w:rPr>
                  <w:rFonts w:ascii="Arial Narrow" w:hAnsi="Arial Narrow"/>
                  <w:noProof/>
                  <w:sz w:val="20"/>
                  <w:szCs w:val="20"/>
                </w:rPr>
                <w:t>Ammann et al. 2016</w:t>
              </w:r>
            </w:hyperlink>
            <w:r w:rsidRPr="003B4D22">
              <w:rPr>
                <w:rFonts w:ascii="Arial Narrow" w:hAnsi="Arial Narrow"/>
                <w:noProof/>
                <w:sz w:val="20"/>
                <w:szCs w:val="20"/>
              </w:rPr>
              <w:t>)</w:t>
            </w:r>
            <w:r w:rsidRPr="003B4D22">
              <w:rPr>
                <w:rFonts w:ascii="Arial Narrow" w:hAnsi="Arial Narrow"/>
                <w:sz w:val="20"/>
                <w:szCs w:val="20"/>
              </w:rPr>
              <w:fldChar w:fldCharType="end"/>
            </w:r>
          </w:p>
        </w:tc>
        <w:tc>
          <w:tcPr>
            <w:tcW w:w="708" w:type="pct"/>
            <w:tcBorders>
              <w:top w:val="single" w:sz="4" w:space="0" w:color="auto"/>
              <w:bottom w:val="single" w:sz="4" w:space="0" w:color="auto"/>
            </w:tcBorders>
          </w:tcPr>
          <w:p w14:paraId="6CEA3059"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Registry study</w:t>
            </w:r>
          </w:p>
        </w:tc>
        <w:tc>
          <w:tcPr>
            <w:tcW w:w="1022" w:type="pct"/>
            <w:tcBorders>
              <w:top w:val="single" w:sz="4" w:space="0" w:color="auto"/>
              <w:bottom w:val="single" w:sz="4" w:space="0" w:color="auto"/>
            </w:tcBorders>
          </w:tcPr>
          <w:p w14:paraId="6F4DC974"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RoB: moderate (IHE)</w:t>
            </w:r>
          </w:p>
        </w:tc>
        <w:tc>
          <w:tcPr>
            <w:tcW w:w="629" w:type="pct"/>
            <w:tcBorders>
              <w:top w:val="single" w:sz="4" w:space="0" w:color="auto"/>
              <w:bottom w:val="single" w:sz="4" w:space="0" w:color="auto"/>
            </w:tcBorders>
          </w:tcPr>
          <w:p w14:paraId="1636628D"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N= 10,759</w:t>
            </w:r>
          </w:p>
        </w:tc>
        <w:tc>
          <w:tcPr>
            <w:tcW w:w="1622" w:type="pct"/>
            <w:tcBorders>
              <w:top w:val="single" w:sz="4" w:space="0" w:color="auto"/>
              <w:bottom w:val="single" w:sz="4" w:space="0" w:color="auto"/>
            </w:tcBorders>
          </w:tcPr>
          <w:p w14:paraId="3F6F74FE"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CLL(76%), MM(24%)</w:t>
            </w:r>
          </w:p>
        </w:tc>
      </w:tr>
      <w:tr w:rsidR="00B535BB" w:rsidRPr="003B4D22" w14:paraId="16E23CA2" w14:textId="77777777" w:rsidTr="00B535BB">
        <w:tc>
          <w:tcPr>
            <w:tcW w:w="1019" w:type="pct"/>
            <w:tcBorders>
              <w:top w:val="single" w:sz="4" w:space="0" w:color="auto"/>
              <w:bottom w:val="single" w:sz="4" w:space="0" w:color="auto"/>
            </w:tcBorders>
          </w:tcPr>
          <w:p w14:paraId="2EB45D3C"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Paxton et al., 2016</w:t>
            </w:r>
          </w:p>
        </w:tc>
        <w:tc>
          <w:tcPr>
            <w:tcW w:w="708" w:type="pct"/>
            <w:tcBorders>
              <w:top w:val="single" w:sz="4" w:space="0" w:color="auto"/>
              <w:bottom w:val="single" w:sz="4" w:space="0" w:color="auto"/>
            </w:tcBorders>
          </w:tcPr>
          <w:p w14:paraId="58698E21"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Cohort study</w:t>
            </w:r>
          </w:p>
        </w:tc>
        <w:tc>
          <w:tcPr>
            <w:tcW w:w="1022" w:type="pct"/>
            <w:tcBorders>
              <w:top w:val="single" w:sz="4" w:space="0" w:color="auto"/>
              <w:bottom w:val="single" w:sz="4" w:space="0" w:color="auto"/>
            </w:tcBorders>
          </w:tcPr>
          <w:p w14:paraId="647E5ED4"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RoB: high (SIGN)</w:t>
            </w:r>
          </w:p>
        </w:tc>
        <w:tc>
          <w:tcPr>
            <w:tcW w:w="629" w:type="pct"/>
            <w:tcBorders>
              <w:top w:val="single" w:sz="4" w:space="0" w:color="auto"/>
              <w:bottom w:val="single" w:sz="4" w:space="0" w:color="auto"/>
            </w:tcBorders>
          </w:tcPr>
          <w:p w14:paraId="5F08D8DC"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N=92</w:t>
            </w:r>
          </w:p>
        </w:tc>
        <w:tc>
          <w:tcPr>
            <w:tcW w:w="1622" w:type="pct"/>
            <w:tcBorders>
              <w:top w:val="single" w:sz="4" w:space="0" w:color="auto"/>
              <w:bottom w:val="single" w:sz="4" w:space="0" w:color="auto"/>
            </w:tcBorders>
          </w:tcPr>
          <w:p w14:paraId="717454B3"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CLL (42); MM (18); NHL (27); other (5)</w:t>
            </w:r>
          </w:p>
        </w:tc>
      </w:tr>
      <w:tr w:rsidR="00B535BB" w:rsidRPr="003B4D22" w14:paraId="2B7D712F" w14:textId="77777777" w:rsidTr="00B535BB">
        <w:tc>
          <w:tcPr>
            <w:tcW w:w="1019" w:type="pct"/>
            <w:tcBorders>
              <w:top w:val="single" w:sz="4" w:space="0" w:color="auto"/>
              <w:bottom w:val="single" w:sz="4" w:space="0" w:color="auto"/>
            </w:tcBorders>
          </w:tcPr>
          <w:p w14:paraId="003CD205"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Besa, 1992</w:t>
            </w:r>
          </w:p>
        </w:tc>
        <w:tc>
          <w:tcPr>
            <w:tcW w:w="708" w:type="pct"/>
            <w:tcBorders>
              <w:top w:val="single" w:sz="4" w:space="0" w:color="auto"/>
              <w:bottom w:val="single" w:sz="4" w:space="0" w:color="auto"/>
            </w:tcBorders>
          </w:tcPr>
          <w:p w14:paraId="3851C203"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 xml:space="preserve">Case series </w:t>
            </w:r>
          </w:p>
        </w:tc>
        <w:tc>
          <w:tcPr>
            <w:tcW w:w="1022" w:type="pct"/>
            <w:tcBorders>
              <w:top w:val="single" w:sz="4" w:space="0" w:color="auto"/>
              <w:bottom w:val="single" w:sz="4" w:space="0" w:color="auto"/>
            </w:tcBorders>
          </w:tcPr>
          <w:p w14:paraId="338CCFC6"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RoB: high (IHE)</w:t>
            </w:r>
          </w:p>
        </w:tc>
        <w:tc>
          <w:tcPr>
            <w:tcW w:w="629" w:type="pct"/>
            <w:tcBorders>
              <w:top w:val="single" w:sz="4" w:space="0" w:color="auto"/>
              <w:bottom w:val="single" w:sz="4" w:space="0" w:color="auto"/>
            </w:tcBorders>
          </w:tcPr>
          <w:p w14:paraId="3C0BA942"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N=23</w:t>
            </w:r>
          </w:p>
        </w:tc>
        <w:tc>
          <w:tcPr>
            <w:tcW w:w="1622" w:type="pct"/>
            <w:tcBorders>
              <w:top w:val="single" w:sz="4" w:space="0" w:color="auto"/>
              <w:bottom w:val="single" w:sz="4" w:space="0" w:color="auto"/>
            </w:tcBorders>
          </w:tcPr>
          <w:p w14:paraId="26692A03"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CLL</w:t>
            </w:r>
          </w:p>
        </w:tc>
      </w:tr>
      <w:tr w:rsidR="00B535BB" w:rsidRPr="003B4D22" w14:paraId="67F5CA0F" w14:textId="77777777" w:rsidTr="00B535BB">
        <w:tc>
          <w:tcPr>
            <w:tcW w:w="1019" w:type="pct"/>
            <w:tcBorders>
              <w:top w:val="single" w:sz="4" w:space="0" w:color="auto"/>
              <w:bottom w:val="single" w:sz="4" w:space="0" w:color="auto"/>
            </w:tcBorders>
          </w:tcPr>
          <w:p w14:paraId="066BE57B"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Brenner, 1996</w:t>
            </w:r>
          </w:p>
        </w:tc>
        <w:tc>
          <w:tcPr>
            <w:tcW w:w="708" w:type="pct"/>
            <w:tcBorders>
              <w:top w:val="single" w:sz="4" w:space="0" w:color="auto"/>
              <w:bottom w:val="single" w:sz="4" w:space="0" w:color="auto"/>
            </w:tcBorders>
          </w:tcPr>
          <w:p w14:paraId="744F4525"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Time series</w:t>
            </w:r>
          </w:p>
        </w:tc>
        <w:tc>
          <w:tcPr>
            <w:tcW w:w="1022" w:type="pct"/>
            <w:tcBorders>
              <w:top w:val="single" w:sz="4" w:space="0" w:color="auto"/>
              <w:bottom w:val="single" w:sz="4" w:space="0" w:color="auto"/>
            </w:tcBorders>
          </w:tcPr>
          <w:p w14:paraId="201C95C1"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RoB: moderate (IHE)</w:t>
            </w:r>
          </w:p>
        </w:tc>
        <w:tc>
          <w:tcPr>
            <w:tcW w:w="629" w:type="pct"/>
            <w:tcBorders>
              <w:top w:val="single" w:sz="4" w:space="0" w:color="auto"/>
              <w:bottom w:val="single" w:sz="4" w:space="0" w:color="auto"/>
            </w:tcBorders>
          </w:tcPr>
          <w:p w14:paraId="03A9C397"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N=54 (26 patients SID)</w:t>
            </w:r>
          </w:p>
        </w:tc>
        <w:tc>
          <w:tcPr>
            <w:tcW w:w="1622" w:type="pct"/>
            <w:tcBorders>
              <w:top w:val="single" w:sz="4" w:space="0" w:color="auto"/>
              <w:bottom w:val="single" w:sz="4" w:space="0" w:color="auto"/>
            </w:tcBorders>
          </w:tcPr>
          <w:p w14:paraId="22C12D5B"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CLL(22), MM(4)</w:t>
            </w:r>
          </w:p>
        </w:tc>
      </w:tr>
      <w:tr w:rsidR="00B535BB" w:rsidRPr="003B4D22" w14:paraId="25BDF0BC" w14:textId="77777777" w:rsidTr="00B535BB">
        <w:tc>
          <w:tcPr>
            <w:tcW w:w="1019" w:type="pct"/>
            <w:tcBorders>
              <w:top w:val="single" w:sz="4" w:space="0" w:color="auto"/>
              <w:bottom w:val="single" w:sz="4" w:space="0" w:color="auto"/>
            </w:tcBorders>
          </w:tcPr>
          <w:p w14:paraId="284F03B8"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Dimou et al. 2018</w:t>
            </w:r>
          </w:p>
        </w:tc>
        <w:tc>
          <w:tcPr>
            <w:tcW w:w="708" w:type="pct"/>
            <w:tcBorders>
              <w:top w:val="single" w:sz="4" w:space="0" w:color="auto"/>
              <w:bottom w:val="single" w:sz="4" w:space="0" w:color="auto"/>
            </w:tcBorders>
          </w:tcPr>
          <w:p w14:paraId="7A4E84F4"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Before/after time series</w:t>
            </w:r>
          </w:p>
        </w:tc>
        <w:tc>
          <w:tcPr>
            <w:tcW w:w="1022" w:type="pct"/>
            <w:tcBorders>
              <w:top w:val="single" w:sz="4" w:space="0" w:color="auto"/>
              <w:bottom w:val="single" w:sz="4" w:space="0" w:color="auto"/>
            </w:tcBorders>
          </w:tcPr>
          <w:p w14:paraId="314F800C"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RoB: moderate (SIGN)</w:t>
            </w:r>
          </w:p>
        </w:tc>
        <w:tc>
          <w:tcPr>
            <w:tcW w:w="629" w:type="pct"/>
            <w:tcBorders>
              <w:top w:val="single" w:sz="4" w:space="0" w:color="auto"/>
              <w:bottom w:val="single" w:sz="4" w:space="0" w:color="auto"/>
            </w:tcBorders>
          </w:tcPr>
          <w:p w14:paraId="51F02C7E"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N=33</w:t>
            </w:r>
          </w:p>
        </w:tc>
        <w:tc>
          <w:tcPr>
            <w:tcW w:w="1622" w:type="pct"/>
            <w:tcBorders>
              <w:top w:val="single" w:sz="4" w:space="0" w:color="auto"/>
              <w:bottom w:val="single" w:sz="4" w:space="0" w:color="auto"/>
            </w:tcBorders>
          </w:tcPr>
          <w:p w14:paraId="05E7B957"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CLL(25); MM(3); NHL(3); HL(1)</w:t>
            </w:r>
          </w:p>
        </w:tc>
      </w:tr>
      <w:tr w:rsidR="00B535BB" w:rsidRPr="003B4D22" w14:paraId="363B9FD7" w14:textId="77777777" w:rsidTr="00B535BB">
        <w:tc>
          <w:tcPr>
            <w:tcW w:w="1019" w:type="pct"/>
            <w:tcBorders>
              <w:top w:val="single" w:sz="4" w:space="0" w:color="auto"/>
              <w:bottom w:val="single" w:sz="4" w:space="0" w:color="auto"/>
            </w:tcBorders>
          </w:tcPr>
          <w:p w14:paraId="02C923A2"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Jurlander et al., 1994</w:t>
            </w:r>
          </w:p>
        </w:tc>
        <w:tc>
          <w:tcPr>
            <w:tcW w:w="708" w:type="pct"/>
            <w:tcBorders>
              <w:top w:val="single" w:sz="4" w:space="0" w:color="auto"/>
              <w:bottom w:val="single" w:sz="4" w:space="0" w:color="auto"/>
            </w:tcBorders>
          </w:tcPr>
          <w:p w14:paraId="7968AE54"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Time series</w:t>
            </w:r>
          </w:p>
        </w:tc>
        <w:tc>
          <w:tcPr>
            <w:tcW w:w="1022" w:type="pct"/>
            <w:tcBorders>
              <w:top w:val="single" w:sz="4" w:space="0" w:color="auto"/>
              <w:bottom w:val="single" w:sz="4" w:space="0" w:color="auto"/>
            </w:tcBorders>
          </w:tcPr>
          <w:p w14:paraId="3FF4BA5D"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RoB: moderate (SIGN)</w:t>
            </w:r>
          </w:p>
        </w:tc>
        <w:tc>
          <w:tcPr>
            <w:tcW w:w="629" w:type="pct"/>
            <w:tcBorders>
              <w:top w:val="single" w:sz="4" w:space="0" w:color="auto"/>
              <w:bottom w:val="single" w:sz="4" w:space="0" w:color="auto"/>
            </w:tcBorders>
          </w:tcPr>
          <w:p w14:paraId="2A9E5748"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N=15</w:t>
            </w:r>
          </w:p>
        </w:tc>
        <w:tc>
          <w:tcPr>
            <w:tcW w:w="1622" w:type="pct"/>
            <w:tcBorders>
              <w:top w:val="single" w:sz="4" w:space="0" w:color="auto"/>
              <w:bottom w:val="single" w:sz="4" w:space="0" w:color="auto"/>
            </w:tcBorders>
          </w:tcPr>
          <w:p w14:paraId="1787224D"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CLL</w:t>
            </w:r>
          </w:p>
        </w:tc>
      </w:tr>
      <w:tr w:rsidR="00B535BB" w:rsidRPr="003B4D22" w14:paraId="0E8553C7" w14:textId="77777777" w:rsidTr="00B535BB">
        <w:tc>
          <w:tcPr>
            <w:tcW w:w="1019" w:type="pct"/>
            <w:tcBorders>
              <w:top w:val="single" w:sz="4" w:space="0" w:color="auto"/>
              <w:bottom w:val="single" w:sz="4" w:space="0" w:color="auto"/>
            </w:tcBorders>
          </w:tcPr>
          <w:p w14:paraId="286FD9F7"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Reiser et al., 2017</w:t>
            </w:r>
          </w:p>
        </w:tc>
        <w:tc>
          <w:tcPr>
            <w:tcW w:w="708" w:type="pct"/>
            <w:tcBorders>
              <w:top w:val="single" w:sz="4" w:space="0" w:color="auto"/>
              <w:bottom w:val="single" w:sz="4" w:space="0" w:color="auto"/>
            </w:tcBorders>
          </w:tcPr>
          <w:p w14:paraId="6609B0EB"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Case series</w:t>
            </w:r>
          </w:p>
        </w:tc>
        <w:tc>
          <w:tcPr>
            <w:tcW w:w="1022" w:type="pct"/>
            <w:tcBorders>
              <w:top w:val="single" w:sz="4" w:space="0" w:color="auto"/>
              <w:bottom w:val="single" w:sz="4" w:space="0" w:color="auto"/>
            </w:tcBorders>
          </w:tcPr>
          <w:p w14:paraId="1CD51F8F"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RoB: moderate (IHE)</w:t>
            </w:r>
          </w:p>
        </w:tc>
        <w:tc>
          <w:tcPr>
            <w:tcW w:w="629" w:type="pct"/>
            <w:tcBorders>
              <w:top w:val="single" w:sz="4" w:space="0" w:color="auto"/>
              <w:bottom w:val="single" w:sz="4" w:space="0" w:color="auto"/>
            </w:tcBorders>
          </w:tcPr>
          <w:p w14:paraId="372871EA"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N=307</w:t>
            </w:r>
          </w:p>
        </w:tc>
        <w:tc>
          <w:tcPr>
            <w:tcW w:w="1622" w:type="pct"/>
            <w:tcBorders>
              <w:top w:val="single" w:sz="4" w:space="0" w:color="auto"/>
              <w:bottom w:val="single" w:sz="4" w:space="0" w:color="auto"/>
            </w:tcBorders>
          </w:tcPr>
          <w:p w14:paraId="25A6E3FE"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 xml:space="preserve">CLL(130); indolent lymphoma(77); </w:t>
            </w:r>
            <w:r w:rsidRPr="003B4D22">
              <w:rPr>
                <w:rFonts w:ascii="Arial Narrow" w:hAnsi="Arial Narrow"/>
                <w:sz w:val="20"/>
                <w:szCs w:val="20"/>
              </w:rPr>
              <w:lastRenderedPageBreak/>
              <w:t>MM(43); NHL(22); other(35)</w:t>
            </w:r>
          </w:p>
        </w:tc>
      </w:tr>
      <w:tr w:rsidR="00B535BB" w:rsidRPr="003B4D22" w14:paraId="24BC253C" w14:textId="77777777" w:rsidTr="00B535BB">
        <w:tc>
          <w:tcPr>
            <w:tcW w:w="1019" w:type="pct"/>
            <w:tcBorders>
              <w:top w:val="single" w:sz="4" w:space="0" w:color="auto"/>
              <w:bottom w:val="single" w:sz="4" w:space="0" w:color="auto"/>
            </w:tcBorders>
          </w:tcPr>
          <w:p w14:paraId="2BEBBE3B"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lastRenderedPageBreak/>
              <w:t>Benbrahim et al., 2019</w:t>
            </w:r>
          </w:p>
          <w:p w14:paraId="0DED951C"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(Follow-up report)</w:t>
            </w:r>
          </w:p>
        </w:tc>
        <w:tc>
          <w:tcPr>
            <w:tcW w:w="708" w:type="pct"/>
            <w:tcBorders>
              <w:top w:val="single" w:sz="4" w:space="0" w:color="auto"/>
              <w:bottom w:val="single" w:sz="4" w:space="0" w:color="auto"/>
            </w:tcBorders>
          </w:tcPr>
          <w:p w14:paraId="6E7E0512"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Case series (prospective)</w:t>
            </w:r>
          </w:p>
        </w:tc>
        <w:tc>
          <w:tcPr>
            <w:tcW w:w="1022" w:type="pct"/>
            <w:tcBorders>
              <w:top w:val="single" w:sz="4" w:space="0" w:color="auto"/>
              <w:bottom w:val="single" w:sz="4" w:space="0" w:color="auto"/>
            </w:tcBorders>
          </w:tcPr>
          <w:p w14:paraId="739582B1" w14:textId="77777777" w:rsidR="00B535BB" w:rsidRPr="003B4D22" w:rsidRDefault="00B535BB" w:rsidP="00B535BB">
            <w:pPr>
              <w:tabs>
                <w:tab w:val="left" w:pos="458"/>
              </w:tabs>
              <w:spacing w:after="40" w:line="240" w:lineRule="auto"/>
              <w:ind w:left="-57" w:right="-57"/>
              <w:rPr>
                <w:rFonts w:ascii="Arial Narrow" w:hAnsi="Arial Narrow"/>
                <w:sz w:val="20"/>
                <w:szCs w:val="20"/>
              </w:rPr>
            </w:pPr>
            <w:r w:rsidRPr="003B4D22">
              <w:rPr>
                <w:rFonts w:ascii="Arial Narrow" w:hAnsi="Arial Narrow"/>
                <w:sz w:val="20"/>
                <w:szCs w:val="20"/>
              </w:rPr>
              <w:t>RoB: low (IHE)</w:t>
            </w:r>
          </w:p>
        </w:tc>
        <w:tc>
          <w:tcPr>
            <w:tcW w:w="629" w:type="pct"/>
            <w:tcBorders>
              <w:top w:val="single" w:sz="4" w:space="0" w:color="auto"/>
              <w:bottom w:val="single" w:sz="4" w:space="0" w:color="auto"/>
            </w:tcBorders>
          </w:tcPr>
          <w:p w14:paraId="49C3A395"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N=160</w:t>
            </w:r>
          </w:p>
        </w:tc>
        <w:tc>
          <w:tcPr>
            <w:tcW w:w="1622" w:type="pct"/>
            <w:tcBorders>
              <w:top w:val="single" w:sz="4" w:space="0" w:color="auto"/>
              <w:bottom w:val="single" w:sz="4" w:space="0" w:color="auto"/>
            </w:tcBorders>
          </w:tcPr>
          <w:p w14:paraId="71675887"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MM(54), CLL(54), aggressive NHL(19), indolent NHL(29), HL(4)</w:t>
            </w:r>
          </w:p>
        </w:tc>
      </w:tr>
      <w:tr w:rsidR="00B535BB" w:rsidRPr="003B4D22" w14:paraId="6455EDAD" w14:textId="77777777" w:rsidTr="00016253">
        <w:tc>
          <w:tcPr>
            <w:tcW w:w="1019" w:type="pct"/>
            <w:tcBorders>
              <w:top w:val="single" w:sz="4" w:space="0" w:color="auto"/>
              <w:bottom w:val="single" w:sz="4" w:space="0" w:color="auto"/>
            </w:tcBorders>
            <w:shd w:val="clear" w:color="auto" w:fill="D9D9D9" w:themeFill="background1" w:themeFillShade="D9"/>
          </w:tcPr>
          <w:p w14:paraId="4D489522" w14:textId="45CA5851"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Chapel, Dicato et al. 1994</w:t>
            </w:r>
          </w:p>
        </w:tc>
        <w:tc>
          <w:tcPr>
            <w:tcW w:w="708" w:type="pct"/>
            <w:tcBorders>
              <w:top w:val="single" w:sz="4" w:space="0" w:color="auto"/>
              <w:bottom w:val="single" w:sz="4" w:space="0" w:color="auto"/>
            </w:tcBorders>
            <w:shd w:val="clear" w:color="auto" w:fill="D9D9D9" w:themeFill="background1" w:themeFillShade="D9"/>
          </w:tcPr>
          <w:p w14:paraId="748E0A7F" w14:textId="7EAAF902"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Case series</w:t>
            </w:r>
          </w:p>
        </w:tc>
        <w:tc>
          <w:tcPr>
            <w:tcW w:w="1022" w:type="pct"/>
            <w:tcBorders>
              <w:top w:val="single" w:sz="4" w:space="0" w:color="auto"/>
              <w:bottom w:val="single" w:sz="4" w:space="0" w:color="auto"/>
            </w:tcBorders>
            <w:shd w:val="clear" w:color="auto" w:fill="D9D9D9" w:themeFill="background1" w:themeFillShade="D9"/>
          </w:tcPr>
          <w:p w14:paraId="08359F7A" w14:textId="001FBCEA" w:rsidR="00B535BB" w:rsidRPr="003B4D22" w:rsidRDefault="00B535BB" w:rsidP="00B535BB">
            <w:pPr>
              <w:tabs>
                <w:tab w:val="left" w:pos="458"/>
              </w:tabs>
              <w:spacing w:after="40" w:line="240" w:lineRule="auto"/>
              <w:ind w:left="-57" w:right="-57"/>
              <w:rPr>
                <w:rFonts w:ascii="Arial Narrow" w:hAnsi="Arial Narrow"/>
                <w:sz w:val="20"/>
                <w:szCs w:val="20"/>
              </w:rPr>
            </w:pPr>
            <w:r w:rsidRPr="003B4D22">
              <w:rPr>
                <w:rFonts w:ascii="Arial Narrow" w:hAnsi="Arial Narrow"/>
                <w:sz w:val="20"/>
                <w:szCs w:val="20"/>
              </w:rPr>
              <w:t>RoB: low</w:t>
            </w:r>
          </w:p>
        </w:tc>
        <w:tc>
          <w:tcPr>
            <w:tcW w:w="629" w:type="pct"/>
            <w:tcBorders>
              <w:top w:val="single" w:sz="4" w:space="0" w:color="auto"/>
              <w:bottom w:val="single" w:sz="4" w:space="0" w:color="auto"/>
            </w:tcBorders>
            <w:shd w:val="clear" w:color="auto" w:fill="D9D9D9" w:themeFill="background1" w:themeFillShade="D9"/>
          </w:tcPr>
          <w:p w14:paraId="0C33D02F" w14:textId="5C9F01CC"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N=34</w:t>
            </w:r>
          </w:p>
        </w:tc>
        <w:tc>
          <w:tcPr>
            <w:tcW w:w="1622" w:type="pct"/>
            <w:tcBorders>
              <w:top w:val="single" w:sz="4" w:space="0" w:color="auto"/>
              <w:bottom w:val="single" w:sz="4" w:space="0" w:color="auto"/>
            </w:tcBorders>
            <w:shd w:val="clear" w:color="auto" w:fill="D9D9D9" w:themeFill="background1" w:themeFillShade="D9"/>
          </w:tcPr>
          <w:p w14:paraId="3AC64BC7" w14:textId="5B14D011"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CLL</w:t>
            </w:r>
          </w:p>
        </w:tc>
      </w:tr>
      <w:tr w:rsidR="00B535BB" w:rsidRPr="003B4D22" w14:paraId="1769DC98" w14:textId="77777777" w:rsidTr="00016253">
        <w:tc>
          <w:tcPr>
            <w:tcW w:w="1019" w:type="pct"/>
            <w:shd w:val="clear" w:color="auto" w:fill="D9D9D9" w:themeFill="background1" w:themeFillShade="D9"/>
          </w:tcPr>
          <w:p w14:paraId="60ED41BE" w14:textId="77777777" w:rsidR="00B535BB" w:rsidRPr="00B535BB" w:rsidRDefault="00B535BB" w:rsidP="00B535BB">
            <w:pPr>
              <w:spacing w:after="40" w:line="240" w:lineRule="auto"/>
              <w:ind w:left="-57" w:right="-57"/>
              <w:rPr>
                <w:rFonts w:ascii="Arial Narrow" w:hAnsi="Arial Narrow"/>
                <w:sz w:val="20"/>
                <w:szCs w:val="18"/>
              </w:rPr>
            </w:pPr>
            <w:r w:rsidRPr="00B535BB">
              <w:rPr>
                <w:rFonts w:ascii="Arial Narrow" w:hAnsi="Arial Narrow"/>
                <w:sz w:val="20"/>
                <w:szCs w:val="18"/>
              </w:rPr>
              <w:t>Stump et al., 2017</w:t>
            </w:r>
          </w:p>
        </w:tc>
        <w:tc>
          <w:tcPr>
            <w:tcW w:w="708" w:type="pct"/>
            <w:shd w:val="clear" w:color="auto" w:fill="D9D9D9" w:themeFill="background1" w:themeFillShade="D9"/>
          </w:tcPr>
          <w:p w14:paraId="08FFF2CA" w14:textId="77777777" w:rsidR="00B535BB" w:rsidRPr="00B535BB" w:rsidRDefault="00B535BB" w:rsidP="00B535BB">
            <w:pPr>
              <w:spacing w:after="40" w:line="240" w:lineRule="auto"/>
              <w:ind w:left="-57" w:right="-57"/>
              <w:rPr>
                <w:rFonts w:ascii="Arial Narrow" w:hAnsi="Arial Narrow"/>
                <w:sz w:val="20"/>
                <w:szCs w:val="18"/>
              </w:rPr>
            </w:pPr>
            <w:r w:rsidRPr="00B535BB">
              <w:rPr>
                <w:rFonts w:ascii="Arial Narrow" w:hAnsi="Arial Narrow"/>
                <w:sz w:val="20"/>
                <w:szCs w:val="18"/>
              </w:rPr>
              <w:t>Case series</w:t>
            </w:r>
          </w:p>
        </w:tc>
        <w:tc>
          <w:tcPr>
            <w:tcW w:w="1022" w:type="pct"/>
            <w:shd w:val="clear" w:color="auto" w:fill="D9D9D9" w:themeFill="background1" w:themeFillShade="D9"/>
          </w:tcPr>
          <w:p w14:paraId="5E11DDE9" w14:textId="77777777" w:rsidR="00B535BB" w:rsidRPr="00B535BB" w:rsidRDefault="00B535BB" w:rsidP="00B535BB">
            <w:pPr>
              <w:spacing w:after="40" w:line="240" w:lineRule="auto"/>
              <w:ind w:left="-57" w:right="-57"/>
              <w:rPr>
                <w:rFonts w:ascii="Arial Narrow" w:hAnsi="Arial Narrow"/>
                <w:sz w:val="20"/>
                <w:szCs w:val="18"/>
              </w:rPr>
            </w:pPr>
            <w:r w:rsidRPr="00B535BB">
              <w:rPr>
                <w:rFonts w:ascii="Arial Narrow" w:hAnsi="Arial Narrow"/>
                <w:sz w:val="20"/>
                <w:szCs w:val="18"/>
              </w:rPr>
              <w:t>RoB: high (IHE)</w:t>
            </w:r>
          </w:p>
        </w:tc>
        <w:tc>
          <w:tcPr>
            <w:tcW w:w="629" w:type="pct"/>
            <w:shd w:val="clear" w:color="auto" w:fill="D9D9D9" w:themeFill="background1" w:themeFillShade="D9"/>
          </w:tcPr>
          <w:p w14:paraId="6E7B2C20" w14:textId="77777777" w:rsidR="00B535BB" w:rsidRPr="00B535BB" w:rsidRDefault="00B535BB" w:rsidP="00B535BB">
            <w:pPr>
              <w:spacing w:after="40" w:line="240" w:lineRule="auto"/>
              <w:ind w:left="-57" w:right="-57"/>
              <w:rPr>
                <w:rFonts w:ascii="Arial Narrow" w:hAnsi="Arial Narrow"/>
                <w:sz w:val="20"/>
                <w:szCs w:val="18"/>
              </w:rPr>
            </w:pPr>
            <w:r w:rsidRPr="00B535BB">
              <w:rPr>
                <w:rFonts w:ascii="Arial Narrow" w:hAnsi="Arial Narrow"/>
                <w:sz w:val="20"/>
                <w:szCs w:val="18"/>
              </w:rPr>
              <w:t>N=79 (n=209 infusions)</w:t>
            </w:r>
          </w:p>
        </w:tc>
        <w:tc>
          <w:tcPr>
            <w:tcW w:w="1622" w:type="pct"/>
            <w:shd w:val="clear" w:color="auto" w:fill="D9D9D9" w:themeFill="background1" w:themeFillShade="D9"/>
          </w:tcPr>
          <w:p w14:paraId="0658CAD4" w14:textId="77777777" w:rsidR="00B535BB" w:rsidRPr="003B4D22" w:rsidRDefault="00B535BB" w:rsidP="00B535BB">
            <w:pPr>
              <w:spacing w:after="40" w:line="240" w:lineRule="auto"/>
              <w:ind w:left="-57" w:right="-57"/>
              <w:rPr>
                <w:rFonts w:ascii="Arial Narrow" w:hAnsi="Arial Narrow"/>
                <w:sz w:val="20"/>
                <w:szCs w:val="20"/>
              </w:rPr>
            </w:pPr>
            <w:r w:rsidRPr="00B535BB">
              <w:rPr>
                <w:rFonts w:ascii="Arial Narrow" w:hAnsi="Arial Narrow"/>
                <w:sz w:val="20"/>
                <w:szCs w:val="20"/>
              </w:rPr>
              <w:t>CLL(74); AL(65); MM(26); NHL(32); HL(7); CML(5)</w:t>
            </w:r>
          </w:p>
        </w:tc>
      </w:tr>
      <w:tr w:rsidR="00B535BB" w:rsidRPr="00386411" w14:paraId="586AC306" w14:textId="77777777" w:rsidTr="00B535BB">
        <w:tc>
          <w:tcPr>
            <w:tcW w:w="1019" w:type="pct"/>
            <w:tcBorders>
              <w:bottom w:val="single" w:sz="4" w:space="0" w:color="auto"/>
            </w:tcBorders>
            <w:shd w:val="clear" w:color="auto" w:fill="000000" w:themeFill="text1"/>
          </w:tcPr>
          <w:p w14:paraId="534061D3" w14:textId="77777777" w:rsidR="00B535BB" w:rsidRPr="00386411" w:rsidRDefault="00B535BB" w:rsidP="00B535BB">
            <w:pPr>
              <w:spacing w:after="40" w:line="240" w:lineRule="auto"/>
              <w:ind w:left="-57" w:right="-57"/>
              <w:rPr>
                <w:rFonts w:ascii="Arial Narrow" w:hAnsi="Arial Narrow"/>
                <w:b/>
                <w:sz w:val="20"/>
                <w:szCs w:val="20"/>
              </w:rPr>
            </w:pPr>
            <w:r w:rsidRPr="00386411">
              <w:rPr>
                <w:rFonts w:ascii="Arial Narrow" w:hAnsi="Arial Narrow"/>
                <w:b/>
                <w:sz w:val="20"/>
                <w:szCs w:val="20"/>
              </w:rPr>
              <w:t>MM</w:t>
            </w:r>
          </w:p>
        </w:tc>
        <w:tc>
          <w:tcPr>
            <w:tcW w:w="708" w:type="pct"/>
            <w:tcBorders>
              <w:bottom w:val="single" w:sz="4" w:space="0" w:color="auto"/>
            </w:tcBorders>
            <w:shd w:val="clear" w:color="auto" w:fill="000000" w:themeFill="text1"/>
          </w:tcPr>
          <w:p w14:paraId="67F5B4BD" w14:textId="77777777" w:rsidR="00B535BB" w:rsidRPr="00386411" w:rsidRDefault="00B535BB" w:rsidP="00B535BB">
            <w:pPr>
              <w:spacing w:after="40" w:line="240" w:lineRule="auto"/>
              <w:ind w:left="-57" w:right="-57"/>
              <w:rPr>
                <w:rFonts w:ascii="Arial Narrow" w:hAnsi="Arial Narrow"/>
                <w:b/>
                <w:sz w:val="20"/>
                <w:szCs w:val="20"/>
              </w:rPr>
            </w:pPr>
          </w:p>
        </w:tc>
        <w:tc>
          <w:tcPr>
            <w:tcW w:w="1022" w:type="pct"/>
            <w:tcBorders>
              <w:bottom w:val="single" w:sz="4" w:space="0" w:color="auto"/>
            </w:tcBorders>
            <w:shd w:val="clear" w:color="auto" w:fill="000000" w:themeFill="text1"/>
          </w:tcPr>
          <w:p w14:paraId="5823B5BD" w14:textId="77777777" w:rsidR="00B535BB" w:rsidRPr="00386411" w:rsidRDefault="00B535BB" w:rsidP="00B535BB">
            <w:pPr>
              <w:spacing w:after="40" w:line="240" w:lineRule="auto"/>
              <w:ind w:left="-57" w:right="-57"/>
              <w:rPr>
                <w:rFonts w:ascii="Arial Narrow" w:hAnsi="Arial Narrow"/>
                <w:b/>
                <w:sz w:val="20"/>
                <w:szCs w:val="20"/>
              </w:rPr>
            </w:pPr>
          </w:p>
        </w:tc>
        <w:tc>
          <w:tcPr>
            <w:tcW w:w="629" w:type="pct"/>
            <w:tcBorders>
              <w:bottom w:val="single" w:sz="4" w:space="0" w:color="auto"/>
            </w:tcBorders>
            <w:shd w:val="clear" w:color="auto" w:fill="000000" w:themeFill="text1"/>
          </w:tcPr>
          <w:p w14:paraId="6CFFEFE5" w14:textId="77777777" w:rsidR="00B535BB" w:rsidRPr="00386411" w:rsidRDefault="00B535BB" w:rsidP="00B535BB">
            <w:pPr>
              <w:spacing w:after="40" w:line="240" w:lineRule="auto"/>
              <w:ind w:left="-57" w:right="-57"/>
              <w:rPr>
                <w:rFonts w:ascii="Arial Narrow" w:hAnsi="Arial Narrow"/>
                <w:b/>
                <w:sz w:val="20"/>
                <w:szCs w:val="20"/>
              </w:rPr>
            </w:pPr>
          </w:p>
        </w:tc>
        <w:tc>
          <w:tcPr>
            <w:tcW w:w="1622" w:type="pct"/>
            <w:tcBorders>
              <w:bottom w:val="single" w:sz="4" w:space="0" w:color="auto"/>
            </w:tcBorders>
            <w:shd w:val="clear" w:color="auto" w:fill="000000" w:themeFill="text1"/>
          </w:tcPr>
          <w:p w14:paraId="31A31509" w14:textId="77777777" w:rsidR="00B535BB" w:rsidRPr="00386411" w:rsidRDefault="00B535BB" w:rsidP="00B535BB">
            <w:pPr>
              <w:spacing w:after="40" w:line="240" w:lineRule="auto"/>
              <w:ind w:left="-57" w:right="-57"/>
              <w:rPr>
                <w:rFonts w:ascii="Arial Narrow" w:hAnsi="Arial Narrow"/>
                <w:b/>
                <w:sz w:val="20"/>
                <w:szCs w:val="20"/>
              </w:rPr>
            </w:pPr>
          </w:p>
        </w:tc>
      </w:tr>
      <w:tr w:rsidR="00B535BB" w:rsidRPr="003B4D22" w14:paraId="7EA95BC3" w14:textId="77777777" w:rsidTr="00B535BB">
        <w:tc>
          <w:tcPr>
            <w:tcW w:w="1019" w:type="pct"/>
            <w:tcBorders>
              <w:bottom w:val="single" w:sz="4" w:space="0" w:color="auto"/>
            </w:tcBorders>
            <w:shd w:val="clear" w:color="auto" w:fill="FDE9D9" w:themeFill="accent6" w:themeFillTint="33"/>
          </w:tcPr>
          <w:p w14:paraId="12C8A555" w14:textId="77777777" w:rsidR="00B535BB" w:rsidRPr="003B4D22" w:rsidRDefault="00B535BB" w:rsidP="00B535BB">
            <w:pPr>
              <w:spacing w:after="40" w:line="240" w:lineRule="auto"/>
              <w:ind w:left="-57"/>
              <w:rPr>
                <w:rFonts w:ascii="Arial Narrow" w:hAnsi="Arial Narrow"/>
                <w:sz w:val="20"/>
                <w:szCs w:val="18"/>
              </w:rPr>
            </w:pPr>
            <w:r w:rsidRPr="003B4D22">
              <w:rPr>
                <w:rFonts w:ascii="Arial Narrow" w:hAnsi="Arial Narrow"/>
                <w:sz w:val="20"/>
                <w:szCs w:val="18"/>
              </w:rPr>
              <w:t>Chapel et al., 1994</w:t>
            </w:r>
          </w:p>
        </w:tc>
        <w:tc>
          <w:tcPr>
            <w:tcW w:w="708" w:type="pct"/>
            <w:tcBorders>
              <w:bottom w:val="single" w:sz="4" w:space="0" w:color="auto"/>
            </w:tcBorders>
            <w:shd w:val="clear" w:color="auto" w:fill="FDE9D9" w:themeFill="accent6" w:themeFillTint="33"/>
          </w:tcPr>
          <w:p w14:paraId="367B73CA" w14:textId="77777777" w:rsidR="00B535BB" w:rsidRPr="003B4D22" w:rsidRDefault="00B535BB" w:rsidP="00B535BB">
            <w:pPr>
              <w:spacing w:after="40" w:line="240" w:lineRule="auto"/>
              <w:ind w:left="-57"/>
              <w:rPr>
                <w:rFonts w:ascii="Arial Narrow" w:hAnsi="Arial Narrow"/>
                <w:sz w:val="20"/>
                <w:szCs w:val="18"/>
              </w:rPr>
            </w:pPr>
            <w:r w:rsidRPr="003B4D22">
              <w:rPr>
                <w:rFonts w:ascii="Arial Narrow" w:hAnsi="Arial Narrow"/>
                <w:sz w:val="20"/>
                <w:szCs w:val="18"/>
              </w:rPr>
              <w:t>RCT</w:t>
            </w:r>
          </w:p>
        </w:tc>
        <w:tc>
          <w:tcPr>
            <w:tcW w:w="1022" w:type="pct"/>
            <w:tcBorders>
              <w:bottom w:val="single" w:sz="4" w:space="0" w:color="auto"/>
            </w:tcBorders>
            <w:shd w:val="clear" w:color="auto" w:fill="FDE9D9" w:themeFill="accent6" w:themeFillTint="33"/>
          </w:tcPr>
          <w:p w14:paraId="3915D1EB" w14:textId="77777777" w:rsidR="00B535BB" w:rsidRPr="003B4D22" w:rsidRDefault="00B535BB" w:rsidP="00B535BB">
            <w:pPr>
              <w:spacing w:after="40" w:line="240" w:lineRule="auto"/>
              <w:ind w:left="-57"/>
              <w:rPr>
                <w:rFonts w:ascii="Arial Narrow" w:hAnsi="Arial Narrow"/>
                <w:sz w:val="20"/>
                <w:szCs w:val="18"/>
              </w:rPr>
            </w:pPr>
            <w:r w:rsidRPr="003B4D22">
              <w:rPr>
                <w:rFonts w:ascii="Arial Narrow" w:hAnsi="Arial Narrow"/>
                <w:sz w:val="20"/>
                <w:szCs w:val="18"/>
              </w:rPr>
              <w:t>RoB: low (SIGN)</w:t>
            </w:r>
          </w:p>
        </w:tc>
        <w:tc>
          <w:tcPr>
            <w:tcW w:w="629" w:type="pct"/>
            <w:tcBorders>
              <w:bottom w:val="single" w:sz="4" w:space="0" w:color="auto"/>
            </w:tcBorders>
            <w:shd w:val="clear" w:color="auto" w:fill="FDE9D9" w:themeFill="accent6" w:themeFillTint="33"/>
          </w:tcPr>
          <w:p w14:paraId="1522ED6E" w14:textId="77777777" w:rsidR="00B535BB" w:rsidRPr="003B4D22" w:rsidRDefault="00B535BB" w:rsidP="00B535BB">
            <w:pPr>
              <w:spacing w:after="40" w:line="240" w:lineRule="auto"/>
              <w:ind w:left="-57"/>
              <w:rPr>
                <w:rFonts w:ascii="Arial Narrow" w:hAnsi="Arial Narrow"/>
                <w:sz w:val="20"/>
                <w:szCs w:val="18"/>
              </w:rPr>
            </w:pPr>
            <w:r w:rsidRPr="003B4D22">
              <w:rPr>
                <w:rFonts w:ascii="Arial Narrow" w:hAnsi="Arial Narrow"/>
                <w:sz w:val="20"/>
                <w:szCs w:val="18"/>
              </w:rPr>
              <w:t>N=83</w:t>
            </w:r>
          </w:p>
        </w:tc>
        <w:tc>
          <w:tcPr>
            <w:tcW w:w="1622" w:type="pct"/>
            <w:tcBorders>
              <w:bottom w:val="single" w:sz="4" w:space="0" w:color="auto"/>
            </w:tcBorders>
            <w:shd w:val="clear" w:color="auto" w:fill="FDE9D9" w:themeFill="accent6" w:themeFillTint="33"/>
          </w:tcPr>
          <w:p w14:paraId="77FB4C41" w14:textId="77777777" w:rsidR="00B535BB" w:rsidRPr="003B4D22" w:rsidRDefault="00B535BB" w:rsidP="00B535BB">
            <w:pPr>
              <w:spacing w:after="40" w:line="240" w:lineRule="auto"/>
              <w:ind w:left="-57"/>
              <w:rPr>
                <w:rFonts w:ascii="Arial Narrow" w:hAnsi="Arial Narrow"/>
                <w:sz w:val="20"/>
                <w:szCs w:val="18"/>
              </w:rPr>
            </w:pPr>
            <w:r w:rsidRPr="003B4D22">
              <w:rPr>
                <w:rFonts w:ascii="Arial Narrow" w:hAnsi="Arial Narrow"/>
                <w:sz w:val="20"/>
                <w:szCs w:val="18"/>
              </w:rPr>
              <w:t>MM</w:t>
            </w:r>
          </w:p>
        </w:tc>
      </w:tr>
      <w:tr w:rsidR="00B535BB" w:rsidRPr="003B4D22" w14:paraId="280E3BF3" w14:textId="77777777" w:rsidTr="00B535BB">
        <w:tc>
          <w:tcPr>
            <w:tcW w:w="1019" w:type="pct"/>
            <w:tcBorders>
              <w:top w:val="single" w:sz="4" w:space="0" w:color="auto"/>
              <w:bottom w:val="single" w:sz="4" w:space="0" w:color="auto"/>
            </w:tcBorders>
            <w:shd w:val="clear" w:color="auto" w:fill="FDE9D9" w:themeFill="accent6" w:themeFillTint="33"/>
          </w:tcPr>
          <w:p w14:paraId="4232354F" w14:textId="77777777" w:rsidR="00B535BB" w:rsidRPr="003B4D22" w:rsidRDefault="00B535BB" w:rsidP="00B535BB">
            <w:pPr>
              <w:spacing w:after="40" w:line="240" w:lineRule="auto"/>
              <w:ind w:left="-57"/>
              <w:rPr>
                <w:rFonts w:ascii="Arial Narrow" w:hAnsi="Arial Narrow"/>
                <w:sz w:val="20"/>
                <w:szCs w:val="18"/>
              </w:rPr>
            </w:pPr>
            <w:r w:rsidRPr="003B4D22">
              <w:rPr>
                <w:rFonts w:ascii="Arial Narrow" w:hAnsi="Arial Narrow"/>
                <w:sz w:val="20"/>
                <w:szCs w:val="18"/>
              </w:rPr>
              <w:t>Musto et al., 1995</w:t>
            </w:r>
          </w:p>
        </w:tc>
        <w:tc>
          <w:tcPr>
            <w:tcW w:w="708" w:type="pct"/>
            <w:tcBorders>
              <w:top w:val="single" w:sz="4" w:space="0" w:color="auto"/>
              <w:bottom w:val="single" w:sz="4" w:space="0" w:color="auto"/>
            </w:tcBorders>
            <w:shd w:val="clear" w:color="auto" w:fill="FDE9D9" w:themeFill="accent6" w:themeFillTint="33"/>
          </w:tcPr>
          <w:p w14:paraId="1B340014" w14:textId="77777777" w:rsidR="00B535BB" w:rsidRPr="003B4D22" w:rsidRDefault="00B535BB" w:rsidP="00B535BB">
            <w:pPr>
              <w:spacing w:after="40" w:line="240" w:lineRule="auto"/>
              <w:ind w:left="-57"/>
              <w:rPr>
                <w:rFonts w:ascii="Arial Narrow" w:hAnsi="Arial Narrow"/>
                <w:sz w:val="20"/>
                <w:szCs w:val="18"/>
              </w:rPr>
            </w:pPr>
            <w:r w:rsidRPr="003B4D22">
              <w:rPr>
                <w:rFonts w:ascii="Arial Narrow" w:hAnsi="Arial Narrow"/>
                <w:sz w:val="20"/>
                <w:szCs w:val="18"/>
              </w:rPr>
              <w:t>RCT cross-over</w:t>
            </w:r>
          </w:p>
        </w:tc>
        <w:tc>
          <w:tcPr>
            <w:tcW w:w="1022" w:type="pct"/>
            <w:tcBorders>
              <w:top w:val="single" w:sz="4" w:space="0" w:color="auto"/>
              <w:bottom w:val="single" w:sz="4" w:space="0" w:color="auto"/>
            </w:tcBorders>
            <w:shd w:val="clear" w:color="auto" w:fill="FDE9D9" w:themeFill="accent6" w:themeFillTint="33"/>
          </w:tcPr>
          <w:p w14:paraId="34F3B3B7" w14:textId="77777777" w:rsidR="00B535BB" w:rsidRPr="003B4D22" w:rsidRDefault="00B535BB" w:rsidP="00B535BB">
            <w:pPr>
              <w:spacing w:after="40" w:line="240" w:lineRule="auto"/>
              <w:ind w:left="-57"/>
              <w:rPr>
                <w:rFonts w:ascii="Arial Narrow" w:hAnsi="Arial Narrow"/>
                <w:sz w:val="20"/>
                <w:szCs w:val="18"/>
              </w:rPr>
            </w:pPr>
            <w:r w:rsidRPr="003B4D22">
              <w:rPr>
                <w:rFonts w:ascii="Arial Narrow" w:hAnsi="Arial Narrow"/>
                <w:sz w:val="20"/>
                <w:szCs w:val="18"/>
              </w:rPr>
              <w:t>RoB: low (SIGN)</w:t>
            </w:r>
          </w:p>
        </w:tc>
        <w:tc>
          <w:tcPr>
            <w:tcW w:w="629" w:type="pct"/>
            <w:tcBorders>
              <w:top w:val="single" w:sz="4" w:space="0" w:color="auto"/>
              <w:bottom w:val="single" w:sz="4" w:space="0" w:color="auto"/>
            </w:tcBorders>
            <w:shd w:val="clear" w:color="auto" w:fill="FDE9D9" w:themeFill="accent6" w:themeFillTint="33"/>
          </w:tcPr>
          <w:p w14:paraId="04425305" w14:textId="77777777" w:rsidR="00B535BB" w:rsidRPr="003B4D22" w:rsidRDefault="00B535BB" w:rsidP="00B535BB">
            <w:pPr>
              <w:spacing w:after="40" w:line="240" w:lineRule="auto"/>
              <w:ind w:left="-57"/>
              <w:rPr>
                <w:rFonts w:ascii="Arial Narrow" w:hAnsi="Arial Narrow"/>
                <w:sz w:val="20"/>
                <w:szCs w:val="18"/>
              </w:rPr>
            </w:pPr>
            <w:r w:rsidRPr="003B4D22">
              <w:rPr>
                <w:rFonts w:ascii="Arial Narrow" w:hAnsi="Arial Narrow"/>
                <w:sz w:val="20"/>
                <w:szCs w:val="18"/>
              </w:rPr>
              <w:t>N=25</w:t>
            </w:r>
          </w:p>
        </w:tc>
        <w:tc>
          <w:tcPr>
            <w:tcW w:w="1622" w:type="pct"/>
            <w:tcBorders>
              <w:top w:val="single" w:sz="4" w:space="0" w:color="auto"/>
              <w:bottom w:val="single" w:sz="4" w:space="0" w:color="auto"/>
            </w:tcBorders>
            <w:shd w:val="clear" w:color="auto" w:fill="FDE9D9" w:themeFill="accent6" w:themeFillTint="33"/>
          </w:tcPr>
          <w:p w14:paraId="7F778AA1" w14:textId="77777777" w:rsidR="00B535BB" w:rsidRPr="003B4D22" w:rsidRDefault="00B535BB" w:rsidP="00B535BB">
            <w:pPr>
              <w:spacing w:after="40" w:line="240" w:lineRule="auto"/>
              <w:ind w:left="-57"/>
              <w:rPr>
                <w:rFonts w:ascii="Arial Narrow" w:hAnsi="Arial Narrow"/>
                <w:sz w:val="20"/>
                <w:szCs w:val="18"/>
              </w:rPr>
            </w:pPr>
            <w:r w:rsidRPr="003B4D22">
              <w:rPr>
                <w:rFonts w:ascii="Arial Narrow" w:hAnsi="Arial Narrow"/>
                <w:sz w:val="20"/>
                <w:szCs w:val="18"/>
              </w:rPr>
              <w:t>MM</w:t>
            </w:r>
          </w:p>
        </w:tc>
      </w:tr>
      <w:tr w:rsidR="00B535BB" w:rsidRPr="003B4D22" w14:paraId="60771089" w14:textId="77777777" w:rsidTr="00B535BB">
        <w:tc>
          <w:tcPr>
            <w:tcW w:w="1019" w:type="pct"/>
            <w:tcBorders>
              <w:top w:val="single" w:sz="4" w:space="0" w:color="auto"/>
              <w:bottom w:val="single" w:sz="4" w:space="0" w:color="auto"/>
            </w:tcBorders>
            <w:shd w:val="clear" w:color="auto" w:fill="FDE9D9" w:themeFill="accent6" w:themeFillTint="33"/>
          </w:tcPr>
          <w:p w14:paraId="451E9DB0"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Vacca et al., 2018</w:t>
            </w:r>
          </w:p>
        </w:tc>
        <w:tc>
          <w:tcPr>
            <w:tcW w:w="708" w:type="pct"/>
            <w:tcBorders>
              <w:top w:val="single" w:sz="4" w:space="0" w:color="auto"/>
              <w:bottom w:val="single" w:sz="4" w:space="0" w:color="auto"/>
            </w:tcBorders>
            <w:shd w:val="clear" w:color="auto" w:fill="FDE9D9" w:themeFill="accent6" w:themeFillTint="33"/>
          </w:tcPr>
          <w:p w14:paraId="42943C8F"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RCT</w:t>
            </w:r>
          </w:p>
        </w:tc>
        <w:tc>
          <w:tcPr>
            <w:tcW w:w="1022" w:type="pct"/>
            <w:tcBorders>
              <w:top w:val="single" w:sz="4" w:space="0" w:color="auto"/>
              <w:bottom w:val="single" w:sz="4" w:space="0" w:color="auto"/>
            </w:tcBorders>
            <w:shd w:val="clear" w:color="auto" w:fill="FDE9D9" w:themeFill="accent6" w:themeFillTint="33"/>
          </w:tcPr>
          <w:p w14:paraId="4BE408B3"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RoB: low (SIGN)</w:t>
            </w:r>
          </w:p>
        </w:tc>
        <w:tc>
          <w:tcPr>
            <w:tcW w:w="629" w:type="pct"/>
            <w:tcBorders>
              <w:top w:val="single" w:sz="4" w:space="0" w:color="auto"/>
              <w:bottom w:val="single" w:sz="4" w:space="0" w:color="auto"/>
            </w:tcBorders>
            <w:shd w:val="clear" w:color="auto" w:fill="FDE9D9" w:themeFill="accent6" w:themeFillTint="33"/>
          </w:tcPr>
          <w:p w14:paraId="062E9133"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N=46</w:t>
            </w:r>
          </w:p>
        </w:tc>
        <w:tc>
          <w:tcPr>
            <w:tcW w:w="1622" w:type="pct"/>
            <w:tcBorders>
              <w:top w:val="single" w:sz="4" w:space="0" w:color="auto"/>
              <w:bottom w:val="single" w:sz="4" w:space="0" w:color="auto"/>
            </w:tcBorders>
            <w:shd w:val="clear" w:color="auto" w:fill="FDE9D9" w:themeFill="accent6" w:themeFillTint="33"/>
          </w:tcPr>
          <w:p w14:paraId="438500A8"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MM</w:t>
            </w:r>
          </w:p>
        </w:tc>
      </w:tr>
      <w:tr w:rsidR="00B535BB" w:rsidRPr="003B4D22" w14:paraId="1A7F9F1F" w14:textId="77777777" w:rsidTr="00B535BB">
        <w:tc>
          <w:tcPr>
            <w:tcW w:w="1019" w:type="pct"/>
            <w:tcBorders>
              <w:top w:val="single" w:sz="4" w:space="0" w:color="auto"/>
              <w:bottom w:val="single" w:sz="4" w:space="0" w:color="auto"/>
            </w:tcBorders>
          </w:tcPr>
          <w:p w14:paraId="52C23A00" w14:textId="564FA08E" w:rsidR="00B535BB" w:rsidRPr="003B4D22" w:rsidRDefault="00B535BB" w:rsidP="00BB0145">
            <w:pPr>
              <w:spacing w:after="40" w:line="240" w:lineRule="auto"/>
              <w:ind w:left="-57"/>
              <w:rPr>
                <w:rFonts w:ascii="Arial Narrow" w:hAnsi="Arial Narrow"/>
                <w:sz w:val="20"/>
                <w:szCs w:val="18"/>
              </w:rPr>
            </w:pPr>
            <w:r w:rsidRPr="003B4D22">
              <w:rPr>
                <w:rFonts w:ascii="Arial Narrow" w:hAnsi="Arial Narrow"/>
                <w:sz w:val="20"/>
                <w:szCs w:val="18"/>
              </w:rPr>
              <w:fldChar w:fldCharType="begin">
                <w:fldData xml:space="preserve">PEVuZE5vdGU+PENpdGU+PEF1dGhvcj5BbW1hbm48L0F1dGhvcj48WWVhcj4yMDE2PC9ZZWFyPjxS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</w:fldData>
              </w:fldChar>
            </w:r>
            <w:r w:rsidRPr="003B4D22">
              <w:rPr>
                <w:rFonts w:ascii="Arial Narrow" w:hAnsi="Arial Narrow"/>
                <w:sz w:val="20"/>
                <w:szCs w:val="18"/>
              </w:rPr>
              <w:instrText xml:space="preserve"> ADDIN EN.CITE </w:instrText>
            </w:r>
            <w:r w:rsidRPr="003B4D22">
              <w:rPr>
                <w:rFonts w:ascii="Arial Narrow" w:hAnsi="Arial Narrow"/>
                <w:sz w:val="20"/>
                <w:szCs w:val="18"/>
              </w:rPr>
              <w:fldChar w:fldCharType="begin">
                <w:fldData xml:space="preserve">PEVuZE5vdGU+PENpdGU+PEF1dGhvcj5BbW1hbm48L0F1dGhvcj48WWVhcj4yMDE2PC9ZZWFyPjxS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</w:fldData>
              </w:fldChar>
            </w:r>
            <w:r w:rsidRPr="003B4D22">
              <w:rPr>
                <w:rFonts w:ascii="Arial Narrow" w:hAnsi="Arial Narrow"/>
                <w:sz w:val="20"/>
                <w:szCs w:val="18"/>
              </w:rPr>
              <w:instrText xml:space="preserve"> ADDIN EN.CITE.DATA </w:instrText>
            </w:r>
            <w:r w:rsidRPr="003B4D22">
              <w:rPr>
                <w:rFonts w:ascii="Arial Narrow" w:hAnsi="Arial Narrow"/>
                <w:sz w:val="20"/>
                <w:szCs w:val="18"/>
              </w:rPr>
            </w:r>
            <w:r w:rsidRPr="003B4D22">
              <w:rPr>
                <w:rFonts w:ascii="Arial Narrow" w:hAnsi="Arial Narrow"/>
                <w:sz w:val="20"/>
                <w:szCs w:val="18"/>
              </w:rPr>
              <w:fldChar w:fldCharType="end"/>
            </w:r>
            <w:r w:rsidRPr="003B4D22">
              <w:rPr>
                <w:rFonts w:ascii="Arial Narrow" w:hAnsi="Arial Narrow"/>
                <w:sz w:val="20"/>
                <w:szCs w:val="18"/>
              </w:rPr>
            </w:r>
            <w:r w:rsidRPr="003B4D22">
              <w:rPr>
                <w:rFonts w:ascii="Arial Narrow" w:hAnsi="Arial Narrow"/>
                <w:sz w:val="20"/>
                <w:szCs w:val="18"/>
              </w:rPr>
              <w:fldChar w:fldCharType="separate"/>
            </w:r>
            <w:r w:rsidRPr="003B4D22">
              <w:rPr>
                <w:rFonts w:ascii="Arial Narrow" w:hAnsi="Arial Narrow"/>
                <w:noProof/>
                <w:sz w:val="20"/>
                <w:szCs w:val="18"/>
              </w:rPr>
              <w:t>(</w:t>
            </w:r>
            <w:hyperlink w:anchor="_ENREF_1" w:tooltip="Ammann, 2016 #1" w:history="1">
              <w:r w:rsidR="00BB0145" w:rsidRPr="003B4D22">
                <w:rPr>
                  <w:rFonts w:ascii="Arial Narrow" w:hAnsi="Arial Narrow"/>
                  <w:noProof/>
                  <w:sz w:val="20"/>
                  <w:szCs w:val="18"/>
                </w:rPr>
                <w:t>Ammann et al. 2016</w:t>
              </w:r>
            </w:hyperlink>
            <w:r w:rsidRPr="003B4D22">
              <w:rPr>
                <w:rFonts w:ascii="Arial Narrow" w:hAnsi="Arial Narrow"/>
                <w:noProof/>
                <w:sz w:val="20"/>
                <w:szCs w:val="18"/>
              </w:rPr>
              <w:t>)</w:t>
            </w:r>
            <w:r w:rsidRPr="003B4D22">
              <w:rPr>
                <w:rFonts w:ascii="Arial Narrow" w:hAnsi="Arial Narrow"/>
                <w:sz w:val="20"/>
                <w:szCs w:val="18"/>
              </w:rPr>
              <w:fldChar w:fldCharType="end"/>
            </w:r>
          </w:p>
        </w:tc>
        <w:tc>
          <w:tcPr>
            <w:tcW w:w="708" w:type="pct"/>
            <w:tcBorders>
              <w:top w:val="single" w:sz="4" w:space="0" w:color="auto"/>
              <w:bottom w:val="single" w:sz="4" w:space="0" w:color="auto"/>
            </w:tcBorders>
          </w:tcPr>
          <w:p w14:paraId="0037F0DD" w14:textId="77777777" w:rsidR="00B535BB" w:rsidRPr="003B4D22" w:rsidRDefault="00B535BB" w:rsidP="00B535BB">
            <w:pPr>
              <w:spacing w:after="40" w:line="240" w:lineRule="auto"/>
              <w:ind w:left="-57"/>
              <w:rPr>
                <w:rFonts w:ascii="Arial Narrow" w:hAnsi="Arial Narrow"/>
                <w:sz w:val="20"/>
                <w:szCs w:val="18"/>
              </w:rPr>
            </w:pPr>
            <w:r w:rsidRPr="003B4D22">
              <w:rPr>
                <w:rFonts w:ascii="Arial Narrow" w:hAnsi="Arial Narrow"/>
                <w:sz w:val="20"/>
                <w:szCs w:val="18"/>
              </w:rPr>
              <w:t>Registry study</w:t>
            </w:r>
          </w:p>
        </w:tc>
        <w:tc>
          <w:tcPr>
            <w:tcW w:w="1022" w:type="pct"/>
            <w:tcBorders>
              <w:top w:val="single" w:sz="4" w:space="0" w:color="auto"/>
              <w:bottom w:val="single" w:sz="4" w:space="0" w:color="auto"/>
            </w:tcBorders>
          </w:tcPr>
          <w:p w14:paraId="7D20001C" w14:textId="77777777" w:rsidR="00B535BB" w:rsidRPr="003B4D22" w:rsidRDefault="00B535BB" w:rsidP="00B535BB">
            <w:pPr>
              <w:spacing w:after="40" w:line="240" w:lineRule="auto"/>
              <w:ind w:left="-57"/>
              <w:rPr>
                <w:rFonts w:ascii="Arial Narrow" w:hAnsi="Arial Narrow"/>
                <w:sz w:val="20"/>
                <w:szCs w:val="18"/>
              </w:rPr>
            </w:pPr>
            <w:r w:rsidRPr="003B4D22">
              <w:rPr>
                <w:rFonts w:ascii="Arial Narrow" w:hAnsi="Arial Narrow"/>
                <w:sz w:val="20"/>
                <w:szCs w:val="18"/>
              </w:rPr>
              <w:t>RoB: moderate (IHE)</w:t>
            </w:r>
          </w:p>
        </w:tc>
        <w:tc>
          <w:tcPr>
            <w:tcW w:w="629" w:type="pct"/>
            <w:tcBorders>
              <w:top w:val="single" w:sz="4" w:space="0" w:color="auto"/>
              <w:bottom w:val="single" w:sz="4" w:space="0" w:color="auto"/>
            </w:tcBorders>
          </w:tcPr>
          <w:p w14:paraId="4FB12A5C" w14:textId="77777777" w:rsidR="00B535BB" w:rsidRPr="003B4D22" w:rsidRDefault="00B535BB" w:rsidP="00B535BB">
            <w:pPr>
              <w:spacing w:after="40" w:line="240" w:lineRule="auto"/>
              <w:ind w:left="-57"/>
              <w:rPr>
                <w:rFonts w:ascii="Arial Narrow" w:hAnsi="Arial Narrow"/>
                <w:sz w:val="20"/>
                <w:szCs w:val="18"/>
              </w:rPr>
            </w:pPr>
            <w:r w:rsidRPr="003B4D22">
              <w:rPr>
                <w:rFonts w:ascii="Arial Narrow" w:hAnsi="Arial Narrow"/>
                <w:sz w:val="20"/>
                <w:szCs w:val="18"/>
              </w:rPr>
              <w:t>N= 10,759</w:t>
            </w:r>
          </w:p>
        </w:tc>
        <w:tc>
          <w:tcPr>
            <w:tcW w:w="1622" w:type="pct"/>
            <w:tcBorders>
              <w:top w:val="single" w:sz="4" w:space="0" w:color="auto"/>
              <w:bottom w:val="single" w:sz="4" w:space="0" w:color="auto"/>
            </w:tcBorders>
          </w:tcPr>
          <w:p w14:paraId="5AB2DAC5" w14:textId="77777777" w:rsidR="00B535BB" w:rsidRPr="003B4D22" w:rsidRDefault="00B535BB" w:rsidP="00B535BB">
            <w:pPr>
              <w:spacing w:after="40" w:line="240" w:lineRule="auto"/>
              <w:ind w:left="-57"/>
              <w:rPr>
                <w:rFonts w:ascii="Arial Narrow" w:hAnsi="Arial Narrow"/>
                <w:sz w:val="20"/>
                <w:szCs w:val="18"/>
              </w:rPr>
            </w:pPr>
            <w:r w:rsidRPr="003B4D22">
              <w:rPr>
                <w:rFonts w:ascii="Arial Narrow" w:hAnsi="Arial Narrow"/>
                <w:sz w:val="20"/>
                <w:szCs w:val="18"/>
              </w:rPr>
              <w:t>CLL(76%), MM(24%)</w:t>
            </w:r>
          </w:p>
        </w:tc>
      </w:tr>
      <w:tr w:rsidR="00B535BB" w:rsidRPr="003B4D22" w14:paraId="4F4A17BE" w14:textId="77777777" w:rsidTr="00B535BB">
        <w:tc>
          <w:tcPr>
            <w:tcW w:w="1019" w:type="pct"/>
            <w:tcBorders>
              <w:top w:val="single" w:sz="4" w:space="0" w:color="auto"/>
              <w:bottom w:val="single" w:sz="4" w:space="0" w:color="auto"/>
            </w:tcBorders>
          </w:tcPr>
          <w:p w14:paraId="2D081CCA"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Paxton et al., 2016</w:t>
            </w:r>
          </w:p>
        </w:tc>
        <w:tc>
          <w:tcPr>
            <w:tcW w:w="708" w:type="pct"/>
            <w:tcBorders>
              <w:top w:val="single" w:sz="4" w:space="0" w:color="auto"/>
              <w:bottom w:val="single" w:sz="4" w:space="0" w:color="auto"/>
            </w:tcBorders>
          </w:tcPr>
          <w:p w14:paraId="2B453186"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Cohort study</w:t>
            </w:r>
          </w:p>
        </w:tc>
        <w:tc>
          <w:tcPr>
            <w:tcW w:w="1022" w:type="pct"/>
            <w:tcBorders>
              <w:top w:val="single" w:sz="4" w:space="0" w:color="auto"/>
              <w:bottom w:val="single" w:sz="4" w:space="0" w:color="auto"/>
            </w:tcBorders>
          </w:tcPr>
          <w:p w14:paraId="1889A7BE"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RoB: high (SIGN)</w:t>
            </w:r>
          </w:p>
        </w:tc>
        <w:tc>
          <w:tcPr>
            <w:tcW w:w="629" w:type="pct"/>
            <w:tcBorders>
              <w:top w:val="single" w:sz="4" w:space="0" w:color="auto"/>
              <w:bottom w:val="single" w:sz="4" w:space="0" w:color="auto"/>
            </w:tcBorders>
          </w:tcPr>
          <w:p w14:paraId="73F4D121"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N=92</w:t>
            </w:r>
          </w:p>
        </w:tc>
        <w:tc>
          <w:tcPr>
            <w:tcW w:w="1622" w:type="pct"/>
            <w:tcBorders>
              <w:top w:val="single" w:sz="4" w:space="0" w:color="auto"/>
              <w:bottom w:val="single" w:sz="4" w:space="0" w:color="auto"/>
            </w:tcBorders>
          </w:tcPr>
          <w:p w14:paraId="1207C62B"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CLL (42); MM (18); NHL (27); other (5)</w:t>
            </w:r>
          </w:p>
        </w:tc>
      </w:tr>
      <w:tr w:rsidR="00B535BB" w:rsidRPr="003B4D22" w14:paraId="607AC094" w14:textId="77777777" w:rsidTr="00B535BB">
        <w:tc>
          <w:tcPr>
            <w:tcW w:w="1019" w:type="pct"/>
            <w:tcBorders>
              <w:top w:val="single" w:sz="4" w:space="0" w:color="auto"/>
              <w:bottom w:val="single" w:sz="4" w:space="0" w:color="auto"/>
            </w:tcBorders>
          </w:tcPr>
          <w:p w14:paraId="687DAFBC"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Benbrahim et al., 2019</w:t>
            </w:r>
          </w:p>
          <w:p w14:paraId="38CBA5BA"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(Follow-up report)</w:t>
            </w:r>
          </w:p>
        </w:tc>
        <w:tc>
          <w:tcPr>
            <w:tcW w:w="708" w:type="pct"/>
            <w:tcBorders>
              <w:top w:val="single" w:sz="4" w:space="0" w:color="auto"/>
              <w:bottom w:val="single" w:sz="4" w:space="0" w:color="auto"/>
            </w:tcBorders>
          </w:tcPr>
          <w:p w14:paraId="77A18FA8"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Case series (prospective)</w:t>
            </w:r>
          </w:p>
        </w:tc>
        <w:tc>
          <w:tcPr>
            <w:tcW w:w="1022" w:type="pct"/>
            <w:tcBorders>
              <w:top w:val="single" w:sz="4" w:space="0" w:color="auto"/>
              <w:bottom w:val="single" w:sz="4" w:space="0" w:color="auto"/>
            </w:tcBorders>
          </w:tcPr>
          <w:p w14:paraId="0C111DFD" w14:textId="77777777" w:rsidR="00B535BB" w:rsidRPr="003B4D22" w:rsidRDefault="00B535BB" w:rsidP="00B535BB">
            <w:pPr>
              <w:tabs>
                <w:tab w:val="left" w:pos="458"/>
              </w:tabs>
              <w:spacing w:after="40" w:line="240" w:lineRule="auto"/>
              <w:ind w:left="-57" w:right="-57"/>
              <w:rPr>
                <w:rFonts w:ascii="Arial Narrow" w:hAnsi="Arial Narrow"/>
                <w:sz w:val="20"/>
                <w:szCs w:val="18"/>
              </w:rPr>
            </w:pPr>
            <w:r w:rsidRPr="003B4D22">
              <w:rPr>
                <w:rFonts w:ascii="Arial Narrow" w:hAnsi="Arial Narrow"/>
                <w:sz w:val="20"/>
                <w:szCs w:val="20"/>
              </w:rPr>
              <w:t>RoB: low (IHE)</w:t>
            </w:r>
          </w:p>
        </w:tc>
        <w:tc>
          <w:tcPr>
            <w:tcW w:w="629" w:type="pct"/>
            <w:tcBorders>
              <w:top w:val="single" w:sz="4" w:space="0" w:color="auto"/>
              <w:bottom w:val="single" w:sz="4" w:space="0" w:color="auto"/>
            </w:tcBorders>
          </w:tcPr>
          <w:p w14:paraId="07B8336D"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N=160</w:t>
            </w:r>
          </w:p>
        </w:tc>
        <w:tc>
          <w:tcPr>
            <w:tcW w:w="1622" w:type="pct"/>
            <w:tcBorders>
              <w:top w:val="single" w:sz="4" w:space="0" w:color="auto"/>
              <w:bottom w:val="single" w:sz="4" w:space="0" w:color="auto"/>
            </w:tcBorders>
          </w:tcPr>
          <w:p w14:paraId="40999F22"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20"/>
              </w:rPr>
              <w:t>MM(54), CLL(54), aggressive NHL(19), indolent NHL(29), HL(4)</w:t>
            </w:r>
          </w:p>
        </w:tc>
      </w:tr>
      <w:tr w:rsidR="00B535BB" w:rsidRPr="003B4D22" w14:paraId="0DCDA183" w14:textId="77777777" w:rsidTr="00B535BB">
        <w:tc>
          <w:tcPr>
            <w:tcW w:w="1019" w:type="pct"/>
            <w:tcBorders>
              <w:top w:val="single" w:sz="4" w:space="0" w:color="auto"/>
              <w:bottom w:val="single" w:sz="4" w:space="0" w:color="auto"/>
            </w:tcBorders>
          </w:tcPr>
          <w:p w14:paraId="603AD6D0"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Reiser et al., 2017</w:t>
            </w:r>
          </w:p>
        </w:tc>
        <w:tc>
          <w:tcPr>
            <w:tcW w:w="708" w:type="pct"/>
            <w:tcBorders>
              <w:top w:val="single" w:sz="4" w:space="0" w:color="auto"/>
              <w:bottom w:val="single" w:sz="4" w:space="0" w:color="auto"/>
            </w:tcBorders>
          </w:tcPr>
          <w:p w14:paraId="4C4FDCBA"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Case series</w:t>
            </w:r>
          </w:p>
        </w:tc>
        <w:tc>
          <w:tcPr>
            <w:tcW w:w="1022" w:type="pct"/>
            <w:tcBorders>
              <w:top w:val="single" w:sz="4" w:space="0" w:color="auto"/>
              <w:bottom w:val="single" w:sz="4" w:space="0" w:color="auto"/>
            </w:tcBorders>
          </w:tcPr>
          <w:p w14:paraId="2ED3AC61"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RoB: moderate (IHE)</w:t>
            </w:r>
          </w:p>
        </w:tc>
        <w:tc>
          <w:tcPr>
            <w:tcW w:w="629" w:type="pct"/>
            <w:tcBorders>
              <w:top w:val="single" w:sz="4" w:space="0" w:color="auto"/>
              <w:bottom w:val="single" w:sz="4" w:space="0" w:color="auto"/>
            </w:tcBorders>
          </w:tcPr>
          <w:p w14:paraId="0988D2CB"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N=307</w:t>
            </w:r>
          </w:p>
        </w:tc>
        <w:tc>
          <w:tcPr>
            <w:tcW w:w="1622" w:type="pct"/>
            <w:tcBorders>
              <w:top w:val="single" w:sz="4" w:space="0" w:color="auto"/>
              <w:bottom w:val="single" w:sz="4" w:space="0" w:color="auto"/>
            </w:tcBorders>
          </w:tcPr>
          <w:p w14:paraId="610B6925"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CLL(130); indolent lymphoma(77); MM(43); NHL(22); other(35)</w:t>
            </w:r>
          </w:p>
        </w:tc>
      </w:tr>
      <w:tr w:rsidR="00B535BB" w:rsidRPr="003B4D22" w14:paraId="47C8B929" w14:textId="77777777" w:rsidTr="00016253">
        <w:tc>
          <w:tcPr>
            <w:tcW w:w="1019" w:type="pct"/>
            <w:shd w:val="clear" w:color="auto" w:fill="D9D9D9" w:themeFill="background1" w:themeFillShade="D9"/>
          </w:tcPr>
          <w:p w14:paraId="24B9D5BD" w14:textId="77777777" w:rsidR="00B535BB" w:rsidRPr="00B535BB" w:rsidRDefault="00B535BB" w:rsidP="00B535BB">
            <w:pPr>
              <w:spacing w:after="40" w:line="240" w:lineRule="auto"/>
              <w:ind w:left="-57" w:right="-57"/>
              <w:rPr>
                <w:rFonts w:ascii="Arial Narrow" w:hAnsi="Arial Narrow"/>
                <w:sz w:val="20"/>
                <w:szCs w:val="18"/>
              </w:rPr>
            </w:pPr>
            <w:r w:rsidRPr="00B535BB">
              <w:rPr>
                <w:rFonts w:ascii="Arial Narrow" w:hAnsi="Arial Narrow"/>
                <w:sz w:val="20"/>
                <w:szCs w:val="18"/>
              </w:rPr>
              <w:t>Stump et al., 2017</w:t>
            </w:r>
          </w:p>
        </w:tc>
        <w:tc>
          <w:tcPr>
            <w:tcW w:w="708" w:type="pct"/>
            <w:shd w:val="clear" w:color="auto" w:fill="D9D9D9" w:themeFill="background1" w:themeFillShade="D9"/>
          </w:tcPr>
          <w:p w14:paraId="08498184" w14:textId="77777777" w:rsidR="00B535BB" w:rsidRPr="00B535BB" w:rsidRDefault="00B535BB" w:rsidP="00B535BB">
            <w:pPr>
              <w:spacing w:after="40" w:line="240" w:lineRule="auto"/>
              <w:ind w:left="-57" w:right="-57"/>
              <w:rPr>
                <w:rFonts w:ascii="Arial Narrow" w:hAnsi="Arial Narrow"/>
                <w:sz w:val="20"/>
                <w:szCs w:val="18"/>
              </w:rPr>
            </w:pPr>
            <w:r w:rsidRPr="00B535BB">
              <w:rPr>
                <w:rFonts w:ascii="Arial Narrow" w:hAnsi="Arial Narrow"/>
                <w:sz w:val="20"/>
                <w:szCs w:val="18"/>
              </w:rPr>
              <w:t>Case series</w:t>
            </w:r>
          </w:p>
        </w:tc>
        <w:tc>
          <w:tcPr>
            <w:tcW w:w="1022" w:type="pct"/>
            <w:shd w:val="clear" w:color="auto" w:fill="D9D9D9" w:themeFill="background1" w:themeFillShade="D9"/>
          </w:tcPr>
          <w:p w14:paraId="06FA4DDE" w14:textId="77777777" w:rsidR="00B535BB" w:rsidRPr="00B535BB" w:rsidRDefault="00B535BB" w:rsidP="00B535BB">
            <w:pPr>
              <w:spacing w:after="40" w:line="240" w:lineRule="auto"/>
              <w:ind w:left="-57" w:right="-57"/>
              <w:rPr>
                <w:rFonts w:ascii="Arial Narrow" w:hAnsi="Arial Narrow"/>
                <w:sz w:val="20"/>
                <w:szCs w:val="18"/>
              </w:rPr>
            </w:pPr>
            <w:r w:rsidRPr="00B535BB">
              <w:rPr>
                <w:rFonts w:ascii="Arial Narrow" w:hAnsi="Arial Narrow"/>
                <w:sz w:val="20"/>
                <w:szCs w:val="18"/>
              </w:rPr>
              <w:t>RoB: high (IHE)</w:t>
            </w:r>
          </w:p>
        </w:tc>
        <w:tc>
          <w:tcPr>
            <w:tcW w:w="629" w:type="pct"/>
            <w:shd w:val="clear" w:color="auto" w:fill="D9D9D9" w:themeFill="background1" w:themeFillShade="D9"/>
          </w:tcPr>
          <w:p w14:paraId="4B89F7DE" w14:textId="77777777" w:rsidR="00B535BB" w:rsidRPr="00B535BB" w:rsidRDefault="00B535BB" w:rsidP="00B535BB">
            <w:pPr>
              <w:spacing w:after="40" w:line="240" w:lineRule="auto"/>
              <w:ind w:left="-57" w:right="-57"/>
              <w:rPr>
                <w:rFonts w:ascii="Arial Narrow" w:hAnsi="Arial Narrow"/>
                <w:sz w:val="20"/>
                <w:szCs w:val="18"/>
              </w:rPr>
            </w:pPr>
            <w:r w:rsidRPr="00B535BB">
              <w:rPr>
                <w:rFonts w:ascii="Arial Narrow" w:hAnsi="Arial Narrow"/>
                <w:sz w:val="20"/>
                <w:szCs w:val="18"/>
              </w:rPr>
              <w:t>N=79 (n=209 infusions)</w:t>
            </w:r>
          </w:p>
        </w:tc>
        <w:tc>
          <w:tcPr>
            <w:tcW w:w="1622" w:type="pct"/>
            <w:shd w:val="clear" w:color="auto" w:fill="D9D9D9" w:themeFill="background1" w:themeFillShade="D9"/>
          </w:tcPr>
          <w:p w14:paraId="06F6DEA9" w14:textId="77777777" w:rsidR="00B535BB" w:rsidRPr="003B4D22" w:rsidRDefault="00B535BB" w:rsidP="00B535BB">
            <w:pPr>
              <w:spacing w:after="40" w:line="240" w:lineRule="auto"/>
              <w:ind w:left="-57" w:right="-57"/>
              <w:rPr>
                <w:rFonts w:ascii="Arial Narrow" w:hAnsi="Arial Narrow"/>
                <w:sz w:val="20"/>
                <w:szCs w:val="20"/>
              </w:rPr>
            </w:pPr>
            <w:r w:rsidRPr="00B535BB">
              <w:rPr>
                <w:rFonts w:ascii="Arial Narrow" w:hAnsi="Arial Narrow"/>
                <w:sz w:val="20"/>
                <w:szCs w:val="20"/>
              </w:rPr>
              <w:t>CLL(74); AL(65); MM(26); NHL(32); HL(7); CML(5)</w:t>
            </w:r>
          </w:p>
        </w:tc>
      </w:tr>
      <w:tr w:rsidR="00B535BB" w:rsidRPr="00386411" w14:paraId="1B53838F" w14:textId="77777777" w:rsidTr="00B535BB">
        <w:tc>
          <w:tcPr>
            <w:tcW w:w="1019" w:type="pct"/>
            <w:tcBorders>
              <w:top w:val="single" w:sz="4" w:space="0" w:color="auto"/>
              <w:bottom w:val="single" w:sz="4" w:space="0" w:color="auto"/>
            </w:tcBorders>
            <w:shd w:val="clear" w:color="auto" w:fill="000000" w:themeFill="text1"/>
          </w:tcPr>
          <w:p w14:paraId="7A742379" w14:textId="77777777" w:rsidR="00B535BB" w:rsidRPr="00386411" w:rsidRDefault="00B535BB" w:rsidP="00B535BB">
            <w:pPr>
              <w:spacing w:after="40" w:line="240" w:lineRule="auto"/>
              <w:ind w:left="-57" w:right="-57"/>
              <w:rPr>
                <w:rFonts w:ascii="Arial Narrow" w:hAnsi="Arial Narrow"/>
                <w:b/>
                <w:sz w:val="20"/>
                <w:szCs w:val="20"/>
              </w:rPr>
            </w:pPr>
            <w:r w:rsidRPr="00386411">
              <w:rPr>
                <w:rFonts w:ascii="Arial Narrow" w:hAnsi="Arial Narrow"/>
                <w:b/>
                <w:sz w:val="20"/>
                <w:szCs w:val="20"/>
              </w:rPr>
              <w:t>NHL</w:t>
            </w:r>
          </w:p>
        </w:tc>
        <w:tc>
          <w:tcPr>
            <w:tcW w:w="708" w:type="pct"/>
            <w:tcBorders>
              <w:top w:val="single" w:sz="4" w:space="0" w:color="auto"/>
              <w:bottom w:val="single" w:sz="4" w:space="0" w:color="auto"/>
            </w:tcBorders>
            <w:shd w:val="clear" w:color="auto" w:fill="000000" w:themeFill="text1"/>
          </w:tcPr>
          <w:p w14:paraId="5481C108" w14:textId="77777777" w:rsidR="00B535BB" w:rsidRPr="00386411" w:rsidRDefault="00B535BB" w:rsidP="00B535BB">
            <w:pPr>
              <w:spacing w:after="40" w:line="240" w:lineRule="auto"/>
              <w:ind w:left="-57" w:right="-57"/>
              <w:rPr>
                <w:rFonts w:ascii="Arial Narrow" w:hAnsi="Arial Narrow"/>
                <w:b/>
                <w:sz w:val="20"/>
                <w:szCs w:val="20"/>
              </w:rPr>
            </w:pPr>
          </w:p>
        </w:tc>
        <w:tc>
          <w:tcPr>
            <w:tcW w:w="1022" w:type="pct"/>
            <w:tcBorders>
              <w:top w:val="single" w:sz="4" w:space="0" w:color="auto"/>
              <w:bottom w:val="single" w:sz="4" w:space="0" w:color="auto"/>
            </w:tcBorders>
            <w:shd w:val="clear" w:color="auto" w:fill="000000" w:themeFill="text1"/>
          </w:tcPr>
          <w:p w14:paraId="10D7354A" w14:textId="77777777" w:rsidR="00B535BB" w:rsidRPr="00386411" w:rsidRDefault="00B535BB" w:rsidP="00B535BB">
            <w:pPr>
              <w:spacing w:after="40" w:line="240" w:lineRule="auto"/>
              <w:ind w:left="-57" w:right="-57"/>
              <w:rPr>
                <w:rFonts w:ascii="Arial Narrow" w:hAnsi="Arial Narrow"/>
                <w:b/>
                <w:sz w:val="20"/>
                <w:szCs w:val="20"/>
              </w:rPr>
            </w:pPr>
          </w:p>
        </w:tc>
        <w:tc>
          <w:tcPr>
            <w:tcW w:w="629" w:type="pct"/>
            <w:tcBorders>
              <w:top w:val="single" w:sz="4" w:space="0" w:color="auto"/>
              <w:bottom w:val="single" w:sz="4" w:space="0" w:color="auto"/>
            </w:tcBorders>
            <w:shd w:val="clear" w:color="auto" w:fill="000000" w:themeFill="text1"/>
          </w:tcPr>
          <w:p w14:paraId="2B240225" w14:textId="77777777" w:rsidR="00B535BB" w:rsidRPr="00386411" w:rsidRDefault="00B535BB" w:rsidP="00B535BB">
            <w:pPr>
              <w:spacing w:after="40" w:line="240" w:lineRule="auto"/>
              <w:ind w:left="-57" w:right="-57"/>
              <w:rPr>
                <w:rFonts w:ascii="Arial Narrow" w:hAnsi="Arial Narrow"/>
                <w:b/>
                <w:sz w:val="20"/>
                <w:szCs w:val="20"/>
              </w:rPr>
            </w:pPr>
          </w:p>
        </w:tc>
        <w:tc>
          <w:tcPr>
            <w:tcW w:w="1622" w:type="pct"/>
            <w:tcBorders>
              <w:top w:val="single" w:sz="4" w:space="0" w:color="auto"/>
              <w:bottom w:val="single" w:sz="4" w:space="0" w:color="auto"/>
            </w:tcBorders>
            <w:shd w:val="clear" w:color="auto" w:fill="000000" w:themeFill="text1"/>
          </w:tcPr>
          <w:p w14:paraId="1F730A01" w14:textId="77777777" w:rsidR="00B535BB" w:rsidRPr="00386411" w:rsidRDefault="00B535BB" w:rsidP="00B535BB">
            <w:pPr>
              <w:spacing w:after="40" w:line="240" w:lineRule="auto"/>
              <w:ind w:left="-57" w:right="-57"/>
              <w:rPr>
                <w:rFonts w:ascii="Arial Narrow" w:hAnsi="Arial Narrow"/>
                <w:b/>
                <w:sz w:val="20"/>
                <w:szCs w:val="20"/>
              </w:rPr>
            </w:pPr>
          </w:p>
        </w:tc>
      </w:tr>
      <w:tr w:rsidR="00B535BB" w:rsidRPr="003B4D22" w14:paraId="5BA52026" w14:textId="77777777" w:rsidTr="00B535BB">
        <w:tc>
          <w:tcPr>
            <w:tcW w:w="1019" w:type="pct"/>
            <w:tcBorders>
              <w:bottom w:val="single" w:sz="4" w:space="0" w:color="auto"/>
            </w:tcBorders>
          </w:tcPr>
          <w:p w14:paraId="6DEACB74"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Paxton et al., 2016</w:t>
            </w:r>
          </w:p>
        </w:tc>
        <w:tc>
          <w:tcPr>
            <w:tcW w:w="708" w:type="pct"/>
            <w:tcBorders>
              <w:bottom w:val="single" w:sz="4" w:space="0" w:color="auto"/>
            </w:tcBorders>
          </w:tcPr>
          <w:p w14:paraId="638C1E6B"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Cohort study</w:t>
            </w:r>
          </w:p>
        </w:tc>
        <w:tc>
          <w:tcPr>
            <w:tcW w:w="1022" w:type="pct"/>
            <w:tcBorders>
              <w:bottom w:val="single" w:sz="4" w:space="0" w:color="auto"/>
            </w:tcBorders>
          </w:tcPr>
          <w:p w14:paraId="1177E3B0"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RoB: high (SIGN)</w:t>
            </w:r>
          </w:p>
        </w:tc>
        <w:tc>
          <w:tcPr>
            <w:tcW w:w="629" w:type="pct"/>
            <w:tcBorders>
              <w:bottom w:val="single" w:sz="4" w:space="0" w:color="auto"/>
            </w:tcBorders>
          </w:tcPr>
          <w:p w14:paraId="3F66913B"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N=92</w:t>
            </w:r>
          </w:p>
        </w:tc>
        <w:tc>
          <w:tcPr>
            <w:tcW w:w="1622" w:type="pct"/>
            <w:tcBorders>
              <w:bottom w:val="single" w:sz="4" w:space="0" w:color="auto"/>
            </w:tcBorders>
          </w:tcPr>
          <w:p w14:paraId="5CDE6A69"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CLL (42); MM (18); NHL (27); other (5)</w:t>
            </w:r>
          </w:p>
        </w:tc>
      </w:tr>
      <w:tr w:rsidR="00B535BB" w:rsidRPr="003B4D22" w14:paraId="23DAD9E7" w14:textId="77777777" w:rsidTr="00B535BB">
        <w:tc>
          <w:tcPr>
            <w:tcW w:w="1019" w:type="pct"/>
            <w:tcBorders>
              <w:top w:val="single" w:sz="4" w:space="0" w:color="auto"/>
              <w:bottom w:val="single" w:sz="4" w:space="0" w:color="auto"/>
            </w:tcBorders>
          </w:tcPr>
          <w:p w14:paraId="68CF421F"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Benbrahim et al., 2019</w:t>
            </w:r>
          </w:p>
          <w:p w14:paraId="722883D0"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(Follow-up report)</w:t>
            </w:r>
          </w:p>
        </w:tc>
        <w:tc>
          <w:tcPr>
            <w:tcW w:w="708" w:type="pct"/>
            <w:tcBorders>
              <w:top w:val="single" w:sz="4" w:space="0" w:color="auto"/>
              <w:bottom w:val="single" w:sz="4" w:space="0" w:color="auto"/>
            </w:tcBorders>
          </w:tcPr>
          <w:p w14:paraId="1755B9A0"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Case series (prospective)</w:t>
            </w:r>
          </w:p>
        </w:tc>
        <w:tc>
          <w:tcPr>
            <w:tcW w:w="1022" w:type="pct"/>
            <w:tcBorders>
              <w:top w:val="single" w:sz="4" w:space="0" w:color="auto"/>
              <w:bottom w:val="single" w:sz="4" w:space="0" w:color="auto"/>
            </w:tcBorders>
          </w:tcPr>
          <w:p w14:paraId="4EBEFABA" w14:textId="77777777" w:rsidR="00B535BB" w:rsidRPr="003B4D22" w:rsidRDefault="00B535BB" w:rsidP="00B535BB">
            <w:pPr>
              <w:tabs>
                <w:tab w:val="left" w:pos="458"/>
              </w:tabs>
              <w:spacing w:after="40" w:line="240" w:lineRule="auto"/>
              <w:ind w:left="-57" w:right="-57"/>
              <w:rPr>
                <w:rFonts w:ascii="Arial Narrow" w:hAnsi="Arial Narrow"/>
                <w:sz w:val="20"/>
                <w:szCs w:val="18"/>
              </w:rPr>
            </w:pPr>
            <w:r w:rsidRPr="003B4D22">
              <w:rPr>
                <w:rFonts w:ascii="Arial Narrow" w:hAnsi="Arial Narrow"/>
                <w:sz w:val="20"/>
                <w:szCs w:val="20"/>
              </w:rPr>
              <w:t>RoB: low (IHE)</w:t>
            </w:r>
          </w:p>
        </w:tc>
        <w:tc>
          <w:tcPr>
            <w:tcW w:w="629" w:type="pct"/>
            <w:tcBorders>
              <w:top w:val="single" w:sz="4" w:space="0" w:color="auto"/>
              <w:bottom w:val="single" w:sz="4" w:space="0" w:color="auto"/>
            </w:tcBorders>
          </w:tcPr>
          <w:p w14:paraId="0FA595FA"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N=160</w:t>
            </w:r>
          </w:p>
        </w:tc>
        <w:tc>
          <w:tcPr>
            <w:tcW w:w="1622" w:type="pct"/>
            <w:tcBorders>
              <w:top w:val="single" w:sz="4" w:space="0" w:color="auto"/>
              <w:bottom w:val="single" w:sz="4" w:space="0" w:color="auto"/>
            </w:tcBorders>
          </w:tcPr>
          <w:p w14:paraId="5E775A94"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20"/>
              </w:rPr>
              <w:t>MM(54), CLL(54), aggressive NHL(19), indolent NHL(29), HL(4)</w:t>
            </w:r>
          </w:p>
        </w:tc>
      </w:tr>
      <w:tr w:rsidR="00B535BB" w:rsidRPr="003B4D22" w14:paraId="0C739AF5" w14:textId="77777777" w:rsidTr="00B535BB">
        <w:tc>
          <w:tcPr>
            <w:tcW w:w="1019" w:type="pct"/>
            <w:tcBorders>
              <w:top w:val="single" w:sz="4" w:space="0" w:color="auto"/>
              <w:bottom w:val="single" w:sz="4" w:space="0" w:color="auto"/>
            </w:tcBorders>
          </w:tcPr>
          <w:p w14:paraId="1DE6293E"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Reiser et al., 2017</w:t>
            </w:r>
          </w:p>
        </w:tc>
        <w:tc>
          <w:tcPr>
            <w:tcW w:w="708" w:type="pct"/>
            <w:tcBorders>
              <w:top w:val="single" w:sz="4" w:space="0" w:color="auto"/>
              <w:bottom w:val="single" w:sz="4" w:space="0" w:color="auto"/>
            </w:tcBorders>
          </w:tcPr>
          <w:p w14:paraId="21C8FD73"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Case series</w:t>
            </w:r>
          </w:p>
        </w:tc>
        <w:tc>
          <w:tcPr>
            <w:tcW w:w="1022" w:type="pct"/>
            <w:tcBorders>
              <w:top w:val="single" w:sz="4" w:space="0" w:color="auto"/>
              <w:bottom w:val="single" w:sz="4" w:space="0" w:color="auto"/>
            </w:tcBorders>
          </w:tcPr>
          <w:p w14:paraId="36AFFB05"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RoB: moderate (IHE)</w:t>
            </w:r>
          </w:p>
        </w:tc>
        <w:tc>
          <w:tcPr>
            <w:tcW w:w="629" w:type="pct"/>
            <w:tcBorders>
              <w:top w:val="single" w:sz="4" w:space="0" w:color="auto"/>
              <w:bottom w:val="single" w:sz="4" w:space="0" w:color="auto"/>
            </w:tcBorders>
          </w:tcPr>
          <w:p w14:paraId="183DCB48"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N=307</w:t>
            </w:r>
          </w:p>
        </w:tc>
        <w:tc>
          <w:tcPr>
            <w:tcW w:w="1622" w:type="pct"/>
            <w:tcBorders>
              <w:top w:val="single" w:sz="4" w:space="0" w:color="auto"/>
              <w:bottom w:val="single" w:sz="4" w:space="0" w:color="auto"/>
            </w:tcBorders>
          </w:tcPr>
          <w:p w14:paraId="15AC422E"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CLL(130); indolent lymphoma(77); MM(43); NHL(22); other(35)</w:t>
            </w:r>
          </w:p>
        </w:tc>
      </w:tr>
      <w:tr w:rsidR="00B535BB" w:rsidRPr="003B4D22" w14:paraId="3D4F2101" w14:textId="77777777" w:rsidTr="00016253">
        <w:tc>
          <w:tcPr>
            <w:tcW w:w="1019" w:type="pct"/>
            <w:shd w:val="clear" w:color="auto" w:fill="D9D9D9" w:themeFill="background1" w:themeFillShade="D9"/>
          </w:tcPr>
          <w:p w14:paraId="4A0C5DFA" w14:textId="77777777" w:rsidR="00B535BB" w:rsidRPr="00B535BB" w:rsidRDefault="00B535BB" w:rsidP="00B535BB">
            <w:pPr>
              <w:spacing w:after="40" w:line="240" w:lineRule="auto"/>
              <w:ind w:left="-57" w:right="-57"/>
              <w:rPr>
                <w:rFonts w:ascii="Arial Narrow" w:hAnsi="Arial Narrow"/>
                <w:sz w:val="20"/>
                <w:szCs w:val="18"/>
              </w:rPr>
            </w:pPr>
            <w:r w:rsidRPr="00B535BB">
              <w:rPr>
                <w:rFonts w:ascii="Arial Narrow" w:hAnsi="Arial Narrow"/>
                <w:sz w:val="20"/>
                <w:szCs w:val="18"/>
              </w:rPr>
              <w:t>Stump et al., 2017</w:t>
            </w:r>
          </w:p>
        </w:tc>
        <w:tc>
          <w:tcPr>
            <w:tcW w:w="708" w:type="pct"/>
            <w:shd w:val="clear" w:color="auto" w:fill="D9D9D9" w:themeFill="background1" w:themeFillShade="D9"/>
          </w:tcPr>
          <w:p w14:paraId="577E29C5" w14:textId="77777777" w:rsidR="00B535BB" w:rsidRPr="00B535BB" w:rsidRDefault="00B535BB" w:rsidP="00B535BB">
            <w:pPr>
              <w:spacing w:after="40" w:line="240" w:lineRule="auto"/>
              <w:ind w:left="-57" w:right="-57"/>
              <w:rPr>
                <w:rFonts w:ascii="Arial Narrow" w:hAnsi="Arial Narrow"/>
                <w:sz w:val="20"/>
                <w:szCs w:val="18"/>
              </w:rPr>
            </w:pPr>
            <w:r w:rsidRPr="00B535BB">
              <w:rPr>
                <w:rFonts w:ascii="Arial Narrow" w:hAnsi="Arial Narrow"/>
                <w:sz w:val="20"/>
                <w:szCs w:val="18"/>
              </w:rPr>
              <w:t>Case series</w:t>
            </w:r>
          </w:p>
        </w:tc>
        <w:tc>
          <w:tcPr>
            <w:tcW w:w="1022" w:type="pct"/>
            <w:shd w:val="clear" w:color="auto" w:fill="D9D9D9" w:themeFill="background1" w:themeFillShade="D9"/>
          </w:tcPr>
          <w:p w14:paraId="1E153E44" w14:textId="77777777" w:rsidR="00B535BB" w:rsidRPr="00B535BB" w:rsidRDefault="00B535BB" w:rsidP="00B535BB">
            <w:pPr>
              <w:spacing w:after="40" w:line="240" w:lineRule="auto"/>
              <w:ind w:left="-57" w:right="-57"/>
              <w:rPr>
                <w:rFonts w:ascii="Arial Narrow" w:hAnsi="Arial Narrow"/>
                <w:sz w:val="20"/>
                <w:szCs w:val="18"/>
              </w:rPr>
            </w:pPr>
            <w:r w:rsidRPr="00B535BB">
              <w:rPr>
                <w:rFonts w:ascii="Arial Narrow" w:hAnsi="Arial Narrow"/>
                <w:sz w:val="20"/>
                <w:szCs w:val="18"/>
              </w:rPr>
              <w:t>RoB: high (IHE)</w:t>
            </w:r>
          </w:p>
        </w:tc>
        <w:tc>
          <w:tcPr>
            <w:tcW w:w="629" w:type="pct"/>
            <w:shd w:val="clear" w:color="auto" w:fill="D9D9D9" w:themeFill="background1" w:themeFillShade="D9"/>
          </w:tcPr>
          <w:p w14:paraId="3002660F" w14:textId="77777777" w:rsidR="00B535BB" w:rsidRPr="00B535BB" w:rsidRDefault="00B535BB" w:rsidP="00B535BB">
            <w:pPr>
              <w:spacing w:after="40" w:line="240" w:lineRule="auto"/>
              <w:ind w:left="-57" w:right="-57"/>
              <w:rPr>
                <w:rFonts w:ascii="Arial Narrow" w:hAnsi="Arial Narrow"/>
                <w:sz w:val="20"/>
                <w:szCs w:val="18"/>
              </w:rPr>
            </w:pPr>
            <w:r w:rsidRPr="00B535BB">
              <w:rPr>
                <w:rFonts w:ascii="Arial Narrow" w:hAnsi="Arial Narrow"/>
                <w:sz w:val="20"/>
                <w:szCs w:val="18"/>
              </w:rPr>
              <w:t>N=79 (n=209 infusions)</w:t>
            </w:r>
          </w:p>
        </w:tc>
        <w:tc>
          <w:tcPr>
            <w:tcW w:w="1622" w:type="pct"/>
            <w:shd w:val="clear" w:color="auto" w:fill="D9D9D9" w:themeFill="background1" w:themeFillShade="D9"/>
          </w:tcPr>
          <w:p w14:paraId="67121F7E" w14:textId="77777777" w:rsidR="00B535BB" w:rsidRPr="003B4D22" w:rsidRDefault="00B535BB" w:rsidP="00B535BB">
            <w:pPr>
              <w:spacing w:after="40" w:line="240" w:lineRule="auto"/>
              <w:ind w:left="-57" w:right="-57"/>
              <w:rPr>
                <w:rFonts w:ascii="Arial Narrow" w:hAnsi="Arial Narrow"/>
                <w:sz w:val="20"/>
                <w:szCs w:val="20"/>
              </w:rPr>
            </w:pPr>
            <w:r w:rsidRPr="00B535BB">
              <w:rPr>
                <w:rFonts w:ascii="Arial Narrow" w:hAnsi="Arial Narrow"/>
                <w:sz w:val="20"/>
                <w:szCs w:val="20"/>
              </w:rPr>
              <w:t>CLL(74); AL(65); MM(26); NHL(32); HL(7); CML(5)</w:t>
            </w:r>
          </w:p>
        </w:tc>
      </w:tr>
      <w:tr w:rsidR="00B535BB" w:rsidRPr="003B4D22" w14:paraId="692EFC79" w14:textId="77777777" w:rsidTr="00B535BB">
        <w:tc>
          <w:tcPr>
            <w:tcW w:w="1019" w:type="pct"/>
            <w:tcBorders>
              <w:bottom w:val="single" w:sz="4" w:space="0" w:color="auto"/>
            </w:tcBorders>
            <w:shd w:val="clear" w:color="auto" w:fill="000000" w:themeFill="text1"/>
          </w:tcPr>
          <w:p w14:paraId="1FB20359" w14:textId="77777777" w:rsidR="00B535BB" w:rsidRPr="003B4D22" w:rsidRDefault="00B535BB" w:rsidP="00B535BB">
            <w:pPr>
              <w:spacing w:after="40" w:line="240" w:lineRule="auto"/>
              <w:ind w:left="-57" w:right="-57"/>
              <w:rPr>
                <w:rFonts w:ascii="Arial Narrow" w:hAnsi="Arial Narrow"/>
                <w:sz w:val="20"/>
                <w:szCs w:val="20"/>
              </w:rPr>
            </w:pPr>
            <w:r w:rsidRPr="003B4D22">
              <w:rPr>
                <w:rFonts w:ascii="Arial Narrow" w:hAnsi="Arial Narrow"/>
                <w:sz w:val="20"/>
                <w:szCs w:val="20"/>
              </w:rPr>
              <w:t>HSCT</w:t>
            </w:r>
          </w:p>
        </w:tc>
        <w:tc>
          <w:tcPr>
            <w:tcW w:w="708" w:type="pct"/>
            <w:tcBorders>
              <w:bottom w:val="single" w:sz="4" w:space="0" w:color="auto"/>
            </w:tcBorders>
            <w:shd w:val="clear" w:color="auto" w:fill="000000" w:themeFill="text1"/>
          </w:tcPr>
          <w:p w14:paraId="0B373AF6" w14:textId="77777777" w:rsidR="00B535BB" w:rsidRPr="003B4D22" w:rsidRDefault="00B535BB" w:rsidP="00B535BB">
            <w:pPr>
              <w:spacing w:after="40" w:line="240" w:lineRule="auto"/>
              <w:ind w:left="-57" w:right="-57"/>
              <w:rPr>
                <w:rFonts w:ascii="Arial Narrow" w:hAnsi="Arial Narrow"/>
                <w:sz w:val="20"/>
                <w:szCs w:val="20"/>
              </w:rPr>
            </w:pPr>
          </w:p>
        </w:tc>
        <w:tc>
          <w:tcPr>
            <w:tcW w:w="1022" w:type="pct"/>
            <w:tcBorders>
              <w:bottom w:val="single" w:sz="4" w:space="0" w:color="auto"/>
            </w:tcBorders>
            <w:shd w:val="clear" w:color="auto" w:fill="000000" w:themeFill="text1"/>
          </w:tcPr>
          <w:p w14:paraId="60DDA9BC" w14:textId="77777777" w:rsidR="00B535BB" w:rsidRPr="003B4D22" w:rsidRDefault="00B535BB" w:rsidP="00B535BB">
            <w:pPr>
              <w:spacing w:after="40" w:line="240" w:lineRule="auto"/>
              <w:ind w:left="-57" w:right="-57"/>
              <w:rPr>
                <w:rFonts w:ascii="Arial Narrow" w:hAnsi="Arial Narrow"/>
                <w:sz w:val="20"/>
                <w:szCs w:val="20"/>
              </w:rPr>
            </w:pPr>
          </w:p>
        </w:tc>
        <w:tc>
          <w:tcPr>
            <w:tcW w:w="629" w:type="pct"/>
            <w:tcBorders>
              <w:bottom w:val="single" w:sz="4" w:space="0" w:color="auto"/>
            </w:tcBorders>
            <w:shd w:val="clear" w:color="auto" w:fill="000000" w:themeFill="text1"/>
          </w:tcPr>
          <w:p w14:paraId="32C57E3E" w14:textId="77777777" w:rsidR="00B535BB" w:rsidRPr="003B4D22" w:rsidRDefault="00B535BB" w:rsidP="00B535BB">
            <w:pPr>
              <w:spacing w:after="40" w:line="240" w:lineRule="auto"/>
              <w:ind w:left="-57" w:right="-57"/>
              <w:rPr>
                <w:rFonts w:ascii="Arial Narrow" w:hAnsi="Arial Narrow"/>
                <w:sz w:val="20"/>
                <w:szCs w:val="20"/>
              </w:rPr>
            </w:pPr>
          </w:p>
        </w:tc>
        <w:tc>
          <w:tcPr>
            <w:tcW w:w="1622" w:type="pct"/>
            <w:tcBorders>
              <w:bottom w:val="single" w:sz="4" w:space="0" w:color="auto"/>
            </w:tcBorders>
            <w:shd w:val="clear" w:color="auto" w:fill="000000" w:themeFill="text1"/>
          </w:tcPr>
          <w:p w14:paraId="5D88EE68" w14:textId="77777777" w:rsidR="00B535BB" w:rsidRPr="003B4D22" w:rsidRDefault="00B535BB" w:rsidP="00B535BB">
            <w:pPr>
              <w:spacing w:after="40" w:line="240" w:lineRule="auto"/>
              <w:ind w:left="-57" w:right="-57"/>
              <w:rPr>
                <w:rFonts w:ascii="Arial Narrow" w:hAnsi="Arial Narrow"/>
                <w:sz w:val="20"/>
                <w:szCs w:val="20"/>
              </w:rPr>
            </w:pPr>
          </w:p>
        </w:tc>
      </w:tr>
      <w:tr w:rsidR="00B535BB" w:rsidRPr="003B4D22" w14:paraId="2F4C93E2" w14:textId="77777777" w:rsidTr="00B535BB">
        <w:tc>
          <w:tcPr>
            <w:tcW w:w="1019" w:type="pct"/>
            <w:tcBorders>
              <w:top w:val="single" w:sz="4" w:space="0" w:color="auto"/>
              <w:bottom w:val="single" w:sz="4" w:space="0" w:color="auto"/>
            </w:tcBorders>
            <w:shd w:val="clear" w:color="auto" w:fill="FDE9D9" w:themeFill="accent6" w:themeFillTint="33"/>
          </w:tcPr>
          <w:p w14:paraId="4A988EFD"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Sullivan et al., 1990</w:t>
            </w:r>
          </w:p>
        </w:tc>
        <w:tc>
          <w:tcPr>
            <w:tcW w:w="708" w:type="pct"/>
            <w:tcBorders>
              <w:top w:val="single" w:sz="4" w:space="0" w:color="auto"/>
              <w:bottom w:val="single" w:sz="4" w:space="0" w:color="auto"/>
            </w:tcBorders>
            <w:shd w:val="clear" w:color="auto" w:fill="FDE9D9" w:themeFill="accent6" w:themeFillTint="33"/>
          </w:tcPr>
          <w:p w14:paraId="59B2625D"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RCT</w:t>
            </w:r>
          </w:p>
        </w:tc>
        <w:tc>
          <w:tcPr>
            <w:tcW w:w="1022" w:type="pct"/>
            <w:tcBorders>
              <w:top w:val="single" w:sz="4" w:space="0" w:color="auto"/>
              <w:bottom w:val="single" w:sz="4" w:space="0" w:color="auto"/>
            </w:tcBorders>
            <w:shd w:val="clear" w:color="auto" w:fill="FDE9D9" w:themeFill="accent6" w:themeFillTint="33"/>
          </w:tcPr>
          <w:p w14:paraId="2B747D8D"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RoB: low (SIGN)</w:t>
            </w:r>
          </w:p>
        </w:tc>
        <w:tc>
          <w:tcPr>
            <w:tcW w:w="629" w:type="pct"/>
            <w:tcBorders>
              <w:top w:val="single" w:sz="4" w:space="0" w:color="auto"/>
              <w:bottom w:val="single" w:sz="4" w:space="0" w:color="auto"/>
            </w:tcBorders>
            <w:shd w:val="clear" w:color="auto" w:fill="FDE9D9" w:themeFill="accent6" w:themeFillTint="33"/>
          </w:tcPr>
          <w:p w14:paraId="2F01560D"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N=369</w:t>
            </w:r>
          </w:p>
        </w:tc>
        <w:tc>
          <w:tcPr>
            <w:tcW w:w="1622" w:type="pct"/>
            <w:tcBorders>
              <w:top w:val="single" w:sz="4" w:space="0" w:color="auto"/>
              <w:bottom w:val="single" w:sz="4" w:space="0" w:color="auto"/>
            </w:tcBorders>
            <w:shd w:val="clear" w:color="auto" w:fill="FDE9D9" w:themeFill="accent6" w:themeFillTint="33"/>
          </w:tcPr>
          <w:p w14:paraId="614F03AB"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BMT</w:t>
            </w:r>
          </w:p>
        </w:tc>
      </w:tr>
      <w:tr w:rsidR="00B535BB" w:rsidRPr="003B4D22" w14:paraId="180C564C" w14:textId="77777777" w:rsidTr="00B535BB">
        <w:tc>
          <w:tcPr>
            <w:tcW w:w="1019" w:type="pct"/>
            <w:tcBorders>
              <w:top w:val="single" w:sz="4" w:space="0" w:color="auto"/>
              <w:bottom w:val="single" w:sz="4" w:space="0" w:color="auto"/>
            </w:tcBorders>
          </w:tcPr>
          <w:p w14:paraId="27D219FF" w14:textId="30405DD2" w:rsidR="00B535BB" w:rsidRPr="003B4D22" w:rsidRDefault="00B535BB" w:rsidP="00BB0145">
            <w:pPr>
              <w:spacing w:after="40" w:line="240" w:lineRule="auto"/>
              <w:ind w:left="-57"/>
              <w:rPr>
                <w:rFonts w:ascii="Arial Narrow" w:hAnsi="Arial Narrow"/>
                <w:sz w:val="20"/>
                <w:szCs w:val="18"/>
              </w:rPr>
            </w:pPr>
            <w:r w:rsidRPr="003B4D22">
              <w:rPr>
                <w:rFonts w:ascii="Arial Narrow" w:hAnsi="Arial Narrow"/>
                <w:sz w:val="20"/>
                <w:szCs w:val="18"/>
              </w:rPr>
              <w:fldChar w:fldCharType="begin">
                <w:fldData xml:space="preserve">PEVuZE5vdGU+PENpdGU+PEF1dGhvcj5CbG9tYmVyeTwvQXV0aG9yPjxZZWFyPjIwMTE8L1llYXI+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</w:fldData>
              </w:fldChar>
            </w:r>
            <w:r w:rsidRPr="003B4D22">
              <w:rPr>
                <w:rFonts w:ascii="Arial Narrow" w:hAnsi="Arial Narrow"/>
                <w:sz w:val="20"/>
                <w:szCs w:val="18"/>
              </w:rPr>
              <w:instrText xml:space="preserve"> ADDIN EN.CITE </w:instrText>
            </w:r>
            <w:r w:rsidRPr="003B4D22">
              <w:rPr>
                <w:rFonts w:ascii="Arial Narrow" w:hAnsi="Arial Narrow"/>
                <w:sz w:val="20"/>
                <w:szCs w:val="18"/>
              </w:rPr>
              <w:fldChar w:fldCharType="begin">
                <w:fldData xml:space="preserve">PEVuZE5vdGU+PENpdGU+PEF1dGhvcj5CbG9tYmVyeTwvQXV0aG9yPjxZZWFyPjIwMTE8L1llYXI+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</w:fldData>
              </w:fldChar>
            </w:r>
            <w:r w:rsidRPr="003B4D22">
              <w:rPr>
                <w:rFonts w:ascii="Arial Narrow" w:hAnsi="Arial Narrow"/>
                <w:sz w:val="20"/>
                <w:szCs w:val="18"/>
              </w:rPr>
              <w:instrText xml:space="preserve"> ADDIN EN.CITE.DATA </w:instrText>
            </w:r>
            <w:r w:rsidRPr="003B4D22">
              <w:rPr>
                <w:rFonts w:ascii="Arial Narrow" w:hAnsi="Arial Narrow"/>
                <w:sz w:val="20"/>
                <w:szCs w:val="18"/>
              </w:rPr>
            </w:r>
            <w:r w:rsidRPr="003B4D22">
              <w:rPr>
                <w:rFonts w:ascii="Arial Narrow" w:hAnsi="Arial Narrow"/>
                <w:sz w:val="20"/>
                <w:szCs w:val="18"/>
              </w:rPr>
              <w:fldChar w:fldCharType="end"/>
            </w:r>
            <w:r w:rsidRPr="003B4D22">
              <w:rPr>
                <w:rFonts w:ascii="Arial Narrow" w:hAnsi="Arial Narrow"/>
                <w:sz w:val="20"/>
                <w:szCs w:val="18"/>
              </w:rPr>
            </w:r>
            <w:r w:rsidRPr="003B4D22">
              <w:rPr>
                <w:rFonts w:ascii="Arial Narrow" w:hAnsi="Arial Narrow"/>
                <w:sz w:val="20"/>
                <w:szCs w:val="18"/>
              </w:rPr>
              <w:fldChar w:fldCharType="separate"/>
            </w:r>
            <w:r w:rsidRPr="003B4D22">
              <w:rPr>
                <w:rFonts w:ascii="Arial Narrow" w:hAnsi="Arial Narrow"/>
                <w:noProof/>
                <w:sz w:val="20"/>
                <w:szCs w:val="18"/>
              </w:rPr>
              <w:t>(</w:t>
            </w:r>
            <w:hyperlink w:anchor="_ENREF_6" w:tooltip="Blombery, 2011 #45" w:history="1">
              <w:r w:rsidR="00BB0145" w:rsidRPr="003B4D22">
                <w:rPr>
                  <w:rFonts w:ascii="Arial Narrow" w:hAnsi="Arial Narrow"/>
                  <w:noProof/>
                  <w:sz w:val="20"/>
                  <w:szCs w:val="18"/>
                </w:rPr>
                <w:t>Blombery et al. 2011</w:t>
              </w:r>
            </w:hyperlink>
            <w:r w:rsidRPr="003B4D22">
              <w:rPr>
                <w:rFonts w:ascii="Arial Narrow" w:hAnsi="Arial Narrow"/>
                <w:noProof/>
                <w:sz w:val="20"/>
                <w:szCs w:val="18"/>
              </w:rPr>
              <w:t>)</w:t>
            </w:r>
            <w:r w:rsidRPr="003B4D22">
              <w:rPr>
                <w:rFonts w:ascii="Arial Narrow" w:hAnsi="Arial Narrow"/>
                <w:sz w:val="20"/>
                <w:szCs w:val="18"/>
              </w:rPr>
              <w:fldChar w:fldCharType="end"/>
            </w:r>
          </w:p>
        </w:tc>
        <w:tc>
          <w:tcPr>
            <w:tcW w:w="708" w:type="pct"/>
            <w:tcBorders>
              <w:top w:val="single" w:sz="4" w:space="0" w:color="auto"/>
              <w:bottom w:val="single" w:sz="4" w:space="0" w:color="auto"/>
            </w:tcBorders>
          </w:tcPr>
          <w:p w14:paraId="423C1DC2" w14:textId="77777777" w:rsidR="00B535BB" w:rsidRPr="003B4D22" w:rsidRDefault="00B535BB" w:rsidP="00B535BB">
            <w:pPr>
              <w:spacing w:after="40" w:line="240" w:lineRule="auto"/>
              <w:ind w:left="-57"/>
              <w:rPr>
                <w:rFonts w:ascii="Arial Narrow" w:hAnsi="Arial Narrow"/>
                <w:sz w:val="20"/>
                <w:szCs w:val="18"/>
              </w:rPr>
            </w:pPr>
            <w:r w:rsidRPr="003B4D22">
              <w:rPr>
                <w:rFonts w:ascii="Arial Narrow" w:hAnsi="Arial Narrow"/>
                <w:sz w:val="20"/>
                <w:szCs w:val="18"/>
              </w:rPr>
              <w:t>Cohort study</w:t>
            </w:r>
          </w:p>
        </w:tc>
        <w:tc>
          <w:tcPr>
            <w:tcW w:w="1022" w:type="pct"/>
            <w:tcBorders>
              <w:top w:val="single" w:sz="4" w:space="0" w:color="auto"/>
              <w:bottom w:val="single" w:sz="4" w:space="0" w:color="auto"/>
            </w:tcBorders>
          </w:tcPr>
          <w:p w14:paraId="174E7851" w14:textId="77777777" w:rsidR="00B535BB" w:rsidRPr="003B4D22" w:rsidRDefault="00B535BB" w:rsidP="00B535BB">
            <w:pPr>
              <w:spacing w:after="40" w:line="240" w:lineRule="auto"/>
              <w:ind w:left="-57"/>
              <w:rPr>
                <w:rFonts w:ascii="Arial Narrow" w:hAnsi="Arial Narrow"/>
                <w:sz w:val="20"/>
                <w:szCs w:val="18"/>
              </w:rPr>
            </w:pPr>
            <w:r w:rsidRPr="003B4D22">
              <w:rPr>
                <w:rFonts w:ascii="Arial Narrow" w:hAnsi="Arial Narrow"/>
                <w:sz w:val="20"/>
                <w:szCs w:val="18"/>
              </w:rPr>
              <w:t>RoB: high (SIGN)</w:t>
            </w:r>
          </w:p>
        </w:tc>
        <w:tc>
          <w:tcPr>
            <w:tcW w:w="629" w:type="pct"/>
            <w:tcBorders>
              <w:top w:val="single" w:sz="4" w:space="0" w:color="auto"/>
              <w:bottom w:val="single" w:sz="4" w:space="0" w:color="auto"/>
            </w:tcBorders>
          </w:tcPr>
          <w:p w14:paraId="386A70ED" w14:textId="77777777" w:rsidR="00B535BB" w:rsidRPr="003B4D22" w:rsidRDefault="00B535BB" w:rsidP="00B535BB">
            <w:pPr>
              <w:spacing w:after="40" w:line="240" w:lineRule="auto"/>
              <w:ind w:left="-57"/>
              <w:rPr>
                <w:rFonts w:ascii="Arial Narrow" w:hAnsi="Arial Narrow"/>
                <w:sz w:val="20"/>
                <w:szCs w:val="18"/>
              </w:rPr>
            </w:pPr>
            <w:r w:rsidRPr="003B4D22">
              <w:rPr>
                <w:rFonts w:ascii="Arial Narrow" w:hAnsi="Arial Narrow"/>
                <w:sz w:val="20"/>
                <w:szCs w:val="18"/>
              </w:rPr>
              <w:t>N=240</w:t>
            </w:r>
          </w:p>
        </w:tc>
        <w:tc>
          <w:tcPr>
            <w:tcW w:w="1622" w:type="pct"/>
            <w:tcBorders>
              <w:top w:val="single" w:sz="4" w:space="0" w:color="auto"/>
              <w:bottom w:val="single" w:sz="4" w:space="0" w:color="auto"/>
            </w:tcBorders>
          </w:tcPr>
          <w:p w14:paraId="667B0219" w14:textId="77777777" w:rsidR="00B535BB" w:rsidRPr="003B4D22" w:rsidRDefault="00B535BB" w:rsidP="00B535BB">
            <w:pPr>
              <w:spacing w:after="40" w:line="240" w:lineRule="auto"/>
              <w:ind w:left="-57"/>
              <w:rPr>
                <w:rFonts w:ascii="Arial Narrow" w:hAnsi="Arial Narrow"/>
                <w:sz w:val="20"/>
                <w:szCs w:val="18"/>
              </w:rPr>
            </w:pPr>
            <w:r w:rsidRPr="003B4D22">
              <w:rPr>
                <w:rFonts w:ascii="Arial Narrow" w:hAnsi="Arial Narrow"/>
                <w:sz w:val="20"/>
                <w:szCs w:val="18"/>
              </w:rPr>
              <w:t>MM+HSCT (autologous)</w:t>
            </w:r>
          </w:p>
        </w:tc>
      </w:tr>
      <w:tr w:rsidR="00B535BB" w:rsidRPr="003B4D22" w14:paraId="4FA8A83E" w14:textId="77777777" w:rsidTr="00016253">
        <w:tc>
          <w:tcPr>
            <w:tcW w:w="1019" w:type="pct"/>
            <w:shd w:val="clear" w:color="auto" w:fill="D9D9D9" w:themeFill="background1" w:themeFillShade="D9"/>
          </w:tcPr>
          <w:p w14:paraId="2C575397"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Sundin et al., 2012</w:t>
            </w:r>
          </w:p>
        </w:tc>
        <w:tc>
          <w:tcPr>
            <w:tcW w:w="708" w:type="pct"/>
            <w:shd w:val="clear" w:color="auto" w:fill="D9D9D9" w:themeFill="background1" w:themeFillShade="D9"/>
          </w:tcPr>
          <w:p w14:paraId="2D2E8141"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Case series</w:t>
            </w:r>
          </w:p>
        </w:tc>
        <w:tc>
          <w:tcPr>
            <w:tcW w:w="1022" w:type="pct"/>
            <w:shd w:val="clear" w:color="auto" w:fill="D9D9D9" w:themeFill="background1" w:themeFillShade="D9"/>
          </w:tcPr>
          <w:p w14:paraId="6C215355"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RoB: moderate</w:t>
            </w:r>
          </w:p>
        </w:tc>
        <w:tc>
          <w:tcPr>
            <w:tcW w:w="629" w:type="pct"/>
            <w:shd w:val="clear" w:color="auto" w:fill="D9D9D9" w:themeFill="background1" w:themeFillShade="D9"/>
          </w:tcPr>
          <w:p w14:paraId="5586D0F9"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N=58 (26 had HM)</w:t>
            </w:r>
          </w:p>
        </w:tc>
        <w:tc>
          <w:tcPr>
            <w:tcW w:w="1622" w:type="pct"/>
            <w:shd w:val="clear" w:color="auto" w:fill="D9D9D9" w:themeFill="background1" w:themeFillShade="D9"/>
          </w:tcPr>
          <w:p w14:paraId="300BCC48"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HSCT</w:t>
            </w:r>
          </w:p>
        </w:tc>
      </w:tr>
      <w:tr w:rsidR="00B535BB" w:rsidRPr="00386411" w14:paraId="24226FC0" w14:textId="77777777" w:rsidTr="00B535BB">
        <w:tc>
          <w:tcPr>
            <w:tcW w:w="5000" w:type="pct"/>
            <w:gridSpan w:val="5"/>
            <w:tcBorders>
              <w:bottom w:val="single" w:sz="4" w:space="0" w:color="auto"/>
            </w:tcBorders>
            <w:shd w:val="clear" w:color="auto" w:fill="000000" w:themeFill="text1"/>
          </w:tcPr>
          <w:p w14:paraId="144B344F" w14:textId="77777777" w:rsidR="00B535BB" w:rsidRPr="00386411" w:rsidRDefault="00B535BB" w:rsidP="00B535BB">
            <w:pPr>
              <w:spacing w:after="40" w:line="240" w:lineRule="auto"/>
              <w:ind w:left="-57" w:right="-57"/>
              <w:rPr>
                <w:rFonts w:ascii="Arial Narrow" w:hAnsi="Arial Narrow"/>
                <w:b/>
                <w:sz w:val="20"/>
                <w:szCs w:val="20"/>
              </w:rPr>
            </w:pPr>
            <w:r w:rsidRPr="00386411">
              <w:rPr>
                <w:rFonts w:ascii="Arial Narrow" w:hAnsi="Arial Narrow"/>
                <w:b/>
                <w:sz w:val="20"/>
                <w:szCs w:val="20"/>
              </w:rPr>
              <w:t>Other haematological malignancies</w:t>
            </w:r>
          </w:p>
        </w:tc>
      </w:tr>
      <w:tr w:rsidR="00B535BB" w:rsidRPr="003B4D22" w14:paraId="408DF6E9" w14:textId="77777777" w:rsidTr="00B535BB">
        <w:tc>
          <w:tcPr>
            <w:tcW w:w="5000" w:type="pct"/>
            <w:gridSpan w:val="5"/>
            <w:tcBorders>
              <w:bottom w:val="single" w:sz="4" w:space="0" w:color="auto"/>
            </w:tcBorders>
          </w:tcPr>
          <w:p w14:paraId="5825E34D" w14:textId="77777777" w:rsidR="00B535BB" w:rsidRPr="003B4D22" w:rsidRDefault="00B535BB" w:rsidP="00B535BB">
            <w:pPr>
              <w:spacing w:after="40" w:line="240" w:lineRule="auto"/>
              <w:rPr>
                <w:rFonts w:ascii="Arial Narrow" w:hAnsi="Arial Narrow"/>
                <w:sz w:val="20"/>
                <w:szCs w:val="20"/>
              </w:rPr>
            </w:pPr>
            <w:r w:rsidRPr="003B4D22">
              <w:rPr>
                <w:rFonts w:ascii="Arial Narrow" w:hAnsi="Arial Narrow"/>
                <w:sz w:val="20"/>
                <w:szCs w:val="20"/>
              </w:rPr>
              <w:t>None identified.</w:t>
            </w:r>
          </w:p>
        </w:tc>
      </w:tr>
      <w:tr w:rsidR="00B535BB" w:rsidRPr="00386411" w14:paraId="1A160730" w14:textId="77777777" w:rsidTr="00B535BB">
        <w:tc>
          <w:tcPr>
            <w:tcW w:w="5000" w:type="pct"/>
            <w:gridSpan w:val="5"/>
            <w:tcBorders>
              <w:bottom w:val="single" w:sz="4" w:space="0" w:color="auto"/>
            </w:tcBorders>
            <w:shd w:val="clear" w:color="auto" w:fill="000000" w:themeFill="text1"/>
          </w:tcPr>
          <w:p w14:paraId="21461EBD" w14:textId="77777777" w:rsidR="00B535BB" w:rsidRPr="00386411" w:rsidRDefault="00B535BB" w:rsidP="00B535BB">
            <w:pPr>
              <w:spacing w:after="40"/>
              <w:ind w:left="-57" w:right="-57"/>
              <w:rPr>
                <w:rFonts w:ascii="Arial Narrow" w:hAnsi="Arial Narrow"/>
                <w:b/>
                <w:sz w:val="20"/>
                <w:szCs w:val="20"/>
              </w:rPr>
            </w:pPr>
            <w:r w:rsidRPr="00386411">
              <w:rPr>
                <w:rFonts w:ascii="Arial Narrow" w:hAnsi="Arial Narrow"/>
                <w:b/>
                <w:sz w:val="20"/>
                <w:szCs w:val="20"/>
              </w:rPr>
              <w:t xml:space="preserve">Included studies that could not be used for any of the NBA-funded conditions </w:t>
            </w:r>
          </w:p>
        </w:tc>
      </w:tr>
      <w:tr w:rsidR="00B535BB" w:rsidRPr="003B4D22" w14:paraId="2A457F80" w14:textId="77777777" w:rsidTr="00B535BB">
        <w:tc>
          <w:tcPr>
            <w:tcW w:w="1019" w:type="pct"/>
            <w:tcBorders>
              <w:bottom w:val="single" w:sz="4" w:space="0" w:color="auto"/>
            </w:tcBorders>
          </w:tcPr>
          <w:p w14:paraId="5A1E7DB3"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Günther &amp; Dreger 2013</w:t>
            </w:r>
          </w:p>
        </w:tc>
        <w:tc>
          <w:tcPr>
            <w:tcW w:w="708" w:type="pct"/>
            <w:tcBorders>
              <w:bottom w:val="single" w:sz="4" w:space="0" w:color="auto"/>
            </w:tcBorders>
          </w:tcPr>
          <w:p w14:paraId="5EC91DE2"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Case series</w:t>
            </w:r>
          </w:p>
        </w:tc>
        <w:tc>
          <w:tcPr>
            <w:tcW w:w="1022" w:type="pct"/>
            <w:tcBorders>
              <w:bottom w:val="single" w:sz="4" w:space="0" w:color="auto"/>
            </w:tcBorders>
          </w:tcPr>
          <w:p w14:paraId="648C497B"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RoB: moderate (IHE)</w:t>
            </w:r>
          </w:p>
        </w:tc>
        <w:tc>
          <w:tcPr>
            <w:tcW w:w="629" w:type="pct"/>
            <w:tcBorders>
              <w:bottom w:val="single" w:sz="4" w:space="0" w:color="auto"/>
            </w:tcBorders>
          </w:tcPr>
          <w:p w14:paraId="74EBE07A"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N=10</w:t>
            </w:r>
          </w:p>
        </w:tc>
        <w:tc>
          <w:tcPr>
            <w:tcW w:w="1622" w:type="pct"/>
            <w:tcBorders>
              <w:bottom w:val="single" w:sz="4" w:space="0" w:color="auto"/>
            </w:tcBorders>
          </w:tcPr>
          <w:p w14:paraId="180F9EA3"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CLL(5), FL(2), plasmacytoma; WM(1), MDS(1)</w:t>
            </w:r>
          </w:p>
        </w:tc>
      </w:tr>
      <w:tr w:rsidR="00B535BB" w:rsidRPr="003B4D22" w14:paraId="51D4004F" w14:textId="77777777" w:rsidTr="00B535BB">
        <w:tc>
          <w:tcPr>
            <w:tcW w:w="1019" w:type="pct"/>
            <w:tcBorders>
              <w:top w:val="single" w:sz="4" w:space="0" w:color="auto"/>
              <w:bottom w:val="single" w:sz="4" w:space="0" w:color="auto"/>
            </w:tcBorders>
          </w:tcPr>
          <w:p w14:paraId="47391263"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Benbrahim et al., 2018</w:t>
            </w:r>
          </w:p>
          <w:p w14:paraId="73834557"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(preliminary report)</w:t>
            </w:r>
          </w:p>
        </w:tc>
        <w:tc>
          <w:tcPr>
            <w:tcW w:w="708" w:type="pct"/>
            <w:tcBorders>
              <w:top w:val="single" w:sz="4" w:space="0" w:color="auto"/>
              <w:bottom w:val="single" w:sz="4" w:space="0" w:color="auto"/>
            </w:tcBorders>
          </w:tcPr>
          <w:p w14:paraId="0E081198"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Case series (prospective)</w:t>
            </w:r>
          </w:p>
        </w:tc>
        <w:tc>
          <w:tcPr>
            <w:tcW w:w="1022" w:type="pct"/>
            <w:tcBorders>
              <w:top w:val="single" w:sz="4" w:space="0" w:color="auto"/>
              <w:bottom w:val="single" w:sz="4" w:space="0" w:color="auto"/>
            </w:tcBorders>
          </w:tcPr>
          <w:p w14:paraId="6697B8C7"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20"/>
              </w:rPr>
              <w:t>RoB: low (IHE)</w:t>
            </w:r>
          </w:p>
        </w:tc>
        <w:tc>
          <w:tcPr>
            <w:tcW w:w="629" w:type="pct"/>
            <w:tcBorders>
              <w:top w:val="single" w:sz="4" w:space="0" w:color="auto"/>
              <w:bottom w:val="single" w:sz="4" w:space="0" w:color="auto"/>
            </w:tcBorders>
          </w:tcPr>
          <w:p w14:paraId="65988BD9"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N=231</w:t>
            </w:r>
          </w:p>
        </w:tc>
        <w:tc>
          <w:tcPr>
            <w:tcW w:w="1622" w:type="pct"/>
            <w:tcBorders>
              <w:top w:val="single" w:sz="4" w:space="0" w:color="auto"/>
              <w:bottom w:val="single" w:sz="4" w:space="0" w:color="auto"/>
            </w:tcBorders>
          </w:tcPr>
          <w:p w14:paraId="2839F0B4"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MM(64), CLL(84), NHL(71), AL(6); HL(6)</w:t>
            </w:r>
          </w:p>
        </w:tc>
      </w:tr>
      <w:tr w:rsidR="00B535BB" w:rsidRPr="003B4D22" w14:paraId="5DA502FB" w14:textId="77777777" w:rsidTr="00B535BB">
        <w:tc>
          <w:tcPr>
            <w:tcW w:w="1019" w:type="pct"/>
            <w:tcBorders>
              <w:top w:val="single" w:sz="4" w:space="0" w:color="auto"/>
              <w:bottom w:val="single" w:sz="4" w:space="0" w:color="auto"/>
            </w:tcBorders>
          </w:tcPr>
          <w:p w14:paraId="4D1CA526"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Duraisingham et al., 2014</w:t>
            </w:r>
          </w:p>
        </w:tc>
        <w:tc>
          <w:tcPr>
            <w:tcW w:w="708" w:type="pct"/>
            <w:tcBorders>
              <w:top w:val="single" w:sz="4" w:space="0" w:color="auto"/>
              <w:bottom w:val="single" w:sz="4" w:space="0" w:color="auto"/>
            </w:tcBorders>
          </w:tcPr>
          <w:p w14:paraId="5EF88376"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Case series (PID vs SID)</w:t>
            </w:r>
          </w:p>
        </w:tc>
        <w:tc>
          <w:tcPr>
            <w:tcW w:w="1022" w:type="pct"/>
            <w:tcBorders>
              <w:top w:val="single" w:sz="4" w:space="0" w:color="auto"/>
              <w:bottom w:val="single" w:sz="4" w:space="0" w:color="auto"/>
            </w:tcBorders>
          </w:tcPr>
          <w:p w14:paraId="7ED82BD7"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RoB: moderate (IHE)</w:t>
            </w:r>
          </w:p>
        </w:tc>
        <w:tc>
          <w:tcPr>
            <w:tcW w:w="629" w:type="pct"/>
            <w:tcBorders>
              <w:top w:val="single" w:sz="4" w:space="0" w:color="auto"/>
              <w:bottom w:val="single" w:sz="4" w:space="0" w:color="auto"/>
            </w:tcBorders>
          </w:tcPr>
          <w:p w14:paraId="4616DF7A"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N=39 SID patients, of which 15 had HM</w:t>
            </w:r>
          </w:p>
        </w:tc>
        <w:tc>
          <w:tcPr>
            <w:tcW w:w="1622" w:type="pct"/>
            <w:tcBorders>
              <w:top w:val="single" w:sz="4" w:space="0" w:color="auto"/>
              <w:bottom w:val="single" w:sz="4" w:space="0" w:color="auto"/>
            </w:tcBorders>
          </w:tcPr>
          <w:p w14:paraId="76881546"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 xml:space="preserve">CLL(1), MM(1), NHL(11); MDS(1); MGUS(1) </w:t>
            </w:r>
          </w:p>
        </w:tc>
      </w:tr>
      <w:tr w:rsidR="00B535BB" w:rsidRPr="003B4D22" w14:paraId="23E432E3" w14:textId="77777777" w:rsidTr="00016253">
        <w:tc>
          <w:tcPr>
            <w:tcW w:w="1019" w:type="pct"/>
            <w:shd w:val="clear" w:color="auto" w:fill="D9D9D9" w:themeFill="background1" w:themeFillShade="D9"/>
          </w:tcPr>
          <w:p w14:paraId="1E704E66"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Windegger et al. 2019</w:t>
            </w:r>
          </w:p>
        </w:tc>
        <w:tc>
          <w:tcPr>
            <w:tcW w:w="708" w:type="pct"/>
            <w:shd w:val="clear" w:color="auto" w:fill="D9D9D9" w:themeFill="background1" w:themeFillShade="D9"/>
          </w:tcPr>
          <w:p w14:paraId="557C5228"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Before/after time series</w:t>
            </w:r>
          </w:p>
        </w:tc>
        <w:tc>
          <w:tcPr>
            <w:tcW w:w="1022" w:type="pct"/>
            <w:shd w:val="clear" w:color="auto" w:fill="D9D9D9" w:themeFill="background1" w:themeFillShade="D9"/>
          </w:tcPr>
          <w:p w14:paraId="1D689DBA"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RoB: moderate (IHE)</w:t>
            </w:r>
          </w:p>
        </w:tc>
        <w:tc>
          <w:tcPr>
            <w:tcW w:w="629" w:type="pct"/>
            <w:shd w:val="clear" w:color="auto" w:fill="D9D9D9" w:themeFill="background1" w:themeFillShade="D9"/>
          </w:tcPr>
          <w:p w14:paraId="5177B033"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 xml:space="preserve">N=13 </w:t>
            </w:r>
            <w:r w:rsidRPr="003B4D22">
              <w:rPr>
                <w:rFonts w:ascii="Arial Narrow" w:hAnsi="Arial Narrow"/>
                <w:sz w:val="20"/>
                <w:szCs w:val="18"/>
              </w:rPr>
              <w:br/>
              <w:t>(N=84 for QoL survey)</w:t>
            </w:r>
          </w:p>
        </w:tc>
        <w:tc>
          <w:tcPr>
            <w:tcW w:w="1622" w:type="pct"/>
            <w:shd w:val="clear" w:color="auto" w:fill="D9D9D9" w:themeFill="background1" w:themeFillShade="D9"/>
          </w:tcPr>
          <w:p w14:paraId="77AF873D" w14:textId="77777777" w:rsidR="00B535BB" w:rsidRPr="003B4D22" w:rsidRDefault="00B535BB" w:rsidP="00B535BB">
            <w:pPr>
              <w:spacing w:after="40" w:line="240" w:lineRule="auto"/>
              <w:ind w:left="-57" w:right="-57"/>
              <w:rPr>
                <w:rFonts w:ascii="Arial Narrow" w:hAnsi="Arial Narrow"/>
                <w:sz w:val="20"/>
                <w:szCs w:val="18"/>
              </w:rPr>
            </w:pPr>
            <w:r w:rsidRPr="003B4D22">
              <w:rPr>
                <w:rFonts w:ascii="Arial Narrow" w:hAnsi="Arial Narrow"/>
                <w:sz w:val="20"/>
                <w:szCs w:val="18"/>
              </w:rPr>
              <w:t>Haem. malignancy (unspecified)</w:t>
            </w:r>
          </w:p>
        </w:tc>
      </w:tr>
    </w:tbl>
    <w:p w14:paraId="1C86ABE0" w14:textId="187135CB" w:rsidR="00437741" w:rsidRPr="00A7463B" w:rsidRDefault="001671CA" w:rsidP="00A7463B">
      <w:pPr>
        <w:rPr>
          <w:rFonts w:ascii="Arial Narrow" w:hAnsi="Arial Narrow"/>
          <w:sz w:val="20"/>
          <w:szCs w:val="20"/>
        </w:rPr>
      </w:pPr>
      <w:r w:rsidRPr="00A7463B">
        <w:rPr>
          <w:rFonts w:ascii="Arial Narrow" w:hAnsi="Arial Narrow"/>
          <w:sz w:val="20"/>
          <w:szCs w:val="20"/>
        </w:rPr>
        <w:t>Abbreviations are the same as those for</w:t>
      </w:r>
      <w:r w:rsidR="00A7463B" w:rsidRPr="00A7463B">
        <w:rPr>
          <w:rFonts w:ascii="Arial Narrow" w:hAnsi="Arial Narrow"/>
          <w:sz w:val="20"/>
          <w:szCs w:val="20"/>
        </w:rPr>
        <w:t xml:space="preserve"> </w:t>
      </w:r>
      <w:r w:rsidR="00A7463B" w:rsidRPr="00A7463B">
        <w:rPr>
          <w:rFonts w:ascii="Arial Narrow" w:hAnsi="Arial Narrow"/>
          <w:sz w:val="20"/>
          <w:szCs w:val="20"/>
        </w:rPr>
        <w:fldChar w:fldCharType="begin"/>
      </w:r>
      <w:r w:rsidR="00A7463B" w:rsidRPr="00A7463B">
        <w:rPr>
          <w:rFonts w:ascii="Arial Narrow" w:hAnsi="Arial Narrow"/>
          <w:sz w:val="20"/>
          <w:szCs w:val="20"/>
        </w:rPr>
        <w:instrText xml:space="preserve"> REF _Ref15306456 \h  \* MERGEFORMAT </w:instrText>
      </w:r>
      <w:r w:rsidR="00A7463B" w:rsidRPr="00A7463B">
        <w:rPr>
          <w:rFonts w:ascii="Arial Narrow" w:hAnsi="Arial Narrow"/>
          <w:sz w:val="20"/>
          <w:szCs w:val="20"/>
        </w:rPr>
      </w:r>
      <w:r w:rsidR="00A7463B" w:rsidRPr="00A7463B">
        <w:rPr>
          <w:rFonts w:ascii="Arial Narrow" w:hAnsi="Arial Narrow"/>
          <w:sz w:val="20"/>
          <w:szCs w:val="20"/>
        </w:rPr>
        <w:fldChar w:fldCharType="separate"/>
      </w:r>
      <w:r w:rsidR="00A7463B" w:rsidRPr="00A7463B">
        <w:rPr>
          <w:rFonts w:ascii="Arial Narrow" w:hAnsi="Arial Narrow"/>
          <w:sz w:val="20"/>
          <w:szCs w:val="20"/>
        </w:rPr>
        <w:t xml:space="preserve">Table </w:t>
      </w:r>
      <w:r w:rsidR="00A7463B" w:rsidRPr="00A7463B">
        <w:rPr>
          <w:rFonts w:ascii="Arial Narrow" w:hAnsi="Arial Narrow"/>
          <w:noProof/>
          <w:sz w:val="20"/>
          <w:szCs w:val="20"/>
        </w:rPr>
        <w:t>15</w:t>
      </w:r>
      <w:r w:rsidR="00A7463B" w:rsidRPr="00A7463B">
        <w:rPr>
          <w:rFonts w:ascii="Arial Narrow" w:hAnsi="Arial Narrow"/>
          <w:sz w:val="20"/>
          <w:szCs w:val="20"/>
        </w:rPr>
        <w:fldChar w:fldCharType="end"/>
      </w:r>
      <w:r w:rsidR="00B535BB" w:rsidRPr="00A7463B">
        <w:rPr>
          <w:rFonts w:ascii="Arial Narrow" w:hAnsi="Arial Narrow"/>
          <w:sz w:val="20"/>
          <w:szCs w:val="20"/>
        </w:rPr>
        <w:t>. Orange s</w:t>
      </w:r>
      <w:r w:rsidRPr="00A7463B">
        <w:rPr>
          <w:rFonts w:ascii="Arial Narrow" w:hAnsi="Arial Narrow"/>
          <w:sz w:val="20"/>
          <w:szCs w:val="20"/>
        </w:rPr>
        <w:t>hading indicates</w:t>
      </w:r>
      <w:r w:rsidR="00B535BB" w:rsidRPr="00A7463B">
        <w:rPr>
          <w:rFonts w:ascii="Arial Narrow" w:hAnsi="Arial Narrow"/>
          <w:sz w:val="20"/>
          <w:szCs w:val="20"/>
        </w:rPr>
        <w:t xml:space="preserve"> RCTs; grey is supportive only. </w:t>
      </w:r>
      <w:r w:rsidRPr="00A7463B">
        <w:rPr>
          <w:rFonts w:ascii="Arial Narrow" w:hAnsi="Arial Narrow"/>
          <w:sz w:val="20"/>
          <w:szCs w:val="20"/>
        </w:rPr>
        <w:t xml:space="preserve">. </w:t>
      </w:r>
    </w:p>
    <w:p w14:paraId="4E9A179E" w14:textId="77777777" w:rsidR="001671CA" w:rsidRPr="003B4D22" w:rsidRDefault="001671CA">
      <w:pPr>
        <w:spacing w:after="0" w:line="240" w:lineRule="auto"/>
      </w:pPr>
    </w:p>
    <w:p w14:paraId="757C7AA0" w14:textId="77777777" w:rsidR="00437741" w:rsidRPr="003B4D22" w:rsidRDefault="00437741">
      <w:pPr>
        <w:spacing w:after="0" w:line="240" w:lineRule="auto"/>
        <w:sectPr w:rsidR="00437741" w:rsidRPr="003B4D22" w:rsidSect="00437741">
          <w:pgSz w:w="11906" w:h="16838"/>
          <w:pgMar w:top="851" w:right="1440" w:bottom="851" w:left="1440" w:header="720" w:footer="720" w:gutter="0"/>
          <w:paperSrc w:first="7" w:other="7"/>
          <w:cols w:space="720"/>
          <w:docGrid w:linePitch="299"/>
        </w:sectPr>
      </w:pPr>
    </w:p>
    <w:p w14:paraId="0AC9E231" w14:textId="77777777" w:rsidR="00855ADC" w:rsidRPr="00386411" w:rsidRDefault="00855ADC" w:rsidP="00855ADC">
      <w:pPr>
        <w:pStyle w:val="Heading1"/>
      </w:pPr>
      <w:bookmarkStart w:id="729" w:name="_Ref421017583"/>
      <w:bookmarkStart w:id="730" w:name="_Ref421017580"/>
      <w:bookmarkStart w:id="731" w:name="_Toc14431187"/>
      <w:bookmarkStart w:id="732" w:name="_Toc16856362"/>
      <w:r w:rsidRPr="00386411">
        <w:lastRenderedPageBreak/>
        <w:t xml:space="preserve">Appendix </w:t>
      </w:r>
      <w:r w:rsidR="00E46014" w:rsidRPr="00386411">
        <w:rPr>
          <w:noProof/>
        </w:rPr>
        <w:fldChar w:fldCharType="begin"/>
      </w:r>
      <w:r w:rsidR="00E46014" w:rsidRPr="00386411">
        <w:rPr>
          <w:noProof/>
        </w:rPr>
        <w:instrText xml:space="preserve"> SEQ Appendix \* ALPHABETIC </w:instrText>
      </w:r>
      <w:r w:rsidR="00E46014" w:rsidRPr="00386411">
        <w:rPr>
          <w:noProof/>
        </w:rPr>
        <w:fldChar w:fldCharType="separate"/>
      </w:r>
      <w:r w:rsidR="00A7463B">
        <w:rPr>
          <w:noProof/>
        </w:rPr>
        <w:t>D</w:t>
      </w:r>
      <w:r w:rsidR="00E46014" w:rsidRPr="00386411">
        <w:rPr>
          <w:noProof/>
        </w:rPr>
        <w:fldChar w:fldCharType="end"/>
      </w:r>
      <w:bookmarkEnd w:id="729"/>
      <w:r w:rsidRPr="00386411">
        <w:tab/>
        <w:t>Evidence Profile Tables</w:t>
      </w:r>
      <w:bookmarkEnd w:id="730"/>
      <w:bookmarkEnd w:id="731"/>
      <w:bookmarkEnd w:id="732"/>
      <w:r w:rsidRPr="00386411">
        <w:t xml:space="preserve"> </w:t>
      </w:r>
    </w:p>
    <w:p w14:paraId="266498A2" w14:textId="037ADFDA" w:rsidR="006B4C5F" w:rsidRPr="00386411" w:rsidRDefault="006B4C5F" w:rsidP="006B4C5F">
      <w:pPr>
        <w:pStyle w:val="Caption"/>
        <w:rPr>
          <w:snapToGrid w:val="0"/>
          <w:lang w:eastAsia="en-US"/>
        </w:rPr>
      </w:pPr>
      <w:bookmarkStart w:id="733" w:name="_Ref11162222"/>
      <w:bookmarkStart w:id="734" w:name="_Toc14429619"/>
      <w:bookmarkStart w:id="735" w:name="_Toc16671677"/>
      <w:r w:rsidRPr="00386411">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79</w:t>
      </w:r>
      <w:r w:rsidRPr="00386411">
        <w:rPr>
          <w:noProof/>
        </w:rPr>
        <w:fldChar w:fldCharType="end"/>
      </w:r>
      <w:bookmarkEnd w:id="733"/>
      <w:r w:rsidRPr="00386411">
        <w:tab/>
      </w:r>
      <w:r w:rsidRPr="00386411">
        <w:rPr>
          <w:snapToGrid w:val="0"/>
          <w:lang w:eastAsia="en-US"/>
        </w:rPr>
        <w:t>Included study profiles for safety and effectiveness – RCTs</w:t>
      </w:r>
      <w:bookmarkEnd w:id="734"/>
      <w:bookmarkEnd w:id="735"/>
    </w:p>
    <w:tbl>
      <w:tblPr>
        <w:tblStyle w:val="TableGrid51"/>
        <w:tblW w:w="14312" w:type="dxa"/>
        <w:tblLayout w:type="fixed"/>
        <w:tblLook w:val="04A0" w:firstRow="1" w:lastRow="0" w:firstColumn="1" w:lastColumn="0" w:noHBand="0" w:noVBand="1"/>
        <w:tblCaption w:val="Study profiles of included studies on change in management"/>
        <w:tblDescription w:val="Eleven studies reporting on change in management outcomes were included. This table indicates details on study design and quality, the study population, inclusion/ exclusion criteria, setting and technical details of the index test, and outcomes assessed."/>
      </w:tblPr>
      <w:tblGrid>
        <w:gridCol w:w="1129"/>
        <w:gridCol w:w="1134"/>
        <w:gridCol w:w="1843"/>
        <w:gridCol w:w="2268"/>
        <w:gridCol w:w="1843"/>
        <w:gridCol w:w="1843"/>
        <w:gridCol w:w="2268"/>
        <w:gridCol w:w="1984"/>
      </w:tblGrid>
      <w:tr w:rsidR="006B5E0B" w:rsidRPr="003B4D22" w14:paraId="5FD3CCAF" w14:textId="77777777" w:rsidTr="006B5E0B">
        <w:trPr>
          <w:trHeight w:val="293"/>
          <w:tblHeader/>
        </w:trPr>
        <w:tc>
          <w:tcPr>
            <w:tcW w:w="1129" w:type="dxa"/>
          </w:tcPr>
          <w:p w14:paraId="3A48780C" w14:textId="77777777" w:rsidR="006B5E0B" w:rsidRPr="00386411" w:rsidRDefault="006B5E0B" w:rsidP="006B5E0B">
            <w:pPr>
              <w:keepNext/>
              <w:spacing w:after="40" w:line="240" w:lineRule="auto"/>
              <w:rPr>
                <w:rFonts w:ascii="Arial Narrow" w:hAnsi="Arial Narrow" w:cs="Times New Roman"/>
                <w:b/>
                <w:sz w:val="20"/>
                <w:szCs w:val="20"/>
              </w:rPr>
            </w:pPr>
            <w:r w:rsidRPr="00386411">
              <w:rPr>
                <w:rFonts w:ascii="Arial Narrow" w:hAnsi="Arial Narrow" w:cs="Times New Roman"/>
                <w:b/>
                <w:sz w:val="20"/>
                <w:szCs w:val="20"/>
              </w:rPr>
              <w:t>Author, Year</w:t>
            </w:r>
          </w:p>
          <w:p w14:paraId="2256744D" w14:textId="09324878" w:rsidR="006B5E0B" w:rsidRPr="003B4D22" w:rsidRDefault="006B5E0B" w:rsidP="006B5E0B">
            <w:pPr>
              <w:spacing w:after="40" w:line="240" w:lineRule="auto"/>
              <w:ind w:left="-57"/>
              <w:rPr>
                <w:rFonts w:ascii="Arial Narrow" w:hAnsi="Arial Narrow" w:cs="Times New Roman"/>
                <w:sz w:val="18"/>
                <w:szCs w:val="20"/>
              </w:rPr>
            </w:pPr>
            <w:r w:rsidRPr="00386411">
              <w:rPr>
                <w:rFonts w:ascii="Arial Narrow" w:hAnsi="Arial Narrow" w:cs="Times New Roman"/>
                <w:b/>
                <w:sz w:val="20"/>
                <w:szCs w:val="20"/>
              </w:rPr>
              <w:t>Country</w:t>
            </w:r>
          </w:p>
        </w:tc>
        <w:tc>
          <w:tcPr>
            <w:tcW w:w="1134" w:type="dxa"/>
          </w:tcPr>
          <w:p w14:paraId="6912CA7B" w14:textId="77777777" w:rsidR="006B5E0B" w:rsidRPr="00386411" w:rsidRDefault="006B5E0B" w:rsidP="006B5E0B">
            <w:pPr>
              <w:keepNext/>
              <w:spacing w:after="40" w:line="240" w:lineRule="auto"/>
              <w:ind w:left="-57"/>
              <w:rPr>
                <w:rFonts w:ascii="Arial Narrow" w:hAnsi="Arial Narrow" w:cs="Times New Roman"/>
                <w:b/>
                <w:sz w:val="20"/>
                <w:szCs w:val="20"/>
              </w:rPr>
            </w:pPr>
            <w:r w:rsidRPr="00386411">
              <w:rPr>
                <w:rFonts w:ascii="Arial Narrow" w:hAnsi="Arial Narrow" w:cs="Times New Roman"/>
                <w:b/>
                <w:sz w:val="20"/>
                <w:szCs w:val="20"/>
              </w:rPr>
              <w:t xml:space="preserve">Study design  </w:t>
            </w:r>
          </w:p>
          <w:p w14:paraId="69B87347" w14:textId="10EEB4F1" w:rsidR="006B5E0B" w:rsidRPr="003B4D22" w:rsidRDefault="006B5E0B" w:rsidP="006B5E0B">
            <w:pPr>
              <w:spacing w:after="40" w:line="240" w:lineRule="auto"/>
              <w:ind w:left="-57"/>
              <w:rPr>
                <w:rFonts w:ascii="Arial Narrow" w:hAnsi="Arial Narrow" w:cs="Times New Roman"/>
                <w:sz w:val="18"/>
                <w:szCs w:val="20"/>
              </w:rPr>
            </w:pPr>
            <w:r w:rsidRPr="00386411">
              <w:rPr>
                <w:rFonts w:ascii="Arial Narrow" w:hAnsi="Arial Narrow" w:cs="Times New Roman"/>
                <w:b/>
                <w:sz w:val="20"/>
                <w:szCs w:val="20"/>
              </w:rPr>
              <w:t>Risk of bias (RoB)</w:t>
            </w:r>
          </w:p>
        </w:tc>
        <w:tc>
          <w:tcPr>
            <w:tcW w:w="1843" w:type="dxa"/>
          </w:tcPr>
          <w:p w14:paraId="642B6BAB" w14:textId="30A03660" w:rsidR="006B5E0B" w:rsidRPr="003B4D22" w:rsidRDefault="006B5E0B" w:rsidP="006B5E0B">
            <w:pPr>
              <w:spacing w:after="40" w:line="240" w:lineRule="auto"/>
              <w:ind w:left="-57"/>
              <w:rPr>
                <w:rFonts w:ascii="Arial Narrow" w:hAnsi="Arial Narrow" w:cs="Times New Roman"/>
                <w:sz w:val="18"/>
                <w:szCs w:val="20"/>
              </w:rPr>
            </w:pPr>
            <w:r w:rsidRPr="00386411">
              <w:rPr>
                <w:rFonts w:ascii="Arial Narrow" w:hAnsi="Arial Narrow" w:cs="Times New Roman"/>
                <w:b/>
                <w:sz w:val="20"/>
                <w:szCs w:val="20"/>
              </w:rPr>
              <w:t>Population characteristics (at baseline unless specified)</w:t>
            </w:r>
          </w:p>
        </w:tc>
        <w:tc>
          <w:tcPr>
            <w:tcW w:w="2268" w:type="dxa"/>
          </w:tcPr>
          <w:p w14:paraId="0D52DCE4" w14:textId="77777777" w:rsidR="006B5E0B" w:rsidRPr="00386411" w:rsidRDefault="006B5E0B" w:rsidP="006B5E0B">
            <w:pPr>
              <w:keepNext/>
              <w:spacing w:after="40" w:line="240" w:lineRule="auto"/>
              <w:rPr>
                <w:rFonts w:ascii="Arial Narrow" w:hAnsi="Arial Narrow" w:cs="Times New Roman"/>
                <w:b/>
                <w:sz w:val="20"/>
                <w:szCs w:val="20"/>
              </w:rPr>
            </w:pPr>
            <w:r w:rsidRPr="00386411">
              <w:rPr>
                <w:rFonts w:ascii="Arial Narrow" w:hAnsi="Arial Narrow" w:cs="Times New Roman"/>
                <w:b/>
                <w:sz w:val="20"/>
                <w:szCs w:val="20"/>
              </w:rPr>
              <w:t xml:space="preserve">Eligibility criteria </w:t>
            </w:r>
          </w:p>
          <w:p w14:paraId="70CE6924" w14:textId="3EF0CC67" w:rsidR="006B5E0B" w:rsidRPr="003B4D22" w:rsidRDefault="006B5E0B" w:rsidP="006B5E0B">
            <w:pPr>
              <w:spacing w:after="40" w:line="240" w:lineRule="auto"/>
              <w:ind w:left="-57"/>
              <w:rPr>
                <w:rFonts w:ascii="Arial Narrow" w:hAnsi="Arial Narrow" w:cs="Times New Roman"/>
                <w:sz w:val="18"/>
                <w:szCs w:val="20"/>
                <w:u w:val="single"/>
              </w:rPr>
            </w:pPr>
            <w:r w:rsidRPr="00386411">
              <w:rPr>
                <w:rFonts w:ascii="Arial Narrow" w:hAnsi="Arial Narrow" w:cs="Times New Roman"/>
                <w:b/>
                <w:sz w:val="20"/>
                <w:szCs w:val="20"/>
              </w:rPr>
              <w:t>Objectives</w:t>
            </w:r>
          </w:p>
        </w:tc>
        <w:tc>
          <w:tcPr>
            <w:tcW w:w="1843" w:type="dxa"/>
          </w:tcPr>
          <w:p w14:paraId="39A48B1B" w14:textId="36DE6063" w:rsidR="006B5E0B" w:rsidRPr="003B4D22" w:rsidRDefault="006B5E0B" w:rsidP="006B5E0B">
            <w:pPr>
              <w:spacing w:after="40" w:line="240" w:lineRule="auto"/>
              <w:ind w:left="-57"/>
              <w:rPr>
                <w:rFonts w:ascii="Arial Narrow" w:hAnsi="Arial Narrow" w:cs="Times New Roman"/>
                <w:sz w:val="18"/>
                <w:szCs w:val="20"/>
                <w:u w:val="single"/>
              </w:rPr>
            </w:pPr>
            <w:r w:rsidRPr="00386411">
              <w:rPr>
                <w:rFonts w:ascii="Arial Narrow" w:hAnsi="Arial Narrow" w:cs="Times New Roman"/>
                <w:b/>
                <w:sz w:val="20"/>
                <w:szCs w:val="20"/>
              </w:rPr>
              <w:t>Intervention</w:t>
            </w:r>
          </w:p>
        </w:tc>
        <w:tc>
          <w:tcPr>
            <w:tcW w:w="1843" w:type="dxa"/>
          </w:tcPr>
          <w:p w14:paraId="78795C8D" w14:textId="0C248F0F" w:rsidR="006B5E0B" w:rsidRPr="003B4D22" w:rsidRDefault="006B5E0B" w:rsidP="006B5E0B">
            <w:pPr>
              <w:spacing w:after="40" w:line="240" w:lineRule="auto"/>
              <w:ind w:left="-57"/>
              <w:rPr>
                <w:rFonts w:ascii="Arial Narrow" w:hAnsi="Arial Narrow" w:cs="Times New Roman"/>
                <w:sz w:val="18"/>
                <w:szCs w:val="20"/>
                <w:u w:val="single"/>
              </w:rPr>
            </w:pPr>
            <w:r w:rsidRPr="00386411">
              <w:rPr>
                <w:rFonts w:ascii="Arial Narrow" w:hAnsi="Arial Narrow" w:cs="Times New Roman"/>
                <w:b/>
                <w:sz w:val="20"/>
                <w:szCs w:val="20"/>
              </w:rPr>
              <w:t>Comparator</w:t>
            </w:r>
          </w:p>
        </w:tc>
        <w:tc>
          <w:tcPr>
            <w:tcW w:w="2268" w:type="dxa"/>
          </w:tcPr>
          <w:p w14:paraId="7190E4CC" w14:textId="77777777" w:rsidR="006B5E0B" w:rsidRPr="00386411" w:rsidRDefault="006B5E0B" w:rsidP="006B5E0B">
            <w:pPr>
              <w:keepNext/>
              <w:spacing w:after="40" w:line="240" w:lineRule="auto"/>
              <w:rPr>
                <w:rFonts w:ascii="Arial Narrow" w:hAnsi="Arial Narrow" w:cs="Times New Roman"/>
                <w:b/>
                <w:sz w:val="20"/>
                <w:szCs w:val="20"/>
              </w:rPr>
            </w:pPr>
            <w:r w:rsidRPr="00386411">
              <w:rPr>
                <w:rFonts w:ascii="Arial Narrow" w:hAnsi="Arial Narrow" w:cs="Times New Roman"/>
                <w:b/>
                <w:sz w:val="20"/>
                <w:szCs w:val="20"/>
              </w:rPr>
              <w:t>Outcomes assessed</w:t>
            </w:r>
          </w:p>
          <w:p w14:paraId="5EA668B5" w14:textId="77777777" w:rsidR="006B5E0B" w:rsidRPr="00386411" w:rsidRDefault="006B5E0B" w:rsidP="006B5E0B">
            <w:pPr>
              <w:keepNext/>
              <w:spacing w:after="40" w:line="240" w:lineRule="auto"/>
              <w:rPr>
                <w:rFonts w:ascii="Arial Narrow" w:hAnsi="Arial Narrow" w:cs="Times New Roman"/>
                <w:b/>
                <w:sz w:val="20"/>
                <w:szCs w:val="20"/>
              </w:rPr>
            </w:pPr>
            <w:r w:rsidRPr="00386411">
              <w:rPr>
                <w:rFonts w:ascii="Arial Narrow" w:hAnsi="Arial Narrow" w:cs="Times New Roman"/>
                <w:b/>
                <w:sz w:val="20"/>
                <w:szCs w:val="20"/>
              </w:rPr>
              <w:t>Statistical Analyses</w:t>
            </w:r>
          </w:p>
          <w:p w14:paraId="62E093F1" w14:textId="310BD8AC" w:rsidR="006B5E0B" w:rsidRPr="003B4D22" w:rsidRDefault="006B5E0B" w:rsidP="006B5E0B">
            <w:pPr>
              <w:spacing w:after="40" w:line="240" w:lineRule="auto"/>
              <w:ind w:left="-57"/>
              <w:rPr>
                <w:rFonts w:ascii="Arial Narrow" w:hAnsi="Arial Narrow" w:cs="Times New Roman"/>
                <w:sz w:val="18"/>
                <w:szCs w:val="20"/>
                <w:u w:val="single"/>
              </w:rPr>
            </w:pPr>
            <w:r w:rsidRPr="00386411">
              <w:rPr>
                <w:rFonts w:ascii="Arial Narrow" w:hAnsi="Arial Narrow" w:cs="Times New Roman"/>
                <w:b/>
                <w:sz w:val="20"/>
                <w:szCs w:val="20"/>
              </w:rPr>
              <w:t>Duration of follow-up</w:t>
            </w:r>
          </w:p>
        </w:tc>
        <w:tc>
          <w:tcPr>
            <w:tcW w:w="1984" w:type="dxa"/>
          </w:tcPr>
          <w:p w14:paraId="5C98752B" w14:textId="2E840E0F" w:rsidR="006B5E0B" w:rsidRPr="003B4D22" w:rsidRDefault="006B5E0B" w:rsidP="006B5E0B">
            <w:pPr>
              <w:spacing w:after="40" w:line="240" w:lineRule="auto"/>
              <w:ind w:left="-57"/>
              <w:rPr>
                <w:rFonts w:ascii="Arial Narrow" w:hAnsi="Arial Narrow" w:cs="Times New Roman"/>
                <w:sz w:val="18"/>
                <w:szCs w:val="20"/>
                <w:u w:val="single"/>
              </w:rPr>
            </w:pPr>
            <w:r w:rsidRPr="00386411">
              <w:rPr>
                <w:rFonts w:ascii="Arial Narrow" w:hAnsi="Arial Narrow" w:cs="Times New Roman"/>
                <w:b/>
                <w:sz w:val="20"/>
                <w:szCs w:val="20"/>
              </w:rPr>
              <w:t>Comments</w:t>
            </w:r>
          </w:p>
        </w:tc>
      </w:tr>
      <w:tr w:rsidR="006B5E0B" w:rsidRPr="003B4D22" w14:paraId="22388E72" w14:textId="77777777" w:rsidTr="006B5E0B">
        <w:trPr>
          <w:trHeight w:val="293"/>
        </w:trPr>
        <w:tc>
          <w:tcPr>
            <w:tcW w:w="14312" w:type="dxa"/>
            <w:gridSpan w:val="8"/>
            <w:shd w:val="clear" w:color="auto" w:fill="000000" w:themeFill="text1"/>
          </w:tcPr>
          <w:p w14:paraId="7EBC8B4A" w14:textId="031E4F35" w:rsidR="006B5E0B" w:rsidRPr="003B4D22" w:rsidRDefault="006B5E0B" w:rsidP="00C57B4A">
            <w:pPr>
              <w:spacing w:after="40" w:line="240" w:lineRule="auto"/>
              <w:ind w:left="-57"/>
              <w:rPr>
                <w:rFonts w:ascii="Arial Narrow" w:hAnsi="Arial Narrow" w:cs="Times New Roman"/>
                <w:sz w:val="18"/>
                <w:szCs w:val="20"/>
                <w:u w:val="single"/>
              </w:rPr>
            </w:pPr>
            <w:r w:rsidRPr="00386411">
              <w:rPr>
                <w:rFonts w:ascii="Arial Narrow" w:hAnsi="Arial Narrow"/>
                <w:b/>
                <w:color w:val="FFFFFF" w:themeColor="background1"/>
                <w:sz w:val="20"/>
                <w:szCs w:val="20"/>
              </w:rPr>
              <w:t>Randomised studies – IVIg vs No IVIg</w:t>
            </w:r>
          </w:p>
        </w:tc>
      </w:tr>
      <w:tr w:rsidR="001A0A87" w:rsidRPr="003B4D22" w14:paraId="786F8B61" w14:textId="77777777" w:rsidTr="006B4C5F">
        <w:trPr>
          <w:trHeight w:val="293"/>
        </w:trPr>
        <w:tc>
          <w:tcPr>
            <w:tcW w:w="1129" w:type="dxa"/>
          </w:tcPr>
          <w:p w14:paraId="7598EDA8"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Boughton et al., 1995</w:t>
            </w:r>
          </w:p>
          <w:p w14:paraId="06E242B7"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UK</w:t>
            </w:r>
          </w:p>
          <w:p w14:paraId="3126238C"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Multi-centre</w:t>
            </w:r>
          </w:p>
          <w:p w14:paraId="1F2E8D20"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(20 sites)</w:t>
            </w:r>
          </w:p>
        </w:tc>
        <w:tc>
          <w:tcPr>
            <w:tcW w:w="1134" w:type="dxa"/>
          </w:tcPr>
          <w:p w14:paraId="57E8C13E"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RCT, double-blind</w:t>
            </w:r>
          </w:p>
          <w:p w14:paraId="174A3F58" w14:textId="666916B6"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 xml:space="preserve">RoB: </w:t>
            </w:r>
            <w:r w:rsidR="003A052A" w:rsidRPr="00D6742F">
              <w:rPr>
                <w:rFonts w:ascii="Arial Narrow" w:hAnsi="Arial Narrow" w:cs="Times New Roman"/>
                <w:sz w:val="18"/>
                <w:szCs w:val="20"/>
              </w:rPr>
              <w:t>moderate</w:t>
            </w:r>
            <w:r w:rsidRPr="00D6742F">
              <w:rPr>
                <w:rFonts w:ascii="Arial Narrow" w:hAnsi="Arial Narrow" w:cs="Times New Roman"/>
                <w:sz w:val="18"/>
                <w:szCs w:val="20"/>
              </w:rPr>
              <w:t xml:space="preserve"> (SIGN)</w:t>
            </w:r>
          </w:p>
        </w:tc>
        <w:tc>
          <w:tcPr>
            <w:tcW w:w="1843" w:type="dxa"/>
          </w:tcPr>
          <w:p w14:paraId="166CC1F4"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N=42 (CLL)</w:t>
            </w:r>
          </w:p>
          <w:p w14:paraId="65595CD8"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t>Sex</w:t>
            </w:r>
            <w:r w:rsidRPr="00D6742F">
              <w:rPr>
                <w:rFonts w:ascii="Arial Narrow" w:hAnsi="Arial Narrow" w:cs="Times New Roman"/>
                <w:sz w:val="18"/>
                <w:szCs w:val="20"/>
              </w:rPr>
              <w:t>, ♀/♂: 16/26</w:t>
            </w:r>
          </w:p>
          <w:p w14:paraId="304BB4F1"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t>Mean age</w:t>
            </w:r>
            <w:r w:rsidRPr="00D6742F">
              <w:rPr>
                <w:rFonts w:ascii="Arial Narrow" w:hAnsi="Arial Narrow" w:cs="Times New Roman"/>
                <w:sz w:val="18"/>
                <w:szCs w:val="20"/>
              </w:rPr>
              <w:t>±sd, yr IVIg/placebo: 61±7/63±7</w:t>
            </w:r>
          </w:p>
          <w:p w14:paraId="63695FA9"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t>Mean weight</w:t>
            </w:r>
            <w:r w:rsidRPr="00D6742F">
              <w:rPr>
                <w:rFonts w:ascii="Arial Narrow" w:hAnsi="Arial Narrow" w:cs="Times New Roman"/>
                <w:sz w:val="18"/>
                <w:szCs w:val="20"/>
              </w:rPr>
              <w:t>±sd, kg IVIg/placebo: 66±11/72±14</w:t>
            </w:r>
          </w:p>
          <w:p w14:paraId="5C87B5A1"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t>Disease stage</w:t>
            </w:r>
            <w:r w:rsidRPr="00D6742F">
              <w:rPr>
                <w:rFonts w:ascii="Arial Narrow" w:hAnsi="Arial Narrow" w:cs="Times New Roman"/>
                <w:sz w:val="18"/>
                <w:szCs w:val="20"/>
              </w:rPr>
              <w:t>, A/B/C: 20/7/15</w:t>
            </w:r>
          </w:p>
          <w:p w14:paraId="5D4FB628"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t>Mean serum IgG</w:t>
            </w:r>
            <w:r w:rsidRPr="00D6742F">
              <w:rPr>
                <w:rFonts w:ascii="Arial Narrow" w:hAnsi="Arial Narrow" w:cs="Times New Roman"/>
                <w:sz w:val="18"/>
                <w:szCs w:val="20"/>
              </w:rPr>
              <w:t xml:space="preserve">±sd, g/L: </w:t>
            </w:r>
            <w:r w:rsidRPr="00D6742F">
              <w:rPr>
                <w:rFonts w:ascii="Arial Narrow" w:hAnsi="Arial Narrow" w:cs="Times New Roman"/>
                <w:sz w:val="18"/>
                <w:szCs w:val="20"/>
              </w:rPr>
              <w:br/>
              <w:t>IVIg: 3.5±0.7</w:t>
            </w:r>
            <w:r w:rsidRPr="00D6742F">
              <w:rPr>
                <w:rFonts w:ascii="Arial Narrow" w:hAnsi="Arial Narrow" w:cs="Times New Roman"/>
                <w:sz w:val="18"/>
                <w:szCs w:val="20"/>
              </w:rPr>
              <w:br/>
              <w:t>No IVIg: 3.6±0.6</w:t>
            </w:r>
          </w:p>
        </w:tc>
        <w:tc>
          <w:tcPr>
            <w:tcW w:w="2268" w:type="dxa"/>
          </w:tcPr>
          <w:p w14:paraId="560C001C"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t>Inclusion:</w:t>
            </w:r>
            <w:r w:rsidRPr="00D6742F">
              <w:rPr>
                <w:rFonts w:ascii="Arial Narrow" w:hAnsi="Arial Narrow" w:cs="Times New Roman"/>
                <w:sz w:val="18"/>
                <w:szCs w:val="20"/>
              </w:rPr>
              <w:t xml:space="preserve"> CLL patient with serum IgG levels &lt;5.5 g/L (excluding paraprotein) and a history of 2+ recent infections</w:t>
            </w:r>
          </w:p>
          <w:p w14:paraId="256D1B60"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t>Exclusion</w:t>
            </w:r>
            <w:r w:rsidRPr="00D6742F">
              <w:rPr>
                <w:rFonts w:ascii="Arial Narrow" w:hAnsi="Arial Narrow" w:cs="Times New Roman"/>
                <w:sz w:val="18"/>
                <w:szCs w:val="20"/>
              </w:rPr>
              <w:t>: if prophylactic antibiotics in prior 2 weeks; if severe infection at trial entry; if any IVIg or human plasma in 3 months prior to trial entry; prior severe reactions to IV blood products.</w:t>
            </w:r>
          </w:p>
          <w:p w14:paraId="65BFE63F"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t>Objectives</w:t>
            </w:r>
            <w:r w:rsidRPr="00D6742F">
              <w:rPr>
                <w:rFonts w:ascii="Arial Narrow" w:hAnsi="Arial Narrow" w:cs="Times New Roman"/>
                <w:sz w:val="18"/>
                <w:szCs w:val="20"/>
              </w:rPr>
              <w:t>: investigation of IVIg in preventing infections in CLL and to identify high risk patients for whom IVIg prophylaxis may be cost effective.</w:t>
            </w:r>
          </w:p>
        </w:tc>
        <w:tc>
          <w:tcPr>
            <w:tcW w:w="1843" w:type="dxa"/>
          </w:tcPr>
          <w:p w14:paraId="38DCA311" w14:textId="01151156"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t>IVIg</w:t>
            </w:r>
            <w:r w:rsidR="009255EC" w:rsidRPr="00D6742F">
              <w:rPr>
                <w:rFonts w:ascii="Arial Narrow" w:hAnsi="Arial Narrow" w:cs="Times New Roman"/>
                <w:sz w:val="18"/>
                <w:szCs w:val="20"/>
              </w:rPr>
              <w:t xml:space="preserve"> (n=24): 18g</w:t>
            </w:r>
            <w:r w:rsidRPr="00D6742F">
              <w:rPr>
                <w:rFonts w:ascii="Arial Narrow" w:hAnsi="Arial Narrow" w:cs="Times New Roman"/>
                <w:sz w:val="18"/>
                <w:szCs w:val="20"/>
              </w:rPr>
              <w:t xml:space="preserve"> every 3 weeks for 12 months (Sandoglobulin, Sandoz). If 3 infections, classified as tx failure and</w:t>
            </w:r>
            <w:r w:rsidR="009255EC" w:rsidRPr="00D6742F">
              <w:rPr>
                <w:rFonts w:ascii="Arial Narrow" w:hAnsi="Arial Narrow" w:cs="Times New Roman"/>
                <w:sz w:val="18"/>
                <w:szCs w:val="20"/>
              </w:rPr>
              <w:t xml:space="preserve"> weekly dose increased to 24g.</w:t>
            </w:r>
          </w:p>
          <w:p w14:paraId="0DF0FDD2" w14:textId="57A29842" w:rsidR="009255EC" w:rsidRPr="00D6742F" w:rsidRDefault="009255EC" w:rsidP="00F814DE">
            <w:pPr>
              <w:spacing w:after="40" w:line="240" w:lineRule="auto"/>
              <w:ind w:left="-57"/>
              <w:jc w:val="left"/>
              <w:rPr>
                <w:rFonts w:ascii="Arial Narrow" w:hAnsi="Arial Narrow" w:cs="Times New Roman"/>
                <w:i/>
                <w:sz w:val="18"/>
                <w:szCs w:val="20"/>
              </w:rPr>
            </w:pPr>
            <w:r w:rsidRPr="00D6742F">
              <w:rPr>
                <w:rFonts w:ascii="Arial Narrow" w:hAnsi="Arial Narrow" w:cs="Times New Roman"/>
                <w:i/>
                <w:sz w:val="18"/>
                <w:szCs w:val="20"/>
              </w:rPr>
              <w:t xml:space="preserve">7 patients failed tx after 9-11 mo; were switched to higher dose 24g IVIg. </w:t>
            </w:r>
          </w:p>
        </w:tc>
        <w:tc>
          <w:tcPr>
            <w:tcW w:w="1843" w:type="dxa"/>
          </w:tcPr>
          <w:p w14:paraId="0D642EDF" w14:textId="63FAA5DE"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t>Placebo</w:t>
            </w:r>
            <w:r w:rsidRPr="00D6742F">
              <w:rPr>
                <w:rFonts w:ascii="Arial Narrow" w:hAnsi="Arial Narrow" w:cs="Times New Roman"/>
                <w:sz w:val="18"/>
                <w:szCs w:val="20"/>
              </w:rPr>
              <w:t xml:space="preserve"> (n=18): 0.6g </w:t>
            </w:r>
            <w:r w:rsidR="00C97F18" w:rsidRPr="00D6742F">
              <w:rPr>
                <w:rFonts w:ascii="Arial Narrow" w:hAnsi="Arial Narrow" w:cs="Times New Roman"/>
                <w:sz w:val="18"/>
                <w:szCs w:val="20"/>
              </w:rPr>
              <w:t>albumin</w:t>
            </w:r>
            <w:r w:rsidRPr="00D6742F">
              <w:rPr>
                <w:rFonts w:ascii="Arial Narrow" w:hAnsi="Arial Narrow" w:cs="Times New Roman"/>
                <w:sz w:val="18"/>
                <w:szCs w:val="20"/>
              </w:rPr>
              <w:t xml:space="preserve"> for 12 months. If 3 infections, classified as tx failure and switched to IVIg.  </w:t>
            </w:r>
          </w:p>
          <w:p w14:paraId="71460939" w14:textId="2036F5B0" w:rsidR="009255EC" w:rsidRPr="00D6742F" w:rsidRDefault="009255EC" w:rsidP="00F814DE">
            <w:pPr>
              <w:spacing w:after="40" w:line="240" w:lineRule="auto"/>
              <w:ind w:left="-57"/>
              <w:jc w:val="left"/>
              <w:rPr>
                <w:rFonts w:ascii="Arial Narrow" w:hAnsi="Arial Narrow" w:cs="Times New Roman"/>
                <w:i/>
                <w:sz w:val="18"/>
                <w:szCs w:val="20"/>
              </w:rPr>
            </w:pPr>
            <w:r w:rsidRPr="00D6742F">
              <w:rPr>
                <w:rFonts w:ascii="Arial Narrow" w:hAnsi="Arial Narrow" w:cs="Times New Roman"/>
                <w:i/>
                <w:sz w:val="18"/>
                <w:szCs w:val="20"/>
              </w:rPr>
              <w:t>11 placebo patients failed tx; were switched to IVlg after 5-9 mo.</w:t>
            </w:r>
          </w:p>
        </w:tc>
        <w:tc>
          <w:tcPr>
            <w:tcW w:w="2268" w:type="dxa"/>
          </w:tcPr>
          <w:p w14:paraId="26DCC8CB" w14:textId="77777777" w:rsidR="001A0A87" w:rsidRPr="00D6742F" w:rsidRDefault="001A0A87" w:rsidP="00F814DE">
            <w:pPr>
              <w:spacing w:before="0" w:after="40" w:line="240" w:lineRule="auto"/>
              <w:ind w:left="-57"/>
              <w:jc w:val="left"/>
              <w:rPr>
                <w:rFonts w:ascii="Arial Narrow" w:hAnsi="Arial Narrow" w:cs="Times New Roman"/>
                <w:sz w:val="18"/>
                <w:szCs w:val="20"/>
                <w:u w:val="single"/>
              </w:rPr>
            </w:pPr>
            <w:r w:rsidRPr="00D6742F">
              <w:rPr>
                <w:rFonts w:ascii="Arial Narrow" w:hAnsi="Arial Narrow" w:cs="Times New Roman"/>
                <w:sz w:val="18"/>
                <w:szCs w:val="20"/>
                <w:u w:val="single"/>
              </w:rPr>
              <w:t>Outcomes:</w:t>
            </w:r>
            <w:r w:rsidRPr="00D6742F">
              <w:rPr>
                <w:rFonts w:ascii="Arial Narrow" w:hAnsi="Arial Narrow" w:cs="Times New Roman"/>
                <w:sz w:val="18"/>
                <w:szCs w:val="20"/>
              </w:rPr>
              <w:t xml:space="preserve"> infections, serious infections, tx outcome (success or failure); liver function (for viral safety, not presented)</w:t>
            </w:r>
          </w:p>
          <w:p w14:paraId="7F0FDB99"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t>Analyses:</w:t>
            </w:r>
            <w:r w:rsidRPr="00D6742F">
              <w:rPr>
                <w:rFonts w:ascii="Arial Narrow" w:hAnsi="Arial Narrow" w:cs="Times New Roman"/>
                <w:sz w:val="18"/>
                <w:szCs w:val="20"/>
              </w:rPr>
              <w:t xml:space="preserve"> statistical comparisons used Fisher’s Exact test or Wilcoxon Rank Sum, and statistical correlation was calculated by least squares</w:t>
            </w:r>
          </w:p>
          <w:p w14:paraId="1E688434" w14:textId="2B011C3D" w:rsidR="001A0A87" w:rsidRPr="00D6742F" w:rsidRDefault="001A0A87" w:rsidP="00F814DE">
            <w:pPr>
              <w:spacing w:before="0" w:after="40" w:line="240" w:lineRule="auto"/>
              <w:ind w:left="-57"/>
              <w:jc w:val="left"/>
              <w:rPr>
                <w:rFonts w:ascii="Arial Narrow" w:hAnsi="Arial Narrow" w:cs="Times New Roman"/>
                <w:sz w:val="18"/>
                <w:szCs w:val="20"/>
                <w:u w:val="single"/>
              </w:rPr>
            </w:pPr>
            <w:r w:rsidRPr="00D6742F">
              <w:rPr>
                <w:rFonts w:ascii="Arial Narrow" w:hAnsi="Arial Narrow" w:cs="Times New Roman"/>
                <w:sz w:val="18"/>
                <w:szCs w:val="20"/>
                <w:u w:val="single"/>
              </w:rPr>
              <w:t>Follow-up:</w:t>
            </w:r>
            <w:r w:rsidRPr="00D6742F">
              <w:rPr>
                <w:rFonts w:ascii="Arial Narrow" w:hAnsi="Arial Narrow" w:cs="Times New Roman"/>
                <w:sz w:val="18"/>
                <w:szCs w:val="20"/>
              </w:rPr>
              <w:t xml:space="preserve"> No</w:t>
            </w:r>
            <w:r w:rsidR="009255EC" w:rsidRPr="00D6742F">
              <w:rPr>
                <w:rFonts w:ascii="Arial Narrow" w:hAnsi="Arial Narrow" w:cs="Times New Roman"/>
                <w:sz w:val="18"/>
                <w:szCs w:val="20"/>
              </w:rPr>
              <w:t>t stated. Fig 1 suggests 1 mo after 12-mo</w:t>
            </w:r>
            <w:r w:rsidRPr="00D6742F">
              <w:rPr>
                <w:rFonts w:ascii="Arial Narrow" w:hAnsi="Arial Narrow" w:cs="Times New Roman"/>
                <w:sz w:val="18"/>
                <w:szCs w:val="20"/>
              </w:rPr>
              <w:t xml:space="preserve"> tx period. </w:t>
            </w:r>
            <w:r w:rsidRPr="00D6742F">
              <w:rPr>
                <w:rFonts w:ascii="Arial Narrow" w:hAnsi="Arial Narrow"/>
                <w:sz w:val="18"/>
                <w:szCs w:val="20"/>
              </w:rPr>
              <w:t>1 IVIg patient withdrew due to infusion-</w:t>
            </w:r>
            <w:r w:rsidR="009255EC" w:rsidRPr="00D6742F">
              <w:rPr>
                <w:rFonts w:ascii="Arial Narrow" w:hAnsi="Arial Narrow"/>
                <w:sz w:val="18"/>
                <w:szCs w:val="20"/>
              </w:rPr>
              <w:t>related</w:t>
            </w:r>
            <w:r w:rsidRPr="00D6742F">
              <w:rPr>
                <w:rFonts w:ascii="Arial Narrow" w:hAnsi="Arial Narrow"/>
                <w:sz w:val="18"/>
                <w:szCs w:val="20"/>
              </w:rPr>
              <w:t xml:space="preserve"> pyrexia; 3 patients died due to disease progression. No patients lost to follow-up.</w:t>
            </w:r>
          </w:p>
        </w:tc>
        <w:tc>
          <w:tcPr>
            <w:tcW w:w="1984" w:type="dxa"/>
          </w:tcPr>
          <w:p w14:paraId="2AA4900A"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t>Ethics</w:t>
            </w:r>
            <w:r w:rsidRPr="00D6742F">
              <w:rPr>
                <w:rFonts w:ascii="Arial Narrow" w:hAnsi="Arial Narrow" w:cs="Times New Roman"/>
                <w:sz w:val="18"/>
                <w:szCs w:val="20"/>
              </w:rPr>
              <w:t>: Local hospital ethical committee permission was obtained at each site</w:t>
            </w:r>
          </w:p>
          <w:p w14:paraId="42092D8A"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t>Funding</w:t>
            </w:r>
            <w:r w:rsidRPr="00D6742F">
              <w:rPr>
                <w:rFonts w:ascii="Arial Narrow" w:hAnsi="Arial Narrow" w:cs="Times New Roman"/>
                <w:sz w:val="18"/>
                <w:szCs w:val="20"/>
              </w:rPr>
              <w:t xml:space="preserve">: Authors supported by the Leukaemia Research Fund; Sandoz provided logistical and analytical support (study coordination; biostatistician) and Sandoglobulin study drug. </w:t>
            </w:r>
          </w:p>
          <w:p w14:paraId="06369E9C" w14:textId="3EC01969" w:rsidR="003A052A" w:rsidRPr="003B4D22" w:rsidRDefault="003A052A" w:rsidP="00F814DE">
            <w:pPr>
              <w:spacing w:before="0" w:after="40" w:line="240" w:lineRule="auto"/>
              <w:ind w:left="-57"/>
              <w:jc w:val="left"/>
              <w:rPr>
                <w:rFonts w:ascii="Arial Narrow" w:hAnsi="Arial Narrow" w:cs="Times New Roman"/>
                <w:i/>
                <w:sz w:val="18"/>
                <w:szCs w:val="20"/>
              </w:rPr>
            </w:pPr>
            <w:r w:rsidRPr="00D6742F">
              <w:rPr>
                <w:rFonts w:ascii="Arial Narrow" w:hAnsi="Arial Narrow" w:cs="Times New Roman"/>
                <w:i/>
                <w:sz w:val="18"/>
                <w:szCs w:val="20"/>
              </w:rPr>
              <w:t xml:space="preserve">Outcomes </w:t>
            </w:r>
            <w:r w:rsidR="006B5E0B" w:rsidRPr="00D6742F">
              <w:rPr>
                <w:rFonts w:ascii="Arial Narrow" w:hAnsi="Arial Narrow" w:cs="Times New Roman"/>
                <w:i/>
                <w:sz w:val="18"/>
                <w:szCs w:val="20"/>
              </w:rPr>
              <w:t>pooled in</w:t>
            </w:r>
            <w:r w:rsidRPr="00D6742F">
              <w:rPr>
                <w:rFonts w:ascii="Arial Narrow" w:hAnsi="Arial Narrow" w:cs="Times New Roman"/>
                <w:i/>
                <w:sz w:val="18"/>
                <w:szCs w:val="20"/>
              </w:rPr>
              <w:t xml:space="preserve"> 6mo or 12mo groups, no info on which /how many completed 24mo protocol; when did discontinuations occ</w:t>
            </w:r>
            <w:r w:rsidR="006B5E0B" w:rsidRPr="00D6742F">
              <w:rPr>
                <w:rFonts w:ascii="Arial Narrow" w:hAnsi="Arial Narrow" w:cs="Times New Roman"/>
                <w:i/>
                <w:sz w:val="18"/>
                <w:szCs w:val="20"/>
              </w:rPr>
              <w:t>ur; nor if any wash-out period.</w:t>
            </w:r>
          </w:p>
        </w:tc>
      </w:tr>
      <w:tr w:rsidR="001A0A87" w:rsidRPr="003B4D22" w14:paraId="122197B5" w14:textId="77777777" w:rsidTr="006B4C5F">
        <w:trPr>
          <w:cantSplit/>
          <w:trHeight w:val="293"/>
        </w:trPr>
        <w:tc>
          <w:tcPr>
            <w:tcW w:w="1129" w:type="dxa"/>
            <w:tcBorders>
              <w:bottom w:val="single" w:sz="4" w:space="0" w:color="auto"/>
            </w:tcBorders>
          </w:tcPr>
          <w:p w14:paraId="700A20B6" w14:textId="03688C16"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Chapel et al., 1991</w:t>
            </w:r>
          </w:p>
          <w:p w14:paraId="4F95CD25"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UK</w:t>
            </w:r>
          </w:p>
          <w:p w14:paraId="40EBD4FD"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Single centre</w:t>
            </w:r>
          </w:p>
        </w:tc>
        <w:tc>
          <w:tcPr>
            <w:tcW w:w="1134" w:type="dxa"/>
            <w:tcBorders>
              <w:bottom w:val="single" w:sz="4" w:space="0" w:color="auto"/>
            </w:tcBorders>
          </w:tcPr>
          <w:p w14:paraId="3256D1DE"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Comparative, double-blind, crossover.</w:t>
            </w:r>
          </w:p>
          <w:p w14:paraId="47BDF0F6"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Not stated if randomised allocation used.</w:t>
            </w:r>
          </w:p>
          <w:p w14:paraId="5CD1F9DD"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RoB: low (SIGN)</w:t>
            </w:r>
          </w:p>
        </w:tc>
        <w:tc>
          <w:tcPr>
            <w:tcW w:w="1843" w:type="dxa"/>
            <w:tcBorders>
              <w:bottom w:val="single" w:sz="4" w:space="0" w:color="auto"/>
            </w:tcBorders>
          </w:tcPr>
          <w:p w14:paraId="7E6B6DB8"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N=12 (CLL or NHL)</w:t>
            </w:r>
          </w:p>
          <w:p w14:paraId="7A5D3542"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i/>
                <w:sz w:val="18"/>
                <w:szCs w:val="20"/>
              </w:rPr>
              <w:t xml:space="preserve">No serum IgG or other parameters described. Numbers of CLL or NHL patients not given. </w:t>
            </w:r>
          </w:p>
        </w:tc>
        <w:tc>
          <w:tcPr>
            <w:tcW w:w="2268" w:type="dxa"/>
            <w:tcBorders>
              <w:bottom w:val="single" w:sz="4" w:space="0" w:color="auto"/>
            </w:tcBorders>
          </w:tcPr>
          <w:p w14:paraId="64D12A46"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Inclusion:</w:t>
            </w:r>
            <w:r w:rsidRPr="003B4D22">
              <w:rPr>
                <w:rFonts w:ascii="Arial Narrow" w:hAnsi="Arial Narrow" w:cs="Times New Roman"/>
                <w:sz w:val="18"/>
                <w:szCs w:val="20"/>
              </w:rPr>
              <w:t xml:space="preserve"> Patients with CLL or low-grade NHL and had either IgG &lt;50% of LLN or a previous major infection.</w:t>
            </w:r>
          </w:p>
          <w:p w14:paraId="474F9EAA"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Exclusion:</w:t>
            </w:r>
            <w:r w:rsidRPr="003B4D22">
              <w:rPr>
                <w:rFonts w:ascii="Arial Narrow" w:hAnsi="Arial Narrow" w:cs="Times New Roman"/>
                <w:sz w:val="18"/>
                <w:szCs w:val="20"/>
              </w:rPr>
              <w:t xml:space="preserve"> Not described.</w:t>
            </w:r>
          </w:p>
          <w:p w14:paraId="5486B46D"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Objectives</w:t>
            </w:r>
            <w:r w:rsidRPr="003B4D22">
              <w:rPr>
                <w:rFonts w:ascii="Arial Narrow" w:hAnsi="Arial Narrow" w:cs="Times New Roman"/>
                <w:sz w:val="18"/>
                <w:szCs w:val="20"/>
              </w:rPr>
              <w:t xml:space="preserve">:  investigation of IVIg on infections in CLL and NHL patients based on crossover design.  </w:t>
            </w:r>
          </w:p>
        </w:tc>
        <w:tc>
          <w:tcPr>
            <w:tcW w:w="1843" w:type="dxa"/>
            <w:tcBorders>
              <w:bottom w:val="single" w:sz="4" w:space="0" w:color="auto"/>
            </w:tcBorders>
          </w:tcPr>
          <w:p w14:paraId="4EC49D2D"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IVIg 400mg/kg 3-weekly</w:t>
            </w:r>
          </w:p>
          <w:p w14:paraId="67CEB08B"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 xml:space="preserve">As for Gale, 1988. </w:t>
            </w:r>
          </w:p>
          <w:p w14:paraId="7F57C598" w14:textId="77777777" w:rsidR="001A0A87" w:rsidRPr="003B4D22" w:rsidRDefault="001A0A87" w:rsidP="00F814DE">
            <w:pPr>
              <w:spacing w:before="0" w:after="40" w:line="240" w:lineRule="auto"/>
              <w:ind w:left="-57"/>
              <w:jc w:val="left"/>
              <w:rPr>
                <w:rFonts w:ascii="Arial Narrow" w:hAnsi="Arial Narrow" w:cs="Times New Roman"/>
                <w:sz w:val="18"/>
                <w:szCs w:val="20"/>
                <w:u w:val="single"/>
              </w:rPr>
            </w:pPr>
            <w:r w:rsidRPr="003B4D22">
              <w:rPr>
                <w:rFonts w:ascii="Arial Narrow" w:hAnsi="Arial Narrow" w:cs="Times New Roman"/>
                <w:sz w:val="18"/>
                <w:szCs w:val="20"/>
              </w:rPr>
              <w:t>Crossover at 12 months for a further year’s tx (24 mo total).</w:t>
            </w:r>
          </w:p>
        </w:tc>
        <w:tc>
          <w:tcPr>
            <w:tcW w:w="1843" w:type="dxa"/>
            <w:tcBorders>
              <w:bottom w:val="single" w:sz="4" w:space="0" w:color="auto"/>
            </w:tcBorders>
          </w:tcPr>
          <w:p w14:paraId="65445725"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No IVIg (equivalent infusion volume of saline)</w:t>
            </w:r>
          </w:p>
          <w:p w14:paraId="09D01B42"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 xml:space="preserve">As for Gale, 1988. </w:t>
            </w:r>
          </w:p>
          <w:p w14:paraId="0FB26D46" w14:textId="77777777" w:rsidR="001A0A87" w:rsidRPr="003B4D22" w:rsidRDefault="001A0A87" w:rsidP="00F814DE">
            <w:pPr>
              <w:spacing w:before="0" w:after="40" w:line="240" w:lineRule="auto"/>
              <w:ind w:left="-57"/>
              <w:jc w:val="left"/>
              <w:rPr>
                <w:rFonts w:ascii="Arial Narrow" w:hAnsi="Arial Narrow" w:cs="Times New Roman"/>
                <w:sz w:val="18"/>
                <w:szCs w:val="20"/>
                <w:u w:val="single"/>
              </w:rPr>
            </w:pPr>
            <w:r w:rsidRPr="003B4D22">
              <w:rPr>
                <w:rFonts w:ascii="Arial Narrow" w:hAnsi="Arial Narrow" w:cs="Times New Roman"/>
                <w:sz w:val="18"/>
                <w:szCs w:val="20"/>
              </w:rPr>
              <w:t>Crossover at 12 months for a further year’s tx (24 mo total).</w:t>
            </w:r>
          </w:p>
        </w:tc>
        <w:tc>
          <w:tcPr>
            <w:tcW w:w="2268" w:type="dxa"/>
            <w:tcBorders>
              <w:bottom w:val="single" w:sz="4" w:space="0" w:color="auto"/>
            </w:tcBorders>
          </w:tcPr>
          <w:p w14:paraId="4B16D60B"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Outcomes:</w:t>
            </w:r>
            <w:r w:rsidRPr="003B4D22">
              <w:rPr>
                <w:rFonts w:ascii="Arial Narrow" w:hAnsi="Arial Narrow" w:cs="Times New Roman"/>
                <w:sz w:val="18"/>
                <w:szCs w:val="20"/>
              </w:rPr>
              <w:t xml:space="preserve"> Incidence of infections.</w:t>
            </w:r>
          </w:p>
          <w:p w14:paraId="461E4601"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Analyses</w:t>
            </w:r>
            <w:r w:rsidRPr="003B4D22">
              <w:rPr>
                <w:rFonts w:ascii="Arial Narrow" w:hAnsi="Arial Narrow" w:cs="Times New Roman"/>
                <w:sz w:val="18"/>
                <w:szCs w:val="20"/>
              </w:rPr>
              <w:t xml:space="preserve"> and </w:t>
            </w:r>
            <w:r w:rsidRPr="003B4D22">
              <w:rPr>
                <w:rFonts w:ascii="Arial Narrow" w:hAnsi="Arial Narrow" w:cs="Times New Roman"/>
                <w:sz w:val="18"/>
                <w:szCs w:val="20"/>
                <w:u w:val="single"/>
              </w:rPr>
              <w:t>follow-up</w:t>
            </w:r>
            <w:r w:rsidRPr="003B4D22">
              <w:rPr>
                <w:rFonts w:ascii="Arial Narrow" w:hAnsi="Arial Narrow" w:cs="Times New Roman"/>
                <w:sz w:val="18"/>
                <w:szCs w:val="20"/>
              </w:rPr>
              <w:t xml:space="preserve"> not described.</w:t>
            </w:r>
          </w:p>
          <w:p w14:paraId="12705E52"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Only 5 patients remained at 24 mo (3 died, 1 discontinued due to futility, 2 moved away in the 2</w:t>
            </w:r>
            <w:r w:rsidRPr="003B4D22">
              <w:rPr>
                <w:rFonts w:ascii="Arial Narrow" w:hAnsi="Arial Narrow" w:cs="Times New Roman"/>
                <w:sz w:val="18"/>
                <w:szCs w:val="20"/>
                <w:vertAlign w:val="superscript"/>
              </w:rPr>
              <w:t>nd</w:t>
            </w:r>
            <w:r w:rsidRPr="003B4D22">
              <w:rPr>
                <w:rFonts w:ascii="Arial Narrow" w:hAnsi="Arial Narrow" w:cs="Times New Roman"/>
                <w:sz w:val="18"/>
                <w:szCs w:val="20"/>
              </w:rPr>
              <w:t xml:space="preserve"> yr, 1 refused cross-over)</w:t>
            </w:r>
          </w:p>
        </w:tc>
        <w:tc>
          <w:tcPr>
            <w:tcW w:w="1984" w:type="dxa"/>
            <w:tcBorders>
              <w:bottom w:val="single" w:sz="4" w:space="0" w:color="auto"/>
            </w:tcBorders>
          </w:tcPr>
          <w:p w14:paraId="7BDF2DFA"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Funding</w:t>
            </w:r>
            <w:r w:rsidRPr="003B4D22">
              <w:rPr>
                <w:rFonts w:ascii="Arial Narrow" w:hAnsi="Arial Narrow" w:cs="Times New Roman"/>
                <w:sz w:val="18"/>
                <w:szCs w:val="20"/>
              </w:rPr>
              <w:t>: grant received from Baxter (manufacturer of Gammagard used in this study)</w:t>
            </w:r>
          </w:p>
          <w:p w14:paraId="3BF3C6E2" w14:textId="77777777" w:rsidR="001A0A87" w:rsidRPr="003B4D22" w:rsidRDefault="001A0A87" w:rsidP="00F814DE">
            <w:pPr>
              <w:spacing w:before="0" w:after="40" w:line="240" w:lineRule="auto"/>
              <w:ind w:left="-57"/>
              <w:jc w:val="left"/>
              <w:rPr>
                <w:rFonts w:ascii="Arial Narrow" w:hAnsi="Arial Narrow" w:cs="Times New Roman"/>
                <w:i/>
                <w:sz w:val="18"/>
                <w:szCs w:val="20"/>
              </w:rPr>
            </w:pPr>
            <w:r w:rsidRPr="003B4D22">
              <w:rPr>
                <w:rFonts w:ascii="Arial Narrow" w:hAnsi="Arial Narrow" w:cs="Times New Roman"/>
                <w:i/>
                <w:sz w:val="18"/>
                <w:szCs w:val="20"/>
              </w:rPr>
              <w:t>Study heavily based on earlier trial by same authors in Gale et al., 1988 New England journal of medicine 319(14): 902</w:t>
            </w:r>
            <w:r w:rsidRPr="003B4D22">
              <w:rPr>
                <w:rFonts w:ascii="Cambria Math" w:hAnsi="Cambria Math" w:cs="Cambria Math"/>
                <w:i/>
                <w:sz w:val="18"/>
                <w:szCs w:val="20"/>
              </w:rPr>
              <w:t>‐</w:t>
            </w:r>
            <w:r w:rsidRPr="003B4D22">
              <w:rPr>
                <w:rFonts w:ascii="Arial Narrow" w:hAnsi="Arial Narrow" w:cs="Times New Roman"/>
                <w:i/>
                <w:sz w:val="18"/>
                <w:szCs w:val="20"/>
              </w:rPr>
              <w:t>907. (excluded as pre-1990)</w:t>
            </w:r>
          </w:p>
        </w:tc>
      </w:tr>
      <w:tr w:rsidR="001A0A87" w:rsidRPr="003B4D22" w14:paraId="29FD0120" w14:textId="77777777" w:rsidTr="006B4C5F">
        <w:tc>
          <w:tcPr>
            <w:tcW w:w="1129" w:type="dxa"/>
            <w:tcBorders>
              <w:top w:val="single" w:sz="4" w:space="0" w:color="auto"/>
              <w:left w:val="single" w:sz="4" w:space="0" w:color="auto"/>
              <w:bottom w:val="single" w:sz="4" w:space="0" w:color="auto"/>
              <w:right w:val="single" w:sz="4" w:space="0" w:color="auto"/>
            </w:tcBorders>
          </w:tcPr>
          <w:p w14:paraId="0167C13A"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Chapel et al., 1994</w:t>
            </w:r>
          </w:p>
          <w:p w14:paraId="046C7A95"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lastRenderedPageBreak/>
              <w:t>UK</w:t>
            </w:r>
          </w:p>
          <w:p w14:paraId="50A7558F"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multi-centre (9 sites)</w:t>
            </w:r>
          </w:p>
        </w:tc>
        <w:tc>
          <w:tcPr>
            <w:tcW w:w="1134" w:type="dxa"/>
            <w:tcBorders>
              <w:top w:val="single" w:sz="4" w:space="0" w:color="auto"/>
              <w:left w:val="single" w:sz="4" w:space="0" w:color="auto"/>
              <w:bottom w:val="single" w:sz="4" w:space="0" w:color="auto"/>
              <w:right w:val="single" w:sz="4" w:space="0" w:color="auto"/>
            </w:tcBorders>
          </w:tcPr>
          <w:p w14:paraId="3E8A3376"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lastRenderedPageBreak/>
              <w:t>RCT, double-blind</w:t>
            </w:r>
          </w:p>
          <w:p w14:paraId="56E50EA8"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lastRenderedPageBreak/>
              <w:t>RoB: low (SIGN)</w:t>
            </w:r>
          </w:p>
        </w:tc>
        <w:tc>
          <w:tcPr>
            <w:tcW w:w="1843" w:type="dxa"/>
            <w:tcBorders>
              <w:top w:val="single" w:sz="4" w:space="0" w:color="auto"/>
              <w:left w:val="single" w:sz="4" w:space="0" w:color="auto"/>
              <w:bottom w:val="single" w:sz="4" w:space="0" w:color="auto"/>
              <w:right w:val="single" w:sz="4" w:space="0" w:color="auto"/>
            </w:tcBorders>
          </w:tcPr>
          <w:p w14:paraId="2C70263D"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lastRenderedPageBreak/>
              <w:t xml:space="preserve">N=83 (MM)(analysis set N=82 due to patient </w:t>
            </w:r>
            <w:r w:rsidRPr="003B4D22">
              <w:rPr>
                <w:rFonts w:ascii="Arial Narrow" w:hAnsi="Arial Narrow" w:cs="Times New Roman"/>
                <w:sz w:val="18"/>
                <w:szCs w:val="20"/>
              </w:rPr>
              <w:lastRenderedPageBreak/>
              <w:t>withdrawal after 1 dose)</w:t>
            </w:r>
          </w:p>
          <w:p w14:paraId="6577B884"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Mean age</w:t>
            </w:r>
            <w:r w:rsidRPr="003B4D22">
              <w:rPr>
                <w:rFonts w:ascii="Arial Narrow" w:hAnsi="Arial Narrow" w:cs="Times New Roman"/>
                <w:sz w:val="18"/>
                <w:szCs w:val="20"/>
              </w:rPr>
              <w:t xml:space="preserve">±sd, yr: </w:t>
            </w:r>
            <w:r w:rsidRPr="003B4D22">
              <w:rPr>
                <w:rFonts w:ascii="Arial Narrow" w:hAnsi="Arial Narrow" w:cs="Times New Roman"/>
                <w:sz w:val="18"/>
                <w:szCs w:val="20"/>
              </w:rPr>
              <w:br/>
              <w:t>IVIg: 65.6± 6.6</w:t>
            </w:r>
            <w:r w:rsidRPr="003B4D22">
              <w:rPr>
                <w:rFonts w:ascii="Arial Narrow" w:hAnsi="Arial Narrow" w:cs="Times New Roman"/>
                <w:sz w:val="18"/>
                <w:szCs w:val="20"/>
              </w:rPr>
              <w:br/>
              <w:t>Placebo: 66.3±9.2</w:t>
            </w:r>
          </w:p>
          <w:p w14:paraId="3CEE8F4C"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Sex</w:t>
            </w:r>
            <w:r w:rsidRPr="003B4D22">
              <w:rPr>
                <w:rFonts w:ascii="Arial Narrow" w:hAnsi="Arial Narrow" w:cs="Times New Roman"/>
                <w:sz w:val="18"/>
                <w:szCs w:val="20"/>
              </w:rPr>
              <w:t xml:space="preserve"> ♀/♂:</w:t>
            </w:r>
            <w:r w:rsidRPr="003B4D22">
              <w:rPr>
                <w:rFonts w:ascii="Arial Narrow" w:hAnsi="Arial Narrow" w:cs="Times New Roman"/>
                <w:sz w:val="18"/>
                <w:szCs w:val="20"/>
              </w:rPr>
              <w:br/>
              <w:t>IVIg, n/n: 17/25</w:t>
            </w:r>
            <w:r w:rsidRPr="003B4D22">
              <w:rPr>
                <w:rFonts w:ascii="Arial Narrow" w:hAnsi="Arial Narrow" w:cs="Times New Roman"/>
                <w:sz w:val="18"/>
                <w:szCs w:val="20"/>
              </w:rPr>
              <w:br/>
              <w:t>Placebo, n/n: 24/17</w:t>
            </w:r>
          </w:p>
          <w:p w14:paraId="26FC2D4E"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Total Ig</w:t>
            </w:r>
            <w:r w:rsidRPr="003B4D22">
              <w:rPr>
                <w:rFonts w:ascii="Arial Narrow" w:hAnsi="Arial Narrow" w:cs="Times New Roman"/>
                <w:sz w:val="18"/>
                <w:szCs w:val="20"/>
              </w:rPr>
              <w:t xml:space="preserve"> &gt;LLN/&lt;LLN:</w:t>
            </w:r>
            <w:r w:rsidRPr="003B4D22">
              <w:rPr>
                <w:rFonts w:ascii="Arial Narrow" w:hAnsi="Arial Narrow" w:cs="Times New Roman"/>
                <w:sz w:val="18"/>
                <w:szCs w:val="20"/>
              </w:rPr>
              <w:br/>
              <w:t>IVIg, n/n: 10/32</w:t>
            </w:r>
            <w:r w:rsidRPr="003B4D22">
              <w:rPr>
                <w:rFonts w:ascii="Arial Narrow" w:hAnsi="Arial Narrow" w:cs="Times New Roman"/>
                <w:sz w:val="18"/>
                <w:szCs w:val="20"/>
              </w:rPr>
              <w:br/>
              <w:t>Placebo, n/n: 15/26</w:t>
            </w:r>
          </w:p>
          <w:p w14:paraId="3362C2E2"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Disease</w:t>
            </w:r>
            <w:r w:rsidRPr="003B4D22">
              <w:rPr>
                <w:rFonts w:ascii="Arial Narrow" w:hAnsi="Arial Narrow" w:cs="Times New Roman"/>
                <w:sz w:val="18"/>
                <w:szCs w:val="20"/>
              </w:rPr>
              <w:t>, n (%)</w:t>
            </w:r>
            <w:r w:rsidRPr="003B4D22">
              <w:rPr>
                <w:rFonts w:ascii="Arial Narrow" w:hAnsi="Arial Narrow" w:cs="Times New Roman"/>
                <w:sz w:val="18"/>
                <w:szCs w:val="20"/>
              </w:rPr>
              <w:br/>
              <w:t>Stage I: 23 (28)</w:t>
            </w:r>
            <w:r w:rsidRPr="003B4D22">
              <w:rPr>
                <w:rFonts w:ascii="Arial Narrow" w:hAnsi="Arial Narrow" w:cs="Times New Roman"/>
                <w:sz w:val="18"/>
                <w:szCs w:val="20"/>
              </w:rPr>
              <w:br/>
              <w:t>Stage II: 35 (42)</w:t>
            </w:r>
            <w:r w:rsidRPr="003B4D22">
              <w:rPr>
                <w:rFonts w:ascii="Arial Narrow" w:hAnsi="Arial Narrow" w:cs="Times New Roman"/>
                <w:sz w:val="18"/>
                <w:szCs w:val="20"/>
              </w:rPr>
              <w:br/>
              <w:t>Stage III: 25 (30)</w:t>
            </w:r>
          </w:p>
        </w:tc>
        <w:tc>
          <w:tcPr>
            <w:tcW w:w="2268" w:type="dxa"/>
            <w:tcBorders>
              <w:top w:val="single" w:sz="4" w:space="0" w:color="auto"/>
              <w:left w:val="single" w:sz="4" w:space="0" w:color="auto"/>
              <w:bottom w:val="single" w:sz="4" w:space="0" w:color="auto"/>
              <w:right w:val="single" w:sz="4" w:space="0" w:color="auto"/>
            </w:tcBorders>
          </w:tcPr>
          <w:p w14:paraId="6EDB1EC2"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lastRenderedPageBreak/>
              <w:t>Inclusion</w:t>
            </w:r>
            <w:r w:rsidRPr="003B4D22">
              <w:rPr>
                <w:rFonts w:ascii="Arial Narrow" w:hAnsi="Arial Narrow" w:cs="Times New Roman"/>
                <w:sz w:val="18"/>
                <w:szCs w:val="20"/>
              </w:rPr>
              <w:t xml:space="preserve">: plateau phase MM; expected to survive 6+ months; well enough for infusions and </w:t>
            </w:r>
            <w:r w:rsidRPr="003B4D22">
              <w:rPr>
                <w:rFonts w:ascii="Arial Narrow" w:hAnsi="Arial Narrow" w:cs="Times New Roman"/>
                <w:sz w:val="18"/>
                <w:szCs w:val="20"/>
              </w:rPr>
              <w:lastRenderedPageBreak/>
              <w:t>travel to clinic.</w:t>
            </w:r>
          </w:p>
          <w:p w14:paraId="6737DD54"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Exclusion</w:t>
            </w:r>
            <w:r w:rsidRPr="003B4D22">
              <w:rPr>
                <w:rFonts w:ascii="Arial Narrow" w:hAnsi="Arial Narrow" w:cs="Times New Roman"/>
                <w:sz w:val="18"/>
                <w:szCs w:val="20"/>
              </w:rPr>
              <w:t>: Any prior IgG therapy during the month before entry; Prior anaphylaxis to a blood product; Total selective deficiency of serum IgA.</w:t>
            </w:r>
          </w:p>
          <w:p w14:paraId="6532CC3C"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Patients stratified by serum Ig (below or above non-paraprotein Ig LLN).</w:t>
            </w:r>
          </w:p>
          <w:p w14:paraId="68D20923"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Objectives</w:t>
            </w:r>
            <w:r w:rsidRPr="003B4D22">
              <w:rPr>
                <w:rFonts w:ascii="Arial Narrow" w:hAnsi="Arial Narrow" w:cs="Times New Roman"/>
                <w:sz w:val="18"/>
                <w:szCs w:val="20"/>
              </w:rPr>
              <w:t>: investigation of IVIg as prophylaxis against infection in MM patients in plateau phase.</w:t>
            </w:r>
          </w:p>
        </w:tc>
        <w:tc>
          <w:tcPr>
            <w:tcW w:w="1843" w:type="dxa"/>
            <w:tcBorders>
              <w:top w:val="single" w:sz="4" w:space="0" w:color="auto"/>
              <w:left w:val="single" w:sz="4" w:space="0" w:color="auto"/>
              <w:bottom w:val="single" w:sz="4" w:space="0" w:color="auto"/>
              <w:right w:val="single" w:sz="4" w:space="0" w:color="auto"/>
            </w:tcBorders>
          </w:tcPr>
          <w:p w14:paraId="5CB580C5"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lastRenderedPageBreak/>
              <w:t>IVIg</w:t>
            </w:r>
            <w:r w:rsidRPr="003B4D22">
              <w:rPr>
                <w:rFonts w:ascii="Arial Narrow" w:hAnsi="Arial Narrow" w:cs="Times New Roman"/>
                <w:sz w:val="18"/>
                <w:szCs w:val="20"/>
              </w:rPr>
              <w:t xml:space="preserve"> (n=42*): 0.4g/kg, every 4 weeks for 12 months (Gammagard, </w:t>
            </w:r>
            <w:r w:rsidRPr="003B4D22">
              <w:rPr>
                <w:rFonts w:ascii="Arial Narrow" w:hAnsi="Arial Narrow" w:cs="Times New Roman"/>
                <w:sz w:val="18"/>
                <w:szCs w:val="20"/>
              </w:rPr>
              <w:lastRenderedPageBreak/>
              <w:t>Baxter).</w:t>
            </w:r>
          </w:p>
          <w:p w14:paraId="3A19E57A"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No prophylactic antibiotics permitted.</w:t>
            </w:r>
          </w:p>
          <w:p w14:paraId="0E853FFB"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*n=42 includes a patient that withdrew after 1 dose (analysis set n=41).</w:t>
            </w:r>
          </w:p>
          <w:p w14:paraId="1A370021" w14:textId="77777777" w:rsidR="002A57F9" w:rsidRPr="003B4D22" w:rsidRDefault="002A57F9" w:rsidP="00F814DE">
            <w:pPr>
              <w:spacing w:before="0" w:after="40" w:line="240" w:lineRule="auto"/>
              <w:ind w:left="-57"/>
              <w:jc w:val="left"/>
              <w:rPr>
                <w:rFonts w:ascii="Arial Narrow" w:hAnsi="Arial Narrow" w:cs="Times New Roman"/>
                <w:sz w:val="18"/>
                <w:szCs w:val="20"/>
              </w:rPr>
            </w:pPr>
          </w:p>
          <w:p w14:paraId="28F43EAD" w14:textId="6DC71619" w:rsidR="001A0A87" w:rsidRPr="003B4D22" w:rsidRDefault="002A57F9" w:rsidP="00F814DE">
            <w:pPr>
              <w:spacing w:after="40" w:line="240" w:lineRule="auto"/>
              <w:ind w:left="-57"/>
              <w:jc w:val="left"/>
              <w:rPr>
                <w:rFonts w:ascii="Arial Narrow" w:hAnsi="Arial Narrow" w:cs="Times New Roman"/>
                <w:i/>
                <w:sz w:val="18"/>
                <w:szCs w:val="20"/>
              </w:rPr>
            </w:pPr>
            <w:r w:rsidRPr="003B4D22">
              <w:rPr>
                <w:rFonts w:ascii="Arial Narrow" w:hAnsi="Arial Narrow" w:cs="Times New Roman"/>
                <w:i/>
                <w:sz w:val="18"/>
                <w:szCs w:val="20"/>
              </w:rPr>
              <w:t>12 patients did not complete the IVIg therapy and 10 did not complete the placebo treatment</w:t>
            </w:r>
          </w:p>
        </w:tc>
        <w:tc>
          <w:tcPr>
            <w:tcW w:w="1843" w:type="dxa"/>
            <w:tcBorders>
              <w:top w:val="single" w:sz="4" w:space="0" w:color="auto"/>
              <w:left w:val="single" w:sz="4" w:space="0" w:color="auto"/>
              <w:bottom w:val="single" w:sz="4" w:space="0" w:color="auto"/>
              <w:right w:val="single" w:sz="4" w:space="0" w:color="auto"/>
            </w:tcBorders>
          </w:tcPr>
          <w:p w14:paraId="3D15390E"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lastRenderedPageBreak/>
              <w:t>Placebo</w:t>
            </w:r>
            <w:r w:rsidRPr="003B4D22">
              <w:rPr>
                <w:rFonts w:ascii="Arial Narrow" w:hAnsi="Arial Narrow" w:cs="Times New Roman"/>
                <w:sz w:val="18"/>
                <w:szCs w:val="20"/>
              </w:rPr>
              <w:t xml:space="preserve"> (n=41): 0.4% HSA, every 4 weeks for </w:t>
            </w:r>
            <w:r w:rsidRPr="003B4D22">
              <w:rPr>
                <w:rFonts w:ascii="Arial Narrow" w:hAnsi="Arial Narrow" w:cs="Times New Roman"/>
                <w:sz w:val="18"/>
                <w:szCs w:val="20"/>
              </w:rPr>
              <w:lastRenderedPageBreak/>
              <w:t>12 months.</w:t>
            </w:r>
          </w:p>
          <w:p w14:paraId="6DADE182"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No prop</w:t>
            </w:r>
            <w:r w:rsidR="0066706A" w:rsidRPr="003B4D22">
              <w:rPr>
                <w:rFonts w:ascii="Arial Narrow" w:hAnsi="Arial Narrow" w:cs="Times New Roman"/>
                <w:sz w:val="18"/>
                <w:szCs w:val="20"/>
              </w:rPr>
              <w:t>hylactic antibiotics permitted.</w:t>
            </w:r>
          </w:p>
          <w:p w14:paraId="60C682AA" w14:textId="77777777" w:rsidR="002A57F9" w:rsidRPr="003B4D22" w:rsidRDefault="002A57F9" w:rsidP="00F814DE">
            <w:pPr>
              <w:spacing w:before="0" w:after="40" w:line="240" w:lineRule="auto"/>
              <w:ind w:left="-57"/>
              <w:jc w:val="left"/>
              <w:rPr>
                <w:rFonts w:ascii="Arial Narrow" w:hAnsi="Arial Narrow" w:cs="Times New Roman"/>
                <w:sz w:val="18"/>
                <w:szCs w:val="20"/>
              </w:rPr>
            </w:pPr>
          </w:p>
          <w:p w14:paraId="506B53B5" w14:textId="3A8F9757" w:rsidR="002A57F9" w:rsidRPr="003B4D22" w:rsidRDefault="002A57F9" w:rsidP="00F814DE">
            <w:pPr>
              <w:spacing w:before="0" w:after="40" w:line="240" w:lineRule="auto"/>
              <w:ind w:left="-57"/>
              <w:jc w:val="left"/>
              <w:rPr>
                <w:rFonts w:ascii="Arial Narrow" w:hAnsi="Arial Narrow" w:cs="Times New Roman"/>
                <w:i/>
                <w:sz w:val="18"/>
                <w:szCs w:val="20"/>
              </w:rPr>
            </w:pPr>
            <w:r w:rsidRPr="003B4D22">
              <w:rPr>
                <w:rFonts w:ascii="Arial Narrow" w:hAnsi="Arial Narrow" w:cs="Times New Roman"/>
                <w:i/>
                <w:sz w:val="18"/>
                <w:szCs w:val="20"/>
              </w:rPr>
              <w:t>12 patients did not complete the IVIg therapy and 10 did not complete the placebo treatment</w:t>
            </w:r>
          </w:p>
        </w:tc>
        <w:tc>
          <w:tcPr>
            <w:tcW w:w="2268" w:type="dxa"/>
            <w:tcBorders>
              <w:top w:val="single" w:sz="4" w:space="0" w:color="auto"/>
              <w:left w:val="single" w:sz="4" w:space="0" w:color="auto"/>
              <w:bottom w:val="single" w:sz="4" w:space="0" w:color="auto"/>
              <w:right w:val="single" w:sz="4" w:space="0" w:color="auto"/>
            </w:tcBorders>
          </w:tcPr>
          <w:p w14:paraId="407725FD"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lastRenderedPageBreak/>
              <w:t>Outcomes:</w:t>
            </w:r>
            <w:r w:rsidRPr="003B4D22">
              <w:rPr>
                <w:rFonts w:ascii="Arial Narrow" w:hAnsi="Arial Narrow" w:cs="Times New Roman"/>
                <w:sz w:val="18"/>
                <w:szCs w:val="20"/>
              </w:rPr>
              <w:t xml:space="preserve"> Incidence and type of infections; adverse reactions including death; time to infection; </w:t>
            </w:r>
            <w:r w:rsidRPr="003B4D22">
              <w:rPr>
                <w:rFonts w:ascii="Arial Narrow" w:hAnsi="Arial Narrow" w:cs="Times New Roman"/>
                <w:sz w:val="18"/>
                <w:szCs w:val="20"/>
              </w:rPr>
              <w:lastRenderedPageBreak/>
              <w:t xml:space="preserve">infections in an immunised sub-set (n=54; immunised prior to study start).  </w:t>
            </w:r>
          </w:p>
          <w:p w14:paraId="35F92F94"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 xml:space="preserve">Analyses: </w:t>
            </w:r>
            <w:r w:rsidRPr="003B4D22">
              <w:rPr>
                <w:rFonts w:ascii="Arial Narrow" w:hAnsi="Arial Narrow" w:cs="Times New Roman"/>
                <w:sz w:val="18"/>
                <w:szCs w:val="20"/>
              </w:rPr>
              <w:t>Chi-square test was used to compare qualitative data and two-sample t-test (2-tailed p value) for quantitative data; time to first infection was determined by Kaplan-Meier plots and distributions compared by Cox-Mantel.</w:t>
            </w:r>
          </w:p>
          <w:p w14:paraId="33A32459"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See paper for further analyses.</w:t>
            </w:r>
          </w:p>
          <w:p w14:paraId="14B62D2C" w14:textId="77777777" w:rsidR="001A0A87" w:rsidRPr="003B4D22" w:rsidRDefault="001A0A87" w:rsidP="00F814DE">
            <w:pPr>
              <w:spacing w:before="0" w:after="40" w:line="240" w:lineRule="auto"/>
              <w:ind w:left="-57"/>
              <w:jc w:val="left"/>
              <w:rPr>
                <w:rFonts w:ascii="Arial Narrow" w:hAnsi="Arial Narrow" w:cs="Times New Roman"/>
                <w:sz w:val="18"/>
                <w:szCs w:val="20"/>
                <w:u w:val="single"/>
              </w:rPr>
            </w:pPr>
            <w:r w:rsidRPr="003B4D22">
              <w:rPr>
                <w:rFonts w:ascii="Arial Narrow" w:hAnsi="Arial Narrow" w:cs="Times New Roman"/>
                <w:sz w:val="18"/>
                <w:szCs w:val="20"/>
                <w:u w:val="single"/>
              </w:rPr>
              <w:t>Follow-up</w:t>
            </w:r>
            <w:r w:rsidRPr="003B4D22">
              <w:rPr>
                <w:rFonts w:ascii="Arial Narrow" w:hAnsi="Arial Narrow" w:cs="Times New Roman"/>
                <w:sz w:val="18"/>
                <w:szCs w:val="20"/>
              </w:rPr>
              <w:t xml:space="preserve"> not described.</w:t>
            </w:r>
          </w:p>
        </w:tc>
        <w:tc>
          <w:tcPr>
            <w:tcW w:w="1984" w:type="dxa"/>
            <w:tcBorders>
              <w:top w:val="single" w:sz="4" w:space="0" w:color="auto"/>
              <w:left w:val="single" w:sz="4" w:space="0" w:color="auto"/>
              <w:bottom w:val="single" w:sz="4" w:space="0" w:color="auto"/>
              <w:right w:val="single" w:sz="4" w:space="0" w:color="auto"/>
            </w:tcBorders>
          </w:tcPr>
          <w:p w14:paraId="2BEFA55C"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lastRenderedPageBreak/>
              <w:t xml:space="preserve">Same trial as described in Chapel &amp; Lee 1994. </w:t>
            </w:r>
          </w:p>
          <w:p w14:paraId="23A792FD"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lastRenderedPageBreak/>
              <w:t>One author (M Lee) an employee of Baxter (IVIg manufacturer)</w:t>
            </w:r>
          </w:p>
          <w:p w14:paraId="6EBEC235"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Ethics</w:t>
            </w:r>
            <w:r w:rsidRPr="003B4D22">
              <w:rPr>
                <w:rFonts w:ascii="Arial Narrow" w:hAnsi="Arial Narrow" w:cs="Times New Roman"/>
                <w:sz w:val="18"/>
                <w:szCs w:val="20"/>
              </w:rPr>
              <w:t>: protocol approved by each hospital ethics committee; formal written consent obtained from all participants.</w:t>
            </w:r>
          </w:p>
          <w:p w14:paraId="136F2577" w14:textId="4D1B4372"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Funding</w:t>
            </w:r>
            <w:r w:rsidRPr="003B4D22">
              <w:rPr>
                <w:rFonts w:ascii="Arial Narrow" w:hAnsi="Arial Narrow" w:cs="Times New Roman"/>
                <w:sz w:val="18"/>
                <w:szCs w:val="20"/>
              </w:rPr>
              <w:t>: The authors thank Baxter for a financial grant for this study. [Baxter manufactures Gammagar</w:t>
            </w:r>
            <w:r w:rsidR="006B5E0B">
              <w:rPr>
                <w:rFonts w:ascii="Arial Narrow" w:hAnsi="Arial Narrow" w:cs="Times New Roman"/>
                <w:sz w:val="18"/>
                <w:szCs w:val="20"/>
              </w:rPr>
              <w:t>d, IVIg used in this study]</w:t>
            </w:r>
          </w:p>
        </w:tc>
      </w:tr>
      <w:tr w:rsidR="001A0A87" w:rsidRPr="003B4D22" w14:paraId="1ABFD08A" w14:textId="77777777" w:rsidTr="006B4C5F">
        <w:tc>
          <w:tcPr>
            <w:tcW w:w="1129" w:type="dxa"/>
            <w:tcBorders>
              <w:top w:val="single" w:sz="4" w:space="0" w:color="auto"/>
              <w:left w:val="single" w:sz="4" w:space="0" w:color="auto"/>
              <w:bottom w:val="single" w:sz="4" w:space="0" w:color="auto"/>
              <w:right w:val="single" w:sz="4" w:space="0" w:color="auto"/>
            </w:tcBorders>
          </w:tcPr>
          <w:p w14:paraId="2AA2F8B3" w14:textId="77777777" w:rsidR="001A0A87" w:rsidRPr="00F67034" w:rsidRDefault="001A0A87" w:rsidP="00F814DE">
            <w:pPr>
              <w:spacing w:after="40" w:line="240" w:lineRule="auto"/>
              <w:ind w:left="-57"/>
              <w:jc w:val="left"/>
              <w:rPr>
                <w:rFonts w:ascii="Arial Narrow" w:hAnsi="Arial Narrow"/>
                <w:sz w:val="18"/>
                <w:szCs w:val="18"/>
              </w:rPr>
            </w:pPr>
            <w:r w:rsidRPr="00F67034">
              <w:rPr>
                <w:rFonts w:ascii="Arial Narrow" w:hAnsi="Arial Narrow"/>
                <w:sz w:val="18"/>
                <w:szCs w:val="18"/>
              </w:rPr>
              <w:lastRenderedPageBreak/>
              <w:t>Kobayashi et al., 2014</w:t>
            </w:r>
          </w:p>
          <w:p w14:paraId="492BB86E" w14:textId="77777777" w:rsidR="001A0A87" w:rsidRPr="00F67034" w:rsidRDefault="001A0A87" w:rsidP="00F814DE">
            <w:pPr>
              <w:spacing w:after="40" w:line="240" w:lineRule="auto"/>
              <w:ind w:left="-57"/>
              <w:jc w:val="left"/>
              <w:rPr>
                <w:rFonts w:ascii="Arial Narrow" w:hAnsi="Arial Narrow"/>
                <w:sz w:val="18"/>
                <w:szCs w:val="18"/>
              </w:rPr>
            </w:pPr>
            <w:r w:rsidRPr="00F67034">
              <w:rPr>
                <w:rFonts w:ascii="Arial Narrow" w:hAnsi="Arial Narrow"/>
                <w:sz w:val="18"/>
                <w:szCs w:val="18"/>
              </w:rPr>
              <w:t>Japan</w:t>
            </w:r>
          </w:p>
          <w:p w14:paraId="640ABE85" w14:textId="2D4F1FCA" w:rsidR="001A0A87" w:rsidRPr="00F67034" w:rsidRDefault="001A0A87" w:rsidP="00F814DE">
            <w:pPr>
              <w:spacing w:after="40" w:line="240" w:lineRule="auto"/>
              <w:ind w:left="-57"/>
              <w:jc w:val="left"/>
              <w:rPr>
                <w:rFonts w:ascii="Arial Narrow" w:hAnsi="Arial Narrow" w:cs="Times New Roman"/>
                <w:sz w:val="18"/>
                <w:szCs w:val="20"/>
              </w:rPr>
            </w:pPr>
            <w:r w:rsidRPr="00F67034">
              <w:rPr>
                <w:rFonts w:ascii="Arial Narrow" w:hAnsi="Arial Narrow"/>
                <w:sz w:val="18"/>
                <w:szCs w:val="18"/>
              </w:rPr>
              <w:t>Single centre</w:t>
            </w:r>
          </w:p>
        </w:tc>
        <w:tc>
          <w:tcPr>
            <w:tcW w:w="1134" w:type="dxa"/>
            <w:tcBorders>
              <w:top w:val="single" w:sz="4" w:space="0" w:color="auto"/>
              <w:left w:val="single" w:sz="4" w:space="0" w:color="auto"/>
              <w:bottom w:val="single" w:sz="4" w:space="0" w:color="auto"/>
              <w:right w:val="single" w:sz="4" w:space="0" w:color="auto"/>
            </w:tcBorders>
          </w:tcPr>
          <w:p w14:paraId="4F835B54" w14:textId="77777777" w:rsidR="001A0A87" w:rsidRPr="00F67034" w:rsidRDefault="001A0A87" w:rsidP="00F814DE">
            <w:pPr>
              <w:spacing w:after="40" w:line="240" w:lineRule="auto"/>
              <w:ind w:left="-57"/>
              <w:jc w:val="left"/>
              <w:rPr>
                <w:rFonts w:ascii="Arial Narrow" w:hAnsi="Arial Narrow"/>
                <w:sz w:val="18"/>
                <w:szCs w:val="18"/>
              </w:rPr>
            </w:pPr>
            <w:r w:rsidRPr="00F67034">
              <w:rPr>
                <w:rFonts w:ascii="Arial Narrow" w:hAnsi="Arial Narrow"/>
                <w:sz w:val="18"/>
                <w:szCs w:val="18"/>
              </w:rPr>
              <w:t>RCT, open-label, sub-study [August 2008 ― April 2012]</w:t>
            </w:r>
          </w:p>
          <w:p w14:paraId="0B3BD713" w14:textId="6C73609F" w:rsidR="001A0A87" w:rsidRPr="00F67034" w:rsidRDefault="001A0A87" w:rsidP="00F814DE">
            <w:pPr>
              <w:spacing w:after="40" w:line="240" w:lineRule="auto"/>
              <w:ind w:left="-57"/>
              <w:jc w:val="left"/>
              <w:rPr>
                <w:rFonts w:ascii="Arial Narrow" w:hAnsi="Arial Narrow" w:cs="Times New Roman"/>
                <w:sz w:val="18"/>
                <w:szCs w:val="20"/>
              </w:rPr>
            </w:pPr>
            <w:r w:rsidRPr="00F67034">
              <w:rPr>
                <w:rFonts w:ascii="Arial Narrow" w:hAnsi="Arial Narrow"/>
                <w:sz w:val="18"/>
                <w:szCs w:val="20"/>
              </w:rPr>
              <w:t xml:space="preserve">RoB: </w:t>
            </w:r>
            <w:r w:rsidR="00A63715" w:rsidRPr="00F67034">
              <w:rPr>
                <w:rFonts w:ascii="Arial Narrow" w:hAnsi="Arial Narrow"/>
                <w:sz w:val="18"/>
                <w:szCs w:val="20"/>
              </w:rPr>
              <w:t>low</w:t>
            </w:r>
            <w:r w:rsidR="004E4553" w:rsidRPr="00F67034">
              <w:rPr>
                <w:rFonts w:ascii="Arial Narrow" w:hAnsi="Arial Narrow"/>
                <w:sz w:val="18"/>
                <w:szCs w:val="20"/>
              </w:rPr>
              <w:t xml:space="preserve"> (SIGN)</w:t>
            </w:r>
          </w:p>
        </w:tc>
        <w:tc>
          <w:tcPr>
            <w:tcW w:w="1843" w:type="dxa"/>
            <w:tcBorders>
              <w:top w:val="single" w:sz="4" w:space="0" w:color="auto"/>
              <w:left w:val="single" w:sz="4" w:space="0" w:color="auto"/>
              <w:bottom w:val="single" w:sz="4" w:space="0" w:color="auto"/>
              <w:right w:val="single" w:sz="4" w:space="0" w:color="auto"/>
            </w:tcBorders>
          </w:tcPr>
          <w:p w14:paraId="07B9B2B1" w14:textId="77777777" w:rsidR="001A0A87" w:rsidRPr="00F67034" w:rsidRDefault="001A0A87" w:rsidP="00F814DE">
            <w:pPr>
              <w:spacing w:after="40" w:line="240" w:lineRule="auto"/>
              <w:ind w:left="-57"/>
              <w:jc w:val="left"/>
              <w:rPr>
                <w:rFonts w:ascii="Arial Narrow" w:hAnsi="Arial Narrow"/>
                <w:sz w:val="18"/>
                <w:szCs w:val="18"/>
              </w:rPr>
            </w:pPr>
            <w:r w:rsidRPr="00F67034">
              <w:rPr>
                <w:rFonts w:ascii="Arial Narrow" w:hAnsi="Arial Narrow"/>
                <w:sz w:val="18"/>
                <w:szCs w:val="18"/>
              </w:rPr>
              <w:t>N=61 patients with 146 (range 1-9) febrile neutropenic episodes. [ALL(34); AML(12); other leukaemia(2); NHL(2); solid tumours(11)]</w:t>
            </w:r>
          </w:p>
          <w:p w14:paraId="7A08DC21" w14:textId="77777777" w:rsidR="001A0A87" w:rsidRPr="00F67034" w:rsidRDefault="001A0A87" w:rsidP="00F814DE">
            <w:pPr>
              <w:spacing w:after="40" w:line="240" w:lineRule="auto"/>
              <w:ind w:left="-57"/>
              <w:jc w:val="left"/>
              <w:rPr>
                <w:rFonts w:ascii="Arial Narrow" w:hAnsi="Arial Narrow"/>
                <w:sz w:val="18"/>
                <w:szCs w:val="18"/>
              </w:rPr>
            </w:pPr>
            <w:r w:rsidRPr="00F67034">
              <w:rPr>
                <w:rFonts w:ascii="Arial Narrow" w:hAnsi="Arial Narrow"/>
                <w:sz w:val="18"/>
                <w:szCs w:val="18"/>
              </w:rPr>
              <w:t>In 22 tx episodes patients had received HSCT, but not clear which ones.</w:t>
            </w:r>
          </w:p>
          <w:p w14:paraId="40F1E828" w14:textId="77777777" w:rsidR="001A0A87" w:rsidRPr="00F67034" w:rsidRDefault="001A0A87" w:rsidP="00F814DE">
            <w:pPr>
              <w:spacing w:after="40" w:line="240" w:lineRule="auto"/>
              <w:ind w:left="-57"/>
              <w:jc w:val="left"/>
              <w:rPr>
                <w:rFonts w:ascii="Arial Narrow" w:hAnsi="Arial Narrow"/>
                <w:sz w:val="18"/>
                <w:szCs w:val="18"/>
              </w:rPr>
            </w:pPr>
            <w:r w:rsidRPr="00F67034">
              <w:rPr>
                <w:rFonts w:ascii="Arial Narrow" w:hAnsi="Arial Narrow"/>
                <w:sz w:val="18"/>
                <w:szCs w:val="18"/>
                <w:u w:val="single"/>
              </w:rPr>
              <w:t>Age</w:t>
            </w:r>
            <w:r w:rsidRPr="00F67034">
              <w:rPr>
                <w:rFonts w:ascii="Arial Narrow" w:hAnsi="Arial Narrow"/>
                <w:sz w:val="18"/>
                <w:szCs w:val="18"/>
              </w:rPr>
              <w:t xml:space="preserve">, median (range): </w:t>
            </w:r>
            <w:r w:rsidRPr="00F67034">
              <w:rPr>
                <w:rFonts w:ascii="Arial Narrow" w:hAnsi="Arial Narrow"/>
                <w:sz w:val="18"/>
                <w:szCs w:val="18"/>
              </w:rPr>
              <w:br/>
              <w:t>6.0 years (0–22).</w:t>
            </w:r>
          </w:p>
          <w:p w14:paraId="1B641E46" w14:textId="77777777" w:rsidR="001A0A87" w:rsidRPr="00F67034" w:rsidRDefault="001A0A87" w:rsidP="00F814DE">
            <w:pPr>
              <w:spacing w:after="40" w:line="240" w:lineRule="auto"/>
              <w:ind w:left="-57"/>
              <w:jc w:val="left"/>
              <w:rPr>
                <w:rFonts w:ascii="Arial Narrow" w:hAnsi="Arial Narrow"/>
                <w:sz w:val="18"/>
                <w:szCs w:val="18"/>
              </w:rPr>
            </w:pPr>
            <w:r w:rsidRPr="00F67034">
              <w:rPr>
                <w:rFonts w:ascii="Arial Narrow" w:hAnsi="Arial Narrow"/>
                <w:sz w:val="18"/>
                <w:szCs w:val="20"/>
                <w:u w:val="single"/>
              </w:rPr>
              <w:t>Sex</w:t>
            </w:r>
            <w:r w:rsidRPr="00F67034">
              <w:rPr>
                <w:rFonts w:ascii="Arial Narrow" w:hAnsi="Arial Narrow"/>
                <w:sz w:val="18"/>
                <w:szCs w:val="20"/>
              </w:rPr>
              <w:t xml:space="preserve"> ♀/♂: </w:t>
            </w:r>
            <w:r w:rsidRPr="00F67034">
              <w:rPr>
                <w:rFonts w:ascii="Arial Narrow" w:hAnsi="Arial Narrow"/>
                <w:sz w:val="18"/>
                <w:szCs w:val="18"/>
              </w:rPr>
              <w:t>29/32</w:t>
            </w:r>
          </w:p>
          <w:p w14:paraId="11B6B6D1" w14:textId="6AEA31CD" w:rsidR="001A0A87" w:rsidRPr="00F67034" w:rsidRDefault="001A0A87" w:rsidP="00F814DE">
            <w:pPr>
              <w:spacing w:after="40" w:line="240" w:lineRule="auto"/>
              <w:ind w:left="-57"/>
              <w:jc w:val="left"/>
              <w:rPr>
                <w:rFonts w:ascii="Arial Narrow" w:hAnsi="Arial Narrow" w:cs="Times New Roman"/>
                <w:sz w:val="18"/>
                <w:szCs w:val="20"/>
              </w:rPr>
            </w:pPr>
            <w:r w:rsidRPr="00F67034">
              <w:rPr>
                <w:rFonts w:ascii="Arial Narrow" w:hAnsi="Arial Narrow"/>
                <w:sz w:val="18"/>
                <w:szCs w:val="18"/>
                <w:u w:val="single"/>
              </w:rPr>
              <w:t>Serum IgG</w:t>
            </w:r>
            <w:r w:rsidRPr="00F67034">
              <w:rPr>
                <w:rFonts w:ascii="Arial Narrow" w:hAnsi="Arial Narrow"/>
                <w:sz w:val="18"/>
                <w:szCs w:val="18"/>
              </w:rPr>
              <w:t>, mg/dL, median (range):</w:t>
            </w:r>
            <w:r w:rsidRPr="00F67034">
              <w:rPr>
                <w:rFonts w:ascii="Arial Narrow" w:hAnsi="Arial Narrow"/>
                <w:sz w:val="18"/>
                <w:szCs w:val="18"/>
              </w:rPr>
              <w:br/>
              <w:t xml:space="preserve">MEPM+IVIG: 673 (236–1344) </w:t>
            </w:r>
            <w:r w:rsidRPr="00F67034">
              <w:rPr>
                <w:rFonts w:ascii="Arial Narrow" w:hAnsi="Arial Narrow"/>
                <w:sz w:val="18"/>
                <w:szCs w:val="18"/>
              </w:rPr>
              <w:br/>
              <w:t>MEPM: 667.5 (292–2047)</w:t>
            </w:r>
          </w:p>
        </w:tc>
        <w:tc>
          <w:tcPr>
            <w:tcW w:w="2268" w:type="dxa"/>
            <w:tcBorders>
              <w:top w:val="single" w:sz="4" w:space="0" w:color="auto"/>
              <w:left w:val="single" w:sz="4" w:space="0" w:color="auto"/>
              <w:bottom w:val="single" w:sz="4" w:space="0" w:color="auto"/>
              <w:right w:val="single" w:sz="4" w:space="0" w:color="auto"/>
            </w:tcBorders>
          </w:tcPr>
          <w:p w14:paraId="35858587" w14:textId="77777777" w:rsidR="001A0A87" w:rsidRPr="00F67034" w:rsidRDefault="001A0A87" w:rsidP="00F814DE">
            <w:pPr>
              <w:spacing w:after="40" w:line="240" w:lineRule="auto"/>
              <w:ind w:left="-57"/>
              <w:jc w:val="left"/>
              <w:rPr>
                <w:rFonts w:ascii="Arial Narrow" w:hAnsi="Arial Narrow"/>
                <w:sz w:val="18"/>
                <w:szCs w:val="18"/>
              </w:rPr>
            </w:pPr>
            <w:r w:rsidRPr="00F67034">
              <w:rPr>
                <w:rFonts w:ascii="Arial Narrow" w:hAnsi="Arial Narrow"/>
                <w:sz w:val="18"/>
                <w:szCs w:val="18"/>
                <w:u w:val="single"/>
              </w:rPr>
              <w:t>Inclusion</w:t>
            </w:r>
            <w:r w:rsidRPr="00F67034">
              <w:rPr>
                <w:rFonts w:ascii="Arial Narrow" w:hAnsi="Arial Narrow"/>
                <w:sz w:val="18"/>
                <w:szCs w:val="18"/>
              </w:rPr>
              <w:t>: paediatric chemo or HSCT patients with febrile neutropenia who failed 1</w:t>
            </w:r>
            <w:r w:rsidRPr="00F67034">
              <w:rPr>
                <w:rFonts w:ascii="Arial Narrow" w:hAnsi="Arial Narrow"/>
                <w:sz w:val="18"/>
                <w:szCs w:val="18"/>
                <w:vertAlign w:val="superscript"/>
              </w:rPr>
              <w:t>st</w:t>
            </w:r>
            <w:r w:rsidRPr="00F67034">
              <w:rPr>
                <w:rFonts w:ascii="Arial Narrow" w:hAnsi="Arial Narrow"/>
                <w:sz w:val="18"/>
                <w:szCs w:val="18"/>
              </w:rPr>
              <w:t xml:space="preserve"> line antibiotics.  </w:t>
            </w:r>
          </w:p>
          <w:p w14:paraId="5E604FDA" w14:textId="77777777" w:rsidR="001A0A87" w:rsidRPr="00F67034" w:rsidRDefault="001A0A87" w:rsidP="00F814DE">
            <w:pPr>
              <w:spacing w:after="40" w:line="240" w:lineRule="auto"/>
              <w:ind w:left="-57"/>
              <w:jc w:val="left"/>
              <w:rPr>
                <w:rFonts w:ascii="Arial Narrow" w:hAnsi="Arial Narrow"/>
                <w:sz w:val="18"/>
                <w:szCs w:val="18"/>
                <w:u w:val="single"/>
              </w:rPr>
            </w:pPr>
            <w:r w:rsidRPr="00F67034">
              <w:rPr>
                <w:rFonts w:ascii="Arial Narrow" w:hAnsi="Arial Narrow"/>
                <w:sz w:val="18"/>
                <w:szCs w:val="18"/>
                <w:u w:val="single"/>
              </w:rPr>
              <w:t>Exclusion:</w:t>
            </w:r>
            <w:r w:rsidRPr="00F67034">
              <w:rPr>
                <w:rFonts w:ascii="Arial Narrow" w:hAnsi="Arial Narrow"/>
                <w:sz w:val="18"/>
                <w:szCs w:val="18"/>
              </w:rPr>
              <w:t xml:space="preserve"> none described</w:t>
            </w:r>
          </w:p>
          <w:p w14:paraId="29902B45" w14:textId="2FE446CC" w:rsidR="001A0A87" w:rsidRPr="00F67034" w:rsidRDefault="001A0A87" w:rsidP="00F814DE">
            <w:pPr>
              <w:spacing w:after="40" w:line="240" w:lineRule="auto"/>
              <w:ind w:left="-57"/>
              <w:jc w:val="left"/>
              <w:rPr>
                <w:rFonts w:ascii="Arial Narrow" w:hAnsi="Arial Narrow" w:cs="Times New Roman"/>
                <w:sz w:val="18"/>
                <w:szCs w:val="20"/>
                <w:u w:val="single"/>
              </w:rPr>
            </w:pPr>
            <w:r w:rsidRPr="00F67034">
              <w:rPr>
                <w:rFonts w:ascii="Arial Narrow" w:hAnsi="Arial Narrow"/>
                <w:sz w:val="18"/>
                <w:szCs w:val="18"/>
                <w:u w:val="single"/>
              </w:rPr>
              <w:t>Objectives:</w:t>
            </w:r>
            <w:r w:rsidRPr="00F67034">
              <w:rPr>
                <w:rFonts w:ascii="Arial Narrow" w:hAnsi="Arial Narrow"/>
                <w:sz w:val="18"/>
                <w:szCs w:val="18"/>
              </w:rPr>
              <w:t xml:space="preserve"> meropenem (MEPM) ± IVIG as 2</w:t>
            </w:r>
            <w:r w:rsidRPr="00F67034">
              <w:rPr>
                <w:rFonts w:ascii="Arial Narrow" w:hAnsi="Arial Narrow"/>
                <w:sz w:val="18"/>
                <w:szCs w:val="18"/>
                <w:vertAlign w:val="superscript"/>
              </w:rPr>
              <w:t>nd</w:t>
            </w:r>
            <w:r w:rsidRPr="00F67034">
              <w:rPr>
                <w:rFonts w:ascii="Arial Narrow" w:hAnsi="Arial Narrow"/>
                <w:sz w:val="18"/>
                <w:szCs w:val="18"/>
              </w:rPr>
              <w:t xml:space="preserve"> line tx for paediatric oncology patients with febrile neutropenia</w:t>
            </w:r>
          </w:p>
        </w:tc>
        <w:tc>
          <w:tcPr>
            <w:tcW w:w="1843" w:type="dxa"/>
            <w:tcBorders>
              <w:top w:val="single" w:sz="4" w:space="0" w:color="auto"/>
              <w:left w:val="single" w:sz="4" w:space="0" w:color="auto"/>
              <w:bottom w:val="single" w:sz="4" w:space="0" w:color="auto"/>
              <w:right w:val="single" w:sz="4" w:space="0" w:color="auto"/>
            </w:tcBorders>
          </w:tcPr>
          <w:p w14:paraId="637CC976" w14:textId="4F64CA3A" w:rsidR="001A0A87" w:rsidRPr="00F67034" w:rsidRDefault="001A0A87" w:rsidP="00F814DE">
            <w:pPr>
              <w:spacing w:after="40" w:line="240" w:lineRule="auto"/>
              <w:ind w:left="-57"/>
              <w:jc w:val="left"/>
              <w:rPr>
                <w:rFonts w:ascii="Arial Narrow" w:hAnsi="Arial Narrow"/>
                <w:sz w:val="18"/>
                <w:szCs w:val="18"/>
              </w:rPr>
            </w:pPr>
            <w:r w:rsidRPr="00F67034">
              <w:rPr>
                <w:rFonts w:ascii="Arial Narrow" w:hAnsi="Arial Narrow"/>
                <w:sz w:val="18"/>
                <w:szCs w:val="18"/>
                <w:u w:val="single"/>
              </w:rPr>
              <w:t>MEPM + IVIG (62 episodes):</w:t>
            </w:r>
            <w:r w:rsidR="00B86211" w:rsidRPr="00F67034">
              <w:rPr>
                <w:rFonts w:ascii="Arial Narrow" w:hAnsi="Arial Narrow"/>
                <w:sz w:val="18"/>
                <w:szCs w:val="18"/>
              </w:rPr>
              <w:t xml:space="preserve"> 100 mg/kg/d</w:t>
            </w:r>
            <w:r w:rsidRPr="00F67034">
              <w:rPr>
                <w:rFonts w:ascii="Arial Narrow" w:hAnsi="Arial Narrow"/>
                <w:sz w:val="18"/>
                <w:szCs w:val="18"/>
              </w:rPr>
              <w:t xml:space="preserve"> (max 5g/day) for 3 days (Venoglobulin IH 5% Mitsubishi Tanabe/ Benesis)</w:t>
            </w:r>
            <w:r w:rsidR="00B86211" w:rsidRPr="00F67034">
              <w:rPr>
                <w:rFonts w:ascii="Arial Narrow" w:hAnsi="Arial Narrow"/>
                <w:sz w:val="18"/>
                <w:szCs w:val="18"/>
              </w:rPr>
              <w:t>. MEPM as described for MEPM only arm.</w:t>
            </w:r>
          </w:p>
          <w:p w14:paraId="1AD8CA83" w14:textId="4549AD67" w:rsidR="001A0A87" w:rsidRPr="00F67034" w:rsidRDefault="001A0A87" w:rsidP="00F814DE">
            <w:pPr>
              <w:spacing w:after="40" w:line="240" w:lineRule="auto"/>
              <w:ind w:left="-57"/>
              <w:jc w:val="left"/>
              <w:rPr>
                <w:rFonts w:ascii="Arial Narrow" w:hAnsi="Arial Narrow" w:cs="Times New Roman"/>
                <w:sz w:val="18"/>
                <w:szCs w:val="20"/>
                <w:u w:val="single"/>
              </w:rPr>
            </w:pPr>
            <w:r w:rsidRPr="00F67034">
              <w:rPr>
                <w:rFonts w:ascii="Arial Narrow" w:hAnsi="Arial Narrow"/>
                <w:sz w:val="18"/>
                <w:szCs w:val="18"/>
              </w:rPr>
              <w:t>G-CSF permitted.</w:t>
            </w:r>
          </w:p>
        </w:tc>
        <w:tc>
          <w:tcPr>
            <w:tcW w:w="1843" w:type="dxa"/>
            <w:tcBorders>
              <w:top w:val="single" w:sz="4" w:space="0" w:color="auto"/>
              <w:left w:val="single" w:sz="4" w:space="0" w:color="auto"/>
              <w:bottom w:val="single" w:sz="4" w:space="0" w:color="auto"/>
              <w:right w:val="single" w:sz="4" w:space="0" w:color="auto"/>
            </w:tcBorders>
          </w:tcPr>
          <w:p w14:paraId="2B9FADBF" w14:textId="0E949A7D" w:rsidR="00B86211" w:rsidRPr="00F67034" w:rsidRDefault="001A0A87" w:rsidP="00F814DE">
            <w:pPr>
              <w:spacing w:after="40" w:line="240" w:lineRule="auto"/>
              <w:ind w:left="-57"/>
              <w:jc w:val="left"/>
              <w:rPr>
                <w:rFonts w:ascii="Arial Narrow" w:hAnsi="Arial Narrow"/>
                <w:sz w:val="18"/>
                <w:szCs w:val="18"/>
              </w:rPr>
            </w:pPr>
            <w:r w:rsidRPr="00F67034">
              <w:rPr>
                <w:rFonts w:ascii="Arial Narrow" w:hAnsi="Arial Narrow"/>
                <w:sz w:val="18"/>
                <w:szCs w:val="18"/>
                <w:u w:val="single"/>
              </w:rPr>
              <w:t xml:space="preserve">MEPM without IVIG (84 episodes): </w:t>
            </w:r>
            <w:r w:rsidRPr="00F67034">
              <w:rPr>
                <w:rFonts w:ascii="Arial Narrow" w:hAnsi="Arial Narrow"/>
                <w:sz w:val="18"/>
                <w:szCs w:val="18"/>
              </w:rPr>
              <w:t>MEPM on</w:t>
            </w:r>
            <w:r w:rsidR="00B86211" w:rsidRPr="00F67034">
              <w:rPr>
                <w:rFonts w:ascii="Arial Narrow" w:hAnsi="Arial Narrow"/>
                <w:sz w:val="18"/>
                <w:szCs w:val="18"/>
              </w:rPr>
              <w:t>ly for 3 days as follows:</w:t>
            </w:r>
          </w:p>
          <w:p w14:paraId="55CCFCE8" w14:textId="44E849A6" w:rsidR="00B86211" w:rsidRPr="00F67034" w:rsidRDefault="001A0A87" w:rsidP="00F814DE">
            <w:pPr>
              <w:spacing w:after="40" w:line="240" w:lineRule="auto"/>
              <w:ind w:left="-57"/>
              <w:jc w:val="left"/>
              <w:rPr>
                <w:rFonts w:ascii="Arial Narrow" w:hAnsi="Arial Narrow"/>
                <w:sz w:val="18"/>
                <w:szCs w:val="18"/>
              </w:rPr>
            </w:pPr>
            <w:r w:rsidRPr="00F67034">
              <w:rPr>
                <w:rFonts w:ascii="Arial Narrow" w:hAnsi="Arial Narrow"/>
                <w:sz w:val="18"/>
                <w:szCs w:val="18"/>
              </w:rPr>
              <w:t>Aug2008-Apr20</w:t>
            </w:r>
            <w:r w:rsidR="00B86211" w:rsidRPr="00F67034">
              <w:rPr>
                <w:rFonts w:ascii="Arial Narrow" w:hAnsi="Arial Narrow"/>
                <w:sz w:val="18"/>
                <w:szCs w:val="18"/>
              </w:rPr>
              <w:t>10;:</w:t>
            </w:r>
            <w:r w:rsidR="00B86211" w:rsidRPr="00F67034">
              <w:rPr>
                <w:rFonts w:ascii="Arial Narrow" w:hAnsi="Arial Narrow"/>
                <w:sz w:val="18"/>
                <w:szCs w:val="18"/>
              </w:rPr>
              <w:br/>
              <w:t>60 mg/kg/d (max 1.5g/d)</w:t>
            </w:r>
            <w:r w:rsidRPr="00F67034">
              <w:rPr>
                <w:rFonts w:ascii="Arial Narrow" w:hAnsi="Arial Narrow"/>
                <w:sz w:val="18"/>
                <w:szCs w:val="18"/>
              </w:rPr>
              <w:t xml:space="preserve"> </w:t>
            </w:r>
          </w:p>
          <w:p w14:paraId="368E13B9" w14:textId="2FDA12E7" w:rsidR="001A0A87" w:rsidRPr="00F67034" w:rsidRDefault="001A0A87" w:rsidP="00F814DE">
            <w:pPr>
              <w:spacing w:after="40" w:line="240" w:lineRule="auto"/>
              <w:ind w:left="-57"/>
              <w:jc w:val="left"/>
              <w:rPr>
                <w:rFonts w:ascii="Arial Narrow" w:hAnsi="Arial Narrow"/>
                <w:sz w:val="18"/>
                <w:szCs w:val="18"/>
              </w:rPr>
            </w:pPr>
            <w:r w:rsidRPr="00F67034">
              <w:rPr>
                <w:rFonts w:ascii="Arial Narrow" w:hAnsi="Arial Narrow"/>
                <w:sz w:val="18"/>
                <w:szCs w:val="18"/>
              </w:rPr>
              <w:t>Apr2010-Apr2012</w:t>
            </w:r>
            <w:r w:rsidR="00B86211" w:rsidRPr="00F67034">
              <w:rPr>
                <w:rFonts w:ascii="Arial Narrow" w:hAnsi="Arial Narrow"/>
                <w:sz w:val="18"/>
                <w:szCs w:val="18"/>
              </w:rPr>
              <w:t>:</w:t>
            </w:r>
            <w:r w:rsidR="00B86211" w:rsidRPr="00F67034">
              <w:rPr>
                <w:rFonts w:ascii="Arial Narrow" w:hAnsi="Arial Narrow"/>
                <w:sz w:val="18"/>
                <w:szCs w:val="18"/>
              </w:rPr>
              <w:br/>
              <w:t>120mg/kg/d (max: 3g/d)</w:t>
            </w:r>
          </w:p>
          <w:p w14:paraId="09DDD245" w14:textId="039768BE" w:rsidR="001A0A87" w:rsidRPr="00F67034" w:rsidRDefault="001A0A87" w:rsidP="00F814DE">
            <w:pPr>
              <w:spacing w:after="40" w:line="240" w:lineRule="auto"/>
              <w:ind w:left="-57"/>
              <w:jc w:val="left"/>
              <w:rPr>
                <w:rFonts w:ascii="Arial Narrow" w:hAnsi="Arial Narrow" w:cs="Times New Roman"/>
                <w:sz w:val="18"/>
                <w:szCs w:val="20"/>
                <w:u w:val="single"/>
              </w:rPr>
            </w:pPr>
            <w:r w:rsidRPr="00F67034">
              <w:rPr>
                <w:rFonts w:ascii="Arial Narrow" w:hAnsi="Arial Narrow"/>
                <w:sz w:val="18"/>
                <w:szCs w:val="18"/>
              </w:rPr>
              <w:t>G-CSF permitted.</w:t>
            </w:r>
          </w:p>
        </w:tc>
        <w:tc>
          <w:tcPr>
            <w:tcW w:w="2268" w:type="dxa"/>
            <w:tcBorders>
              <w:top w:val="single" w:sz="4" w:space="0" w:color="auto"/>
              <w:left w:val="single" w:sz="4" w:space="0" w:color="auto"/>
              <w:bottom w:val="single" w:sz="4" w:space="0" w:color="auto"/>
              <w:right w:val="single" w:sz="4" w:space="0" w:color="auto"/>
            </w:tcBorders>
          </w:tcPr>
          <w:p w14:paraId="6299EDE7" w14:textId="25BBB75B" w:rsidR="001A0A87" w:rsidRPr="00F67034" w:rsidRDefault="001A0A87" w:rsidP="00F814DE">
            <w:pPr>
              <w:spacing w:after="40" w:line="240" w:lineRule="auto"/>
              <w:ind w:left="-57"/>
              <w:jc w:val="left"/>
              <w:rPr>
                <w:rFonts w:ascii="Arial Narrow" w:hAnsi="Arial Narrow"/>
                <w:sz w:val="18"/>
                <w:szCs w:val="18"/>
              </w:rPr>
            </w:pPr>
            <w:r w:rsidRPr="00F67034">
              <w:rPr>
                <w:rFonts w:ascii="Arial Narrow" w:hAnsi="Arial Narrow"/>
                <w:sz w:val="18"/>
                <w:szCs w:val="18"/>
                <w:u w:val="single"/>
              </w:rPr>
              <w:t>Outcomes</w:t>
            </w:r>
            <w:r w:rsidRPr="00F67034">
              <w:rPr>
                <w:rFonts w:ascii="Arial Narrow" w:hAnsi="Arial Narrow"/>
                <w:sz w:val="18"/>
                <w:szCs w:val="18"/>
              </w:rPr>
              <w:t>: tx</w:t>
            </w:r>
            <w:r w:rsidR="004E4553" w:rsidRPr="00F67034">
              <w:rPr>
                <w:rFonts w:ascii="Arial Narrow" w:hAnsi="Arial Narrow"/>
                <w:sz w:val="18"/>
                <w:szCs w:val="18"/>
              </w:rPr>
              <w:t xml:space="preserve"> success vs failure evaluated 120</w:t>
            </w:r>
            <w:r w:rsidRPr="00F67034">
              <w:rPr>
                <w:rFonts w:ascii="Arial Narrow" w:hAnsi="Arial Narrow"/>
                <w:sz w:val="18"/>
                <w:szCs w:val="18"/>
              </w:rPr>
              <w:t xml:space="preserve">h after the start of therapy (failure defined as defined as persistence of fever or infecting organism, any required modification of antibiotic </w:t>
            </w:r>
            <w:r w:rsidR="004E4553" w:rsidRPr="00F67034">
              <w:rPr>
                <w:rFonts w:ascii="Arial Narrow" w:hAnsi="Arial Narrow"/>
                <w:sz w:val="18"/>
                <w:szCs w:val="18"/>
              </w:rPr>
              <w:t>tx</w:t>
            </w:r>
            <w:r w:rsidRPr="00F67034">
              <w:rPr>
                <w:rFonts w:ascii="Arial Narrow" w:hAnsi="Arial Narrow"/>
                <w:sz w:val="18"/>
                <w:szCs w:val="18"/>
              </w:rPr>
              <w:t>, new infections, or infection-related death)</w:t>
            </w:r>
          </w:p>
          <w:p w14:paraId="4648AF8D" w14:textId="77777777" w:rsidR="001A0A87" w:rsidRPr="00F67034" w:rsidRDefault="001A0A87" w:rsidP="00F814DE">
            <w:pPr>
              <w:spacing w:after="40" w:line="240" w:lineRule="auto"/>
              <w:ind w:left="-57"/>
              <w:jc w:val="left"/>
              <w:rPr>
                <w:rFonts w:ascii="Arial Narrow" w:hAnsi="Arial Narrow"/>
                <w:sz w:val="18"/>
                <w:szCs w:val="18"/>
                <w:u w:val="single"/>
              </w:rPr>
            </w:pPr>
            <w:r w:rsidRPr="00F67034">
              <w:rPr>
                <w:rFonts w:ascii="Arial Narrow" w:hAnsi="Arial Narrow"/>
                <w:sz w:val="18"/>
                <w:szCs w:val="18"/>
                <w:u w:val="single"/>
              </w:rPr>
              <w:t>Analyses</w:t>
            </w:r>
            <w:r w:rsidRPr="00F67034">
              <w:rPr>
                <w:rFonts w:ascii="Arial Narrow" w:hAnsi="Arial Narrow"/>
                <w:sz w:val="18"/>
                <w:szCs w:val="18"/>
              </w:rPr>
              <w:t>: Differences between groups were analysed using Fisher’s exact test and the Mann–Whitney U-test.</w:t>
            </w:r>
          </w:p>
          <w:p w14:paraId="1DD849E8" w14:textId="50509BCE" w:rsidR="001A0A87" w:rsidRPr="00F67034" w:rsidRDefault="001A0A87" w:rsidP="00F814DE">
            <w:pPr>
              <w:spacing w:after="40" w:line="240" w:lineRule="auto"/>
              <w:ind w:left="-57"/>
              <w:jc w:val="left"/>
              <w:rPr>
                <w:rFonts w:ascii="Arial Narrow" w:hAnsi="Arial Narrow" w:cs="Times New Roman"/>
                <w:sz w:val="18"/>
                <w:szCs w:val="20"/>
                <w:u w:val="single"/>
              </w:rPr>
            </w:pPr>
            <w:r w:rsidRPr="00F67034">
              <w:rPr>
                <w:rFonts w:ascii="Arial Narrow" w:hAnsi="Arial Narrow"/>
                <w:sz w:val="18"/>
                <w:szCs w:val="18"/>
                <w:u w:val="single"/>
              </w:rPr>
              <w:t>Follow-up</w:t>
            </w:r>
            <w:r w:rsidRPr="00F67034">
              <w:rPr>
                <w:rFonts w:ascii="Arial Narrow" w:hAnsi="Arial Narrow"/>
                <w:sz w:val="18"/>
                <w:szCs w:val="18"/>
              </w:rPr>
              <w:t xml:space="preserve">: </w:t>
            </w:r>
            <w:r w:rsidR="00E32BC7" w:rsidRPr="00F67034">
              <w:rPr>
                <w:rFonts w:ascii="Arial Narrow" w:hAnsi="Arial Narrow"/>
                <w:sz w:val="18"/>
                <w:szCs w:val="18"/>
              </w:rPr>
              <w:t>not stated. 2 deaths were due to invasive fungal infection in MEPM only group.</w:t>
            </w:r>
          </w:p>
        </w:tc>
        <w:tc>
          <w:tcPr>
            <w:tcW w:w="1984" w:type="dxa"/>
            <w:tcBorders>
              <w:top w:val="single" w:sz="4" w:space="0" w:color="auto"/>
              <w:left w:val="single" w:sz="4" w:space="0" w:color="auto"/>
              <w:bottom w:val="single" w:sz="4" w:space="0" w:color="auto"/>
              <w:right w:val="single" w:sz="4" w:space="0" w:color="auto"/>
            </w:tcBorders>
          </w:tcPr>
          <w:p w14:paraId="6D777041" w14:textId="77777777" w:rsidR="001A0A87" w:rsidRPr="00F67034" w:rsidRDefault="001A0A87" w:rsidP="00F814DE">
            <w:pPr>
              <w:spacing w:after="40" w:line="240" w:lineRule="auto"/>
              <w:ind w:left="-57"/>
              <w:jc w:val="left"/>
              <w:rPr>
                <w:rFonts w:ascii="Arial Narrow" w:hAnsi="Arial Narrow"/>
                <w:sz w:val="18"/>
                <w:szCs w:val="18"/>
              </w:rPr>
            </w:pPr>
            <w:r w:rsidRPr="00F67034">
              <w:rPr>
                <w:rFonts w:ascii="Arial Narrow" w:hAnsi="Arial Narrow"/>
                <w:sz w:val="18"/>
                <w:szCs w:val="18"/>
                <w:u w:val="single"/>
              </w:rPr>
              <w:t>Ethics</w:t>
            </w:r>
            <w:r w:rsidRPr="00F67034">
              <w:rPr>
                <w:rFonts w:ascii="Arial Narrow" w:hAnsi="Arial Narrow"/>
                <w:sz w:val="18"/>
                <w:szCs w:val="18"/>
              </w:rPr>
              <w:t>: research was approved by the hospital IRB. Written informed consent was obtained from all patients or parents of patients.</w:t>
            </w:r>
          </w:p>
          <w:p w14:paraId="1A1A62BB" w14:textId="77777777" w:rsidR="001A0A87" w:rsidRPr="00F67034" w:rsidRDefault="001A0A87" w:rsidP="00F814DE">
            <w:pPr>
              <w:spacing w:after="40" w:line="240" w:lineRule="auto"/>
              <w:ind w:left="-57"/>
              <w:jc w:val="left"/>
              <w:rPr>
                <w:rFonts w:ascii="Arial Narrow" w:hAnsi="Arial Narrow"/>
                <w:sz w:val="18"/>
                <w:szCs w:val="18"/>
              </w:rPr>
            </w:pPr>
            <w:r w:rsidRPr="00F67034">
              <w:rPr>
                <w:rFonts w:ascii="Arial Narrow" w:hAnsi="Arial Narrow"/>
                <w:sz w:val="18"/>
                <w:szCs w:val="18"/>
                <w:u w:val="single"/>
              </w:rPr>
              <w:t>Funding</w:t>
            </w:r>
            <w:r w:rsidRPr="00F67034">
              <w:rPr>
                <w:rFonts w:ascii="Arial Narrow" w:hAnsi="Arial Narrow"/>
                <w:sz w:val="18"/>
                <w:szCs w:val="18"/>
              </w:rPr>
              <w:t xml:space="preserve">: no funding sources were declared nor competing interests statement provided. </w:t>
            </w:r>
          </w:p>
          <w:p w14:paraId="0D97FC89" w14:textId="014A4FD1" w:rsidR="001A0A87" w:rsidRPr="003B4D22" w:rsidRDefault="001A0A87" w:rsidP="00F814DE">
            <w:pPr>
              <w:spacing w:after="40" w:line="240" w:lineRule="auto"/>
              <w:ind w:left="-57"/>
              <w:jc w:val="left"/>
              <w:rPr>
                <w:rFonts w:ascii="Arial Narrow" w:hAnsi="Arial Narrow" w:cs="Times New Roman"/>
                <w:i/>
                <w:sz w:val="18"/>
                <w:szCs w:val="20"/>
              </w:rPr>
            </w:pPr>
            <w:r w:rsidRPr="00F67034">
              <w:rPr>
                <w:rFonts w:ascii="Arial Narrow" w:hAnsi="Arial Narrow"/>
                <w:i/>
                <w:sz w:val="18"/>
                <w:szCs w:val="18"/>
              </w:rPr>
              <w:t>17/74 MEPM episodes had received HSCT compared with 5/62 MEPM + IVIg episodes.</w:t>
            </w:r>
            <w:r w:rsidRPr="003B4D22">
              <w:rPr>
                <w:rFonts w:ascii="Arial Narrow" w:hAnsi="Arial Narrow"/>
                <w:i/>
                <w:sz w:val="18"/>
                <w:szCs w:val="18"/>
              </w:rPr>
              <w:t xml:space="preserve"> </w:t>
            </w:r>
          </w:p>
        </w:tc>
      </w:tr>
      <w:tr w:rsidR="001A0A87" w:rsidRPr="00D6742F" w14:paraId="548FBADA" w14:textId="77777777" w:rsidTr="001A0A87">
        <w:trPr>
          <w:trHeight w:val="293"/>
        </w:trPr>
        <w:tc>
          <w:tcPr>
            <w:tcW w:w="1129" w:type="dxa"/>
          </w:tcPr>
          <w:p w14:paraId="0C6605AB"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Molica et al., 1996</w:t>
            </w:r>
          </w:p>
          <w:p w14:paraId="40F41E27"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Italy</w:t>
            </w:r>
          </w:p>
          <w:p w14:paraId="70359E60"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 xml:space="preserve">Multi-centre (5 </w:t>
            </w:r>
            <w:r w:rsidRPr="00D6742F">
              <w:rPr>
                <w:rFonts w:ascii="Arial Narrow" w:hAnsi="Arial Narrow" w:cs="Times New Roman"/>
                <w:sz w:val="18"/>
                <w:szCs w:val="20"/>
              </w:rPr>
              <w:lastRenderedPageBreak/>
              <w:t>sites)</w:t>
            </w:r>
          </w:p>
        </w:tc>
        <w:tc>
          <w:tcPr>
            <w:tcW w:w="1134" w:type="dxa"/>
          </w:tcPr>
          <w:p w14:paraId="5409AB68" w14:textId="29B454BD"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lastRenderedPageBreak/>
              <w:t>RCT (crossover study with random allocation)</w:t>
            </w:r>
            <w:r w:rsidR="001152C7" w:rsidRPr="00D6742F">
              <w:rPr>
                <w:rFonts w:ascii="Arial Narrow" w:hAnsi="Arial Narrow" w:cs="Times New Roman"/>
                <w:sz w:val="18"/>
                <w:szCs w:val="20"/>
              </w:rPr>
              <w:t xml:space="preserve">; </w:t>
            </w:r>
            <w:r w:rsidR="001152C7" w:rsidRPr="00D6742F">
              <w:rPr>
                <w:rFonts w:ascii="Arial Narrow" w:hAnsi="Arial Narrow" w:cs="Times New Roman"/>
                <w:sz w:val="18"/>
                <w:szCs w:val="20"/>
              </w:rPr>
              <w:lastRenderedPageBreak/>
              <w:t>open-label</w:t>
            </w:r>
          </w:p>
          <w:p w14:paraId="1201893B" w14:textId="41B43EC0"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 xml:space="preserve">RoB: </w:t>
            </w:r>
            <w:r w:rsidR="00153CAC" w:rsidRPr="00D6742F">
              <w:rPr>
                <w:rFonts w:ascii="Arial Narrow" w:hAnsi="Arial Narrow" w:cs="Times New Roman"/>
                <w:sz w:val="18"/>
                <w:szCs w:val="20"/>
              </w:rPr>
              <w:t>moderate</w:t>
            </w:r>
            <w:r w:rsidRPr="00D6742F">
              <w:rPr>
                <w:rFonts w:ascii="Arial Narrow" w:hAnsi="Arial Narrow" w:cs="Times New Roman"/>
                <w:sz w:val="18"/>
                <w:szCs w:val="20"/>
              </w:rPr>
              <w:t xml:space="preserve"> (SIGN)</w:t>
            </w:r>
          </w:p>
        </w:tc>
        <w:tc>
          <w:tcPr>
            <w:tcW w:w="1843" w:type="dxa"/>
          </w:tcPr>
          <w:p w14:paraId="5FFA44BE" w14:textId="77777777" w:rsidR="001A0A87" w:rsidRPr="00D6742F" w:rsidRDefault="001A0A87" w:rsidP="00F814DE">
            <w:pPr>
              <w:spacing w:before="0" w:after="40" w:line="240" w:lineRule="auto"/>
              <w:ind w:left="-57"/>
              <w:jc w:val="left"/>
              <w:rPr>
                <w:rFonts w:ascii="Arial Narrow" w:hAnsi="Arial Narrow" w:cs="Times New Roman"/>
                <w:sz w:val="18"/>
                <w:szCs w:val="18"/>
              </w:rPr>
            </w:pPr>
            <w:r w:rsidRPr="00D6742F">
              <w:rPr>
                <w:rFonts w:ascii="Arial Narrow" w:hAnsi="Arial Narrow" w:cs="Times New Roman"/>
                <w:sz w:val="18"/>
                <w:szCs w:val="18"/>
              </w:rPr>
              <w:lastRenderedPageBreak/>
              <w:t>N=42 (CLL)</w:t>
            </w:r>
          </w:p>
          <w:p w14:paraId="1F2C2297" w14:textId="77777777" w:rsidR="001A0A87" w:rsidRPr="00D6742F" w:rsidRDefault="001A0A87" w:rsidP="00F814DE">
            <w:pPr>
              <w:spacing w:before="0" w:after="40" w:line="240" w:lineRule="auto"/>
              <w:ind w:left="-57"/>
              <w:jc w:val="left"/>
              <w:rPr>
                <w:rFonts w:ascii="Arial Narrow" w:hAnsi="Arial Narrow" w:cs="Times New Roman"/>
                <w:sz w:val="18"/>
                <w:szCs w:val="18"/>
              </w:rPr>
            </w:pPr>
            <w:r w:rsidRPr="00D6742F">
              <w:rPr>
                <w:rFonts w:ascii="Arial Narrow" w:hAnsi="Arial Narrow" w:cs="Times New Roman"/>
                <w:sz w:val="18"/>
                <w:szCs w:val="18"/>
                <w:u w:val="single"/>
              </w:rPr>
              <w:t>♀/♂</w:t>
            </w:r>
            <w:r w:rsidRPr="00D6742F">
              <w:rPr>
                <w:rFonts w:ascii="Arial Narrow" w:hAnsi="Arial Narrow" w:cs="Times New Roman"/>
                <w:sz w:val="18"/>
                <w:szCs w:val="18"/>
              </w:rPr>
              <w:t>: 12/30</w:t>
            </w:r>
          </w:p>
          <w:p w14:paraId="7B37AE1A" w14:textId="77777777" w:rsidR="001A0A87" w:rsidRPr="00D6742F" w:rsidRDefault="001A0A87" w:rsidP="00F814DE">
            <w:pPr>
              <w:spacing w:before="0" w:after="40" w:line="240" w:lineRule="auto"/>
              <w:ind w:left="-57"/>
              <w:jc w:val="left"/>
              <w:rPr>
                <w:rFonts w:ascii="Arial Narrow" w:hAnsi="Arial Narrow" w:cs="Times New Roman"/>
                <w:sz w:val="18"/>
                <w:szCs w:val="18"/>
              </w:rPr>
            </w:pPr>
            <w:r w:rsidRPr="00D6742F">
              <w:rPr>
                <w:rFonts w:ascii="Arial Narrow" w:hAnsi="Arial Narrow" w:cs="Times New Roman"/>
                <w:sz w:val="18"/>
                <w:szCs w:val="18"/>
                <w:u w:val="single"/>
              </w:rPr>
              <w:t>Age</w:t>
            </w:r>
            <w:r w:rsidRPr="00D6742F">
              <w:rPr>
                <w:rFonts w:ascii="Arial Narrow" w:hAnsi="Arial Narrow" w:cs="Times New Roman"/>
                <w:sz w:val="18"/>
                <w:szCs w:val="18"/>
              </w:rPr>
              <w:t xml:space="preserve"> mean±sd: 64±11.5</w:t>
            </w:r>
          </w:p>
          <w:p w14:paraId="221F24F1" w14:textId="77777777" w:rsidR="001A0A87" w:rsidRPr="00D6742F" w:rsidRDefault="001A0A87" w:rsidP="00F814DE">
            <w:pPr>
              <w:spacing w:before="0" w:after="40" w:line="240" w:lineRule="auto"/>
              <w:ind w:left="-57"/>
              <w:jc w:val="left"/>
              <w:rPr>
                <w:rFonts w:ascii="Arial Narrow" w:hAnsi="Arial Narrow" w:cs="Times New Roman"/>
                <w:sz w:val="18"/>
                <w:szCs w:val="18"/>
              </w:rPr>
            </w:pPr>
            <w:r w:rsidRPr="00D6742F">
              <w:rPr>
                <w:rFonts w:ascii="Arial Narrow" w:hAnsi="Arial Narrow" w:cs="Times New Roman"/>
                <w:sz w:val="18"/>
                <w:szCs w:val="18"/>
                <w:u w:val="single"/>
              </w:rPr>
              <w:t>Rai stage</w:t>
            </w:r>
            <w:r w:rsidRPr="00D6742F">
              <w:rPr>
                <w:rFonts w:ascii="Arial Narrow" w:hAnsi="Arial Narrow" w:cs="Times New Roman"/>
                <w:sz w:val="18"/>
                <w:szCs w:val="18"/>
              </w:rPr>
              <w:t xml:space="preserve">, n(%) </w:t>
            </w:r>
            <w:r w:rsidRPr="00D6742F">
              <w:rPr>
                <w:rFonts w:ascii="Arial Narrow" w:hAnsi="Arial Narrow" w:cs="Times New Roman"/>
                <w:sz w:val="18"/>
                <w:szCs w:val="18"/>
              </w:rPr>
              <w:br/>
            </w:r>
            <w:r w:rsidRPr="00D6742F">
              <w:rPr>
                <w:rFonts w:ascii="Arial Narrow" w:hAnsi="Arial Narrow" w:cs="Times New Roman"/>
                <w:sz w:val="18"/>
                <w:szCs w:val="18"/>
              </w:rPr>
              <w:lastRenderedPageBreak/>
              <w:t>0: 2 (4.7%)</w:t>
            </w:r>
            <w:r w:rsidRPr="00D6742F">
              <w:rPr>
                <w:rFonts w:ascii="Arial Narrow" w:hAnsi="Arial Narrow" w:cs="Times New Roman"/>
                <w:sz w:val="18"/>
                <w:szCs w:val="18"/>
              </w:rPr>
              <w:br/>
              <w:t>I–II: 14 (33.3%)</w:t>
            </w:r>
            <w:r w:rsidRPr="00D6742F">
              <w:rPr>
                <w:rFonts w:ascii="Arial Narrow" w:hAnsi="Arial Narrow" w:cs="Times New Roman"/>
                <w:sz w:val="18"/>
                <w:szCs w:val="18"/>
              </w:rPr>
              <w:br/>
              <w:t>III-IV: 36 (61.9%)</w:t>
            </w:r>
          </w:p>
          <w:p w14:paraId="1FD8F104" w14:textId="77777777" w:rsidR="001A0A87" w:rsidRPr="00D6742F" w:rsidRDefault="001A0A87" w:rsidP="00F814DE">
            <w:pPr>
              <w:spacing w:before="0" w:after="40" w:line="240" w:lineRule="auto"/>
              <w:ind w:left="-57"/>
              <w:jc w:val="left"/>
              <w:rPr>
                <w:rFonts w:ascii="Arial Narrow" w:hAnsi="Arial Narrow" w:cs="Times New Roman"/>
                <w:sz w:val="18"/>
                <w:szCs w:val="18"/>
              </w:rPr>
            </w:pPr>
            <w:r w:rsidRPr="00D6742F">
              <w:rPr>
                <w:rFonts w:ascii="Arial Narrow" w:hAnsi="Arial Narrow" w:cs="Times New Roman"/>
                <w:sz w:val="18"/>
                <w:szCs w:val="18"/>
                <w:u w:val="single"/>
              </w:rPr>
              <w:t>IgG level</w:t>
            </w:r>
            <w:r w:rsidRPr="00D6742F">
              <w:rPr>
                <w:rFonts w:ascii="Arial Narrow" w:hAnsi="Arial Narrow" w:cs="Times New Roman"/>
                <w:sz w:val="18"/>
                <w:szCs w:val="18"/>
              </w:rPr>
              <w:t xml:space="preserve"> mg/dL(%):</w:t>
            </w:r>
            <w:r w:rsidRPr="00D6742F">
              <w:rPr>
                <w:rFonts w:ascii="Arial Narrow" w:hAnsi="Arial Narrow" w:cs="Times New Roman"/>
                <w:sz w:val="18"/>
                <w:szCs w:val="18"/>
              </w:rPr>
              <w:br/>
              <w:t>&lt;500: 16 (38)</w:t>
            </w:r>
            <w:r w:rsidRPr="00D6742F">
              <w:rPr>
                <w:rFonts w:ascii="Arial Narrow" w:hAnsi="Arial Narrow" w:cs="Times New Roman"/>
                <w:sz w:val="18"/>
                <w:szCs w:val="18"/>
              </w:rPr>
              <w:br/>
              <w:t>&gt;500&lt;650: 13 (30.9)</w:t>
            </w:r>
            <w:r w:rsidRPr="00D6742F">
              <w:rPr>
                <w:rFonts w:ascii="Arial Narrow" w:hAnsi="Arial Narrow" w:cs="Times New Roman"/>
                <w:sz w:val="18"/>
                <w:szCs w:val="18"/>
              </w:rPr>
              <w:br/>
              <w:t>&gt;650: 13 (30.9)</w:t>
            </w:r>
          </w:p>
        </w:tc>
        <w:tc>
          <w:tcPr>
            <w:tcW w:w="2268" w:type="dxa"/>
          </w:tcPr>
          <w:p w14:paraId="60A2FA85"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lastRenderedPageBreak/>
              <w:t>Inclusion:</w:t>
            </w:r>
            <w:r w:rsidRPr="00D6742F">
              <w:rPr>
                <w:rFonts w:ascii="Arial Narrow" w:hAnsi="Arial Narrow" w:cs="Times New Roman"/>
                <w:sz w:val="18"/>
                <w:szCs w:val="20"/>
              </w:rPr>
              <w:t xml:space="preserve"> serum IgG &lt;600mg/dL or a history of at least one serious infection in 6-months prior to study</w:t>
            </w:r>
          </w:p>
          <w:p w14:paraId="6771B8E0"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 xml:space="preserve">31% of patients had </w:t>
            </w:r>
            <w:r w:rsidRPr="00D6742F">
              <w:rPr>
                <w:rFonts w:ascii="Arial Narrow" w:hAnsi="Arial Narrow" w:cs="Times New Roman"/>
                <w:sz w:val="18"/>
                <w:szCs w:val="20"/>
              </w:rPr>
              <w:lastRenderedPageBreak/>
              <w:t>IgG&gt;650mg/dL at entry and 40% had a history of infections.</w:t>
            </w:r>
          </w:p>
          <w:p w14:paraId="10CE4D2F"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t>Exclusion:</w:t>
            </w:r>
            <w:r w:rsidRPr="00D6742F">
              <w:rPr>
                <w:rFonts w:ascii="Arial Narrow" w:hAnsi="Arial Narrow" w:cs="Times New Roman"/>
                <w:sz w:val="18"/>
                <w:szCs w:val="20"/>
              </w:rPr>
              <w:t xml:space="preserve"> Not described.</w:t>
            </w:r>
          </w:p>
          <w:p w14:paraId="5573B573" w14:textId="77777777" w:rsidR="001A0A87" w:rsidRPr="00D6742F" w:rsidRDefault="001A0A87" w:rsidP="00F814DE">
            <w:pPr>
              <w:spacing w:before="0" w:after="40" w:line="240" w:lineRule="auto"/>
              <w:ind w:left="-57"/>
              <w:jc w:val="left"/>
              <w:rPr>
                <w:rFonts w:ascii="Arial Narrow" w:hAnsi="Arial Narrow" w:cs="Times New Roman"/>
                <w:sz w:val="18"/>
                <w:szCs w:val="20"/>
                <w:u w:val="single"/>
              </w:rPr>
            </w:pPr>
            <w:r w:rsidRPr="00D6742F">
              <w:rPr>
                <w:rFonts w:ascii="Arial Narrow" w:hAnsi="Arial Narrow" w:cs="Times New Roman"/>
                <w:sz w:val="18"/>
                <w:szCs w:val="20"/>
                <w:u w:val="single"/>
              </w:rPr>
              <w:t>Objectives</w:t>
            </w:r>
            <w:r w:rsidRPr="00D6742F">
              <w:rPr>
                <w:rFonts w:ascii="Arial Narrow" w:hAnsi="Arial Narrow" w:cs="Times New Roman"/>
                <w:sz w:val="18"/>
                <w:szCs w:val="20"/>
              </w:rPr>
              <w:t xml:space="preserve">:  to investigate effect on infections of low-dose IVIg given to CLL patients in a cross-over setting.  </w:t>
            </w:r>
          </w:p>
        </w:tc>
        <w:tc>
          <w:tcPr>
            <w:tcW w:w="1843" w:type="dxa"/>
          </w:tcPr>
          <w:p w14:paraId="5304F184"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lastRenderedPageBreak/>
              <w:t>IVIg:</w:t>
            </w:r>
            <w:r w:rsidRPr="00D6742F">
              <w:rPr>
                <w:rFonts w:ascii="Arial Narrow" w:hAnsi="Arial Narrow" w:cs="Times New Roman"/>
                <w:sz w:val="18"/>
                <w:szCs w:val="20"/>
              </w:rPr>
              <w:t xml:space="preserve"> 300 mg/kg every 4 weeks for 6 months (Ig-Vena N, Sclavo).</w:t>
            </w:r>
          </w:p>
          <w:p w14:paraId="7FB22EA4" w14:textId="77777777" w:rsidR="001A0A87" w:rsidRPr="00D6742F" w:rsidRDefault="001A0A87" w:rsidP="00F814DE">
            <w:pPr>
              <w:spacing w:before="0" w:after="40" w:line="240" w:lineRule="auto"/>
              <w:ind w:left="-57"/>
              <w:jc w:val="left"/>
              <w:rPr>
                <w:rFonts w:ascii="Arial Narrow" w:hAnsi="Arial Narrow" w:cs="Times New Roman"/>
                <w:sz w:val="18"/>
                <w:szCs w:val="20"/>
                <w:u w:val="single"/>
              </w:rPr>
            </w:pPr>
            <w:r w:rsidRPr="00D6742F">
              <w:rPr>
                <w:rFonts w:ascii="Arial Narrow" w:hAnsi="Arial Narrow" w:cs="Times New Roman"/>
                <w:sz w:val="18"/>
                <w:szCs w:val="20"/>
              </w:rPr>
              <w:t xml:space="preserve">Then crossover to observation for 12 </w:t>
            </w:r>
            <w:r w:rsidRPr="00D6742F">
              <w:rPr>
                <w:rFonts w:ascii="Arial Narrow" w:hAnsi="Arial Narrow" w:cs="Times New Roman"/>
                <w:sz w:val="18"/>
                <w:szCs w:val="20"/>
              </w:rPr>
              <w:lastRenderedPageBreak/>
              <w:t>months; finally crossover to IVIg for further 6 months.</w:t>
            </w:r>
          </w:p>
          <w:p w14:paraId="71B433AD"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Prophylactic antibiotics not allowed.</w:t>
            </w:r>
          </w:p>
        </w:tc>
        <w:tc>
          <w:tcPr>
            <w:tcW w:w="1843" w:type="dxa"/>
          </w:tcPr>
          <w:p w14:paraId="292F557B"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lastRenderedPageBreak/>
              <w:t>No IVIg:</w:t>
            </w:r>
            <w:r w:rsidRPr="00D6742F">
              <w:rPr>
                <w:rFonts w:ascii="Arial Narrow" w:hAnsi="Arial Narrow" w:cs="Times New Roman"/>
                <w:sz w:val="18"/>
                <w:szCs w:val="20"/>
              </w:rPr>
              <w:t xml:space="preserve"> observation (empirical treatment) for 6 months.</w:t>
            </w:r>
          </w:p>
          <w:p w14:paraId="17EF1D3D" w14:textId="77777777" w:rsidR="001A0A87" w:rsidRPr="00D6742F" w:rsidRDefault="001A0A87" w:rsidP="00F814DE">
            <w:pPr>
              <w:spacing w:before="0" w:after="40" w:line="240" w:lineRule="auto"/>
              <w:ind w:left="-57"/>
              <w:jc w:val="left"/>
              <w:rPr>
                <w:rFonts w:ascii="Arial Narrow" w:hAnsi="Arial Narrow" w:cs="Times New Roman"/>
                <w:sz w:val="18"/>
                <w:szCs w:val="20"/>
                <w:u w:val="single"/>
              </w:rPr>
            </w:pPr>
            <w:r w:rsidRPr="00D6742F">
              <w:rPr>
                <w:rFonts w:ascii="Arial Narrow" w:hAnsi="Arial Narrow" w:cs="Times New Roman"/>
                <w:sz w:val="18"/>
                <w:szCs w:val="20"/>
              </w:rPr>
              <w:t xml:space="preserve">Then crossover to IVIg for 12 months; finally </w:t>
            </w:r>
            <w:r w:rsidRPr="00D6742F">
              <w:rPr>
                <w:rFonts w:ascii="Arial Narrow" w:hAnsi="Arial Narrow" w:cs="Times New Roman"/>
                <w:sz w:val="18"/>
                <w:szCs w:val="20"/>
              </w:rPr>
              <w:lastRenderedPageBreak/>
              <w:t>crossover to observation for further 6 months.</w:t>
            </w:r>
          </w:p>
          <w:p w14:paraId="4B416090" w14:textId="77777777" w:rsidR="001A0A87" w:rsidRPr="00D6742F" w:rsidRDefault="001A0A87" w:rsidP="00F814DE">
            <w:pPr>
              <w:spacing w:before="0" w:after="40" w:line="240" w:lineRule="auto"/>
              <w:ind w:left="-57"/>
              <w:jc w:val="left"/>
              <w:rPr>
                <w:rFonts w:ascii="Arial Narrow" w:hAnsi="Arial Narrow" w:cs="Times New Roman"/>
                <w:sz w:val="18"/>
                <w:szCs w:val="20"/>
                <w:u w:val="single"/>
              </w:rPr>
            </w:pPr>
            <w:r w:rsidRPr="00D6742F">
              <w:rPr>
                <w:rFonts w:ascii="Arial Narrow" w:hAnsi="Arial Narrow" w:cs="Times New Roman"/>
                <w:sz w:val="18"/>
                <w:szCs w:val="20"/>
              </w:rPr>
              <w:t>Prophylactic antibiotics not allowed.</w:t>
            </w:r>
          </w:p>
        </w:tc>
        <w:tc>
          <w:tcPr>
            <w:tcW w:w="2268" w:type="dxa"/>
          </w:tcPr>
          <w:p w14:paraId="26223F05"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lastRenderedPageBreak/>
              <w:t>Outcomes:</w:t>
            </w:r>
            <w:r w:rsidRPr="00D6742F">
              <w:rPr>
                <w:rFonts w:ascii="Arial Narrow" w:hAnsi="Arial Narrow" w:cs="Times New Roman"/>
                <w:sz w:val="18"/>
                <w:szCs w:val="20"/>
              </w:rPr>
              <w:t xml:space="preserve"> infections (incidence, type, severity)</w:t>
            </w:r>
          </w:p>
          <w:p w14:paraId="0AD859F8"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t>Analyses:</w:t>
            </w:r>
            <w:r w:rsidRPr="00D6742F">
              <w:rPr>
                <w:rFonts w:ascii="Arial Narrow" w:hAnsi="Arial Narrow" w:cs="Times New Roman"/>
                <w:sz w:val="18"/>
                <w:szCs w:val="20"/>
              </w:rPr>
              <w:t xml:space="preserve"> The number of infections occurring during the treatment or observation period </w:t>
            </w:r>
            <w:r w:rsidRPr="00D6742F">
              <w:rPr>
                <w:rFonts w:ascii="Arial Narrow" w:hAnsi="Arial Narrow" w:cs="Times New Roman"/>
                <w:sz w:val="18"/>
                <w:szCs w:val="20"/>
              </w:rPr>
              <w:lastRenderedPageBreak/>
              <w:t>were compared by the chi-square test and also by the McNemar test for non-parametric data corrected for continuity.</w:t>
            </w:r>
          </w:p>
          <w:p w14:paraId="29002695" w14:textId="3F536E79" w:rsidR="001A0A87" w:rsidRPr="00D6742F" w:rsidRDefault="001A0A87" w:rsidP="00F814DE">
            <w:pPr>
              <w:spacing w:before="0" w:after="40" w:line="240" w:lineRule="auto"/>
              <w:ind w:left="-57"/>
              <w:jc w:val="left"/>
              <w:rPr>
                <w:rFonts w:ascii="Arial Narrow" w:hAnsi="Arial Narrow" w:cs="Times New Roman"/>
                <w:sz w:val="18"/>
                <w:szCs w:val="20"/>
                <w:u w:val="single"/>
              </w:rPr>
            </w:pPr>
            <w:r w:rsidRPr="00D6742F">
              <w:rPr>
                <w:rFonts w:ascii="Arial Narrow" w:hAnsi="Arial Narrow" w:cs="Times New Roman"/>
                <w:sz w:val="18"/>
                <w:szCs w:val="20"/>
                <w:u w:val="single"/>
              </w:rPr>
              <w:t>Follow-up</w:t>
            </w:r>
            <w:r w:rsidRPr="00D6742F">
              <w:rPr>
                <w:rFonts w:ascii="Arial Narrow" w:hAnsi="Arial Narrow" w:cs="Times New Roman"/>
                <w:sz w:val="18"/>
                <w:szCs w:val="20"/>
              </w:rPr>
              <w:t xml:space="preserve"> duration not describe</w:t>
            </w:r>
            <w:r w:rsidR="00A81CAE" w:rsidRPr="00D6742F">
              <w:rPr>
                <w:rFonts w:ascii="Arial Narrow" w:hAnsi="Arial Narrow" w:cs="Times New Roman"/>
                <w:sz w:val="18"/>
                <w:szCs w:val="20"/>
              </w:rPr>
              <w:t xml:space="preserve">d. 2 </w:t>
            </w:r>
            <w:r w:rsidR="00425A4D" w:rsidRPr="00D6742F">
              <w:rPr>
                <w:rFonts w:ascii="Arial Narrow" w:hAnsi="Arial Narrow" w:cs="Times New Roman"/>
                <w:sz w:val="18"/>
                <w:szCs w:val="20"/>
              </w:rPr>
              <w:t>withdrawals due to IVIg toxicity</w:t>
            </w:r>
            <w:r w:rsidR="00A81CAE" w:rsidRPr="00D6742F">
              <w:rPr>
                <w:rFonts w:ascii="Arial Narrow" w:hAnsi="Arial Narrow" w:cs="Times New Roman"/>
                <w:sz w:val="18"/>
                <w:szCs w:val="20"/>
              </w:rPr>
              <w:t>; 2 patients lost to follow-up (2 and 18 mo). 13 deaths were due to disease progression (5), second neoplasm (2); surgical sequelae (1); infections (5; of which 4 occurred during observation).</w:t>
            </w:r>
          </w:p>
        </w:tc>
        <w:tc>
          <w:tcPr>
            <w:tcW w:w="1984" w:type="dxa"/>
          </w:tcPr>
          <w:p w14:paraId="05D4F168"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lastRenderedPageBreak/>
              <w:t xml:space="preserve">All patients gave informed consent. </w:t>
            </w:r>
          </w:p>
          <w:p w14:paraId="553DDD00"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No mention of ethics committee approval.</w:t>
            </w:r>
          </w:p>
          <w:p w14:paraId="41542802"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t>Funding</w:t>
            </w:r>
            <w:r w:rsidRPr="00D6742F">
              <w:rPr>
                <w:rFonts w:ascii="Arial Narrow" w:hAnsi="Arial Narrow" w:cs="Times New Roman"/>
                <w:sz w:val="18"/>
                <w:szCs w:val="20"/>
              </w:rPr>
              <w:t xml:space="preserve">: this work was </w:t>
            </w:r>
            <w:r w:rsidRPr="00D6742F">
              <w:rPr>
                <w:rFonts w:ascii="Arial Narrow" w:hAnsi="Arial Narrow" w:cs="Times New Roman"/>
                <w:sz w:val="18"/>
                <w:szCs w:val="20"/>
              </w:rPr>
              <w:lastRenderedPageBreak/>
              <w:t>supported by a grant from Sclavo (Siena, Italy) which sells immunoglobulins in Italy.</w:t>
            </w:r>
          </w:p>
        </w:tc>
      </w:tr>
      <w:tr w:rsidR="001A0A87" w:rsidRPr="003B4D22" w14:paraId="753B6DEC" w14:textId="77777777" w:rsidTr="006B4C5F">
        <w:tc>
          <w:tcPr>
            <w:tcW w:w="1129" w:type="dxa"/>
          </w:tcPr>
          <w:p w14:paraId="29002D24"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lastRenderedPageBreak/>
              <w:t>Musto et al., 1995</w:t>
            </w:r>
          </w:p>
          <w:p w14:paraId="06D07FCB"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Italy</w:t>
            </w:r>
          </w:p>
          <w:p w14:paraId="07C34DB1"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Single centre</w:t>
            </w:r>
          </w:p>
        </w:tc>
        <w:tc>
          <w:tcPr>
            <w:tcW w:w="1134" w:type="dxa"/>
          </w:tcPr>
          <w:p w14:paraId="6A882297"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RCT, open-label, crossover</w:t>
            </w:r>
          </w:p>
          <w:p w14:paraId="03A3E9E7" w14:textId="6E3665B9"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 xml:space="preserve">RoB: </w:t>
            </w:r>
            <w:r w:rsidR="00945D2D" w:rsidRPr="00D6742F">
              <w:rPr>
                <w:rFonts w:ascii="Arial Narrow" w:hAnsi="Arial Narrow" w:cs="Times New Roman"/>
                <w:sz w:val="18"/>
                <w:szCs w:val="20"/>
              </w:rPr>
              <w:t>moderate</w:t>
            </w:r>
            <w:r w:rsidRPr="00D6742F">
              <w:rPr>
                <w:rFonts w:ascii="Arial Narrow" w:hAnsi="Arial Narrow" w:cs="Times New Roman"/>
                <w:sz w:val="18"/>
                <w:szCs w:val="20"/>
              </w:rPr>
              <w:t xml:space="preserve"> (SIGN)</w:t>
            </w:r>
          </w:p>
        </w:tc>
        <w:tc>
          <w:tcPr>
            <w:tcW w:w="1843" w:type="dxa"/>
          </w:tcPr>
          <w:p w14:paraId="4250FDBD"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N=25 (MM)</w:t>
            </w:r>
          </w:p>
          <w:p w14:paraId="382305B1"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22 patients had extended (stage III) disease, of which 3 had moderate renal failure (serum creatinine 1.8-2.5mg/dL).</w:t>
            </w:r>
          </w:p>
          <w:p w14:paraId="329E1C76"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 xml:space="preserve">No baseline data reported. </w:t>
            </w:r>
          </w:p>
        </w:tc>
        <w:tc>
          <w:tcPr>
            <w:tcW w:w="2268" w:type="dxa"/>
          </w:tcPr>
          <w:p w14:paraId="76B6A771"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t>Inclusion:</w:t>
            </w:r>
            <w:r w:rsidRPr="00D6742F">
              <w:rPr>
                <w:rFonts w:ascii="Arial Narrow" w:hAnsi="Arial Narrow" w:cs="Times New Roman"/>
                <w:sz w:val="18"/>
                <w:szCs w:val="20"/>
              </w:rPr>
              <w:t xml:space="preserve"> serum IgG &lt;LLN or a recent history of recurrent infections.</w:t>
            </w:r>
          </w:p>
          <w:p w14:paraId="58428C51"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t>Exclusion:</w:t>
            </w:r>
            <w:r w:rsidRPr="00D6742F">
              <w:rPr>
                <w:rFonts w:ascii="Arial Narrow" w:hAnsi="Arial Narrow" w:cs="Times New Roman"/>
                <w:sz w:val="18"/>
                <w:szCs w:val="20"/>
              </w:rPr>
              <w:t xml:space="preserve"> Not described.</w:t>
            </w:r>
          </w:p>
          <w:p w14:paraId="0C0DD96B"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t>Objectives</w:t>
            </w:r>
            <w:r w:rsidRPr="00D6742F">
              <w:rPr>
                <w:rFonts w:ascii="Arial Narrow" w:hAnsi="Arial Narrow" w:cs="Times New Roman"/>
                <w:sz w:val="18"/>
                <w:szCs w:val="20"/>
              </w:rPr>
              <w:t xml:space="preserve">: to investigate </w:t>
            </w:r>
          </w:p>
          <w:p w14:paraId="0A5A971F"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 xml:space="preserve">IVIg efficacy in preventing infections in MM patients selected for hypo-GG and history of infections.  </w:t>
            </w:r>
          </w:p>
        </w:tc>
        <w:tc>
          <w:tcPr>
            <w:tcW w:w="1843" w:type="dxa"/>
          </w:tcPr>
          <w:p w14:paraId="50642B0C"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t>IVIg</w:t>
            </w:r>
            <w:r w:rsidRPr="00D6742F">
              <w:rPr>
                <w:rFonts w:ascii="Arial Narrow" w:hAnsi="Arial Narrow" w:cs="Times New Roman"/>
                <w:sz w:val="18"/>
                <w:szCs w:val="20"/>
              </w:rPr>
              <w:t xml:space="preserve"> (0.3g/kg every 4 weeks) for 6 months. Crossover to no IVIg for further 12 months.</w:t>
            </w:r>
          </w:p>
          <w:p w14:paraId="2DD43A56"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Crossover back to IVIg for final 6 months.</w:t>
            </w:r>
          </w:p>
          <w:p w14:paraId="41CEB9F4"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No antibiotic prophylaxis permitted</w:t>
            </w:r>
          </w:p>
        </w:tc>
        <w:tc>
          <w:tcPr>
            <w:tcW w:w="1843" w:type="dxa"/>
          </w:tcPr>
          <w:p w14:paraId="32C08EC6"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t>No IVIg</w:t>
            </w:r>
            <w:r w:rsidRPr="00D6742F">
              <w:rPr>
                <w:rFonts w:ascii="Arial Narrow" w:hAnsi="Arial Narrow" w:cs="Times New Roman"/>
                <w:sz w:val="18"/>
                <w:szCs w:val="20"/>
              </w:rPr>
              <w:t xml:space="preserve"> (observation) for 6 months.</w:t>
            </w:r>
          </w:p>
          <w:p w14:paraId="20320033"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Crossover to IVIg for further 12 months.</w:t>
            </w:r>
          </w:p>
          <w:p w14:paraId="393E55D5"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Crossover back to no IVIg for final 6 months.</w:t>
            </w:r>
          </w:p>
          <w:p w14:paraId="276F93CA"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No antibiotic prophylaxis permitted</w:t>
            </w:r>
          </w:p>
        </w:tc>
        <w:tc>
          <w:tcPr>
            <w:tcW w:w="2268" w:type="dxa"/>
          </w:tcPr>
          <w:p w14:paraId="7E8563D4"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t>Outcomes:</w:t>
            </w:r>
            <w:r w:rsidRPr="00D6742F">
              <w:rPr>
                <w:rFonts w:ascii="Arial Narrow" w:hAnsi="Arial Narrow" w:cs="Times New Roman"/>
                <w:sz w:val="18"/>
                <w:szCs w:val="20"/>
              </w:rPr>
              <w:t xml:space="preserve"> minor infections; serious infections.</w:t>
            </w:r>
          </w:p>
          <w:p w14:paraId="586C4FAD" w14:textId="77777777" w:rsidR="00C87F62"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u w:val="single"/>
              </w:rPr>
              <w:t>Analyses</w:t>
            </w:r>
            <w:r w:rsidRPr="00D6742F">
              <w:rPr>
                <w:rFonts w:ascii="Arial Narrow" w:hAnsi="Arial Narrow" w:cs="Times New Roman"/>
                <w:sz w:val="18"/>
                <w:szCs w:val="20"/>
              </w:rPr>
              <w:t xml:space="preserve"> and </w:t>
            </w:r>
            <w:r w:rsidRPr="00D6742F">
              <w:rPr>
                <w:rFonts w:ascii="Arial Narrow" w:hAnsi="Arial Narrow" w:cs="Times New Roman"/>
                <w:sz w:val="18"/>
                <w:szCs w:val="20"/>
                <w:u w:val="single"/>
              </w:rPr>
              <w:t>follow-up</w:t>
            </w:r>
            <w:r w:rsidRPr="00D6742F">
              <w:rPr>
                <w:rFonts w:ascii="Arial Narrow" w:hAnsi="Arial Narrow" w:cs="Times New Roman"/>
                <w:sz w:val="18"/>
                <w:szCs w:val="20"/>
              </w:rPr>
              <w:t xml:space="preserve"> not described.</w:t>
            </w:r>
          </w:p>
          <w:p w14:paraId="5E53A5BD" w14:textId="4E3977D0" w:rsidR="001A0A87" w:rsidRPr="00D6742F" w:rsidRDefault="00C87F62" w:rsidP="00F814DE">
            <w:pPr>
              <w:spacing w:before="0" w:after="40" w:line="240" w:lineRule="auto"/>
              <w:ind w:left="-57"/>
              <w:jc w:val="left"/>
              <w:rPr>
                <w:rFonts w:ascii="Arial Narrow" w:hAnsi="Arial Narrow" w:cs="Times New Roman"/>
                <w:sz w:val="18"/>
                <w:szCs w:val="20"/>
                <w:u w:val="single"/>
              </w:rPr>
            </w:pPr>
            <w:r w:rsidRPr="00D6742F">
              <w:rPr>
                <w:rFonts w:ascii="Arial Narrow" w:hAnsi="Arial Narrow" w:cs="Times New Roman"/>
                <w:i/>
                <w:sz w:val="18"/>
                <w:szCs w:val="20"/>
              </w:rPr>
              <w:t>9 patients did not complete the study; due to disease progression (4) or lethal infections (5, all during the observation period).</w:t>
            </w:r>
          </w:p>
        </w:tc>
        <w:tc>
          <w:tcPr>
            <w:tcW w:w="1984" w:type="dxa"/>
          </w:tcPr>
          <w:p w14:paraId="4A0A28E3" w14:textId="77777777" w:rsidR="001A0A87" w:rsidRPr="00D6742F"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No mention of research ethics approval.</w:t>
            </w:r>
          </w:p>
          <w:p w14:paraId="6BDC15C1" w14:textId="5192546E" w:rsidR="001A0A87" w:rsidRPr="003B4D22" w:rsidRDefault="001A0A87" w:rsidP="00F814DE">
            <w:pPr>
              <w:spacing w:before="0" w:after="40" w:line="240" w:lineRule="auto"/>
              <w:ind w:left="-57"/>
              <w:jc w:val="left"/>
              <w:rPr>
                <w:rFonts w:ascii="Arial Narrow" w:hAnsi="Arial Narrow" w:cs="Times New Roman"/>
                <w:sz w:val="18"/>
                <w:szCs w:val="20"/>
              </w:rPr>
            </w:pPr>
            <w:r w:rsidRPr="00D6742F">
              <w:rPr>
                <w:rFonts w:ascii="Arial Narrow" w:hAnsi="Arial Narrow" w:cs="Times New Roman"/>
                <w:sz w:val="18"/>
                <w:szCs w:val="20"/>
              </w:rPr>
              <w:t>No description of funding source or conf</w:t>
            </w:r>
            <w:r w:rsidR="00C87F62" w:rsidRPr="00D6742F">
              <w:rPr>
                <w:rFonts w:ascii="Arial Narrow" w:hAnsi="Arial Narrow" w:cs="Times New Roman"/>
                <w:sz w:val="18"/>
                <w:szCs w:val="20"/>
              </w:rPr>
              <w:t>lict of interest declaration.</w:t>
            </w:r>
            <w:r w:rsidR="00C87F62" w:rsidRPr="003B4D22">
              <w:rPr>
                <w:rFonts w:ascii="Arial Narrow" w:hAnsi="Arial Narrow" w:cs="Times New Roman"/>
                <w:sz w:val="18"/>
                <w:szCs w:val="20"/>
              </w:rPr>
              <w:t xml:space="preserve">  </w:t>
            </w:r>
          </w:p>
        </w:tc>
      </w:tr>
      <w:tr w:rsidR="001A0A87" w:rsidRPr="003B4D22" w14:paraId="5794BE1E" w14:textId="77777777" w:rsidTr="006B4C5F">
        <w:tc>
          <w:tcPr>
            <w:tcW w:w="1129" w:type="dxa"/>
          </w:tcPr>
          <w:p w14:paraId="78FD85AF"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Sullivan et al., 1990</w:t>
            </w:r>
          </w:p>
          <w:p w14:paraId="30FE804A"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USA</w:t>
            </w:r>
          </w:p>
          <w:p w14:paraId="2E8C5826"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Single centre.</w:t>
            </w:r>
          </w:p>
        </w:tc>
        <w:tc>
          <w:tcPr>
            <w:tcW w:w="1134" w:type="dxa"/>
          </w:tcPr>
          <w:p w14:paraId="591E654C"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RCT, open-label</w:t>
            </w:r>
          </w:p>
          <w:p w14:paraId="7E20F6FD" w14:textId="1C14CC00"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RoB: low</w:t>
            </w:r>
            <w:r w:rsidR="004E4553" w:rsidRPr="003B4D22">
              <w:rPr>
                <w:rFonts w:ascii="Arial Narrow" w:hAnsi="Arial Narrow" w:cs="Times New Roman"/>
                <w:sz w:val="18"/>
                <w:szCs w:val="20"/>
              </w:rPr>
              <w:t xml:space="preserve"> (SIGN)</w:t>
            </w:r>
          </w:p>
        </w:tc>
        <w:tc>
          <w:tcPr>
            <w:tcW w:w="1843" w:type="dxa"/>
          </w:tcPr>
          <w:p w14:paraId="51B034B5"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N=382 eligible; 369 received tx in line with criteria.</w:t>
            </w:r>
          </w:p>
          <w:p w14:paraId="6FE2D3B3"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AA(13)/MDS(20); AL(207), CML(77), lymphoma(43), other(13), no BMT(9)</w:t>
            </w:r>
          </w:p>
          <w:p w14:paraId="6BE072F6"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Age</w:t>
            </w:r>
            <w:r w:rsidRPr="003B4D22">
              <w:rPr>
                <w:rFonts w:ascii="Arial Narrow" w:hAnsi="Arial Narrow" w:cs="Times New Roman"/>
                <w:sz w:val="18"/>
                <w:szCs w:val="20"/>
              </w:rPr>
              <w:br/>
              <w:t>&lt;20yo: 124(32%)</w:t>
            </w:r>
            <w:r w:rsidRPr="003B4D22">
              <w:rPr>
                <w:rFonts w:ascii="Arial Narrow" w:hAnsi="Arial Narrow" w:cs="Times New Roman"/>
                <w:sz w:val="18"/>
                <w:szCs w:val="20"/>
              </w:rPr>
              <w:br/>
              <w:t>&gt;20yo: 258(68%)</w:t>
            </w:r>
          </w:p>
          <w:p w14:paraId="1CA727CD"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BMT source</w:t>
            </w:r>
            <w:r w:rsidRPr="003B4D22">
              <w:rPr>
                <w:rFonts w:ascii="Arial Narrow" w:hAnsi="Arial Narrow" w:cs="Times New Roman"/>
                <w:sz w:val="18"/>
                <w:szCs w:val="20"/>
              </w:rPr>
              <w:t>:</w:t>
            </w:r>
            <w:r w:rsidRPr="003B4D22">
              <w:rPr>
                <w:rFonts w:ascii="Arial Narrow" w:hAnsi="Arial Narrow" w:cs="Times New Roman"/>
                <w:sz w:val="18"/>
                <w:szCs w:val="20"/>
              </w:rPr>
              <w:br/>
              <w:t>▪Allo: 342(90%)</w:t>
            </w:r>
            <w:r w:rsidRPr="003B4D22">
              <w:rPr>
                <w:rFonts w:ascii="Arial Narrow" w:hAnsi="Arial Narrow" w:cs="Times New Roman"/>
                <w:sz w:val="18"/>
                <w:szCs w:val="20"/>
              </w:rPr>
              <w:br/>
              <w:t>▪Auto: 40(10%)</w:t>
            </w:r>
          </w:p>
          <w:p w14:paraId="53AEB49E" w14:textId="77777777" w:rsidR="001A0A87" w:rsidRPr="003B4D22" w:rsidRDefault="001A0A87" w:rsidP="00F814DE">
            <w:pPr>
              <w:spacing w:before="0" w:after="40" w:line="240" w:lineRule="auto"/>
              <w:ind w:left="-57"/>
              <w:jc w:val="left"/>
              <w:rPr>
                <w:rFonts w:ascii="Arial Narrow" w:hAnsi="Arial Narrow" w:cs="Times New Roman"/>
                <w:i/>
                <w:sz w:val="18"/>
                <w:szCs w:val="20"/>
              </w:rPr>
            </w:pPr>
            <w:r w:rsidRPr="003B4D22">
              <w:rPr>
                <w:rFonts w:ascii="Arial Narrow" w:hAnsi="Arial Narrow" w:cs="Times New Roman"/>
                <w:i/>
                <w:sz w:val="18"/>
                <w:szCs w:val="20"/>
              </w:rPr>
              <w:t>Sex, serum IgG not reported.</w:t>
            </w:r>
          </w:p>
        </w:tc>
        <w:tc>
          <w:tcPr>
            <w:tcW w:w="2268" w:type="dxa"/>
          </w:tcPr>
          <w:p w14:paraId="705406BC"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Inclusion</w:t>
            </w:r>
            <w:r w:rsidRPr="003B4D22">
              <w:rPr>
                <w:rFonts w:ascii="Arial Narrow" w:hAnsi="Arial Narrow" w:cs="Times New Roman"/>
                <w:sz w:val="18"/>
                <w:szCs w:val="20"/>
              </w:rPr>
              <w:t>: undergoing BMT for haematological malignancy; either CMV seropositive or, if CMV seronegative receiving BMT from CMV+ donor (May 1986 – Nov 1987)</w:t>
            </w:r>
          </w:p>
          <w:p w14:paraId="6293455E"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Exclusion:</w:t>
            </w:r>
            <w:r w:rsidRPr="003B4D22">
              <w:rPr>
                <w:rFonts w:ascii="Arial Narrow" w:hAnsi="Arial Narrow" w:cs="Times New Roman"/>
                <w:sz w:val="18"/>
                <w:szCs w:val="20"/>
              </w:rPr>
              <w:t xml:space="preserve"> none described</w:t>
            </w:r>
          </w:p>
          <w:p w14:paraId="46D916B7"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Objectives</w:t>
            </w:r>
            <w:r w:rsidRPr="003B4D22">
              <w:rPr>
                <w:rFonts w:ascii="Arial Narrow" w:hAnsi="Arial Narrow" w:cs="Times New Roman"/>
                <w:sz w:val="18"/>
                <w:szCs w:val="20"/>
              </w:rPr>
              <w:t xml:space="preserve">: Investigation of the effect of IVIg on acute GVHD, severe infections and survival in haematological malignancy patients.  </w:t>
            </w:r>
          </w:p>
        </w:tc>
        <w:tc>
          <w:tcPr>
            <w:tcW w:w="1843" w:type="dxa"/>
          </w:tcPr>
          <w:p w14:paraId="11495615"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IVIg</w:t>
            </w:r>
            <w:r w:rsidRPr="003B4D22">
              <w:rPr>
                <w:rFonts w:ascii="Arial Narrow" w:hAnsi="Arial Narrow" w:cs="Times New Roman"/>
                <w:sz w:val="18"/>
                <w:szCs w:val="20"/>
              </w:rPr>
              <w:t xml:space="preserve"> (n=191, of which 184 evaluable): 500mg/kg weekly from d-7 to d90; then monthly to d360 post BMT (Gamimune, Cutter Biologicals), plus supportive care. </w:t>
            </w:r>
          </w:p>
          <w:p w14:paraId="457810D0" w14:textId="77777777" w:rsidR="001A0A87" w:rsidRPr="003B4D22" w:rsidRDefault="001A0A87" w:rsidP="00F814DE">
            <w:pPr>
              <w:spacing w:before="0" w:after="40" w:line="240" w:lineRule="auto"/>
              <w:ind w:left="-57"/>
              <w:jc w:val="left"/>
              <w:rPr>
                <w:rFonts w:ascii="Arial Narrow" w:hAnsi="Arial Narrow" w:cs="Times New Roman"/>
                <w:sz w:val="18"/>
                <w:szCs w:val="20"/>
                <w:u w:val="single"/>
              </w:rPr>
            </w:pPr>
            <w:r w:rsidRPr="003B4D22">
              <w:rPr>
                <w:rFonts w:ascii="Arial Narrow" w:hAnsi="Arial Narrow" w:cs="Times New Roman"/>
                <w:sz w:val="18"/>
                <w:szCs w:val="20"/>
                <w:u w:val="single"/>
              </w:rPr>
              <w:t xml:space="preserve">All patients received S+T prophylaxis until d120 for </w:t>
            </w:r>
            <w:r w:rsidRPr="003B4D22">
              <w:rPr>
                <w:rFonts w:ascii="Arial Narrow" w:hAnsi="Arial Narrow" w:cs="Times New Roman"/>
                <w:i/>
                <w:sz w:val="18"/>
                <w:szCs w:val="20"/>
                <w:u w:val="single"/>
              </w:rPr>
              <w:t>Pneumocystis</w:t>
            </w:r>
            <w:r w:rsidRPr="003B4D22">
              <w:rPr>
                <w:rFonts w:ascii="Arial Narrow" w:hAnsi="Arial Narrow" w:cs="Times New Roman"/>
                <w:sz w:val="18"/>
                <w:szCs w:val="20"/>
                <w:u w:val="single"/>
              </w:rPr>
              <w:t xml:space="preserve"> spp.  </w:t>
            </w:r>
          </w:p>
          <w:p w14:paraId="2A29C358"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Acyclovir prophylaxis for baseline CMV+ patients.</w:t>
            </w:r>
          </w:p>
        </w:tc>
        <w:tc>
          <w:tcPr>
            <w:tcW w:w="1843" w:type="dxa"/>
          </w:tcPr>
          <w:p w14:paraId="1F37E142"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No IVIg</w:t>
            </w:r>
            <w:r w:rsidRPr="003B4D22">
              <w:rPr>
                <w:rFonts w:ascii="Arial Narrow" w:hAnsi="Arial Narrow" w:cs="Times New Roman"/>
                <w:sz w:val="18"/>
                <w:szCs w:val="20"/>
              </w:rPr>
              <w:t xml:space="preserve"> (n=191, of which 185 evaluable): supportive care.</w:t>
            </w:r>
          </w:p>
          <w:p w14:paraId="3DC97618" w14:textId="77777777" w:rsidR="001A0A87" w:rsidRPr="003B4D22" w:rsidRDefault="001A0A87" w:rsidP="00F814DE">
            <w:pPr>
              <w:spacing w:before="0" w:after="40" w:line="240" w:lineRule="auto"/>
              <w:ind w:left="-57"/>
              <w:jc w:val="left"/>
              <w:rPr>
                <w:rFonts w:ascii="Arial Narrow" w:hAnsi="Arial Narrow" w:cs="Times New Roman"/>
                <w:sz w:val="18"/>
                <w:szCs w:val="20"/>
                <w:u w:val="single"/>
              </w:rPr>
            </w:pPr>
            <w:r w:rsidRPr="003B4D22">
              <w:rPr>
                <w:rFonts w:ascii="Arial Narrow" w:hAnsi="Arial Narrow" w:cs="Times New Roman"/>
                <w:sz w:val="18"/>
                <w:szCs w:val="20"/>
                <w:u w:val="single"/>
              </w:rPr>
              <w:t xml:space="preserve">All patients received S+T prophylaxis until d120 for </w:t>
            </w:r>
            <w:r w:rsidRPr="003B4D22">
              <w:rPr>
                <w:rFonts w:ascii="Arial Narrow" w:hAnsi="Arial Narrow" w:cs="Times New Roman"/>
                <w:i/>
                <w:sz w:val="18"/>
                <w:szCs w:val="20"/>
                <w:u w:val="single"/>
              </w:rPr>
              <w:t>Pneumocystis</w:t>
            </w:r>
            <w:r w:rsidRPr="003B4D22">
              <w:rPr>
                <w:rFonts w:ascii="Arial Narrow" w:hAnsi="Arial Narrow" w:cs="Times New Roman"/>
                <w:sz w:val="18"/>
                <w:szCs w:val="20"/>
                <w:u w:val="single"/>
              </w:rPr>
              <w:t xml:space="preserve"> spp.</w:t>
            </w:r>
          </w:p>
          <w:p w14:paraId="74C45DBE"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Acyclovir prophylaxis for baseline CMV+ patients.</w:t>
            </w:r>
          </w:p>
          <w:p w14:paraId="2C4D38DC" w14:textId="77777777" w:rsidR="001A0A87" w:rsidRPr="003B4D22" w:rsidRDefault="001A0A87" w:rsidP="00F814DE">
            <w:pPr>
              <w:spacing w:before="0" w:after="40" w:line="240" w:lineRule="auto"/>
              <w:ind w:left="-57"/>
              <w:jc w:val="left"/>
              <w:rPr>
                <w:rFonts w:ascii="Arial Narrow" w:hAnsi="Arial Narrow" w:cs="Times New Roman"/>
                <w:sz w:val="18"/>
                <w:szCs w:val="20"/>
                <w:u w:val="single"/>
              </w:rPr>
            </w:pPr>
            <w:r w:rsidRPr="003B4D22">
              <w:rPr>
                <w:rFonts w:ascii="Arial Narrow" w:hAnsi="Arial Narrow" w:cs="Times New Roman"/>
                <w:sz w:val="18"/>
                <w:szCs w:val="20"/>
              </w:rPr>
              <w:t>2 patients developed severe hypo-GG [IgG&lt;4g/L] and recurrent bacterial infections – were given IVIg.</w:t>
            </w:r>
          </w:p>
        </w:tc>
        <w:tc>
          <w:tcPr>
            <w:tcW w:w="2268" w:type="dxa"/>
          </w:tcPr>
          <w:p w14:paraId="298B2D0F"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Outcomes</w:t>
            </w:r>
            <w:r w:rsidRPr="003B4D22">
              <w:rPr>
                <w:rFonts w:ascii="Arial Narrow" w:hAnsi="Arial Narrow" w:cs="Times New Roman"/>
                <w:sz w:val="18"/>
                <w:szCs w:val="20"/>
              </w:rPr>
              <w:t>: acute GVHD, infection**, interstitial pneumonia, death.</w:t>
            </w:r>
          </w:p>
          <w:p w14:paraId="5B4C69D2" w14:textId="77777777" w:rsidR="001A0A87" w:rsidRPr="003B4D22" w:rsidRDefault="001A0A87" w:rsidP="00F814DE">
            <w:pPr>
              <w:spacing w:before="0" w:after="40" w:line="240" w:lineRule="auto"/>
              <w:ind w:left="-57"/>
              <w:jc w:val="left"/>
              <w:rPr>
                <w:rFonts w:ascii="Arial Narrow" w:hAnsi="Arial Narrow" w:cs="Times New Roman"/>
                <w:i/>
                <w:sz w:val="18"/>
                <w:szCs w:val="20"/>
              </w:rPr>
            </w:pPr>
            <w:r w:rsidRPr="003B4D22">
              <w:rPr>
                <w:rFonts w:ascii="Arial Narrow" w:hAnsi="Arial Narrow" w:cs="Times New Roman"/>
                <w:i/>
                <w:sz w:val="18"/>
                <w:szCs w:val="20"/>
              </w:rPr>
              <w:t xml:space="preserve">**Infections of oral cavity, URT or infection with herpes simplex not recorded.  </w:t>
            </w:r>
          </w:p>
          <w:p w14:paraId="1D84812C"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Analyses:</w:t>
            </w:r>
            <w:r w:rsidRPr="003B4D22">
              <w:rPr>
                <w:rFonts w:ascii="Arial Narrow" w:hAnsi="Arial Narrow" w:cs="Times New Roman"/>
                <w:sz w:val="18"/>
                <w:szCs w:val="20"/>
              </w:rPr>
              <w:t xml:space="preserve"> survival (censored at last contact) and mortality (censored at relapse) analyses included all 382 eligible patients. Analyses of infection and interstitial pneumonia included only 359 evaluable patients.  </w:t>
            </w:r>
          </w:p>
          <w:p w14:paraId="7F5C2D54"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 xml:space="preserve">Log-rank test (2-sided p) used to </w:t>
            </w:r>
            <w:r w:rsidRPr="003B4D22">
              <w:rPr>
                <w:rFonts w:ascii="Arial Narrow" w:hAnsi="Arial Narrow" w:cs="Times New Roman"/>
                <w:sz w:val="18"/>
                <w:szCs w:val="20"/>
              </w:rPr>
              <w:lastRenderedPageBreak/>
              <w:t xml:space="preserve">compare times to: death; relapse; acute GVHD; interstitial pneumonia. </w:t>
            </w:r>
          </w:p>
          <w:p w14:paraId="0E43E023"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 xml:space="preserve">More details in paper.  </w:t>
            </w:r>
          </w:p>
          <w:p w14:paraId="5CFA527D"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Follow-up</w:t>
            </w:r>
            <w:r w:rsidRPr="003B4D22">
              <w:rPr>
                <w:rFonts w:ascii="Arial Narrow" w:hAnsi="Arial Narrow" w:cs="Times New Roman"/>
                <w:sz w:val="18"/>
                <w:szCs w:val="20"/>
              </w:rPr>
              <w:t>: median duration of follow-up since randomisation:</w:t>
            </w:r>
            <w:r w:rsidRPr="003B4D22">
              <w:rPr>
                <w:rFonts w:ascii="Arial Narrow" w:hAnsi="Arial Narrow" w:cs="Times New Roman"/>
                <w:sz w:val="18"/>
                <w:szCs w:val="20"/>
              </w:rPr>
              <w:br/>
              <w:t>▪Surviving IVIg (n=66): 1.9 yr</w:t>
            </w:r>
            <w:r w:rsidRPr="003B4D22">
              <w:rPr>
                <w:rFonts w:ascii="Arial Narrow" w:hAnsi="Arial Narrow" w:cs="Times New Roman"/>
                <w:sz w:val="18"/>
                <w:szCs w:val="20"/>
              </w:rPr>
              <w:br/>
              <w:t>▪Surviving no IVIg (n=69): 2 yr</w:t>
            </w:r>
            <w:r w:rsidRPr="003B4D22">
              <w:rPr>
                <w:rFonts w:ascii="Arial Narrow" w:hAnsi="Arial Narrow" w:cs="Times New Roman"/>
                <w:sz w:val="18"/>
                <w:szCs w:val="20"/>
              </w:rPr>
              <w:br/>
              <w:t>(no ranges given)</w:t>
            </w:r>
          </w:p>
        </w:tc>
        <w:tc>
          <w:tcPr>
            <w:tcW w:w="1984" w:type="dxa"/>
          </w:tcPr>
          <w:p w14:paraId="0A3B72F5" w14:textId="77777777" w:rsidR="001A0A87" w:rsidRPr="003B4D22" w:rsidRDefault="001A0A87" w:rsidP="00F814DE">
            <w:pPr>
              <w:spacing w:before="0" w:after="40" w:line="240" w:lineRule="auto"/>
              <w:ind w:left="-57"/>
              <w:jc w:val="left"/>
              <w:rPr>
                <w:rFonts w:ascii="Arial Narrow" w:hAnsi="Arial Narrow" w:cs="Times New Roman"/>
                <w:sz w:val="18"/>
                <w:szCs w:val="20"/>
                <w:u w:val="single"/>
              </w:rPr>
            </w:pPr>
            <w:r w:rsidRPr="003B4D22">
              <w:rPr>
                <w:rFonts w:ascii="Arial Narrow" w:hAnsi="Arial Narrow" w:cs="Times New Roman"/>
                <w:sz w:val="18"/>
                <w:szCs w:val="20"/>
                <w:u w:val="single"/>
              </w:rPr>
              <w:lastRenderedPageBreak/>
              <w:t>Ethics:</w:t>
            </w:r>
            <w:r w:rsidRPr="003B4D22">
              <w:rPr>
                <w:rFonts w:ascii="Arial Narrow" w:hAnsi="Arial Narrow" w:cs="Times New Roman"/>
                <w:sz w:val="18"/>
                <w:szCs w:val="20"/>
              </w:rPr>
              <w:t xml:space="preserve"> consent forms were approved by the IRB.  </w:t>
            </w:r>
          </w:p>
          <w:p w14:paraId="25B5E9E9"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Funding</w:t>
            </w:r>
            <w:r w:rsidRPr="003B4D22">
              <w:rPr>
                <w:rFonts w:ascii="Arial Narrow" w:hAnsi="Arial Narrow" w:cs="Times New Roman"/>
                <w:sz w:val="18"/>
                <w:szCs w:val="20"/>
              </w:rPr>
              <w:t>: grants disclosed from NIH, Cutter Biological Inc (manufacturer of Gamimune, the IVIg product used in this study) and NIAID.</w:t>
            </w:r>
          </w:p>
          <w:p w14:paraId="4EDB5F5E" w14:textId="77777777" w:rsidR="001A0A87" w:rsidRPr="003B4D22" w:rsidRDefault="001A0A87" w:rsidP="00F814DE">
            <w:pPr>
              <w:spacing w:before="0" w:after="40" w:line="240" w:lineRule="auto"/>
              <w:ind w:left="-57"/>
              <w:jc w:val="left"/>
              <w:rPr>
                <w:rFonts w:ascii="Arial Narrow" w:hAnsi="Arial Narrow" w:cs="Times New Roman"/>
                <w:i/>
                <w:sz w:val="18"/>
                <w:szCs w:val="20"/>
              </w:rPr>
            </w:pPr>
            <w:r w:rsidRPr="003B4D22">
              <w:rPr>
                <w:rFonts w:ascii="Arial Narrow" w:hAnsi="Arial Narrow" w:cs="Times New Roman"/>
                <w:i/>
                <w:sz w:val="18"/>
                <w:szCs w:val="20"/>
              </w:rPr>
              <w:t xml:space="preserve">Cutter Biological is now part of Grifols. </w:t>
            </w:r>
          </w:p>
          <w:p w14:paraId="50E67D2D" w14:textId="77777777" w:rsidR="001A0A87" w:rsidRPr="003B4D22" w:rsidRDefault="001A0A87" w:rsidP="00F814DE">
            <w:pPr>
              <w:spacing w:before="0" w:after="40" w:line="240" w:lineRule="auto"/>
              <w:ind w:left="-57"/>
              <w:jc w:val="left"/>
              <w:rPr>
                <w:rFonts w:ascii="Arial Narrow" w:hAnsi="Arial Narrow" w:cs="Times New Roman"/>
                <w:i/>
                <w:sz w:val="18"/>
                <w:szCs w:val="20"/>
              </w:rPr>
            </w:pPr>
            <w:r w:rsidRPr="003B4D22">
              <w:rPr>
                <w:rFonts w:ascii="Arial Narrow" w:hAnsi="Arial Narrow" w:cs="Times New Roman"/>
                <w:i/>
                <w:sz w:val="18"/>
                <w:szCs w:val="20"/>
              </w:rPr>
              <w:t>1</w:t>
            </w:r>
            <w:r w:rsidRPr="003B4D22">
              <w:rPr>
                <w:rFonts w:ascii="Arial Narrow" w:hAnsi="Arial Narrow" w:cs="Times New Roman"/>
                <w:i/>
                <w:sz w:val="18"/>
                <w:szCs w:val="20"/>
                <w:vertAlign w:val="superscript"/>
              </w:rPr>
              <w:t>st</w:t>
            </w:r>
            <w:r w:rsidRPr="003B4D22">
              <w:rPr>
                <w:rFonts w:ascii="Arial Narrow" w:hAnsi="Arial Narrow" w:cs="Times New Roman"/>
                <w:i/>
                <w:sz w:val="18"/>
                <w:szCs w:val="20"/>
              </w:rPr>
              <w:t xml:space="preserve"> 6 patients recruited inadvertently received antibiotic prophylaxis. </w:t>
            </w:r>
          </w:p>
          <w:p w14:paraId="4ED4DFA6" w14:textId="67E89485" w:rsidR="001A0A87" w:rsidRPr="003B4D22" w:rsidRDefault="001A0A87" w:rsidP="00BB0145">
            <w:pPr>
              <w:spacing w:before="0" w:after="40" w:line="240" w:lineRule="auto"/>
              <w:ind w:left="-57"/>
              <w:jc w:val="left"/>
              <w:rPr>
                <w:rFonts w:ascii="Arial Narrow" w:hAnsi="Arial Narrow" w:cs="Times New Roman"/>
                <w:i/>
                <w:sz w:val="18"/>
                <w:szCs w:val="20"/>
              </w:rPr>
            </w:pPr>
            <w:r w:rsidRPr="003B4D22">
              <w:rPr>
                <w:rFonts w:ascii="Arial Narrow" w:hAnsi="Arial Narrow" w:cs="Times New Roman"/>
                <w:i/>
                <w:sz w:val="18"/>
                <w:szCs w:val="20"/>
              </w:rPr>
              <w:t xml:space="preserve">A continuation study for this </w:t>
            </w:r>
            <w:r w:rsidRPr="003B4D22">
              <w:rPr>
                <w:rFonts w:ascii="Arial Narrow" w:hAnsi="Arial Narrow" w:cs="Times New Roman"/>
                <w:i/>
                <w:sz w:val="18"/>
                <w:szCs w:val="20"/>
              </w:rPr>
              <w:lastRenderedPageBreak/>
              <w:t xml:space="preserve">cohort is </w:t>
            </w:r>
            <w:r w:rsidRPr="00402B1A">
              <w:rPr>
                <w:rFonts w:ascii="Arial Narrow" w:hAnsi="Arial Narrow" w:cs="Times New Roman"/>
                <w:i/>
                <w:sz w:val="18"/>
                <w:szCs w:val="20"/>
              </w:rPr>
              <w:t xml:space="preserve">described in </w:t>
            </w:r>
            <w:r w:rsidR="00896BE2">
              <w:rPr>
                <w:rFonts w:ascii="Arial Narrow" w:hAnsi="Arial Narrow" w:cs="Times New Roman"/>
                <w:i/>
                <w:sz w:val="18"/>
                <w:szCs w:val="20"/>
              </w:rPr>
              <w:fldChar w:fldCharType="begin">
                <w:fldData xml:space="preserve">PEVuZE5vdGU+PENpdGU+PEF1dGhvcj5TdWxsaXZhbjwvQXV0aG9yPjxZZWFyPjE5OTY8L1llYXI+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</w:fldData>
              </w:fldChar>
            </w:r>
            <w:r w:rsidR="00896BE2">
              <w:rPr>
                <w:rFonts w:ascii="Arial Narrow" w:hAnsi="Arial Narrow" w:cs="Times New Roman"/>
                <w:i/>
                <w:sz w:val="18"/>
                <w:szCs w:val="20"/>
              </w:rPr>
              <w:instrText xml:space="preserve"> ADDIN EN.CITE </w:instrText>
            </w:r>
            <w:r w:rsidR="00896BE2">
              <w:rPr>
                <w:rFonts w:ascii="Arial Narrow" w:hAnsi="Arial Narrow" w:cs="Times New Roman"/>
                <w:i/>
                <w:sz w:val="18"/>
                <w:szCs w:val="20"/>
              </w:rPr>
              <w:fldChar w:fldCharType="begin">
                <w:fldData xml:space="preserve">PEVuZE5vdGU+PENpdGU+PEF1dGhvcj5TdWxsaXZhbjwvQXV0aG9yPjxZZWFyPjE5OTY8L1llYXI+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</w:fldData>
              </w:fldChar>
            </w:r>
            <w:r w:rsidR="00896BE2">
              <w:rPr>
                <w:rFonts w:ascii="Arial Narrow" w:hAnsi="Arial Narrow" w:cs="Times New Roman"/>
                <w:i/>
                <w:sz w:val="18"/>
                <w:szCs w:val="20"/>
              </w:rPr>
              <w:instrText xml:space="preserve"> ADDIN EN.CITE.DATA </w:instrText>
            </w:r>
            <w:r w:rsidR="00896BE2">
              <w:rPr>
                <w:rFonts w:ascii="Arial Narrow" w:hAnsi="Arial Narrow" w:cs="Times New Roman"/>
                <w:i/>
                <w:sz w:val="18"/>
                <w:szCs w:val="20"/>
              </w:rPr>
            </w:r>
            <w:r w:rsidR="00896BE2">
              <w:rPr>
                <w:rFonts w:ascii="Arial Narrow" w:hAnsi="Arial Narrow" w:cs="Times New Roman"/>
                <w:i/>
                <w:sz w:val="18"/>
                <w:szCs w:val="20"/>
              </w:rPr>
              <w:fldChar w:fldCharType="end"/>
            </w:r>
            <w:r w:rsidR="00896BE2">
              <w:rPr>
                <w:rFonts w:ascii="Arial Narrow" w:hAnsi="Arial Narrow" w:cs="Times New Roman"/>
                <w:i/>
                <w:sz w:val="18"/>
                <w:szCs w:val="20"/>
              </w:rPr>
            </w:r>
            <w:r w:rsidR="00896BE2">
              <w:rPr>
                <w:rFonts w:ascii="Arial Narrow" w:hAnsi="Arial Narrow" w:cs="Times New Roman"/>
                <w:i/>
                <w:sz w:val="18"/>
                <w:szCs w:val="20"/>
              </w:rPr>
              <w:fldChar w:fldCharType="separate"/>
            </w:r>
            <w:r w:rsidR="00896BE2">
              <w:rPr>
                <w:rFonts w:ascii="Arial Narrow" w:hAnsi="Arial Narrow" w:cs="Times New Roman"/>
                <w:i/>
                <w:noProof/>
                <w:sz w:val="18"/>
                <w:szCs w:val="20"/>
              </w:rPr>
              <w:t>(</w:t>
            </w:r>
            <w:hyperlink w:anchor="_ENREF_49" w:tooltip="Sullivan, 1996 #54" w:history="1">
              <w:r w:rsidR="00BB0145">
                <w:rPr>
                  <w:rFonts w:ascii="Arial Narrow" w:hAnsi="Arial Narrow" w:cs="Times New Roman"/>
                  <w:i/>
                  <w:noProof/>
                  <w:sz w:val="18"/>
                  <w:szCs w:val="20"/>
                </w:rPr>
                <w:t>Sullivan et al. 1996</w:t>
              </w:r>
            </w:hyperlink>
            <w:r w:rsidR="00896BE2">
              <w:rPr>
                <w:rFonts w:ascii="Arial Narrow" w:hAnsi="Arial Narrow" w:cs="Times New Roman"/>
                <w:i/>
                <w:noProof/>
                <w:sz w:val="18"/>
                <w:szCs w:val="20"/>
              </w:rPr>
              <w:t>)</w:t>
            </w:r>
            <w:r w:rsidR="00896BE2">
              <w:rPr>
                <w:rFonts w:ascii="Arial Narrow" w:hAnsi="Arial Narrow" w:cs="Times New Roman"/>
                <w:i/>
                <w:sz w:val="18"/>
                <w:szCs w:val="20"/>
              </w:rPr>
              <w:fldChar w:fldCharType="end"/>
            </w:r>
            <w:r w:rsidR="00402B1A" w:rsidRPr="00402B1A">
              <w:rPr>
                <w:rFonts w:ascii="Arial Narrow" w:hAnsi="Arial Narrow" w:cs="Times New Roman"/>
                <w:i/>
                <w:sz w:val="18"/>
                <w:szCs w:val="20"/>
              </w:rPr>
              <w:t xml:space="preserve"> </w:t>
            </w:r>
            <w:r w:rsidRPr="00402B1A">
              <w:rPr>
                <w:rFonts w:ascii="Arial Narrow" w:hAnsi="Arial Narrow" w:cs="Times New Roman"/>
                <w:i/>
                <w:sz w:val="18"/>
                <w:szCs w:val="20"/>
              </w:rPr>
              <w:t>alongside a 2</w:t>
            </w:r>
            <w:r w:rsidRPr="00402B1A">
              <w:rPr>
                <w:rFonts w:ascii="Arial Narrow" w:hAnsi="Arial Narrow" w:cs="Times New Roman"/>
                <w:i/>
                <w:sz w:val="18"/>
                <w:szCs w:val="20"/>
                <w:vertAlign w:val="superscript"/>
              </w:rPr>
              <w:t>nd</w:t>
            </w:r>
            <w:r w:rsidRPr="00402B1A">
              <w:rPr>
                <w:rFonts w:ascii="Arial Narrow" w:hAnsi="Arial Narrow" w:cs="Times New Roman"/>
                <w:i/>
                <w:sz w:val="18"/>
                <w:szCs w:val="20"/>
              </w:rPr>
              <w:t xml:space="preserve"> cohort of patients recruited at the same time as this</w:t>
            </w:r>
            <w:r w:rsidRPr="003B4D22">
              <w:rPr>
                <w:rFonts w:ascii="Arial Narrow" w:hAnsi="Arial Narrow" w:cs="Times New Roman"/>
                <w:i/>
                <w:sz w:val="18"/>
                <w:szCs w:val="20"/>
              </w:rPr>
              <w:t xml:space="preserve"> group of BMT recipients, but was excluded as neither tx g</w:t>
            </w:r>
            <w:r w:rsidR="00C87F62" w:rsidRPr="003B4D22">
              <w:rPr>
                <w:rFonts w:ascii="Arial Narrow" w:hAnsi="Arial Narrow" w:cs="Times New Roman"/>
                <w:i/>
                <w:sz w:val="18"/>
                <w:szCs w:val="20"/>
              </w:rPr>
              <w:t>roup had hypo-GG by that stage.</w:t>
            </w:r>
          </w:p>
        </w:tc>
      </w:tr>
      <w:tr w:rsidR="006B5E0B" w:rsidRPr="006B5E0B" w14:paraId="06505747" w14:textId="77777777" w:rsidTr="006B5E0B">
        <w:tc>
          <w:tcPr>
            <w:tcW w:w="14312" w:type="dxa"/>
            <w:gridSpan w:val="8"/>
            <w:shd w:val="clear" w:color="auto" w:fill="000000" w:themeFill="text1"/>
          </w:tcPr>
          <w:p w14:paraId="6B21AF56" w14:textId="1DB7E4E2" w:rsidR="006B5E0B" w:rsidRPr="006B5E0B" w:rsidRDefault="006B5E0B" w:rsidP="00F814DE">
            <w:pPr>
              <w:spacing w:after="40" w:line="240" w:lineRule="auto"/>
              <w:ind w:left="-57"/>
              <w:jc w:val="left"/>
              <w:rPr>
                <w:rFonts w:ascii="Arial Narrow" w:hAnsi="Arial Narrow" w:cs="Times New Roman"/>
                <w:b/>
                <w:sz w:val="18"/>
                <w:szCs w:val="20"/>
              </w:rPr>
            </w:pPr>
            <w:r w:rsidRPr="006B5E0B">
              <w:rPr>
                <w:rFonts w:ascii="Arial Narrow" w:hAnsi="Arial Narrow" w:cs="Times New Roman"/>
                <w:b/>
                <w:sz w:val="18"/>
                <w:szCs w:val="20"/>
              </w:rPr>
              <w:lastRenderedPageBreak/>
              <w:t>Randomised studies – SCIg vs No SCIg</w:t>
            </w:r>
          </w:p>
        </w:tc>
      </w:tr>
      <w:tr w:rsidR="001A0A87" w:rsidRPr="003B4D22" w14:paraId="1A0F56EC" w14:textId="77777777" w:rsidTr="006B4C5F">
        <w:tc>
          <w:tcPr>
            <w:tcW w:w="1129" w:type="dxa"/>
          </w:tcPr>
          <w:p w14:paraId="0C986598" w14:textId="2E3CF814"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Vacca et al., 2018</w:t>
            </w:r>
          </w:p>
          <w:p w14:paraId="4D7E2EEA"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Italy</w:t>
            </w:r>
          </w:p>
          <w:p w14:paraId="7CDAB7C6" w14:textId="77777777" w:rsidR="001A0A87" w:rsidRPr="003B4D22" w:rsidRDefault="001A0A87" w:rsidP="00F814DE">
            <w:pPr>
              <w:spacing w:before="0" w:after="40" w:line="240" w:lineRule="auto"/>
              <w:ind w:left="-57"/>
              <w:jc w:val="left"/>
              <w:rPr>
                <w:rFonts w:ascii="Arial Narrow" w:hAnsi="Arial Narrow"/>
                <w:sz w:val="18"/>
                <w:szCs w:val="20"/>
                <w:highlight w:val="yellow"/>
              </w:rPr>
            </w:pPr>
            <w:r w:rsidRPr="003B4D22">
              <w:rPr>
                <w:rFonts w:ascii="Arial Narrow" w:hAnsi="Arial Narrow"/>
                <w:sz w:val="18"/>
                <w:szCs w:val="20"/>
              </w:rPr>
              <w:t>Single-centre</w:t>
            </w:r>
          </w:p>
        </w:tc>
        <w:tc>
          <w:tcPr>
            <w:tcW w:w="1134" w:type="dxa"/>
          </w:tcPr>
          <w:p w14:paraId="6DC90EED"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RCT, open-label</w:t>
            </w:r>
          </w:p>
          <w:p w14:paraId="554E9ECB"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RoB: low (SIGN)</w:t>
            </w:r>
          </w:p>
        </w:tc>
        <w:tc>
          <w:tcPr>
            <w:tcW w:w="1843" w:type="dxa"/>
          </w:tcPr>
          <w:p w14:paraId="442EC5F6"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N=46 (MM)</w:t>
            </w:r>
          </w:p>
          <w:p w14:paraId="516D3DA4"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Sex</w:t>
            </w:r>
            <w:r w:rsidRPr="003B4D22">
              <w:rPr>
                <w:rFonts w:ascii="Arial Narrow" w:hAnsi="Arial Narrow"/>
                <w:sz w:val="18"/>
                <w:szCs w:val="20"/>
              </w:rPr>
              <w:t xml:space="preserve"> ♀/♂: 21/25</w:t>
            </w:r>
          </w:p>
          <w:p w14:paraId="66E29D29"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Age</w:t>
            </w:r>
            <w:r w:rsidRPr="003B4D22">
              <w:rPr>
                <w:rFonts w:ascii="Arial Narrow" w:hAnsi="Arial Narrow"/>
                <w:sz w:val="18"/>
                <w:szCs w:val="20"/>
              </w:rPr>
              <w:t>, mean (range): 71 (56–85)</w:t>
            </w:r>
          </w:p>
          <w:p w14:paraId="1EB40CE8"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Stage</w:t>
            </w:r>
            <w:r w:rsidRPr="003B4D22">
              <w:rPr>
                <w:rFonts w:ascii="Arial Narrow" w:hAnsi="Arial Narrow"/>
                <w:sz w:val="18"/>
                <w:szCs w:val="20"/>
              </w:rPr>
              <w:t>, n (%):</w:t>
            </w:r>
            <w:r w:rsidRPr="003B4D22">
              <w:rPr>
                <w:rFonts w:ascii="Arial Narrow" w:hAnsi="Arial Narrow"/>
                <w:sz w:val="18"/>
                <w:szCs w:val="20"/>
              </w:rPr>
              <w:br/>
              <w:t>IIA: 3 (6.5)</w:t>
            </w:r>
            <w:r w:rsidRPr="003B4D22">
              <w:rPr>
                <w:rFonts w:ascii="Arial Narrow" w:hAnsi="Arial Narrow"/>
                <w:sz w:val="18"/>
                <w:szCs w:val="20"/>
              </w:rPr>
              <w:br/>
              <w:t>IIIA: 39 (84.8)</w:t>
            </w:r>
            <w:r w:rsidRPr="003B4D22">
              <w:rPr>
                <w:rFonts w:ascii="Arial Narrow" w:hAnsi="Arial Narrow"/>
                <w:sz w:val="18"/>
                <w:szCs w:val="20"/>
              </w:rPr>
              <w:br/>
              <w:t>IIIB: 4 (8.7)</w:t>
            </w:r>
            <w:r w:rsidRPr="003B4D22">
              <w:rPr>
                <w:rFonts w:ascii="Arial Narrow" w:hAnsi="Arial Narrow"/>
                <w:sz w:val="18"/>
                <w:szCs w:val="20"/>
              </w:rPr>
              <w:br/>
              <w:t>[Durie &amp; Salmon]</w:t>
            </w:r>
          </w:p>
          <w:p w14:paraId="7C5FE00B"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IgG g/L</w:t>
            </w:r>
            <w:r w:rsidRPr="003B4D22">
              <w:rPr>
                <w:rFonts w:ascii="Arial Narrow" w:hAnsi="Arial Narrow"/>
                <w:sz w:val="18"/>
                <w:szCs w:val="20"/>
              </w:rPr>
              <w:t>, mean (range): 3.1 (1.3–5.2)</w:t>
            </w:r>
          </w:p>
        </w:tc>
        <w:tc>
          <w:tcPr>
            <w:tcW w:w="2268" w:type="dxa"/>
          </w:tcPr>
          <w:p w14:paraId="0522F5F1" w14:textId="77777777" w:rsidR="001A0A87" w:rsidRPr="003B4D22" w:rsidRDefault="001A0A87" w:rsidP="00F814DE">
            <w:pPr>
              <w:spacing w:before="0" w:after="40" w:line="240" w:lineRule="auto"/>
              <w:ind w:left="-57"/>
              <w:jc w:val="left"/>
              <w:rPr>
                <w:rFonts w:ascii="Arial Narrow" w:hAnsi="Arial Narrow"/>
                <w:sz w:val="18"/>
                <w:szCs w:val="20"/>
                <w:u w:val="single"/>
              </w:rPr>
            </w:pPr>
            <w:r w:rsidRPr="003B4D22">
              <w:rPr>
                <w:rFonts w:ascii="Arial Narrow" w:hAnsi="Arial Narrow"/>
                <w:sz w:val="18"/>
                <w:szCs w:val="20"/>
                <w:u w:val="single"/>
              </w:rPr>
              <w:t>Inclusion</w:t>
            </w:r>
            <w:r w:rsidRPr="003B4D22">
              <w:rPr>
                <w:rFonts w:ascii="Arial Narrow" w:hAnsi="Arial Narrow"/>
                <w:sz w:val="18"/>
                <w:szCs w:val="20"/>
              </w:rPr>
              <w:t>: adult (&lt;18 yo); serum IgG &lt;500mg/dL; life expectancy &gt;1 year; self or carer able to administer SCIg at home</w:t>
            </w:r>
          </w:p>
          <w:p w14:paraId="2941E06A"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Exclusion:</w:t>
            </w:r>
            <w:r w:rsidRPr="003B4D22">
              <w:rPr>
                <w:rFonts w:ascii="Arial Narrow" w:hAnsi="Arial Narrow"/>
                <w:sz w:val="18"/>
                <w:szCs w:val="20"/>
              </w:rPr>
              <w:t xml:space="preserve"> other cause of immunodeficiency; active HCV/ HBV/HIV infection; unable to administer SCIg at home. </w:t>
            </w:r>
          </w:p>
          <w:p w14:paraId="5F4B0F62"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All patients were free of infection at trial entry, and none were inpatients.</w:t>
            </w:r>
          </w:p>
          <w:p w14:paraId="5D9A0A60" w14:textId="77777777" w:rsidR="001A0A87" w:rsidRPr="003B4D22" w:rsidRDefault="001A0A87" w:rsidP="00F814DE">
            <w:pPr>
              <w:spacing w:before="0" w:after="40" w:line="240" w:lineRule="auto"/>
              <w:ind w:left="-57"/>
              <w:jc w:val="left"/>
              <w:rPr>
                <w:rFonts w:ascii="Arial Narrow" w:hAnsi="Arial Narrow"/>
                <w:sz w:val="18"/>
                <w:szCs w:val="20"/>
                <w:u w:val="single"/>
              </w:rPr>
            </w:pPr>
            <w:r w:rsidRPr="003B4D22">
              <w:rPr>
                <w:rFonts w:ascii="Arial Narrow" w:hAnsi="Arial Narrow"/>
                <w:sz w:val="18"/>
                <w:szCs w:val="20"/>
                <w:u w:val="single"/>
              </w:rPr>
              <w:t>Objectives</w:t>
            </w:r>
            <w:r w:rsidRPr="003B4D22">
              <w:rPr>
                <w:rFonts w:ascii="Arial Narrow" w:hAnsi="Arial Narrow"/>
                <w:sz w:val="18"/>
                <w:szCs w:val="20"/>
              </w:rPr>
              <w:t xml:space="preserve">: evaluation of effect of SCIg tx on rate of severe infections in MM patients. </w:t>
            </w:r>
          </w:p>
        </w:tc>
        <w:tc>
          <w:tcPr>
            <w:tcW w:w="1843" w:type="dxa"/>
          </w:tcPr>
          <w:p w14:paraId="798CF4AA"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SCIg</w:t>
            </w:r>
            <w:r w:rsidRPr="003B4D22">
              <w:rPr>
                <w:rFonts w:ascii="Arial Narrow" w:hAnsi="Arial Narrow"/>
                <w:sz w:val="18"/>
                <w:szCs w:val="20"/>
              </w:rPr>
              <w:t xml:space="preserve"> (n=24): 4 weekly infusions to give a total dose of 0.4–0.8g/kg/ month (Hizentra, CSL Behring). Dosing was adjusted according to normal IgG monthly trough levels. Mean administered dose was 80mg/kg/week. Tx until discontinuation or withdrawal of consent (mean duration 18 mo [range 10–28]). </w:t>
            </w:r>
          </w:p>
          <w:p w14:paraId="3C3BEBDF"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No patient received antibiotic prophylaxis or G-CSF.</w:t>
            </w:r>
          </w:p>
          <w:p w14:paraId="2F931E43" w14:textId="4E56F93F" w:rsidR="00326FC7" w:rsidRPr="003B4D22" w:rsidRDefault="00326FC7" w:rsidP="00F814DE">
            <w:pPr>
              <w:spacing w:after="40" w:line="240" w:lineRule="auto"/>
              <w:ind w:left="-57"/>
              <w:jc w:val="left"/>
              <w:rPr>
                <w:rFonts w:ascii="Arial Narrow" w:hAnsi="Arial Narrow"/>
                <w:sz w:val="18"/>
                <w:szCs w:val="20"/>
              </w:rPr>
            </w:pPr>
            <w:r w:rsidRPr="003B4D22">
              <w:rPr>
                <w:rFonts w:ascii="Arial Narrow" w:hAnsi="Arial Narrow"/>
                <w:sz w:val="18"/>
                <w:szCs w:val="20"/>
              </w:rPr>
              <w:t>At the end of the first 6mo tx, 21 of 24 SCIg patients accepted to continue, whereas 3 patients withdrew from the study due to side effects.</w:t>
            </w:r>
          </w:p>
        </w:tc>
        <w:tc>
          <w:tcPr>
            <w:tcW w:w="1843" w:type="dxa"/>
          </w:tcPr>
          <w:p w14:paraId="39FCB799"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Controls</w:t>
            </w:r>
            <w:r w:rsidRPr="003B4D22">
              <w:rPr>
                <w:rFonts w:ascii="Arial Narrow" w:hAnsi="Arial Narrow"/>
                <w:sz w:val="18"/>
                <w:szCs w:val="20"/>
              </w:rPr>
              <w:t xml:space="preserve"> (n=22): No SCIg</w:t>
            </w:r>
          </w:p>
          <w:p w14:paraId="2F1C3875"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No patient received antibiotic prophylaxis or G-CSF.</w:t>
            </w:r>
          </w:p>
          <w:p w14:paraId="64CE3B47"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 xml:space="preserve">Monthly serum IgG levels measured as for active arm. </w:t>
            </w:r>
          </w:p>
          <w:p w14:paraId="68AEAC1B" w14:textId="5298EFF0" w:rsidR="00413E59" w:rsidRPr="003B4D22" w:rsidRDefault="00413E59" w:rsidP="00F814DE">
            <w:pPr>
              <w:spacing w:after="40" w:line="240" w:lineRule="auto"/>
              <w:ind w:left="-57"/>
              <w:jc w:val="left"/>
              <w:rPr>
                <w:rFonts w:ascii="Arial Narrow" w:hAnsi="Arial Narrow"/>
                <w:sz w:val="18"/>
                <w:szCs w:val="20"/>
              </w:rPr>
            </w:pPr>
          </w:p>
        </w:tc>
        <w:tc>
          <w:tcPr>
            <w:tcW w:w="2268" w:type="dxa"/>
          </w:tcPr>
          <w:p w14:paraId="100D6C37"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Outcomes:</w:t>
            </w:r>
            <w:r w:rsidRPr="003B4D22">
              <w:rPr>
                <w:rFonts w:ascii="Arial Narrow" w:hAnsi="Arial Narrow"/>
                <w:sz w:val="18"/>
                <w:szCs w:val="20"/>
              </w:rPr>
              <w:t xml:space="preserve"> annual rate of severe infections; days of hospitalisation due to severe infections; days of treatment with antibiotics; improvement of HRQoL (SF-36).</w:t>
            </w:r>
          </w:p>
          <w:p w14:paraId="6DFD3CBD"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AEs were reported though not defined as an endpoint.</w:t>
            </w:r>
          </w:p>
          <w:p w14:paraId="271018CC"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Analyses</w:t>
            </w:r>
            <w:r w:rsidRPr="003B4D22">
              <w:rPr>
                <w:rFonts w:ascii="Arial Narrow" w:hAnsi="Arial Narrow"/>
                <w:sz w:val="18"/>
                <w:szCs w:val="20"/>
              </w:rPr>
              <w:t xml:space="preserve">: Continuous variables, including rate of infections, were assessed as mean, median, sd, and range. Groups were compared by Student-Fisher t-test, and Chi-square test. The Wilcoxon correlation and Mann-Whitney U test assessed the correlation by rate of infection and other variables. </w:t>
            </w:r>
          </w:p>
          <w:p w14:paraId="485EA08C" w14:textId="5E19D888" w:rsidR="00326FC7" w:rsidRPr="003B4D22" w:rsidRDefault="001A0A87" w:rsidP="00F814DE">
            <w:pPr>
              <w:spacing w:after="40" w:line="240" w:lineRule="auto"/>
              <w:ind w:left="-57"/>
              <w:jc w:val="left"/>
              <w:rPr>
                <w:rFonts w:ascii="Arial Narrow" w:hAnsi="Arial Narrow"/>
                <w:sz w:val="18"/>
                <w:szCs w:val="20"/>
                <w:u w:val="single"/>
              </w:rPr>
            </w:pPr>
            <w:r w:rsidRPr="003B4D22">
              <w:rPr>
                <w:rFonts w:ascii="Arial Narrow" w:hAnsi="Arial Narrow"/>
                <w:sz w:val="18"/>
                <w:szCs w:val="20"/>
                <w:u w:val="single"/>
              </w:rPr>
              <w:t>Follow-up:</w:t>
            </w:r>
            <w:r w:rsidRPr="003B4D22">
              <w:rPr>
                <w:rFonts w:ascii="Arial Narrow" w:hAnsi="Arial Narrow"/>
                <w:sz w:val="18"/>
                <w:szCs w:val="20"/>
              </w:rPr>
              <w:t xml:space="preserve"> patients followed for </w:t>
            </w:r>
            <w:r w:rsidR="00326FC7" w:rsidRPr="003B4D22">
              <w:rPr>
                <w:rFonts w:ascii="Arial Narrow" w:hAnsi="Arial Narrow"/>
                <w:sz w:val="18"/>
                <w:szCs w:val="20"/>
              </w:rPr>
              <w:t xml:space="preserve">mean 18mo </w:t>
            </w:r>
            <w:r w:rsidRPr="003B4D22">
              <w:rPr>
                <w:rFonts w:ascii="Arial Narrow" w:hAnsi="Arial Narrow"/>
                <w:sz w:val="18"/>
                <w:szCs w:val="20"/>
              </w:rPr>
              <w:t>duration of tx (10-28 mo range)</w:t>
            </w:r>
            <w:r w:rsidR="00326FC7" w:rsidRPr="003B4D22">
              <w:rPr>
                <w:rFonts w:ascii="Arial Narrow" w:hAnsi="Arial Narrow"/>
                <w:sz w:val="18"/>
                <w:szCs w:val="20"/>
              </w:rPr>
              <w:t xml:space="preserve">. </w:t>
            </w:r>
          </w:p>
          <w:p w14:paraId="2F940095" w14:textId="1F2D8354" w:rsidR="001A0A87" w:rsidRPr="003B4D22" w:rsidRDefault="001A0A87" w:rsidP="00F814DE">
            <w:pPr>
              <w:spacing w:before="0" w:after="40" w:line="240" w:lineRule="auto"/>
              <w:ind w:left="-57"/>
              <w:jc w:val="left"/>
              <w:rPr>
                <w:rFonts w:ascii="Arial Narrow" w:hAnsi="Arial Narrow"/>
                <w:sz w:val="18"/>
                <w:szCs w:val="20"/>
                <w:u w:val="single"/>
              </w:rPr>
            </w:pPr>
          </w:p>
        </w:tc>
        <w:tc>
          <w:tcPr>
            <w:tcW w:w="1984" w:type="dxa"/>
          </w:tcPr>
          <w:p w14:paraId="5BE72FFD"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Ethics:</w:t>
            </w:r>
            <w:r w:rsidRPr="003B4D22">
              <w:rPr>
                <w:rFonts w:ascii="Arial Narrow" w:hAnsi="Arial Narrow"/>
                <w:sz w:val="18"/>
                <w:szCs w:val="20"/>
              </w:rPr>
              <w:t xml:space="preserve"> study was approved by the local Ethical Committee. A signed patient informed consent was an inclusion criterion. </w:t>
            </w:r>
          </w:p>
          <w:p w14:paraId="4F28F146"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Funding</w:t>
            </w:r>
            <w:r w:rsidRPr="003B4D22">
              <w:rPr>
                <w:rFonts w:ascii="Arial Narrow" w:hAnsi="Arial Narrow"/>
                <w:sz w:val="18"/>
                <w:szCs w:val="20"/>
              </w:rPr>
              <w:t xml:space="preserve">: </w:t>
            </w:r>
            <w:r w:rsidRPr="003B4D22">
              <w:rPr>
                <w:rFonts w:ascii="Arial Narrow" w:hAnsi="Arial Narrow"/>
                <w:i/>
                <w:sz w:val="18"/>
                <w:szCs w:val="20"/>
              </w:rPr>
              <w:t>Hizentra’s manufacturer had no role in support of the study. None of the authors has received honoraria or consulting fees from [CSL Behring] and none of them has conflicts of interest with any other commercial entity.</w:t>
            </w:r>
          </w:p>
          <w:p w14:paraId="70BCE7A3"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[funding sources declared derive from Italian non-profit organisations and from EU Framework 7]</w:t>
            </w:r>
          </w:p>
        </w:tc>
      </w:tr>
    </w:tbl>
    <w:p w14:paraId="100FAD8E" w14:textId="77777777" w:rsidR="00530614" w:rsidRPr="003B4D22" w:rsidRDefault="00530614" w:rsidP="00C43B20">
      <w:pPr>
        <w:pStyle w:val="Tablenotes1"/>
      </w:pPr>
      <w:r w:rsidRPr="003B4D22">
        <w:t>Units conversion: 100mg/dL (units used in older studies) equals 1g/L</w:t>
      </w:r>
    </w:p>
    <w:p w14:paraId="4481CEAB" w14:textId="77777777" w:rsidR="00530614" w:rsidRPr="003B4D22" w:rsidRDefault="00530614" w:rsidP="00C43B20">
      <w:pPr>
        <w:pStyle w:val="Tablenotes1"/>
      </w:pPr>
      <w:r w:rsidRPr="003B4D22">
        <w:t xml:space="preserve">Risk of Bias was assessed using the SIGN checklist for controlled trials (for RCTs only); the SIGN checklist for cohort studies, and the IHE checklist for case series.  </w:t>
      </w:r>
    </w:p>
    <w:p w14:paraId="361C5150" w14:textId="553521EB" w:rsidR="00530614" w:rsidRPr="003B4D22" w:rsidRDefault="00530614" w:rsidP="00C43B20">
      <w:pPr>
        <w:pStyle w:val="Tablenotes1"/>
      </w:pPr>
      <w:r w:rsidRPr="003B4D22">
        <w:lastRenderedPageBreak/>
        <w:t xml:space="preserve">AA=aplastic anaemia (underlying disease not specified); AEs=adverse events; AL=acute leukaemia (AML+ALL); ALL=acute lymphoblastic leukaemia; AML=acute myeloid leukaemia; ARCBS=Australian Red Cross Blood Service; BMT=bone marrow transplant; CLL=chronic lymphocytic leukaemia; CMV=cytomegalovirus; DLBCL=diffuse large B-cell lymphoma (Richter’s syndrome); </w:t>
      </w:r>
      <w:r w:rsidR="00FA20FD">
        <w:t xml:space="preserve">ECOG-PS=Eastern Cooperative Oncology Group – Performance Status; </w:t>
      </w:r>
      <w:r w:rsidRPr="003B4D22">
        <w:t>FL=follicular lymphoma; G</w:t>
      </w:r>
      <w:r w:rsidRPr="003B4D22">
        <w:noBreakHyphen/>
        <w:t xml:space="preserve">CSF=granulocyte colony stimulating factor (filgrastim); GVHD=graft versus host disease; HBV=hepatitis B virus; HCV=hepatitis C virus; HIV=human immunodeficiency virus; HL=Hodgkin lymphoma; HM=haematological malignancy; HR=hazard ratio; HRQoL=health-related quality of life; HSA=human serum albumin; HSCT=haematopoietic stem cell transplant; hypo-GG=hypogammaglobulinaemia; IgA=alpha immunoglobulin; IgG=gamma immunoglobulin; IgM=immunoglobulin M; IMIg=intramuscular immunoglobulin; IQR=interquartile range; IRB=institutional review board (USA); ITP=idiopathic thrombocytopenic purpura; IVIg=intravenous immunoglobulin; LLN=lower limit of normal (laboratory reference range); </w:t>
      </w:r>
      <w:r w:rsidR="008A6D18" w:rsidRPr="003B4D22">
        <w:t xml:space="preserve">MAb=monoclonal antibody; </w:t>
      </w:r>
      <w:r w:rsidRPr="003B4D22">
        <w:t xml:space="preserve">MCL=mantle cell lymphoma; MDS=myelodysplastic syndrome; MEPM=meropenem; MGUS=monoclonal gammopathy of undetermined significance; MM=multiple myeloma; MZL=marginal zone lymphoma; NHL=non-Hodgkin lymphoma; NNH=number needed to harm; OS=overall survival; PAPS=primary antiphospholipid syndrome; </w:t>
      </w:r>
      <w:r w:rsidR="004E6824" w:rsidRPr="003B4D22">
        <w:t xml:space="preserve">PID=primary immunodeficiency; RCT=randomised controlled trial; </w:t>
      </w:r>
      <w:r w:rsidRPr="003B4D22">
        <w:t xml:space="preserve">RT=replacement therapy; SCIg=subcutaneous immunoglobulin; sd=standard deviation; </w:t>
      </w:r>
      <w:r w:rsidR="004E6824" w:rsidRPr="003B4D22">
        <w:t xml:space="preserve">SCID=severe combined immunodeficiency; SID=secondary immunodeficiency; </w:t>
      </w:r>
      <w:r w:rsidRPr="003B4D22">
        <w:t>SLL=small lymphocytic lymphoma; S+T=sulfamethoxazole+trimethoprim; tx=treatment; TEEs= thromboembolic events; URT=upper respiratory tract; WM=</w:t>
      </w:r>
      <w:r w:rsidRPr="003B4D22">
        <w:rPr>
          <w:szCs w:val="20"/>
        </w:rPr>
        <w:t>Waldenström macroglobulinaemia</w:t>
      </w:r>
      <w:r w:rsidRPr="003B4D22">
        <w:t>.</w:t>
      </w:r>
    </w:p>
    <w:p w14:paraId="7B63D261" w14:textId="77777777" w:rsidR="006B4C5F" w:rsidRPr="00386411" w:rsidRDefault="006B4C5F">
      <w:pPr>
        <w:rPr>
          <w:b/>
        </w:rPr>
      </w:pPr>
      <w:r w:rsidRPr="00386411">
        <w:rPr>
          <w:b/>
        </w:rPr>
        <w:br w:type="page"/>
      </w:r>
    </w:p>
    <w:p w14:paraId="1EF52718" w14:textId="1F7C4DA4" w:rsidR="00530614" w:rsidRPr="00386411" w:rsidRDefault="00530614" w:rsidP="00530614">
      <w:pPr>
        <w:pStyle w:val="Caption"/>
        <w:rPr>
          <w:snapToGrid w:val="0"/>
          <w:lang w:eastAsia="en-US"/>
        </w:rPr>
      </w:pPr>
      <w:bookmarkStart w:id="736" w:name="_Ref14353333"/>
      <w:bookmarkStart w:id="737" w:name="_Toc14429620"/>
      <w:bookmarkStart w:id="738" w:name="_Toc16671678"/>
      <w:r w:rsidRPr="00386411">
        <w:lastRenderedPageBreak/>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80</w:t>
      </w:r>
      <w:r w:rsidRPr="00386411">
        <w:rPr>
          <w:noProof/>
        </w:rPr>
        <w:fldChar w:fldCharType="end"/>
      </w:r>
      <w:bookmarkEnd w:id="736"/>
      <w:r w:rsidRPr="00386411">
        <w:tab/>
      </w:r>
      <w:r w:rsidRPr="00386411">
        <w:rPr>
          <w:snapToGrid w:val="0"/>
          <w:lang w:eastAsia="en-US"/>
        </w:rPr>
        <w:t>Included study profiles for safety and effectiveness – cohort studies</w:t>
      </w:r>
      <w:bookmarkEnd w:id="737"/>
      <w:bookmarkEnd w:id="738"/>
    </w:p>
    <w:tbl>
      <w:tblPr>
        <w:tblStyle w:val="TableGrid51"/>
        <w:tblW w:w="14312" w:type="dxa"/>
        <w:tblLayout w:type="fixed"/>
        <w:tblLook w:val="04A0" w:firstRow="1" w:lastRow="0" w:firstColumn="1" w:lastColumn="0" w:noHBand="0" w:noVBand="1"/>
        <w:tblCaption w:val="Study profiles of included studies on change in management"/>
        <w:tblDescription w:val="Eleven studies reporting on change in management outcomes were included. This table indicates details on study design and quality, the study population, inclusion/ exclusion criteria, setting and technical details of the index test, and outcomes assessed."/>
      </w:tblPr>
      <w:tblGrid>
        <w:gridCol w:w="1129"/>
        <w:gridCol w:w="1134"/>
        <w:gridCol w:w="1843"/>
        <w:gridCol w:w="2268"/>
        <w:gridCol w:w="1843"/>
        <w:gridCol w:w="1843"/>
        <w:gridCol w:w="2268"/>
        <w:gridCol w:w="1984"/>
      </w:tblGrid>
      <w:tr w:rsidR="00530614" w:rsidRPr="00386411" w14:paraId="41B87141" w14:textId="77777777" w:rsidTr="00067DAF">
        <w:trPr>
          <w:trHeight w:val="792"/>
          <w:tblHeader/>
        </w:trPr>
        <w:tc>
          <w:tcPr>
            <w:tcW w:w="1129" w:type="dxa"/>
          </w:tcPr>
          <w:p w14:paraId="2480B910" w14:textId="77777777" w:rsidR="00530614" w:rsidRPr="00386411" w:rsidRDefault="00530614" w:rsidP="00530614">
            <w:pPr>
              <w:keepNext/>
              <w:spacing w:after="40" w:line="240" w:lineRule="auto"/>
              <w:rPr>
                <w:rFonts w:ascii="Arial Narrow" w:hAnsi="Arial Narrow" w:cs="Times New Roman"/>
                <w:b/>
                <w:sz w:val="20"/>
                <w:szCs w:val="20"/>
              </w:rPr>
            </w:pPr>
            <w:r w:rsidRPr="00386411">
              <w:rPr>
                <w:rFonts w:ascii="Arial Narrow" w:hAnsi="Arial Narrow" w:cs="Times New Roman"/>
                <w:b/>
                <w:sz w:val="20"/>
                <w:szCs w:val="20"/>
              </w:rPr>
              <w:t>Author, Year</w:t>
            </w:r>
          </w:p>
          <w:p w14:paraId="79485062" w14:textId="77777777" w:rsidR="00530614" w:rsidRPr="00386411" w:rsidRDefault="00530614" w:rsidP="00530614">
            <w:pPr>
              <w:keepNext/>
              <w:spacing w:after="40" w:line="240" w:lineRule="auto"/>
              <w:rPr>
                <w:rFonts w:ascii="Arial Narrow" w:hAnsi="Arial Narrow" w:cs="Times New Roman"/>
                <w:b/>
                <w:sz w:val="20"/>
                <w:szCs w:val="20"/>
              </w:rPr>
            </w:pPr>
            <w:r w:rsidRPr="00386411">
              <w:rPr>
                <w:rFonts w:ascii="Arial Narrow" w:hAnsi="Arial Narrow" w:cs="Times New Roman"/>
                <w:b/>
                <w:sz w:val="20"/>
                <w:szCs w:val="20"/>
              </w:rPr>
              <w:t>Country</w:t>
            </w:r>
          </w:p>
        </w:tc>
        <w:tc>
          <w:tcPr>
            <w:tcW w:w="1134" w:type="dxa"/>
          </w:tcPr>
          <w:p w14:paraId="6640BAEE" w14:textId="77777777" w:rsidR="00530614" w:rsidRPr="00386411" w:rsidRDefault="00530614" w:rsidP="00530614">
            <w:pPr>
              <w:keepNext/>
              <w:spacing w:after="40" w:line="240" w:lineRule="auto"/>
              <w:ind w:left="-57"/>
              <w:rPr>
                <w:rFonts w:ascii="Arial Narrow" w:hAnsi="Arial Narrow" w:cs="Times New Roman"/>
                <w:b/>
                <w:sz w:val="20"/>
                <w:szCs w:val="20"/>
              </w:rPr>
            </w:pPr>
            <w:r w:rsidRPr="00386411">
              <w:rPr>
                <w:rFonts w:ascii="Arial Narrow" w:hAnsi="Arial Narrow" w:cs="Times New Roman"/>
                <w:b/>
                <w:sz w:val="20"/>
                <w:szCs w:val="20"/>
              </w:rPr>
              <w:t xml:space="preserve">Study design  </w:t>
            </w:r>
          </w:p>
          <w:p w14:paraId="5C503C10" w14:textId="77777777" w:rsidR="00530614" w:rsidRPr="00386411" w:rsidRDefault="00530614" w:rsidP="00530614">
            <w:pPr>
              <w:keepNext/>
              <w:spacing w:after="40" w:line="240" w:lineRule="auto"/>
              <w:ind w:left="-57"/>
              <w:rPr>
                <w:rFonts w:ascii="Arial Narrow" w:hAnsi="Arial Narrow" w:cs="Times New Roman"/>
                <w:b/>
                <w:sz w:val="20"/>
                <w:szCs w:val="20"/>
              </w:rPr>
            </w:pPr>
            <w:r w:rsidRPr="00386411">
              <w:rPr>
                <w:rFonts w:ascii="Arial Narrow" w:hAnsi="Arial Narrow" w:cs="Times New Roman"/>
                <w:b/>
                <w:sz w:val="20"/>
                <w:szCs w:val="20"/>
              </w:rPr>
              <w:t>Risk of bias (RoB)</w:t>
            </w:r>
          </w:p>
        </w:tc>
        <w:tc>
          <w:tcPr>
            <w:tcW w:w="1843" w:type="dxa"/>
          </w:tcPr>
          <w:p w14:paraId="0D1D1878" w14:textId="77777777" w:rsidR="00530614" w:rsidRPr="00386411" w:rsidRDefault="00530614" w:rsidP="00530614">
            <w:pPr>
              <w:keepNext/>
              <w:spacing w:after="40" w:line="240" w:lineRule="auto"/>
              <w:rPr>
                <w:rFonts w:ascii="Arial Narrow" w:hAnsi="Arial Narrow" w:cs="Times New Roman"/>
                <w:b/>
                <w:sz w:val="20"/>
                <w:szCs w:val="20"/>
              </w:rPr>
            </w:pPr>
            <w:r w:rsidRPr="00386411">
              <w:rPr>
                <w:rFonts w:ascii="Arial Narrow" w:hAnsi="Arial Narrow" w:cs="Times New Roman"/>
                <w:b/>
                <w:sz w:val="20"/>
                <w:szCs w:val="20"/>
              </w:rPr>
              <w:t>Population characteristics (at baseline unless specified)</w:t>
            </w:r>
          </w:p>
        </w:tc>
        <w:tc>
          <w:tcPr>
            <w:tcW w:w="2268" w:type="dxa"/>
          </w:tcPr>
          <w:p w14:paraId="3040613A" w14:textId="77777777" w:rsidR="00530614" w:rsidRPr="00386411" w:rsidRDefault="00530614" w:rsidP="00530614">
            <w:pPr>
              <w:keepNext/>
              <w:spacing w:after="40" w:line="240" w:lineRule="auto"/>
              <w:rPr>
                <w:rFonts w:ascii="Arial Narrow" w:hAnsi="Arial Narrow" w:cs="Times New Roman"/>
                <w:b/>
                <w:sz w:val="20"/>
                <w:szCs w:val="20"/>
              </w:rPr>
            </w:pPr>
            <w:r w:rsidRPr="00386411">
              <w:rPr>
                <w:rFonts w:ascii="Arial Narrow" w:hAnsi="Arial Narrow" w:cs="Times New Roman"/>
                <w:b/>
                <w:sz w:val="20"/>
                <w:szCs w:val="20"/>
              </w:rPr>
              <w:t xml:space="preserve">Eligibility criteria </w:t>
            </w:r>
          </w:p>
          <w:p w14:paraId="30DEB94D" w14:textId="77777777" w:rsidR="00530614" w:rsidRPr="00386411" w:rsidRDefault="00530614" w:rsidP="00530614">
            <w:pPr>
              <w:keepNext/>
              <w:spacing w:after="40" w:line="240" w:lineRule="auto"/>
              <w:rPr>
                <w:rFonts w:ascii="Arial Narrow" w:hAnsi="Arial Narrow" w:cs="Times New Roman"/>
                <w:b/>
                <w:sz w:val="20"/>
                <w:szCs w:val="20"/>
              </w:rPr>
            </w:pPr>
            <w:r w:rsidRPr="00386411">
              <w:rPr>
                <w:rFonts w:ascii="Arial Narrow" w:hAnsi="Arial Narrow" w:cs="Times New Roman"/>
                <w:b/>
                <w:sz w:val="20"/>
                <w:szCs w:val="20"/>
              </w:rPr>
              <w:t>Objectives</w:t>
            </w:r>
          </w:p>
        </w:tc>
        <w:tc>
          <w:tcPr>
            <w:tcW w:w="1843" w:type="dxa"/>
          </w:tcPr>
          <w:p w14:paraId="6B778088" w14:textId="77777777" w:rsidR="00530614" w:rsidRPr="00386411" w:rsidRDefault="00530614" w:rsidP="00530614">
            <w:pPr>
              <w:keepNext/>
              <w:spacing w:after="40" w:line="240" w:lineRule="auto"/>
              <w:rPr>
                <w:rFonts w:ascii="Arial Narrow" w:hAnsi="Arial Narrow" w:cs="Times New Roman"/>
                <w:b/>
                <w:sz w:val="20"/>
                <w:szCs w:val="20"/>
              </w:rPr>
            </w:pPr>
            <w:r w:rsidRPr="00386411">
              <w:rPr>
                <w:rFonts w:ascii="Arial Narrow" w:hAnsi="Arial Narrow" w:cs="Times New Roman"/>
                <w:b/>
                <w:sz w:val="20"/>
                <w:szCs w:val="20"/>
              </w:rPr>
              <w:t>Intervention</w:t>
            </w:r>
          </w:p>
        </w:tc>
        <w:tc>
          <w:tcPr>
            <w:tcW w:w="1843" w:type="dxa"/>
          </w:tcPr>
          <w:p w14:paraId="628ADF22" w14:textId="77777777" w:rsidR="00530614" w:rsidRPr="00386411" w:rsidRDefault="00530614" w:rsidP="00530614">
            <w:pPr>
              <w:keepNext/>
              <w:spacing w:after="40" w:line="240" w:lineRule="auto"/>
              <w:rPr>
                <w:rFonts w:ascii="Arial Narrow" w:hAnsi="Arial Narrow" w:cs="Times New Roman"/>
                <w:b/>
                <w:sz w:val="20"/>
                <w:szCs w:val="20"/>
              </w:rPr>
            </w:pPr>
            <w:r w:rsidRPr="00386411">
              <w:rPr>
                <w:rFonts w:ascii="Arial Narrow" w:hAnsi="Arial Narrow" w:cs="Times New Roman"/>
                <w:b/>
                <w:sz w:val="20"/>
                <w:szCs w:val="20"/>
              </w:rPr>
              <w:t>Comparator</w:t>
            </w:r>
          </w:p>
        </w:tc>
        <w:tc>
          <w:tcPr>
            <w:tcW w:w="2268" w:type="dxa"/>
          </w:tcPr>
          <w:p w14:paraId="049F13C4" w14:textId="77777777" w:rsidR="00530614" w:rsidRPr="00386411" w:rsidRDefault="00530614" w:rsidP="00530614">
            <w:pPr>
              <w:keepNext/>
              <w:spacing w:after="40" w:line="240" w:lineRule="auto"/>
              <w:rPr>
                <w:rFonts w:ascii="Arial Narrow" w:hAnsi="Arial Narrow" w:cs="Times New Roman"/>
                <w:b/>
                <w:sz w:val="20"/>
                <w:szCs w:val="20"/>
              </w:rPr>
            </w:pPr>
            <w:r w:rsidRPr="00386411">
              <w:rPr>
                <w:rFonts w:ascii="Arial Narrow" w:hAnsi="Arial Narrow" w:cs="Times New Roman"/>
                <w:b/>
                <w:sz w:val="20"/>
                <w:szCs w:val="20"/>
              </w:rPr>
              <w:t>Outcomes assessed</w:t>
            </w:r>
          </w:p>
          <w:p w14:paraId="65C5F5B5" w14:textId="77777777" w:rsidR="00530614" w:rsidRPr="00386411" w:rsidRDefault="00530614" w:rsidP="00530614">
            <w:pPr>
              <w:keepNext/>
              <w:spacing w:after="40" w:line="240" w:lineRule="auto"/>
              <w:rPr>
                <w:rFonts w:ascii="Arial Narrow" w:hAnsi="Arial Narrow" w:cs="Times New Roman"/>
                <w:b/>
                <w:sz w:val="20"/>
                <w:szCs w:val="20"/>
              </w:rPr>
            </w:pPr>
            <w:r w:rsidRPr="00386411">
              <w:rPr>
                <w:rFonts w:ascii="Arial Narrow" w:hAnsi="Arial Narrow" w:cs="Times New Roman"/>
                <w:b/>
                <w:sz w:val="20"/>
                <w:szCs w:val="20"/>
              </w:rPr>
              <w:t>Statistical Analyses</w:t>
            </w:r>
          </w:p>
          <w:p w14:paraId="767000BC" w14:textId="77777777" w:rsidR="00530614" w:rsidRPr="00386411" w:rsidRDefault="00530614" w:rsidP="00530614">
            <w:pPr>
              <w:keepNext/>
              <w:spacing w:after="40" w:line="240" w:lineRule="auto"/>
              <w:rPr>
                <w:rFonts w:ascii="Arial Narrow" w:hAnsi="Arial Narrow" w:cs="Times New Roman"/>
                <w:b/>
                <w:sz w:val="20"/>
                <w:szCs w:val="20"/>
              </w:rPr>
            </w:pPr>
            <w:r w:rsidRPr="00386411">
              <w:rPr>
                <w:rFonts w:ascii="Arial Narrow" w:hAnsi="Arial Narrow" w:cs="Times New Roman"/>
                <w:b/>
                <w:sz w:val="20"/>
                <w:szCs w:val="20"/>
              </w:rPr>
              <w:t>Duration of follow-up</w:t>
            </w:r>
          </w:p>
        </w:tc>
        <w:tc>
          <w:tcPr>
            <w:tcW w:w="1984" w:type="dxa"/>
          </w:tcPr>
          <w:p w14:paraId="41D92049" w14:textId="77777777" w:rsidR="00530614" w:rsidRPr="00386411" w:rsidRDefault="00530614" w:rsidP="00530614">
            <w:pPr>
              <w:keepNext/>
              <w:spacing w:after="40" w:line="240" w:lineRule="auto"/>
              <w:rPr>
                <w:rFonts w:ascii="Arial Narrow" w:hAnsi="Arial Narrow" w:cs="Times New Roman"/>
                <w:b/>
                <w:sz w:val="20"/>
                <w:szCs w:val="20"/>
              </w:rPr>
            </w:pPr>
            <w:r w:rsidRPr="00386411">
              <w:rPr>
                <w:rFonts w:ascii="Arial Narrow" w:hAnsi="Arial Narrow" w:cs="Times New Roman"/>
                <w:b/>
                <w:sz w:val="20"/>
                <w:szCs w:val="20"/>
              </w:rPr>
              <w:t>Comments</w:t>
            </w:r>
          </w:p>
        </w:tc>
      </w:tr>
      <w:tr w:rsidR="00D7461D" w:rsidRPr="00386411" w14:paraId="49A213A7" w14:textId="77777777" w:rsidTr="00067DAF">
        <w:trPr>
          <w:trHeight w:val="351"/>
        </w:trPr>
        <w:tc>
          <w:tcPr>
            <w:tcW w:w="14312" w:type="dxa"/>
            <w:gridSpan w:val="8"/>
            <w:shd w:val="clear" w:color="auto" w:fill="000000" w:themeFill="text1"/>
          </w:tcPr>
          <w:p w14:paraId="0F7D0128" w14:textId="3DB6FBF6" w:rsidR="00D7461D" w:rsidRPr="00386411" w:rsidRDefault="00D7461D" w:rsidP="00530614">
            <w:pPr>
              <w:keepNext/>
              <w:spacing w:after="40" w:line="240" w:lineRule="auto"/>
              <w:rPr>
                <w:rFonts w:ascii="Arial Narrow" w:hAnsi="Arial Narrow" w:cs="Times New Roman"/>
                <w:b/>
                <w:sz w:val="20"/>
                <w:szCs w:val="20"/>
              </w:rPr>
            </w:pPr>
            <w:r w:rsidRPr="00386411">
              <w:rPr>
                <w:rFonts w:ascii="Arial Narrow" w:hAnsi="Arial Narrow"/>
                <w:b/>
                <w:color w:val="FFFFFF" w:themeColor="background1"/>
                <w:sz w:val="20"/>
                <w:szCs w:val="20"/>
              </w:rPr>
              <w:t>Other comparative studies – IVIg vs No IVIg</w:t>
            </w:r>
          </w:p>
        </w:tc>
      </w:tr>
      <w:tr w:rsidR="00D7461D" w:rsidRPr="003B4D22" w14:paraId="6BFFFC10" w14:textId="77777777" w:rsidTr="000A5622">
        <w:trPr>
          <w:trHeight w:val="293"/>
        </w:trPr>
        <w:tc>
          <w:tcPr>
            <w:tcW w:w="1129" w:type="dxa"/>
          </w:tcPr>
          <w:p w14:paraId="68151F99"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Ammann et al., 2016</w:t>
            </w:r>
          </w:p>
          <w:p w14:paraId="0D6A27F2"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USA</w:t>
            </w:r>
          </w:p>
          <w:p w14:paraId="02430B29" w14:textId="3C8B2FF4" w:rsidR="00D7461D" w:rsidRPr="003B4D22" w:rsidRDefault="00D7461D" w:rsidP="00D7461D">
            <w:pPr>
              <w:spacing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SEER national cancer registry</w:t>
            </w:r>
          </w:p>
        </w:tc>
        <w:tc>
          <w:tcPr>
            <w:tcW w:w="1134" w:type="dxa"/>
          </w:tcPr>
          <w:p w14:paraId="42BB7098"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Cancer registry retrospective cohort [1992-2010]</w:t>
            </w:r>
          </w:p>
          <w:p w14:paraId="610FE156" w14:textId="2BDB3F9A" w:rsidR="00D7461D" w:rsidRPr="003B4D22" w:rsidRDefault="00D7461D" w:rsidP="00D7461D">
            <w:pPr>
              <w:spacing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RoB: moderate (IHE)</w:t>
            </w:r>
          </w:p>
        </w:tc>
        <w:tc>
          <w:tcPr>
            <w:tcW w:w="1843" w:type="dxa"/>
          </w:tcPr>
          <w:p w14:paraId="1523BC42"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N=10,759</w:t>
            </w:r>
          </w:p>
          <w:p w14:paraId="16F9E421"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CLL/MM: 76%/24%</w:t>
            </w:r>
          </w:p>
          <w:p w14:paraId="0BB189A7"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Mean age</w:t>
            </w:r>
            <w:r w:rsidRPr="003B4D22">
              <w:rPr>
                <w:rFonts w:ascii="Arial Narrow" w:hAnsi="Arial Narrow" w:cs="Times New Roman"/>
                <w:sz w:val="18"/>
                <w:szCs w:val="20"/>
              </w:rPr>
              <w:t>±sd IgG/non-users: 75.8±6.4/75.9±6.6</w:t>
            </w:r>
          </w:p>
          <w:p w14:paraId="34FA7FF8"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w:t>
            </w:r>
            <w:r w:rsidRPr="003B4D22">
              <w:rPr>
                <w:rFonts w:ascii="Arial Narrow" w:hAnsi="Arial Narrow" w:cs="Times New Roman"/>
                <w:sz w:val="18"/>
                <w:szCs w:val="20"/>
              </w:rPr>
              <w:t xml:space="preserve"> IgG, %: 41/59</w:t>
            </w:r>
            <w:r w:rsidRPr="003B4D22">
              <w:rPr>
                <w:rFonts w:ascii="Arial Narrow" w:hAnsi="Arial Narrow" w:cs="Times New Roman"/>
                <w:sz w:val="18"/>
                <w:szCs w:val="20"/>
              </w:rPr>
              <w:br/>
            </w:r>
            <w:r w:rsidRPr="003B4D22">
              <w:rPr>
                <w:rFonts w:ascii="Arial Narrow" w:hAnsi="Arial Narrow" w:cs="Times New Roman"/>
                <w:sz w:val="18"/>
                <w:szCs w:val="20"/>
                <w:u w:val="single"/>
              </w:rPr>
              <w:t>♀/♂</w:t>
            </w:r>
            <w:r w:rsidRPr="003B4D22">
              <w:rPr>
                <w:rFonts w:ascii="Arial Narrow" w:hAnsi="Arial Narrow" w:cs="Times New Roman"/>
                <w:sz w:val="18"/>
                <w:szCs w:val="20"/>
              </w:rPr>
              <w:t xml:space="preserve"> non-users, %: 42/58</w:t>
            </w:r>
          </w:p>
          <w:p w14:paraId="090C1EB2"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Neutropenia</w:t>
            </w:r>
            <w:r w:rsidRPr="003B4D22">
              <w:rPr>
                <w:rFonts w:ascii="Arial Narrow" w:hAnsi="Arial Narrow" w:cs="Times New Roman"/>
                <w:sz w:val="18"/>
                <w:szCs w:val="20"/>
              </w:rPr>
              <w:t>, %, IgG/nonusers: 27/26</w:t>
            </w:r>
          </w:p>
          <w:p w14:paraId="31023EB9" w14:textId="77777777" w:rsidR="00D7461D" w:rsidRPr="003B4D22" w:rsidRDefault="00D7461D" w:rsidP="00D7461D">
            <w:pPr>
              <w:spacing w:before="0" w:after="40" w:line="240" w:lineRule="auto"/>
              <w:ind w:left="-57"/>
              <w:jc w:val="left"/>
              <w:rPr>
                <w:rFonts w:ascii="Arial Narrow" w:hAnsi="Arial Narrow" w:cs="Times New Roman"/>
                <w:i/>
                <w:sz w:val="18"/>
                <w:szCs w:val="20"/>
              </w:rPr>
            </w:pPr>
            <w:r w:rsidRPr="003B4D22">
              <w:rPr>
                <w:rFonts w:ascii="Arial Narrow" w:hAnsi="Arial Narrow" w:cs="Times New Roman"/>
                <w:i/>
                <w:sz w:val="18"/>
                <w:szCs w:val="20"/>
              </w:rPr>
              <w:t>No baseline serum IgG described.</w:t>
            </w:r>
          </w:p>
          <w:p w14:paraId="394477FC" w14:textId="3E2D118E" w:rsidR="00D7461D" w:rsidRPr="003B4D22" w:rsidRDefault="00D7461D" w:rsidP="00D7461D">
            <w:pPr>
              <w:spacing w:after="40" w:line="240" w:lineRule="auto"/>
              <w:ind w:left="-57"/>
              <w:jc w:val="left"/>
              <w:rPr>
                <w:rFonts w:ascii="Arial Narrow" w:hAnsi="Arial Narrow" w:cs="Times New Roman"/>
                <w:sz w:val="18"/>
                <w:szCs w:val="20"/>
              </w:rPr>
            </w:pPr>
            <w:r w:rsidRPr="003B4D22">
              <w:rPr>
                <w:rFonts w:ascii="Arial Narrow" w:hAnsi="Arial Narrow" w:cs="Times New Roman"/>
                <w:i/>
                <w:sz w:val="18"/>
                <w:szCs w:val="20"/>
              </w:rPr>
              <w:t>Not clear how hypo-GG status assessed.</w:t>
            </w:r>
          </w:p>
        </w:tc>
        <w:tc>
          <w:tcPr>
            <w:tcW w:w="2268" w:type="dxa"/>
          </w:tcPr>
          <w:p w14:paraId="62073FF6"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Inclusion:</w:t>
            </w:r>
            <w:r w:rsidRPr="003B4D22">
              <w:rPr>
                <w:rFonts w:ascii="Arial Narrow" w:hAnsi="Arial Narrow" w:cs="Times New Roman"/>
                <w:sz w:val="18"/>
                <w:szCs w:val="20"/>
              </w:rPr>
              <w:t xml:space="preserve"> IgG users and non-user controls who were ≥66years old, diagnosed with CLL within 16 years or MM within 8 years, with evidence of US healthcare utilisation</w:t>
            </w:r>
          </w:p>
          <w:p w14:paraId="4B2DB63B"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Exclusion:</w:t>
            </w:r>
            <w:r w:rsidRPr="003B4D22">
              <w:rPr>
                <w:rFonts w:ascii="Arial Narrow" w:hAnsi="Arial Narrow" w:cs="Times New Roman"/>
                <w:sz w:val="18"/>
                <w:szCs w:val="20"/>
              </w:rPr>
              <w:t xml:space="preserve"> hospice care within the previous year; prevalent users (defined as patients who already on IgG prior to reaching eligible age for US Medicare coverage and thus study inclusion)</w:t>
            </w:r>
          </w:p>
          <w:p w14:paraId="12BBE3EE" w14:textId="33B4C48F" w:rsidR="00D7461D" w:rsidRPr="003B4D22" w:rsidRDefault="00D7461D" w:rsidP="00D7461D">
            <w:pPr>
              <w:spacing w:after="40" w:line="240" w:lineRule="auto"/>
              <w:ind w:left="-57"/>
              <w:jc w:val="left"/>
              <w:rPr>
                <w:rFonts w:ascii="Arial Narrow" w:hAnsi="Arial Narrow" w:cs="Times New Roman"/>
                <w:sz w:val="18"/>
                <w:szCs w:val="20"/>
                <w:u w:val="single"/>
              </w:rPr>
            </w:pPr>
            <w:r w:rsidRPr="003B4D22">
              <w:rPr>
                <w:rFonts w:ascii="Arial Narrow" w:hAnsi="Arial Narrow" w:cs="Times New Roman"/>
                <w:sz w:val="18"/>
                <w:szCs w:val="20"/>
                <w:u w:val="single"/>
              </w:rPr>
              <w:t>Objectives</w:t>
            </w:r>
            <w:r w:rsidRPr="003B4D22">
              <w:rPr>
                <w:rFonts w:ascii="Arial Narrow" w:hAnsi="Arial Narrow" w:cs="Times New Roman"/>
                <w:sz w:val="18"/>
                <w:szCs w:val="20"/>
              </w:rPr>
              <w:t>: to assess rates of clinically serious TEEs in new users of IVIg versus a propensity-matched control group of non-users.</w:t>
            </w:r>
          </w:p>
        </w:tc>
        <w:tc>
          <w:tcPr>
            <w:tcW w:w="1843" w:type="dxa"/>
          </w:tcPr>
          <w:p w14:paraId="38E57499"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IgG</w:t>
            </w:r>
            <w:r w:rsidRPr="003B4D22">
              <w:rPr>
                <w:rFonts w:ascii="Arial Narrow" w:hAnsi="Arial Narrow" w:cs="Times New Roman"/>
                <w:sz w:val="18"/>
                <w:szCs w:val="20"/>
              </w:rPr>
              <w:t xml:space="preserve"> (n=2724 [25%]): one year of monthly infusions; includes IVIg, SCIg, IMIg</w:t>
            </w:r>
          </w:p>
          <w:p w14:paraId="4D23CBB8" w14:textId="55B6D278" w:rsidR="00D7461D" w:rsidRPr="003B4D22" w:rsidRDefault="00D7461D" w:rsidP="00D7461D">
            <w:pPr>
              <w:spacing w:after="40" w:line="240" w:lineRule="auto"/>
              <w:ind w:left="-57"/>
              <w:jc w:val="left"/>
              <w:rPr>
                <w:rFonts w:ascii="Arial Narrow" w:hAnsi="Arial Narrow" w:cs="Times New Roman"/>
                <w:sz w:val="18"/>
                <w:szCs w:val="20"/>
                <w:u w:val="single"/>
              </w:rPr>
            </w:pPr>
            <w:r w:rsidRPr="003B4D22">
              <w:rPr>
                <w:rFonts w:ascii="Arial Narrow" w:hAnsi="Arial Narrow" w:cs="Times New Roman"/>
                <w:i/>
                <w:sz w:val="18"/>
                <w:szCs w:val="20"/>
              </w:rPr>
              <w:t>No further dose information described; only days since last IVIg per TEE event.</w:t>
            </w:r>
          </w:p>
        </w:tc>
        <w:tc>
          <w:tcPr>
            <w:tcW w:w="1843" w:type="dxa"/>
          </w:tcPr>
          <w:p w14:paraId="61B52AF8"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Non-user controls (</w:t>
            </w:r>
            <w:r w:rsidRPr="003B4D22">
              <w:rPr>
                <w:rFonts w:ascii="Arial Narrow" w:hAnsi="Arial Narrow" w:cs="Times New Roman"/>
                <w:sz w:val="18"/>
                <w:szCs w:val="20"/>
                <w:u w:val="single"/>
              </w:rPr>
              <w:t>no IgG</w:t>
            </w:r>
            <w:r w:rsidRPr="003B4D22">
              <w:rPr>
                <w:rFonts w:ascii="Arial Narrow" w:hAnsi="Arial Narrow" w:cs="Times New Roman"/>
                <w:sz w:val="18"/>
                <w:szCs w:val="20"/>
              </w:rPr>
              <w:t>) (n=8035 [75%]):</w:t>
            </w:r>
          </w:p>
          <w:p w14:paraId="714B3CC4" w14:textId="7E3E6314" w:rsidR="00D7461D" w:rsidRPr="003B4D22" w:rsidRDefault="00D7461D" w:rsidP="00D7461D">
            <w:pPr>
              <w:spacing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IgG and non-user individuals matched by cancer type (CLL or MM) and utilization status and using time-dependent propensity scores derived from Cox regression models to yield a cohort of patients balanced for factors including disease stage, TEE risk and treatment start date.</w:t>
            </w:r>
          </w:p>
        </w:tc>
        <w:tc>
          <w:tcPr>
            <w:tcW w:w="2268" w:type="dxa"/>
          </w:tcPr>
          <w:p w14:paraId="3A6BE130"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Outcomes</w:t>
            </w:r>
            <w:r w:rsidRPr="003B4D22">
              <w:rPr>
                <w:rFonts w:ascii="Arial Narrow" w:hAnsi="Arial Narrow" w:cs="Times New Roman"/>
                <w:sz w:val="18"/>
                <w:szCs w:val="20"/>
              </w:rPr>
              <w:t>: TEEs; NNH.</w:t>
            </w:r>
          </w:p>
          <w:p w14:paraId="57AAD011" w14:textId="77777777" w:rsidR="00D7461D" w:rsidRPr="003B4D22" w:rsidRDefault="00D7461D" w:rsidP="00D7461D">
            <w:pPr>
              <w:spacing w:before="0" w:after="40" w:line="240" w:lineRule="auto"/>
              <w:ind w:left="-57"/>
              <w:jc w:val="left"/>
              <w:rPr>
                <w:rFonts w:ascii="Arial Narrow" w:hAnsi="Arial Narrow" w:cs="Times New Roman"/>
                <w:i/>
                <w:sz w:val="18"/>
                <w:szCs w:val="20"/>
                <w:u w:val="single"/>
              </w:rPr>
            </w:pPr>
            <w:r w:rsidRPr="003B4D22">
              <w:rPr>
                <w:rFonts w:ascii="Arial Narrow" w:hAnsi="Arial Narrow" w:cs="Times New Roman"/>
                <w:i/>
                <w:sz w:val="18"/>
                <w:szCs w:val="20"/>
              </w:rPr>
              <w:t>Infections not reported as outcomes but as disease covariates.</w:t>
            </w:r>
          </w:p>
          <w:p w14:paraId="4EFD1004"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Analyses</w:t>
            </w:r>
            <w:r w:rsidRPr="003B4D22">
              <w:rPr>
                <w:rFonts w:ascii="Arial Narrow" w:hAnsi="Arial Narrow" w:cs="Times New Roman"/>
                <w:sz w:val="18"/>
                <w:szCs w:val="20"/>
              </w:rPr>
              <w:t>: Cox regression used to assess hazards of arterial and venous TEEs (IgG vs nonusers).</w:t>
            </w:r>
          </w:p>
          <w:p w14:paraId="5D5C3C3F"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1-year cumulative incidence difference and NNH for each TEE type, representing the estimated absolute risk attributable to IgG.</w:t>
            </w:r>
          </w:p>
          <w:p w14:paraId="36803213"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Estimates were based on the Kaplan-Meier cumulative TEEs observed in the unexposed patients and the model-based HR in IgG at follow-up.</w:t>
            </w:r>
          </w:p>
          <w:p w14:paraId="6E670CC2" w14:textId="6F0DE009" w:rsidR="00D7461D" w:rsidRPr="003B4D22" w:rsidRDefault="00D7461D" w:rsidP="00D7461D">
            <w:pPr>
              <w:spacing w:after="40" w:line="240" w:lineRule="auto"/>
              <w:ind w:left="-57"/>
              <w:jc w:val="left"/>
              <w:rPr>
                <w:rFonts w:ascii="Arial Narrow" w:hAnsi="Arial Narrow" w:cs="Times New Roman"/>
                <w:sz w:val="18"/>
                <w:szCs w:val="20"/>
                <w:u w:val="single"/>
              </w:rPr>
            </w:pPr>
            <w:r w:rsidRPr="003B4D22">
              <w:rPr>
                <w:rFonts w:ascii="Arial Narrow" w:hAnsi="Arial Narrow" w:cs="Times New Roman"/>
                <w:sz w:val="18"/>
                <w:szCs w:val="20"/>
                <w:u w:val="single"/>
              </w:rPr>
              <w:t>Follow-up:</w:t>
            </w:r>
            <w:r w:rsidRPr="003B4D22">
              <w:rPr>
                <w:rFonts w:ascii="Arial Narrow" w:hAnsi="Arial Narrow" w:cs="Times New Roman"/>
                <w:sz w:val="18"/>
                <w:szCs w:val="20"/>
              </w:rPr>
              <w:t xml:space="preserve"> one year.</w:t>
            </w:r>
          </w:p>
        </w:tc>
        <w:tc>
          <w:tcPr>
            <w:tcW w:w="1984" w:type="dxa"/>
          </w:tcPr>
          <w:p w14:paraId="0258B102"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Funding:</w:t>
            </w:r>
            <w:r w:rsidRPr="003B4D22">
              <w:rPr>
                <w:rFonts w:ascii="Arial Narrow" w:hAnsi="Arial Narrow" w:cs="Times New Roman"/>
                <w:sz w:val="18"/>
                <w:szCs w:val="20"/>
              </w:rPr>
              <w:t xml:space="preserve"> University of Iowa Holden Comprehensive Cancer Center Population Research Core, supported by a National Institutes of Health National Cancer Institute grant. </w:t>
            </w:r>
          </w:p>
          <w:p w14:paraId="1F8B5765"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 xml:space="preserve">Financial interests declared relate to US government funding only. </w:t>
            </w:r>
          </w:p>
          <w:p w14:paraId="3FA483FA"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Ethics:</w:t>
            </w:r>
            <w:r w:rsidRPr="003B4D22">
              <w:rPr>
                <w:rFonts w:ascii="Arial Narrow" w:hAnsi="Arial Narrow" w:cs="Times New Roman"/>
                <w:sz w:val="18"/>
                <w:szCs w:val="20"/>
              </w:rPr>
              <w:t xml:space="preserve"> approved by the University of Iowa Institutional Review Board.</w:t>
            </w:r>
          </w:p>
          <w:p w14:paraId="02615B80" w14:textId="77777777" w:rsidR="00D7461D" w:rsidRPr="003B4D22" w:rsidRDefault="00D7461D" w:rsidP="00D7461D">
            <w:pPr>
              <w:spacing w:after="40" w:line="240" w:lineRule="auto"/>
              <w:ind w:left="-57"/>
              <w:jc w:val="left"/>
              <w:rPr>
                <w:rFonts w:ascii="Arial Narrow" w:hAnsi="Arial Narrow" w:cs="Times New Roman"/>
                <w:sz w:val="18"/>
                <w:szCs w:val="20"/>
                <w:u w:val="single"/>
              </w:rPr>
            </w:pPr>
          </w:p>
        </w:tc>
      </w:tr>
      <w:tr w:rsidR="00D7461D" w:rsidRPr="003B4D22" w14:paraId="7F8F8962" w14:textId="77777777" w:rsidTr="002874D8">
        <w:trPr>
          <w:trHeight w:val="293"/>
        </w:trPr>
        <w:tc>
          <w:tcPr>
            <w:tcW w:w="1129" w:type="dxa"/>
          </w:tcPr>
          <w:p w14:paraId="384ADE59"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Blombery et al., 2011</w:t>
            </w:r>
          </w:p>
          <w:p w14:paraId="2B40CCE2"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Australia (Peter MacCallum)</w:t>
            </w:r>
          </w:p>
          <w:p w14:paraId="7000B7B1"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Single centre</w:t>
            </w:r>
          </w:p>
        </w:tc>
        <w:tc>
          <w:tcPr>
            <w:tcW w:w="1134" w:type="dxa"/>
          </w:tcPr>
          <w:p w14:paraId="6693E6FA"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Retrospective cohort [1 Jan 2000 – 31 Dec 2009]</w:t>
            </w:r>
          </w:p>
          <w:p w14:paraId="5310F164" w14:textId="1C403C6E"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RoB: high (SIGN)</w:t>
            </w:r>
          </w:p>
        </w:tc>
        <w:tc>
          <w:tcPr>
            <w:tcW w:w="1843" w:type="dxa"/>
          </w:tcPr>
          <w:p w14:paraId="4C096ABC"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N=240 (MM; auto-HSCT)</w:t>
            </w:r>
          </w:p>
          <w:p w14:paraId="20508D3C"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Median age</w:t>
            </w:r>
            <w:r w:rsidRPr="003B4D22">
              <w:rPr>
                <w:rFonts w:ascii="Arial Narrow" w:hAnsi="Arial Narrow" w:cs="Times New Roman"/>
                <w:sz w:val="18"/>
                <w:szCs w:val="20"/>
              </w:rPr>
              <w:t xml:space="preserve"> (range) IVIg/noIVIg: </w:t>
            </w:r>
            <w:r w:rsidRPr="003B4D22">
              <w:rPr>
                <w:rFonts w:ascii="Arial Narrow" w:hAnsi="Arial Narrow" w:cs="Times New Roman"/>
                <w:sz w:val="18"/>
                <w:szCs w:val="20"/>
              </w:rPr>
              <w:br/>
              <w:t>58(34–74)/60(31–79)</w:t>
            </w:r>
          </w:p>
          <w:p w14:paraId="4D46EF98"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Median total Ig</w:t>
            </w:r>
            <w:r w:rsidRPr="003B4D22">
              <w:rPr>
                <w:rFonts w:ascii="Arial Narrow" w:hAnsi="Arial Narrow" w:cs="Times New Roman"/>
                <w:sz w:val="18"/>
                <w:szCs w:val="20"/>
              </w:rPr>
              <w:t>, g/L (range) IVIg/no IVIg: 3(0–8)/3(1–7)</w:t>
            </w:r>
          </w:p>
          <w:p w14:paraId="356267EC"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Median days of neutropenia</w:t>
            </w:r>
            <w:r w:rsidRPr="003B4D22">
              <w:rPr>
                <w:rFonts w:ascii="Arial Narrow" w:hAnsi="Arial Narrow" w:cs="Times New Roman"/>
                <w:sz w:val="18"/>
                <w:szCs w:val="20"/>
              </w:rPr>
              <w:t xml:space="preserve"> ANC &lt;0.5x10</w:t>
            </w:r>
            <w:r w:rsidRPr="003B4D22">
              <w:rPr>
                <w:rFonts w:ascii="Arial Narrow" w:hAnsi="Arial Narrow" w:cs="Times New Roman"/>
                <w:sz w:val="18"/>
                <w:szCs w:val="20"/>
                <w:vertAlign w:val="superscript"/>
              </w:rPr>
              <w:t>9</w:t>
            </w:r>
            <w:r w:rsidRPr="003B4D22">
              <w:rPr>
                <w:rFonts w:ascii="Arial Narrow" w:hAnsi="Arial Narrow" w:cs="Times New Roman"/>
                <w:sz w:val="18"/>
                <w:szCs w:val="20"/>
              </w:rPr>
              <w:t>/L (range):</w:t>
            </w:r>
            <w:r w:rsidRPr="003B4D22">
              <w:rPr>
                <w:rFonts w:ascii="Arial Narrow" w:hAnsi="Arial Narrow" w:cs="Times New Roman"/>
                <w:sz w:val="18"/>
                <w:szCs w:val="20"/>
              </w:rPr>
              <w:br/>
              <w:t xml:space="preserve">IVIg: 5 (3–24) </w:t>
            </w:r>
            <w:r w:rsidRPr="003B4D22">
              <w:rPr>
                <w:rFonts w:ascii="Arial Narrow" w:hAnsi="Arial Narrow" w:cs="Times New Roman"/>
                <w:sz w:val="18"/>
                <w:szCs w:val="20"/>
              </w:rPr>
              <w:br/>
              <w:t>No IVIg: 5 (3–18)</w:t>
            </w:r>
          </w:p>
        </w:tc>
        <w:tc>
          <w:tcPr>
            <w:tcW w:w="2268" w:type="dxa"/>
          </w:tcPr>
          <w:p w14:paraId="1B398A13"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Inclusion</w:t>
            </w:r>
            <w:r w:rsidRPr="003B4D22">
              <w:rPr>
                <w:rFonts w:ascii="Arial Narrow" w:hAnsi="Arial Narrow" w:cs="Times New Roman"/>
                <w:sz w:val="18"/>
                <w:szCs w:val="20"/>
              </w:rPr>
              <w:t>: MM patients receiving auto-HSCT; pre-transplant hypo-GG (defined as combined IgG/A/M &lt;8g/L excluding paraprotein).</w:t>
            </w:r>
          </w:p>
          <w:p w14:paraId="0972BD5E"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Exclusion:</w:t>
            </w:r>
            <w:r w:rsidRPr="003B4D22">
              <w:rPr>
                <w:rFonts w:ascii="Arial Narrow" w:hAnsi="Arial Narrow" w:cs="Times New Roman"/>
                <w:sz w:val="18"/>
                <w:szCs w:val="20"/>
              </w:rPr>
              <w:t xml:space="preserve"> none described.</w:t>
            </w:r>
          </w:p>
          <w:p w14:paraId="11D7770C"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Objectives</w:t>
            </w:r>
            <w:r w:rsidRPr="003B4D22">
              <w:rPr>
                <w:rFonts w:ascii="Arial Narrow" w:hAnsi="Arial Narrow" w:cs="Times New Roman"/>
                <w:sz w:val="18"/>
                <w:szCs w:val="20"/>
              </w:rPr>
              <w:t xml:space="preserve">: does peri-transplant IVIg (0.4g/kg) reduce infectious complications in MM patients after HSCT?  </w:t>
            </w:r>
          </w:p>
        </w:tc>
        <w:tc>
          <w:tcPr>
            <w:tcW w:w="1843" w:type="dxa"/>
          </w:tcPr>
          <w:p w14:paraId="11FECE2B"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IVIg</w:t>
            </w:r>
            <w:r w:rsidRPr="003B4D22">
              <w:rPr>
                <w:rFonts w:ascii="Arial Narrow" w:hAnsi="Arial Narrow" w:cs="Times New Roman"/>
                <w:sz w:val="18"/>
                <w:szCs w:val="20"/>
              </w:rPr>
              <w:t xml:space="preserve"> (n=130): one 0.4g/kg IVIg dose (123 patients (94.6%) received this dose)</w:t>
            </w:r>
          </w:p>
          <w:p w14:paraId="7738140B"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Single dose given peri-transplant (d−30 to d+30)(104 patients, [80%] received IVIG between days −2 to +2).</w:t>
            </w:r>
          </w:p>
          <w:p w14:paraId="3D65F4B0"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&gt;95% received Intragam P, (CSL).</w:t>
            </w:r>
          </w:p>
          <w:p w14:paraId="0B68E62C"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25 patients (19.2%) received IVIg as part of ongoing (multi-dose) replacement tx for MM.</w:t>
            </w:r>
          </w:p>
          <w:p w14:paraId="5252DE7B" w14:textId="77777777" w:rsidR="00D7461D" w:rsidRPr="003B4D22" w:rsidRDefault="00D7461D" w:rsidP="00D7461D">
            <w:pPr>
              <w:spacing w:before="0" w:after="40" w:line="240" w:lineRule="auto"/>
              <w:ind w:left="-57"/>
              <w:jc w:val="left"/>
              <w:rPr>
                <w:rFonts w:ascii="Arial Narrow" w:hAnsi="Arial Narrow" w:cs="Times New Roman"/>
                <w:i/>
                <w:sz w:val="18"/>
                <w:szCs w:val="20"/>
              </w:rPr>
            </w:pPr>
            <w:r w:rsidRPr="003B4D22">
              <w:rPr>
                <w:rFonts w:ascii="Arial Narrow" w:hAnsi="Arial Narrow" w:cs="Times New Roman"/>
                <w:i/>
                <w:sz w:val="18"/>
                <w:szCs w:val="20"/>
              </w:rPr>
              <w:lastRenderedPageBreak/>
              <w:t>Management of febrile neutropenia same as for control group.</w:t>
            </w:r>
          </w:p>
        </w:tc>
        <w:tc>
          <w:tcPr>
            <w:tcW w:w="1843" w:type="dxa"/>
          </w:tcPr>
          <w:p w14:paraId="502DECE0"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lastRenderedPageBreak/>
              <w:t>No IVIg</w:t>
            </w:r>
            <w:r w:rsidRPr="003B4D22">
              <w:rPr>
                <w:rFonts w:ascii="Arial Narrow" w:hAnsi="Arial Narrow" w:cs="Times New Roman"/>
                <w:sz w:val="18"/>
                <w:szCs w:val="20"/>
              </w:rPr>
              <w:t xml:space="preserve"> (n=110): auto-HSCT patients receiving no IVIg in peritransplant period (days −30 to +30)</w:t>
            </w:r>
          </w:p>
          <w:p w14:paraId="0CE51F33" w14:textId="77777777" w:rsidR="00D7461D" w:rsidRPr="003B4D22" w:rsidRDefault="00D7461D" w:rsidP="00D7461D">
            <w:pPr>
              <w:spacing w:before="0" w:after="40" w:line="240" w:lineRule="auto"/>
              <w:ind w:left="-57"/>
              <w:jc w:val="left"/>
              <w:rPr>
                <w:rFonts w:ascii="Arial Narrow" w:hAnsi="Arial Narrow" w:cs="Times New Roman"/>
                <w:i/>
                <w:sz w:val="18"/>
                <w:szCs w:val="20"/>
              </w:rPr>
            </w:pPr>
            <w:r w:rsidRPr="003B4D22">
              <w:rPr>
                <w:rFonts w:ascii="Arial Narrow" w:hAnsi="Arial Narrow" w:cs="Times New Roman"/>
                <w:i/>
                <w:sz w:val="18"/>
                <w:szCs w:val="20"/>
              </w:rPr>
              <w:t>Cefepime (until 2004) or piperacillin–tazobactam (2004–2009) given to patients with febrile neutropenia. Management of febrile neutropenia and use of G-CSF was according to institutional guidelines.</w:t>
            </w:r>
          </w:p>
        </w:tc>
        <w:tc>
          <w:tcPr>
            <w:tcW w:w="2268" w:type="dxa"/>
          </w:tcPr>
          <w:p w14:paraId="4CEAA87D"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Outcomes:</w:t>
            </w:r>
            <w:r w:rsidRPr="003B4D22">
              <w:rPr>
                <w:rFonts w:ascii="Arial Narrow" w:hAnsi="Arial Narrow" w:cs="Times New Roman"/>
                <w:sz w:val="18"/>
                <w:szCs w:val="20"/>
              </w:rPr>
              <w:t xml:space="preserve"> infections within 30 days post-transplant (days of intravenous antimicrobial agents number of febrile days); survival post-ASCT</w:t>
            </w:r>
          </w:p>
          <w:p w14:paraId="614EAFC1" w14:textId="77777777" w:rsidR="00D7461D" w:rsidRPr="003B4D22" w:rsidRDefault="00D7461D" w:rsidP="00D7461D">
            <w:pPr>
              <w:spacing w:before="0" w:after="40" w:line="240" w:lineRule="auto"/>
              <w:ind w:left="-57"/>
              <w:jc w:val="left"/>
              <w:rPr>
                <w:rFonts w:ascii="Arial Narrow" w:hAnsi="Arial Narrow" w:cs="Times New Roman"/>
                <w:sz w:val="18"/>
                <w:szCs w:val="20"/>
                <w:u w:val="single"/>
              </w:rPr>
            </w:pPr>
            <w:r w:rsidRPr="003B4D22">
              <w:rPr>
                <w:rFonts w:ascii="Arial Narrow" w:hAnsi="Arial Narrow" w:cs="Times New Roman"/>
                <w:sz w:val="18"/>
                <w:szCs w:val="20"/>
                <w:u w:val="single"/>
              </w:rPr>
              <w:t>Analyses:</w:t>
            </w:r>
            <w:r w:rsidRPr="003B4D22">
              <w:rPr>
                <w:rFonts w:ascii="Arial Narrow" w:hAnsi="Arial Narrow" w:cs="Times New Roman"/>
                <w:sz w:val="18"/>
                <w:szCs w:val="20"/>
              </w:rPr>
              <w:t xml:space="preserve"> Association of categorical variables tested using Fisher's exact test; quantitative variables using Student's t test and Mann–Whitney rank-sum test. Survival data analysed by log-rank test.</w:t>
            </w:r>
          </w:p>
          <w:p w14:paraId="22B971FB" w14:textId="77777777" w:rsidR="00D7461D" w:rsidRPr="003B4D22" w:rsidRDefault="00D7461D" w:rsidP="00D7461D">
            <w:pPr>
              <w:spacing w:before="0" w:after="40" w:line="240" w:lineRule="auto"/>
              <w:ind w:left="-57"/>
              <w:jc w:val="left"/>
              <w:rPr>
                <w:rFonts w:ascii="Arial Narrow" w:hAnsi="Arial Narrow" w:cs="Times New Roman"/>
                <w:sz w:val="18"/>
                <w:szCs w:val="20"/>
                <w:u w:val="single"/>
              </w:rPr>
            </w:pPr>
            <w:r w:rsidRPr="003B4D22">
              <w:rPr>
                <w:rFonts w:ascii="Arial Narrow" w:hAnsi="Arial Narrow" w:cs="Times New Roman"/>
                <w:sz w:val="18"/>
                <w:szCs w:val="20"/>
                <w:u w:val="single"/>
              </w:rPr>
              <w:t>Follow-up:</w:t>
            </w:r>
            <w:r w:rsidRPr="003B4D22">
              <w:rPr>
                <w:rFonts w:ascii="Arial Narrow" w:hAnsi="Arial Narrow" w:cs="Times New Roman"/>
                <w:sz w:val="18"/>
                <w:szCs w:val="20"/>
              </w:rPr>
              <w:t xml:space="preserve"> 30 days (not including survival outcomes culled from patient records.</w:t>
            </w:r>
          </w:p>
        </w:tc>
        <w:tc>
          <w:tcPr>
            <w:tcW w:w="1984" w:type="dxa"/>
          </w:tcPr>
          <w:p w14:paraId="3F566F1E" w14:textId="77777777" w:rsidR="00D7461D" w:rsidRPr="003B4D22" w:rsidRDefault="00D7461D" w:rsidP="00D7461D">
            <w:pPr>
              <w:spacing w:before="0" w:after="40" w:line="240" w:lineRule="auto"/>
              <w:ind w:left="-57"/>
              <w:jc w:val="left"/>
              <w:rPr>
                <w:rFonts w:ascii="Arial Narrow" w:hAnsi="Arial Narrow" w:cs="Times New Roman"/>
                <w:i/>
                <w:sz w:val="18"/>
                <w:szCs w:val="20"/>
              </w:rPr>
            </w:pPr>
            <w:r w:rsidRPr="003B4D22">
              <w:rPr>
                <w:rFonts w:ascii="Arial Narrow" w:hAnsi="Arial Narrow" w:cs="Times New Roman"/>
                <w:sz w:val="18"/>
                <w:szCs w:val="20"/>
                <w:u w:val="single"/>
              </w:rPr>
              <w:t>Ethics</w:t>
            </w:r>
            <w:r w:rsidRPr="003B4D22">
              <w:rPr>
                <w:rFonts w:ascii="Arial Narrow" w:hAnsi="Arial Narrow" w:cs="Times New Roman"/>
                <w:sz w:val="18"/>
                <w:szCs w:val="20"/>
              </w:rPr>
              <w:t xml:space="preserve">: </w:t>
            </w:r>
            <w:r w:rsidRPr="003B4D22">
              <w:rPr>
                <w:rFonts w:ascii="Arial Narrow" w:hAnsi="Arial Narrow" w:cs="Times New Roman"/>
                <w:i/>
                <w:sz w:val="18"/>
                <w:szCs w:val="20"/>
              </w:rPr>
              <w:t>study approved by the institutional ethics committee.</w:t>
            </w:r>
          </w:p>
          <w:p w14:paraId="71F1AFEE" w14:textId="77777777" w:rsidR="00D7461D" w:rsidRPr="003B4D22" w:rsidRDefault="00D7461D" w:rsidP="00D7461D">
            <w:pPr>
              <w:spacing w:before="0" w:after="40" w:line="240" w:lineRule="auto"/>
              <w:ind w:left="-57"/>
              <w:jc w:val="left"/>
              <w:rPr>
                <w:rFonts w:ascii="Arial Narrow" w:hAnsi="Arial Narrow" w:cs="Times New Roman"/>
                <w:i/>
                <w:sz w:val="18"/>
                <w:szCs w:val="20"/>
              </w:rPr>
            </w:pPr>
            <w:r w:rsidRPr="003B4D22">
              <w:rPr>
                <w:rFonts w:ascii="Arial Narrow" w:hAnsi="Arial Narrow" w:cs="Times New Roman"/>
                <w:sz w:val="18"/>
                <w:szCs w:val="20"/>
                <w:u w:val="single"/>
              </w:rPr>
              <w:t>Funding:</w:t>
            </w:r>
            <w:r w:rsidRPr="003B4D22">
              <w:rPr>
                <w:rFonts w:ascii="Arial Narrow" w:hAnsi="Arial Narrow" w:cs="Times New Roman"/>
                <w:sz w:val="18"/>
                <w:szCs w:val="20"/>
              </w:rPr>
              <w:t xml:space="preserve"> </w:t>
            </w:r>
            <w:r w:rsidRPr="003B4D22">
              <w:rPr>
                <w:rFonts w:ascii="Arial Narrow" w:hAnsi="Arial Narrow" w:cs="Times New Roman"/>
                <w:i/>
                <w:sz w:val="18"/>
                <w:szCs w:val="20"/>
              </w:rPr>
              <w:t>none (one author employed by ARCBS).</w:t>
            </w:r>
          </w:p>
          <w:p w14:paraId="5FF73C17" w14:textId="77777777" w:rsidR="00D7461D" w:rsidRPr="003B4D22" w:rsidRDefault="00D7461D" w:rsidP="00D7461D">
            <w:pPr>
              <w:spacing w:before="0" w:after="40" w:line="240" w:lineRule="auto"/>
              <w:ind w:left="-57"/>
              <w:jc w:val="left"/>
              <w:rPr>
                <w:rFonts w:ascii="Arial Narrow" w:hAnsi="Arial Narrow" w:cs="Times New Roman"/>
                <w:i/>
                <w:sz w:val="18"/>
                <w:szCs w:val="20"/>
              </w:rPr>
            </w:pPr>
            <w:r w:rsidRPr="003B4D22">
              <w:rPr>
                <w:rFonts w:ascii="Arial Narrow" w:hAnsi="Arial Narrow" w:cs="Times New Roman"/>
                <w:i/>
                <w:sz w:val="18"/>
                <w:szCs w:val="20"/>
              </w:rPr>
              <w:t>IVIg tx is physician’s preference – no formal unit policy for IVIg in HSCT.</w:t>
            </w:r>
          </w:p>
          <w:p w14:paraId="2AC9174C" w14:textId="77777777" w:rsidR="00D7461D" w:rsidRPr="003B4D22" w:rsidRDefault="00D7461D" w:rsidP="00D7461D">
            <w:pPr>
              <w:spacing w:before="0" w:after="40" w:line="240" w:lineRule="auto"/>
              <w:ind w:left="-57"/>
              <w:jc w:val="left"/>
              <w:rPr>
                <w:rFonts w:ascii="Arial Narrow" w:hAnsi="Arial Narrow" w:cs="Times New Roman"/>
                <w:i/>
                <w:sz w:val="18"/>
                <w:szCs w:val="20"/>
              </w:rPr>
            </w:pPr>
            <w:r w:rsidRPr="003B4D22">
              <w:rPr>
                <w:rFonts w:ascii="Arial Narrow" w:hAnsi="Arial Narrow" w:cs="Times New Roman"/>
                <w:i/>
                <w:sz w:val="18"/>
                <w:szCs w:val="20"/>
              </w:rPr>
              <w:t>Patients typically received antifungal prophylaxis (fluconazole 200mg daily) and antiviral prophylaxis (valacyclovir 500mg daily) whilst neutropenic.</w:t>
            </w:r>
          </w:p>
        </w:tc>
      </w:tr>
      <w:tr w:rsidR="00D7461D" w:rsidRPr="003B4D22" w14:paraId="589651C3" w14:textId="77777777" w:rsidTr="006B4C5F">
        <w:trPr>
          <w:trHeight w:val="293"/>
        </w:trPr>
        <w:tc>
          <w:tcPr>
            <w:tcW w:w="1129" w:type="dxa"/>
          </w:tcPr>
          <w:p w14:paraId="56563113"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lastRenderedPageBreak/>
              <w:t>Paxton et al., 2016</w:t>
            </w:r>
          </w:p>
          <w:p w14:paraId="43A595B2"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Australia (Canberra Hospital)</w:t>
            </w:r>
          </w:p>
          <w:p w14:paraId="426CA7CE"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Single centre</w:t>
            </w:r>
          </w:p>
        </w:tc>
        <w:tc>
          <w:tcPr>
            <w:tcW w:w="1134" w:type="dxa"/>
          </w:tcPr>
          <w:p w14:paraId="5D6E5104"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Retrospective cohort [2009-2013]</w:t>
            </w:r>
          </w:p>
          <w:p w14:paraId="6C26F5B8"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RoB: high (SIGN)</w:t>
            </w:r>
          </w:p>
        </w:tc>
        <w:tc>
          <w:tcPr>
            <w:tcW w:w="1843" w:type="dxa"/>
          </w:tcPr>
          <w:p w14:paraId="2DAD89EF"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 xml:space="preserve">N=92 </w:t>
            </w:r>
            <w:r w:rsidRPr="003B4D22">
              <w:rPr>
                <w:rFonts w:ascii="Arial Narrow" w:hAnsi="Arial Narrow" w:cs="Times New Roman"/>
                <w:sz w:val="18"/>
                <w:szCs w:val="20"/>
              </w:rPr>
              <w:br/>
              <w:t>[CLL(42); MM(18); B-cell NHL(27); other(5) (AML, T-cell NHL, amyloidosis, post-HSCT)]</w:t>
            </w:r>
          </w:p>
          <w:p w14:paraId="7591537D"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Sex</w:t>
            </w:r>
            <w:r w:rsidRPr="003B4D22">
              <w:rPr>
                <w:rFonts w:ascii="Arial Narrow" w:hAnsi="Arial Narrow" w:cs="Times New Roman"/>
                <w:sz w:val="18"/>
                <w:szCs w:val="20"/>
              </w:rPr>
              <w:t xml:space="preserve"> ♀/♂: 42/50</w:t>
            </w:r>
          </w:p>
          <w:p w14:paraId="633CCF0E"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Age</w:t>
            </w:r>
            <w:r w:rsidRPr="003B4D22">
              <w:rPr>
                <w:rFonts w:ascii="Arial Narrow" w:hAnsi="Arial Narrow" w:cs="Times New Roman"/>
                <w:sz w:val="18"/>
                <w:szCs w:val="20"/>
              </w:rPr>
              <w:t>, mean±sd yrs IVIg/NoIVIg: 68.2±12/66.7±11</w:t>
            </w:r>
          </w:p>
          <w:p w14:paraId="2EE0349D" w14:textId="77777777" w:rsidR="00D7461D" w:rsidRPr="003B4D22" w:rsidRDefault="00D7461D" w:rsidP="00D7461D">
            <w:pPr>
              <w:spacing w:before="0" w:after="40" w:line="240" w:lineRule="auto"/>
              <w:ind w:left="-57"/>
              <w:jc w:val="left"/>
              <w:rPr>
                <w:rFonts w:ascii="Arial Narrow" w:hAnsi="Arial Narrow" w:cs="Times New Roman"/>
                <w:sz w:val="18"/>
                <w:szCs w:val="18"/>
              </w:rPr>
            </w:pPr>
            <w:r w:rsidRPr="003B4D22">
              <w:rPr>
                <w:rFonts w:ascii="Arial Narrow" w:hAnsi="Arial Narrow" w:cs="Times New Roman"/>
                <w:sz w:val="18"/>
                <w:szCs w:val="18"/>
                <w:u w:val="single"/>
              </w:rPr>
              <w:t>Mean IgG</w:t>
            </w:r>
            <w:r w:rsidRPr="003B4D22">
              <w:rPr>
                <w:rFonts w:ascii="Arial Narrow" w:hAnsi="Arial Narrow" w:cs="Times New Roman"/>
                <w:sz w:val="18"/>
                <w:szCs w:val="18"/>
              </w:rPr>
              <w:t xml:space="preserve"> g/L±sd</w:t>
            </w:r>
            <w:r w:rsidRPr="003B4D22">
              <w:rPr>
                <w:rFonts w:ascii="Arial Narrow" w:hAnsi="Arial Narrow" w:cs="Times New Roman"/>
                <w:sz w:val="18"/>
                <w:szCs w:val="18"/>
              </w:rPr>
              <w:br/>
              <w:t>IVIg: 2.8±1.6</w:t>
            </w:r>
            <w:r w:rsidRPr="003B4D22">
              <w:rPr>
                <w:rFonts w:ascii="Arial Narrow" w:hAnsi="Arial Narrow" w:cs="Times New Roman"/>
                <w:sz w:val="18"/>
                <w:szCs w:val="18"/>
              </w:rPr>
              <w:br/>
              <w:t>No IVIg: 4.0±1.6</w:t>
            </w:r>
          </w:p>
          <w:p w14:paraId="6A4F2D6B"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18"/>
                <w:u w:val="single"/>
              </w:rPr>
              <w:t>Low IgG</w:t>
            </w:r>
            <w:r w:rsidRPr="003B4D22">
              <w:rPr>
                <w:rFonts w:ascii="Arial Narrow" w:hAnsi="Arial Narrow" w:cs="Times New Roman"/>
                <w:sz w:val="18"/>
                <w:szCs w:val="18"/>
              </w:rPr>
              <w:t>, n(%):</w:t>
            </w:r>
            <w:r w:rsidRPr="003B4D22">
              <w:rPr>
                <w:rFonts w:ascii="Arial Narrow" w:hAnsi="Arial Narrow" w:cs="Times New Roman"/>
                <w:sz w:val="18"/>
                <w:szCs w:val="18"/>
              </w:rPr>
              <w:br/>
              <w:t>&lt;4g/L: 56 (61)</w:t>
            </w:r>
            <w:r w:rsidRPr="003B4D22">
              <w:rPr>
                <w:rFonts w:ascii="Arial Narrow" w:hAnsi="Arial Narrow" w:cs="Times New Roman"/>
                <w:sz w:val="18"/>
                <w:szCs w:val="18"/>
              </w:rPr>
              <w:br/>
              <w:t>≥4g/L: 36 (39)</w:t>
            </w:r>
          </w:p>
        </w:tc>
        <w:tc>
          <w:tcPr>
            <w:tcW w:w="2268" w:type="dxa"/>
          </w:tcPr>
          <w:p w14:paraId="7A8E5F86"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Inclusion:</w:t>
            </w:r>
            <w:r w:rsidRPr="003B4D22">
              <w:rPr>
                <w:rFonts w:ascii="Arial Narrow" w:hAnsi="Arial Narrow" w:cs="Times New Roman"/>
                <w:sz w:val="18"/>
                <w:szCs w:val="20"/>
              </w:rPr>
              <w:t xml:space="preserve"> haematological malignancy patients who either (1) received IVIg for infection prophylaxis or (2) untreated controls with at least 1 serum IgG value &lt;LLN.  </w:t>
            </w:r>
          </w:p>
          <w:p w14:paraId="42F388F9"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Exclusion:</w:t>
            </w:r>
            <w:r w:rsidRPr="003B4D22">
              <w:rPr>
                <w:rFonts w:ascii="Arial Narrow" w:hAnsi="Arial Narrow" w:cs="Times New Roman"/>
                <w:sz w:val="18"/>
                <w:szCs w:val="20"/>
              </w:rPr>
              <w:t xml:space="preserve"> IVIg for indications other than infection prophylaxis.</w:t>
            </w:r>
          </w:p>
          <w:p w14:paraId="13DA8483"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Objectives</w:t>
            </w:r>
            <w:r w:rsidRPr="003B4D22">
              <w:rPr>
                <w:rFonts w:ascii="Arial Narrow" w:hAnsi="Arial Narrow" w:cs="Times New Roman"/>
                <w:sz w:val="18"/>
                <w:szCs w:val="20"/>
              </w:rPr>
              <w:t>: a retrospective study to determine the absence of a history of recurrent or severe infections affects efficacy and safety of IVIg in patients with haematological malignancy and hypo-GG.</w:t>
            </w:r>
          </w:p>
        </w:tc>
        <w:tc>
          <w:tcPr>
            <w:tcW w:w="1843" w:type="dxa"/>
          </w:tcPr>
          <w:p w14:paraId="411A5714" w14:textId="77777777" w:rsidR="00D7461D" w:rsidRPr="003B4D22" w:rsidRDefault="00D7461D" w:rsidP="00D7461D">
            <w:pPr>
              <w:spacing w:before="0" w:after="40" w:line="240" w:lineRule="auto"/>
              <w:ind w:left="-57"/>
              <w:jc w:val="left"/>
              <w:rPr>
                <w:rFonts w:ascii="Arial Narrow" w:hAnsi="Arial Narrow" w:cs="Times New Roman"/>
                <w:sz w:val="18"/>
                <w:szCs w:val="20"/>
                <w:u w:val="single"/>
              </w:rPr>
            </w:pPr>
            <w:r w:rsidRPr="003B4D22">
              <w:rPr>
                <w:rFonts w:ascii="Arial Narrow" w:hAnsi="Arial Narrow" w:cs="Times New Roman"/>
                <w:sz w:val="18"/>
                <w:szCs w:val="20"/>
                <w:u w:val="single"/>
              </w:rPr>
              <w:t>IVIg</w:t>
            </w:r>
            <w:r w:rsidRPr="003B4D22">
              <w:rPr>
                <w:rFonts w:ascii="Arial Narrow" w:hAnsi="Arial Narrow" w:cs="Times New Roman"/>
                <w:sz w:val="18"/>
                <w:szCs w:val="20"/>
              </w:rPr>
              <w:t>, n (%)=35 (38)</w:t>
            </w:r>
          </w:p>
          <w:p w14:paraId="2A8B6AAA" w14:textId="77777777" w:rsidR="00D7461D" w:rsidRPr="003B4D22" w:rsidRDefault="00D7461D" w:rsidP="00D7461D">
            <w:pPr>
              <w:spacing w:before="0" w:after="40" w:line="240" w:lineRule="auto"/>
              <w:ind w:left="-57"/>
              <w:jc w:val="left"/>
              <w:rPr>
                <w:rFonts w:ascii="Arial Narrow" w:hAnsi="Arial Narrow" w:cs="Times New Roman"/>
                <w:i/>
                <w:sz w:val="18"/>
                <w:szCs w:val="20"/>
              </w:rPr>
            </w:pPr>
            <w:r w:rsidRPr="003B4D22">
              <w:rPr>
                <w:rFonts w:ascii="Arial Narrow" w:hAnsi="Arial Narrow" w:cs="Times New Roman"/>
                <w:i/>
                <w:sz w:val="18"/>
                <w:szCs w:val="20"/>
              </w:rPr>
              <w:t xml:space="preserve">Antibiotics are not routine practice for hypo-GG but co-trimoxazole and fluconazole are given [routinely] with chemotherapy involving high-dose steroids, purine analogues or transplantation. </w:t>
            </w:r>
          </w:p>
          <w:p w14:paraId="4187D1C7" w14:textId="77777777" w:rsidR="00D7461D" w:rsidRPr="003B4D22" w:rsidRDefault="00D7461D" w:rsidP="00D7461D">
            <w:pPr>
              <w:spacing w:before="0" w:after="40" w:line="240" w:lineRule="auto"/>
              <w:ind w:left="-57"/>
              <w:jc w:val="left"/>
              <w:rPr>
                <w:rFonts w:ascii="Arial Narrow" w:hAnsi="Arial Narrow" w:cs="Times New Roman"/>
                <w:i/>
                <w:sz w:val="18"/>
                <w:szCs w:val="20"/>
              </w:rPr>
            </w:pPr>
            <w:r w:rsidRPr="003B4D22">
              <w:rPr>
                <w:rFonts w:ascii="Arial Narrow" w:hAnsi="Arial Narrow" w:cs="Times New Roman"/>
                <w:i/>
                <w:sz w:val="18"/>
                <w:szCs w:val="20"/>
              </w:rPr>
              <w:t>Penicillin prophylaxis in 1 patient after allo-HSCT.</w:t>
            </w:r>
          </w:p>
          <w:p w14:paraId="128786DA"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No further details given – tx according to hospital practice.</w:t>
            </w:r>
          </w:p>
        </w:tc>
        <w:tc>
          <w:tcPr>
            <w:tcW w:w="1843" w:type="dxa"/>
          </w:tcPr>
          <w:p w14:paraId="744D1E93" w14:textId="77777777" w:rsidR="00D7461D" w:rsidRPr="003B4D22" w:rsidRDefault="00D7461D" w:rsidP="00D7461D">
            <w:pPr>
              <w:spacing w:before="0" w:after="40" w:line="240" w:lineRule="auto"/>
              <w:ind w:left="-57"/>
              <w:jc w:val="left"/>
              <w:rPr>
                <w:rFonts w:ascii="Arial Narrow" w:hAnsi="Arial Narrow" w:cs="Times New Roman"/>
                <w:sz w:val="18"/>
                <w:szCs w:val="20"/>
                <w:u w:val="single"/>
              </w:rPr>
            </w:pPr>
            <w:r w:rsidRPr="003B4D22">
              <w:rPr>
                <w:rFonts w:ascii="Arial Narrow" w:hAnsi="Arial Narrow" w:cs="Times New Roman"/>
                <w:sz w:val="18"/>
                <w:szCs w:val="20"/>
                <w:u w:val="single"/>
              </w:rPr>
              <w:t>No IVIg</w:t>
            </w:r>
            <w:r w:rsidRPr="003B4D22">
              <w:rPr>
                <w:rFonts w:ascii="Arial Narrow" w:hAnsi="Arial Narrow" w:cs="Times New Roman"/>
                <w:sz w:val="18"/>
                <w:szCs w:val="20"/>
              </w:rPr>
              <w:t>, n (%)=57 (62)</w:t>
            </w:r>
          </w:p>
          <w:p w14:paraId="4D9AF53F" w14:textId="77777777" w:rsidR="00D7461D" w:rsidRPr="003B4D22" w:rsidRDefault="00D7461D" w:rsidP="00D7461D">
            <w:pPr>
              <w:spacing w:before="0" w:after="40" w:line="240" w:lineRule="auto"/>
              <w:ind w:left="-57"/>
              <w:jc w:val="left"/>
              <w:rPr>
                <w:rFonts w:ascii="Arial Narrow" w:hAnsi="Arial Narrow" w:cs="Times New Roman"/>
                <w:i/>
                <w:sz w:val="18"/>
                <w:szCs w:val="20"/>
              </w:rPr>
            </w:pPr>
            <w:r w:rsidRPr="003B4D22">
              <w:rPr>
                <w:rFonts w:ascii="Arial Narrow" w:hAnsi="Arial Narrow" w:cs="Times New Roman"/>
                <w:i/>
                <w:sz w:val="18"/>
                <w:szCs w:val="20"/>
              </w:rPr>
              <w:t>Antibiotics/anti-infective prophylaxis as for IVIg.</w:t>
            </w:r>
          </w:p>
          <w:p w14:paraId="4CBF57DD"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No further details given – tx according to hospital practice.</w:t>
            </w:r>
          </w:p>
        </w:tc>
        <w:tc>
          <w:tcPr>
            <w:tcW w:w="2268" w:type="dxa"/>
          </w:tcPr>
          <w:p w14:paraId="639A9B4A"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Outcomes:</w:t>
            </w:r>
            <w:r w:rsidRPr="003B4D22">
              <w:rPr>
                <w:rFonts w:ascii="Arial Narrow" w:hAnsi="Arial Narrow" w:cs="Times New Roman"/>
                <w:sz w:val="18"/>
                <w:szCs w:val="20"/>
              </w:rPr>
              <w:t xml:space="preserve"> rate of serious infections, defined as those requiring hospital admission. Hospitalisation compared before and after HSCT. </w:t>
            </w:r>
          </w:p>
          <w:p w14:paraId="3D445633"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Analyses</w:t>
            </w:r>
            <w:r w:rsidRPr="003B4D22">
              <w:rPr>
                <w:rFonts w:ascii="Arial Narrow" w:hAnsi="Arial Narrow" w:cs="Times New Roman"/>
                <w:sz w:val="18"/>
                <w:szCs w:val="20"/>
              </w:rPr>
              <w:t>: Group characteristics compared using Fisher’s exact test for categorical variables or Student’s t-tests; event rates expressed as rate ratios with estimated variance to determine 95% confidence limits.</w:t>
            </w:r>
          </w:p>
          <w:p w14:paraId="01ABC716"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Patients stratified by IgG level±4g/L, diagnosis, age, sex.</w:t>
            </w:r>
          </w:p>
          <w:p w14:paraId="36014154"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Follow-up</w:t>
            </w:r>
            <w:r w:rsidRPr="003B4D22">
              <w:rPr>
                <w:rFonts w:ascii="Arial Narrow" w:hAnsi="Arial Narrow" w:cs="Times New Roman"/>
                <w:sz w:val="18"/>
                <w:szCs w:val="20"/>
              </w:rPr>
              <w:t xml:space="preserve"> not described.</w:t>
            </w:r>
          </w:p>
        </w:tc>
        <w:tc>
          <w:tcPr>
            <w:tcW w:w="1984" w:type="dxa"/>
          </w:tcPr>
          <w:p w14:paraId="6933FF0B"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Funding</w:t>
            </w:r>
            <w:r w:rsidRPr="003B4D22">
              <w:rPr>
                <w:rFonts w:ascii="Arial Narrow" w:hAnsi="Arial Narrow" w:cs="Times New Roman"/>
                <w:sz w:val="18"/>
                <w:szCs w:val="20"/>
              </w:rPr>
              <w:t>: None.</w:t>
            </w:r>
          </w:p>
          <w:p w14:paraId="0ACC3D70"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Ethics</w:t>
            </w:r>
            <w:r w:rsidRPr="003B4D22">
              <w:rPr>
                <w:rFonts w:ascii="Arial Narrow" w:hAnsi="Arial Narrow" w:cs="Times New Roman"/>
                <w:sz w:val="18"/>
                <w:szCs w:val="20"/>
              </w:rPr>
              <w:t xml:space="preserve">: approval was received from the ACT Health Human Research Ethics Committee. </w:t>
            </w:r>
          </w:p>
          <w:p w14:paraId="585DAF81" w14:textId="77777777" w:rsidR="00D7461D" w:rsidRPr="003B4D22" w:rsidRDefault="00D7461D" w:rsidP="00D7461D">
            <w:pPr>
              <w:spacing w:before="0" w:after="40" w:line="240" w:lineRule="auto"/>
              <w:ind w:left="-57"/>
              <w:jc w:val="left"/>
              <w:rPr>
                <w:rFonts w:ascii="Arial Narrow" w:hAnsi="Arial Narrow" w:cs="Times New Roman"/>
                <w:i/>
                <w:sz w:val="18"/>
                <w:szCs w:val="20"/>
              </w:rPr>
            </w:pPr>
            <w:r w:rsidRPr="003B4D22">
              <w:rPr>
                <w:rFonts w:ascii="Arial Narrow" w:hAnsi="Arial Narrow" w:cs="Times New Roman"/>
                <w:i/>
                <w:sz w:val="18"/>
                <w:szCs w:val="20"/>
              </w:rPr>
              <w:t>The untreated group had fewer cases with severe hypogammaglobulinaemia (51% vs 77%, P &lt; 0.01)</w:t>
            </w:r>
          </w:p>
          <w:p w14:paraId="1D22BC16"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[Comment: The untreated group had a much higher number of patients with IgG&gt;4g/L who would be expected to do better]</w:t>
            </w:r>
          </w:p>
        </w:tc>
      </w:tr>
      <w:tr w:rsidR="00D7461D" w:rsidRPr="003B4D22" w14:paraId="393A8333" w14:textId="77777777" w:rsidTr="006B4C5F">
        <w:tc>
          <w:tcPr>
            <w:tcW w:w="1129" w:type="dxa"/>
          </w:tcPr>
          <w:p w14:paraId="4E0D8B15"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Van Winkle et al., 2018</w:t>
            </w:r>
          </w:p>
          <w:p w14:paraId="789D83A3"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USA</w:t>
            </w:r>
          </w:p>
          <w:p w14:paraId="4DCFEA57"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 xml:space="preserve">Mutli-centre within single organisation </w:t>
            </w:r>
            <w:r w:rsidRPr="003B4D22">
              <w:rPr>
                <w:rFonts w:ascii="Arial Narrow" w:hAnsi="Arial Narrow" w:cs="Times New Roman"/>
                <w:sz w:val="18"/>
                <w:szCs w:val="20"/>
              </w:rPr>
              <w:br/>
              <w:t>(5 sites)</w:t>
            </w:r>
          </w:p>
        </w:tc>
        <w:tc>
          <w:tcPr>
            <w:tcW w:w="1134" w:type="dxa"/>
          </w:tcPr>
          <w:p w14:paraId="3C5DFBA0"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Retrospective cohort</w:t>
            </w:r>
          </w:p>
          <w:p w14:paraId="7C8AF1CD"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RoB: moderate (SIGN)</w:t>
            </w:r>
          </w:p>
        </w:tc>
        <w:tc>
          <w:tcPr>
            <w:tcW w:w="1843" w:type="dxa"/>
          </w:tcPr>
          <w:p w14:paraId="796B4D04"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N=118</w:t>
            </w:r>
          </w:p>
          <w:p w14:paraId="247682EC"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Sex</w:t>
            </w:r>
            <w:r w:rsidRPr="003B4D22">
              <w:rPr>
                <w:rFonts w:ascii="Arial Narrow" w:hAnsi="Arial Narrow" w:cs="Times New Roman"/>
                <w:sz w:val="18"/>
                <w:szCs w:val="20"/>
              </w:rPr>
              <w:t xml:space="preserve"> (%) ♀/♂: 55(47)/63(53)</w:t>
            </w:r>
          </w:p>
          <w:p w14:paraId="718963EF"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Age</w:t>
            </w:r>
            <w:r w:rsidRPr="003B4D22">
              <w:rPr>
                <w:rFonts w:ascii="Arial Narrow" w:hAnsi="Arial Narrow" w:cs="Times New Roman"/>
                <w:sz w:val="18"/>
                <w:szCs w:val="20"/>
              </w:rPr>
              <w:t>, mean yrs at diagnosis (range):</w:t>
            </w:r>
            <w:r w:rsidRPr="003B4D22">
              <w:rPr>
                <w:rFonts w:ascii="Arial Narrow" w:hAnsi="Arial Narrow" w:cs="Times New Roman"/>
                <w:sz w:val="18"/>
                <w:szCs w:val="20"/>
              </w:rPr>
              <w:br/>
              <w:t>IVIg: 7.9(0.8-19.8)</w:t>
            </w:r>
            <w:r w:rsidRPr="003B4D22">
              <w:rPr>
                <w:rFonts w:ascii="Arial Narrow" w:hAnsi="Arial Narrow" w:cs="Times New Roman"/>
                <w:sz w:val="18"/>
                <w:szCs w:val="20"/>
              </w:rPr>
              <w:br/>
              <w:t>No IVIg: 7.1(1.5-18.7)</w:t>
            </w:r>
          </w:p>
          <w:p w14:paraId="3ECBBD9D"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High risk</w:t>
            </w:r>
            <w:r w:rsidRPr="003B4D22">
              <w:rPr>
                <w:rFonts w:ascii="Arial Narrow" w:hAnsi="Arial Narrow" w:cs="Times New Roman"/>
                <w:sz w:val="18"/>
                <w:szCs w:val="20"/>
              </w:rPr>
              <w:t>, Y/N (%):</w:t>
            </w:r>
            <w:r w:rsidRPr="003B4D22">
              <w:rPr>
                <w:rFonts w:ascii="Arial Narrow" w:hAnsi="Arial Narrow" w:cs="Times New Roman"/>
                <w:sz w:val="18"/>
                <w:szCs w:val="20"/>
              </w:rPr>
              <w:br/>
              <w:t xml:space="preserve">IVIg: 20(56)/16(44) </w:t>
            </w:r>
            <w:r w:rsidRPr="003B4D22">
              <w:rPr>
                <w:rFonts w:ascii="Arial Narrow" w:hAnsi="Arial Narrow" w:cs="Times New Roman"/>
                <w:sz w:val="18"/>
                <w:szCs w:val="20"/>
              </w:rPr>
              <w:br/>
              <w:t>No IVIg:30(37)/52(63)</w:t>
            </w:r>
          </w:p>
          <w:p w14:paraId="2935F831"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Serum IgG</w:t>
            </w:r>
            <w:r w:rsidRPr="003B4D22">
              <w:rPr>
                <w:rFonts w:ascii="Arial Narrow" w:hAnsi="Arial Narrow" w:cs="Times New Roman"/>
                <w:sz w:val="18"/>
                <w:szCs w:val="20"/>
              </w:rPr>
              <w:t>, mean mg/dL (range):</w:t>
            </w:r>
            <w:r w:rsidRPr="003B4D22">
              <w:rPr>
                <w:rFonts w:ascii="Arial Narrow" w:hAnsi="Arial Narrow" w:cs="Times New Roman"/>
                <w:sz w:val="18"/>
                <w:szCs w:val="20"/>
              </w:rPr>
              <w:br/>
            </w:r>
            <w:r w:rsidRPr="003B4D22">
              <w:rPr>
                <w:rFonts w:ascii="Arial Narrow" w:hAnsi="Arial Narrow" w:cs="Times New Roman"/>
                <w:sz w:val="18"/>
                <w:szCs w:val="20"/>
                <w:u w:val="single"/>
              </w:rPr>
              <w:t>IVIg*</w:t>
            </w:r>
            <w:r w:rsidRPr="003B4D22">
              <w:rPr>
                <w:rFonts w:ascii="Arial Narrow" w:hAnsi="Arial Narrow" w:cs="Times New Roman"/>
                <w:sz w:val="18"/>
                <w:szCs w:val="20"/>
              </w:rPr>
              <w:t>: 474(89–785)</w:t>
            </w:r>
            <w:r w:rsidRPr="003B4D22">
              <w:rPr>
                <w:rFonts w:ascii="Arial Narrow" w:hAnsi="Arial Narrow" w:cs="Times New Roman"/>
                <w:sz w:val="18"/>
                <w:szCs w:val="20"/>
              </w:rPr>
              <w:br/>
              <w:t>No IVIg: no data.</w:t>
            </w:r>
            <w:r w:rsidRPr="003B4D22">
              <w:rPr>
                <w:rFonts w:ascii="Arial Narrow" w:hAnsi="Arial Narrow" w:cs="Times New Roman"/>
                <w:sz w:val="18"/>
                <w:szCs w:val="20"/>
              </w:rPr>
              <w:br/>
              <w:t>*only available for n/N=31/36; 24/31 patients had IgG&lt;LLN</w:t>
            </w:r>
          </w:p>
        </w:tc>
        <w:tc>
          <w:tcPr>
            <w:tcW w:w="2268" w:type="dxa"/>
          </w:tcPr>
          <w:p w14:paraId="167F4692"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Inclusion:</w:t>
            </w:r>
            <w:r w:rsidRPr="003B4D22">
              <w:rPr>
                <w:rFonts w:ascii="Arial Narrow" w:hAnsi="Arial Narrow" w:cs="Times New Roman"/>
                <w:sz w:val="18"/>
                <w:szCs w:val="20"/>
              </w:rPr>
              <w:t xml:space="preserve"> ALL; 9 mo – 19 yr; tx between 1 January 2008 – 1 July 2014; completion of 12+ months maintenance tx.</w:t>
            </w:r>
          </w:p>
          <w:p w14:paraId="2BC30F8E"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Exclusion:</w:t>
            </w:r>
            <w:r w:rsidRPr="003B4D22">
              <w:rPr>
                <w:rFonts w:ascii="Arial Narrow" w:hAnsi="Arial Narrow" w:cs="Times New Roman"/>
                <w:sz w:val="18"/>
                <w:szCs w:val="20"/>
              </w:rPr>
              <w:t xml:space="preserve"> &lt;6 months old at diagnosis; relapsed ALL without 12 months maintenance tx; receipt of BMT, concurrent or prior additional malignancies, and Down syndrome.</w:t>
            </w:r>
          </w:p>
          <w:p w14:paraId="75387D1F"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Objectives</w:t>
            </w:r>
            <w:r w:rsidRPr="003B4D22">
              <w:rPr>
                <w:rFonts w:ascii="Arial Narrow" w:hAnsi="Arial Narrow" w:cs="Times New Roman"/>
                <w:sz w:val="18"/>
                <w:szCs w:val="20"/>
              </w:rPr>
              <w:t>: Study of IVIg in children with ALL in remission receiving maintenance chemotherapy; including indications for initiation and discontinuation.</w:t>
            </w:r>
          </w:p>
        </w:tc>
        <w:tc>
          <w:tcPr>
            <w:tcW w:w="1843" w:type="dxa"/>
          </w:tcPr>
          <w:p w14:paraId="1324F37E"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IVIg</w:t>
            </w:r>
            <w:r w:rsidRPr="003B4D22">
              <w:rPr>
                <w:rFonts w:ascii="Arial Narrow" w:hAnsi="Arial Narrow" w:cs="Times New Roman"/>
                <w:sz w:val="18"/>
                <w:szCs w:val="20"/>
              </w:rPr>
              <w:t xml:space="preserve"> (n=36): 400mg/kg at 1 month intervals is standard in patients with serum IgG&lt;LLN, decision to treat was physician’s choice and actual dosing may vary. </w:t>
            </w:r>
          </w:p>
          <w:p w14:paraId="0B9DEB8A"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Duration not stated.</w:t>
            </w:r>
          </w:p>
          <w:p w14:paraId="4461BA8A"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Reason for IVIg (n=36):</w:t>
            </w:r>
            <w:r w:rsidRPr="003B4D22">
              <w:rPr>
                <w:rFonts w:ascii="Arial Narrow" w:hAnsi="Arial Narrow" w:cs="Times New Roman"/>
                <w:sz w:val="18"/>
                <w:szCs w:val="20"/>
              </w:rPr>
              <w:br/>
              <w:t>Infect. before chemo: 5</w:t>
            </w:r>
            <w:r w:rsidRPr="003B4D22">
              <w:rPr>
                <w:rFonts w:ascii="Arial Narrow" w:hAnsi="Arial Narrow" w:cs="Times New Roman"/>
                <w:sz w:val="18"/>
                <w:szCs w:val="20"/>
              </w:rPr>
              <w:br/>
              <w:t>Infect. during chemo: 16</w:t>
            </w:r>
            <w:r w:rsidRPr="003B4D22">
              <w:rPr>
                <w:rFonts w:ascii="Arial Narrow" w:hAnsi="Arial Narrow" w:cs="Times New Roman"/>
                <w:sz w:val="18"/>
                <w:szCs w:val="20"/>
              </w:rPr>
              <w:br/>
              <w:t>Viral exposure: 4</w:t>
            </w:r>
            <w:r w:rsidRPr="003B4D22">
              <w:rPr>
                <w:rFonts w:ascii="Arial Narrow" w:hAnsi="Arial Narrow" w:cs="Times New Roman"/>
                <w:sz w:val="18"/>
                <w:szCs w:val="20"/>
              </w:rPr>
              <w:br/>
              <w:t>Hypo-GG: 11</w:t>
            </w:r>
            <w:r w:rsidRPr="003B4D22">
              <w:rPr>
                <w:rFonts w:ascii="Arial Narrow" w:hAnsi="Arial Narrow" w:cs="Times New Roman"/>
                <w:sz w:val="18"/>
                <w:szCs w:val="20"/>
              </w:rPr>
              <w:br/>
            </w:r>
            <w:r w:rsidRPr="003B4D22">
              <w:rPr>
                <w:rFonts w:ascii="Arial Narrow" w:hAnsi="Arial Narrow" w:cs="Times New Roman"/>
                <w:sz w:val="18"/>
                <w:szCs w:val="20"/>
                <w:u w:val="single"/>
              </w:rPr>
              <w:t>Reason ceased (n=36):</w:t>
            </w:r>
            <w:r w:rsidRPr="003B4D22">
              <w:rPr>
                <w:rFonts w:ascii="Arial Narrow" w:hAnsi="Arial Narrow" w:cs="Times New Roman"/>
                <w:sz w:val="18"/>
                <w:szCs w:val="20"/>
              </w:rPr>
              <w:br/>
              <w:t>End of chemo: 16</w:t>
            </w:r>
            <w:r w:rsidRPr="003B4D22">
              <w:rPr>
                <w:rFonts w:ascii="Arial Narrow" w:hAnsi="Arial Narrow" w:cs="Times New Roman"/>
                <w:sz w:val="18"/>
                <w:szCs w:val="20"/>
              </w:rPr>
              <w:br/>
              <w:t>IgG return to normal: 7</w:t>
            </w:r>
            <w:r w:rsidRPr="003B4D22">
              <w:rPr>
                <w:rFonts w:ascii="Arial Narrow" w:hAnsi="Arial Narrow" w:cs="Times New Roman"/>
                <w:sz w:val="18"/>
                <w:szCs w:val="20"/>
              </w:rPr>
              <w:br/>
              <w:t>Single dose only: 6</w:t>
            </w:r>
            <w:r w:rsidRPr="003B4D22">
              <w:rPr>
                <w:rFonts w:ascii="Arial Narrow" w:hAnsi="Arial Narrow" w:cs="Times New Roman"/>
                <w:sz w:val="18"/>
                <w:szCs w:val="20"/>
              </w:rPr>
              <w:br/>
              <w:t>Patient refused: 2</w:t>
            </w:r>
            <w:r w:rsidRPr="003B4D22">
              <w:rPr>
                <w:rFonts w:ascii="Arial Narrow" w:hAnsi="Arial Narrow" w:cs="Times New Roman"/>
                <w:sz w:val="18"/>
                <w:szCs w:val="20"/>
              </w:rPr>
              <w:br/>
              <w:t xml:space="preserve">[others: ongoing at study </w:t>
            </w:r>
            <w:r w:rsidRPr="003B4D22">
              <w:rPr>
                <w:rFonts w:ascii="Arial Narrow" w:hAnsi="Arial Narrow" w:cs="Times New Roman"/>
                <w:sz w:val="18"/>
                <w:szCs w:val="20"/>
              </w:rPr>
              <w:lastRenderedPageBreak/>
              <w:t>end (3); relapsed, excl. from analysis (2)]</w:t>
            </w:r>
          </w:p>
        </w:tc>
        <w:tc>
          <w:tcPr>
            <w:tcW w:w="1843" w:type="dxa"/>
          </w:tcPr>
          <w:p w14:paraId="743E1CD1" w14:textId="77777777" w:rsidR="00D7461D" w:rsidRPr="003B4D22" w:rsidRDefault="00D7461D" w:rsidP="00D7461D">
            <w:pPr>
              <w:spacing w:before="0" w:after="40" w:line="240" w:lineRule="auto"/>
              <w:ind w:left="-57"/>
              <w:jc w:val="left"/>
              <w:rPr>
                <w:rFonts w:ascii="Arial Narrow" w:hAnsi="Arial Narrow" w:cs="Times New Roman"/>
                <w:sz w:val="18"/>
                <w:szCs w:val="20"/>
                <w:u w:val="single"/>
              </w:rPr>
            </w:pPr>
            <w:r w:rsidRPr="003B4D22">
              <w:rPr>
                <w:rFonts w:ascii="Arial Narrow" w:hAnsi="Arial Narrow" w:cs="Times New Roman"/>
                <w:sz w:val="18"/>
                <w:szCs w:val="20"/>
                <w:u w:val="single"/>
              </w:rPr>
              <w:lastRenderedPageBreak/>
              <w:t>No IVIg</w:t>
            </w:r>
            <w:r w:rsidRPr="003B4D22">
              <w:rPr>
                <w:rFonts w:ascii="Arial Narrow" w:hAnsi="Arial Narrow" w:cs="Times New Roman"/>
                <w:sz w:val="18"/>
                <w:szCs w:val="20"/>
              </w:rPr>
              <w:t xml:space="preserve"> (n=82): tx per patient medical records</w:t>
            </w:r>
          </w:p>
        </w:tc>
        <w:tc>
          <w:tcPr>
            <w:tcW w:w="2268" w:type="dxa"/>
          </w:tcPr>
          <w:p w14:paraId="0DE47238" w14:textId="77777777" w:rsidR="00D7461D" w:rsidRPr="003B4D22" w:rsidRDefault="00D7461D" w:rsidP="00D7461D">
            <w:pPr>
              <w:spacing w:before="0" w:after="40" w:line="240" w:lineRule="auto"/>
              <w:ind w:left="-57"/>
              <w:jc w:val="left"/>
              <w:rPr>
                <w:rFonts w:ascii="Arial Narrow" w:hAnsi="Arial Narrow" w:cs="Times New Roman"/>
                <w:sz w:val="18"/>
                <w:szCs w:val="20"/>
                <w:u w:val="single"/>
              </w:rPr>
            </w:pPr>
            <w:r w:rsidRPr="003B4D22">
              <w:rPr>
                <w:rFonts w:ascii="Arial Narrow" w:hAnsi="Arial Narrow" w:cs="Times New Roman"/>
                <w:sz w:val="18"/>
                <w:szCs w:val="20"/>
                <w:u w:val="single"/>
              </w:rPr>
              <w:t>Outcomes:</w:t>
            </w:r>
            <w:r w:rsidRPr="003B4D22">
              <w:rPr>
                <w:rFonts w:ascii="Arial Narrow" w:hAnsi="Arial Narrow" w:cs="Times New Roman"/>
                <w:sz w:val="18"/>
                <w:szCs w:val="20"/>
              </w:rPr>
              <w:t xml:space="preserve"> infectious complications before and during maintenance tx (including episodes of infection; hospitalisations and days of hospitalisation)</w:t>
            </w:r>
          </w:p>
          <w:p w14:paraId="0FFE7E3A" w14:textId="77777777" w:rsidR="00D7461D" w:rsidRPr="003B4D22" w:rsidRDefault="00D7461D" w:rsidP="00D7461D">
            <w:pPr>
              <w:spacing w:before="0" w:after="40" w:line="240" w:lineRule="auto"/>
              <w:ind w:left="-57"/>
              <w:jc w:val="left"/>
              <w:rPr>
                <w:rFonts w:ascii="Arial Narrow" w:hAnsi="Arial Narrow" w:cs="Times New Roman"/>
                <w:sz w:val="18"/>
                <w:szCs w:val="20"/>
                <w:u w:val="single"/>
              </w:rPr>
            </w:pPr>
            <w:r w:rsidRPr="003B4D22">
              <w:rPr>
                <w:rFonts w:ascii="Arial Narrow" w:hAnsi="Arial Narrow" w:cs="Times New Roman"/>
                <w:sz w:val="18"/>
                <w:szCs w:val="20"/>
                <w:u w:val="single"/>
              </w:rPr>
              <w:t>Analyses:</w:t>
            </w:r>
            <w:r w:rsidRPr="003B4D22">
              <w:rPr>
                <w:rFonts w:ascii="Arial Narrow" w:hAnsi="Arial Narrow" w:cs="Times New Roman"/>
                <w:sz w:val="18"/>
                <w:szCs w:val="20"/>
              </w:rPr>
              <w:t xml:space="preserve">  Groups were compared using nonparametric statistics (χ2, Wilcoxon rank sum, signed rank tests as appropriate). Univariate logistic regression of each variable with the outcome ‘IVIG given (group membership)’ was also computed.</w:t>
            </w:r>
            <w:r w:rsidRPr="003B4D22">
              <w:rPr>
                <w:rFonts w:ascii="Arial Narrow" w:hAnsi="Arial Narrow" w:cs="Times New Roman"/>
                <w:sz w:val="18"/>
                <w:szCs w:val="20"/>
                <w:u w:val="single"/>
              </w:rPr>
              <w:t xml:space="preserve"> </w:t>
            </w:r>
          </w:p>
          <w:p w14:paraId="313D2D2B"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 xml:space="preserve">Multivariate analysis with all variables from univariate analysis with p&lt;0.25 available </w:t>
            </w:r>
            <w:r w:rsidRPr="003B4D22">
              <w:rPr>
                <w:rFonts w:ascii="Arial Narrow" w:hAnsi="Arial Narrow" w:cs="Times New Roman"/>
                <w:sz w:val="18"/>
                <w:szCs w:val="20"/>
              </w:rPr>
              <w:lastRenderedPageBreak/>
              <w:t>prior to maintenance tx.</w:t>
            </w:r>
          </w:p>
          <w:p w14:paraId="12FAAA02"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Further details in paper.</w:t>
            </w:r>
          </w:p>
          <w:p w14:paraId="3558CAF8" w14:textId="77777777" w:rsidR="00D7461D" w:rsidRPr="003B4D22" w:rsidRDefault="00D7461D" w:rsidP="00D7461D">
            <w:pPr>
              <w:spacing w:before="0" w:after="40" w:line="240" w:lineRule="auto"/>
              <w:ind w:left="-57"/>
              <w:jc w:val="left"/>
              <w:rPr>
                <w:rFonts w:ascii="Arial Narrow" w:hAnsi="Arial Narrow" w:cs="Times New Roman"/>
                <w:sz w:val="18"/>
                <w:szCs w:val="20"/>
                <w:u w:val="single"/>
              </w:rPr>
            </w:pPr>
            <w:r w:rsidRPr="003B4D22">
              <w:rPr>
                <w:rFonts w:ascii="Arial Narrow" w:hAnsi="Arial Narrow" w:cs="Times New Roman"/>
                <w:sz w:val="18"/>
                <w:szCs w:val="20"/>
                <w:u w:val="single"/>
              </w:rPr>
              <w:t>Follow-up:</w:t>
            </w:r>
            <w:r w:rsidRPr="003B4D22">
              <w:rPr>
                <w:rFonts w:ascii="Arial Narrow" w:hAnsi="Arial Narrow" w:cs="Times New Roman"/>
                <w:sz w:val="18"/>
                <w:szCs w:val="20"/>
              </w:rPr>
              <w:t xml:space="preserve"> Not applicable. </w:t>
            </w:r>
          </w:p>
        </w:tc>
        <w:tc>
          <w:tcPr>
            <w:tcW w:w="1984" w:type="dxa"/>
          </w:tcPr>
          <w:p w14:paraId="2A6F676F"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lastRenderedPageBreak/>
              <w:t>Ethics</w:t>
            </w:r>
            <w:r w:rsidRPr="003B4D22">
              <w:rPr>
                <w:rFonts w:ascii="Arial Narrow" w:hAnsi="Arial Narrow" w:cs="Times New Roman"/>
                <w:sz w:val="18"/>
                <w:szCs w:val="20"/>
              </w:rPr>
              <w:t>: study approved by Kaiser Permanente Southern California IRB.</w:t>
            </w:r>
          </w:p>
          <w:p w14:paraId="0EDFD0EA" w14:textId="77777777" w:rsidR="00D7461D" w:rsidRPr="003B4D22" w:rsidRDefault="00D7461D" w:rsidP="00D7461D">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u w:val="single"/>
              </w:rPr>
              <w:t>Funding</w:t>
            </w:r>
            <w:r w:rsidRPr="003B4D22">
              <w:rPr>
                <w:rFonts w:ascii="Arial Narrow" w:hAnsi="Arial Narrow" w:cs="Times New Roman"/>
                <w:sz w:val="18"/>
                <w:szCs w:val="20"/>
              </w:rPr>
              <w:t xml:space="preserve">: </w:t>
            </w:r>
            <w:r w:rsidRPr="003B4D22">
              <w:rPr>
                <w:rFonts w:ascii="Arial Narrow" w:hAnsi="Arial Narrow" w:cs="Times New Roman"/>
                <w:i/>
                <w:sz w:val="18"/>
                <w:szCs w:val="20"/>
              </w:rPr>
              <w:t>This research was supported by a grant from the Regional Research Committee of Kaiser Permanente Southern California.</w:t>
            </w:r>
          </w:p>
          <w:p w14:paraId="3B5E4E57" w14:textId="77777777" w:rsidR="00D7461D" w:rsidRPr="003B4D22" w:rsidRDefault="00D7461D" w:rsidP="00D7461D">
            <w:pPr>
              <w:spacing w:before="0" w:after="40" w:line="240" w:lineRule="auto"/>
              <w:ind w:left="-57"/>
              <w:jc w:val="left"/>
              <w:rPr>
                <w:rFonts w:ascii="Arial Narrow" w:hAnsi="Arial Narrow" w:cs="Times New Roman"/>
                <w:i/>
                <w:sz w:val="18"/>
                <w:szCs w:val="20"/>
              </w:rPr>
            </w:pPr>
            <w:r w:rsidRPr="003B4D22">
              <w:rPr>
                <w:rFonts w:ascii="Arial Narrow" w:hAnsi="Arial Narrow" w:cs="Times New Roman"/>
                <w:i/>
                <w:sz w:val="18"/>
                <w:szCs w:val="20"/>
              </w:rPr>
              <w:t>The author(s) have no conflicts of interest to disclose.</w:t>
            </w:r>
          </w:p>
          <w:p w14:paraId="2BF03553" w14:textId="77777777" w:rsidR="00D7461D" w:rsidRPr="003B4D22" w:rsidRDefault="00D7461D" w:rsidP="00D7461D">
            <w:pPr>
              <w:spacing w:before="0" w:after="40" w:line="240" w:lineRule="auto"/>
              <w:ind w:left="-57"/>
              <w:jc w:val="left"/>
              <w:rPr>
                <w:rFonts w:ascii="Arial Narrow" w:hAnsi="Arial Narrow" w:cs="Times New Roman"/>
                <w:i/>
                <w:sz w:val="18"/>
                <w:szCs w:val="20"/>
              </w:rPr>
            </w:pPr>
            <w:r w:rsidRPr="003B4D22">
              <w:rPr>
                <w:rFonts w:ascii="Arial Narrow" w:hAnsi="Arial Narrow" w:cs="Times New Roman"/>
                <w:i/>
                <w:sz w:val="18"/>
                <w:szCs w:val="20"/>
              </w:rPr>
              <w:t>The LLN […] for IgG ranged from 501 mg/dL to 757 mg/dL</w:t>
            </w:r>
          </w:p>
        </w:tc>
      </w:tr>
    </w:tbl>
    <w:p w14:paraId="252552D8" w14:textId="7EBB3F60" w:rsidR="00530614" w:rsidRPr="003B4D22" w:rsidRDefault="00530614" w:rsidP="00C43B20">
      <w:pPr>
        <w:pStyle w:val="Tablenotes1"/>
        <w:rPr>
          <w:rFonts w:eastAsia="Calibri" w:cs="Times New Roman"/>
        </w:rPr>
      </w:pPr>
      <w:r w:rsidRPr="003B4D22">
        <w:rPr>
          <w:rFonts w:eastAsia="Calibri" w:cs="Times New Roman"/>
        </w:rPr>
        <w:lastRenderedPageBreak/>
        <w:t xml:space="preserve">Units conversion: 100mg/dL (units used in older studies) equals 1g/L; </w:t>
      </w:r>
      <w:r w:rsidRPr="003B4D22">
        <w:t xml:space="preserve">Risk of Bias was assessed using the SIGN checklist for controlled trials (for RCTs only); the SIGN checklist for cohort studies, and the IHE checklist for case series.  Abbreviations are as for </w:t>
      </w:r>
      <w:r w:rsidRPr="003B4D22">
        <w:fldChar w:fldCharType="begin"/>
      </w:r>
      <w:r w:rsidRPr="003B4D22">
        <w:instrText xml:space="preserve"> REF _Ref11162222 \h  \* MERGEFORMAT </w:instrText>
      </w:r>
      <w:r w:rsidRPr="003B4D22">
        <w:fldChar w:fldCharType="separate"/>
      </w:r>
      <w:r w:rsidR="00A7463B" w:rsidRPr="00386411">
        <w:t xml:space="preserve">Table </w:t>
      </w:r>
      <w:r w:rsidR="00A7463B">
        <w:rPr>
          <w:noProof/>
        </w:rPr>
        <w:t>79</w:t>
      </w:r>
      <w:r w:rsidRPr="003B4D22">
        <w:fldChar w:fldCharType="end"/>
      </w:r>
      <w:r w:rsidRPr="003B4D22">
        <w:rPr>
          <w:rFonts w:eastAsia="Calibri" w:cs="Times New Roman"/>
        </w:rPr>
        <w:t xml:space="preserve">.  </w:t>
      </w:r>
      <w:r w:rsidRPr="003B4D22">
        <w:br w:type="page"/>
      </w:r>
    </w:p>
    <w:p w14:paraId="14DE0460" w14:textId="707B4BEB" w:rsidR="00530614" w:rsidRPr="00386411" w:rsidRDefault="00530614" w:rsidP="00530614">
      <w:pPr>
        <w:pStyle w:val="Caption"/>
        <w:rPr>
          <w:snapToGrid w:val="0"/>
          <w:lang w:eastAsia="en-US"/>
        </w:rPr>
      </w:pPr>
      <w:bookmarkStart w:id="739" w:name="_Ref14353338"/>
      <w:bookmarkStart w:id="740" w:name="_Toc14429621"/>
      <w:bookmarkStart w:id="741" w:name="_Toc16671679"/>
      <w:r w:rsidRPr="00386411">
        <w:lastRenderedPageBreak/>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81</w:t>
      </w:r>
      <w:r w:rsidRPr="00386411">
        <w:rPr>
          <w:noProof/>
        </w:rPr>
        <w:fldChar w:fldCharType="end"/>
      </w:r>
      <w:bookmarkEnd w:id="739"/>
      <w:r w:rsidRPr="00386411">
        <w:tab/>
      </w:r>
      <w:r w:rsidRPr="00386411">
        <w:rPr>
          <w:snapToGrid w:val="0"/>
          <w:lang w:eastAsia="en-US"/>
        </w:rPr>
        <w:t>Included study profiles for safety and effectiveness – case series</w:t>
      </w:r>
      <w:bookmarkEnd w:id="740"/>
      <w:bookmarkEnd w:id="741"/>
    </w:p>
    <w:tbl>
      <w:tblPr>
        <w:tblStyle w:val="TableGrid51"/>
        <w:tblW w:w="14312" w:type="dxa"/>
        <w:tblLayout w:type="fixed"/>
        <w:tblLook w:val="04A0" w:firstRow="1" w:lastRow="0" w:firstColumn="1" w:lastColumn="0" w:noHBand="0" w:noVBand="1"/>
        <w:tblCaption w:val="Study profiles of included studies on change in management"/>
        <w:tblDescription w:val="Eleven studies reporting on change in management outcomes were included. This table indicates details on study design and quality, the study population, inclusion/ exclusion criteria, setting and technical details of the index test, and outcomes assessed."/>
      </w:tblPr>
      <w:tblGrid>
        <w:gridCol w:w="1129"/>
        <w:gridCol w:w="1134"/>
        <w:gridCol w:w="1843"/>
        <w:gridCol w:w="2268"/>
        <w:gridCol w:w="1843"/>
        <w:gridCol w:w="1843"/>
        <w:gridCol w:w="2268"/>
        <w:gridCol w:w="1984"/>
      </w:tblGrid>
      <w:tr w:rsidR="00530614" w:rsidRPr="00386411" w14:paraId="578F1F98" w14:textId="77777777" w:rsidTr="007D3D74">
        <w:trPr>
          <w:trHeight w:val="792"/>
          <w:tblHeader/>
        </w:trPr>
        <w:tc>
          <w:tcPr>
            <w:tcW w:w="1129" w:type="dxa"/>
          </w:tcPr>
          <w:p w14:paraId="1D57C9C7" w14:textId="77777777" w:rsidR="00530614" w:rsidRPr="00386411" w:rsidRDefault="00530614" w:rsidP="00530614">
            <w:pPr>
              <w:keepNext/>
              <w:spacing w:after="40" w:line="240" w:lineRule="auto"/>
              <w:rPr>
                <w:rFonts w:ascii="Arial Narrow" w:hAnsi="Arial Narrow" w:cs="Times New Roman"/>
                <w:b/>
                <w:sz w:val="20"/>
                <w:szCs w:val="20"/>
              </w:rPr>
            </w:pPr>
            <w:r w:rsidRPr="00386411">
              <w:rPr>
                <w:rFonts w:ascii="Arial Narrow" w:hAnsi="Arial Narrow" w:cs="Times New Roman"/>
                <w:b/>
                <w:sz w:val="20"/>
                <w:szCs w:val="20"/>
              </w:rPr>
              <w:t>Author, Year</w:t>
            </w:r>
          </w:p>
          <w:p w14:paraId="4BE486B9" w14:textId="77777777" w:rsidR="00530614" w:rsidRPr="00386411" w:rsidRDefault="00530614" w:rsidP="00530614">
            <w:pPr>
              <w:keepNext/>
              <w:spacing w:after="40" w:line="240" w:lineRule="auto"/>
              <w:rPr>
                <w:rFonts w:ascii="Arial Narrow" w:hAnsi="Arial Narrow" w:cs="Times New Roman"/>
                <w:b/>
                <w:sz w:val="20"/>
                <w:szCs w:val="20"/>
              </w:rPr>
            </w:pPr>
            <w:r w:rsidRPr="00386411">
              <w:rPr>
                <w:rFonts w:ascii="Arial Narrow" w:hAnsi="Arial Narrow" w:cs="Times New Roman"/>
                <w:b/>
                <w:sz w:val="20"/>
                <w:szCs w:val="20"/>
              </w:rPr>
              <w:t>Country</w:t>
            </w:r>
          </w:p>
        </w:tc>
        <w:tc>
          <w:tcPr>
            <w:tcW w:w="1134" w:type="dxa"/>
          </w:tcPr>
          <w:p w14:paraId="19114039" w14:textId="77777777" w:rsidR="00530614" w:rsidRPr="00386411" w:rsidRDefault="00530614" w:rsidP="00530614">
            <w:pPr>
              <w:keepNext/>
              <w:spacing w:after="40" w:line="240" w:lineRule="auto"/>
              <w:ind w:left="-57"/>
              <w:rPr>
                <w:rFonts w:ascii="Arial Narrow" w:hAnsi="Arial Narrow" w:cs="Times New Roman"/>
                <w:b/>
                <w:sz w:val="20"/>
                <w:szCs w:val="20"/>
              </w:rPr>
            </w:pPr>
            <w:r w:rsidRPr="00386411">
              <w:rPr>
                <w:rFonts w:ascii="Arial Narrow" w:hAnsi="Arial Narrow" w:cs="Times New Roman"/>
                <w:b/>
                <w:sz w:val="20"/>
                <w:szCs w:val="20"/>
              </w:rPr>
              <w:t xml:space="preserve">Study design  </w:t>
            </w:r>
          </w:p>
          <w:p w14:paraId="45D99C74" w14:textId="77777777" w:rsidR="00530614" w:rsidRPr="00386411" w:rsidRDefault="00530614" w:rsidP="00530614">
            <w:pPr>
              <w:keepNext/>
              <w:spacing w:after="40" w:line="240" w:lineRule="auto"/>
              <w:ind w:left="-57"/>
              <w:rPr>
                <w:rFonts w:ascii="Arial Narrow" w:hAnsi="Arial Narrow" w:cs="Times New Roman"/>
                <w:b/>
                <w:sz w:val="20"/>
                <w:szCs w:val="20"/>
              </w:rPr>
            </w:pPr>
            <w:r w:rsidRPr="00386411">
              <w:rPr>
                <w:rFonts w:ascii="Arial Narrow" w:hAnsi="Arial Narrow" w:cs="Times New Roman"/>
                <w:b/>
                <w:sz w:val="20"/>
                <w:szCs w:val="20"/>
              </w:rPr>
              <w:t>Risk of bias (RoB)</w:t>
            </w:r>
          </w:p>
        </w:tc>
        <w:tc>
          <w:tcPr>
            <w:tcW w:w="1843" w:type="dxa"/>
          </w:tcPr>
          <w:p w14:paraId="4853EE80" w14:textId="77777777" w:rsidR="00530614" w:rsidRPr="00386411" w:rsidRDefault="00530614" w:rsidP="00530614">
            <w:pPr>
              <w:keepNext/>
              <w:spacing w:after="40" w:line="240" w:lineRule="auto"/>
              <w:rPr>
                <w:rFonts w:ascii="Arial Narrow" w:hAnsi="Arial Narrow" w:cs="Times New Roman"/>
                <w:b/>
                <w:sz w:val="20"/>
                <w:szCs w:val="20"/>
              </w:rPr>
            </w:pPr>
            <w:r w:rsidRPr="00386411">
              <w:rPr>
                <w:rFonts w:ascii="Arial Narrow" w:hAnsi="Arial Narrow" w:cs="Times New Roman"/>
                <w:b/>
                <w:sz w:val="20"/>
                <w:szCs w:val="20"/>
              </w:rPr>
              <w:t>Population characteristics (at baseline unless specified)</w:t>
            </w:r>
          </w:p>
        </w:tc>
        <w:tc>
          <w:tcPr>
            <w:tcW w:w="2268" w:type="dxa"/>
          </w:tcPr>
          <w:p w14:paraId="56F16E9A" w14:textId="77777777" w:rsidR="00530614" w:rsidRPr="00386411" w:rsidRDefault="00530614" w:rsidP="00530614">
            <w:pPr>
              <w:keepNext/>
              <w:spacing w:after="40" w:line="240" w:lineRule="auto"/>
              <w:rPr>
                <w:rFonts w:ascii="Arial Narrow" w:hAnsi="Arial Narrow" w:cs="Times New Roman"/>
                <w:b/>
                <w:sz w:val="20"/>
                <w:szCs w:val="20"/>
              </w:rPr>
            </w:pPr>
            <w:r w:rsidRPr="00386411">
              <w:rPr>
                <w:rFonts w:ascii="Arial Narrow" w:hAnsi="Arial Narrow" w:cs="Times New Roman"/>
                <w:b/>
                <w:sz w:val="20"/>
                <w:szCs w:val="20"/>
              </w:rPr>
              <w:t xml:space="preserve">Eligibility criteria </w:t>
            </w:r>
          </w:p>
          <w:p w14:paraId="072CFC71" w14:textId="77777777" w:rsidR="00530614" w:rsidRPr="00386411" w:rsidRDefault="00530614" w:rsidP="00530614">
            <w:pPr>
              <w:keepNext/>
              <w:spacing w:after="40" w:line="240" w:lineRule="auto"/>
              <w:rPr>
                <w:rFonts w:ascii="Arial Narrow" w:hAnsi="Arial Narrow" w:cs="Times New Roman"/>
                <w:b/>
                <w:sz w:val="20"/>
                <w:szCs w:val="20"/>
              </w:rPr>
            </w:pPr>
            <w:r w:rsidRPr="00386411">
              <w:rPr>
                <w:rFonts w:ascii="Arial Narrow" w:hAnsi="Arial Narrow" w:cs="Times New Roman"/>
                <w:b/>
                <w:sz w:val="20"/>
                <w:szCs w:val="20"/>
              </w:rPr>
              <w:t>Objectives</w:t>
            </w:r>
          </w:p>
        </w:tc>
        <w:tc>
          <w:tcPr>
            <w:tcW w:w="1843" w:type="dxa"/>
          </w:tcPr>
          <w:p w14:paraId="63DD1D24" w14:textId="77777777" w:rsidR="00530614" w:rsidRPr="00386411" w:rsidRDefault="00530614" w:rsidP="00530614">
            <w:pPr>
              <w:keepNext/>
              <w:spacing w:after="40" w:line="240" w:lineRule="auto"/>
              <w:rPr>
                <w:rFonts w:ascii="Arial Narrow" w:hAnsi="Arial Narrow" w:cs="Times New Roman"/>
                <w:b/>
                <w:sz w:val="20"/>
                <w:szCs w:val="20"/>
              </w:rPr>
            </w:pPr>
            <w:r w:rsidRPr="00386411">
              <w:rPr>
                <w:rFonts w:ascii="Arial Narrow" w:hAnsi="Arial Narrow" w:cs="Times New Roman"/>
                <w:b/>
                <w:sz w:val="20"/>
                <w:szCs w:val="20"/>
              </w:rPr>
              <w:t>Intervention</w:t>
            </w:r>
          </w:p>
        </w:tc>
        <w:tc>
          <w:tcPr>
            <w:tcW w:w="1843" w:type="dxa"/>
          </w:tcPr>
          <w:p w14:paraId="34B3E0B8" w14:textId="77777777" w:rsidR="00530614" w:rsidRPr="00386411" w:rsidRDefault="00530614" w:rsidP="00530614">
            <w:pPr>
              <w:keepNext/>
              <w:spacing w:after="40" w:line="240" w:lineRule="auto"/>
              <w:rPr>
                <w:rFonts w:ascii="Arial Narrow" w:hAnsi="Arial Narrow" w:cs="Times New Roman"/>
                <w:b/>
                <w:sz w:val="20"/>
                <w:szCs w:val="20"/>
              </w:rPr>
            </w:pPr>
            <w:r w:rsidRPr="00386411">
              <w:rPr>
                <w:rFonts w:ascii="Arial Narrow" w:hAnsi="Arial Narrow" w:cs="Times New Roman"/>
                <w:b/>
                <w:sz w:val="20"/>
                <w:szCs w:val="20"/>
              </w:rPr>
              <w:t>Comparator</w:t>
            </w:r>
          </w:p>
        </w:tc>
        <w:tc>
          <w:tcPr>
            <w:tcW w:w="2268" w:type="dxa"/>
          </w:tcPr>
          <w:p w14:paraId="73C0C93C" w14:textId="77777777" w:rsidR="00530614" w:rsidRPr="00386411" w:rsidRDefault="00530614" w:rsidP="00530614">
            <w:pPr>
              <w:keepNext/>
              <w:spacing w:after="40" w:line="240" w:lineRule="auto"/>
              <w:rPr>
                <w:rFonts w:ascii="Arial Narrow" w:hAnsi="Arial Narrow" w:cs="Times New Roman"/>
                <w:b/>
                <w:sz w:val="20"/>
                <w:szCs w:val="20"/>
              </w:rPr>
            </w:pPr>
            <w:r w:rsidRPr="00386411">
              <w:rPr>
                <w:rFonts w:ascii="Arial Narrow" w:hAnsi="Arial Narrow" w:cs="Times New Roman"/>
                <w:b/>
                <w:sz w:val="20"/>
                <w:szCs w:val="20"/>
              </w:rPr>
              <w:t>Outcomes assessed</w:t>
            </w:r>
          </w:p>
          <w:p w14:paraId="45F4ED32" w14:textId="77777777" w:rsidR="00530614" w:rsidRPr="00386411" w:rsidRDefault="00530614" w:rsidP="00530614">
            <w:pPr>
              <w:keepNext/>
              <w:spacing w:after="40" w:line="240" w:lineRule="auto"/>
              <w:rPr>
                <w:rFonts w:ascii="Arial Narrow" w:hAnsi="Arial Narrow" w:cs="Times New Roman"/>
                <w:b/>
                <w:sz w:val="20"/>
                <w:szCs w:val="20"/>
              </w:rPr>
            </w:pPr>
            <w:r w:rsidRPr="00386411">
              <w:rPr>
                <w:rFonts w:ascii="Arial Narrow" w:hAnsi="Arial Narrow" w:cs="Times New Roman"/>
                <w:b/>
                <w:sz w:val="20"/>
                <w:szCs w:val="20"/>
              </w:rPr>
              <w:t>Statistical Analyses</w:t>
            </w:r>
          </w:p>
          <w:p w14:paraId="603C6E4E" w14:textId="77777777" w:rsidR="00530614" w:rsidRPr="00386411" w:rsidRDefault="00530614" w:rsidP="00530614">
            <w:pPr>
              <w:keepNext/>
              <w:spacing w:after="40" w:line="240" w:lineRule="auto"/>
              <w:rPr>
                <w:rFonts w:ascii="Arial Narrow" w:hAnsi="Arial Narrow" w:cs="Times New Roman"/>
                <w:b/>
                <w:sz w:val="20"/>
                <w:szCs w:val="20"/>
              </w:rPr>
            </w:pPr>
            <w:r w:rsidRPr="00386411">
              <w:rPr>
                <w:rFonts w:ascii="Arial Narrow" w:hAnsi="Arial Narrow" w:cs="Times New Roman"/>
                <w:b/>
                <w:sz w:val="20"/>
                <w:szCs w:val="20"/>
              </w:rPr>
              <w:t>Duration of follow-up</w:t>
            </w:r>
          </w:p>
        </w:tc>
        <w:tc>
          <w:tcPr>
            <w:tcW w:w="1984" w:type="dxa"/>
          </w:tcPr>
          <w:p w14:paraId="096089B2" w14:textId="77777777" w:rsidR="00530614" w:rsidRPr="00386411" w:rsidRDefault="00530614" w:rsidP="00530614">
            <w:pPr>
              <w:keepNext/>
              <w:spacing w:after="40" w:line="240" w:lineRule="auto"/>
              <w:rPr>
                <w:rFonts w:ascii="Arial Narrow" w:hAnsi="Arial Narrow" w:cs="Times New Roman"/>
                <w:b/>
                <w:sz w:val="20"/>
                <w:szCs w:val="20"/>
              </w:rPr>
            </w:pPr>
            <w:r w:rsidRPr="00386411">
              <w:rPr>
                <w:rFonts w:ascii="Arial Narrow" w:hAnsi="Arial Narrow" w:cs="Times New Roman"/>
                <w:b/>
                <w:sz w:val="20"/>
                <w:szCs w:val="20"/>
              </w:rPr>
              <w:t>Comments</w:t>
            </w:r>
          </w:p>
        </w:tc>
      </w:tr>
      <w:tr w:rsidR="00D7461D" w:rsidRPr="00386411" w14:paraId="1D0FCC54" w14:textId="77777777" w:rsidTr="007D3D74">
        <w:trPr>
          <w:trHeight w:val="351"/>
        </w:trPr>
        <w:tc>
          <w:tcPr>
            <w:tcW w:w="14312" w:type="dxa"/>
            <w:gridSpan w:val="8"/>
            <w:shd w:val="clear" w:color="auto" w:fill="000000" w:themeFill="text1"/>
          </w:tcPr>
          <w:p w14:paraId="51A40990" w14:textId="1C9D132F" w:rsidR="00D7461D" w:rsidRPr="00386411" w:rsidRDefault="00D7461D" w:rsidP="00530614">
            <w:pPr>
              <w:keepNext/>
              <w:spacing w:after="40" w:line="240" w:lineRule="auto"/>
              <w:rPr>
                <w:rFonts w:ascii="Arial Narrow" w:hAnsi="Arial Narrow" w:cs="Times New Roman"/>
                <w:b/>
                <w:sz w:val="20"/>
                <w:szCs w:val="20"/>
              </w:rPr>
            </w:pPr>
            <w:r w:rsidRPr="00386411">
              <w:rPr>
                <w:rFonts w:ascii="Arial Narrow" w:hAnsi="Arial Narrow"/>
                <w:b/>
                <w:color w:val="FFFFFF" w:themeColor="background1"/>
                <w:sz w:val="20"/>
                <w:szCs w:val="20"/>
              </w:rPr>
              <w:t>Non-comparative studies – IVIg case series</w:t>
            </w:r>
          </w:p>
        </w:tc>
      </w:tr>
      <w:tr w:rsidR="006B4C5F" w:rsidRPr="003B4D22" w14:paraId="546E2B60" w14:textId="77777777" w:rsidTr="006B4C5F">
        <w:trPr>
          <w:trHeight w:val="293"/>
        </w:trPr>
        <w:tc>
          <w:tcPr>
            <w:tcW w:w="1129" w:type="dxa"/>
          </w:tcPr>
          <w:p w14:paraId="492E409D" w14:textId="77777777" w:rsidR="006B4C5F" w:rsidRPr="006D360A" w:rsidRDefault="006B4C5F" w:rsidP="00F814DE">
            <w:pPr>
              <w:spacing w:before="0" w:after="40" w:line="240" w:lineRule="auto"/>
              <w:ind w:left="-57"/>
              <w:jc w:val="left"/>
              <w:rPr>
                <w:rFonts w:ascii="Arial Narrow" w:hAnsi="Arial Narrow"/>
                <w:sz w:val="18"/>
                <w:szCs w:val="20"/>
              </w:rPr>
            </w:pPr>
            <w:r w:rsidRPr="006D360A">
              <w:rPr>
                <w:rFonts w:ascii="Arial Narrow" w:hAnsi="Arial Narrow"/>
                <w:sz w:val="18"/>
                <w:szCs w:val="20"/>
              </w:rPr>
              <w:t>Besa, 1992</w:t>
            </w:r>
          </w:p>
          <w:p w14:paraId="0E7197F6" w14:textId="77777777" w:rsidR="006B4C5F" w:rsidRPr="006D360A" w:rsidRDefault="006B4C5F" w:rsidP="00F814DE">
            <w:pPr>
              <w:spacing w:before="0" w:after="40" w:line="240" w:lineRule="auto"/>
              <w:ind w:left="-57"/>
              <w:jc w:val="left"/>
              <w:rPr>
                <w:rFonts w:ascii="Arial Narrow" w:hAnsi="Arial Narrow"/>
                <w:sz w:val="18"/>
                <w:szCs w:val="20"/>
              </w:rPr>
            </w:pPr>
            <w:r w:rsidRPr="006D360A">
              <w:rPr>
                <w:rFonts w:ascii="Arial Narrow" w:hAnsi="Arial Narrow"/>
                <w:sz w:val="18"/>
                <w:szCs w:val="20"/>
              </w:rPr>
              <w:t>USA</w:t>
            </w:r>
          </w:p>
          <w:p w14:paraId="36DF7270" w14:textId="77777777" w:rsidR="006B4C5F" w:rsidRPr="006D360A" w:rsidRDefault="006B4C5F" w:rsidP="00F814DE">
            <w:pPr>
              <w:spacing w:before="0" w:after="40" w:line="240" w:lineRule="auto"/>
              <w:ind w:left="-57"/>
              <w:jc w:val="left"/>
              <w:rPr>
                <w:rFonts w:ascii="Arial Narrow" w:hAnsi="Arial Narrow" w:cs="Times New Roman"/>
                <w:sz w:val="18"/>
                <w:szCs w:val="20"/>
              </w:rPr>
            </w:pPr>
            <w:r w:rsidRPr="006D360A">
              <w:rPr>
                <w:rFonts w:ascii="Arial Narrow" w:hAnsi="Arial Narrow"/>
                <w:sz w:val="18"/>
                <w:szCs w:val="20"/>
              </w:rPr>
              <w:t>Single centre.</w:t>
            </w:r>
          </w:p>
        </w:tc>
        <w:tc>
          <w:tcPr>
            <w:tcW w:w="1134" w:type="dxa"/>
          </w:tcPr>
          <w:p w14:paraId="353603C3" w14:textId="77777777" w:rsidR="006B4C5F" w:rsidRPr="006D360A" w:rsidRDefault="006B4C5F" w:rsidP="00F814DE">
            <w:pPr>
              <w:spacing w:before="0" w:after="40" w:line="240" w:lineRule="auto"/>
              <w:ind w:left="-57"/>
              <w:jc w:val="left"/>
              <w:rPr>
                <w:rFonts w:ascii="Arial Narrow" w:hAnsi="Arial Narrow"/>
                <w:sz w:val="18"/>
                <w:szCs w:val="20"/>
              </w:rPr>
            </w:pPr>
            <w:r w:rsidRPr="006D360A">
              <w:rPr>
                <w:rFonts w:ascii="Arial Narrow" w:hAnsi="Arial Narrow"/>
                <w:sz w:val="18"/>
                <w:szCs w:val="20"/>
              </w:rPr>
              <w:t>Case series (prospective); Open-label</w:t>
            </w:r>
          </w:p>
          <w:p w14:paraId="743B17D8" w14:textId="420C03D0" w:rsidR="006B4C5F" w:rsidRPr="006D360A" w:rsidRDefault="006B4C5F" w:rsidP="00F814DE">
            <w:pPr>
              <w:spacing w:before="0" w:after="40" w:line="240" w:lineRule="auto"/>
              <w:ind w:left="-57"/>
              <w:jc w:val="left"/>
              <w:rPr>
                <w:rFonts w:ascii="Arial Narrow" w:hAnsi="Arial Narrow" w:cs="Times New Roman"/>
                <w:sz w:val="18"/>
                <w:szCs w:val="20"/>
              </w:rPr>
            </w:pPr>
            <w:r w:rsidRPr="006D360A">
              <w:rPr>
                <w:rFonts w:ascii="Arial Narrow" w:hAnsi="Arial Narrow"/>
                <w:sz w:val="18"/>
                <w:szCs w:val="20"/>
              </w:rPr>
              <w:t xml:space="preserve">RoB: </w:t>
            </w:r>
            <w:r w:rsidR="004E4553" w:rsidRPr="006D360A">
              <w:rPr>
                <w:rFonts w:ascii="Arial Narrow" w:hAnsi="Arial Narrow"/>
                <w:sz w:val="18"/>
                <w:szCs w:val="20"/>
              </w:rPr>
              <w:t>moderate</w:t>
            </w:r>
            <w:r w:rsidRPr="006D360A">
              <w:rPr>
                <w:rFonts w:ascii="Arial Narrow" w:hAnsi="Arial Narrow"/>
                <w:sz w:val="18"/>
                <w:szCs w:val="20"/>
              </w:rPr>
              <w:t xml:space="preserve"> (IHE)</w:t>
            </w:r>
          </w:p>
        </w:tc>
        <w:tc>
          <w:tcPr>
            <w:tcW w:w="1843" w:type="dxa"/>
          </w:tcPr>
          <w:p w14:paraId="1A0EA8AA" w14:textId="77777777" w:rsidR="006B4C5F" w:rsidRPr="006D360A" w:rsidRDefault="006B4C5F" w:rsidP="00F814DE">
            <w:pPr>
              <w:spacing w:before="0" w:after="40" w:line="240" w:lineRule="auto"/>
              <w:ind w:left="-57"/>
              <w:jc w:val="left"/>
              <w:rPr>
                <w:rFonts w:ascii="Arial Narrow" w:hAnsi="Arial Narrow"/>
                <w:sz w:val="18"/>
                <w:szCs w:val="20"/>
              </w:rPr>
            </w:pPr>
            <w:r w:rsidRPr="006D360A">
              <w:rPr>
                <w:rFonts w:ascii="Arial Narrow" w:hAnsi="Arial Narrow"/>
                <w:sz w:val="18"/>
                <w:szCs w:val="20"/>
              </w:rPr>
              <w:t>N=23 (CLL)</w:t>
            </w:r>
          </w:p>
          <w:p w14:paraId="3F694A83" w14:textId="77777777" w:rsidR="006B4C5F" w:rsidRPr="006D360A" w:rsidRDefault="006B4C5F" w:rsidP="00F814DE">
            <w:pPr>
              <w:spacing w:before="0" w:after="40" w:line="240" w:lineRule="auto"/>
              <w:ind w:left="-57"/>
              <w:jc w:val="left"/>
              <w:rPr>
                <w:rFonts w:ascii="Arial Narrow" w:hAnsi="Arial Narrow"/>
                <w:sz w:val="18"/>
                <w:szCs w:val="20"/>
              </w:rPr>
            </w:pPr>
            <w:r w:rsidRPr="006D360A">
              <w:rPr>
                <w:rFonts w:ascii="Arial Narrow" w:hAnsi="Arial Narrow"/>
                <w:sz w:val="18"/>
                <w:szCs w:val="20"/>
                <w:u w:val="single"/>
              </w:rPr>
              <w:t>Age</w:t>
            </w:r>
            <w:r w:rsidRPr="006D360A">
              <w:rPr>
                <w:rFonts w:ascii="Arial Narrow" w:hAnsi="Arial Narrow"/>
                <w:sz w:val="18"/>
                <w:szCs w:val="20"/>
              </w:rPr>
              <w:t>, median (range): 64.3 (31-83)</w:t>
            </w:r>
          </w:p>
          <w:p w14:paraId="455C6BBD" w14:textId="77777777" w:rsidR="006B4C5F" w:rsidRPr="006D360A" w:rsidRDefault="006B4C5F" w:rsidP="00F814DE">
            <w:pPr>
              <w:spacing w:before="0" w:after="40" w:line="240" w:lineRule="auto"/>
              <w:ind w:left="-57"/>
              <w:jc w:val="left"/>
              <w:rPr>
                <w:rFonts w:ascii="Arial Narrow" w:hAnsi="Arial Narrow"/>
                <w:sz w:val="18"/>
                <w:szCs w:val="20"/>
              </w:rPr>
            </w:pPr>
            <w:r w:rsidRPr="006D360A">
              <w:rPr>
                <w:rFonts w:ascii="Arial Narrow" w:hAnsi="Arial Narrow"/>
                <w:sz w:val="18"/>
                <w:szCs w:val="20"/>
              </w:rPr>
              <w:t>♀/♂: 6/17</w:t>
            </w:r>
          </w:p>
          <w:p w14:paraId="059E1DEF" w14:textId="77777777" w:rsidR="006B4C5F" w:rsidRPr="006D360A" w:rsidRDefault="006B4C5F" w:rsidP="00F814DE">
            <w:pPr>
              <w:spacing w:before="0" w:after="40" w:line="240" w:lineRule="auto"/>
              <w:ind w:left="-57"/>
              <w:jc w:val="left"/>
              <w:rPr>
                <w:rFonts w:ascii="Arial Narrow" w:hAnsi="Arial Narrow"/>
                <w:sz w:val="18"/>
                <w:szCs w:val="20"/>
              </w:rPr>
            </w:pPr>
            <w:r w:rsidRPr="006D360A">
              <w:rPr>
                <w:rFonts w:ascii="Arial Narrow" w:hAnsi="Arial Narrow"/>
                <w:sz w:val="18"/>
                <w:szCs w:val="20"/>
                <w:u w:val="single"/>
              </w:rPr>
              <w:t>Disease stage</w:t>
            </w:r>
            <w:r w:rsidRPr="006D360A">
              <w:rPr>
                <w:rFonts w:ascii="Arial Narrow" w:hAnsi="Arial Narrow"/>
                <w:sz w:val="18"/>
                <w:szCs w:val="20"/>
              </w:rPr>
              <w:t xml:space="preserve"> </w:t>
            </w:r>
            <w:r w:rsidRPr="006D360A">
              <w:rPr>
                <w:rFonts w:ascii="Arial Narrow" w:hAnsi="Arial Narrow"/>
                <w:sz w:val="18"/>
                <w:szCs w:val="20"/>
              </w:rPr>
              <w:br/>
              <w:t>A (0): 1; A (I): 2</w:t>
            </w:r>
            <w:r w:rsidRPr="006D360A">
              <w:rPr>
                <w:rFonts w:ascii="Arial Narrow" w:hAnsi="Arial Narrow"/>
                <w:sz w:val="18"/>
                <w:szCs w:val="20"/>
              </w:rPr>
              <w:br/>
              <w:t>B (II): 8</w:t>
            </w:r>
            <w:r w:rsidRPr="006D360A">
              <w:rPr>
                <w:rFonts w:ascii="Arial Narrow" w:hAnsi="Arial Narrow"/>
                <w:sz w:val="18"/>
                <w:szCs w:val="20"/>
              </w:rPr>
              <w:br/>
              <w:t>C (Ill): 7; C (IV): 5</w:t>
            </w:r>
          </w:p>
          <w:p w14:paraId="1DEF1F5C" w14:textId="77777777" w:rsidR="006B4C5F" w:rsidRPr="006D360A" w:rsidRDefault="006B4C5F" w:rsidP="00F814DE">
            <w:pPr>
              <w:spacing w:before="0" w:after="40" w:line="240" w:lineRule="auto"/>
              <w:ind w:left="-57"/>
              <w:jc w:val="left"/>
              <w:rPr>
                <w:rFonts w:ascii="Arial Narrow" w:hAnsi="Arial Narrow"/>
                <w:sz w:val="18"/>
                <w:szCs w:val="20"/>
              </w:rPr>
            </w:pPr>
            <w:r w:rsidRPr="006D360A">
              <w:rPr>
                <w:rFonts w:ascii="Arial Narrow" w:hAnsi="Arial Narrow"/>
                <w:sz w:val="18"/>
                <w:szCs w:val="20"/>
                <w:u w:val="single"/>
              </w:rPr>
              <w:t>Serum IgG</w:t>
            </w:r>
            <w:r w:rsidRPr="006D360A">
              <w:rPr>
                <w:rFonts w:ascii="Arial Narrow" w:hAnsi="Arial Narrow"/>
                <w:sz w:val="18"/>
                <w:szCs w:val="20"/>
              </w:rPr>
              <w:t>, mean mg/dL (range):</w:t>
            </w:r>
            <w:r w:rsidRPr="006D360A">
              <w:rPr>
                <w:rFonts w:ascii="Arial Narrow" w:hAnsi="Arial Narrow"/>
                <w:sz w:val="18"/>
                <w:szCs w:val="20"/>
              </w:rPr>
              <w:br/>
              <w:t>572 (200–1720)</w:t>
            </w:r>
          </w:p>
          <w:p w14:paraId="7992D579" w14:textId="77777777" w:rsidR="006B4C5F" w:rsidRPr="006D360A" w:rsidRDefault="006B4C5F" w:rsidP="00F814DE">
            <w:pPr>
              <w:spacing w:before="0" w:after="40" w:line="240" w:lineRule="auto"/>
              <w:ind w:left="-57"/>
              <w:jc w:val="left"/>
              <w:rPr>
                <w:rFonts w:ascii="Arial Narrow" w:hAnsi="Arial Narrow" w:cs="Times New Roman"/>
                <w:sz w:val="18"/>
                <w:szCs w:val="20"/>
              </w:rPr>
            </w:pPr>
            <w:r w:rsidRPr="006D360A">
              <w:rPr>
                <w:rFonts w:ascii="Arial Narrow" w:hAnsi="Arial Narrow"/>
                <w:i/>
                <w:sz w:val="18"/>
                <w:szCs w:val="20"/>
              </w:rPr>
              <w:t>18/23 patients (78%) had hypo-GG (serum IgG &lt;700mg/dL)</w:t>
            </w:r>
          </w:p>
        </w:tc>
        <w:tc>
          <w:tcPr>
            <w:tcW w:w="2268" w:type="dxa"/>
          </w:tcPr>
          <w:p w14:paraId="111486FC" w14:textId="77777777" w:rsidR="006B4C5F" w:rsidRPr="006D360A" w:rsidRDefault="006B4C5F" w:rsidP="00F814DE">
            <w:pPr>
              <w:spacing w:before="0" w:after="40" w:line="240" w:lineRule="auto"/>
              <w:ind w:left="-57"/>
              <w:jc w:val="left"/>
              <w:rPr>
                <w:rFonts w:ascii="Arial Narrow" w:hAnsi="Arial Narrow"/>
                <w:sz w:val="18"/>
                <w:szCs w:val="20"/>
                <w:u w:val="single"/>
              </w:rPr>
            </w:pPr>
            <w:r w:rsidRPr="006D360A">
              <w:rPr>
                <w:rFonts w:ascii="Arial Narrow" w:hAnsi="Arial Narrow"/>
                <w:sz w:val="18"/>
                <w:szCs w:val="20"/>
                <w:u w:val="single"/>
              </w:rPr>
              <w:t>Inclusion:</w:t>
            </w:r>
            <w:r w:rsidRPr="006D360A">
              <w:rPr>
                <w:rFonts w:ascii="Arial Narrow" w:hAnsi="Arial Narrow"/>
                <w:sz w:val="18"/>
                <w:szCs w:val="20"/>
              </w:rPr>
              <w:t xml:space="preserve"> CLL patients with stage A(0) to A(II) disease with increased lymphocyte doubling time; or stage B(II), C (III and IV) disease. </w:t>
            </w:r>
          </w:p>
          <w:p w14:paraId="5B8B271F" w14:textId="77777777" w:rsidR="006B4C5F" w:rsidRPr="006D360A" w:rsidRDefault="006B4C5F" w:rsidP="00F814DE">
            <w:pPr>
              <w:spacing w:before="0" w:after="40" w:line="240" w:lineRule="auto"/>
              <w:ind w:left="-57"/>
              <w:jc w:val="left"/>
              <w:rPr>
                <w:rFonts w:ascii="Arial Narrow" w:hAnsi="Arial Narrow"/>
                <w:sz w:val="18"/>
                <w:szCs w:val="20"/>
              </w:rPr>
            </w:pPr>
            <w:r w:rsidRPr="006D360A">
              <w:rPr>
                <w:rFonts w:ascii="Arial Narrow" w:hAnsi="Arial Narrow"/>
                <w:sz w:val="18"/>
                <w:szCs w:val="20"/>
                <w:u w:val="single"/>
              </w:rPr>
              <w:t>Exclusion:</w:t>
            </w:r>
            <w:r w:rsidRPr="006D360A">
              <w:rPr>
                <w:rFonts w:ascii="Arial Narrow" w:hAnsi="Arial Narrow"/>
                <w:sz w:val="18"/>
                <w:szCs w:val="20"/>
              </w:rPr>
              <w:t xml:space="preserve"> none described.</w:t>
            </w:r>
          </w:p>
          <w:p w14:paraId="0468A53C" w14:textId="77777777" w:rsidR="006B4C5F" w:rsidRPr="006D360A" w:rsidRDefault="006B4C5F" w:rsidP="00F814DE">
            <w:pPr>
              <w:spacing w:before="0" w:after="40" w:line="240" w:lineRule="auto"/>
              <w:ind w:left="-57"/>
              <w:jc w:val="left"/>
              <w:rPr>
                <w:rFonts w:ascii="Arial Narrow" w:hAnsi="Arial Narrow" w:cs="Times New Roman"/>
                <w:sz w:val="18"/>
                <w:szCs w:val="20"/>
                <w:u w:val="single"/>
              </w:rPr>
            </w:pPr>
            <w:r w:rsidRPr="006D360A">
              <w:rPr>
                <w:rFonts w:ascii="Arial Narrow" w:hAnsi="Arial Narrow"/>
                <w:sz w:val="18"/>
                <w:szCs w:val="20"/>
                <w:u w:val="single"/>
              </w:rPr>
              <w:t>Objectives</w:t>
            </w:r>
            <w:r w:rsidRPr="006D360A">
              <w:rPr>
                <w:rFonts w:ascii="Arial Narrow" w:hAnsi="Arial Narrow"/>
                <w:sz w:val="18"/>
                <w:szCs w:val="20"/>
              </w:rPr>
              <w:t>: to investigate whether IVIg has anti-leukaemic effects in CLL patients with lymphocytosis, based on previous pilot study in 3 patients</w:t>
            </w:r>
          </w:p>
        </w:tc>
        <w:tc>
          <w:tcPr>
            <w:tcW w:w="1843" w:type="dxa"/>
          </w:tcPr>
          <w:p w14:paraId="3D97A186" w14:textId="77777777" w:rsidR="006B4C5F" w:rsidRPr="006D360A" w:rsidRDefault="006B4C5F" w:rsidP="00F814DE">
            <w:pPr>
              <w:spacing w:before="0" w:after="40" w:line="240" w:lineRule="auto"/>
              <w:ind w:left="-57"/>
              <w:jc w:val="left"/>
              <w:rPr>
                <w:rFonts w:ascii="Arial Narrow" w:hAnsi="Arial Narrow" w:cs="Times New Roman"/>
                <w:sz w:val="18"/>
                <w:szCs w:val="20"/>
                <w:u w:val="single"/>
              </w:rPr>
            </w:pPr>
            <w:r w:rsidRPr="006D360A">
              <w:rPr>
                <w:rFonts w:ascii="Arial Narrow" w:hAnsi="Arial Narrow"/>
                <w:sz w:val="18"/>
                <w:szCs w:val="20"/>
                <w:u w:val="single"/>
              </w:rPr>
              <w:t>IVIg:</w:t>
            </w:r>
            <w:r w:rsidRPr="006D360A">
              <w:rPr>
                <w:rFonts w:ascii="Arial Narrow" w:hAnsi="Arial Narrow"/>
                <w:sz w:val="18"/>
                <w:szCs w:val="20"/>
              </w:rPr>
              <w:t xml:space="preserve"> 400 mg/kg daily for 5 days, followed by a maintenance dose at 21-day intervals for 12 months</w:t>
            </w:r>
          </w:p>
        </w:tc>
        <w:tc>
          <w:tcPr>
            <w:tcW w:w="1843" w:type="dxa"/>
          </w:tcPr>
          <w:p w14:paraId="7D1C6A64" w14:textId="77777777" w:rsidR="006B4C5F" w:rsidRPr="006D360A" w:rsidRDefault="006B4C5F" w:rsidP="00F814DE">
            <w:pPr>
              <w:spacing w:before="0" w:after="40" w:line="240" w:lineRule="auto"/>
              <w:ind w:left="-57"/>
              <w:jc w:val="left"/>
              <w:rPr>
                <w:rFonts w:ascii="Arial Narrow" w:hAnsi="Arial Narrow" w:cs="Times New Roman"/>
                <w:sz w:val="18"/>
                <w:szCs w:val="20"/>
              </w:rPr>
            </w:pPr>
            <w:r w:rsidRPr="006D360A">
              <w:rPr>
                <w:rFonts w:ascii="Arial Narrow" w:hAnsi="Arial Narrow"/>
                <w:sz w:val="18"/>
                <w:szCs w:val="20"/>
              </w:rPr>
              <w:t>―</w:t>
            </w:r>
          </w:p>
        </w:tc>
        <w:tc>
          <w:tcPr>
            <w:tcW w:w="2268" w:type="dxa"/>
          </w:tcPr>
          <w:p w14:paraId="462A80EE" w14:textId="77777777" w:rsidR="006B4C5F" w:rsidRPr="006D360A" w:rsidRDefault="006B4C5F" w:rsidP="00F814DE">
            <w:pPr>
              <w:spacing w:before="0" w:after="40" w:line="240" w:lineRule="auto"/>
              <w:ind w:left="-57"/>
              <w:jc w:val="left"/>
              <w:rPr>
                <w:rFonts w:ascii="Arial Narrow" w:hAnsi="Arial Narrow"/>
                <w:sz w:val="18"/>
                <w:szCs w:val="20"/>
              </w:rPr>
            </w:pPr>
            <w:r w:rsidRPr="006D360A">
              <w:rPr>
                <w:rFonts w:ascii="Arial Narrow" w:hAnsi="Arial Narrow"/>
                <w:sz w:val="18"/>
                <w:szCs w:val="20"/>
                <w:u w:val="single"/>
              </w:rPr>
              <w:t>Outcomes</w:t>
            </w:r>
            <w:r w:rsidRPr="006D360A">
              <w:rPr>
                <w:rFonts w:ascii="Arial Narrow" w:hAnsi="Arial Narrow"/>
                <w:sz w:val="18"/>
                <w:szCs w:val="20"/>
              </w:rPr>
              <w:t>: lymphocyte counts; leukaemic response. Infections reported as a complication/ prognostic variable (before/after comparison presented).</w:t>
            </w:r>
          </w:p>
          <w:p w14:paraId="67A0F503" w14:textId="77777777" w:rsidR="006B4C5F" w:rsidRPr="006D360A" w:rsidRDefault="006B4C5F" w:rsidP="00F814DE">
            <w:pPr>
              <w:spacing w:before="0" w:after="40" w:line="240" w:lineRule="auto"/>
              <w:ind w:left="-57"/>
              <w:jc w:val="left"/>
              <w:rPr>
                <w:rFonts w:ascii="Arial Narrow" w:hAnsi="Arial Narrow" w:cs="Times New Roman"/>
                <w:sz w:val="18"/>
                <w:szCs w:val="20"/>
                <w:u w:val="single"/>
              </w:rPr>
            </w:pPr>
            <w:r w:rsidRPr="006D360A">
              <w:rPr>
                <w:rFonts w:ascii="Arial Narrow" w:hAnsi="Arial Narrow"/>
                <w:sz w:val="18"/>
                <w:szCs w:val="20"/>
                <w:u w:val="single"/>
              </w:rPr>
              <w:t>Analyses</w:t>
            </w:r>
            <w:r w:rsidRPr="006D360A">
              <w:rPr>
                <w:rFonts w:ascii="Arial Narrow" w:hAnsi="Arial Narrow"/>
                <w:sz w:val="18"/>
                <w:szCs w:val="20"/>
              </w:rPr>
              <w:t xml:space="preserve"> and </w:t>
            </w:r>
            <w:r w:rsidRPr="006D360A">
              <w:rPr>
                <w:rFonts w:ascii="Arial Narrow" w:hAnsi="Arial Narrow"/>
                <w:sz w:val="18"/>
                <w:szCs w:val="20"/>
                <w:u w:val="single"/>
              </w:rPr>
              <w:t>follow-up</w:t>
            </w:r>
            <w:r w:rsidRPr="006D360A">
              <w:rPr>
                <w:rFonts w:ascii="Arial Narrow" w:hAnsi="Arial Narrow"/>
                <w:sz w:val="18"/>
                <w:szCs w:val="20"/>
              </w:rPr>
              <w:t xml:space="preserve"> not described.</w:t>
            </w:r>
          </w:p>
        </w:tc>
        <w:tc>
          <w:tcPr>
            <w:tcW w:w="1984" w:type="dxa"/>
          </w:tcPr>
          <w:p w14:paraId="24E46A07" w14:textId="77777777" w:rsidR="006B4C5F" w:rsidRPr="006D360A" w:rsidRDefault="006B4C5F" w:rsidP="00F814DE">
            <w:pPr>
              <w:spacing w:before="0" w:after="40" w:line="240" w:lineRule="auto"/>
              <w:ind w:left="-57"/>
              <w:jc w:val="left"/>
              <w:rPr>
                <w:rFonts w:ascii="Arial Narrow" w:hAnsi="Arial Narrow"/>
                <w:sz w:val="18"/>
                <w:szCs w:val="20"/>
              </w:rPr>
            </w:pPr>
            <w:r w:rsidRPr="006D360A">
              <w:rPr>
                <w:rFonts w:ascii="Arial Narrow" w:hAnsi="Arial Narrow"/>
                <w:sz w:val="18"/>
                <w:szCs w:val="20"/>
                <w:u w:val="single"/>
              </w:rPr>
              <w:t>Funding</w:t>
            </w:r>
            <w:r w:rsidRPr="006D360A">
              <w:rPr>
                <w:rFonts w:ascii="Arial Narrow" w:hAnsi="Arial Narrow"/>
                <w:sz w:val="18"/>
                <w:szCs w:val="20"/>
              </w:rPr>
              <w:t>: Supported by the Hematology-Oncology Research Fund of the Medical College of Pennsylvania.</w:t>
            </w:r>
          </w:p>
          <w:p w14:paraId="69C464A2" w14:textId="77777777" w:rsidR="006B4C5F" w:rsidRPr="006D360A" w:rsidRDefault="006B4C5F" w:rsidP="00F814DE">
            <w:pPr>
              <w:spacing w:before="0" w:after="40" w:line="240" w:lineRule="auto"/>
              <w:ind w:left="-57"/>
              <w:jc w:val="left"/>
              <w:rPr>
                <w:rFonts w:ascii="Arial Narrow" w:hAnsi="Arial Narrow"/>
                <w:sz w:val="18"/>
                <w:szCs w:val="20"/>
              </w:rPr>
            </w:pPr>
            <w:r w:rsidRPr="006D360A">
              <w:rPr>
                <w:rFonts w:ascii="Arial Narrow" w:hAnsi="Arial Narrow"/>
                <w:sz w:val="18"/>
                <w:szCs w:val="20"/>
              </w:rPr>
              <w:t>No conflict of interest statement included.</w:t>
            </w:r>
          </w:p>
          <w:p w14:paraId="2E558FBE" w14:textId="77777777" w:rsidR="006B4C5F" w:rsidRPr="006D360A" w:rsidRDefault="006B4C5F" w:rsidP="00F814DE">
            <w:pPr>
              <w:spacing w:before="0" w:after="40" w:line="240" w:lineRule="auto"/>
              <w:ind w:left="-57"/>
              <w:jc w:val="left"/>
              <w:rPr>
                <w:rFonts w:ascii="Arial Narrow" w:hAnsi="Arial Narrow"/>
                <w:sz w:val="18"/>
                <w:szCs w:val="20"/>
              </w:rPr>
            </w:pPr>
            <w:r w:rsidRPr="006D360A">
              <w:rPr>
                <w:rFonts w:ascii="Arial Narrow" w:hAnsi="Arial Narrow"/>
                <w:sz w:val="18"/>
                <w:szCs w:val="20"/>
              </w:rPr>
              <w:t>IVIg (Sandoglobulin) supplied by Sandoz.</w:t>
            </w:r>
          </w:p>
          <w:p w14:paraId="23782D4A" w14:textId="77777777" w:rsidR="006B4C5F" w:rsidRPr="003B4D22" w:rsidRDefault="006B4C5F" w:rsidP="00F814DE">
            <w:pPr>
              <w:spacing w:before="0" w:after="40" w:line="240" w:lineRule="auto"/>
              <w:ind w:left="-57"/>
              <w:jc w:val="left"/>
              <w:rPr>
                <w:rFonts w:ascii="Arial Narrow" w:hAnsi="Arial Narrow" w:cs="Times New Roman"/>
                <w:sz w:val="18"/>
                <w:szCs w:val="20"/>
                <w:u w:val="single"/>
              </w:rPr>
            </w:pPr>
            <w:r w:rsidRPr="006D360A">
              <w:rPr>
                <w:rFonts w:ascii="Arial Narrow" w:hAnsi="Arial Narrow"/>
                <w:sz w:val="18"/>
                <w:szCs w:val="20"/>
                <w:u w:val="single"/>
              </w:rPr>
              <w:t>Ethics</w:t>
            </w:r>
            <w:r w:rsidRPr="006D360A">
              <w:rPr>
                <w:rFonts w:ascii="Arial Narrow" w:hAnsi="Arial Narrow"/>
                <w:sz w:val="18"/>
                <w:szCs w:val="20"/>
              </w:rPr>
              <w:t>: no statement of ethics committee oversight included.</w:t>
            </w:r>
            <w:r w:rsidRPr="003B4D22">
              <w:rPr>
                <w:rFonts w:ascii="Arial Narrow" w:hAnsi="Arial Narrow"/>
                <w:sz w:val="18"/>
                <w:szCs w:val="20"/>
              </w:rPr>
              <w:t xml:space="preserve"> </w:t>
            </w:r>
          </w:p>
        </w:tc>
      </w:tr>
      <w:tr w:rsidR="001A0A87" w:rsidRPr="003B4D22" w14:paraId="5BB0C6FE" w14:textId="77777777" w:rsidTr="002874D8">
        <w:trPr>
          <w:trHeight w:val="293"/>
        </w:trPr>
        <w:tc>
          <w:tcPr>
            <w:tcW w:w="1129" w:type="dxa"/>
          </w:tcPr>
          <w:p w14:paraId="488AB658"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Brenner, 1996</w:t>
            </w:r>
          </w:p>
          <w:p w14:paraId="0C821F1F"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Israel</w:t>
            </w:r>
          </w:p>
          <w:p w14:paraId="76F090DF"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sz w:val="18"/>
                <w:szCs w:val="20"/>
              </w:rPr>
              <w:t>Single centre</w:t>
            </w:r>
          </w:p>
        </w:tc>
        <w:tc>
          <w:tcPr>
            <w:tcW w:w="1134" w:type="dxa"/>
          </w:tcPr>
          <w:p w14:paraId="05F2A617"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Before/after time series</w:t>
            </w:r>
          </w:p>
          <w:p w14:paraId="7D1C60C2" w14:textId="30D5FB41"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sz w:val="18"/>
                <w:szCs w:val="20"/>
              </w:rPr>
              <w:t>RoB: moderate</w:t>
            </w:r>
            <w:r w:rsidR="004E4553" w:rsidRPr="003B4D22">
              <w:rPr>
                <w:rFonts w:ascii="Arial Narrow" w:hAnsi="Arial Narrow"/>
                <w:sz w:val="18"/>
                <w:szCs w:val="20"/>
              </w:rPr>
              <w:t xml:space="preserve"> (IHE)</w:t>
            </w:r>
          </w:p>
        </w:tc>
        <w:tc>
          <w:tcPr>
            <w:tcW w:w="1843" w:type="dxa"/>
          </w:tcPr>
          <w:p w14:paraId="44B8EC63"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N=54 [CLL(22); MM(4); ITP(20); PAPS(8)]</w:t>
            </w:r>
          </w:p>
          <w:p w14:paraId="055159D3"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Sex</w:t>
            </w:r>
            <w:r w:rsidRPr="003B4D22">
              <w:rPr>
                <w:rFonts w:ascii="Arial Narrow" w:hAnsi="Arial Narrow"/>
                <w:sz w:val="18"/>
                <w:szCs w:val="20"/>
              </w:rPr>
              <w:t xml:space="preserve">, ♀/♂: 26/28 </w:t>
            </w:r>
          </w:p>
          <w:p w14:paraId="1CEFAE8C" w14:textId="77777777" w:rsidR="001A0A87" w:rsidRPr="003B4D22" w:rsidRDefault="001A0A87" w:rsidP="00F814DE">
            <w:pPr>
              <w:spacing w:before="0" w:after="40" w:line="240" w:lineRule="auto"/>
              <w:ind w:left="-57"/>
              <w:jc w:val="left"/>
              <w:rPr>
                <w:rFonts w:ascii="Arial Narrow" w:hAnsi="Arial Narrow" w:cs="Times New Roman"/>
                <w:sz w:val="18"/>
                <w:szCs w:val="20"/>
              </w:rPr>
            </w:pPr>
            <w:r w:rsidRPr="003B4D22">
              <w:rPr>
                <w:rFonts w:ascii="Arial Narrow" w:hAnsi="Arial Narrow"/>
                <w:sz w:val="18"/>
                <w:szCs w:val="20"/>
                <w:u w:val="single"/>
              </w:rPr>
              <w:t>Median age</w:t>
            </w:r>
            <w:r w:rsidRPr="003B4D22">
              <w:rPr>
                <w:rFonts w:ascii="Arial Narrow" w:hAnsi="Arial Narrow"/>
                <w:sz w:val="18"/>
                <w:szCs w:val="20"/>
              </w:rPr>
              <w:t xml:space="preserve"> yr (range), CLL: 61(39-80); MM: 65(61-70)</w:t>
            </w:r>
          </w:p>
        </w:tc>
        <w:tc>
          <w:tcPr>
            <w:tcW w:w="2268" w:type="dxa"/>
          </w:tcPr>
          <w:p w14:paraId="320801DC"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Inclusion</w:t>
            </w:r>
            <w:r w:rsidRPr="003B4D22">
              <w:rPr>
                <w:rFonts w:ascii="Arial Narrow" w:hAnsi="Arial Narrow"/>
                <w:sz w:val="18"/>
                <w:szCs w:val="20"/>
              </w:rPr>
              <w:t>: for CLL –  serum IgG &lt;700mg/dL and/or recurrent infections with at least one infection requiring hospital admission; for MM – recurrent infections</w:t>
            </w:r>
          </w:p>
          <w:p w14:paraId="783C15F5"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Exclusion</w:t>
            </w:r>
            <w:r w:rsidRPr="003B4D22">
              <w:rPr>
                <w:rFonts w:ascii="Arial Narrow" w:hAnsi="Arial Narrow"/>
                <w:sz w:val="18"/>
                <w:szCs w:val="20"/>
              </w:rPr>
              <w:t>: none described.</w:t>
            </w:r>
          </w:p>
          <w:p w14:paraId="34234B52" w14:textId="77777777" w:rsidR="001A0A87" w:rsidRPr="003B4D22" w:rsidRDefault="001A0A87" w:rsidP="00F814DE">
            <w:pPr>
              <w:spacing w:before="0" w:after="40" w:line="240" w:lineRule="auto"/>
              <w:ind w:left="-57"/>
              <w:jc w:val="left"/>
              <w:rPr>
                <w:rFonts w:ascii="Arial Narrow" w:hAnsi="Arial Narrow" w:cs="Times New Roman"/>
                <w:sz w:val="18"/>
                <w:szCs w:val="20"/>
                <w:u w:val="single"/>
              </w:rPr>
            </w:pPr>
            <w:r w:rsidRPr="003B4D22">
              <w:rPr>
                <w:rFonts w:ascii="Arial Narrow" w:hAnsi="Arial Narrow"/>
                <w:sz w:val="18"/>
                <w:szCs w:val="20"/>
                <w:u w:val="single"/>
              </w:rPr>
              <w:t>Objectives</w:t>
            </w:r>
            <w:r w:rsidRPr="003B4D22">
              <w:rPr>
                <w:rFonts w:ascii="Arial Narrow" w:hAnsi="Arial Narrow"/>
                <w:sz w:val="18"/>
                <w:szCs w:val="20"/>
              </w:rPr>
              <w:t>: to investigate the safety of Octagam in patients with CLL, MM, ITP and PAPS. To evaluate ability of Octagam to prevent infections in patients with CLL and MM.</w:t>
            </w:r>
          </w:p>
        </w:tc>
        <w:tc>
          <w:tcPr>
            <w:tcW w:w="1843" w:type="dxa"/>
          </w:tcPr>
          <w:p w14:paraId="490D513F" w14:textId="77777777" w:rsidR="001A0A87" w:rsidRPr="003B4D22" w:rsidRDefault="001A0A87" w:rsidP="00F814DE">
            <w:pPr>
              <w:spacing w:before="0" w:after="40" w:line="240" w:lineRule="auto"/>
              <w:ind w:left="-57"/>
              <w:jc w:val="left"/>
              <w:rPr>
                <w:rFonts w:ascii="Arial Narrow" w:hAnsi="Arial Narrow" w:cs="Times New Roman"/>
                <w:sz w:val="18"/>
                <w:szCs w:val="20"/>
                <w:u w:val="single"/>
              </w:rPr>
            </w:pPr>
            <w:r w:rsidRPr="003B4D22">
              <w:rPr>
                <w:rFonts w:ascii="Arial Narrow" w:hAnsi="Arial Narrow"/>
                <w:sz w:val="18"/>
                <w:szCs w:val="20"/>
                <w:u w:val="single"/>
              </w:rPr>
              <w:t>IVIg</w:t>
            </w:r>
            <w:r w:rsidRPr="003B4D22">
              <w:rPr>
                <w:rFonts w:ascii="Arial Narrow" w:hAnsi="Arial Narrow"/>
                <w:sz w:val="18"/>
                <w:szCs w:val="20"/>
              </w:rPr>
              <w:t>: 0.4g/kg every four weeks for six consecutive courses (Octagam, Octapharma).</w:t>
            </w:r>
          </w:p>
        </w:tc>
        <w:tc>
          <w:tcPr>
            <w:tcW w:w="1843" w:type="dxa"/>
          </w:tcPr>
          <w:p w14:paraId="1EF2AA2B" w14:textId="77777777" w:rsidR="001A0A87" w:rsidRPr="003B4D22" w:rsidRDefault="001A0A87" w:rsidP="00F814DE">
            <w:pPr>
              <w:spacing w:before="0" w:after="40" w:line="240" w:lineRule="auto"/>
              <w:ind w:left="-57"/>
              <w:jc w:val="left"/>
              <w:rPr>
                <w:rFonts w:ascii="Arial Narrow" w:hAnsi="Arial Narrow" w:cs="Times New Roman"/>
                <w:sz w:val="18"/>
                <w:szCs w:val="20"/>
                <w:u w:val="single"/>
              </w:rPr>
            </w:pPr>
            <w:r w:rsidRPr="003B4D22">
              <w:rPr>
                <w:rFonts w:ascii="Arial Narrow" w:hAnsi="Arial Narrow"/>
                <w:sz w:val="18"/>
                <w:szCs w:val="20"/>
              </w:rPr>
              <w:t>―</w:t>
            </w:r>
          </w:p>
        </w:tc>
        <w:tc>
          <w:tcPr>
            <w:tcW w:w="2268" w:type="dxa"/>
          </w:tcPr>
          <w:p w14:paraId="5E76E3A6"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Outcomes:</w:t>
            </w:r>
            <w:r w:rsidRPr="003B4D22">
              <w:rPr>
                <w:rFonts w:ascii="Arial Narrow" w:hAnsi="Arial Narrow"/>
                <w:sz w:val="18"/>
                <w:szCs w:val="20"/>
              </w:rPr>
              <w:t xml:space="preserve"> adverse events; viral safety parameters (not presented); infections; infections requiring hospitalisation.</w:t>
            </w:r>
          </w:p>
          <w:p w14:paraId="120841B5" w14:textId="77777777" w:rsidR="001A0A87" w:rsidRPr="003B4D22" w:rsidRDefault="001A0A87" w:rsidP="00F814DE">
            <w:pPr>
              <w:spacing w:before="0" w:after="40" w:line="240" w:lineRule="auto"/>
              <w:ind w:left="-57"/>
              <w:jc w:val="left"/>
              <w:rPr>
                <w:rFonts w:ascii="Arial Narrow" w:hAnsi="Arial Narrow"/>
                <w:sz w:val="18"/>
                <w:szCs w:val="20"/>
                <w:u w:val="single"/>
              </w:rPr>
            </w:pPr>
            <w:r w:rsidRPr="003B4D22">
              <w:rPr>
                <w:rFonts w:ascii="Arial Narrow" w:hAnsi="Arial Narrow"/>
                <w:sz w:val="18"/>
                <w:szCs w:val="20"/>
              </w:rPr>
              <w:t xml:space="preserve">History of infections is presented in a naïve comparison with the infections observed during the study for CLL patients (MM patient numbers too small).  </w:t>
            </w:r>
          </w:p>
          <w:p w14:paraId="61CD6D88" w14:textId="77777777" w:rsidR="001A0A87" w:rsidRPr="003B4D22" w:rsidRDefault="001A0A87" w:rsidP="00F814DE">
            <w:pPr>
              <w:spacing w:before="0" w:after="40" w:line="240" w:lineRule="auto"/>
              <w:ind w:left="-57"/>
              <w:jc w:val="left"/>
              <w:rPr>
                <w:rFonts w:ascii="Arial Narrow" w:hAnsi="Arial Narrow"/>
                <w:sz w:val="18"/>
                <w:szCs w:val="20"/>
                <w:u w:val="single"/>
              </w:rPr>
            </w:pPr>
            <w:r w:rsidRPr="003B4D22">
              <w:rPr>
                <w:rFonts w:ascii="Arial Narrow" w:hAnsi="Arial Narrow"/>
                <w:sz w:val="18"/>
                <w:szCs w:val="20"/>
                <w:u w:val="single"/>
              </w:rPr>
              <w:t>Analyses:</w:t>
            </w:r>
            <w:r w:rsidRPr="003B4D22">
              <w:rPr>
                <w:rFonts w:ascii="Arial Narrow" w:hAnsi="Arial Narrow"/>
                <w:sz w:val="18"/>
                <w:szCs w:val="20"/>
              </w:rPr>
              <w:t xml:space="preserve"> none presented</w:t>
            </w:r>
          </w:p>
          <w:p w14:paraId="20EFDDC3" w14:textId="77777777" w:rsidR="001A0A87" w:rsidRPr="003B4D22" w:rsidRDefault="001A0A87" w:rsidP="00F814DE">
            <w:pPr>
              <w:spacing w:before="0" w:after="40" w:line="240" w:lineRule="auto"/>
              <w:ind w:left="-57"/>
              <w:jc w:val="left"/>
              <w:rPr>
                <w:rFonts w:ascii="Arial Narrow" w:hAnsi="Arial Narrow" w:cs="Times New Roman"/>
                <w:sz w:val="18"/>
                <w:szCs w:val="20"/>
                <w:u w:val="single"/>
              </w:rPr>
            </w:pPr>
            <w:r w:rsidRPr="003B4D22">
              <w:rPr>
                <w:rFonts w:ascii="Arial Narrow" w:hAnsi="Arial Narrow"/>
                <w:sz w:val="18"/>
                <w:szCs w:val="20"/>
                <w:u w:val="single"/>
              </w:rPr>
              <w:t>Follow-up:</w:t>
            </w:r>
            <w:r w:rsidRPr="003B4D22">
              <w:rPr>
                <w:rFonts w:ascii="Arial Narrow" w:hAnsi="Arial Narrow"/>
                <w:sz w:val="18"/>
                <w:szCs w:val="20"/>
              </w:rPr>
              <w:t xml:space="preserve"> 6 months after last infusion.</w:t>
            </w:r>
          </w:p>
        </w:tc>
        <w:tc>
          <w:tcPr>
            <w:tcW w:w="1984" w:type="dxa"/>
          </w:tcPr>
          <w:p w14:paraId="2D1B5623" w14:textId="77777777" w:rsidR="001A0A87" w:rsidRPr="003B4D22" w:rsidRDefault="001A0A87" w:rsidP="00F814DE">
            <w:pPr>
              <w:spacing w:before="0" w:after="40" w:line="240" w:lineRule="auto"/>
              <w:ind w:left="-57"/>
              <w:jc w:val="left"/>
              <w:rPr>
                <w:rFonts w:ascii="Arial Narrow" w:hAnsi="Arial Narrow"/>
                <w:sz w:val="18"/>
                <w:szCs w:val="20"/>
                <w:u w:val="single"/>
              </w:rPr>
            </w:pPr>
            <w:r w:rsidRPr="003B4D22">
              <w:rPr>
                <w:rFonts w:ascii="Arial Narrow" w:hAnsi="Arial Narrow"/>
                <w:sz w:val="18"/>
                <w:szCs w:val="20"/>
                <w:u w:val="single"/>
              </w:rPr>
              <w:t>Funding</w:t>
            </w:r>
            <w:r w:rsidRPr="003B4D22">
              <w:rPr>
                <w:rFonts w:ascii="Arial Narrow" w:hAnsi="Arial Narrow"/>
                <w:sz w:val="18"/>
                <w:szCs w:val="20"/>
              </w:rPr>
              <w:t>: the article makes no funding disclosures but as a study that aims to demonstrate safety and efficacy of a single brand of IVIg, it is very likely a sponsor-funded study.</w:t>
            </w:r>
          </w:p>
          <w:p w14:paraId="0CC43D75" w14:textId="77777777" w:rsidR="001A0A87" w:rsidRPr="003B4D22" w:rsidRDefault="001A0A87"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Ethics</w:t>
            </w:r>
            <w:r w:rsidRPr="003B4D22">
              <w:rPr>
                <w:rFonts w:ascii="Arial Narrow" w:hAnsi="Arial Narrow"/>
                <w:sz w:val="18"/>
                <w:szCs w:val="20"/>
              </w:rPr>
              <w:t xml:space="preserve">: Informed consent approved by Rarnbam Medical Center ethical committee. </w:t>
            </w:r>
          </w:p>
          <w:p w14:paraId="5F766295" w14:textId="77777777" w:rsidR="001A0A87" w:rsidRPr="003B4D22" w:rsidRDefault="001A0A87" w:rsidP="00F814DE">
            <w:pPr>
              <w:spacing w:before="0" w:after="40" w:line="240" w:lineRule="auto"/>
              <w:ind w:left="-57"/>
              <w:jc w:val="left"/>
              <w:rPr>
                <w:rFonts w:ascii="Arial Narrow" w:hAnsi="Arial Narrow" w:cs="Times New Roman"/>
                <w:sz w:val="18"/>
                <w:szCs w:val="20"/>
                <w:u w:val="single"/>
              </w:rPr>
            </w:pPr>
            <w:r w:rsidRPr="003B4D22">
              <w:rPr>
                <w:rFonts w:ascii="Arial Narrow" w:hAnsi="Arial Narrow"/>
                <w:sz w:val="18"/>
                <w:szCs w:val="20"/>
              </w:rPr>
              <w:t>Outcomes due to ITP and PAPS (both autoimmune diseases) are not relevant to this evaluation.</w:t>
            </w:r>
          </w:p>
        </w:tc>
      </w:tr>
      <w:tr w:rsidR="006B4C5F" w:rsidRPr="003B4D22" w14:paraId="380CD66C" w14:textId="77777777" w:rsidTr="00FE2A24">
        <w:trPr>
          <w:trHeight w:val="293"/>
        </w:trPr>
        <w:tc>
          <w:tcPr>
            <w:tcW w:w="1129" w:type="dxa"/>
            <w:tcBorders>
              <w:top w:val="single" w:sz="4" w:space="0" w:color="auto"/>
              <w:bottom w:val="single" w:sz="4" w:space="0" w:color="auto"/>
            </w:tcBorders>
          </w:tcPr>
          <w:p w14:paraId="7EF8F30B"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Günther &amp; Dreger 2013</w:t>
            </w:r>
          </w:p>
          <w:p w14:paraId="2F90D692"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Germany</w:t>
            </w:r>
          </w:p>
          <w:p w14:paraId="4FB6AF77" w14:textId="62847654" w:rsidR="006B4C5F" w:rsidRPr="003B4D22" w:rsidRDefault="006B4C5F" w:rsidP="00F814DE">
            <w:pPr>
              <w:spacing w:after="40" w:line="240" w:lineRule="auto"/>
              <w:ind w:left="-57"/>
              <w:jc w:val="left"/>
              <w:rPr>
                <w:rFonts w:ascii="Arial Narrow" w:hAnsi="Arial Narrow"/>
                <w:sz w:val="18"/>
                <w:szCs w:val="18"/>
                <w:highlight w:val="yellow"/>
              </w:rPr>
            </w:pPr>
            <w:r w:rsidRPr="003B4D22">
              <w:rPr>
                <w:rFonts w:ascii="Arial Narrow" w:hAnsi="Arial Narrow"/>
                <w:sz w:val="18"/>
                <w:szCs w:val="20"/>
              </w:rPr>
              <w:lastRenderedPageBreak/>
              <w:t>Single centre</w:t>
            </w:r>
          </w:p>
        </w:tc>
        <w:tc>
          <w:tcPr>
            <w:tcW w:w="1134" w:type="dxa"/>
            <w:tcBorders>
              <w:top w:val="single" w:sz="4" w:space="0" w:color="auto"/>
              <w:bottom w:val="single" w:sz="4" w:space="0" w:color="auto"/>
            </w:tcBorders>
          </w:tcPr>
          <w:p w14:paraId="0EBC65CF"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lastRenderedPageBreak/>
              <w:t>Before/after time series: [Apr 1997–Nov 2010]</w:t>
            </w:r>
          </w:p>
          <w:p w14:paraId="6C9A8240"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lastRenderedPageBreak/>
              <w:t>Level IV</w:t>
            </w:r>
          </w:p>
          <w:p w14:paraId="2E76533B" w14:textId="7FDF863A" w:rsidR="006B4C5F" w:rsidRPr="003B4D22" w:rsidRDefault="006B4C5F" w:rsidP="00F814DE">
            <w:pPr>
              <w:spacing w:after="40" w:line="240" w:lineRule="auto"/>
              <w:ind w:left="-57"/>
              <w:jc w:val="left"/>
              <w:rPr>
                <w:rFonts w:ascii="Arial Narrow" w:hAnsi="Arial Narrow"/>
                <w:sz w:val="18"/>
                <w:szCs w:val="18"/>
                <w:highlight w:val="yellow"/>
              </w:rPr>
            </w:pPr>
            <w:r w:rsidRPr="003B4D22">
              <w:rPr>
                <w:rFonts w:ascii="Arial Narrow" w:hAnsi="Arial Narrow"/>
                <w:sz w:val="18"/>
                <w:szCs w:val="20"/>
              </w:rPr>
              <w:t>RoB: Moderate (</w:t>
            </w:r>
            <w:r w:rsidR="004E3503" w:rsidRPr="003B4D22">
              <w:rPr>
                <w:rFonts w:ascii="Arial Narrow" w:hAnsi="Arial Narrow"/>
                <w:sz w:val="18"/>
                <w:szCs w:val="20"/>
              </w:rPr>
              <w:t>IHE</w:t>
            </w:r>
            <w:r w:rsidRPr="003B4D22">
              <w:rPr>
                <w:rFonts w:ascii="Arial Narrow" w:hAnsi="Arial Narrow"/>
                <w:sz w:val="18"/>
                <w:szCs w:val="20"/>
              </w:rPr>
              <w:t>)</w:t>
            </w:r>
          </w:p>
        </w:tc>
        <w:tc>
          <w:tcPr>
            <w:tcW w:w="1843" w:type="dxa"/>
          </w:tcPr>
          <w:p w14:paraId="1E60EAFF"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lastRenderedPageBreak/>
              <w:t xml:space="preserve">*N=10 patients </w:t>
            </w:r>
            <w:r w:rsidRPr="003B4D22">
              <w:rPr>
                <w:rFonts w:ascii="Arial Narrow" w:hAnsi="Arial Narrow"/>
                <w:sz w:val="18"/>
                <w:szCs w:val="20"/>
              </w:rPr>
              <w:br/>
              <w:t xml:space="preserve">[CLL(5), FL(2), immunocytoma(1), plasmacytoma(1), </w:t>
            </w:r>
            <w:r w:rsidRPr="003B4D22">
              <w:rPr>
                <w:rFonts w:ascii="Arial Narrow" w:hAnsi="Arial Narrow"/>
                <w:sz w:val="18"/>
                <w:szCs w:val="20"/>
              </w:rPr>
              <w:lastRenderedPageBreak/>
              <w:t>MDS(1)]</w:t>
            </w:r>
          </w:p>
          <w:p w14:paraId="0723F64E"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Sex</w:t>
            </w:r>
            <w:r w:rsidRPr="003B4D22">
              <w:rPr>
                <w:rFonts w:ascii="Arial Narrow" w:hAnsi="Arial Narrow"/>
                <w:sz w:val="18"/>
                <w:szCs w:val="20"/>
              </w:rPr>
              <w:t xml:space="preserve"> ♀/♂: 7/3</w:t>
            </w:r>
          </w:p>
          <w:p w14:paraId="09ACD49F"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Weight</w:t>
            </w:r>
            <w:r w:rsidRPr="003B4D22">
              <w:rPr>
                <w:rFonts w:ascii="Arial Narrow" w:hAnsi="Arial Narrow"/>
                <w:sz w:val="18"/>
                <w:szCs w:val="20"/>
              </w:rPr>
              <w:t xml:space="preserve"> (kg): 77 (57–100)</w:t>
            </w:r>
          </w:p>
          <w:p w14:paraId="466599C6"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Age</w:t>
            </w:r>
            <w:r w:rsidRPr="003B4D22">
              <w:rPr>
                <w:rFonts w:ascii="Arial Narrow" w:hAnsi="Arial Narrow"/>
                <w:sz w:val="18"/>
                <w:szCs w:val="20"/>
              </w:rPr>
              <w:t>, median (range): 63 yr (38–73)</w:t>
            </w:r>
          </w:p>
          <w:p w14:paraId="0C63C099" w14:textId="42C91BBE" w:rsidR="006B4C5F" w:rsidRPr="003B4D22" w:rsidRDefault="006B4C5F" w:rsidP="00F814DE">
            <w:pPr>
              <w:spacing w:after="40" w:line="240" w:lineRule="auto"/>
              <w:ind w:left="-57"/>
              <w:jc w:val="left"/>
              <w:rPr>
                <w:rFonts w:ascii="Arial Narrow" w:hAnsi="Arial Narrow"/>
                <w:sz w:val="18"/>
                <w:szCs w:val="18"/>
                <w:highlight w:val="yellow"/>
              </w:rPr>
            </w:pPr>
            <w:r w:rsidRPr="003B4D22">
              <w:rPr>
                <w:rFonts w:ascii="Arial Narrow" w:hAnsi="Arial Narrow"/>
                <w:sz w:val="18"/>
                <w:szCs w:val="20"/>
                <w:u w:val="single"/>
              </w:rPr>
              <w:t>Disease stage</w:t>
            </w:r>
            <w:r w:rsidRPr="003B4D22">
              <w:rPr>
                <w:rFonts w:ascii="Arial Narrow" w:hAnsi="Arial Narrow"/>
                <w:sz w:val="18"/>
                <w:szCs w:val="20"/>
              </w:rPr>
              <w:t xml:space="preserve"> (n):</w:t>
            </w:r>
            <w:r w:rsidRPr="003B4D22">
              <w:rPr>
                <w:rFonts w:ascii="Arial Narrow" w:hAnsi="Arial Narrow"/>
                <w:sz w:val="18"/>
                <w:szCs w:val="20"/>
              </w:rPr>
              <w:br/>
              <w:t>Binet A (2); Binet B/Rai II (3); Rai III (4); not specified (1)</w:t>
            </w:r>
          </w:p>
        </w:tc>
        <w:tc>
          <w:tcPr>
            <w:tcW w:w="2268" w:type="dxa"/>
          </w:tcPr>
          <w:p w14:paraId="383A278F"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lastRenderedPageBreak/>
              <w:t>Inclusion:</w:t>
            </w:r>
            <w:r w:rsidRPr="003B4D22">
              <w:rPr>
                <w:rFonts w:ascii="Arial Narrow" w:hAnsi="Arial Narrow"/>
                <w:sz w:val="18"/>
                <w:szCs w:val="20"/>
              </w:rPr>
              <w:t xml:space="preserve"> adults indicated for IVIG with recurrent serious bacterial infections due to haematological malignancy</w:t>
            </w:r>
          </w:p>
          <w:p w14:paraId="2A0C6321"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lastRenderedPageBreak/>
              <w:t>Exclusion</w:t>
            </w:r>
            <w:r w:rsidRPr="003B4D22">
              <w:rPr>
                <w:rFonts w:ascii="Arial Narrow" w:hAnsi="Arial Narrow"/>
                <w:sz w:val="18"/>
                <w:szCs w:val="20"/>
              </w:rPr>
              <w:t xml:space="preserve">: not described. </w:t>
            </w:r>
          </w:p>
          <w:p w14:paraId="69E06FF7" w14:textId="3843BC16" w:rsidR="006B4C5F" w:rsidRPr="003B4D22" w:rsidRDefault="006B4C5F" w:rsidP="00F814DE">
            <w:pPr>
              <w:spacing w:after="40" w:line="240" w:lineRule="auto"/>
              <w:ind w:left="-57"/>
              <w:jc w:val="left"/>
              <w:rPr>
                <w:rFonts w:ascii="Arial Narrow" w:hAnsi="Arial Narrow"/>
                <w:sz w:val="18"/>
                <w:szCs w:val="18"/>
                <w:highlight w:val="yellow"/>
                <w:u w:val="single"/>
              </w:rPr>
            </w:pPr>
            <w:r w:rsidRPr="003B4D22">
              <w:rPr>
                <w:rFonts w:ascii="Arial Narrow" w:hAnsi="Arial Narrow"/>
                <w:sz w:val="18"/>
                <w:szCs w:val="20"/>
                <w:u w:val="single"/>
              </w:rPr>
              <w:t>Objectives</w:t>
            </w:r>
            <w:r w:rsidRPr="003B4D22">
              <w:rPr>
                <w:rFonts w:ascii="Arial Narrow" w:hAnsi="Arial Narrow"/>
                <w:sz w:val="18"/>
                <w:szCs w:val="20"/>
              </w:rPr>
              <w:t xml:space="preserve">:  Effect of IVIg on severe recurrent infections in 10 patients with various haematological malignancies.  </w:t>
            </w:r>
          </w:p>
        </w:tc>
        <w:tc>
          <w:tcPr>
            <w:tcW w:w="1843" w:type="dxa"/>
          </w:tcPr>
          <w:p w14:paraId="62345462" w14:textId="19935C54" w:rsidR="006B4C5F" w:rsidRPr="003B4D22" w:rsidRDefault="006B4C5F" w:rsidP="00F814DE">
            <w:pPr>
              <w:spacing w:after="40" w:line="240" w:lineRule="auto"/>
              <w:ind w:left="-57"/>
              <w:jc w:val="left"/>
              <w:rPr>
                <w:rFonts w:ascii="Arial Narrow" w:hAnsi="Arial Narrow"/>
                <w:sz w:val="18"/>
                <w:szCs w:val="18"/>
                <w:highlight w:val="yellow"/>
                <w:u w:val="single"/>
              </w:rPr>
            </w:pPr>
            <w:r w:rsidRPr="003B4D22">
              <w:rPr>
                <w:rFonts w:ascii="Arial Narrow" w:hAnsi="Arial Narrow"/>
                <w:sz w:val="18"/>
                <w:szCs w:val="20"/>
                <w:u w:val="single"/>
              </w:rPr>
              <w:lastRenderedPageBreak/>
              <w:t>IVIg:</w:t>
            </w:r>
            <w:r w:rsidRPr="003B4D22">
              <w:rPr>
                <w:rFonts w:ascii="Arial Narrow" w:hAnsi="Arial Narrow"/>
                <w:sz w:val="18"/>
                <w:szCs w:val="20"/>
              </w:rPr>
              <w:t xml:space="preserve"> 0.35 g/kg body weight every 3–4 weeks (Flebogamma, Grifols)</w:t>
            </w:r>
          </w:p>
        </w:tc>
        <w:tc>
          <w:tcPr>
            <w:tcW w:w="1843" w:type="dxa"/>
          </w:tcPr>
          <w:p w14:paraId="0C9624E6" w14:textId="4549CF2B" w:rsidR="006B4C5F" w:rsidRPr="003B4D22" w:rsidRDefault="006B4C5F" w:rsidP="00F814DE">
            <w:pPr>
              <w:spacing w:after="40" w:line="240" w:lineRule="auto"/>
              <w:ind w:left="-57"/>
              <w:jc w:val="left"/>
              <w:rPr>
                <w:rFonts w:ascii="Arial Narrow" w:hAnsi="Arial Narrow"/>
                <w:sz w:val="18"/>
                <w:szCs w:val="18"/>
                <w:highlight w:val="yellow"/>
              </w:rPr>
            </w:pPr>
            <w:r w:rsidRPr="003B4D22">
              <w:rPr>
                <w:rFonts w:ascii="Arial Narrow" w:hAnsi="Arial Narrow"/>
                <w:sz w:val="18"/>
                <w:szCs w:val="20"/>
              </w:rPr>
              <w:t>―</w:t>
            </w:r>
          </w:p>
        </w:tc>
        <w:tc>
          <w:tcPr>
            <w:tcW w:w="2268" w:type="dxa"/>
          </w:tcPr>
          <w:p w14:paraId="3B9D777E"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Outcomes:</w:t>
            </w:r>
            <w:r w:rsidRPr="003B4D22">
              <w:rPr>
                <w:rFonts w:ascii="Arial Narrow" w:hAnsi="Arial Narrow"/>
                <w:sz w:val="18"/>
                <w:szCs w:val="20"/>
              </w:rPr>
              <w:t xml:space="preserve"> incidence of bacterial infections; non-bacterial infections; antibiotic/anti-infective use; adverse events including </w:t>
            </w:r>
            <w:r w:rsidRPr="003B4D22">
              <w:rPr>
                <w:rFonts w:ascii="Arial Narrow" w:hAnsi="Arial Narrow"/>
                <w:sz w:val="18"/>
                <w:szCs w:val="20"/>
              </w:rPr>
              <w:lastRenderedPageBreak/>
              <w:t>death.</w:t>
            </w:r>
          </w:p>
          <w:p w14:paraId="7712313E" w14:textId="22FDF292" w:rsidR="006B4C5F" w:rsidRPr="003B4D22" w:rsidRDefault="006B4C5F" w:rsidP="00F814DE">
            <w:pPr>
              <w:spacing w:after="40" w:line="240" w:lineRule="auto"/>
              <w:ind w:left="-57"/>
              <w:jc w:val="left"/>
              <w:rPr>
                <w:rFonts w:ascii="Arial Narrow" w:hAnsi="Arial Narrow"/>
                <w:sz w:val="18"/>
                <w:szCs w:val="18"/>
                <w:highlight w:val="yellow"/>
                <w:u w:val="single"/>
              </w:rPr>
            </w:pPr>
            <w:r w:rsidRPr="003B4D22">
              <w:rPr>
                <w:rFonts w:ascii="Arial Narrow" w:hAnsi="Arial Narrow"/>
                <w:sz w:val="18"/>
                <w:szCs w:val="20"/>
                <w:u w:val="single"/>
              </w:rPr>
              <w:t>Analyses</w:t>
            </w:r>
            <w:r w:rsidRPr="003B4D22">
              <w:rPr>
                <w:rFonts w:ascii="Arial Narrow" w:hAnsi="Arial Narrow"/>
                <w:sz w:val="18"/>
                <w:szCs w:val="20"/>
              </w:rPr>
              <w:t xml:space="preserve"> and </w:t>
            </w:r>
            <w:r w:rsidRPr="003B4D22">
              <w:rPr>
                <w:rFonts w:ascii="Arial Narrow" w:hAnsi="Arial Narrow"/>
                <w:sz w:val="18"/>
                <w:szCs w:val="20"/>
                <w:u w:val="single"/>
              </w:rPr>
              <w:t>follow-up</w:t>
            </w:r>
            <w:r w:rsidRPr="003B4D22">
              <w:rPr>
                <w:rFonts w:ascii="Arial Narrow" w:hAnsi="Arial Narrow"/>
                <w:sz w:val="18"/>
                <w:szCs w:val="20"/>
              </w:rPr>
              <w:t xml:space="preserve"> not described.</w:t>
            </w:r>
          </w:p>
        </w:tc>
        <w:tc>
          <w:tcPr>
            <w:tcW w:w="1984" w:type="dxa"/>
          </w:tcPr>
          <w:p w14:paraId="034F7DB2"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lastRenderedPageBreak/>
              <w:t>Work was supported by Grifols (manufacturer of Flebogamma).</w:t>
            </w:r>
          </w:p>
          <w:p w14:paraId="0FF7FF61" w14:textId="1B95C10D" w:rsidR="006B4C5F" w:rsidRPr="003B4D22" w:rsidRDefault="006B4C5F" w:rsidP="00F814DE">
            <w:pPr>
              <w:spacing w:after="40" w:line="240" w:lineRule="auto"/>
              <w:ind w:left="-57"/>
              <w:jc w:val="left"/>
              <w:rPr>
                <w:rFonts w:ascii="Arial Narrow" w:hAnsi="Arial Narrow"/>
                <w:sz w:val="18"/>
                <w:szCs w:val="18"/>
                <w:highlight w:val="yellow"/>
                <w:u w:val="single"/>
              </w:rPr>
            </w:pPr>
            <w:r w:rsidRPr="003B4D22">
              <w:rPr>
                <w:rFonts w:ascii="Arial Narrow" w:hAnsi="Arial Narrow"/>
                <w:sz w:val="18"/>
                <w:szCs w:val="20"/>
              </w:rPr>
              <w:t xml:space="preserve">Serum IgG at baseline not </w:t>
            </w:r>
            <w:r w:rsidRPr="003B4D22">
              <w:rPr>
                <w:rFonts w:ascii="Arial Narrow" w:hAnsi="Arial Narrow"/>
                <w:sz w:val="18"/>
                <w:szCs w:val="20"/>
              </w:rPr>
              <w:lastRenderedPageBreak/>
              <w:t>reported.</w:t>
            </w:r>
          </w:p>
        </w:tc>
      </w:tr>
      <w:tr w:rsidR="006B4C5F" w:rsidRPr="003B4D22" w14:paraId="6A52F7C9" w14:textId="77777777" w:rsidTr="00FE2A24">
        <w:trPr>
          <w:trHeight w:val="293"/>
        </w:trPr>
        <w:tc>
          <w:tcPr>
            <w:tcW w:w="1129" w:type="dxa"/>
            <w:tcBorders>
              <w:top w:val="single" w:sz="4" w:space="0" w:color="auto"/>
              <w:bottom w:val="single" w:sz="4" w:space="0" w:color="auto"/>
            </w:tcBorders>
          </w:tcPr>
          <w:p w14:paraId="3EB6F7C3"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lastRenderedPageBreak/>
              <w:t>Jurlander et al., 1994</w:t>
            </w:r>
          </w:p>
          <w:p w14:paraId="0C4BCE95"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Denmark</w:t>
            </w:r>
          </w:p>
          <w:p w14:paraId="0230FC76" w14:textId="5340DC54" w:rsidR="006B4C5F" w:rsidRPr="003B4D22" w:rsidRDefault="006B4C5F" w:rsidP="00F814DE">
            <w:pPr>
              <w:spacing w:after="40" w:line="240" w:lineRule="auto"/>
              <w:ind w:left="-57"/>
              <w:jc w:val="left"/>
              <w:rPr>
                <w:rFonts w:ascii="Arial Narrow" w:hAnsi="Arial Narrow"/>
                <w:sz w:val="18"/>
                <w:szCs w:val="20"/>
              </w:rPr>
            </w:pPr>
            <w:r w:rsidRPr="003B4D22">
              <w:rPr>
                <w:rFonts w:ascii="Arial Narrow" w:hAnsi="Arial Narrow"/>
                <w:sz w:val="18"/>
                <w:szCs w:val="20"/>
              </w:rPr>
              <w:t>Single centre.</w:t>
            </w:r>
          </w:p>
        </w:tc>
        <w:tc>
          <w:tcPr>
            <w:tcW w:w="1134" w:type="dxa"/>
            <w:tcBorders>
              <w:top w:val="single" w:sz="4" w:space="0" w:color="auto"/>
              <w:bottom w:val="single" w:sz="4" w:space="0" w:color="auto"/>
            </w:tcBorders>
          </w:tcPr>
          <w:p w14:paraId="7A51772D"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Before/after time series</w:t>
            </w:r>
          </w:p>
          <w:p w14:paraId="2255F26F"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Level IV</w:t>
            </w:r>
          </w:p>
          <w:p w14:paraId="2C51DC36" w14:textId="5642542E" w:rsidR="006B4C5F" w:rsidRPr="003B4D22" w:rsidRDefault="006B4C5F" w:rsidP="00F814DE">
            <w:pPr>
              <w:spacing w:after="40" w:line="240" w:lineRule="auto"/>
              <w:ind w:left="-57"/>
              <w:jc w:val="left"/>
              <w:rPr>
                <w:rFonts w:ascii="Arial Narrow" w:hAnsi="Arial Narrow"/>
                <w:sz w:val="18"/>
                <w:szCs w:val="20"/>
              </w:rPr>
            </w:pPr>
            <w:r w:rsidRPr="003B4D22">
              <w:rPr>
                <w:rFonts w:ascii="Arial Narrow" w:hAnsi="Arial Narrow"/>
                <w:sz w:val="18"/>
                <w:szCs w:val="20"/>
              </w:rPr>
              <w:t>RoB: Moderate (SIGN)</w:t>
            </w:r>
          </w:p>
        </w:tc>
        <w:tc>
          <w:tcPr>
            <w:tcW w:w="1843" w:type="dxa"/>
          </w:tcPr>
          <w:p w14:paraId="49A449F8"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N=15 (CLL) (results reported for 14 only)</w:t>
            </w:r>
          </w:p>
          <w:p w14:paraId="3EB68017"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Age</w:t>
            </w:r>
            <w:r w:rsidRPr="003B4D22">
              <w:rPr>
                <w:rFonts w:ascii="Arial Narrow" w:hAnsi="Arial Narrow"/>
                <w:sz w:val="18"/>
                <w:szCs w:val="20"/>
              </w:rPr>
              <w:t xml:space="preserve"> median (range): 66 (50–81)</w:t>
            </w:r>
          </w:p>
          <w:p w14:paraId="7A5CD9C1"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Sex</w:t>
            </w:r>
            <w:r w:rsidRPr="003B4D22">
              <w:rPr>
                <w:rFonts w:ascii="Arial Narrow" w:hAnsi="Arial Narrow"/>
                <w:sz w:val="18"/>
                <w:szCs w:val="20"/>
              </w:rPr>
              <w:t xml:space="preserve"> ♀/♂: 6/9</w:t>
            </w:r>
          </w:p>
          <w:p w14:paraId="571AB46D"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Binet stage</w:t>
            </w:r>
            <w:r w:rsidRPr="003B4D22">
              <w:rPr>
                <w:rFonts w:ascii="Arial Narrow" w:hAnsi="Arial Narrow"/>
                <w:sz w:val="18"/>
                <w:szCs w:val="20"/>
              </w:rPr>
              <w:t xml:space="preserve">, n: </w:t>
            </w:r>
            <w:r w:rsidRPr="003B4D22">
              <w:rPr>
                <w:rFonts w:ascii="Arial Narrow" w:hAnsi="Arial Narrow"/>
                <w:sz w:val="18"/>
                <w:szCs w:val="20"/>
              </w:rPr>
              <w:br/>
              <w:t>A(3); B(4): C(8)</w:t>
            </w:r>
          </w:p>
          <w:p w14:paraId="3688A86B"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 xml:space="preserve">Disease duration </w:t>
            </w:r>
            <w:r w:rsidRPr="003B4D22">
              <w:rPr>
                <w:rFonts w:ascii="Arial Narrow" w:hAnsi="Arial Narrow"/>
                <w:sz w:val="18"/>
                <w:szCs w:val="20"/>
              </w:rPr>
              <w:t>median (range):</w:t>
            </w:r>
            <w:r w:rsidRPr="003B4D22">
              <w:rPr>
                <w:rFonts w:ascii="Arial Narrow" w:hAnsi="Arial Narrow"/>
                <w:sz w:val="18"/>
                <w:szCs w:val="20"/>
              </w:rPr>
              <w:br/>
              <w:t>8.0 (2–19.5)</w:t>
            </w:r>
          </w:p>
          <w:p w14:paraId="5B79D6F0" w14:textId="33B1DD26" w:rsidR="006B4C5F" w:rsidRPr="003B4D22" w:rsidRDefault="006B4C5F" w:rsidP="00F814DE">
            <w:pPr>
              <w:spacing w:after="40" w:line="240" w:lineRule="auto"/>
              <w:ind w:left="-57"/>
              <w:jc w:val="left"/>
              <w:rPr>
                <w:rFonts w:ascii="Arial Narrow" w:hAnsi="Arial Narrow"/>
                <w:sz w:val="18"/>
                <w:szCs w:val="20"/>
              </w:rPr>
            </w:pPr>
            <w:r w:rsidRPr="003B4D22">
              <w:rPr>
                <w:rFonts w:ascii="Arial Narrow" w:hAnsi="Arial Narrow"/>
                <w:sz w:val="18"/>
                <w:szCs w:val="20"/>
                <w:u w:val="single"/>
              </w:rPr>
              <w:t>Serum IgG</w:t>
            </w:r>
            <w:r w:rsidRPr="003B4D22">
              <w:rPr>
                <w:rFonts w:ascii="Arial Narrow" w:hAnsi="Arial Narrow"/>
                <w:sz w:val="18"/>
                <w:szCs w:val="20"/>
              </w:rPr>
              <w:t xml:space="preserve"> mean±sd: 12.5±5.0 micromol/L</w:t>
            </w:r>
          </w:p>
        </w:tc>
        <w:tc>
          <w:tcPr>
            <w:tcW w:w="2268" w:type="dxa"/>
          </w:tcPr>
          <w:p w14:paraId="497DD132"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Inclusion:</w:t>
            </w:r>
            <w:r w:rsidRPr="003B4D22">
              <w:rPr>
                <w:rFonts w:ascii="Arial Narrow" w:hAnsi="Arial Narrow"/>
                <w:sz w:val="18"/>
                <w:szCs w:val="20"/>
              </w:rPr>
              <w:t xml:space="preserve"> B-cell CLL, hypo-GG (serum IgG&lt;LLN); history of recurrent infections; able to be treated as outpatient</w:t>
            </w:r>
          </w:p>
          <w:p w14:paraId="7ACF558F"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Exclusion:</w:t>
            </w:r>
            <w:r w:rsidRPr="003B4D22">
              <w:rPr>
                <w:rFonts w:ascii="Arial Narrow" w:hAnsi="Arial Narrow"/>
                <w:sz w:val="18"/>
                <w:szCs w:val="20"/>
              </w:rPr>
              <w:t xml:space="preserve"> Not described.</w:t>
            </w:r>
          </w:p>
          <w:p w14:paraId="6C37A56D" w14:textId="7F124C73" w:rsidR="006B4C5F" w:rsidRPr="003B4D22" w:rsidRDefault="006B4C5F" w:rsidP="00F814DE">
            <w:pPr>
              <w:spacing w:after="40" w:line="240" w:lineRule="auto"/>
              <w:ind w:left="-57"/>
              <w:jc w:val="left"/>
              <w:rPr>
                <w:rFonts w:ascii="Arial Narrow" w:hAnsi="Arial Narrow"/>
                <w:sz w:val="18"/>
                <w:szCs w:val="20"/>
                <w:u w:val="single"/>
              </w:rPr>
            </w:pPr>
            <w:r w:rsidRPr="003B4D22">
              <w:rPr>
                <w:rFonts w:ascii="Arial Narrow" w:hAnsi="Arial Narrow"/>
                <w:sz w:val="18"/>
                <w:szCs w:val="20"/>
                <w:u w:val="single"/>
              </w:rPr>
              <w:t>Objectives</w:t>
            </w:r>
            <w:r w:rsidRPr="003B4D22">
              <w:rPr>
                <w:rFonts w:ascii="Arial Narrow" w:hAnsi="Arial Narrow"/>
                <w:sz w:val="18"/>
                <w:szCs w:val="20"/>
              </w:rPr>
              <w:t xml:space="preserve">: whether a 10g dose 3-weekly of IVIg in CLL patients with hypo-GG and a history of recurrent infections will show a benefit in terms of infection related events. </w:t>
            </w:r>
          </w:p>
        </w:tc>
        <w:tc>
          <w:tcPr>
            <w:tcW w:w="1843" w:type="dxa"/>
          </w:tcPr>
          <w:p w14:paraId="7C0BE191"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IVIg</w:t>
            </w:r>
            <w:r w:rsidRPr="003B4D22">
              <w:rPr>
                <w:rFonts w:ascii="Arial Narrow" w:hAnsi="Arial Narrow"/>
                <w:sz w:val="18"/>
                <w:szCs w:val="20"/>
              </w:rPr>
              <w:t>: 10g every 3 weeks (Gammagard, Baxter)</w:t>
            </w:r>
          </w:p>
          <w:p w14:paraId="6ED97960"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Dose duration not pre-specified. Paper describes tx until serum IgG normalised (or discontinuation)</w:t>
            </w:r>
          </w:p>
          <w:p w14:paraId="2DD24A8C" w14:textId="281241E6" w:rsidR="006B4C5F" w:rsidRPr="003B4D22" w:rsidRDefault="006B4C5F" w:rsidP="00F814DE">
            <w:pPr>
              <w:spacing w:after="40" w:line="240" w:lineRule="auto"/>
              <w:ind w:left="-57"/>
              <w:jc w:val="left"/>
              <w:rPr>
                <w:rFonts w:ascii="Arial Narrow" w:hAnsi="Arial Narrow"/>
                <w:sz w:val="18"/>
                <w:szCs w:val="20"/>
                <w:u w:val="single"/>
              </w:rPr>
            </w:pPr>
            <w:r w:rsidRPr="003B4D22">
              <w:rPr>
                <w:rFonts w:ascii="Arial Narrow" w:hAnsi="Arial Narrow"/>
                <w:sz w:val="18"/>
                <w:szCs w:val="20"/>
                <w:u w:val="single"/>
              </w:rPr>
              <w:t xml:space="preserve">Number of infusions </w:t>
            </w:r>
            <w:r w:rsidRPr="003B4D22">
              <w:rPr>
                <w:rFonts w:ascii="Arial Narrow" w:hAnsi="Arial Narrow"/>
                <w:sz w:val="18"/>
                <w:szCs w:val="20"/>
              </w:rPr>
              <w:t xml:space="preserve">median (range): </w:t>
            </w:r>
            <w:r w:rsidRPr="003B4D22">
              <w:rPr>
                <w:rFonts w:ascii="Arial Narrow" w:hAnsi="Arial Narrow"/>
                <w:sz w:val="18"/>
                <w:szCs w:val="20"/>
              </w:rPr>
              <w:br/>
              <w:t>19.5 (4–25), or ~13 mo</w:t>
            </w:r>
          </w:p>
        </w:tc>
        <w:tc>
          <w:tcPr>
            <w:tcW w:w="1843" w:type="dxa"/>
          </w:tcPr>
          <w:p w14:paraId="7782B1C0" w14:textId="5F76EF4B" w:rsidR="006B4C5F" w:rsidRPr="003B4D22" w:rsidRDefault="006B4C5F" w:rsidP="00F814DE">
            <w:pPr>
              <w:spacing w:after="40" w:line="240" w:lineRule="auto"/>
              <w:ind w:left="-57"/>
              <w:jc w:val="left"/>
              <w:rPr>
                <w:rFonts w:ascii="Arial Narrow" w:hAnsi="Arial Narrow"/>
                <w:sz w:val="18"/>
                <w:szCs w:val="20"/>
              </w:rPr>
            </w:pPr>
            <w:r w:rsidRPr="003B4D22">
              <w:rPr>
                <w:rFonts w:ascii="Arial Narrow" w:hAnsi="Arial Narrow"/>
                <w:sz w:val="18"/>
                <w:szCs w:val="20"/>
              </w:rPr>
              <w:t>―</w:t>
            </w:r>
          </w:p>
        </w:tc>
        <w:tc>
          <w:tcPr>
            <w:tcW w:w="2268" w:type="dxa"/>
          </w:tcPr>
          <w:p w14:paraId="70C6E8CF"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Outcomes:</w:t>
            </w:r>
            <w:r w:rsidRPr="003B4D22">
              <w:rPr>
                <w:rFonts w:ascii="Arial Narrow" w:hAnsi="Arial Narrow"/>
                <w:sz w:val="18"/>
                <w:szCs w:val="20"/>
              </w:rPr>
              <w:t xml:space="preserve"> serum IgG levels; infection status; antibiotic use; hospital admission for infection; febrile episodes</w:t>
            </w:r>
          </w:p>
          <w:p w14:paraId="19DE41DD"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Analyses</w:t>
            </w:r>
            <w:r w:rsidRPr="003B4D22">
              <w:rPr>
                <w:rFonts w:ascii="Arial Narrow" w:hAnsi="Arial Narrow"/>
                <w:sz w:val="18"/>
                <w:szCs w:val="20"/>
              </w:rPr>
              <w:t>: comparison of infection-related events in 12 months prior to IVIg and in 12 months after IVIg using Wilcoxon-Pratt test for paired nonparametric data.</w:t>
            </w:r>
          </w:p>
          <w:p w14:paraId="6BEA0B3B" w14:textId="7E918E14" w:rsidR="006B4C5F" w:rsidRPr="003B4D22" w:rsidRDefault="006B4C5F" w:rsidP="00F814DE">
            <w:pPr>
              <w:spacing w:after="40" w:line="240" w:lineRule="auto"/>
              <w:ind w:left="-57"/>
              <w:jc w:val="left"/>
              <w:rPr>
                <w:rFonts w:ascii="Arial Narrow" w:hAnsi="Arial Narrow"/>
                <w:sz w:val="18"/>
                <w:szCs w:val="20"/>
                <w:u w:val="single"/>
              </w:rPr>
            </w:pPr>
            <w:r w:rsidRPr="003B4D22">
              <w:rPr>
                <w:rFonts w:ascii="Arial Narrow" w:hAnsi="Arial Narrow"/>
                <w:sz w:val="18"/>
                <w:szCs w:val="20"/>
                <w:u w:val="single"/>
              </w:rPr>
              <w:t>Follow-up:</w:t>
            </w:r>
            <w:r w:rsidRPr="003B4D22">
              <w:rPr>
                <w:rFonts w:ascii="Arial Narrow" w:hAnsi="Arial Narrow"/>
                <w:sz w:val="18"/>
                <w:szCs w:val="20"/>
              </w:rPr>
              <w:t xml:space="preserve"> Median observation period 14 months (range 3–20)</w:t>
            </w:r>
          </w:p>
        </w:tc>
        <w:tc>
          <w:tcPr>
            <w:tcW w:w="1984" w:type="dxa"/>
          </w:tcPr>
          <w:p w14:paraId="31048A74"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No mention of research ethics approval.</w:t>
            </w:r>
          </w:p>
          <w:p w14:paraId="0CBDD9A3" w14:textId="16406148" w:rsidR="006B4C5F" w:rsidRPr="003B4D22" w:rsidRDefault="006B4C5F" w:rsidP="00F814DE">
            <w:pPr>
              <w:spacing w:after="40" w:line="240" w:lineRule="auto"/>
              <w:ind w:left="-57"/>
              <w:jc w:val="left"/>
              <w:rPr>
                <w:rFonts w:ascii="Arial Narrow" w:hAnsi="Arial Narrow"/>
                <w:sz w:val="18"/>
                <w:szCs w:val="20"/>
              </w:rPr>
            </w:pPr>
            <w:r w:rsidRPr="003B4D22">
              <w:rPr>
                <w:rFonts w:ascii="Arial Narrow" w:hAnsi="Arial Narrow"/>
                <w:sz w:val="18"/>
                <w:szCs w:val="20"/>
              </w:rPr>
              <w:t xml:space="preserve">No description of funding source or conflict of interest declaration.  </w:t>
            </w:r>
          </w:p>
        </w:tc>
      </w:tr>
      <w:tr w:rsidR="009634B8" w:rsidRPr="00386411" w14:paraId="05C3CF3F" w14:textId="77777777" w:rsidTr="000A5622">
        <w:trPr>
          <w:trHeight w:val="351"/>
        </w:trPr>
        <w:tc>
          <w:tcPr>
            <w:tcW w:w="14312" w:type="dxa"/>
            <w:gridSpan w:val="8"/>
            <w:shd w:val="clear" w:color="auto" w:fill="000000" w:themeFill="text1"/>
          </w:tcPr>
          <w:p w14:paraId="28D4C62F" w14:textId="1C866CA9" w:rsidR="009634B8" w:rsidRPr="00386411" w:rsidRDefault="009634B8" w:rsidP="000A5622">
            <w:pPr>
              <w:keepNext/>
              <w:spacing w:after="40" w:line="240" w:lineRule="auto"/>
              <w:rPr>
                <w:rFonts w:ascii="Arial Narrow" w:hAnsi="Arial Narrow" w:cs="Times New Roman"/>
                <w:b/>
                <w:sz w:val="20"/>
                <w:szCs w:val="20"/>
              </w:rPr>
            </w:pPr>
            <w:r w:rsidRPr="00386411">
              <w:rPr>
                <w:rFonts w:ascii="Arial Narrow" w:hAnsi="Arial Narrow"/>
                <w:b/>
                <w:color w:val="FFFFFF" w:themeColor="background1"/>
                <w:sz w:val="20"/>
                <w:szCs w:val="20"/>
              </w:rPr>
              <w:t>Non-comparative studies – SCIg case series</w:t>
            </w:r>
          </w:p>
        </w:tc>
      </w:tr>
      <w:tr w:rsidR="00312614" w:rsidRPr="003B4D22" w14:paraId="599A387D" w14:textId="77777777" w:rsidTr="00FE2A24">
        <w:trPr>
          <w:trHeight w:val="293"/>
        </w:trPr>
        <w:tc>
          <w:tcPr>
            <w:tcW w:w="1129" w:type="dxa"/>
            <w:tcBorders>
              <w:top w:val="single" w:sz="4" w:space="0" w:color="auto"/>
              <w:bottom w:val="single" w:sz="4" w:space="0" w:color="auto"/>
            </w:tcBorders>
          </w:tcPr>
          <w:p w14:paraId="654B887C" w14:textId="3BEC556C" w:rsidR="00312614" w:rsidRPr="003B4D22" w:rsidRDefault="00312614"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fldChar w:fldCharType="begin">
                <w:fldData xml:space="preserve">PEVuZE5vdGU+PENpdGU+PEF1dGhvcj5EaW1vdTwvQXV0aG9yPjxZZWFyPjIwMTg8L1llYXI+PFJl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</w:fldData>
              </w:fldChar>
            </w:r>
            <w:r w:rsidR="00AC4408" w:rsidRPr="003B4D22">
              <w:rPr>
                <w:rFonts w:ascii="Arial Narrow" w:hAnsi="Arial Narrow"/>
                <w:sz w:val="18"/>
                <w:szCs w:val="20"/>
              </w:rPr>
              <w:instrText xml:space="preserve"> ADDIN EN.CITE </w:instrText>
            </w:r>
            <w:r w:rsidR="00AC4408" w:rsidRPr="003B4D22">
              <w:rPr>
                <w:rFonts w:ascii="Arial Narrow" w:hAnsi="Arial Narrow"/>
                <w:sz w:val="18"/>
                <w:szCs w:val="20"/>
              </w:rPr>
              <w:fldChar w:fldCharType="begin">
                <w:fldData xml:space="preserve">PEVuZE5vdGU+PENpdGU+PEF1dGhvcj5EaW1vdTwvQXV0aG9yPjxZZWFyPjIwMTg8L1llYXI+PFJl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</w:fldData>
              </w:fldChar>
            </w:r>
            <w:r w:rsidR="00AC4408" w:rsidRPr="003B4D22">
              <w:rPr>
                <w:rFonts w:ascii="Arial Narrow" w:hAnsi="Arial Narrow"/>
                <w:sz w:val="18"/>
                <w:szCs w:val="20"/>
              </w:rPr>
              <w:instrText xml:space="preserve"> ADDIN EN.CITE.DATA </w:instrText>
            </w:r>
            <w:r w:rsidR="00AC4408" w:rsidRPr="003B4D22">
              <w:rPr>
                <w:rFonts w:ascii="Arial Narrow" w:hAnsi="Arial Narrow"/>
                <w:sz w:val="18"/>
                <w:szCs w:val="20"/>
              </w:rPr>
            </w:r>
            <w:r w:rsidR="00AC4408" w:rsidRPr="003B4D22">
              <w:rPr>
                <w:rFonts w:ascii="Arial Narrow" w:hAnsi="Arial Narrow"/>
                <w:sz w:val="18"/>
                <w:szCs w:val="20"/>
              </w:rPr>
              <w:fldChar w:fldCharType="end"/>
            </w:r>
            <w:r w:rsidRPr="003B4D22">
              <w:rPr>
                <w:rFonts w:ascii="Arial Narrow" w:hAnsi="Arial Narrow"/>
                <w:sz w:val="18"/>
                <w:szCs w:val="20"/>
              </w:rPr>
            </w:r>
            <w:r w:rsidRPr="003B4D22">
              <w:rPr>
                <w:rFonts w:ascii="Arial Narrow" w:hAnsi="Arial Narrow"/>
                <w:sz w:val="18"/>
                <w:szCs w:val="20"/>
              </w:rPr>
              <w:fldChar w:fldCharType="separate"/>
            </w:r>
            <w:r w:rsidR="00AC4408" w:rsidRPr="003B4D22">
              <w:rPr>
                <w:rFonts w:ascii="Arial Narrow" w:hAnsi="Arial Narrow"/>
                <w:noProof/>
                <w:sz w:val="18"/>
                <w:szCs w:val="20"/>
              </w:rPr>
              <w:t>(</w:t>
            </w:r>
            <w:hyperlink w:anchor="_ENREF_15" w:tooltip="Dimou, 2018 #28" w:history="1">
              <w:r w:rsidR="00BB0145" w:rsidRPr="003B4D22">
                <w:rPr>
                  <w:rFonts w:ascii="Arial Narrow" w:hAnsi="Arial Narrow"/>
                  <w:noProof/>
                  <w:sz w:val="18"/>
                  <w:szCs w:val="20"/>
                </w:rPr>
                <w:t>Dimou et al. 2018</w:t>
              </w:r>
            </w:hyperlink>
            <w:r w:rsidR="00AC4408" w:rsidRPr="003B4D22">
              <w:rPr>
                <w:rFonts w:ascii="Arial Narrow" w:hAnsi="Arial Narrow"/>
                <w:noProof/>
                <w:sz w:val="18"/>
                <w:szCs w:val="20"/>
              </w:rPr>
              <w:t>)</w:t>
            </w:r>
            <w:r w:rsidRPr="003B4D22">
              <w:rPr>
                <w:rFonts w:ascii="Arial Narrow" w:hAnsi="Arial Narrow"/>
                <w:sz w:val="18"/>
                <w:szCs w:val="20"/>
              </w:rPr>
              <w:fldChar w:fldCharType="end"/>
            </w:r>
          </w:p>
          <w:p w14:paraId="1DBFF16A" w14:textId="77777777" w:rsidR="00312614" w:rsidRPr="003B4D22" w:rsidRDefault="00312614"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Greece</w:t>
            </w:r>
          </w:p>
          <w:p w14:paraId="0BCE8CC6" w14:textId="679D265A" w:rsidR="00312614" w:rsidRPr="003B4D22" w:rsidRDefault="00312614" w:rsidP="00F814DE">
            <w:pPr>
              <w:spacing w:after="40" w:line="240" w:lineRule="auto"/>
              <w:ind w:left="-57"/>
              <w:jc w:val="left"/>
              <w:rPr>
                <w:rFonts w:ascii="Arial Narrow" w:hAnsi="Arial Narrow"/>
                <w:sz w:val="18"/>
                <w:szCs w:val="18"/>
                <w:highlight w:val="yellow"/>
              </w:rPr>
            </w:pPr>
            <w:r w:rsidRPr="003B4D22">
              <w:rPr>
                <w:rFonts w:ascii="Arial Narrow" w:hAnsi="Arial Narrow"/>
                <w:sz w:val="18"/>
                <w:szCs w:val="20"/>
              </w:rPr>
              <w:t>Single centre</w:t>
            </w:r>
          </w:p>
        </w:tc>
        <w:tc>
          <w:tcPr>
            <w:tcW w:w="1134" w:type="dxa"/>
            <w:tcBorders>
              <w:top w:val="single" w:sz="4" w:space="0" w:color="auto"/>
              <w:bottom w:val="single" w:sz="4" w:space="0" w:color="auto"/>
            </w:tcBorders>
          </w:tcPr>
          <w:p w14:paraId="12D54967" w14:textId="77777777" w:rsidR="00312614" w:rsidRPr="003B4D22" w:rsidRDefault="00312614"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Interrupted time series without a concurrent control group</w:t>
            </w:r>
          </w:p>
          <w:p w14:paraId="1B6DADD1" w14:textId="77777777" w:rsidR="00312614" w:rsidRPr="003B4D22" w:rsidRDefault="00312614"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Level III-3</w:t>
            </w:r>
          </w:p>
          <w:p w14:paraId="0DFB4CA4" w14:textId="4F63F11B" w:rsidR="00312614" w:rsidRPr="003B4D22" w:rsidRDefault="00312614" w:rsidP="00F814DE">
            <w:pPr>
              <w:spacing w:after="40" w:line="240" w:lineRule="auto"/>
              <w:ind w:left="-57"/>
              <w:jc w:val="left"/>
              <w:rPr>
                <w:rFonts w:ascii="Arial Narrow" w:hAnsi="Arial Narrow"/>
                <w:sz w:val="18"/>
                <w:szCs w:val="18"/>
                <w:highlight w:val="yellow"/>
              </w:rPr>
            </w:pPr>
            <w:r w:rsidRPr="003B4D22">
              <w:rPr>
                <w:rFonts w:ascii="Arial Narrow" w:hAnsi="Arial Narrow"/>
                <w:sz w:val="18"/>
                <w:szCs w:val="20"/>
              </w:rPr>
              <w:t xml:space="preserve">RoB: moderate </w:t>
            </w:r>
            <w:r w:rsidR="004E4553" w:rsidRPr="003B4D22">
              <w:rPr>
                <w:rFonts w:ascii="Arial Narrow" w:hAnsi="Arial Narrow"/>
                <w:sz w:val="18"/>
                <w:szCs w:val="20"/>
              </w:rPr>
              <w:t>(IHE)</w:t>
            </w:r>
          </w:p>
        </w:tc>
        <w:tc>
          <w:tcPr>
            <w:tcW w:w="1843" w:type="dxa"/>
          </w:tcPr>
          <w:p w14:paraId="2352C9D0" w14:textId="20243A9C" w:rsidR="00312614" w:rsidRPr="003B4D22" w:rsidRDefault="00312614"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N=33 [CLL(25); MM(3); B-NHL(3); HL(1)]</w:t>
            </w:r>
          </w:p>
          <w:p w14:paraId="3D4F85D5" w14:textId="54BE6D1C" w:rsidR="00312614" w:rsidRPr="003B4D22" w:rsidRDefault="00312614"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 xml:space="preserve">5 treatment naïve (all CLL); 29 pretreated, 13 with IVIg </w:t>
            </w:r>
          </w:p>
          <w:p w14:paraId="3A14FB1E" w14:textId="77777777" w:rsidR="00312614" w:rsidRPr="003B4D22" w:rsidRDefault="00312614"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Sex</w:t>
            </w:r>
            <w:r w:rsidRPr="003B4D22">
              <w:rPr>
                <w:rFonts w:ascii="Arial Narrow" w:hAnsi="Arial Narrow"/>
                <w:sz w:val="18"/>
                <w:szCs w:val="20"/>
              </w:rPr>
              <w:t xml:space="preserve"> ♀/♂: 16/17</w:t>
            </w:r>
          </w:p>
          <w:p w14:paraId="7CB7F8B4" w14:textId="2168674C" w:rsidR="00312614" w:rsidRPr="003B4D22" w:rsidRDefault="00312614"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Age</w:t>
            </w:r>
            <w:r w:rsidRPr="003B4D22">
              <w:rPr>
                <w:rFonts w:ascii="Arial Narrow" w:hAnsi="Arial Narrow"/>
                <w:sz w:val="18"/>
                <w:szCs w:val="20"/>
              </w:rPr>
              <w:t>, mean (range): 66.1 yrs (38-88)</w:t>
            </w:r>
          </w:p>
        </w:tc>
        <w:tc>
          <w:tcPr>
            <w:tcW w:w="2268" w:type="dxa"/>
          </w:tcPr>
          <w:p w14:paraId="62E59E83" w14:textId="77777777" w:rsidR="00312614" w:rsidRPr="003B4D22" w:rsidRDefault="00312614"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 xml:space="preserve">Inclusion: </w:t>
            </w:r>
            <w:r w:rsidRPr="003B4D22">
              <w:rPr>
                <w:rFonts w:ascii="Arial Narrow" w:hAnsi="Arial Narrow"/>
                <w:sz w:val="18"/>
                <w:szCs w:val="20"/>
              </w:rPr>
              <w:t>secondary hypogammaglobulinaemia due to haematological malignancy</w:t>
            </w:r>
          </w:p>
          <w:p w14:paraId="38CD1C62" w14:textId="1DFEE973" w:rsidR="00312614" w:rsidRPr="003B4D22" w:rsidRDefault="00312614" w:rsidP="00F814DE">
            <w:pPr>
              <w:spacing w:after="40" w:line="240" w:lineRule="auto"/>
              <w:ind w:left="-57"/>
              <w:jc w:val="left"/>
              <w:rPr>
                <w:rFonts w:ascii="Arial Narrow" w:hAnsi="Arial Narrow"/>
                <w:sz w:val="18"/>
                <w:szCs w:val="18"/>
                <w:highlight w:val="yellow"/>
                <w:u w:val="single"/>
              </w:rPr>
            </w:pPr>
            <w:r w:rsidRPr="003B4D22">
              <w:rPr>
                <w:rFonts w:ascii="Arial Narrow" w:hAnsi="Arial Narrow"/>
                <w:sz w:val="18"/>
                <w:szCs w:val="20"/>
                <w:u w:val="single"/>
              </w:rPr>
              <w:t>Exclusion:</w:t>
            </w:r>
            <w:r w:rsidRPr="003B4D22">
              <w:rPr>
                <w:rFonts w:ascii="Arial Narrow" w:hAnsi="Arial Narrow"/>
                <w:sz w:val="18"/>
                <w:szCs w:val="20"/>
              </w:rPr>
              <w:t xml:space="preserve"> not stated</w:t>
            </w:r>
          </w:p>
        </w:tc>
        <w:tc>
          <w:tcPr>
            <w:tcW w:w="1843" w:type="dxa"/>
          </w:tcPr>
          <w:p w14:paraId="2FC6B358" w14:textId="574E9CCB" w:rsidR="00312614" w:rsidRPr="003B4D22" w:rsidRDefault="00312614" w:rsidP="00F814DE">
            <w:pPr>
              <w:spacing w:after="40" w:line="240" w:lineRule="auto"/>
              <w:ind w:left="-57"/>
              <w:jc w:val="left"/>
              <w:rPr>
                <w:rFonts w:ascii="Arial Narrow" w:hAnsi="Arial Narrow"/>
                <w:sz w:val="18"/>
                <w:szCs w:val="18"/>
                <w:highlight w:val="yellow"/>
                <w:u w:val="single"/>
              </w:rPr>
            </w:pPr>
            <w:r w:rsidRPr="003B4D22">
              <w:rPr>
                <w:rFonts w:ascii="Arial Narrow" w:hAnsi="Arial Narrow"/>
                <w:sz w:val="18"/>
                <w:szCs w:val="20"/>
                <w:u w:val="single"/>
              </w:rPr>
              <w:t xml:space="preserve">SCIg: </w:t>
            </w:r>
            <w:r w:rsidRPr="003B4D22">
              <w:rPr>
                <w:rFonts w:ascii="Arial Narrow" w:hAnsi="Arial Narrow"/>
                <w:sz w:val="18"/>
                <w:szCs w:val="20"/>
              </w:rPr>
              <w:t>0.4-0.8mg/kg/month with dose intervals between 3-4 weeks. Administered using a variable rate portable pump.</w:t>
            </w:r>
            <w:r w:rsidRPr="003B4D22">
              <w:rPr>
                <w:rFonts w:ascii="Arial Narrow" w:hAnsi="Arial Narrow"/>
                <w:sz w:val="18"/>
                <w:szCs w:val="20"/>
                <w:u w:val="single"/>
              </w:rPr>
              <w:t xml:space="preserve"> </w:t>
            </w:r>
          </w:p>
        </w:tc>
        <w:tc>
          <w:tcPr>
            <w:tcW w:w="1843" w:type="dxa"/>
          </w:tcPr>
          <w:p w14:paraId="72C6A577" w14:textId="77777777" w:rsidR="00312614" w:rsidRPr="003B4D22" w:rsidRDefault="00312614"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Historical comparison (12 months prior to SCIg)</w:t>
            </w:r>
          </w:p>
          <w:p w14:paraId="74DB0557" w14:textId="49C6C383" w:rsidR="00312614" w:rsidRPr="003B4D22" w:rsidRDefault="00312614" w:rsidP="00F814DE">
            <w:pPr>
              <w:spacing w:before="0" w:after="40" w:line="240" w:lineRule="auto"/>
              <w:ind w:left="-57"/>
              <w:jc w:val="left"/>
              <w:rPr>
                <w:rFonts w:ascii="Arial Narrow" w:hAnsi="Arial Narrow"/>
                <w:sz w:val="18"/>
                <w:szCs w:val="18"/>
                <w:highlight w:val="yellow"/>
              </w:rPr>
            </w:pPr>
            <w:r w:rsidRPr="003B4D22">
              <w:rPr>
                <w:rFonts w:ascii="Arial Narrow" w:hAnsi="Arial Narrow"/>
                <w:sz w:val="18"/>
                <w:szCs w:val="20"/>
              </w:rPr>
              <w:t>13 patients on IVIg</w:t>
            </w:r>
          </w:p>
        </w:tc>
        <w:tc>
          <w:tcPr>
            <w:tcW w:w="2268" w:type="dxa"/>
          </w:tcPr>
          <w:p w14:paraId="6947470A" w14:textId="77777777" w:rsidR="00312614" w:rsidRPr="003B4D22" w:rsidRDefault="00312614"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Outcomes</w:t>
            </w:r>
            <w:r w:rsidRPr="003B4D22">
              <w:rPr>
                <w:rFonts w:ascii="Arial Narrow" w:hAnsi="Arial Narrow"/>
                <w:sz w:val="18"/>
                <w:szCs w:val="20"/>
              </w:rPr>
              <w:t>: infections, adverse events</w:t>
            </w:r>
          </w:p>
          <w:p w14:paraId="1168DAA9" w14:textId="6E7D2B4A" w:rsidR="00312614" w:rsidRPr="003B4D22" w:rsidRDefault="00312614" w:rsidP="00F814DE">
            <w:pPr>
              <w:spacing w:before="0" w:after="40" w:line="240" w:lineRule="auto"/>
              <w:ind w:left="-57"/>
              <w:jc w:val="left"/>
              <w:rPr>
                <w:rFonts w:ascii="Arial Narrow" w:hAnsi="Arial Narrow"/>
                <w:sz w:val="18"/>
                <w:szCs w:val="18"/>
                <w:highlight w:val="yellow"/>
                <w:u w:val="single"/>
              </w:rPr>
            </w:pPr>
            <w:r w:rsidRPr="003B4D22">
              <w:rPr>
                <w:rFonts w:ascii="Arial Narrow" w:hAnsi="Arial Narrow"/>
                <w:sz w:val="18"/>
                <w:szCs w:val="20"/>
                <w:u w:val="single"/>
              </w:rPr>
              <w:t>Analyses</w:t>
            </w:r>
            <w:r w:rsidRPr="003B4D22">
              <w:rPr>
                <w:rFonts w:ascii="Arial Narrow" w:hAnsi="Arial Narrow"/>
                <w:sz w:val="18"/>
                <w:szCs w:val="20"/>
              </w:rPr>
              <w:t>: none performed</w:t>
            </w:r>
          </w:p>
        </w:tc>
        <w:tc>
          <w:tcPr>
            <w:tcW w:w="1984" w:type="dxa"/>
          </w:tcPr>
          <w:p w14:paraId="7E994933" w14:textId="52F29BDC" w:rsidR="00312614" w:rsidRPr="003B4D22" w:rsidRDefault="00312614" w:rsidP="00F814DE">
            <w:pPr>
              <w:spacing w:before="0" w:after="40" w:line="240" w:lineRule="auto"/>
              <w:ind w:left="-57"/>
              <w:jc w:val="left"/>
              <w:rPr>
                <w:rFonts w:ascii="Arial Narrow" w:hAnsi="Arial Narrow"/>
                <w:sz w:val="18"/>
                <w:szCs w:val="18"/>
                <w:highlight w:val="yellow"/>
                <w:u w:val="single"/>
              </w:rPr>
            </w:pPr>
            <w:r w:rsidRPr="003B4D22">
              <w:rPr>
                <w:rFonts w:ascii="Arial Narrow" w:hAnsi="Arial Narrow"/>
                <w:sz w:val="18"/>
                <w:szCs w:val="20"/>
              </w:rPr>
              <w:t>No funding or CoI stated.</w:t>
            </w:r>
          </w:p>
        </w:tc>
      </w:tr>
      <w:tr w:rsidR="009634B8" w:rsidRPr="00386411" w14:paraId="6AFE9E63" w14:textId="77777777" w:rsidTr="000A5622">
        <w:trPr>
          <w:trHeight w:val="351"/>
        </w:trPr>
        <w:tc>
          <w:tcPr>
            <w:tcW w:w="14312" w:type="dxa"/>
            <w:gridSpan w:val="8"/>
            <w:shd w:val="clear" w:color="auto" w:fill="000000" w:themeFill="text1"/>
          </w:tcPr>
          <w:p w14:paraId="3C8C3CA0" w14:textId="7206077D" w:rsidR="009634B8" w:rsidRPr="00386411" w:rsidRDefault="009634B8" w:rsidP="000A5622">
            <w:pPr>
              <w:keepNext/>
              <w:spacing w:after="40" w:line="240" w:lineRule="auto"/>
              <w:rPr>
                <w:rFonts w:ascii="Arial Narrow" w:hAnsi="Arial Narrow" w:cs="Times New Roman"/>
                <w:b/>
                <w:sz w:val="20"/>
                <w:szCs w:val="20"/>
              </w:rPr>
            </w:pPr>
            <w:r w:rsidRPr="00386411">
              <w:rPr>
                <w:rFonts w:ascii="Arial Narrow" w:hAnsi="Arial Narrow"/>
                <w:b/>
                <w:color w:val="FFFFFF" w:themeColor="background1"/>
                <w:sz w:val="20"/>
                <w:szCs w:val="20"/>
              </w:rPr>
              <w:t>Non-comparative studies – any IgG (IVIg and SCIg) case series</w:t>
            </w:r>
          </w:p>
        </w:tc>
      </w:tr>
      <w:tr w:rsidR="006B4C5F" w:rsidRPr="003B4D22" w14:paraId="26E00399" w14:textId="77777777" w:rsidTr="00FE2A24">
        <w:trPr>
          <w:trHeight w:val="293"/>
        </w:trPr>
        <w:tc>
          <w:tcPr>
            <w:tcW w:w="1129" w:type="dxa"/>
            <w:tcBorders>
              <w:top w:val="single" w:sz="4" w:space="0" w:color="auto"/>
              <w:bottom w:val="single" w:sz="4" w:space="0" w:color="auto"/>
            </w:tcBorders>
          </w:tcPr>
          <w:p w14:paraId="08D1D334" w14:textId="77777777" w:rsidR="006B4C5F" w:rsidRPr="003B4D22" w:rsidRDefault="006B4C5F" w:rsidP="00F814DE">
            <w:pPr>
              <w:spacing w:before="0" w:after="40" w:line="240" w:lineRule="auto"/>
              <w:ind w:left="-57"/>
              <w:jc w:val="left"/>
              <w:rPr>
                <w:rFonts w:ascii="Arial Narrow" w:hAnsi="Arial Narrow" w:cs="Times New Roman"/>
                <w:sz w:val="18"/>
                <w:szCs w:val="20"/>
              </w:rPr>
            </w:pPr>
            <w:r w:rsidRPr="003B4D22">
              <w:rPr>
                <w:rFonts w:ascii="Arial Narrow" w:hAnsi="Arial Narrow"/>
                <w:sz w:val="18"/>
                <w:szCs w:val="20"/>
              </w:rPr>
              <w:t>Benbrahim et al., 2018</w:t>
            </w:r>
          </w:p>
          <w:p w14:paraId="74A02AE8"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lastRenderedPageBreak/>
              <w:t>France</w:t>
            </w:r>
          </w:p>
          <w:p w14:paraId="338A237E" w14:textId="3F9B0F40" w:rsidR="006B4C5F" w:rsidRPr="003B4D22" w:rsidRDefault="006B4C5F" w:rsidP="00F814DE">
            <w:pPr>
              <w:spacing w:after="40" w:line="240" w:lineRule="auto"/>
              <w:ind w:left="-57"/>
              <w:jc w:val="left"/>
              <w:rPr>
                <w:rFonts w:ascii="Arial Narrow" w:hAnsi="Arial Narrow"/>
                <w:sz w:val="18"/>
                <w:szCs w:val="20"/>
              </w:rPr>
            </w:pPr>
            <w:r w:rsidRPr="003B4D22">
              <w:rPr>
                <w:rFonts w:ascii="Arial Narrow" w:hAnsi="Arial Narrow"/>
                <w:sz w:val="18"/>
                <w:szCs w:val="20"/>
              </w:rPr>
              <w:t>Multi-centre (29 sites)</w:t>
            </w:r>
          </w:p>
        </w:tc>
        <w:tc>
          <w:tcPr>
            <w:tcW w:w="1134" w:type="dxa"/>
            <w:tcBorders>
              <w:top w:val="single" w:sz="4" w:space="0" w:color="auto"/>
              <w:bottom w:val="single" w:sz="4" w:space="0" w:color="auto"/>
            </w:tcBorders>
          </w:tcPr>
          <w:p w14:paraId="3AA4E597"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lastRenderedPageBreak/>
              <w:t>Case series (prospective)</w:t>
            </w:r>
          </w:p>
          <w:p w14:paraId="55807828" w14:textId="63089570" w:rsidR="006B4C5F" w:rsidRPr="003B4D22" w:rsidRDefault="006B4C5F" w:rsidP="00F814DE">
            <w:pPr>
              <w:spacing w:after="40" w:line="240" w:lineRule="auto"/>
              <w:ind w:left="-57"/>
              <w:jc w:val="left"/>
              <w:rPr>
                <w:rFonts w:ascii="Arial Narrow" w:hAnsi="Arial Narrow"/>
                <w:sz w:val="18"/>
                <w:szCs w:val="20"/>
              </w:rPr>
            </w:pPr>
            <w:r w:rsidRPr="003B4D22">
              <w:rPr>
                <w:rFonts w:ascii="Arial Narrow" w:hAnsi="Arial Narrow"/>
                <w:sz w:val="18"/>
                <w:szCs w:val="20"/>
              </w:rPr>
              <w:lastRenderedPageBreak/>
              <w:t>RoB: low (IHE)</w:t>
            </w:r>
          </w:p>
        </w:tc>
        <w:tc>
          <w:tcPr>
            <w:tcW w:w="1843" w:type="dxa"/>
          </w:tcPr>
          <w:p w14:paraId="5B59E3BF"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lastRenderedPageBreak/>
              <w:t xml:space="preserve">N=231 [MM(64), CLL(84), aggressive NHL(32), indolent NHL(39), AL(6), </w:t>
            </w:r>
            <w:r w:rsidRPr="003B4D22">
              <w:rPr>
                <w:rFonts w:ascii="Arial Narrow" w:hAnsi="Arial Narrow"/>
                <w:sz w:val="18"/>
                <w:szCs w:val="20"/>
              </w:rPr>
              <w:lastRenderedPageBreak/>
              <w:t>HL(6)]</w:t>
            </w:r>
          </w:p>
          <w:p w14:paraId="2282EC1B" w14:textId="77777777" w:rsidR="006B4C5F" w:rsidRPr="003B4D22" w:rsidRDefault="006B4C5F" w:rsidP="00F814DE">
            <w:pPr>
              <w:spacing w:before="0" w:after="40" w:line="240" w:lineRule="auto"/>
              <w:ind w:left="-57"/>
              <w:jc w:val="left"/>
              <w:rPr>
                <w:rFonts w:ascii="Arial Narrow" w:hAnsi="Arial Narrow"/>
                <w:i/>
                <w:sz w:val="18"/>
                <w:szCs w:val="20"/>
              </w:rPr>
            </w:pPr>
            <w:r w:rsidRPr="003B4D22">
              <w:rPr>
                <w:rFonts w:ascii="Arial Narrow" w:hAnsi="Arial Narrow"/>
                <w:i/>
                <w:sz w:val="18"/>
                <w:szCs w:val="20"/>
              </w:rPr>
              <w:t>23% of patients had received auto-HSCT, and 1% allo-HSCT</w:t>
            </w:r>
          </w:p>
          <w:p w14:paraId="13A899DC"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Age</w:t>
            </w:r>
            <w:r w:rsidRPr="003B4D22">
              <w:rPr>
                <w:rFonts w:ascii="Arial Narrow" w:hAnsi="Arial Narrow"/>
                <w:sz w:val="18"/>
                <w:szCs w:val="20"/>
              </w:rPr>
              <w:t>, yr, mean±sd: 66±12 years old</w:t>
            </w:r>
          </w:p>
          <w:p w14:paraId="46233C6D"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 80(35%)/ 151(65%)</w:t>
            </w:r>
          </w:p>
          <w:p w14:paraId="50D20195"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ECOG-PS</w:t>
            </w:r>
            <w:r w:rsidRPr="003B4D22">
              <w:rPr>
                <w:rFonts w:ascii="Arial Narrow" w:hAnsi="Arial Narrow"/>
                <w:sz w:val="18"/>
                <w:szCs w:val="20"/>
              </w:rPr>
              <w:br/>
              <w:t>0: 100 (43.7%)</w:t>
            </w:r>
            <w:r w:rsidRPr="003B4D22">
              <w:rPr>
                <w:rFonts w:ascii="Arial Narrow" w:hAnsi="Arial Narrow"/>
                <w:sz w:val="18"/>
                <w:szCs w:val="20"/>
              </w:rPr>
              <w:br/>
              <w:t>1: 84 (36.7%)</w:t>
            </w:r>
            <w:r w:rsidRPr="003B4D22">
              <w:rPr>
                <w:rFonts w:ascii="Arial Narrow" w:hAnsi="Arial Narrow"/>
                <w:sz w:val="18"/>
                <w:szCs w:val="20"/>
              </w:rPr>
              <w:br/>
              <w:t>2: 34 (14.9%)</w:t>
            </w:r>
            <w:r w:rsidRPr="003B4D22">
              <w:rPr>
                <w:rFonts w:ascii="Arial Narrow" w:hAnsi="Arial Narrow"/>
                <w:sz w:val="18"/>
                <w:szCs w:val="20"/>
              </w:rPr>
              <w:br/>
              <w:t>≥3: 11 (4.8%).</w:t>
            </w:r>
          </w:p>
          <w:p w14:paraId="23937EC2"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Serum IgG</w:t>
            </w:r>
            <w:r w:rsidRPr="003B4D22">
              <w:rPr>
                <w:rFonts w:ascii="Arial Narrow" w:hAnsi="Arial Narrow"/>
                <w:sz w:val="18"/>
                <w:szCs w:val="20"/>
              </w:rPr>
              <w:t>, median</w:t>
            </w:r>
            <w:r w:rsidRPr="003B4D22">
              <w:rPr>
                <w:rFonts w:ascii="Arial Narrow" w:hAnsi="Arial Narrow"/>
                <w:sz w:val="18"/>
                <w:szCs w:val="20"/>
              </w:rPr>
              <w:br/>
              <w:t>IgG: 4.20g/L</w:t>
            </w:r>
            <w:r w:rsidRPr="003B4D22">
              <w:rPr>
                <w:rFonts w:ascii="Arial Narrow" w:hAnsi="Arial Narrow"/>
                <w:sz w:val="18"/>
                <w:szCs w:val="20"/>
              </w:rPr>
              <w:br/>
              <w:t>IgA: 0.44g/L</w:t>
            </w:r>
            <w:r w:rsidRPr="003B4D22">
              <w:rPr>
                <w:rFonts w:ascii="Arial Narrow" w:hAnsi="Arial Narrow"/>
                <w:sz w:val="18"/>
                <w:szCs w:val="20"/>
              </w:rPr>
              <w:br/>
              <w:t>IgM: 0.20g/L</w:t>
            </w:r>
            <w:r w:rsidRPr="003B4D22">
              <w:rPr>
                <w:rFonts w:ascii="Arial Narrow" w:hAnsi="Arial Narrow"/>
                <w:sz w:val="18"/>
                <w:szCs w:val="20"/>
              </w:rPr>
              <w:br/>
              <w:t>[no ranges given, n=195/231]</w:t>
            </w:r>
          </w:p>
          <w:p w14:paraId="3C8E7923" w14:textId="6C7292D8" w:rsidR="006B4C5F" w:rsidRPr="003B4D22" w:rsidRDefault="006B4C5F" w:rsidP="00F814DE">
            <w:pPr>
              <w:spacing w:after="40" w:line="240" w:lineRule="auto"/>
              <w:ind w:left="-57"/>
              <w:jc w:val="left"/>
              <w:rPr>
                <w:rFonts w:ascii="Arial Narrow" w:hAnsi="Arial Narrow"/>
                <w:sz w:val="18"/>
                <w:szCs w:val="20"/>
              </w:rPr>
            </w:pPr>
            <w:r w:rsidRPr="003B4D22">
              <w:rPr>
                <w:rFonts w:ascii="Arial Narrow" w:hAnsi="Arial Narrow"/>
                <w:sz w:val="18"/>
                <w:szCs w:val="20"/>
              </w:rPr>
              <w:t>134/195 patients tested (68.7%) had serum IgG &lt;5g/L</w:t>
            </w:r>
          </w:p>
        </w:tc>
        <w:tc>
          <w:tcPr>
            <w:tcW w:w="2268" w:type="dxa"/>
          </w:tcPr>
          <w:p w14:paraId="0278556B"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lastRenderedPageBreak/>
              <w:t xml:space="preserve">Inclusion: </w:t>
            </w:r>
            <w:r w:rsidRPr="003B4D22">
              <w:rPr>
                <w:rFonts w:ascii="Arial Narrow" w:hAnsi="Arial Narrow"/>
                <w:sz w:val="18"/>
                <w:szCs w:val="20"/>
              </w:rPr>
              <w:t xml:space="preserve">Consecutive adult patients with HM-associated 2° immunodeficiency who were </w:t>
            </w:r>
            <w:r w:rsidRPr="003B4D22">
              <w:rPr>
                <w:rFonts w:ascii="Arial Narrow" w:hAnsi="Arial Narrow"/>
                <w:sz w:val="18"/>
                <w:szCs w:val="20"/>
              </w:rPr>
              <w:lastRenderedPageBreak/>
              <w:t>newly prescribed IgG-RT (IVIg or SCIg).</w:t>
            </w:r>
          </w:p>
          <w:p w14:paraId="5D71A18B"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Exclusion:</w:t>
            </w:r>
            <w:r w:rsidRPr="003B4D22">
              <w:rPr>
                <w:rFonts w:ascii="Arial Narrow" w:hAnsi="Arial Narrow"/>
                <w:sz w:val="18"/>
                <w:szCs w:val="20"/>
              </w:rPr>
              <w:t xml:space="preserve"> Patients having received IgG-RT at any time within the last 12 months.</w:t>
            </w:r>
          </w:p>
          <w:p w14:paraId="6B4F29C3"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Patients also excluded from analysis due to: age &lt;18 y; no haematological malignancy or diagnosis of MGUS.</w:t>
            </w:r>
          </w:p>
          <w:p w14:paraId="40CA0F0D" w14:textId="57020DA2" w:rsidR="006B4C5F" w:rsidRPr="003B4D22" w:rsidRDefault="006B4C5F" w:rsidP="00F814DE">
            <w:pPr>
              <w:spacing w:after="40" w:line="240" w:lineRule="auto"/>
              <w:ind w:left="-57"/>
              <w:jc w:val="left"/>
              <w:rPr>
                <w:rFonts w:ascii="Arial Narrow" w:hAnsi="Arial Narrow"/>
                <w:sz w:val="18"/>
                <w:szCs w:val="20"/>
                <w:u w:val="single"/>
              </w:rPr>
            </w:pPr>
            <w:r w:rsidRPr="003B4D22">
              <w:rPr>
                <w:rFonts w:ascii="Arial Narrow" w:hAnsi="Arial Narrow"/>
                <w:sz w:val="18"/>
                <w:szCs w:val="20"/>
                <w:u w:val="single"/>
              </w:rPr>
              <w:t>Objectives:</w:t>
            </w:r>
            <w:r w:rsidRPr="003B4D22">
              <w:rPr>
                <w:rFonts w:ascii="Arial Narrow" w:hAnsi="Arial Narrow"/>
                <w:sz w:val="18"/>
                <w:szCs w:val="20"/>
              </w:rPr>
              <w:t xml:space="preserve"> efficacy and safety of IgRT with IVIg or SCIg, patient adherence and satisfaction of physician expectations over the follow-up period (preliminary report). </w:t>
            </w:r>
          </w:p>
        </w:tc>
        <w:tc>
          <w:tcPr>
            <w:tcW w:w="1843" w:type="dxa"/>
          </w:tcPr>
          <w:p w14:paraId="04D1D9FF"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lastRenderedPageBreak/>
              <w:t>IgRT with IVIg</w:t>
            </w:r>
            <w:r w:rsidRPr="003B4D22">
              <w:rPr>
                <w:rFonts w:ascii="Arial Narrow" w:hAnsi="Arial Narrow"/>
                <w:sz w:val="18"/>
                <w:szCs w:val="20"/>
              </w:rPr>
              <w:t xml:space="preserve"> (N=106): </w:t>
            </w:r>
            <w:r w:rsidRPr="003B4D22">
              <w:rPr>
                <w:rFonts w:ascii="Arial Narrow" w:hAnsi="Arial Narrow"/>
                <w:sz w:val="18"/>
                <w:szCs w:val="20"/>
              </w:rPr>
              <w:br/>
              <w:t xml:space="preserve">median prescribed dose 385mg/kg/mo IVIg </w:t>
            </w:r>
            <w:r w:rsidRPr="003B4D22">
              <w:rPr>
                <w:rFonts w:ascii="Arial Narrow" w:hAnsi="Arial Narrow"/>
                <w:sz w:val="18"/>
                <w:szCs w:val="20"/>
              </w:rPr>
              <w:lastRenderedPageBreak/>
              <w:t>(Octagam, Octapharma).</w:t>
            </w:r>
          </w:p>
          <w:p w14:paraId="01A4AC76" w14:textId="77777777" w:rsidR="006B4C5F" w:rsidRPr="003B4D22" w:rsidRDefault="006B4C5F" w:rsidP="00F814DE">
            <w:pPr>
              <w:spacing w:before="0" w:after="40" w:line="240" w:lineRule="auto"/>
              <w:ind w:left="-57"/>
              <w:jc w:val="left"/>
              <w:rPr>
                <w:rFonts w:ascii="Arial Narrow" w:hAnsi="Arial Narrow"/>
                <w:i/>
                <w:sz w:val="18"/>
                <w:szCs w:val="20"/>
              </w:rPr>
            </w:pPr>
            <w:r w:rsidRPr="003B4D22">
              <w:rPr>
                <w:rFonts w:ascii="Arial Narrow" w:hAnsi="Arial Narrow"/>
                <w:i/>
                <w:sz w:val="18"/>
                <w:szCs w:val="20"/>
              </w:rPr>
              <w:t>For both groups, antibiotic prophylaxis was reported except S+T which is conventional tx in France for immuno-compromised patients at risk of Pneumocystis spp. and valaciclovir for herpesviruses activation (zoster, CMV)</w:t>
            </w:r>
          </w:p>
          <w:p w14:paraId="22B04FAC" w14:textId="77777777" w:rsidR="006B4C5F" w:rsidRPr="003B4D22" w:rsidRDefault="006B4C5F" w:rsidP="00F814DE">
            <w:pPr>
              <w:spacing w:after="40" w:line="240" w:lineRule="auto"/>
              <w:ind w:left="-57"/>
              <w:jc w:val="left"/>
              <w:rPr>
                <w:rFonts w:ascii="Arial Narrow" w:hAnsi="Arial Narrow"/>
                <w:sz w:val="18"/>
                <w:szCs w:val="20"/>
                <w:u w:val="single"/>
              </w:rPr>
            </w:pPr>
          </w:p>
        </w:tc>
        <w:tc>
          <w:tcPr>
            <w:tcW w:w="1843" w:type="dxa"/>
          </w:tcPr>
          <w:p w14:paraId="2578CD69"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lastRenderedPageBreak/>
              <w:t>IgRT with SCIg</w:t>
            </w:r>
            <w:r w:rsidRPr="003B4D22">
              <w:rPr>
                <w:rFonts w:ascii="Arial Narrow" w:hAnsi="Arial Narrow"/>
                <w:sz w:val="18"/>
                <w:szCs w:val="20"/>
              </w:rPr>
              <w:t xml:space="preserve"> (N=113) median prescribed dose 99 mg/kg/wk SCIg </w:t>
            </w:r>
            <w:r w:rsidRPr="003B4D22">
              <w:rPr>
                <w:rFonts w:ascii="Arial Narrow" w:hAnsi="Arial Narrow"/>
                <w:sz w:val="18"/>
                <w:szCs w:val="20"/>
              </w:rPr>
              <w:lastRenderedPageBreak/>
              <w:t>(Gammanorm, Octapharma).</w:t>
            </w:r>
          </w:p>
          <w:p w14:paraId="266D04DF" w14:textId="77777777" w:rsidR="006B4C5F" w:rsidRPr="003B4D22" w:rsidRDefault="006B4C5F" w:rsidP="00F814DE">
            <w:pPr>
              <w:spacing w:before="0" w:after="40" w:line="240" w:lineRule="auto"/>
              <w:ind w:left="-57"/>
              <w:jc w:val="left"/>
              <w:rPr>
                <w:rFonts w:ascii="Arial Narrow" w:hAnsi="Arial Narrow"/>
                <w:i/>
                <w:sz w:val="18"/>
                <w:szCs w:val="20"/>
              </w:rPr>
            </w:pPr>
            <w:r w:rsidRPr="003B4D22">
              <w:rPr>
                <w:rFonts w:ascii="Arial Narrow" w:hAnsi="Arial Narrow"/>
                <w:i/>
                <w:sz w:val="18"/>
                <w:szCs w:val="20"/>
              </w:rPr>
              <w:t>For both groups, antibiotic prophylaxis was reported except S+T which is conventional tx in France for immuno-compromised patients at risk of Pneumocystis spp. and valaciclovir for herpesviruses activation (zoster, CMV)</w:t>
            </w:r>
          </w:p>
          <w:p w14:paraId="60ED4D2D" w14:textId="77777777" w:rsidR="006B4C5F" w:rsidRPr="003B4D22" w:rsidRDefault="006B4C5F" w:rsidP="00F814DE">
            <w:pPr>
              <w:spacing w:after="40" w:line="240" w:lineRule="auto"/>
              <w:ind w:left="-57"/>
              <w:jc w:val="left"/>
              <w:rPr>
                <w:rFonts w:ascii="Arial Narrow" w:hAnsi="Arial Narrow"/>
                <w:sz w:val="18"/>
                <w:szCs w:val="18"/>
                <w:highlight w:val="yellow"/>
              </w:rPr>
            </w:pPr>
          </w:p>
        </w:tc>
        <w:tc>
          <w:tcPr>
            <w:tcW w:w="2268" w:type="dxa"/>
          </w:tcPr>
          <w:p w14:paraId="3F60A82E"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lastRenderedPageBreak/>
              <w:t>Baseline data only.</w:t>
            </w:r>
          </w:p>
          <w:p w14:paraId="0AB6B36F" w14:textId="7A20C1A4" w:rsidR="006B4C5F" w:rsidRPr="003B4D22" w:rsidRDefault="006B4C5F" w:rsidP="00F814DE">
            <w:pPr>
              <w:spacing w:after="40" w:line="240" w:lineRule="auto"/>
              <w:ind w:left="-57"/>
              <w:jc w:val="left"/>
              <w:rPr>
                <w:rFonts w:ascii="Arial Narrow" w:hAnsi="Arial Narrow"/>
                <w:sz w:val="18"/>
                <w:szCs w:val="18"/>
                <w:highlight w:val="yellow"/>
                <w:u w:val="single"/>
              </w:rPr>
            </w:pPr>
            <w:r w:rsidRPr="003B4D22">
              <w:rPr>
                <w:rFonts w:ascii="Arial Narrow" w:hAnsi="Arial Narrow"/>
                <w:sz w:val="18"/>
                <w:szCs w:val="20"/>
                <w:u w:val="single"/>
              </w:rPr>
              <w:t>Outcomes</w:t>
            </w:r>
            <w:r w:rsidRPr="003B4D22">
              <w:rPr>
                <w:rFonts w:ascii="Arial Narrow" w:hAnsi="Arial Narrow"/>
                <w:sz w:val="18"/>
                <w:szCs w:val="20"/>
              </w:rPr>
              <w:t xml:space="preserve">, </w:t>
            </w:r>
            <w:r w:rsidRPr="003B4D22">
              <w:rPr>
                <w:rFonts w:ascii="Arial Narrow" w:hAnsi="Arial Narrow"/>
                <w:sz w:val="18"/>
                <w:szCs w:val="20"/>
                <w:u w:val="single"/>
              </w:rPr>
              <w:t>analyses</w:t>
            </w:r>
            <w:r w:rsidRPr="003B4D22">
              <w:rPr>
                <w:rFonts w:ascii="Arial Narrow" w:hAnsi="Arial Narrow"/>
                <w:sz w:val="18"/>
                <w:szCs w:val="20"/>
              </w:rPr>
              <w:t xml:space="preserve"> and </w:t>
            </w:r>
            <w:r w:rsidRPr="003B4D22">
              <w:rPr>
                <w:rFonts w:ascii="Arial Narrow" w:hAnsi="Arial Narrow"/>
                <w:sz w:val="18"/>
                <w:szCs w:val="20"/>
                <w:u w:val="single"/>
              </w:rPr>
              <w:t>follow-</w:t>
            </w:r>
            <w:r w:rsidRPr="003B4D22">
              <w:rPr>
                <w:rFonts w:ascii="Arial Narrow" w:hAnsi="Arial Narrow"/>
                <w:sz w:val="18"/>
                <w:szCs w:val="20"/>
                <w:u w:val="single"/>
              </w:rPr>
              <w:lastRenderedPageBreak/>
              <w:t>up</w:t>
            </w:r>
            <w:r w:rsidRPr="003B4D22">
              <w:rPr>
                <w:rFonts w:ascii="Arial Narrow" w:hAnsi="Arial Narrow"/>
                <w:sz w:val="18"/>
                <w:szCs w:val="20"/>
              </w:rPr>
              <w:t>: reported in Benbrahim et al., 2019.</w:t>
            </w:r>
          </w:p>
        </w:tc>
        <w:tc>
          <w:tcPr>
            <w:tcW w:w="1984" w:type="dxa"/>
          </w:tcPr>
          <w:p w14:paraId="55B19954"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lastRenderedPageBreak/>
              <w:t>Ethics:</w:t>
            </w:r>
            <w:r w:rsidRPr="003B4D22">
              <w:rPr>
                <w:rFonts w:ascii="Arial Narrow" w:hAnsi="Arial Narrow"/>
                <w:sz w:val="18"/>
                <w:szCs w:val="20"/>
              </w:rPr>
              <w:t xml:space="preserve"> study conducted under French Regulations for non-interventional </w:t>
            </w:r>
            <w:r w:rsidRPr="003B4D22">
              <w:rPr>
                <w:rFonts w:ascii="Arial Narrow" w:hAnsi="Arial Narrow"/>
                <w:sz w:val="18"/>
                <w:szCs w:val="20"/>
              </w:rPr>
              <w:lastRenderedPageBreak/>
              <w:t xml:space="preserve">studies (confirmed by French ethics committee (Comité de Protection des Personnes Ile-de-France VI). </w:t>
            </w:r>
          </w:p>
          <w:p w14:paraId="195402F6" w14:textId="77777777" w:rsidR="006B4C5F" w:rsidRPr="003B4D22" w:rsidRDefault="006B4C5F" w:rsidP="00F814DE">
            <w:pPr>
              <w:spacing w:before="0" w:after="40" w:line="240" w:lineRule="auto"/>
              <w:ind w:left="-57"/>
              <w:jc w:val="left"/>
              <w:rPr>
                <w:rFonts w:ascii="Arial Narrow" w:hAnsi="Arial Narrow"/>
                <w:i/>
                <w:sz w:val="18"/>
                <w:szCs w:val="20"/>
              </w:rPr>
            </w:pPr>
            <w:r w:rsidRPr="003B4D22">
              <w:rPr>
                <w:rFonts w:ascii="Arial Narrow" w:hAnsi="Arial Narrow"/>
                <w:sz w:val="18"/>
                <w:szCs w:val="20"/>
                <w:u w:val="single"/>
              </w:rPr>
              <w:t>Funding:</w:t>
            </w:r>
            <w:r w:rsidRPr="003B4D22">
              <w:rPr>
                <w:rFonts w:ascii="Arial Narrow" w:hAnsi="Arial Narrow"/>
                <w:i/>
                <w:sz w:val="18"/>
                <w:szCs w:val="20"/>
              </w:rPr>
              <w:t xml:space="preserve"> “study was funded by Octapharma-France”</w:t>
            </w:r>
          </w:p>
          <w:p w14:paraId="1E0E5503" w14:textId="470249DE" w:rsidR="006B4C5F" w:rsidRPr="003B4D22" w:rsidRDefault="006B4C5F" w:rsidP="00F814DE">
            <w:pPr>
              <w:spacing w:after="40" w:line="240" w:lineRule="auto"/>
              <w:ind w:left="-57"/>
              <w:jc w:val="left"/>
              <w:rPr>
                <w:rFonts w:ascii="Arial Narrow" w:hAnsi="Arial Narrow"/>
                <w:sz w:val="18"/>
                <w:szCs w:val="18"/>
                <w:highlight w:val="yellow"/>
                <w:u w:val="single"/>
              </w:rPr>
            </w:pPr>
            <w:r w:rsidRPr="003B4D22">
              <w:rPr>
                <w:rFonts w:ascii="Arial Narrow" w:hAnsi="Arial Narrow"/>
                <w:sz w:val="18"/>
                <w:szCs w:val="20"/>
              </w:rPr>
              <w:t>2 authors were pharma industry employees (CRO Soladis, Octapharma).  Other authors declared wide range of advisory board and speaking engagements but no conflicts of interest.</w:t>
            </w:r>
          </w:p>
        </w:tc>
      </w:tr>
      <w:tr w:rsidR="006B4C5F" w:rsidRPr="003B4D22" w14:paraId="04EB99A1" w14:textId="77777777" w:rsidTr="00FE2A24">
        <w:trPr>
          <w:trHeight w:val="293"/>
        </w:trPr>
        <w:tc>
          <w:tcPr>
            <w:tcW w:w="1129" w:type="dxa"/>
            <w:tcBorders>
              <w:top w:val="single" w:sz="4" w:space="0" w:color="auto"/>
              <w:bottom w:val="single" w:sz="4" w:space="0" w:color="auto"/>
            </w:tcBorders>
          </w:tcPr>
          <w:p w14:paraId="0CA71FF1"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lastRenderedPageBreak/>
              <w:t>Benbrahim et al., 2019</w:t>
            </w:r>
          </w:p>
          <w:p w14:paraId="02810BB7"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France</w:t>
            </w:r>
          </w:p>
          <w:p w14:paraId="2EAC4FC0" w14:textId="2BAB1092" w:rsidR="006B4C5F" w:rsidRPr="003B4D22" w:rsidRDefault="006B4C5F" w:rsidP="00F814DE">
            <w:pPr>
              <w:spacing w:after="40" w:line="240" w:lineRule="auto"/>
              <w:ind w:left="-57"/>
              <w:jc w:val="left"/>
              <w:rPr>
                <w:rFonts w:ascii="Arial Narrow" w:hAnsi="Arial Narrow"/>
                <w:sz w:val="18"/>
                <w:szCs w:val="20"/>
              </w:rPr>
            </w:pPr>
            <w:r w:rsidRPr="003B4D22">
              <w:rPr>
                <w:rFonts w:ascii="Arial Narrow" w:hAnsi="Arial Narrow"/>
                <w:sz w:val="18"/>
                <w:szCs w:val="20"/>
              </w:rPr>
              <w:t>Multi-centre (21 sites)</w:t>
            </w:r>
          </w:p>
        </w:tc>
        <w:tc>
          <w:tcPr>
            <w:tcW w:w="1134" w:type="dxa"/>
            <w:tcBorders>
              <w:top w:val="single" w:sz="4" w:space="0" w:color="auto"/>
              <w:bottom w:val="single" w:sz="4" w:space="0" w:color="auto"/>
            </w:tcBorders>
          </w:tcPr>
          <w:p w14:paraId="237C45C7" w14:textId="5CA78782" w:rsidR="006B4C5F" w:rsidRPr="003B4D22" w:rsidRDefault="006B4C5F" w:rsidP="00F814DE">
            <w:pPr>
              <w:spacing w:after="40" w:line="240" w:lineRule="auto"/>
              <w:ind w:left="-57"/>
              <w:jc w:val="left"/>
              <w:rPr>
                <w:rFonts w:ascii="Arial Narrow" w:hAnsi="Arial Narrow"/>
                <w:sz w:val="18"/>
                <w:szCs w:val="20"/>
              </w:rPr>
            </w:pPr>
            <w:r w:rsidRPr="003B4D22">
              <w:rPr>
                <w:rFonts w:ascii="Arial Narrow" w:hAnsi="Arial Narrow"/>
                <w:sz w:val="18"/>
                <w:szCs w:val="20"/>
              </w:rPr>
              <w:t>As above.</w:t>
            </w:r>
          </w:p>
        </w:tc>
        <w:tc>
          <w:tcPr>
            <w:tcW w:w="1843" w:type="dxa"/>
          </w:tcPr>
          <w:p w14:paraId="2206683C"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 xml:space="preserve">N=160 [MM(54), CLL(54), aggressive NHL(19), indolent NHL(29), HL(4)]. </w:t>
            </w:r>
          </w:p>
          <w:p w14:paraId="6AD98FC0"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Age</w:t>
            </w:r>
            <w:r w:rsidRPr="003B4D22">
              <w:rPr>
                <w:rFonts w:ascii="Arial Narrow" w:hAnsi="Arial Narrow"/>
                <w:sz w:val="18"/>
                <w:szCs w:val="20"/>
              </w:rPr>
              <w:t>, yr, mean±sd: 67.3±11.2</w:t>
            </w:r>
          </w:p>
          <w:p w14:paraId="376C9D4E"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 61(38.1%)/ 99(61.9%)</w:t>
            </w:r>
          </w:p>
          <w:p w14:paraId="5CDB8A2F"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133/160 (83.1%) were ECOG-PS ≤1</w:t>
            </w:r>
          </w:p>
          <w:p w14:paraId="718DB2A4" w14:textId="6D510689" w:rsidR="006B4C5F" w:rsidRPr="003B4D22" w:rsidRDefault="006B4C5F" w:rsidP="00F814DE">
            <w:pPr>
              <w:spacing w:after="40" w:line="240" w:lineRule="auto"/>
              <w:ind w:left="-57"/>
              <w:jc w:val="left"/>
              <w:rPr>
                <w:rFonts w:ascii="Arial Narrow" w:hAnsi="Arial Narrow"/>
                <w:sz w:val="18"/>
                <w:szCs w:val="20"/>
              </w:rPr>
            </w:pPr>
            <w:r w:rsidRPr="003B4D22">
              <w:rPr>
                <w:rFonts w:ascii="Arial Narrow" w:hAnsi="Arial Narrow"/>
                <w:sz w:val="18"/>
                <w:szCs w:val="20"/>
              </w:rPr>
              <w:t>138/160 patients (86.3%) had Ig levels tested.</w:t>
            </w:r>
          </w:p>
        </w:tc>
        <w:tc>
          <w:tcPr>
            <w:tcW w:w="2268" w:type="dxa"/>
          </w:tcPr>
          <w:p w14:paraId="5874B153" w14:textId="77777777" w:rsidR="006B4C5F" w:rsidRPr="003B4D22" w:rsidRDefault="006B4C5F" w:rsidP="00F814DE">
            <w:pPr>
              <w:spacing w:before="0" w:after="40" w:line="240" w:lineRule="auto"/>
              <w:ind w:left="-57"/>
              <w:jc w:val="left"/>
              <w:rPr>
                <w:rFonts w:ascii="Arial Narrow" w:hAnsi="Arial Narrow"/>
                <w:sz w:val="18"/>
                <w:szCs w:val="20"/>
                <w:u w:val="single"/>
              </w:rPr>
            </w:pPr>
            <w:r w:rsidRPr="003B4D22">
              <w:rPr>
                <w:rFonts w:ascii="Arial Narrow" w:hAnsi="Arial Narrow"/>
                <w:sz w:val="18"/>
                <w:szCs w:val="20"/>
                <w:u w:val="single"/>
              </w:rPr>
              <w:t>Inclusion:</w:t>
            </w:r>
            <w:r w:rsidRPr="003B4D22">
              <w:rPr>
                <w:rFonts w:ascii="Arial Narrow" w:hAnsi="Arial Narrow"/>
                <w:sz w:val="18"/>
                <w:szCs w:val="20"/>
              </w:rPr>
              <w:t xml:space="preserve"> available for follow-up since study initiation (see preliminary report).</w:t>
            </w:r>
          </w:p>
          <w:p w14:paraId="640B2521" w14:textId="0FC3AB3A" w:rsidR="006B4C5F" w:rsidRPr="003B4D22" w:rsidRDefault="006B4C5F" w:rsidP="00F814DE">
            <w:pPr>
              <w:spacing w:after="40" w:line="240" w:lineRule="auto"/>
              <w:ind w:left="-57"/>
              <w:jc w:val="left"/>
              <w:rPr>
                <w:rFonts w:ascii="Arial Narrow" w:hAnsi="Arial Narrow"/>
                <w:sz w:val="18"/>
                <w:szCs w:val="20"/>
                <w:u w:val="single"/>
              </w:rPr>
            </w:pPr>
            <w:r w:rsidRPr="003B4D22">
              <w:rPr>
                <w:rFonts w:ascii="Arial Narrow" w:hAnsi="Arial Narrow"/>
                <w:sz w:val="18"/>
                <w:szCs w:val="20"/>
                <w:u w:val="single"/>
              </w:rPr>
              <w:t>Exclusion</w:t>
            </w:r>
            <w:r w:rsidRPr="003B4D22">
              <w:rPr>
                <w:rFonts w:ascii="Arial Narrow" w:hAnsi="Arial Narrow"/>
                <w:sz w:val="18"/>
                <w:szCs w:val="20"/>
              </w:rPr>
              <w:t xml:space="preserve"> and </w:t>
            </w:r>
            <w:r w:rsidRPr="003B4D22">
              <w:rPr>
                <w:rFonts w:ascii="Arial Narrow" w:hAnsi="Arial Narrow"/>
                <w:sz w:val="18"/>
                <w:szCs w:val="20"/>
                <w:u w:val="single"/>
              </w:rPr>
              <w:t>objectives:</w:t>
            </w:r>
            <w:r w:rsidRPr="003B4D22">
              <w:rPr>
                <w:rFonts w:ascii="Arial Narrow" w:hAnsi="Arial Narrow"/>
                <w:sz w:val="18"/>
                <w:szCs w:val="20"/>
              </w:rPr>
              <w:t xml:space="preserve"> As for preliminary report. </w:t>
            </w:r>
          </w:p>
        </w:tc>
        <w:tc>
          <w:tcPr>
            <w:tcW w:w="1843" w:type="dxa"/>
          </w:tcPr>
          <w:p w14:paraId="608C7D07"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IgRT with IVIg</w:t>
            </w:r>
            <w:r w:rsidRPr="003B4D22">
              <w:rPr>
                <w:rFonts w:ascii="Arial Narrow" w:hAnsi="Arial Narrow"/>
                <w:sz w:val="18"/>
                <w:szCs w:val="20"/>
              </w:rPr>
              <w:t xml:space="preserve"> (N=50):</w:t>
            </w:r>
            <w:r w:rsidRPr="003B4D22">
              <w:rPr>
                <w:rFonts w:ascii="Arial Narrow" w:hAnsi="Arial Narrow"/>
                <w:sz w:val="18"/>
                <w:szCs w:val="20"/>
              </w:rPr>
              <w:br/>
              <w:t>387±78 mg/kg/mo IVIg.</w:t>
            </w:r>
          </w:p>
          <w:p w14:paraId="1A9C3E07" w14:textId="08A54EC9" w:rsidR="006B4C5F" w:rsidRPr="003B4D22" w:rsidRDefault="006B4C5F" w:rsidP="00F814DE">
            <w:pPr>
              <w:spacing w:after="40" w:line="240" w:lineRule="auto"/>
              <w:ind w:left="-57"/>
              <w:jc w:val="left"/>
              <w:rPr>
                <w:rFonts w:ascii="Arial Narrow" w:hAnsi="Arial Narrow"/>
                <w:sz w:val="18"/>
                <w:szCs w:val="20"/>
                <w:u w:val="single"/>
              </w:rPr>
            </w:pPr>
            <w:r w:rsidRPr="003B4D22">
              <w:rPr>
                <w:rFonts w:ascii="Arial Narrow" w:hAnsi="Arial Narrow"/>
                <w:sz w:val="18"/>
                <w:szCs w:val="20"/>
              </w:rPr>
              <w:t>Otherwise as for preliminary report.</w:t>
            </w:r>
          </w:p>
        </w:tc>
        <w:tc>
          <w:tcPr>
            <w:tcW w:w="1843" w:type="dxa"/>
          </w:tcPr>
          <w:p w14:paraId="7704609D" w14:textId="48CC354F" w:rsidR="006B4C5F" w:rsidRPr="003B4D22" w:rsidRDefault="006B4C5F" w:rsidP="00F814DE">
            <w:pPr>
              <w:spacing w:after="40" w:line="240" w:lineRule="auto"/>
              <w:ind w:left="-57"/>
              <w:jc w:val="left"/>
              <w:rPr>
                <w:rFonts w:ascii="Arial Narrow" w:hAnsi="Arial Narrow"/>
                <w:sz w:val="18"/>
                <w:szCs w:val="20"/>
                <w:u w:val="single"/>
              </w:rPr>
            </w:pPr>
            <w:r w:rsidRPr="003B4D22">
              <w:rPr>
                <w:rFonts w:ascii="Arial Narrow" w:hAnsi="Arial Narrow"/>
                <w:sz w:val="18"/>
                <w:szCs w:val="20"/>
                <w:u w:val="single"/>
              </w:rPr>
              <w:t>IgRT with SCIg</w:t>
            </w:r>
            <w:r w:rsidRPr="003B4D22">
              <w:rPr>
                <w:rFonts w:ascii="Arial Narrow" w:hAnsi="Arial Narrow"/>
                <w:sz w:val="18"/>
                <w:szCs w:val="20"/>
              </w:rPr>
              <w:t xml:space="preserve"> (N=110): 97±45mg/kg/wk SCIg (equals 388mg/kg/mo).</w:t>
            </w:r>
            <w:r w:rsidRPr="003B4D22">
              <w:rPr>
                <w:rFonts w:ascii="Arial Narrow" w:hAnsi="Arial Narrow"/>
                <w:sz w:val="18"/>
                <w:szCs w:val="20"/>
              </w:rPr>
              <w:br/>
              <w:t>Otherwise as for preliminary report.</w:t>
            </w:r>
          </w:p>
        </w:tc>
        <w:tc>
          <w:tcPr>
            <w:tcW w:w="2268" w:type="dxa"/>
          </w:tcPr>
          <w:p w14:paraId="5D25EBB1"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Outcomes</w:t>
            </w:r>
            <w:r w:rsidRPr="003B4D22">
              <w:rPr>
                <w:rFonts w:ascii="Arial Narrow" w:hAnsi="Arial Narrow"/>
                <w:sz w:val="18"/>
                <w:szCs w:val="20"/>
              </w:rPr>
              <w:t xml:space="preserve">: change in serum IgG from baseline; annual incidence of infections. </w:t>
            </w:r>
          </w:p>
          <w:p w14:paraId="12CFD6E5" w14:textId="77777777" w:rsidR="006B4C5F" w:rsidRPr="003B4D22" w:rsidRDefault="006B4C5F" w:rsidP="00F814DE">
            <w:pPr>
              <w:spacing w:before="0" w:after="40" w:line="240" w:lineRule="auto"/>
              <w:ind w:left="-57"/>
              <w:jc w:val="left"/>
              <w:rPr>
                <w:rFonts w:ascii="Arial Narrow" w:hAnsi="Arial Narrow"/>
                <w:sz w:val="18"/>
                <w:szCs w:val="20"/>
                <w:u w:val="single"/>
              </w:rPr>
            </w:pPr>
            <w:r w:rsidRPr="003B4D22">
              <w:rPr>
                <w:rFonts w:ascii="Arial Narrow" w:hAnsi="Arial Narrow"/>
                <w:sz w:val="18"/>
                <w:szCs w:val="20"/>
                <w:u w:val="single"/>
              </w:rPr>
              <w:t>Analyses</w:t>
            </w:r>
            <w:r w:rsidRPr="003B4D22">
              <w:rPr>
                <w:rFonts w:ascii="Arial Narrow" w:hAnsi="Arial Narrow"/>
                <w:sz w:val="18"/>
                <w:szCs w:val="20"/>
              </w:rPr>
              <w:t>: Characteristics were compared according to route of administration, using χ</w:t>
            </w:r>
            <w:r w:rsidRPr="003B4D22">
              <w:rPr>
                <w:rFonts w:ascii="Arial Narrow" w:hAnsi="Arial Narrow"/>
                <w:sz w:val="18"/>
                <w:szCs w:val="20"/>
                <w:vertAlign w:val="superscript"/>
              </w:rPr>
              <w:t>2</w:t>
            </w:r>
            <w:r w:rsidRPr="003B4D22">
              <w:rPr>
                <w:rFonts w:ascii="Arial Narrow" w:hAnsi="Arial Narrow"/>
                <w:sz w:val="18"/>
                <w:szCs w:val="20"/>
              </w:rPr>
              <w:t xml:space="preserve"> test or Fisher’s exact test for categorical variables and Student’s t test for continuous variables.</w:t>
            </w:r>
          </w:p>
          <w:p w14:paraId="7DFB7193" w14:textId="4A73D0C1" w:rsidR="006B4C5F" w:rsidRPr="003B4D22" w:rsidRDefault="006B4C5F" w:rsidP="00F814DE">
            <w:pPr>
              <w:spacing w:after="40" w:line="240" w:lineRule="auto"/>
              <w:ind w:left="-57"/>
              <w:jc w:val="left"/>
              <w:rPr>
                <w:rFonts w:ascii="Arial Narrow" w:hAnsi="Arial Narrow"/>
                <w:sz w:val="18"/>
                <w:szCs w:val="20"/>
              </w:rPr>
            </w:pPr>
            <w:r w:rsidRPr="003B4D22">
              <w:rPr>
                <w:rFonts w:ascii="Arial Narrow" w:hAnsi="Arial Narrow"/>
                <w:sz w:val="18"/>
                <w:szCs w:val="20"/>
                <w:u w:val="single"/>
              </w:rPr>
              <w:t>Follow-up:</w:t>
            </w:r>
            <w:r w:rsidRPr="003B4D22">
              <w:rPr>
                <w:rFonts w:ascii="Arial Narrow" w:hAnsi="Arial Narrow"/>
                <w:sz w:val="18"/>
                <w:szCs w:val="20"/>
              </w:rPr>
              <w:t xml:space="preserve"> Mean follow-up duration was 8.7±4.0 months (median 10.8 months).(during which 17 patients died, 5 after developing sepsis)</w:t>
            </w:r>
          </w:p>
        </w:tc>
        <w:tc>
          <w:tcPr>
            <w:tcW w:w="1984" w:type="dxa"/>
          </w:tcPr>
          <w:p w14:paraId="581C537B"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Ethics</w:t>
            </w:r>
            <w:r w:rsidRPr="003B4D22">
              <w:rPr>
                <w:rFonts w:ascii="Arial Narrow" w:hAnsi="Arial Narrow"/>
                <w:sz w:val="18"/>
                <w:szCs w:val="20"/>
              </w:rPr>
              <w:t>: as for preliminary report. This protocol was approved by the French CCTIRS and CNIL.</w:t>
            </w:r>
          </w:p>
          <w:p w14:paraId="51BB6794" w14:textId="77777777" w:rsidR="006B4C5F" w:rsidRPr="003B4D22" w:rsidRDefault="006B4C5F"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Funding</w:t>
            </w:r>
            <w:r w:rsidRPr="003B4D22">
              <w:rPr>
                <w:rFonts w:ascii="Arial Narrow" w:hAnsi="Arial Narrow"/>
                <w:sz w:val="18"/>
                <w:szCs w:val="20"/>
              </w:rPr>
              <w:t xml:space="preserve"> and disclosures – as for preliminary report.  </w:t>
            </w:r>
          </w:p>
          <w:p w14:paraId="1D818710" w14:textId="77777777" w:rsidR="006B4C5F" w:rsidRPr="003B4D22" w:rsidRDefault="006B4C5F" w:rsidP="00F814DE">
            <w:pPr>
              <w:spacing w:before="0" w:after="40" w:line="240" w:lineRule="auto"/>
              <w:ind w:left="-57"/>
              <w:jc w:val="left"/>
              <w:rPr>
                <w:rFonts w:ascii="Arial Narrow" w:hAnsi="Arial Narrow"/>
                <w:sz w:val="18"/>
                <w:szCs w:val="20"/>
                <w:u w:val="single"/>
              </w:rPr>
            </w:pPr>
            <w:r w:rsidRPr="003B4D22">
              <w:rPr>
                <w:rFonts w:ascii="Arial Narrow" w:hAnsi="Arial Narrow"/>
                <w:sz w:val="18"/>
                <w:szCs w:val="20"/>
                <w:u w:val="single"/>
              </w:rPr>
              <w:t>Aggressive NHL</w:t>
            </w:r>
            <w:r w:rsidRPr="003B4D22">
              <w:rPr>
                <w:rFonts w:ascii="Arial Narrow" w:hAnsi="Arial Narrow"/>
                <w:sz w:val="18"/>
                <w:szCs w:val="20"/>
              </w:rPr>
              <w:t xml:space="preserve">: lymphomas incl. T-cell ,T-lymphoblastic, Burkitt, DLBCL, and angio-immunoblastic T-cell. </w:t>
            </w:r>
          </w:p>
          <w:p w14:paraId="32410F10" w14:textId="0D2732AE" w:rsidR="006B4C5F" w:rsidRPr="003B4D22" w:rsidRDefault="006B4C5F" w:rsidP="00F814DE">
            <w:pPr>
              <w:spacing w:after="40" w:line="240" w:lineRule="auto"/>
              <w:ind w:left="-57"/>
              <w:jc w:val="left"/>
              <w:rPr>
                <w:rFonts w:ascii="Arial Narrow" w:hAnsi="Arial Narrow"/>
                <w:sz w:val="18"/>
                <w:szCs w:val="20"/>
                <w:u w:val="single"/>
              </w:rPr>
            </w:pPr>
            <w:r w:rsidRPr="003B4D22">
              <w:rPr>
                <w:rFonts w:ascii="Arial Narrow" w:hAnsi="Arial Narrow"/>
                <w:sz w:val="18"/>
                <w:szCs w:val="20"/>
                <w:u w:val="single"/>
              </w:rPr>
              <w:t>Indolent NHL</w:t>
            </w:r>
            <w:r w:rsidRPr="003B4D22">
              <w:rPr>
                <w:rFonts w:ascii="Arial Narrow" w:hAnsi="Arial Narrow"/>
                <w:sz w:val="18"/>
                <w:szCs w:val="20"/>
              </w:rPr>
              <w:t>: incl. FL and Waldenström macro-globulinemia.</w:t>
            </w:r>
          </w:p>
        </w:tc>
      </w:tr>
      <w:tr w:rsidR="006B4C5F" w:rsidRPr="003B4D22" w14:paraId="6278DDFA" w14:textId="77777777" w:rsidTr="00FE2A24">
        <w:trPr>
          <w:trHeight w:val="293"/>
        </w:trPr>
        <w:tc>
          <w:tcPr>
            <w:tcW w:w="1129" w:type="dxa"/>
            <w:tcBorders>
              <w:top w:val="single" w:sz="4" w:space="0" w:color="auto"/>
              <w:bottom w:val="single" w:sz="4" w:space="0" w:color="auto"/>
            </w:tcBorders>
          </w:tcPr>
          <w:p w14:paraId="5D3FD9B8" w14:textId="77777777" w:rsidR="006B4C5F" w:rsidRPr="003B4D22" w:rsidRDefault="006B4C5F" w:rsidP="00F814DE">
            <w:pPr>
              <w:spacing w:after="0" w:line="240" w:lineRule="auto"/>
              <w:ind w:left="-57"/>
              <w:jc w:val="left"/>
              <w:rPr>
                <w:rFonts w:ascii="Arial Narrow" w:hAnsi="Arial Narrow" w:cs="Times New Roman"/>
                <w:sz w:val="18"/>
                <w:szCs w:val="20"/>
              </w:rPr>
            </w:pPr>
            <w:r w:rsidRPr="003B4D22">
              <w:rPr>
                <w:rFonts w:ascii="Arial Narrow" w:hAnsi="Arial Narrow"/>
                <w:sz w:val="18"/>
                <w:szCs w:val="20"/>
              </w:rPr>
              <w:t xml:space="preserve">Duraisingham </w:t>
            </w:r>
            <w:r w:rsidRPr="003B4D22">
              <w:rPr>
                <w:rFonts w:ascii="Arial Narrow" w:hAnsi="Arial Narrow"/>
                <w:sz w:val="18"/>
                <w:szCs w:val="20"/>
              </w:rPr>
              <w:lastRenderedPageBreak/>
              <w:t>et al., 2014</w:t>
            </w:r>
          </w:p>
          <w:p w14:paraId="75906306" w14:textId="77777777" w:rsidR="006B4C5F" w:rsidRPr="003B4D22" w:rsidRDefault="006B4C5F" w:rsidP="00F814DE">
            <w:pPr>
              <w:spacing w:after="0" w:line="240" w:lineRule="auto"/>
              <w:ind w:left="-57"/>
              <w:jc w:val="left"/>
              <w:rPr>
                <w:rFonts w:ascii="Arial Narrow" w:hAnsi="Arial Narrow"/>
                <w:sz w:val="18"/>
                <w:szCs w:val="20"/>
              </w:rPr>
            </w:pPr>
            <w:r w:rsidRPr="003B4D22">
              <w:rPr>
                <w:rFonts w:ascii="Arial Narrow" w:hAnsi="Arial Narrow"/>
                <w:sz w:val="18"/>
                <w:szCs w:val="20"/>
              </w:rPr>
              <w:t>United Kingdom</w:t>
            </w:r>
          </w:p>
          <w:p w14:paraId="396641FA" w14:textId="3F33CEB2" w:rsidR="006B4C5F" w:rsidRPr="003B4D22" w:rsidRDefault="006B4C5F" w:rsidP="00F814DE">
            <w:pPr>
              <w:spacing w:after="40" w:line="240" w:lineRule="auto"/>
              <w:ind w:left="-57"/>
              <w:jc w:val="left"/>
              <w:rPr>
                <w:rFonts w:ascii="Arial Narrow" w:hAnsi="Arial Narrow"/>
                <w:sz w:val="18"/>
                <w:szCs w:val="20"/>
              </w:rPr>
            </w:pPr>
            <w:r w:rsidRPr="003B4D22">
              <w:rPr>
                <w:rFonts w:ascii="Arial Narrow" w:hAnsi="Arial Narrow"/>
                <w:sz w:val="18"/>
                <w:szCs w:val="20"/>
              </w:rPr>
              <w:t>Single centre</w:t>
            </w:r>
          </w:p>
        </w:tc>
        <w:tc>
          <w:tcPr>
            <w:tcW w:w="1134" w:type="dxa"/>
            <w:tcBorders>
              <w:top w:val="single" w:sz="4" w:space="0" w:color="auto"/>
              <w:bottom w:val="single" w:sz="4" w:space="0" w:color="auto"/>
            </w:tcBorders>
          </w:tcPr>
          <w:p w14:paraId="418D63B2" w14:textId="08B78CED" w:rsidR="006B4C5F" w:rsidRPr="003B4D22" w:rsidRDefault="006B4C5F" w:rsidP="00F814DE">
            <w:pPr>
              <w:spacing w:after="0" w:line="240" w:lineRule="auto"/>
              <w:ind w:left="-57"/>
              <w:jc w:val="left"/>
              <w:rPr>
                <w:rFonts w:ascii="Arial Narrow" w:hAnsi="Arial Narrow"/>
                <w:sz w:val="18"/>
                <w:szCs w:val="20"/>
              </w:rPr>
            </w:pPr>
            <w:r w:rsidRPr="003B4D22">
              <w:rPr>
                <w:rFonts w:ascii="Arial Narrow" w:hAnsi="Arial Narrow"/>
                <w:sz w:val="18"/>
                <w:szCs w:val="20"/>
              </w:rPr>
              <w:lastRenderedPageBreak/>
              <w:t>Case series</w:t>
            </w:r>
            <w:r w:rsidR="00B40DF8" w:rsidRPr="003B4D22">
              <w:rPr>
                <w:rFonts w:ascii="Arial Narrow" w:hAnsi="Arial Narrow"/>
                <w:sz w:val="18"/>
                <w:szCs w:val="20"/>
              </w:rPr>
              <w:t xml:space="preserve"> </w:t>
            </w:r>
            <w:r w:rsidR="00B40DF8" w:rsidRPr="003B4D22">
              <w:rPr>
                <w:rFonts w:ascii="Arial Narrow" w:hAnsi="Arial Narrow"/>
                <w:sz w:val="18"/>
                <w:szCs w:val="20"/>
              </w:rPr>
              <w:lastRenderedPageBreak/>
              <w:t>(retrospective)</w:t>
            </w:r>
          </w:p>
          <w:p w14:paraId="22FDEF4F" w14:textId="6836861E" w:rsidR="006B4C5F" w:rsidRPr="003B4D22" w:rsidRDefault="006B4C5F" w:rsidP="00F814DE">
            <w:pPr>
              <w:spacing w:after="40" w:line="240" w:lineRule="auto"/>
              <w:ind w:left="-57"/>
              <w:jc w:val="left"/>
              <w:rPr>
                <w:rFonts w:ascii="Arial Narrow" w:hAnsi="Arial Narrow"/>
                <w:sz w:val="18"/>
                <w:szCs w:val="20"/>
              </w:rPr>
            </w:pPr>
            <w:r w:rsidRPr="003B4D22">
              <w:rPr>
                <w:rFonts w:ascii="Arial Narrow" w:hAnsi="Arial Narrow"/>
                <w:sz w:val="18"/>
                <w:szCs w:val="20"/>
              </w:rPr>
              <w:t>RoB: moderate (IHE)</w:t>
            </w:r>
          </w:p>
        </w:tc>
        <w:tc>
          <w:tcPr>
            <w:tcW w:w="1843" w:type="dxa"/>
          </w:tcPr>
          <w:p w14:paraId="0EC420AA" w14:textId="77777777" w:rsidR="006B4C5F" w:rsidRPr="003B4D22" w:rsidRDefault="006B4C5F" w:rsidP="00F814DE">
            <w:pPr>
              <w:spacing w:after="0" w:line="240" w:lineRule="auto"/>
              <w:ind w:left="-57"/>
              <w:jc w:val="left"/>
              <w:rPr>
                <w:rFonts w:ascii="Arial Narrow" w:hAnsi="Arial Narrow"/>
                <w:sz w:val="18"/>
                <w:szCs w:val="20"/>
              </w:rPr>
            </w:pPr>
            <w:r w:rsidRPr="003B4D22">
              <w:rPr>
                <w:rFonts w:ascii="Arial Narrow" w:hAnsi="Arial Narrow"/>
                <w:sz w:val="18"/>
                <w:szCs w:val="20"/>
              </w:rPr>
              <w:lastRenderedPageBreak/>
              <w:t>N=167, of which:</w:t>
            </w:r>
            <w:r w:rsidRPr="003B4D22">
              <w:rPr>
                <w:rFonts w:ascii="Arial Narrow" w:hAnsi="Arial Narrow"/>
                <w:sz w:val="18"/>
                <w:szCs w:val="20"/>
              </w:rPr>
              <w:br/>
            </w:r>
            <w:r w:rsidRPr="003B4D22">
              <w:rPr>
                <w:rFonts w:ascii="Arial Narrow" w:hAnsi="Arial Narrow"/>
                <w:sz w:val="18"/>
                <w:szCs w:val="20"/>
              </w:rPr>
              <w:lastRenderedPageBreak/>
              <w:t>PID (113); PID (prob.)(13); SID(26); SID(prob.)(13); undetermined(2)</w:t>
            </w:r>
          </w:p>
          <w:p w14:paraId="1525E597" w14:textId="77777777" w:rsidR="006B4C5F" w:rsidRPr="003B4D22" w:rsidRDefault="006B4C5F" w:rsidP="00F814DE">
            <w:pPr>
              <w:spacing w:after="0" w:line="240" w:lineRule="auto"/>
              <w:ind w:left="-57"/>
              <w:jc w:val="left"/>
              <w:rPr>
                <w:rFonts w:ascii="Arial Narrow" w:hAnsi="Arial Narrow"/>
                <w:sz w:val="18"/>
                <w:szCs w:val="20"/>
              </w:rPr>
            </w:pPr>
            <w:r w:rsidRPr="003B4D22">
              <w:rPr>
                <w:rFonts w:ascii="Arial Narrow" w:hAnsi="Arial Narrow"/>
                <w:sz w:val="18"/>
                <w:szCs w:val="20"/>
              </w:rPr>
              <w:t xml:space="preserve">Haem. malignancy patients (15) in SID group: CLL(1), MM(1), NHL(11); MDS(1); MGUS(1) </w:t>
            </w:r>
          </w:p>
          <w:p w14:paraId="69E57E70" w14:textId="77777777" w:rsidR="006B4C5F" w:rsidRPr="003B4D22" w:rsidRDefault="006B4C5F" w:rsidP="00F814DE">
            <w:pPr>
              <w:spacing w:after="0" w:line="240" w:lineRule="auto"/>
              <w:ind w:left="-57"/>
              <w:jc w:val="left"/>
              <w:rPr>
                <w:rFonts w:ascii="Arial Narrow" w:hAnsi="Arial Narrow"/>
                <w:sz w:val="18"/>
                <w:szCs w:val="20"/>
              </w:rPr>
            </w:pPr>
            <w:r w:rsidRPr="003B4D22">
              <w:rPr>
                <w:rFonts w:ascii="Arial Narrow" w:hAnsi="Arial Narrow"/>
                <w:sz w:val="18"/>
                <w:szCs w:val="20"/>
                <w:u w:val="single"/>
              </w:rPr>
              <w:t>Sex</w:t>
            </w:r>
            <w:r w:rsidRPr="003B4D22">
              <w:rPr>
                <w:rFonts w:ascii="Arial Narrow" w:hAnsi="Arial Narrow"/>
                <w:sz w:val="18"/>
                <w:szCs w:val="20"/>
              </w:rPr>
              <w:t xml:space="preserve"> ♀/♂: 98/ 69</w:t>
            </w:r>
          </w:p>
          <w:p w14:paraId="24306B73" w14:textId="77777777" w:rsidR="006B4C5F" w:rsidRPr="003B4D22" w:rsidRDefault="006B4C5F" w:rsidP="00F814DE">
            <w:pPr>
              <w:spacing w:after="0" w:line="240" w:lineRule="auto"/>
              <w:ind w:left="-57"/>
              <w:jc w:val="left"/>
              <w:rPr>
                <w:rFonts w:ascii="Arial Narrow" w:hAnsi="Arial Narrow"/>
                <w:sz w:val="18"/>
                <w:szCs w:val="20"/>
              </w:rPr>
            </w:pPr>
            <w:r w:rsidRPr="003B4D22">
              <w:rPr>
                <w:rFonts w:ascii="Arial Narrow" w:hAnsi="Arial Narrow"/>
                <w:sz w:val="18"/>
                <w:szCs w:val="20"/>
                <w:u w:val="single"/>
              </w:rPr>
              <w:t>Median age</w:t>
            </w:r>
            <w:r w:rsidRPr="003B4D22">
              <w:rPr>
                <w:rFonts w:ascii="Arial Narrow" w:hAnsi="Arial Narrow"/>
                <w:sz w:val="18"/>
                <w:szCs w:val="20"/>
              </w:rPr>
              <w:t>, yr: SID 64.5; SID (prob.) 58</w:t>
            </w:r>
          </w:p>
          <w:p w14:paraId="7096EFAB" w14:textId="77777777" w:rsidR="006B4C5F" w:rsidRPr="003B4D22" w:rsidRDefault="006B4C5F" w:rsidP="00F814DE">
            <w:pPr>
              <w:spacing w:after="0" w:line="240" w:lineRule="auto"/>
              <w:ind w:left="-57"/>
              <w:jc w:val="left"/>
              <w:rPr>
                <w:rFonts w:ascii="Arial Narrow" w:hAnsi="Arial Narrow"/>
                <w:sz w:val="18"/>
                <w:szCs w:val="20"/>
              </w:rPr>
            </w:pPr>
            <w:r w:rsidRPr="003B4D22">
              <w:rPr>
                <w:rFonts w:ascii="Arial Narrow" w:hAnsi="Arial Narrow"/>
                <w:sz w:val="18"/>
                <w:szCs w:val="20"/>
                <w:u w:val="single"/>
              </w:rPr>
              <w:t>hypo-GG</w:t>
            </w:r>
            <w:r w:rsidRPr="003B4D22">
              <w:rPr>
                <w:rFonts w:ascii="Arial Narrow" w:hAnsi="Arial Narrow"/>
                <w:sz w:val="18"/>
                <w:szCs w:val="20"/>
              </w:rPr>
              <w:t xml:space="preserve"> (IgG &lt;5.5g/L): SID 80.8%; SID (prob.) 69.2%</w:t>
            </w:r>
          </w:p>
          <w:p w14:paraId="69756B9B" w14:textId="77777777" w:rsidR="006B4C5F" w:rsidRPr="003B4D22" w:rsidRDefault="006B4C5F" w:rsidP="00F814DE">
            <w:pPr>
              <w:spacing w:after="0" w:line="240" w:lineRule="auto"/>
              <w:ind w:left="-57"/>
              <w:jc w:val="left"/>
              <w:rPr>
                <w:rFonts w:ascii="Arial Narrow" w:hAnsi="Arial Narrow"/>
                <w:sz w:val="18"/>
                <w:szCs w:val="20"/>
              </w:rPr>
            </w:pPr>
            <w:r w:rsidRPr="003B4D22">
              <w:rPr>
                <w:rFonts w:ascii="Arial Narrow" w:hAnsi="Arial Narrow"/>
                <w:sz w:val="18"/>
                <w:szCs w:val="20"/>
                <w:u w:val="single"/>
              </w:rPr>
              <w:t>Median 12mo serum IgG</w:t>
            </w:r>
            <w:r w:rsidRPr="003B4D22">
              <w:rPr>
                <w:rFonts w:ascii="Arial Narrow" w:hAnsi="Arial Narrow"/>
                <w:sz w:val="18"/>
                <w:szCs w:val="20"/>
              </w:rPr>
              <w:t xml:space="preserve"> (SID): 3.30 g/L)</w:t>
            </w:r>
          </w:p>
          <w:p w14:paraId="02D27B3A" w14:textId="58ADF625" w:rsidR="006B4C5F" w:rsidRPr="003B4D22" w:rsidRDefault="006B4C5F" w:rsidP="00F814DE">
            <w:pPr>
              <w:spacing w:after="40" w:line="240" w:lineRule="auto"/>
              <w:ind w:left="-57"/>
              <w:jc w:val="left"/>
              <w:rPr>
                <w:rFonts w:ascii="Arial Narrow" w:hAnsi="Arial Narrow"/>
                <w:sz w:val="18"/>
                <w:szCs w:val="20"/>
              </w:rPr>
            </w:pPr>
            <w:r w:rsidRPr="003B4D22">
              <w:rPr>
                <w:rFonts w:ascii="Arial Narrow" w:hAnsi="Arial Narrow"/>
                <w:sz w:val="18"/>
                <w:szCs w:val="20"/>
                <w:u w:val="single"/>
              </w:rPr>
              <w:t>Lung disease</w:t>
            </w:r>
            <w:r w:rsidRPr="003B4D22">
              <w:rPr>
                <w:rFonts w:ascii="Arial Narrow" w:hAnsi="Arial Narrow"/>
                <w:sz w:val="18"/>
                <w:szCs w:val="20"/>
              </w:rPr>
              <w:t xml:space="preserve"> (SID)</w:t>
            </w:r>
            <w:r w:rsidRPr="003B4D22">
              <w:rPr>
                <w:rFonts w:ascii="Arial Narrow" w:hAnsi="Arial Narrow"/>
                <w:sz w:val="18"/>
                <w:szCs w:val="20"/>
                <w:u w:val="single"/>
              </w:rPr>
              <w:t>:</w:t>
            </w:r>
            <w:r w:rsidRPr="003B4D22">
              <w:rPr>
                <w:rFonts w:ascii="Arial Narrow" w:hAnsi="Arial Narrow"/>
                <w:sz w:val="18"/>
                <w:szCs w:val="20"/>
                <w:u w:val="single"/>
              </w:rPr>
              <w:br/>
            </w:r>
            <w:r w:rsidRPr="003B4D22">
              <w:rPr>
                <w:rFonts w:ascii="Arial Narrow" w:hAnsi="Arial Narrow"/>
                <w:sz w:val="18"/>
                <w:szCs w:val="20"/>
              </w:rPr>
              <w:t xml:space="preserve">Bronchiectasis:28.2% </w:t>
            </w:r>
            <w:r w:rsidRPr="003B4D22">
              <w:rPr>
                <w:rFonts w:ascii="Arial Narrow" w:hAnsi="Arial Narrow"/>
                <w:sz w:val="18"/>
                <w:szCs w:val="20"/>
              </w:rPr>
              <w:br/>
              <w:t xml:space="preserve">Asthma and/or COPD: 34.1% </w:t>
            </w:r>
          </w:p>
        </w:tc>
        <w:tc>
          <w:tcPr>
            <w:tcW w:w="2268" w:type="dxa"/>
          </w:tcPr>
          <w:p w14:paraId="24C8C54E" w14:textId="77777777" w:rsidR="006B4C5F" w:rsidRPr="003B4D22" w:rsidRDefault="006B4C5F" w:rsidP="00F814DE">
            <w:pPr>
              <w:spacing w:after="0" w:line="240" w:lineRule="auto"/>
              <w:ind w:left="-57"/>
              <w:jc w:val="left"/>
              <w:rPr>
                <w:rFonts w:ascii="Arial Narrow" w:hAnsi="Arial Narrow"/>
                <w:sz w:val="18"/>
                <w:szCs w:val="20"/>
                <w:u w:val="single"/>
              </w:rPr>
            </w:pPr>
            <w:r w:rsidRPr="003B4D22">
              <w:rPr>
                <w:rFonts w:ascii="Arial Narrow" w:hAnsi="Arial Narrow"/>
                <w:sz w:val="18"/>
                <w:szCs w:val="20"/>
                <w:u w:val="single"/>
              </w:rPr>
              <w:lastRenderedPageBreak/>
              <w:t>Inclusion</w:t>
            </w:r>
            <w:r w:rsidRPr="003B4D22">
              <w:rPr>
                <w:rFonts w:ascii="Arial Narrow" w:hAnsi="Arial Narrow"/>
                <w:sz w:val="18"/>
                <w:szCs w:val="20"/>
              </w:rPr>
              <w:t xml:space="preserve">: Adults with primary </w:t>
            </w:r>
            <w:r w:rsidRPr="003B4D22">
              <w:rPr>
                <w:rFonts w:ascii="Arial Narrow" w:hAnsi="Arial Narrow"/>
                <w:sz w:val="18"/>
                <w:szCs w:val="20"/>
              </w:rPr>
              <w:lastRenderedPageBreak/>
              <w:t>(PID) or secondary immuno-deficiency (SID) receiving IgG-RT at data cut-off (May 2013)</w:t>
            </w:r>
          </w:p>
          <w:p w14:paraId="45460F56" w14:textId="77777777" w:rsidR="006B4C5F" w:rsidRPr="003B4D22" w:rsidRDefault="006B4C5F" w:rsidP="00F814DE">
            <w:pPr>
              <w:spacing w:after="0" w:line="240" w:lineRule="auto"/>
              <w:ind w:left="-57"/>
              <w:jc w:val="left"/>
              <w:rPr>
                <w:rFonts w:ascii="Arial Narrow" w:hAnsi="Arial Narrow"/>
                <w:sz w:val="18"/>
                <w:szCs w:val="20"/>
                <w:u w:val="single"/>
              </w:rPr>
            </w:pPr>
            <w:r w:rsidRPr="003B4D22">
              <w:rPr>
                <w:rFonts w:ascii="Arial Narrow" w:hAnsi="Arial Narrow"/>
                <w:sz w:val="18"/>
                <w:szCs w:val="20"/>
                <w:u w:val="single"/>
              </w:rPr>
              <w:t>Exclusion:</w:t>
            </w:r>
            <w:r w:rsidRPr="003B4D22">
              <w:rPr>
                <w:rFonts w:ascii="Arial Narrow" w:hAnsi="Arial Narrow"/>
                <w:sz w:val="18"/>
                <w:szCs w:val="20"/>
              </w:rPr>
              <w:t xml:space="preserve"> patients whose diagnosis as either PID or SID was not confirmed</w:t>
            </w:r>
          </w:p>
          <w:p w14:paraId="2BC73374" w14:textId="77777777" w:rsidR="006B4C5F" w:rsidRPr="003B4D22" w:rsidRDefault="006B4C5F" w:rsidP="00F814DE">
            <w:pPr>
              <w:spacing w:after="0" w:line="240" w:lineRule="auto"/>
              <w:ind w:left="-57"/>
              <w:jc w:val="left"/>
              <w:rPr>
                <w:rFonts w:ascii="Arial Narrow" w:hAnsi="Arial Narrow"/>
                <w:sz w:val="18"/>
                <w:szCs w:val="20"/>
              </w:rPr>
            </w:pPr>
            <w:r w:rsidRPr="003B4D22">
              <w:rPr>
                <w:rFonts w:ascii="Arial Narrow" w:hAnsi="Arial Narrow"/>
                <w:sz w:val="18"/>
                <w:szCs w:val="20"/>
                <w:u w:val="single"/>
              </w:rPr>
              <w:t>Objectives</w:t>
            </w:r>
            <w:r w:rsidRPr="003B4D22">
              <w:rPr>
                <w:rFonts w:ascii="Arial Narrow" w:hAnsi="Arial Narrow"/>
                <w:sz w:val="18"/>
                <w:szCs w:val="20"/>
              </w:rPr>
              <w:t>: comparison of PID and SID patients receiving IgG-RT; comparison of infection outcomes before and after tx.</w:t>
            </w:r>
          </w:p>
          <w:p w14:paraId="5FCE0529" w14:textId="77777777" w:rsidR="006B4C5F" w:rsidRPr="003B4D22" w:rsidRDefault="006B4C5F" w:rsidP="00F814DE">
            <w:pPr>
              <w:spacing w:after="40" w:line="240" w:lineRule="auto"/>
              <w:ind w:left="-57"/>
              <w:jc w:val="left"/>
              <w:rPr>
                <w:rFonts w:ascii="Arial Narrow" w:hAnsi="Arial Narrow"/>
                <w:sz w:val="18"/>
                <w:szCs w:val="20"/>
                <w:u w:val="single"/>
              </w:rPr>
            </w:pPr>
          </w:p>
        </w:tc>
        <w:tc>
          <w:tcPr>
            <w:tcW w:w="1843" w:type="dxa"/>
          </w:tcPr>
          <w:p w14:paraId="140DC17C" w14:textId="77777777" w:rsidR="006B4C5F" w:rsidRPr="003B4D22" w:rsidRDefault="006B4C5F" w:rsidP="00F814DE">
            <w:pPr>
              <w:spacing w:after="0" w:line="240" w:lineRule="auto"/>
              <w:ind w:left="-57"/>
              <w:jc w:val="left"/>
              <w:rPr>
                <w:rFonts w:ascii="Arial Narrow" w:hAnsi="Arial Narrow"/>
                <w:sz w:val="18"/>
                <w:szCs w:val="20"/>
              </w:rPr>
            </w:pPr>
            <w:r w:rsidRPr="003B4D22">
              <w:rPr>
                <w:rFonts w:ascii="Arial Narrow" w:hAnsi="Arial Narrow"/>
                <w:sz w:val="18"/>
                <w:szCs w:val="20"/>
                <w:u w:val="single"/>
              </w:rPr>
              <w:lastRenderedPageBreak/>
              <w:t>SID (n=39):</w:t>
            </w:r>
            <w:r w:rsidRPr="003B4D22">
              <w:rPr>
                <w:rFonts w:ascii="Arial Narrow" w:hAnsi="Arial Narrow"/>
                <w:sz w:val="18"/>
                <w:szCs w:val="20"/>
              </w:rPr>
              <w:t xml:space="preserve"> initial dose of </w:t>
            </w:r>
            <w:r w:rsidRPr="003B4D22">
              <w:rPr>
                <w:rFonts w:ascii="Arial Narrow" w:hAnsi="Arial Narrow"/>
                <w:sz w:val="18"/>
                <w:szCs w:val="20"/>
              </w:rPr>
              <w:lastRenderedPageBreak/>
              <w:t xml:space="preserve">0.1g/kg/week with adjustment based on infection </w:t>
            </w:r>
            <w:r w:rsidRPr="003B4D22">
              <w:rPr>
                <w:rFonts w:ascii="Arial Narrow" w:hAnsi="Arial Narrow"/>
                <w:sz w:val="18"/>
                <w:szCs w:val="20"/>
              </w:rPr>
              <w:br/>
              <w:t>IVIg: 13 (33.3%)</w:t>
            </w:r>
            <w:r w:rsidRPr="003B4D22">
              <w:rPr>
                <w:rFonts w:ascii="Arial Narrow" w:hAnsi="Arial Narrow"/>
                <w:sz w:val="18"/>
                <w:szCs w:val="20"/>
              </w:rPr>
              <w:br/>
              <w:t>SCIg: 26 (66.6%)</w:t>
            </w:r>
          </w:p>
          <w:p w14:paraId="7DA8CC5C" w14:textId="6EC46B70" w:rsidR="006B4C5F" w:rsidRPr="003B4D22" w:rsidRDefault="006B4C5F" w:rsidP="00F814DE">
            <w:pPr>
              <w:spacing w:after="40" w:line="240" w:lineRule="auto"/>
              <w:ind w:left="-57"/>
              <w:jc w:val="left"/>
              <w:rPr>
                <w:rFonts w:ascii="Arial Narrow" w:hAnsi="Arial Narrow"/>
                <w:sz w:val="18"/>
                <w:szCs w:val="20"/>
                <w:u w:val="single"/>
              </w:rPr>
            </w:pPr>
            <w:r w:rsidRPr="003B4D22">
              <w:rPr>
                <w:rFonts w:ascii="Arial Narrow" w:hAnsi="Arial Narrow"/>
                <w:sz w:val="18"/>
                <w:szCs w:val="20"/>
              </w:rPr>
              <w:t>SID+SID(prob.) group had patients with haem. malignancy (14+1) and autoimmune/ rheumato-logical disease (12+12).</w:t>
            </w:r>
          </w:p>
        </w:tc>
        <w:tc>
          <w:tcPr>
            <w:tcW w:w="1843" w:type="dxa"/>
          </w:tcPr>
          <w:p w14:paraId="005AAD24" w14:textId="77777777" w:rsidR="006B4C5F" w:rsidRPr="00402B1A" w:rsidRDefault="006B4C5F" w:rsidP="00F814DE">
            <w:pPr>
              <w:spacing w:after="0" w:line="240" w:lineRule="auto"/>
              <w:ind w:left="-57"/>
              <w:jc w:val="left"/>
              <w:rPr>
                <w:rFonts w:ascii="Arial Narrow" w:hAnsi="Arial Narrow"/>
                <w:sz w:val="18"/>
                <w:szCs w:val="20"/>
              </w:rPr>
            </w:pPr>
            <w:r w:rsidRPr="00402B1A">
              <w:rPr>
                <w:rFonts w:ascii="Arial Narrow" w:hAnsi="Arial Narrow"/>
                <w:sz w:val="18"/>
                <w:szCs w:val="20"/>
                <w:u w:val="single"/>
              </w:rPr>
              <w:lastRenderedPageBreak/>
              <w:t>PID (n=126):</w:t>
            </w:r>
            <w:r w:rsidRPr="00402B1A">
              <w:rPr>
                <w:rFonts w:ascii="Arial Narrow" w:hAnsi="Arial Narrow"/>
                <w:sz w:val="18"/>
                <w:szCs w:val="20"/>
              </w:rPr>
              <w:t xml:space="preserve"> IVIg initial </w:t>
            </w:r>
            <w:r w:rsidRPr="00402B1A">
              <w:rPr>
                <w:rFonts w:ascii="Arial Narrow" w:hAnsi="Arial Narrow"/>
                <w:sz w:val="18"/>
                <w:szCs w:val="20"/>
              </w:rPr>
              <w:lastRenderedPageBreak/>
              <w:t xml:space="preserve">dose of 0.1g/kg/week with adjustment based on infection </w:t>
            </w:r>
          </w:p>
          <w:p w14:paraId="4FB4EDCA" w14:textId="31B0DE86" w:rsidR="006B4C5F" w:rsidRPr="00402B1A" w:rsidRDefault="006B4C5F" w:rsidP="00F814DE">
            <w:pPr>
              <w:spacing w:after="40" w:line="240" w:lineRule="auto"/>
              <w:ind w:left="-57"/>
              <w:jc w:val="left"/>
              <w:rPr>
                <w:rFonts w:ascii="Arial Narrow" w:hAnsi="Arial Narrow"/>
                <w:sz w:val="18"/>
                <w:szCs w:val="20"/>
                <w:u w:val="single"/>
              </w:rPr>
            </w:pPr>
            <w:r w:rsidRPr="00402B1A">
              <w:rPr>
                <w:rFonts w:ascii="Arial Narrow" w:hAnsi="Arial Narrow"/>
                <w:i/>
                <w:sz w:val="18"/>
                <w:szCs w:val="20"/>
              </w:rPr>
              <w:t>(PID patients not relevant to PICO – for further details see paper)</w:t>
            </w:r>
          </w:p>
        </w:tc>
        <w:tc>
          <w:tcPr>
            <w:tcW w:w="2268" w:type="dxa"/>
          </w:tcPr>
          <w:p w14:paraId="6955871B" w14:textId="77777777" w:rsidR="006B4C5F" w:rsidRPr="003B4D22" w:rsidRDefault="006B4C5F" w:rsidP="00F814DE">
            <w:pPr>
              <w:spacing w:after="0" w:line="240" w:lineRule="auto"/>
              <w:ind w:left="-57"/>
              <w:jc w:val="left"/>
              <w:rPr>
                <w:rFonts w:ascii="Arial Narrow" w:hAnsi="Arial Narrow"/>
                <w:sz w:val="18"/>
                <w:szCs w:val="20"/>
              </w:rPr>
            </w:pPr>
            <w:r w:rsidRPr="003B4D22">
              <w:rPr>
                <w:rFonts w:ascii="Arial Narrow" w:hAnsi="Arial Narrow"/>
                <w:sz w:val="18"/>
                <w:szCs w:val="20"/>
                <w:u w:val="single"/>
              </w:rPr>
              <w:lastRenderedPageBreak/>
              <w:t>Outcomes</w:t>
            </w:r>
            <w:r w:rsidRPr="003B4D22">
              <w:rPr>
                <w:rFonts w:ascii="Arial Narrow" w:hAnsi="Arial Narrow"/>
                <w:sz w:val="18"/>
                <w:szCs w:val="20"/>
              </w:rPr>
              <w:t xml:space="preserve">: Patient </w:t>
            </w:r>
            <w:r w:rsidRPr="003B4D22">
              <w:rPr>
                <w:rFonts w:ascii="Arial Narrow" w:hAnsi="Arial Narrow"/>
                <w:sz w:val="18"/>
                <w:szCs w:val="20"/>
              </w:rPr>
              <w:lastRenderedPageBreak/>
              <w:t>demographics, causes of immunodeficiency, diagnostic delay, clinical and laboratory features, infection frequency.</w:t>
            </w:r>
          </w:p>
          <w:p w14:paraId="112D0987" w14:textId="77777777" w:rsidR="006B4C5F" w:rsidRPr="003B4D22" w:rsidRDefault="006B4C5F" w:rsidP="00F814DE">
            <w:pPr>
              <w:spacing w:after="0" w:line="240" w:lineRule="auto"/>
              <w:ind w:left="-57"/>
              <w:jc w:val="left"/>
              <w:rPr>
                <w:rFonts w:ascii="Arial Narrow" w:hAnsi="Arial Narrow"/>
                <w:sz w:val="18"/>
                <w:szCs w:val="20"/>
                <w:u w:val="single"/>
              </w:rPr>
            </w:pPr>
            <w:r w:rsidRPr="003B4D22">
              <w:rPr>
                <w:rFonts w:ascii="Arial Narrow" w:hAnsi="Arial Narrow"/>
                <w:sz w:val="18"/>
                <w:szCs w:val="20"/>
                <w:u w:val="single"/>
              </w:rPr>
              <w:t>Analyses</w:t>
            </w:r>
            <w:r w:rsidRPr="003B4D22">
              <w:rPr>
                <w:rFonts w:ascii="Arial Narrow" w:hAnsi="Arial Narrow"/>
                <w:sz w:val="18"/>
                <w:szCs w:val="20"/>
              </w:rPr>
              <w:t>: comparisons by 2-tailed unpaired t-test with Welch’s correction (unequal variance t-test). 2-tailed paired t-test compared infection frequency pre-/post-treatment. Comparison between diagnostic sub-groups used Kruskal-Wallis test. Bronchiectasis data, only available for few patients, analysed using Mann-Whitney test. P &lt;0.05 considered significant.</w:t>
            </w:r>
          </w:p>
          <w:p w14:paraId="6B134EB3" w14:textId="07D3370B" w:rsidR="006B4C5F" w:rsidRPr="003B4D22" w:rsidRDefault="006B4C5F" w:rsidP="00F814DE">
            <w:pPr>
              <w:spacing w:after="40" w:line="240" w:lineRule="auto"/>
              <w:ind w:left="-57"/>
              <w:jc w:val="left"/>
              <w:rPr>
                <w:rFonts w:ascii="Arial Narrow" w:hAnsi="Arial Narrow"/>
                <w:sz w:val="18"/>
                <w:szCs w:val="20"/>
                <w:u w:val="single"/>
              </w:rPr>
            </w:pPr>
            <w:r w:rsidRPr="003B4D22">
              <w:rPr>
                <w:rFonts w:ascii="Arial Narrow" w:hAnsi="Arial Narrow"/>
                <w:sz w:val="18"/>
                <w:szCs w:val="20"/>
                <w:u w:val="single"/>
              </w:rPr>
              <w:t>Follow-up</w:t>
            </w:r>
            <w:r w:rsidRPr="003B4D22">
              <w:rPr>
                <w:rFonts w:ascii="Arial Narrow" w:hAnsi="Arial Narrow"/>
                <w:sz w:val="18"/>
                <w:szCs w:val="20"/>
              </w:rPr>
              <w:t>: 12 months</w:t>
            </w:r>
          </w:p>
        </w:tc>
        <w:tc>
          <w:tcPr>
            <w:tcW w:w="1984" w:type="dxa"/>
          </w:tcPr>
          <w:p w14:paraId="4CF360E9" w14:textId="77777777" w:rsidR="006B4C5F" w:rsidRPr="003B4D22" w:rsidRDefault="006B4C5F" w:rsidP="00F814DE">
            <w:pPr>
              <w:spacing w:after="0" w:line="240" w:lineRule="auto"/>
              <w:ind w:left="-57"/>
              <w:jc w:val="left"/>
              <w:rPr>
                <w:rFonts w:ascii="Arial Narrow" w:hAnsi="Arial Narrow"/>
                <w:sz w:val="18"/>
                <w:szCs w:val="20"/>
              </w:rPr>
            </w:pPr>
            <w:r w:rsidRPr="003B4D22">
              <w:rPr>
                <w:rFonts w:ascii="Arial Narrow" w:hAnsi="Arial Narrow"/>
                <w:sz w:val="18"/>
                <w:szCs w:val="20"/>
                <w:u w:val="single"/>
              </w:rPr>
              <w:lastRenderedPageBreak/>
              <w:t>Ethics</w:t>
            </w:r>
            <w:r w:rsidRPr="003B4D22">
              <w:rPr>
                <w:rFonts w:ascii="Arial Narrow" w:hAnsi="Arial Narrow"/>
                <w:sz w:val="18"/>
                <w:szCs w:val="20"/>
              </w:rPr>
              <w:t xml:space="preserve">: in accordance with </w:t>
            </w:r>
            <w:r w:rsidRPr="003B4D22">
              <w:rPr>
                <w:rFonts w:ascii="Arial Narrow" w:hAnsi="Arial Narrow"/>
                <w:sz w:val="18"/>
                <w:szCs w:val="20"/>
              </w:rPr>
              <w:lastRenderedPageBreak/>
              <w:t>approval by the City and East London Research Ethics Committee.</w:t>
            </w:r>
          </w:p>
          <w:p w14:paraId="2FD9A229" w14:textId="77777777" w:rsidR="006B4C5F" w:rsidRPr="003B4D22" w:rsidRDefault="006B4C5F" w:rsidP="00F814DE">
            <w:pPr>
              <w:spacing w:after="0" w:line="240" w:lineRule="auto"/>
              <w:ind w:left="-57"/>
              <w:jc w:val="left"/>
              <w:rPr>
                <w:rFonts w:ascii="Arial Narrow" w:hAnsi="Arial Narrow"/>
                <w:sz w:val="18"/>
                <w:szCs w:val="20"/>
              </w:rPr>
            </w:pPr>
            <w:r w:rsidRPr="003B4D22">
              <w:rPr>
                <w:rFonts w:ascii="Arial Narrow" w:hAnsi="Arial Narrow"/>
                <w:sz w:val="18"/>
                <w:szCs w:val="20"/>
                <w:u w:val="single"/>
              </w:rPr>
              <w:t>Funding</w:t>
            </w:r>
            <w:r w:rsidRPr="003B4D22">
              <w:rPr>
                <w:rFonts w:ascii="Arial Narrow" w:hAnsi="Arial Narrow"/>
                <w:sz w:val="18"/>
                <w:szCs w:val="20"/>
              </w:rPr>
              <w:t xml:space="preserve">: primary author’s salary funded by CSL Behring. Other authors disclosed a range of interests with plasma products manufacturers including CSL Behring, Baxter, Octapharma, Grifols, BPL and LFP.  </w:t>
            </w:r>
          </w:p>
          <w:p w14:paraId="4B2EDEBA" w14:textId="77777777" w:rsidR="006B4C5F" w:rsidRPr="003B4D22" w:rsidRDefault="006B4C5F" w:rsidP="00F814DE">
            <w:pPr>
              <w:spacing w:after="0" w:line="240" w:lineRule="auto"/>
              <w:ind w:left="-57"/>
              <w:jc w:val="left"/>
              <w:rPr>
                <w:rFonts w:ascii="Arial Narrow" w:hAnsi="Arial Narrow"/>
                <w:sz w:val="18"/>
                <w:szCs w:val="20"/>
              </w:rPr>
            </w:pPr>
            <w:r w:rsidRPr="003B4D22">
              <w:rPr>
                <w:rFonts w:ascii="Arial Narrow" w:hAnsi="Arial Narrow"/>
                <w:sz w:val="18"/>
                <w:szCs w:val="20"/>
                <w:u w:val="single"/>
              </w:rPr>
              <w:t>Supplementary data:</w:t>
            </w:r>
            <w:r w:rsidRPr="003B4D22">
              <w:rPr>
                <w:rFonts w:ascii="Arial Narrow" w:hAnsi="Arial Narrow"/>
                <w:sz w:val="18"/>
                <w:szCs w:val="20"/>
              </w:rPr>
              <w:t xml:space="preserve"> the 11 NHL patients had: MCL(1); DLBCL(1); B lymphoblastic lymphoma(1); FL(4); MZL(2); unspecified NHL(2)</w:t>
            </w:r>
          </w:p>
          <w:p w14:paraId="5EBF0D94" w14:textId="60236B9F" w:rsidR="006B4C5F" w:rsidRPr="003B4D22" w:rsidRDefault="006B4C5F" w:rsidP="00F814DE">
            <w:pPr>
              <w:spacing w:after="40" w:line="240" w:lineRule="auto"/>
              <w:ind w:left="-57"/>
              <w:jc w:val="left"/>
              <w:rPr>
                <w:rFonts w:ascii="Arial Narrow" w:hAnsi="Arial Narrow"/>
                <w:sz w:val="18"/>
                <w:szCs w:val="20"/>
                <w:u w:val="single"/>
              </w:rPr>
            </w:pPr>
            <w:r w:rsidRPr="003B4D22">
              <w:rPr>
                <w:rFonts w:ascii="Arial Narrow" w:hAnsi="Arial Narrow"/>
                <w:sz w:val="18"/>
                <w:szCs w:val="20"/>
              </w:rPr>
              <w:t>1 patient with Waldenström macroglobulinaemia was not included in the analysis as being ‘undetermined’ rather than SID.</w:t>
            </w:r>
          </w:p>
        </w:tc>
      </w:tr>
      <w:tr w:rsidR="006B4C5F" w:rsidRPr="003B4D22" w14:paraId="2FB65FE0" w14:textId="77777777" w:rsidTr="006B4C5F">
        <w:trPr>
          <w:trHeight w:val="293"/>
        </w:trPr>
        <w:tc>
          <w:tcPr>
            <w:tcW w:w="1129" w:type="dxa"/>
          </w:tcPr>
          <w:p w14:paraId="427E22EA" w14:textId="77777777" w:rsidR="006B4C5F" w:rsidRPr="003B4D22" w:rsidRDefault="006B4C5F" w:rsidP="00F814DE">
            <w:pPr>
              <w:spacing w:before="0" w:after="40" w:line="240" w:lineRule="auto"/>
              <w:ind w:left="-57"/>
              <w:jc w:val="left"/>
              <w:rPr>
                <w:rFonts w:ascii="Arial Narrow" w:hAnsi="Arial Narrow"/>
                <w:sz w:val="18"/>
                <w:szCs w:val="18"/>
              </w:rPr>
            </w:pPr>
            <w:r w:rsidRPr="003B4D22">
              <w:rPr>
                <w:rFonts w:ascii="Arial Narrow" w:hAnsi="Arial Narrow"/>
                <w:sz w:val="18"/>
                <w:szCs w:val="18"/>
              </w:rPr>
              <w:lastRenderedPageBreak/>
              <w:t>Reiser et al., 2017</w:t>
            </w:r>
          </w:p>
          <w:p w14:paraId="7C0E35B5" w14:textId="77777777" w:rsidR="006B4C5F" w:rsidRPr="003B4D22" w:rsidRDefault="006B4C5F" w:rsidP="00F814DE">
            <w:pPr>
              <w:spacing w:before="0" w:after="40" w:line="240" w:lineRule="auto"/>
              <w:ind w:left="-57"/>
              <w:jc w:val="left"/>
              <w:rPr>
                <w:rFonts w:ascii="Arial Narrow" w:hAnsi="Arial Narrow"/>
                <w:sz w:val="18"/>
                <w:szCs w:val="18"/>
              </w:rPr>
            </w:pPr>
            <w:r w:rsidRPr="003B4D22">
              <w:rPr>
                <w:rFonts w:ascii="Arial Narrow" w:hAnsi="Arial Narrow"/>
                <w:sz w:val="18"/>
                <w:szCs w:val="18"/>
              </w:rPr>
              <w:t>Germany</w:t>
            </w:r>
          </w:p>
          <w:p w14:paraId="482F64A1" w14:textId="77777777" w:rsidR="006B4C5F" w:rsidRPr="003B4D22" w:rsidRDefault="006B4C5F" w:rsidP="00F814DE">
            <w:pPr>
              <w:spacing w:before="0" w:after="40" w:line="240" w:lineRule="auto"/>
              <w:ind w:left="-57"/>
              <w:jc w:val="left"/>
              <w:rPr>
                <w:rFonts w:ascii="Arial Narrow" w:hAnsi="Arial Narrow" w:cs="Times New Roman"/>
                <w:sz w:val="18"/>
                <w:szCs w:val="20"/>
              </w:rPr>
            </w:pPr>
            <w:r w:rsidRPr="003B4D22">
              <w:rPr>
                <w:rFonts w:ascii="Arial Narrow" w:hAnsi="Arial Narrow"/>
                <w:sz w:val="18"/>
                <w:szCs w:val="18"/>
              </w:rPr>
              <w:t>Multi-centre (48 sites)</w:t>
            </w:r>
          </w:p>
        </w:tc>
        <w:tc>
          <w:tcPr>
            <w:tcW w:w="1134" w:type="dxa"/>
          </w:tcPr>
          <w:p w14:paraId="5D344256" w14:textId="1802DDA4" w:rsidR="006B4C5F" w:rsidRPr="003B4D22" w:rsidRDefault="006B4C5F" w:rsidP="00F814DE">
            <w:pPr>
              <w:spacing w:before="0" w:after="40" w:line="240" w:lineRule="auto"/>
              <w:ind w:left="-57"/>
              <w:jc w:val="left"/>
              <w:rPr>
                <w:rFonts w:ascii="Arial Narrow" w:hAnsi="Arial Narrow"/>
                <w:sz w:val="18"/>
                <w:szCs w:val="18"/>
              </w:rPr>
            </w:pPr>
            <w:r w:rsidRPr="003B4D22">
              <w:rPr>
                <w:rFonts w:ascii="Arial Narrow" w:hAnsi="Arial Narrow"/>
                <w:sz w:val="18"/>
                <w:szCs w:val="18"/>
              </w:rPr>
              <w:t>Case series (2009-2016)</w:t>
            </w:r>
            <w:r w:rsidR="004E4553" w:rsidRPr="003B4D22">
              <w:rPr>
                <w:rFonts w:ascii="Arial Narrow" w:hAnsi="Arial Narrow"/>
                <w:sz w:val="18"/>
                <w:szCs w:val="18"/>
              </w:rPr>
              <w:t xml:space="preserve"> </w:t>
            </w:r>
            <w:r w:rsidRPr="003B4D22">
              <w:rPr>
                <w:rFonts w:ascii="Arial Narrow" w:hAnsi="Arial Narrow"/>
                <w:sz w:val="18"/>
                <w:szCs w:val="18"/>
              </w:rPr>
              <w:t>(Prospective)</w:t>
            </w:r>
          </w:p>
          <w:p w14:paraId="38E1D2E1" w14:textId="77777777" w:rsidR="006B4C5F" w:rsidRPr="003B4D22" w:rsidRDefault="006B4C5F" w:rsidP="00F814DE">
            <w:pPr>
              <w:spacing w:before="0" w:after="40" w:line="240" w:lineRule="auto"/>
              <w:ind w:left="-57"/>
              <w:jc w:val="left"/>
              <w:rPr>
                <w:rFonts w:ascii="Arial Narrow" w:hAnsi="Arial Narrow" w:cs="Times New Roman"/>
                <w:sz w:val="18"/>
                <w:szCs w:val="20"/>
              </w:rPr>
            </w:pPr>
            <w:r w:rsidRPr="003B4D22">
              <w:rPr>
                <w:rFonts w:ascii="Arial Narrow" w:hAnsi="Arial Narrow"/>
                <w:sz w:val="18"/>
                <w:szCs w:val="20"/>
              </w:rPr>
              <w:t>RoB: moderate (IHE)</w:t>
            </w:r>
          </w:p>
        </w:tc>
        <w:tc>
          <w:tcPr>
            <w:tcW w:w="1843" w:type="dxa"/>
          </w:tcPr>
          <w:p w14:paraId="4A63E252" w14:textId="77777777" w:rsidR="006B4C5F" w:rsidRPr="003B4D22" w:rsidRDefault="006B4C5F" w:rsidP="00F814DE">
            <w:pPr>
              <w:spacing w:before="0" w:after="40" w:line="240" w:lineRule="auto"/>
              <w:ind w:left="-57"/>
              <w:jc w:val="left"/>
              <w:rPr>
                <w:rFonts w:ascii="Arial Narrow" w:hAnsi="Arial Narrow"/>
                <w:sz w:val="18"/>
                <w:szCs w:val="18"/>
              </w:rPr>
            </w:pPr>
            <w:r w:rsidRPr="003B4D22">
              <w:rPr>
                <w:rFonts w:ascii="Arial Narrow" w:hAnsi="Arial Narrow"/>
                <w:sz w:val="18"/>
                <w:szCs w:val="18"/>
              </w:rPr>
              <w:t>N=307 [CLL(130); indolent lymphoma (77); MM(43); NHL(22); other(35)]</w:t>
            </w:r>
          </w:p>
          <w:p w14:paraId="74EE42CC" w14:textId="77777777" w:rsidR="006B4C5F" w:rsidRPr="003B4D22" w:rsidRDefault="006B4C5F" w:rsidP="00F814DE">
            <w:pPr>
              <w:spacing w:before="0" w:after="40" w:line="240" w:lineRule="auto"/>
              <w:ind w:left="-57"/>
              <w:jc w:val="left"/>
              <w:rPr>
                <w:rFonts w:ascii="Arial Narrow" w:hAnsi="Arial Narrow"/>
                <w:sz w:val="18"/>
                <w:szCs w:val="18"/>
              </w:rPr>
            </w:pPr>
            <w:r w:rsidRPr="003B4D22">
              <w:rPr>
                <w:rFonts w:ascii="Arial Narrow" w:hAnsi="Arial Narrow"/>
                <w:sz w:val="18"/>
                <w:szCs w:val="18"/>
                <w:u w:val="single"/>
              </w:rPr>
              <w:t>Mean age±sd</w:t>
            </w:r>
            <w:r w:rsidRPr="003B4D22">
              <w:rPr>
                <w:rFonts w:ascii="Arial Narrow" w:hAnsi="Arial Narrow"/>
                <w:sz w:val="18"/>
                <w:szCs w:val="18"/>
              </w:rPr>
              <w:t>, yr:</w:t>
            </w:r>
            <w:r w:rsidRPr="003B4D22">
              <w:rPr>
                <w:rFonts w:ascii="Arial Narrow" w:hAnsi="Arial Narrow"/>
                <w:sz w:val="18"/>
                <w:szCs w:val="18"/>
              </w:rPr>
              <w:br/>
              <w:t>63.7±14.4</w:t>
            </w:r>
          </w:p>
          <w:p w14:paraId="7385723C" w14:textId="77777777" w:rsidR="006B4C5F" w:rsidRPr="003B4D22" w:rsidRDefault="006B4C5F" w:rsidP="00F814DE">
            <w:pPr>
              <w:spacing w:before="0" w:after="40" w:line="240" w:lineRule="auto"/>
              <w:ind w:left="-57"/>
              <w:jc w:val="left"/>
              <w:rPr>
                <w:rFonts w:ascii="Arial Narrow" w:hAnsi="Arial Narrow" w:cs="Lato-Regular"/>
                <w:sz w:val="18"/>
                <w:szCs w:val="18"/>
              </w:rPr>
            </w:pPr>
            <w:r w:rsidRPr="003B4D22">
              <w:rPr>
                <w:rFonts w:ascii="Arial Narrow" w:hAnsi="Arial Narrow"/>
                <w:sz w:val="18"/>
                <w:szCs w:val="18"/>
              </w:rPr>
              <w:t xml:space="preserve">♀/♂: </w:t>
            </w:r>
            <w:r w:rsidRPr="003B4D22">
              <w:rPr>
                <w:rFonts w:ascii="Arial Narrow" w:hAnsi="Arial Narrow" w:cs="Lato-Regular"/>
                <w:sz w:val="18"/>
                <w:szCs w:val="18"/>
              </w:rPr>
              <w:t>47.6%/52.4%</w:t>
            </w:r>
          </w:p>
          <w:p w14:paraId="617C57D0" w14:textId="77777777" w:rsidR="006B4C5F" w:rsidRPr="003B4D22" w:rsidRDefault="006B4C5F" w:rsidP="00F814DE">
            <w:pPr>
              <w:spacing w:before="0" w:after="40" w:line="240" w:lineRule="auto"/>
              <w:ind w:left="-57"/>
              <w:jc w:val="left"/>
              <w:rPr>
                <w:rFonts w:ascii="Arial Narrow" w:hAnsi="Arial Narrow"/>
                <w:sz w:val="18"/>
                <w:szCs w:val="18"/>
              </w:rPr>
            </w:pPr>
            <w:r w:rsidRPr="003B4D22">
              <w:rPr>
                <w:rFonts w:ascii="Arial Narrow" w:hAnsi="Arial Narrow"/>
                <w:sz w:val="18"/>
                <w:szCs w:val="18"/>
                <w:u w:val="single"/>
              </w:rPr>
              <w:t>New IgG starters</w:t>
            </w:r>
            <w:r w:rsidRPr="003B4D22">
              <w:rPr>
                <w:rFonts w:ascii="Arial Narrow" w:hAnsi="Arial Narrow"/>
                <w:sz w:val="18"/>
                <w:szCs w:val="18"/>
              </w:rPr>
              <w:t xml:space="preserve"> (tx &lt;3mo): 31.3%</w:t>
            </w:r>
          </w:p>
          <w:p w14:paraId="7A41B5AE" w14:textId="77777777" w:rsidR="006B4C5F" w:rsidRPr="003B4D22" w:rsidRDefault="006B4C5F" w:rsidP="00F814DE">
            <w:pPr>
              <w:spacing w:before="0" w:after="40" w:line="240" w:lineRule="auto"/>
              <w:ind w:left="-57"/>
              <w:jc w:val="left"/>
              <w:rPr>
                <w:rFonts w:ascii="Arial Narrow" w:hAnsi="Arial Narrow"/>
                <w:sz w:val="18"/>
                <w:szCs w:val="18"/>
              </w:rPr>
            </w:pPr>
            <w:r w:rsidRPr="003B4D22">
              <w:rPr>
                <w:rFonts w:ascii="Arial Narrow" w:hAnsi="Arial Narrow"/>
                <w:sz w:val="18"/>
                <w:szCs w:val="18"/>
                <w:u w:val="single"/>
              </w:rPr>
              <w:t>Median (IQR) IgG tx duration</w:t>
            </w:r>
            <w:r w:rsidRPr="003B4D22">
              <w:rPr>
                <w:rFonts w:ascii="Arial Narrow" w:hAnsi="Arial Narrow"/>
                <w:sz w:val="18"/>
                <w:szCs w:val="18"/>
              </w:rPr>
              <w:t>: 3mo (0-13)</w:t>
            </w:r>
          </w:p>
          <w:p w14:paraId="45E3BC5C" w14:textId="77777777" w:rsidR="006B4C5F" w:rsidRPr="003B4D22" w:rsidRDefault="006B4C5F" w:rsidP="00F814DE">
            <w:pPr>
              <w:spacing w:before="0" w:after="40" w:line="240" w:lineRule="auto"/>
              <w:ind w:left="-57"/>
              <w:jc w:val="left"/>
              <w:rPr>
                <w:rFonts w:ascii="Arial Narrow" w:hAnsi="Arial Narrow" w:cs="Times New Roman"/>
                <w:sz w:val="18"/>
                <w:szCs w:val="20"/>
              </w:rPr>
            </w:pPr>
            <w:r w:rsidRPr="003B4D22">
              <w:rPr>
                <w:rFonts w:ascii="Arial Narrow" w:hAnsi="Arial Narrow"/>
                <w:sz w:val="18"/>
                <w:szCs w:val="18"/>
                <w:u w:val="single"/>
              </w:rPr>
              <w:t xml:space="preserve">Median IgG level: </w:t>
            </w:r>
            <w:r w:rsidRPr="003B4D22">
              <w:rPr>
                <w:rFonts w:ascii="Arial Narrow" w:hAnsi="Arial Narrow"/>
                <w:sz w:val="18"/>
                <w:szCs w:val="18"/>
              </w:rPr>
              <w:t xml:space="preserve">5.8g/L (mean 7.2±6.9 g/L). </w:t>
            </w:r>
          </w:p>
        </w:tc>
        <w:tc>
          <w:tcPr>
            <w:tcW w:w="2268" w:type="dxa"/>
          </w:tcPr>
          <w:p w14:paraId="4CBE01D8" w14:textId="77777777" w:rsidR="006B4C5F" w:rsidRPr="003B4D22" w:rsidRDefault="006B4C5F" w:rsidP="00F814DE">
            <w:pPr>
              <w:spacing w:before="0" w:after="40" w:line="240" w:lineRule="auto"/>
              <w:ind w:left="-57"/>
              <w:jc w:val="left"/>
              <w:rPr>
                <w:rFonts w:ascii="Arial Narrow" w:hAnsi="Arial Narrow"/>
                <w:sz w:val="18"/>
                <w:szCs w:val="18"/>
                <w:u w:val="single"/>
              </w:rPr>
            </w:pPr>
            <w:r w:rsidRPr="003B4D22">
              <w:rPr>
                <w:rFonts w:ascii="Arial Narrow" w:hAnsi="Arial Narrow"/>
                <w:sz w:val="18"/>
                <w:szCs w:val="18"/>
                <w:u w:val="single"/>
              </w:rPr>
              <w:t>Inclusion</w:t>
            </w:r>
            <w:r w:rsidRPr="003B4D22">
              <w:rPr>
                <w:rFonts w:ascii="Arial Narrow" w:hAnsi="Arial Narrow"/>
                <w:sz w:val="18"/>
                <w:szCs w:val="18"/>
              </w:rPr>
              <w:t>: receiving IgG maintenance or newly initiated on any IgG preparation as long-term therapy; due to CLL, MM, indolent lymphoma, other malignancies such as NHL or HIV (if infection or tumours).</w:t>
            </w:r>
          </w:p>
          <w:p w14:paraId="30598EF1" w14:textId="77777777" w:rsidR="006B4C5F" w:rsidRPr="003B4D22" w:rsidRDefault="006B4C5F" w:rsidP="00F814DE">
            <w:pPr>
              <w:spacing w:before="0" w:after="40" w:line="240" w:lineRule="auto"/>
              <w:ind w:left="-57"/>
              <w:jc w:val="left"/>
              <w:rPr>
                <w:rFonts w:ascii="Arial Narrow" w:hAnsi="Arial Narrow"/>
                <w:sz w:val="18"/>
                <w:szCs w:val="18"/>
                <w:u w:val="single"/>
              </w:rPr>
            </w:pPr>
            <w:r w:rsidRPr="003B4D22">
              <w:rPr>
                <w:rFonts w:ascii="Arial Narrow" w:hAnsi="Arial Narrow"/>
                <w:sz w:val="18"/>
                <w:szCs w:val="18"/>
                <w:u w:val="single"/>
              </w:rPr>
              <w:t>Exclusion</w:t>
            </w:r>
            <w:r w:rsidRPr="003B4D22">
              <w:rPr>
                <w:rFonts w:ascii="Arial Narrow" w:hAnsi="Arial Narrow"/>
                <w:sz w:val="18"/>
                <w:szCs w:val="18"/>
              </w:rPr>
              <w:t>: none described</w:t>
            </w:r>
          </w:p>
          <w:p w14:paraId="76CD745C" w14:textId="77777777" w:rsidR="006B4C5F" w:rsidRPr="003B4D22" w:rsidRDefault="006B4C5F" w:rsidP="00F814DE">
            <w:pPr>
              <w:spacing w:before="0" w:after="40" w:line="240" w:lineRule="auto"/>
              <w:ind w:left="-57"/>
              <w:jc w:val="left"/>
              <w:rPr>
                <w:rFonts w:ascii="Arial Narrow" w:hAnsi="Arial Narrow" w:cs="Times New Roman"/>
                <w:sz w:val="18"/>
                <w:szCs w:val="20"/>
                <w:u w:val="single"/>
              </w:rPr>
            </w:pPr>
            <w:r w:rsidRPr="003B4D22">
              <w:rPr>
                <w:rFonts w:ascii="Arial Narrow" w:hAnsi="Arial Narrow"/>
                <w:sz w:val="18"/>
                <w:szCs w:val="18"/>
                <w:u w:val="single"/>
              </w:rPr>
              <w:t>Objectives</w:t>
            </w:r>
            <w:r w:rsidRPr="003B4D22">
              <w:rPr>
                <w:rFonts w:ascii="Arial Narrow" w:hAnsi="Arial Narrow"/>
                <w:sz w:val="18"/>
                <w:szCs w:val="18"/>
              </w:rPr>
              <w:t>: to systematically collect data on patient characteristics, IgG utilisation, and outcomes with respect to infection rates and QoL under real life conditions.</w:t>
            </w:r>
          </w:p>
        </w:tc>
        <w:tc>
          <w:tcPr>
            <w:tcW w:w="1843" w:type="dxa"/>
          </w:tcPr>
          <w:p w14:paraId="42F5F232" w14:textId="77777777" w:rsidR="006B4C5F" w:rsidRPr="003B4D22" w:rsidRDefault="006B4C5F" w:rsidP="00F814DE">
            <w:pPr>
              <w:spacing w:before="0" w:after="40" w:line="240" w:lineRule="auto"/>
              <w:ind w:left="-57"/>
              <w:jc w:val="left"/>
              <w:rPr>
                <w:rFonts w:ascii="Arial Narrow" w:hAnsi="Arial Narrow"/>
                <w:sz w:val="18"/>
                <w:szCs w:val="18"/>
                <w:u w:val="single"/>
              </w:rPr>
            </w:pPr>
            <w:r w:rsidRPr="003B4D22">
              <w:rPr>
                <w:rFonts w:ascii="Arial Narrow" w:hAnsi="Arial Narrow"/>
                <w:sz w:val="18"/>
                <w:szCs w:val="18"/>
                <w:u w:val="single"/>
              </w:rPr>
              <w:t>IgG:</w:t>
            </w:r>
            <w:r w:rsidRPr="003B4D22">
              <w:rPr>
                <w:rFonts w:ascii="Arial Narrow" w:hAnsi="Arial Narrow"/>
                <w:sz w:val="18"/>
                <w:szCs w:val="18"/>
              </w:rPr>
              <w:t xml:space="preserve"> Variable. Median (IQR) 4-weekly dose:</w:t>
            </w:r>
          </w:p>
          <w:p w14:paraId="70593CE8" w14:textId="77777777" w:rsidR="006B4C5F" w:rsidRPr="003B4D22" w:rsidRDefault="006B4C5F" w:rsidP="00F814DE">
            <w:pPr>
              <w:spacing w:before="0" w:after="40" w:line="240" w:lineRule="auto"/>
              <w:ind w:left="-57"/>
              <w:jc w:val="left"/>
              <w:rPr>
                <w:rFonts w:ascii="Arial Narrow" w:hAnsi="Arial Narrow"/>
                <w:sz w:val="18"/>
                <w:szCs w:val="18"/>
              </w:rPr>
            </w:pPr>
            <w:r w:rsidRPr="003B4D22">
              <w:rPr>
                <w:rFonts w:ascii="Arial Narrow" w:hAnsi="Arial Narrow"/>
                <w:sz w:val="18"/>
                <w:szCs w:val="18"/>
              </w:rPr>
              <w:t>IVIg (n=287); 163mg/kg (116-258)</w:t>
            </w:r>
          </w:p>
          <w:p w14:paraId="2A827AD5" w14:textId="77777777" w:rsidR="006B4C5F" w:rsidRPr="003B4D22" w:rsidRDefault="006B4C5F" w:rsidP="00F814DE">
            <w:pPr>
              <w:spacing w:before="0" w:after="40" w:line="240" w:lineRule="auto"/>
              <w:ind w:left="-57"/>
              <w:jc w:val="left"/>
              <w:rPr>
                <w:rFonts w:ascii="Arial Narrow" w:hAnsi="Arial Narrow"/>
                <w:sz w:val="18"/>
                <w:szCs w:val="18"/>
              </w:rPr>
            </w:pPr>
            <w:r w:rsidRPr="003B4D22">
              <w:rPr>
                <w:rFonts w:ascii="Arial Narrow" w:hAnsi="Arial Narrow"/>
                <w:sz w:val="18"/>
                <w:szCs w:val="18"/>
              </w:rPr>
              <w:t>SCIg (n=20); 330mg/kg (255-420)</w:t>
            </w:r>
          </w:p>
          <w:p w14:paraId="6AAEFC3E" w14:textId="77777777" w:rsidR="006B4C5F" w:rsidRPr="003B4D22" w:rsidRDefault="006B4C5F" w:rsidP="00F814DE">
            <w:pPr>
              <w:spacing w:before="0" w:after="40" w:line="240" w:lineRule="auto"/>
              <w:ind w:left="-57"/>
              <w:jc w:val="left"/>
              <w:rPr>
                <w:rFonts w:ascii="Arial Narrow" w:hAnsi="Arial Narrow"/>
                <w:sz w:val="18"/>
                <w:szCs w:val="18"/>
              </w:rPr>
            </w:pPr>
            <w:r w:rsidRPr="003B4D22">
              <w:rPr>
                <w:rFonts w:ascii="Arial Narrow" w:hAnsi="Arial Narrow"/>
                <w:sz w:val="18"/>
                <w:szCs w:val="18"/>
              </w:rPr>
              <w:t>Average dose: 205mg/kg per 4 weeks.</w:t>
            </w:r>
          </w:p>
          <w:p w14:paraId="560FBF92" w14:textId="77777777" w:rsidR="006B4C5F" w:rsidRPr="003B4D22" w:rsidRDefault="006B4C5F" w:rsidP="00F814DE">
            <w:pPr>
              <w:spacing w:before="0" w:after="40" w:line="240" w:lineRule="auto"/>
              <w:ind w:left="-57"/>
              <w:jc w:val="left"/>
              <w:rPr>
                <w:rFonts w:ascii="Arial Narrow" w:hAnsi="Arial Narrow" w:cs="Times New Roman"/>
                <w:sz w:val="18"/>
                <w:szCs w:val="20"/>
                <w:u w:val="single"/>
              </w:rPr>
            </w:pPr>
            <w:r w:rsidRPr="00402B1A">
              <w:rPr>
                <w:rFonts w:ascii="Arial Narrow" w:hAnsi="Arial Narrow"/>
                <w:sz w:val="18"/>
                <w:szCs w:val="18"/>
              </w:rPr>
              <w:t>Duration not reported.</w:t>
            </w:r>
          </w:p>
        </w:tc>
        <w:tc>
          <w:tcPr>
            <w:tcW w:w="1843" w:type="dxa"/>
          </w:tcPr>
          <w:p w14:paraId="35353734" w14:textId="77777777" w:rsidR="006B4C5F" w:rsidRPr="003B4D22" w:rsidRDefault="006B4C5F" w:rsidP="00F814DE">
            <w:pPr>
              <w:spacing w:before="0" w:after="40" w:line="240" w:lineRule="auto"/>
              <w:ind w:left="-57"/>
              <w:jc w:val="left"/>
              <w:rPr>
                <w:rFonts w:ascii="Arial Narrow" w:hAnsi="Arial Narrow" w:cs="Times New Roman"/>
                <w:sz w:val="18"/>
                <w:szCs w:val="20"/>
                <w:u w:val="single"/>
              </w:rPr>
            </w:pPr>
            <w:r w:rsidRPr="003B4D22">
              <w:rPr>
                <w:rFonts w:ascii="Arial Narrow" w:hAnsi="Arial Narrow"/>
                <w:sz w:val="18"/>
                <w:szCs w:val="18"/>
              </w:rPr>
              <w:t>―</w:t>
            </w:r>
          </w:p>
        </w:tc>
        <w:tc>
          <w:tcPr>
            <w:tcW w:w="2268" w:type="dxa"/>
          </w:tcPr>
          <w:p w14:paraId="5593A6B2" w14:textId="77777777" w:rsidR="006B4C5F" w:rsidRPr="003B4D22" w:rsidRDefault="006B4C5F" w:rsidP="00F814DE">
            <w:pPr>
              <w:spacing w:before="0" w:after="40" w:line="240" w:lineRule="auto"/>
              <w:ind w:left="-57"/>
              <w:jc w:val="left"/>
              <w:rPr>
                <w:rFonts w:ascii="Arial Narrow" w:hAnsi="Arial Narrow"/>
                <w:sz w:val="18"/>
                <w:szCs w:val="18"/>
                <w:u w:val="single"/>
              </w:rPr>
            </w:pPr>
            <w:r w:rsidRPr="003B4D22">
              <w:rPr>
                <w:rFonts w:ascii="Arial Narrow" w:hAnsi="Arial Narrow"/>
                <w:sz w:val="18"/>
                <w:szCs w:val="18"/>
                <w:u w:val="single"/>
              </w:rPr>
              <w:t>Outcomes:</w:t>
            </w:r>
            <w:r w:rsidRPr="003B4D22">
              <w:rPr>
                <w:rFonts w:ascii="Arial Narrow" w:hAnsi="Arial Narrow"/>
                <w:sz w:val="18"/>
                <w:szCs w:val="18"/>
              </w:rPr>
              <w:t xml:space="preserve"> Infection rate; severe infections; IgG trough levels; side-effects; QoL; mortality; IgG utilisation</w:t>
            </w:r>
          </w:p>
          <w:p w14:paraId="1C6EEE95" w14:textId="77777777" w:rsidR="006B4C5F" w:rsidRPr="003B4D22" w:rsidRDefault="006B4C5F" w:rsidP="00F814DE">
            <w:pPr>
              <w:spacing w:before="0" w:after="40" w:line="240" w:lineRule="auto"/>
              <w:ind w:left="-57"/>
              <w:jc w:val="left"/>
              <w:rPr>
                <w:rFonts w:ascii="Arial Narrow" w:hAnsi="Arial Narrow"/>
                <w:sz w:val="18"/>
                <w:szCs w:val="18"/>
                <w:u w:val="single"/>
              </w:rPr>
            </w:pPr>
            <w:r w:rsidRPr="003B4D22">
              <w:rPr>
                <w:rFonts w:ascii="Arial Narrow" w:hAnsi="Arial Narrow"/>
                <w:sz w:val="18"/>
                <w:szCs w:val="18"/>
                <w:u w:val="single"/>
              </w:rPr>
              <w:t>Analyses:</w:t>
            </w:r>
            <w:r w:rsidRPr="003B4D22">
              <w:rPr>
                <w:rFonts w:ascii="Arial Narrow" w:hAnsi="Arial Narrow"/>
                <w:sz w:val="18"/>
                <w:szCs w:val="18"/>
              </w:rPr>
              <w:t xml:space="preserve"> continuous variables were compared with t test, Mann-Whitney or Wilcoxon test depending on the underlying distribution. Categorical data were compared with the χ2-test. Survival was evaluated with Kaplan-Meier analysis.</w:t>
            </w:r>
          </w:p>
          <w:p w14:paraId="66C37D87" w14:textId="77777777" w:rsidR="006B4C5F" w:rsidRPr="003B4D22" w:rsidRDefault="006B4C5F" w:rsidP="00F814DE">
            <w:pPr>
              <w:spacing w:before="0" w:after="40" w:line="240" w:lineRule="auto"/>
              <w:ind w:left="-57"/>
              <w:jc w:val="left"/>
              <w:rPr>
                <w:rFonts w:ascii="Arial Narrow" w:hAnsi="Arial Narrow"/>
                <w:sz w:val="18"/>
                <w:szCs w:val="18"/>
              </w:rPr>
            </w:pPr>
            <w:r w:rsidRPr="003B4D22">
              <w:rPr>
                <w:rFonts w:ascii="Arial Narrow" w:hAnsi="Arial Narrow"/>
                <w:sz w:val="18"/>
                <w:szCs w:val="18"/>
                <w:u w:val="single"/>
              </w:rPr>
              <w:t>Follow-up</w:t>
            </w:r>
            <w:r w:rsidRPr="003B4D22">
              <w:rPr>
                <w:rFonts w:ascii="Arial Narrow" w:hAnsi="Arial Narrow"/>
                <w:sz w:val="18"/>
                <w:szCs w:val="18"/>
              </w:rPr>
              <w:t>: average follow-up 20.5 months</w:t>
            </w:r>
          </w:p>
          <w:p w14:paraId="74B3951B" w14:textId="77777777" w:rsidR="006B4C5F" w:rsidRPr="003B4D22" w:rsidRDefault="006B4C5F" w:rsidP="00F814DE">
            <w:pPr>
              <w:spacing w:before="0" w:after="40" w:line="240" w:lineRule="auto"/>
              <w:ind w:left="-57"/>
              <w:jc w:val="left"/>
              <w:rPr>
                <w:rFonts w:ascii="Arial Narrow" w:hAnsi="Arial Narrow" w:cs="Times New Roman"/>
                <w:sz w:val="18"/>
                <w:szCs w:val="20"/>
                <w:u w:val="single"/>
              </w:rPr>
            </w:pPr>
          </w:p>
        </w:tc>
        <w:tc>
          <w:tcPr>
            <w:tcW w:w="1984" w:type="dxa"/>
          </w:tcPr>
          <w:p w14:paraId="286C30AF" w14:textId="77777777" w:rsidR="006B4C5F" w:rsidRPr="003B4D22" w:rsidRDefault="006B4C5F" w:rsidP="00F814DE">
            <w:pPr>
              <w:spacing w:before="0" w:after="40" w:line="240" w:lineRule="auto"/>
              <w:ind w:left="-57"/>
              <w:jc w:val="left"/>
              <w:rPr>
                <w:rFonts w:ascii="Arial Narrow" w:hAnsi="Arial Narrow"/>
                <w:sz w:val="18"/>
                <w:szCs w:val="18"/>
              </w:rPr>
            </w:pPr>
            <w:r w:rsidRPr="003B4D22">
              <w:rPr>
                <w:rFonts w:ascii="Arial Narrow" w:hAnsi="Arial Narrow"/>
                <w:sz w:val="18"/>
                <w:szCs w:val="18"/>
                <w:u w:val="single"/>
              </w:rPr>
              <w:t>Ethics:</w:t>
            </w:r>
            <w:r w:rsidRPr="003B4D22">
              <w:rPr>
                <w:rFonts w:ascii="Arial Narrow" w:hAnsi="Arial Narrow"/>
                <w:sz w:val="18"/>
                <w:szCs w:val="18"/>
              </w:rPr>
              <w:t xml:space="preserve"> It was approved by the ethics committee of the Medical Faculty of the Technical University of Dresden and further local ethics committees in Germany.</w:t>
            </w:r>
          </w:p>
          <w:p w14:paraId="5994776C" w14:textId="77777777" w:rsidR="006B4C5F" w:rsidRPr="003B4D22" w:rsidRDefault="006B4C5F" w:rsidP="00F814DE">
            <w:pPr>
              <w:spacing w:before="0" w:after="40" w:line="240" w:lineRule="auto"/>
              <w:ind w:left="-57"/>
              <w:jc w:val="left"/>
              <w:rPr>
                <w:rFonts w:ascii="Arial Narrow" w:hAnsi="Arial Narrow" w:cs="Times New Roman"/>
                <w:sz w:val="18"/>
                <w:szCs w:val="20"/>
                <w:u w:val="single"/>
              </w:rPr>
            </w:pPr>
            <w:r w:rsidRPr="003B4D22">
              <w:rPr>
                <w:rFonts w:ascii="Arial Narrow" w:hAnsi="Arial Narrow"/>
                <w:sz w:val="18"/>
                <w:szCs w:val="18"/>
                <w:u w:val="single"/>
              </w:rPr>
              <w:t>Funding</w:t>
            </w:r>
            <w:r w:rsidRPr="003B4D22">
              <w:rPr>
                <w:rFonts w:ascii="Arial Narrow" w:hAnsi="Arial Narrow"/>
                <w:sz w:val="18"/>
                <w:szCs w:val="18"/>
              </w:rPr>
              <w:t>: study supported with unrestricted grant by Baxalta. The company had no influence on the concept, analysis and interpretation of data.</w:t>
            </w:r>
          </w:p>
        </w:tc>
      </w:tr>
      <w:tr w:rsidR="009634B8" w:rsidRPr="00386411" w14:paraId="2202A7D0" w14:textId="77777777" w:rsidTr="000A5622">
        <w:trPr>
          <w:trHeight w:val="351"/>
        </w:trPr>
        <w:tc>
          <w:tcPr>
            <w:tcW w:w="14312" w:type="dxa"/>
            <w:gridSpan w:val="8"/>
            <w:shd w:val="clear" w:color="auto" w:fill="000000" w:themeFill="text1"/>
          </w:tcPr>
          <w:p w14:paraId="32B34249" w14:textId="7DB71A37" w:rsidR="009634B8" w:rsidRPr="00386411" w:rsidRDefault="009634B8" w:rsidP="000A5622">
            <w:pPr>
              <w:keepNext/>
              <w:spacing w:after="40" w:line="240" w:lineRule="auto"/>
              <w:rPr>
                <w:rFonts w:ascii="Arial Narrow" w:hAnsi="Arial Narrow" w:cs="Times New Roman"/>
                <w:b/>
                <w:sz w:val="20"/>
                <w:szCs w:val="20"/>
              </w:rPr>
            </w:pPr>
            <w:r w:rsidRPr="00386411">
              <w:rPr>
                <w:rFonts w:ascii="Arial Narrow" w:hAnsi="Arial Narrow"/>
                <w:b/>
                <w:color w:val="FFFFFF" w:themeColor="background1"/>
                <w:sz w:val="20"/>
                <w:szCs w:val="20"/>
              </w:rPr>
              <w:lastRenderedPageBreak/>
              <w:t>Non-comparative studies – IVIg v SCIg case series</w:t>
            </w:r>
          </w:p>
        </w:tc>
      </w:tr>
      <w:tr w:rsidR="007F63B1" w:rsidRPr="003B4D22" w14:paraId="4FFEE81F" w14:textId="77777777" w:rsidTr="002874D8">
        <w:tc>
          <w:tcPr>
            <w:tcW w:w="1129" w:type="dxa"/>
          </w:tcPr>
          <w:p w14:paraId="745CE24A" w14:textId="24579DC3"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Sundin, 2012</w:t>
            </w:r>
          </w:p>
          <w:p w14:paraId="2A6233B6" w14:textId="77777777"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Sweden</w:t>
            </w:r>
          </w:p>
          <w:p w14:paraId="53DB719D" w14:textId="1466864A" w:rsidR="007F63B1" w:rsidRPr="003B4D22" w:rsidRDefault="007F63B1" w:rsidP="00F814DE">
            <w:pPr>
              <w:spacing w:after="40" w:line="240" w:lineRule="auto"/>
              <w:ind w:left="-57"/>
              <w:jc w:val="left"/>
              <w:rPr>
                <w:rFonts w:ascii="Arial Narrow" w:hAnsi="Arial Narrow"/>
                <w:sz w:val="18"/>
                <w:szCs w:val="20"/>
              </w:rPr>
            </w:pPr>
            <w:r w:rsidRPr="003B4D22">
              <w:rPr>
                <w:rFonts w:ascii="Arial Narrow" w:hAnsi="Arial Narrow"/>
                <w:sz w:val="18"/>
                <w:szCs w:val="20"/>
              </w:rPr>
              <w:t>Single centre</w:t>
            </w:r>
          </w:p>
        </w:tc>
        <w:tc>
          <w:tcPr>
            <w:tcW w:w="1134" w:type="dxa"/>
          </w:tcPr>
          <w:p w14:paraId="3C3A8F10" w14:textId="77777777"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 xml:space="preserve">Case series [2003 – 2010] </w:t>
            </w:r>
            <w:r w:rsidRPr="003B4D22">
              <w:rPr>
                <w:rFonts w:ascii="Arial Narrow" w:hAnsi="Arial Narrow"/>
                <w:sz w:val="18"/>
                <w:szCs w:val="20"/>
              </w:rPr>
              <w:br/>
              <w:t>(designed as a cohort study SCIg v IVIg)</w:t>
            </w:r>
          </w:p>
          <w:p w14:paraId="24A27691" w14:textId="2D8F2BE9" w:rsidR="007F63B1" w:rsidRPr="003B4D22" w:rsidRDefault="007F63B1" w:rsidP="00F814DE">
            <w:pPr>
              <w:spacing w:after="40" w:line="240" w:lineRule="auto"/>
              <w:ind w:left="-57"/>
              <w:jc w:val="left"/>
              <w:rPr>
                <w:rFonts w:ascii="Arial Narrow" w:hAnsi="Arial Narrow"/>
                <w:sz w:val="18"/>
                <w:szCs w:val="20"/>
              </w:rPr>
            </w:pPr>
            <w:r w:rsidRPr="003B4D22">
              <w:rPr>
                <w:rFonts w:ascii="Arial Narrow" w:hAnsi="Arial Narrow"/>
                <w:sz w:val="18"/>
                <w:szCs w:val="20"/>
              </w:rPr>
              <w:t>RoB: moderate (IHE)</w:t>
            </w:r>
          </w:p>
        </w:tc>
        <w:tc>
          <w:tcPr>
            <w:tcW w:w="1843" w:type="dxa"/>
          </w:tcPr>
          <w:p w14:paraId="68944DFA" w14:textId="77777777"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 xml:space="preserve">N=58 (HSCT), of which 26 had haem. malignancy: ALL(11); AML(7); JMML(3); NHL(2); MDS(3).  </w:t>
            </w:r>
          </w:p>
          <w:p w14:paraId="1C8062D6" w14:textId="77777777"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Sex</w:t>
            </w:r>
            <w:r w:rsidRPr="003B4D22">
              <w:rPr>
                <w:rFonts w:ascii="Arial Narrow" w:hAnsi="Arial Narrow"/>
                <w:sz w:val="18"/>
                <w:szCs w:val="20"/>
              </w:rPr>
              <w:t xml:space="preserve"> ♀/♂: 18/39</w:t>
            </w:r>
          </w:p>
          <w:p w14:paraId="07AB6D0C" w14:textId="045C7E9E" w:rsidR="007F63B1" w:rsidRPr="003B4D22" w:rsidRDefault="007F63B1" w:rsidP="00F814DE">
            <w:pPr>
              <w:spacing w:after="40" w:line="240" w:lineRule="auto"/>
              <w:ind w:left="-57"/>
              <w:jc w:val="left"/>
              <w:rPr>
                <w:rFonts w:ascii="Arial Narrow" w:hAnsi="Arial Narrow"/>
                <w:sz w:val="18"/>
                <w:szCs w:val="20"/>
              </w:rPr>
            </w:pPr>
            <w:r w:rsidRPr="003B4D22">
              <w:rPr>
                <w:rFonts w:ascii="Arial Narrow" w:hAnsi="Arial Narrow"/>
                <w:sz w:val="18"/>
                <w:szCs w:val="20"/>
                <w:u w:val="single"/>
              </w:rPr>
              <w:t>Mean age</w:t>
            </w:r>
            <w:r w:rsidRPr="003B4D22">
              <w:rPr>
                <w:rFonts w:ascii="Arial Narrow" w:hAnsi="Arial Narrow"/>
                <w:sz w:val="18"/>
                <w:szCs w:val="20"/>
              </w:rPr>
              <w:t>, yr (range)</w:t>
            </w:r>
            <w:r w:rsidRPr="003B4D22">
              <w:rPr>
                <w:rFonts w:ascii="Arial Narrow" w:hAnsi="Arial Narrow"/>
                <w:sz w:val="18"/>
                <w:szCs w:val="20"/>
              </w:rPr>
              <w:br/>
              <w:t>IVIg: 7.2 (0–17)</w:t>
            </w:r>
            <w:r w:rsidRPr="003B4D22">
              <w:rPr>
                <w:rFonts w:ascii="Arial Narrow" w:hAnsi="Arial Narrow"/>
                <w:sz w:val="18"/>
                <w:szCs w:val="20"/>
              </w:rPr>
              <w:br/>
              <w:t>SCIg: 2.6 (0–9)</w:t>
            </w:r>
          </w:p>
        </w:tc>
        <w:tc>
          <w:tcPr>
            <w:tcW w:w="2268" w:type="dxa"/>
          </w:tcPr>
          <w:p w14:paraId="6B7222D3" w14:textId="77777777" w:rsidR="007F63B1" w:rsidRPr="003B4D22" w:rsidRDefault="007F63B1" w:rsidP="00F814DE">
            <w:pPr>
              <w:spacing w:before="0" w:after="40" w:line="240" w:lineRule="auto"/>
              <w:ind w:left="-57"/>
              <w:jc w:val="left"/>
              <w:rPr>
                <w:rFonts w:ascii="Arial Narrow" w:hAnsi="Arial Narrow"/>
                <w:sz w:val="18"/>
                <w:szCs w:val="20"/>
                <w:u w:val="single"/>
              </w:rPr>
            </w:pPr>
            <w:r w:rsidRPr="003B4D22">
              <w:rPr>
                <w:rFonts w:ascii="Arial Narrow" w:hAnsi="Arial Narrow"/>
                <w:sz w:val="18"/>
                <w:szCs w:val="20"/>
                <w:u w:val="single"/>
              </w:rPr>
              <w:t>Inclusion:</w:t>
            </w:r>
            <w:r w:rsidRPr="003B4D22">
              <w:rPr>
                <w:rFonts w:ascii="Arial Narrow" w:hAnsi="Arial Narrow"/>
                <w:sz w:val="18"/>
                <w:szCs w:val="20"/>
              </w:rPr>
              <w:t xml:space="preserve"> paediatric (&lt;18 yo) patients receiving HSCT who had hypo-GG for at least 3 mo post-HSCT.</w:t>
            </w:r>
          </w:p>
          <w:p w14:paraId="14AEF809" w14:textId="77777777"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Exclusion:</w:t>
            </w:r>
            <w:r w:rsidRPr="003B4D22">
              <w:rPr>
                <w:rFonts w:ascii="Arial Narrow" w:hAnsi="Arial Narrow"/>
                <w:sz w:val="18"/>
                <w:szCs w:val="20"/>
              </w:rPr>
              <w:t xml:space="preserve"> not described.</w:t>
            </w:r>
          </w:p>
          <w:p w14:paraId="56832D11" w14:textId="176E1CA8" w:rsidR="007F63B1" w:rsidRPr="003B4D22" w:rsidRDefault="007F63B1" w:rsidP="00F814DE">
            <w:pPr>
              <w:spacing w:after="40" w:line="240" w:lineRule="auto"/>
              <w:ind w:left="-57"/>
              <w:jc w:val="left"/>
              <w:rPr>
                <w:rFonts w:ascii="Arial Narrow" w:hAnsi="Arial Narrow"/>
                <w:sz w:val="18"/>
                <w:szCs w:val="20"/>
                <w:u w:val="single"/>
              </w:rPr>
            </w:pPr>
            <w:r w:rsidRPr="003B4D22">
              <w:rPr>
                <w:rFonts w:ascii="Arial Narrow" w:hAnsi="Arial Narrow"/>
                <w:sz w:val="18"/>
                <w:szCs w:val="20"/>
                <w:u w:val="single"/>
              </w:rPr>
              <w:t>Objectives</w:t>
            </w:r>
            <w:r w:rsidRPr="003B4D22">
              <w:rPr>
                <w:rFonts w:ascii="Arial Narrow" w:hAnsi="Arial Narrow"/>
                <w:sz w:val="18"/>
                <w:szCs w:val="20"/>
              </w:rPr>
              <w:t>: the use of SCIg vs. IVIg in 58 hypo-GG children post-HSCT with a prolonged need of IgG replacement.</w:t>
            </w:r>
          </w:p>
        </w:tc>
        <w:tc>
          <w:tcPr>
            <w:tcW w:w="1843" w:type="dxa"/>
          </w:tcPr>
          <w:p w14:paraId="764E1306" w14:textId="77777777"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IVIg</w:t>
            </w:r>
            <w:r w:rsidRPr="003B4D22">
              <w:rPr>
                <w:rFonts w:ascii="Arial Narrow" w:hAnsi="Arial Narrow"/>
                <w:sz w:val="18"/>
                <w:szCs w:val="20"/>
              </w:rPr>
              <w:t xml:space="preserve"> (n=46): 0.3–0.5 g/kg, every 2-4 weeks</w:t>
            </w:r>
          </w:p>
          <w:p w14:paraId="2C3CBDA6" w14:textId="77777777"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IgG initiated at median 3 mo post-HSCT (range 1-8 mo).</w:t>
            </w:r>
          </w:p>
          <w:p w14:paraId="31445582" w14:textId="77777777"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 xml:space="preserve">24 of 46 patients had haem malignancy. </w:t>
            </w:r>
          </w:p>
          <w:p w14:paraId="0164B880" w14:textId="77777777" w:rsidR="007F63B1" w:rsidRPr="003B4D22" w:rsidRDefault="007F63B1" w:rsidP="00F814DE">
            <w:pPr>
              <w:spacing w:after="40" w:line="240" w:lineRule="auto"/>
              <w:ind w:left="-57"/>
              <w:jc w:val="left"/>
              <w:rPr>
                <w:rFonts w:ascii="Arial Narrow" w:hAnsi="Arial Narrow"/>
                <w:sz w:val="18"/>
                <w:szCs w:val="20"/>
                <w:u w:val="single"/>
              </w:rPr>
            </w:pPr>
          </w:p>
        </w:tc>
        <w:tc>
          <w:tcPr>
            <w:tcW w:w="1843" w:type="dxa"/>
          </w:tcPr>
          <w:p w14:paraId="25912BA7" w14:textId="77777777"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SCIg</w:t>
            </w:r>
            <w:r w:rsidRPr="003B4D22">
              <w:rPr>
                <w:rFonts w:ascii="Arial Narrow" w:hAnsi="Arial Narrow"/>
                <w:sz w:val="18"/>
                <w:szCs w:val="20"/>
              </w:rPr>
              <w:t xml:space="preserve"> (n=12): 0.1–0.2g/kg every 1-2 weeks</w:t>
            </w:r>
          </w:p>
          <w:p w14:paraId="4D446DD3" w14:textId="77777777"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IgG initiated at median 3 mo post-HSCT (range 0-8 mo).</w:t>
            </w:r>
          </w:p>
          <w:p w14:paraId="55360E6B" w14:textId="77777777"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 xml:space="preserve">Most SCIg patients were initiated in the hospital on IVIg before switch to SCIg. </w:t>
            </w:r>
          </w:p>
          <w:p w14:paraId="1006B961" w14:textId="15D405C0" w:rsidR="007F63B1" w:rsidRPr="003B4D22" w:rsidRDefault="007F63B1" w:rsidP="00F814DE">
            <w:pPr>
              <w:spacing w:after="40" w:line="240" w:lineRule="auto"/>
              <w:ind w:left="-57"/>
              <w:jc w:val="left"/>
              <w:rPr>
                <w:rFonts w:ascii="Arial Narrow" w:hAnsi="Arial Narrow"/>
                <w:sz w:val="18"/>
                <w:szCs w:val="20"/>
                <w:u w:val="single"/>
              </w:rPr>
            </w:pPr>
            <w:r w:rsidRPr="003B4D22">
              <w:rPr>
                <w:rFonts w:ascii="Arial Narrow" w:hAnsi="Arial Narrow"/>
                <w:sz w:val="18"/>
                <w:szCs w:val="20"/>
              </w:rPr>
              <w:t xml:space="preserve">2 of 12 patients had haem. malignancy. </w:t>
            </w:r>
          </w:p>
        </w:tc>
        <w:tc>
          <w:tcPr>
            <w:tcW w:w="2268" w:type="dxa"/>
          </w:tcPr>
          <w:p w14:paraId="01ED594A" w14:textId="77777777" w:rsidR="007F63B1" w:rsidRPr="003B4D22" w:rsidRDefault="007F63B1" w:rsidP="00F814DE">
            <w:pPr>
              <w:spacing w:before="0" w:after="40" w:line="240" w:lineRule="auto"/>
              <w:ind w:left="-57"/>
              <w:jc w:val="left"/>
              <w:rPr>
                <w:rFonts w:ascii="Arial Narrow" w:hAnsi="Arial Narrow"/>
                <w:sz w:val="18"/>
                <w:szCs w:val="20"/>
                <w:u w:val="single"/>
              </w:rPr>
            </w:pPr>
            <w:r w:rsidRPr="003B4D22">
              <w:rPr>
                <w:rFonts w:ascii="Arial Narrow" w:hAnsi="Arial Narrow"/>
                <w:sz w:val="18"/>
                <w:szCs w:val="20"/>
                <w:u w:val="single"/>
              </w:rPr>
              <w:t>Outcomes</w:t>
            </w:r>
            <w:r w:rsidRPr="003B4D22">
              <w:rPr>
                <w:rFonts w:ascii="Arial Narrow" w:hAnsi="Arial Narrow"/>
                <w:sz w:val="18"/>
                <w:szCs w:val="20"/>
              </w:rPr>
              <w:t>: rates of infections, IgG levels and family attitudes (in survivors)</w:t>
            </w:r>
          </w:p>
          <w:p w14:paraId="09872AC0" w14:textId="77777777" w:rsidR="007F63B1" w:rsidRPr="003B4D22" w:rsidRDefault="007F63B1" w:rsidP="00F814DE">
            <w:pPr>
              <w:spacing w:before="0" w:after="40" w:line="240" w:lineRule="auto"/>
              <w:ind w:left="-57"/>
              <w:jc w:val="left"/>
              <w:rPr>
                <w:rFonts w:ascii="Arial Narrow" w:hAnsi="Arial Narrow"/>
                <w:sz w:val="18"/>
                <w:szCs w:val="20"/>
                <w:u w:val="single"/>
              </w:rPr>
            </w:pPr>
            <w:r w:rsidRPr="003B4D22">
              <w:rPr>
                <w:rFonts w:ascii="Arial Narrow" w:hAnsi="Arial Narrow"/>
                <w:sz w:val="18"/>
                <w:szCs w:val="20"/>
                <w:u w:val="single"/>
              </w:rPr>
              <w:t>Analyses:</w:t>
            </w:r>
            <w:r w:rsidRPr="003B4D22">
              <w:rPr>
                <w:rFonts w:ascii="Arial Narrow" w:hAnsi="Arial Narrow"/>
                <w:sz w:val="18"/>
                <w:szCs w:val="20"/>
              </w:rPr>
              <w:t xml:space="preserve"> Proportions were compared using Fisher’s exact test. For individual samples Mann–Whitney’s test was used. Statistic significance was set at p &lt;0.05.</w:t>
            </w:r>
          </w:p>
          <w:p w14:paraId="6D027E87" w14:textId="217FCA71" w:rsidR="007F63B1" w:rsidRPr="003B4D22" w:rsidRDefault="007F63B1" w:rsidP="00F814DE">
            <w:pPr>
              <w:spacing w:after="40" w:line="240" w:lineRule="auto"/>
              <w:ind w:left="-57"/>
              <w:jc w:val="left"/>
              <w:rPr>
                <w:rFonts w:ascii="Arial Narrow" w:hAnsi="Arial Narrow"/>
                <w:sz w:val="18"/>
                <w:szCs w:val="20"/>
                <w:u w:val="single"/>
              </w:rPr>
            </w:pPr>
            <w:r w:rsidRPr="003B4D22">
              <w:rPr>
                <w:rFonts w:ascii="Arial Narrow" w:hAnsi="Arial Narrow"/>
                <w:sz w:val="18"/>
                <w:szCs w:val="20"/>
                <w:u w:val="single"/>
              </w:rPr>
              <w:t>Follow-up:</w:t>
            </w:r>
            <w:r w:rsidRPr="003B4D22">
              <w:rPr>
                <w:rFonts w:ascii="Arial Narrow" w:hAnsi="Arial Narrow"/>
                <w:sz w:val="18"/>
                <w:szCs w:val="20"/>
              </w:rPr>
              <w:t xml:space="preserve"> Data cut-off December 2011 (HSCT received between 2003 – 2010)</w:t>
            </w:r>
          </w:p>
        </w:tc>
        <w:tc>
          <w:tcPr>
            <w:tcW w:w="1984" w:type="dxa"/>
          </w:tcPr>
          <w:p w14:paraId="3E860E7C" w14:textId="77777777"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Ethics</w:t>
            </w:r>
            <w:r w:rsidRPr="003B4D22">
              <w:rPr>
                <w:rFonts w:ascii="Arial Narrow" w:hAnsi="Arial Narrow"/>
                <w:sz w:val="18"/>
                <w:szCs w:val="20"/>
              </w:rPr>
              <w:t>: approved by the Regional Ethical Review Board in Stockholm,</w:t>
            </w:r>
          </w:p>
          <w:p w14:paraId="37E6738A" w14:textId="77777777"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Funding</w:t>
            </w:r>
            <w:r w:rsidRPr="003B4D22">
              <w:rPr>
                <w:rFonts w:ascii="Arial Narrow" w:hAnsi="Arial Narrow"/>
                <w:sz w:val="18"/>
                <w:szCs w:val="20"/>
              </w:rPr>
              <w:t>: funding disclosed from government and charitable sources, though no conflict of interest declaration was included.</w:t>
            </w:r>
          </w:p>
          <w:p w14:paraId="13BCE08B" w14:textId="1EEB580A" w:rsidR="007F63B1" w:rsidRPr="003B4D22" w:rsidRDefault="007F63B1" w:rsidP="00F814DE">
            <w:pPr>
              <w:spacing w:after="40" w:line="240" w:lineRule="auto"/>
              <w:ind w:left="-57"/>
              <w:jc w:val="left"/>
              <w:rPr>
                <w:rFonts w:ascii="Arial Narrow" w:hAnsi="Arial Narrow"/>
                <w:sz w:val="18"/>
                <w:szCs w:val="20"/>
                <w:u w:val="single"/>
              </w:rPr>
            </w:pPr>
            <w:r w:rsidRPr="003B4D22">
              <w:rPr>
                <w:rFonts w:ascii="Arial Narrow" w:hAnsi="Arial Narrow"/>
                <w:sz w:val="18"/>
                <w:szCs w:val="20"/>
              </w:rPr>
              <w:t>JMML is juvenile form of CML</w:t>
            </w:r>
          </w:p>
        </w:tc>
      </w:tr>
      <w:tr w:rsidR="007F63B1" w:rsidRPr="003B4D22" w14:paraId="1B772041" w14:textId="77777777" w:rsidTr="002874D8">
        <w:trPr>
          <w:cantSplit/>
          <w:trHeight w:val="293"/>
        </w:trPr>
        <w:tc>
          <w:tcPr>
            <w:tcW w:w="1129" w:type="dxa"/>
          </w:tcPr>
          <w:p w14:paraId="65652F0B" w14:textId="31E79822"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fldChar w:fldCharType="begin"/>
            </w:r>
            <w:r w:rsidR="00AC4408" w:rsidRPr="003B4D22">
              <w:rPr>
                <w:rFonts w:ascii="Arial Narrow" w:hAnsi="Arial Narrow"/>
                <w:sz w:val="18"/>
                <w:szCs w:val="20"/>
              </w:rPr>
              <w:instrText xml:space="preserve"> ADDIN EN.CITE &lt;EndNote&gt;&lt;Cite&gt;&lt;Author&gt;Windegger&lt;/Author&gt;&lt;Year&gt;2019&lt;/Year&gt;&lt;RecNum&gt;55&lt;/RecNum&gt;&lt;DisplayText&gt;(Windegger et al. 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rsidRPr="003B4D22">
              <w:rPr>
                <w:rFonts w:ascii="Arial Narrow" w:hAnsi="Arial Narrow"/>
                <w:sz w:val="18"/>
                <w:szCs w:val="20"/>
              </w:rPr>
              <w:fldChar w:fldCharType="separate"/>
            </w:r>
            <w:r w:rsidR="00AC4408" w:rsidRPr="003B4D22">
              <w:rPr>
                <w:rFonts w:ascii="Arial Narrow" w:hAnsi="Arial Narrow"/>
                <w:noProof/>
                <w:sz w:val="18"/>
                <w:szCs w:val="20"/>
              </w:rPr>
              <w:t>(</w:t>
            </w:r>
            <w:hyperlink w:anchor="_ENREF_57" w:tooltip="Windegger, 2019 #55" w:history="1">
              <w:r w:rsidR="00BB0145" w:rsidRPr="003B4D22">
                <w:rPr>
                  <w:rFonts w:ascii="Arial Narrow" w:hAnsi="Arial Narrow"/>
                  <w:noProof/>
                  <w:sz w:val="18"/>
                  <w:szCs w:val="20"/>
                </w:rPr>
                <w:t>Windegger et al. 2019</w:t>
              </w:r>
            </w:hyperlink>
            <w:r w:rsidR="00AC4408" w:rsidRPr="003B4D22">
              <w:rPr>
                <w:rFonts w:ascii="Arial Narrow" w:hAnsi="Arial Narrow"/>
                <w:noProof/>
                <w:sz w:val="18"/>
                <w:szCs w:val="20"/>
              </w:rPr>
              <w:t>)</w:t>
            </w:r>
            <w:r w:rsidRPr="003B4D22">
              <w:rPr>
                <w:rFonts w:ascii="Arial Narrow" w:hAnsi="Arial Narrow"/>
                <w:sz w:val="18"/>
                <w:szCs w:val="20"/>
              </w:rPr>
              <w:fldChar w:fldCharType="end"/>
            </w:r>
          </w:p>
          <w:p w14:paraId="75CA9B3A" w14:textId="77777777"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Australia</w:t>
            </w:r>
          </w:p>
          <w:p w14:paraId="78B1F5EE" w14:textId="77777777"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Single-centre</w:t>
            </w:r>
          </w:p>
          <w:p w14:paraId="5E34A106" w14:textId="77777777" w:rsidR="007F63B1" w:rsidRPr="003B4D22" w:rsidRDefault="007F63B1" w:rsidP="00F814DE">
            <w:pPr>
              <w:spacing w:before="0" w:after="40" w:line="240" w:lineRule="auto"/>
              <w:ind w:left="-57"/>
              <w:jc w:val="left"/>
              <w:rPr>
                <w:rFonts w:ascii="Arial Narrow" w:hAnsi="Arial Narrow" w:cs="Times New Roman"/>
                <w:sz w:val="18"/>
                <w:szCs w:val="20"/>
              </w:rPr>
            </w:pPr>
            <w:r w:rsidRPr="003B4D22">
              <w:rPr>
                <w:rFonts w:ascii="Arial Narrow" w:hAnsi="Arial Narrow"/>
                <w:sz w:val="18"/>
                <w:szCs w:val="20"/>
              </w:rPr>
              <w:t>Sunshine Coast Hospital and Health Service</w:t>
            </w:r>
          </w:p>
        </w:tc>
        <w:tc>
          <w:tcPr>
            <w:tcW w:w="1134" w:type="dxa"/>
          </w:tcPr>
          <w:p w14:paraId="24123CDF" w14:textId="77777777"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Case series</w:t>
            </w:r>
          </w:p>
          <w:p w14:paraId="6AB5FABF" w14:textId="77777777"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Level IV</w:t>
            </w:r>
          </w:p>
          <w:p w14:paraId="62615304" w14:textId="1D9F79CE" w:rsidR="007F63B1" w:rsidRPr="003B4D22" w:rsidRDefault="007F63B1" w:rsidP="00F814DE">
            <w:pPr>
              <w:spacing w:before="0" w:after="40" w:line="240" w:lineRule="auto"/>
              <w:ind w:left="-57"/>
              <w:jc w:val="left"/>
              <w:rPr>
                <w:rFonts w:ascii="Arial Narrow" w:hAnsi="Arial Narrow" w:cs="Times New Roman"/>
                <w:sz w:val="18"/>
                <w:szCs w:val="20"/>
              </w:rPr>
            </w:pPr>
            <w:r w:rsidRPr="003B4D22">
              <w:rPr>
                <w:rFonts w:ascii="Arial Narrow" w:hAnsi="Arial Narrow"/>
                <w:sz w:val="18"/>
                <w:szCs w:val="20"/>
              </w:rPr>
              <w:t>RoB: Moderate</w:t>
            </w:r>
            <w:r w:rsidR="00AB21EE" w:rsidRPr="003B4D22">
              <w:rPr>
                <w:rFonts w:ascii="Arial Narrow" w:hAnsi="Arial Narrow"/>
                <w:sz w:val="18"/>
                <w:szCs w:val="20"/>
              </w:rPr>
              <w:t xml:space="preserve"> </w:t>
            </w:r>
            <w:r w:rsidRPr="003B4D22">
              <w:rPr>
                <w:rFonts w:ascii="Arial Narrow" w:hAnsi="Arial Narrow"/>
                <w:sz w:val="18"/>
                <w:szCs w:val="20"/>
              </w:rPr>
              <w:t>(IHE)</w:t>
            </w:r>
          </w:p>
        </w:tc>
        <w:tc>
          <w:tcPr>
            <w:tcW w:w="1843" w:type="dxa"/>
          </w:tcPr>
          <w:p w14:paraId="4ABAB44B" w14:textId="77777777"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N=13 with acquired hypogammaglobulinaemia secondary to malignancy or associated treatment</w:t>
            </w:r>
          </w:p>
          <w:p w14:paraId="77A3740A" w14:textId="77777777"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Sex</w:t>
            </w:r>
            <w:r w:rsidRPr="003B4D22">
              <w:rPr>
                <w:rFonts w:ascii="Arial Narrow" w:hAnsi="Arial Narrow"/>
                <w:sz w:val="18"/>
                <w:szCs w:val="20"/>
              </w:rPr>
              <w:t xml:space="preserve"> ♀/♂: 8/5</w:t>
            </w:r>
          </w:p>
          <w:p w14:paraId="54A798D2" w14:textId="77777777"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Age</w:t>
            </w:r>
            <w:r w:rsidRPr="003B4D22">
              <w:rPr>
                <w:rFonts w:ascii="Arial Narrow" w:hAnsi="Arial Narrow"/>
                <w:sz w:val="18"/>
                <w:szCs w:val="20"/>
              </w:rPr>
              <w:t xml:space="preserve"> mean 62.5 (range 39-76)</w:t>
            </w:r>
          </w:p>
          <w:p w14:paraId="3C9E8D6D" w14:textId="77777777" w:rsidR="007F63B1" w:rsidRPr="003B4D22" w:rsidRDefault="007F63B1" w:rsidP="00F814DE">
            <w:pPr>
              <w:spacing w:before="0" w:after="40" w:line="240" w:lineRule="auto"/>
              <w:ind w:left="-57"/>
              <w:jc w:val="left"/>
              <w:rPr>
                <w:rFonts w:ascii="Arial Narrow" w:hAnsi="Arial Narrow" w:cs="Times New Roman"/>
                <w:sz w:val="18"/>
                <w:szCs w:val="20"/>
              </w:rPr>
            </w:pPr>
          </w:p>
        </w:tc>
        <w:tc>
          <w:tcPr>
            <w:tcW w:w="2268" w:type="dxa"/>
          </w:tcPr>
          <w:p w14:paraId="29A45FF9" w14:textId="77777777" w:rsidR="007F63B1" w:rsidRPr="003B4D22" w:rsidRDefault="007F63B1" w:rsidP="00F814DE">
            <w:pPr>
              <w:spacing w:before="0" w:after="40" w:line="240" w:lineRule="auto"/>
              <w:ind w:left="-57"/>
              <w:jc w:val="left"/>
              <w:rPr>
                <w:rFonts w:ascii="Arial Narrow" w:hAnsi="Arial Narrow"/>
                <w:sz w:val="18"/>
                <w:szCs w:val="20"/>
                <w:u w:val="single"/>
              </w:rPr>
            </w:pPr>
            <w:r w:rsidRPr="003B4D22">
              <w:rPr>
                <w:rFonts w:ascii="Arial Narrow" w:hAnsi="Arial Narrow"/>
                <w:sz w:val="18"/>
                <w:szCs w:val="20"/>
                <w:u w:val="single"/>
              </w:rPr>
              <w:t xml:space="preserve">Inclusion: </w:t>
            </w:r>
            <w:r w:rsidRPr="003B4D22">
              <w:rPr>
                <w:rFonts w:ascii="Arial Narrow" w:hAnsi="Arial Narrow"/>
                <w:sz w:val="18"/>
                <w:szCs w:val="20"/>
              </w:rPr>
              <w:t xml:space="preserve">adult patients with acquired hypogammaglobulinaemia secondary to malignancy or associated treatment, who were on IVIg for at least 12 months before switching to SCIg </w:t>
            </w:r>
          </w:p>
          <w:p w14:paraId="220290FA" w14:textId="77777777" w:rsidR="007F63B1" w:rsidRPr="003B4D22" w:rsidRDefault="007F63B1" w:rsidP="00F814DE">
            <w:pPr>
              <w:spacing w:before="0" w:after="40" w:line="240" w:lineRule="auto"/>
              <w:ind w:left="-57"/>
              <w:jc w:val="left"/>
              <w:rPr>
                <w:rFonts w:ascii="Arial Narrow" w:hAnsi="Arial Narrow" w:cs="Times New Roman"/>
                <w:sz w:val="18"/>
                <w:szCs w:val="20"/>
                <w:u w:val="single"/>
              </w:rPr>
            </w:pPr>
            <w:r w:rsidRPr="003B4D22">
              <w:rPr>
                <w:rFonts w:ascii="Arial Narrow" w:hAnsi="Arial Narrow"/>
                <w:sz w:val="18"/>
                <w:szCs w:val="20"/>
                <w:u w:val="single"/>
              </w:rPr>
              <w:t xml:space="preserve">Objectives: </w:t>
            </w:r>
            <w:r w:rsidRPr="003B4D22">
              <w:rPr>
                <w:rFonts w:ascii="Arial Narrow" w:hAnsi="Arial Narrow"/>
                <w:sz w:val="18"/>
                <w:szCs w:val="20"/>
              </w:rPr>
              <w:t>to determine whether SCIg is a cost-effective treatment in SID patients</w:t>
            </w:r>
          </w:p>
        </w:tc>
        <w:tc>
          <w:tcPr>
            <w:tcW w:w="1843" w:type="dxa"/>
          </w:tcPr>
          <w:p w14:paraId="57807F2A" w14:textId="77777777"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IVIg</w:t>
            </w:r>
            <w:r w:rsidRPr="003B4D22">
              <w:rPr>
                <w:rFonts w:ascii="Arial Narrow" w:hAnsi="Arial Narrow"/>
                <w:sz w:val="18"/>
                <w:szCs w:val="20"/>
              </w:rPr>
              <w:t xml:space="preserve"> administered by a registered nurse once every 4 weeks. Mean usage: 29.46 g/month</w:t>
            </w:r>
          </w:p>
          <w:p w14:paraId="779B5EDF" w14:textId="77777777" w:rsidR="007F63B1" w:rsidRPr="003B4D22" w:rsidRDefault="007F63B1" w:rsidP="00F814DE">
            <w:pPr>
              <w:spacing w:before="0" w:after="40" w:line="240" w:lineRule="auto"/>
              <w:ind w:left="-57"/>
              <w:jc w:val="left"/>
              <w:rPr>
                <w:rFonts w:ascii="Arial Narrow" w:hAnsi="Arial Narrow"/>
                <w:sz w:val="18"/>
                <w:szCs w:val="20"/>
              </w:rPr>
            </w:pPr>
          </w:p>
          <w:p w14:paraId="1E939171" w14:textId="77777777" w:rsidR="007F63B1" w:rsidRPr="003B4D22" w:rsidRDefault="007F63B1" w:rsidP="00F814DE">
            <w:pPr>
              <w:spacing w:before="0" w:after="40" w:line="240" w:lineRule="auto"/>
              <w:ind w:left="-57"/>
              <w:jc w:val="left"/>
              <w:rPr>
                <w:rFonts w:ascii="Arial Narrow" w:hAnsi="Arial Narrow" w:cs="Times New Roman"/>
                <w:sz w:val="18"/>
                <w:szCs w:val="20"/>
                <w:u w:val="single"/>
              </w:rPr>
            </w:pPr>
            <w:r w:rsidRPr="003B4D22">
              <w:rPr>
                <w:rFonts w:ascii="Arial Narrow" w:hAnsi="Arial Narrow"/>
                <w:sz w:val="18"/>
                <w:szCs w:val="20"/>
                <w:u w:val="single"/>
              </w:rPr>
              <w:t>SCIg</w:t>
            </w:r>
            <w:r w:rsidRPr="003B4D22">
              <w:rPr>
                <w:rFonts w:ascii="Arial Narrow" w:hAnsi="Arial Narrow"/>
                <w:sz w:val="18"/>
                <w:szCs w:val="20"/>
              </w:rPr>
              <w:t>: administered weekly at a place convenient to them. Mean usage: 31.15 g/month</w:t>
            </w:r>
          </w:p>
        </w:tc>
        <w:tc>
          <w:tcPr>
            <w:tcW w:w="1843" w:type="dxa"/>
          </w:tcPr>
          <w:p w14:paraId="1E3F5C6B" w14:textId="5A13145E" w:rsidR="007F63B1" w:rsidRPr="003B4D22" w:rsidRDefault="007F63B1" w:rsidP="00F814DE">
            <w:pPr>
              <w:spacing w:before="0" w:after="40" w:line="240" w:lineRule="auto"/>
              <w:ind w:left="-57"/>
              <w:jc w:val="left"/>
              <w:rPr>
                <w:rFonts w:ascii="Arial Narrow" w:hAnsi="Arial Narrow" w:cs="Times New Roman"/>
                <w:sz w:val="18"/>
                <w:szCs w:val="20"/>
              </w:rPr>
            </w:pPr>
            <w:r w:rsidRPr="003B4D22">
              <w:rPr>
                <w:rFonts w:ascii="Arial Narrow" w:hAnsi="Arial Narrow"/>
                <w:sz w:val="18"/>
                <w:szCs w:val="18"/>
              </w:rPr>
              <w:t>―</w:t>
            </w:r>
          </w:p>
        </w:tc>
        <w:tc>
          <w:tcPr>
            <w:tcW w:w="2268" w:type="dxa"/>
          </w:tcPr>
          <w:p w14:paraId="7FC92978" w14:textId="77777777" w:rsidR="007F63B1" w:rsidRPr="003B4D22" w:rsidRDefault="007F63B1" w:rsidP="00F814DE">
            <w:pPr>
              <w:spacing w:before="0" w:after="40" w:line="240" w:lineRule="auto"/>
              <w:ind w:left="-57"/>
              <w:jc w:val="left"/>
              <w:rPr>
                <w:rFonts w:ascii="Arial Narrow" w:hAnsi="Arial Narrow" w:cs="Times New Roman"/>
                <w:sz w:val="18"/>
                <w:szCs w:val="20"/>
                <w:u w:val="single"/>
              </w:rPr>
            </w:pPr>
            <w:r w:rsidRPr="003B4D22">
              <w:rPr>
                <w:rFonts w:ascii="Arial Narrow" w:hAnsi="Arial Narrow"/>
                <w:sz w:val="18"/>
                <w:szCs w:val="20"/>
                <w:u w:val="single"/>
              </w:rPr>
              <w:t>Outcome</w:t>
            </w:r>
            <w:r w:rsidRPr="003B4D22">
              <w:rPr>
                <w:rFonts w:ascii="Arial Narrow" w:hAnsi="Arial Narrow"/>
                <w:sz w:val="18"/>
                <w:szCs w:val="20"/>
              </w:rPr>
              <w:t xml:space="preserve">: infections, length of hospital stay per infection, </w:t>
            </w:r>
          </w:p>
        </w:tc>
        <w:tc>
          <w:tcPr>
            <w:tcW w:w="1984" w:type="dxa"/>
          </w:tcPr>
          <w:p w14:paraId="6348CE10" w14:textId="77777777" w:rsidR="007F63B1" w:rsidRPr="003B4D22" w:rsidRDefault="007F63B1" w:rsidP="00F814DE">
            <w:pPr>
              <w:spacing w:before="0" w:after="40" w:line="240" w:lineRule="auto"/>
              <w:ind w:left="-57"/>
              <w:jc w:val="left"/>
              <w:rPr>
                <w:rFonts w:ascii="Arial Narrow" w:hAnsi="Arial Narrow"/>
                <w:sz w:val="18"/>
                <w:szCs w:val="20"/>
                <w:u w:val="single"/>
              </w:rPr>
            </w:pPr>
            <w:r w:rsidRPr="003B4D22">
              <w:rPr>
                <w:rFonts w:ascii="Arial Narrow" w:hAnsi="Arial Narrow"/>
                <w:sz w:val="18"/>
                <w:szCs w:val="20"/>
                <w:u w:val="single"/>
              </w:rPr>
              <w:t xml:space="preserve">Funding: </w:t>
            </w:r>
            <w:r w:rsidRPr="003B4D22">
              <w:rPr>
                <w:rFonts w:ascii="Arial Narrow" w:hAnsi="Arial Narrow"/>
                <w:sz w:val="18"/>
                <w:szCs w:val="20"/>
              </w:rPr>
              <w:t>University of the Sunshine Coast, the National Blood Authority, the Wishlist Coast Health Foundation and CSL Behring Australia.</w:t>
            </w:r>
            <w:r w:rsidRPr="003B4D22">
              <w:rPr>
                <w:rFonts w:ascii="Arial Narrow" w:hAnsi="Arial Narrow"/>
                <w:sz w:val="18"/>
                <w:szCs w:val="20"/>
                <w:u w:val="single"/>
              </w:rPr>
              <w:t xml:space="preserve"> </w:t>
            </w:r>
          </w:p>
          <w:p w14:paraId="7B16242F" w14:textId="77777777" w:rsidR="007F63B1" w:rsidRPr="003B4D22" w:rsidRDefault="007F63B1" w:rsidP="00F814DE">
            <w:pPr>
              <w:spacing w:before="0" w:after="40" w:line="240" w:lineRule="auto"/>
              <w:ind w:left="-57"/>
              <w:jc w:val="left"/>
              <w:rPr>
                <w:rFonts w:ascii="Arial Narrow" w:hAnsi="Arial Narrow" w:cs="Times New Roman"/>
                <w:sz w:val="18"/>
                <w:szCs w:val="20"/>
                <w:u w:val="single"/>
              </w:rPr>
            </w:pPr>
            <w:r w:rsidRPr="003B4D22">
              <w:rPr>
                <w:rFonts w:ascii="Arial Narrow" w:hAnsi="Arial Narrow"/>
                <w:sz w:val="18"/>
                <w:szCs w:val="20"/>
                <w:u w:val="single"/>
              </w:rPr>
              <w:t xml:space="preserve">CoI </w:t>
            </w:r>
            <w:r w:rsidRPr="003B4D22">
              <w:rPr>
                <w:rFonts w:ascii="Arial Narrow" w:hAnsi="Arial Narrow"/>
                <w:sz w:val="18"/>
                <w:szCs w:val="20"/>
              </w:rPr>
              <w:t>not stated.</w:t>
            </w:r>
            <w:r w:rsidRPr="003B4D22">
              <w:rPr>
                <w:rFonts w:ascii="Arial Narrow" w:hAnsi="Arial Narrow"/>
                <w:sz w:val="18"/>
                <w:szCs w:val="20"/>
                <w:u w:val="single"/>
              </w:rPr>
              <w:t xml:space="preserve"> </w:t>
            </w:r>
          </w:p>
        </w:tc>
      </w:tr>
      <w:tr w:rsidR="007F63B1" w:rsidRPr="003B4D22" w14:paraId="7226E8C0" w14:textId="77777777" w:rsidTr="002874D8">
        <w:trPr>
          <w:cantSplit/>
          <w:trHeight w:val="293"/>
        </w:trPr>
        <w:tc>
          <w:tcPr>
            <w:tcW w:w="1129" w:type="dxa"/>
          </w:tcPr>
          <w:p w14:paraId="441D16C9" w14:textId="7152D91A"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fldChar w:fldCharType="begin"/>
            </w:r>
            <w:r w:rsidR="00AC4408" w:rsidRPr="003B4D22">
              <w:rPr>
                <w:rFonts w:ascii="Arial Narrow" w:hAnsi="Arial Narrow"/>
                <w:sz w:val="18"/>
                <w:szCs w:val="20"/>
              </w:rPr>
              <w:instrText xml:space="preserve"> ADDIN EN.CITE &lt;EndNote&gt;&lt;Cite&gt;&lt;Author&gt;Windegger&lt;/Author&gt;&lt;Year&gt;2019&lt;/Year&gt;&lt;RecNum&gt;55&lt;/RecNum&gt;&lt;DisplayText&gt;(Windegger et al. 2019)&lt;/DisplayText&gt;&lt;record&gt;&lt;rec-number&gt;55&lt;/rec-number&gt;&lt;foreign-keys&gt;&lt;key app="EN" db-id="z0vwsepdwpt20pewwts5z9eup9e2r2pd2tad" timestamp="1554263022"&gt;55&lt;/key&gt;&lt;/foreign-keys&gt;&lt;ref-type name="Journal Article"&gt;17&lt;/ref-type&gt;&lt;contributors&gt;&lt;authors&gt;&lt;author&gt;Windegger, T.M.&lt;/author&gt;&lt;author&gt;Nghiem, S.&lt;/author&gt;&lt;author&gt;Nguyen, K.H.&lt;/author&gt;&lt;author&gt;Fung, Y.L.&lt;/author&gt;&lt;author&gt;Scuffham, P.A.&lt;/author&gt;&lt;/authors&gt;&lt;/contributors&gt;&lt;titles&gt;&lt;title&gt;Cost-utility analysis comparing hospital-based intravenous immunoglobulin with home-based subcutaneous immunoglobulin in patients with secondary immunodeficiency&lt;/title&gt;&lt;secondary-title&gt;Vox Sanguinis&lt;/secondary-title&gt;&lt;/titles&gt;&lt;periodical&gt;&lt;full-title&gt;Vox Sanguinis&lt;/full-title&gt;&lt;/periodical&gt;&lt;edition&gt;18th March 2019&lt;/edition&gt;&lt;dates&gt;&lt;year&gt;2019&lt;/year&gt;&lt;/dates&gt;&lt;urls&gt;&lt;/urls&gt;&lt;research-notes&gt;IVIG vs SCIG Received from Dept &lt;/research-notes&gt;&lt;/record&gt;&lt;/Cite&gt;&lt;/EndNote&gt;</w:instrText>
            </w:r>
            <w:r w:rsidRPr="003B4D22">
              <w:rPr>
                <w:rFonts w:ascii="Arial Narrow" w:hAnsi="Arial Narrow"/>
                <w:sz w:val="18"/>
                <w:szCs w:val="20"/>
              </w:rPr>
              <w:fldChar w:fldCharType="separate"/>
            </w:r>
            <w:r w:rsidR="00AC4408" w:rsidRPr="003B4D22">
              <w:rPr>
                <w:rFonts w:ascii="Arial Narrow" w:hAnsi="Arial Narrow"/>
                <w:noProof/>
                <w:sz w:val="18"/>
                <w:szCs w:val="20"/>
              </w:rPr>
              <w:t>(</w:t>
            </w:r>
            <w:hyperlink w:anchor="_ENREF_57" w:tooltip="Windegger, 2019 #55" w:history="1">
              <w:r w:rsidR="00BB0145" w:rsidRPr="003B4D22">
                <w:rPr>
                  <w:rFonts w:ascii="Arial Narrow" w:hAnsi="Arial Narrow"/>
                  <w:noProof/>
                  <w:sz w:val="18"/>
                  <w:szCs w:val="20"/>
                </w:rPr>
                <w:t>Windegger et al. 2019</w:t>
              </w:r>
            </w:hyperlink>
            <w:r w:rsidR="00AC4408" w:rsidRPr="003B4D22">
              <w:rPr>
                <w:rFonts w:ascii="Arial Narrow" w:hAnsi="Arial Narrow"/>
                <w:noProof/>
                <w:sz w:val="18"/>
                <w:szCs w:val="20"/>
              </w:rPr>
              <w:t>)</w:t>
            </w:r>
            <w:r w:rsidRPr="003B4D22">
              <w:rPr>
                <w:rFonts w:ascii="Arial Narrow" w:hAnsi="Arial Narrow"/>
                <w:sz w:val="18"/>
                <w:szCs w:val="20"/>
              </w:rPr>
              <w:fldChar w:fldCharType="end"/>
            </w:r>
          </w:p>
          <w:p w14:paraId="2AFFE733" w14:textId="77777777"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Australia</w:t>
            </w:r>
          </w:p>
          <w:p w14:paraId="365562A0" w14:textId="77777777"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Multi-centre</w:t>
            </w:r>
          </w:p>
        </w:tc>
        <w:tc>
          <w:tcPr>
            <w:tcW w:w="1134" w:type="dxa"/>
          </w:tcPr>
          <w:p w14:paraId="04B55877" w14:textId="77777777" w:rsidR="007F63B1" w:rsidRPr="003B4D22" w:rsidRDefault="007F63B1" w:rsidP="00F814DE">
            <w:pPr>
              <w:spacing w:before="0" w:after="40" w:line="240" w:lineRule="auto"/>
              <w:ind w:left="-57"/>
              <w:jc w:val="left"/>
              <w:rPr>
                <w:rFonts w:ascii="Arial Narrow" w:hAnsi="Arial Narrow" w:cs="Times New Roman"/>
                <w:sz w:val="18"/>
                <w:szCs w:val="20"/>
              </w:rPr>
            </w:pPr>
            <w:r w:rsidRPr="003B4D22">
              <w:rPr>
                <w:rFonts w:ascii="Arial Narrow" w:hAnsi="Arial Narrow"/>
                <w:sz w:val="18"/>
                <w:szCs w:val="20"/>
              </w:rPr>
              <w:t>As above.</w:t>
            </w:r>
          </w:p>
        </w:tc>
        <w:tc>
          <w:tcPr>
            <w:tcW w:w="1843" w:type="dxa"/>
          </w:tcPr>
          <w:p w14:paraId="3C0F7385" w14:textId="77777777"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N=84 patients with acquired hypogammaglobulinaemia secondary to malignancy or associated treatment (including those who did not switch or switched without 12 months of IVIg data)</w:t>
            </w:r>
          </w:p>
          <w:p w14:paraId="37CF8830" w14:textId="77777777" w:rsidR="007F63B1" w:rsidRPr="003B4D22" w:rsidRDefault="007F63B1" w:rsidP="00F814DE">
            <w:pPr>
              <w:spacing w:before="0" w:after="40" w:line="240" w:lineRule="auto"/>
              <w:ind w:left="-57"/>
              <w:jc w:val="left"/>
              <w:rPr>
                <w:rFonts w:ascii="Arial Narrow" w:hAnsi="Arial Narrow" w:cs="Times New Roman"/>
                <w:sz w:val="18"/>
                <w:szCs w:val="20"/>
              </w:rPr>
            </w:pPr>
          </w:p>
        </w:tc>
        <w:tc>
          <w:tcPr>
            <w:tcW w:w="2268" w:type="dxa"/>
          </w:tcPr>
          <w:p w14:paraId="2FA86F3B" w14:textId="77777777" w:rsidR="007F63B1" w:rsidRPr="003B4D22" w:rsidRDefault="007F63B1" w:rsidP="00F814DE">
            <w:pPr>
              <w:spacing w:before="0" w:after="40" w:line="240" w:lineRule="auto"/>
              <w:ind w:left="-57"/>
              <w:jc w:val="left"/>
              <w:rPr>
                <w:rFonts w:ascii="Arial Narrow" w:hAnsi="Arial Narrow"/>
                <w:sz w:val="18"/>
                <w:szCs w:val="20"/>
                <w:u w:val="single"/>
              </w:rPr>
            </w:pPr>
            <w:r w:rsidRPr="003B4D22">
              <w:rPr>
                <w:rFonts w:ascii="Arial Narrow" w:hAnsi="Arial Narrow"/>
                <w:sz w:val="18"/>
                <w:szCs w:val="20"/>
                <w:u w:val="single"/>
              </w:rPr>
              <w:t xml:space="preserve">Inclusion: </w:t>
            </w:r>
            <w:r w:rsidRPr="003B4D22">
              <w:rPr>
                <w:rFonts w:ascii="Arial Narrow" w:hAnsi="Arial Narrow"/>
                <w:sz w:val="18"/>
                <w:szCs w:val="20"/>
              </w:rPr>
              <w:t>adult patients with acquired hypogammaglobulinaemia secondary to malignancy or associated treatment</w:t>
            </w:r>
          </w:p>
          <w:p w14:paraId="6BC00372" w14:textId="77777777" w:rsidR="007F63B1" w:rsidRPr="003B4D22" w:rsidRDefault="007F63B1" w:rsidP="00F814DE">
            <w:pPr>
              <w:spacing w:before="0" w:after="40" w:line="240" w:lineRule="auto"/>
              <w:ind w:left="-57"/>
              <w:jc w:val="left"/>
              <w:rPr>
                <w:rFonts w:ascii="Arial Narrow" w:hAnsi="Arial Narrow" w:cs="Times New Roman"/>
                <w:sz w:val="18"/>
                <w:szCs w:val="20"/>
                <w:u w:val="single"/>
              </w:rPr>
            </w:pPr>
            <w:r w:rsidRPr="003B4D22">
              <w:rPr>
                <w:rFonts w:ascii="Arial Narrow" w:hAnsi="Arial Narrow"/>
                <w:sz w:val="18"/>
                <w:szCs w:val="20"/>
                <w:u w:val="single"/>
              </w:rPr>
              <w:t xml:space="preserve">Objectives: </w:t>
            </w:r>
            <w:r w:rsidRPr="003B4D22">
              <w:rPr>
                <w:rFonts w:ascii="Arial Narrow" w:hAnsi="Arial Narrow"/>
                <w:sz w:val="18"/>
                <w:szCs w:val="20"/>
              </w:rPr>
              <w:t>to determine whether SCIg is a cost-effective treatment in SID patients</w:t>
            </w:r>
          </w:p>
        </w:tc>
        <w:tc>
          <w:tcPr>
            <w:tcW w:w="1843" w:type="dxa"/>
          </w:tcPr>
          <w:p w14:paraId="40512486" w14:textId="77777777" w:rsidR="007F63B1" w:rsidRPr="003B4D22" w:rsidRDefault="007F63B1" w:rsidP="00F814DE">
            <w:pPr>
              <w:spacing w:before="0" w:after="40" w:line="240" w:lineRule="auto"/>
              <w:ind w:left="-57"/>
              <w:jc w:val="left"/>
              <w:rPr>
                <w:rFonts w:ascii="Arial Narrow" w:hAnsi="Arial Narrow" w:cs="Times New Roman"/>
                <w:sz w:val="18"/>
                <w:szCs w:val="20"/>
                <w:u w:val="single"/>
              </w:rPr>
            </w:pPr>
            <w:r w:rsidRPr="003B4D22">
              <w:rPr>
                <w:rFonts w:ascii="Arial Narrow" w:hAnsi="Arial Narrow"/>
                <w:sz w:val="18"/>
                <w:szCs w:val="20"/>
                <w:u w:val="single"/>
              </w:rPr>
              <w:t>IVIg or SCIg</w:t>
            </w:r>
          </w:p>
        </w:tc>
        <w:tc>
          <w:tcPr>
            <w:tcW w:w="1843" w:type="dxa"/>
          </w:tcPr>
          <w:p w14:paraId="03F3091E" w14:textId="76426845" w:rsidR="007F63B1" w:rsidRPr="003B4D22" w:rsidRDefault="007F63B1" w:rsidP="00F814DE">
            <w:pPr>
              <w:spacing w:before="0" w:after="40" w:line="240" w:lineRule="auto"/>
              <w:ind w:left="-57"/>
              <w:jc w:val="left"/>
              <w:rPr>
                <w:rFonts w:ascii="Arial Narrow" w:hAnsi="Arial Narrow" w:cs="Times New Roman"/>
                <w:sz w:val="18"/>
                <w:szCs w:val="20"/>
              </w:rPr>
            </w:pPr>
            <w:r w:rsidRPr="003B4D22">
              <w:rPr>
                <w:rFonts w:ascii="Arial Narrow" w:hAnsi="Arial Narrow"/>
                <w:sz w:val="18"/>
                <w:szCs w:val="18"/>
              </w:rPr>
              <w:t>―</w:t>
            </w:r>
          </w:p>
        </w:tc>
        <w:tc>
          <w:tcPr>
            <w:tcW w:w="2268" w:type="dxa"/>
          </w:tcPr>
          <w:p w14:paraId="1DB16E9C" w14:textId="77777777" w:rsidR="007F63B1" w:rsidRPr="003B4D22" w:rsidRDefault="007F63B1" w:rsidP="00F814DE">
            <w:pPr>
              <w:spacing w:before="0" w:after="40" w:line="240" w:lineRule="auto"/>
              <w:ind w:left="-57"/>
              <w:jc w:val="left"/>
              <w:rPr>
                <w:rFonts w:ascii="Arial Narrow" w:hAnsi="Arial Narrow" w:cs="Times New Roman"/>
                <w:sz w:val="18"/>
                <w:szCs w:val="20"/>
                <w:u w:val="single"/>
              </w:rPr>
            </w:pPr>
            <w:r w:rsidRPr="003B4D22">
              <w:rPr>
                <w:rFonts w:ascii="Arial Narrow" w:hAnsi="Arial Narrow"/>
                <w:sz w:val="18"/>
                <w:szCs w:val="20"/>
                <w:u w:val="single"/>
              </w:rPr>
              <w:t xml:space="preserve">Outcomes: </w:t>
            </w:r>
            <w:r w:rsidRPr="003B4D22">
              <w:rPr>
                <w:rFonts w:ascii="Arial Narrow" w:hAnsi="Arial Narrow"/>
                <w:sz w:val="18"/>
                <w:szCs w:val="20"/>
              </w:rPr>
              <w:t>utilities associated with disease and infections</w:t>
            </w:r>
          </w:p>
        </w:tc>
        <w:tc>
          <w:tcPr>
            <w:tcW w:w="1984" w:type="dxa"/>
          </w:tcPr>
          <w:p w14:paraId="3AED1EAE" w14:textId="77777777" w:rsidR="007F63B1" w:rsidRPr="003B4D22" w:rsidRDefault="007F63B1"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As above.</w:t>
            </w:r>
          </w:p>
          <w:p w14:paraId="35BEC20B" w14:textId="77777777" w:rsidR="007F63B1" w:rsidRPr="003B4D22" w:rsidRDefault="007F63B1" w:rsidP="00F814DE">
            <w:pPr>
              <w:spacing w:before="0" w:after="40" w:line="240" w:lineRule="auto"/>
              <w:ind w:left="-57"/>
              <w:jc w:val="left"/>
              <w:rPr>
                <w:rFonts w:ascii="Arial Narrow" w:hAnsi="Arial Narrow" w:cs="Times New Roman"/>
                <w:sz w:val="18"/>
                <w:szCs w:val="20"/>
                <w:u w:val="single"/>
              </w:rPr>
            </w:pPr>
            <w:r w:rsidRPr="003B4D22">
              <w:rPr>
                <w:rFonts w:ascii="Arial Narrow" w:hAnsi="Arial Narrow"/>
                <w:sz w:val="18"/>
                <w:szCs w:val="20"/>
              </w:rPr>
              <w:t>Institutions: Sunshine Coast Hospital and Health Service and Gold Coast University Hospital</w:t>
            </w:r>
          </w:p>
        </w:tc>
      </w:tr>
      <w:tr w:rsidR="009634B8" w:rsidRPr="00386411" w14:paraId="515F54E6" w14:textId="77777777" w:rsidTr="000A5622">
        <w:trPr>
          <w:trHeight w:val="351"/>
        </w:trPr>
        <w:tc>
          <w:tcPr>
            <w:tcW w:w="14312" w:type="dxa"/>
            <w:gridSpan w:val="8"/>
            <w:shd w:val="clear" w:color="auto" w:fill="000000" w:themeFill="text1"/>
          </w:tcPr>
          <w:p w14:paraId="57FAF394" w14:textId="053E2DAA" w:rsidR="009634B8" w:rsidRPr="00386411" w:rsidRDefault="009634B8" w:rsidP="000A5622">
            <w:pPr>
              <w:keepNext/>
              <w:spacing w:after="40" w:line="240" w:lineRule="auto"/>
              <w:rPr>
                <w:rFonts w:ascii="Arial Narrow" w:hAnsi="Arial Narrow" w:cs="Times New Roman"/>
                <w:b/>
                <w:sz w:val="20"/>
                <w:szCs w:val="20"/>
              </w:rPr>
            </w:pPr>
            <w:r w:rsidRPr="00386411">
              <w:rPr>
                <w:rFonts w:ascii="Arial Narrow" w:hAnsi="Arial Narrow"/>
                <w:b/>
                <w:color w:val="FFFFFF" w:themeColor="background1"/>
                <w:sz w:val="20"/>
                <w:szCs w:val="20"/>
              </w:rPr>
              <w:t>Other (IVIg or SCIg) – dosing studies</w:t>
            </w:r>
          </w:p>
        </w:tc>
      </w:tr>
      <w:tr w:rsidR="004E6824" w:rsidRPr="003B4D22" w14:paraId="1C9521CE" w14:textId="77777777" w:rsidTr="006B4C5F">
        <w:trPr>
          <w:trHeight w:val="293"/>
        </w:trPr>
        <w:tc>
          <w:tcPr>
            <w:tcW w:w="1129" w:type="dxa"/>
          </w:tcPr>
          <w:p w14:paraId="36BF93E8" w14:textId="106EC4C3" w:rsidR="004E6824" w:rsidRPr="003B4D22" w:rsidRDefault="004E6824"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 xml:space="preserve">Chapel, Dicato </w:t>
            </w:r>
            <w:r w:rsidRPr="003B4D22">
              <w:rPr>
                <w:rFonts w:ascii="Arial Narrow" w:hAnsi="Arial Narrow" w:cs="Times New Roman"/>
                <w:sz w:val="18"/>
                <w:szCs w:val="20"/>
              </w:rPr>
              <w:lastRenderedPageBreak/>
              <w:t>et al. 1994</w:t>
            </w:r>
          </w:p>
          <w:p w14:paraId="7F76ECFE" w14:textId="3D54A274" w:rsidR="00CA288D" w:rsidRPr="003B4D22" w:rsidRDefault="00CA288D"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UK, LU, DE</w:t>
            </w:r>
          </w:p>
          <w:p w14:paraId="5DFB94AE" w14:textId="74EE5704" w:rsidR="00CA288D" w:rsidRPr="003B4D22" w:rsidRDefault="00CA288D" w:rsidP="00F814DE">
            <w:pPr>
              <w:spacing w:before="0" w:after="40" w:line="240" w:lineRule="auto"/>
              <w:ind w:left="-57"/>
              <w:jc w:val="left"/>
              <w:rPr>
                <w:rFonts w:ascii="Arial Narrow" w:hAnsi="Arial Narrow" w:cs="Times New Roman"/>
                <w:sz w:val="18"/>
                <w:szCs w:val="20"/>
              </w:rPr>
            </w:pPr>
            <w:r w:rsidRPr="003B4D22">
              <w:rPr>
                <w:rFonts w:ascii="Arial Narrow" w:hAnsi="Arial Narrow" w:cs="Times New Roman"/>
                <w:sz w:val="18"/>
                <w:szCs w:val="20"/>
              </w:rPr>
              <w:t>Multi-centre (4 hospitals)</w:t>
            </w:r>
          </w:p>
        </w:tc>
        <w:tc>
          <w:tcPr>
            <w:tcW w:w="1134" w:type="dxa"/>
          </w:tcPr>
          <w:p w14:paraId="55669236" w14:textId="5B398C88" w:rsidR="004E6824" w:rsidRPr="003B4D22" w:rsidRDefault="00CA288D"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lastRenderedPageBreak/>
              <w:t xml:space="preserve">Case series, </w:t>
            </w:r>
            <w:r w:rsidRPr="003B4D22">
              <w:rPr>
                <w:rFonts w:ascii="Arial Narrow" w:hAnsi="Arial Narrow"/>
                <w:sz w:val="18"/>
                <w:szCs w:val="20"/>
              </w:rPr>
              <w:lastRenderedPageBreak/>
              <w:t xml:space="preserve">though designed as </w:t>
            </w:r>
            <w:r w:rsidR="004E6824" w:rsidRPr="003B4D22">
              <w:rPr>
                <w:rFonts w:ascii="Arial Narrow" w:hAnsi="Arial Narrow"/>
                <w:sz w:val="18"/>
                <w:szCs w:val="20"/>
              </w:rPr>
              <w:t>RCT between two different doses of Ig (no ‘no Ig’ arm)</w:t>
            </w:r>
            <w:r w:rsidR="00B873DF" w:rsidRPr="003B4D22">
              <w:rPr>
                <w:rFonts w:ascii="Arial Narrow" w:hAnsi="Arial Narrow"/>
                <w:sz w:val="18"/>
                <w:szCs w:val="20"/>
              </w:rPr>
              <w:t>; double-blind</w:t>
            </w:r>
          </w:p>
          <w:p w14:paraId="5B03FAC8"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Level IV</w:t>
            </w:r>
          </w:p>
          <w:p w14:paraId="707A6435" w14:textId="42B8AA57" w:rsidR="004E6824" w:rsidRPr="003B4D22" w:rsidRDefault="004E6824" w:rsidP="00F814DE">
            <w:pPr>
              <w:spacing w:before="0" w:after="40" w:line="240" w:lineRule="auto"/>
              <w:ind w:left="-57"/>
              <w:jc w:val="left"/>
              <w:rPr>
                <w:rFonts w:ascii="Arial Narrow" w:hAnsi="Arial Narrow" w:cs="Times New Roman"/>
                <w:sz w:val="18"/>
                <w:szCs w:val="20"/>
              </w:rPr>
            </w:pPr>
            <w:r w:rsidRPr="003B4D22">
              <w:rPr>
                <w:rFonts w:ascii="Arial Narrow" w:hAnsi="Arial Narrow"/>
                <w:sz w:val="18"/>
                <w:szCs w:val="20"/>
              </w:rPr>
              <w:t>RoB: low (IHE)</w:t>
            </w:r>
          </w:p>
        </w:tc>
        <w:tc>
          <w:tcPr>
            <w:tcW w:w="1843" w:type="dxa"/>
          </w:tcPr>
          <w:p w14:paraId="416BA3B9"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lastRenderedPageBreak/>
              <w:t>N=34 (CLL)</w:t>
            </w:r>
          </w:p>
          <w:p w14:paraId="5974BB0F" w14:textId="77777777" w:rsidR="004E6824" w:rsidRPr="003B4D22" w:rsidRDefault="004E6824" w:rsidP="00F814DE">
            <w:pPr>
              <w:spacing w:before="0" w:after="40" w:line="240" w:lineRule="auto"/>
              <w:ind w:left="-57"/>
              <w:jc w:val="left"/>
              <w:rPr>
                <w:rFonts w:ascii="Arial Narrow" w:hAnsi="Arial Narrow"/>
                <w:sz w:val="18"/>
                <w:szCs w:val="20"/>
                <w:u w:val="single"/>
              </w:rPr>
            </w:pPr>
            <w:r w:rsidRPr="003B4D22">
              <w:rPr>
                <w:rFonts w:ascii="Arial Narrow" w:hAnsi="Arial Narrow"/>
                <w:sz w:val="18"/>
                <w:szCs w:val="20"/>
                <w:u w:val="single"/>
              </w:rPr>
              <w:lastRenderedPageBreak/>
              <w:t>High dose (n=16)</w:t>
            </w:r>
          </w:p>
          <w:p w14:paraId="6E3919E5"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Mean age</w:t>
            </w:r>
            <w:r w:rsidRPr="003B4D22">
              <w:rPr>
                <w:rFonts w:ascii="Arial Narrow" w:hAnsi="Arial Narrow"/>
                <w:sz w:val="18"/>
                <w:szCs w:val="20"/>
              </w:rPr>
              <w:t>±sd, yr:</w:t>
            </w:r>
          </w:p>
          <w:p w14:paraId="1FA3522A"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63.5±8.4</w:t>
            </w:r>
          </w:p>
          <w:p w14:paraId="5793E55B"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 xml:space="preserve">Sex </w:t>
            </w:r>
            <w:r w:rsidRPr="003B4D22">
              <w:rPr>
                <w:rFonts w:ascii="Arial Narrow" w:hAnsi="Arial Narrow"/>
                <w:sz w:val="18"/>
                <w:szCs w:val="20"/>
              </w:rPr>
              <w:t xml:space="preserve"> ♀/♂: 7/9</w:t>
            </w:r>
          </w:p>
          <w:p w14:paraId="0F403324" w14:textId="2A47990F"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Disease stage (IWCLL)</w:t>
            </w:r>
            <w:r w:rsidRPr="003B4D22">
              <w:rPr>
                <w:rFonts w:ascii="Arial Narrow" w:hAnsi="Arial Narrow"/>
                <w:sz w:val="18"/>
                <w:szCs w:val="20"/>
              </w:rPr>
              <w:t>, n (%)</w:t>
            </w:r>
            <w:r w:rsidRPr="003B4D22">
              <w:rPr>
                <w:rFonts w:ascii="Arial Narrow" w:hAnsi="Arial Narrow"/>
                <w:sz w:val="18"/>
                <w:szCs w:val="20"/>
              </w:rPr>
              <w:br/>
              <w:t>1: 4 (25%)</w:t>
            </w:r>
            <w:r w:rsidRPr="003B4D22">
              <w:rPr>
                <w:rFonts w:ascii="Arial Narrow" w:hAnsi="Arial Narrow"/>
                <w:sz w:val="18"/>
                <w:szCs w:val="20"/>
              </w:rPr>
              <w:br/>
              <w:t>2: 5 (31%)</w:t>
            </w:r>
            <w:r w:rsidRPr="003B4D22">
              <w:rPr>
                <w:rFonts w:ascii="Arial Narrow" w:hAnsi="Arial Narrow"/>
                <w:sz w:val="18"/>
                <w:szCs w:val="20"/>
              </w:rPr>
              <w:br/>
              <w:t>3:7 (44%)</w:t>
            </w:r>
          </w:p>
          <w:p w14:paraId="2CF6B150" w14:textId="77777777" w:rsidR="004E6824" w:rsidRPr="003B4D22" w:rsidRDefault="004E6824" w:rsidP="00F814DE">
            <w:pPr>
              <w:spacing w:before="0" w:after="40" w:line="240" w:lineRule="auto"/>
              <w:ind w:left="-57"/>
              <w:jc w:val="left"/>
              <w:rPr>
                <w:rFonts w:ascii="Arial Narrow" w:hAnsi="Arial Narrow"/>
                <w:sz w:val="18"/>
                <w:szCs w:val="20"/>
                <w:u w:val="single"/>
              </w:rPr>
            </w:pPr>
            <w:r w:rsidRPr="003B4D22">
              <w:rPr>
                <w:rFonts w:ascii="Arial Narrow" w:hAnsi="Arial Narrow"/>
                <w:sz w:val="18"/>
                <w:szCs w:val="20"/>
                <w:u w:val="single"/>
              </w:rPr>
              <w:t>Low dose (n=18)</w:t>
            </w:r>
          </w:p>
          <w:p w14:paraId="1F65B175" w14:textId="74C01A10"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Mean age</w:t>
            </w:r>
            <w:r w:rsidRPr="003B4D22">
              <w:rPr>
                <w:rFonts w:ascii="Arial Narrow" w:hAnsi="Arial Narrow"/>
                <w:sz w:val="18"/>
                <w:szCs w:val="20"/>
              </w:rPr>
              <w:t>±sd, yr:</w:t>
            </w:r>
            <w:r w:rsidRPr="003B4D22">
              <w:rPr>
                <w:rFonts w:ascii="Arial Narrow" w:hAnsi="Arial Narrow"/>
                <w:sz w:val="18"/>
                <w:szCs w:val="20"/>
              </w:rPr>
              <w:br/>
              <w:t>64.2±8.7</w:t>
            </w:r>
          </w:p>
          <w:p w14:paraId="1B55896F"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 xml:space="preserve">Sex </w:t>
            </w:r>
            <w:r w:rsidRPr="003B4D22">
              <w:rPr>
                <w:rFonts w:ascii="Arial Narrow" w:hAnsi="Arial Narrow"/>
                <w:sz w:val="18"/>
                <w:szCs w:val="20"/>
              </w:rPr>
              <w:t xml:space="preserve"> ♀/♂: 5/13</w:t>
            </w:r>
          </w:p>
          <w:p w14:paraId="37BCF0FF" w14:textId="50C67BF9" w:rsidR="004E6824" w:rsidRPr="003B4D22" w:rsidRDefault="004E6824" w:rsidP="00F814DE">
            <w:pPr>
              <w:spacing w:before="0" w:after="40" w:line="240" w:lineRule="auto"/>
              <w:ind w:left="-57"/>
              <w:jc w:val="left"/>
              <w:rPr>
                <w:rFonts w:ascii="Arial Narrow" w:hAnsi="Arial Narrow" w:cs="Times New Roman"/>
                <w:sz w:val="18"/>
                <w:szCs w:val="20"/>
              </w:rPr>
            </w:pPr>
            <w:r w:rsidRPr="003B4D22">
              <w:rPr>
                <w:rFonts w:ascii="Arial Narrow" w:hAnsi="Arial Narrow"/>
                <w:sz w:val="18"/>
                <w:szCs w:val="20"/>
                <w:u w:val="single"/>
              </w:rPr>
              <w:t>Disease stage (IWCLL)</w:t>
            </w:r>
            <w:r w:rsidRPr="003B4D22">
              <w:rPr>
                <w:rFonts w:ascii="Arial Narrow" w:hAnsi="Arial Narrow"/>
                <w:sz w:val="18"/>
                <w:szCs w:val="20"/>
              </w:rPr>
              <w:t>, n (%)</w:t>
            </w:r>
            <w:r w:rsidRPr="003B4D22">
              <w:rPr>
                <w:rFonts w:ascii="Arial Narrow" w:hAnsi="Arial Narrow"/>
                <w:sz w:val="18"/>
                <w:szCs w:val="20"/>
              </w:rPr>
              <w:br/>
              <w:t>1: 7 (39%)</w:t>
            </w:r>
            <w:r w:rsidRPr="003B4D22">
              <w:rPr>
                <w:rFonts w:ascii="Arial Narrow" w:hAnsi="Arial Narrow"/>
                <w:sz w:val="18"/>
                <w:szCs w:val="20"/>
              </w:rPr>
              <w:br/>
              <w:t>2: 4 (22%)</w:t>
            </w:r>
            <w:r w:rsidRPr="003B4D22">
              <w:rPr>
                <w:rFonts w:ascii="Arial Narrow" w:hAnsi="Arial Narrow"/>
                <w:sz w:val="18"/>
                <w:szCs w:val="20"/>
              </w:rPr>
              <w:br/>
              <w:t>3:7 (39%)</w:t>
            </w:r>
          </w:p>
        </w:tc>
        <w:tc>
          <w:tcPr>
            <w:tcW w:w="2268" w:type="dxa"/>
          </w:tcPr>
          <w:p w14:paraId="0423AAE5" w14:textId="77777777" w:rsidR="004E6824" w:rsidRPr="003B4D22" w:rsidRDefault="004E6824" w:rsidP="00F814DE">
            <w:pPr>
              <w:spacing w:before="0" w:after="40" w:line="240" w:lineRule="auto"/>
              <w:ind w:left="-57"/>
              <w:jc w:val="left"/>
              <w:rPr>
                <w:rFonts w:ascii="Arial Narrow" w:hAnsi="Arial Narrow"/>
                <w:sz w:val="18"/>
                <w:szCs w:val="20"/>
                <w:u w:val="single"/>
              </w:rPr>
            </w:pPr>
            <w:r w:rsidRPr="003B4D22">
              <w:rPr>
                <w:rFonts w:ascii="Arial Narrow" w:hAnsi="Arial Narrow"/>
                <w:sz w:val="18"/>
                <w:szCs w:val="20"/>
                <w:u w:val="single"/>
              </w:rPr>
              <w:lastRenderedPageBreak/>
              <w:t xml:space="preserve">Inclusion: </w:t>
            </w:r>
            <w:r w:rsidRPr="003B4D22">
              <w:rPr>
                <w:rFonts w:ascii="Arial Narrow" w:hAnsi="Arial Narrow"/>
                <w:sz w:val="18"/>
                <w:szCs w:val="20"/>
              </w:rPr>
              <w:t xml:space="preserve">CLL and an IgG level </w:t>
            </w:r>
            <w:r w:rsidRPr="003B4D22">
              <w:rPr>
                <w:rFonts w:ascii="Arial Narrow" w:hAnsi="Arial Narrow"/>
                <w:sz w:val="18"/>
                <w:szCs w:val="20"/>
              </w:rPr>
              <w:lastRenderedPageBreak/>
              <w:t>below lower limit of normal for the local hospital laboratory or a recent history of one or more serious infections.</w:t>
            </w:r>
            <w:r w:rsidRPr="003B4D22">
              <w:rPr>
                <w:rFonts w:ascii="Arial Narrow" w:hAnsi="Arial Narrow"/>
                <w:sz w:val="18"/>
                <w:szCs w:val="20"/>
                <w:u w:val="single"/>
              </w:rPr>
              <w:t xml:space="preserve"> </w:t>
            </w:r>
          </w:p>
          <w:p w14:paraId="36C9B7F2" w14:textId="77777777" w:rsidR="004E6824" w:rsidRPr="003B4D22" w:rsidRDefault="004E6824" w:rsidP="00F814DE">
            <w:pPr>
              <w:spacing w:before="0" w:after="40" w:line="240" w:lineRule="auto"/>
              <w:ind w:left="-57"/>
              <w:jc w:val="left"/>
              <w:rPr>
                <w:rFonts w:ascii="Arial Narrow" w:hAnsi="Arial Narrow"/>
                <w:sz w:val="18"/>
                <w:szCs w:val="20"/>
                <w:u w:val="single"/>
              </w:rPr>
            </w:pPr>
            <w:r w:rsidRPr="003B4D22">
              <w:rPr>
                <w:rFonts w:ascii="Arial Narrow" w:hAnsi="Arial Narrow"/>
                <w:sz w:val="18"/>
                <w:szCs w:val="20"/>
                <w:u w:val="single"/>
              </w:rPr>
              <w:t xml:space="preserve">Exclusion: </w:t>
            </w:r>
            <w:r w:rsidRPr="003B4D22">
              <w:rPr>
                <w:rFonts w:ascii="Arial Narrow" w:hAnsi="Arial Narrow"/>
                <w:sz w:val="18"/>
                <w:szCs w:val="20"/>
              </w:rPr>
              <w:t>taking prophylactic antibiotics, had total IgA deficiency or history of anaphylaxis to blood product.</w:t>
            </w:r>
            <w:r w:rsidRPr="003B4D22">
              <w:rPr>
                <w:rFonts w:ascii="Arial Narrow" w:hAnsi="Arial Narrow"/>
                <w:sz w:val="18"/>
                <w:szCs w:val="20"/>
                <w:u w:val="single"/>
              </w:rPr>
              <w:t xml:space="preserve"> </w:t>
            </w:r>
          </w:p>
          <w:p w14:paraId="1B62367C" w14:textId="51841E47" w:rsidR="00B873DF" w:rsidRPr="003B4D22" w:rsidRDefault="00B873DF" w:rsidP="00F814DE">
            <w:pPr>
              <w:spacing w:after="40" w:line="240" w:lineRule="auto"/>
              <w:ind w:left="-57"/>
              <w:jc w:val="left"/>
              <w:rPr>
                <w:rFonts w:ascii="Arial Narrow" w:hAnsi="Arial Narrow"/>
                <w:sz w:val="18"/>
                <w:szCs w:val="20"/>
                <w:u w:val="single"/>
              </w:rPr>
            </w:pPr>
            <w:r w:rsidRPr="003B4D22">
              <w:rPr>
                <w:rFonts w:ascii="Arial Narrow" w:hAnsi="Arial Narrow"/>
                <w:sz w:val="18"/>
                <w:szCs w:val="20"/>
                <w:u w:val="single"/>
              </w:rPr>
              <w:t>Objectives:</w:t>
            </w:r>
            <w:r w:rsidRPr="003B4D22">
              <w:rPr>
                <w:rFonts w:ascii="Arial Narrow" w:hAnsi="Arial Narrow"/>
                <w:sz w:val="18"/>
                <w:szCs w:val="20"/>
              </w:rPr>
              <w:t xml:space="preserve"> to determine whether a reduction in the dose of immunoglobulin would still protect against bacterial infections in patients with CLL and NHL</w:t>
            </w:r>
          </w:p>
        </w:tc>
        <w:tc>
          <w:tcPr>
            <w:tcW w:w="1843" w:type="dxa"/>
          </w:tcPr>
          <w:p w14:paraId="64266545" w14:textId="2BF5FEF5"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lastRenderedPageBreak/>
              <w:t>High dose IVIg</w:t>
            </w:r>
            <w:r w:rsidRPr="003B4D22">
              <w:rPr>
                <w:rFonts w:ascii="Arial Narrow" w:hAnsi="Arial Narrow"/>
                <w:sz w:val="18"/>
                <w:szCs w:val="20"/>
              </w:rPr>
              <w:t xml:space="preserve"> (n=16)</w:t>
            </w:r>
            <w:r w:rsidRPr="003B4D22">
              <w:rPr>
                <w:rFonts w:ascii="Arial Narrow" w:hAnsi="Arial Narrow"/>
                <w:sz w:val="18"/>
                <w:szCs w:val="20"/>
              </w:rPr>
              <w:br/>
            </w:r>
            <w:r w:rsidRPr="003B4D22">
              <w:rPr>
                <w:rFonts w:ascii="Arial Narrow" w:hAnsi="Arial Narrow"/>
                <w:sz w:val="18"/>
                <w:szCs w:val="20"/>
              </w:rPr>
              <w:lastRenderedPageBreak/>
              <w:t>500 mg/kg body weight every 4 weeks as outpatient for 12 months</w:t>
            </w:r>
          </w:p>
          <w:p w14:paraId="3007E175"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Low dose IVIg</w:t>
            </w:r>
            <w:r w:rsidRPr="003B4D22">
              <w:rPr>
                <w:rFonts w:ascii="Arial Narrow" w:hAnsi="Arial Narrow"/>
                <w:sz w:val="18"/>
                <w:szCs w:val="20"/>
              </w:rPr>
              <w:t xml:space="preserve"> (n=18)</w:t>
            </w:r>
          </w:p>
          <w:p w14:paraId="396113BB"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250 mg/kg body weight every 4 weeks as outpatient for 12 months</w:t>
            </w:r>
          </w:p>
          <w:p w14:paraId="5C3EB8AF"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Gammaguard (Baxter Biotech Group)</w:t>
            </w:r>
          </w:p>
          <w:p w14:paraId="66539269" w14:textId="61962F19" w:rsidR="004E6824" w:rsidRPr="003B4D22" w:rsidRDefault="004E6824" w:rsidP="00F814DE">
            <w:pPr>
              <w:spacing w:before="0" w:after="40" w:line="240" w:lineRule="auto"/>
              <w:ind w:left="-57"/>
              <w:jc w:val="left"/>
              <w:rPr>
                <w:rFonts w:ascii="Arial Narrow" w:hAnsi="Arial Narrow" w:cs="Times New Roman"/>
                <w:sz w:val="18"/>
                <w:szCs w:val="20"/>
                <w:u w:val="single"/>
              </w:rPr>
            </w:pPr>
          </w:p>
        </w:tc>
        <w:tc>
          <w:tcPr>
            <w:tcW w:w="1843" w:type="dxa"/>
          </w:tcPr>
          <w:p w14:paraId="2D451F43" w14:textId="3BABA434" w:rsidR="004E6824" w:rsidRPr="003B4D22" w:rsidRDefault="004E6824" w:rsidP="00F814DE">
            <w:pPr>
              <w:spacing w:before="0" w:after="40" w:line="240" w:lineRule="auto"/>
              <w:ind w:left="-57"/>
              <w:jc w:val="left"/>
              <w:rPr>
                <w:rFonts w:ascii="Arial Narrow" w:hAnsi="Arial Narrow" w:cs="Times New Roman"/>
                <w:sz w:val="18"/>
                <w:szCs w:val="20"/>
                <w:u w:val="single"/>
              </w:rPr>
            </w:pPr>
            <w:r w:rsidRPr="003B4D22">
              <w:rPr>
                <w:rFonts w:ascii="Arial Narrow" w:hAnsi="Arial Narrow"/>
                <w:sz w:val="18"/>
                <w:szCs w:val="18"/>
              </w:rPr>
              <w:lastRenderedPageBreak/>
              <w:t>―</w:t>
            </w:r>
          </w:p>
        </w:tc>
        <w:tc>
          <w:tcPr>
            <w:tcW w:w="2268" w:type="dxa"/>
          </w:tcPr>
          <w:p w14:paraId="4BE308E4" w14:textId="77777777" w:rsidR="004E6824" w:rsidRPr="003B4D22" w:rsidRDefault="004E6824" w:rsidP="00F814DE">
            <w:pPr>
              <w:spacing w:before="0" w:after="40" w:line="240" w:lineRule="auto"/>
              <w:ind w:left="-57"/>
              <w:jc w:val="left"/>
              <w:rPr>
                <w:rFonts w:ascii="Arial Narrow" w:hAnsi="Arial Narrow"/>
                <w:sz w:val="18"/>
                <w:szCs w:val="20"/>
                <w:u w:val="single"/>
              </w:rPr>
            </w:pPr>
            <w:r w:rsidRPr="003B4D22">
              <w:rPr>
                <w:rFonts w:ascii="Arial Narrow" w:hAnsi="Arial Narrow"/>
                <w:sz w:val="18"/>
                <w:szCs w:val="20"/>
                <w:u w:val="single"/>
              </w:rPr>
              <w:t xml:space="preserve">Outcomes: </w:t>
            </w:r>
            <w:r w:rsidRPr="003B4D22">
              <w:rPr>
                <w:rFonts w:ascii="Arial Narrow" w:hAnsi="Arial Narrow"/>
                <w:sz w:val="18"/>
                <w:szCs w:val="20"/>
              </w:rPr>
              <w:t xml:space="preserve">adverse events, </w:t>
            </w:r>
            <w:r w:rsidRPr="003B4D22">
              <w:rPr>
                <w:rFonts w:ascii="Arial Narrow" w:hAnsi="Arial Narrow"/>
                <w:sz w:val="18"/>
                <w:szCs w:val="20"/>
              </w:rPr>
              <w:lastRenderedPageBreak/>
              <w:t>infections</w:t>
            </w:r>
          </w:p>
          <w:p w14:paraId="41D4CA32" w14:textId="77777777" w:rsidR="004E6824" w:rsidRPr="003B4D22" w:rsidRDefault="004E6824" w:rsidP="00F814DE">
            <w:pPr>
              <w:spacing w:before="0" w:after="40" w:line="240" w:lineRule="auto"/>
              <w:ind w:left="-57"/>
              <w:jc w:val="left"/>
              <w:rPr>
                <w:rFonts w:ascii="Arial Narrow" w:hAnsi="Arial Narrow"/>
                <w:sz w:val="18"/>
                <w:szCs w:val="20"/>
                <w:u w:val="single"/>
              </w:rPr>
            </w:pPr>
            <w:r w:rsidRPr="003B4D22">
              <w:rPr>
                <w:rFonts w:ascii="Arial Narrow" w:hAnsi="Arial Narrow"/>
                <w:sz w:val="18"/>
                <w:szCs w:val="20"/>
                <w:u w:val="single"/>
              </w:rPr>
              <w:t xml:space="preserve">Analyses: </w:t>
            </w:r>
            <w:r w:rsidRPr="003B4D22">
              <w:rPr>
                <w:rFonts w:ascii="Arial Narrow" w:hAnsi="Arial Narrow"/>
                <w:sz w:val="18"/>
                <w:szCs w:val="20"/>
              </w:rPr>
              <w:t>infection rates compared using Poisson rates with two-tailed p value. Numbers of infected patients compared by chi-square test for independence.</w:t>
            </w:r>
            <w:r w:rsidRPr="003B4D22">
              <w:rPr>
                <w:rFonts w:ascii="Arial Narrow" w:hAnsi="Arial Narrow"/>
                <w:sz w:val="18"/>
                <w:szCs w:val="20"/>
                <w:u w:val="single"/>
              </w:rPr>
              <w:t xml:space="preserve"> </w:t>
            </w:r>
          </w:p>
          <w:p w14:paraId="3621923F" w14:textId="1BEF802B" w:rsidR="00B873DF" w:rsidRPr="003B4D22" w:rsidRDefault="00B873DF" w:rsidP="00F814DE">
            <w:pPr>
              <w:spacing w:after="40" w:line="240" w:lineRule="auto"/>
              <w:ind w:left="-57"/>
              <w:jc w:val="left"/>
              <w:rPr>
                <w:rFonts w:ascii="Arial Narrow" w:hAnsi="Arial Narrow" w:cs="Times New Roman"/>
                <w:sz w:val="18"/>
                <w:szCs w:val="20"/>
                <w:u w:val="single"/>
              </w:rPr>
            </w:pPr>
            <w:r w:rsidRPr="003B4D22">
              <w:rPr>
                <w:rFonts w:ascii="Arial Narrow" w:hAnsi="Arial Narrow"/>
                <w:sz w:val="18"/>
                <w:szCs w:val="20"/>
                <w:u w:val="single"/>
              </w:rPr>
              <w:t>Follow-</w:t>
            </w:r>
            <w:r w:rsidRPr="003B4D22">
              <w:rPr>
                <w:rFonts w:ascii="Arial Narrow" w:hAnsi="Arial Narrow" w:cs="Times New Roman"/>
                <w:sz w:val="18"/>
                <w:szCs w:val="20"/>
                <w:u w:val="single"/>
              </w:rPr>
              <w:t>up</w:t>
            </w:r>
            <w:r w:rsidRPr="003B4D22">
              <w:rPr>
                <w:rFonts w:ascii="Arial Narrow" w:hAnsi="Arial Narrow" w:cs="Times New Roman"/>
                <w:sz w:val="18"/>
                <w:szCs w:val="20"/>
              </w:rPr>
              <w:t>: 9 patients did not complete the study, (6/3 low/high dose) 4 of these patients died, 2 in each tx group; the 1 infective death was a low dose patient who died of meningitis.</w:t>
            </w:r>
          </w:p>
        </w:tc>
        <w:tc>
          <w:tcPr>
            <w:tcW w:w="1984" w:type="dxa"/>
          </w:tcPr>
          <w:p w14:paraId="1F32F6D9"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lastRenderedPageBreak/>
              <w:t xml:space="preserve">One author (M Lee) an </w:t>
            </w:r>
            <w:r w:rsidRPr="003B4D22">
              <w:rPr>
                <w:rFonts w:ascii="Arial Narrow" w:hAnsi="Arial Narrow"/>
                <w:sz w:val="18"/>
                <w:szCs w:val="20"/>
              </w:rPr>
              <w:lastRenderedPageBreak/>
              <w:t>employee of Baxter (IVIg manufacturer)</w:t>
            </w:r>
          </w:p>
          <w:p w14:paraId="0134A9CB"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Ethics</w:t>
            </w:r>
            <w:r w:rsidRPr="003B4D22">
              <w:rPr>
                <w:rFonts w:ascii="Arial Narrow" w:hAnsi="Arial Narrow"/>
                <w:sz w:val="18"/>
                <w:szCs w:val="20"/>
              </w:rPr>
              <w:t>: protocol approved by each hospital ethics committee; formal written consent obtained from all participants.</w:t>
            </w:r>
          </w:p>
          <w:p w14:paraId="5C6284BF"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Funding</w:t>
            </w:r>
            <w:r w:rsidRPr="003B4D22">
              <w:rPr>
                <w:rFonts w:ascii="Arial Narrow" w:hAnsi="Arial Narrow"/>
                <w:sz w:val="18"/>
                <w:szCs w:val="20"/>
              </w:rPr>
              <w:t>: The authors thank Baxter for a financial grant for this study. [Baxter manufactures Gammagard, IVIg used in this study]</w:t>
            </w:r>
          </w:p>
          <w:p w14:paraId="2C7EEE9F" w14:textId="4A8B6F79" w:rsidR="004E6824" w:rsidRPr="003B4D22" w:rsidRDefault="004E6824" w:rsidP="00F814DE">
            <w:pPr>
              <w:spacing w:before="0" w:after="40" w:line="240" w:lineRule="auto"/>
              <w:ind w:left="-57"/>
              <w:jc w:val="left"/>
              <w:rPr>
                <w:rFonts w:ascii="Arial Narrow" w:hAnsi="Arial Narrow" w:cs="Times New Roman"/>
                <w:sz w:val="18"/>
                <w:szCs w:val="20"/>
                <w:u w:val="single"/>
              </w:rPr>
            </w:pPr>
            <w:r w:rsidRPr="003B4D22">
              <w:rPr>
                <w:rFonts w:ascii="Arial Narrow" w:hAnsi="Arial Narrow"/>
                <w:sz w:val="18"/>
                <w:szCs w:val="20"/>
              </w:rPr>
              <w:t xml:space="preserve">No declaration of CoI made. </w:t>
            </w:r>
          </w:p>
        </w:tc>
      </w:tr>
      <w:tr w:rsidR="004E6824" w:rsidRPr="003B4D22" w14:paraId="249A120B" w14:textId="77777777" w:rsidTr="006B4C5F">
        <w:trPr>
          <w:trHeight w:val="293"/>
        </w:trPr>
        <w:tc>
          <w:tcPr>
            <w:tcW w:w="1129" w:type="dxa"/>
          </w:tcPr>
          <w:p w14:paraId="252F2635"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lastRenderedPageBreak/>
              <w:t>Stump, 2017</w:t>
            </w:r>
          </w:p>
          <w:p w14:paraId="1CD98AA2"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USA</w:t>
            </w:r>
          </w:p>
          <w:p w14:paraId="013E6D40" w14:textId="60A83859" w:rsidR="004E6824" w:rsidRPr="003B4D22" w:rsidRDefault="004E6824" w:rsidP="00F814DE">
            <w:pPr>
              <w:spacing w:after="40" w:line="240" w:lineRule="auto"/>
              <w:ind w:left="-57"/>
              <w:jc w:val="left"/>
              <w:rPr>
                <w:rFonts w:ascii="Arial Narrow" w:hAnsi="Arial Narrow"/>
                <w:sz w:val="18"/>
                <w:szCs w:val="20"/>
              </w:rPr>
            </w:pPr>
            <w:r w:rsidRPr="003B4D22">
              <w:rPr>
                <w:rFonts w:ascii="Arial Narrow" w:hAnsi="Arial Narrow"/>
                <w:sz w:val="18"/>
                <w:szCs w:val="20"/>
              </w:rPr>
              <w:t>Single centre</w:t>
            </w:r>
          </w:p>
        </w:tc>
        <w:tc>
          <w:tcPr>
            <w:tcW w:w="1134" w:type="dxa"/>
          </w:tcPr>
          <w:p w14:paraId="3086A3D2"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Case series</w:t>
            </w:r>
          </w:p>
          <w:p w14:paraId="384781F0"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(interrupted time series comparison of different dosing strategies)</w:t>
            </w:r>
          </w:p>
          <w:p w14:paraId="2A509514"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[April 2014 ― September 2016]</w:t>
            </w:r>
          </w:p>
          <w:p w14:paraId="52F1E7EC" w14:textId="7073DF47" w:rsidR="004E6824" w:rsidRPr="003B4D22" w:rsidRDefault="004E6824" w:rsidP="00F814DE">
            <w:pPr>
              <w:spacing w:after="40" w:line="240" w:lineRule="auto"/>
              <w:ind w:left="-57"/>
              <w:jc w:val="left"/>
              <w:rPr>
                <w:rFonts w:ascii="Arial Narrow" w:hAnsi="Arial Narrow"/>
                <w:sz w:val="18"/>
                <w:szCs w:val="20"/>
              </w:rPr>
            </w:pPr>
            <w:r w:rsidRPr="003B4D22">
              <w:rPr>
                <w:rFonts w:ascii="Arial Narrow" w:hAnsi="Arial Narrow"/>
                <w:sz w:val="18"/>
                <w:szCs w:val="20"/>
              </w:rPr>
              <w:t>RoB: high</w:t>
            </w:r>
          </w:p>
        </w:tc>
        <w:tc>
          <w:tcPr>
            <w:tcW w:w="1843" w:type="dxa"/>
          </w:tcPr>
          <w:p w14:paraId="6F5F0D89" w14:textId="0A521D64"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N=</w:t>
            </w:r>
            <w:r w:rsidR="00365B41" w:rsidRPr="003B4D22">
              <w:rPr>
                <w:rFonts w:ascii="Arial Narrow" w:hAnsi="Arial Narrow"/>
                <w:sz w:val="18"/>
                <w:szCs w:val="20"/>
              </w:rPr>
              <w:t>79</w:t>
            </w:r>
            <w:r w:rsidR="006D360A">
              <w:rPr>
                <w:rFonts w:ascii="Arial Narrow" w:hAnsi="Arial Narrow"/>
                <w:sz w:val="18"/>
                <w:szCs w:val="20"/>
              </w:rPr>
              <w:t xml:space="preserve"> </w:t>
            </w:r>
            <w:r w:rsidRPr="003B4D22">
              <w:rPr>
                <w:rFonts w:ascii="Arial Narrow" w:hAnsi="Arial Narrow"/>
                <w:sz w:val="18"/>
                <w:szCs w:val="20"/>
              </w:rPr>
              <w:t>(209 evaluable of 238 IVIg encounters)</w:t>
            </w:r>
          </w:p>
          <w:p w14:paraId="2C972DA4"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Pre-dose not baseline values as number of IgG naïve recipients not reported.</w:t>
            </w:r>
          </w:p>
          <w:p w14:paraId="3EBEC392"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Infusions</w:t>
            </w:r>
            <w:r w:rsidRPr="003B4D22">
              <w:rPr>
                <w:rFonts w:ascii="Arial Narrow" w:hAnsi="Arial Narrow"/>
                <w:sz w:val="18"/>
                <w:szCs w:val="20"/>
              </w:rPr>
              <w:t xml:space="preserve"> – condition:</w:t>
            </w:r>
            <w:r w:rsidRPr="003B4D22">
              <w:rPr>
                <w:rFonts w:ascii="Arial Narrow" w:hAnsi="Arial Narrow"/>
                <w:sz w:val="18"/>
                <w:szCs w:val="20"/>
              </w:rPr>
              <w:br/>
              <w:t>CLL(74); AL(65); MM(26); NHL(32); HL(7); CML(5)</w:t>
            </w:r>
          </w:p>
          <w:p w14:paraId="37618D75"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Age</w:t>
            </w:r>
            <w:r w:rsidRPr="003B4D22">
              <w:rPr>
                <w:rFonts w:ascii="Arial Narrow" w:hAnsi="Arial Narrow"/>
                <w:sz w:val="18"/>
                <w:szCs w:val="20"/>
              </w:rPr>
              <w:t xml:space="preserve"> yr, mean±sd</w:t>
            </w:r>
            <w:r w:rsidRPr="003B4D22">
              <w:rPr>
                <w:rFonts w:ascii="Arial Narrow" w:hAnsi="Arial Narrow"/>
                <w:sz w:val="18"/>
                <w:szCs w:val="20"/>
              </w:rPr>
              <w:br/>
              <w:t>ABW: 57.7±14.8</w:t>
            </w:r>
            <w:r w:rsidRPr="003B4D22">
              <w:rPr>
                <w:rFonts w:ascii="Arial Narrow" w:hAnsi="Arial Narrow"/>
                <w:sz w:val="18"/>
                <w:szCs w:val="20"/>
              </w:rPr>
              <w:br/>
              <w:t>IBW: 49.4</w:t>
            </w:r>
            <w:r w:rsidRPr="003B4D22">
              <w:rPr>
                <w:rFonts w:ascii="Arial Narrow" w:hAnsi="Arial Narrow"/>
                <w:sz w:val="18"/>
                <w:szCs w:val="20"/>
              </w:rPr>
              <w:tab/>
              <w:t>±19.6</w:t>
            </w:r>
          </w:p>
          <w:p w14:paraId="347C9E0B"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w:t>
            </w:r>
            <w:r w:rsidRPr="003B4D22">
              <w:rPr>
                <w:rFonts w:ascii="Arial Narrow" w:hAnsi="Arial Narrow"/>
                <w:sz w:val="18"/>
                <w:szCs w:val="20"/>
              </w:rPr>
              <w:t>: 106(51)/103(49)</w:t>
            </w:r>
          </w:p>
          <w:p w14:paraId="2BC7CBFD"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IgG levels</w:t>
            </w:r>
            <w:r w:rsidRPr="003B4D22">
              <w:rPr>
                <w:rFonts w:ascii="Arial Narrow" w:hAnsi="Arial Narrow"/>
                <w:sz w:val="18"/>
                <w:szCs w:val="20"/>
              </w:rPr>
              <w:t>: tested prior to 133 of 238 infusions (56%)</w:t>
            </w:r>
          </w:p>
          <w:p w14:paraId="2AE96108"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Of which, hypo-GG</w:t>
            </w:r>
            <w:r w:rsidRPr="003B4D22">
              <w:rPr>
                <w:rFonts w:ascii="Arial Narrow" w:hAnsi="Arial Narrow"/>
                <w:sz w:val="18"/>
                <w:szCs w:val="20"/>
              </w:rPr>
              <w:t xml:space="preserve"> </w:t>
            </w:r>
            <w:r w:rsidRPr="003B4D22">
              <w:rPr>
                <w:rFonts w:ascii="Arial Narrow" w:hAnsi="Arial Narrow"/>
                <w:sz w:val="18"/>
                <w:szCs w:val="20"/>
              </w:rPr>
              <w:lastRenderedPageBreak/>
              <w:t>(&lt;400mg/dL):</w:t>
            </w:r>
            <w:r w:rsidRPr="003B4D22">
              <w:rPr>
                <w:rFonts w:ascii="Arial Narrow" w:hAnsi="Arial Narrow"/>
                <w:sz w:val="18"/>
                <w:szCs w:val="20"/>
              </w:rPr>
              <w:br/>
              <w:t>47/133 (35%)</w:t>
            </w:r>
          </w:p>
          <w:p w14:paraId="563C4B9E"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Existing infection</w:t>
            </w:r>
            <w:r w:rsidRPr="003B4D22">
              <w:rPr>
                <w:rFonts w:ascii="Arial Narrow" w:hAnsi="Arial Narrow"/>
                <w:sz w:val="18"/>
                <w:szCs w:val="20"/>
              </w:rPr>
              <w:t>, IBW/ABW: 51.2%/33.6%</w:t>
            </w:r>
          </w:p>
          <w:p w14:paraId="255B2101" w14:textId="622DD2D3" w:rsidR="004E6824" w:rsidRPr="003B4D22" w:rsidRDefault="004E6824" w:rsidP="00F814DE">
            <w:pPr>
              <w:spacing w:after="40" w:line="240" w:lineRule="auto"/>
              <w:ind w:left="-57"/>
              <w:jc w:val="left"/>
              <w:rPr>
                <w:rFonts w:ascii="Arial Narrow" w:hAnsi="Arial Narrow"/>
                <w:sz w:val="18"/>
                <w:szCs w:val="20"/>
              </w:rPr>
            </w:pPr>
            <w:r w:rsidRPr="003B4D22">
              <w:rPr>
                <w:rFonts w:ascii="Arial Narrow" w:hAnsi="Arial Narrow"/>
                <w:sz w:val="18"/>
                <w:szCs w:val="20"/>
                <w:u w:val="single"/>
              </w:rPr>
              <w:t>Neutropenia</w:t>
            </w:r>
            <w:r w:rsidRPr="003B4D22">
              <w:rPr>
                <w:rFonts w:ascii="Arial Narrow" w:hAnsi="Arial Narrow"/>
                <w:sz w:val="18"/>
                <w:szCs w:val="20"/>
              </w:rPr>
              <w:t xml:space="preserve"> ANC &lt;0.5x10</w:t>
            </w:r>
            <w:r w:rsidRPr="003B4D22">
              <w:rPr>
                <w:rFonts w:ascii="Arial Narrow" w:hAnsi="Arial Narrow"/>
                <w:sz w:val="18"/>
                <w:szCs w:val="20"/>
                <w:vertAlign w:val="superscript"/>
              </w:rPr>
              <w:t>9</w:t>
            </w:r>
            <w:r w:rsidRPr="003B4D22">
              <w:rPr>
                <w:rFonts w:ascii="Arial Narrow" w:hAnsi="Arial Narrow"/>
                <w:sz w:val="18"/>
                <w:szCs w:val="20"/>
              </w:rPr>
              <w:t>/L IBW/ABW:  65.5%/58.4%</w:t>
            </w:r>
          </w:p>
        </w:tc>
        <w:tc>
          <w:tcPr>
            <w:tcW w:w="2268" w:type="dxa"/>
          </w:tcPr>
          <w:p w14:paraId="2DD8B967"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lastRenderedPageBreak/>
              <w:t>Inclusion</w:t>
            </w:r>
            <w:r w:rsidRPr="003B4D22">
              <w:rPr>
                <w:rFonts w:ascii="Arial Narrow" w:hAnsi="Arial Narrow"/>
                <w:sz w:val="18"/>
                <w:szCs w:val="20"/>
              </w:rPr>
              <w:t>: patients ≥18 yo with hematologic malignancies who received IVIG either as an inpatient or outpatient, including HSCT patients for malignancy.</w:t>
            </w:r>
          </w:p>
          <w:p w14:paraId="6E4D64DB" w14:textId="77777777" w:rsidR="004E6824" w:rsidRPr="003B4D22" w:rsidRDefault="004E6824" w:rsidP="00F814DE">
            <w:pPr>
              <w:spacing w:before="0" w:after="40" w:line="240" w:lineRule="auto"/>
              <w:ind w:left="-57"/>
              <w:jc w:val="left"/>
              <w:rPr>
                <w:rFonts w:ascii="Arial Narrow" w:hAnsi="Arial Narrow"/>
                <w:sz w:val="18"/>
                <w:szCs w:val="20"/>
                <w:u w:val="single"/>
              </w:rPr>
            </w:pPr>
            <w:r w:rsidRPr="003B4D22">
              <w:rPr>
                <w:rFonts w:ascii="Arial Narrow" w:hAnsi="Arial Narrow"/>
                <w:sz w:val="18"/>
                <w:szCs w:val="20"/>
                <w:u w:val="single"/>
              </w:rPr>
              <w:t>Exclusion</w:t>
            </w:r>
            <w:r w:rsidRPr="003B4D22">
              <w:rPr>
                <w:rFonts w:ascii="Arial Narrow" w:hAnsi="Arial Narrow"/>
                <w:sz w:val="18"/>
                <w:szCs w:val="20"/>
              </w:rPr>
              <w:t>: Patients who were pregnant, incarcerated, primary immunodeficiency, or received IVIG for indication unrelated to hematologic malignancy.</w:t>
            </w:r>
          </w:p>
          <w:p w14:paraId="2A23077E"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Objectives</w:t>
            </w:r>
            <w:r w:rsidRPr="003B4D22">
              <w:rPr>
                <w:rFonts w:ascii="Arial Narrow" w:hAnsi="Arial Narrow"/>
                <w:sz w:val="18"/>
                <w:szCs w:val="20"/>
              </w:rPr>
              <w:t>: effectiveness of ideal body weight (IBW) versus actual body weight (ABW) dosing strategy for IVIG in patients with hematologic malignancies or undergoing HSCT</w:t>
            </w:r>
          </w:p>
          <w:p w14:paraId="340DE141" w14:textId="380CB7DB" w:rsidR="004E6824" w:rsidRPr="003B4D22" w:rsidRDefault="004E6824" w:rsidP="00F814DE">
            <w:pPr>
              <w:spacing w:after="40" w:line="240" w:lineRule="auto"/>
              <w:ind w:left="-57"/>
              <w:jc w:val="left"/>
              <w:rPr>
                <w:rFonts w:ascii="Arial Narrow" w:hAnsi="Arial Narrow"/>
                <w:sz w:val="18"/>
                <w:szCs w:val="20"/>
              </w:rPr>
            </w:pPr>
          </w:p>
        </w:tc>
        <w:tc>
          <w:tcPr>
            <w:tcW w:w="1843" w:type="dxa"/>
          </w:tcPr>
          <w:p w14:paraId="1CE32FD6"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IVIg-ABW</w:t>
            </w:r>
            <w:r w:rsidRPr="003B4D22">
              <w:rPr>
                <w:rFonts w:ascii="Arial Narrow" w:hAnsi="Arial Narrow"/>
                <w:sz w:val="18"/>
                <w:szCs w:val="20"/>
              </w:rPr>
              <w:t xml:space="preserve"> (n=125 infusions): </w:t>
            </w:r>
            <w:r w:rsidRPr="003B4D22">
              <w:rPr>
                <w:rFonts w:ascii="Arial Narrow" w:hAnsi="Arial Narrow"/>
                <w:i/>
                <w:sz w:val="18"/>
                <w:szCs w:val="20"/>
              </w:rPr>
              <w:t xml:space="preserve">no information on dose level, frequency, duration or supportive care (including antibiotic use) provided. </w:t>
            </w:r>
            <w:r w:rsidRPr="003B4D22">
              <w:rPr>
                <w:rFonts w:ascii="Arial Narrow" w:hAnsi="Arial Narrow"/>
                <w:sz w:val="18"/>
                <w:szCs w:val="20"/>
              </w:rPr>
              <w:t xml:space="preserve"> </w:t>
            </w:r>
          </w:p>
          <w:p w14:paraId="619DBEC9" w14:textId="77777777" w:rsidR="004E6824" w:rsidRPr="003B4D22" w:rsidRDefault="004E6824" w:rsidP="00F814DE">
            <w:pPr>
              <w:spacing w:after="40" w:line="240" w:lineRule="auto"/>
              <w:ind w:left="-57"/>
              <w:jc w:val="left"/>
              <w:rPr>
                <w:rFonts w:ascii="Arial Narrow" w:hAnsi="Arial Narrow"/>
                <w:i/>
                <w:sz w:val="18"/>
                <w:szCs w:val="20"/>
              </w:rPr>
            </w:pPr>
            <w:r w:rsidRPr="003B4D22">
              <w:rPr>
                <w:rFonts w:ascii="Arial Narrow" w:hAnsi="Arial Narrow"/>
                <w:i/>
                <w:sz w:val="18"/>
                <w:szCs w:val="20"/>
              </w:rPr>
              <w:t>NB: some patients receiving consecutive doses had ABW and IBW calculated doses on different occasions.</w:t>
            </w:r>
          </w:p>
          <w:p w14:paraId="0191D506" w14:textId="77777777" w:rsidR="00365B41" w:rsidRPr="003B4D22" w:rsidRDefault="00365B41" w:rsidP="00F814DE">
            <w:pPr>
              <w:spacing w:after="40" w:line="240" w:lineRule="auto"/>
              <w:ind w:left="-57"/>
              <w:jc w:val="left"/>
              <w:rPr>
                <w:rFonts w:ascii="Arial Narrow" w:hAnsi="Arial Narrow"/>
                <w:i/>
                <w:sz w:val="18"/>
                <w:szCs w:val="20"/>
              </w:rPr>
            </w:pPr>
          </w:p>
          <w:p w14:paraId="138755CE" w14:textId="772224D7" w:rsidR="00365B41" w:rsidRPr="003B4D22" w:rsidRDefault="002662FD" w:rsidP="00F814DE">
            <w:pPr>
              <w:spacing w:after="40" w:line="240" w:lineRule="auto"/>
              <w:ind w:left="-57"/>
              <w:jc w:val="left"/>
              <w:rPr>
                <w:rFonts w:ascii="Arial Narrow" w:hAnsi="Arial Narrow"/>
                <w:sz w:val="18"/>
                <w:szCs w:val="20"/>
                <w:u w:val="single"/>
              </w:rPr>
            </w:pPr>
            <w:r w:rsidRPr="003B4D22">
              <w:rPr>
                <w:rFonts w:ascii="Arial Narrow" w:hAnsi="Arial Narrow"/>
                <w:i/>
                <w:sz w:val="18"/>
                <w:szCs w:val="20"/>
              </w:rPr>
              <w:t xml:space="preserve">Note: </w:t>
            </w:r>
            <w:r w:rsidR="00365B41" w:rsidRPr="003B4D22">
              <w:rPr>
                <w:rFonts w:ascii="Arial Narrow" w:hAnsi="Arial Narrow"/>
                <w:i/>
                <w:sz w:val="18"/>
                <w:szCs w:val="20"/>
              </w:rPr>
              <w:t>Author</w:t>
            </w:r>
            <w:r w:rsidRPr="003B4D22">
              <w:rPr>
                <w:rFonts w:ascii="Arial Narrow" w:hAnsi="Arial Narrow"/>
                <w:i/>
                <w:sz w:val="18"/>
                <w:szCs w:val="20"/>
              </w:rPr>
              <w:t>s advise</w:t>
            </w:r>
            <w:r w:rsidR="00365B41" w:rsidRPr="003B4D22">
              <w:rPr>
                <w:rFonts w:ascii="Arial Narrow" w:hAnsi="Arial Narrow"/>
                <w:i/>
                <w:sz w:val="18"/>
                <w:szCs w:val="20"/>
              </w:rPr>
              <w:t xml:space="preserve"> that median IVIg d</w:t>
            </w:r>
            <w:r w:rsidRPr="003B4D22">
              <w:rPr>
                <w:rFonts w:ascii="Arial Narrow" w:hAnsi="Arial Narrow"/>
                <w:i/>
                <w:sz w:val="18"/>
                <w:szCs w:val="20"/>
              </w:rPr>
              <w:t>ose</w:t>
            </w:r>
            <w:r w:rsidR="00365B41" w:rsidRPr="003B4D22">
              <w:rPr>
                <w:rFonts w:ascii="Arial Narrow" w:hAnsi="Arial Narrow"/>
                <w:i/>
                <w:sz w:val="18"/>
                <w:szCs w:val="20"/>
              </w:rPr>
              <w:t xml:space="preserve"> per patient during study period (30mo or 2.5yr) was 1 (range 1-18) or a mean of 2.6 doses (S Stump, pers. </w:t>
            </w:r>
            <w:r w:rsidR="00365B41" w:rsidRPr="003B4D22">
              <w:rPr>
                <w:rFonts w:ascii="Arial Narrow" w:hAnsi="Arial Narrow"/>
                <w:i/>
                <w:sz w:val="18"/>
                <w:szCs w:val="20"/>
              </w:rPr>
              <w:lastRenderedPageBreak/>
              <w:t>comm. May 2019)</w:t>
            </w:r>
          </w:p>
        </w:tc>
        <w:tc>
          <w:tcPr>
            <w:tcW w:w="1843" w:type="dxa"/>
          </w:tcPr>
          <w:p w14:paraId="1BEE2862" w14:textId="77777777" w:rsidR="004E6824" w:rsidRPr="003B4D22" w:rsidRDefault="004E6824" w:rsidP="00F814DE">
            <w:pPr>
              <w:spacing w:before="0" w:after="40" w:line="240" w:lineRule="auto"/>
              <w:ind w:left="-57"/>
              <w:jc w:val="left"/>
              <w:rPr>
                <w:rFonts w:ascii="Arial Narrow" w:hAnsi="Arial Narrow"/>
                <w:i/>
                <w:sz w:val="18"/>
                <w:szCs w:val="20"/>
              </w:rPr>
            </w:pPr>
            <w:r w:rsidRPr="003B4D22">
              <w:rPr>
                <w:rFonts w:ascii="Arial Narrow" w:hAnsi="Arial Narrow"/>
                <w:sz w:val="18"/>
                <w:szCs w:val="20"/>
                <w:u w:val="single"/>
              </w:rPr>
              <w:lastRenderedPageBreak/>
              <w:t>IVIg-IBW</w:t>
            </w:r>
            <w:r w:rsidRPr="003B4D22">
              <w:rPr>
                <w:rFonts w:ascii="Arial Narrow" w:hAnsi="Arial Narrow"/>
                <w:sz w:val="18"/>
                <w:szCs w:val="20"/>
              </w:rPr>
              <w:t xml:space="preserve"> (n=84 infusions): </w:t>
            </w:r>
            <w:r w:rsidRPr="003B4D22">
              <w:rPr>
                <w:rFonts w:ascii="Arial Narrow" w:hAnsi="Arial Narrow"/>
                <w:i/>
                <w:sz w:val="18"/>
                <w:szCs w:val="20"/>
              </w:rPr>
              <w:t xml:space="preserve">no information on dose level, frequency, duration or supportive care (including antibiotic use) provided. </w:t>
            </w:r>
          </w:p>
          <w:p w14:paraId="2430C22F" w14:textId="77777777" w:rsidR="004E6824" w:rsidRPr="003B4D22" w:rsidRDefault="004E6824" w:rsidP="00F814DE">
            <w:pPr>
              <w:spacing w:after="40" w:line="240" w:lineRule="auto"/>
              <w:ind w:left="-57"/>
              <w:jc w:val="left"/>
              <w:rPr>
                <w:rFonts w:ascii="Arial Narrow" w:hAnsi="Arial Narrow"/>
                <w:i/>
                <w:sz w:val="18"/>
                <w:szCs w:val="20"/>
              </w:rPr>
            </w:pPr>
            <w:r w:rsidRPr="003B4D22">
              <w:rPr>
                <w:rFonts w:ascii="Arial Narrow" w:hAnsi="Arial Narrow"/>
                <w:i/>
                <w:sz w:val="18"/>
                <w:szCs w:val="20"/>
              </w:rPr>
              <w:t>NB: some patients receiving consecutive doses had ABW and IBW calculated doses on different occasions.</w:t>
            </w:r>
          </w:p>
          <w:p w14:paraId="403EAF8E" w14:textId="77777777" w:rsidR="00365B41" w:rsidRPr="003B4D22" w:rsidRDefault="00365B41" w:rsidP="00F814DE">
            <w:pPr>
              <w:spacing w:after="40" w:line="240" w:lineRule="auto"/>
              <w:ind w:left="-57"/>
              <w:jc w:val="left"/>
              <w:rPr>
                <w:rFonts w:ascii="Arial Narrow" w:hAnsi="Arial Narrow"/>
                <w:i/>
                <w:sz w:val="18"/>
                <w:szCs w:val="20"/>
              </w:rPr>
            </w:pPr>
          </w:p>
          <w:p w14:paraId="49F3757C" w14:textId="6216C8CB" w:rsidR="00365B41" w:rsidRPr="003B4D22" w:rsidRDefault="00365B41" w:rsidP="00F814DE">
            <w:pPr>
              <w:spacing w:after="40" w:line="240" w:lineRule="auto"/>
              <w:ind w:left="-57"/>
              <w:jc w:val="left"/>
              <w:rPr>
                <w:rFonts w:ascii="Arial Narrow" w:hAnsi="Arial Narrow"/>
                <w:sz w:val="18"/>
                <w:szCs w:val="20"/>
                <w:u w:val="single"/>
              </w:rPr>
            </w:pPr>
            <w:r w:rsidRPr="003B4D22">
              <w:rPr>
                <w:rFonts w:ascii="Arial Narrow" w:hAnsi="Arial Narrow"/>
                <w:i/>
                <w:sz w:val="18"/>
                <w:szCs w:val="20"/>
              </w:rPr>
              <w:t>See note</w:t>
            </w:r>
            <w:r w:rsidR="002662FD" w:rsidRPr="003B4D22">
              <w:rPr>
                <w:rFonts w:ascii="Arial Narrow" w:hAnsi="Arial Narrow"/>
                <w:i/>
                <w:sz w:val="18"/>
                <w:szCs w:val="20"/>
              </w:rPr>
              <w:t xml:space="preserve"> in ABW column</w:t>
            </w:r>
            <w:r w:rsidRPr="003B4D22">
              <w:rPr>
                <w:rFonts w:ascii="Arial Narrow" w:hAnsi="Arial Narrow"/>
                <w:i/>
                <w:sz w:val="18"/>
                <w:szCs w:val="20"/>
              </w:rPr>
              <w:t xml:space="preserve"> regarding doses per patient. </w:t>
            </w:r>
          </w:p>
        </w:tc>
        <w:tc>
          <w:tcPr>
            <w:tcW w:w="2268" w:type="dxa"/>
          </w:tcPr>
          <w:p w14:paraId="226A5FB3"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Outcome</w:t>
            </w:r>
            <w:r w:rsidRPr="003B4D22">
              <w:rPr>
                <w:rFonts w:ascii="Arial Narrow" w:hAnsi="Arial Narrow"/>
                <w:sz w:val="18"/>
                <w:szCs w:val="20"/>
              </w:rPr>
              <w:t>: primary outcome was infection rate within 30 days of IVIg administration; Secondary outcomes incl. 60-day infection rate, IgG-level response (&gt;400mg/dL), realised and potential IVIg savings.</w:t>
            </w:r>
          </w:p>
          <w:p w14:paraId="65E62CCB"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rPr>
              <w:t xml:space="preserve">Infection defined as defined as a positive culture, respiratory viral panel, </w:t>
            </w:r>
            <w:r w:rsidRPr="003B4D22">
              <w:rPr>
                <w:rFonts w:ascii="Arial Narrow" w:hAnsi="Arial Narrow"/>
                <w:i/>
                <w:sz w:val="18"/>
                <w:szCs w:val="20"/>
              </w:rPr>
              <w:t>Clostridium difficile</w:t>
            </w:r>
            <w:r w:rsidRPr="003B4D22">
              <w:rPr>
                <w:rFonts w:ascii="Arial Narrow" w:hAnsi="Arial Narrow"/>
                <w:sz w:val="18"/>
                <w:szCs w:val="20"/>
              </w:rPr>
              <w:t xml:space="preserve"> assay, or a chest radiograph.</w:t>
            </w:r>
          </w:p>
          <w:p w14:paraId="4A514E9F"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Analyses</w:t>
            </w:r>
            <w:r w:rsidRPr="003B4D22">
              <w:rPr>
                <w:rFonts w:ascii="Arial Narrow" w:hAnsi="Arial Narrow"/>
                <w:sz w:val="18"/>
                <w:szCs w:val="20"/>
              </w:rPr>
              <w:t>: A χ</w:t>
            </w:r>
            <w:r w:rsidRPr="003B4D22">
              <w:rPr>
                <w:rFonts w:ascii="Arial Narrow" w:hAnsi="Arial Narrow"/>
                <w:sz w:val="18"/>
                <w:szCs w:val="20"/>
                <w:vertAlign w:val="superscript"/>
              </w:rPr>
              <w:t>2</w:t>
            </w:r>
            <w:r w:rsidRPr="003B4D22">
              <w:rPr>
                <w:rFonts w:ascii="Arial Narrow" w:hAnsi="Arial Narrow"/>
                <w:sz w:val="18"/>
                <w:szCs w:val="20"/>
              </w:rPr>
              <w:t xml:space="preserve"> test used to analyse primary outcome and other categorical data; Student t test used for continuous data. Statistical significance defined as p&lt;0.05</w:t>
            </w:r>
          </w:p>
          <w:p w14:paraId="1BEEF1FD" w14:textId="14392A94" w:rsidR="004E6824" w:rsidRPr="003B4D22" w:rsidRDefault="004E6824" w:rsidP="00F814DE">
            <w:pPr>
              <w:spacing w:after="40" w:line="240" w:lineRule="auto"/>
              <w:ind w:left="-57"/>
              <w:jc w:val="left"/>
              <w:rPr>
                <w:rFonts w:ascii="Arial Narrow" w:hAnsi="Arial Narrow"/>
                <w:sz w:val="18"/>
                <w:szCs w:val="20"/>
                <w:u w:val="single"/>
              </w:rPr>
            </w:pPr>
            <w:r w:rsidRPr="003B4D22">
              <w:rPr>
                <w:rFonts w:ascii="Arial Narrow" w:hAnsi="Arial Narrow"/>
                <w:sz w:val="18"/>
                <w:szCs w:val="20"/>
                <w:u w:val="single"/>
              </w:rPr>
              <w:t>Follow-up</w:t>
            </w:r>
            <w:r w:rsidRPr="003B4D22">
              <w:rPr>
                <w:rFonts w:ascii="Arial Narrow" w:hAnsi="Arial Narrow"/>
                <w:sz w:val="18"/>
                <w:szCs w:val="20"/>
              </w:rPr>
              <w:t xml:space="preserve">: 30 days for each </w:t>
            </w:r>
            <w:r w:rsidRPr="003B4D22">
              <w:rPr>
                <w:rFonts w:ascii="Arial Narrow" w:hAnsi="Arial Narrow"/>
                <w:sz w:val="18"/>
                <w:szCs w:val="20"/>
              </w:rPr>
              <w:lastRenderedPageBreak/>
              <w:t xml:space="preserve">infusion received during the period 1 April 2014 to 30 September 2016. </w:t>
            </w:r>
            <w:r w:rsidR="00365B41" w:rsidRPr="003B4D22">
              <w:rPr>
                <w:rFonts w:ascii="Arial Narrow" w:hAnsi="Arial Narrow"/>
                <w:i/>
                <w:sz w:val="18"/>
                <w:szCs w:val="20"/>
              </w:rPr>
              <w:t>N=209 did not include 26 patients who died in the initial 30 day period and 1 patient lost to follow-up who were excluded from the analysis.</w:t>
            </w:r>
          </w:p>
        </w:tc>
        <w:tc>
          <w:tcPr>
            <w:tcW w:w="1984" w:type="dxa"/>
          </w:tcPr>
          <w:p w14:paraId="7DD2C29F"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lastRenderedPageBreak/>
              <w:t>Ethics</w:t>
            </w:r>
            <w:r w:rsidRPr="003B4D22">
              <w:rPr>
                <w:rFonts w:ascii="Arial Narrow" w:hAnsi="Arial Narrow"/>
                <w:sz w:val="18"/>
                <w:szCs w:val="20"/>
              </w:rPr>
              <w:t>: The study was approved by the University of North Carolina institutional review board.</w:t>
            </w:r>
          </w:p>
          <w:p w14:paraId="198136D0" w14:textId="77777777" w:rsidR="004E6824" w:rsidRPr="003B4D22" w:rsidRDefault="004E6824" w:rsidP="00F814DE">
            <w:pPr>
              <w:spacing w:before="0" w:after="40" w:line="240" w:lineRule="auto"/>
              <w:ind w:left="-57"/>
              <w:jc w:val="left"/>
              <w:rPr>
                <w:rFonts w:ascii="Arial Narrow" w:hAnsi="Arial Narrow"/>
                <w:sz w:val="18"/>
                <w:szCs w:val="20"/>
              </w:rPr>
            </w:pPr>
            <w:r w:rsidRPr="003B4D22">
              <w:rPr>
                <w:rFonts w:ascii="Arial Narrow" w:hAnsi="Arial Narrow"/>
                <w:sz w:val="18"/>
                <w:szCs w:val="20"/>
                <w:u w:val="single"/>
              </w:rPr>
              <w:t>Funding</w:t>
            </w:r>
            <w:r w:rsidRPr="003B4D22">
              <w:rPr>
                <w:rFonts w:ascii="Arial Narrow" w:hAnsi="Arial Narrow"/>
                <w:sz w:val="18"/>
                <w:szCs w:val="20"/>
              </w:rPr>
              <w:t xml:space="preserve">: the paper includes no statement of funding source nor conflict of interest declaration. </w:t>
            </w:r>
          </w:p>
          <w:p w14:paraId="0D209684" w14:textId="77777777" w:rsidR="004E6824" w:rsidRPr="003B4D22" w:rsidRDefault="004E6824" w:rsidP="00F814DE">
            <w:pPr>
              <w:spacing w:before="0" w:after="40" w:line="240" w:lineRule="auto"/>
              <w:ind w:left="-57"/>
              <w:jc w:val="left"/>
              <w:rPr>
                <w:rFonts w:ascii="Arial Narrow" w:hAnsi="Arial Narrow"/>
                <w:i/>
                <w:sz w:val="18"/>
                <w:szCs w:val="20"/>
              </w:rPr>
            </w:pPr>
            <w:r w:rsidRPr="003B4D22">
              <w:rPr>
                <w:rFonts w:ascii="Arial Narrow" w:hAnsi="Arial Narrow"/>
                <w:i/>
                <w:sz w:val="18"/>
                <w:szCs w:val="20"/>
              </w:rPr>
              <w:t>But no ‘no IVIg’ baseline against which to measure infection rate.</w:t>
            </w:r>
          </w:p>
          <w:p w14:paraId="363B0E56" w14:textId="77777777" w:rsidR="004E6824" w:rsidRPr="003B4D22" w:rsidRDefault="004E6824" w:rsidP="00F814DE">
            <w:pPr>
              <w:spacing w:before="0" w:after="40" w:line="240" w:lineRule="auto"/>
              <w:ind w:left="-57"/>
              <w:jc w:val="left"/>
              <w:rPr>
                <w:rFonts w:ascii="Arial Narrow" w:hAnsi="Arial Narrow"/>
                <w:i/>
                <w:sz w:val="18"/>
                <w:szCs w:val="20"/>
              </w:rPr>
            </w:pPr>
            <w:r w:rsidRPr="003B4D22">
              <w:rPr>
                <w:rFonts w:ascii="Arial Narrow" w:hAnsi="Arial Narrow"/>
                <w:i/>
                <w:sz w:val="18"/>
                <w:szCs w:val="20"/>
              </w:rPr>
              <w:t>Type of infections, total patient numbers, how many infusions were received as consecutive doses by the same patient, dose levels, dose duration were not reported.</w:t>
            </w:r>
          </w:p>
          <w:p w14:paraId="38C62584" w14:textId="12A1BE8E" w:rsidR="004E6824" w:rsidRPr="003B4D22" w:rsidRDefault="004E6824" w:rsidP="00F814DE">
            <w:pPr>
              <w:spacing w:after="40" w:line="240" w:lineRule="auto"/>
              <w:ind w:left="-57"/>
              <w:jc w:val="left"/>
              <w:rPr>
                <w:rFonts w:ascii="Arial Narrow" w:hAnsi="Arial Narrow"/>
                <w:sz w:val="18"/>
                <w:szCs w:val="20"/>
                <w:u w:val="single"/>
              </w:rPr>
            </w:pPr>
            <w:r w:rsidRPr="003B4D22">
              <w:rPr>
                <w:rFonts w:ascii="Arial Narrow" w:hAnsi="Arial Narrow"/>
                <w:i/>
                <w:sz w:val="18"/>
                <w:szCs w:val="20"/>
              </w:rPr>
              <w:lastRenderedPageBreak/>
              <w:t>49% of infusions were in patients who received HSCT</w:t>
            </w:r>
          </w:p>
        </w:tc>
      </w:tr>
    </w:tbl>
    <w:p w14:paraId="1AD564FB" w14:textId="2C0EAC08" w:rsidR="00924808" w:rsidRPr="003B4D22" w:rsidRDefault="00530614" w:rsidP="00C43B20">
      <w:pPr>
        <w:pStyle w:val="Tablenotes1"/>
        <w:rPr>
          <w:rFonts w:eastAsia="Calibri" w:cs="Times New Roman"/>
        </w:rPr>
      </w:pPr>
      <w:r w:rsidRPr="003B4D22">
        <w:rPr>
          <w:rFonts w:eastAsia="Calibri" w:cs="Times New Roman"/>
        </w:rPr>
        <w:lastRenderedPageBreak/>
        <w:t xml:space="preserve">Units conversion: 100mg/dL (units used in older studies) equals 1g/L; </w:t>
      </w:r>
      <w:r w:rsidRPr="003B4D22">
        <w:t xml:space="preserve">Risk of Bias was assessed using the SIGN checklist for controlled trials (for RCTs only); the SIGN checklist for cohort studies, and the IHE checklist for case series.  Abbreviations are as for </w:t>
      </w:r>
      <w:r w:rsidRPr="003B4D22">
        <w:fldChar w:fldCharType="begin"/>
      </w:r>
      <w:r w:rsidRPr="003B4D22">
        <w:instrText xml:space="preserve"> REF _Ref11162222 \h  \* MERGEFORMAT </w:instrText>
      </w:r>
      <w:r w:rsidRPr="003B4D22">
        <w:fldChar w:fldCharType="separate"/>
      </w:r>
      <w:r w:rsidR="00A7463B" w:rsidRPr="00386411">
        <w:t xml:space="preserve">Table </w:t>
      </w:r>
      <w:r w:rsidR="00A7463B">
        <w:rPr>
          <w:noProof/>
        </w:rPr>
        <w:t>79</w:t>
      </w:r>
      <w:r w:rsidRPr="003B4D22">
        <w:fldChar w:fldCharType="end"/>
      </w:r>
      <w:r w:rsidRPr="003B4D22">
        <w:rPr>
          <w:rFonts w:eastAsia="Calibri" w:cs="Times New Roman"/>
        </w:rPr>
        <w:t>.</w:t>
      </w:r>
      <w:r w:rsidR="00FA20FD">
        <w:rPr>
          <w:rFonts w:eastAsia="Calibri" w:cs="Times New Roman"/>
        </w:rPr>
        <w:tab/>
      </w:r>
      <w:r w:rsidRPr="003B4D22">
        <w:rPr>
          <w:rFonts w:eastAsia="Calibri" w:cs="Times New Roman"/>
        </w:rPr>
        <w:br/>
      </w:r>
      <w:r w:rsidR="00924808" w:rsidRPr="003B4D22">
        <w:rPr>
          <w:rFonts w:eastAsia="Calibri" w:cs="Times New Roman"/>
        </w:rPr>
        <w:t xml:space="preserve">*Notes: </w:t>
      </w:r>
      <w:r w:rsidR="007667B3" w:rsidRPr="003B4D22">
        <w:rPr>
          <w:rFonts w:eastAsia="Calibri" w:cs="Times New Roman"/>
          <w:u w:val="single"/>
        </w:rPr>
        <w:t>Günther &amp; Dreger 2013</w:t>
      </w:r>
      <w:r w:rsidR="00924808" w:rsidRPr="003B4D22">
        <w:rPr>
          <w:rFonts w:eastAsia="Calibri" w:cs="Times New Roman"/>
        </w:rPr>
        <w:t xml:space="preserve"> – the plasmacytoma case was IgA-secreting which is most likely not included in the WHO definition of MM depending on other clinical features (if extramedullary), thus is an ‘other haematological malignancy’; FL is included in the WHO definition of NHL; the case of WM (described by authors as an IgM-secreting immunocytoma) is an ‘other haematological malignancy’.</w:t>
      </w:r>
    </w:p>
    <w:p w14:paraId="6F9CD32D" w14:textId="77777777" w:rsidR="00BA13FE" w:rsidRPr="00386411" w:rsidRDefault="00BA13FE" w:rsidP="00CB4DB8">
      <w:pPr>
        <w:pStyle w:val="Tablenotes1"/>
      </w:pPr>
    </w:p>
    <w:p w14:paraId="7A8588C4" w14:textId="77777777" w:rsidR="00BA13FE" w:rsidRDefault="00BA13FE" w:rsidP="00CB4DB8"/>
    <w:p w14:paraId="5CF700D6" w14:textId="77777777" w:rsidR="00CB4DB8" w:rsidRPr="00386411" w:rsidRDefault="00CB4DB8" w:rsidP="00CB4DB8">
      <w:pPr>
        <w:sectPr w:rsidR="00CB4DB8" w:rsidRPr="00386411" w:rsidSect="00D3526F">
          <w:footerReference w:type="default" r:id="rId54"/>
          <w:pgSz w:w="16838" w:h="11906" w:orient="landscape"/>
          <w:pgMar w:top="1440" w:right="851" w:bottom="1440" w:left="851" w:header="720" w:footer="720" w:gutter="0"/>
          <w:paperSrc w:first="7" w:other="7"/>
          <w:cols w:space="720"/>
        </w:sectPr>
      </w:pPr>
    </w:p>
    <w:p w14:paraId="6FDCB4D2" w14:textId="77777777" w:rsidR="007A7960" w:rsidRPr="00386411" w:rsidRDefault="00193B87" w:rsidP="00DF343F">
      <w:pPr>
        <w:pStyle w:val="Heading1"/>
      </w:pPr>
      <w:bookmarkStart w:id="742" w:name="_Ref364237293"/>
      <w:bookmarkStart w:id="743" w:name="_Ref363131580"/>
      <w:bookmarkStart w:id="744" w:name="_Toc379118102"/>
      <w:bookmarkStart w:id="745" w:name="_Toc381796506"/>
      <w:bookmarkStart w:id="746" w:name="_Ref9495060"/>
      <w:bookmarkStart w:id="747" w:name="_Ref9495061"/>
      <w:bookmarkStart w:id="748" w:name="_Ref9495076"/>
      <w:bookmarkStart w:id="749" w:name="_Ref9495086"/>
      <w:bookmarkStart w:id="750" w:name="_Toc14431188"/>
      <w:bookmarkStart w:id="751" w:name="_Toc16856363"/>
      <w:r w:rsidRPr="00386411">
        <w:lastRenderedPageBreak/>
        <w:t xml:space="preserve">Appendix </w:t>
      </w:r>
      <w:r w:rsidR="00E46014" w:rsidRPr="00386411">
        <w:rPr>
          <w:noProof/>
        </w:rPr>
        <w:fldChar w:fldCharType="begin"/>
      </w:r>
      <w:r w:rsidR="00E46014" w:rsidRPr="00386411">
        <w:rPr>
          <w:noProof/>
        </w:rPr>
        <w:instrText xml:space="preserve"> SEQ Appendix \* ALPHABETIC </w:instrText>
      </w:r>
      <w:r w:rsidR="00E46014" w:rsidRPr="00386411">
        <w:rPr>
          <w:noProof/>
        </w:rPr>
        <w:fldChar w:fldCharType="separate"/>
      </w:r>
      <w:r w:rsidR="00A7463B">
        <w:rPr>
          <w:noProof/>
        </w:rPr>
        <w:t>E</w:t>
      </w:r>
      <w:r w:rsidR="00E46014" w:rsidRPr="00386411">
        <w:rPr>
          <w:noProof/>
        </w:rPr>
        <w:fldChar w:fldCharType="end"/>
      </w:r>
      <w:bookmarkEnd w:id="742"/>
      <w:r w:rsidR="00A40011" w:rsidRPr="00386411">
        <w:tab/>
      </w:r>
      <w:bookmarkEnd w:id="721"/>
      <w:bookmarkEnd w:id="743"/>
      <w:bookmarkEnd w:id="744"/>
      <w:bookmarkEnd w:id="745"/>
      <w:r w:rsidR="00591A6D" w:rsidRPr="00386411">
        <w:t xml:space="preserve">Excluded </w:t>
      </w:r>
      <w:r w:rsidR="0077418B" w:rsidRPr="00386411">
        <w:t>Studies</w:t>
      </w:r>
      <w:bookmarkEnd w:id="746"/>
      <w:bookmarkEnd w:id="747"/>
      <w:bookmarkEnd w:id="748"/>
      <w:bookmarkEnd w:id="749"/>
      <w:bookmarkEnd w:id="750"/>
      <w:bookmarkEnd w:id="751"/>
    </w:p>
    <w:p w14:paraId="1A445FC7" w14:textId="683F16B7" w:rsidR="00525A80" w:rsidRPr="00386411" w:rsidRDefault="00525A80" w:rsidP="00525A80">
      <w:pPr>
        <w:pStyle w:val="Caption"/>
        <w:rPr>
          <w:snapToGrid w:val="0"/>
          <w:lang w:eastAsia="en-US"/>
        </w:rPr>
      </w:pPr>
      <w:bookmarkStart w:id="752" w:name="_Ref11927846"/>
      <w:bookmarkStart w:id="753" w:name="_Toc14429622"/>
      <w:bookmarkStart w:id="754" w:name="_Toc16671680"/>
      <w:r w:rsidRPr="00386411">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82</w:t>
      </w:r>
      <w:r w:rsidRPr="00386411">
        <w:rPr>
          <w:noProof/>
        </w:rPr>
        <w:fldChar w:fldCharType="end"/>
      </w:r>
      <w:bookmarkEnd w:id="752"/>
      <w:r w:rsidRPr="00386411">
        <w:tab/>
      </w:r>
      <w:r w:rsidRPr="00386411">
        <w:rPr>
          <w:snapToGrid w:val="0"/>
          <w:lang w:eastAsia="en-US"/>
        </w:rPr>
        <w:t>List of the excluded systematic reviews</w:t>
      </w:r>
      <w:r w:rsidR="00826CFF" w:rsidRPr="00386411">
        <w:rPr>
          <w:snapToGrid w:val="0"/>
          <w:lang w:eastAsia="en-US"/>
        </w:rPr>
        <w:t xml:space="preserve"> or meta-analyses</w:t>
      </w:r>
      <w:bookmarkEnd w:id="753"/>
      <w:bookmarkEnd w:id="754"/>
    </w:p>
    <w:tbl>
      <w:tblPr>
        <w:tblStyle w:val="TableGrid5"/>
        <w:tblW w:w="5000" w:type="pct"/>
        <w:tblLayout w:type="fixed"/>
        <w:tblLook w:val="04A0" w:firstRow="1" w:lastRow="0" w:firstColumn="1" w:lastColumn="0" w:noHBand="0" w:noVBand="1"/>
        <w:tblCaption w:val="List of the excluded systematic reviews or meta-analyses"/>
      </w:tblPr>
      <w:tblGrid>
        <w:gridCol w:w="1451"/>
        <w:gridCol w:w="3774"/>
        <w:gridCol w:w="1163"/>
        <w:gridCol w:w="2854"/>
      </w:tblGrid>
      <w:tr w:rsidR="00BB76A2" w:rsidRPr="00386411" w14:paraId="70669793" w14:textId="77777777" w:rsidTr="00D61FFC">
        <w:trPr>
          <w:tblHeader/>
        </w:trPr>
        <w:tc>
          <w:tcPr>
            <w:tcW w:w="785" w:type="pct"/>
          </w:tcPr>
          <w:p w14:paraId="4C1B11AF" w14:textId="6867B8DC" w:rsidR="00296C9F" w:rsidRPr="00386411" w:rsidRDefault="00296C9F" w:rsidP="004D1C40">
            <w:pPr>
              <w:keepNext/>
              <w:spacing w:before="0" w:after="40" w:line="240" w:lineRule="auto"/>
              <w:rPr>
                <w:rFonts w:ascii="Arial Narrow" w:hAnsi="Arial Narrow"/>
                <w:b/>
                <w:sz w:val="20"/>
                <w:szCs w:val="20"/>
              </w:rPr>
            </w:pPr>
            <w:r w:rsidRPr="00386411">
              <w:rPr>
                <w:rFonts w:ascii="Arial Narrow" w:hAnsi="Arial Narrow"/>
                <w:b/>
                <w:sz w:val="20"/>
                <w:szCs w:val="20"/>
              </w:rPr>
              <w:t xml:space="preserve">Study </w:t>
            </w:r>
          </w:p>
        </w:tc>
        <w:tc>
          <w:tcPr>
            <w:tcW w:w="2042" w:type="pct"/>
          </w:tcPr>
          <w:p w14:paraId="45824FD9" w14:textId="5C5E3CC8" w:rsidR="00296C9F" w:rsidRPr="00386411" w:rsidRDefault="00296C9F" w:rsidP="00C641BE">
            <w:pPr>
              <w:keepNext/>
              <w:spacing w:before="0" w:after="40" w:line="240" w:lineRule="auto"/>
              <w:rPr>
                <w:rFonts w:ascii="Arial Narrow" w:hAnsi="Arial Narrow"/>
                <w:b/>
                <w:sz w:val="20"/>
                <w:szCs w:val="20"/>
              </w:rPr>
            </w:pPr>
            <w:r w:rsidRPr="00386411">
              <w:rPr>
                <w:rFonts w:ascii="Arial Narrow" w:hAnsi="Arial Narrow"/>
                <w:b/>
                <w:sz w:val="20"/>
                <w:szCs w:val="20"/>
              </w:rPr>
              <w:t>Title+citation</w:t>
            </w:r>
          </w:p>
        </w:tc>
        <w:tc>
          <w:tcPr>
            <w:tcW w:w="629" w:type="pct"/>
          </w:tcPr>
          <w:p w14:paraId="5DA4F8D9" w14:textId="58748C82" w:rsidR="00296C9F" w:rsidRPr="00386411" w:rsidRDefault="00296C9F" w:rsidP="00D61FFC">
            <w:pPr>
              <w:keepNext/>
              <w:spacing w:before="0" w:after="40" w:line="240" w:lineRule="auto"/>
              <w:ind w:left="-57"/>
              <w:rPr>
                <w:rFonts w:ascii="Arial Narrow" w:hAnsi="Arial Narrow"/>
                <w:b/>
                <w:sz w:val="20"/>
                <w:szCs w:val="20"/>
              </w:rPr>
            </w:pPr>
            <w:r w:rsidRPr="00386411">
              <w:rPr>
                <w:rFonts w:ascii="Arial Narrow" w:hAnsi="Arial Narrow"/>
                <w:b/>
                <w:sz w:val="20"/>
                <w:szCs w:val="20"/>
              </w:rPr>
              <w:t xml:space="preserve">Indication </w:t>
            </w:r>
            <w:r w:rsidR="00650D18" w:rsidRPr="00386411">
              <w:rPr>
                <w:rFonts w:ascii="Arial Narrow" w:hAnsi="Arial Narrow"/>
                <w:b/>
                <w:sz w:val="20"/>
                <w:szCs w:val="20"/>
              </w:rPr>
              <w:br/>
            </w:r>
            <w:r w:rsidRPr="00386411">
              <w:rPr>
                <w:rFonts w:ascii="Arial Narrow" w:hAnsi="Arial Narrow"/>
                <w:b/>
                <w:sz w:val="20"/>
                <w:szCs w:val="20"/>
              </w:rPr>
              <w:t>(</w:t>
            </w:r>
            <w:r w:rsidR="00650D18" w:rsidRPr="00386411">
              <w:rPr>
                <w:rFonts w:ascii="Arial Narrow" w:hAnsi="Arial Narrow"/>
                <w:b/>
                <w:sz w:val="20"/>
                <w:szCs w:val="20"/>
              </w:rPr>
              <w:t xml:space="preserve"># </w:t>
            </w:r>
            <w:r w:rsidRPr="00386411">
              <w:rPr>
                <w:rFonts w:ascii="Arial Narrow" w:hAnsi="Arial Narrow"/>
                <w:b/>
                <w:sz w:val="20"/>
                <w:szCs w:val="20"/>
              </w:rPr>
              <w:t>RCTs)</w:t>
            </w:r>
          </w:p>
        </w:tc>
        <w:tc>
          <w:tcPr>
            <w:tcW w:w="1544" w:type="pct"/>
          </w:tcPr>
          <w:p w14:paraId="333E198A" w14:textId="2B866387" w:rsidR="00296C9F" w:rsidRPr="00386411" w:rsidRDefault="00296C9F" w:rsidP="00C641BE">
            <w:pPr>
              <w:keepNext/>
              <w:spacing w:before="0" w:after="40" w:line="240" w:lineRule="auto"/>
              <w:rPr>
                <w:rFonts w:ascii="Arial Narrow" w:hAnsi="Arial Narrow"/>
                <w:b/>
                <w:sz w:val="20"/>
                <w:szCs w:val="20"/>
                <w:highlight w:val="yellow"/>
              </w:rPr>
            </w:pPr>
            <w:r w:rsidRPr="00386411">
              <w:rPr>
                <w:rFonts w:ascii="Arial Narrow" w:hAnsi="Arial Narrow"/>
                <w:b/>
                <w:sz w:val="20"/>
                <w:szCs w:val="20"/>
              </w:rPr>
              <w:t>Reason for exclusion</w:t>
            </w:r>
          </w:p>
        </w:tc>
      </w:tr>
      <w:tr w:rsidR="0013413A" w:rsidRPr="003B4D22" w14:paraId="2BE06EAA" w14:textId="77777777" w:rsidTr="00D61FFC">
        <w:tc>
          <w:tcPr>
            <w:tcW w:w="785" w:type="pct"/>
          </w:tcPr>
          <w:p w14:paraId="7E80CC56" w14:textId="77777777" w:rsidR="0013413A" w:rsidRPr="003B4D22" w:rsidRDefault="0013413A" w:rsidP="00F814DE">
            <w:pPr>
              <w:spacing w:after="40" w:line="240" w:lineRule="auto"/>
              <w:jc w:val="left"/>
              <w:rPr>
                <w:rFonts w:ascii="Arial Narrow" w:hAnsi="Arial Narrow"/>
                <w:sz w:val="20"/>
                <w:szCs w:val="20"/>
              </w:rPr>
            </w:pPr>
            <w:r w:rsidRPr="003B4D22">
              <w:rPr>
                <w:rFonts w:ascii="Arial Narrow" w:hAnsi="Arial Narrow"/>
                <w:sz w:val="20"/>
                <w:szCs w:val="20"/>
              </w:rPr>
              <w:t>Ahn et al., 2018.</w:t>
            </w:r>
          </w:p>
        </w:tc>
        <w:tc>
          <w:tcPr>
            <w:tcW w:w="2042" w:type="pct"/>
          </w:tcPr>
          <w:p w14:paraId="2E2BFDF3" w14:textId="77777777" w:rsidR="0013413A" w:rsidRPr="003B4D22" w:rsidRDefault="0013413A" w:rsidP="00F814DE">
            <w:pPr>
              <w:spacing w:after="40" w:line="240" w:lineRule="auto"/>
              <w:jc w:val="left"/>
              <w:rPr>
                <w:rFonts w:ascii="Arial Narrow" w:hAnsi="Arial Narrow"/>
                <w:sz w:val="20"/>
                <w:szCs w:val="20"/>
              </w:rPr>
            </w:pPr>
            <w:r w:rsidRPr="003B4D22">
              <w:rPr>
                <w:rFonts w:ascii="Arial Narrow" w:hAnsi="Arial Narrow"/>
                <w:sz w:val="20"/>
                <w:szCs w:val="20"/>
              </w:rPr>
              <w:t>Effectiveness of immunoglobulin prophylaxis in reducing clinical complications of hematopoietic stem cell transplantation: a systematic review and meta-analysis', Transfusion, 58: 2437-52.</w:t>
            </w:r>
          </w:p>
        </w:tc>
        <w:tc>
          <w:tcPr>
            <w:tcW w:w="629" w:type="pct"/>
          </w:tcPr>
          <w:p w14:paraId="68BA0CBF" w14:textId="77777777" w:rsidR="0013413A" w:rsidRPr="003B4D22" w:rsidRDefault="0013413A"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HSCT(27)</w:t>
            </w:r>
          </w:p>
        </w:tc>
        <w:tc>
          <w:tcPr>
            <w:tcW w:w="1544" w:type="pct"/>
          </w:tcPr>
          <w:p w14:paraId="4487E170" w14:textId="77777777" w:rsidR="0013413A" w:rsidRPr="003B4D22" w:rsidRDefault="0013413A" w:rsidP="00F814DE">
            <w:pPr>
              <w:spacing w:after="40" w:line="240" w:lineRule="auto"/>
              <w:jc w:val="left"/>
              <w:rPr>
                <w:rFonts w:ascii="Arial Narrow" w:hAnsi="Arial Narrow"/>
                <w:sz w:val="20"/>
                <w:szCs w:val="20"/>
              </w:rPr>
            </w:pPr>
            <w:r w:rsidRPr="003B4D22">
              <w:rPr>
                <w:rFonts w:ascii="Arial Narrow" w:hAnsi="Arial Narrow"/>
                <w:sz w:val="20"/>
                <w:szCs w:val="20"/>
              </w:rPr>
              <w:t xml:space="preserve">The review included all studies of IgG regardless of baseline infections risk and/or hypogamma-globulinaemia. </w:t>
            </w:r>
          </w:p>
        </w:tc>
      </w:tr>
      <w:tr w:rsidR="003B428E" w:rsidRPr="003B4D22" w14:paraId="04E41D6B" w14:textId="77777777" w:rsidTr="00D61FFC">
        <w:tc>
          <w:tcPr>
            <w:tcW w:w="785" w:type="pct"/>
          </w:tcPr>
          <w:p w14:paraId="7E006762" w14:textId="3CCDC199" w:rsidR="003B428E" w:rsidRPr="003B4D22" w:rsidRDefault="003B428E" w:rsidP="00F814DE">
            <w:pPr>
              <w:spacing w:after="40" w:line="240" w:lineRule="auto"/>
              <w:jc w:val="left"/>
              <w:rPr>
                <w:rFonts w:ascii="Arial Narrow" w:hAnsi="Arial Narrow"/>
                <w:sz w:val="20"/>
                <w:szCs w:val="20"/>
              </w:rPr>
            </w:pPr>
            <w:r w:rsidRPr="003B4D22">
              <w:rPr>
                <w:rFonts w:ascii="Arial Narrow" w:hAnsi="Arial Narrow"/>
                <w:sz w:val="20"/>
                <w:szCs w:val="20"/>
              </w:rPr>
              <w:t xml:space="preserve">Bass et al., (1993) </w:t>
            </w:r>
          </w:p>
        </w:tc>
        <w:tc>
          <w:tcPr>
            <w:tcW w:w="2042" w:type="pct"/>
          </w:tcPr>
          <w:p w14:paraId="708B1B8D" w14:textId="3C88E492" w:rsidR="003B428E" w:rsidRPr="003B4D22" w:rsidRDefault="003B428E" w:rsidP="00F814DE">
            <w:pPr>
              <w:spacing w:after="40" w:line="240" w:lineRule="auto"/>
              <w:jc w:val="left"/>
              <w:rPr>
                <w:rFonts w:ascii="Arial Narrow" w:hAnsi="Arial Narrow"/>
                <w:sz w:val="20"/>
                <w:szCs w:val="20"/>
              </w:rPr>
            </w:pPr>
            <w:r w:rsidRPr="003B4D22">
              <w:rPr>
                <w:rFonts w:ascii="Arial Narrow" w:hAnsi="Arial Narrow"/>
                <w:sz w:val="20"/>
                <w:szCs w:val="20"/>
              </w:rPr>
              <w:t xml:space="preserve">Efficacy of immune globulin in preventing complications of bone marrow transplantation: a meta-analysis. </w:t>
            </w:r>
            <w:r w:rsidRPr="003B4D22">
              <w:rPr>
                <w:rFonts w:ascii="Arial Narrow" w:hAnsi="Arial Narrow"/>
                <w:sz w:val="20"/>
                <w:szCs w:val="20"/>
              </w:rPr>
              <w:br/>
              <w:t>Bone Marrow Transplant. 1993;12(3):273-82.</w:t>
            </w:r>
          </w:p>
        </w:tc>
        <w:tc>
          <w:tcPr>
            <w:tcW w:w="629" w:type="pct"/>
          </w:tcPr>
          <w:p w14:paraId="23ACE14B" w14:textId="6F739BC9" w:rsidR="003B428E" w:rsidRPr="003B4D22" w:rsidRDefault="00F67034" w:rsidP="00F814DE">
            <w:pPr>
              <w:spacing w:after="40" w:line="240" w:lineRule="auto"/>
              <w:ind w:left="-57"/>
              <w:jc w:val="left"/>
              <w:rPr>
                <w:rFonts w:ascii="Arial Narrow" w:hAnsi="Arial Narrow"/>
                <w:sz w:val="20"/>
                <w:szCs w:val="20"/>
              </w:rPr>
            </w:pPr>
            <w:r>
              <w:rPr>
                <w:rFonts w:ascii="Arial Narrow" w:hAnsi="Arial Narrow"/>
                <w:sz w:val="20"/>
                <w:szCs w:val="20"/>
              </w:rPr>
              <w:t>HSCT/BMT</w:t>
            </w:r>
          </w:p>
        </w:tc>
        <w:tc>
          <w:tcPr>
            <w:tcW w:w="1544" w:type="pct"/>
          </w:tcPr>
          <w:p w14:paraId="3A4BB178" w14:textId="718B2A2A" w:rsidR="003B428E" w:rsidRPr="00F67034" w:rsidRDefault="00826CFF" w:rsidP="00F814DE">
            <w:pPr>
              <w:spacing w:before="0" w:after="40" w:line="240" w:lineRule="auto"/>
              <w:ind w:left="-57"/>
              <w:jc w:val="left"/>
              <w:rPr>
                <w:rFonts w:ascii="Arial Narrow" w:hAnsi="Arial Narrow"/>
                <w:sz w:val="20"/>
                <w:szCs w:val="20"/>
              </w:rPr>
            </w:pPr>
            <w:r w:rsidRPr="00F67034">
              <w:rPr>
                <w:rFonts w:ascii="Arial Narrow" w:hAnsi="Arial Narrow"/>
                <w:sz w:val="20"/>
                <w:szCs w:val="20"/>
              </w:rPr>
              <w:t xml:space="preserve">Included studies (k=12) were a mix of interventions, outcomes and only included some </w:t>
            </w:r>
            <w:r w:rsidR="003B428E" w:rsidRPr="00F67034">
              <w:rPr>
                <w:rFonts w:ascii="Arial Narrow" w:hAnsi="Arial Narrow"/>
                <w:sz w:val="20"/>
                <w:szCs w:val="20"/>
              </w:rPr>
              <w:t>randomised trials.</w:t>
            </w:r>
          </w:p>
        </w:tc>
      </w:tr>
      <w:tr w:rsidR="00BB76A2" w:rsidRPr="003B4D22" w14:paraId="17679EE7" w14:textId="77777777" w:rsidTr="00D61FFC">
        <w:tc>
          <w:tcPr>
            <w:tcW w:w="785" w:type="pct"/>
          </w:tcPr>
          <w:p w14:paraId="0EAFC82F" w14:textId="4EA6FE18" w:rsidR="00296C9F" w:rsidRPr="003B4D22" w:rsidRDefault="00296C9F" w:rsidP="00F814DE">
            <w:pPr>
              <w:spacing w:before="0" w:after="40" w:line="240" w:lineRule="auto"/>
              <w:jc w:val="left"/>
              <w:rPr>
                <w:rFonts w:ascii="Arial Narrow" w:hAnsi="Arial Narrow"/>
                <w:sz w:val="20"/>
                <w:szCs w:val="20"/>
              </w:rPr>
            </w:pPr>
            <w:r w:rsidRPr="003B4D22">
              <w:rPr>
                <w:rFonts w:ascii="Arial Narrow" w:hAnsi="Arial Narrow"/>
                <w:sz w:val="20"/>
                <w:szCs w:val="20"/>
              </w:rPr>
              <w:t>Raanani et al., 2008</w:t>
            </w:r>
          </w:p>
        </w:tc>
        <w:tc>
          <w:tcPr>
            <w:tcW w:w="2042" w:type="pct"/>
          </w:tcPr>
          <w:p w14:paraId="089F740A" w14:textId="5F2DA1C0" w:rsidR="00296C9F" w:rsidRPr="003B4D22" w:rsidRDefault="00296C9F" w:rsidP="00F814DE">
            <w:pPr>
              <w:spacing w:before="0" w:after="40" w:line="240" w:lineRule="auto"/>
              <w:jc w:val="left"/>
              <w:rPr>
                <w:rFonts w:ascii="Arial Narrow" w:hAnsi="Arial Narrow"/>
                <w:sz w:val="20"/>
                <w:szCs w:val="20"/>
              </w:rPr>
            </w:pPr>
            <w:r w:rsidRPr="003B4D22">
              <w:rPr>
                <w:rFonts w:ascii="Arial Narrow" w:hAnsi="Arial Narrow"/>
                <w:sz w:val="20"/>
                <w:szCs w:val="20"/>
              </w:rPr>
              <w:t>Immunoglobulin prophylaxis in hematological malignancies and hematopoietic stem cell transplantation</w:t>
            </w:r>
            <w:r w:rsidRPr="003B4D22">
              <w:rPr>
                <w:rFonts w:ascii="Arial Narrow" w:hAnsi="Arial Narrow"/>
                <w:sz w:val="20"/>
                <w:szCs w:val="20"/>
              </w:rPr>
              <w:br/>
              <w:t>Cochrane Database Syst Rev(4): CD006501.</w:t>
            </w:r>
          </w:p>
        </w:tc>
        <w:tc>
          <w:tcPr>
            <w:tcW w:w="629" w:type="pct"/>
          </w:tcPr>
          <w:p w14:paraId="0585407C" w14:textId="4E5265AB" w:rsidR="00296C9F" w:rsidRPr="003B4D22" w:rsidRDefault="00D61FF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HSCT(30), haem.</w:t>
            </w:r>
            <w:r w:rsidR="00296C9F" w:rsidRPr="003B4D22">
              <w:rPr>
                <w:rFonts w:ascii="Arial Narrow" w:hAnsi="Arial Narrow"/>
                <w:sz w:val="20"/>
                <w:szCs w:val="20"/>
              </w:rPr>
              <w:t xml:space="preserve"> malignancies</w:t>
            </w:r>
            <w:r w:rsidRPr="003B4D22">
              <w:rPr>
                <w:rFonts w:ascii="Arial Narrow" w:hAnsi="Arial Narrow"/>
                <w:sz w:val="20"/>
                <w:szCs w:val="20"/>
              </w:rPr>
              <w:t xml:space="preserve"> </w:t>
            </w:r>
            <w:r w:rsidR="00296C9F" w:rsidRPr="003B4D22">
              <w:rPr>
                <w:rFonts w:ascii="Arial Narrow" w:hAnsi="Arial Narrow"/>
                <w:sz w:val="20"/>
                <w:szCs w:val="20"/>
              </w:rPr>
              <w:t>(10)</w:t>
            </w:r>
          </w:p>
        </w:tc>
        <w:tc>
          <w:tcPr>
            <w:tcW w:w="1544" w:type="pct"/>
          </w:tcPr>
          <w:p w14:paraId="6833699D" w14:textId="6E4C087E" w:rsidR="00296C9F" w:rsidRPr="003B4D22" w:rsidRDefault="00296C9F" w:rsidP="00F814DE">
            <w:pPr>
              <w:spacing w:before="0" w:after="40" w:line="240" w:lineRule="auto"/>
              <w:jc w:val="left"/>
              <w:rPr>
                <w:rFonts w:ascii="Arial Narrow" w:hAnsi="Arial Narrow"/>
                <w:sz w:val="20"/>
                <w:szCs w:val="20"/>
                <w:highlight w:val="yellow"/>
              </w:rPr>
            </w:pPr>
            <w:r w:rsidRPr="003B4D22">
              <w:rPr>
                <w:rFonts w:ascii="Arial Narrow" w:hAnsi="Arial Narrow"/>
                <w:sz w:val="20"/>
                <w:szCs w:val="20"/>
              </w:rPr>
              <w:t xml:space="preserve">The review included all studies of IgG and CMV-IgG regardless of baseline infections risk and/or hypogamma-globulinaemia. </w:t>
            </w:r>
          </w:p>
        </w:tc>
      </w:tr>
      <w:tr w:rsidR="0013413A" w:rsidRPr="003B4D22" w14:paraId="30361DDE" w14:textId="77777777" w:rsidTr="00D61FFC">
        <w:tc>
          <w:tcPr>
            <w:tcW w:w="785" w:type="pct"/>
          </w:tcPr>
          <w:p w14:paraId="02D878F4" w14:textId="77777777" w:rsidR="0013413A" w:rsidRPr="003B4D22" w:rsidRDefault="0013413A" w:rsidP="00F814DE">
            <w:pPr>
              <w:spacing w:after="40" w:line="240" w:lineRule="auto"/>
              <w:jc w:val="left"/>
              <w:rPr>
                <w:rFonts w:ascii="Arial Narrow" w:hAnsi="Arial Narrow"/>
                <w:sz w:val="20"/>
                <w:szCs w:val="20"/>
              </w:rPr>
            </w:pPr>
            <w:r w:rsidRPr="003B4D22">
              <w:rPr>
                <w:rFonts w:ascii="Arial Narrow" w:hAnsi="Arial Narrow"/>
                <w:sz w:val="20"/>
                <w:szCs w:val="20"/>
              </w:rPr>
              <w:t>Raanani et al., 2009</w:t>
            </w:r>
          </w:p>
        </w:tc>
        <w:tc>
          <w:tcPr>
            <w:tcW w:w="2042" w:type="pct"/>
          </w:tcPr>
          <w:p w14:paraId="45A4E110" w14:textId="77777777" w:rsidR="0013413A" w:rsidRPr="003B4D22" w:rsidRDefault="0013413A" w:rsidP="00F814DE">
            <w:pPr>
              <w:spacing w:after="40" w:line="240" w:lineRule="auto"/>
              <w:jc w:val="left"/>
              <w:rPr>
                <w:rFonts w:ascii="Arial Narrow" w:hAnsi="Arial Narrow"/>
                <w:sz w:val="20"/>
                <w:szCs w:val="20"/>
              </w:rPr>
            </w:pPr>
            <w:r w:rsidRPr="003B4D22">
              <w:rPr>
                <w:rFonts w:ascii="Arial Narrow" w:hAnsi="Arial Narrow"/>
                <w:sz w:val="20"/>
                <w:szCs w:val="20"/>
              </w:rPr>
              <w:t>Immunoglobulin prophylaxis in chronic lymphocytic leukemia and multiple myeloma: Systematic review and meta-analysis.</w:t>
            </w:r>
            <w:r w:rsidRPr="003B4D22">
              <w:rPr>
                <w:rFonts w:ascii="Arial Narrow" w:hAnsi="Arial Narrow"/>
                <w:sz w:val="20"/>
                <w:szCs w:val="20"/>
              </w:rPr>
              <w:br/>
              <w:t>Leukemia and Lymphoma 50(5): 764-772.</w:t>
            </w:r>
          </w:p>
        </w:tc>
        <w:tc>
          <w:tcPr>
            <w:tcW w:w="629" w:type="pct"/>
          </w:tcPr>
          <w:p w14:paraId="615AF409" w14:textId="77777777" w:rsidR="0013413A" w:rsidRPr="003B4D22" w:rsidRDefault="0013413A"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CLL or MM (9)</w:t>
            </w:r>
          </w:p>
        </w:tc>
        <w:tc>
          <w:tcPr>
            <w:tcW w:w="1544" w:type="pct"/>
          </w:tcPr>
          <w:p w14:paraId="7950EA36" w14:textId="2724980E" w:rsidR="0013413A" w:rsidRPr="003B4D22" w:rsidRDefault="0013413A" w:rsidP="00F814DE">
            <w:pPr>
              <w:spacing w:after="40" w:line="240" w:lineRule="auto"/>
              <w:jc w:val="left"/>
              <w:rPr>
                <w:rFonts w:ascii="Arial Narrow" w:hAnsi="Arial Narrow"/>
                <w:sz w:val="20"/>
                <w:szCs w:val="20"/>
              </w:rPr>
            </w:pPr>
            <w:r w:rsidRPr="003B4D22">
              <w:rPr>
                <w:rFonts w:ascii="Arial Narrow" w:hAnsi="Arial Narrow"/>
                <w:sz w:val="20"/>
                <w:szCs w:val="20"/>
              </w:rPr>
              <w:t xml:space="preserve">The review included all studies of IgG regardless of baseline infections risk and/or hypogammaglobulinaemia. </w:t>
            </w:r>
          </w:p>
        </w:tc>
      </w:tr>
      <w:tr w:rsidR="00BB76A2" w:rsidRPr="003B4D22" w14:paraId="349197B0" w14:textId="77777777" w:rsidTr="00D61FFC">
        <w:tc>
          <w:tcPr>
            <w:tcW w:w="785" w:type="pct"/>
          </w:tcPr>
          <w:p w14:paraId="7D47C8D9" w14:textId="77777777" w:rsidR="00296C9F" w:rsidRPr="003B4D22" w:rsidRDefault="00296C9F" w:rsidP="00F814DE">
            <w:pPr>
              <w:spacing w:before="0" w:after="40" w:line="240" w:lineRule="auto"/>
              <w:jc w:val="left"/>
              <w:rPr>
                <w:rFonts w:ascii="Arial Narrow" w:hAnsi="Arial Narrow"/>
                <w:sz w:val="20"/>
                <w:szCs w:val="20"/>
              </w:rPr>
            </w:pPr>
            <w:r w:rsidRPr="003B4D22">
              <w:rPr>
                <w:rFonts w:ascii="Arial Narrow" w:hAnsi="Arial Narrow"/>
                <w:sz w:val="20"/>
                <w:szCs w:val="20"/>
              </w:rPr>
              <w:t>Raanani, Gafter-Gvili et al., 2009</w:t>
            </w:r>
          </w:p>
        </w:tc>
        <w:tc>
          <w:tcPr>
            <w:tcW w:w="2042" w:type="pct"/>
          </w:tcPr>
          <w:p w14:paraId="45F1313B" w14:textId="74A3280D" w:rsidR="00296C9F" w:rsidRPr="003B4D22" w:rsidRDefault="00296C9F" w:rsidP="00F814DE">
            <w:pPr>
              <w:spacing w:before="0" w:after="40" w:line="240" w:lineRule="auto"/>
              <w:jc w:val="left"/>
              <w:rPr>
                <w:rFonts w:ascii="Arial Narrow" w:hAnsi="Arial Narrow"/>
                <w:sz w:val="20"/>
                <w:szCs w:val="20"/>
              </w:rPr>
            </w:pPr>
            <w:r w:rsidRPr="003B4D22">
              <w:rPr>
                <w:rFonts w:ascii="Arial Narrow" w:hAnsi="Arial Narrow"/>
                <w:sz w:val="20"/>
                <w:szCs w:val="20"/>
              </w:rPr>
              <w:t xml:space="preserve">Immunoglobulin prophylaxis in hematopoietic stem cell transplantation: Systematic review and meta-analysis. </w:t>
            </w:r>
            <w:r w:rsidRPr="003B4D22">
              <w:rPr>
                <w:rFonts w:ascii="Arial Narrow" w:hAnsi="Arial Narrow"/>
                <w:sz w:val="20"/>
                <w:szCs w:val="20"/>
              </w:rPr>
              <w:br/>
              <w:t>J Clin Oncol 2009 Feb;27(5):770-81.</w:t>
            </w:r>
          </w:p>
        </w:tc>
        <w:tc>
          <w:tcPr>
            <w:tcW w:w="629" w:type="pct"/>
          </w:tcPr>
          <w:p w14:paraId="106C2A16" w14:textId="78627181" w:rsidR="00296C9F" w:rsidRPr="003B4D22" w:rsidRDefault="00296C9F"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HSCT (30)</w:t>
            </w:r>
          </w:p>
        </w:tc>
        <w:tc>
          <w:tcPr>
            <w:tcW w:w="1544" w:type="pct"/>
          </w:tcPr>
          <w:p w14:paraId="50FA7CC6" w14:textId="1A9EF3F9" w:rsidR="00296C9F" w:rsidRPr="003B4D22" w:rsidRDefault="00296C9F" w:rsidP="00F814DE">
            <w:pPr>
              <w:spacing w:before="0" w:after="40" w:line="240" w:lineRule="auto"/>
              <w:jc w:val="left"/>
              <w:rPr>
                <w:rFonts w:ascii="Arial Narrow" w:hAnsi="Arial Narrow"/>
                <w:sz w:val="20"/>
                <w:szCs w:val="20"/>
              </w:rPr>
            </w:pPr>
            <w:r w:rsidRPr="003B4D22">
              <w:rPr>
                <w:rFonts w:ascii="Arial Narrow" w:hAnsi="Arial Narrow"/>
                <w:sz w:val="20"/>
                <w:szCs w:val="20"/>
              </w:rPr>
              <w:t xml:space="preserve">As above. </w:t>
            </w:r>
          </w:p>
        </w:tc>
      </w:tr>
    </w:tbl>
    <w:p w14:paraId="32A10258" w14:textId="5757601E" w:rsidR="008409CE" w:rsidRPr="003B4D22" w:rsidRDefault="00296C9F" w:rsidP="00826CFF">
      <w:pPr>
        <w:rPr>
          <w:rFonts w:ascii="Arial Narrow" w:hAnsi="Arial Narrow"/>
          <w:sz w:val="20"/>
        </w:rPr>
      </w:pPr>
      <w:r w:rsidRPr="003B4D22">
        <w:rPr>
          <w:rFonts w:ascii="Arial Narrow" w:hAnsi="Arial Narrow"/>
          <w:sz w:val="20"/>
        </w:rPr>
        <w:t xml:space="preserve">Abbreviations are the same as those in </w:t>
      </w:r>
      <w:r w:rsidR="00826CFF" w:rsidRPr="003B4D22">
        <w:rPr>
          <w:rFonts w:ascii="Arial Narrow" w:hAnsi="Arial Narrow"/>
          <w:sz w:val="20"/>
        </w:rPr>
        <w:fldChar w:fldCharType="begin"/>
      </w:r>
      <w:r w:rsidR="00826CFF" w:rsidRPr="003B4D22">
        <w:rPr>
          <w:rFonts w:ascii="Arial Narrow" w:hAnsi="Arial Narrow"/>
          <w:sz w:val="20"/>
        </w:rPr>
        <w:instrText xml:space="preserve"> REF _Ref11162222 \h  \* MERGEFORMAT </w:instrText>
      </w:r>
      <w:r w:rsidR="00826CFF" w:rsidRPr="003B4D22">
        <w:rPr>
          <w:rFonts w:ascii="Arial Narrow" w:hAnsi="Arial Narrow"/>
          <w:sz w:val="20"/>
        </w:rPr>
      </w:r>
      <w:r w:rsidR="00826CFF" w:rsidRPr="003B4D22">
        <w:rPr>
          <w:rFonts w:ascii="Arial Narrow" w:hAnsi="Arial Narrow"/>
          <w:sz w:val="20"/>
        </w:rPr>
        <w:fldChar w:fldCharType="separate"/>
      </w:r>
      <w:r w:rsidR="00A7463B" w:rsidRPr="00A7463B">
        <w:rPr>
          <w:rFonts w:ascii="Arial Narrow" w:hAnsi="Arial Narrow"/>
          <w:sz w:val="20"/>
        </w:rPr>
        <w:t xml:space="preserve">Table </w:t>
      </w:r>
      <w:r w:rsidR="00A7463B" w:rsidRPr="00A7463B">
        <w:rPr>
          <w:rFonts w:ascii="Arial Narrow" w:hAnsi="Arial Narrow"/>
          <w:noProof/>
          <w:sz w:val="20"/>
        </w:rPr>
        <w:t>79</w:t>
      </w:r>
      <w:r w:rsidR="00826CFF" w:rsidRPr="003B4D22">
        <w:rPr>
          <w:rFonts w:ascii="Arial Narrow" w:hAnsi="Arial Narrow"/>
          <w:sz w:val="20"/>
        </w:rPr>
        <w:fldChar w:fldCharType="end"/>
      </w:r>
    </w:p>
    <w:p w14:paraId="4BAA958D" w14:textId="4E0F3F7B" w:rsidR="00525A80" w:rsidRPr="00386411" w:rsidRDefault="00525A80" w:rsidP="00D97117">
      <w:pPr>
        <w:pStyle w:val="Caption"/>
        <w:keepNext/>
        <w:rPr>
          <w:snapToGrid w:val="0"/>
          <w:lang w:eastAsia="en-US"/>
        </w:rPr>
      </w:pPr>
      <w:bookmarkStart w:id="755" w:name="_Ref11931046"/>
      <w:bookmarkStart w:id="756" w:name="_Toc14429623"/>
      <w:bookmarkStart w:id="757" w:name="_Toc16671681"/>
      <w:r w:rsidRPr="00386411">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83</w:t>
      </w:r>
      <w:r w:rsidRPr="00386411">
        <w:rPr>
          <w:noProof/>
        </w:rPr>
        <w:fldChar w:fldCharType="end"/>
      </w:r>
      <w:bookmarkEnd w:id="755"/>
      <w:r w:rsidRPr="00386411">
        <w:tab/>
      </w:r>
      <w:r w:rsidRPr="00386411">
        <w:rPr>
          <w:snapToGrid w:val="0"/>
          <w:lang w:eastAsia="en-US"/>
        </w:rPr>
        <w:t>List of the excluded studies</w:t>
      </w:r>
      <w:bookmarkEnd w:id="756"/>
      <w:bookmarkEnd w:id="757"/>
    </w:p>
    <w:tbl>
      <w:tblPr>
        <w:tblStyle w:val="TableGrid5"/>
        <w:tblW w:w="5000" w:type="pct"/>
        <w:tblLayout w:type="fixed"/>
        <w:tblLook w:val="04A0" w:firstRow="1" w:lastRow="0" w:firstColumn="1" w:lastColumn="0" w:noHBand="0" w:noVBand="1"/>
        <w:tblCaption w:val="List of the excluded studies"/>
      </w:tblPr>
      <w:tblGrid>
        <w:gridCol w:w="1157"/>
        <w:gridCol w:w="3778"/>
        <w:gridCol w:w="1163"/>
        <w:gridCol w:w="3144"/>
      </w:tblGrid>
      <w:tr w:rsidR="00296C9F" w:rsidRPr="00386411" w14:paraId="4549F20D" w14:textId="77777777" w:rsidTr="00BE732E">
        <w:trPr>
          <w:tblHeader/>
        </w:trPr>
        <w:tc>
          <w:tcPr>
            <w:tcW w:w="626" w:type="pct"/>
          </w:tcPr>
          <w:p w14:paraId="6A381FCE" w14:textId="6E2BD152" w:rsidR="00296C9F" w:rsidRPr="00386411" w:rsidRDefault="00296C9F" w:rsidP="004D1C40">
            <w:pPr>
              <w:keepNext/>
              <w:spacing w:before="0" w:after="40" w:line="240" w:lineRule="auto"/>
              <w:ind w:left="-57"/>
              <w:rPr>
                <w:rFonts w:ascii="Arial Narrow" w:hAnsi="Arial Narrow"/>
                <w:b/>
                <w:sz w:val="20"/>
                <w:szCs w:val="20"/>
              </w:rPr>
            </w:pPr>
            <w:r w:rsidRPr="00386411">
              <w:rPr>
                <w:rFonts w:ascii="Arial Narrow" w:hAnsi="Arial Narrow"/>
                <w:b/>
                <w:sz w:val="20"/>
                <w:szCs w:val="20"/>
              </w:rPr>
              <w:t xml:space="preserve">Study </w:t>
            </w:r>
          </w:p>
        </w:tc>
        <w:tc>
          <w:tcPr>
            <w:tcW w:w="2044" w:type="pct"/>
          </w:tcPr>
          <w:p w14:paraId="06291D06" w14:textId="77777777" w:rsidR="00296C9F" w:rsidRPr="00386411" w:rsidRDefault="00296C9F" w:rsidP="00D61FFC">
            <w:pPr>
              <w:keepNext/>
              <w:spacing w:before="0" w:after="40" w:line="240" w:lineRule="auto"/>
              <w:ind w:left="-57"/>
              <w:rPr>
                <w:rFonts w:ascii="Arial Narrow" w:hAnsi="Arial Narrow"/>
                <w:b/>
                <w:sz w:val="20"/>
                <w:szCs w:val="20"/>
              </w:rPr>
            </w:pPr>
            <w:r w:rsidRPr="00386411">
              <w:rPr>
                <w:rFonts w:ascii="Arial Narrow" w:hAnsi="Arial Narrow"/>
                <w:b/>
                <w:sz w:val="20"/>
                <w:szCs w:val="20"/>
              </w:rPr>
              <w:t>Title+citation</w:t>
            </w:r>
          </w:p>
        </w:tc>
        <w:tc>
          <w:tcPr>
            <w:tcW w:w="629" w:type="pct"/>
          </w:tcPr>
          <w:p w14:paraId="7C56EE59" w14:textId="3C98E1A0" w:rsidR="00296C9F" w:rsidRPr="00386411" w:rsidRDefault="00C641BE" w:rsidP="00D61FFC">
            <w:pPr>
              <w:keepNext/>
              <w:spacing w:before="0" w:after="40" w:line="240" w:lineRule="auto"/>
              <w:ind w:left="-57"/>
              <w:rPr>
                <w:rFonts w:ascii="Arial Narrow" w:hAnsi="Arial Narrow"/>
                <w:b/>
                <w:sz w:val="20"/>
                <w:szCs w:val="20"/>
              </w:rPr>
            </w:pPr>
            <w:r w:rsidRPr="00386411">
              <w:rPr>
                <w:rFonts w:ascii="Arial Narrow" w:hAnsi="Arial Narrow"/>
                <w:b/>
                <w:sz w:val="20"/>
                <w:szCs w:val="20"/>
              </w:rPr>
              <w:t xml:space="preserve">Indication </w:t>
            </w:r>
            <w:r w:rsidRPr="00386411">
              <w:rPr>
                <w:rFonts w:ascii="Arial Narrow" w:hAnsi="Arial Narrow"/>
                <w:b/>
                <w:sz w:val="20"/>
                <w:szCs w:val="20"/>
              </w:rPr>
              <w:br/>
              <w:t>(N patients</w:t>
            </w:r>
            <w:r w:rsidR="00296C9F" w:rsidRPr="00386411">
              <w:rPr>
                <w:rFonts w:ascii="Arial Narrow" w:hAnsi="Arial Narrow"/>
                <w:b/>
                <w:sz w:val="20"/>
                <w:szCs w:val="20"/>
              </w:rPr>
              <w:t>)</w:t>
            </w:r>
          </w:p>
        </w:tc>
        <w:tc>
          <w:tcPr>
            <w:tcW w:w="1701" w:type="pct"/>
          </w:tcPr>
          <w:p w14:paraId="724B13F7" w14:textId="28DE89BD" w:rsidR="00296C9F" w:rsidRPr="00386411" w:rsidRDefault="00296C9F" w:rsidP="00D61FFC">
            <w:pPr>
              <w:keepNext/>
              <w:spacing w:before="0" w:after="40" w:line="240" w:lineRule="auto"/>
              <w:ind w:left="-57"/>
              <w:rPr>
                <w:rFonts w:ascii="Arial Narrow" w:hAnsi="Arial Narrow"/>
                <w:b/>
                <w:sz w:val="20"/>
                <w:szCs w:val="20"/>
                <w:highlight w:val="yellow"/>
              </w:rPr>
            </w:pPr>
            <w:r w:rsidRPr="00386411">
              <w:rPr>
                <w:rFonts w:ascii="Arial Narrow" w:hAnsi="Arial Narrow"/>
                <w:b/>
                <w:sz w:val="20"/>
                <w:szCs w:val="20"/>
              </w:rPr>
              <w:t>Reason for exclusion</w:t>
            </w:r>
          </w:p>
        </w:tc>
      </w:tr>
      <w:tr w:rsidR="00296C9F" w:rsidRPr="003B4D22" w14:paraId="28DBD148" w14:textId="77777777" w:rsidTr="00BE732E">
        <w:tc>
          <w:tcPr>
            <w:tcW w:w="626" w:type="pct"/>
          </w:tcPr>
          <w:p w14:paraId="40D7B85C" w14:textId="3EABAFC2" w:rsidR="00296C9F" w:rsidRPr="003B4D22" w:rsidRDefault="005444B1"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Azik</w:t>
            </w:r>
            <w:r w:rsidR="00C641BE" w:rsidRPr="003B4D22">
              <w:rPr>
                <w:rFonts w:ascii="Arial Narrow" w:hAnsi="Arial Narrow"/>
                <w:sz w:val="20"/>
                <w:szCs w:val="20"/>
              </w:rPr>
              <w:t xml:space="preserve"> et al.</w:t>
            </w:r>
            <w:r w:rsidRPr="003B4D22">
              <w:rPr>
                <w:rFonts w:ascii="Arial Narrow" w:hAnsi="Arial Narrow"/>
                <w:sz w:val="20"/>
                <w:szCs w:val="20"/>
              </w:rPr>
              <w:t>,</w:t>
            </w:r>
            <w:r w:rsidR="00C641BE" w:rsidRPr="003B4D22">
              <w:rPr>
                <w:rFonts w:ascii="Arial Narrow" w:hAnsi="Arial Narrow"/>
                <w:sz w:val="20"/>
                <w:szCs w:val="20"/>
              </w:rPr>
              <w:t xml:space="preserve"> (2015). </w:t>
            </w:r>
          </w:p>
        </w:tc>
        <w:tc>
          <w:tcPr>
            <w:tcW w:w="2044" w:type="pct"/>
          </w:tcPr>
          <w:p w14:paraId="2EC880E2" w14:textId="376C9C02" w:rsidR="00296C9F" w:rsidRPr="003B4D22" w:rsidRDefault="00C641BE"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Comparison of prophylactic use of immunoglobulin M-enriched polyclonal immunoglobulin (Pentaglobins) versus standard immunoglobulin after pediatric hematopoietic stem cell transplatation.</w:t>
            </w:r>
            <w:r w:rsidRPr="003B4D22">
              <w:rPr>
                <w:rFonts w:ascii="Arial Narrow" w:hAnsi="Arial Narrow"/>
                <w:sz w:val="20"/>
                <w:szCs w:val="20"/>
              </w:rPr>
              <w:br/>
              <w:t>Bone marrow transplantation. 50: S573.</w:t>
            </w:r>
          </w:p>
        </w:tc>
        <w:tc>
          <w:tcPr>
            <w:tcW w:w="629" w:type="pct"/>
          </w:tcPr>
          <w:p w14:paraId="3D564AF7" w14:textId="0EA0F67E" w:rsidR="00296C9F"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HSCT</w:t>
            </w:r>
            <w:r w:rsidRPr="003B4D22">
              <w:rPr>
                <w:rFonts w:ascii="Arial Narrow" w:hAnsi="Arial Narrow"/>
                <w:sz w:val="20"/>
                <w:szCs w:val="20"/>
              </w:rPr>
              <w:br/>
              <w:t>N=59</w:t>
            </w:r>
          </w:p>
        </w:tc>
        <w:tc>
          <w:tcPr>
            <w:tcW w:w="1701" w:type="pct"/>
          </w:tcPr>
          <w:p w14:paraId="5D052150" w14:textId="3A85E46F" w:rsidR="00296C9F"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IgG tx commenced prior to conditioning; </w:t>
            </w:r>
            <w:r w:rsidR="0085225A" w:rsidRPr="003B4D22">
              <w:rPr>
                <w:rFonts w:ascii="Arial Narrow" w:hAnsi="Arial Narrow"/>
                <w:sz w:val="20"/>
                <w:szCs w:val="20"/>
              </w:rPr>
              <w:t xml:space="preserve">no record of serum IgG </w:t>
            </w:r>
            <w:r w:rsidR="00B36493" w:rsidRPr="003B4D22">
              <w:rPr>
                <w:rFonts w:ascii="Arial Narrow" w:hAnsi="Arial Narrow"/>
                <w:sz w:val="20"/>
                <w:szCs w:val="20"/>
              </w:rPr>
              <w:t xml:space="preserve">or infection history </w:t>
            </w:r>
            <w:r w:rsidR="0085225A" w:rsidRPr="003B4D22">
              <w:rPr>
                <w:rFonts w:ascii="Arial Narrow" w:hAnsi="Arial Narrow"/>
                <w:sz w:val="20"/>
                <w:szCs w:val="20"/>
              </w:rPr>
              <w:t xml:space="preserve">prior to tx. </w:t>
            </w:r>
            <w:r w:rsidRPr="003B4D22">
              <w:rPr>
                <w:rFonts w:ascii="Arial Narrow" w:hAnsi="Arial Narrow"/>
                <w:sz w:val="20"/>
                <w:szCs w:val="20"/>
              </w:rPr>
              <w:t xml:space="preserve"> </w:t>
            </w:r>
          </w:p>
        </w:tc>
      </w:tr>
      <w:tr w:rsidR="005444B1" w:rsidRPr="003B4D22" w14:paraId="23874549" w14:textId="77777777" w:rsidTr="00BE732E">
        <w:tc>
          <w:tcPr>
            <w:tcW w:w="626" w:type="pct"/>
          </w:tcPr>
          <w:p w14:paraId="3688A8B6" w14:textId="3A29EEBE" w:rsidR="005444B1" w:rsidRPr="003B4D22" w:rsidRDefault="005444B1"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Abdel-Mageed et al., (1999)</w:t>
            </w:r>
          </w:p>
        </w:tc>
        <w:tc>
          <w:tcPr>
            <w:tcW w:w="2044" w:type="pct"/>
          </w:tcPr>
          <w:p w14:paraId="33BD1FCA" w14:textId="7E2276FE" w:rsidR="005444B1" w:rsidRPr="003B4D22" w:rsidRDefault="005444B1"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Comparison of two doses of intravenous immunoglobulin after allogeneic bone marrow transplants. </w:t>
            </w:r>
            <w:r w:rsidRPr="003B4D22">
              <w:rPr>
                <w:rFonts w:ascii="Arial Narrow" w:hAnsi="Arial Narrow"/>
                <w:sz w:val="20"/>
                <w:szCs w:val="20"/>
              </w:rPr>
              <w:br/>
              <w:t>Bone Marrow Transplant. 1999;23:929-32.</w:t>
            </w:r>
          </w:p>
        </w:tc>
        <w:tc>
          <w:tcPr>
            <w:tcW w:w="629" w:type="pct"/>
          </w:tcPr>
          <w:p w14:paraId="797961C5" w14:textId="53FB15C5" w:rsidR="005444B1" w:rsidRPr="003B4D22" w:rsidRDefault="008242BA"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HSCT (allo-BMT)</w:t>
            </w:r>
            <w:r w:rsidRPr="003B4D22">
              <w:rPr>
                <w:rFonts w:ascii="Arial Narrow" w:hAnsi="Arial Narrow"/>
                <w:sz w:val="20"/>
                <w:szCs w:val="20"/>
              </w:rPr>
              <w:br/>
              <w:t>N=350</w:t>
            </w:r>
          </w:p>
        </w:tc>
        <w:tc>
          <w:tcPr>
            <w:tcW w:w="1701" w:type="pct"/>
          </w:tcPr>
          <w:p w14:paraId="40A8B728" w14:textId="2830B1BD" w:rsidR="005444B1" w:rsidRPr="003B4D22" w:rsidRDefault="008242BA"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No serum IgG levels at baseline or during study; nor infections with/without IgG</w:t>
            </w:r>
          </w:p>
        </w:tc>
      </w:tr>
      <w:tr w:rsidR="00032EAC" w:rsidRPr="003B4D22" w14:paraId="3240D289" w14:textId="77777777" w:rsidTr="00BE732E">
        <w:tc>
          <w:tcPr>
            <w:tcW w:w="626" w:type="pct"/>
          </w:tcPr>
          <w:p w14:paraId="55E216BD" w14:textId="1DD98041" w:rsidR="00032EAC" w:rsidRPr="003B4D22" w:rsidRDefault="00032EAC" w:rsidP="00F814DE">
            <w:pPr>
              <w:spacing w:after="40" w:line="240" w:lineRule="auto"/>
              <w:ind w:left="-57"/>
              <w:jc w:val="left"/>
              <w:rPr>
                <w:rFonts w:ascii="Arial Narrow" w:hAnsi="Arial Narrow"/>
                <w:sz w:val="20"/>
                <w:szCs w:val="20"/>
              </w:rPr>
            </w:pPr>
            <w:r w:rsidRPr="003B4D22">
              <w:rPr>
                <w:rFonts w:ascii="Arial Narrow" w:hAnsi="Arial Narrow"/>
                <w:sz w:val="20"/>
                <w:szCs w:val="20"/>
              </w:rPr>
              <w:t>Casulo et al., (2013)</w:t>
            </w:r>
          </w:p>
        </w:tc>
        <w:tc>
          <w:tcPr>
            <w:tcW w:w="2044" w:type="pct"/>
          </w:tcPr>
          <w:p w14:paraId="5D8F2B66" w14:textId="00E4778C" w:rsidR="00032EAC" w:rsidRPr="003B4D22" w:rsidRDefault="00032EAC" w:rsidP="00F814DE">
            <w:pPr>
              <w:spacing w:after="40" w:line="240" w:lineRule="auto"/>
              <w:ind w:left="-57"/>
              <w:jc w:val="left"/>
              <w:rPr>
                <w:rFonts w:ascii="Arial Narrow" w:hAnsi="Arial Narrow"/>
                <w:sz w:val="20"/>
                <w:szCs w:val="20"/>
              </w:rPr>
            </w:pPr>
            <w:r w:rsidRPr="003B4D22">
              <w:rPr>
                <w:rFonts w:ascii="Arial Narrow" w:hAnsi="Arial Narrow"/>
                <w:sz w:val="20"/>
                <w:szCs w:val="20"/>
              </w:rPr>
              <w:t xml:space="preserve">Incidence of hypogammaglobulinemia in patients receiving rituximab and the use of intravenous immunoglobulin for recurrent infections. </w:t>
            </w:r>
            <w:r w:rsidRPr="003B4D22">
              <w:rPr>
                <w:rFonts w:ascii="Arial Narrow" w:hAnsi="Arial Narrow"/>
                <w:sz w:val="20"/>
                <w:szCs w:val="20"/>
              </w:rPr>
              <w:br/>
              <w:t>Clin Lymphoma Myeloma Leuk 13(2): 106-111.</w:t>
            </w:r>
          </w:p>
        </w:tc>
        <w:tc>
          <w:tcPr>
            <w:tcW w:w="629" w:type="pct"/>
          </w:tcPr>
          <w:p w14:paraId="5880C09E" w14:textId="2440372D" w:rsidR="00032EAC" w:rsidRPr="003B4D22" w:rsidRDefault="00032EAC" w:rsidP="00F814DE">
            <w:pPr>
              <w:spacing w:after="40" w:line="240" w:lineRule="auto"/>
              <w:ind w:left="-57"/>
              <w:jc w:val="left"/>
              <w:rPr>
                <w:rFonts w:ascii="Arial Narrow" w:hAnsi="Arial Narrow"/>
                <w:sz w:val="20"/>
                <w:szCs w:val="20"/>
              </w:rPr>
            </w:pPr>
            <w:r w:rsidRPr="003B4D22">
              <w:rPr>
                <w:rFonts w:ascii="Arial Narrow" w:hAnsi="Arial Narrow"/>
                <w:sz w:val="20"/>
                <w:szCs w:val="20"/>
              </w:rPr>
              <w:t>Sub-study: N=14 (NHL, CLL/SLL)</w:t>
            </w:r>
          </w:p>
        </w:tc>
        <w:tc>
          <w:tcPr>
            <w:tcW w:w="1701" w:type="pct"/>
          </w:tcPr>
          <w:p w14:paraId="5E6A620F" w14:textId="49E77212" w:rsidR="00032EAC" w:rsidRPr="003B4D22" w:rsidRDefault="007E23BB" w:rsidP="00F814DE">
            <w:pPr>
              <w:spacing w:after="40" w:line="240" w:lineRule="auto"/>
              <w:ind w:left="-57"/>
              <w:jc w:val="left"/>
              <w:rPr>
                <w:rFonts w:ascii="Arial Narrow" w:hAnsi="Arial Narrow"/>
                <w:sz w:val="20"/>
                <w:szCs w:val="20"/>
              </w:rPr>
            </w:pPr>
            <w:r w:rsidRPr="003B4D22">
              <w:rPr>
                <w:rFonts w:ascii="Arial Narrow" w:hAnsi="Arial Narrow"/>
                <w:sz w:val="20"/>
                <w:szCs w:val="20"/>
              </w:rPr>
              <w:t xml:space="preserve">All </w:t>
            </w:r>
            <w:r w:rsidR="00032EAC" w:rsidRPr="003B4D22">
              <w:rPr>
                <w:rFonts w:ascii="Arial Narrow" w:hAnsi="Arial Narrow"/>
                <w:sz w:val="20"/>
                <w:szCs w:val="20"/>
              </w:rPr>
              <w:t xml:space="preserve">patients received B-cell depletion therapy, excluded under </w:t>
            </w:r>
            <w:r w:rsidR="00032EAC" w:rsidRPr="003B4D22">
              <w:rPr>
                <w:rFonts w:ascii="Arial Narrow" w:hAnsi="Arial Narrow"/>
                <w:i/>
                <w:sz w:val="20"/>
                <w:szCs w:val="20"/>
              </w:rPr>
              <w:t>Criteria Version 3</w:t>
            </w:r>
            <w:r w:rsidR="00032EAC" w:rsidRPr="003B4D22">
              <w:rPr>
                <w:rFonts w:ascii="Arial Narrow" w:hAnsi="Arial Narrow"/>
                <w:sz w:val="20"/>
                <w:szCs w:val="20"/>
              </w:rPr>
              <w:t>. Symptomatic IgG with IVIg tx only in n=14 sub-study.</w:t>
            </w:r>
          </w:p>
        </w:tc>
      </w:tr>
      <w:tr w:rsidR="00924BAE" w:rsidRPr="003B4D22" w14:paraId="1E70CD60" w14:textId="77777777" w:rsidTr="00BE732E">
        <w:tc>
          <w:tcPr>
            <w:tcW w:w="626" w:type="pct"/>
          </w:tcPr>
          <w:p w14:paraId="13F87B1F" w14:textId="4A07BA19" w:rsidR="00924BAE" w:rsidRPr="003B4D22" w:rsidRDefault="005444B1"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Chapel</w:t>
            </w:r>
            <w:r w:rsidR="00924BAE" w:rsidRPr="003B4D22">
              <w:rPr>
                <w:rFonts w:ascii="Arial Narrow" w:hAnsi="Arial Narrow"/>
                <w:sz w:val="20"/>
                <w:szCs w:val="20"/>
              </w:rPr>
              <w:t xml:space="preserve"> et al.</w:t>
            </w:r>
            <w:r w:rsidRPr="003B4D22">
              <w:rPr>
                <w:rFonts w:ascii="Arial Narrow" w:hAnsi="Arial Narrow"/>
                <w:sz w:val="20"/>
                <w:szCs w:val="20"/>
              </w:rPr>
              <w:t>,</w:t>
            </w:r>
            <w:r w:rsidR="00924BAE" w:rsidRPr="003B4D22">
              <w:rPr>
                <w:rFonts w:ascii="Arial Narrow" w:hAnsi="Arial Narrow"/>
                <w:sz w:val="20"/>
                <w:szCs w:val="20"/>
              </w:rPr>
              <w:t xml:space="preserve"> (1993).</w:t>
            </w:r>
          </w:p>
        </w:tc>
        <w:tc>
          <w:tcPr>
            <w:tcW w:w="2044" w:type="pct"/>
          </w:tcPr>
          <w:p w14:paraId="3E97FE12" w14:textId="6F7717D4" w:rsidR="00924BAE" w:rsidRPr="003B4D22" w:rsidRDefault="00924BAE"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Intravenous immunoglobulin therapy in patients with multiple myeloma. </w:t>
            </w:r>
            <w:r w:rsidRPr="003B4D22">
              <w:rPr>
                <w:rFonts w:ascii="Arial Narrow" w:hAnsi="Arial Narrow"/>
                <w:sz w:val="20"/>
                <w:szCs w:val="20"/>
              </w:rPr>
              <w:br/>
              <w:t>Immunodeficiency 4(1): 77-78.</w:t>
            </w:r>
          </w:p>
        </w:tc>
        <w:tc>
          <w:tcPr>
            <w:tcW w:w="629" w:type="pct"/>
          </w:tcPr>
          <w:p w14:paraId="7816A2B2" w14:textId="65EBBAFD" w:rsidR="00924BAE" w:rsidRPr="003B4D22" w:rsidRDefault="008B7D36" w:rsidP="00F814DE">
            <w:pPr>
              <w:spacing w:before="0" w:after="40" w:line="240" w:lineRule="auto"/>
              <w:ind w:left="-57"/>
              <w:jc w:val="left"/>
              <w:rPr>
                <w:rFonts w:ascii="Arial Narrow" w:hAnsi="Arial Narrow"/>
                <w:sz w:val="20"/>
                <w:szCs w:val="20"/>
                <w:highlight w:val="yellow"/>
              </w:rPr>
            </w:pPr>
            <w:r w:rsidRPr="003B4D22">
              <w:rPr>
                <w:rFonts w:ascii="Arial Narrow" w:hAnsi="Arial Narrow"/>
                <w:sz w:val="20"/>
                <w:szCs w:val="20"/>
              </w:rPr>
              <w:t>N=82 (MM)</w:t>
            </w:r>
          </w:p>
        </w:tc>
        <w:tc>
          <w:tcPr>
            <w:tcW w:w="1701" w:type="pct"/>
          </w:tcPr>
          <w:p w14:paraId="67FAE003" w14:textId="515883AB" w:rsidR="00924BAE" w:rsidRPr="003B4D22" w:rsidRDefault="008B7D36" w:rsidP="00F814DE">
            <w:pPr>
              <w:spacing w:after="40" w:line="240" w:lineRule="auto"/>
              <w:ind w:left="-57"/>
              <w:jc w:val="left"/>
              <w:rPr>
                <w:rFonts w:ascii="Arial Narrow" w:hAnsi="Arial Narrow"/>
                <w:sz w:val="20"/>
                <w:szCs w:val="20"/>
                <w:highlight w:val="yellow"/>
              </w:rPr>
            </w:pPr>
            <w:r w:rsidRPr="003B4D22">
              <w:rPr>
                <w:rFonts w:ascii="Arial Narrow" w:hAnsi="Arial Narrow"/>
                <w:sz w:val="20"/>
                <w:szCs w:val="20"/>
              </w:rPr>
              <w:t>Preliminary report – results reported in Chapel &amp; Lee, 1994; Chapel et al., 1994.</w:t>
            </w:r>
          </w:p>
        </w:tc>
      </w:tr>
      <w:tr w:rsidR="00757CCC" w:rsidRPr="003B4D22" w14:paraId="71ADC0ED" w14:textId="77777777" w:rsidTr="00BE732E">
        <w:tc>
          <w:tcPr>
            <w:tcW w:w="626" w:type="pct"/>
          </w:tcPr>
          <w:p w14:paraId="46B9C7E6" w14:textId="2E0BAF15"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Chapel &amp; Lee (1994). </w:t>
            </w:r>
          </w:p>
        </w:tc>
        <w:tc>
          <w:tcPr>
            <w:tcW w:w="2044" w:type="pct"/>
          </w:tcPr>
          <w:p w14:paraId="60369054" w14:textId="773803B4"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The use of intravenous immune globulin in multiple myeloma. </w:t>
            </w:r>
            <w:r w:rsidRPr="003B4D22">
              <w:rPr>
                <w:rFonts w:ascii="Arial Narrow" w:hAnsi="Arial Narrow"/>
                <w:sz w:val="20"/>
                <w:szCs w:val="20"/>
              </w:rPr>
              <w:br/>
              <w:t>Clinical and Experimental Immunology, Supplement 97(1): 21-24.</w:t>
            </w:r>
          </w:p>
        </w:tc>
        <w:tc>
          <w:tcPr>
            <w:tcW w:w="629" w:type="pct"/>
          </w:tcPr>
          <w:p w14:paraId="284BD530" w14:textId="13ABEB4F" w:rsidR="00757CCC" w:rsidRPr="003B4D22" w:rsidRDefault="00757CCC" w:rsidP="00F814DE">
            <w:pPr>
              <w:spacing w:before="0" w:after="40" w:line="240" w:lineRule="auto"/>
              <w:ind w:left="-57"/>
              <w:jc w:val="left"/>
              <w:rPr>
                <w:rFonts w:ascii="Arial Narrow" w:hAnsi="Arial Narrow"/>
                <w:sz w:val="20"/>
                <w:szCs w:val="20"/>
                <w:highlight w:val="yellow"/>
              </w:rPr>
            </w:pPr>
            <w:r w:rsidRPr="003B4D22">
              <w:rPr>
                <w:rFonts w:ascii="Arial Narrow" w:hAnsi="Arial Narrow"/>
                <w:sz w:val="20"/>
                <w:szCs w:val="20"/>
              </w:rPr>
              <w:t>N=82 (MM)</w:t>
            </w:r>
          </w:p>
        </w:tc>
        <w:tc>
          <w:tcPr>
            <w:tcW w:w="1701" w:type="pct"/>
          </w:tcPr>
          <w:p w14:paraId="003E50C8" w14:textId="7DF82D3D" w:rsidR="00757CCC" w:rsidRPr="003B4D22" w:rsidRDefault="00757CCC" w:rsidP="00F814DE">
            <w:pPr>
              <w:spacing w:before="0" w:after="40" w:line="240" w:lineRule="auto"/>
              <w:ind w:left="-57"/>
              <w:jc w:val="left"/>
              <w:rPr>
                <w:rFonts w:ascii="Arial Narrow" w:hAnsi="Arial Narrow"/>
                <w:sz w:val="20"/>
                <w:szCs w:val="20"/>
                <w:highlight w:val="yellow"/>
              </w:rPr>
            </w:pPr>
            <w:r w:rsidRPr="003B4D22">
              <w:rPr>
                <w:rFonts w:ascii="Arial Narrow" w:hAnsi="Arial Narrow"/>
                <w:sz w:val="20"/>
                <w:szCs w:val="20"/>
              </w:rPr>
              <w:t xml:space="preserve">Same study as reported in Chapel et al., 1994 (Lancet). The Lancet paper was chosen to include as it presented better description of trial particulars. </w:t>
            </w:r>
          </w:p>
        </w:tc>
      </w:tr>
      <w:tr w:rsidR="00503735" w:rsidRPr="003B4D22" w14:paraId="0F4446A5" w14:textId="77777777" w:rsidTr="00BE732E">
        <w:tc>
          <w:tcPr>
            <w:tcW w:w="626" w:type="pct"/>
          </w:tcPr>
          <w:p w14:paraId="2FAB3A3D" w14:textId="6ADDE5DF" w:rsidR="00503735" w:rsidRPr="003B4D22" w:rsidRDefault="00503735" w:rsidP="00F814DE">
            <w:pPr>
              <w:spacing w:after="40" w:line="240" w:lineRule="auto"/>
              <w:ind w:left="-57"/>
              <w:jc w:val="left"/>
              <w:rPr>
                <w:rFonts w:ascii="Arial Narrow" w:hAnsi="Arial Narrow"/>
                <w:sz w:val="20"/>
                <w:szCs w:val="20"/>
              </w:rPr>
            </w:pPr>
            <w:r w:rsidRPr="003B4D22">
              <w:rPr>
                <w:rFonts w:ascii="Arial Narrow" w:hAnsi="Arial Narrow"/>
                <w:sz w:val="20"/>
                <w:szCs w:val="20"/>
              </w:rPr>
              <w:t xml:space="preserve">Compagno et </w:t>
            </w:r>
            <w:r w:rsidRPr="003B4D22">
              <w:rPr>
                <w:rFonts w:ascii="Arial Narrow" w:hAnsi="Arial Narrow"/>
                <w:sz w:val="20"/>
                <w:szCs w:val="20"/>
              </w:rPr>
              <w:lastRenderedPageBreak/>
              <w:t>al., 2014</w:t>
            </w:r>
          </w:p>
        </w:tc>
        <w:tc>
          <w:tcPr>
            <w:tcW w:w="2044" w:type="pct"/>
          </w:tcPr>
          <w:p w14:paraId="56E5F09A" w14:textId="52BAB4E9" w:rsidR="00503735" w:rsidRPr="003B4D22" w:rsidRDefault="00503735" w:rsidP="00F814DE">
            <w:pPr>
              <w:spacing w:after="40" w:line="240" w:lineRule="auto"/>
              <w:ind w:left="-57"/>
              <w:jc w:val="left"/>
              <w:rPr>
                <w:rFonts w:ascii="Arial Narrow" w:hAnsi="Arial Narrow"/>
                <w:sz w:val="20"/>
                <w:szCs w:val="20"/>
              </w:rPr>
            </w:pPr>
            <w:r w:rsidRPr="003B4D22">
              <w:rPr>
                <w:rFonts w:ascii="Arial Narrow" w:hAnsi="Arial Narrow"/>
                <w:sz w:val="20"/>
                <w:szCs w:val="20"/>
              </w:rPr>
              <w:lastRenderedPageBreak/>
              <w:t>Subcutaneous immunoglobulin in lymphoproliferative disorders and rituximab-</w:t>
            </w:r>
            <w:r w:rsidRPr="003B4D22">
              <w:rPr>
                <w:rFonts w:ascii="Arial Narrow" w:hAnsi="Arial Narrow"/>
                <w:sz w:val="20"/>
                <w:szCs w:val="20"/>
              </w:rPr>
              <w:lastRenderedPageBreak/>
              <w:t>related secondary hypogammaglobulinemia: a single-center experience in 61 patients.</w:t>
            </w:r>
            <w:r w:rsidRPr="003B4D22">
              <w:rPr>
                <w:rFonts w:ascii="Arial Narrow" w:hAnsi="Arial Narrow"/>
                <w:sz w:val="20"/>
                <w:szCs w:val="20"/>
              </w:rPr>
              <w:br/>
              <w:t>Haematologica, 99: 1101-6.</w:t>
            </w:r>
          </w:p>
        </w:tc>
        <w:tc>
          <w:tcPr>
            <w:tcW w:w="629" w:type="pct"/>
          </w:tcPr>
          <w:p w14:paraId="4E4C37DC" w14:textId="2972629B" w:rsidR="00503735" w:rsidRPr="003B4D22" w:rsidRDefault="00503735" w:rsidP="00F814DE">
            <w:pPr>
              <w:spacing w:after="40" w:line="240" w:lineRule="auto"/>
              <w:ind w:left="-57"/>
              <w:jc w:val="left"/>
              <w:rPr>
                <w:rFonts w:ascii="Arial Narrow" w:hAnsi="Arial Narrow"/>
                <w:sz w:val="20"/>
                <w:szCs w:val="20"/>
              </w:rPr>
            </w:pPr>
            <w:r w:rsidRPr="003B4D22">
              <w:rPr>
                <w:rFonts w:ascii="Arial Narrow" w:hAnsi="Arial Narrow"/>
                <w:sz w:val="20"/>
                <w:szCs w:val="20"/>
              </w:rPr>
              <w:lastRenderedPageBreak/>
              <w:t xml:space="preserve">N=61 (B-CLL[40]; </w:t>
            </w:r>
            <w:r w:rsidRPr="003B4D22">
              <w:rPr>
                <w:rFonts w:ascii="Arial Narrow" w:hAnsi="Arial Narrow"/>
                <w:sz w:val="20"/>
                <w:szCs w:val="20"/>
              </w:rPr>
              <w:lastRenderedPageBreak/>
              <w:t>NHL[21])</w:t>
            </w:r>
          </w:p>
        </w:tc>
        <w:tc>
          <w:tcPr>
            <w:tcW w:w="1701" w:type="pct"/>
          </w:tcPr>
          <w:p w14:paraId="5D07CCAF" w14:textId="003DDD8D" w:rsidR="00503735" w:rsidRPr="003B4D22" w:rsidRDefault="00503735" w:rsidP="00F814DE">
            <w:pPr>
              <w:spacing w:after="40" w:line="240" w:lineRule="auto"/>
              <w:ind w:left="-57"/>
              <w:jc w:val="left"/>
              <w:rPr>
                <w:rFonts w:ascii="Arial Narrow" w:hAnsi="Arial Narrow"/>
                <w:sz w:val="20"/>
                <w:szCs w:val="20"/>
              </w:rPr>
            </w:pPr>
            <w:r w:rsidRPr="003B4D22">
              <w:rPr>
                <w:rFonts w:ascii="Arial Narrow" w:hAnsi="Arial Narrow"/>
                <w:sz w:val="20"/>
                <w:szCs w:val="20"/>
              </w:rPr>
              <w:lastRenderedPageBreak/>
              <w:t xml:space="preserve">B-cell depletion therapy, excluded under </w:t>
            </w:r>
            <w:r w:rsidRPr="003B4D22">
              <w:rPr>
                <w:rFonts w:ascii="Arial Narrow" w:hAnsi="Arial Narrow"/>
                <w:i/>
                <w:sz w:val="20"/>
                <w:szCs w:val="20"/>
              </w:rPr>
              <w:t>Criteria Version 3</w:t>
            </w:r>
            <w:r w:rsidRPr="003B4D22">
              <w:rPr>
                <w:rFonts w:ascii="Arial Narrow" w:hAnsi="Arial Narrow"/>
                <w:sz w:val="20"/>
                <w:szCs w:val="20"/>
              </w:rPr>
              <w:t xml:space="preserve">; n=42/61 patients </w:t>
            </w:r>
            <w:r w:rsidRPr="003B4D22">
              <w:rPr>
                <w:rFonts w:ascii="Arial Narrow" w:hAnsi="Arial Narrow"/>
                <w:sz w:val="20"/>
                <w:szCs w:val="20"/>
              </w:rPr>
              <w:lastRenderedPageBreak/>
              <w:t>(69%) received anti-CD20 MAbs prior to onset of hypo-GG</w:t>
            </w:r>
          </w:p>
        </w:tc>
      </w:tr>
      <w:tr w:rsidR="00757CCC" w:rsidRPr="003B4D22" w14:paraId="0E902E44" w14:textId="77777777" w:rsidTr="00BE732E">
        <w:tc>
          <w:tcPr>
            <w:tcW w:w="626" w:type="pct"/>
          </w:tcPr>
          <w:p w14:paraId="3B803C6B" w14:textId="77777777"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lastRenderedPageBreak/>
              <w:t xml:space="preserve">Cordonnier et al., (2003). </w:t>
            </w:r>
          </w:p>
        </w:tc>
        <w:tc>
          <w:tcPr>
            <w:tcW w:w="2044" w:type="pct"/>
          </w:tcPr>
          <w:p w14:paraId="419AAC2A" w14:textId="77777777"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Should immunoglobulin therapy be used in allogenic stem-cell transplantation? </w:t>
            </w:r>
            <w:r w:rsidRPr="003B4D22">
              <w:rPr>
                <w:rFonts w:ascii="Arial Narrow" w:hAnsi="Arial Narrow"/>
                <w:sz w:val="20"/>
                <w:szCs w:val="20"/>
              </w:rPr>
              <w:br/>
              <w:t>Ann Intern Med 139(1): 8-18.</w:t>
            </w:r>
          </w:p>
        </w:tc>
        <w:tc>
          <w:tcPr>
            <w:tcW w:w="629" w:type="pct"/>
          </w:tcPr>
          <w:p w14:paraId="65CB922F" w14:textId="21840F3A"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Allo-HSCT (N=200)</w:t>
            </w:r>
          </w:p>
        </w:tc>
        <w:tc>
          <w:tcPr>
            <w:tcW w:w="1701" w:type="pct"/>
          </w:tcPr>
          <w:p w14:paraId="4DB4077D" w14:textId="49D85164"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Prophylactic tx</w:t>
            </w:r>
            <w:r w:rsidR="00D97117" w:rsidRPr="003B4D22">
              <w:rPr>
                <w:rFonts w:ascii="Arial Narrow" w:hAnsi="Arial Narrow"/>
                <w:sz w:val="20"/>
                <w:szCs w:val="20"/>
              </w:rPr>
              <w:t xml:space="preserve"> (no evidence of infection)</w:t>
            </w:r>
            <w:r w:rsidRPr="003B4D22">
              <w:rPr>
                <w:rFonts w:ascii="Arial Narrow" w:hAnsi="Arial Narrow"/>
                <w:sz w:val="20"/>
                <w:szCs w:val="20"/>
              </w:rPr>
              <w:t xml:space="preserve">; no evidence of hypo-GG status or history of infection at baseline. </w:t>
            </w:r>
          </w:p>
        </w:tc>
      </w:tr>
      <w:tr w:rsidR="00757CCC" w:rsidRPr="003B4D22" w14:paraId="08CAE57E" w14:textId="77777777" w:rsidTr="00BE732E">
        <w:tc>
          <w:tcPr>
            <w:tcW w:w="626" w:type="pct"/>
          </w:tcPr>
          <w:p w14:paraId="77E50B60" w14:textId="61E80A3B"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Demitrovicova et al., (2017). </w:t>
            </w:r>
          </w:p>
        </w:tc>
        <w:tc>
          <w:tcPr>
            <w:tcW w:w="2044" w:type="pct"/>
          </w:tcPr>
          <w:p w14:paraId="28F25E2F" w14:textId="63A10ECA"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Infectious complications in chronic lymphocytic leukemia- a retrospective analysis: single institution experience. </w:t>
            </w:r>
            <w:r w:rsidRPr="003B4D22">
              <w:rPr>
                <w:rFonts w:ascii="Arial Narrow" w:hAnsi="Arial Narrow"/>
                <w:sz w:val="20"/>
                <w:szCs w:val="20"/>
              </w:rPr>
              <w:br/>
              <w:t>Neoplasma 64(3): 474-481.</w:t>
            </w:r>
          </w:p>
        </w:tc>
        <w:tc>
          <w:tcPr>
            <w:tcW w:w="629" w:type="pct"/>
          </w:tcPr>
          <w:p w14:paraId="7513F1BC" w14:textId="723E258D"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CLL (N=110)</w:t>
            </w:r>
          </w:p>
        </w:tc>
        <w:tc>
          <w:tcPr>
            <w:tcW w:w="1701" w:type="pct"/>
          </w:tcPr>
          <w:p w14:paraId="192DB023" w14:textId="0375E6A5"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IgG given in an unidentified subset of patients with no outcomes reported according to IgG/No IgG received.</w:t>
            </w:r>
          </w:p>
        </w:tc>
      </w:tr>
      <w:tr w:rsidR="00757CCC" w:rsidRPr="003B4D22" w14:paraId="3ED3DB15" w14:textId="77777777" w:rsidTr="00BE732E">
        <w:tc>
          <w:tcPr>
            <w:tcW w:w="626" w:type="pct"/>
          </w:tcPr>
          <w:p w14:paraId="63EACF4D" w14:textId="6EC562FA" w:rsidR="00757CCC" w:rsidRPr="003B4D22" w:rsidRDefault="007628F4"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Foster et al., (2018). </w:t>
            </w:r>
          </w:p>
        </w:tc>
        <w:tc>
          <w:tcPr>
            <w:tcW w:w="2044" w:type="pct"/>
          </w:tcPr>
          <w:p w14:paraId="421FA799" w14:textId="4778E70B"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Immunoglobulin prophylaxis in pediatric hemat</w:t>
            </w:r>
            <w:r w:rsidR="007628F4" w:rsidRPr="003B4D22">
              <w:rPr>
                <w:rFonts w:ascii="Arial Narrow" w:hAnsi="Arial Narrow"/>
                <w:sz w:val="20"/>
                <w:szCs w:val="20"/>
              </w:rPr>
              <w:t>opoietic stem cell transplant.</w:t>
            </w:r>
            <w:r w:rsidR="007628F4" w:rsidRPr="003B4D22">
              <w:rPr>
                <w:rFonts w:ascii="Arial Narrow" w:hAnsi="Arial Narrow"/>
                <w:sz w:val="20"/>
                <w:szCs w:val="20"/>
              </w:rPr>
              <w:br/>
            </w:r>
            <w:r w:rsidRPr="003B4D22">
              <w:rPr>
                <w:rFonts w:ascii="Arial Narrow" w:hAnsi="Arial Narrow"/>
                <w:sz w:val="20"/>
                <w:szCs w:val="20"/>
              </w:rPr>
              <w:t>Pediatric Blood and Cancer 65(12).</w:t>
            </w:r>
          </w:p>
        </w:tc>
        <w:tc>
          <w:tcPr>
            <w:tcW w:w="629" w:type="pct"/>
          </w:tcPr>
          <w:p w14:paraId="536D5E44" w14:textId="7BD8847D" w:rsidR="00757CCC" w:rsidRPr="003B4D22" w:rsidRDefault="007628F4"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HSCT</w:t>
            </w:r>
            <w:r w:rsidRPr="003B4D22">
              <w:rPr>
                <w:rFonts w:ascii="Arial Narrow" w:hAnsi="Arial Narrow"/>
                <w:sz w:val="20"/>
                <w:szCs w:val="20"/>
              </w:rPr>
              <w:br/>
              <w:t>N=150</w:t>
            </w:r>
          </w:p>
        </w:tc>
        <w:tc>
          <w:tcPr>
            <w:tcW w:w="1701" w:type="pct"/>
          </w:tcPr>
          <w:p w14:paraId="25C62DB2" w14:textId="0F713A3D" w:rsidR="00757CCC" w:rsidRPr="003B4D22" w:rsidRDefault="007628F4"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Both tx groups received</w:t>
            </w:r>
            <w:r w:rsidR="00D97117" w:rsidRPr="003B4D22">
              <w:rPr>
                <w:rFonts w:ascii="Arial Narrow" w:hAnsi="Arial Narrow"/>
                <w:sz w:val="20"/>
                <w:szCs w:val="20"/>
              </w:rPr>
              <w:t xml:space="preserve"> prophylactic</w:t>
            </w:r>
            <w:r w:rsidRPr="003B4D22">
              <w:rPr>
                <w:rFonts w:ascii="Arial Narrow" w:hAnsi="Arial Narrow"/>
                <w:sz w:val="20"/>
                <w:szCs w:val="20"/>
              </w:rPr>
              <w:t xml:space="preserve"> IgG</w:t>
            </w:r>
            <w:r w:rsidR="00D97117" w:rsidRPr="003B4D22">
              <w:rPr>
                <w:rFonts w:ascii="Arial Narrow" w:hAnsi="Arial Narrow"/>
                <w:sz w:val="20"/>
                <w:szCs w:val="20"/>
              </w:rPr>
              <w:t xml:space="preserve"> (no evidence of infection)</w:t>
            </w:r>
            <w:r w:rsidRPr="003B4D22">
              <w:rPr>
                <w:rFonts w:ascii="Arial Narrow" w:hAnsi="Arial Narrow"/>
                <w:sz w:val="20"/>
                <w:szCs w:val="20"/>
              </w:rPr>
              <w:t>; only in 2</w:t>
            </w:r>
            <w:r w:rsidRPr="003B4D22">
              <w:rPr>
                <w:rFonts w:ascii="Arial Narrow" w:hAnsi="Arial Narrow"/>
                <w:sz w:val="20"/>
                <w:szCs w:val="20"/>
                <w:vertAlign w:val="superscript"/>
              </w:rPr>
              <w:t>nd</w:t>
            </w:r>
            <w:r w:rsidRPr="003B4D22">
              <w:rPr>
                <w:rFonts w:ascii="Arial Narrow" w:hAnsi="Arial Narrow"/>
                <w:sz w:val="20"/>
                <w:szCs w:val="20"/>
              </w:rPr>
              <w:t xml:space="preserve"> group was tx based on hypo-GG status or serum IgG levels monitored. Viral infections only reported.</w:t>
            </w:r>
          </w:p>
        </w:tc>
      </w:tr>
      <w:tr w:rsidR="00757CCC" w:rsidRPr="003B4D22" w14:paraId="28047022" w14:textId="77777777" w:rsidTr="00BE732E">
        <w:tc>
          <w:tcPr>
            <w:tcW w:w="626" w:type="pct"/>
          </w:tcPr>
          <w:p w14:paraId="0444753E" w14:textId="37C2DD4D"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Frangoul et al., (2013).</w:t>
            </w:r>
          </w:p>
        </w:tc>
        <w:tc>
          <w:tcPr>
            <w:tcW w:w="2044" w:type="pct"/>
          </w:tcPr>
          <w:p w14:paraId="51528285" w14:textId="77103A21"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Incidence and risk factors for hypogammaglobulinemia in pediatric patients following allo-SCT. </w:t>
            </w:r>
            <w:r w:rsidRPr="003B4D22">
              <w:rPr>
                <w:rFonts w:ascii="Arial Narrow" w:hAnsi="Arial Narrow"/>
                <w:sz w:val="20"/>
                <w:szCs w:val="20"/>
              </w:rPr>
              <w:br/>
              <w:t>Bone Marrow Transplant 48(11): 1456-1459.</w:t>
            </w:r>
          </w:p>
        </w:tc>
        <w:tc>
          <w:tcPr>
            <w:tcW w:w="629" w:type="pct"/>
          </w:tcPr>
          <w:p w14:paraId="65660E97" w14:textId="73A8C1CA" w:rsidR="00757CCC" w:rsidRPr="003B4D22" w:rsidRDefault="00B94A12"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Allo-HSCT (paeds)</w:t>
            </w:r>
            <w:r w:rsidRPr="003B4D22">
              <w:rPr>
                <w:rFonts w:ascii="Arial Narrow" w:hAnsi="Arial Narrow"/>
                <w:sz w:val="20"/>
                <w:szCs w:val="20"/>
              </w:rPr>
              <w:br/>
              <w:t>N=185</w:t>
            </w:r>
          </w:p>
        </w:tc>
        <w:tc>
          <w:tcPr>
            <w:tcW w:w="1701" w:type="pct"/>
          </w:tcPr>
          <w:p w14:paraId="174AB4BD" w14:textId="4938BBB5" w:rsidR="00757CCC" w:rsidRPr="003B4D22" w:rsidRDefault="00B94A12"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‘No IgG’ control patients all had normal IgG levels, compared to IgG recipients who had hypo-GG. No infections reported, only transplant-related mortality. </w:t>
            </w:r>
          </w:p>
        </w:tc>
      </w:tr>
      <w:tr w:rsidR="00757CCC" w:rsidRPr="003B4D22" w14:paraId="51DFBA86" w14:textId="77777777" w:rsidTr="00BE732E">
        <w:tc>
          <w:tcPr>
            <w:tcW w:w="626" w:type="pct"/>
          </w:tcPr>
          <w:p w14:paraId="6B4965C0" w14:textId="301892FB"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Gimesi A, Eibl M, Koós R, et al. (1992) </w:t>
            </w:r>
          </w:p>
        </w:tc>
        <w:tc>
          <w:tcPr>
            <w:tcW w:w="2044" w:type="pct"/>
          </w:tcPr>
          <w:p w14:paraId="79D15455" w14:textId="7A0611DE"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Immunoglobulin prophylaxis during intensive treatment of acute lymphoblastic leukemia in children. </w:t>
            </w:r>
            <w:r w:rsidRPr="003B4D22">
              <w:rPr>
                <w:rFonts w:ascii="Arial Narrow" w:hAnsi="Arial Narrow"/>
                <w:sz w:val="20"/>
                <w:szCs w:val="20"/>
              </w:rPr>
              <w:br/>
              <w:t>Acta Paediatr Hung 1992;32(2):115-25.</w:t>
            </w:r>
          </w:p>
        </w:tc>
        <w:tc>
          <w:tcPr>
            <w:tcW w:w="629" w:type="pct"/>
          </w:tcPr>
          <w:p w14:paraId="6E9D3C22" w14:textId="1C4B6F08"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ALL (N=60)</w:t>
            </w:r>
          </w:p>
        </w:tc>
        <w:tc>
          <w:tcPr>
            <w:tcW w:w="1701" w:type="pct"/>
          </w:tcPr>
          <w:p w14:paraId="2118DCEA" w14:textId="0AB7542E"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Prophylactic use</w:t>
            </w:r>
            <w:r w:rsidR="00D97117" w:rsidRPr="003B4D22">
              <w:rPr>
                <w:rFonts w:ascii="Arial Narrow" w:hAnsi="Arial Narrow"/>
                <w:sz w:val="20"/>
                <w:szCs w:val="20"/>
              </w:rPr>
              <w:t xml:space="preserve"> (no evidence of infection)</w:t>
            </w:r>
            <w:r w:rsidRPr="003B4D22">
              <w:rPr>
                <w:rFonts w:ascii="Arial Narrow" w:hAnsi="Arial Narrow"/>
                <w:sz w:val="20"/>
                <w:szCs w:val="20"/>
              </w:rPr>
              <w:t>, without mention of hypo-GG status, infection history, or IgG levels</w:t>
            </w:r>
            <w:r w:rsidR="007628F4" w:rsidRPr="003B4D22">
              <w:rPr>
                <w:rFonts w:ascii="Arial Narrow" w:hAnsi="Arial Narrow"/>
                <w:sz w:val="20"/>
                <w:szCs w:val="20"/>
              </w:rPr>
              <w:t>.</w:t>
            </w:r>
          </w:p>
        </w:tc>
      </w:tr>
      <w:tr w:rsidR="00757CCC" w:rsidRPr="003B4D22" w14:paraId="5848608B" w14:textId="77777777" w:rsidTr="00BE732E">
        <w:tc>
          <w:tcPr>
            <w:tcW w:w="626" w:type="pct"/>
          </w:tcPr>
          <w:p w14:paraId="7DFFB2F9" w14:textId="76812E46"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Hensel, M., et al. (2003)</w:t>
            </w:r>
          </w:p>
        </w:tc>
        <w:tc>
          <w:tcPr>
            <w:tcW w:w="2044" w:type="pct"/>
          </w:tcPr>
          <w:p w14:paraId="5581F3EA" w14:textId="75D25B44"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Disease activity and pretreatment, rather than hypogammaglobulinaemia, are major risk factors for infectious complications in patients with chronic lymphocytic leukaemia. </w:t>
            </w:r>
            <w:r w:rsidRPr="003B4D22">
              <w:rPr>
                <w:rFonts w:ascii="Arial Narrow" w:hAnsi="Arial Narrow"/>
                <w:sz w:val="20"/>
                <w:szCs w:val="20"/>
              </w:rPr>
              <w:br/>
              <w:t>Br J Haematol 122(4): 600-606.</w:t>
            </w:r>
          </w:p>
        </w:tc>
        <w:tc>
          <w:tcPr>
            <w:tcW w:w="629" w:type="pct"/>
          </w:tcPr>
          <w:p w14:paraId="757742C7" w14:textId="33DE1B2F" w:rsidR="00757CCC" w:rsidRPr="003B4D22" w:rsidRDefault="001E253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CLL</w:t>
            </w:r>
            <w:r w:rsidRPr="003B4D22">
              <w:rPr>
                <w:rFonts w:ascii="Arial Narrow" w:hAnsi="Arial Narrow"/>
                <w:sz w:val="20"/>
                <w:szCs w:val="20"/>
              </w:rPr>
              <w:br/>
              <w:t>N=187</w:t>
            </w:r>
          </w:p>
        </w:tc>
        <w:tc>
          <w:tcPr>
            <w:tcW w:w="1701" w:type="pct"/>
          </w:tcPr>
          <w:p w14:paraId="7B49C646" w14:textId="23400B94" w:rsidR="00757CCC" w:rsidRPr="003B4D22" w:rsidRDefault="00D97117"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Prophylactic use (no evidence of infection). </w:t>
            </w:r>
            <w:r w:rsidR="001E253C" w:rsidRPr="003B4D22">
              <w:rPr>
                <w:rFonts w:ascii="Arial Narrow" w:hAnsi="Arial Narrow"/>
                <w:sz w:val="20"/>
                <w:szCs w:val="20"/>
              </w:rPr>
              <w:t>More than half patients had no hypo-GG; only 10 patients received IVIg. Not possible to identify infections occurring only in those receiving IVIg or in those with hypo-GG.</w:t>
            </w:r>
          </w:p>
        </w:tc>
      </w:tr>
      <w:tr w:rsidR="00757CCC" w:rsidRPr="003B4D22" w14:paraId="0BBF83D5" w14:textId="77777777" w:rsidTr="00BE732E">
        <w:tc>
          <w:tcPr>
            <w:tcW w:w="626" w:type="pct"/>
          </w:tcPr>
          <w:p w14:paraId="4F6AA036" w14:textId="233D80EA"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Howell et al., (2012).</w:t>
            </w:r>
          </w:p>
        </w:tc>
        <w:tc>
          <w:tcPr>
            <w:tcW w:w="2044" w:type="pct"/>
          </w:tcPr>
          <w:p w14:paraId="48911AAC" w14:textId="31E88E1F"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Retrospective analysis of weekly intravenous immunoglobulin prophylaxis versus intravenous immunoglobulin by IgG level monitoring in hematopoietic stem cell transplant recipients. </w:t>
            </w:r>
            <w:r w:rsidRPr="003B4D22">
              <w:rPr>
                <w:rFonts w:ascii="Arial Narrow" w:hAnsi="Arial Narrow"/>
                <w:sz w:val="20"/>
                <w:szCs w:val="20"/>
              </w:rPr>
              <w:br/>
              <w:t>Am J Hematol 87(2): 172-174.</w:t>
            </w:r>
          </w:p>
        </w:tc>
        <w:tc>
          <w:tcPr>
            <w:tcW w:w="629" w:type="pct"/>
          </w:tcPr>
          <w:p w14:paraId="01B91746" w14:textId="7961A675" w:rsidR="00757CCC" w:rsidRPr="003B4D22" w:rsidRDefault="00D97117"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Allo-HSCT</w:t>
            </w:r>
            <w:r w:rsidRPr="003B4D22">
              <w:rPr>
                <w:rFonts w:ascii="Arial Narrow" w:hAnsi="Arial Narrow"/>
                <w:sz w:val="20"/>
                <w:szCs w:val="20"/>
              </w:rPr>
              <w:br/>
              <w:t>N=229</w:t>
            </w:r>
          </w:p>
        </w:tc>
        <w:tc>
          <w:tcPr>
            <w:tcW w:w="1701" w:type="pct"/>
          </w:tcPr>
          <w:p w14:paraId="34BE834A" w14:textId="6B17E9CC" w:rsidR="00757CCC" w:rsidRPr="003B4D22" w:rsidRDefault="00D97117"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Both tx groups received prophylactic IgG (no evidence of infection); only in 2</w:t>
            </w:r>
            <w:r w:rsidRPr="003B4D22">
              <w:rPr>
                <w:rFonts w:ascii="Arial Narrow" w:hAnsi="Arial Narrow"/>
                <w:sz w:val="20"/>
                <w:szCs w:val="20"/>
                <w:vertAlign w:val="superscript"/>
              </w:rPr>
              <w:t>nd</w:t>
            </w:r>
            <w:r w:rsidRPr="003B4D22">
              <w:rPr>
                <w:rFonts w:ascii="Arial Narrow" w:hAnsi="Arial Narrow"/>
                <w:sz w:val="20"/>
                <w:szCs w:val="20"/>
              </w:rPr>
              <w:t xml:space="preserve"> group was tx based on hypo-GG status or serum IgG levels monitored. </w:t>
            </w:r>
          </w:p>
        </w:tc>
      </w:tr>
      <w:tr w:rsidR="00757CCC" w:rsidRPr="003B4D22" w14:paraId="62469647" w14:textId="77777777" w:rsidTr="00BE732E">
        <w:tc>
          <w:tcPr>
            <w:tcW w:w="626" w:type="pct"/>
          </w:tcPr>
          <w:p w14:paraId="20FA8855" w14:textId="3195635C"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Hussein et al., (2016).</w:t>
            </w:r>
          </w:p>
        </w:tc>
        <w:tc>
          <w:tcPr>
            <w:tcW w:w="2044" w:type="pct"/>
          </w:tcPr>
          <w:p w14:paraId="464CD5BB" w14:textId="4D6E3FB2"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Incidence and risk factors of bacterial infections in children following autologous hematopoietic stem cell transplantation: Single-center experience from Jordan. </w:t>
            </w:r>
            <w:r w:rsidRPr="003B4D22">
              <w:rPr>
                <w:rFonts w:ascii="Arial Narrow" w:hAnsi="Arial Narrow"/>
                <w:sz w:val="20"/>
                <w:szCs w:val="20"/>
              </w:rPr>
              <w:br/>
              <w:t>Pediatr Transplant 20(5): 683-686.</w:t>
            </w:r>
          </w:p>
        </w:tc>
        <w:tc>
          <w:tcPr>
            <w:tcW w:w="629" w:type="pct"/>
          </w:tcPr>
          <w:p w14:paraId="0CB05143" w14:textId="208C36E1" w:rsidR="00757CCC" w:rsidRPr="003B4D22" w:rsidRDefault="00BE732E"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HSCT (paed)</w:t>
            </w:r>
            <w:r w:rsidRPr="003B4D22">
              <w:rPr>
                <w:rFonts w:ascii="Arial Narrow" w:hAnsi="Arial Narrow"/>
                <w:sz w:val="20"/>
                <w:szCs w:val="20"/>
              </w:rPr>
              <w:br/>
              <w:t>N=65, of which HL(12); NHL(6)</w:t>
            </w:r>
          </w:p>
        </w:tc>
        <w:tc>
          <w:tcPr>
            <w:tcW w:w="1701" w:type="pct"/>
          </w:tcPr>
          <w:p w14:paraId="632A2126" w14:textId="1D08C104" w:rsidR="00757CCC" w:rsidRPr="003B4D22" w:rsidRDefault="00BE732E"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Mixed population, mostly solid tumours. Patients that had HM and hypo-GG who also received IgG were not identifiable in infections data.</w:t>
            </w:r>
          </w:p>
        </w:tc>
      </w:tr>
      <w:tr w:rsidR="00757CCC" w:rsidRPr="003B4D22" w14:paraId="207700AA" w14:textId="77777777" w:rsidTr="00BE732E">
        <w:tc>
          <w:tcPr>
            <w:tcW w:w="626" w:type="pct"/>
          </w:tcPr>
          <w:p w14:paraId="2485CDFF" w14:textId="109D64E0" w:rsidR="00757CCC" w:rsidRPr="003B4D22" w:rsidRDefault="00C127F1"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Locatelli</w:t>
            </w:r>
            <w:r w:rsidR="00757CCC" w:rsidRPr="003B4D22">
              <w:rPr>
                <w:rFonts w:ascii="Arial Narrow" w:hAnsi="Arial Narrow"/>
                <w:sz w:val="20"/>
                <w:szCs w:val="20"/>
              </w:rPr>
              <w:t xml:space="preserve"> et al.</w:t>
            </w:r>
            <w:r w:rsidRPr="003B4D22">
              <w:rPr>
                <w:rFonts w:ascii="Arial Narrow" w:hAnsi="Arial Narrow"/>
                <w:sz w:val="20"/>
                <w:szCs w:val="20"/>
              </w:rPr>
              <w:t>,</w:t>
            </w:r>
            <w:r w:rsidR="00757CCC" w:rsidRPr="003B4D22">
              <w:rPr>
                <w:rFonts w:ascii="Arial Narrow" w:hAnsi="Arial Narrow"/>
                <w:sz w:val="20"/>
                <w:szCs w:val="20"/>
              </w:rPr>
              <w:t xml:space="preserve"> (2017).</w:t>
            </w:r>
          </w:p>
        </w:tc>
        <w:tc>
          <w:tcPr>
            <w:tcW w:w="2044" w:type="pct"/>
          </w:tcPr>
          <w:p w14:paraId="3C3C73E6" w14:textId="33DF77AB"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Outcome of children with acute leukemia given HLA-haploidentical HSCT after ab T-cell and B-cell depletion.</w:t>
            </w:r>
            <w:r w:rsidRPr="003B4D22">
              <w:rPr>
                <w:rFonts w:ascii="Arial Narrow" w:hAnsi="Arial Narrow"/>
                <w:sz w:val="20"/>
                <w:szCs w:val="20"/>
              </w:rPr>
              <w:br/>
              <w:t>Blood 130(5): 677-685.</w:t>
            </w:r>
          </w:p>
        </w:tc>
        <w:tc>
          <w:tcPr>
            <w:tcW w:w="629" w:type="pct"/>
          </w:tcPr>
          <w:p w14:paraId="7637043C" w14:textId="3410EBAA" w:rsidR="00757CCC" w:rsidRPr="003B4D22" w:rsidRDefault="00C23996"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Haplo-HSCT</w:t>
            </w:r>
            <w:r w:rsidR="00DD3A46" w:rsidRPr="003B4D22">
              <w:rPr>
                <w:rFonts w:ascii="Arial Narrow" w:hAnsi="Arial Narrow"/>
                <w:sz w:val="20"/>
                <w:szCs w:val="20"/>
              </w:rPr>
              <w:t xml:space="preserve"> (</w:t>
            </w:r>
            <w:r w:rsidRPr="003B4D22">
              <w:rPr>
                <w:rFonts w:ascii="Arial Narrow" w:hAnsi="Arial Narrow"/>
                <w:sz w:val="20"/>
                <w:szCs w:val="20"/>
              </w:rPr>
              <w:t>A</w:t>
            </w:r>
            <w:r w:rsidR="00DD3A46" w:rsidRPr="003B4D22">
              <w:rPr>
                <w:rFonts w:ascii="Arial Narrow" w:hAnsi="Arial Narrow"/>
                <w:sz w:val="20"/>
                <w:szCs w:val="20"/>
              </w:rPr>
              <w:t>L</w:t>
            </w:r>
            <w:r w:rsidRPr="003B4D22">
              <w:rPr>
                <w:rFonts w:ascii="Arial Narrow" w:hAnsi="Arial Narrow"/>
                <w:sz w:val="20"/>
                <w:szCs w:val="20"/>
              </w:rPr>
              <w:t>L</w:t>
            </w:r>
            <w:r w:rsidR="00DD3A46" w:rsidRPr="003B4D22">
              <w:rPr>
                <w:rFonts w:ascii="Arial Narrow" w:hAnsi="Arial Narrow"/>
                <w:sz w:val="20"/>
                <w:szCs w:val="20"/>
              </w:rPr>
              <w:t xml:space="preserve"> or AML)</w:t>
            </w:r>
            <w:r w:rsidRPr="003B4D22">
              <w:rPr>
                <w:rFonts w:ascii="Arial Narrow" w:hAnsi="Arial Narrow"/>
                <w:sz w:val="20"/>
                <w:szCs w:val="20"/>
              </w:rPr>
              <w:br/>
              <w:t>N=80 (paed)</w:t>
            </w:r>
          </w:p>
        </w:tc>
        <w:tc>
          <w:tcPr>
            <w:tcW w:w="1701" w:type="pct"/>
          </w:tcPr>
          <w:p w14:paraId="37AA6F27" w14:textId="2B4D51E0" w:rsidR="00757CCC" w:rsidRPr="003B4D22" w:rsidRDefault="00DD5EFB"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IgG-RT given to (all?) patients as part of supportive care (timing, dose, criteria for initiation unspecified). Serum IgG levels suggest patients include those with and without hypo-GG, but no outcomes reported based on hypo-GG status.  </w:t>
            </w:r>
          </w:p>
        </w:tc>
      </w:tr>
      <w:tr w:rsidR="00757CCC" w:rsidRPr="003B4D22" w14:paraId="399FCD7B" w14:textId="77777777" w:rsidTr="00BE732E">
        <w:tc>
          <w:tcPr>
            <w:tcW w:w="626" w:type="pct"/>
          </w:tcPr>
          <w:p w14:paraId="2C5F1064" w14:textId="04F01AA1"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Park et al., (2015).</w:t>
            </w:r>
          </w:p>
        </w:tc>
        <w:tc>
          <w:tcPr>
            <w:tcW w:w="2044" w:type="pct"/>
          </w:tcPr>
          <w:p w14:paraId="560486C5" w14:textId="77777777"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Incidence of infection according to intravenous immunoglobulin use in autologous hematopoietic stem cell transplant recipients with multiple myeloma. </w:t>
            </w:r>
            <w:r w:rsidRPr="003B4D22">
              <w:rPr>
                <w:rFonts w:ascii="Arial Narrow" w:hAnsi="Arial Narrow"/>
                <w:sz w:val="20"/>
                <w:szCs w:val="20"/>
              </w:rPr>
              <w:br/>
              <w:t>Transpl Infect Dis 17(5): 679-687.</w:t>
            </w:r>
          </w:p>
        </w:tc>
        <w:tc>
          <w:tcPr>
            <w:tcW w:w="629" w:type="pct"/>
          </w:tcPr>
          <w:p w14:paraId="06B3277C" w14:textId="07885143" w:rsidR="00757CCC" w:rsidRPr="003B4D22" w:rsidRDefault="00D27EC1"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Auto-HSCT</w:t>
            </w:r>
            <w:r w:rsidRPr="003B4D22">
              <w:rPr>
                <w:rFonts w:ascii="Arial Narrow" w:hAnsi="Arial Narrow"/>
                <w:sz w:val="20"/>
                <w:szCs w:val="20"/>
              </w:rPr>
              <w:br/>
            </w:r>
            <w:r w:rsidR="00757CCC" w:rsidRPr="003B4D22">
              <w:rPr>
                <w:rFonts w:ascii="Arial Narrow" w:hAnsi="Arial Narrow"/>
                <w:sz w:val="20"/>
                <w:szCs w:val="20"/>
              </w:rPr>
              <w:t>(N=162 MM patients)</w:t>
            </w:r>
          </w:p>
        </w:tc>
        <w:tc>
          <w:tcPr>
            <w:tcW w:w="1701" w:type="pct"/>
          </w:tcPr>
          <w:p w14:paraId="21FE7373" w14:textId="4C5CAB55"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No criterion required or information reported regarding IgG serum levels at baseline nor infection history/risk. HSCT patients all given IVIg from d1 of transplant. </w:t>
            </w:r>
          </w:p>
        </w:tc>
      </w:tr>
      <w:tr w:rsidR="003A3AA9" w:rsidRPr="003B4D22" w14:paraId="472D3C05" w14:textId="77777777" w:rsidTr="00BE732E">
        <w:tc>
          <w:tcPr>
            <w:tcW w:w="626" w:type="pct"/>
          </w:tcPr>
          <w:p w14:paraId="5D782C11" w14:textId="77777777" w:rsidR="003A3AA9" w:rsidRPr="003B4D22" w:rsidRDefault="003A3AA9"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Ruutu et al., (1997)</w:t>
            </w:r>
          </w:p>
        </w:tc>
        <w:tc>
          <w:tcPr>
            <w:tcW w:w="2044" w:type="pct"/>
          </w:tcPr>
          <w:p w14:paraId="663F7618" w14:textId="77777777" w:rsidR="003A3AA9" w:rsidRPr="003B4D22" w:rsidRDefault="003A3AA9"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No prevention of cytomegalovirus infection by anti-cytomegalovirus hyperimmune globulin in seronegative bone marrow transplant recipients. The Nordic BMT Group.</w:t>
            </w:r>
            <w:r w:rsidRPr="003B4D22">
              <w:rPr>
                <w:rFonts w:ascii="Arial Narrow" w:hAnsi="Arial Narrow"/>
                <w:sz w:val="20"/>
                <w:szCs w:val="20"/>
              </w:rPr>
              <w:br/>
              <w:t>Bone Marrow Transplant. 1997 Feb;19(3):233-6.</w:t>
            </w:r>
          </w:p>
        </w:tc>
        <w:tc>
          <w:tcPr>
            <w:tcW w:w="629" w:type="pct"/>
          </w:tcPr>
          <w:p w14:paraId="2BA26278" w14:textId="77777777" w:rsidR="003A3AA9" w:rsidRPr="003B4D22" w:rsidRDefault="003A3AA9"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HSCT (BMT)</w:t>
            </w:r>
            <w:r w:rsidRPr="003B4D22">
              <w:rPr>
                <w:rFonts w:ascii="Arial Narrow" w:hAnsi="Arial Narrow"/>
                <w:sz w:val="20"/>
                <w:szCs w:val="20"/>
              </w:rPr>
              <w:br/>
              <w:t>N=28</w:t>
            </w:r>
          </w:p>
        </w:tc>
        <w:tc>
          <w:tcPr>
            <w:tcW w:w="1701" w:type="pct"/>
          </w:tcPr>
          <w:p w14:paraId="0FA850B7" w14:textId="77777777" w:rsidR="003A3AA9" w:rsidRPr="003B4D22" w:rsidRDefault="003A3AA9"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Intervention: CMV hyperimmune globulin only</w:t>
            </w:r>
          </w:p>
        </w:tc>
      </w:tr>
      <w:tr w:rsidR="003B428E" w:rsidRPr="003B4D22" w14:paraId="15CE3D88" w14:textId="77777777" w:rsidTr="00BE732E">
        <w:tc>
          <w:tcPr>
            <w:tcW w:w="626" w:type="pct"/>
          </w:tcPr>
          <w:p w14:paraId="5C3BA43C" w14:textId="6575F757" w:rsidR="003B428E" w:rsidRPr="003B4D22" w:rsidRDefault="003B428E" w:rsidP="00F814DE">
            <w:pPr>
              <w:spacing w:after="40" w:line="240" w:lineRule="auto"/>
              <w:ind w:left="-57"/>
              <w:jc w:val="left"/>
              <w:rPr>
                <w:rFonts w:ascii="Arial Narrow" w:hAnsi="Arial Narrow"/>
                <w:sz w:val="20"/>
                <w:szCs w:val="20"/>
              </w:rPr>
            </w:pPr>
            <w:r w:rsidRPr="003B4D22">
              <w:rPr>
                <w:rFonts w:ascii="Arial Narrow" w:hAnsi="Arial Narrow"/>
                <w:sz w:val="20"/>
                <w:szCs w:val="20"/>
              </w:rPr>
              <w:lastRenderedPageBreak/>
              <w:t xml:space="preserve">Spadaro et al., (2016). </w:t>
            </w:r>
          </w:p>
        </w:tc>
        <w:tc>
          <w:tcPr>
            <w:tcW w:w="2044" w:type="pct"/>
          </w:tcPr>
          <w:p w14:paraId="77186B8F" w14:textId="799EB931" w:rsidR="003B428E" w:rsidRPr="003B4D22" w:rsidRDefault="003B428E" w:rsidP="00F814DE">
            <w:pPr>
              <w:spacing w:after="40" w:line="240" w:lineRule="auto"/>
              <w:ind w:left="-57"/>
              <w:jc w:val="left"/>
              <w:rPr>
                <w:rFonts w:ascii="Arial Narrow" w:hAnsi="Arial Narrow"/>
                <w:sz w:val="20"/>
                <w:szCs w:val="20"/>
              </w:rPr>
            </w:pPr>
            <w:r w:rsidRPr="003B4D22">
              <w:rPr>
                <w:rFonts w:ascii="Arial Narrow" w:hAnsi="Arial Narrow"/>
                <w:sz w:val="20"/>
                <w:szCs w:val="20"/>
              </w:rPr>
              <w:t xml:space="preserve">Intravenous versus subcutaneous immunoglobulin replacement in secondary hypogammaglobulinemia. </w:t>
            </w:r>
            <w:r w:rsidRPr="003B4D22">
              <w:rPr>
                <w:rFonts w:ascii="Arial Narrow" w:hAnsi="Arial Narrow"/>
                <w:sz w:val="20"/>
                <w:szCs w:val="20"/>
              </w:rPr>
              <w:br/>
              <w:t>Clin Immunol 166-167: 103-104.</w:t>
            </w:r>
          </w:p>
        </w:tc>
        <w:tc>
          <w:tcPr>
            <w:tcW w:w="629" w:type="pct"/>
          </w:tcPr>
          <w:p w14:paraId="7EE33E03" w14:textId="2B741C16" w:rsidR="003B428E" w:rsidRPr="003B4D22" w:rsidRDefault="003B428E" w:rsidP="00F814DE">
            <w:pPr>
              <w:spacing w:after="40" w:line="240" w:lineRule="auto"/>
              <w:ind w:left="-57"/>
              <w:jc w:val="left"/>
              <w:rPr>
                <w:rFonts w:ascii="Arial Narrow" w:hAnsi="Arial Narrow"/>
                <w:sz w:val="20"/>
                <w:szCs w:val="20"/>
              </w:rPr>
            </w:pPr>
            <w:r w:rsidRPr="003B4D22">
              <w:rPr>
                <w:rFonts w:ascii="Arial Narrow" w:hAnsi="Arial Narrow"/>
                <w:sz w:val="20"/>
                <w:szCs w:val="20"/>
              </w:rPr>
              <w:t>N=14</w:t>
            </w:r>
            <w:r w:rsidRPr="003B4D22">
              <w:rPr>
                <w:rFonts w:ascii="Arial Narrow" w:hAnsi="Arial Narrow"/>
                <w:sz w:val="20"/>
                <w:szCs w:val="20"/>
              </w:rPr>
              <w:br/>
              <w:t>NHL(12); CLL(2)</w:t>
            </w:r>
          </w:p>
        </w:tc>
        <w:tc>
          <w:tcPr>
            <w:tcW w:w="1701" w:type="pct"/>
          </w:tcPr>
          <w:p w14:paraId="6ECEFD09" w14:textId="2B5E8292" w:rsidR="003B428E" w:rsidRPr="003B4D22" w:rsidRDefault="003B428E" w:rsidP="00F814DE">
            <w:pPr>
              <w:spacing w:after="40" w:line="240" w:lineRule="auto"/>
              <w:ind w:left="-57"/>
              <w:jc w:val="left"/>
              <w:rPr>
                <w:rFonts w:ascii="Arial Narrow" w:hAnsi="Arial Narrow"/>
                <w:sz w:val="20"/>
                <w:szCs w:val="20"/>
              </w:rPr>
            </w:pPr>
            <w:r w:rsidRPr="003B4D22">
              <w:rPr>
                <w:rFonts w:ascii="Arial Narrow" w:hAnsi="Arial Narrow"/>
                <w:sz w:val="20"/>
                <w:szCs w:val="20"/>
              </w:rPr>
              <w:t xml:space="preserve">All patients received B-cell depletion therapy, excluded under </w:t>
            </w:r>
            <w:r w:rsidRPr="003B4D22">
              <w:rPr>
                <w:rFonts w:ascii="Arial Narrow" w:hAnsi="Arial Narrow"/>
                <w:i/>
                <w:sz w:val="20"/>
                <w:szCs w:val="20"/>
              </w:rPr>
              <w:t>Criteria Version 3</w:t>
            </w:r>
            <w:r w:rsidRPr="003B4D22">
              <w:rPr>
                <w:rFonts w:ascii="Arial Narrow" w:hAnsi="Arial Narrow"/>
                <w:sz w:val="20"/>
                <w:szCs w:val="20"/>
              </w:rPr>
              <w:t xml:space="preserve">. </w:t>
            </w:r>
          </w:p>
        </w:tc>
      </w:tr>
      <w:tr w:rsidR="00757CCC" w:rsidRPr="003B4D22" w14:paraId="7DFFF8E8" w14:textId="77777777" w:rsidTr="00BE732E">
        <w:tc>
          <w:tcPr>
            <w:tcW w:w="626" w:type="pct"/>
          </w:tcPr>
          <w:p w14:paraId="2B508FCD" w14:textId="39388236"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Sullivan et al., (1996).</w:t>
            </w:r>
          </w:p>
        </w:tc>
        <w:tc>
          <w:tcPr>
            <w:tcW w:w="2044" w:type="pct"/>
          </w:tcPr>
          <w:p w14:paraId="4CA968C3" w14:textId="37286076"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A controlled trial of long-term administration of intravenous immunoglobulin to prevent late infection and chronic graft-vs.-host disease after marrow transplantation: clinical outcome and effect on subsequent immune recovery. </w:t>
            </w:r>
            <w:r w:rsidRPr="003B4D22">
              <w:rPr>
                <w:rFonts w:ascii="Arial Narrow" w:hAnsi="Arial Narrow"/>
                <w:sz w:val="20"/>
                <w:szCs w:val="20"/>
              </w:rPr>
              <w:br/>
              <w:t>Biol Blood Marrow Transplant 2(1): 44-53.</w:t>
            </w:r>
          </w:p>
        </w:tc>
        <w:tc>
          <w:tcPr>
            <w:tcW w:w="629" w:type="pct"/>
          </w:tcPr>
          <w:p w14:paraId="1A24F103" w14:textId="5AB48F04"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BMT</w:t>
            </w:r>
            <w:r w:rsidRPr="003B4D22">
              <w:rPr>
                <w:rFonts w:ascii="Arial Narrow" w:hAnsi="Arial Narrow"/>
                <w:sz w:val="20"/>
                <w:szCs w:val="20"/>
              </w:rPr>
              <w:br/>
              <w:t>N=254</w:t>
            </w:r>
          </w:p>
        </w:tc>
        <w:tc>
          <w:tcPr>
            <w:tcW w:w="1701" w:type="pct"/>
          </w:tcPr>
          <w:p w14:paraId="163EB059" w14:textId="50DFD002" w:rsidR="00757CCC" w:rsidRPr="00F67034" w:rsidRDefault="00757CCC" w:rsidP="00F814DE">
            <w:pPr>
              <w:spacing w:before="0" w:after="40" w:line="240" w:lineRule="auto"/>
              <w:ind w:left="-57"/>
              <w:jc w:val="left"/>
              <w:rPr>
                <w:rFonts w:ascii="Arial Narrow" w:hAnsi="Arial Narrow"/>
                <w:sz w:val="20"/>
                <w:szCs w:val="20"/>
              </w:rPr>
            </w:pPr>
            <w:r w:rsidRPr="00F67034">
              <w:rPr>
                <w:rFonts w:ascii="Arial Narrow" w:hAnsi="Arial Narrow"/>
                <w:sz w:val="20"/>
                <w:szCs w:val="20"/>
              </w:rPr>
              <w:t xml:space="preserve">Extension study </w:t>
            </w:r>
            <w:r w:rsidR="00386411" w:rsidRPr="00F67034">
              <w:rPr>
                <w:rFonts w:ascii="Arial Narrow" w:hAnsi="Arial Narrow"/>
                <w:sz w:val="20"/>
                <w:szCs w:val="20"/>
              </w:rPr>
              <w:t>for</w:t>
            </w:r>
            <w:r w:rsidRPr="00F67034">
              <w:rPr>
                <w:rFonts w:ascii="Arial Narrow" w:hAnsi="Arial Narrow"/>
                <w:sz w:val="20"/>
                <w:szCs w:val="20"/>
              </w:rPr>
              <w:t xml:space="preserve"> Sullivan et al., 1990. Not clear that patients continue to meet criteria for tx. Untreated group </w:t>
            </w:r>
            <w:r w:rsidR="00386411" w:rsidRPr="00F67034">
              <w:rPr>
                <w:rFonts w:ascii="Arial Narrow" w:hAnsi="Arial Narrow"/>
                <w:sz w:val="20"/>
                <w:szCs w:val="20"/>
              </w:rPr>
              <w:t xml:space="preserve">serum </w:t>
            </w:r>
            <w:r w:rsidRPr="00F67034">
              <w:rPr>
                <w:rFonts w:ascii="Arial Narrow" w:hAnsi="Arial Narrow"/>
                <w:sz w:val="20"/>
                <w:szCs w:val="20"/>
              </w:rPr>
              <w:t xml:space="preserve">IgG levels suggest patients no longer have hypo-GG. </w:t>
            </w:r>
          </w:p>
        </w:tc>
      </w:tr>
      <w:tr w:rsidR="00757CCC" w:rsidRPr="003B4D22" w14:paraId="3B106BE9" w14:textId="77777777" w:rsidTr="00BE732E">
        <w:tc>
          <w:tcPr>
            <w:tcW w:w="626" w:type="pct"/>
          </w:tcPr>
          <w:p w14:paraId="07A984F3" w14:textId="423705BA"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Visentin et al., (2015). </w:t>
            </w:r>
          </w:p>
        </w:tc>
        <w:tc>
          <w:tcPr>
            <w:tcW w:w="2044" w:type="pct"/>
          </w:tcPr>
          <w:p w14:paraId="0D5E1188" w14:textId="302C98D6"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Clinical profile associated with infections in patients with chronic lymphocytic leukemia. Protective role of immunoglobulin replacement therapy. </w:t>
            </w:r>
            <w:r w:rsidRPr="003B4D22">
              <w:rPr>
                <w:rFonts w:ascii="Arial Narrow" w:hAnsi="Arial Narrow"/>
                <w:sz w:val="20"/>
                <w:szCs w:val="20"/>
              </w:rPr>
              <w:br/>
              <w:t>Haematologica 100(12): e515-518.</w:t>
            </w:r>
          </w:p>
        </w:tc>
        <w:tc>
          <w:tcPr>
            <w:tcW w:w="629" w:type="pct"/>
          </w:tcPr>
          <w:p w14:paraId="6CD34B2C" w14:textId="1F35C12A"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CLL</w:t>
            </w:r>
            <w:r w:rsidRPr="003B4D22">
              <w:rPr>
                <w:rFonts w:ascii="Arial Narrow" w:hAnsi="Arial Narrow"/>
                <w:sz w:val="20"/>
                <w:szCs w:val="20"/>
              </w:rPr>
              <w:br/>
              <w:t>N=706</w:t>
            </w:r>
          </w:p>
        </w:tc>
        <w:tc>
          <w:tcPr>
            <w:tcW w:w="1701" w:type="pct"/>
          </w:tcPr>
          <w:p w14:paraId="00F7BCBE" w14:textId="6C4022D9"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No information on infections at baseline, most patients did not have hypo-GG, nor was there any subsequent monitoring of IgG levels. </w:t>
            </w:r>
          </w:p>
        </w:tc>
      </w:tr>
      <w:tr w:rsidR="00757CCC" w:rsidRPr="003B4D22" w14:paraId="6E78C83C" w14:textId="77777777" w:rsidTr="00BE732E">
        <w:tc>
          <w:tcPr>
            <w:tcW w:w="626" w:type="pct"/>
          </w:tcPr>
          <w:p w14:paraId="30BFEDFE" w14:textId="1A59B8C7"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Winston et al., (2001)</w:t>
            </w:r>
          </w:p>
        </w:tc>
        <w:tc>
          <w:tcPr>
            <w:tcW w:w="2044" w:type="pct"/>
          </w:tcPr>
          <w:p w14:paraId="4E1A04FC" w14:textId="221AA33E" w:rsidR="00757CCC" w:rsidRPr="003B4D22" w:rsidRDefault="00757CCC"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A multicenter, randomized, double-blind comparison of different doses of intravenous immunoglobulin for prevention of graft-versus-host disease and infection after allogeneic bone marrow transplantation.</w:t>
            </w:r>
            <w:r w:rsidRPr="003B4D22">
              <w:rPr>
                <w:rFonts w:ascii="Arial Narrow" w:hAnsi="Arial Narrow"/>
                <w:sz w:val="20"/>
                <w:szCs w:val="20"/>
              </w:rPr>
              <w:br/>
              <w:t>Bone Marrow Transplant. 2001 Jul;28(2):187-96.</w:t>
            </w:r>
          </w:p>
        </w:tc>
        <w:tc>
          <w:tcPr>
            <w:tcW w:w="629" w:type="pct"/>
          </w:tcPr>
          <w:p w14:paraId="573E1DF9" w14:textId="2C134B2F" w:rsidR="00757CCC" w:rsidRPr="003B4D22" w:rsidRDefault="003A3AA9"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HSCT</w:t>
            </w:r>
            <w:r w:rsidRPr="003B4D22">
              <w:rPr>
                <w:rFonts w:ascii="Arial Narrow" w:hAnsi="Arial Narrow"/>
                <w:sz w:val="20"/>
                <w:szCs w:val="20"/>
              </w:rPr>
              <w:br/>
              <w:t>N=618</w:t>
            </w:r>
          </w:p>
        </w:tc>
        <w:tc>
          <w:tcPr>
            <w:tcW w:w="1701" w:type="pct"/>
          </w:tcPr>
          <w:p w14:paraId="0510BEEA" w14:textId="103E41BF" w:rsidR="00757CCC" w:rsidRPr="003B4D22" w:rsidRDefault="003A3AA9"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Tx commenced prior to transplant; no infection history or IgG levels at baseline.</w:t>
            </w:r>
          </w:p>
        </w:tc>
      </w:tr>
      <w:tr w:rsidR="0080147A" w:rsidRPr="003B4D22" w14:paraId="34140A18" w14:textId="77777777" w:rsidTr="00BE732E">
        <w:tc>
          <w:tcPr>
            <w:tcW w:w="626" w:type="pct"/>
          </w:tcPr>
          <w:p w14:paraId="560E936F" w14:textId="609546DA" w:rsidR="0080147A" w:rsidRPr="003B4D22" w:rsidRDefault="0080147A"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Winston DJ, Ho WG, Bartoni K, Champlin RE (1993) </w:t>
            </w:r>
          </w:p>
        </w:tc>
        <w:tc>
          <w:tcPr>
            <w:tcW w:w="2044" w:type="pct"/>
          </w:tcPr>
          <w:p w14:paraId="083B003D" w14:textId="2AD8F755" w:rsidR="0080147A" w:rsidRPr="003B4D22" w:rsidRDefault="0080147A"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Intravenous immunoglobulin and CMV-seronegative blood products for prevention of CMV infection and disease in bone marrow transplant recipients. </w:t>
            </w:r>
            <w:r w:rsidRPr="003B4D22">
              <w:rPr>
                <w:rFonts w:ascii="Arial Narrow" w:hAnsi="Arial Narrow"/>
                <w:sz w:val="20"/>
                <w:szCs w:val="20"/>
              </w:rPr>
              <w:br/>
              <w:t>Bone Marrow Transplant 12:283–288</w:t>
            </w:r>
          </w:p>
        </w:tc>
        <w:tc>
          <w:tcPr>
            <w:tcW w:w="629" w:type="pct"/>
          </w:tcPr>
          <w:p w14:paraId="5A84E1C0" w14:textId="198BE8F8" w:rsidR="0080147A" w:rsidRPr="00F67034" w:rsidRDefault="00F67034" w:rsidP="00F814DE">
            <w:pPr>
              <w:spacing w:before="0" w:after="40" w:line="240" w:lineRule="auto"/>
              <w:ind w:left="-57"/>
              <w:jc w:val="left"/>
              <w:rPr>
                <w:rFonts w:ascii="Arial Narrow" w:hAnsi="Arial Narrow"/>
                <w:sz w:val="20"/>
                <w:szCs w:val="20"/>
              </w:rPr>
            </w:pPr>
            <w:r w:rsidRPr="00F67034">
              <w:rPr>
                <w:rFonts w:ascii="Arial Narrow" w:hAnsi="Arial Narrow"/>
                <w:sz w:val="20"/>
                <w:szCs w:val="20"/>
              </w:rPr>
              <w:t>HSCT</w:t>
            </w:r>
          </w:p>
        </w:tc>
        <w:tc>
          <w:tcPr>
            <w:tcW w:w="1701" w:type="pct"/>
          </w:tcPr>
          <w:p w14:paraId="36D5686E" w14:textId="0A9B35B5" w:rsidR="0080147A" w:rsidRPr="00F67034" w:rsidRDefault="0080147A" w:rsidP="00F814DE">
            <w:pPr>
              <w:spacing w:before="0" w:after="40" w:line="240" w:lineRule="auto"/>
              <w:ind w:left="-57"/>
              <w:jc w:val="left"/>
              <w:rPr>
                <w:rFonts w:ascii="Arial Narrow" w:hAnsi="Arial Narrow"/>
                <w:sz w:val="20"/>
                <w:szCs w:val="20"/>
              </w:rPr>
            </w:pPr>
            <w:r w:rsidRPr="00F67034">
              <w:rPr>
                <w:rFonts w:ascii="Arial Narrow" w:hAnsi="Arial Narrow"/>
                <w:sz w:val="20"/>
                <w:szCs w:val="20"/>
              </w:rPr>
              <w:t>Prophylactic Ig use (not limited to treating hypo-GG)</w:t>
            </w:r>
          </w:p>
        </w:tc>
      </w:tr>
      <w:tr w:rsidR="0080147A" w:rsidRPr="003B4D22" w14:paraId="5B0C6707" w14:textId="77777777" w:rsidTr="00BE732E">
        <w:tc>
          <w:tcPr>
            <w:tcW w:w="626" w:type="pct"/>
          </w:tcPr>
          <w:p w14:paraId="3BA98815" w14:textId="7A545278" w:rsidR="0080147A" w:rsidRPr="003B4D22" w:rsidRDefault="0080147A"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Winston et al., (1993)</w:t>
            </w:r>
          </w:p>
        </w:tc>
        <w:tc>
          <w:tcPr>
            <w:tcW w:w="2044" w:type="pct"/>
          </w:tcPr>
          <w:p w14:paraId="71D669B7" w14:textId="3C996927" w:rsidR="0080147A" w:rsidRPr="003B4D22" w:rsidRDefault="0080147A"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Ganciclovir prophylaxis of cytomegalovirus infection and disease in allogeneic bone marrow transplant recipients. Results of a placebo-controlled, double-blind trial. </w:t>
            </w:r>
            <w:r w:rsidRPr="003B4D22">
              <w:rPr>
                <w:rFonts w:ascii="Arial Narrow" w:hAnsi="Arial Narrow"/>
                <w:sz w:val="20"/>
                <w:szCs w:val="20"/>
              </w:rPr>
              <w:br/>
              <w:t xml:space="preserve">Ann Intern Med. 1993;118:179-84. </w:t>
            </w:r>
          </w:p>
        </w:tc>
        <w:tc>
          <w:tcPr>
            <w:tcW w:w="629" w:type="pct"/>
          </w:tcPr>
          <w:p w14:paraId="49A27463" w14:textId="706D4889" w:rsidR="0080147A" w:rsidRPr="00F67034" w:rsidRDefault="00F67034" w:rsidP="00F814DE">
            <w:pPr>
              <w:spacing w:before="0" w:after="40" w:line="240" w:lineRule="auto"/>
              <w:ind w:left="-57"/>
              <w:jc w:val="left"/>
              <w:rPr>
                <w:rFonts w:ascii="Arial Narrow" w:hAnsi="Arial Narrow"/>
                <w:sz w:val="20"/>
                <w:szCs w:val="20"/>
              </w:rPr>
            </w:pPr>
            <w:r w:rsidRPr="00F67034">
              <w:rPr>
                <w:rFonts w:ascii="Arial Narrow" w:hAnsi="Arial Narrow"/>
                <w:sz w:val="20"/>
                <w:szCs w:val="20"/>
              </w:rPr>
              <w:t>HSCT</w:t>
            </w:r>
          </w:p>
        </w:tc>
        <w:tc>
          <w:tcPr>
            <w:tcW w:w="1701" w:type="pct"/>
          </w:tcPr>
          <w:p w14:paraId="7857CACF" w14:textId="555BBE6F" w:rsidR="0080147A" w:rsidRPr="00F67034" w:rsidRDefault="0080147A" w:rsidP="00F814DE">
            <w:pPr>
              <w:spacing w:before="0" w:after="40" w:line="240" w:lineRule="auto"/>
              <w:ind w:left="-57"/>
              <w:jc w:val="left"/>
              <w:rPr>
                <w:rFonts w:ascii="Arial Narrow" w:hAnsi="Arial Narrow"/>
                <w:sz w:val="20"/>
                <w:szCs w:val="20"/>
              </w:rPr>
            </w:pPr>
            <w:r w:rsidRPr="00F67034">
              <w:rPr>
                <w:rFonts w:ascii="Arial Narrow" w:hAnsi="Arial Narrow"/>
                <w:sz w:val="20"/>
                <w:szCs w:val="20"/>
              </w:rPr>
              <w:t>Prophylactic Ig use (not limited to treating hypo-GG)</w:t>
            </w:r>
          </w:p>
        </w:tc>
      </w:tr>
      <w:tr w:rsidR="000621AB" w:rsidRPr="003B4D22" w14:paraId="7B53FFD7" w14:textId="77777777" w:rsidTr="00BE732E">
        <w:tc>
          <w:tcPr>
            <w:tcW w:w="626" w:type="pct"/>
          </w:tcPr>
          <w:p w14:paraId="4A79EBD3" w14:textId="07C38800" w:rsidR="000621AB" w:rsidRPr="003B4D22" w:rsidRDefault="000621AB"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Wolff et al., (1993) </w:t>
            </w:r>
          </w:p>
        </w:tc>
        <w:tc>
          <w:tcPr>
            <w:tcW w:w="2044" w:type="pct"/>
          </w:tcPr>
          <w:p w14:paraId="367B73A4" w14:textId="0883447A" w:rsidR="000621AB" w:rsidRPr="003B4D22" w:rsidRDefault="000621AB"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High-dose weekly intravenous immunoglobulin to prevent infections in patients undergoing autologous bone marrow transplantation or severe myelosuppressive therapy. A study of the American Bone Marrow Transplant Group. </w:t>
            </w:r>
          </w:p>
          <w:p w14:paraId="4258D70B" w14:textId="39102B20" w:rsidR="000621AB" w:rsidRPr="003B4D22" w:rsidRDefault="000621AB"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Ann Intern Med 118:937–942</w:t>
            </w:r>
          </w:p>
        </w:tc>
        <w:tc>
          <w:tcPr>
            <w:tcW w:w="629" w:type="pct"/>
          </w:tcPr>
          <w:p w14:paraId="653E8F38" w14:textId="337E80A6" w:rsidR="000621AB" w:rsidRPr="003B4D22" w:rsidRDefault="000621AB"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Auto-BMT (125); AL (26); ‘other’ (19)</w:t>
            </w:r>
            <w:r w:rsidRPr="003B4D22">
              <w:rPr>
                <w:rFonts w:ascii="Arial Narrow" w:hAnsi="Arial Narrow"/>
                <w:sz w:val="20"/>
                <w:szCs w:val="20"/>
              </w:rPr>
              <w:br/>
              <w:t>N=170</w:t>
            </w:r>
          </w:p>
        </w:tc>
        <w:tc>
          <w:tcPr>
            <w:tcW w:w="1701" w:type="pct"/>
          </w:tcPr>
          <w:p w14:paraId="2C094976" w14:textId="6296F608" w:rsidR="000621AB" w:rsidRPr="003B4D22" w:rsidRDefault="000621AB"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Only 8% of patients had hypo-GG; results not reported according to hypo-GG status. No information on history of infections. </w:t>
            </w:r>
          </w:p>
        </w:tc>
      </w:tr>
      <w:tr w:rsidR="000621AB" w:rsidRPr="003B4D22" w14:paraId="254992C2" w14:textId="77777777" w:rsidTr="00BE732E">
        <w:tc>
          <w:tcPr>
            <w:tcW w:w="626" w:type="pct"/>
          </w:tcPr>
          <w:p w14:paraId="39A0520F" w14:textId="3DA08477" w:rsidR="000621AB" w:rsidRPr="003B4D22" w:rsidRDefault="000621AB"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Zikos et al., (1998) </w:t>
            </w:r>
          </w:p>
        </w:tc>
        <w:tc>
          <w:tcPr>
            <w:tcW w:w="2044" w:type="pct"/>
          </w:tcPr>
          <w:p w14:paraId="5678D400" w14:textId="7FC7D760" w:rsidR="000621AB" w:rsidRPr="003B4D22" w:rsidRDefault="000621AB"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A randomized trial of high dose polyvalent intravenous immunoglobulin (HDIgG) vs. cytomegalovirus (CMV) hyperimmune IgG in allogeneic hemopoietic stem cell transplants (HSCT). </w:t>
            </w:r>
            <w:r w:rsidRPr="003B4D22">
              <w:rPr>
                <w:rFonts w:ascii="Arial Narrow" w:hAnsi="Arial Narrow"/>
                <w:sz w:val="20"/>
                <w:szCs w:val="20"/>
              </w:rPr>
              <w:br/>
              <w:t>Haematologica 83:132–137</w:t>
            </w:r>
          </w:p>
        </w:tc>
        <w:tc>
          <w:tcPr>
            <w:tcW w:w="629" w:type="pct"/>
          </w:tcPr>
          <w:p w14:paraId="7469F9EF" w14:textId="0D9641E6" w:rsidR="000621AB" w:rsidRPr="003B4D22" w:rsidRDefault="000621AB"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HSCT (adults and paeds)</w:t>
            </w:r>
            <w:r w:rsidRPr="003B4D22">
              <w:rPr>
                <w:rFonts w:ascii="Arial Narrow" w:hAnsi="Arial Narrow"/>
                <w:sz w:val="20"/>
                <w:szCs w:val="20"/>
              </w:rPr>
              <w:br/>
              <w:t>(N=128)</w:t>
            </w:r>
          </w:p>
        </w:tc>
        <w:tc>
          <w:tcPr>
            <w:tcW w:w="1701" w:type="pct"/>
          </w:tcPr>
          <w:p w14:paraId="20A64248" w14:textId="56FA7319" w:rsidR="000621AB" w:rsidRPr="003B4D22" w:rsidRDefault="000621AB"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Wrong comparator (CMV globulin not ‘No IgG’), no evidence of hypo-GG in recipients prior to treatment; no untreated group to enable comparison of infection rates. Prophylactic tx prior to HSCT. </w:t>
            </w:r>
          </w:p>
        </w:tc>
      </w:tr>
    </w:tbl>
    <w:p w14:paraId="2B194156" w14:textId="3A0330B1" w:rsidR="00261F0E" w:rsidRPr="003B4D22" w:rsidRDefault="00261F0E" w:rsidP="00261F0E">
      <w:pPr>
        <w:rPr>
          <w:rFonts w:ascii="Arial Narrow" w:hAnsi="Arial Narrow"/>
          <w:sz w:val="20"/>
        </w:rPr>
      </w:pPr>
      <w:r w:rsidRPr="003B4D22">
        <w:rPr>
          <w:rFonts w:ascii="Arial Narrow" w:hAnsi="Arial Narrow"/>
          <w:sz w:val="20"/>
        </w:rPr>
        <w:t xml:space="preserve">Abbreviations are the same as those in </w:t>
      </w:r>
      <w:r w:rsidRPr="003B4D22">
        <w:rPr>
          <w:rFonts w:ascii="Arial Narrow" w:hAnsi="Arial Narrow"/>
          <w:sz w:val="20"/>
        </w:rPr>
        <w:fldChar w:fldCharType="begin"/>
      </w:r>
      <w:r w:rsidRPr="003B4D22">
        <w:rPr>
          <w:rFonts w:ascii="Arial Narrow" w:hAnsi="Arial Narrow"/>
          <w:sz w:val="20"/>
        </w:rPr>
        <w:instrText xml:space="preserve"> REF _Ref11162222 \h  \* MERGEFORMAT </w:instrText>
      </w:r>
      <w:r w:rsidRPr="003B4D22">
        <w:rPr>
          <w:rFonts w:ascii="Arial Narrow" w:hAnsi="Arial Narrow"/>
          <w:sz w:val="20"/>
        </w:rPr>
      </w:r>
      <w:r w:rsidRPr="003B4D22">
        <w:rPr>
          <w:rFonts w:ascii="Arial Narrow" w:hAnsi="Arial Narrow"/>
          <w:sz w:val="20"/>
        </w:rPr>
        <w:fldChar w:fldCharType="separate"/>
      </w:r>
      <w:r w:rsidR="00A7463B" w:rsidRPr="00A7463B">
        <w:rPr>
          <w:rFonts w:ascii="Arial Narrow" w:hAnsi="Arial Narrow"/>
          <w:sz w:val="20"/>
        </w:rPr>
        <w:t xml:space="preserve">Table </w:t>
      </w:r>
      <w:r w:rsidR="00A7463B" w:rsidRPr="00A7463B">
        <w:rPr>
          <w:rFonts w:ascii="Arial Narrow" w:hAnsi="Arial Narrow"/>
          <w:noProof/>
          <w:sz w:val="20"/>
        </w:rPr>
        <w:t>79</w:t>
      </w:r>
      <w:r w:rsidRPr="003B4D22">
        <w:rPr>
          <w:rFonts w:ascii="Arial Narrow" w:hAnsi="Arial Narrow"/>
          <w:sz w:val="20"/>
        </w:rPr>
        <w:fldChar w:fldCharType="end"/>
      </w:r>
    </w:p>
    <w:bookmarkEnd w:id="722"/>
    <w:p w14:paraId="571868FA" w14:textId="77777777" w:rsidR="00503735" w:rsidRPr="00386411" w:rsidRDefault="00503735" w:rsidP="00ED0AF9">
      <w:pPr>
        <w:spacing w:line="240" w:lineRule="auto"/>
        <w:rPr>
          <w:b/>
        </w:rPr>
      </w:pPr>
    </w:p>
    <w:p w14:paraId="73855CB7" w14:textId="77777777" w:rsidR="00A904EF" w:rsidRPr="00386411" w:rsidRDefault="00A904EF" w:rsidP="00ED0AF9">
      <w:pPr>
        <w:spacing w:line="240" w:lineRule="auto"/>
        <w:rPr>
          <w:b/>
        </w:rPr>
        <w:sectPr w:rsidR="00A904EF" w:rsidRPr="00386411" w:rsidSect="0093269A">
          <w:headerReference w:type="even" r:id="rId55"/>
          <w:headerReference w:type="default" r:id="rId56"/>
          <w:footerReference w:type="even" r:id="rId57"/>
          <w:footerReference w:type="default" r:id="rId58"/>
          <w:headerReference w:type="first" r:id="rId59"/>
          <w:pgSz w:w="11906" w:h="16838"/>
          <w:pgMar w:top="1440" w:right="1440" w:bottom="1440" w:left="1440" w:header="720" w:footer="720" w:gutter="0"/>
          <w:paperSrc w:first="7" w:other="7"/>
          <w:cols w:space="720"/>
          <w:docGrid w:linePitch="360"/>
        </w:sectPr>
      </w:pPr>
    </w:p>
    <w:p w14:paraId="3A66351D" w14:textId="09A188CC" w:rsidR="00A904EF" w:rsidRPr="00386411" w:rsidRDefault="00A904EF" w:rsidP="00A904EF">
      <w:pPr>
        <w:pStyle w:val="Heading1"/>
      </w:pPr>
      <w:bookmarkStart w:id="758" w:name="_Ref10230975"/>
      <w:bookmarkStart w:id="759" w:name="_Toc14431189"/>
      <w:bookmarkStart w:id="760" w:name="_Toc16856364"/>
      <w:bookmarkStart w:id="761" w:name="_Ref9351943"/>
      <w:r w:rsidRPr="00386411">
        <w:lastRenderedPageBreak/>
        <w:t xml:space="preserve">Appendix </w:t>
      </w:r>
      <w:r w:rsidRPr="00386411">
        <w:rPr>
          <w:noProof/>
        </w:rPr>
        <w:fldChar w:fldCharType="begin"/>
      </w:r>
      <w:r w:rsidRPr="00386411">
        <w:rPr>
          <w:noProof/>
        </w:rPr>
        <w:instrText xml:space="preserve"> SEQ Appendix \* ALPHABETIC </w:instrText>
      </w:r>
      <w:r w:rsidRPr="00386411">
        <w:rPr>
          <w:noProof/>
        </w:rPr>
        <w:fldChar w:fldCharType="separate"/>
      </w:r>
      <w:r w:rsidR="00A7463B">
        <w:rPr>
          <w:noProof/>
        </w:rPr>
        <w:t>F</w:t>
      </w:r>
      <w:r w:rsidRPr="00386411">
        <w:rPr>
          <w:noProof/>
        </w:rPr>
        <w:fldChar w:fldCharType="end"/>
      </w:r>
      <w:bookmarkEnd w:id="758"/>
      <w:r w:rsidRPr="00386411">
        <w:tab/>
      </w:r>
      <w:r w:rsidR="007667B3" w:rsidRPr="00386411">
        <w:t>Supporting</w:t>
      </w:r>
      <w:r w:rsidRPr="00386411">
        <w:t xml:space="preserve"> </w:t>
      </w:r>
      <w:r w:rsidR="00F814DE">
        <w:t>clinical d</w:t>
      </w:r>
      <w:r w:rsidR="007667B3" w:rsidRPr="00386411">
        <w:t>ata</w:t>
      </w:r>
      <w:bookmarkEnd w:id="759"/>
      <w:bookmarkEnd w:id="760"/>
    </w:p>
    <w:p w14:paraId="6F956F19" w14:textId="276FDC6E" w:rsidR="007667B3" w:rsidRPr="00386411" w:rsidRDefault="007667B3" w:rsidP="00A148C4">
      <w:pPr>
        <w:pStyle w:val="Caption"/>
      </w:pPr>
      <w:bookmarkStart w:id="762" w:name="_Ref11318489"/>
      <w:bookmarkStart w:id="763" w:name="_Toc14429624"/>
      <w:bookmarkStart w:id="764" w:name="_Toc16671682"/>
      <w:bookmarkStart w:id="765" w:name="_Ref10188812"/>
      <w:r w:rsidRPr="00386411">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84</w:t>
      </w:r>
      <w:r w:rsidRPr="00386411">
        <w:rPr>
          <w:noProof/>
        </w:rPr>
        <w:fldChar w:fldCharType="end"/>
      </w:r>
      <w:bookmarkEnd w:id="762"/>
      <w:r w:rsidRPr="00386411">
        <w:tab/>
      </w:r>
      <w:r w:rsidRPr="00386411">
        <w:rPr>
          <w:snapToGrid w:val="0"/>
          <w:lang w:eastAsia="en-US"/>
        </w:rPr>
        <w:t>Antibiotic use</w:t>
      </w:r>
      <w:r w:rsidR="0032604F" w:rsidRPr="00386411">
        <w:rPr>
          <w:snapToGrid w:val="0"/>
          <w:lang w:eastAsia="en-US"/>
        </w:rPr>
        <w:t xml:space="preserve"> and infection prophylaxis</w:t>
      </w:r>
      <w:r w:rsidRPr="00386411">
        <w:rPr>
          <w:snapToGrid w:val="0"/>
          <w:lang w:eastAsia="en-US"/>
        </w:rPr>
        <w:t xml:space="preserve"> in the included studies</w:t>
      </w:r>
      <w:bookmarkEnd w:id="763"/>
      <w:bookmarkEnd w:id="764"/>
    </w:p>
    <w:tbl>
      <w:tblPr>
        <w:tblStyle w:val="TableGrid5"/>
        <w:tblW w:w="5000" w:type="pct"/>
        <w:tblLook w:val="04A0" w:firstRow="1" w:lastRow="0" w:firstColumn="1" w:lastColumn="0" w:noHBand="0" w:noVBand="1"/>
        <w:tblCaption w:val="Antibiotic use and infection prophylaxis in the included studies"/>
      </w:tblPr>
      <w:tblGrid>
        <w:gridCol w:w="1342"/>
        <w:gridCol w:w="3736"/>
        <w:gridCol w:w="4164"/>
      </w:tblGrid>
      <w:tr w:rsidR="002054AC" w:rsidRPr="00386411" w14:paraId="2A5E8760" w14:textId="77777777" w:rsidTr="003B4D22">
        <w:trPr>
          <w:tblHeader/>
        </w:trPr>
        <w:tc>
          <w:tcPr>
            <w:tcW w:w="726" w:type="pct"/>
          </w:tcPr>
          <w:p w14:paraId="106ACFD9" w14:textId="77777777" w:rsidR="007667B3" w:rsidRPr="00386411" w:rsidRDefault="007667B3" w:rsidP="007667B3">
            <w:pPr>
              <w:keepNext/>
              <w:spacing w:before="0" w:after="40" w:line="240" w:lineRule="auto"/>
              <w:rPr>
                <w:rFonts w:ascii="Arial Narrow" w:hAnsi="Arial Narrow"/>
                <w:b/>
                <w:sz w:val="20"/>
                <w:szCs w:val="20"/>
              </w:rPr>
            </w:pPr>
            <w:r w:rsidRPr="00386411">
              <w:rPr>
                <w:rFonts w:ascii="Arial Narrow" w:hAnsi="Arial Narrow"/>
                <w:b/>
                <w:sz w:val="20"/>
                <w:szCs w:val="20"/>
              </w:rPr>
              <w:t>Study</w:t>
            </w:r>
          </w:p>
        </w:tc>
        <w:tc>
          <w:tcPr>
            <w:tcW w:w="2021" w:type="pct"/>
          </w:tcPr>
          <w:p w14:paraId="6CB48262" w14:textId="59434408" w:rsidR="007667B3" w:rsidRPr="00386411" w:rsidRDefault="0032604F" w:rsidP="00142B9D">
            <w:pPr>
              <w:keepNext/>
              <w:spacing w:before="0" w:after="40" w:line="240" w:lineRule="auto"/>
              <w:ind w:left="-57"/>
              <w:rPr>
                <w:rFonts w:ascii="Arial Narrow" w:hAnsi="Arial Narrow"/>
                <w:b/>
                <w:sz w:val="20"/>
                <w:szCs w:val="20"/>
              </w:rPr>
            </w:pPr>
            <w:r w:rsidRPr="00386411">
              <w:rPr>
                <w:rFonts w:ascii="Arial Narrow" w:hAnsi="Arial Narrow"/>
                <w:b/>
                <w:sz w:val="20"/>
                <w:szCs w:val="20"/>
              </w:rPr>
              <w:t>Infection</w:t>
            </w:r>
            <w:r w:rsidR="007667B3" w:rsidRPr="00386411">
              <w:rPr>
                <w:rFonts w:ascii="Arial Narrow" w:hAnsi="Arial Narrow"/>
                <w:b/>
                <w:sz w:val="20"/>
                <w:szCs w:val="20"/>
              </w:rPr>
              <w:t xml:space="preserve"> prophylaxis</w:t>
            </w:r>
          </w:p>
        </w:tc>
        <w:tc>
          <w:tcPr>
            <w:tcW w:w="2252" w:type="pct"/>
          </w:tcPr>
          <w:p w14:paraId="63FADF89" w14:textId="530F8689" w:rsidR="007667B3" w:rsidRPr="00386411" w:rsidRDefault="007667B3" w:rsidP="00B6320C">
            <w:pPr>
              <w:keepNext/>
              <w:spacing w:before="0" w:after="40" w:line="240" w:lineRule="auto"/>
              <w:rPr>
                <w:rFonts w:ascii="Arial Narrow" w:hAnsi="Arial Narrow"/>
                <w:b/>
                <w:sz w:val="20"/>
                <w:szCs w:val="20"/>
              </w:rPr>
            </w:pPr>
            <w:r w:rsidRPr="00386411">
              <w:rPr>
                <w:rFonts w:ascii="Arial Narrow" w:hAnsi="Arial Narrow"/>
                <w:b/>
                <w:sz w:val="20"/>
                <w:szCs w:val="20"/>
              </w:rPr>
              <w:t xml:space="preserve">Antibiotic </w:t>
            </w:r>
            <w:r w:rsidR="00B6320C" w:rsidRPr="00386411">
              <w:rPr>
                <w:rFonts w:ascii="Arial Narrow" w:hAnsi="Arial Narrow"/>
                <w:b/>
                <w:sz w:val="20"/>
                <w:szCs w:val="20"/>
              </w:rPr>
              <w:t>prescribing</w:t>
            </w:r>
          </w:p>
        </w:tc>
      </w:tr>
      <w:tr w:rsidR="0031044B" w:rsidRPr="00386411" w14:paraId="40F6C806" w14:textId="77777777" w:rsidTr="003B4D22">
        <w:tc>
          <w:tcPr>
            <w:tcW w:w="5000" w:type="pct"/>
            <w:gridSpan w:val="3"/>
            <w:shd w:val="clear" w:color="auto" w:fill="000000" w:themeFill="text1"/>
          </w:tcPr>
          <w:p w14:paraId="7E9BFAF0" w14:textId="77777777" w:rsidR="0031044B" w:rsidRPr="00386411" w:rsidRDefault="0031044B" w:rsidP="00142B9D">
            <w:pPr>
              <w:keepNext/>
              <w:spacing w:before="0" w:after="40" w:line="240" w:lineRule="auto"/>
              <w:ind w:left="-57"/>
              <w:rPr>
                <w:rFonts w:ascii="Arial Narrow" w:hAnsi="Arial Narrow"/>
                <w:b/>
                <w:color w:val="FFFFFF" w:themeColor="background1"/>
                <w:sz w:val="20"/>
                <w:szCs w:val="20"/>
              </w:rPr>
            </w:pPr>
            <w:r w:rsidRPr="00386411">
              <w:rPr>
                <w:rFonts w:ascii="Arial Narrow" w:hAnsi="Arial Narrow"/>
                <w:b/>
                <w:color w:val="FFFFFF" w:themeColor="background1"/>
                <w:sz w:val="20"/>
                <w:szCs w:val="20"/>
              </w:rPr>
              <w:t>Randomised studies – IVIg vs No IVIg</w:t>
            </w:r>
          </w:p>
        </w:tc>
      </w:tr>
      <w:tr w:rsidR="002054AC" w:rsidRPr="003B4D22" w14:paraId="7145CAD5" w14:textId="77777777" w:rsidTr="003B4D22">
        <w:trPr>
          <w:trHeight w:val="293"/>
        </w:trPr>
        <w:tc>
          <w:tcPr>
            <w:tcW w:w="726" w:type="pct"/>
          </w:tcPr>
          <w:p w14:paraId="35B1FF6B" w14:textId="4C6D3066" w:rsidR="007667B3" w:rsidRPr="003B4D22" w:rsidRDefault="007667B3" w:rsidP="00F814DE">
            <w:pPr>
              <w:spacing w:before="0" w:after="40" w:line="240" w:lineRule="auto"/>
              <w:jc w:val="left"/>
              <w:rPr>
                <w:rFonts w:ascii="Arial Narrow" w:hAnsi="Arial Narrow"/>
                <w:sz w:val="20"/>
                <w:szCs w:val="20"/>
              </w:rPr>
            </w:pPr>
            <w:r w:rsidRPr="003B4D22">
              <w:rPr>
                <w:rFonts w:ascii="Arial Narrow" w:hAnsi="Arial Narrow"/>
                <w:sz w:val="20"/>
                <w:szCs w:val="20"/>
              </w:rPr>
              <w:t>Boughton et al., 1995</w:t>
            </w:r>
          </w:p>
        </w:tc>
        <w:tc>
          <w:tcPr>
            <w:tcW w:w="2021" w:type="pct"/>
          </w:tcPr>
          <w:p w14:paraId="2240E4B2" w14:textId="77777777" w:rsidR="00BB2818" w:rsidRPr="003B4D22" w:rsidRDefault="00BB2818"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On-study – none noted.</w:t>
            </w:r>
          </w:p>
          <w:p w14:paraId="08A08869" w14:textId="53AD670D" w:rsidR="007667B3" w:rsidRPr="003B4D22" w:rsidRDefault="00BB2818"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Immediately prior to study, patients excluded if antibiotic prophylaxis received within 2 weeks.  </w:t>
            </w:r>
          </w:p>
        </w:tc>
        <w:tc>
          <w:tcPr>
            <w:tcW w:w="2252" w:type="pct"/>
          </w:tcPr>
          <w:p w14:paraId="119DE423" w14:textId="77777777" w:rsidR="007667B3" w:rsidRPr="003B4D22" w:rsidRDefault="007667B3" w:rsidP="00F814DE">
            <w:pPr>
              <w:spacing w:before="0" w:after="40" w:line="240" w:lineRule="auto"/>
              <w:jc w:val="left"/>
              <w:rPr>
                <w:rFonts w:ascii="Arial Narrow" w:hAnsi="Arial Narrow"/>
                <w:sz w:val="20"/>
                <w:szCs w:val="20"/>
              </w:rPr>
            </w:pPr>
            <w:r w:rsidRPr="003B4D22">
              <w:rPr>
                <w:rFonts w:ascii="Arial Narrow" w:hAnsi="Arial Narrow"/>
                <w:sz w:val="20"/>
                <w:szCs w:val="20"/>
              </w:rPr>
              <w:t>As prescribed by GP</w:t>
            </w:r>
          </w:p>
        </w:tc>
      </w:tr>
      <w:tr w:rsidR="002054AC" w:rsidRPr="003B4D22" w14:paraId="510A6C02" w14:textId="77777777" w:rsidTr="003B4D22">
        <w:trPr>
          <w:trHeight w:val="293"/>
        </w:trPr>
        <w:tc>
          <w:tcPr>
            <w:tcW w:w="726" w:type="pct"/>
          </w:tcPr>
          <w:p w14:paraId="416F5B4E" w14:textId="2E924BE5" w:rsidR="007667B3" w:rsidRPr="003B4D22" w:rsidRDefault="007667B3" w:rsidP="00F814DE">
            <w:pPr>
              <w:spacing w:before="0" w:after="40" w:line="240" w:lineRule="auto"/>
              <w:jc w:val="left"/>
              <w:rPr>
                <w:rFonts w:ascii="Arial Narrow" w:hAnsi="Arial Narrow"/>
                <w:sz w:val="20"/>
                <w:szCs w:val="20"/>
              </w:rPr>
            </w:pPr>
            <w:r w:rsidRPr="003B4D22">
              <w:rPr>
                <w:rFonts w:ascii="Arial Narrow" w:hAnsi="Arial Narrow"/>
                <w:sz w:val="20"/>
                <w:szCs w:val="20"/>
              </w:rPr>
              <w:t>Chapel et al., 1991</w:t>
            </w:r>
          </w:p>
        </w:tc>
        <w:tc>
          <w:tcPr>
            <w:tcW w:w="2021" w:type="pct"/>
          </w:tcPr>
          <w:p w14:paraId="680E877D" w14:textId="7E5BEF67" w:rsidR="007667B3" w:rsidRPr="003B4D22" w:rsidRDefault="007667B3" w:rsidP="00BB0145">
            <w:pPr>
              <w:spacing w:before="0" w:after="40" w:line="240" w:lineRule="auto"/>
              <w:ind w:left="-57"/>
              <w:jc w:val="left"/>
              <w:rPr>
                <w:rFonts w:ascii="Arial Narrow" w:hAnsi="Arial Narrow"/>
                <w:sz w:val="20"/>
                <w:szCs w:val="20"/>
              </w:rPr>
            </w:pPr>
            <w:r w:rsidRPr="003B4D22">
              <w:rPr>
                <w:rFonts w:ascii="Arial Narrow" w:hAnsi="Arial Narrow"/>
                <w:sz w:val="20"/>
                <w:szCs w:val="20"/>
              </w:rPr>
              <w:t>None noted (likely the same as</w:t>
            </w:r>
            <w:r w:rsidR="00896BE2">
              <w:rPr>
                <w:rFonts w:ascii="Arial Narrow" w:hAnsi="Arial Narrow"/>
                <w:sz w:val="20"/>
                <w:szCs w:val="20"/>
              </w:rPr>
              <w:t xml:space="preserve"> </w:t>
            </w:r>
            <w:r w:rsidR="00896BE2">
              <w:rPr>
                <w:rFonts w:ascii="Arial Narrow" w:hAnsi="Arial Narrow"/>
                <w:sz w:val="20"/>
                <w:szCs w:val="20"/>
              </w:rPr>
              <w:fldChar w:fldCharType="begin">
                <w:fldData xml:space="preserve">PEVuZE5vdGU+PENpdGU+PEF1dGhvcj5HYWxlPC9BdXRob3I+PFllYXI+MTk4ODwvWWVhcj48UmVj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</w:fldData>
              </w:fldChar>
            </w:r>
            <w:r w:rsidR="00896BE2">
              <w:rPr>
                <w:rFonts w:ascii="Arial Narrow" w:hAnsi="Arial Narrow"/>
                <w:sz w:val="20"/>
                <w:szCs w:val="20"/>
              </w:rPr>
              <w:instrText xml:space="preserve"> ADDIN EN.CITE </w:instrText>
            </w:r>
            <w:r w:rsidR="00896BE2">
              <w:rPr>
                <w:rFonts w:ascii="Arial Narrow" w:hAnsi="Arial Narrow"/>
                <w:sz w:val="20"/>
                <w:szCs w:val="20"/>
              </w:rPr>
              <w:fldChar w:fldCharType="begin">
                <w:fldData xml:space="preserve">PEVuZE5vdGU+PENpdGU+PEF1dGhvcj5HYWxlPC9BdXRob3I+PFllYXI+MTk4ODwvWWVhcj48UmVj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</w:fldData>
              </w:fldChar>
            </w:r>
            <w:r w:rsidR="00896BE2">
              <w:rPr>
                <w:rFonts w:ascii="Arial Narrow" w:hAnsi="Arial Narrow"/>
                <w:sz w:val="20"/>
                <w:szCs w:val="20"/>
              </w:rPr>
              <w:instrText xml:space="preserve"> ADDIN EN.CITE.DATA </w:instrText>
            </w:r>
            <w:r w:rsidR="00896BE2">
              <w:rPr>
                <w:rFonts w:ascii="Arial Narrow" w:hAnsi="Arial Narrow"/>
                <w:sz w:val="20"/>
                <w:szCs w:val="20"/>
              </w:rPr>
            </w:r>
            <w:r w:rsidR="00896BE2">
              <w:rPr>
                <w:rFonts w:ascii="Arial Narrow" w:hAnsi="Arial Narrow"/>
                <w:sz w:val="20"/>
                <w:szCs w:val="20"/>
              </w:rPr>
              <w:fldChar w:fldCharType="end"/>
            </w:r>
            <w:r w:rsidR="00896BE2">
              <w:rPr>
                <w:rFonts w:ascii="Arial Narrow" w:hAnsi="Arial Narrow"/>
                <w:sz w:val="20"/>
                <w:szCs w:val="20"/>
              </w:rPr>
            </w:r>
            <w:r w:rsidR="00896BE2">
              <w:rPr>
                <w:rFonts w:ascii="Arial Narrow" w:hAnsi="Arial Narrow"/>
                <w:sz w:val="20"/>
                <w:szCs w:val="20"/>
              </w:rPr>
              <w:fldChar w:fldCharType="separate"/>
            </w:r>
            <w:r w:rsidR="00896BE2">
              <w:rPr>
                <w:rFonts w:ascii="Arial Narrow" w:hAnsi="Arial Narrow"/>
                <w:noProof/>
                <w:sz w:val="20"/>
                <w:szCs w:val="20"/>
              </w:rPr>
              <w:t>(</w:t>
            </w:r>
            <w:hyperlink w:anchor="_ENREF_19" w:tooltip="Gale, 1988 #4" w:history="1">
              <w:r w:rsidR="00BB0145">
                <w:rPr>
                  <w:rFonts w:ascii="Arial Narrow" w:hAnsi="Arial Narrow"/>
                  <w:noProof/>
                  <w:sz w:val="20"/>
                  <w:szCs w:val="20"/>
                </w:rPr>
                <w:t>Gale et al. 1988</w:t>
              </w:r>
            </w:hyperlink>
            <w:r w:rsidR="00896BE2">
              <w:rPr>
                <w:rFonts w:ascii="Arial Narrow" w:hAnsi="Arial Narrow"/>
                <w:noProof/>
                <w:sz w:val="20"/>
                <w:szCs w:val="20"/>
              </w:rPr>
              <w:t>)</w:t>
            </w:r>
            <w:r w:rsidR="00896BE2">
              <w:rPr>
                <w:rFonts w:ascii="Arial Narrow" w:hAnsi="Arial Narrow"/>
                <w:sz w:val="20"/>
                <w:szCs w:val="20"/>
              </w:rPr>
              <w:fldChar w:fldCharType="end"/>
            </w:r>
            <w:r w:rsidRPr="003B4D22">
              <w:rPr>
                <w:rFonts w:ascii="Arial Narrow" w:hAnsi="Arial Narrow"/>
                <w:sz w:val="20"/>
                <w:szCs w:val="20"/>
              </w:rPr>
              <w:t>, not allowed on study.)</w:t>
            </w:r>
          </w:p>
        </w:tc>
        <w:tc>
          <w:tcPr>
            <w:tcW w:w="2252" w:type="pct"/>
          </w:tcPr>
          <w:p w14:paraId="1070C38B" w14:textId="4AF75D4E" w:rsidR="007667B3" w:rsidRPr="003B4D22" w:rsidRDefault="004521EA" w:rsidP="00F814DE">
            <w:pPr>
              <w:spacing w:before="0" w:after="40" w:line="240" w:lineRule="auto"/>
              <w:jc w:val="left"/>
              <w:rPr>
                <w:rFonts w:ascii="Arial Narrow" w:hAnsi="Arial Narrow"/>
                <w:sz w:val="20"/>
                <w:szCs w:val="20"/>
              </w:rPr>
            </w:pPr>
            <w:r w:rsidRPr="003B4D22">
              <w:rPr>
                <w:rFonts w:ascii="Arial Narrow" w:hAnsi="Arial Narrow"/>
                <w:sz w:val="20"/>
                <w:szCs w:val="20"/>
              </w:rPr>
              <w:t>Not described, though infection severity was defined in terms of requirement for antibiotics – oral (moderate) IV (major) or none required (minor)</w:t>
            </w:r>
          </w:p>
        </w:tc>
      </w:tr>
      <w:tr w:rsidR="002054AC" w:rsidRPr="003B4D22" w14:paraId="2AF46931" w14:textId="77777777" w:rsidTr="003B4D22">
        <w:trPr>
          <w:trHeight w:val="293"/>
        </w:trPr>
        <w:tc>
          <w:tcPr>
            <w:tcW w:w="726" w:type="pct"/>
          </w:tcPr>
          <w:p w14:paraId="17DE71A1" w14:textId="60C075E3" w:rsidR="007667B3" w:rsidRPr="003B4D22" w:rsidRDefault="007667B3" w:rsidP="00F814DE">
            <w:pPr>
              <w:spacing w:before="0" w:after="40" w:line="240" w:lineRule="auto"/>
              <w:jc w:val="left"/>
              <w:rPr>
                <w:rFonts w:ascii="Arial Narrow" w:hAnsi="Arial Narrow"/>
                <w:sz w:val="20"/>
                <w:szCs w:val="20"/>
              </w:rPr>
            </w:pPr>
            <w:r w:rsidRPr="003B4D22">
              <w:rPr>
                <w:rFonts w:ascii="Arial Narrow" w:hAnsi="Arial Narrow"/>
                <w:sz w:val="20"/>
                <w:szCs w:val="20"/>
              </w:rPr>
              <w:t>Chapel et al., 1994</w:t>
            </w:r>
          </w:p>
        </w:tc>
        <w:tc>
          <w:tcPr>
            <w:tcW w:w="2021" w:type="pct"/>
          </w:tcPr>
          <w:p w14:paraId="4BB9EC5A" w14:textId="170D875A" w:rsidR="007667B3" w:rsidRPr="003B4D22" w:rsidRDefault="007667B3"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Not allowed </w:t>
            </w:r>
            <w:r w:rsidR="00BB2818" w:rsidRPr="003B4D22">
              <w:rPr>
                <w:rFonts w:ascii="Arial Narrow" w:hAnsi="Arial Narrow"/>
                <w:sz w:val="20"/>
                <w:szCs w:val="20"/>
              </w:rPr>
              <w:t xml:space="preserve">in 2 weeks prior to entry; </w:t>
            </w:r>
            <w:r w:rsidR="00BB2818" w:rsidRPr="003B4D22">
              <w:rPr>
                <w:rFonts w:ascii="Arial Narrow" w:hAnsi="Arial Narrow"/>
                <w:i/>
                <w:sz w:val="20"/>
                <w:szCs w:val="20"/>
              </w:rPr>
              <w:t>‘patients were not expected to receive such treatment during the study’</w:t>
            </w:r>
            <w:r w:rsidRPr="003B4D22">
              <w:rPr>
                <w:rFonts w:ascii="Arial Narrow" w:hAnsi="Arial Narrow"/>
                <w:i/>
                <w:sz w:val="20"/>
                <w:szCs w:val="20"/>
              </w:rPr>
              <w:t>.</w:t>
            </w:r>
          </w:p>
        </w:tc>
        <w:tc>
          <w:tcPr>
            <w:tcW w:w="2252" w:type="pct"/>
          </w:tcPr>
          <w:p w14:paraId="36AD21BF" w14:textId="7F864FCE" w:rsidR="007667B3" w:rsidRPr="003B4D22" w:rsidRDefault="007667B3" w:rsidP="00F814DE">
            <w:pPr>
              <w:spacing w:before="0" w:after="40" w:line="240" w:lineRule="auto"/>
              <w:jc w:val="left"/>
              <w:rPr>
                <w:rFonts w:ascii="Arial Narrow" w:hAnsi="Arial Narrow"/>
                <w:sz w:val="20"/>
                <w:szCs w:val="20"/>
              </w:rPr>
            </w:pPr>
            <w:r w:rsidRPr="003B4D22">
              <w:rPr>
                <w:rFonts w:ascii="Arial Narrow" w:hAnsi="Arial Narrow"/>
                <w:sz w:val="20"/>
                <w:szCs w:val="20"/>
              </w:rPr>
              <w:t>A</w:t>
            </w:r>
            <w:r w:rsidR="00B6320C" w:rsidRPr="003B4D22">
              <w:rPr>
                <w:rFonts w:ascii="Arial Narrow" w:hAnsi="Arial Narrow"/>
                <w:sz w:val="20"/>
                <w:szCs w:val="20"/>
              </w:rPr>
              <w:t>s required, by treating physician (blinded to study drug)</w:t>
            </w:r>
          </w:p>
        </w:tc>
      </w:tr>
      <w:tr w:rsidR="002054AC" w:rsidRPr="003B4D22" w14:paraId="42935940" w14:textId="77777777" w:rsidTr="003B4D22">
        <w:trPr>
          <w:trHeight w:val="293"/>
        </w:trPr>
        <w:tc>
          <w:tcPr>
            <w:tcW w:w="726" w:type="pct"/>
          </w:tcPr>
          <w:p w14:paraId="40BF3E5C" w14:textId="475859A9" w:rsidR="007667B3" w:rsidRPr="003B4D22" w:rsidRDefault="007667B3" w:rsidP="00F814DE">
            <w:pPr>
              <w:spacing w:before="0" w:after="40" w:line="240" w:lineRule="auto"/>
              <w:jc w:val="left"/>
              <w:rPr>
                <w:rFonts w:ascii="Arial Narrow" w:hAnsi="Arial Narrow"/>
                <w:sz w:val="20"/>
                <w:szCs w:val="20"/>
              </w:rPr>
            </w:pPr>
            <w:r w:rsidRPr="003B4D22">
              <w:rPr>
                <w:rFonts w:ascii="Arial Narrow" w:hAnsi="Arial Narrow"/>
                <w:sz w:val="20"/>
                <w:szCs w:val="20"/>
              </w:rPr>
              <w:t>Kobayashi et al., 2014</w:t>
            </w:r>
          </w:p>
        </w:tc>
        <w:tc>
          <w:tcPr>
            <w:tcW w:w="2021" w:type="pct"/>
          </w:tcPr>
          <w:p w14:paraId="1B2F6222" w14:textId="0B762933" w:rsidR="00142B9D" w:rsidRPr="003B4D22" w:rsidRDefault="00142B9D" w:rsidP="00F814DE">
            <w:pPr>
              <w:spacing w:before="0" w:after="40" w:line="240" w:lineRule="auto"/>
              <w:ind w:left="-57"/>
              <w:jc w:val="left"/>
              <w:rPr>
                <w:rFonts w:ascii="Arial Narrow" w:hAnsi="Arial Narrow"/>
                <w:sz w:val="20"/>
                <w:szCs w:val="20"/>
              </w:rPr>
            </w:pPr>
            <w:r w:rsidRPr="003B4D22">
              <w:rPr>
                <w:rFonts w:ascii="Arial Narrow" w:hAnsi="Arial Narrow"/>
                <w:sz w:val="20"/>
                <w:szCs w:val="20"/>
                <w:u w:val="single"/>
              </w:rPr>
              <w:t>Sub-study patients</w:t>
            </w:r>
            <w:r w:rsidRPr="003B4D22">
              <w:rPr>
                <w:rFonts w:ascii="Arial Narrow" w:hAnsi="Arial Narrow"/>
                <w:sz w:val="20"/>
                <w:szCs w:val="20"/>
              </w:rPr>
              <w:t xml:space="preserve"> those who failed main study antibiotic prophylaxis received 2</w:t>
            </w:r>
            <w:r w:rsidRPr="003B4D22">
              <w:rPr>
                <w:rFonts w:ascii="Arial Narrow" w:hAnsi="Arial Narrow"/>
                <w:sz w:val="20"/>
                <w:szCs w:val="20"/>
                <w:vertAlign w:val="superscript"/>
              </w:rPr>
              <w:t>nd</w:t>
            </w:r>
            <w:r w:rsidRPr="003B4D22">
              <w:rPr>
                <w:rFonts w:ascii="Arial Narrow" w:hAnsi="Arial Narrow"/>
                <w:sz w:val="20"/>
                <w:szCs w:val="20"/>
              </w:rPr>
              <w:t xml:space="preserve"> line MEPM:</w:t>
            </w:r>
            <w:r w:rsidRPr="003B4D22">
              <w:rPr>
                <w:rFonts w:ascii="Arial Narrow" w:hAnsi="Arial Narrow"/>
                <w:sz w:val="20"/>
                <w:szCs w:val="20"/>
              </w:rPr>
              <w:br/>
              <w:t>-until Apr 2010 60 mg/kg/d, [max 1.5g/d]</w:t>
            </w:r>
            <w:r w:rsidR="00425A4D" w:rsidRPr="003B4D22">
              <w:rPr>
                <w:rFonts w:ascii="Arial Narrow" w:hAnsi="Arial Narrow"/>
                <w:sz w:val="20"/>
                <w:szCs w:val="20"/>
              </w:rPr>
              <w:t xml:space="preserve"> for 72h</w:t>
            </w:r>
            <w:r w:rsidRPr="003B4D22">
              <w:rPr>
                <w:rFonts w:ascii="Arial Narrow" w:hAnsi="Arial Narrow"/>
                <w:sz w:val="20"/>
                <w:szCs w:val="20"/>
              </w:rPr>
              <w:t xml:space="preserve">; </w:t>
            </w:r>
            <w:r w:rsidRPr="003B4D22">
              <w:rPr>
                <w:rFonts w:ascii="Arial Narrow" w:hAnsi="Arial Narrow"/>
                <w:sz w:val="20"/>
                <w:szCs w:val="20"/>
              </w:rPr>
              <w:br/>
              <w:t>-after Apr 2010 120mg/kg/d [max 3.0g/d]</w:t>
            </w:r>
            <w:r w:rsidR="00425A4D" w:rsidRPr="003B4D22">
              <w:rPr>
                <w:rFonts w:ascii="Arial Narrow" w:hAnsi="Arial Narrow"/>
                <w:sz w:val="20"/>
                <w:szCs w:val="20"/>
              </w:rPr>
              <w:t xml:space="preserve"> for 72h</w:t>
            </w:r>
          </w:p>
          <w:p w14:paraId="1204EB7D" w14:textId="7B34ECED" w:rsidR="0032604F" w:rsidRPr="003B4D22" w:rsidRDefault="0032604F" w:rsidP="00F814DE">
            <w:pPr>
              <w:spacing w:after="40" w:line="240" w:lineRule="auto"/>
              <w:ind w:left="-57"/>
              <w:jc w:val="left"/>
              <w:rPr>
                <w:rFonts w:ascii="Arial Narrow" w:hAnsi="Arial Narrow"/>
                <w:sz w:val="20"/>
                <w:szCs w:val="20"/>
              </w:rPr>
            </w:pPr>
            <w:r w:rsidRPr="003B4D22">
              <w:rPr>
                <w:rFonts w:ascii="Arial Narrow" w:hAnsi="Arial Narrow"/>
                <w:sz w:val="20"/>
                <w:szCs w:val="20"/>
              </w:rPr>
              <w:t>G-CSF was used in 28</w:t>
            </w:r>
            <w:r w:rsidR="00783273" w:rsidRPr="003B4D22">
              <w:rPr>
                <w:rFonts w:ascii="Arial Narrow" w:hAnsi="Arial Narrow"/>
                <w:sz w:val="20"/>
                <w:szCs w:val="20"/>
              </w:rPr>
              <w:t xml:space="preserve"> of </w:t>
            </w:r>
            <w:r w:rsidR="00B86211" w:rsidRPr="003B4D22">
              <w:rPr>
                <w:rFonts w:ascii="Arial Narrow" w:hAnsi="Arial Narrow"/>
                <w:sz w:val="20"/>
                <w:szCs w:val="20"/>
              </w:rPr>
              <w:t>61</w:t>
            </w:r>
            <w:r w:rsidRPr="003B4D22">
              <w:rPr>
                <w:rFonts w:ascii="Arial Narrow" w:hAnsi="Arial Narrow"/>
                <w:sz w:val="20"/>
                <w:szCs w:val="20"/>
              </w:rPr>
              <w:t xml:space="preserve"> patients.</w:t>
            </w:r>
          </w:p>
          <w:p w14:paraId="03C8163C" w14:textId="193C2FB5" w:rsidR="007667B3" w:rsidRPr="003B4D22" w:rsidRDefault="00142B9D" w:rsidP="00F814DE">
            <w:pPr>
              <w:spacing w:before="0" w:after="40" w:line="240" w:lineRule="auto"/>
              <w:ind w:left="-57"/>
              <w:jc w:val="left"/>
              <w:rPr>
                <w:rFonts w:ascii="Arial Narrow" w:hAnsi="Arial Narrow"/>
                <w:sz w:val="20"/>
                <w:szCs w:val="20"/>
              </w:rPr>
            </w:pPr>
            <w:r w:rsidRPr="003B4D22">
              <w:rPr>
                <w:rFonts w:ascii="Arial Narrow" w:hAnsi="Arial Narrow"/>
                <w:sz w:val="20"/>
                <w:szCs w:val="20"/>
                <w:u w:val="single"/>
              </w:rPr>
              <w:t>Main study patients</w:t>
            </w:r>
            <w:r w:rsidRPr="003B4D22">
              <w:rPr>
                <w:rFonts w:ascii="Arial Narrow" w:hAnsi="Arial Narrow"/>
                <w:sz w:val="20"/>
                <w:szCs w:val="20"/>
              </w:rPr>
              <w:t xml:space="preserve"> received one of two potential 1</w:t>
            </w:r>
            <w:r w:rsidRPr="003B4D22">
              <w:rPr>
                <w:rFonts w:ascii="Arial Narrow" w:hAnsi="Arial Narrow"/>
                <w:sz w:val="20"/>
                <w:szCs w:val="20"/>
                <w:vertAlign w:val="superscript"/>
              </w:rPr>
              <w:t>st</w:t>
            </w:r>
            <w:r w:rsidRPr="003B4D22">
              <w:rPr>
                <w:rFonts w:ascii="Arial Narrow" w:hAnsi="Arial Narrow"/>
                <w:sz w:val="20"/>
                <w:szCs w:val="20"/>
              </w:rPr>
              <w:t xml:space="preserve"> line prophylactic agents:</w:t>
            </w:r>
            <w:r w:rsidRPr="003B4D22">
              <w:rPr>
                <w:rFonts w:ascii="Arial Narrow" w:hAnsi="Arial Narrow"/>
                <w:sz w:val="20"/>
                <w:szCs w:val="20"/>
              </w:rPr>
              <w:br/>
              <w:t>-until Apr 2010 cefepime or cefozopran</w:t>
            </w:r>
            <w:r w:rsidRPr="003B4D22">
              <w:rPr>
                <w:rFonts w:ascii="Arial Narrow" w:hAnsi="Arial Narrow"/>
                <w:sz w:val="20"/>
                <w:szCs w:val="20"/>
              </w:rPr>
              <w:br/>
              <w:t>-after Apr 2010 cefepime or piperacillin/</w:t>
            </w:r>
            <w:r w:rsidR="00E35978" w:rsidRPr="003B4D22">
              <w:rPr>
                <w:rFonts w:ascii="Arial Narrow" w:hAnsi="Arial Narrow"/>
                <w:sz w:val="20"/>
                <w:szCs w:val="20"/>
              </w:rPr>
              <w:t xml:space="preserve"> </w:t>
            </w:r>
            <w:r w:rsidRPr="003B4D22">
              <w:rPr>
                <w:rFonts w:ascii="Arial Narrow" w:hAnsi="Arial Narrow"/>
                <w:sz w:val="20"/>
                <w:szCs w:val="20"/>
              </w:rPr>
              <w:t>tazobactam</w:t>
            </w:r>
          </w:p>
        </w:tc>
        <w:tc>
          <w:tcPr>
            <w:tcW w:w="2252" w:type="pct"/>
          </w:tcPr>
          <w:p w14:paraId="4F06844E" w14:textId="77777777" w:rsidR="007667B3" w:rsidRPr="003B4D22" w:rsidRDefault="0032604F" w:rsidP="00F814DE">
            <w:pPr>
              <w:spacing w:before="0" w:after="40" w:line="240" w:lineRule="auto"/>
              <w:jc w:val="left"/>
              <w:rPr>
                <w:rFonts w:ascii="Arial Narrow" w:hAnsi="Arial Narrow"/>
                <w:sz w:val="20"/>
                <w:szCs w:val="20"/>
              </w:rPr>
            </w:pPr>
            <w:r w:rsidRPr="003B4D22">
              <w:rPr>
                <w:rFonts w:ascii="Arial Narrow" w:hAnsi="Arial Narrow"/>
                <w:sz w:val="20"/>
                <w:szCs w:val="20"/>
                <w:u w:val="single"/>
              </w:rPr>
              <w:t>Sub-study patients</w:t>
            </w:r>
            <w:r w:rsidRPr="003B4D22">
              <w:rPr>
                <w:rFonts w:ascii="Arial Narrow" w:hAnsi="Arial Narrow"/>
                <w:sz w:val="20"/>
                <w:szCs w:val="20"/>
              </w:rPr>
              <w:t>:</w:t>
            </w:r>
          </w:p>
          <w:p w14:paraId="2E09A1DD" w14:textId="70ABFCB4" w:rsidR="0032604F" w:rsidRPr="003B4D22" w:rsidRDefault="0032604F" w:rsidP="00F814DE">
            <w:pPr>
              <w:spacing w:after="40" w:line="240" w:lineRule="auto"/>
              <w:jc w:val="left"/>
              <w:rPr>
                <w:rFonts w:ascii="Arial Narrow" w:hAnsi="Arial Narrow"/>
                <w:sz w:val="20"/>
                <w:szCs w:val="20"/>
              </w:rPr>
            </w:pPr>
            <w:r w:rsidRPr="003B4D22">
              <w:rPr>
                <w:rFonts w:ascii="Arial Narrow" w:hAnsi="Arial Narrow"/>
                <w:sz w:val="20"/>
                <w:szCs w:val="20"/>
              </w:rPr>
              <w:t>Anti-fungal drugs (micafungin or liposomal amphotericin) were given to patients with suspected fungal infections, other anti-infectives not described</w:t>
            </w:r>
            <w:r w:rsidR="00425A4D" w:rsidRPr="003B4D22">
              <w:rPr>
                <w:rFonts w:ascii="Arial Narrow" w:hAnsi="Arial Narrow"/>
                <w:sz w:val="20"/>
                <w:szCs w:val="20"/>
              </w:rPr>
              <w:t xml:space="preserve"> (noting 72h sub-study </w:t>
            </w:r>
            <w:r w:rsidR="00672E04" w:rsidRPr="003B4D22">
              <w:rPr>
                <w:rFonts w:ascii="Arial Narrow" w:hAnsi="Arial Narrow"/>
                <w:sz w:val="20"/>
                <w:szCs w:val="20"/>
              </w:rPr>
              <w:t xml:space="preserve">tx </w:t>
            </w:r>
            <w:r w:rsidR="00425A4D" w:rsidRPr="003B4D22">
              <w:rPr>
                <w:rFonts w:ascii="Arial Narrow" w:hAnsi="Arial Narrow"/>
                <w:sz w:val="20"/>
                <w:szCs w:val="20"/>
              </w:rPr>
              <w:t>duration)</w:t>
            </w:r>
            <w:r w:rsidRPr="003B4D22">
              <w:rPr>
                <w:rFonts w:ascii="Arial Narrow" w:hAnsi="Arial Narrow"/>
                <w:sz w:val="20"/>
                <w:szCs w:val="20"/>
              </w:rPr>
              <w:t xml:space="preserve">. </w:t>
            </w:r>
          </w:p>
        </w:tc>
      </w:tr>
      <w:tr w:rsidR="002054AC" w:rsidRPr="003B4D22" w14:paraId="10F618C9" w14:textId="77777777" w:rsidTr="003B4D22">
        <w:trPr>
          <w:trHeight w:val="293"/>
        </w:trPr>
        <w:tc>
          <w:tcPr>
            <w:tcW w:w="726" w:type="pct"/>
          </w:tcPr>
          <w:p w14:paraId="05048AA6" w14:textId="480E867E" w:rsidR="007667B3" w:rsidRPr="003B4D22" w:rsidRDefault="007667B3" w:rsidP="00F814DE">
            <w:pPr>
              <w:spacing w:before="0" w:after="40" w:line="240" w:lineRule="auto"/>
              <w:jc w:val="left"/>
              <w:rPr>
                <w:rFonts w:ascii="Arial Narrow" w:hAnsi="Arial Narrow"/>
                <w:sz w:val="20"/>
                <w:szCs w:val="20"/>
              </w:rPr>
            </w:pPr>
            <w:r w:rsidRPr="003B4D22">
              <w:rPr>
                <w:rFonts w:ascii="Arial Narrow" w:hAnsi="Arial Narrow"/>
                <w:sz w:val="20"/>
                <w:szCs w:val="20"/>
              </w:rPr>
              <w:t>Molica et al., 1996</w:t>
            </w:r>
          </w:p>
        </w:tc>
        <w:tc>
          <w:tcPr>
            <w:tcW w:w="2021" w:type="pct"/>
          </w:tcPr>
          <w:p w14:paraId="1A47B9FB" w14:textId="77777777" w:rsidR="007667B3" w:rsidRPr="003B4D22" w:rsidRDefault="007667B3"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Not allowed on study.</w:t>
            </w:r>
          </w:p>
        </w:tc>
        <w:tc>
          <w:tcPr>
            <w:tcW w:w="2252" w:type="pct"/>
          </w:tcPr>
          <w:p w14:paraId="4CB68416" w14:textId="64F1F82E" w:rsidR="007667B3" w:rsidRPr="003B4D22" w:rsidRDefault="00C23322" w:rsidP="00F814DE">
            <w:pPr>
              <w:spacing w:before="0" w:after="40" w:line="240" w:lineRule="auto"/>
              <w:jc w:val="left"/>
              <w:rPr>
                <w:rFonts w:ascii="Arial Narrow" w:hAnsi="Arial Narrow"/>
                <w:sz w:val="20"/>
                <w:szCs w:val="20"/>
              </w:rPr>
            </w:pPr>
            <w:r w:rsidRPr="003B4D22">
              <w:rPr>
                <w:rFonts w:ascii="Arial Narrow" w:hAnsi="Arial Narrow"/>
                <w:sz w:val="20"/>
                <w:szCs w:val="20"/>
              </w:rPr>
              <w:t>Not described.</w:t>
            </w:r>
          </w:p>
        </w:tc>
      </w:tr>
      <w:tr w:rsidR="002054AC" w:rsidRPr="003B4D22" w14:paraId="3DF8516D" w14:textId="77777777" w:rsidTr="003B4D22">
        <w:trPr>
          <w:trHeight w:val="293"/>
        </w:trPr>
        <w:tc>
          <w:tcPr>
            <w:tcW w:w="726" w:type="pct"/>
          </w:tcPr>
          <w:p w14:paraId="4C2193DC" w14:textId="73918FE6" w:rsidR="003A3288" w:rsidRPr="003B4D22" w:rsidRDefault="003A3288" w:rsidP="00F814DE">
            <w:pPr>
              <w:spacing w:before="0" w:after="40" w:line="240" w:lineRule="auto"/>
              <w:jc w:val="left"/>
              <w:rPr>
                <w:rFonts w:ascii="Arial Narrow" w:hAnsi="Arial Narrow"/>
                <w:sz w:val="20"/>
                <w:szCs w:val="20"/>
              </w:rPr>
            </w:pPr>
            <w:r w:rsidRPr="003B4D22">
              <w:rPr>
                <w:rFonts w:ascii="Arial Narrow" w:hAnsi="Arial Narrow"/>
                <w:sz w:val="20"/>
                <w:szCs w:val="20"/>
              </w:rPr>
              <w:t>Musto et al., 1995</w:t>
            </w:r>
          </w:p>
        </w:tc>
        <w:tc>
          <w:tcPr>
            <w:tcW w:w="2021" w:type="pct"/>
          </w:tcPr>
          <w:p w14:paraId="3F324BA5" w14:textId="77777777" w:rsidR="003A3288" w:rsidRPr="003B4D22" w:rsidRDefault="003A3288"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Not allowed on study.</w:t>
            </w:r>
          </w:p>
        </w:tc>
        <w:tc>
          <w:tcPr>
            <w:tcW w:w="2252" w:type="pct"/>
          </w:tcPr>
          <w:p w14:paraId="078CC1ED" w14:textId="1AD92E5E" w:rsidR="003A3288" w:rsidRPr="003B4D22" w:rsidRDefault="003A3288" w:rsidP="00F814DE">
            <w:pPr>
              <w:spacing w:before="0" w:after="40" w:line="240" w:lineRule="auto"/>
              <w:jc w:val="left"/>
              <w:rPr>
                <w:rFonts w:ascii="Arial Narrow" w:hAnsi="Arial Narrow"/>
                <w:sz w:val="20"/>
                <w:szCs w:val="20"/>
              </w:rPr>
            </w:pPr>
            <w:r w:rsidRPr="003B4D22">
              <w:rPr>
                <w:rFonts w:ascii="Arial Narrow" w:hAnsi="Arial Narrow"/>
                <w:sz w:val="20"/>
                <w:szCs w:val="20"/>
              </w:rPr>
              <w:t>Not described.</w:t>
            </w:r>
          </w:p>
        </w:tc>
      </w:tr>
      <w:tr w:rsidR="002054AC" w:rsidRPr="003B4D22" w14:paraId="0EB4A13E" w14:textId="77777777" w:rsidTr="003B4D22">
        <w:trPr>
          <w:trHeight w:val="293"/>
        </w:trPr>
        <w:tc>
          <w:tcPr>
            <w:tcW w:w="726" w:type="pct"/>
          </w:tcPr>
          <w:p w14:paraId="6AFA19CB" w14:textId="77777777" w:rsidR="003A3288" w:rsidRPr="003B4D22" w:rsidRDefault="003A3288" w:rsidP="00F814DE">
            <w:pPr>
              <w:spacing w:before="0" w:after="40" w:line="240" w:lineRule="auto"/>
              <w:jc w:val="left"/>
              <w:rPr>
                <w:rFonts w:ascii="Arial Narrow" w:hAnsi="Arial Narrow"/>
                <w:sz w:val="20"/>
                <w:szCs w:val="20"/>
              </w:rPr>
            </w:pPr>
            <w:r w:rsidRPr="003B4D22">
              <w:rPr>
                <w:rFonts w:ascii="Arial Narrow" w:hAnsi="Arial Narrow"/>
                <w:sz w:val="20"/>
                <w:szCs w:val="20"/>
              </w:rPr>
              <w:t>Sullivan et al., 1990</w:t>
            </w:r>
          </w:p>
        </w:tc>
        <w:tc>
          <w:tcPr>
            <w:tcW w:w="2021" w:type="pct"/>
          </w:tcPr>
          <w:p w14:paraId="17BC7856" w14:textId="12E3BDAA" w:rsidR="003A3288" w:rsidRPr="003B4D22" w:rsidRDefault="003A3288" w:rsidP="00F814DE">
            <w:pPr>
              <w:spacing w:before="0" w:after="40" w:line="240" w:lineRule="auto"/>
              <w:ind w:left="-57"/>
              <w:jc w:val="left"/>
              <w:rPr>
                <w:rFonts w:ascii="Arial Narrow" w:hAnsi="Arial Narrow"/>
                <w:sz w:val="20"/>
                <w:szCs w:val="20"/>
              </w:rPr>
            </w:pPr>
            <w:r w:rsidRPr="003B4D22">
              <w:rPr>
                <w:rFonts w:ascii="Arial Narrow" w:hAnsi="Arial Narrow"/>
                <w:i/>
                <w:sz w:val="20"/>
                <w:szCs w:val="20"/>
              </w:rPr>
              <w:t>Pneumocystis</w:t>
            </w:r>
            <w:r w:rsidRPr="003B4D22">
              <w:rPr>
                <w:rFonts w:ascii="Arial Narrow" w:hAnsi="Arial Narrow"/>
                <w:sz w:val="20"/>
                <w:szCs w:val="20"/>
              </w:rPr>
              <w:t xml:space="preserve"> spp. antibiotic prophylaxis until d120 (likely S+T or similar)</w:t>
            </w:r>
            <w:r w:rsidR="006A66E5" w:rsidRPr="003B4D22">
              <w:rPr>
                <w:rFonts w:ascii="Arial Narrow" w:hAnsi="Arial Narrow"/>
                <w:sz w:val="20"/>
                <w:szCs w:val="20"/>
              </w:rPr>
              <w:t>; enteric decontamination (presumably with non-absorbed antibiotics); other antibiotic prophylaxis was not permitted; the 1</w:t>
            </w:r>
            <w:r w:rsidR="006A66E5" w:rsidRPr="003B4D22">
              <w:rPr>
                <w:rFonts w:ascii="Arial Narrow" w:hAnsi="Arial Narrow"/>
                <w:sz w:val="20"/>
                <w:szCs w:val="20"/>
                <w:vertAlign w:val="superscript"/>
              </w:rPr>
              <w:t>st</w:t>
            </w:r>
            <w:r w:rsidR="006A66E5" w:rsidRPr="003B4D22">
              <w:rPr>
                <w:rFonts w:ascii="Arial Narrow" w:hAnsi="Arial Narrow"/>
                <w:sz w:val="20"/>
                <w:szCs w:val="20"/>
              </w:rPr>
              <w:t xml:space="preserve"> 6 consecutive patients ‘inadvertently’ received unidentified antibiotic prophylaxis. </w:t>
            </w:r>
          </w:p>
        </w:tc>
        <w:tc>
          <w:tcPr>
            <w:tcW w:w="2252" w:type="pct"/>
          </w:tcPr>
          <w:p w14:paraId="34612AD3" w14:textId="018D03D5" w:rsidR="003A3288" w:rsidRPr="003B4D22" w:rsidRDefault="003A3288" w:rsidP="00F814DE">
            <w:pPr>
              <w:spacing w:before="0" w:after="40" w:line="240" w:lineRule="auto"/>
              <w:jc w:val="left"/>
              <w:rPr>
                <w:rFonts w:ascii="Arial Narrow" w:hAnsi="Arial Narrow"/>
                <w:sz w:val="20"/>
                <w:szCs w:val="20"/>
              </w:rPr>
            </w:pPr>
            <w:r w:rsidRPr="003B4D22">
              <w:rPr>
                <w:rFonts w:ascii="Arial Narrow" w:hAnsi="Arial Narrow"/>
                <w:sz w:val="20"/>
                <w:szCs w:val="20"/>
              </w:rPr>
              <w:t>Not described.</w:t>
            </w:r>
          </w:p>
        </w:tc>
      </w:tr>
      <w:tr w:rsidR="0031044B" w:rsidRPr="00386411" w14:paraId="1E4F99CD" w14:textId="77777777" w:rsidTr="003B4D22">
        <w:tc>
          <w:tcPr>
            <w:tcW w:w="5000" w:type="pct"/>
            <w:gridSpan w:val="3"/>
            <w:shd w:val="clear" w:color="auto" w:fill="000000" w:themeFill="text1"/>
          </w:tcPr>
          <w:p w14:paraId="6DDEFAFC" w14:textId="77777777" w:rsidR="0031044B" w:rsidRPr="00386411" w:rsidRDefault="0031044B" w:rsidP="00F814DE">
            <w:pPr>
              <w:keepNext/>
              <w:spacing w:before="0" w:after="40" w:line="240" w:lineRule="auto"/>
              <w:ind w:left="-57"/>
              <w:jc w:val="left"/>
              <w:rPr>
                <w:rFonts w:ascii="Arial Narrow" w:hAnsi="Arial Narrow"/>
                <w:b/>
                <w:color w:val="FFFFFF" w:themeColor="background1"/>
                <w:sz w:val="20"/>
                <w:szCs w:val="20"/>
              </w:rPr>
            </w:pPr>
            <w:r w:rsidRPr="00386411">
              <w:rPr>
                <w:rFonts w:ascii="Arial Narrow" w:hAnsi="Arial Narrow"/>
                <w:b/>
                <w:color w:val="FFFFFF" w:themeColor="background1"/>
                <w:sz w:val="20"/>
                <w:szCs w:val="20"/>
              </w:rPr>
              <w:t>Randomised studies – SCIg vs No SCIg</w:t>
            </w:r>
          </w:p>
        </w:tc>
      </w:tr>
      <w:tr w:rsidR="002054AC" w:rsidRPr="003B4D22" w14:paraId="471C244C" w14:textId="77777777" w:rsidTr="003B4D22">
        <w:trPr>
          <w:trHeight w:val="293"/>
        </w:trPr>
        <w:tc>
          <w:tcPr>
            <w:tcW w:w="726" w:type="pct"/>
          </w:tcPr>
          <w:p w14:paraId="1A884730" w14:textId="77777777" w:rsidR="0031044B" w:rsidRPr="003B4D22" w:rsidRDefault="0031044B" w:rsidP="00F814DE">
            <w:pPr>
              <w:spacing w:before="0" w:after="40" w:line="240" w:lineRule="auto"/>
              <w:jc w:val="left"/>
              <w:rPr>
                <w:rFonts w:ascii="Arial Narrow" w:hAnsi="Arial Narrow"/>
                <w:sz w:val="20"/>
                <w:szCs w:val="20"/>
              </w:rPr>
            </w:pPr>
            <w:r w:rsidRPr="003B4D22">
              <w:rPr>
                <w:rFonts w:ascii="Arial Narrow" w:hAnsi="Arial Narrow"/>
                <w:sz w:val="20"/>
                <w:szCs w:val="20"/>
              </w:rPr>
              <w:t>Vacca et al., 2018</w:t>
            </w:r>
          </w:p>
        </w:tc>
        <w:tc>
          <w:tcPr>
            <w:tcW w:w="2021" w:type="pct"/>
          </w:tcPr>
          <w:p w14:paraId="5039A839" w14:textId="18517358" w:rsidR="0031044B" w:rsidRPr="003B4D22" w:rsidRDefault="00B22A3B" w:rsidP="00F814DE">
            <w:pPr>
              <w:spacing w:before="0" w:after="40" w:line="240" w:lineRule="auto"/>
              <w:ind w:left="-57"/>
              <w:jc w:val="left"/>
              <w:rPr>
                <w:rFonts w:ascii="Arial Narrow" w:hAnsi="Arial Narrow"/>
                <w:sz w:val="20"/>
                <w:szCs w:val="20"/>
              </w:rPr>
            </w:pPr>
            <w:r>
              <w:rPr>
                <w:rFonts w:ascii="Arial Narrow" w:hAnsi="Arial Narrow"/>
                <w:sz w:val="20"/>
                <w:szCs w:val="20"/>
              </w:rPr>
              <w:t>Antibiotic prophylaxis n</w:t>
            </w:r>
            <w:r w:rsidR="0031044B" w:rsidRPr="003B4D22">
              <w:rPr>
                <w:rFonts w:ascii="Arial Narrow" w:hAnsi="Arial Narrow"/>
                <w:sz w:val="20"/>
                <w:szCs w:val="20"/>
              </w:rPr>
              <w:t>ot allowed on study.</w:t>
            </w:r>
          </w:p>
          <w:p w14:paraId="32D179B5" w14:textId="77777777" w:rsidR="00B22A3B" w:rsidRDefault="00743864"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All patients receiving bortezomib received acyclovir for the study duration. </w:t>
            </w:r>
          </w:p>
          <w:p w14:paraId="791FC56A" w14:textId="2936D0A0" w:rsidR="00743864" w:rsidRPr="003B4D22" w:rsidRDefault="00743864"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No antifungals were given. </w:t>
            </w:r>
          </w:p>
        </w:tc>
        <w:tc>
          <w:tcPr>
            <w:tcW w:w="2252" w:type="pct"/>
          </w:tcPr>
          <w:p w14:paraId="52E57090" w14:textId="00A0C5D0" w:rsidR="0031044B" w:rsidRPr="003B4D22" w:rsidRDefault="00B22A3B" w:rsidP="00F814DE">
            <w:pPr>
              <w:spacing w:before="0" w:after="40" w:line="240" w:lineRule="auto"/>
              <w:jc w:val="left"/>
              <w:rPr>
                <w:rFonts w:ascii="Arial Narrow" w:hAnsi="Arial Narrow"/>
                <w:sz w:val="20"/>
                <w:szCs w:val="20"/>
              </w:rPr>
            </w:pPr>
            <w:r>
              <w:rPr>
                <w:rFonts w:ascii="Arial Narrow" w:hAnsi="Arial Narrow"/>
                <w:sz w:val="20"/>
                <w:szCs w:val="20"/>
              </w:rPr>
              <w:t>Prescribed on diagnosis of infection as they arose.</w:t>
            </w:r>
          </w:p>
        </w:tc>
      </w:tr>
      <w:tr w:rsidR="0031044B" w:rsidRPr="00386411" w14:paraId="57052C5D" w14:textId="77777777" w:rsidTr="003B4D22">
        <w:tc>
          <w:tcPr>
            <w:tcW w:w="5000" w:type="pct"/>
            <w:gridSpan w:val="3"/>
            <w:shd w:val="clear" w:color="auto" w:fill="000000" w:themeFill="text1"/>
          </w:tcPr>
          <w:p w14:paraId="78830FE1" w14:textId="77777777" w:rsidR="0031044B" w:rsidRPr="00386411" w:rsidRDefault="0031044B" w:rsidP="00F814DE">
            <w:pPr>
              <w:keepNext/>
              <w:spacing w:before="0" w:after="40" w:line="240" w:lineRule="auto"/>
              <w:ind w:left="-57"/>
              <w:jc w:val="left"/>
              <w:rPr>
                <w:rFonts w:ascii="Arial Narrow" w:hAnsi="Arial Narrow"/>
                <w:b/>
                <w:color w:val="FFFFFF" w:themeColor="background1"/>
                <w:sz w:val="20"/>
                <w:szCs w:val="20"/>
              </w:rPr>
            </w:pPr>
            <w:r w:rsidRPr="00386411">
              <w:rPr>
                <w:rFonts w:ascii="Arial Narrow" w:hAnsi="Arial Narrow"/>
                <w:b/>
                <w:color w:val="FFFFFF" w:themeColor="background1"/>
                <w:sz w:val="20"/>
                <w:szCs w:val="20"/>
              </w:rPr>
              <w:t>Other comparative studies – IVIg vs No IVIg</w:t>
            </w:r>
          </w:p>
        </w:tc>
      </w:tr>
      <w:tr w:rsidR="002054AC" w:rsidRPr="003B4D22" w14:paraId="4DFBC7E8" w14:textId="77777777" w:rsidTr="003B4D22">
        <w:trPr>
          <w:trHeight w:val="293"/>
        </w:trPr>
        <w:tc>
          <w:tcPr>
            <w:tcW w:w="726" w:type="pct"/>
          </w:tcPr>
          <w:p w14:paraId="07E14893" w14:textId="77777777" w:rsidR="0031044B" w:rsidRPr="003B4D22" w:rsidRDefault="0031044B" w:rsidP="00F814DE">
            <w:pPr>
              <w:spacing w:before="0" w:after="40" w:line="240" w:lineRule="auto"/>
              <w:jc w:val="left"/>
              <w:rPr>
                <w:rFonts w:ascii="Arial Narrow" w:hAnsi="Arial Narrow"/>
                <w:sz w:val="20"/>
                <w:szCs w:val="20"/>
              </w:rPr>
            </w:pPr>
            <w:r w:rsidRPr="003B4D22">
              <w:rPr>
                <w:rFonts w:ascii="Arial Narrow" w:hAnsi="Arial Narrow"/>
                <w:sz w:val="20"/>
                <w:szCs w:val="20"/>
              </w:rPr>
              <w:t>Ammann et al., 2016</w:t>
            </w:r>
          </w:p>
        </w:tc>
        <w:tc>
          <w:tcPr>
            <w:tcW w:w="2021" w:type="pct"/>
          </w:tcPr>
          <w:p w14:paraId="68A9DB15" w14:textId="77777777" w:rsidR="0031044B" w:rsidRPr="003B4D22" w:rsidRDefault="0031044B" w:rsidP="00F814DE">
            <w:pPr>
              <w:spacing w:before="0" w:after="40" w:line="240" w:lineRule="auto"/>
              <w:ind w:left="-57"/>
              <w:jc w:val="left"/>
              <w:rPr>
                <w:rFonts w:ascii="Arial Narrow" w:hAnsi="Arial Narrow"/>
                <w:i/>
                <w:sz w:val="20"/>
                <w:szCs w:val="20"/>
              </w:rPr>
            </w:pPr>
            <w:r w:rsidRPr="003B4D22">
              <w:rPr>
                <w:rFonts w:ascii="Arial Narrow" w:hAnsi="Arial Narrow"/>
                <w:sz w:val="20"/>
                <w:szCs w:val="20"/>
              </w:rPr>
              <w:t>Not reported (variable)</w:t>
            </w:r>
          </w:p>
        </w:tc>
        <w:tc>
          <w:tcPr>
            <w:tcW w:w="2252" w:type="pct"/>
          </w:tcPr>
          <w:p w14:paraId="5746B0DC" w14:textId="77777777" w:rsidR="0031044B" w:rsidRPr="003B4D22" w:rsidRDefault="0031044B" w:rsidP="00F814DE">
            <w:pPr>
              <w:spacing w:before="0" w:after="40" w:line="240" w:lineRule="auto"/>
              <w:jc w:val="left"/>
              <w:rPr>
                <w:rFonts w:ascii="Arial Narrow" w:hAnsi="Arial Narrow"/>
                <w:sz w:val="20"/>
                <w:szCs w:val="20"/>
              </w:rPr>
            </w:pPr>
            <w:r w:rsidRPr="003B4D22">
              <w:rPr>
                <w:rFonts w:ascii="Arial Narrow" w:hAnsi="Arial Narrow"/>
                <w:sz w:val="20"/>
                <w:szCs w:val="20"/>
              </w:rPr>
              <w:t>Not reported (variable)</w:t>
            </w:r>
          </w:p>
        </w:tc>
      </w:tr>
      <w:tr w:rsidR="002054AC" w:rsidRPr="003B4D22" w14:paraId="1737F028" w14:textId="77777777" w:rsidTr="003B4D22">
        <w:trPr>
          <w:trHeight w:val="293"/>
        </w:trPr>
        <w:tc>
          <w:tcPr>
            <w:tcW w:w="726" w:type="pct"/>
          </w:tcPr>
          <w:p w14:paraId="4F30DCE8" w14:textId="77777777" w:rsidR="0031044B" w:rsidRPr="003B4D22" w:rsidRDefault="0031044B" w:rsidP="00F814DE">
            <w:pPr>
              <w:spacing w:before="0" w:after="40" w:line="240" w:lineRule="auto"/>
              <w:jc w:val="left"/>
              <w:rPr>
                <w:rFonts w:ascii="Arial Narrow" w:hAnsi="Arial Narrow"/>
                <w:sz w:val="20"/>
                <w:szCs w:val="20"/>
              </w:rPr>
            </w:pPr>
            <w:r w:rsidRPr="003B4D22">
              <w:rPr>
                <w:rFonts w:ascii="Arial Narrow" w:hAnsi="Arial Narrow"/>
                <w:sz w:val="20"/>
                <w:szCs w:val="20"/>
              </w:rPr>
              <w:t>Blombery et al., 2011</w:t>
            </w:r>
          </w:p>
        </w:tc>
        <w:tc>
          <w:tcPr>
            <w:tcW w:w="2021" w:type="pct"/>
          </w:tcPr>
          <w:p w14:paraId="20979104" w14:textId="77777777" w:rsidR="0031044B" w:rsidRPr="003B4D22" w:rsidRDefault="0031044B"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Not allowed on study.</w:t>
            </w:r>
          </w:p>
        </w:tc>
        <w:tc>
          <w:tcPr>
            <w:tcW w:w="2252" w:type="pct"/>
          </w:tcPr>
          <w:p w14:paraId="71A30D08" w14:textId="77777777" w:rsidR="0031044B" w:rsidRPr="003B4D22" w:rsidRDefault="0031044B" w:rsidP="00F814DE">
            <w:pPr>
              <w:spacing w:before="0" w:after="40" w:line="240" w:lineRule="auto"/>
              <w:jc w:val="left"/>
              <w:rPr>
                <w:rFonts w:ascii="Arial Narrow" w:hAnsi="Arial Narrow"/>
                <w:sz w:val="20"/>
                <w:szCs w:val="20"/>
              </w:rPr>
            </w:pPr>
            <w:r w:rsidRPr="003B4D22">
              <w:rPr>
                <w:rFonts w:ascii="Arial Narrow" w:hAnsi="Arial Narrow"/>
                <w:sz w:val="20"/>
                <w:szCs w:val="20"/>
              </w:rPr>
              <w:t xml:space="preserve">Antibiotics if any febrile neutropenia. </w:t>
            </w:r>
          </w:p>
        </w:tc>
      </w:tr>
      <w:tr w:rsidR="002054AC" w:rsidRPr="003B4D22" w14:paraId="2DD68D67" w14:textId="77777777" w:rsidTr="003B4D22">
        <w:trPr>
          <w:trHeight w:val="293"/>
        </w:trPr>
        <w:tc>
          <w:tcPr>
            <w:tcW w:w="726" w:type="pct"/>
          </w:tcPr>
          <w:p w14:paraId="70C5871C" w14:textId="0E85680F" w:rsidR="007667B3" w:rsidRPr="003B4D22" w:rsidRDefault="007667B3" w:rsidP="00F814DE">
            <w:pPr>
              <w:spacing w:before="0" w:after="40" w:line="240" w:lineRule="auto"/>
              <w:jc w:val="left"/>
              <w:rPr>
                <w:rFonts w:ascii="Arial Narrow" w:hAnsi="Arial Narrow"/>
                <w:sz w:val="20"/>
                <w:szCs w:val="20"/>
              </w:rPr>
            </w:pPr>
            <w:r w:rsidRPr="003B4D22">
              <w:rPr>
                <w:rFonts w:ascii="Arial Narrow" w:hAnsi="Arial Narrow"/>
                <w:sz w:val="20"/>
                <w:szCs w:val="20"/>
              </w:rPr>
              <w:t>Paxton et al., 2016</w:t>
            </w:r>
          </w:p>
        </w:tc>
        <w:tc>
          <w:tcPr>
            <w:tcW w:w="2021" w:type="pct"/>
          </w:tcPr>
          <w:p w14:paraId="64DD3FEB" w14:textId="68B5C372" w:rsidR="007667B3" w:rsidRPr="003B4D22" w:rsidRDefault="002054AC" w:rsidP="00F814DE">
            <w:pPr>
              <w:spacing w:after="40" w:line="240" w:lineRule="auto"/>
              <w:ind w:left="-57"/>
              <w:jc w:val="left"/>
              <w:rPr>
                <w:rFonts w:ascii="Arial Narrow" w:hAnsi="Arial Narrow"/>
                <w:sz w:val="20"/>
                <w:szCs w:val="20"/>
              </w:rPr>
            </w:pPr>
            <w:r w:rsidRPr="003B4D22">
              <w:rPr>
                <w:rFonts w:ascii="Arial Narrow" w:hAnsi="Arial Narrow"/>
                <w:sz w:val="20"/>
                <w:szCs w:val="20"/>
              </w:rPr>
              <w:t>Antibiotic prophylaxis was not routine practice for hypo-GG, but S+T and fluconazole were given with chemotherapy involving high-dose steroids, purine analogues or HSCT. Penicillin prophylaxis used in 1 patient after allo-HSCT.</w:t>
            </w:r>
          </w:p>
        </w:tc>
        <w:tc>
          <w:tcPr>
            <w:tcW w:w="2252" w:type="pct"/>
          </w:tcPr>
          <w:p w14:paraId="16EA193A" w14:textId="77777777" w:rsidR="007667B3" w:rsidRPr="003B4D22" w:rsidRDefault="007667B3" w:rsidP="00F814DE">
            <w:pPr>
              <w:spacing w:before="0" w:after="40" w:line="240" w:lineRule="auto"/>
              <w:jc w:val="left"/>
              <w:rPr>
                <w:rFonts w:ascii="Arial Narrow" w:hAnsi="Arial Narrow"/>
                <w:sz w:val="20"/>
                <w:szCs w:val="20"/>
              </w:rPr>
            </w:pPr>
            <w:r w:rsidRPr="003B4D22">
              <w:rPr>
                <w:rFonts w:ascii="Arial Narrow" w:hAnsi="Arial Narrow"/>
                <w:sz w:val="20"/>
                <w:szCs w:val="20"/>
              </w:rPr>
              <w:t>Per patient records.</w:t>
            </w:r>
          </w:p>
        </w:tc>
      </w:tr>
      <w:tr w:rsidR="002054AC" w:rsidRPr="003B4D22" w14:paraId="265135E6" w14:textId="77777777" w:rsidTr="003B4D22">
        <w:trPr>
          <w:trHeight w:val="293"/>
        </w:trPr>
        <w:tc>
          <w:tcPr>
            <w:tcW w:w="726" w:type="pct"/>
          </w:tcPr>
          <w:p w14:paraId="69308DD2" w14:textId="04AC738E" w:rsidR="007667B3" w:rsidRPr="003B4D22" w:rsidRDefault="007667B3" w:rsidP="00F814DE">
            <w:pPr>
              <w:spacing w:before="0" w:after="40" w:line="240" w:lineRule="auto"/>
              <w:jc w:val="left"/>
              <w:rPr>
                <w:rFonts w:ascii="Arial Narrow" w:hAnsi="Arial Narrow"/>
                <w:sz w:val="20"/>
                <w:szCs w:val="20"/>
              </w:rPr>
            </w:pPr>
            <w:r w:rsidRPr="003B4D22">
              <w:rPr>
                <w:rFonts w:ascii="Arial Narrow" w:hAnsi="Arial Narrow"/>
                <w:sz w:val="20"/>
                <w:szCs w:val="20"/>
              </w:rPr>
              <w:t>Van Winkle et al., 2018</w:t>
            </w:r>
          </w:p>
        </w:tc>
        <w:tc>
          <w:tcPr>
            <w:tcW w:w="2021" w:type="pct"/>
          </w:tcPr>
          <w:p w14:paraId="06BD8FDA" w14:textId="77777777" w:rsidR="007667B3" w:rsidRPr="003B4D22" w:rsidRDefault="007667B3"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None noted.</w:t>
            </w:r>
          </w:p>
        </w:tc>
        <w:tc>
          <w:tcPr>
            <w:tcW w:w="2252" w:type="pct"/>
          </w:tcPr>
          <w:p w14:paraId="31445A84" w14:textId="77777777" w:rsidR="007667B3" w:rsidRPr="003B4D22" w:rsidRDefault="007667B3" w:rsidP="00F814DE">
            <w:pPr>
              <w:spacing w:before="0" w:after="40" w:line="240" w:lineRule="auto"/>
              <w:jc w:val="left"/>
              <w:rPr>
                <w:rFonts w:ascii="Arial Narrow" w:hAnsi="Arial Narrow"/>
                <w:sz w:val="20"/>
                <w:szCs w:val="20"/>
              </w:rPr>
            </w:pPr>
            <w:r w:rsidRPr="003B4D22">
              <w:rPr>
                <w:rFonts w:ascii="Arial Narrow" w:hAnsi="Arial Narrow"/>
                <w:sz w:val="20"/>
                <w:szCs w:val="20"/>
              </w:rPr>
              <w:t>Per treating physician.</w:t>
            </w:r>
          </w:p>
        </w:tc>
      </w:tr>
      <w:tr w:rsidR="0031044B" w:rsidRPr="00386411" w14:paraId="3301B09C" w14:textId="77777777" w:rsidTr="003B4D22">
        <w:tc>
          <w:tcPr>
            <w:tcW w:w="5000" w:type="pct"/>
            <w:gridSpan w:val="3"/>
            <w:shd w:val="clear" w:color="auto" w:fill="000000" w:themeFill="text1"/>
          </w:tcPr>
          <w:p w14:paraId="5EAD2217" w14:textId="77777777" w:rsidR="0031044B" w:rsidRPr="00386411" w:rsidRDefault="0031044B" w:rsidP="00142B9D">
            <w:pPr>
              <w:keepNext/>
              <w:spacing w:before="0" w:after="40" w:line="240" w:lineRule="auto"/>
              <w:ind w:left="-57"/>
              <w:rPr>
                <w:rFonts w:ascii="Arial Narrow" w:hAnsi="Arial Narrow"/>
                <w:b/>
                <w:color w:val="FFFFFF" w:themeColor="background1"/>
                <w:sz w:val="20"/>
                <w:szCs w:val="20"/>
              </w:rPr>
            </w:pPr>
            <w:r w:rsidRPr="00386411">
              <w:rPr>
                <w:rFonts w:ascii="Arial Narrow" w:hAnsi="Arial Narrow"/>
                <w:b/>
                <w:color w:val="FFFFFF" w:themeColor="background1"/>
                <w:sz w:val="20"/>
                <w:szCs w:val="20"/>
              </w:rPr>
              <w:lastRenderedPageBreak/>
              <w:t>Non-comparative studies – IVIg case series</w:t>
            </w:r>
          </w:p>
        </w:tc>
      </w:tr>
      <w:tr w:rsidR="002054AC" w:rsidRPr="003B4D22" w14:paraId="7815E2F0" w14:textId="77777777" w:rsidTr="003B4D22">
        <w:trPr>
          <w:trHeight w:val="293"/>
        </w:trPr>
        <w:tc>
          <w:tcPr>
            <w:tcW w:w="726" w:type="pct"/>
          </w:tcPr>
          <w:p w14:paraId="556CE51D" w14:textId="77777777" w:rsidR="007667B3" w:rsidRPr="003B4D22" w:rsidRDefault="007667B3" w:rsidP="00F814DE">
            <w:pPr>
              <w:spacing w:before="0" w:after="40" w:line="240" w:lineRule="auto"/>
              <w:jc w:val="left"/>
              <w:rPr>
                <w:rFonts w:ascii="Arial Narrow" w:hAnsi="Arial Narrow"/>
                <w:sz w:val="20"/>
                <w:szCs w:val="20"/>
              </w:rPr>
            </w:pPr>
            <w:r w:rsidRPr="003B4D22">
              <w:rPr>
                <w:rFonts w:ascii="Arial Narrow" w:hAnsi="Arial Narrow"/>
                <w:sz w:val="20"/>
                <w:szCs w:val="20"/>
              </w:rPr>
              <w:t>Besa, 1992</w:t>
            </w:r>
          </w:p>
        </w:tc>
        <w:tc>
          <w:tcPr>
            <w:tcW w:w="2021" w:type="pct"/>
          </w:tcPr>
          <w:p w14:paraId="4D9E6911" w14:textId="77777777" w:rsidR="007667B3" w:rsidRPr="003B4D22" w:rsidRDefault="007667B3"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None noted.</w:t>
            </w:r>
          </w:p>
        </w:tc>
        <w:tc>
          <w:tcPr>
            <w:tcW w:w="2252" w:type="pct"/>
          </w:tcPr>
          <w:p w14:paraId="5131A1B8" w14:textId="0D1D0567" w:rsidR="007667B3" w:rsidRPr="003B4D22" w:rsidRDefault="007667B3" w:rsidP="00F814DE">
            <w:pPr>
              <w:spacing w:before="0" w:after="40" w:line="240" w:lineRule="auto"/>
              <w:jc w:val="left"/>
              <w:rPr>
                <w:rFonts w:ascii="Arial Narrow" w:hAnsi="Arial Narrow"/>
                <w:sz w:val="20"/>
                <w:szCs w:val="20"/>
              </w:rPr>
            </w:pPr>
            <w:r w:rsidRPr="003B4D22">
              <w:rPr>
                <w:rFonts w:ascii="Arial Narrow" w:hAnsi="Arial Narrow"/>
                <w:sz w:val="20"/>
                <w:szCs w:val="20"/>
              </w:rPr>
              <w:t xml:space="preserve">Not </w:t>
            </w:r>
            <w:r w:rsidR="00FE7623" w:rsidRPr="003B4D22">
              <w:rPr>
                <w:rFonts w:ascii="Arial Narrow" w:hAnsi="Arial Narrow"/>
                <w:sz w:val="20"/>
                <w:szCs w:val="20"/>
              </w:rPr>
              <w:t>described</w:t>
            </w:r>
          </w:p>
        </w:tc>
      </w:tr>
      <w:tr w:rsidR="002054AC" w:rsidRPr="003B4D22" w14:paraId="592C1F56" w14:textId="77777777" w:rsidTr="003B4D22">
        <w:trPr>
          <w:trHeight w:val="293"/>
        </w:trPr>
        <w:tc>
          <w:tcPr>
            <w:tcW w:w="726" w:type="pct"/>
          </w:tcPr>
          <w:p w14:paraId="04FCC851" w14:textId="77777777" w:rsidR="00FE7623" w:rsidRPr="003B4D22" w:rsidRDefault="00FE7623" w:rsidP="00F814DE">
            <w:pPr>
              <w:spacing w:before="0" w:after="40" w:line="240" w:lineRule="auto"/>
              <w:jc w:val="left"/>
              <w:rPr>
                <w:rFonts w:ascii="Arial Narrow" w:hAnsi="Arial Narrow"/>
                <w:sz w:val="20"/>
                <w:szCs w:val="20"/>
              </w:rPr>
            </w:pPr>
            <w:r w:rsidRPr="003B4D22">
              <w:rPr>
                <w:rFonts w:ascii="Arial Narrow" w:hAnsi="Arial Narrow"/>
                <w:sz w:val="20"/>
                <w:szCs w:val="20"/>
              </w:rPr>
              <w:t>Brenner, 1996</w:t>
            </w:r>
          </w:p>
        </w:tc>
        <w:tc>
          <w:tcPr>
            <w:tcW w:w="2021" w:type="pct"/>
          </w:tcPr>
          <w:p w14:paraId="709D795B" w14:textId="77777777" w:rsidR="00FE7623" w:rsidRPr="003B4D22" w:rsidRDefault="00FE7623"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None noted.</w:t>
            </w:r>
          </w:p>
        </w:tc>
        <w:tc>
          <w:tcPr>
            <w:tcW w:w="2252" w:type="pct"/>
          </w:tcPr>
          <w:p w14:paraId="64457F28" w14:textId="42FB8A9D" w:rsidR="00FE7623" w:rsidRPr="003B4D22" w:rsidRDefault="00FE7623" w:rsidP="00F814DE">
            <w:pPr>
              <w:spacing w:before="0" w:after="40" w:line="240" w:lineRule="auto"/>
              <w:jc w:val="left"/>
              <w:rPr>
                <w:rFonts w:ascii="Arial Narrow" w:hAnsi="Arial Narrow"/>
                <w:sz w:val="20"/>
                <w:szCs w:val="20"/>
              </w:rPr>
            </w:pPr>
            <w:r w:rsidRPr="003B4D22">
              <w:rPr>
                <w:rFonts w:ascii="Arial Narrow" w:hAnsi="Arial Narrow"/>
                <w:sz w:val="20"/>
                <w:szCs w:val="20"/>
              </w:rPr>
              <w:t>Not described</w:t>
            </w:r>
          </w:p>
        </w:tc>
      </w:tr>
      <w:tr w:rsidR="002054AC" w:rsidRPr="003B4D22" w14:paraId="606AA7CA" w14:textId="77777777" w:rsidTr="003B4D22">
        <w:trPr>
          <w:trHeight w:val="293"/>
        </w:trPr>
        <w:tc>
          <w:tcPr>
            <w:tcW w:w="726" w:type="pct"/>
          </w:tcPr>
          <w:p w14:paraId="7D74373E" w14:textId="22EE5D9E" w:rsidR="00FE7623" w:rsidRPr="003B4D22" w:rsidRDefault="00FE7623" w:rsidP="00F814DE">
            <w:pPr>
              <w:spacing w:before="0" w:after="40" w:line="240" w:lineRule="auto"/>
              <w:jc w:val="left"/>
              <w:rPr>
                <w:rFonts w:ascii="Arial Narrow" w:hAnsi="Arial Narrow"/>
                <w:sz w:val="20"/>
                <w:szCs w:val="20"/>
              </w:rPr>
            </w:pPr>
            <w:r w:rsidRPr="003B4D22">
              <w:rPr>
                <w:rFonts w:ascii="Arial Narrow" w:hAnsi="Arial Narrow"/>
                <w:sz w:val="20"/>
                <w:szCs w:val="20"/>
              </w:rPr>
              <w:t>Günther &amp; Dreger 2013</w:t>
            </w:r>
          </w:p>
        </w:tc>
        <w:tc>
          <w:tcPr>
            <w:tcW w:w="2021" w:type="pct"/>
          </w:tcPr>
          <w:p w14:paraId="6E78396F" w14:textId="77777777" w:rsidR="00FE7623" w:rsidRPr="003B4D22" w:rsidRDefault="00FE7623"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None noted.</w:t>
            </w:r>
          </w:p>
        </w:tc>
        <w:tc>
          <w:tcPr>
            <w:tcW w:w="2252" w:type="pct"/>
          </w:tcPr>
          <w:p w14:paraId="5FDFFBF3" w14:textId="77777777" w:rsidR="00FE7623" w:rsidRPr="003B4D22" w:rsidRDefault="00FE7623" w:rsidP="00F814DE">
            <w:pPr>
              <w:spacing w:before="0" w:after="40" w:line="240" w:lineRule="auto"/>
              <w:jc w:val="left"/>
              <w:rPr>
                <w:rFonts w:ascii="Arial Narrow" w:hAnsi="Arial Narrow"/>
                <w:sz w:val="20"/>
                <w:szCs w:val="20"/>
              </w:rPr>
            </w:pPr>
            <w:r w:rsidRPr="003B4D22">
              <w:rPr>
                <w:rFonts w:ascii="Arial Narrow" w:hAnsi="Arial Narrow"/>
                <w:sz w:val="20"/>
                <w:szCs w:val="20"/>
              </w:rPr>
              <w:t xml:space="preserve">9 (out of 10) patients were on (unspecified) antibiotics at enrolment and continued to receive these as concomitant medication. </w:t>
            </w:r>
          </w:p>
          <w:p w14:paraId="15405788" w14:textId="0C802F0C" w:rsidR="00FE7623" w:rsidRPr="003B4D22" w:rsidRDefault="00FE7623" w:rsidP="00F814DE">
            <w:pPr>
              <w:spacing w:before="0" w:after="40" w:line="240" w:lineRule="auto"/>
              <w:jc w:val="left"/>
              <w:rPr>
                <w:rFonts w:ascii="Arial Narrow" w:hAnsi="Arial Narrow"/>
                <w:sz w:val="20"/>
                <w:szCs w:val="20"/>
              </w:rPr>
            </w:pPr>
            <w:r w:rsidRPr="003B4D22">
              <w:rPr>
                <w:rFonts w:ascii="Arial Narrow" w:hAnsi="Arial Narrow"/>
                <w:sz w:val="20"/>
                <w:szCs w:val="20"/>
              </w:rPr>
              <w:t xml:space="preserve">Antibiotics prescribed during the study were reported by infection type. For example, the antibiotics prescribed for the 17 lower respiratory tract infections that occurred on study were: azithromycin, roxithromycin, ceftriaxone, ciprofloxacin, cefuroxime, clarithromycin and carbacephem. See Table 4 of the </w:t>
            </w:r>
            <w:r w:rsidR="00672E04" w:rsidRPr="003B4D22">
              <w:rPr>
                <w:rFonts w:ascii="Arial Narrow" w:hAnsi="Arial Narrow"/>
                <w:sz w:val="20"/>
                <w:szCs w:val="20"/>
              </w:rPr>
              <w:t>article</w:t>
            </w:r>
            <w:r w:rsidRPr="003B4D22">
              <w:rPr>
                <w:rFonts w:ascii="Arial Narrow" w:hAnsi="Arial Narrow"/>
                <w:sz w:val="20"/>
                <w:szCs w:val="20"/>
              </w:rPr>
              <w:t xml:space="preserve"> for other antibiotics prescribed on study.</w:t>
            </w:r>
          </w:p>
        </w:tc>
      </w:tr>
      <w:tr w:rsidR="002054AC" w:rsidRPr="003B4D22" w14:paraId="1599D84D" w14:textId="77777777" w:rsidTr="003B4D22">
        <w:trPr>
          <w:trHeight w:val="293"/>
        </w:trPr>
        <w:tc>
          <w:tcPr>
            <w:tcW w:w="726" w:type="pct"/>
          </w:tcPr>
          <w:p w14:paraId="76B3D0BD" w14:textId="2CBC8CDA" w:rsidR="00FE7623" w:rsidRPr="003B4D22" w:rsidRDefault="00FE7623" w:rsidP="00F814DE">
            <w:pPr>
              <w:spacing w:before="0" w:after="40" w:line="240" w:lineRule="auto"/>
              <w:jc w:val="left"/>
              <w:rPr>
                <w:rFonts w:ascii="Arial Narrow" w:hAnsi="Arial Narrow"/>
                <w:sz w:val="20"/>
                <w:szCs w:val="20"/>
              </w:rPr>
            </w:pPr>
            <w:r w:rsidRPr="003B4D22">
              <w:rPr>
                <w:rFonts w:ascii="Arial Narrow" w:hAnsi="Arial Narrow"/>
                <w:sz w:val="20"/>
                <w:szCs w:val="20"/>
              </w:rPr>
              <w:t>Jurlander et al., 1994</w:t>
            </w:r>
          </w:p>
        </w:tc>
        <w:tc>
          <w:tcPr>
            <w:tcW w:w="2021" w:type="pct"/>
          </w:tcPr>
          <w:p w14:paraId="6B5BD320" w14:textId="77777777" w:rsidR="00FE7623" w:rsidRPr="003B4D22" w:rsidRDefault="00FE7623"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None noted</w:t>
            </w:r>
          </w:p>
        </w:tc>
        <w:tc>
          <w:tcPr>
            <w:tcW w:w="2252" w:type="pct"/>
          </w:tcPr>
          <w:p w14:paraId="3CBF6531" w14:textId="2C99A079" w:rsidR="00FE7623" w:rsidRPr="003B4D22" w:rsidRDefault="00FD363D" w:rsidP="00F814DE">
            <w:pPr>
              <w:spacing w:before="0" w:after="40" w:line="240" w:lineRule="auto"/>
              <w:jc w:val="left"/>
              <w:rPr>
                <w:rFonts w:ascii="Arial Narrow" w:hAnsi="Arial Narrow"/>
                <w:sz w:val="20"/>
                <w:szCs w:val="20"/>
              </w:rPr>
            </w:pPr>
            <w:r w:rsidRPr="003B4D22">
              <w:rPr>
                <w:rFonts w:ascii="Arial Narrow" w:hAnsi="Arial Narrow"/>
                <w:sz w:val="20"/>
                <w:szCs w:val="20"/>
              </w:rPr>
              <w:t>Number of prescriptions reported</w:t>
            </w:r>
            <w:r w:rsidR="00672E04" w:rsidRPr="003B4D22">
              <w:rPr>
                <w:rFonts w:ascii="Arial Narrow" w:hAnsi="Arial Narrow"/>
                <w:sz w:val="20"/>
                <w:szCs w:val="20"/>
              </w:rPr>
              <w:t xml:space="preserve"> only</w:t>
            </w:r>
            <w:r w:rsidRPr="003B4D22">
              <w:rPr>
                <w:rFonts w:ascii="Arial Narrow" w:hAnsi="Arial Narrow"/>
                <w:sz w:val="20"/>
                <w:szCs w:val="20"/>
              </w:rPr>
              <w:t>.</w:t>
            </w:r>
          </w:p>
        </w:tc>
      </w:tr>
      <w:tr w:rsidR="00FE7623" w:rsidRPr="00386411" w14:paraId="17200BE3" w14:textId="77777777" w:rsidTr="003B4D22">
        <w:tc>
          <w:tcPr>
            <w:tcW w:w="5000" w:type="pct"/>
            <w:gridSpan w:val="3"/>
            <w:shd w:val="clear" w:color="auto" w:fill="000000" w:themeFill="text1"/>
          </w:tcPr>
          <w:p w14:paraId="3CB216C3" w14:textId="77777777" w:rsidR="00FE7623" w:rsidRPr="00386411" w:rsidRDefault="00FE7623" w:rsidP="00F814DE">
            <w:pPr>
              <w:keepNext/>
              <w:spacing w:before="0" w:after="40" w:line="240" w:lineRule="auto"/>
              <w:ind w:left="-57"/>
              <w:jc w:val="left"/>
              <w:rPr>
                <w:rFonts w:ascii="Arial Narrow" w:hAnsi="Arial Narrow"/>
                <w:b/>
                <w:color w:val="FFFFFF" w:themeColor="background1"/>
                <w:sz w:val="20"/>
                <w:szCs w:val="20"/>
              </w:rPr>
            </w:pPr>
            <w:r w:rsidRPr="00386411">
              <w:rPr>
                <w:rFonts w:ascii="Arial Narrow" w:hAnsi="Arial Narrow"/>
                <w:b/>
                <w:color w:val="FFFFFF" w:themeColor="background1"/>
                <w:sz w:val="20"/>
                <w:szCs w:val="20"/>
              </w:rPr>
              <w:t>Non-comparative studies – SCIg case series</w:t>
            </w:r>
          </w:p>
        </w:tc>
      </w:tr>
      <w:tr w:rsidR="002054AC" w:rsidRPr="003B4D22" w14:paraId="49FC4B8E" w14:textId="77777777" w:rsidTr="003B4D22">
        <w:trPr>
          <w:trHeight w:val="293"/>
        </w:trPr>
        <w:tc>
          <w:tcPr>
            <w:tcW w:w="726" w:type="pct"/>
          </w:tcPr>
          <w:p w14:paraId="38E10302" w14:textId="289BC73B" w:rsidR="00FE7623" w:rsidRPr="003B4D22" w:rsidRDefault="00FE7623" w:rsidP="00F814DE">
            <w:pPr>
              <w:spacing w:after="40" w:line="240" w:lineRule="auto"/>
              <w:jc w:val="left"/>
              <w:rPr>
                <w:rFonts w:ascii="Arial Narrow" w:hAnsi="Arial Narrow"/>
                <w:sz w:val="20"/>
                <w:szCs w:val="20"/>
              </w:rPr>
            </w:pPr>
            <w:r w:rsidRPr="003B4D22">
              <w:rPr>
                <w:rFonts w:ascii="Arial Narrow" w:hAnsi="Arial Narrow"/>
                <w:sz w:val="20"/>
                <w:szCs w:val="20"/>
              </w:rPr>
              <w:t>Dimou et al., 2018</w:t>
            </w:r>
          </w:p>
        </w:tc>
        <w:tc>
          <w:tcPr>
            <w:tcW w:w="2021" w:type="pct"/>
          </w:tcPr>
          <w:p w14:paraId="2B3D2870" w14:textId="40D4BCDE" w:rsidR="00FE7623" w:rsidRPr="003B4D22" w:rsidRDefault="002F3211"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None noted.</w:t>
            </w:r>
          </w:p>
        </w:tc>
        <w:tc>
          <w:tcPr>
            <w:tcW w:w="2252" w:type="pct"/>
          </w:tcPr>
          <w:p w14:paraId="644519D1" w14:textId="3C5E762D" w:rsidR="00FE7623" w:rsidRPr="003B4D22" w:rsidRDefault="002F3211" w:rsidP="00F814DE">
            <w:pPr>
              <w:spacing w:after="40" w:line="240" w:lineRule="auto"/>
              <w:jc w:val="left"/>
              <w:rPr>
                <w:rFonts w:ascii="Arial Narrow" w:hAnsi="Arial Narrow"/>
                <w:sz w:val="20"/>
                <w:szCs w:val="20"/>
              </w:rPr>
            </w:pPr>
            <w:r w:rsidRPr="003B4D22">
              <w:rPr>
                <w:rFonts w:ascii="Arial Narrow" w:hAnsi="Arial Narrow"/>
                <w:sz w:val="20"/>
                <w:szCs w:val="20"/>
              </w:rPr>
              <w:t xml:space="preserve">Not described. </w:t>
            </w:r>
          </w:p>
        </w:tc>
      </w:tr>
      <w:tr w:rsidR="00FE7623" w:rsidRPr="00386411" w14:paraId="7CC21722" w14:textId="77777777" w:rsidTr="003B4D22">
        <w:tc>
          <w:tcPr>
            <w:tcW w:w="5000" w:type="pct"/>
            <w:gridSpan w:val="3"/>
            <w:shd w:val="clear" w:color="auto" w:fill="000000" w:themeFill="text1"/>
          </w:tcPr>
          <w:p w14:paraId="6B2B7205" w14:textId="77777777" w:rsidR="00FE7623" w:rsidRPr="00386411" w:rsidRDefault="00FE7623" w:rsidP="00F814DE">
            <w:pPr>
              <w:keepNext/>
              <w:spacing w:before="0" w:after="40" w:line="240" w:lineRule="auto"/>
              <w:ind w:left="-57"/>
              <w:jc w:val="left"/>
              <w:rPr>
                <w:rFonts w:ascii="Arial Narrow" w:hAnsi="Arial Narrow"/>
                <w:b/>
                <w:color w:val="FFFFFF" w:themeColor="background1"/>
                <w:sz w:val="20"/>
                <w:szCs w:val="20"/>
              </w:rPr>
            </w:pPr>
            <w:r w:rsidRPr="00386411">
              <w:rPr>
                <w:rFonts w:ascii="Arial Narrow" w:hAnsi="Arial Narrow"/>
                <w:b/>
                <w:color w:val="FFFFFF" w:themeColor="background1"/>
                <w:sz w:val="20"/>
                <w:szCs w:val="20"/>
              </w:rPr>
              <w:t>Any IgG (IVIg and SCIg) case series</w:t>
            </w:r>
          </w:p>
        </w:tc>
      </w:tr>
      <w:tr w:rsidR="002054AC" w:rsidRPr="003B4D22" w14:paraId="69047C15" w14:textId="77777777" w:rsidTr="003B4D22">
        <w:trPr>
          <w:trHeight w:val="293"/>
        </w:trPr>
        <w:tc>
          <w:tcPr>
            <w:tcW w:w="726" w:type="pct"/>
          </w:tcPr>
          <w:p w14:paraId="5F50C4D2" w14:textId="61DAD647" w:rsidR="00FE7623" w:rsidRPr="003B4D22" w:rsidRDefault="00FE7623" w:rsidP="00F814DE">
            <w:pPr>
              <w:spacing w:after="40" w:line="240" w:lineRule="auto"/>
              <w:jc w:val="left"/>
              <w:rPr>
                <w:rFonts w:ascii="Arial Narrow" w:hAnsi="Arial Narrow"/>
                <w:sz w:val="20"/>
                <w:szCs w:val="20"/>
              </w:rPr>
            </w:pPr>
            <w:r w:rsidRPr="003B4D22">
              <w:rPr>
                <w:rFonts w:ascii="Arial Narrow" w:hAnsi="Arial Narrow"/>
                <w:sz w:val="20"/>
                <w:szCs w:val="20"/>
              </w:rPr>
              <w:t>Benbrahim et al., 2018</w:t>
            </w:r>
          </w:p>
        </w:tc>
        <w:tc>
          <w:tcPr>
            <w:tcW w:w="2021" w:type="pct"/>
          </w:tcPr>
          <w:p w14:paraId="389B8E25" w14:textId="14FAB802" w:rsidR="00FE7623" w:rsidRPr="003B4D22" w:rsidRDefault="00FE7623"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N/A (preliminary report)</w:t>
            </w:r>
          </w:p>
        </w:tc>
        <w:tc>
          <w:tcPr>
            <w:tcW w:w="2252" w:type="pct"/>
          </w:tcPr>
          <w:p w14:paraId="42A903D3" w14:textId="0F4F25C2" w:rsidR="00FE7623" w:rsidRPr="003B4D22" w:rsidRDefault="00FE7623" w:rsidP="00F814DE">
            <w:pPr>
              <w:spacing w:after="40" w:line="240" w:lineRule="auto"/>
              <w:jc w:val="left"/>
              <w:rPr>
                <w:rFonts w:ascii="Arial Narrow" w:hAnsi="Arial Narrow"/>
                <w:sz w:val="20"/>
                <w:szCs w:val="20"/>
              </w:rPr>
            </w:pPr>
            <w:r w:rsidRPr="003B4D22">
              <w:rPr>
                <w:rFonts w:ascii="Arial Narrow" w:hAnsi="Arial Narrow"/>
                <w:sz w:val="20"/>
                <w:szCs w:val="20"/>
              </w:rPr>
              <w:t>N/A (preliminary report)</w:t>
            </w:r>
          </w:p>
        </w:tc>
      </w:tr>
      <w:tr w:rsidR="002054AC" w:rsidRPr="003B4D22" w14:paraId="0737613E" w14:textId="77777777" w:rsidTr="003B4D22">
        <w:trPr>
          <w:trHeight w:val="293"/>
        </w:trPr>
        <w:tc>
          <w:tcPr>
            <w:tcW w:w="726" w:type="pct"/>
          </w:tcPr>
          <w:p w14:paraId="7FE6669F" w14:textId="235B55C9" w:rsidR="00FE7623" w:rsidRPr="003B4D22" w:rsidRDefault="00FE7623" w:rsidP="00F814DE">
            <w:pPr>
              <w:spacing w:after="40" w:line="240" w:lineRule="auto"/>
              <w:jc w:val="left"/>
              <w:rPr>
                <w:rFonts w:ascii="Arial Narrow" w:hAnsi="Arial Narrow"/>
                <w:sz w:val="20"/>
                <w:szCs w:val="20"/>
              </w:rPr>
            </w:pPr>
            <w:r w:rsidRPr="003B4D22">
              <w:rPr>
                <w:rFonts w:ascii="Arial Narrow" w:hAnsi="Arial Narrow"/>
                <w:sz w:val="20"/>
                <w:szCs w:val="20"/>
              </w:rPr>
              <w:t>Benbrahim et al., 2019</w:t>
            </w:r>
          </w:p>
        </w:tc>
        <w:tc>
          <w:tcPr>
            <w:tcW w:w="2021" w:type="pct"/>
          </w:tcPr>
          <w:p w14:paraId="44FBDD78" w14:textId="2B5571B9" w:rsidR="00FE7623" w:rsidRPr="003B4D22" w:rsidRDefault="00FE7623" w:rsidP="00F814DE">
            <w:pPr>
              <w:spacing w:after="40" w:line="240" w:lineRule="auto"/>
              <w:ind w:left="-57"/>
              <w:jc w:val="left"/>
              <w:rPr>
                <w:rFonts w:ascii="Arial Narrow" w:hAnsi="Arial Narrow"/>
                <w:sz w:val="20"/>
                <w:szCs w:val="20"/>
              </w:rPr>
            </w:pPr>
            <w:r w:rsidRPr="003B4D22">
              <w:rPr>
                <w:rFonts w:ascii="Arial Narrow" w:hAnsi="Arial Narrow"/>
                <w:sz w:val="20"/>
                <w:szCs w:val="20"/>
              </w:rPr>
              <w:t>Prophylaxis with valaciclovir and S+T was acceptable but usage was not reported.</w:t>
            </w:r>
          </w:p>
        </w:tc>
        <w:tc>
          <w:tcPr>
            <w:tcW w:w="2252" w:type="pct"/>
          </w:tcPr>
          <w:p w14:paraId="0D6C1A3D" w14:textId="71BCFD07" w:rsidR="00FE7623" w:rsidRPr="003B4D22" w:rsidRDefault="00FE7623" w:rsidP="00F814DE">
            <w:pPr>
              <w:spacing w:after="40" w:line="240" w:lineRule="auto"/>
              <w:jc w:val="left"/>
              <w:rPr>
                <w:rFonts w:ascii="Arial Narrow" w:hAnsi="Arial Narrow"/>
                <w:sz w:val="20"/>
                <w:szCs w:val="20"/>
              </w:rPr>
            </w:pPr>
            <w:r w:rsidRPr="003B4D22">
              <w:rPr>
                <w:rFonts w:ascii="Arial Narrow" w:hAnsi="Arial Narrow"/>
                <w:sz w:val="20"/>
                <w:szCs w:val="20"/>
              </w:rPr>
              <w:t>8 patients (5%) received antibiotic prophylaxis at least once during follow-up (apart from the conventional [use] of valaciclovir and S+T, which was not reported).</w:t>
            </w:r>
          </w:p>
        </w:tc>
      </w:tr>
      <w:tr w:rsidR="002054AC" w:rsidRPr="003B4D22" w14:paraId="15F36381" w14:textId="77777777" w:rsidTr="003B4D22">
        <w:trPr>
          <w:trHeight w:val="293"/>
        </w:trPr>
        <w:tc>
          <w:tcPr>
            <w:tcW w:w="726" w:type="pct"/>
          </w:tcPr>
          <w:p w14:paraId="054E7898" w14:textId="01F6BA65" w:rsidR="00FE7623" w:rsidRPr="003B4D22" w:rsidRDefault="00FE7623" w:rsidP="00F814DE">
            <w:pPr>
              <w:spacing w:after="40" w:line="240" w:lineRule="auto"/>
              <w:jc w:val="left"/>
              <w:rPr>
                <w:rFonts w:ascii="Arial Narrow" w:hAnsi="Arial Narrow"/>
                <w:sz w:val="20"/>
                <w:szCs w:val="20"/>
              </w:rPr>
            </w:pPr>
            <w:r w:rsidRPr="003B4D22">
              <w:rPr>
                <w:rFonts w:ascii="Arial Narrow" w:hAnsi="Arial Narrow"/>
                <w:sz w:val="20"/>
                <w:szCs w:val="20"/>
              </w:rPr>
              <w:t>Duraisingham et al., 2014</w:t>
            </w:r>
          </w:p>
        </w:tc>
        <w:tc>
          <w:tcPr>
            <w:tcW w:w="2021" w:type="pct"/>
          </w:tcPr>
          <w:p w14:paraId="2E750881" w14:textId="78FFB236" w:rsidR="00FE7623" w:rsidRPr="003B4D22" w:rsidRDefault="002F3211" w:rsidP="00F814DE">
            <w:pPr>
              <w:spacing w:after="40" w:line="240" w:lineRule="auto"/>
              <w:ind w:left="-57"/>
              <w:jc w:val="left"/>
              <w:rPr>
                <w:rFonts w:ascii="Arial Narrow" w:hAnsi="Arial Narrow"/>
                <w:sz w:val="20"/>
                <w:szCs w:val="20"/>
              </w:rPr>
            </w:pPr>
            <w:r w:rsidRPr="003B4D22">
              <w:rPr>
                <w:rFonts w:ascii="Arial Narrow" w:hAnsi="Arial Narrow"/>
                <w:sz w:val="20"/>
                <w:szCs w:val="20"/>
              </w:rPr>
              <w:t>Patients on prophylactic antibiotics in SID group (N=39, of which 15 had HM):</w:t>
            </w:r>
            <w:r w:rsidRPr="003B4D22">
              <w:rPr>
                <w:rFonts w:ascii="Arial Narrow" w:hAnsi="Arial Narrow"/>
                <w:sz w:val="20"/>
                <w:szCs w:val="20"/>
              </w:rPr>
              <w:br/>
              <w:t>Before Ig-RT: 27 (69.2%)</w:t>
            </w:r>
            <w:r w:rsidRPr="003B4D22">
              <w:rPr>
                <w:rFonts w:ascii="Arial Narrow" w:hAnsi="Arial Narrow"/>
                <w:sz w:val="20"/>
                <w:szCs w:val="20"/>
              </w:rPr>
              <w:br/>
              <w:t>After Ig-RT: 23 (60.0%)</w:t>
            </w:r>
          </w:p>
        </w:tc>
        <w:tc>
          <w:tcPr>
            <w:tcW w:w="2252" w:type="pct"/>
          </w:tcPr>
          <w:p w14:paraId="7D4ABE9F" w14:textId="458E2BED" w:rsidR="002F3211" w:rsidRPr="003B4D22" w:rsidRDefault="00E35978" w:rsidP="00F814DE">
            <w:pPr>
              <w:spacing w:after="40" w:line="240" w:lineRule="auto"/>
              <w:jc w:val="left"/>
              <w:rPr>
                <w:rFonts w:ascii="Arial Narrow" w:hAnsi="Arial Narrow"/>
                <w:sz w:val="20"/>
                <w:szCs w:val="20"/>
              </w:rPr>
            </w:pPr>
            <w:r w:rsidRPr="003B4D22">
              <w:rPr>
                <w:rFonts w:ascii="Arial Narrow" w:hAnsi="Arial Narrow"/>
                <w:sz w:val="20"/>
                <w:szCs w:val="20"/>
              </w:rPr>
              <w:t>Antibiotics other than prophylactic n</w:t>
            </w:r>
            <w:r w:rsidR="002F3211" w:rsidRPr="003B4D22">
              <w:rPr>
                <w:rFonts w:ascii="Arial Narrow" w:hAnsi="Arial Narrow"/>
                <w:sz w:val="20"/>
                <w:szCs w:val="20"/>
              </w:rPr>
              <w:t xml:space="preserve">ot described. </w:t>
            </w:r>
          </w:p>
          <w:p w14:paraId="5AD419EC" w14:textId="1F2D7E11" w:rsidR="00FE7623" w:rsidRPr="003B4D22" w:rsidRDefault="002F3211" w:rsidP="00F814DE">
            <w:pPr>
              <w:spacing w:after="40" w:line="240" w:lineRule="auto"/>
              <w:jc w:val="left"/>
              <w:rPr>
                <w:rFonts w:ascii="Arial Narrow" w:hAnsi="Arial Narrow"/>
                <w:sz w:val="20"/>
                <w:szCs w:val="20"/>
              </w:rPr>
            </w:pPr>
            <w:r w:rsidRPr="003B4D22">
              <w:rPr>
                <w:rFonts w:ascii="Arial Narrow" w:hAnsi="Arial Narrow"/>
                <w:sz w:val="20"/>
                <w:szCs w:val="20"/>
              </w:rPr>
              <w:t xml:space="preserve">Days on antibiotics before IgG-RT recorded but not </w:t>
            </w:r>
            <w:r w:rsidR="00E35978" w:rsidRPr="003B4D22">
              <w:rPr>
                <w:rFonts w:ascii="Arial Narrow" w:hAnsi="Arial Narrow"/>
                <w:sz w:val="20"/>
                <w:szCs w:val="20"/>
              </w:rPr>
              <w:t>after IgG-RT</w:t>
            </w:r>
            <w:r w:rsidRPr="003B4D22">
              <w:rPr>
                <w:rFonts w:ascii="Arial Narrow" w:hAnsi="Arial Narrow"/>
                <w:sz w:val="20"/>
                <w:szCs w:val="20"/>
              </w:rPr>
              <w:t>.</w:t>
            </w:r>
          </w:p>
        </w:tc>
      </w:tr>
      <w:tr w:rsidR="00E34EB3" w:rsidRPr="003B4D22" w14:paraId="2167F9EA" w14:textId="77777777" w:rsidTr="003B4D22">
        <w:trPr>
          <w:trHeight w:val="293"/>
        </w:trPr>
        <w:tc>
          <w:tcPr>
            <w:tcW w:w="726" w:type="pct"/>
          </w:tcPr>
          <w:p w14:paraId="52CF411A" w14:textId="715954E8" w:rsidR="00E34EB3" w:rsidRPr="003B4D22" w:rsidRDefault="00E34EB3" w:rsidP="00F814DE">
            <w:pPr>
              <w:spacing w:after="40" w:line="240" w:lineRule="auto"/>
              <w:jc w:val="left"/>
              <w:rPr>
                <w:rFonts w:ascii="Arial Narrow" w:hAnsi="Arial Narrow"/>
                <w:sz w:val="20"/>
                <w:szCs w:val="20"/>
              </w:rPr>
            </w:pPr>
            <w:r w:rsidRPr="003B4D22">
              <w:rPr>
                <w:rFonts w:ascii="Arial Narrow" w:hAnsi="Arial Narrow"/>
                <w:sz w:val="20"/>
                <w:szCs w:val="20"/>
              </w:rPr>
              <w:t>Reiser et al., 2017</w:t>
            </w:r>
          </w:p>
        </w:tc>
        <w:tc>
          <w:tcPr>
            <w:tcW w:w="2021" w:type="pct"/>
          </w:tcPr>
          <w:p w14:paraId="74016AF8" w14:textId="1E553208" w:rsidR="00E34EB3" w:rsidRPr="003B4D22" w:rsidRDefault="00E34EB3"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As recorded in medical records.</w:t>
            </w:r>
          </w:p>
        </w:tc>
        <w:tc>
          <w:tcPr>
            <w:tcW w:w="2252" w:type="pct"/>
          </w:tcPr>
          <w:p w14:paraId="757194D7" w14:textId="5438B3C3" w:rsidR="00E34EB3" w:rsidRPr="003B4D22" w:rsidRDefault="00E34EB3" w:rsidP="00F814DE">
            <w:pPr>
              <w:spacing w:after="40" w:line="240" w:lineRule="auto"/>
              <w:jc w:val="left"/>
              <w:rPr>
                <w:rFonts w:ascii="Arial Narrow" w:hAnsi="Arial Narrow"/>
                <w:sz w:val="20"/>
                <w:szCs w:val="20"/>
                <w:highlight w:val="yellow"/>
              </w:rPr>
            </w:pPr>
            <w:r w:rsidRPr="003B4D22">
              <w:rPr>
                <w:rFonts w:ascii="Arial Narrow" w:hAnsi="Arial Narrow"/>
                <w:sz w:val="20"/>
                <w:szCs w:val="20"/>
              </w:rPr>
              <w:t>Not described.</w:t>
            </w:r>
          </w:p>
        </w:tc>
      </w:tr>
      <w:tr w:rsidR="00E34EB3" w:rsidRPr="00386411" w14:paraId="4678146C" w14:textId="77777777" w:rsidTr="003B4D22">
        <w:tc>
          <w:tcPr>
            <w:tcW w:w="5000" w:type="pct"/>
            <w:gridSpan w:val="3"/>
            <w:shd w:val="clear" w:color="auto" w:fill="000000" w:themeFill="text1"/>
          </w:tcPr>
          <w:p w14:paraId="64770E9A" w14:textId="77777777" w:rsidR="00E34EB3" w:rsidRPr="00386411" w:rsidRDefault="00E34EB3" w:rsidP="00F814DE">
            <w:pPr>
              <w:keepNext/>
              <w:spacing w:before="0" w:after="0" w:line="240" w:lineRule="auto"/>
              <w:ind w:left="-57"/>
              <w:jc w:val="left"/>
              <w:rPr>
                <w:rFonts w:ascii="Arial Narrow" w:hAnsi="Arial Narrow"/>
                <w:b/>
                <w:color w:val="FFFFFF" w:themeColor="background1"/>
                <w:sz w:val="20"/>
                <w:szCs w:val="20"/>
              </w:rPr>
            </w:pPr>
            <w:r w:rsidRPr="00386411">
              <w:rPr>
                <w:rFonts w:ascii="Arial Narrow" w:hAnsi="Arial Narrow"/>
                <w:b/>
                <w:color w:val="FFFFFF" w:themeColor="background1"/>
                <w:sz w:val="20"/>
                <w:szCs w:val="20"/>
              </w:rPr>
              <w:t>Non-comparative studies – IVIg v SCIg case series</w:t>
            </w:r>
          </w:p>
        </w:tc>
      </w:tr>
      <w:tr w:rsidR="00E34EB3" w:rsidRPr="003B4D22" w14:paraId="36BA4B13" w14:textId="77777777" w:rsidTr="003B4D22">
        <w:trPr>
          <w:trHeight w:val="293"/>
        </w:trPr>
        <w:tc>
          <w:tcPr>
            <w:tcW w:w="726" w:type="pct"/>
          </w:tcPr>
          <w:p w14:paraId="6B97A065" w14:textId="71702499" w:rsidR="00E34EB3" w:rsidRPr="003B4D22" w:rsidRDefault="00E34EB3" w:rsidP="00F814DE">
            <w:pPr>
              <w:spacing w:after="40" w:line="240" w:lineRule="auto"/>
              <w:jc w:val="left"/>
              <w:rPr>
                <w:rFonts w:ascii="Arial Narrow" w:hAnsi="Arial Narrow"/>
                <w:sz w:val="20"/>
                <w:szCs w:val="20"/>
              </w:rPr>
            </w:pPr>
            <w:r w:rsidRPr="003B4D22">
              <w:rPr>
                <w:rFonts w:ascii="Arial Narrow" w:hAnsi="Arial Narrow"/>
                <w:sz w:val="20"/>
                <w:szCs w:val="20"/>
              </w:rPr>
              <w:t>Sundin et al., 2012</w:t>
            </w:r>
          </w:p>
        </w:tc>
        <w:tc>
          <w:tcPr>
            <w:tcW w:w="2021" w:type="pct"/>
          </w:tcPr>
          <w:p w14:paraId="32F12659" w14:textId="54C5D4E5" w:rsidR="00E34EB3" w:rsidRPr="003B4D22" w:rsidRDefault="00382A2B" w:rsidP="00BB0145">
            <w:pPr>
              <w:spacing w:before="0" w:after="40" w:line="240" w:lineRule="auto"/>
              <w:ind w:left="-57"/>
              <w:jc w:val="left"/>
              <w:rPr>
                <w:rFonts w:ascii="Arial Narrow" w:hAnsi="Arial Narrow"/>
                <w:sz w:val="20"/>
                <w:szCs w:val="20"/>
              </w:rPr>
            </w:pPr>
            <w:r w:rsidRPr="003B4D22">
              <w:rPr>
                <w:rFonts w:ascii="Arial Narrow" w:hAnsi="Arial Narrow"/>
                <w:sz w:val="20"/>
                <w:szCs w:val="20"/>
              </w:rPr>
              <w:t xml:space="preserve">Refers to previously published paper </w:t>
            </w:r>
            <w:r w:rsidR="005E1360" w:rsidRPr="003B4D22">
              <w:rPr>
                <w:rFonts w:ascii="Arial Narrow" w:hAnsi="Arial Narrow"/>
                <w:sz w:val="20"/>
                <w:szCs w:val="20"/>
              </w:rPr>
              <w:fldChar w:fldCharType="begin">
                <w:fldData xml:space="preserve">PEVuZE5vdGU+PENpdGU+PEF1dGhvcj5SZW1iZXJnZXI8L0F1dGhvcj48WWVhcj4yMDExPC9ZZWFy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=
</w:fldData>
              </w:fldChar>
            </w:r>
            <w:r w:rsidR="005E1360" w:rsidRPr="003B4D22">
              <w:rPr>
                <w:rFonts w:ascii="Arial Narrow" w:hAnsi="Arial Narrow"/>
                <w:sz w:val="20"/>
                <w:szCs w:val="20"/>
              </w:rPr>
              <w:instrText xml:space="preserve"> ADDIN EN.CITE </w:instrText>
            </w:r>
            <w:r w:rsidR="005E1360" w:rsidRPr="003B4D22">
              <w:rPr>
                <w:rFonts w:ascii="Arial Narrow" w:hAnsi="Arial Narrow"/>
                <w:sz w:val="20"/>
                <w:szCs w:val="20"/>
              </w:rPr>
              <w:fldChar w:fldCharType="begin">
                <w:fldData xml:space="preserve">PEVuZE5vdGU+PENpdGU+PEF1dGhvcj5SZW1iZXJnZXI8L0F1dGhvcj48WWVhcj4yMDExPC9ZZWFy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=
</w:fldData>
              </w:fldChar>
            </w:r>
            <w:r w:rsidR="005E1360" w:rsidRPr="003B4D22">
              <w:rPr>
                <w:rFonts w:ascii="Arial Narrow" w:hAnsi="Arial Narrow"/>
                <w:sz w:val="20"/>
                <w:szCs w:val="20"/>
              </w:rPr>
              <w:instrText xml:space="preserve"> ADDIN EN.CITE.DATA </w:instrText>
            </w:r>
            <w:r w:rsidR="005E1360" w:rsidRPr="003B4D22">
              <w:rPr>
                <w:rFonts w:ascii="Arial Narrow" w:hAnsi="Arial Narrow"/>
                <w:sz w:val="20"/>
                <w:szCs w:val="20"/>
              </w:rPr>
            </w:r>
            <w:r w:rsidR="005E1360" w:rsidRPr="003B4D22">
              <w:rPr>
                <w:rFonts w:ascii="Arial Narrow" w:hAnsi="Arial Narrow"/>
                <w:sz w:val="20"/>
                <w:szCs w:val="20"/>
              </w:rPr>
              <w:fldChar w:fldCharType="end"/>
            </w:r>
            <w:r w:rsidR="005E1360" w:rsidRPr="003B4D22">
              <w:rPr>
                <w:rFonts w:ascii="Arial Narrow" w:hAnsi="Arial Narrow"/>
                <w:sz w:val="20"/>
                <w:szCs w:val="20"/>
              </w:rPr>
            </w:r>
            <w:r w:rsidR="005E1360" w:rsidRPr="003B4D22">
              <w:rPr>
                <w:rFonts w:ascii="Arial Narrow" w:hAnsi="Arial Narrow"/>
                <w:sz w:val="20"/>
                <w:szCs w:val="20"/>
              </w:rPr>
              <w:fldChar w:fldCharType="separate"/>
            </w:r>
            <w:r w:rsidR="005E1360" w:rsidRPr="003B4D22">
              <w:rPr>
                <w:rFonts w:ascii="Arial Narrow" w:hAnsi="Arial Narrow"/>
                <w:noProof/>
                <w:sz w:val="20"/>
                <w:szCs w:val="20"/>
              </w:rPr>
              <w:t>(</w:t>
            </w:r>
            <w:hyperlink w:anchor="_ENREF_43" w:tooltip="Remberger, 2011 #99" w:history="1">
              <w:r w:rsidR="00BB0145" w:rsidRPr="003B4D22">
                <w:rPr>
                  <w:rFonts w:ascii="Arial Narrow" w:hAnsi="Arial Narrow"/>
                  <w:noProof/>
                  <w:sz w:val="20"/>
                  <w:szCs w:val="20"/>
                </w:rPr>
                <w:t>Remberger et al. 2011</w:t>
              </w:r>
            </w:hyperlink>
            <w:r w:rsidR="005E1360" w:rsidRPr="003B4D22">
              <w:rPr>
                <w:rFonts w:ascii="Arial Narrow" w:hAnsi="Arial Narrow"/>
                <w:noProof/>
                <w:sz w:val="20"/>
                <w:szCs w:val="20"/>
              </w:rPr>
              <w:t>)</w:t>
            </w:r>
            <w:r w:rsidR="005E1360" w:rsidRPr="003B4D22">
              <w:rPr>
                <w:rFonts w:ascii="Arial Narrow" w:hAnsi="Arial Narrow"/>
                <w:sz w:val="20"/>
                <w:szCs w:val="20"/>
              </w:rPr>
              <w:fldChar w:fldCharType="end"/>
            </w:r>
            <w:r w:rsidRPr="003B4D22">
              <w:rPr>
                <w:rFonts w:ascii="Arial Narrow" w:hAnsi="Arial Narrow"/>
                <w:sz w:val="20"/>
                <w:szCs w:val="20"/>
              </w:rPr>
              <w:t xml:space="preserve"> that cited prophylaxis with antivirals (ganciclovir, acyclovir, foscarnet) and lysosomal amphotericin B for potential fungal infections, though it is not known how many patients received these in this study.</w:t>
            </w:r>
          </w:p>
        </w:tc>
        <w:tc>
          <w:tcPr>
            <w:tcW w:w="2252" w:type="pct"/>
          </w:tcPr>
          <w:p w14:paraId="6858EE49" w14:textId="178F1567" w:rsidR="00E34EB3" w:rsidRPr="003B4D22" w:rsidRDefault="00382A2B" w:rsidP="00F814DE">
            <w:pPr>
              <w:spacing w:after="40" w:line="240" w:lineRule="auto"/>
              <w:jc w:val="left"/>
              <w:rPr>
                <w:rFonts w:ascii="Arial Narrow" w:hAnsi="Arial Narrow"/>
                <w:sz w:val="20"/>
                <w:szCs w:val="20"/>
              </w:rPr>
            </w:pPr>
            <w:r w:rsidRPr="003B4D22">
              <w:rPr>
                <w:rFonts w:ascii="Arial Narrow" w:hAnsi="Arial Narrow"/>
                <w:sz w:val="20"/>
                <w:szCs w:val="20"/>
              </w:rPr>
              <w:t>Not described.</w:t>
            </w:r>
          </w:p>
        </w:tc>
      </w:tr>
      <w:tr w:rsidR="00E34EB3" w:rsidRPr="003B4D22" w14:paraId="3F04EDA9" w14:textId="77777777" w:rsidTr="003B4D22">
        <w:trPr>
          <w:trHeight w:val="293"/>
        </w:trPr>
        <w:tc>
          <w:tcPr>
            <w:tcW w:w="726" w:type="pct"/>
          </w:tcPr>
          <w:p w14:paraId="5043F6E7" w14:textId="29A207A2" w:rsidR="00E34EB3" w:rsidRPr="003B4D22" w:rsidRDefault="00E34EB3" w:rsidP="00F814DE">
            <w:pPr>
              <w:spacing w:after="40" w:line="240" w:lineRule="auto"/>
              <w:jc w:val="left"/>
              <w:rPr>
                <w:rFonts w:ascii="Arial Narrow" w:hAnsi="Arial Narrow"/>
                <w:sz w:val="20"/>
                <w:szCs w:val="20"/>
              </w:rPr>
            </w:pPr>
            <w:r w:rsidRPr="003B4D22">
              <w:rPr>
                <w:rFonts w:ascii="Arial Narrow" w:hAnsi="Arial Narrow"/>
                <w:sz w:val="20"/>
                <w:szCs w:val="20"/>
              </w:rPr>
              <w:t>Windegger et al. 2019</w:t>
            </w:r>
          </w:p>
        </w:tc>
        <w:tc>
          <w:tcPr>
            <w:tcW w:w="2021" w:type="pct"/>
          </w:tcPr>
          <w:p w14:paraId="5A63D202" w14:textId="475EE685" w:rsidR="00E34EB3" w:rsidRPr="003B4D22" w:rsidRDefault="00E34EB3"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None noted.</w:t>
            </w:r>
          </w:p>
        </w:tc>
        <w:tc>
          <w:tcPr>
            <w:tcW w:w="2252" w:type="pct"/>
          </w:tcPr>
          <w:p w14:paraId="427C8B9D" w14:textId="1EBE4D64" w:rsidR="00E34EB3" w:rsidRPr="003B4D22" w:rsidRDefault="00E34EB3" w:rsidP="00F814DE">
            <w:pPr>
              <w:spacing w:after="40" w:line="240" w:lineRule="auto"/>
              <w:jc w:val="left"/>
              <w:rPr>
                <w:rFonts w:ascii="Arial Narrow" w:hAnsi="Arial Narrow"/>
                <w:sz w:val="20"/>
                <w:szCs w:val="20"/>
              </w:rPr>
            </w:pPr>
            <w:r w:rsidRPr="003B4D22">
              <w:rPr>
                <w:rFonts w:ascii="Arial Narrow" w:hAnsi="Arial Narrow"/>
                <w:sz w:val="20"/>
                <w:szCs w:val="20"/>
              </w:rPr>
              <w:t>Not described.</w:t>
            </w:r>
          </w:p>
        </w:tc>
      </w:tr>
      <w:tr w:rsidR="00E34EB3" w:rsidRPr="00386411" w14:paraId="5B7436F6" w14:textId="77777777" w:rsidTr="003B4D22">
        <w:tc>
          <w:tcPr>
            <w:tcW w:w="5000" w:type="pct"/>
            <w:gridSpan w:val="3"/>
            <w:shd w:val="clear" w:color="auto" w:fill="000000" w:themeFill="text1"/>
          </w:tcPr>
          <w:p w14:paraId="1EC3DFFA" w14:textId="77777777" w:rsidR="00E34EB3" w:rsidRPr="00386411" w:rsidRDefault="00E34EB3" w:rsidP="00F814DE">
            <w:pPr>
              <w:keepNext/>
              <w:spacing w:before="0" w:after="40" w:line="240" w:lineRule="auto"/>
              <w:ind w:left="-57"/>
              <w:jc w:val="left"/>
              <w:rPr>
                <w:rFonts w:ascii="Arial Narrow" w:hAnsi="Arial Narrow"/>
                <w:b/>
                <w:color w:val="FFFFFF" w:themeColor="background1"/>
                <w:sz w:val="20"/>
                <w:szCs w:val="20"/>
              </w:rPr>
            </w:pPr>
            <w:r w:rsidRPr="00386411">
              <w:rPr>
                <w:rFonts w:ascii="Arial Narrow" w:hAnsi="Arial Narrow"/>
                <w:b/>
                <w:color w:val="FFFFFF" w:themeColor="background1"/>
                <w:sz w:val="20"/>
                <w:szCs w:val="20"/>
              </w:rPr>
              <w:t>Other (IVIg or SCIg) – dosing studies</w:t>
            </w:r>
          </w:p>
        </w:tc>
      </w:tr>
      <w:tr w:rsidR="00E34EB3" w:rsidRPr="003B4D22" w14:paraId="657805DC" w14:textId="77777777" w:rsidTr="003B4D22">
        <w:trPr>
          <w:trHeight w:val="293"/>
        </w:trPr>
        <w:tc>
          <w:tcPr>
            <w:tcW w:w="726" w:type="pct"/>
          </w:tcPr>
          <w:p w14:paraId="360C21F9" w14:textId="53670E7A" w:rsidR="00E34EB3" w:rsidRPr="003B4D22" w:rsidRDefault="00E34EB3" w:rsidP="00F814DE">
            <w:pPr>
              <w:spacing w:after="40" w:line="240" w:lineRule="auto"/>
              <w:jc w:val="left"/>
              <w:rPr>
                <w:rFonts w:ascii="Arial Narrow" w:hAnsi="Arial Narrow"/>
                <w:sz w:val="20"/>
                <w:szCs w:val="20"/>
              </w:rPr>
            </w:pPr>
            <w:r w:rsidRPr="003B4D22">
              <w:rPr>
                <w:rFonts w:ascii="Arial Narrow" w:hAnsi="Arial Narrow"/>
                <w:sz w:val="20"/>
                <w:szCs w:val="20"/>
              </w:rPr>
              <w:t>Chapel, Dicato et al. 1994</w:t>
            </w:r>
          </w:p>
        </w:tc>
        <w:tc>
          <w:tcPr>
            <w:tcW w:w="2021" w:type="pct"/>
          </w:tcPr>
          <w:p w14:paraId="0A802B32" w14:textId="2EBBA6A2" w:rsidR="00E34EB3" w:rsidRPr="003B4D22" w:rsidRDefault="00E34EB3"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Patients on prophylactic antibiotics ineligible for study entry; and it was implied though not explicit that this also applied to on-study tx.</w:t>
            </w:r>
          </w:p>
        </w:tc>
        <w:tc>
          <w:tcPr>
            <w:tcW w:w="2252" w:type="pct"/>
          </w:tcPr>
          <w:p w14:paraId="7205D98E" w14:textId="34B62015" w:rsidR="00E34EB3" w:rsidRPr="003B4D22" w:rsidRDefault="00E34EB3" w:rsidP="00F814DE">
            <w:pPr>
              <w:spacing w:after="40" w:line="240" w:lineRule="auto"/>
              <w:jc w:val="left"/>
              <w:rPr>
                <w:rFonts w:ascii="Arial Narrow" w:hAnsi="Arial Narrow"/>
                <w:sz w:val="20"/>
                <w:szCs w:val="20"/>
              </w:rPr>
            </w:pPr>
            <w:r w:rsidRPr="003B4D22">
              <w:rPr>
                <w:rFonts w:ascii="Arial Narrow" w:hAnsi="Arial Narrow"/>
                <w:sz w:val="20"/>
                <w:szCs w:val="20"/>
              </w:rPr>
              <w:t>Not described.</w:t>
            </w:r>
          </w:p>
        </w:tc>
      </w:tr>
      <w:tr w:rsidR="00E34EB3" w:rsidRPr="003B4D22" w14:paraId="04D29F7C" w14:textId="77777777" w:rsidTr="003B4D22">
        <w:trPr>
          <w:trHeight w:val="293"/>
        </w:trPr>
        <w:tc>
          <w:tcPr>
            <w:tcW w:w="726" w:type="pct"/>
          </w:tcPr>
          <w:p w14:paraId="511A3667" w14:textId="33A34F3D" w:rsidR="00E34EB3" w:rsidRPr="003B4D22" w:rsidRDefault="00E34EB3" w:rsidP="00F814DE">
            <w:pPr>
              <w:spacing w:after="40" w:line="240" w:lineRule="auto"/>
              <w:jc w:val="left"/>
              <w:rPr>
                <w:rFonts w:ascii="Arial Narrow" w:hAnsi="Arial Narrow"/>
                <w:sz w:val="20"/>
                <w:szCs w:val="20"/>
              </w:rPr>
            </w:pPr>
            <w:r w:rsidRPr="003B4D22">
              <w:rPr>
                <w:rFonts w:ascii="Arial Narrow" w:hAnsi="Arial Narrow"/>
                <w:sz w:val="20"/>
                <w:szCs w:val="20"/>
              </w:rPr>
              <w:t>Stump et al., 2017</w:t>
            </w:r>
          </w:p>
        </w:tc>
        <w:tc>
          <w:tcPr>
            <w:tcW w:w="2021" w:type="pct"/>
          </w:tcPr>
          <w:p w14:paraId="75A5F0FF" w14:textId="7EC6DEF8" w:rsidR="00E34EB3" w:rsidRPr="003B4D22" w:rsidRDefault="00E34EB3" w:rsidP="00F814DE">
            <w:pPr>
              <w:spacing w:before="0" w:after="40" w:line="240" w:lineRule="auto"/>
              <w:ind w:left="-57"/>
              <w:jc w:val="left"/>
              <w:rPr>
                <w:rFonts w:ascii="Arial Narrow" w:hAnsi="Arial Narrow"/>
                <w:sz w:val="20"/>
                <w:szCs w:val="20"/>
              </w:rPr>
            </w:pPr>
            <w:r w:rsidRPr="003B4D22">
              <w:rPr>
                <w:rFonts w:ascii="Arial Narrow" w:hAnsi="Arial Narrow"/>
                <w:sz w:val="20"/>
                <w:szCs w:val="20"/>
              </w:rPr>
              <w:t>None noted.</w:t>
            </w:r>
          </w:p>
        </w:tc>
        <w:tc>
          <w:tcPr>
            <w:tcW w:w="2252" w:type="pct"/>
          </w:tcPr>
          <w:p w14:paraId="7A1B4FD5" w14:textId="0B0292B5" w:rsidR="00E34EB3" w:rsidRPr="003B4D22" w:rsidRDefault="00E34EB3" w:rsidP="00F814DE">
            <w:pPr>
              <w:spacing w:after="40" w:line="240" w:lineRule="auto"/>
              <w:jc w:val="left"/>
              <w:rPr>
                <w:rFonts w:ascii="Arial Narrow" w:hAnsi="Arial Narrow"/>
                <w:sz w:val="20"/>
                <w:szCs w:val="20"/>
              </w:rPr>
            </w:pPr>
            <w:r w:rsidRPr="003B4D22">
              <w:rPr>
                <w:rFonts w:ascii="Arial Narrow" w:hAnsi="Arial Narrow"/>
                <w:sz w:val="20"/>
                <w:szCs w:val="20"/>
              </w:rPr>
              <w:t>Not described.</w:t>
            </w:r>
          </w:p>
        </w:tc>
      </w:tr>
    </w:tbl>
    <w:p w14:paraId="5FECDF8D" w14:textId="77777777" w:rsidR="007667B3" w:rsidRPr="00386411" w:rsidRDefault="007667B3" w:rsidP="00A148C4">
      <w:pPr>
        <w:pStyle w:val="Tablenotes1"/>
      </w:pPr>
    </w:p>
    <w:p w14:paraId="7E1069A1" w14:textId="036223D4" w:rsidR="00A904EF" w:rsidRPr="00386411" w:rsidRDefault="00BF0BF3" w:rsidP="00F814DE">
      <w:pPr>
        <w:pStyle w:val="Caption"/>
        <w:keepNext/>
      </w:pPr>
      <w:bookmarkStart w:id="766" w:name="_Ref12611136"/>
      <w:bookmarkStart w:id="767" w:name="_Toc14429625"/>
      <w:bookmarkStart w:id="768" w:name="_Toc16671683"/>
      <w:r w:rsidRPr="00386411">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85</w:t>
      </w:r>
      <w:r w:rsidRPr="00386411">
        <w:rPr>
          <w:noProof/>
        </w:rPr>
        <w:fldChar w:fldCharType="end"/>
      </w:r>
      <w:bookmarkEnd w:id="765"/>
      <w:bookmarkEnd w:id="766"/>
      <w:r w:rsidRPr="00386411">
        <w:tab/>
      </w:r>
      <w:r w:rsidR="00386411" w:rsidRPr="00386411">
        <w:rPr>
          <w:snapToGrid w:val="0"/>
          <w:lang w:eastAsia="en-US"/>
        </w:rPr>
        <w:t>Randomised studies presenting infections</w:t>
      </w:r>
      <w:r w:rsidRPr="00386411">
        <w:rPr>
          <w:snapToGrid w:val="0"/>
          <w:lang w:eastAsia="en-US"/>
        </w:rPr>
        <w:t xml:space="preserve"> – IVIg vs no IVIg</w:t>
      </w:r>
      <w:bookmarkEnd w:id="767"/>
      <w:bookmarkEnd w:id="768"/>
    </w:p>
    <w:tbl>
      <w:tblPr>
        <w:tblW w:w="5171" w:type="pct"/>
        <w:tblLayout w:type="fixed"/>
        <w:tblLook w:val="04A0" w:firstRow="1" w:lastRow="0" w:firstColumn="1" w:lastColumn="0" w:noHBand="0" w:noVBand="1"/>
      </w:tblPr>
      <w:tblGrid>
        <w:gridCol w:w="1242"/>
        <w:gridCol w:w="3261"/>
        <w:gridCol w:w="849"/>
        <w:gridCol w:w="948"/>
        <w:gridCol w:w="897"/>
        <w:gridCol w:w="1088"/>
        <w:gridCol w:w="1273"/>
      </w:tblGrid>
      <w:tr w:rsidR="00A904EF" w:rsidRPr="00386411" w14:paraId="74EB8068" w14:textId="77777777" w:rsidTr="00B52A4F">
        <w:tc>
          <w:tcPr>
            <w:tcW w:w="650" w:type="pct"/>
            <w:tcBorders>
              <w:top w:val="single" w:sz="4" w:space="0" w:color="auto"/>
              <w:left w:val="single" w:sz="4" w:space="0" w:color="auto"/>
              <w:bottom w:val="single" w:sz="4" w:space="0" w:color="auto"/>
              <w:right w:val="nil"/>
            </w:tcBorders>
            <w:shd w:val="clear" w:color="auto" w:fill="D9D9D9" w:themeFill="background1" w:themeFillShade="D9"/>
            <w:vAlign w:val="bottom"/>
          </w:tcPr>
          <w:bookmarkEnd w:id="761"/>
          <w:p w14:paraId="42E4A153" w14:textId="77777777" w:rsidR="00A904EF" w:rsidRPr="00386411" w:rsidRDefault="00A904EF" w:rsidP="00166EC0">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Study</w:t>
            </w:r>
          </w:p>
        </w:tc>
        <w:tc>
          <w:tcPr>
            <w:tcW w:w="1706" w:type="pct"/>
            <w:tcBorders>
              <w:top w:val="single" w:sz="4" w:space="0" w:color="auto"/>
              <w:left w:val="nil"/>
              <w:bottom w:val="single" w:sz="4" w:space="0" w:color="auto"/>
              <w:right w:val="nil"/>
            </w:tcBorders>
            <w:shd w:val="clear" w:color="auto" w:fill="D9D9D9" w:themeFill="background1" w:themeFillShade="D9"/>
          </w:tcPr>
          <w:p w14:paraId="580DCA83" w14:textId="77777777" w:rsidR="00A904EF" w:rsidRPr="00386411" w:rsidRDefault="00A904EF" w:rsidP="00166EC0">
            <w:pPr>
              <w:keepNext/>
              <w:spacing w:after="0" w:line="240" w:lineRule="auto"/>
              <w:rPr>
                <w:rFonts w:ascii="Arial Narrow" w:hAnsi="Arial Narrow"/>
                <w:b/>
                <w:sz w:val="20"/>
              </w:rPr>
            </w:pPr>
            <w:r w:rsidRPr="00386411">
              <w:rPr>
                <w:rFonts w:ascii="Arial Narrow" w:hAnsi="Arial Narrow"/>
                <w:b/>
                <w:sz w:val="20"/>
              </w:rPr>
              <w:t>Outcome</w:t>
            </w:r>
          </w:p>
        </w:tc>
        <w:tc>
          <w:tcPr>
            <w:tcW w:w="940" w:type="pct"/>
            <w:gridSpan w:val="2"/>
            <w:tcBorders>
              <w:top w:val="single" w:sz="4" w:space="0" w:color="auto"/>
              <w:left w:val="nil"/>
              <w:bottom w:val="single" w:sz="4" w:space="0" w:color="auto"/>
              <w:right w:val="nil"/>
            </w:tcBorders>
            <w:shd w:val="clear" w:color="auto" w:fill="D9D9D9" w:themeFill="background1" w:themeFillShade="D9"/>
            <w:noWrap/>
          </w:tcPr>
          <w:p w14:paraId="241EE9DE" w14:textId="77777777" w:rsidR="00A904EF" w:rsidRPr="00386411" w:rsidRDefault="00A904EF" w:rsidP="00166EC0">
            <w:pPr>
              <w:keepNext/>
              <w:spacing w:after="0" w:line="240" w:lineRule="auto"/>
              <w:jc w:val="center"/>
              <w:rPr>
                <w:rFonts w:ascii="Arial Narrow" w:hAnsi="Arial Narrow"/>
                <w:b/>
                <w:sz w:val="20"/>
                <w:szCs w:val="20"/>
              </w:rPr>
            </w:pPr>
            <w:r w:rsidRPr="00386411">
              <w:rPr>
                <w:rFonts w:ascii="Arial Narrow" w:hAnsi="Arial Narrow"/>
                <w:b/>
                <w:sz w:val="20"/>
                <w:szCs w:val="20"/>
              </w:rPr>
              <w:t>Intervention</w:t>
            </w:r>
          </w:p>
        </w:tc>
        <w:tc>
          <w:tcPr>
            <w:tcW w:w="1038" w:type="pct"/>
            <w:gridSpan w:val="2"/>
            <w:tcBorders>
              <w:top w:val="single" w:sz="4" w:space="0" w:color="auto"/>
              <w:left w:val="nil"/>
              <w:bottom w:val="single" w:sz="4" w:space="0" w:color="auto"/>
              <w:right w:val="nil"/>
            </w:tcBorders>
            <w:shd w:val="clear" w:color="auto" w:fill="D9D9D9" w:themeFill="background1" w:themeFillShade="D9"/>
            <w:noWrap/>
          </w:tcPr>
          <w:p w14:paraId="50FEC12A" w14:textId="77777777" w:rsidR="00A904EF" w:rsidRPr="00386411" w:rsidRDefault="00A904EF" w:rsidP="00166EC0">
            <w:pPr>
              <w:keepNext/>
              <w:spacing w:after="0" w:line="240" w:lineRule="auto"/>
              <w:jc w:val="center"/>
              <w:rPr>
                <w:rFonts w:ascii="Arial Narrow" w:hAnsi="Arial Narrow"/>
                <w:b/>
                <w:sz w:val="20"/>
                <w:szCs w:val="20"/>
              </w:rPr>
            </w:pPr>
            <w:r w:rsidRPr="00386411">
              <w:rPr>
                <w:rFonts w:ascii="Arial Narrow" w:hAnsi="Arial Narrow"/>
                <w:b/>
                <w:sz w:val="20"/>
                <w:szCs w:val="20"/>
              </w:rPr>
              <w:t>Comparator</w:t>
            </w:r>
          </w:p>
        </w:tc>
        <w:tc>
          <w:tcPr>
            <w:tcW w:w="666" w:type="pct"/>
            <w:tcBorders>
              <w:top w:val="single" w:sz="4" w:space="0" w:color="auto"/>
              <w:left w:val="nil"/>
              <w:bottom w:val="single" w:sz="4" w:space="0" w:color="auto"/>
              <w:right w:val="single" w:sz="4" w:space="0" w:color="auto"/>
            </w:tcBorders>
            <w:shd w:val="clear" w:color="auto" w:fill="D9D9D9" w:themeFill="background1" w:themeFillShade="D9"/>
          </w:tcPr>
          <w:p w14:paraId="58454817" w14:textId="77777777" w:rsidR="00A904EF" w:rsidRPr="00386411" w:rsidRDefault="00A904EF" w:rsidP="00166EC0">
            <w:pPr>
              <w:keepNext/>
              <w:spacing w:after="0" w:line="240" w:lineRule="auto"/>
              <w:jc w:val="center"/>
              <w:rPr>
                <w:rFonts w:ascii="Arial Narrow" w:hAnsi="Arial Narrow"/>
                <w:b/>
                <w:sz w:val="20"/>
                <w:szCs w:val="20"/>
              </w:rPr>
            </w:pPr>
            <w:r w:rsidRPr="00386411">
              <w:rPr>
                <w:rFonts w:ascii="Arial Narrow" w:hAnsi="Arial Narrow"/>
                <w:b/>
                <w:sz w:val="20"/>
                <w:szCs w:val="20"/>
              </w:rPr>
              <w:t>Comparison</w:t>
            </w:r>
          </w:p>
        </w:tc>
      </w:tr>
      <w:tr w:rsidR="00C97F18" w:rsidRPr="00386411" w14:paraId="50AA2ECA" w14:textId="77777777" w:rsidTr="00B52A4F">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742870" w14:textId="05A1A8B6" w:rsidR="00C97F18" w:rsidRPr="003B4D22" w:rsidRDefault="00C97F18" w:rsidP="00166EC0">
            <w:pPr>
              <w:keepNext/>
              <w:spacing w:after="0" w:line="240" w:lineRule="auto"/>
              <w:rPr>
                <w:rFonts w:ascii="Arial Narrow" w:hAnsi="Arial Narrow" w:cs="Calibri"/>
                <w:b/>
                <w:color w:val="000000"/>
                <w:sz w:val="20"/>
                <w:szCs w:val="20"/>
              </w:rPr>
            </w:pPr>
            <w:r w:rsidRPr="003B4D22">
              <w:rPr>
                <w:rFonts w:ascii="Arial Narrow" w:hAnsi="Arial Narrow" w:cs="Calibri"/>
                <w:b/>
                <w:color w:val="000000"/>
                <w:sz w:val="20"/>
                <w:szCs w:val="20"/>
              </w:rPr>
              <w:t>Boughton et al., 1995</w:t>
            </w:r>
          </w:p>
        </w:tc>
        <w:tc>
          <w:tcPr>
            <w:tcW w:w="17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402129" w14:textId="77777777" w:rsidR="00C97F18" w:rsidRPr="00386411" w:rsidRDefault="00C97F18" w:rsidP="00166EC0">
            <w:pPr>
              <w:keepNext/>
              <w:spacing w:after="0" w:line="240" w:lineRule="auto"/>
              <w:rPr>
                <w:rFonts w:ascii="Arial Narrow" w:hAnsi="Arial Narrow"/>
                <w:b/>
                <w:sz w:val="20"/>
              </w:rPr>
            </w:pPr>
            <w:r w:rsidRPr="00386411">
              <w:rPr>
                <w:rFonts w:ascii="Arial Narrow" w:hAnsi="Arial Narrow"/>
                <w:b/>
                <w:sz w:val="20"/>
              </w:rPr>
              <w:t>Infections in 12 mo (%)(N=42)</w:t>
            </w:r>
          </w:p>
        </w:tc>
        <w:tc>
          <w:tcPr>
            <w:tcW w:w="940" w:type="pct"/>
            <w:gridSpan w:val="2"/>
            <w:tcBorders>
              <w:top w:val="single" w:sz="4" w:space="0" w:color="auto"/>
              <w:left w:val="single" w:sz="4" w:space="0" w:color="auto"/>
              <w:bottom w:val="single" w:sz="4" w:space="0" w:color="auto"/>
              <w:right w:val="nil"/>
            </w:tcBorders>
            <w:shd w:val="clear" w:color="auto" w:fill="D9D9D9" w:themeFill="background1" w:themeFillShade="D9"/>
            <w:noWrap/>
          </w:tcPr>
          <w:p w14:paraId="2644FEE2" w14:textId="77777777" w:rsidR="00C97F18" w:rsidRPr="00386411" w:rsidRDefault="00C97F18" w:rsidP="00166EC0">
            <w:pPr>
              <w:keepNext/>
              <w:spacing w:after="0" w:line="240" w:lineRule="auto"/>
              <w:jc w:val="center"/>
              <w:rPr>
                <w:rFonts w:ascii="Arial Narrow" w:hAnsi="Arial Narrow"/>
                <w:b/>
                <w:sz w:val="20"/>
                <w:szCs w:val="20"/>
              </w:rPr>
            </w:pPr>
            <w:r w:rsidRPr="00386411">
              <w:rPr>
                <w:rFonts w:ascii="Arial Narrow" w:hAnsi="Arial Narrow"/>
                <w:b/>
                <w:sz w:val="20"/>
                <w:szCs w:val="20"/>
              </w:rPr>
              <w:t>IVIg (n=24)</w:t>
            </w:r>
          </w:p>
        </w:tc>
        <w:tc>
          <w:tcPr>
            <w:tcW w:w="1038" w:type="pct"/>
            <w:gridSpan w:val="2"/>
            <w:tcBorders>
              <w:top w:val="single" w:sz="4" w:space="0" w:color="auto"/>
              <w:left w:val="nil"/>
              <w:bottom w:val="single" w:sz="4" w:space="0" w:color="auto"/>
              <w:right w:val="nil"/>
            </w:tcBorders>
            <w:shd w:val="clear" w:color="auto" w:fill="D9D9D9" w:themeFill="background1" w:themeFillShade="D9"/>
            <w:noWrap/>
          </w:tcPr>
          <w:p w14:paraId="3FF2E78A" w14:textId="7AC2D6A3" w:rsidR="00C97F18" w:rsidRPr="00386411" w:rsidRDefault="00C97F18" w:rsidP="00166EC0">
            <w:pPr>
              <w:keepNext/>
              <w:spacing w:after="0" w:line="240" w:lineRule="auto"/>
              <w:jc w:val="center"/>
              <w:rPr>
                <w:rFonts w:ascii="Arial Narrow" w:hAnsi="Arial Narrow"/>
                <w:b/>
                <w:sz w:val="20"/>
                <w:szCs w:val="20"/>
              </w:rPr>
            </w:pPr>
            <w:r w:rsidRPr="00386411">
              <w:rPr>
                <w:rFonts w:ascii="Arial Narrow" w:hAnsi="Arial Narrow"/>
                <w:b/>
                <w:sz w:val="20"/>
                <w:szCs w:val="20"/>
              </w:rPr>
              <w:t>No IVIg (albumin) (n=18)</w:t>
            </w:r>
          </w:p>
        </w:tc>
        <w:tc>
          <w:tcPr>
            <w:tcW w:w="666" w:type="pct"/>
            <w:tcBorders>
              <w:top w:val="single" w:sz="4" w:space="0" w:color="auto"/>
              <w:left w:val="nil"/>
              <w:bottom w:val="single" w:sz="4" w:space="0" w:color="auto"/>
              <w:right w:val="single" w:sz="4" w:space="0" w:color="auto"/>
            </w:tcBorders>
            <w:shd w:val="clear" w:color="auto" w:fill="D9D9D9" w:themeFill="background1" w:themeFillShade="D9"/>
          </w:tcPr>
          <w:p w14:paraId="64A95EE4" w14:textId="77777777" w:rsidR="00C97F18" w:rsidRPr="00386411" w:rsidRDefault="00C97F18" w:rsidP="00166EC0">
            <w:pPr>
              <w:keepNext/>
              <w:spacing w:after="0" w:line="240" w:lineRule="auto"/>
              <w:jc w:val="right"/>
              <w:rPr>
                <w:rFonts w:ascii="Arial Narrow" w:hAnsi="Arial Narrow"/>
                <w:b/>
                <w:sz w:val="20"/>
                <w:szCs w:val="20"/>
              </w:rPr>
            </w:pPr>
            <w:r w:rsidRPr="00386411">
              <w:rPr>
                <w:rFonts w:ascii="Arial Narrow" w:hAnsi="Arial Narrow"/>
                <w:b/>
                <w:sz w:val="20"/>
                <w:szCs w:val="20"/>
              </w:rPr>
              <w:t>p value</w:t>
            </w:r>
          </w:p>
        </w:tc>
      </w:tr>
      <w:tr w:rsidR="00C97F18" w:rsidRPr="00386411" w14:paraId="17C7B70E" w14:textId="77777777" w:rsidTr="00C97F18">
        <w:tc>
          <w:tcPr>
            <w:tcW w:w="650" w:type="pct"/>
            <w:tcBorders>
              <w:top w:val="single" w:sz="4" w:space="0" w:color="auto"/>
              <w:left w:val="single" w:sz="4" w:space="0" w:color="auto"/>
              <w:bottom w:val="nil"/>
              <w:right w:val="single" w:sz="4" w:space="0" w:color="auto"/>
            </w:tcBorders>
          </w:tcPr>
          <w:p w14:paraId="6D792C29" w14:textId="172B543D" w:rsidR="00C97F18" w:rsidRPr="00386411" w:rsidRDefault="00C97F18" w:rsidP="00C97F18">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CLL</w:t>
            </w:r>
          </w:p>
        </w:tc>
        <w:tc>
          <w:tcPr>
            <w:tcW w:w="1706" w:type="pct"/>
            <w:tcBorders>
              <w:top w:val="single" w:sz="4" w:space="0" w:color="auto"/>
              <w:left w:val="single" w:sz="4" w:space="0" w:color="auto"/>
              <w:bottom w:val="single" w:sz="4" w:space="0" w:color="auto"/>
              <w:right w:val="single" w:sz="4" w:space="0" w:color="auto"/>
            </w:tcBorders>
          </w:tcPr>
          <w:p w14:paraId="5CA01AF4" w14:textId="364619E8" w:rsidR="00C97F18" w:rsidRPr="00386411" w:rsidRDefault="00C97F18" w:rsidP="00C97F18">
            <w:pPr>
              <w:spacing w:after="0" w:line="240" w:lineRule="auto"/>
              <w:rPr>
                <w:rFonts w:ascii="Arial Narrow" w:hAnsi="Arial Narrow"/>
                <w:b/>
                <w:sz w:val="20"/>
              </w:rPr>
            </w:pPr>
            <w:r w:rsidRPr="00386411">
              <w:rPr>
                <w:rFonts w:ascii="Arial Narrow" w:hAnsi="Arial Narrow"/>
                <w:b/>
                <w:sz w:val="20"/>
              </w:rPr>
              <w:t>Patients with infections (n/N)</w:t>
            </w:r>
          </w:p>
        </w:tc>
        <w:tc>
          <w:tcPr>
            <w:tcW w:w="1978" w:type="pct"/>
            <w:gridSpan w:val="4"/>
            <w:tcBorders>
              <w:top w:val="single" w:sz="4" w:space="0" w:color="auto"/>
              <w:left w:val="single" w:sz="4" w:space="0" w:color="auto"/>
              <w:bottom w:val="single" w:sz="4" w:space="0" w:color="auto"/>
              <w:right w:val="nil"/>
            </w:tcBorders>
            <w:shd w:val="clear" w:color="auto" w:fill="auto"/>
            <w:noWrap/>
          </w:tcPr>
          <w:p w14:paraId="2419F357" w14:textId="7580451E" w:rsidR="00C97F18" w:rsidRPr="00386411" w:rsidRDefault="00C97F18" w:rsidP="00C97F18">
            <w:pPr>
              <w:spacing w:after="0" w:line="240" w:lineRule="auto"/>
              <w:rPr>
                <w:rFonts w:ascii="Arial Narrow" w:hAnsi="Arial Narrow"/>
                <w:b/>
                <w:sz w:val="20"/>
                <w:szCs w:val="20"/>
              </w:rPr>
            </w:pPr>
            <w:r w:rsidRPr="00386411">
              <w:rPr>
                <w:rFonts w:ascii="Arial Narrow" w:hAnsi="Arial Narrow"/>
                <w:b/>
                <w:sz w:val="20"/>
                <w:szCs w:val="20"/>
              </w:rPr>
              <w:t>18/42 (43%) (figures for tx groups not reported)</w:t>
            </w:r>
          </w:p>
        </w:tc>
        <w:tc>
          <w:tcPr>
            <w:tcW w:w="666" w:type="pct"/>
            <w:tcBorders>
              <w:top w:val="single" w:sz="4" w:space="0" w:color="auto"/>
              <w:left w:val="nil"/>
              <w:bottom w:val="single" w:sz="4" w:space="0" w:color="auto"/>
              <w:right w:val="single" w:sz="4" w:space="0" w:color="auto"/>
            </w:tcBorders>
          </w:tcPr>
          <w:p w14:paraId="1299225B" w14:textId="77777777" w:rsidR="00C97F18" w:rsidRPr="00386411" w:rsidRDefault="00C97F18" w:rsidP="00C97F18">
            <w:pPr>
              <w:spacing w:after="0" w:line="240" w:lineRule="auto"/>
              <w:jc w:val="right"/>
              <w:rPr>
                <w:rFonts w:ascii="Arial Narrow" w:hAnsi="Arial Narrow"/>
                <w:b/>
                <w:sz w:val="20"/>
                <w:szCs w:val="20"/>
              </w:rPr>
            </w:pPr>
          </w:p>
        </w:tc>
      </w:tr>
      <w:tr w:rsidR="00C97F18" w:rsidRPr="003B4D22" w14:paraId="3E5C0E2A" w14:textId="77777777" w:rsidTr="00C97F18">
        <w:tc>
          <w:tcPr>
            <w:tcW w:w="650" w:type="pct"/>
            <w:tcBorders>
              <w:left w:val="single" w:sz="4" w:space="0" w:color="auto"/>
              <w:bottom w:val="nil"/>
              <w:right w:val="single" w:sz="4" w:space="0" w:color="auto"/>
            </w:tcBorders>
          </w:tcPr>
          <w:p w14:paraId="1DC1D7B8" w14:textId="340AB636" w:rsidR="00C97F18" w:rsidRPr="003B4D22" w:rsidRDefault="00C97F18" w:rsidP="00C97F18">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single" w:sz="4" w:space="0" w:color="auto"/>
              <w:right w:val="single" w:sz="4" w:space="0" w:color="auto"/>
            </w:tcBorders>
          </w:tcPr>
          <w:p w14:paraId="307D6751" w14:textId="3B2A17D1" w:rsidR="00C97F18" w:rsidRPr="003B4D22" w:rsidRDefault="00C97F18" w:rsidP="00C97F18">
            <w:pPr>
              <w:spacing w:after="0" w:line="240" w:lineRule="auto"/>
              <w:rPr>
                <w:rFonts w:ascii="Arial Narrow" w:hAnsi="Arial Narrow"/>
                <w:sz w:val="20"/>
              </w:rPr>
            </w:pPr>
            <w:r w:rsidRPr="003B4D22">
              <w:rPr>
                <w:rFonts w:ascii="Arial Narrow" w:hAnsi="Arial Narrow"/>
                <w:sz w:val="20"/>
              </w:rPr>
              <w:t>Number of infections</w:t>
            </w:r>
          </w:p>
        </w:tc>
        <w:tc>
          <w:tcPr>
            <w:tcW w:w="1978" w:type="pct"/>
            <w:gridSpan w:val="4"/>
            <w:tcBorders>
              <w:top w:val="single" w:sz="4" w:space="0" w:color="auto"/>
              <w:left w:val="single" w:sz="4" w:space="0" w:color="auto"/>
              <w:bottom w:val="single" w:sz="4" w:space="0" w:color="auto"/>
              <w:right w:val="nil"/>
            </w:tcBorders>
            <w:shd w:val="clear" w:color="auto" w:fill="auto"/>
            <w:noWrap/>
          </w:tcPr>
          <w:p w14:paraId="254E9783" w14:textId="2D3B5B45" w:rsidR="00C97F18" w:rsidRPr="003B4D22" w:rsidRDefault="00C97F18" w:rsidP="00C97F18">
            <w:pPr>
              <w:spacing w:after="0" w:line="240" w:lineRule="auto"/>
              <w:rPr>
                <w:rFonts w:ascii="Arial Narrow" w:hAnsi="Arial Narrow"/>
                <w:sz w:val="20"/>
                <w:szCs w:val="20"/>
              </w:rPr>
            </w:pPr>
            <w:r w:rsidRPr="003B4D22">
              <w:rPr>
                <w:rFonts w:ascii="Arial Narrow" w:hAnsi="Arial Narrow"/>
                <w:sz w:val="20"/>
              </w:rPr>
              <w:t>122 (figures for tx groups not reported)</w:t>
            </w:r>
          </w:p>
        </w:tc>
        <w:tc>
          <w:tcPr>
            <w:tcW w:w="666" w:type="pct"/>
            <w:tcBorders>
              <w:top w:val="single" w:sz="4" w:space="0" w:color="auto"/>
              <w:left w:val="nil"/>
              <w:bottom w:val="single" w:sz="4" w:space="0" w:color="auto"/>
              <w:right w:val="single" w:sz="4" w:space="0" w:color="auto"/>
            </w:tcBorders>
          </w:tcPr>
          <w:p w14:paraId="5317426C" w14:textId="77777777" w:rsidR="00C97F18" w:rsidRPr="003B4D22" w:rsidRDefault="00C97F18" w:rsidP="00C97F18">
            <w:pPr>
              <w:spacing w:after="0" w:line="240" w:lineRule="auto"/>
              <w:jc w:val="right"/>
              <w:rPr>
                <w:rFonts w:ascii="Arial Narrow" w:hAnsi="Arial Narrow"/>
                <w:sz w:val="20"/>
                <w:szCs w:val="20"/>
              </w:rPr>
            </w:pPr>
          </w:p>
        </w:tc>
      </w:tr>
      <w:tr w:rsidR="00C97F18" w:rsidRPr="003B4D22" w14:paraId="2F686B71" w14:textId="77777777" w:rsidTr="003735E3">
        <w:tc>
          <w:tcPr>
            <w:tcW w:w="650" w:type="pct"/>
            <w:tcBorders>
              <w:top w:val="nil"/>
              <w:left w:val="single" w:sz="4" w:space="0" w:color="auto"/>
              <w:bottom w:val="nil"/>
              <w:right w:val="single" w:sz="4" w:space="0" w:color="auto"/>
            </w:tcBorders>
          </w:tcPr>
          <w:p w14:paraId="2BD1CCAE" w14:textId="77777777" w:rsidR="00C97F18" w:rsidRPr="003B4D22" w:rsidRDefault="00C97F18" w:rsidP="00C97F18">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nil"/>
              <w:right w:val="single" w:sz="4" w:space="0" w:color="auto"/>
            </w:tcBorders>
            <w:shd w:val="clear" w:color="auto" w:fill="auto"/>
          </w:tcPr>
          <w:p w14:paraId="2AA60C20" w14:textId="77777777" w:rsidR="00C97F18" w:rsidRPr="003B4D22" w:rsidRDefault="00C97F18" w:rsidP="00C97F18">
            <w:pPr>
              <w:spacing w:after="0" w:line="240" w:lineRule="auto"/>
              <w:rPr>
                <w:rFonts w:ascii="Arial Narrow" w:hAnsi="Arial Narrow"/>
                <w:sz w:val="20"/>
              </w:rPr>
            </w:pPr>
            <w:r w:rsidRPr="003B4D22">
              <w:rPr>
                <w:rFonts w:ascii="Arial Narrow" w:hAnsi="Arial Narrow"/>
                <w:sz w:val="20"/>
              </w:rPr>
              <w:t>Patients with infections</w:t>
            </w:r>
          </w:p>
        </w:tc>
        <w:tc>
          <w:tcPr>
            <w:tcW w:w="940" w:type="pct"/>
            <w:gridSpan w:val="2"/>
            <w:tcBorders>
              <w:top w:val="single" w:sz="4" w:space="0" w:color="auto"/>
              <w:left w:val="single" w:sz="4" w:space="0" w:color="auto"/>
              <w:bottom w:val="nil"/>
              <w:right w:val="nil"/>
            </w:tcBorders>
            <w:shd w:val="clear" w:color="auto" w:fill="auto"/>
            <w:noWrap/>
          </w:tcPr>
          <w:p w14:paraId="3F2BE418" w14:textId="77777777" w:rsidR="00C97F18" w:rsidRPr="003B4D22" w:rsidRDefault="00C97F18" w:rsidP="00C97F18">
            <w:pPr>
              <w:spacing w:after="0" w:line="240" w:lineRule="auto"/>
              <w:jc w:val="right"/>
              <w:rPr>
                <w:rFonts w:ascii="Arial Narrow" w:hAnsi="Arial Narrow"/>
                <w:sz w:val="20"/>
                <w:szCs w:val="20"/>
              </w:rPr>
            </w:pPr>
          </w:p>
        </w:tc>
        <w:tc>
          <w:tcPr>
            <w:tcW w:w="1038" w:type="pct"/>
            <w:gridSpan w:val="2"/>
            <w:tcBorders>
              <w:top w:val="single" w:sz="4" w:space="0" w:color="auto"/>
              <w:left w:val="nil"/>
              <w:bottom w:val="nil"/>
              <w:right w:val="nil"/>
            </w:tcBorders>
            <w:shd w:val="clear" w:color="auto" w:fill="auto"/>
            <w:noWrap/>
          </w:tcPr>
          <w:p w14:paraId="11DA369A" w14:textId="77777777" w:rsidR="00C97F18" w:rsidRPr="003B4D22" w:rsidRDefault="00C97F18" w:rsidP="00C97F18">
            <w:pPr>
              <w:spacing w:after="0" w:line="240" w:lineRule="auto"/>
              <w:jc w:val="right"/>
              <w:rPr>
                <w:rFonts w:ascii="Arial Narrow" w:hAnsi="Arial Narrow"/>
                <w:sz w:val="20"/>
                <w:szCs w:val="20"/>
              </w:rPr>
            </w:pPr>
          </w:p>
        </w:tc>
        <w:tc>
          <w:tcPr>
            <w:tcW w:w="666" w:type="pct"/>
            <w:tcBorders>
              <w:top w:val="single" w:sz="4" w:space="0" w:color="auto"/>
              <w:left w:val="nil"/>
              <w:bottom w:val="nil"/>
              <w:right w:val="single" w:sz="4" w:space="0" w:color="auto"/>
            </w:tcBorders>
          </w:tcPr>
          <w:p w14:paraId="7B6D692A" w14:textId="77777777" w:rsidR="00C97F18" w:rsidRPr="003B4D22" w:rsidRDefault="00C97F18" w:rsidP="00C97F18">
            <w:pPr>
              <w:spacing w:after="0" w:line="240" w:lineRule="auto"/>
              <w:jc w:val="right"/>
              <w:rPr>
                <w:rFonts w:ascii="Arial Narrow" w:hAnsi="Arial Narrow"/>
                <w:sz w:val="20"/>
                <w:szCs w:val="20"/>
              </w:rPr>
            </w:pPr>
          </w:p>
        </w:tc>
      </w:tr>
      <w:tr w:rsidR="00C97F18" w:rsidRPr="003B4D22" w14:paraId="6745997E" w14:textId="77777777" w:rsidTr="003735E3">
        <w:tc>
          <w:tcPr>
            <w:tcW w:w="650" w:type="pct"/>
            <w:tcBorders>
              <w:top w:val="nil"/>
              <w:left w:val="single" w:sz="4" w:space="0" w:color="auto"/>
              <w:bottom w:val="nil"/>
              <w:right w:val="single" w:sz="4" w:space="0" w:color="auto"/>
            </w:tcBorders>
          </w:tcPr>
          <w:p w14:paraId="53EE9934" w14:textId="77777777" w:rsidR="00C97F18" w:rsidRPr="003B4D22" w:rsidRDefault="00C97F18" w:rsidP="00C97F18">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tcPr>
          <w:p w14:paraId="037840DA" w14:textId="77777777" w:rsidR="00C97F18" w:rsidRPr="003B4D22" w:rsidRDefault="00C97F18" w:rsidP="00C97F18">
            <w:pPr>
              <w:spacing w:after="0" w:line="240" w:lineRule="auto"/>
              <w:rPr>
                <w:rFonts w:ascii="Arial Narrow" w:hAnsi="Arial Narrow"/>
                <w:sz w:val="20"/>
              </w:rPr>
            </w:pPr>
            <w:r w:rsidRPr="003B4D22">
              <w:rPr>
                <w:rFonts w:ascii="Arial Narrow" w:hAnsi="Arial Narrow"/>
                <w:sz w:val="20"/>
              </w:rPr>
              <w:t>≥3 infections in 12mo</w:t>
            </w:r>
          </w:p>
        </w:tc>
        <w:tc>
          <w:tcPr>
            <w:tcW w:w="940" w:type="pct"/>
            <w:gridSpan w:val="2"/>
            <w:tcBorders>
              <w:top w:val="nil"/>
              <w:left w:val="single" w:sz="4" w:space="0" w:color="auto"/>
              <w:bottom w:val="nil"/>
              <w:right w:val="nil"/>
            </w:tcBorders>
            <w:shd w:val="clear" w:color="auto" w:fill="auto"/>
            <w:noWrap/>
            <w:vAlign w:val="bottom"/>
          </w:tcPr>
          <w:p w14:paraId="375CA052" w14:textId="77777777" w:rsidR="00C97F18" w:rsidRPr="003B4D22" w:rsidRDefault="00C97F18" w:rsidP="00C97F18">
            <w:pPr>
              <w:spacing w:after="0" w:line="240" w:lineRule="auto"/>
              <w:jc w:val="right"/>
              <w:rPr>
                <w:rFonts w:ascii="Arial Narrow" w:hAnsi="Arial Narrow"/>
                <w:sz w:val="20"/>
                <w:szCs w:val="20"/>
              </w:rPr>
            </w:pPr>
            <w:r w:rsidRPr="003B4D22">
              <w:rPr>
                <w:rFonts w:ascii="Arial Narrow" w:hAnsi="Arial Narrow" w:cs="Calibri"/>
                <w:sz w:val="20"/>
              </w:rPr>
              <w:t>7 (29%)</w:t>
            </w:r>
          </w:p>
        </w:tc>
        <w:tc>
          <w:tcPr>
            <w:tcW w:w="1038" w:type="pct"/>
            <w:gridSpan w:val="2"/>
            <w:tcBorders>
              <w:top w:val="nil"/>
              <w:left w:val="nil"/>
              <w:bottom w:val="nil"/>
              <w:right w:val="nil"/>
            </w:tcBorders>
            <w:shd w:val="clear" w:color="auto" w:fill="auto"/>
            <w:noWrap/>
          </w:tcPr>
          <w:p w14:paraId="777F3B4F" w14:textId="77777777" w:rsidR="00C97F18" w:rsidRPr="003B4D22" w:rsidRDefault="00C97F18" w:rsidP="00C97F18">
            <w:pPr>
              <w:spacing w:after="0" w:line="240" w:lineRule="auto"/>
              <w:jc w:val="right"/>
              <w:rPr>
                <w:rFonts w:ascii="Arial Narrow" w:hAnsi="Arial Narrow"/>
                <w:sz w:val="20"/>
                <w:szCs w:val="20"/>
              </w:rPr>
            </w:pPr>
            <w:r w:rsidRPr="003B4D22">
              <w:rPr>
                <w:rFonts w:ascii="Arial Narrow" w:hAnsi="Arial Narrow"/>
                <w:sz w:val="20"/>
              </w:rPr>
              <w:t>11 (61%)</w:t>
            </w:r>
          </w:p>
        </w:tc>
        <w:tc>
          <w:tcPr>
            <w:tcW w:w="666" w:type="pct"/>
            <w:tcBorders>
              <w:top w:val="nil"/>
              <w:left w:val="nil"/>
              <w:bottom w:val="nil"/>
              <w:right w:val="single" w:sz="4" w:space="0" w:color="auto"/>
            </w:tcBorders>
          </w:tcPr>
          <w:p w14:paraId="67133783" w14:textId="77777777" w:rsidR="00C97F18" w:rsidRPr="003B4D22" w:rsidRDefault="00C97F18" w:rsidP="00C97F18">
            <w:pPr>
              <w:spacing w:after="0" w:line="240" w:lineRule="auto"/>
              <w:jc w:val="right"/>
              <w:rPr>
                <w:rFonts w:ascii="Arial Narrow" w:hAnsi="Arial Narrow"/>
                <w:sz w:val="20"/>
                <w:szCs w:val="20"/>
              </w:rPr>
            </w:pPr>
            <w:r w:rsidRPr="003B4D22">
              <w:rPr>
                <w:rFonts w:ascii="Arial Narrow" w:hAnsi="Arial Narrow"/>
                <w:sz w:val="20"/>
              </w:rPr>
              <w:t>p=0.04</w:t>
            </w:r>
          </w:p>
        </w:tc>
      </w:tr>
      <w:tr w:rsidR="00C97F18" w:rsidRPr="003B4D22" w14:paraId="66369179" w14:textId="77777777" w:rsidTr="003735E3">
        <w:tc>
          <w:tcPr>
            <w:tcW w:w="650" w:type="pct"/>
            <w:tcBorders>
              <w:top w:val="nil"/>
              <w:left w:val="single" w:sz="4" w:space="0" w:color="auto"/>
              <w:right w:val="single" w:sz="4" w:space="0" w:color="auto"/>
            </w:tcBorders>
          </w:tcPr>
          <w:p w14:paraId="741E6F1B" w14:textId="77777777" w:rsidR="00C97F18" w:rsidRPr="003B4D22" w:rsidRDefault="00C97F18" w:rsidP="00C97F18">
            <w:pPr>
              <w:spacing w:after="0" w:line="240" w:lineRule="auto"/>
              <w:rPr>
                <w:rFonts w:ascii="Arial Narrow" w:hAnsi="Arial Narrow" w:cs="Calibri"/>
                <w:color w:val="000000"/>
                <w:sz w:val="20"/>
                <w:szCs w:val="20"/>
              </w:rPr>
            </w:pPr>
          </w:p>
        </w:tc>
        <w:tc>
          <w:tcPr>
            <w:tcW w:w="1706" w:type="pct"/>
            <w:tcBorders>
              <w:top w:val="nil"/>
              <w:left w:val="single" w:sz="4" w:space="0" w:color="auto"/>
              <w:bottom w:val="single" w:sz="4" w:space="0" w:color="auto"/>
              <w:right w:val="single" w:sz="4" w:space="0" w:color="auto"/>
            </w:tcBorders>
            <w:shd w:val="clear" w:color="auto" w:fill="auto"/>
          </w:tcPr>
          <w:p w14:paraId="4E995412" w14:textId="77777777" w:rsidR="00C97F18" w:rsidRPr="003B4D22" w:rsidRDefault="00C97F18" w:rsidP="00C97F18">
            <w:pPr>
              <w:spacing w:after="0" w:line="240" w:lineRule="auto"/>
              <w:rPr>
                <w:rFonts w:ascii="Arial Narrow" w:hAnsi="Arial Narrow"/>
                <w:sz w:val="20"/>
              </w:rPr>
            </w:pPr>
            <w:r w:rsidRPr="003B4D22">
              <w:rPr>
                <w:rFonts w:ascii="Arial Narrow" w:hAnsi="Arial Narrow"/>
                <w:sz w:val="20"/>
              </w:rPr>
              <w:t>&lt;3 infections in 12mo</w:t>
            </w:r>
          </w:p>
        </w:tc>
        <w:tc>
          <w:tcPr>
            <w:tcW w:w="940" w:type="pct"/>
            <w:gridSpan w:val="2"/>
            <w:tcBorders>
              <w:top w:val="nil"/>
              <w:left w:val="single" w:sz="4" w:space="0" w:color="auto"/>
              <w:bottom w:val="single" w:sz="4" w:space="0" w:color="auto"/>
              <w:right w:val="nil"/>
            </w:tcBorders>
            <w:shd w:val="clear" w:color="auto" w:fill="auto"/>
            <w:noWrap/>
            <w:vAlign w:val="bottom"/>
          </w:tcPr>
          <w:p w14:paraId="6B3B1AB7" w14:textId="77777777" w:rsidR="00C97F18" w:rsidRPr="003B4D22" w:rsidRDefault="00C97F18" w:rsidP="00C97F18">
            <w:pPr>
              <w:spacing w:after="0" w:line="240" w:lineRule="auto"/>
              <w:jc w:val="right"/>
              <w:rPr>
                <w:rFonts w:ascii="Arial Narrow" w:hAnsi="Arial Narrow"/>
                <w:sz w:val="20"/>
                <w:szCs w:val="20"/>
              </w:rPr>
            </w:pPr>
            <w:r w:rsidRPr="003B4D22">
              <w:rPr>
                <w:rFonts w:ascii="Arial Narrow" w:hAnsi="Arial Narrow" w:cs="Calibri"/>
                <w:sz w:val="20"/>
              </w:rPr>
              <w:t>17 (71%)</w:t>
            </w:r>
          </w:p>
        </w:tc>
        <w:tc>
          <w:tcPr>
            <w:tcW w:w="1038" w:type="pct"/>
            <w:gridSpan w:val="2"/>
            <w:tcBorders>
              <w:top w:val="nil"/>
              <w:left w:val="nil"/>
              <w:bottom w:val="single" w:sz="4" w:space="0" w:color="auto"/>
              <w:right w:val="nil"/>
            </w:tcBorders>
            <w:shd w:val="clear" w:color="auto" w:fill="auto"/>
            <w:noWrap/>
          </w:tcPr>
          <w:p w14:paraId="557CD910" w14:textId="77777777" w:rsidR="00C97F18" w:rsidRPr="003B4D22" w:rsidRDefault="00C97F18" w:rsidP="00C97F18">
            <w:pPr>
              <w:spacing w:after="0" w:line="240" w:lineRule="auto"/>
              <w:jc w:val="right"/>
              <w:rPr>
                <w:rFonts w:ascii="Arial Narrow" w:hAnsi="Arial Narrow"/>
                <w:sz w:val="20"/>
                <w:szCs w:val="20"/>
              </w:rPr>
            </w:pPr>
            <w:r w:rsidRPr="003B4D22">
              <w:rPr>
                <w:rFonts w:ascii="Arial Narrow" w:hAnsi="Arial Narrow"/>
                <w:sz w:val="20"/>
              </w:rPr>
              <w:t>7 (39%)</w:t>
            </w:r>
          </w:p>
        </w:tc>
        <w:tc>
          <w:tcPr>
            <w:tcW w:w="666" w:type="pct"/>
            <w:tcBorders>
              <w:top w:val="nil"/>
              <w:left w:val="nil"/>
              <w:bottom w:val="single" w:sz="4" w:space="0" w:color="auto"/>
              <w:right w:val="single" w:sz="4" w:space="0" w:color="auto"/>
            </w:tcBorders>
          </w:tcPr>
          <w:p w14:paraId="31A01AF2" w14:textId="77777777" w:rsidR="00C97F18" w:rsidRPr="003B4D22" w:rsidRDefault="00C97F18" w:rsidP="00C97F18">
            <w:pPr>
              <w:spacing w:after="0" w:line="240" w:lineRule="auto"/>
              <w:jc w:val="right"/>
              <w:rPr>
                <w:rFonts w:ascii="Arial Narrow" w:hAnsi="Arial Narrow"/>
                <w:sz w:val="20"/>
                <w:szCs w:val="20"/>
              </w:rPr>
            </w:pPr>
          </w:p>
        </w:tc>
      </w:tr>
      <w:tr w:rsidR="00C97F18" w:rsidRPr="003B4D22" w14:paraId="061625A6" w14:textId="77777777" w:rsidTr="003735E3">
        <w:tc>
          <w:tcPr>
            <w:tcW w:w="650" w:type="pct"/>
            <w:tcBorders>
              <w:top w:val="nil"/>
              <w:left w:val="single" w:sz="4" w:space="0" w:color="auto"/>
              <w:bottom w:val="nil"/>
              <w:right w:val="single" w:sz="4" w:space="0" w:color="auto"/>
            </w:tcBorders>
          </w:tcPr>
          <w:p w14:paraId="5677CDCF" w14:textId="77777777" w:rsidR="00C97F18" w:rsidRPr="003B4D22" w:rsidRDefault="00C97F18" w:rsidP="00C97F18">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nil"/>
              <w:right w:val="single" w:sz="4" w:space="0" w:color="auto"/>
            </w:tcBorders>
          </w:tcPr>
          <w:p w14:paraId="4D1F6BE5" w14:textId="77777777" w:rsidR="00C97F18" w:rsidRPr="003B4D22" w:rsidRDefault="00C97F18" w:rsidP="00C97F18">
            <w:pPr>
              <w:spacing w:after="0" w:line="240" w:lineRule="auto"/>
              <w:ind w:left="-12"/>
              <w:rPr>
                <w:rFonts w:ascii="Arial Narrow" w:hAnsi="Arial Narrow"/>
                <w:sz w:val="20"/>
              </w:rPr>
            </w:pPr>
            <w:r w:rsidRPr="003B4D22">
              <w:rPr>
                <w:rFonts w:ascii="Arial Narrow" w:hAnsi="Arial Narrow"/>
                <w:sz w:val="20"/>
              </w:rPr>
              <w:t>Patients with serious infections</w:t>
            </w:r>
          </w:p>
        </w:tc>
        <w:tc>
          <w:tcPr>
            <w:tcW w:w="940" w:type="pct"/>
            <w:gridSpan w:val="2"/>
            <w:tcBorders>
              <w:top w:val="single" w:sz="4" w:space="0" w:color="auto"/>
              <w:left w:val="single" w:sz="4" w:space="0" w:color="auto"/>
              <w:right w:val="nil"/>
            </w:tcBorders>
            <w:shd w:val="clear" w:color="auto" w:fill="auto"/>
            <w:noWrap/>
          </w:tcPr>
          <w:p w14:paraId="497B0708" w14:textId="77777777" w:rsidR="00C97F18" w:rsidRPr="003B4D22" w:rsidRDefault="00C97F18" w:rsidP="00C97F18">
            <w:pPr>
              <w:spacing w:after="0" w:line="240" w:lineRule="auto"/>
              <w:jc w:val="right"/>
              <w:rPr>
                <w:rFonts w:ascii="Arial Narrow" w:hAnsi="Arial Narrow"/>
                <w:sz w:val="20"/>
              </w:rPr>
            </w:pPr>
          </w:p>
        </w:tc>
        <w:tc>
          <w:tcPr>
            <w:tcW w:w="1038" w:type="pct"/>
            <w:gridSpan w:val="2"/>
            <w:tcBorders>
              <w:top w:val="single" w:sz="4" w:space="0" w:color="auto"/>
              <w:left w:val="nil"/>
              <w:right w:val="nil"/>
            </w:tcBorders>
            <w:shd w:val="clear" w:color="auto" w:fill="auto"/>
            <w:noWrap/>
          </w:tcPr>
          <w:p w14:paraId="0FC9ABC1" w14:textId="77777777" w:rsidR="00C97F18" w:rsidRPr="003B4D22" w:rsidRDefault="00C97F18" w:rsidP="00C97F18">
            <w:pPr>
              <w:spacing w:after="0" w:line="240" w:lineRule="auto"/>
              <w:jc w:val="right"/>
              <w:rPr>
                <w:rFonts w:ascii="Arial Narrow" w:hAnsi="Arial Narrow"/>
                <w:sz w:val="20"/>
              </w:rPr>
            </w:pPr>
          </w:p>
        </w:tc>
        <w:tc>
          <w:tcPr>
            <w:tcW w:w="666" w:type="pct"/>
            <w:tcBorders>
              <w:top w:val="single" w:sz="4" w:space="0" w:color="auto"/>
              <w:left w:val="nil"/>
              <w:right w:val="single" w:sz="4" w:space="0" w:color="auto"/>
            </w:tcBorders>
          </w:tcPr>
          <w:p w14:paraId="46CEC987" w14:textId="77777777" w:rsidR="00C97F18" w:rsidRPr="003B4D22" w:rsidRDefault="00C97F18" w:rsidP="00C97F18">
            <w:pPr>
              <w:spacing w:after="0" w:line="240" w:lineRule="auto"/>
              <w:jc w:val="right"/>
              <w:rPr>
                <w:rFonts w:ascii="Arial Narrow" w:hAnsi="Arial Narrow"/>
                <w:sz w:val="20"/>
              </w:rPr>
            </w:pPr>
          </w:p>
        </w:tc>
      </w:tr>
      <w:tr w:rsidR="00C97F18" w:rsidRPr="003B4D22" w14:paraId="3F270791" w14:textId="77777777" w:rsidTr="003735E3">
        <w:tc>
          <w:tcPr>
            <w:tcW w:w="650" w:type="pct"/>
            <w:tcBorders>
              <w:top w:val="nil"/>
              <w:left w:val="single" w:sz="4" w:space="0" w:color="auto"/>
              <w:right w:val="single" w:sz="4" w:space="0" w:color="auto"/>
            </w:tcBorders>
          </w:tcPr>
          <w:p w14:paraId="1AAF1079" w14:textId="77777777" w:rsidR="00C97F18" w:rsidRPr="003B4D22" w:rsidRDefault="00C97F18" w:rsidP="00C97F18">
            <w:pPr>
              <w:spacing w:after="0" w:line="240" w:lineRule="auto"/>
              <w:rPr>
                <w:rFonts w:ascii="Arial Narrow" w:hAnsi="Arial Narrow" w:cs="Calibri"/>
                <w:color w:val="000000"/>
                <w:sz w:val="20"/>
                <w:szCs w:val="20"/>
              </w:rPr>
            </w:pPr>
          </w:p>
        </w:tc>
        <w:tc>
          <w:tcPr>
            <w:tcW w:w="1706" w:type="pct"/>
            <w:tcBorders>
              <w:top w:val="nil"/>
              <w:left w:val="single" w:sz="4" w:space="0" w:color="auto"/>
              <w:right w:val="single" w:sz="4" w:space="0" w:color="auto"/>
            </w:tcBorders>
            <w:shd w:val="clear" w:color="auto" w:fill="auto"/>
          </w:tcPr>
          <w:p w14:paraId="4917AA27" w14:textId="77777777" w:rsidR="00C97F18" w:rsidRPr="003B4D22" w:rsidRDefault="00C97F18" w:rsidP="00C97F18">
            <w:pPr>
              <w:spacing w:after="0" w:line="240" w:lineRule="auto"/>
              <w:rPr>
                <w:rFonts w:ascii="Arial Narrow" w:hAnsi="Arial Narrow"/>
                <w:sz w:val="20"/>
              </w:rPr>
            </w:pPr>
            <w:r w:rsidRPr="003B4D22">
              <w:rPr>
                <w:rFonts w:ascii="Arial Narrow" w:hAnsi="Arial Narrow"/>
                <w:sz w:val="20"/>
              </w:rPr>
              <w:t>≥3 serious infections in 12mo</w:t>
            </w:r>
          </w:p>
        </w:tc>
        <w:tc>
          <w:tcPr>
            <w:tcW w:w="940" w:type="pct"/>
            <w:gridSpan w:val="2"/>
            <w:tcBorders>
              <w:top w:val="nil"/>
              <w:left w:val="single" w:sz="4" w:space="0" w:color="auto"/>
            </w:tcBorders>
            <w:shd w:val="clear" w:color="auto" w:fill="auto"/>
            <w:noWrap/>
            <w:vAlign w:val="bottom"/>
          </w:tcPr>
          <w:p w14:paraId="2BE77CDA" w14:textId="77777777" w:rsidR="00C97F18" w:rsidRPr="003B4D22" w:rsidRDefault="00C97F18" w:rsidP="00C97F18">
            <w:pPr>
              <w:spacing w:after="0" w:line="240" w:lineRule="auto"/>
              <w:jc w:val="right"/>
              <w:rPr>
                <w:rFonts w:ascii="Arial Narrow" w:hAnsi="Arial Narrow"/>
                <w:sz w:val="20"/>
                <w:szCs w:val="20"/>
              </w:rPr>
            </w:pPr>
            <w:r w:rsidRPr="003B4D22">
              <w:rPr>
                <w:rFonts w:ascii="Arial Narrow" w:hAnsi="Arial Narrow" w:cs="Calibri"/>
                <w:sz w:val="20"/>
              </w:rPr>
              <w:t>5 (21%)</w:t>
            </w:r>
          </w:p>
        </w:tc>
        <w:tc>
          <w:tcPr>
            <w:tcW w:w="1038" w:type="pct"/>
            <w:gridSpan w:val="2"/>
            <w:tcBorders>
              <w:top w:val="nil"/>
            </w:tcBorders>
            <w:shd w:val="clear" w:color="auto" w:fill="auto"/>
            <w:noWrap/>
          </w:tcPr>
          <w:p w14:paraId="6AAD7323" w14:textId="77777777" w:rsidR="00C97F18" w:rsidRPr="003B4D22" w:rsidRDefault="00C97F18" w:rsidP="00C97F18">
            <w:pPr>
              <w:spacing w:after="0" w:line="240" w:lineRule="auto"/>
              <w:jc w:val="right"/>
              <w:rPr>
                <w:rFonts w:ascii="Arial Narrow" w:hAnsi="Arial Narrow"/>
                <w:sz w:val="20"/>
                <w:szCs w:val="20"/>
              </w:rPr>
            </w:pPr>
            <w:r w:rsidRPr="003B4D22">
              <w:rPr>
                <w:rFonts w:ascii="Arial Narrow" w:hAnsi="Arial Narrow"/>
                <w:sz w:val="20"/>
              </w:rPr>
              <w:t>10 (56%)</w:t>
            </w:r>
          </w:p>
        </w:tc>
        <w:tc>
          <w:tcPr>
            <w:tcW w:w="666" w:type="pct"/>
            <w:tcBorders>
              <w:top w:val="nil"/>
              <w:right w:val="single" w:sz="4" w:space="0" w:color="auto"/>
            </w:tcBorders>
          </w:tcPr>
          <w:p w14:paraId="1B26EB8C" w14:textId="77777777" w:rsidR="00C97F18" w:rsidRPr="003B4D22" w:rsidRDefault="00C97F18" w:rsidP="00C97F18">
            <w:pPr>
              <w:spacing w:after="0" w:line="240" w:lineRule="auto"/>
              <w:jc w:val="right"/>
              <w:rPr>
                <w:rFonts w:ascii="Arial Narrow" w:hAnsi="Arial Narrow"/>
                <w:sz w:val="20"/>
                <w:szCs w:val="20"/>
              </w:rPr>
            </w:pPr>
            <w:r w:rsidRPr="003B4D22">
              <w:rPr>
                <w:rFonts w:ascii="Arial Narrow" w:hAnsi="Arial Narrow"/>
                <w:sz w:val="20"/>
              </w:rPr>
              <w:t>p=0.02</w:t>
            </w:r>
          </w:p>
        </w:tc>
      </w:tr>
      <w:tr w:rsidR="00C97F18" w:rsidRPr="003B4D22" w14:paraId="01E969C1" w14:textId="77777777" w:rsidTr="003735E3">
        <w:tc>
          <w:tcPr>
            <w:tcW w:w="650" w:type="pct"/>
            <w:tcBorders>
              <w:top w:val="nil"/>
              <w:left w:val="single" w:sz="4" w:space="0" w:color="auto"/>
              <w:right w:val="single" w:sz="4" w:space="0" w:color="auto"/>
            </w:tcBorders>
          </w:tcPr>
          <w:p w14:paraId="575A17DF" w14:textId="77777777" w:rsidR="00C97F18" w:rsidRPr="003B4D22" w:rsidRDefault="00C97F18" w:rsidP="00C97F18">
            <w:pPr>
              <w:spacing w:after="0" w:line="240" w:lineRule="auto"/>
              <w:rPr>
                <w:rFonts w:ascii="Arial Narrow" w:hAnsi="Arial Narrow" w:cs="Calibri"/>
                <w:color w:val="000000"/>
                <w:sz w:val="20"/>
                <w:szCs w:val="20"/>
              </w:rPr>
            </w:pPr>
          </w:p>
        </w:tc>
        <w:tc>
          <w:tcPr>
            <w:tcW w:w="1706" w:type="pct"/>
            <w:tcBorders>
              <w:top w:val="nil"/>
              <w:left w:val="single" w:sz="4" w:space="0" w:color="auto"/>
              <w:right w:val="single" w:sz="4" w:space="0" w:color="auto"/>
            </w:tcBorders>
            <w:shd w:val="clear" w:color="auto" w:fill="auto"/>
          </w:tcPr>
          <w:p w14:paraId="3652A9D1" w14:textId="77777777" w:rsidR="00C97F18" w:rsidRPr="003B4D22" w:rsidRDefault="00C97F18" w:rsidP="00C97F18">
            <w:pPr>
              <w:spacing w:after="0" w:line="240" w:lineRule="auto"/>
              <w:rPr>
                <w:rFonts w:ascii="Arial Narrow" w:hAnsi="Arial Narrow"/>
                <w:sz w:val="20"/>
              </w:rPr>
            </w:pPr>
            <w:r w:rsidRPr="003B4D22">
              <w:rPr>
                <w:rFonts w:ascii="Arial Narrow" w:hAnsi="Arial Narrow"/>
                <w:sz w:val="20"/>
              </w:rPr>
              <w:t>&lt;3 serious infections in 12mo</w:t>
            </w:r>
          </w:p>
        </w:tc>
        <w:tc>
          <w:tcPr>
            <w:tcW w:w="940" w:type="pct"/>
            <w:gridSpan w:val="2"/>
            <w:tcBorders>
              <w:top w:val="nil"/>
              <w:left w:val="single" w:sz="4" w:space="0" w:color="auto"/>
            </w:tcBorders>
            <w:shd w:val="clear" w:color="auto" w:fill="auto"/>
            <w:noWrap/>
          </w:tcPr>
          <w:p w14:paraId="1C498EAB" w14:textId="77777777" w:rsidR="00C97F18" w:rsidRPr="003B4D22" w:rsidRDefault="00C97F18" w:rsidP="00C97F18">
            <w:pPr>
              <w:spacing w:after="0" w:line="240" w:lineRule="auto"/>
              <w:jc w:val="right"/>
              <w:rPr>
                <w:rFonts w:ascii="Arial Narrow" w:hAnsi="Arial Narrow" w:cs="Calibri"/>
                <w:sz w:val="20"/>
              </w:rPr>
            </w:pPr>
            <w:r w:rsidRPr="003B4D22">
              <w:rPr>
                <w:rFonts w:ascii="Arial Narrow" w:hAnsi="Arial Narrow" w:cs="Calibri"/>
                <w:sz w:val="20"/>
              </w:rPr>
              <w:t>19 (79%)</w:t>
            </w:r>
          </w:p>
        </w:tc>
        <w:tc>
          <w:tcPr>
            <w:tcW w:w="1038" w:type="pct"/>
            <w:gridSpan w:val="2"/>
            <w:tcBorders>
              <w:top w:val="nil"/>
            </w:tcBorders>
            <w:shd w:val="clear" w:color="auto" w:fill="auto"/>
            <w:noWrap/>
          </w:tcPr>
          <w:p w14:paraId="4CF3047F" w14:textId="77777777" w:rsidR="00C97F18" w:rsidRPr="003B4D22" w:rsidRDefault="00C97F18" w:rsidP="00C97F18">
            <w:pPr>
              <w:spacing w:after="0" w:line="240" w:lineRule="auto"/>
              <w:jc w:val="right"/>
              <w:rPr>
                <w:rFonts w:ascii="Arial Narrow" w:hAnsi="Arial Narrow"/>
                <w:sz w:val="20"/>
              </w:rPr>
            </w:pPr>
            <w:r w:rsidRPr="003B4D22">
              <w:rPr>
                <w:rFonts w:ascii="Arial Narrow" w:hAnsi="Arial Narrow"/>
                <w:sz w:val="20"/>
              </w:rPr>
              <w:t>8 (44%)</w:t>
            </w:r>
          </w:p>
        </w:tc>
        <w:tc>
          <w:tcPr>
            <w:tcW w:w="666" w:type="pct"/>
            <w:tcBorders>
              <w:top w:val="nil"/>
              <w:right w:val="single" w:sz="4" w:space="0" w:color="auto"/>
            </w:tcBorders>
          </w:tcPr>
          <w:p w14:paraId="220055D4" w14:textId="77777777" w:rsidR="00C97F18" w:rsidRPr="003B4D22" w:rsidRDefault="00C97F18" w:rsidP="00C97F18">
            <w:pPr>
              <w:spacing w:after="0" w:line="240" w:lineRule="auto"/>
              <w:jc w:val="right"/>
              <w:rPr>
                <w:rFonts w:ascii="Arial Narrow" w:hAnsi="Arial Narrow"/>
                <w:sz w:val="20"/>
              </w:rPr>
            </w:pPr>
          </w:p>
        </w:tc>
      </w:tr>
      <w:tr w:rsidR="00C97F18" w:rsidRPr="00386411" w14:paraId="625ECDC0" w14:textId="77777777" w:rsidTr="00B52A4F">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81F894" w14:textId="77777777" w:rsidR="00C97F18" w:rsidRPr="00386411" w:rsidRDefault="00C97F18" w:rsidP="00C97F18">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Chapel et al., 1991</w:t>
            </w:r>
          </w:p>
        </w:tc>
        <w:tc>
          <w:tcPr>
            <w:tcW w:w="17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2A0FDF" w14:textId="77777777" w:rsidR="00C97F18" w:rsidRPr="00386411" w:rsidRDefault="00C97F18" w:rsidP="00C97F18">
            <w:pPr>
              <w:spacing w:after="0" w:line="240" w:lineRule="auto"/>
              <w:rPr>
                <w:rFonts w:ascii="Arial Narrow" w:hAnsi="Arial Narrow"/>
                <w:b/>
                <w:sz w:val="20"/>
              </w:rPr>
            </w:pPr>
            <w:r w:rsidRPr="00386411">
              <w:rPr>
                <w:rFonts w:ascii="Arial Narrow" w:hAnsi="Arial Narrow"/>
                <w:b/>
                <w:sz w:val="20"/>
              </w:rPr>
              <w:t>Infection incidence during 24 mo including cross-over (N=12)</w:t>
            </w:r>
          </w:p>
        </w:tc>
        <w:tc>
          <w:tcPr>
            <w:tcW w:w="94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CAFAA24" w14:textId="77777777" w:rsidR="00C97F18" w:rsidRPr="00386411" w:rsidRDefault="00C97F18" w:rsidP="00C97F18">
            <w:pPr>
              <w:spacing w:after="0" w:line="240" w:lineRule="auto"/>
              <w:jc w:val="center"/>
              <w:rPr>
                <w:rFonts w:ascii="Arial Narrow" w:hAnsi="Arial Narrow"/>
                <w:b/>
                <w:sz w:val="20"/>
              </w:rPr>
            </w:pPr>
            <w:r w:rsidRPr="00386411">
              <w:rPr>
                <w:rFonts w:ascii="Arial Narrow" w:hAnsi="Arial Narrow"/>
                <w:b/>
                <w:sz w:val="20"/>
              </w:rPr>
              <w:t>IVIg (n=6)</w:t>
            </w:r>
          </w:p>
        </w:tc>
        <w:tc>
          <w:tcPr>
            <w:tcW w:w="103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A1EEF88" w14:textId="77777777" w:rsidR="00C97F18" w:rsidRPr="00386411" w:rsidRDefault="00C97F18" w:rsidP="00C97F18">
            <w:pPr>
              <w:spacing w:after="0" w:line="240" w:lineRule="auto"/>
              <w:ind w:right="-107"/>
              <w:jc w:val="center"/>
              <w:rPr>
                <w:rFonts w:ascii="Arial Narrow" w:hAnsi="Arial Narrow"/>
                <w:b/>
                <w:sz w:val="20"/>
              </w:rPr>
            </w:pPr>
            <w:r w:rsidRPr="00386411">
              <w:rPr>
                <w:rFonts w:ascii="Arial Narrow" w:hAnsi="Arial Narrow"/>
                <w:b/>
                <w:sz w:val="20"/>
              </w:rPr>
              <w:t>Placebo (saline)(n=6)</w:t>
            </w:r>
          </w:p>
        </w:tc>
        <w:tc>
          <w:tcPr>
            <w:tcW w:w="6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D8270C" w14:textId="77777777" w:rsidR="00C97F18" w:rsidRPr="00386411" w:rsidRDefault="00C97F18" w:rsidP="00C97F18">
            <w:pPr>
              <w:spacing w:after="0" w:line="240" w:lineRule="auto"/>
              <w:jc w:val="right"/>
              <w:rPr>
                <w:rFonts w:ascii="Arial Narrow" w:hAnsi="Arial Narrow"/>
                <w:b/>
                <w:sz w:val="20"/>
              </w:rPr>
            </w:pPr>
          </w:p>
        </w:tc>
      </w:tr>
      <w:tr w:rsidR="00C97F18" w:rsidRPr="003B4D22" w14:paraId="06D35F20" w14:textId="77777777" w:rsidTr="003735E3">
        <w:tc>
          <w:tcPr>
            <w:tcW w:w="650" w:type="pct"/>
            <w:tcBorders>
              <w:top w:val="single" w:sz="4" w:space="0" w:color="auto"/>
              <w:left w:val="single" w:sz="4" w:space="0" w:color="auto"/>
              <w:bottom w:val="nil"/>
              <w:right w:val="single" w:sz="4" w:space="0" w:color="auto"/>
            </w:tcBorders>
          </w:tcPr>
          <w:p w14:paraId="6A082925" w14:textId="77777777" w:rsidR="00C97F18" w:rsidRPr="003B4D22" w:rsidRDefault="00C97F18" w:rsidP="00C97F18">
            <w:pPr>
              <w:spacing w:after="0" w:line="240" w:lineRule="auto"/>
              <w:rPr>
                <w:rFonts w:ascii="Arial Narrow" w:hAnsi="Arial Narrow" w:cs="Calibri"/>
                <w:color w:val="000000"/>
                <w:sz w:val="20"/>
                <w:szCs w:val="20"/>
              </w:rPr>
            </w:pPr>
            <w:r w:rsidRPr="003B4D22">
              <w:rPr>
                <w:rFonts w:ascii="Arial Narrow" w:hAnsi="Arial Narrow" w:cs="Calibri"/>
                <w:color w:val="000000"/>
                <w:sz w:val="20"/>
                <w:szCs w:val="20"/>
              </w:rPr>
              <w:t>CLL, NHL</w:t>
            </w:r>
          </w:p>
        </w:tc>
        <w:tc>
          <w:tcPr>
            <w:tcW w:w="1706" w:type="pct"/>
            <w:tcBorders>
              <w:top w:val="single" w:sz="4" w:space="0" w:color="auto"/>
              <w:left w:val="single" w:sz="4" w:space="0" w:color="auto"/>
              <w:bottom w:val="single" w:sz="4" w:space="0" w:color="auto"/>
              <w:right w:val="single" w:sz="4" w:space="0" w:color="auto"/>
            </w:tcBorders>
            <w:shd w:val="clear" w:color="auto" w:fill="auto"/>
          </w:tcPr>
          <w:p w14:paraId="561F6DF2" w14:textId="77777777" w:rsidR="00C97F18" w:rsidRPr="003B4D22" w:rsidRDefault="00C97F18" w:rsidP="00C97F18">
            <w:pPr>
              <w:spacing w:after="0" w:line="240" w:lineRule="auto"/>
              <w:rPr>
                <w:rFonts w:ascii="Arial Narrow" w:hAnsi="Arial Narrow"/>
                <w:sz w:val="20"/>
              </w:rPr>
            </w:pPr>
            <w:r w:rsidRPr="003B4D22">
              <w:rPr>
                <w:rFonts w:ascii="Arial Narrow" w:hAnsi="Arial Narrow"/>
                <w:sz w:val="20"/>
              </w:rPr>
              <w:t>Patients free of serious infection</w:t>
            </w:r>
          </w:p>
        </w:tc>
        <w:tc>
          <w:tcPr>
            <w:tcW w:w="940" w:type="pct"/>
            <w:gridSpan w:val="2"/>
            <w:tcBorders>
              <w:top w:val="single" w:sz="4" w:space="0" w:color="auto"/>
              <w:left w:val="single" w:sz="4" w:space="0" w:color="auto"/>
              <w:bottom w:val="single" w:sz="4" w:space="0" w:color="auto"/>
              <w:right w:val="single" w:sz="4" w:space="0" w:color="auto"/>
            </w:tcBorders>
            <w:shd w:val="clear" w:color="auto" w:fill="auto"/>
            <w:noWrap/>
          </w:tcPr>
          <w:p w14:paraId="0EC9C046" w14:textId="77777777" w:rsidR="00C97F18" w:rsidRPr="003B4D22" w:rsidRDefault="00C97F18" w:rsidP="00C97F18">
            <w:pPr>
              <w:spacing w:after="0" w:line="240" w:lineRule="auto"/>
              <w:jc w:val="center"/>
              <w:rPr>
                <w:rFonts w:ascii="Arial Narrow" w:hAnsi="Arial Narrow"/>
                <w:sz w:val="20"/>
              </w:rPr>
            </w:pPr>
            <w:r w:rsidRPr="003B4D22">
              <w:rPr>
                <w:rFonts w:ascii="Arial Narrow" w:hAnsi="Arial Narrow"/>
                <w:sz w:val="20"/>
              </w:rPr>
              <w:t>6/6 (100%)</w:t>
            </w:r>
          </w:p>
        </w:tc>
        <w:tc>
          <w:tcPr>
            <w:tcW w:w="1038" w:type="pct"/>
            <w:gridSpan w:val="2"/>
            <w:tcBorders>
              <w:top w:val="single" w:sz="4" w:space="0" w:color="auto"/>
              <w:left w:val="single" w:sz="4" w:space="0" w:color="auto"/>
              <w:bottom w:val="single" w:sz="4" w:space="0" w:color="auto"/>
              <w:right w:val="single" w:sz="4" w:space="0" w:color="auto"/>
            </w:tcBorders>
            <w:shd w:val="clear" w:color="auto" w:fill="auto"/>
            <w:noWrap/>
          </w:tcPr>
          <w:p w14:paraId="6CE1EB5C" w14:textId="77777777" w:rsidR="00C97F18" w:rsidRPr="003B4D22" w:rsidRDefault="00C97F18" w:rsidP="00C97F18">
            <w:pPr>
              <w:spacing w:after="0" w:line="240" w:lineRule="auto"/>
              <w:ind w:right="-107"/>
              <w:jc w:val="center"/>
              <w:rPr>
                <w:rFonts w:ascii="Arial Narrow" w:hAnsi="Arial Narrow"/>
                <w:sz w:val="20"/>
              </w:rPr>
            </w:pPr>
            <w:r w:rsidRPr="003B4D22">
              <w:rPr>
                <w:rFonts w:ascii="Arial Narrow" w:hAnsi="Arial Narrow"/>
                <w:sz w:val="20"/>
              </w:rPr>
              <w:t>1/6 (17%)</w:t>
            </w:r>
          </w:p>
        </w:tc>
        <w:tc>
          <w:tcPr>
            <w:tcW w:w="666" w:type="pct"/>
            <w:tcBorders>
              <w:top w:val="single" w:sz="4" w:space="0" w:color="auto"/>
              <w:left w:val="single" w:sz="4" w:space="0" w:color="auto"/>
              <w:bottom w:val="single" w:sz="4" w:space="0" w:color="auto"/>
              <w:right w:val="single" w:sz="4" w:space="0" w:color="auto"/>
            </w:tcBorders>
          </w:tcPr>
          <w:p w14:paraId="320F0F86" w14:textId="77777777" w:rsidR="00C97F18" w:rsidRPr="003B4D22" w:rsidRDefault="00C97F18" w:rsidP="00C97F18">
            <w:pPr>
              <w:spacing w:after="0" w:line="240" w:lineRule="auto"/>
              <w:jc w:val="right"/>
              <w:rPr>
                <w:rFonts w:ascii="Arial Narrow" w:hAnsi="Arial Narrow"/>
                <w:sz w:val="20"/>
              </w:rPr>
            </w:pPr>
          </w:p>
        </w:tc>
      </w:tr>
      <w:tr w:rsidR="00C97F18" w:rsidRPr="003B4D22" w14:paraId="5C80E97E" w14:textId="77777777" w:rsidTr="003735E3">
        <w:tc>
          <w:tcPr>
            <w:tcW w:w="650" w:type="pct"/>
            <w:tcBorders>
              <w:top w:val="nil"/>
              <w:left w:val="single" w:sz="4" w:space="0" w:color="auto"/>
              <w:bottom w:val="nil"/>
              <w:right w:val="single" w:sz="4" w:space="0" w:color="auto"/>
            </w:tcBorders>
          </w:tcPr>
          <w:p w14:paraId="75F50120" w14:textId="77777777" w:rsidR="00C97F18" w:rsidRPr="003B4D22" w:rsidRDefault="00C97F18" w:rsidP="00C97F18">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single" w:sz="4" w:space="0" w:color="auto"/>
              <w:right w:val="single" w:sz="4" w:space="0" w:color="auto"/>
            </w:tcBorders>
            <w:shd w:val="clear" w:color="auto" w:fill="auto"/>
          </w:tcPr>
          <w:p w14:paraId="533912CC" w14:textId="77777777" w:rsidR="00C97F18" w:rsidRPr="003B4D22" w:rsidRDefault="00C97F18" w:rsidP="00C97F18">
            <w:pPr>
              <w:spacing w:after="0" w:line="240" w:lineRule="auto"/>
              <w:rPr>
                <w:rFonts w:ascii="Arial Narrow" w:hAnsi="Arial Narrow"/>
                <w:sz w:val="20"/>
              </w:rPr>
            </w:pPr>
            <w:r w:rsidRPr="003B4D22">
              <w:rPr>
                <w:rFonts w:ascii="Arial Narrow" w:hAnsi="Arial Narrow"/>
                <w:sz w:val="20"/>
              </w:rPr>
              <w:t>Total 3-weekly cycles (infusions)</w:t>
            </w:r>
          </w:p>
        </w:tc>
        <w:tc>
          <w:tcPr>
            <w:tcW w:w="940" w:type="pct"/>
            <w:gridSpan w:val="2"/>
            <w:tcBorders>
              <w:top w:val="single" w:sz="4" w:space="0" w:color="auto"/>
              <w:left w:val="single" w:sz="4" w:space="0" w:color="auto"/>
              <w:bottom w:val="single" w:sz="4" w:space="0" w:color="auto"/>
              <w:right w:val="single" w:sz="4" w:space="0" w:color="auto"/>
            </w:tcBorders>
            <w:shd w:val="clear" w:color="auto" w:fill="auto"/>
            <w:noWrap/>
          </w:tcPr>
          <w:p w14:paraId="4F9304C9" w14:textId="77777777" w:rsidR="00C97F18" w:rsidRPr="003B4D22" w:rsidRDefault="00C97F18" w:rsidP="00C97F18">
            <w:pPr>
              <w:spacing w:after="0" w:line="240" w:lineRule="auto"/>
              <w:jc w:val="center"/>
              <w:rPr>
                <w:rFonts w:ascii="Arial Narrow" w:hAnsi="Arial Narrow"/>
                <w:sz w:val="20"/>
              </w:rPr>
            </w:pPr>
            <w:r w:rsidRPr="003B4D22">
              <w:rPr>
                <w:rFonts w:ascii="Arial Narrow" w:hAnsi="Arial Narrow"/>
                <w:sz w:val="20"/>
              </w:rPr>
              <w:t>191</w:t>
            </w:r>
          </w:p>
        </w:tc>
        <w:tc>
          <w:tcPr>
            <w:tcW w:w="1038" w:type="pct"/>
            <w:gridSpan w:val="2"/>
            <w:tcBorders>
              <w:top w:val="single" w:sz="4" w:space="0" w:color="auto"/>
              <w:left w:val="single" w:sz="4" w:space="0" w:color="auto"/>
              <w:bottom w:val="single" w:sz="4" w:space="0" w:color="auto"/>
              <w:right w:val="single" w:sz="4" w:space="0" w:color="auto"/>
            </w:tcBorders>
            <w:shd w:val="clear" w:color="auto" w:fill="auto"/>
            <w:noWrap/>
          </w:tcPr>
          <w:p w14:paraId="562B6357" w14:textId="77777777" w:rsidR="00C97F18" w:rsidRPr="003B4D22" w:rsidRDefault="00C97F18" w:rsidP="00C97F18">
            <w:pPr>
              <w:spacing w:after="0" w:line="240" w:lineRule="auto"/>
              <w:ind w:right="-107"/>
              <w:jc w:val="center"/>
              <w:rPr>
                <w:rFonts w:ascii="Arial Narrow" w:hAnsi="Arial Narrow"/>
                <w:sz w:val="20"/>
              </w:rPr>
            </w:pPr>
            <w:r w:rsidRPr="003B4D22">
              <w:rPr>
                <w:rFonts w:ascii="Arial Narrow" w:hAnsi="Arial Narrow"/>
                <w:sz w:val="20"/>
              </w:rPr>
              <w:t>162</w:t>
            </w:r>
          </w:p>
        </w:tc>
        <w:tc>
          <w:tcPr>
            <w:tcW w:w="666" w:type="pct"/>
            <w:tcBorders>
              <w:top w:val="single" w:sz="4" w:space="0" w:color="auto"/>
              <w:left w:val="single" w:sz="4" w:space="0" w:color="auto"/>
              <w:bottom w:val="single" w:sz="4" w:space="0" w:color="auto"/>
              <w:right w:val="single" w:sz="4" w:space="0" w:color="auto"/>
            </w:tcBorders>
          </w:tcPr>
          <w:p w14:paraId="598EF604" w14:textId="77777777" w:rsidR="00C97F18" w:rsidRPr="003B4D22" w:rsidRDefault="00C97F18" w:rsidP="00C97F18">
            <w:pPr>
              <w:spacing w:after="0" w:line="240" w:lineRule="auto"/>
              <w:jc w:val="right"/>
              <w:rPr>
                <w:rFonts w:ascii="Arial Narrow" w:hAnsi="Arial Narrow"/>
                <w:sz w:val="20"/>
              </w:rPr>
            </w:pPr>
          </w:p>
        </w:tc>
      </w:tr>
      <w:tr w:rsidR="00C97F18" w:rsidRPr="003B4D22" w14:paraId="299F9A34" w14:textId="77777777" w:rsidTr="003735E3">
        <w:tc>
          <w:tcPr>
            <w:tcW w:w="650" w:type="pct"/>
            <w:tcBorders>
              <w:top w:val="nil"/>
              <w:left w:val="single" w:sz="4" w:space="0" w:color="auto"/>
              <w:bottom w:val="nil"/>
              <w:right w:val="single" w:sz="4" w:space="0" w:color="auto"/>
            </w:tcBorders>
          </w:tcPr>
          <w:p w14:paraId="588A7225" w14:textId="77777777" w:rsidR="00C97F18" w:rsidRPr="003B4D22" w:rsidRDefault="00C97F18" w:rsidP="00C97F18">
            <w:pPr>
              <w:spacing w:after="0" w:line="240" w:lineRule="auto"/>
              <w:rPr>
                <w:rFonts w:ascii="Arial Narrow" w:hAnsi="Arial Narrow" w:cs="Calibri"/>
                <w:i/>
                <w:color w:val="000000"/>
                <w:sz w:val="20"/>
                <w:szCs w:val="20"/>
              </w:rPr>
            </w:pPr>
          </w:p>
        </w:tc>
        <w:tc>
          <w:tcPr>
            <w:tcW w:w="1706" w:type="pct"/>
            <w:tcBorders>
              <w:top w:val="single" w:sz="4" w:space="0" w:color="auto"/>
              <w:left w:val="single" w:sz="4" w:space="0" w:color="auto"/>
              <w:bottom w:val="single" w:sz="4" w:space="0" w:color="auto"/>
              <w:right w:val="single" w:sz="4" w:space="0" w:color="auto"/>
            </w:tcBorders>
            <w:shd w:val="clear" w:color="auto" w:fill="auto"/>
          </w:tcPr>
          <w:p w14:paraId="5249DA72" w14:textId="5B9B453C" w:rsidR="00C97F18" w:rsidRPr="003B4D22" w:rsidRDefault="00AE5BD5" w:rsidP="00C97F18">
            <w:pPr>
              <w:spacing w:after="0" w:line="240" w:lineRule="auto"/>
              <w:rPr>
                <w:rFonts w:ascii="Arial Narrow" w:hAnsi="Arial Narrow"/>
                <w:i/>
                <w:sz w:val="20"/>
              </w:rPr>
            </w:pPr>
            <w:r>
              <w:rPr>
                <w:rFonts w:ascii="Arial Narrow" w:hAnsi="Arial Narrow"/>
                <w:i/>
                <w:sz w:val="20"/>
              </w:rPr>
              <w:t>Years, mean</w:t>
            </w:r>
            <w:r w:rsidR="00C97F18" w:rsidRPr="003B4D22">
              <w:rPr>
                <w:rFonts w:ascii="Arial Narrow" w:hAnsi="Arial Narrow"/>
                <w:i/>
                <w:sz w:val="20"/>
              </w:rPr>
              <w:t>/patient</w:t>
            </w:r>
          </w:p>
        </w:tc>
        <w:tc>
          <w:tcPr>
            <w:tcW w:w="940" w:type="pct"/>
            <w:gridSpan w:val="2"/>
            <w:tcBorders>
              <w:top w:val="single" w:sz="4" w:space="0" w:color="auto"/>
              <w:left w:val="single" w:sz="4" w:space="0" w:color="auto"/>
              <w:bottom w:val="single" w:sz="4" w:space="0" w:color="auto"/>
              <w:right w:val="single" w:sz="4" w:space="0" w:color="auto"/>
            </w:tcBorders>
            <w:shd w:val="clear" w:color="auto" w:fill="auto"/>
            <w:noWrap/>
          </w:tcPr>
          <w:p w14:paraId="764E1B8E" w14:textId="77777777" w:rsidR="00C97F18" w:rsidRPr="003B4D22" w:rsidRDefault="00C97F18" w:rsidP="00C97F18">
            <w:pPr>
              <w:spacing w:after="0" w:line="240" w:lineRule="auto"/>
              <w:jc w:val="center"/>
              <w:rPr>
                <w:rFonts w:ascii="Arial Narrow" w:hAnsi="Arial Narrow"/>
                <w:i/>
                <w:sz w:val="20"/>
              </w:rPr>
            </w:pPr>
            <w:r w:rsidRPr="003B4D22">
              <w:rPr>
                <w:rFonts w:ascii="Arial Narrow" w:hAnsi="Arial Narrow"/>
                <w:sz w:val="20"/>
              </w:rPr>
              <w:t>1.84</w:t>
            </w:r>
          </w:p>
        </w:tc>
        <w:tc>
          <w:tcPr>
            <w:tcW w:w="1038" w:type="pct"/>
            <w:gridSpan w:val="2"/>
            <w:tcBorders>
              <w:top w:val="single" w:sz="4" w:space="0" w:color="auto"/>
              <w:left w:val="single" w:sz="4" w:space="0" w:color="auto"/>
              <w:bottom w:val="single" w:sz="4" w:space="0" w:color="auto"/>
              <w:right w:val="single" w:sz="4" w:space="0" w:color="auto"/>
            </w:tcBorders>
            <w:shd w:val="clear" w:color="auto" w:fill="auto"/>
            <w:noWrap/>
          </w:tcPr>
          <w:p w14:paraId="2D84161E" w14:textId="77777777" w:rsidR="00C97F18" w:rsidRPr="003B4D22" w:rsidRDefault="00C97F18" w:rsidP="00C97F18">
            <w:pPr>
              <w:spacing w:after="0" w:line="240" w:lineRule="auto"/>
              <w:ind w:right="-107"/>
              <w:jc w:val="center"/>
              <w:rPr>
                <w:rFonts w:ascii="Arial Narrow" w:hAnsi="Arial Narrow"/>
                <w:i/>
                <w:sz w:val="20"/>
              </w:rPr>
            </w:pPr>
            <w:r w:rsidRPr="003B4D22">
              <w:rPr>
                <w:rFonts w:ascii="Arial Narrow" w:hAnsi="Arial Narrow"/>
                <w:sz w:val="20"/>
              </w:rPr>
              <w:t>1.56</w:t>
            </w:r>
          </w:p>
        </w:tc>
        <w:tc>
          <w:tcPr>
            <w:tcW w:w="666" w:type="pct"/>
            <w:tcBorders>
              <w:top w:val="single" w:sz="4" w:space="0" w:color="auto"/>
              <w:left w:val="single" w:sz="4" w:space="0" w:color="auto"/>
              <w:bottom w:val="single" w:sz="4" w:space="0" w:color="auto"/>
              <w:right w:val="single" w:sz="4" w:space="0" w:color="auto"/>
            </w:tcBorders>
          </w:tcPr>
          <w:p w14:paraId="3F51365E" w14:textId="77777777" w:rsidR="00C97F18" w:rsidRPr="003B4D22" w:rsidRDefault="00C97F18" w:rsidP="00C97F18">
            <w:pPr>
              <w:spacing w:after="0" w:line="240" w:lineRule="auto"/>
              <w:jc w:val="right"/>
              <w:rPr>
                <w:rFonts w:ascii="Arial Narrow" w:hAnsi="Arial Narrow"/>
                <w:i/>
                <w:sz w:val="20"/>
              </w:rPr>
            </w:pPr>
          </w:p>
        </w:tc>
      </w:tr>
      <w:tr w:rsidR="00AE5BD5" w:rsidRPr="00AE5BD5" w14:paraId="0EC287ED" w14:textId="77777777" w:rsidTr="001A2B6F">
        <w:tc>
          <w:tcPr>
            <w:tcW w:w="650" w:type="pct"/>
            <w:tcBorders>
              <w:top w:val="nil"/>
              <w:left w:val="single" w:sz="4" w:space="0" w:color="auto"/>
              <w:bottom w:val="nil"/>
              <w:right w:val="single" w:sz="4" w:space="0" w:color="auto"/>
            </w:tcBorders>
          </w:tcPr>
          <w:p w14:paraId="1919C03B" w14:textId="77777777" w:rsidR="00AE5BD5" w:rsidRPr="00AE5BD5" w:rsidRDefault="00AE5BD5" w:rsidP="001A2B6F">
            <w:pPr>
              <w:spacing w:after="0" w:line="240" w:lineRule="auto"/>
              <w:rPr>
                <w:rFonts w:ascii="Arial Narrow" w:hAnsi="Arial Narrow" w:cs="Calibri"/>
                <w:i/>
                <w:color w:val="000000"/>
                <w:sz w:val="20"/>
                <w:szCs w:val="20"/>
              </w:rPr>
            </w:pPr>
          </w:p>
        </w:tc>
        <w:tc>
          <w:tcPr>
            <w:tcW w:w="1706" w:type="pct"/>
            <w:tcBorders>
              <w:top w:val="nil"/>
              <w:left w:val="single" w:sz="4" w:space="0" w:color="auto"/>
              <w:bottom w:val="single" w:sz="4" w:space="0" w:color="auto"/>
              <w:right w:val="nil"/>
            </w:tcBorders>
            <w:shd w:val="clear" w:color="auto" w:fill="auto"/>
          </w:tcPr>
          <w:p w14:paraId="0BF058ED" w14:textId="77777777" w:rsidR="00AE5BD5" w:rsidRPr="00AE5BD5" w:rsidRDefault="00AE5BD5" w:rsidP="001A2B6F">
            <w:pPr>
              <w:spacing w:after="0" w:line="240" w:lineRule="auto"/>
              <w:rPr>
                <w:rFonts w:ascii="Arial Narrow" w:hAnsi="Arial Narrow"/>
                <w:i/>
                <w:sz w:val="20"/>
                <w:szCs w:val="20"/>
              </w:rPr>
            </w:pPr>
            <w:r w:rsidRPr="00AE5BD5">
              <w:rPr>
                <w:rFonts w:ascii="Arial Narrow" w:hAnsi="Arial Narrow"/>
                <w:i/>
                <w:sz w:val="20"/>
                <w:szCs w:val="20"/>
              </w:rPr>
              <w:t>Major infections per patient</w:t>
            </w:r>
          </w:p>
        </w:tc>
        <w:tc>
          <w:tcPr>
            <w:tcW w:w="940" w:type="pct"/>
            <w:gridSpan w:val="2"/>
            <w:tcBorders>
              <w:top w:val="nil"/>
              <w:left w:val="nil"/>
              <w:bottom w:val="single" w:sz="4" w:space="0" w:color="auto"/>
              <w:right w:val="nil"/>
            </w:tcBorders>
            <w:shd w:val="clear" w:color="auto" w:fill="auto"/>
            <w:noWrap/>
          </w:tcPr>
          <w:p w14:paraId="1E902623" w14:textId="77777777" w:rsidR="00AE5BD5" w:rsidRPr="00AE5BD5" w:rsidRDefault="00AE5BD5" w:rsidP="001A2B6F">
            <w:pPr>
              <w:spacing w:after="0" w:line="240" w:lineRule="auto"/>
              <w:jc w:val="center"/>
              <w:rPr>
                <w:rFonts w:ascii="Arial Narrow" w:hAnsi="Arial Narrow"/>
                <w:i/>
                <w:sz w:val="20"/>
                <w:szCs w:val="20"/>
              </w:rPr>
            </w:pPr>
            <w:r w:rsidRPr="00AE5BD5">
              <w:rPr>
                <w:rFonts w:ascii="Arial Narrow" w:hAnsi="Arial Narrow"/>
                <w:i/>
                <w:sz w:val="20"/>
                <w:szCs w:val="20"/>
              </w:rPr>
              <w:t>0.3</w:t>
            </w:r>
          </w:p>
        </w:tc>
        <w:tc>
          <w:tcPr>
            <w:tcW w:w="1038" w:type="pct"/>
            <w:gridSpan w:val="2"/>
            <w:tcBorders>
              <w:top w:val="nil"/>
              <w:left w:val="nil"/>
              <w:bottom w:val="single" w:sz="4" w:space="0" w:color="auto"/>
              <w:right w:val="nil"/>
            </w:tcBorders>
            <w:shd w:val="clear" w:color="auto" w:fill="auto"/>
            <w:noWrap/>
          </w:tcPr>
          <w:p w14:paraId="1B13BC5F" w14:textId="77777777" w:rsidR="00AE5BD5" w:rsidRPr="00AE5BD5" w:rsidRDefault="00AE5BD5" w:rsidP="001A2B6F">
            <w:pPr>
              <w:spacing w:after="0" w:line="240" w:lineRule="auto"/>
              <w:ind w:right="-107"/>
              <w:jc w:val="center"/>
              <w:rPr>
                <w:rFonts w:ascii="Arial Narrow" w:hAnsi="Arial Narrow"/>
                <w:i/>
                <w:sz w:val="20"/>
                <w:szCs w:val="20"/>
              </w:rPr>
            </w:pPr>
            <w:r w:rsidRPr="00AE5BD5">
              <w:rPr>
                <w:rFonts w:ascii="Arial Narrow" w:hAnsi="Arial Narrow"/>
                <w:i/>
                <w:sz w:val="20"/>
                <w:szCs w:val="20"/>
              </w:rPr>
              <w:t>1.7</w:t>
            </w:r>
          </w:p>
        </w:tc>
        <w:tc>
          <w:tcPr>
            <w:tcW w:w="666" w:type="pct"/>
            <w:tcBorders>
              <w:top w:val="nil"/>
              <w:left w:val="nil"/>
              <w:bottom w:val="single" w:sz="4" w:space="0" w:color="auto"/>
              <w:right w:val="single" w:sz="4" w:space="0" w:color="auto"/>
            </w:tcBorders>
          </w:tcPr>
          <w:p w14:paraId="5F2E5011" w14:textId="77777777" w:rsidR="00AE5BD5" w:rsidRPr="00AE5BD5" w:rsidRDefault="00AE5BD5" w:rsidP="001A2B6F">
            <w:pPr>
              <w:spacing w:after="0" w:line="240" w:lineRule="auto"/>
              <w:jc w:val="right"/>
              <w:rPr>
                <w:rFonts w:ascii="Arial Narrow" w:hAnsi="Arial Narrow"/>
                <w:i/>
                <w:sz w:val="20"/>
                <w:szCs w:val="20"/>
              </w:rPr>
            </w:pPr>
          </w:p>
        </w:tc>
      </w:tr>
      <w:tr w:rsidR="00C97F18" w:rsidRPr="003B4D22" w14:paraId="1E6CCF35" w14:textId="77777777" w:rsidTr="00236231">
        <w:tc>
          <w:tcPr>
            <w:tcW w:w="650" w:type="pct"/>
            <w:tcBorders>
              <w:top w:val="nil"/>
              <w:left w:val="single" w:sz="4" w:space="0" w:color="auto"/>
              <w:bottom w:val="nil"/>
              <w:right w:val="single" w:sz="4" w:space="0" w:color="auto"/>
            </w:tcBorders>
            <w:shd w:val="clear" w:color="auto" w:fill="auto"/>
          </w:tcPr>
          <w:p w14:paraId="6AEB7F80" w14:textId="77777777" w:rsidR="00C97F18" w:rsidRPr="003B4D22" w:rsidRDefault="00C97F18" w:rsidP="00C97F18">
            <w:pPr>
              <w:spacing w:after="0" w:line="240" w:lineRule="auto"/>
              <w:rPr>
                <w:rFonts w:ascii="Arial Narrow" w:hAnsi="Arial Narrow" w:cs="Calibri"/>
                <w:i/>
                <w:color w:val="000000"/>
                <w:sz w:val="20"/>
                <w:szCs w:val="20"/>
              </w:rPr>
            </w:pPr>
          </w:p>
        </w:tc>
        <w:tc>
          <w:tcPr>
            <w:tcW w:w="1706" w:type="pct"/>
            <w:tcBorders>
              <w:top w:val="single" w:sz="4" w:space="0" w:color="auto"/>
              <w:left w:val="single" w:sz="4" w:space="0" w:color="auto"/>
              <w:bottom w:val="single" w:sz="4" w:space="0" w:color="auto"/>
              <w:right w:val="single" w:sz="4" w:space="0" w:color="auto"/>
            </w:tcBorders>
            <w:shd w:val="clear" w:color="auto" w:fill="auto"/>
          </w:tcPr>
          <w:p w14:paraId="67873DB2" w14:textId="77777777" w:rsidR="00C97F18" w:rsidRPr="003B4D22" w:rsidRDefault="00C97F18" w:rsidP="00C97F18">
            <w:pPr>
              <w:spacing w:after="0" w:line="240" w:lineRule="auto"/>
              <w:rPr>
                <w:rFonts w:ascii="Arial Narrow" w:hAnsi="Arial Narrow"/>
                <w:i/>
                <w:sz w:val="20"/>
              </w:rPr>
            </w:pPr>
            <w:r w:rsidRPr="003B4D22">
              <w:rPr>
                <w:rFonts w:ascii="Arial Narrow" w:hAnsi="Arial Narrow"/>
                <w:i/>
                <w:sz w:val="20"/>
              </w:rPr>
              <w:t>Major infections/patient/year</w:t>
            </w:r>
          </w:p>
        </w:tc>
        <w:tc>
          <w:tcPr>
            <w:tcW w:w="940" w:type="pct"/>
            <w:gridSpan w:val="2"/>
            <w:tcBorders>
              <w:top w:val="single" w:sz="4" w:space="0" w:color="auto"/>
              <w:left w:val="single" w:sz="4" w:space="0" w:color="auto"/>
              <w:bottom w:val="single" w:sz="4" w:space="0" w:color="auto"/>
              <w:right w:val="single" w:sz="4" w:space="0" w:color="auto"/>
            </w:tcBorders>
            <w:shd w:val="clear" w:color="auto" w:fill="auto"/>
            <w:noWrap/>
          </w:tcPr>
          <w:p w14:paraId="4A56BA98" w14:textId="77777777" w:rsidR="00C97F18" w:rsidRPr="003B4D22" w:rsidRDefault="00C97F18" w:rsidP="00C97F18">
            <w:pPr>
              <w:spacing w:after="0" w:line="240" w:lineRule="auto"/>
              <w:jc w:val="center"/>
              <w:rPr>
                <w:rFonts w:ascii="Arial Narrow" w:hAnsi="Arial Narrow"/>
                <w:i/>
                <w:sz w:val="20"/>
              </w:rPr>
            </w:pPr>
            <w:r w:rsidRPr="003B4D22">
              <w:rPr>
                <w:rFonts w:ascii="Arial Narrow" w:hAnsi="Arial Narrow"/>
                <w:i/>
                <w:sz w:val="20"/>
              </w:rPr>
              <w:t>0.182</w:t>
            </w:r>
          </w:p>
        </w:tc>
        <w:tc>
          <w:tcPr>
            <w:tcW w:w="1038" w:type="pct"/>
            <w:gridSpan w:val="2"/>
            <w:tcBorders>
              <w:top w:val="single" w:sz="4" w:space="0" w:color="auto"/>
              <w:left w:val="single" w:sz="4" w:space="0" w:color="auto"/>
              <w:bottom w:val="single" w:sz="4" w:space="0" w:color="auto"/>
              <w:right w:val="single" w:sz="4" w:space="0" w:color="auto"/>
            </w:tcBorders>
            <w:shd w:val="clear" w:color="auto" w:fill="auto"/>
            <w:noWrap/>
          </w:tcPr>
          <w:p w14:paraId="7C412664" w14:textId="77777777" w:rsidR="00C97F18" w:rsidRPr="003B4D22" w:rsidRDefault="00C97F18" w:rsidP="00C97F18">
            <w:pPr>
              <w:spacing w:after="0" w:line="240" w:lineRule="auto"/>
              <w:ind w:right="-107"/>
              <w:jc w:val="center"/>
              <w:rPr>
                <w:rFonts w:ascii="Arial Narrow" w:hAnsi="Arial Narrow"/>
                <w:i/>
                <w:sz w:val="20"/>
              </w:rPr>
            </w:pPr>
            <w:r w:rsidRPr="003B4D22">
              <w:rPr>
                <w:rFonts w:ascii="Arial Narrow" w:hAnsi="Arial Narrow"/>
                <w:i/>
                <w:sz w:val="20"/>
              </w:rPr>
              <w:t>1.070</w:t>
            </w:r>
          </w:p>
        </w:tc>
        <w:tc>
          <w:tcPr>
            <w:tcW w:w="666" w:type="pct"/>
            <w:tcBorders>
              <w:top w:val="single" w:sz="4" w:space="0" w:color="auto"/>
              <w:left w:val="single" w:sz="4" w:space="0" w:color="auto"/>
              <w:bottom w:val="single" w:sz="4" w:space="0" w:color="auto"/>
              <w:right w:val="single" w:sz="4" w:space="0" w:color="auto"/>
            </w:tcBorders>
            <w:shd w:val="clear" w:color="auto" w:fill="auto"/>
          </w:tcPr>
          <w:p w14:paraId="6A6ACDFA" w14:textId="77777777" w:rsidR="00C97F18" w:rsidRPr="003B4D22" w:rsidRDefault="00C97F18" w:rsidP="00C97F18">
            <w:pPr>
              <w:spacing w:after="0" w:line="240" w:lineRule="auto"/>
              <w:jc w:val="right"/>
              <w:rPr>
                <w:rFonts w:ascii="Arial Narrow" w:hAnsi="Arial Narrow"/>
                <w:i/>
                <w:sz w:val="20"/>
              </w:rPr>
            </w:pPr>
          </w:p>
        </w:tc>
      </w:tr>
      <w:tr w:rsidR="00C97F18" w:rsidRPr="003B4D22" w14:paraId="0D18AC2D" w14:textId="77777777" w:rsidTr="00236231">
        <w:tc>
          <w:tcPr>
            <w:tcW w:w="650" w:type="pct"/>
            <w:tcBorders>
              <w:top w:val="nil"/>
              <w:left w:val="single" w:sz="4" w:space="0" w:color="auto"/>
              <w:bottom w:val="nil"/>
              <w:right w:val="single" w:sz="4" w:space="0" w:color="auto"/>
            </w:tcBorders>
            <w:shd w:val="clear" w:color="auto" w:fill="auto"/>
          </w:tcPr>
          <w:p w14:paraId="4F55E07F" w14:textId="77777777" w:rsidR="00C97F18" w:rsidRPr="003B4D22" w:rsidRDefault="00C97F18" w:rsidP="00C97F18">
            <w:pPr>
              <w:spacing w:after="0" w:line="240" w:lineRule="auto"/>
              <w:rPr>
                <w:rFonts w:ascii="Arial Narrow" w:hAnsi="Arial Narrow" w:cs="Calibri"/>
                <w:i/>
                <w:color w:val="000000"/>
                <w:sz w:val="20"/>
                <w:szCs w:val="20"/>
              </w:rPr>
            </w:pPr>
          </w:p>
        </w:tc>
        <w:tc>
          <w:tcPr>
            <w:tcW w:w="1706" w:type="pct"/>
            <w:tcBorders>
              <w:top w:val="single" w:sz="4" w:space="0" w:color="auto"/>
              <w:left w:val="single" w:sz="4" w:space="0" w:color="auto"/>
              <w:bottom w:val="single" w:sz="4" w:space="0" w:color="auto"/>
              <w:right w:val="nil"/>
            </w:tcBorders>
            <w:shd w:val="clear" w:color="auto" w:fill="auto"/>
          </w:tcPr>
          <w:p w14:paraId="2C92437A" w14:textId="20EB04F4" w:rsidR="00C97F18" w:rsidRPr="003B4D22" w:rsidRDefault="00AE5BD5" w:rsidP="00C97F18">
            <w:pPr>
              <w:spacing w:after="0" w:line="240" w:lineRule="auto"/>
              <w:rPr>
                <w:rFonts w:ascii="Arial Narrow" w:hAnsi="Arial Narrow"/>
                <w:i/>
                <w:sz w:val="20"/>
              </w:rPr>
            </w:pPr>
            <w:r>
              <w:rPr>
                <w:rFonts w:ascii="Arial Narrow" w:hAnsi="Arial Narrow"/>
                <w:i/>
                <w:sz w:val="20"/>
              </w:rPr>
              <w:t>Major infections/patient/</w:t>
            </w:r>
            <w:r w:rsidR="00C97F18" w:rsidRPr="003B4D22">
              <w:rPr>
                <w:rFonts w:ascii="Arial Narrow" w:hAnsi="Arial Narrow"/>
                <w:i/>
                <w:sz w:val="20"/>
              </w:rPr>
              <w:t>month</w:t>
            </w:r>
          </w:p>
        </w:tc>
        <w:tc>
          <w:tcPr>
            <w:tcW w:w="940" w:type="pct"/>
            <w:gridSpan w:val="2"/>
            <w:tcBorders>
              <w:top w:val="single" w:sz="4" w:space="0" w:color="auto"/>
              <w:left w:val="nil"/>
              <w:bottom w:val="single" w:sz="4" w:space="0" w:color="auto"/>
              <w:right w:val="nil"/>
            </w:tcBorders>
            <w:shd w:val="clear" w:color="auto" w:fill="auto"/>
            <w:noWrap/>
          </w:tcPr>
          <w:p w14:paraId="023362E9" w14:textId="77777777" w:rsidR="00C97F18" w:rsidRPr="003B4D22" w:rsidRDefault="00C97F18" w:rsidP="00C97F18">
            <w:pPr>
              <w:spacing w:after="0" w:line="240" w:lineRule="auto"/>
              <w:jc w:val="center"/>
              <w:rPr>
                <w:rFonts w:ascii="Arial Narrow" w:hAnsi="Arial Narrow"/>
                <w:i/>
                <w:sz w:val="20"/>
              </w:rPr>
            </w:pPr>
            <w:r w:rsidRPr="003B4D22">
              <w:rPr>
                <w:rFonts w:ascii="Arial Narrow" w:hAnsi="Arial Narrow"/>
                <w:i/>
                <w:sz w:val="20"/>
              </w:rPr>
              <w:t>0.015</w:t>
            </w:r>
          </w:p>
        </w:tc>
        <w:tc>
          <w:tcPr>
            <w:tcW w:w="1038" w:type="pct"/>
            <w:gridSpan w:val="2"/>
            <w:tcBorders>
              <w:top w:val="single" w:sz="4" w:space="0" w:color="auto"/>
              <w:left w:val="nil"/>
              <w:bottom w:val="single" w:sz="4" w:space="0" w:color="auto"/>
              <w:right w:val="nil"/>
            </w:tcBorders>
            <w:shd w:val="clear" w:color="auto" w:fill="auto"/>
            <w:noWrap/>
          </w:tcPr>
          <w:p w14:paraId="086631FB" w14:textId="77777777" w:rsidR="00C97F18" w:rsidRPr="003B4D22" w:rsidRDefault="00C97F18" w:rsidP="00C97F18">
            <w:pPr>
              <w:spacing w:after="0" w:line="240" w:lineRule="auto"/>
              <w:ind w:right="-107"/>
              <w:jc w:val="center"/>
              <w:rPr>
                <w:rFonts w:ascii="Arial Narrow" w:hAnsi="Arial Narrow"/>
                <w:i/>
                <w:sz w:val="20"/>
              </w:rPr>
            </w:pPr>
            <w:r w:rsidRPr="003B4D22">
              <w:rPr>
                <w:rFonts w:ascii="Arial Narrow" w:hAnsi="Arial Narrow"/>
                <w:i/>
                <w:sz w:val="20"/>
              </w:rPr>
              <w:t>0.089</w:t>
            </w:r>
          </w:p>
        </w:tc>
        <w:tc>
          <w:tcPr>
            <w:tcW w:w="666" w:type="pct"/>
            <w:tcBorders>
              <w:top w:val="single" w:sz="4" w:space="0" w:color="auto"/>
              <w:left w:val="nil"/>
              <w:bottom w:val="single" w:sz="4" w:space="0" w:color="auto"/>
              <w:right w:val="single" w:sz="4" w:space="0" w:color="auto"/>
            </w:tcBorders>
            <w:shd w:val="clear" w:color="auto" w:fill="auto"/>
          </w:tcPr>
          <w:p w14:paraId="5398198A" w14:textId="77777777" w:rsidR="00C97F18" w:rsidRPr="003B4D22" w:rsidRDefault="00C97F18" w:rsidP="00C97F18">
            <w:pPr>
              <w:tabs>
                <w:tab w:val="right" w:pos="1261"/>
              </w:tabs>
              <w:spacing w:after="0" w:line="240" w:lineRule="auto"/>
              <w:rPr>
                <w:rFonts w:ascii="Arial Narrow" w:hAnsi="Arial Narrow"/>
                <w:sz w:val="20"/>
              </w:rPr>
            </w:pPr>
            <w:r w:rsidRPr="003B4D22">
              <w:rPr>
                <w:rFonts w:ascii="Arial Narrow" w:hAnsi="Arial Narrow"/>
                <w:sz w:val="20"/>
              </w:rPr>
              <w:t>p=0.001</w:t>
            </w:r>
          </w:p>
        </w:tc>
      </w:tr>
      <w:tr w:rsidR="00C97F18" w:rsidRPr="003B4D22" w14:paraId="3B0D31D0" w14:textId="77777777" w:rsidTr="00236231">
        <w:tc>
          <w:tcPr>
            <w:tcW w:w="650" w:type="pct"/>
            <w:tcBorders>
              <w:top w:val="nil"/>
              <w:left w:val="single" w:sz="4" w:space="0" w:color="auto"/>
              <w:bottom w:val="nil"/>
              <w:right w:val="single" w:sz="4" w:space="0" w:color="auto"/>
            </w:tcBorders>
            <w:shd w:val="clear" w:color="auto" w:fill="auto"/>
          </w:tcPr>
          <w:p w14:paraId="0691F7DE" w14:textId="77777777" w:rsidR="00C97F18" w:rsidRPr="003B4D22" w:rsidRDefault="00C97F18" w:rsidP="00C97F18">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nil"/>
              <w:right w:val="nil"/>
            </w:tcBorders>
            <w:shd w:val="clear" w:color="auto" w:fill="auto"/>
          </w:tcPr>
          <w:p w14:paraId="28DEB7FF" w14:textId="77777777" w:rsidR="00C97F18" w:rsidRPr="00AE5BD5" w:rsidRDefault="00C97F18" w:rsidP="00C97F18">
            <w:pPr>
              <w:spacing w:after="0" w:line="240" w:lineRule="auto"/>
              <w:rPr>
                <w:rFonts w:ascii="Arial Narrow" w:hAnsi="Arial Narrow"/>
                <w:b/>
                <w:sz w:val="20"/>
              </w:rPr>
            </w:pPr>
            <w:r w:rsidRPr="00AE5BD5">
              <w:rPr>
                <w:rFonts w:ascii="Arial Narrow" w:hAnsi="Arial Narrow"/>
                <w:b/>
                <w:sz w:val="20"/>
              </w:rPr>
              <w:t>Major infections</w:t>
            </w:r>
          </w:p>
        </w:tc>
        <w:tc>
          <w:tcPr>
            <w:tcW w:w="940" w:type="pct"/>
            <w:gridSpan w:val="2"/>
            <w:tcBorders>
              <w:top w:val="single" w:sz="4" w:space="0" w:color="auto"/>
              <w:left w:val="nil"/>
              <w:bottom w:val="nil"/>
              <w:right w:val="nil"/>
            </w:tcBorders>
            <w:shd w:val="clear" w:color="auto" w:fill="auto"/>
            <w:noWrap/>
          </w:tcPr>
          <w:p w14:paraId="03457BE5" w14:textId="77777777" w:rsidR="00C97F18" w:rsidRPr="003B4D22" w:rsidRDefault="00C97F18" w:rsidP="00C97F18">
            <w:pPr>
              <w:spacing w:after="0" w:line="240" w:lineRule="auto"/>
              <w:jc w:val="center"/>
              <w:rPr>
                <w:rFonts w:ascii="Arial Narrow" w:hAnsi="Arial Narrow"/>
                <w:sz w:val="20"/>
              </w:rPr>
            </w:pPr>
          </w:p>
        </w:tc>
        <w:tc>
          <w:tcPr>
            <w:tcW w:w="1038" w:type="pct"/>
            <w:gridSpan w:val="2"/>
            <w:tcBorders>
              <w:top w:val="single" w:sz="4" w:space="0" w:color="auto"/>
              <w:left w:val="nil"/>
              <w:bottom w:val="nil"/>
              <w:right w:val="nil"/>
            </w:tcBorders>
            <w:shd w:val="clear" w:color="auto" w:fill="auto"/>
            <w:noWrap/>
          </w:tcPr>
          <w:p w14:paraId="1BAEB3E5" w14:textId="77777777" w:rsidR="00C97F18" w:rsidRPr="003B4D22" w:rsidRDefault="00C97F18" w:rsidP="00C97F18">
            <w:pPr>
              <w:spacing w:after="0" w:line="240" w:lineRule="auto"/>
              <w:ind w:right="-107"/>
              <w:jc w:val="center"/>
              <w:rPr>
                <w:rFonts w:ascii="Arial Narrow" w:hAnsi="Arial Narrow"/>
                <w:sz w:val="20"/>
              </w:rPr>
            </w:pPr>
          </w:p>
        </w:tc>
        <w:tc>
          <w:tcPr>
            <w:tcW w:w="666" w:type="pct"/>
            <w:tcBorders>
              <w:top w:val="single" w:sz="4" w:space="0" w:color="auto"/>
              <w:left w:val="nil"/>
              <w:bottom w:val="nil"/>
              <w:right w:val="single" w:sz="4" w:space="0" w:color="auto"/>
            </w:tcBorders>
            <w:shd w:val="clear" w:color="auto" w:fill="auto"/>
          </w:tcPr>
          <w:p w14:paraId="18381869" w14:textId="77777777" w:rsidR="00C97F18" w:rsidRPr="003B4D22" w:rsidRDefault="00C97F18" w:rsidP="00C97F18">
            <w:pPr>
              <w:spacing w:after="0" w:line="240" w:lineRule="auto"/>
              <w:jc w:val="right"/>
              <w:rPr>
                <w:rFonts w:ascii="Arial Narrow" w:hAnsi="Arial Narrow"/>
                <w:sz w:val="20"/>
              </w:rPr>
            </w:pPr>
          </w:p>
        </w:tc>
      </w:tr>
      <w:tr w:rsidR="00C97F18" w:rsidRPr="003B4D22" w14:paraId="4CEE2BC7" w14:textId="77777777" w:rsidTr="003735E3">
        <w:tc>
          <w:tcPr>
            <w:tcW w:w="650" w:type="pct"/>
            <w:tcBorders>
              <w:top w:val="nil"/>
              <w:left w:val="single" w:sz="4" w:space="0" w:color="auto"/>
              <w:bottom w:val="nil"/>
              <w:right w:val="single" w:sz="4" w:space="0" w:color="auto"/>
            </w:tcBorders>
          </w:tcPr>
          <w:p w14:paraId="043CBED9" w14:textId="77777777" w:rsidR="00C97F18" w:rsidRPr="003B4D22" w:rsidRDefault="00C97F18" w:rsidP="00C97F18">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nil"/>
            </w:tcBorders>
            <w:shd w:val="clear" w:color="auto" w:fill="auto"/>
          </w:tcPr>
          <w:p w14:paraId="29724CD8" w14:textId="77777777" w:rsidR="00C97F18" w:rsidRPr="003B4D22" w:rsidRDefault="00C97F18" w:rsidP="00331FB9">
            <w:pPr>
              <w:pStyle w:val="ListParagraph"/>
              <w:numPr>
                <w:ilvl w:val="0"/>
                <w:numId w:val="16"/>
              </w:numPr>
              <w:spacing w:after="0" w:line="240" w:lineRule="auto"/>
              <w:ind w:left="141" w:hanging="153"/>
              <w:rPr>
                <w:rFonts w:ascii="Arial Narrow" w:hAnsi="Arial Narrow"/>
                <w:sz w:val="20"/>
              </w:rPr>
            </w:pPr>
            <w:r w:rsidRPr="003B4D22">
              <w:rPr>
                <w:rFonts w:ascii="Arial Narrow" w:hAnsi="Arial Narrow"/>
                <w:sz w:val="20"/>
              </w:rPr>
              <w:t>Bacterial</w:t>
            </w:r>
          </w:p>
        </w:tc>
        <w:tc>
          <w:tcPr>
            <w:tcW w:w="940" w:type="pct"/>
            <w:gridSpan w:val="2"/>
            <w:tcBorders>
              <w:top w:val="nil"/>
              <w:left w:val="nil"/>
              <w:bottom w:val="nil"/>
              <w:right w:val="nil"/>
            </w:tcBorders>
            <w:shd w:val="clear" w:color="auto" w:fill="auto"/>
            <w:noWrap/>
          </w:tcPr>
          <w:p w14:paraId="20FAD549" w14:textId="77777777" w:rsidR="00C97F18" w:rsidRPr="003B4D22" w:rsidRDefault="00C97F18" w:rsidP="00C97F18">
            <w:pPr>
              <w:spacing w:after="0" w:line="240" w:lineRule="auto"/>
              <w:jc w:val="center"/>
              <w:rPr>
                <w:rFonts w:ascii="Arial Narrow" w:hAnsi="Arial Narrow"/>
                <w:sz w:val="20"/>
              </w:rPr>
            </w:pPr>
            <w:r w:rsidRPr="003B4D22">
              <w:rPr>
                <w:rFonts w:ascii="Arial Narrow" w:hAnsi="Arial Narrow"/>
                <w:sz w:val="20"/>
              </w:rPr>
              <w:t>0</w:t>
            </w:r>
          </w:p>
        </w:tc>
        <w:tc>
          <w:tcPr>
            <w:tcW w:w="1038" w:type="pct"/>
            <w:gridSpan w:val="2"/>
            <w:tcBorders>
              <w:top w:val="nil"/>
              <w:left w:val="nil"/>
              <w:bottom w:val="nil"/>
              <w:right w:val="nil"/>
            </w:tcBorders>
            <w:shd w:val="clear" w:color="auto" w:fill="auto"/>
            <w:noWrap/>
          </w:tcPr>
          <w:p w14:paraId="51D50AB0" w14:textId="77777777" w:rsidR="00C97F18" w:rsidRPr="003B4D22" w:rsidRDefault="00C97F18" w:rsidP="00C97F18">
            <w:pPr>
              <w:spacing w:after="0" w:line="240" w:lineRule="auto"/>
              <w:ind w:right="-107"/>
              <w:jc w:val="center"/>
              <w:rPr>
                <w:rFonts w:ascii="Arial Narrow" w:hAnsi="Arial Narrow"/>
                <w:sz w:val="20"/>
              </w:rPr>
            </w:pPr>
            <w:r w:rsidRPr="003B4D22">
              <w:rPr>
                <w:rFonts w:ascii="Arial Narrow" w:hAnsi="Arial Narrow"/>
                <w:sz w:val="20"/>
              </w:rPr>
              <w:t>9</w:t>
            </w:r>
          </w:p>
        </w:tc>
        <w:tc>
          <w:tcPr>
            <w:tcW w:w="666" w:type="pct"/>
            <w:tcBorders>
              <w:top w:val="nil"/>
              <w:left w:val="nil"/>
              <w:bottom w:val="nil"/>
              <w:right w:val="single" w:sz="4" w:space="0" w:color="auto"/>
            </w:tcBorders>
          </w:tcPr>
          <w:p w14:paraId="7507F27A" w14:textId="77777777" w:rsidR="00C97F18" w:rsidRPr="003B4D22" w:rsidRDefault="00C97F18" w:rsidP="00C97F18">
            <w:pPr>
              <w:spacing w:after="0" w:line="240" w:lineRule="auto"/>
              <w:jc w:val="right"/>
              <w:rPr>
                <w:rFonts w:ascii="Arial Narrow" w:hAnsi="Arial Narrow"/>
                <w:sz w:val="20"/>
              </w:rPr>
            </w:pPr>
          </w:p>
        </w:tc>
      </w:tr>
      <w:tr w:rsidR="00C97F18" w:rsidRPr="003B4D22" w14:paraId="42DB8C56" w14:textId="77777777" w:rsidTr="003735E3">
        <w:tc>
          <w:tcPr>
            <w:tcW w:w="650" w:type="pct"/>
            <w:tcBorders>
              <w:top w:val="nil"/>
              <w:left w:val="single" w:sz="4" w:space="0" w:color="auto"/>
              <w:bottom w:val="nil"/>
              <w:right w:val="single" w:sz="4" w:space="0" w:color="auto"/>
            </w:tcBorders>
          </w:tcPr>
          <w:p w14:paraId="68125C10" w14:textId="77777777" w:rsidR="00C97F18" w:rsidRPr="003B4D22" w:rsidRDefault="00C97F18" w:rsidP="00C97F18">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nil"/>
            </w:tcBorders>
            <w:shd w:val="clear" w:color="auto" w:fill="auto"/>
          </w:tcPr>
          <w:p w14:paraId="2362CBCC" w14:textId="77777777" w:rsidR="00C97F18" w:rsidRPr="003B4D22" w:rsidRDefault="00C97F18" w:rsidP="00331FB9">
            <w:pPr>
              <w:pStyle w:val="ListParagraph"/>
              <w:numPr>
                <w:ilvl w:val="0"/>
                <w:numId w:val="16"/>
              </w:numPr>
              <w:spacing w:after="0" w:line="240" w:lineRule="auto"/>
              <w:ind w:left="141" w:hanging="153"/>
              <w:rPr>
                <w:rFonts w:ascii="Arial Narrow" w:hAnsi="Arial Narrow"/>
                <w:sz w:val="20"/>
              </w:rPr>
            </w:pPr>
            <w:r w:rsidRPr="003B4D22">
              <w:rPr>
                <w:rFonts w:ascii="Arial Narrow" w:hAnsi="Arial Narrow"/>
                <w:sz w:val="20"/>
              </w:rPr>
              <w:t>Viral</w:t>
            </w:r>
          </w:p>
        </w:tc>
        <w:tc>
          <w:tcPr>
            <w:tcW w:w="940" w:type="pct"/>
            <w:gridSpan w:val="2"/>
            <w:tcBorders>
              <w:top w:val="nil"/>
              <w:left w:val="nil"/>
              <w:bottom w:val="nil"/>
              <w:right w:val="nil"/>
            </w:tcBorders>
            <w:shd w:val="clear" w:color="auto" w:fill="auto"/>
            <w:noWrap/>
          </w:tcPr>
          <w:p w14:paraId="20311FDC" w14:textId="77777777" w:rsidR="00C97F18" w:rsidRPr="003B4D22" w:rsidRDefault="00C97F18" w:rsidP="00C97F18">
            <w:pPr>
              <w:spacing w:after="0" w:line="240" w:lineRule="auto"/>
              <w:jc w:val="center"/>
              <w:rPr>
                <w:rFonts w:ascii="Arial Narrow" w:hAnsi="Arial Narrow"/>
                <w:sz w:val="20"/>
              </w:rPr>
            </w:pPr>
            <w:r w:rsidRPr="003B4D22">
              <w:rPr>
                <w:rFonts w:ascii="Arial Narrow" w:hAnsi="Arial Narrow"/>
                <w:sz w:val="20"/>
              </w:rPr>
              <w:t>1</w:t>
            </w:r>
          </w:p>
        </w:tc>
        <w:tc>
          <w:tcPr>
            <w:tcW w:w="1038" w:type="pct"/>
            <w:gridSpan w:val="2"/>
            <w:tcBorders>
              <w:top w:val="nil"/>
              <w:left w:val="nil"/>
              <w:bottom w:val="nil"/>
              <w:right w:val="nil"/>
            </w:tcBorders>
            <w:shd w:val="clear" w:color="auto" w:fill="auto"/>
            <w:noWrap/>
          </w:tcPr>
          <w:p w14:paraId="17A01118" w14:textId="77777777" w:rsidR="00C97F18" w:rsidRPr="003B4D22" w:rsidRDefault="00C97F18" w:rsidP="00C97F18">
            <w:pPr>
              <w:spacing w:after="0" w:line="240" w:lineRule="auto"/>
              <w:ind w:right="-107"/>
              <w:jc w:val="center"/>
              <w:rPr>
                <w:rFonts w:ascii="Arial Narrow" w:hAnsi="Arial Narrow"/>
                <w:sz w:val="20"/>
              </w:rPr>
            </w:pPr>
            <w:r w:rsidRPr="003B4D22">
              <w:rPr>
                <w:rFonts w:ascii="Arial Narrow" w:hAnsi="Arial Narrow"/>
                <w:sz w:val="20"/>
              </w:rPr>
              <w:t>1</w:t>
            </w:r>
          </w:p>
        </w:tc>
        <w:tc>
          <w:tcPr>
            <w:tcW w:w="666" w:type="pct"/>
            <w:tcBorders>
              <w:top w:val="nil"/>
              <w:left w:val="nil"/>
              <w:bottom w:val="nil"/>
              <w:right w:val="single" w:sz="4" w:space="0" w:color="auto"/>
            </w:tcBorders>
          </w:tcPr>
          <w:p w14:paraId="72BC74D9" w14:textId="77777777" w:rsidR="00C97F18" w:rsidRPr="003B4D22" w:rsidRDefault="00C97F18" w:rsidP="00C97F18">
            <w:pPr>
              <w:spacing w:after="0" w:line="240" w:lineRule="auto"/>
              <w:jc w:val="right"/>
              <w:rPr>
                <w:rFonts w:ascii="Arial Narrow" w:hAnsi="Arial Narrow"/>
                <w:sz w:val="20"/>
              </w:rPr>
            </w:pPr>
          </w:p>
        </w:tc>
      </w:tr>
      <w:tr w:rsidR="00C97F18" w:rsidRPr="003B4D22" w14:paraId="0CD7FF60" w14:textId="77777777" w:rsidTr="003735E3">
        <w:tc>
          <w:tcPr>
            <w:tcW w:w="650" w:type="pct"/>
            <w:tcBorders>
              <w:top w:val="nil"/>
              <w:left w:val="single" w:sz="4" w:space="0" w:color="auto"/>
              <w:bottom w:val="nil"/>
              <w:right w:val="single" w:sz="4" w:space="0" w:color="auto"/>
            </w:tcBorders>
          </w:tcPr>
          <w:p w14:paraId="7BA3A178" w14:textId="77777777" w:rsidR="00C97F18" w:rsidRPr="003B4D22" w:rsidRDefault="00C97F18" w:rsidP="00C97F18">
            <w:pPr>
              <w:spacing w:after="0" w:line="240" w:lineRule="auto"/>
              <w:rPr>
                <w:rFonts w:ascii="Arial Narrow" w:hAnsi="Arial Narrow" w:cs="Calibri"/>
                <w:color w:val="000000"/>
                <w:sz w:val="20"/>
                <w:szCs w:val="20"/>
              </w:rPr>
            </w:pPr>
          </w:p>
        </w:tc>
        <w:tc>
          <w:tcPr>
            <w:tcW w:w="1706" w:type="pct"/>
            <w:tcBorders>
              <w:top w:val="nil"/>
              <w:left w:val="single" w:sz="4" w:space="0" w:color="auto"/>
              <w:right w:val="nil"/>
            </w:tcBorders>
            <w:shd w:val="clear" w:color="auto" w:fill="auto"/>
          </w:tcPr>
          <w:p w14:paraId="4F767DD1" w14:textId="77777777" w:rsidR="00C97F18" w:rsidRPr="003B4D22" w:rsidRDefault="00C97F18" w:rsidP="00331FB9">
            <w:pPr>
              <w:pStyle w:val="ListParagraph"/>
              <w:numPr>
                <w:ilvl w:val="0"/>
                <w:numId w:val="16"/>
              </w:numPr>
              <w:spacing w:after="0" w:line="240" w:lineRule="auto"/>
              <w:ind w:left="141" w:hanging="153"/>
              <w:rPr>
                <w:rFonts w:ascii="Arial Narrow" w:hAnsi="Arial Narrow"/>
                <w:sz w:val="20"/>
              </w:rPr>
            </w:pPr>
            <w:r w:rsidRPr="003B4D22">
              <w:rPr>
                <w:rFonts w:ascii="Arial Narrow" w:hAnsi="Arial Narrow"/>
                <w:sz w:val="20"/>
              </w:rPr>
              <w:t>Fungal</w:t>
            </w:r>
          </w:p>
        </w:tc>
        <w:tc>
          <w:tcPr>
            <w:tcW w:w="940" w:type="pct"/>
            <w:gridSpan w:val="2"/>
            <w:tcBorders>
              <w:top w:val="nil"/>
              <w:left w:val="nil"/>
              <w:right w:val="nil"/>
            </w:tcBorders>
            <w:shd w:val="clear" w:color="auto" w:fill="auto"/>
            <w:noWrap/>
          </w:tcPr>
          <w:p w14:paraId="0FC59345" w14:textId="77777777" w:rsidR="00C97F18" w:rsidRPr="003B4D22" w:rsidRDefault="00C97F18" w:rsidP="00C97F18">
            <w:pPr>
              <w:spacing w:after="0" w:line="240" w:lineRule="auto"/>
              <w:jc w:val="center"/>
              <w:rPr>
                <w:rFonts w:ascii="Arial Narrow" w:hAnsi="Arial Narrow"/>
                <w:sz w:val="20"/>
              </w:rPr>
            </w:pPr>
            <w:r w:rsidRPr="003B4D22">
              <w:rPr>
                <w:rFonts w:ascii="Arial Narrow" w:hAnsi="Arial Narrow"/>
                <w:sz w:val="20"/>
              </w:rPr>
              <w:t>1</w:t>
            </w:r>
          </w:p>
        </w:tc>
        <w:tc>
          <w:tcPr>
            <w:tcW w:w="1038" w:type="pct"/>
            <w:gridSpan w:val="2"/>
            <w:tcBorders>
              <w:top w:val="nil"/>
              <w:left w:val="nil"/>
              <w:right w:val="nil"/>
            </w:tcBorders>
            <w:shd w:val="clear" w:color="auto" w:fill="auto"/>
            <w:noWrap/>
          </w:tcPr>
          <w:p w14:paraId="29AF7777" w14:textId="77777777" w:rsidR="00C97F18" w:rsidRPr="003B4D22" w:rsidRDefault="00C97F18" w:rsidP="00C97F18">
            <w:pPr>
              <w:spacing w:after="0" w:line="240" w:lineRule="auto"/>
              <w:ind w:right="-107"/>
              <w:jc w:val="center"/>
              <w:rPr>
                <w:rFonts w:ascii="Arial Narrow" w:hAnsi="Arial Narrow"/>
                <w:sz w:val="20"/>
              </w:rPr>
            </w:pPr>
            <w:r w:rsidRPr="003B4D22">
              <w:rPr>
                <w:rFonts w:ascii="Arial Narrow" w:hAnsi="Arial Narrow"/>
                <w:sz w:val="20"/>
              </w:rPr>
              <w:t>0</w:t>
            </w:r>
          </w:p>
        </w:tc>
        <w:tc>
          <w:tcPr>
            <w:tcW w:w="666" w:type="pct"/>
            <w:tcBorders>
              <w:top w:val="nil"/>
              <w:left w:val="nil"/>
              <w:right w:val="single" w:sz="4" w:space="0" w:color="auto"/>
            </w:tcBorders>
          </w:tcPr>
          <w:p w14:paraId="4B86C8F3" w14:textId="77777777" w:rsidR="00C97F18" w:rsidRPr="003B4D22" w:rsidRDefault="00C97F18" w:rsidP="00C97F18">
            <w:pPr>
              <w:spacing w:after="0" w:line="240" w:lineRule="auto"/>
              <w:jc w:val="right"/>
              <w:rPr>
                <w:rFonts w:ascii="Arial Narrow" w:hAnsi="Arial Narrow"/>
                <w:sz w:val="20"/>
              </w:rPr>
            </w:pPr>
          </w:p>
        </w:tc>
      </w:tr>
      <w:tr w:rsidR="00C97F18" w:rsidRPr="00AE5BD5" w14:paraId="002C5EE0" w14:textId="77777777" w:rsidTr="003735E3">
        <w:tc>
          <w:tcPr>
            <w:tcW w:w="650" w:type="pct"/>
            <w:tcBorders>
              <w:top w:val="nil"/>
              <w:left w:val="single" w:sz="4" w:space="0" w:color="auto"/>
              <w:bottom w:val="nil"/>
              <w:right w:val="single" w:sz="4" w:space="0" w:color="auto"/>
            </w:tcBorders>
          </w:tcPr>
          <w:p w14:paraId="556CCB55" w14:textId="77777777" w:rsidR="00C97F18" w:rsidRPr="00AE5BD5" w:rsidRDefault="00C97F18" w:rsidP="00C97F18">
            <w:pPr>
              <w:spacing w:after="0" w:line="240" w:lineRule="auto"/>
              <w:rPr>
                <w:rFonts w:ascii="Arial Narrow" w:hAnsi="Arial Narrow" w:cs="Calibri"/>
                <w:b/>
                <w:color w:val="000000"/>
                <w:sz w:val="20"/>
                <w:szCs w:val="20"/>
              </w:rPr>
            </w:pPr>
          </w:p>
        </w:tc>
        <w:tc>
          <w:tcPr>
            <w:tcW w:w="1706" w:type="pct"/>
            <w:tcBorders>
              <w:top w:val="nil"/>
              <w:left w:val="single" w:sz="4" w:space="0" w:color="auto"/>
              <w:right w:val="nil"/>
            </w:tcBorders>
            <w:shd w:val="clear" w:color="auto" w:fill="auto"/>
          </w:tcPr>
          <w:p w14:paraId="49C16454" w14:textId="77777777" w:rsidR="00C97F18" w:rsidRPr="00AE5BD5" w:rsidRDefault="00C97F18" w:rsidP="00C97F18">
            <w:pPr>
              <w:spacing w:after="0" w:line="240" w:lineRule="auto"/>
              <w:rPr>
                <w:rFonts w:ascii="Arial Narrow" w:hAnsi="Arial Narrow"/>
                <w:b/>
                <w:sz w:val="20"/>
              </w:rPr>
            </w:pPr>
            <w:r w:rsidRPr="00AE5BD5">
              <w:rPr>
                <w:rFonts w:ascii="Arial Narrow" w:hAnsi="Arial Narrow"/>
                <w:b/>
                <w:sz w:val="20"/>
              </w:rPr>
              <w:t>Total major infections</w:t>
            </w:r>
          </w:p>
        </w:tc>
        <w:tc>
          <w:tcPr>
            <w:tcW w:w="940" w:type="pct"/>
            <w:gridSpan w:val="2"/>
            <w:tcBorders>
              <w:top w:val="nil"/>
              <w:left w:val="nil"/>
              <w:right w:val="nil"/>
            </w:tcBorders>
            <w:shd w:val="clear" w:color="auto" w:fill="auto"/>
            <w:noWrap/>
          </w:tcPr>
          <w:p w14:paraId="1B32CC4D" w14:textId="77777777" w:rsidR="00C97F18" w:rsidRPr="00AE5BD5" w:rsidRDefault="00C97F18" w:rsidP="00C97F18">
            <w:pPr>
              <w:spacing w:after="0" w:line="240" w:lineRule="auto"/>
              <w:jc w:val="center"/>
              <w:rPr>
                <w:rFonts w:ascii="Arial Narrow" w:hAnsi="Arial Narrow"/>
                <w:b/>
                <w:sz w:val="20"/>
              </w:rPr>
            </w:pPr>
            <w:r w:rsidRPr="00AE5BD5">
              <w:rPr>
                <w:rFonts w:ascii="Arial Narrow" w:hAnsi="Arial Narrow"/>
                <w:b/>
                <w:sz w:val="20"/>
              </w:rPr>
              <w:t>2</w:t>
            </w:r>
          </w:p>
        </w:tc>
        <w:tc>
          <w:tcPr>
            <w:tcW w:w="1038" w:type="pct"/>
            <w:gridSpan w:val="2"/>
            <w:tcBorders>
              <w:top w:val="nil"/>
              <w:left w:val="nil"/>
              <w:right w:val="nil"/>
            </w:tcBorders>
            <w:shd w:val="clear" w:color="auto" w:fill="auto"/>
            <w:noWrap/>
          </w:tcPr>
          <w:p w14:paraId="06D45B07" w14:textId="77777777" w:rsidR="00C97F18" w:rsidRPr="00AE5BD5" w:rsidRDefault="00C97F18" w:rsidP="00C97F18">
            <w:pPr>
              <w:spacing w:after="0" w:line="240" w:lineRule="auto"/>
              <w:ind w:right="-107"/>
              <w:jc w:val="center"/>
              <w:rPr>
                <w:rFonts w:ascii="Arial Narrow" w:hAnsi="Arial Narrow"/>
                <w:b/>
                <w:sz w:val="20"/>
              </w:rPr>
            </w:pPr>
            <w:r w:rsidRPr="00AE5BD5">
              <w:rPr>
                <w:rFonts w:ascii="Arial Narrow" w:hAnsi="Arial Narrow"/>
                <w:b/>
                <w:sz w:val="20"/>
              </w:rPr>
              <w:t>10</w:t>
            </w:r>
          </w:p>
        </w:tc>
        <w:tc>
          <w:tcPr>
            <w:tcW w:w="666" w:type="pct"/>
            <w:tcBorders>
              <w:top w:val="nil"/>
              <w:left w:val="nil"/>
              <w:right w:val="single" w:sz="4" w:space="0" w:color="auto"/>
            </w:tcBorders>
          </w:tcPr>
          <w:p w14:paraId="1BB4BFBC" w14:textId="77777777" w:rsidR="00C97F18" w:rsidRPr="00AE5BD5" w:rsidRDefault="00C97F18" w:rsidP="00C97F18">
            <w:pPr>
              <w:spacing w:after="0" w:line="240" w:lineRule="auto"/>
              <w:jc w:val="right"/>
              <w:rPr>
                <w:rFonts w:ascii="Arial Narrow" w:hAnsi="Arial Narrow"/>
                <w:b/>
                <w:sz w:val="20"/>
              </w:rPr>
            </w:pPr>
          </w:p>
        </w:tc>
      </w:tr>
      <w:tr w:rsidR="00C97F18" w:rsidRPr="003B4D22" w14:paraId="1831CC47" w14:textId="77777777" w:rsidTr="003735E3">
        <w:tc>
          <w:tcPr>
            <w:tcW w:w="650" w:type="pct"/>
            <w:tcBorders>
              <w:top w:val="nil"/>
              <w:left w:val="single" w:sz="4" w:space="0" w:color="auto"/>
              <w:bottom w:val="nil"/>
              <w:right w:val="single" w:sz="4" w:space="0" w:color="auto"/>
            </w:tcBorders>
          </w:tcPr>
          <w:p w14:paraId="0BC496AA" w14:textId="77777777" w:rsidR="00C97F18" w:rsidRPr="003B4D22" w:rsidRDefault="00C97F18" w:rsidP="00C97F18">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nil"/>
              <w:right w:val="nil"/>
            </w:tcBorders>
            <w:shd w:val="clear" w:color="auto" w:fill="auto"/>
          </w:tcPr>
          <w:p w14:paraId="0FD49F2C" w14:textId="77777777" w:rsidR="00C97F18" w:rsidRPr="00AE5BD5" w:rsidRDefault="00C97F18" w:rsidP="00C97F18">
            <w:pPr>
              <w:spacing w:after="0" w:line="240" w:lineRule="auto"/>
              <w:rPr>
                <w:rFonts w:ascii="Arial Narrow" w:hAnsi="Arial Narrow"/>
                <w:b/>
                <w:sz w:val="20"/>
              </w:rPr>
            </w:pPr>
            <w:r w:rsidRPr="00AE5BD5">
              <w:rPr>
                <w:rFonts w:ascii="Arial Narrow" w:hAnsi="Arial Narrow"/>
                <w:b/>
                <w:sz w:val="20"/>
              </w:rPr>
              <w:t>Moderate infections</w:t>
            </w:r>
          </w:p>
        </w:tc>
        <w:tc>
          <w:tcPr>
            <w:tcW w:w="940" w:type="pct"/>
            <w:gridSpan w:val="2"/>
            <w:tcBorders>
              <w:top w:val="single" w:sz="4" w:space="0" w:color="auto"/>
              <w:left w:val="nil"/>
              <w:bottom w:val="nil"/>
              <w:right w:val="nil"/>
            </w:tcBorders>
            <w:shd w:val="clear" w:color="auto" w:fill="auto"/>
            <w:noWrap/>
          </w:tcPr>
          <w:p w14:paraId="6AEB234A" w14:textId="77777777" w:rsidR="00C97F18" w:rsidRPr="003B4D22" w:rsidRDefault="00C97F18" w:rsidP="00C97F18">
            <w:pPr>
              <w:spacing w:after="0" w:line="240" w:lineRule="auto"/>
              <w:jc w:val="center"/>
              <w:rPr>
                <w:rFonts w:ascii="Arial Narrow" w:hAnsi="Arial Narrow"/>
                <w:sz w:val="20"/>
              </w:rPr>
            </w:pPr>
          </w:p>
        </w:tc>
        <w:tc>
          <w:tcPr>
            <w:tcW w:w="1038" w:type="pct"/>
            <w:gridSpan w:val="2"/>
            <w:tcBorders>
              <w:top w:val="single" w:sz="4" w:space="0" w:color="auto"/>
              <w:left w:val="nil"/>
              <w:bottom w:val="nil"/>
              <w:right w:val="nil"/>
            </w:tcBorders>
            <w:shd w:val="clear" w:color="auto" w:fill="auto"/>
            <w:noWrap/>
          </w:tcPr>
          <w:p w14:paraId="59B5B296" w14:textId="77777777" w:rsidR="00C97F18" w:rsidRPr="003B4D22" w:rsidRDefault="00C97F18" w:rsidP="00C97F18">
            <w:pPr>
              <w:spacing w:after="0" w:line="240" w:lineRule="auto"/>
              <w:ind w:right="-107"/>
              <w:jc w:val="center"/>
              <w:rPr>
                <w:rFonts w:ascii="Arial Narrow" w:hAnsi="Arial Narrow"/>
                <w:sz w:val="20"/>
              </w:rPr>
            </w:pPr>
          </w:p>
        </w:tc>
        <w:tc>
          <w:tcPr>
            <w:tcW w:w="666" w:type="pct"/>
            <w:tcBorders>
              <w:top w:val="single" w:sz="4" w:space="0" w:color="auto"/>
              <w:left w:val="nil"/>
              <w:bottom w:val="nil"/>
              <w:right w:val="single" w:sz="4" w:space="0" w:color="auto"/>
            </w:tcBorders>
          </w:tcPr>
          <w:p w14:paraId="2A910321" w14:textId="77777777" w:rsidR="00C97F18" w:rsidRPr="003B4D22" w:rsidRDefault="00C97F18" w:rsidP="00C97F18">
            <w:pPr>
              <w:spacing w:after="0" w:line="240" w:lineRule="auto"/>
              <w:jc w:val="right"/>
              <w:rPr>
                <w:rFonts w:ascii="Arial Narrow" w:hAnsi="Arial Narrow"/>
                <w:sz w:val="20"/>
              </w:rPr>
            </w:pPr>
          </w:p>
        </w:tc>
      </w:tr>
      <w:tr w:rsidR="00C97F18" w:rsidRPr="003B4D22" w14:paraId="21BC8076" w14:textId="77777777" w:rsidTr="003735E3">
        <w:tc>
          <w:tcPr>
            <w:tcW w:w="650" w:type="pct"/>
            <w:tcBorders>
              <w:top w:val="nil"/>
              <w:left w:val="single" w:sz="4" w:space="0" w:color="auto"/>
              <w:bottom w:val="nil"/>
              <w:right w:val="single" w:sz="4" w:space="0" w:color="auto"/>
            </w:tcBorders>
          </w:tcPr>
          <w:p w14:paraId="4976779D" w14:textId="77777777" w:rsidR="00C97F18" w:rsidRPr="003B4D22" w:rsidRDefault="00C97F18" w:rsidP="00C97F18">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nil"/>
            </w:tcBorders>
            <w:shd w:val="clear" w:color="auto" w:fill="auto"/>
          </w:tcPr>
          <w:p w14:paraId="60D7A83C" w14:textId="77777777" w:rsidR="00C97F18" w:rsidRPr="003B4D22" w:rsidRDefault="00C97F18" w:rsidP="00331FB9">
            <w:pPr>
              <w:pStyle w:val="ListParagraph"/>
              <w:numPr>
                <w:ilvl w:val="0"/>
                <w:numId w:val="16"/>
              </w:numPr>
              <w:spacing w:after="0" w:line="240" w:lineRule="auto"/>
              <w:ind w:left="141" w:hanging="153"/>
              <w:rPr>
                <w:rFonts w:ascii="Arial Narrow" w:hAnsi="Arial Narrow"/>
                <w:sz w:val="20"/>
              </w:rPr>
            </w:pPr>
            <w:r w:rsidRPr="003B4D22">
              <w:rPr>
                <w:rFonts w:ascii="Arial Narrow" w:hAnsi="Arial Narrow"/>
                <w:sz w:val="20"/>
              </w:rPr>
              <w:t>Bacterial</w:t>
            </w:r>
          </w:p>
        </w:tc>
        <w:tc>
          <w:tcPr>
            <w:tcW w:w="940" w:type="pct"/>
            <w:gridSpan w:val="2"/>
            <w:tcBorders>
              <w:top w:val="nil"/>
              <w:left w:val="nil"/>
              <w:bottom w:val="nil"/>
              <w:right w:val="nil"/>
            </w:tcBorders>
            <w:shd w:val="clear" w:color="auto" w:fill="auto"/>
            <w:noWrap/>
          </w:tcPr>
          <w:p w14:paraId="4C5DFCB5" w14:textId="77777777" w:rsidR="00C97F18" w:rsidRPr="003B4D22" w:rsidRDefault="00C97F18" w:rsidP="00C97F18">
            <w:pPr>
              <w:spacing w:after="0" w:line="240" w:lineRule="auto"/>
              <w:jc w:val="center"/>
              <w:rPr>
                <w:rFonts w:ascii="Arial Narrow" w:hAnsi="Arial Narrow"/>
                <w:sz w:val="20"/>
              </w:rPr>
            </w:pPr>
            <w:r w:rsidRPr="003B4D22">
              <w:rPr>
                <w:rFonts w:ascii="Arial Narrow" w:hAnsi="Arial Narrow"/>
                <w:sz w:val="20"/>
              </w:rPr>
              <w:t>3</w:t>
            </w:r>
          </w:p>
        </w:tc>
        <w:tc>
          <w:tcPr>
            <w:tcW w:w="1038" w:type="pct"/>
            <w:gridSpan w:val="2"/>
            <w:tcBorders>
              <w:top w:val="nil"/>
              <w:left w:val="nil"/>
              <w:bottom w:val="nil"/>
              <w:right w:val="nil"/>
            </w:tcBorders>
            <w:shd w:val="clear" w:color="auto" w:fill="auto"/>
            <w:noWrap/>
          </w:tcPr>
          <w:p w14:paraId="4CB48FB5" w14:textId="77777777" w:rsidR="00C97F18" w:rsidRPr="003B4D22" w:rsidRDefault="00C97F18" w:rsidP="00C97F18">
            <w:pPr>
              <w:spacing w:after="0" w:line="240" w:lineRule="auto"/>
              <w:ind w:right="-107"/>
              <w:jc w:val="center"/>
              <w:rPr>
                <w:rFonts w:ascii="Arial Narrow" w:hAnsi="Arial Narrow"/>
                <w:sz w:val="20"/>
              </w:rPr>
            </w:pPr>
            <w:r w:rsidRPr="003B4D22">
              <w:rPr>
                <w:rFonts w:ascii="Arial Narrow" w:hAnsi="Arial Narrow"/>
                <w:sz w:val="20"/>
              </w:rPr>
              <w:t>11</w:t>
            </w:r>
          </w:p>
        </w:tc>
        <w:tc>
          <w:tcPr>
            <w:tcW w:w="666" w:type="pct"/>
            <w:tcBorders>
              <w:top w:val="nil"/>
              <w:left w:val="nil"/>
              <w:bottom w:val="nil"/>
              <w:right w:val="single" w:sz="4" w:space="0" w:color="auto"/>
            </w:tcBorders>
          </w:tcPr>
          <w:p w14:paraId="45F9F86E" w14:textId="77777777" w:rsidR="00C97F18" w:rsidRPr="003B4D22" w:rsidRDefault="00C97F18" w:rsidP="00C97F18">
            <w:pPr>
              <w:spacing w:after="0" w:line="240" w:lineRule="auto"/>
              <w:jc w:val="right"/>
              <w:rPr>
                <w:rFonts w:ascii="Arial Narrow" w:hAnsi="Arial Narrow"/>
                <w:sz w:val="20"/>
              </w:rPr>
            </w:pPr>
          </w:p>
        </w:tc>
      </w:tr>
      <w:tr w:rsidR="00C97F18" w:rsidRPr="003B4D22" w14:paraId="2F2037BA" w14:textId="77777777" w:rsidTr="003735E3">
        <w:tc>
          <w:tcPr>
            <w:tcW w:w="650" w:type="pct"/>
            <w:tcBorders>
              <w:top w:val="nil"/>
              <w:left w:val="single" w:sz="4" w:space="0" w:color="auto"/>
              <w:bottom w:val="nil"/>
              <w:right w:val="single" w:sz="4" w:space="0" w:color="auto"/>
            </w:tcBorders>
          </w:tcPr>
          <w:p w14:paraId="5798E2F1" w14:textId="77777777" w:rsidR="00C97F18" w:rsidRPr="003B4D22" w:rsidRDefault="00C97F18" w:rsidP="00C97F18">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nil"/>
            </w:tcBorders>
            <w:shd w:val="clear" w:color="auto" w:fill="auto"/>
          </w:tcPr>
          <w:p w14:paraId="1F471A9C" w14:textId="77777777" w:rsidR="00C97F18" w:rsidRPr="003B4D22" w:rsidRDefault="00C97F18" w:rsidP="00331FB9">
            <w:pPr>
              <w:pStyle w:val="ListParagraph"/>
              <w:numPr>
                <w:ilvl w:val="0"/>
                <w:numId w:val="16"/>
              </w:numPr>
              <w:spacing w:after="0" w:line="240" w:lineRule="auto"/>
              <w:ind w:left="141" w:hanging="153"/>
              <w:rPr>
                <w:rFonts w:ascii="Arial Narrow" w:hAnsi="Arial Narrow"/>
                <w:sz w:val="20"/>
              </w:rPr>
            </w:pPr>
            <w:r w:rsidRPr="003B4D22">
              <w:rPr>
                <w:rFonts w:ascii="Arial Narrow" w:hAnsi="Arial Narrow"/>
                <w:sz w:val="20"/>
              </w:rPr>
              <w:t>Viral</w:t>
            </w:r>
          </w:p>
        </w:tc>
        <w:tc>
          <w:tcPr>
            <w:tcW w:w="940" w:type="pct"/>
            <w:gridSpan w:val="2"/>
            <w:tcBorders>
              <w:top w:val="nil"/>
              <w:left w:val="nil"/>
              <w:bottom w:val="nil"/>
              <w:right w:val="nil"/>
            </w:tcBorders>
            <w:shd w:val="clear" w:color="auto" w:fill="auto"/>
            <w:noWrap/>
          </w:tcPr>
          <w:p w14:paraId="05D48B19" w14:textId="77777777" w:rsidR="00C97F18" w:rsidRPr="003B4D22" w:rsidRDefault="00C97F18" w:rsidP="00C97F18">
            <w:pPr>
              <w:spacing w:after="0" w:line="240" w:lineRule="auto"/>
              <w:jc w:val="center"/>
              <w:rPr>
                <w:rFonts w:ascii="Arial Narrow" w:hAnsi="Arial Narrow"/>
                <w:sz w:val="20"/>
              </w:rPr>
            </w:pPr>
            <w:r w:rsidRPr="003B4D22">
              <w:rPr>
                <w:rFonts w:ascii="Arial Narrow" w:hAnsi="Arial Narrow"/>
                <w:sz w:val="20"/>
              </w:rPr>
              <w:t>3</w:t>
            </w:r>
          </w:p>
        </w:tc>
        <w:tc>
          <w:tcPr>
            <w:tcW w:w="1038" w:type="pct"/>
            <w:gridSpan w:val="2"/>
            <w:tcBorders>
              <w:top w:val="nil"/>
              <w:left w:val="nil"/>
              <w:bottom w:val="nil"/>
              <w:right w:val="nil"/>
            </w:tcBorders>
            <w:shd w:val="clear" w:color="auto" w:fill="auto"/>
            <w:noWrap/>
          </w:tcPr>
          <w:p w14:paraId="45E8E8F1" w14:textId="77777777" w:rsidR="00C97F18" w:rsidRPr="003B4D22" w:rsidRDefault="00C97F18" w:rsidP="00C97F18">
            <w:pPr>
              <w:spacing w:after="0" w:line="240" w:lineRule="auto"/>
              <w:ind w:right="-107"/>
              <w:jc w:val="center"/>
              <w:rPr>
                <w:rFonts w:ascii="Arial Narrow" w:hAnsi="Arial Narrow"/>
                <w:sz w:val="20"/>
              </w:rPr>
            </w:pPr>
            <w:r w:rsidRPr="003B4D22">
              <w:rPr>
                <w:rFonts w:ascii="Arial Narrow" w:hAnsi="Arial Narrow"/>
                <w:sz w:val="20"/>
              </w:rPr>
              <w:t>0</w:t>
            </w:r>
          </w:p>
        </w:tc>
        <w:tc>
          <w:tcPr>
            <w:tcW w:w="666" w:type="pct"/>
            <w:tcBorders>
              <w:top w:val="nil"/>
              <w:left w:val="nil"/>
              <w:bottom w:val="nil"/>
              <w:right w:val="single" w:sz="4" w:space="0" w:color="auto"/>
            </w:tcBorders>
          </w:tcPr>
          <w:p w14:paraId="133D3B7F" w14:textId="77777777" w:rsidR="00C97F18" w:rsidRPr="003B4D22" w:rsidRDefault="00C97F18" w:rsidP="00C97F18">
            <w:pPr>
              <w:spacing w:after="0" w:line="240" w:lineRule="auto"/>
              <w:jc w:val="right"/>
              <w:rPr>
                <w:rFonts w:ascii="Arial Narrow" w:hAnsi="Arial Narrow"/>
                <w:sz w:val="20"/>
              </w:rPr>
            </w:pPr>
          </w:p>
        </w:tc>
      </w:tr>
      <w:tr w:rsidR="00C97F18" w:rsidRPr="003B4D22" w14:paraId="09C8190B" w14:textId="77777777" w:rsidTr="003735E3">
        <w:tc>
          <w:tcPr>
            <w:tcW w:w="650" w:type="pct"/>
            <w:tcBorders>
              <w:top w:val="nil"/>
              <w:left w:val="single" w:sz="4" w:space="0" w:color="auto"/>
              <w:bottom w:val="nil"/>
              <w:right w:val="single" w:sz="4" w:space="0" w:color="auto"/>
            </w:tcBorders>
          </w:tcPr>
          <w:p w14:paraId="0206A414" w14:textId="77777777" w:rsidR="00C97F18" w:rsidRPr="003B4D22" w:rsidRDefault="00C97F18" w:rsidP="00C97F18">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nil"/>
            </w:tcBorders>
            <w:shd w:val="clear" w:color="auto" w:fill="auto"/>
          </w:tcPr>
          <w:p w14:paraId="53D14E02" w14:textId="77777777" w:rsidR="00C97F18" w:rsidRPr="003B4D22" w:rsidRDefault="00C97F18" w:rsidP="00331FB9">
            <w:pPr>
              <w:pStyle w:val="ListParagraph"/>
              <w:numPr>
                <w:ilvl w:val="0"/>
                <w:numId w:val="16"/>
              </w:numPr>
              <w:spacing w:after="0" w:line="240" w:lineRule="auto"/>
              <w:ind w:left="141" w:hanging="153"/>
              <w:rPr>
                <w:rFonts w:ascii="Arial Narrow" w:hAnsi="Arial Narrow"/>
                <w:sz w:val="20"/>
              </w:rPr>
            </w:pPr>
            <w:r w:rsidRPr="003B4D22">
              <w:rPr>
                <w:rFonts w:ascii="Arial Narrow" w:hAnsi="Arial Narrow"/>
                <w:sz w:val="20"/>
              </w:rPr>
              <w:t>Fungal</w:t>
            </w:r>
          </w:p>
        </w:tc>
        <w:tc>
          <w:tcPr>
            <w:tcW w:w="940" w:type="pct"/>
            <w:gridSpan w:val="2"/>
            <w:tcBorders>
              <w:top w:val="nil"/>
              <w:left w:val="nil"/>
              <w:bottom w:val="nil"/>
              <w:right w:val="nil"/>
            </w:tcBorders>
            <w:shd w:val="clear" w:color="auto" w:fill="auto"/>
            <w:noWrap/>
          </w:tcPr>
          <w:p w14:paraId="1FAA8C28" w14:textId="77777777" w:rsidR="00C97F18" w:rsidRPr="003B4D22" w:rsidRDefault="00C97F18" w:rsidP="00C97F18">
            <w:pPr>
              <w:spacing w:after="0" w:line="240" w:lineRule="auto"/>
              <w:jc w:val="center"/>
              <w:rPr>
                <w:rFonts w:ascii="Arial Narrow" w:hAnsi="Arial Narrow"/>
                <w:sz w:val="20"/>
              </w:rPr>
            </w:pPr>
            <w:r w:rsidRPr="003B4D22">
              <w:rPr>
                <w:rFonts w:ascii="Arial Narrow" w:hAnsi="Arial Narrow"/>
                <w:sz w:val="20"/>
              </w:rPr>
              <w:t>0</w:t>
            </w:r>
          </w:p>
        </w:tc>
        <w:tc>
          <w:tcPr>
            <w:tcW w:w="1038" w:type="pct"/>
            <w:gridSpan w:val="2"/>
            <w:tcBorders>
              <w:top w:val="nil"/>
              <w:left w:val="nil"/>
              <w:bottom w:val="nil"/>
              <w:right w:val="nil"/>
            </w:tcBorders>
            <w:shd w:val="clear" w:color="auto" w:fill="auto"/>
            <w:noWrap/>
          </w:tcPr>
          <w:p w14:paraId="6CCF9473" w14:textId="77777777" w:rsidR="00C97F18" w:rsidRPr="003B4D22" w:rsidRDefault="00C97F18" w:rsidP="00C97F18">
            <w:pPr>
              <w:spacing w:after="0" w:line="240" w:lineRule="auto"/>
              <w:ind w:right="-107"/>
              <w:jc w:val="center"/>
              <w:rPr>
                <w:rFonts w:ascii="Arial Narrow" w:hAnsi="Arial Narrow"/>
                <w:sz w:val="20"/>
              </w:rPr>
            </w:pPr>
            <w:r w:rsidRPr="003B4D22">
              <w:rPr>
                <w:rFonts w:ascii="Arial Narrow" w:hAnsi="Arial Narrow"/>
                <w:sz w:val="20"/>
              </w:rPr>
              <w:t>1</w:t>
            </w:r>
          </w:p>
        </w:tc>
        <w:tc>
          <w:tcPr>
            <w:tcW w:w="666" w:type="pct"/>
            <w:tcBorders>
              <w:top w:val="nil"/>
              <w:left w:val="nil"/>
              <w:bottom w:val="nil"/>
              <w:right w:val="single" w:sz="4" w:space="0" w:color="auto"/>
            </w:tcBorders>
          </w:tcPr>
          <w:p w14:paraId="727EE946" w14:textId="77777777" w:rsidR="00C97F18" w:rsidRPr="003B4D22" w:rsidRDefault="00C97F18" w:rsidP="00C97F18">
            <w:pPr>
              <w:spacing w:after="0" w:line="240" w:lineRule="auto"/>
              <w:jc w:val="right"/>
              <w:rPr>
                <w:rFonts w:ascii="Arial Narrow" w:hAnsi="Arial Narrow"/>
                <w:sz w:val="20"/>
              </w:rPr>
            </w:pPr>
          </w:p>
        </w:tc>
      </w:tr>
      <w:tr w:rsidR="00C97F18" w:rsidRPr="003B4D22" w14:paraId="10B23934" w14:textId="77777777" w:rsidTr="003735E3">
        <w:tc>
          <w:tcPr>
            <w:tcW w:w="650" w:type="pct"/>
            <w:tcBorders>
              <w:top w:val="nil"/>
              <w:left w:val="single" w:sz="4" w:space="0" w:color="auto"/>
              <w:bottom w:val="nil"/>
              <w:right w:val="single" w:sz="4" w:space="0" w:color="auto"/>
            </w:tcBorders>
          </w:tcPr>
          <w:p w14:paraId="5C758327" w14:textId="77777777" w:rsidR="00C97F18" w:rsidRPr="003B4D22" w:rsidRDefault="00C97F18" w:rsidP="00C97F18">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nil"/>
            </w:tcBorders>
            <w:shd w:val="clear" w:color="auto" w:fill="auto"/>
          </w:tcPr>
          <w:p w14:paraId="233545F0" w14:textId="77777777" w:rsidR="00C97F18" w:rsidRPr="003B4D22" w:rsidRDefault="00C97F18" w:rsidP="00331FB9">
            <w:pPr>
              <w:pStyle w:val="ListParagraph"/>
              <w:numPr>
                <w:ilvl w:val="0"/>
                <w:numId w:val="16"/>
              </w:numPr>
              <w:spacing w:after="0" w:line="240" w:lineRule="auto"/>
              <w:ind w:left="141" w:hanging="153"/>
              <w:rPr>
                <w:rFonts w:ascii="Arial Narrow" w:hAnsi="Arial Narrow"/>
                <w:sz w:val="20"/>
              </w:rPr>
            </w:pPr>
            <w:r w:rsidRPr="003B4D22">
              <w:rPr>
                <w:rFonts w:ascii="Arial Narrow" w:hAnsi="Arial Narrow"/>
                <w:sz w:val="20"/>
              </w:rPr>
              <w:t>Unknown infection</w:t>
            </w:r>
          </w:p>
        </w:tc>
        <w:tc>
          <w:tcPr>
            <w:tcW w:w="940" w:type="pct"/>
            <w:gridSpan w:val="2"/>
            <w:tcBorders>
              <w:top w:val="nil"/>
              <w:left w:val="nil"/>
              <w:bottom w:val="nil"/>
              <w:right w:val="nil"/>
            </w:tcBorders>
            <w:shd w:val="clear" w:color="auto" w:fill="auto"/>
            <w:noWrap/>
          </w:tcPr>
          <w:p w14:paraId="4DC8C8B3" w14:textId="77777777" w:rsidR="00C97F18" w:rsidRPr="003B4D22" w:rsidRDefault="00C97F18" w:rsidP="00C97F18">
            <w:pPr>
              <w:spacing w:after="0" w:line="240" w:lineRule="auto"/>
              <w:jc w:val="center"/>
              <w:rPr>
                <w:rFonts w:ascii="Arial Narrow" w:hAnsi="Arial Narrow"/>
                <w:sz w:val="20"/>
              </w:rPr>
            </w:pPr>
            <w:r w:rsidRPr="003B4D22">
              <w:rPr>
                <w:rFonts w:ascii="Arial Narrow" w:hAnsi="Arial Narrow"/>
                <w:sz w:val="20"/>
              </w:rPr>
              <w:t>1</w:t>
            </w:r>
          </w:p>
        </w:tc>
        <w:tc>
          <w:tcPr>
            <w:tcW w:w="1038" w:type="pct"/>
            <w:gridSpan w:val="2"/>
            <w:tcBorders>
              <w:top w:val="nil"/>
              <w:left w:val="nil"/>
              <w:bottom w:val="nil"/>
              <w:right w:val="nil"/>
            </w:tcBorders>
            <w:shd w:val="clear" w:color="auto" w:fill="auto"/>
            <w:noWrap/>
          </w:tcPr>
          <w:p w14:paraId="2AC863EE" w14:textId="77777777" w:rsidR="00C97F18" w:rsidRPr="003B4D22" w:rsidRDefault="00C97F18" w:rsidP="00C97F18">
            <w:pPr>
              <w:spacing w:after="0" w:line="240" w:lineRule="auto"/>
              <w:ind w:right="-107"/>
              <w:jc w:val="center"/>
              <w:rPr>
                <w:rFonts w:ascii="Arial Narrow" w:hAnsi="Arial Narrow"/>
                <w:sz w:val="20"/>
              </w:rPr>
            </w:pPr>
            <w:r w:rsidRPr="003B4D22">
              <w:rPr>
                <w:rFonts w:ascii="Arial Narrow" w:hAnsi="Arial Narrow"/>
                <w:sz w:val="20"/>
              </w:rPr>
              <w:t>1</w:t>
            </w:r>
          </w:p>
        </w:tc>
        <w:tc>
          <w:tcPr>
            <w:tcW w:w="666" w:type="pct"/>
            <w:tcBorders>
              <w:top w:val="nil"/>
              <w:left w:val="nil"/>
              <w:bottom w:val="nil"/>
              <w:right w:val="single" w:sz="4" w:space="0" w:color="auto"/>
            </w:tcBorders>
          </w:tcPr>
          <w:p w14:paraId="64AE6053" w14:textId="77777777" w:rsidR="00C97F18" w:rsidRPr="003B4D22" w:rsidRDefault="00C97F18" w:rsidP="00C97F18">
            <w:pPr>
              <w:spacing w:after="0" w:line="240" w:lineRule="auto"/>
              <w:jc w:val="right"/>
              <w:rPr>
                <w:rFonts w:ascii="Arial Narrow" w:hAnsi="Arial Narrow"/>
                <w:sz w:val="20"/>
              </w:rPr>
            </w:pPr>
          </w:p>
        </w:tc>
      </w:tr>
      <w:tr w:rsidR="00C97F18" w:rsidRPr="00AE5BD5" w14:paraId="61C7A125" w14:textId="77777777" w:rsidTr="003735E3">
        <w:tc>
          <w:tcPr>
            <w:tcW w:w="650" w:type="pct"/>
            <w:tcBorders>
              <w:top w:val="nil"/>
              <w:left w:val="single" w:sz="4" w:space="0" w:color="auto"/>
              <w:bottom w:val="nil"/>
              <w:right w:val="single" w:sz="4" w:space="0" w:color="auto"/>
            </w:tcBorders>
          </w:tcPr>
          <w:p w14:paraId="20494CB2" w14:textId="77777777" w:rsidR="00C97F18" w:rsidRPr="00AE5BD5" w:rsidRDefault="00C97F18" w:rsidP="00C97F18">
            <w:pPr>
              <w:spacing w:after="0" w:line="240" w:lineRule="auto"/>
              <w:rPr>
                <w:rFonts w:ascii="Arial Narrow" w:hAnsi="Arial Narrow" w:cs="Calibri"/>
                <w:b/>
                <w:color w:val="000000"/>
                <w:sz w:val="20"/>
                <w:szCs w:val="20"/>
              </w:rPr>
            </w:pPr>
          </w:p>
        </w:tc>
        <w:tc>
          <w:tcPr>
            <w:tcW w:w="1706" w:type="pct"/>
            <w:tcBorders>
              <w:top w:val="nil"/>
              <w:left w:val="single" w:sz="4" w:space="0" w:color="auto"/>
              <w:bottom w:val="single" w:sz="4" w:space="0" w:color="auto"/>
              <w:right w:val="nil"/>
            </w:tcBorders>
            <w:shd w:val="clear" w:color="auto" w:fill="auto"/>
          </w:tcPr>
          <w:p w14:paraId="3710031C" w14:textId="77777777" w:rsidR="00C97F18" w:rsidRPr="00AE5BD5" w:rsidRDefault="00C97F18" w:rsidP="00C97F18">
            <w:pPr>
              <w:spacing w:after="0" w:line="240" w:lineRule="auto"/>
              <w:rPr>
                <w:rFonts w:ascii="Arial Narrow" w:hAnsi="Arial Narrow"/>
                <w:b/>
                <w:sz w:val="20"/>
              </w:rPr>
            </w:pPr>
            <w:r w:rsidRPr="00AE5BD5">
              <w:rPr>
                <w:rFonts w:ascii="Arial Narrow" w:hAnsi="Arial Narrow"/>
                <w:b/>
                <w:sz w:val="20"/>
              </w:rPr>
              <w:t>Total moderate infections</w:t>
            </w:r>
          </w:p>
        </w:tc>
        <w:tc>
          <w:tcPr>
            <w:tcW w:w="940" w:type="pct"/>
            <w:gridSpan w:val="2"/>
            <w:tcBorders>
              <w:top w:val="nil"/>
              <w:left w:val="nil"/>
              <w:bottom w:val="single" w:sz="4" w:space="0" w:color="auto"/>
              <w:right w:val="nil"/>
            </w:tcBorders>
            <w:shd w:val="clear" w:color="auto" w:fill="auto"/>
            <w:noWrap/>
          </w:tcPr>
          <w:p w14:paraId="7C5416B8" w14:textId="77777777" w:rsidR="00C97F18" w:rsidRPr="00AE5BD5" w:rsidRDefault="00C97F18" w:rsidP="00C97F18">
            <w:pPr>
              <w:spacing w:after="0" w:line="240" w:lineRule="auto"/>
              <w:jc w:val="center"/>
              <w:rPr>
                <w:rFonts w:ascii="Arial Narrow" w:hAnsi="Arial Narrow"/>
                <w:b/>
                <w:sz w:val="20"/>
              </w:rPr>
            </w:pPr>
            <w:r w:rsidRPr="00AE5BD5">
              <w:rPr>
                <w:rFonts w:ascii="Arial Narrow" w:hAnsi="Arial Narrow"/>
                <w:b/>
                <w:sz w:val="20"/>
              </w:rPr>
              <w:t>7</w:t>
            </w:r>
          </w:p>
        </w:tc>
        <w:tc>
          <w:tcPr>
            <w:tcW w:w="1038" w:type="pct"/>
            <w:gridSpan w:val="2"/>
            <w:tcBorders>
              <w:top w:val="nil"/>
              <w:left w:val="nil"/>
              <w:bottom w:val="single" w:sz="4" w:space="0" w:color="auto"/>
              <w:right w:val="nil"/>
            </w:tcBorders>
            <w:shd w:val="clear" w:color="auto" w:fill="auto"/>
            <w:noWrap/>
          </w:tcPr>
          <w:p w14:paraId="40F890F9" w14:textId="77777777" w:rsidR="00C97F18" w:rsidRPr="00AE5BD5" w:rsidRDefault="00C97F18" w:rsidP="00C97F18">
            <w:pPr>
              <w:spacing w:after="0" w:line="240" w:lineRule="auto"/>
              <w:ind w:right="-107"/>
              <w:jc w:val="center"/>
              <w:rPr>
                <w:rFonts w:ascii="Arial Narrow" w:hAnsi="Arial Narrow"/>
                <w:b/>
                <w:sz w:val="20"/>
              </w:rPr>
            </w:pPr>
            <w:r w:rsidRPr="00AE5BD5">
              <w:rPr>
                <w:rFonts w:ascii="Arial Narrow" w:hAnsi="Arial Narrow"/>
                <w:b/>
                <w:sz w:val="20"/>
              </w:rPr>
              <w:t>13</w:t>
            </w:r>
          </w:p>
        </w:tc>
        <w:tc>
          <w:tcPr>
            <w:tcW w:w="666" w:type="pct"/>
            <w:tcBorders>
              <w:top w:val="nil"/>
              <w:left w:val="nil"/>
              <w:bottom w:val="single" w:sz="4" w:space="0" w:color="auto"/>
              <w:right w:val="single" w:sz="4" w:space="0" w:color="auto"/>
            </w:tcBorders>
          </w:tcPr>
          <w:p w14:paraId="1ADE6B50" w14:textId="77777777" w:rsidR="00C97F18" w:rsidRPr="00AE5BD5" w:rsidRDefault="00C97F18" w:rsidP="00C97F18">
            <w:pPr>
              <w:spacing w:after="0" w:line="240" w:lineRule="auto"/>
              <w:jc w:val="right"/>
              <w:rPr>
                <w:rFonts w:ascii="Arial Narrow" w:hAnsi="Arial Narrow"/>
                <w:b/>
                <w:sz w:val="20"/>
              </w:rPr>
            </w:pPr>
          </w:p>
        </w:tc>
      </w:tr>
      <w:tr w:rsidR="00AE5BD5" w:rsidRPr="003B4D22" w14:paraId="51F7DADB" w14:textId="77777777" w:rsidTr="00AE5BD5">
        <w:tc>
          <w:tcPr>
            <w:tcW w:w="650" w:type="pct"/>
            <w:tcBorders>
              <w:top w:val="nil"/>
              <w:left w:val="single" w:sz="4" w:space="0" w:color="auto"/>
              <w:bottom w:val="nil"/>
              <w:right w:val="single" w:sz="4" w:space="0" w:color="auto"/>
            </w:tcBorders>
          </w:tcPr>
          <w:p w14:paraId="427DF46A"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single" w:sz="4" w:space="0" w:color="auto"/>
              <w:right w:val="nil"/>
            </w:tcBorders>
            <w:shd w:val="clear" w:color="auto" w:fill="auto"/>
          </w:tcPr>
          <w:p w14:paraId="75165687" w14:textId="77777777" w:rsidR="00AE5BD5" w:rsidRPr="00AE5BD5" w:rsidRDefault="00AE5BD5" w:rsidP="00AE5BD5">
            <w:pPr>
              <w:spacing w:after="0" w:line="240" w:lineRule="auto"/>
              <w:rPr>
                <w:rFonts w:ascii="Arial Narrow" w:hAnsi="Arial Narrow"/>
                <w:b/>
                <w:sz w:val="20"/>
              </w:rPr>
            </w:pPr>
            <w:r w:rsidRPr="00AE5BD5">
              <w:rPr>
                <w:rFonts w:ascii="Arial Narrow" w:hAnsi="Arial Narrow"/>
                <w:b/>
                <w:sz w:val="20"/>
              </w:rPr>
              <w:t>Trivial infections</w:t>
            </w:r>
          </w:p>
        </w:tc>
        <w:tc>
          <w:tcPr>
            <w:tcW w:w="940" w:type="pct"/>
            <w:gridSpan w:val="2"/>
            <w:tcBorders>
              <w:top w:val="single" w:sz="4" w:space="0" w:color="auto"/>
              <w:left w:val="nil"/>
              <w:bottom w:val="single" w:sz="4" w:space="0" w:color="auto"/>
              <w:right w:val="nil"/>
            </w:tcBorders>
            <w:shd w:val="clear" w:color="auto" w:fill="auto"/>
            <w:noWrap/>
          </w:tcPr>
          <w:p w14:paraId="750278F1" w14:textId="678EC71B" w:rsidR="00AE5BD5" w:rsidRPr="003B4D22" w:rsidRDefault="00AE5BD5" w:rsidP="00AE5BD5">
            <w:pPr>
              <w:spacing w:after="0" w:line="240" w:lineRule="auto"/>
              <w:jc w:val="center"/>
              <w:rPr>
                <w:rFonts w:ascii="Arial Narrow" w:hAnsi="Arial Narrow"/>
                <w:sz w:val="20"/>
              </w:rPr>
            </w:pPr>
            <w:r w:rsidRPr="00AE5BD5">
              <w:rPr>
                <w:rFonts w:ascii="Arial Narrow" w:hAnsi="Arial Narrow"/>
                <w:b/>
                <w:sz w:val="20"/>
              </w:rPr>
              <w:t>23</w:t>
            </w:r>
          </w:p>
        </w:tc>
        <w:tc>
          <w:tcPr>
            <w:tcW w:w="1038" w:type="pct"/>
            <w:gridSpan w:val="2"/>
            <w:tcBorders>
              <w:top w:val="single" w:sz="4" w:space="0" w:color="auto"/>
              <w:left w:val="nil"/>
              <w:bottom w:val="single" w:sz="4" w:space="0" w:color="auto"/>
              <w:right w:val="nil"/>
            </w:tcBorders>
            <w:shd w:val="clear" w:color="auto" w:fill="auto"/>
            <w:noWrap/>
          </w:tcPr>
          <w:p w14:paraId="7AE6B826" w14:textId="6B794C4B" w:rsidR="00AE5BD5" w:rsidRPr="003B4D22" w:rsidRDefault="00AE5BD5" w:rsidP="00AE5BD5">
            <w:pPr>
              <w:spacing w:after="0" w:line="240" w:lineRule="auto"/>
              <w:ind w:right="-107"/>
              <w:jc w:val="center"/>
              <w:rPr>
                <w:rFonts w:ascii="Arial Narrow" w:hAnsi="Arial Narrow"/>
                <w:sz w:val="20"/>
              </w:rPr>
            </w:pPr>
            <w:r w:rsidRPr="00AE5BD5">
              <w:rPr>
                <w:rFonts w:ascii="Arial Narrow" w:hAnsi="Arial Narrow"/>
                <w:b/>
                <w:sz w:val="20"/>
              </w:rPr>
              <w:t>22</w:t>
            </w:r>
          </w:p>
        </w:tc>
        <w:tc>
          <w:tcPr>
            <w:tcW w:w="666" w:type="pct"/>
            <w:tcBorders>
              <w:top w:val="single" w:sz="4" w:space="0" w:color="auto"/>
              <w:left w:val="nil"/>
              <w:bottom w:val="single" w:sz="4" w:space="0" w:color="auto"/>
              <w:right w:val="single" w:sz="4" w:space="0" w:color="auto"/>
            </w:tcBorders>
          </w:tcPr>
          <w:p w14:paraId="00337ABA" w14:textId="77777777" w:rsidR="00AE5BD5" w:rsidRPr="003B4D22" w:rsidRDefault="00AE5BD5" w:rsidP="00AE5BD5">
            <w:pPr>
              <w:spacing w:after="0" w:line="240" w:lineRule="auto"/>
              <w:jc w:val="right"/>
              <w:rPr>
                <w:rFonts w:ascii="Arial Narrow" w:hAnsi="Arial Narrow"/>
                <w:sz w:val="20"/>
              </w:rPr>
            </w:pPr>
          </w:p>
        </w:tc>
      </w:tr>
      <w:tr w:rsidR="00AE5BD5" w:rsidRPr="00AE5BD5" w14:paraId="3BF99842" w14:textId="77777777" w:rsidTr="00AE5BD5">
        <w:tc>
          <w:tcPr>
            <w:tcW w:w="650" w:type="pct"/>
            <w:tcBorders>
              <w:top w:val="nil"/>
              <w:left w:val="single" w:sz="4" w:space="0" w:color="auto"/>
              <w:bottom w:val="single" w:sz="4" w:space="0" w:color="auto"/>
              <w:right w:val="single" w:sz="4" w:space="0" w:color="auto"/>
            </w:tcBorders>
          </w:tcPr>
          <w:p w14:paraId="2C93E09F" w14:textId="77777777" w:rsidR="00AE5BD5" w:rsidRPr="00AE5BD5" w:rsidRDefault="00AE5BD5" w:rsidP="00AE5BD5">
            <w:pPr>
              <w:spacing w:after="0" w:line="240" w:lineRule="auto"/>
              <w:rPr>
                <w:rFonts w:ascii="Arial Narrow" w:hAnsi="Arial Narrow" w:cs="Calibri"/>
                <w:b/>
                <w:i/>
                <w:color w:val="000000"/>
                <w:sz w:val="20"/>
                <w:szCs w:val="20"/>
              </w:rPr>
            </w:pPr>
          </w:p>
        </w:tc>
        <w:tc>
          <w:tcPr>
            <w:tcW w:w="1706" w:type="pct"/>
            <w:tcBorders>
              <w:top w:val="single" w:sz="4" w:space="0" w:color="auto"/>
              <w:left w:val="single" w:sz="4" w:space="0" w:color="auto"/>
              <w:bottom w:val="single" w:sz="4" w:space="0" w:color="auto"/>
              <w:right w:val="nil"/>
            </w:tcBorders>
            <w:shd w:val="clear" w:color="auto" w:fill="auto"/>
          </w:tcPr>
          <w:p w14:paraId="401D0C8D" w14:textId="3F615989" w:rsidR="00AE5BD5" w:rsidRPr="00AE5BD5" w:rsidRDefault="00AE5BD5" w:rsidP="00AE5BD5">
            <w:pPr>
              <w:spacing w:after="0" w:line="240" w:lineRule="auto"/>
              <w:rPr>
                <w:rFonts w:ascii="Arial Narrow" w:hAnsi="Arial Narrow"/>
                <w:b/>
                <w:i/>
                <w:sz w:val="20"/>
              </w:rPr>
            </w:pPr>
            <w:r w:rsidRPr="00AE5BD5">
              <w:rPr>
                <w:rFonts w:ascii="Arial Narrow" w:hAnsi="Arial Narrow"/>
                <w:b/>
                <w:i/>
                <w:sz w:val="20"/>
              </w:rPr>
              <w:t>Total overall infections</w:t>
            </w:r>
          </w:p>
        </w:tc>
        <w:tc>
          <w:tcPr>
            <w:tcW w:w="940" w:type="pct"/>
            <w:gridSpan w:val="2"/>
            <w:tcBorders>
              <w:top w:val="single" w:sz="4" w:space="0" w:color="auto"/>
              <w:left w:val="nil"/>
              <w:bottom w:val="single" w:sz="4" w:space="0" w:color="auto"/>
              <w:right w:val="nil"/>
            </w:tcBorders>
            <w:shd w:val="clear" w:color="auto" w:fill="auto"/>
            <w:noWrap/>
          </w:tcPr>
          <w:p w14:paraId="3577606E" w14:textId="6EE09476" w:rsidR="00AE5BD5" w:rsidRPr="00AE5BD5" w:rsidRDefault="00AE5BD5" w:rsidP="00AE5BD5">
            <w:pPr>
              <w:spacing w:after="0" w:line="240" w:lineRule="auto"/>
              <w:jc w:val="center"/>
              <w:rPr>
                <w:rFonts w:ascii="Arial Narrow" w:hAnsi="Arial Narrow"/>
                <w:b/>
                <w:i/>
                <w:sz w:val="20"/>
              </w:rPr>
            </w:pPr>
            <w:r w:rsidRPr="00AE5BD5">
              <w:rPr>
                <w:rFonts w:ascii="Arial Narrow" w:hAnsi="Arial Narrow"/>
                <w:b/>
                <w:i/>
                <w:sz w:val="20"/>
              </w:rPr>
              <w:t>32</w:t>
            </w:r>
          </w:p>
        </w:tc>
        <w:tc>
          <w:tcPr>
            <w:tcW w:w="1038" w:type="pct"/>
            <w:gridSpan w:val="2"/>
            <w:tcBorders>
              <w:top w:val="single" w:sz="4" w:space="0" w:color="auto"/>
              <w:left w:val="nil"/>
              <w:bottom w:val="single" w:sz="4" w:space="0" w:color="auto"/>
              <w:right w:val="nil"/>
            </w:tcBorders>
            <w:shd w:val="clear" w:color="auto" w:fill="auto"/>
            <w:noWrap/>
          </w:tcPr>
          <w:p w14:paraId="3FBB2252" w14:textId="4641CB49" w:rsidR="00AE5BD5" w:rsidRPr="00AE5BD5" w:rsidRDefault="00AE5BD5" w:rsidP="00AE5BD5">
            <w:pPr>
              <w:spacing w:after="0" w:line="240" w:lineRule="auto"/>
              <w:ind w:right="-107"/>
              <w:jc w:val="center"/>
              <w:rPr>
                <w:rFonts w:ascii="Arial Narrow" w:hAnsi="Arial Narrow"/>
                <w:b/>
                <w:i/>
                <w:sz w:val="20"/>
              </w:rPr>
            </w:pPr>
            <w:r>
              <w:rPr>
                <w:rFonts w:ascii="Arial Narrow" w:hAnsi="Arial Narrow"/>
                <w:b/>
                <w:i/>
                <w:sz w:val="20"/>
              </w:rPr>
              <w:t>45</w:t>
            </w:r>
          </w:p>
        </w:tc>
        <w:tc>
          <w:tcPr>
            <w:tcW w:w="666" w:type="pct"/>
            <w:tcBorders>
              <w:top w:val="single" w:sz="4" w:space="0" w:color="auto"/>
              <w:left w:val="nil"/>
              <w:bottom w:val="single" w:sz="4" w:space="0" w:color="auto"/>
              <w:right w:val="single" w:sz="4" w:space="0" w:color="auto"/>
            </w:tcBorders>
          </w:tcPr>
          <w:p w14:paraId="09206CC6" w14:textId="77777777" w:rsidR="00AE5BD5" w:rsidRPr="00AE5BD5" w:rsidRDefault="00AE5BD5" w:rsidP="00AE5BD5">
            <w:pPr>
              <w:spacing w:after="0" w:line="240" w:lineRule="auto"/>
              <w:jc w:val="right"/>
              <w:rPr>
                <w:rFonts w:ascii="Arial Narrow" w:hAnsi="Arial Narrow"/>
                <w:b/>
                <w:i/>
                <w:sz w:val="20"/>
              </w:rPr>
            </w:pPr>
          </w:p>
        </w:tc>
      </w:tr>
      <w:tr w:rsidR="00AE5BD5" w:rsidRPr="00386411" w14:paraId="26C1EEA8" w14:textId="77777777" w:rsidTr="00B52A4F">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FA5151" w14:textId="77777777" w:rsidR="00AE5BD5" w:rsidRPr="00386411" w:rsidRDefault="00AE5BD5" w:rsidP="00AE5BD5">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Chapel et al., 1994</w:t>
            </w:r>
          </w:p>
        </w:tc>
        <w:tc>
          <w:tcPr>
            <w:tcW w:w="17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0E70A3" w14:textId="77777777" w:rsidR="00AE5BD5" w:rsidRPr="00386411" w:rsidRDefault="00AE5BD5" w:rsidP="00AE5BD5">
            <w:pPr>
              <w:spacing w:after="0" w:line="240" w:lineRule="auto"/>
              <w:rPr>
                <w:rFonts w:ascii="Arial Narrow" w:hAnsi="Arial Narrow"/>
                <w:b/>
                <w:sz w:val="20"/>
              </w:rPr>
            </w:pPr>
            <w:r w:rsidRPr="00386411">
              <w:rPr>
                <w:rFonts w:ascii="Arial Narrow" w:hAnsi="Arial Narrow"/>
                <w:b/>
                <w:sz w:val="20"/>
              </w:rPr>
              <w:t>Infections during 12 mo (N=82 not including 1 IVIg withdrawal)</w:t>
            </w:r>
          </w:p>
        </w:tc>
        <w:tc>
          <w:tcPr>
            <w:tcW w:w="940" w:type="pct"/>
            <w:gridSpan w:val="2"/>
            <w:tcBorders>
              <w:top w:val="single" w:sz="4" w:space="0" w:color="auto"/>
              <w:left w:val="single" w:sz="4" w:space="0" w:color="auto"/>
              <w:bottom w:val="single" w:sz="4" w:space="0" w:color="auto"/>
              <w:right w:val="nil"/>
            </w:tcBorders>
            <w:shd w:val="clear" w:color="auto" w:fill="D9D9D9" w:themeFill="background1" w:themeFillShade="D9"/>
            <w:noWrap/>
          </w:tcPr>
          <w:p w14:paraId="3503D962" w14:textId="77777777" w:rsidR="00AE5BD5" w:rsidRPr="00386411" w:rsidRDefault="00AE5BD5" w:rsidP="00AE5BD5">
            <w:pPr>
              <w:spacing w:after="0" w:line="240" w:lineRule="auto"/>
              <w:jc w:val="center"/>
              <w:rPr>
                <w:rFonts w:ascii="Arial Narrow" w:hAnsi="Arial Narrow" w:cs="Calibri"/>
                <w:b/>
                <w:sz w:val="20"/>
              </w:rPr>
            </w:pPr>
            <w:r w:rsidRPr="00386411">
              <w:rPr>
                <w:rFonts w:ascii="Arial Narrow" w:hAnsi="Arial Narrow"/>
                <w:b/>
                <w:sz w:val="20"/>
              </w:rPr>
              <w:t>IVIg (n=41)</w:t>
            </w:r>
          </w:p>
        </w:tc>
        <w:tc>
          <w:tcPr>
            <w:tcW w:w="1038" w:type="pct"/>
            <w:gridSpan w:val="2"/>
            <w:tcBorders>
              <w:top w:val="single" w:sz="4" w:space="0" w:color="auto"/>
              <w:left w:val="nil"/>
              <w:bottom w:val="single" w:sz="4" w:space="0" w:color="auto"/>
              <w:right w:val="nil"/>
            </w:tcBorders>
            <w:shd w:val="clear" w:color="auto" w:fill="D9D9D9" w:themeFill="background1" w:themeFillShade="D9"/>
            <w:noWrap/>
          </w:tcPr>
          <w:p w14:paraId="6FB758F8" w14:textId="77777777" w:rsidR="00AE5BD5" w:rsidRPr="00386411" w:rsidRDefault="00AE5BD5" w:rsidP="00AE5BD5">
            <w:pPr>
              <w:spacing w:after="0" w:line="240" w:lineRule="auto"/>
              <w:ind w:right="-107"/>
              <w:jc w:val="center"/>
              <w:rPr>
                <w:rFonts w:ascii="Arial Narrow" w:hAnsi="Arial Narrow"/>
                <w:b/>
                <w:sz w:val="20"/>
              </w:rPr>
            </w:pPr>
            <w:r w:rsidRPr="00386411">
              <w:rPr>
                <w:rFonts w:ascii="Arial Narrow" w:hAnsi="Arial Narrow"/>
                <w:b/>
                <w:sz w:val="20"/>
              </w:rPr>
              <w:t>Placebo (albumin)(n=41)</w:t>
            </w:r>
          </w:p>
        </w:tc>
        <w:tc>
          <w:tcPr>
            <w:tcW w:w="666" w:type="pct"/>
            <w:tcBorders>
              <w:top w:val="single" w:sz="4" w:space="0" w:color="auto"/>
              <w:left w:val="nil"/>
              <w:bottom w:val="single" w:sz="4" w:space="0" w:color="auto"/>
              <w:right w:val="single" w:sz="4" w:space="0" w:color="auto"/>
            </w:tcBorders>
            <w:shd w:val="clear" w:color="auto" w:fill="D9D9D9" w:themeFill="background1" w:themeFillShade="D9"/>
          </w:tcPr>
          <w:p w14:paraId="67DD1029" w14:textId="77777777" w:rsidR="00AE5BD5" w:rsidRPr="00386411" w:rsidRDefault="00AE5BD5" w:rsidP="00AE5BD5">
            <w:pPr>
              <w:spacing w:after="0" w:line="240" w:lineRule="auto"/>
              <w:jc w:val="right"/>
              <w:rPr>
                <w:rFonts w:ascii="Arial Narrow" w:hAnsi="Arial Narrow"/>
                <w:b/>
                <w:sz w:val="20"/>
                <w:szCs w:val="20"/>
              </w:rPr>
            </w:pPr>
            <w:r w:rsidRPr="00386411">
              <w:rPr>
                <w:rFonts w:ascii="Arial Narrow" w:hAnsi="Arial Narrow"/>
                <w:b/>
                <w:sz w:val="20"/>
              </w:rPr>
              <w:t>p (2-tailed)</w:t>
            </w:r>
          </w:p>
        </w:tc>
      </w:tr>
      <w:tr w:rsidR="00AE5BD5" w:rsidRPr="003B4D22" w14:paraId="78390A9A" w14:textId="77777777" w:rsidTr="003735E3">
        <w:tc>
          <w:tcPr>
            <w:tcW w:w="650" w:type="pct"/>
            <w:tcBorders>
              <w:top w:val="single" w:sz="4" w:space="0" w:color="auto"/>
              <w:left w:val="single" w:sz="4" w:space="0" w:color="auto"/>
              <w:bottom w:val="nil"/>
              <w:right w:val="single" w:sz="4" w:space="0" w:color="auto"/>
            </w:tcBorders>
            <w:vAlign w:val="bottom"/>
          </w:tcPr>
          <w:p w14:paraId="78ED5CDF" w14:textId="77777777" w:rsidR="00AE5BD5" w:rsidRPr="003B4D22" w:rsidRDefault="00AE5BD5" w:rsidP="00AE5BD5">
            <w:pPr>
              <w:spacing w:after="0" w:line="240" w:lineRule="auto"/>
              <w:rPr>
                <w:rFonts w:ascii="Arial Narrow" w:hAnsi="Arial Narrow" w:cs="Calibri"/>
                <w:color w:val="000000"/>
                <w:sz w:val="20"/>
                <w:szCs w:val="20"/>
              </w:rPr>
            </w:pPr>
            <w:r w:rsidRPr="003B4D22">
              <w:rPr>
                <w:rFonts w:ascii="Arial Narrow" w:hAnsi="Arial Narrow" w:cs="Calibri"/>
                <w:color w:val="000000"/>
                <w:sz w:val="20"/>
                <w:szCs w:val="20"/>
              </w:rPr>
              <w:t>MM</w:t>
            </w:r>
          </w:p>
        </w:tc>
        <w:tc>
          <w:tcPr>
            <w:tcW w:w="1706" w:type="pct"/>
            <w:tcBorders>
              <w:top w:val="single" w:sz="4" w:space="0" w:color="auto"/>
              <w:left w:val="single" w:sz="4" w:space="0" w:color="auto"/>
              <w:bottom w:val="nil"/>
              <w:right w:val="single" w:sz="4" w:space="0" w:color="auto"/>
            </w:tcBorders>
            <w:shd w:val="clear" w:color="auto" w:fill="auto"/>
          </w:tcPr>
          <w:p w14:paraId="4510DFE8" w14:textId="77777777" w:rsidR="00AE5BD5" w:rsidRPr="003B4D22" w:rsidRDefault="00AE5BD5" w:rsidP="00AE5BD5">
            <w:pPr>
              <w:spacing w:after="0" w:line="240" w:lineRule="auto"/>
              <w:rPr>
                <w:rFonts w:ascii="Arial Narrow" w:hAnsi="Arial Narrow"/>
                <w:i/>
                <w:sz w:val="20"/>
              </w:rPr>
            </w:pPr>
            <w:r w:rsidRPr="003B4D22">
              <w:rPr>
                <w:rFonts w:ascii="Arial Narrow" w:hAnsi="Arial Narrow"/>
                <w:i/>
                <w:sz w:val="20"/>
              </w:rPr>
              <w:t>Patients – any infection</w:t>
            </w:r>
          </w:p>
        </w:tc>
        <w:tc>
          <w:tcPr>
            <w:tcW w:w="940" w:type="pct"/>
            <w:gridSpan w:val="2"/>
            <w:tcBorders>
              <w:top w:val="single" w:sz="4" w:space="0" w:color="auto"/>
              <w:left w:val="single" w:sz="4" w:space="0" w:color="auto"/>
              <w:bottom w:val="nil"/>
              <w:right w:val="nil"/>
            </w:tcBorders>
            <w:shd w:val="clear" w:color="auto" w:fill="auto"/>
            <w:noWrap/>
          </w:tcPr>
          <w:p w14:paraId="336A9BBA" w14:textId="77777777" w:rsidR="00AE5BD5" w:rsidRPr="003B4D22" w:rsidRDefault="00AE5BD5" w:rsidP="00AE5BD5">
            <w:pPr>
              <w:spacing w:after="0" w:line="240" w:lineRule="auto"/>
              <w:jc w:val="right"/>
              <w:rPr>
                <w:rFonts w:ascii="Arial Narrow" w:hAnsi="Arial Narrow" w:cs="Calibri"/>
                <w:i/>
                <w:sz w:val="20"/>
              </w:rPr>
            </w:pPr>
            <w:r w:rsidRPr="003B4D22">
              <w:rPr>
                <w:rFonts w:ascii="Arial Narrow" w:hAnsi="Arial Narrow"/>
                <w:i/>
                <w:sz w:val="20"/>
              </w:rPr>
              <w:t>24</w:t>
            </w:r>
          </w:p>
        </w:tc>
        <w:tc>
          <w:tcPr>
            <w:tcW w:w="1038" w:type="pct"/>
            <w:gridSpan w:val="2"/>
            <w:tcBorders>
              <w:top w:val="single" w:sz="4" w:space="0" w:color="auto"/>
              <w:left w:val="nil"/>
              <w:bottom w:val="nil"/>
              <w:right w:val="nil"/>
            </w:tcBorders>
            <w:shd w:val="clear" w:color="auto" w:fill="auto"/>
            <w:noWrap/>
          </w:tcPr>
          <w:p w14:paraId="1BE4FD3F" w14:textId="77777777" w:rsidR="00AE5BD5" w:rsidRPr="003B4D22" w:rsidRDefault="00AE5BD5" w:rsidP="00AE5BD5">
            <w:pPr>
              <w:spacing w:after="0" w:line="240" w:lineRule="auto"/>
              <w:jc w:val="right"/>
              <w:rPr>
                <w:rFonts w:ascii="Arial Narrow" w:hAnsi="Arial Narrow"/>
                <w:i/>
                <w:sz w:val="20"/>
              </w:rPr>
            </w:pPr>
            <w:r w:rsidRPr="003B4D22">
              <w:rPr>
                <w:rFonts w:ascii="Arial Narrow" w:hAnsi="Arial Narrow"/>
                <w:i/>
                <w:sz w:val="20"/>
              </w:rPr>
              <w:t>26</w:t>
            </w:r>
          </w:p>
        </w:tc>
        <w:tc>
          <w:tcPr>
            <w:tcW w:w="666" w:type="pct"/>
            <w:tcBorders>
              <w:top w:val="single" w:sz="4" w:space="0" w:color="auto"/>
              <w:left w:val="nil"/>
              <w:bottom w:val="nil"/>
              <w:right w:val="single" w:sz="4" w:space="0" w:color="auto"/>
            </w:tcBorders>
          </w:tcPr>
          <w:p w14:paraId="3AD42916" w14:textId="77777777" w:rsidR="00AE5BD5" w:rsidRPr="003B4D22" w:rsidRDefault="00AE5BD5" w:rsidP="00AE5BD5">
            <w:pPr>
              <w:spacing w:after="0" w:line="240" w:lineRule="auto"/>
              <w:jc w:val="right"/>
              <w:rPr>
                <w:rFonts w:ascii="Arial Narrow" w:hAnsi="Arial Narrow"/>
                <w:sz w:val="20"/>
                <w:szCs w:val="20"/>
              </w:rPr>
            </w:pPr>
          </w:p>
        </w:tc>
      </w:tr>
      <w:tr w:rsidR="00AE5BD5" w:rsidRPr="003B4D22" w14:paraId="343DBDF4" w14:textId="77777777" w:rsidTr="00C57B4A">
        <w:tc>
          <w:tcPr>
            <w:tcW w:w="650" w:type="pct"/>
            <w:tcBorders>
              <w:top w:val="nil"/>
              <w:left w:val="single" w:sz="4" w:space="0" w:color="auto"/>
              <w:bottom w:val="nil"/>
              <w:right w:val="single" w:sz="4" w:space="0" w:color="auto"/>
            </w:tcBorders>
          </w:tcPr>
          <w:p w14:paraId="3F58BF70"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single" w:sz="4" w:space="0" w:color="auto"/>
              <w:right w:val="single" w:sz="4" w:space="0" w:color="auto"/>
            </w:tcBorders>
            <w:shd w:val="clear" w:color="auto" w:fill="auto"/>
          </w:tcPr>
          <w:p w14:paraId="4AB51184" w14:textId="77777777" w:rsidR="00AE5BD5" w:rsidRPr="003B4D22" w:rsidRDefault="00AE5BD5" w:rsidP="00AE5BD5">
            <w:pPr>
              <w:spacing w:after="0" w:line="240" w:lineRule="auto"/>
              <w:rPr>
                <w:rFonts w:ascii="Arial Narrow" w:hAnsi="Arial Narrow"/>
                <w:i/>
                <w:sz w:val="20"/>
              </w:rPr>
            </w:pPr>
            <w:r w:rsidRPr="003B4D22">
              <w:rPr>
                <w:rFonts w:ascii="Arial Narrow" w:hAnsi="Arial Narrow"/>
                <w:i/>
                <w:sz w:val="20"/>
              </w:rPr>
              <w:t>Patients – no infections</w:t>
            </w:r>
          </w:p>
        </w:tc>
        <w:tc>
          <w:tcPr>
            <w:tcW w:w="940" w:type="pct"/>
            <w:gridSpan w:val="2"/>
            <w:tcBorders>
              <w:top w:val="nil"/>
              <w:left w:val="single" w:sz="4" w:space="0" w:color="auto"/>
              <w:bottom w:val="single" w:sz="4" w:space="0" w:color="auto"/>
              <w:right w:val="nil"/>
            </w:tcBorders>
            <w:shd w:val="clear" w:color="auto" w:fill="auto"/>
            <w:noWrap/>
          </w:tcPr>
          <w:p w14:paraId="1F6DC906" w14:textId="77777777" w:rsidR="00AE5BD5" w:rsidRPr="003B4D22" w:rsidRDefault="00AE5BD5" w:rsidP="00AE5BD5">
            <w:pPr>
              <w:spacing w:after="0" w:line="240" w:lineRule="auto"/>
              <w:jc w:val="right"/>
              <w:rPr>
                <w:rFonts w:ascii="Arial Narrow" w:hAnsi="Arial Narrow" w:cs="Calibri"/>
                <w:i/>
                <w:sz w:val="20"/>
              </w:rPr>
            </w:pPr>
            <w:r w:rsidRPr="003B4D22">
              <w:rPr>
                <w:rFonts w:ascii="Arial Narrow" w:hAnsi="Arial Narrow"/>
                <w:i/>
                <w:sz w:val="20"/>
              </w:rPr>
              <w:t>6</w:t>
            </w:r>
          </w:p>
        </w:tc>
        <w:tc>
          <w:tcPr>
            <w:tcW w:w="1038" w:type="pct"/>
            <w:gridSpan w:val="2"/>
            <w:tcBorders>
              <w:top w:val="nil"/>
              <w:left w:val="nil"/>
              <w:bottom w:val="single" w:sz="4" w:space="0" w:color="auto"/>
              <w:right w:val="nil"/>
            </w:tcBorders>
            <w:shd w:val="clear" w:color="auto" w:fill="auto"/>
            <w:noWrap/>
          </w:tcPr>
          <w:p w14:paraId="51C5BD60" w14:textId="77777777" w:rsidR="00AE5BD5" w:rsidRPr="003B4D22" w:rsidRDefault="00AE5BD5" w:rsidP="00AE5BD5">
            <w:pPr>
              <w:spacing w:after="0" w:line="240" w:lineRule="auto"/>
              <w:jc w:val="right"/>
              <w:rPr>
                <w:rFonts w:ascii="Arial Narrow" w:hAnsi="Arial Narrow"/>
                <w:i/>
                <w:sz w:val="20"/>
              </w:rPr>
            </w:pPr>
            <w:r w:rsidRPr="003B4D22">
              <w:rPr>
                <w:rFonts w:ascii="Arial Narrow" w:hAnsi="Arial Narrow"/>
                <w:i/>
                <w:sz w:val="20"/>
              </w:rPr>
              <w:t>5</w:t>
            </w:r>
          </w:p>
        </w:tc>
        <w:tc>
          <w:tcPr>
            <w:tcW w:w="666" w:type="pct"/>
            <w:tcBorders>
              <w:top w:val="nil"/>
              <w:left w:val="nil"/>
              <w:bottom w:val="single" w:sz="4" w:space="0" w:color="auto"/>
              <w:right w:val="single" w:sz="4" w:space="0" w:color="auto"/>
            </w:tcBorders>
          </w:tcPr>
          <w:p w14:paraId="29FEEFAE" w14:textId="77777777" w:rsidR="00AE5BD5" w:rsidRPr="003B4D22" w:rsidRDefault="00AE5BD5" w:rsidP="00AE5BD5">
            <w:pPr>
              <w:spacing w:after="0" w:line="240" w:lineRule="auto"/>
              <w:jc w:val="right"/>
              <w:rPr>
                <w:rFonts w:ascii="Arial Narrow" w:hAnsi="Arial Narrow"/>
                <w:sz w:val="20"/>
                <w:szCs w:val="20"/>
              </w:rPr>
            </w:pPr>
          </w:p>
        </w:tc>
      </w:tr>
      <w:tr w:rsidR="00AE5BD5" w:rsidRPr="003B4D22" w14:paraId="1E615531" w14:textId="77777777" w:rsidTr="003735E3">
        <w:tc>
          <w:tcPr>
            <w:tcW w:w="650" w:type="pct"/>
            <w:tcBorders>
              <w:top w:val="nil"/>
              <w:left w:val="single" w:sz="4" w:space="0" w:color="auto"/>
              <w:bottom w:val="nil"/>
              <w:right w:val="single" w:sz="4" w:space="0" w:color="auto"/>
            </w:tcBorders>
          </w:tcPr>
          <w:p w14:paraId="3FAD0804"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nil"/>
              <w:right w:val="single" w:sz="4" w:space="0" w:color="auto"/>
            </w:tcBorders>
            <w:shd w:val="clear" w:color="auto" w:fill="auto"/>
          </w:tcPr>
          <w:p w14:paraId="6C195B24" w14:textId="545B0C22" w:rsidR="00AE5BD5" w:rsidRPr="00AE5BD5" w:rsidRDefault="00AE5BD5" w:rsidP="00AE5BD5">
            <w:pPr>
              <w:spacing w:after="0" w:line="240" w:lineRule="auto"/>
              <w:rPr>
                <w:rFonts w:ascii="Arial Narrow" w:hAnsi="Arial Narrow"/>
                <w:b/>
                <w:i/>
                <w:sz w:val="20"/>
              </w:rPr>
            </w:pPr>
            <w:r w:rsidRPr="00AE5BD5">
              <w:rPr>
                <w:rFonts w:ascii="Arial Narrow" w:hAnsi="Arial Narrow"/>
                <w:b/>
                <w:sz w:val="20"/>
              </w:rPr>
              <w:t>Serious infections – major</w:t>
            </w:r>
          </w:p>
        </w:tc>
        <w:tc>
          <w:tcPr>
            <w:tcW w:w="940" w:type="pct"/>
            <w:gridSpan w:val="2"/>
            <w:tcBorders>
              <w:top w:val="single" w:sz="4" w:space="0" w:color="auto"/>
              <w:left w:val="single" w:sz="4" w:space="0" w:color="auto"/>
              <w:bottom w:val="nil"/>
              <w:right w:val="nil"/>
            </w:tcBorders>
            <w:shd w:val="clear" w:color="auto" w:fill="auto"/>
            <w:noWrap/>
          </w:tcPr>
          <w:p w14:paraId="23CA5E2E" w14:textId="77777777" w:rsidR="00AE5BD5" w:rsidRPr="003B4D22" w:rsidRDefault="00AE5BD5" w:rsidP="00AE5BD5">
            <w:pPr>
              <w:spacing w:after="0" w:line="240" w:lineRule="auto"/>
              <w:jc w:val="right"/>
              <w:rPr>
                <w:rFonts w:ascii="Arial Narrow" w:hAnsi="Arial Narrow"/>
                <w:i/>
                <w:sz w:val="20"/>
              </w:rPr>
            </w:pPr>
          </w:p>
        </w:tc>
        <w:tc>
          <w:tcPr>
            <w:tcW w:w="1038" w:type="pct"/>
            <w:gridSpan w:val="2"/>
            <w:tcBorders>
              <w:top w:val="single" w:sz="4" w:space="0" w:color="auto"/>
              <w:left w:val="nil"/>
              <w:bottom w:val="nil"/>
              <w:right w:val="nil"/>
            </w:tcBorders>
            <w:shd w:val="clear" w:color="auto" w:fill="auto"/>
            <w:noWrap/>
          </w:tcPr>
          <w:p w14:paraId="258BC5FB" w14:textId="77777777" w:rsidR="00AE5BD5" w:rsidRPr="003B4D22" w:rsidRDefault="00AE5BD5" w:rsidP="00AE5BD5">
            <w:pPr>
              <w:spacing w:after="0" w:line="240" w:lineRule="auto"/>
              <w:jc w:val="right"/>
              <w:rPr>
                <w:rFonts w:ascii="Arial Narrow" w:hAnsi="Arial Narrow"/>
                <w:i/>
                <w:sz w:val="20"/>
              </w:rPr>
            </w:pPr>
          </w:p>
        </w:tc>
        <w:tc>
          <w:tcPr>
            <w:tcW w:w="666" w:type="pct"/>
            <w:tcBorders>
              <w:top w:val="single" w:sz="4" w:space="0" w:color="auto"/>
              <w:left w:val="nil"/>
              <w:bottom w:val="nil"/>
              <w:right w:val="single" w:sz="4" w:space="0" w:color="auto"/>
            </w:tcBorders>
          </w:tcPr>
          <w:p w14:paraId="7E36FBA8" w14:textId="77777777" w:rsidR="00AE5BD5" w:rsidRPr="003B4D22" w:rsidRDefault="00AE5BD5" w:rsidP="00AE5BD5">
            <w:pPr>
              <w:spacing w:after="0" w:line="240" w:lineRule="auto"/>
              <w:jc w:val="right"/>
              <w:rPr>
                <w:rFonts w:ascii="Arial Narrow" w:hAnsi="Arial Narrow"/>
                <w:sz w:val="20"/>
                <w:szCs w:val="20"/>
              </w:rPr>
            </w:pPr>
          </w:p>
        </w:tc>
      </w:tr>
      <w:tr w:rsidR="00AE5BD5" w:rsidRPr="003B4D22" w14:paraId="10397E92" w14:textId="77777777" w:rsidTr="003735E3">
        <w:tc>
          <w:tcPr>
            <w:tcW w:w="650" w:type="pct"/>
            <w:tcBorders>
              <w:top w:val="nil"/>
              <w:left w:val="single" w:sz="4" w:space="0" w:color="auto"/>
              <w:bottom w:val="nil"/>
              <w:right w:val="single" w:sz="4" w:space="0" w:color="auto"/>
            </w:tcBorders>
            <w:vAlign w:val="bottom"/>
          </w:tcPr>
          <w:p w14:paraId="170E07B4"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tcPr>
          <w:p w14:paraId="104A4223" w14:textId="77777777" w:rsidR="00AE5BD5" w:rsidRPr="003B4D22" w:rsidRDefault="00AE5BD5" w:rsidP="00331FB9">
            <w:pPr>
              <w:pStyle w:val="ListParagraph"/>
              <w:numPr>
                <w:ilvl w:val="0"/>
                <w:numId w:val="16"/>
              </w:numPr>
              <w:spacing w:after="0" w:line="240" w:lineRule="auto"/>
              <w:ind w:left="322" w:hanging="257"/>
              <w:rPr>
                <w:rFonts w:ascii="Arial Narrow" w:hAnsi="Arial Narrow"/>
                <w:sz w:val="20"/>
              </w:rPr>
            </w:pPr>
            <w:r w:rsidRPr="003B4D22">
              <w:rPr>
                <w:rFonts w:ascii="Arial Narrow" w:hAnsi="Arial Narrow"/>
                <w:sz w:val="20"/>
              </w:rPr>
              <w:t>septicaemia</w:t>
            </w:r>
          </w:p>
        </w:tc>
        <w:tc>
          <w:tcPr>
            <w:tcW w:w="940" w:type="pct"/>
            <w:gridSpan w:val="2"/>
            <w:tcBorders>
              <w:top w:val="nil"/>
              <w:left w:val="single" w:sz="4" w:space="0" w:color="auto"/>
              <w:bottom w:val="nil"/>
              <w:right w:val="nil"/>
            </w:tcBorders>
            <w:shd w:val="clear" w:color="auto" w:fill="auto"/>
            <w:noWrap/>
          </w:tcPr>
          <w:p w14:paraId="0BD7DF9B" w14:textId="77777777" w:rsidR="00AE5BD5" w:rsidRPr="003B4D22" w:rsidRDefault="00AE5BD5" w:rsidP="00AE5BD5">
            <w:pPr>
              <w:spacing w:after="0" w:line="240" w:lineRule="auto"/>
              <w:jc w:val="right"/>
              <w:rPr>
                <w:rFonts w:ascii="Arial Narrow" w:hAnsi="Arial Narrow" w:cs="Calibri"/>
                <w:sz w:val="20"/>
              </w:rPr>
            </w:pPr>
            <w:r w:rsidRPr="003B4D22">
              <w:rPr>
                <w:rFonts w:ascii="Arial Narrow" w:hAnsi="Arial Narrow"/>
                <w:sz w:val="20"/>
              </w:rPr>
              <w:t>0</w:t>
            </w:r>
          </w:p>
        </w:tc>
        <w:tc>
          <w:tcPr>
            <w:tcW w:w="1038" w:type="pct"/>
            <w:gridSpan w:val="2"/>
            <w:tcBorders>
              <w:top w:val="nil"/>
              <w:left w:val="nil"/>
              <w:bottom w:val="nil"/>
              <w:right w:val="nil"/>
            </w:tcBorders>
            <w:shd w:val="clear" w:color="auto" w:fill="auto"/>
            <w:noWrap/>
          </w:tcPr>
          <w:p w14:paraId="73A9FB32" w14:textId="77777777" w:rsidR="00AE5BD5" w:rsidRPr="003B4D22" w:rsidRDefault="00AE5BD5" w:rsidP="00AE5BD5">
            <w:pPr>
              <w:spacing w:after="0" w:line="240" w:lineRule="auto"/>
              <w:jc w:val="right"/>
              <w:rPr>
                <w:rFonts w:ascii="Arial Narrow" w:hAnsi="Arial Narrow"/>
                <w:sz w:val="20"/>
              </w:rPr>
            </w:pPr>
            <w:r w:rsidRPr="003B4D22">
              <w:rPr>
                <w:rFonts w:ascii="Arial Narrow" w:hAnsi="Arial Narrow"/>
                <w:sz w:val="20"/>
              </w:rPr>
              <w:t>3</w:t>
            </w:r>
          </w:p>
        </w:tc>
        <w:tc>
          <w:tcPr>
            <w:tcW w:w="666" w:type="pct"/>
            <w:tcBorders>
              <w:top w:val="nil"/>
              <w:left w:val="nil"/>
              <w:bottom w:val="nil"/>
              <w:right w:val="single" w:sz="4" w:space="0" w:color="auto"/>
            </w:tcBorders>
          </w:tcPr>
          <w:p w14:paraId="5B16AEB7" w14:textId="77777777" w:rsidR="00AE5BD5" w:rsidRPr="003B4D22" w:rsidRDefault="00AE5BD5" w:rsidP="00AE5BD5">
            <w:pPr>
              <w:spacing w:after="0" w:line="240" w:lineRule="auto"/>
              <w:jc w:val="right"/>
              <w:rPr>
                <w:rFonts w:ascii="Arial Narrow" w:hAnsi="Arial Narrow"/>
                <w:sz w:val="20"/>
                <w:szCs w:val="20"/>
              </w:rPr>
            </w:pPr>
            <w:r w:rsidRPr="003B4D22">
              <w:rPr>
                <w:rFonts w:ascii="Arial Narrow" w:hAnsi="Arial Narrow"/>
                <w:sz w:val="20"/>
              </w:rPr>
              <w:t>0.045</w:t>
            </w:r>
          </w:p>
        </w:tc>
      </w:tr>
      <w:tr w:rsidR="00AE5BD5" w:rsidRPr="003B4D22" w14:paraId="517B50E3" w14:textId="77777777" w:rsidTr="003735E3">
        <w:tc>
          <w:tcPr>
            <w:tcW w:w="650" w:type="pct"/>
            <w:tcBorders>
              <w:top w:val="nil"/>
              <w:left w:val="single" w:sz="4" w:space="0" w:color="auto"/>
              <w:bottom w:val="nil"/>
              <w:right w:val="single" w:sz="4" w:space="0" w:color="auto"/>
            </w:tcBorders>
          </w:tcPr>
          <w:p w14:paraId="08B96396"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tcPr>
          <w:p w14:paraId="4B2E1BFA" w14:textId="77777777" w:rsidR="00AE5BD5" w:rsidRPr="003B4D22" w:rsidRDefault="00AE5BD5" w:rsidP="00331FB9">
            <w:pPr>
              <w:pStyle w:val="ListParagraph"/>
              <w:numPr>
                <w:ilvl w:val="0"/>
                <w:numId w:val="16"/>
              </w:numPr>
              <w:spacing w:after="0" w:line="240" w:lineRule="auto"/>
              <w:ind w:left="322" w:hanging="257"/>
              <w:rPr>
                <w:rFonts w:ascii="Arial Narrow" w:hAnsi="Arial Narrow"/>
                <w:sz w:val="20"/>
              </w:rPr>
            </w:pPr>
            <w:r w:rsidRPr="003B4D22">
              <w:rPr>
                <w:rFonts w:ascii="Arial Narrow" w:hAnsi="Arial Narrow"/>
                <w:sz w:val="20"/>
              </w:rPr>
              <w:t>pneumonia</w:t>
            </w:r>
          </w:p>
        </w:tc>
        <w:tc>
          <w:tcPr>
            <w:tcW w:w="940" w:type="pct"/>
            <w:gridSpan w:val="2"/>
            <w:tcBorders>
              <w:top w:val="nil"/>
              <w:left w:val="single" w:sz="4" w:space="0" w:color="auto"/>
              <w:bottom w:val="nil"/>
              <w:right w:val="nil"/>
            </w:tcBorders>
            <w:shd w:val="clear" w:color="auto" w:fill="auto"/>
            <w:noWrap/>
          </w:tcPr>
          <w:p w14:paraId="42F41F49" w14:textId="77777777" w:rsidR="00AE5BD5" w:rsidRPr="003B4D22" w:rsidRDefault="00AE5BD5" w:rsidP="00AE5BD5">
            <w:pPr>
              <w:spacing w:after="0" w:line="240" w:lineRule="auto"/>
              <w:jc w:val="right"/>
              <w:rPr>
                <w:rFonts w:ascii="Arial Narrow" w:hAnsi="Arial Narrow" w:cs="Calibri"/>
                <w:sz w:val="20"/>
              </w:rPr>
            </w:pPr>
            <w:r w:rsidRPr="003B4D22">
              <w:rPr>
                <w:rFonts w:ascii="Arial Narrow" w:hAnsi="Arial Narrow"/>
                <w:sz w:val="20"/>
              </w:rPr>
              <w:t>0</w:t>
            </w:r>
          </w:p>
        </w:tc>
        <w:tc>
          <w:tcPr>
            <w:tcW w:w="1038" w:type="pct"/>
            <w:gridSpan w:val="2"/>
            <w:tcBorders>
              <w:top w:val="nil"/>
              <w:left w:val="nil"/>
              <w:bottom w:val="nil"/>
              <w:right w:val="nil"/>
            </w:tcBorders>
            <w:shd w:val="clear" w:color="auto" w:fill="auto"/>
            <w:noWrap/>
          </w:tcPr>
          <w:p w14:paraId="2A6108B7" w14:textId="77777777" w:rsidR="00AE5BD5" w:rsidRPr="003B4D22" w:rsidRDefault="00AE5BD5" w:rsidP="00AE5BD5">
            <w:pPr>
              <w:spacing w:after="0" w:line="240" w:lineRule="auto"/>
              <w:jc w:val="right"/>
              <w:rPr>
                <w:rFonts w:ascii="Arial Narrow" w:hAnsi="Arial Narrow"/>
                <w:sz w:val="20"/>
              </w:rPr>
            </w:pPr>
            <w:r w:rsidRPr="003B4D22">
              <w:rPr>
                <w:rFonts w:ascii="Arial Narrow" w:hAnsi="Arial Narrow"/>
                <w:sz w:val="20"/>
              </w:rPr>
              <w:t>7</w:t>
            </w:r>
          </w:p>
        </w:tc>
        <w:tc>
          <w:tcPr>
            <w:tcW w:w="666" w:type="pct"/>
            <w:tcBorders>
              <w:top w:val="nil"/>
              <w:left w:val="nil"/>
              <w:bottom w:val="nil"/>
              <w:right w:val="single" w:sz="4" w:space="0" w:color="auto"/>
            </w:tcBorders>
          </w:tcPr>
          <w:p w14:paraId="67981C1C" w14:textId="77777777" w:rsidR="00AE5BD5" w:rsidRPr="003B4D22" w:rsidRDefault="00AE5BD5" w:rsidP="00AE5BD5">
            <w:pPr>
              <w:spacing w:after="0" w:line="240" w:lineRule="auto"/>
              <w:jc w:val="right"/>
              <w:rPr>
                <w:rFonts w:ascii="Arial Narrow" w:hAnsi="Arial Narrow"/>
                <w:sz w:val="20"/>
                <w:szCs w:val="20"/>
              </w:rPr>
            </w:pPr>
            <w:r w:rsidRPr="003B4D22">
              <w:rPr>
                <w:rFonts w:ascii="Arial Narrow" w:hAnsi="Arial Narrow"/>
                <w:sz w:val="20"/>
              </w:rPr>
              <w:t>0.005</w:t>
            </w:r>
          </w:p>
        </w:tc>
      </w:tr>
      <w:tr w:rsidR="00AE5BD5" w:rsidRPr="003B4D22" w14:paraId="19472041" w14:textId="77777777" w:rsidTr="00C57B4A">
        <w:tc>
          <w:tcPr>
            <w:tcW w:w="650" w:type="pct"/>
            <w:tcBorders>
              <w:top w:val="nil"/>
              <w:left w:val="single" w:sz="4" w:space="0" w:color="auto"/>
              <w:bottom w:val="nil"/>
              <w:right w:val="single" w:sz="4" w:space="0" w:color="auto"/>
            </w:tcBorders>
          </w:tcPr>
          <w:p w14:paraId="02DAF1D4"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single" w:sz="4" w:space="0" w:color="auto"/>
              <w:right w:val="single" w:sz="4" w:space="0" w:color="auto"/>
            </w:tcBorders>
            <w:shd w:val="clear" w:color="auto" w:fill="auto"/>
          </w:tcPr>
          <w:p w14:paraId="247C11EE" w14:textId="5C39882F" w:rsidR="00AE5BD5" w:rsidRPr="00626397" w:rsidRDefault="00AE5BD5" w:rsidP="00AE5BD5">
            <w:pPr>
              <w:spacing w:after="0" w:line="240" w:lineRule="auto"/>
              <w:rPr>
                <w:rFonts w:ascii="Arial Narrow" w:hAnsi="Arial Narrow"/>
                <w:b/>
                <w:sz w:val="20"/>
              </w:rPr>
            </w:pPr>
            <w:r w:rsidRPr="00626397">
              <w:rPr>
                <w:rFonts w:ascii="Arial Narrow" w:hAnsi="Arial Narrow"/>
                <w:b/>
                <w:sz w:val="20"/>
              </w:rPr>
              <w:t>Total serious (major) infections</w:t>
            </w:r>
          </w:p>
        </w:tc>
        <w:tc>
          <w:tcPr>
            <w:tcW w:w="940" w:type="pct"/>
            <w:gridSpan w:val="2"/>
            <w:tcBorders>
              <w:top w:val="nil"/>
              <w:left w:val="single" w:sz="4" w:space="0" w:color="auto"/>
              <w:bottom w:val="single" w:sz="4" w:space="0" w:color="auto"/>
              <w:right w:val="nil"/>
            </w:tcBorders>
            <w:shd w:val="clear" w:color="auto" w:fill="auto"/>
            <w:noWrap/>
          </w:tcPr>
          <w:p w14:paraId="46C8AEFB" w14:textId="77777777" w:rsidR="00AE5BD5" w:rsidRPr="00626397" w:rsidRDefault="00AE5BD5" w:rsidP="00AE5BD5">
            <w:pPr>
              <w:spacing w:after="0" w:line="240" w:lineRule="auto"/>
              <w:jc w:val="right"/>
              <w:rPr>
                <w:rFonts w:ascii="Arial Narrow" w:hAnsi="Arial Narrow" w:cs="Calibri"/>
                <w:b/>
                <w:sz w:val="20"/>
              </w:rPr>
            </w:pPr>
            <w:r w:rsidRPr="00626397">
              <w:rPr>
                <w:rFonts w:ascii="Arial Narrow" w:hAnsi="Arial Narrow"/>
                <w:b/>
                <w:sz w:val="20"/>
              </w:rPr>
              <w:t>0</w:t>
            </w:r>
          </w:p>
        </w:tc>
        <w:tc>
          <w:tcPr>
            <w:tcW w:w="1038" w:type="pct"/>
            <w:gridSpan w:val="2"/>
            <w:tcBorders>
              <w:top w:val="nil"/>
              <w:left w:val="nil"/>
              <w:bottom w:val="single" w:sz="4" w:space="0" w:color="auto"/>
              <w:right w:val="nil"/>
            </w:tcBorders>
            <w:shd w:val="clear" w:color="auto" w:fill="auto"/>
            <w:noWrap/>
          </w:tcPr>
          <w:p w14:paraId="1BEDA3A9" w14:textId="77777777" w:rsidR="00AE5BD5" w:rsidRPr="00626397" w:rsidRDefault="00AE5BD5" w:rsidP="00AE5BD5">
            <w:pPr>
              <w:spacing w:after="0" w:line="240" w:lineRule="auto"/>
              <w:jc w:val="right"/>
              <w:rPr>
                <w:rFonts w:ascii="Arial Narrow" w:hAnsi="Arial Narrow"/>
                <w:b/>
                <w:sz w:val="20"/>
              </w:rPr>
            </w:pPr>
            <w:r w:rsidRPr="00626397">
              <w:rPr>
                <w:rFonts w:ascii="Arial Narrow" w:hAnsi="Arial Narrow"/>
                <w:b/>
                <w:sz w:val="20"/>
              </w:rPr>
              <w:t>10</w:t>
            </w:r>
          </w:p>
        </w:tc>
        <w:tc>
          <w:tcPr>
            <w:tcW w:w="666" w:type="pct"/>
            <w:tcBorders>
              <w:top w:val="nil"/>
              <w:left w:val="nil"/>
              <w:bottom w:val="single" w:sz="4" w:space="0" w:color="auto"/>
              <w:right w:val="single" w:sz="4" w:space="0" w:color="auto"/>
            </w:tcBorders>
          </w:tcPr>
          <w:p w14:paraId="06AC4105" w14:textId="77777777" w:rsidR="00AE5BD5" w:rsidRPr="00626397" w:rsidRDefault="00AE5BD5" w:rsidP="00AE5BD5">
            <w:pPr>
              <w:spacing w:after="0" w:line="240" w:lineRule="auto"/>
              <w:jc w:val="right"/>
              <w:rPr>
                <w:rFonts w:ascii="Arial Narrow" w:hAnsi="Arial Narrow"/>
                <w:b/>
                <w:sz w:val="20"/>
                <w:szCs w:val="20"/>
              </w:rPr>
            </w:pPr>
            <w:r w:rsidRPr="00626397">
              <w:rPr>
                <w:rFonts w:ascii="Arial Narrow" w:hAnsi="Arial Narrow"/>
                <w:b/>
                <w:sz w:val="20"/>
              </w:rPr>
              <w:t>0.002</w:t>
            </w:r>
          </w:p>
        </w:tc>
      </w:tr>
      <w:tr w:rsidR="00AE5BD5" w:rsidRPr="003B4D22" w14:paraId="5813A8A8" w14:textId="77777777" w:rsidTr="00C57B4A">
        <w:tc>
          <w:tcPr>
            <w:tcW w:w="650" w:type="pct"/>
            <w:tcBorders>
              <w:top w:val="nil"/>
              <w:left w:val="single" w:sz="4" w:space="0" w:color="auto"/>
              <w:bottom w:val="nil"/>
              <w:right w:val="single" w:sz="4" w:space="0" w:color="auto"/>
            </w:tcBorders>
          </w:tcPr>
          <w:p w14:paraId="6845508A"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nil"/>
              <w:right w:val="single" w:sz="4" w:space="0" w:color="auto"/>
            </w:tcBorders>
            <w:shd w:val="clear" w:color="auto" w:fill="auto"/>
          </w:tcPr>
          <w:p w14:paraId="462F9D97" w14:textId="1C0F16B2" w:rsidR="00AE5BD5" w:rsidRPr="00AE5BD5" w:rsidRDefault="00AE5BD5" w:rsidP="00AE5BD5">
            <w:pPr>
              <w:spacing w:after="0" w:line="240" w:lineRule="auto"/>
              <w:rPr>
                <w:rFonts w:ascii="Arial Narrow" w:hAnsi="Arial Narrow"/>
                <w:b/>
                <w:sz w:val="20"/>
              </w:rPr>
            </w:pPr>
            <w:r w:rsidRPr="00AE5BD5">
              <w:rPr>
                <w:rFonts w:ascii="Arial Narrow" w:hAnsi="Arial Narrow"/>
                <w:b/>
                <w:sz w:val="20"/>
              </w:rPr>
              <w:t>Serious infections – moderate</w:t>
            </w:r>
          </w:p>
        </w:tc>
        <w:tc>
          <w:tcPr>
            <w:tcW w:w="940" w:type="pct"/>
            <w:gridSpan w:val="2"/>
            <w:tcBorders>
              <w:top w:val="single" w:sz="4" w:space="0" w:color="auto"/>
              <w:left w:val="single" w:sz="4" w:space="0" w:color="auto"/>
              <w:bottom w:val="nil"/>
              <w:right w:val="nil"/>
            </w:tcBorders>
            <w:shd w:val="clear" w:color="auto" w:fill="auto"/>
            <w:noWrap/>
          </w:tcPr>
          <w:p w14:paraId="2BBD936E" w14:textId="77777777" w:rsidR="00AE5BD5" w:rsidRPr="003B4D22" w:rsidRDefault="00AE5BD5" w:rsidP="00AE5BD5">
            <w:pPr>
              <w:spacing w:after="0" w:line="240" w:lineRule="auto"/>
              <w:jc w:val="right"/>
              <w:rPr>
                <w:rFonts w:ascii="Arial Narrow" w:hAnsi="Arial Narrow"/>
                <w:sz w:val="20"/>
              </w:rPr>
            </w:pPr>
          </w:p>
        </w:tc>
        <w:tc>
          <w:tcPr>
            <w:tcW w:w="1038" w:type="pct"/>
            <w:gridSpan w:val="2"/>
            <w:tcBorders>
              <w:top w:val="single" w:sz="4" w:space="0" w:color="auto"/>
              <w:left w:val="nil"/>
              <w:bottom w:val="nil"/>
              <w:right w:val="nil"/>
            </w:tcBorders>
            <w:shd w:val="clear" w:color="auto" w:fill="auto"/>
            <w:noWrap/>
          </w:tcPr>
          <w:p w14:paraId="22CDBA2E" w14:textId="77777777" w:rsidR="00AE5BD5" w:rsidRPr="003B4D22" w:rsidRDefault="00AE5BD5" w:rsidP="00AE5BD5">
            <w:pPr>
              <w:spacing w:after="0" w:line="240" w:lineRule="auto"/>
              <w:jc w:val="right"/>
              <w:rPr>
                <w:rFonts w:ascii="Arial Narrow" w:hAnsi="Arial Narrow"/>
                <w:sz w:val="20"/>
              </w:rPr>
            </w:pPr>
          </w:p>
        </w:tc>
        <w:tc>
          <w:tcPr>
            <w:tcW w:w="666" w:type="pct"/>
            <w:tcBorders>
              <w:top w:val="single" w:sz="4" w:space="0" w:color="auto"/>
              <w:left w:val="nil"/>
              <w:bottom w:val="nil"/>
              <w:right w:val="single" w:sz="4" w:space="0" w:color="auto"/>
            </w:tcBorders>
          </w:tcPr>
          <w:p w14:paraId="496C3AAC" w14:textId="77777777" w:rsidR="00AE5BD5" w:rsidRPr="003B4D22" w:rsidRDefault="00AE5BD5" w:rsidP="00AE5BD5">
            <w:pPr>
              <w:spacing w:after="0" w:line="240" w:lineRule="auto"/>
              <w:jc w:val="right"/>
              <w:rPr>
                <w:rFonts w:ascii="Arial Narrow" w:hAnsi="Arial Narrow"/>
                <w:sz w:val="20"/>
              </w:rPr>
            </w:pPr>
          </w:p>
        </w:tc>
      </w:tr>
      <w:tr w:rsidR="00AE5BD5" w:rsidRPr="003B4D22" w14:paraId="043B7079" w14:textId="77777777" w:rsidTr="003735E3">
        <w:tc>
          <w:tcPr>
            <w:tcW w:w="650" w:type="pct"/>
            <w:tcBorders>
              <w:top w:val="nil"/>
              <w:left w:val="single" w:sz="4" w:space="0" w:color="auto"/>
              <w:bottom w:val="nil"/>
              <w:right w:val="single" w:sz="4" w:space="0" w:color="auto"/>
            </w:tcBorders>
          </w:tcPr>
          <w:p w14:paraId="58AD235F"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tcPr>
          <w:p w14:paraId="0532D17A" w14:textId="77777777" w:rsidR="00AE5BD5" w:rsidRPr="003B4D22" w:rsidRDefault="00AE5BD5" w:rsidP="00331FB9">
            <w:pPr>
              <w:pStyle w:val="ListParagraph"/>
              <w:numPr>
                <w:ilvl w:val="0"/>
                <w:numId w:val="16"/>
              </w:numPr>
              <w:spacing w:after="0" w:line="240" w:lineRule="auto"/>
              <w:ind w:left="322" w:hanging="257"/>
              <w:rPr>
                <w:rFonts w:ascii="Arial Narrow" w:hAnsi="Arial Narrow"/>
                <w:sz w:val="20"/>
              </w:rPr>
            </w:pPr>
            <w:r w:rsidRPr="003B4D22">
              <w:rPr>
                <w:rFonts w:ascii="Arial Narrow" w:hAnsi="Arial Narrow"/>
                <w:sz w:val="20"/>
              </w:rPr>
              <w:t>other chest infections</w:t>
            </w:r>
          </w:p>
        </w:tc>
        <w:tc>
          <w:tcPr>
            <w:tcW w:w="940" w:type="pct"/>
            <w:gridSpan w:val="2"/>
            <w:tcBorders>
              <w:top w:val="nil"/>
              <w:left w:val="single" w:sz="4" w:space="0" w:color="auto"/>
              <w:bottom w:val="nil"/>
              <w:right w:val="nil"/>
            </w:tcBorders>
            <w:shd w:val="clear" w:color="auto" w:fill="auto"/>
            <w:noWrap/>
          </w:tcPr>
          <w:p w14:paraId="099AE042" w14:textId="77777777" w:rsidR="00AE5BD5" w:rsidRPr="003B4D22" w:rsidRDefault="00AE5BD5" w:rsidP="00AE5BD5">
            <w:pPr>
              <w:spacing w:after="0" w:line="240" w:lineRule="auto"/>
              <w:jc w:val="right"/>
              <w:rPr>
                <w:rFonts w:ascii="Arial Narrow" w:hAnsi="Arial Narrow" w:cs="Calibri"/>
                <w:sz w:val="20"/>
              </w:rPr>
            </w:pPr>
            <w:r w:rsidRPr="003B4D22">
              <w:rPr>
                <w:rFonts w:ascii="Arial Narrow" w:hAnsi="Arial Narrow"/>
                <w:sz w:val="20"/>
              </w:rPr>
              <w:t>6</w:t>
            </w:r>
          </w:p>
        </w:tc>
        <w:tc>
          <w:tcPr>
            <w:tcW w:w="1038" w:type="pct"/>
            <w:gridSpan w:val="2"/>
            <w:tcBorders>
              <w:top w:val="nil"/>
              <w:left w:val="nil"/>
              <w:bottom w:val="nil"/>
              <w:right w:val="nil"/>
            </w:tcBorders>
            <w:shd w:val="clear" w:color="auto" w:fill="auto"/>
            <w:noWrap/>
          </w:tcPr>
          <w:p w14:paraId="1599FA87" w14:textId="77777777" w:rsidR="00AE5BD5" w:rsidRPr="003B4D22" w:rsidRDefault="00AE5BD5" w:rsidP="00AE5BD5">
            <w:pPr>
              <w:spacing w:after="0" w:line="240" w:lineRule="auto"/>
              <w:jc w:val="right"/>
              <w:rPr>
                <w:rFonts w:ascii="Arial Narrow" w:hAnsi="Arial Narrow"/>
                <w:sz w:val="20"/>
              </w:rPr>
            </w:pPr>
            <w:r w:rsidRPr="003B4D22">
              <w:rPr>
                <w:rFonts w:ascii="Arial Narrow" w:hAnsi="Arial Narrow"/>
                <w:sz w:val="20"/>
              </w:rPr>
              <w:t>18</w:t>
            </w:r>
          </w:p>
        </w:tc>
        <w:tc>
          <w:tcPr>
            <w:tcW w:w="666" w:type="pct"/>
            <w:tcBorders>
              <w:top w:val="nil"/>
              <w:left w:val="nil"/>
              <w:bottom w:val="nil"/>
              <w:right w:val="single" w:sz="4" w:space="0" w:color="auto"/>
            </w:tcBorders>
          </w:tcPr>
          <w:p w14:paraId="4F2CC982" w14:textId="77777777" w:rsidR="00AE5BD5" w:rsidRPr="003B4D22" w:rsidRDefault="00AE5BD5" w:rsidP="00AE5BD5">
            <w:pPr>
              <w:spacing w:after="0" w:line="240" w:lineRule="auto"/>
              <w:jc w:val="right"/>
              <w:rPr>
                <w:rFonts w:ascii="Arial Narrow" w:hAnsi="Arial Narrow"/>
                <w:sz w:val="20"/>
                <w:szCs w:val="20"/>
              </w:rPr>
            </w:pPr>
            <w:r w:rsidRPr="003B4D22">
              <w:rPr>
                <w:rFonts w:ascii="Arial Narrow" w:hAnsi="Arial Narrow"/>
                <w:sz w:val="20"/>
              </w:rPr>
              <w:t>0.0097</w:t>
            </w:r>
          </w:p>
        </w:tc>
      </w:tr>
      <w:tr w:rsidR="00AE5BD5" w:rsidRPr="003B4D22" w14:paraId="66DE1216" w14:textId="77777777" w:rsidTr="003735E3">
        <w:tc>
          <w:tcPr>
            <w:tcW w:w="650" w:type="pct"/>
            <w:tcBorders>
              <w:top w:val="nil"/>
              <w:left w:val="single" w:sz="4" w:space="0" w:color="auto"/>
              <w:bottom w:val="nil"/>
              <w:right w:val="single" w:sz="4" w:space="0" w:color="auto"/>
            </w:tcBorders>
          </w:tcPr>
          <w:p w14:paraId="7756892D"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tcPr>
          <w:p w14:paraId="4DD97E87" w14:textId="77777777" w:rsidR="00AE5BD5" w:rsidRPr="003B4D22" w:rsidRDefault="00AE5BD5" w:rsidP="00331FB9">
            <w:pPr>
              <w:pStyle w:val="ListParagraph"/>
              <w:numPr>
                <w:ilvl w:val="0"/>
                <w:numId w:val="16"/>
              </w:numPr>
              <w:spacing w:after="0" w:line="240" w:lineRule="auto"/>
              <w:ind w:left="322" w:hanging="257"/>
              <w:rPr>
                <w:rFonts w:ascii="Arial Narrow" w:hAnsi="Arial Narrow"/>
                <w:sz w:val="20"/>
              </w:rPr>
            </w:pPr>
            <w:r w:rsidRPr="003B4D22">
              <w:rPr>
                <w:rFonts w:ascii="Arial Narrow" w:hAnsi="Arial Narrow"/>
                <w:sz w:val="20"/>
              </w:rPr>
              <w:t>UTIs</w:t>
            </w:r>
          </w:p>
        </w:tc>
        <w:tc>
          <w:tcPr>
            <w:tcW w:w="940" w:type="pct"/>
            <w:gridSpan w:val="2"/>
            <w:tcBorders>
              <w:top w:val="nil"/>
              <w:left w:val="single" w:sz="4" w:space="0" w:color="auto"/>
              <w:bottom w:val="nil"/>
              <w:right w:val="nil"/>
            </w:tcBorders>
            <w:shd w:val="clear" w:color="auto" w:fill="auto"/>
            <w:noWrap/>
          </w:tcPr>
          <w:p w14:paraId="2BD7F290" w14:textId="77777777" w:rsidR="00AE5BD5" w:rsidRPr="003B4D22" w:rsidRDefault="00AE5BD5" w:rsidP="00AE5BD5">
            <w:pPr>
              <w:spacing w:after="0" w:line="240" w:lineRule="auto"/>
              <w:jc w:val="right"/>
              <w:rPr>
                <w:rFonts w:ascii="Arial Narrow" w:hAnsi="Arial Narrow" w:cs="Calibri"/>
                <w:sz w:val="20"/>
              </w:rPr>
            </w:pPr>
            <w:r w:rsidRPr="003B4D22">
              <w:rPr>
                <w:rFonts w:ascii="Arial Narrow" w:hAnsi="Arial Narrow"/>
                <w:sz w:val="20"/>
              </w:rPr>
              <w:t>8</w:t>
            </w:r>
          </w:p>
        </w:tc>
        <w:tc>
          <w:tcPr>
            <w:tcW w:w="1038" w:type="pct"/>
            <w:gridSpan w:val="2"/>
            <w:tcBorders>
              <w:top w:val="nil"/>
              <w:left w:val="nil"/>
              <w:bottom w:val="nil"/>
              <w:right w:val="nil"/>
            </w:tcBorders>
            <w:shd w:val="clear" w:color="auto" w:fill="auto"/>
            <w:noWrap/>
          </w:tcPr>
          <w:p w14:paraId="168138E9" w14:textId="77777777" w:rsidR="00AE5BD5" w:rsidRPr="003B4D22" w:rsidRDefault="00AE5BD5" w:rsidP="00AE5BD5">
            <w:pPr>
              <w:spacing w:after="0" w:line="240" w:lineRule="auto"/>
              <w:jc w:val="right"/>
              <w:rPr>
                <w:rFonts w:ascii="Arial Narrow" w:hAnsi="Arial Narrow"/>
                <w:sz w:val="20"/>
              </w:rPr>
            </w:pPr>
            <w:r w:rsidRPr="003B4D22">
              <w:rPr>
                <w:rFonts w:ascii="Arial Narrow" w:hAnsi="Arial Narrow"/>
                <w:sz w:val="20"/>
              </w:rPr>
              <w:t>5</w:t>
            </w:r>
          </w:p>
        </w:tc>
        <w:tc>
          <w:tcPr>
            <w:tcW w:w="666" w:type="pct"/>
            <w:tcBorders>
              <w:top w:val="nil"/>
              <w:left w:val="nil"/>
              <w:bottom w:val="nil"/>
              <w:right w:val="single" w:sz="4" w:space="0" w:color="auto"/>
            </w:tcBorders>
          </w:tcPr>
          <w:p w14:paraId="7670F7C4" w14:textId="58A399B1" w:rsidR="00AE5BD5" w:rsidRPr="003B4D22" w:rsidRDefault="00AE5BD5" w:rsidP="00AE5BD5">
            <w:pPr>
              <w:spacing w:after="0" w:line="240" w:lineRule="auto"/>
              <w:jc w:val="right"/>
              <w:rPr>
                <w:rFonts w:ascii="Arial Narrow" w:hAnsi="Arial Narrow"/>
                <w:sz w:val="20"/>
                <w:szCs w:val="20"/>
              </w:rPr>
            </w:pPr>
            <w:r>
              <w:rPr>
                <w:rFonts w:ascii="Arial Narrow" w:hAnsi="Arial Narrow"/>
                <w:sz w:val="20"/>
              </w:rPr>
              <w:t>n.r.</w:t>
            </w:r>
          </w:p>
        </w:tc>
      </w:tr>
      <w:tr w:rsidR="00AE5BD5" w:rsidRPr="003B4D22" w14:paraId="5BDFD58D" w14:textId="77777777" w:rsidTr="003735E3">
        <w:tc>
          <w:tcPr>
            <w:tcW w:w="650" w:type="pct"/>
            <w:tcBorders>
              <w:top w:val="nil"/>
              <w:left w:val="single" w:sz="4" w:space="0" w:color="auto"/>
              <w:bottom w:val="nil"/>
              <w:right w:val="single" w:sz="4" w:space="0" w:color="auto"/>
            </w:tcBorders>
          </w:tcPr>
          <w:p w14:paraId="7068C7CE"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tcPr>
          <w:p w14:paraId="7EC626AA" w14:textId="77777777" w:rsidR="00AE5BD5" w:rsidRPr="003B4D22" w:rsidRDefault="00AE5BD5" w:rsidP="00331FB9">
            <w:pPr>
              <w:pStyle w:val="ListParagraph"/>
              <w:numPr>
                <w:ilvl w:val="0"/>
                <w:numId w:val="16"/>
              </w:numPr>
              <w:spacing w:after="0" w:line="240" w:lineRule="auto"/>
              <w:ind w:left="322" w:hanging="257"/>
              <w:rPr>
                <w:rFonts w:ascii="Arial Narrow" w:hAnsi="Arial Narrow"/>
                <w:sz w:val="20"/>
              </w:rPr>
            </w:pPr>
            <w:r w:rsidRPr="003B4D22">
              <w:rPr>
                <w:rFonts w:ascii="Arial Narrow" w:hAnsi="Arial Narrow"/>
                <w:sz w:val="20"/>
              </w:rPr>
              <w:t>skins sepsis/abscess/cellulitis</w:t>
            </w:r>
          </w:p>
        </w:tc>
        <w:tc>
          <w:tcPr>
            <w:tcW w:w="940" w:type="pct"/>
            <w:gridSpan w:val="2"/>
            <w:tcBorders>
              <w:top w:val="nil"/>
              <w:left w:val="single" w:sz="4" w:space="0" w:color="auto"/>
              <w:bottom w:val="nil"/>
              <w:right w:val="nil"/>
            </w:tcBorders>
            <w:shd w:val="clear" w:color="auto" w:fill="auto"/>
            <w:noWrap/>
          </w:tcPr>
          <w:p w14:paraId="12C63947" w14:textId="77777777" w:rsidR="00AE5BD5" w:rsidRPr="003B4D22" w:rsidRDefault="00AE5BD5" w:rsidP="00AE5BD5">
            <w:pPr>
              <w:spacing w:after="0" w:line="240" w:lineRule="auto"/>
              <w:jc w:val="right"/>
              <w:rPr>
                <w:rFonts w:ascii="Arial Narrow" w:hAnsi="Arial Narrow" w:cs="Calibri"/>
                <w:sz w:val="20"/>
              </w:rPr>
            </w:pPr>
            <w:r w:rsidRPr="003B4D22">
              <w:rPr>
                <w:rFonts w:ascii="Arial Narrow" w:hAnsi="Arial Narrow"/>
                <w:sz w:val="20"/>
              </w:rPr>
              <w:t>2</w:t>
            </w:r>
          </w:p>
        </w:tc>
        <w:tc>
          <w:tcPr>
            <w:tcW w:w="1038" w:type="pct"/>
            <w:gridSpan w:val="2"/>
            <w:tcBorders>
              <w:top w:val="nil"/>
              <w:left w:val="nil"/>
              <w:bottom w:val="nil"/>
              <w:right w:val="nil"/>
            </w:tcBorders>
            <w:shd w:val="clear" w:color="auto" w:fill="auto"/>
            <w:noWrap/>
          </w:tcPr>
          <w:p w14:paraId="59901376" w14:textId="77777777" w:rsidR="00AE5BD5" w:rsidRPr="003B4D22" w:rsidRDefault="00AE5BD5" w:rsidP="00AE5BD5">
            <w:pPr>
              <w:spacing w:after="0" w:line="240" w:lineRule="auto"/>
              <w:jc w:val="right"/>
              <w:rPr>
                <w:rFonts w:ascii="Arial Narrow" w:hAnsi="Arial Narrow"/>
                <w:sz w:val="20"/>
              </w:rPr>
            </w:pPr>
            <w:r w:rsidRPr="003B4D22">
              <w:rPr>
                <w:rFonts w:ascii="Arial Narrow" w:hAnsi="Arial Narrow"/>
                <w:sz w:val="20"/>
              </w:rPr>
              <w:t>0</w:t>
            </w:r>
          </w:p>
        </w:tc>
        <w:tc>
          <w:tcPr>
            <w:tcW w:w="666" w:type="pct"/>
            <w:tcBorders>
              <w:top w:val="nil"/>
              <w:left w:val="nil"/>
              <w:bottom w:val="nil"/>
              <w:right w:val="single" w:sz="4" w:space="0" w:color="auto"/>
            </w:tcBorders>
          </w:tcPr>
          <w:p w14:paraId="07477854" w14:textId="14592216" w:rsidR="00AE5BD5" w:rsidRPr="003B4D22" w:rsidRDefault="00AE5BD5" w:rsidP="00AE5BD5">
            <w:pPr>
              <w:spacing w:after="0" w:line="240" w:lineRule="auto"/>
              <w:jc w:val="right"/>
              <w:rPr>
                <w:rFonts w:ascii="Arial Narrow" w:hAnsi="Arial Narrow"/>
                <w:sz w:val="20"/>
                <w:szCs w:val="20"/>
              </w:rPr>
            </w:pPr>
            <w:r>
              <w:rPr>
                <w:rFonts w:ascii="Arial Narrow" w:hAnsi="Arial Narrow"/>
                <w:sz w:val="20"/>
              </w:rPr>
              <w:t>n.r.</w:t>
            </w:r>
          </w:p>
        </w:tc>
      </w:tr>
      <w:tr w:rsidR="00AE5BD5" w:rsidRPr="003B4D22" w14:paraId="0DCFE06A" w14:textId="77777777" w:rsidTr="003735E3">
        <w:tc>
          <w:tcPr>
            <w:tcW w:w="650" w:type="pct"/>
            <w:tcBorders>
              <w:top w:val="nil"/>
              <w:left w:val="single" w:sz="4" w:space="0" w:color="auto"/>
              <w:bottom w:val="nil"/>
              <w:right w:val="single" w:sz="4" w:space="0" w:color="auto"/>
            </w:tcBorders>
          </w:tcPr>
          <w:p w14:paraId="3510746A"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tcPr>
          <w:p w14:paraId="534ED974" w14:textId="77777777" w:rsidR="00AE5BD5" w:rsidRPr="003B4D22" w:rsidRDefault="00AE5BD5" w:rsidP="00331FB9">
            <w:pPr>
              <w:pStyle w:val="ListParagraph"/>
              <w:numPr>
                <w:ilvl w:val="0"/>
                <w:numId w:val="16"/>
              </w:numPr>
              <w:spacing w:after="0" w:line="240" w:lineRule="auto"/>
              <w:ind w:left="322" w:hanging="257"/>
              <w:rPr>
                <w:rFonts w:ascii="Arial Narrow" w:hAnsi="Arial Narrow"/>
                <w:sz w:val="20"/>
              </w:rPr>
            </w:pPr>
            <w:r w:rsidRPr="003B4D22">
              <w:rPr>
                <w:rFonts w:ascii="Arial Narrow" w:hAnsi="Arial Narrow"/>
                <w:sz w:val="20"/>
              </w:rPr>
              <w:t>pyrexia of unknown origin</w:t>
            </w:r>
          </w:p>
        </w:tc>
        <w:tc>
          <w:tcPr>
            <w:tcW w:w="940" w:type="pct"/>
            <w:gridSpan w:val="2"/>
            <w:tcBorders>
              <w:top w:val="nil"/>
              <w:left w:val="single" w:sz="4" w:space="0" w:color="auto"/>
              <w:bottom w:val="nil"/>
              <w:right w:val="nil"/>
            </w:tcBorders>
            <w:shd w:val="clear" w:color="auto" w:fill="auto"/>
            <w:noWrap/>
          </w:tcPr>
          <w:p w14:paraId="12F913E8" w14:textId="77777777" w:rsidR="00AE5BD5" w:rsidRPr="003B4D22" w:rsidRDefault="00AE5BD5" w:rsidP="00AE5BD5">
            <w:pPr>
              <w:spacing w:after="0" w:line="240" w:lineRule="auto"/>
              <w:jc w:val="right"/>
              <w:rPr>
                <w:rFonts w:ascii="Arial Narrow" w:hAnsi="Arial Narrow" w:cs="Calibri"/>
                <w:sz w:val="20"/>
              </w:rPr>
            </w:pPr>
            <w:r w:rsidRPr="003B4D22">
              <w:rPr>
                <w:rFonts w:ascii="Arial Narrow" w:hAnsi="Arial Narrow"/>
                <w:sz w:val="20"/>
              </w:rPr>
              <w:t>2</w:t>
            </w:r>
          </w:p>
        </w:tc>
        <w:tc>
          <w:tcPr>
            <w:tcW w:w="1038" w:type="pct"/>
            <w:gridSpan w:val="2"/>
            <w:tcBorders>
              <w:top w:val="nil"/>
              <w:left w:val="nil"/>
              <w:bottom w:val="nil"/>
              <w:right w:val="nil"/>
            </w:tcBorders>
            <w:shd w:val="clear" w:color="auto" w:fill="auto"/>
            <w:noWrap/>
          </w:tcPr>
          <w:p w14:paraId="787D59CF" w14:textId="77777777" w:rsidR="00AE5BD5" w:rsidRPr="003B4D22" w:rsidRDefault="00AE5BD5" w:rsidP="00AE5BD5">
            <w:pPr>
              <w:spacing w:after="0" w:line="240" w:lineRule="auto"/>
              <w:jc w:val="right"/>
              <w:rPr>
                <w:rFonts w:ascii="Arial Narrow" w:hAnsi="Arial Narrow"/>
                <w:sz w:val="20"/>
              </w:rPr>
            </w:pPr>
            <w:r w:rsidRPr="003B4D22">
              <w:rPr>
                <w:rFonts w:ascii="Arial Narrow" w:hAnsi="Arial Narrow"/>
                <w:sz w:val="20"/>
              </w:rPr>
              <w:t>0</w:t>
            </w:r>
          </w:p>
        </w:tc>
        <w:tc>
          <w:tcPr>
            <w:tcW w:w="666" w:type="pct"/>
            <w:tcBorders>
              <w:top w:val="nil"/>
              <w:left w:val="nil"/>
              <w:bottom w:val="nil"/>
              <w:right w:val="single" w:sz="4" w:space="0" w:color="auto"/>
            </w:tcBorders>
          </w:tcPr>
          <w:p w14:paraId="7BEB52AE" w14:textId="48967619" w:rsidR="00AE5BD5" w:rsidRPr="003B4D22" w:rsidRDefault="00AE5BD5" w:rsidP="00AE5BD5">
            <w:pPr>
              <w:spacing w:after="0" w:line="240" w:lineRule="auto"/>
              <w:jc w:val="right"/>
              <w:rPr>
                <w:rFonts w:ascii="Arial Narrow" w:hAnsi="Arial Narrow"/>
                <w:sz w:val="20"/>
                <w:szCs w:val="20"/>
              </w:rPr>
            </w:pPr>
            <w:r>
              <w:rPr>
                <w:rFonts w:ascii="Arial Narrow" w:hAnsi="Arial Narrow"/>
                <w:sz w:val="20"/>
              </w:rPr>
              <w:t>n.r.</w:t>
            </w:r>
          </w:p>
        </w:tc>
      </w:tr>
      <w:tr w:rsidR="00AE5BD5" w:rsidRPr="003B4D22" w14:paraId="7354B116" w14:textId="77777777" w:rsidTr="00C57B4A">
        <w:tc>
          <w:tcPr>
            <w:tcW w:w="650" w:type="pct"/>
            <w:tcBorders>
              <w:top w:val="nil"/>
              <w:left w:val="single" w:sz="4" w:space="0" w:color="auto"/>
              <w:bottom w:val="nil"/>
              <w:right w:val="single" w:sz="4" w:space="0" w:color="auto"/>
            </w:tcBorders>
          </w:tcPr>
          <w:p w14:paraId="7AE0F814"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right w:val="single" w:sz="4" w:space="0" w:color="auto"/>
            </w:tcBorders>
            <w:shd w:val="clear" w:color="auto" w:fill="auto"/>
          </w:tcPr>
          <w:p w14:paraId="239A129A" w14:textId="77777777" w:rsidR="00AE5BD5" w:rsidRPr="003B4D22" w:rsidRDefault="00AE5BD5" w:rsidP="00331FB9">
            <w:pPr>
              <w:pStyle w:val="ListParagraph"/>
              <w:numPr>
                <w:ilvl w:val="0"/>
                <w:numId w:val="16"/>
              </w:numPr>
              <w:spacing w:after="0" w:line="240" w:lineRule="auto"/>
              <w:ind w:left="322" w:hanging="257"/>
              <w:rPr>
                <w:rFonts w:ascii="Arial Narrow" w:hAnsi="Arial Narrow"/>
                <w:sz w:val="20"/>
              </w:rPr>
            </w:pPr>
            <w:r w:rsidRPr="003B4D22">
              <w:rPr>
                <w:rFonts w:ascii="Arial Narrow" w:hAnsi="Arial Narrow"/>
                <w:sz w:val="20"/>
              </w:rPr>
              <w:t>other</w:t>
            </w:r>
          </w:p>
        </w:tc>
        <w:tc>
          <w:tcPr>
            <w:tcW w:w="940" w:type="pct"/>
            <w:gridSpan w:val="2"/>
            <w:tcBorders>
              <w:top w:val="nil"/>
              <w:left w:val="single" w:sz="4" w:space="0" w:color="auto"/>
              <w:right w:val="nil"/>
            </w:tcBorders>
            <w:shd w:val="clear" w:color="auto" w:fill="auto"/>
            <w:noWrap/>
          </w:tcPr>
          <w:p w14:paraId="68C850D2" w14:textId="77777777" w:rsidR="00AE5BD5" w:rsidRPr="003B4D22" w:rsidRDefault="00AE5BD5" w:rsidP="00AE5BD5">
            <w:pPr>
              <w:spacing w:after="0" w:line="240" w:lineRule="auto"/>
              <w:jc w:val="right"/>
              <w:rPr>
                <w:rFonts w:ascii="Arial Narrow" w:hAnsi="Arial Narrow" w:cs="Calibri"/>
                <w:sz w:val="20"/>
              </w:rPr>
            </w:pPr>
            <w:r w:rsidRPr="003B4D22">
              <w:rPr>
                <w:rFonts w:ascii="Arial Narrow" w:hAnsi="Arial Narrow"/>
                <w:sz w:val="20"/>
              </w:rPr>
              <w:t>1</w:t>
            </w:r>
          </w:p>
        </w:tc>
        <w:tc>
          <w:tcPr>
            <w:tcW w:w="1038" w:type="pct"/>
            <w:gridSpan w:val="2"/>
            <w:tcBorders>
              <w:top w:val="nil"/>
              <w:left w:val="nil"/>
              <w:right w:val="nil"/>
            </w:tcBorders>
            <w:shd w:val="clear" w:color="auto" w:fill="auto"/>
            <w:noWrap/>
          </w:tcPr>
          <w:p w14:paraId="67D16EF0" w14:textId="77777777" w:rsidR="00AE5BD5" w:rsidRPr="003B4D22" w:rsidRDefault="00AE5BD5" w:rsidP="00AE5BD5">
            <w:pPr>
              <w:spacing w:after="0" w:line="240" w:lineRule="auto"/>
              <w:jc w:val="right"/>
              <w:rPr>
                <w:rFonts w:ascii="Arial Narrow" w:hAnsi="Arial Narrow"/>
                <w:sz w:val="20"/>
              </w:rPr>
            </w:pPr>
            <w:r w:rsidRPr="003B4D22">
              <w:rPr>
                <w:rFonts w:ascii="Arial Narrow" w:hAnsi="Arial Narrow"/>
                <w:sz w:val="20"/>
              </w:rPr>
              <w:t>5</w:t>
            </w:r>
          </w:p>
        </w:tc>
        <w:tc>
          <w:tcPr>
            <w:tcW w:w="666" w:type="pct"/>
            <w:tcBorders>
              <w:top w:val="nil"/>
              <w:left w:val="nil"/>
              <w:right w:val="single" w:sz="4" w:space="0" w:color="auto"/>
            </w:tcBorders>
          </w:tcPr>
          <w:p w14:paraId="6899E78B" w14:textId="6A8D31A9" w:rsidR="00AE5BD5" w:rsidRPr="003B4D22" w:rsidRDefault="00AE5BD5" w:rsidP="00AE5BD5">
            <w:pPr>
              <w:spacing w:after="0" w:line="240" w:lineRule="auto"/>
              <w:jc w:val="right"/>
              <w:rPr>
                <w:rFonts w:ascii="Arial Narrow" w:hAnsi="Arial Narrow"/>
                <w:sz w:val="20"/>
                <w:szCs w:val="20"/>
              </w:rPr>
            </w:pPr>
            <w:r>
              <w:rPr>
                <w:rFonts w:ascii="Arial Narrow" w:hAnsi="Arial Narrow"/>
                <w:sz w:val="20"/>
              </w:rPr>
              <w:t>n.r.</w:t>
            </w:r>
          </w:p>
        </w:tc>
      </w:tr>
      <w:tr w:rsidR="00AE5BD5" w:rsidRPr="003B4D22" w14:paraId="1408FE9E" w14:textId="77777777" w:rsidTr="00C57B4A">
        <w:tc>
          <w:tcPr>
            <w:tcW w:w="650" w:type="pct"/>
            <w:tcBorders>
              <w:top w:val="nil"/>
              <w:left w:val="single" w:sz="4" w:space="0" w:color="auto"/>
              <w:bottom w:val="nil"/>
              <w:right w:val="single" w:sz="4" w:space="0" w:color="auto"/>
            </w:tcBorders>
          </w:tcPr>
          <w:p w14:paraId="03182426"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single" w:sz="4" w:space="0" w:color="auto"/>
              <w:right w:val="single" w:sz="4" w:space="0" w:color="auto"/>
            </w:tcBorders>
            <w:shd w:val="clear" w:color="auto" w:fill="auto"/>
          </w:tcPr>
          <w:p w14:paraId="502F8977" w14:textId="6344CA25" w:rsidR="00AE5BD5" w:rsidRPr="00626397" w:rsidRDefault="00AE5BD5" w:rsidP="00AE5BD5">
            <w:pPr>
              <w:spacing w:after="0" w:line="240" w:lineRule="auto"/>
              <w:ind w:left="-49"/>
              <w:rPr>
                <w:rFonts w:ascii="Arial Narrow" w:hAnsi="Arial Narrow"/>
                <w:b/>
                <w:sz w:val="20"/>
              </w:rPr>
            </w:pPr>
            <w:r w:rsidRPr="00626397">
              <w:rPr>
                <w:rFonts w:ascii="Arial Narrow" w:hAnsi="Arial Narrow"/>
                <w:b/>
                <w:sz w:val="20"/>
              </w:rPr>
              <w:t>Total serious (moderate) infections</w:t>
            </w:r>
          </w:p>
        </w:tc>
        <w:tc>
          <w:tcPr>
            <w:tcW w:w="940" w:type="pct"/>
            <w:gridSpan w:val="2"/>
            <w:tcBorders>
              <w:top w:val="nil"/>
              <w:left w:val="single" w:sz="4" w:space="0" w:color="auto"/>
              <w:bottom w:val="single" w:sz="4" w:space="0" w:color="auto"/>
              <w:right w:val="nil"/>
            </w:tcBorders>
            <w:shd w:val="clear" w:color="auto" w:fill="auto"/>
            <w:noWrap/>
          </w:tcPr>
          <w:p w14:paraId="4AB974E5" w14:textId="22BF68CD" w:rsidR="00AE5BD5" w:rsidRPr="00626397" w:rsidRDefault="00AE5BD5" w:rsidP="00AE5BD5">
            <w:pPr>
              <w:spacing w:after="0" w:line="240" w:lineRule="auto"/>
              <w:jc w:val="right"/>
              <w:rPr>
                <w:rFonts w:ascii="Arial Narrow" w:hAnsi="Arial Narrow"/>
                <w:b/>
                <w:sz w:val="20"/>
              </w:rPr>
            </w:pPr>
            <w:r w:rsidRPr="00626397">
              <w:rPr>
                <w:rFonts w:ascii="Arial Narrow" w:hAnsi="Arial Narrow"/>
                <w:b/>
                <w:sz w:val="20"/>
              </w:rPr>
              <w:t>19</w:t>
            </w:r>
          </w:p>
        </w:tc>
        <w:tc>
          <w:tcPr>
            <w:tcW w:w="1038" w:type="pct"/>
            <w:gridSpan w:val="2"/>
            <w:tcBorders>
              <w:top w:val="nil"/>
              <w:left w:val="nil"/>
              <w:bottom w:val="single" w:sz="4" w:space="0" w:color="auto"/>
              <w:right w:val="nil"/>
            </w:tcBorders>
            <w:shd w:val="clear" w:color="auto" w:fill="auto"/>
            <w:noWrap/>
          </w:tcPr>
          <w:p w14:paraId="47C65DCB" w14:textId="24243FB7" w:rsidR="00AE5BD5" w:rsidRPr="00626397" w:rsidRDefault="00AE5BD5" w:rsidP="00AE5BD5">
            <w:pPr>
              <w:spacing w:after="0" w:line="240" w:lineRule="auto"/>
              <w:jc w:val="right"/>
              <w:rPr>
                <w:rFonts w:ascii="Arial Narrow" w:hAnsi="Arial Narrow"/>
                <w:b/>
                <w:sz w:val="20"/>
              </w:rPr>
            </w:pPr>
            <w:r w:rsidRPr="00626397">
              <w:rPr>
                <w:rFonts w:ascii="Arial Narrow" w:hAnsi="Arial Narrow"/>
                <w:b/>
                <w:sz w:val="20"/>
              </w:rPr>
              <w:t>28</w:t>
            </w:r>
          </w:p>
        </w:tc>
        <w:tc>
          <w:tcPr>
            <w:tcW w:w="666" w:type="pct"/>
            <w:tcBorders>
              <w:top w:val="nil"/>
              <w:left w:val="nil"/>
              <w:bottom w:val="single" w:sz="4" w:space="0" w:color="auto"/>
              <w:right w:val="single" w:sz="4" w:space="0" w:color="auto"/>
            </w:tcBorders>
          </w:tcPr>
          <w:p w14:paraId="2008FE1A" w14:textId="2CD7D676" w:rsidR="00AE5BD5" w:rsidRPr="00626397" w:rsidRDefault="00AE5BD5" w:rsidP="00AE5BD5">
            <w:pPr>
              <w:spacing w:after="0" w:line="240" w:lineRule="auto"/>
              <w:jc w:val="right"/>
              <w:rPr>
                <w:rFonts w:ascii="Arial Narrow" w:hAnsi="Arial Narrow"/>
                <w:b/>
                <w:sz w:val="20"/>
              </w:rPr>
            </w:pPr>
            <w:r>
              <w:rPr>
                <w:rFonts w:ascii="Arial Narrow" w:hAnsi="Arial Narrow"/>
                <w:b/>
                <w:sz w:val="20"/>
              </w:rPr>
              <w:t>n.r.</w:t>
            </w:r>
          </w:p>
        </w:tc>
      </w:tr>
      <w:tr w:rsidR="00AE5BD5" w:rsidRPr="003B4D22" w14:paraId="29397DC2" w14:textId="77777777" w:rsidTr="00C57B4A">
        <w:tc>
          <w:tcPr>
            <w:tcW w:w="650" w:type="pct"/>
            <w:tcBorders>
              <w:top w:val="nil"/>
              <w:left w:val="single" w:sz="4" w:space="0" w:color="auto"/>
              <w:bottom w:val="nil"/>
              <w:right w:val="single" w:sz="4" w:space="0" w:color="auto"/>
            </w:tcBorders>
          </w:tcPr>
          <w:p w14:paraId="131A80EC"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right w:val="single" w:sz="4" w:space="0" w:color="auto"/>
            </w:tcBorders>
            <w:shd w:val="clear" w:color="auto" w:fill="auto"/>
          </w:tcPr>
          <w:p w14:paraId="7AD08ECF" w14:textId="77777777" w:rsidR="00AE5BD5" w:rsidRPr="00626397" w:rsidRDefault="00AE5BD5" w:rsidP="00AE5BD5">
            <w:pPr>
              <w:spacing w:after="0" w:line="240" w:lineRule="auto"/>
              <w:rPr>
                <w:rFonts w:ascii="Arial Narrow" w:hAnsi="Arial Narrow"/>
                <w:b/>
                <w:sz w:val="20"/>
              </w:rPr>
            </w:pPr>
            <w:r w:rsidRPr="00626397">
              <w:rPr>
                <w:rFonts w:ascii="Arial Narrow" w:hAnsi="Arial Narrow"/>
                <w:b/>
                <w:sz w:val="20"/>
              </w:rPr>
              <w:t>Total serious infections (57 of 138 infections of any severity)</w:t>
            </w:r>
          </w:p>
        </w:tc>
        <w:tc>
          <w:tcPr>
            <w:tcW w:w="940" w:type="pct"/>
            <w:gridSpan w:val="2"/>
            <w:tcBorders>
              <w:top w:val="single" w:sz="4" w:space="0" w:color="auto"/>
              <w:left w:val="single" w:sz="4" w:space="0" w:color="auto"/>
              <w:right w:val="single" w:sz="4" w:space="0" w:color="auto"/>
            </w:tcBorders>
            <w:shd w:val="clear" w:color="auto" w:fill="auto"/>
            <w:noWrap/>
          </w:tcPr>
          <w:p w14:paraId="2E039A6E" w14:textId="77777777" w:rsidR="00AE5BD5" w:rsidRPr="00626397" w:rsidRDefault="00AE5BD5" w:rsidP="00AE5BD5">
            <w:pPr>
              <w:spacing w:after="0" w:line="240" w:lineRule="auto"/>
              <w:jc w:val="right"/>
              <w:rPr>
                <w:rFonts w:ascii="Arial Narrow" w:hAnsi="Arial Narrow" w:cs="Calibri"/>
                <w:b/>
                <w:sz w:val="20"/>
              </w:rPr>
            </w:pPr>
            <w:r w:rsidRPr="00626397">
              <w:rPr>
                <w:rFonts w:ascii="Arial Narrow" w:hAnsi="Arial Narrow"/>
                <w:b/>
                <w:sz w:val="20"/>
              </w:rPr>
              <w:t>19</w:t>
            </w:r>
          </w:p>
        </w:tc>
        <w:tc>
          <w:tcPr>
            <w:tcW w:w="1038" w:type="pct"/>
            <w:gridSpan w:val="2"/>
            <w:tcBorders>
              <w:top w:val="single" w:sz="4" w:space="0" w:color="auto"/>
              <w:left w:val="single" w:sz="4" w:space="0" w:color="auto"/>
              <w:right w:val="single" w:sz="4" w:space="0" w:color="auto"/>
            </w:tcBorders>
            <w:shd w:val="clear" w:color="auto" w:fill="auto"/>
            <w:noWrap/>
          </w:tcPr>
          <w:p w14:paraId="5B4831EB" w14:textId="77777777" w:rsidR="00AE5BD5" w:rsidRPr="00626397" w:rsidRDefault="00AE5BD5" w:rsidP="00AE5BD5">
            <w:pPr>
              <w:spacing w:after="0" w:line="240" w:lineRule="auto"/>
              <w:jc w:val="right"/>
              <w:rPr>
                <w:rFonts w:ascii="Arial Narrow" w:hAnsi="Arial Narrow"/>
                <w:b/>
                <w:sz w:val="20"/>
              </w:rPr>
            </w:pPr>
            <w:r w:rsidRPr="00626397">
              <w:rPr>
                <w:rFonts w:ascii="Arial Narrow" w:hAnsi="Arial Narrow"/>
                <w:b/>
                <w:sz w:val="20"/>
              </w:rPr>
              <w:t>38</w:t>
            </w:r>
          </w:p>
        </w:tc>
        <w:tc>
          <w:tcPr>
            <w:tcW w:w="666" w:type="pct"/>
            <w:tcBorders>
              <w:top w:val="single" w:sz="4" w:space="0" w:color="auto"/>
              <w:left w:val="single" w:sz="4" w:space="0" w:color="auto"/>
              <w:right w:val="single" w:sz="4" w:space="0" w:color="auto"/>
            </w:tcBorders>
          </w:tcPr>
          <w:p w14:paraId="7BAFFAE8" w14:textId="1D6856CB" w:rsidR="00AE5BD5" w:rsidRPr="00626397" w:rsidRDefault="00AE5BD5" w:rsidP="00AE5BD5">
            <w:pPr>
              <w:spacing w:after="0" w:line="240" w:lineRule="auto"/>
              <w:jc w:val="right"/>
              <w:rPr>
                <w:rFonts w:ascii="Arial Narrow" w:hAnsi="Arial Narrow"/>
                <w:b/>
                <w:sz w:val="20"/>
                <w:szCs w:val="20"/>
              </w:rPr>
            </w:pPr>
            <w:r w:rsidRPr="00626397">
              <w:rPr>
                <w:rFonts w:ascii="Arial Narrow" w:hAnsi="Arial Narrow"/>
                <w:b/>
                <w:sz w:val="20"/>
                <w:szCs w:val="20"/>
              </w:rPr>
              <w:t xml:space="preserve">p=0.019 </w:t>
            </w:r>
            <w:r w:rsidRPr="00626397">
              <w:rPr>
                <w:rFonts w:ascii="Arial Narrow" w:hAnsi="Arial Narrow"/>
                <w:b/>
                <w:sz w:val="20"/>
                <w:szCs w:val="20"/>
              </w:rPr>
              <w:br/>
              <w:t>(95% CI 0.007-0.071)</w:t>
            </w:r>
          </w:p>
        </w:tc>
      </w:tr>
      <w:tr w:rsidR="00AE5BD5" w:rsidRPr="003B4D22" w14:paraId="141F428F" w14:textId="77777777" w:rsidTr="00C57B4A">
        <w:tc>
          <w:tcPr>
            <w:tcW w:w="650" w:type="pct"/>
            <w:tcBorders>
              <w:top w:val="nil"/>
              <w:left w:val="single" w:sz="4" w:space="0" w:color="auto"/>
              <w:bottom w:val="nil"/>
              <w:right w:val="single" w:sz="4" w:space="0" w:color="auto"/>
            </w:tcBorders>
          </w:tcPr>
          <w:p w14:paraId="028087EC"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left w:val="single" w:sz="4" w:space="0" w:color="auto"/>
              <w:bottom w:val="single" w:sz="4" w:space="0" w:color="auto"/>
              <w:right w:val="single" w:sz="4" w:space="0" w:color="auto"/>
            </w:tcBorders>
            <w:shd w:val="clear" w:color="auto" w:fill="auto"/>
          </w:tcPr>
          <w:p w14:paraId="17EB2607" w14:textId="6A3F20AF" w:rsidR="00AE5BD5" w:rsidRPr="003B4D22" w:rsidRDefault="00AE5BD5" w:rsidP="00AE5BD5">
            <w:pPr>
              <w:spacing w:after="0" w:line="240" w:lineRule="auto"/>
              <w:rPr>
                <w:rFonts w:ascii="Arial Narrow" w:hAnsi="Arial Narrow"/>
                <w:sz w:val="20"/>
              </w:rPr>
            </w:pPr>
            <w:r>
              <w:rPr>
                <w:rFonts w:ascii="Arial Narrow" w:hAnsi="Arial Narrow"/>
                <w:sz w:val="20"/>
              </w:rPr>
              <w:t>Serious infections rate (/patient/mo)</w:t>
            </w:r>
          </w:p>
        </w:tc>
        <w:tc>
          <w:tcPr>
            <w:tcW w:w="940" w:type="pct"/>
            <w:gridSpan w:val="2"/>
            <w:tcBorders>
              <w:left w:val="single" w:sz="4" w:space="0" w:color="auto"/>
              <w:bottom w:val="single" w:sz="4" w:space="0" w:color="auto"/>
              <w:right w:val="single" w:sz="4" w:space="0" w:color="auto"/>
            </w:tcBorders>
            <w:shd w:val="clear" w:color="auto" w:fill="auto"/>
            <w:noWrap/>
          </w:tcPr>
          <w:p w14:paraId="331EA45A" w14:textId="0AAA3139" w:rsidR="00AE5BD5" w:rsidRPr="00626397" w:rsidRDefault="00AE5BD5" w:rsidP="00AE5BD5">
            <w:pPr>
              <w:spacing w:after="0" w:line="240" w:lineRule="auto"/>
              <w:jc w:val="right"/>
              <w:rPr>
                <w:rFonts w:ascii="Arial Narrow" w:hAnsi="Arial Narrow"/>
                <w:i/>
                <w:sz w:val="20"/>
              </w:rPr>
            </w:pPr>
            <w:r w:rsidRPr="00626397">
              <w:rPr>
                <w:rFonts w:ascii="Arial Narrow" w:hAnsi="Arial Narrow"/>
                <w:i/>
                <w:sz w:val="20"/>
              </w:rPr>
              <w:t>0.042</w:t>
            </w:r>
          </w:p>
        </w:tc>
        <w:tc>
          <w:tcPr>
            <w:tcW w:w="1038" w:type="pct"/>
            <w:gridSpan w:val="2"/>
            <w:tcBorders>
              <w:left w:val="single" w:sz="4" w:space="0" w:color="auto"/>
              <w:bottom w:val="single" w:sz="4" w:space="0" w:color="auto"/>
              <w:right w:val="single" w:sz="4" w:space="0" w:color="auto"/>
            </w:tcBorders>
            <w:shd w:val="clear" w:color="auto" w:fill="auto"/>
            <w:noWrap/>
          </w:tcPr>
          <w:p w14:paraId="3993D7F4" w14:textId="178D8FF1" w:rsidR="00AE5BD5" w:rsidRPr="00626397" w:rsidRDefault="00AE5BD5" w:rsidP="00AE5BD5">
            <w:pPr>
              <w:spacing w:after="0" w:line="240" w:lineRule="auto"/>
              <w:jc w:val="right"/>
              <w:rPr>
                <w:rFonts w:ascii="Arial Narrow" w:hAnsi="Arial Narrow"/>
                <w:i/>
                <w:sz w:val="20"/>
              </w:rPr>
            </w:pPr>
            <w:r w:rsidRPr="00626397">
              <w:rPr>
                <w:rFonts w:ascii="Arial Narrow" w:hAnsi="Arial Narrow"/>
                <w:i/>
                <w:sz w:val="20"/>
              </w:rPr>
              <w:t>0.081</w:t>
            </w:r>
          </w:p>
        </w:tc>
        <w:tc>
          <w:tcPr>
            <w:tcW w:w="666" w:type="pct"/>
            <w:tcBorders>
              <w:left w:val="single" w:sz="4" w:space="0" w:color="auto"/>
              <w:bottom w:val="single" w:sz="4" w:space="0" w:color="auto"/>
              <w:right w:val="single" w:sz="4" w:space="0" w:color="auto"/>
            </w:tcBorders>
          </w:tcPr>
          <w:p w14:paraId="77D07B83" w14:textId="6A83D384" w:rsidR="00AE5BD5" w:rsidRDefault="00AE5BD5" w:rsidP="00AE5BD5">
            <w:pPr>
              <w:spacing w:after="0" w:line="240" w:lineRule="auto"/>
              <w:jc w:val="right"/>
              <w:rPr>
                <w:rFonts w:ascii="Arial Narrow" w:hAnsi="Arial Narrow"/>
                <w:sz w:val="20"/>
                <w:szCs w:val="20"/>
              </w:rPr>
            </w:pPr>
            <w:r>
              <w:rPr>
                <w:rFonts w:ascii="Arial Narrow" w:hAnsi="Arial Narrow"/>
                <w:sz w:val="20"/>
              </w:rPr>
              <w:t>n.r.</w:t>
            </w:r>
          </w:p>
        </w:tc>
      </w:tr>
      <w:tr w:rsidR="00AE5BD5" w:rsidRPr="003B4D22" w14:paraId="1ACA0A4B" w14:textId="77777777" w:rsidTr="003735E3">
        <w:tc>
          <w:tcPr>
            <w:tcW w:w="650" w:type="pct"/>
            <w:tcBorders>
              <w:top w:val="nil"/>
              <w:left w:val="single" w:sz="4" w:space="0" w:color="auto"/>
              <w:bottom w:val="nil"/>
              <w:right w:val="single" w:sz="4" w:space="0" w:color="auto"/>
            </w:tcBorders>
          </w:tcPr>
          <w:p w14:paraId="1D9A4F79"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right w:val="single" w:sz="4" w:space="0" w:color="auto"/>
            </w:tcBorders>
            <w:shd w:val="clear" w:color="auto" w:fill="auto"/>
          </w:tcPr>
          <w:p w14:paraId="43E7A02F" w14:textId="77777777" w:rsidR="00AE5BD5" w:rsidRPr="003B4D22" w:rsidRDefault="00AE5BD5" w:rsidP="00AE5BD5">
            <w:pPr>
              <w:spacing w:after="0" w:line="240" w:lineRule="auto"/>
              <w:rPr>
                <w:rFonts w:ascii="Arial Narrow" w:hAnsi="Arial Narrow"/>
                <w:sz w:val="20"/>
              </w:rPr>
            </w:pPr>
            <w:r w:rsidRPr="003B4D22">
              <w:rPr>
                <w:rFonts w:ascii="Arial Narrow" w:hAnsi="Arial Narrow"/>
                <w:sz w:val="20"/>
              </w:rPr>
              <w:t>Serious infections, bacterial</w:t>
            </w:r>
          </w:p>
        </w:tc>
        <w:tc>
          <w:tcPr>
            <w:tcW w:w="940" w:type="pct"/>
            <w:gridSpan w:val="2"/>
            <w:tcBorders>
              <w:top w:val="single" w:sz="4" w:space="0" w:color="auto"/>
              <w:left w:val="single" w:sz="4" w:space="0" w:color="auto"/>
              <w:right w:val="nil"/>
            </w:tcBorders>
            <w:shd w:val="clear" w:color="auto" w:fill="auto"/>
            <w:noWrap/>
          </w:tcPr>
          <w:p w14:paraId="27F91300" w14:textId="77777777" w:rsidR="00AE5BD5" w:rsidRPr="003B4D22" w:rsidRDefault="00AE5BD5" w:rsidP="00AE5BD5">
            <w:pPr>
              <w:spacing w:after="0" w:line="240" w:lineRule="auto"/>
              <w:jc w:val="right"/>
              <w:rPr>
                <w:rFonts w:ascii="Arial Narrow" w:hAnsi="Arial Narrow" w:cs="Calibri"/>
                <w:sz w:val="20"/>
              </w:rPr>
            </w:pPr>
            <w:r w:rsidRPr="003B4D22">
              <w:rPr>
                <w:rFonts w:ascii="Arial Narrow" w:hAnsi="Arial Narrow"/>
                <w:sz w:val="20"/>
              </w:rPr>
              <w:t>15</w:t>
            </w:r>
          </w:p>
        </w:tc>
        <w:tc>
          <w:tcPr>
            <w:tcW w:w="1038" w:type="pct"/>
            <w:gridSpan w:val="2"/>
            <w:tcBorders>
              <w:top w:val="single" w:sz="4" w:space="0" w:color="auto"/>
              <w:left w:val="nil"/>
              <w:right w:val="nil"/>
            </w:tcBorders>
            <w:shd w:val="clear" w:color="auto" w:fill="auto"/>
            <w:noWrap/>
          </w:tcPr>
          <w:p w14:paraId="195ABE5E" w14:textId="77777777" w:rsidR="00AE5BD5" w:rsidRPr="003B4D22" w:rsidRDefault="00AE5BD5" w:rsidP="00AE5BD5">
            <w:pPr>
              <w:spacing w:after="0" w:line="240" w:lineRule="auto"/>
              <w:jc w:val="right"/>
              <w:rPr>
                <w:rFonts w:ascii="Arial Narrow" w:hAnsi="Arial Narrow"/>
                <w:sz w:val="20"/>
              </w:rPr>
            </w:pPr>
            <w:r w:rsidRPr="003B4D22">
              <w:rPr>
                <w:rFonts w:ascii="Arial Narrow" w:hAnsi="Arial Narrow"/>
                <w:sz w:val="20"/>
              </w:rPr>
              <w:t>29</w:t>
            </w:r>
          </w:p>
        </w:tc>
        <w:tc>
          <w:tcPr>
            <w:tcW w:w="666" w:type="pct"/>
            <w:tcBorders>
              <w:top w:val="single" w:sz="4" w:space="0" w:color="auto"/>
              <w:left w:val="nil"/>
              <w:right w:val="single" w:sz="4" w:space="0" w:color="auto"/>
            </w:tcBorders>
          </w:tcPr>
          <w:p w14:paraId="4945EE0B" w14:textId="77777777" w:rsidR="00AE5BD5" w:rsidRPr="003B4D22" w:rsidRDefault="00AE5BD5" w:rsidP="00AE5BD5">
            <w:pPr>
              <w:spacing w:after="0" w:line="240" w:lineRule="auto"/>
              <w:jc w:val="right"/>
              <w:rPr>
                <w:rFonts w:ascii="Arial Narrow" w:hAnsi="Arial Narrow"/>
                <w:sz w:val="20"/>
                <w:szCs w:val="20"/>
              </w:rPr>
            </w:pPr>
            <w:r w:rsidRPr="003B4D22">
              <w:rPr>
                <w:rFonts w:ascii="Arial Narrow" w:hAnsi="Arial Narrow"/>
                <w:sz w:val="20"/>
              </w:rPr>
              <w:t>0.05</w:t>
            </w:r>
          </w:p>
        </w:tc>
      </w:tr>
      <w:tr w:rsidR="00AE5BD5" w:rsidRPr="003B4D22" w14:paraId="6298D44F" w14:textId="77777777" w:rsidTr="003735E3">
        <w:tc>
          <w:tcPr>
            <w:tcW w:w="650" w:type="pct"/>
            <w:tcBorders>
              <w:top w:val="nil"/>
              <w:left w:val="single" w:sz="4" w:space="0" w:color="auto"/>
              <w:bottom w:val="nil"/>
              <w:right w:val="single" w:sz="4" w:space="0" w:color="auto"/>
            </w:tcBorders>
          </w:tcPr>
          <w:p w14:paraId="53F9A11B"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left w:val="single" w:sz="4" w:space="0" w:color="auto"/>
              <w:bottom w:val="single" w:sz="4" w:space="0" w:color="auto"/>
              <w:right w:val="single" w:sz="4" w:space="0" w:color="auto"/>
            </w:tcBorders>
            <w:shd w:val="clear" w:color="auto" w:fill="auto"/>
          </w:tcPr>
          <w:p w14:paraId="2AA67C0D" w14:textId="77777777" w:rsidR="00AE5BD5" w:rsidRPr="003B4D22" w:rsidRDefault="00AE5BD5" w:rsidP="00AE5BD5">
            <w:pPr>
              <w:spacing w:after="0" w:line="240" w:lineRule="auto"/>
              <w:rPr>
                <w:rFonts w:ascii="Arial Narrow" w:hAnsi="Arial Narrow"/>
                <w:i/>
                <w:sz w:val="20"/>
              </w:rPr>
            </w:pPr>
            <w:r w:rsidRPr="003B4D22">
              <w:rPr>
                <w:rFonts w:ascii="Arial Narrow" w:hAnsi="Arial Narrow"/>
                <w:i/>
                <w:sz w:val="20"/>
              </w:rPr>
              <w:t>Serious bacterial infections/patient/month</w:t>
            </w:r>
          </w:p>
        </w:tc>
        <w:tc>
          <w:tcPr>
            <w:tcW w:w="940" w:type="pct"/>
            <w:gridSpan w:val="2"/>
            <w:tcBorders>
              <w:left w:val="single" w:sz="4" w:space="0" w:color="auto"/>
              <w:bottom w:val="single" w:sz="4" w:space="0" w:color="auto"/>
              <w:right w:val="nil"/>
            </w:tcBorders>
            <w:shd w:val="clear" w:color="auto" w:fill="auto"/>
            <w:noWrap/>
          </w:tcPr>
          <w:p w14:paraId="4FF1C022" w14:textId="77777777" w:rsidR="00AE5BD5" w:rsidRPr="003B4D22" w:rsidRDefault="00AE5BD5" w:rsidP="00AE5BD5">
            <w:pPr>
              <w:spacing w:after="0" w:line="240" w:lineRule="auto"/>
              <w:jc w:val="right"/>
              <w:rPr>
                <w:rFonts w:ascii="Arial Narrow" w:hAnsi="Arial Narrow"/>
                <w:i/>
                <w:sz w:val="20"/>
              </w:rPr>
            </w:pPr>
            <w:r w:rsidRPr="003B4D22">
              <w:rPr>
                <w:rFonts w:ascii="Arial Narrow" w:hAnsi="Arial Narrow"/>
                <w:i/>
                <w:sz w:val="20"/>
              </w:rPr>
              <w:t>0.033</w:t>
            </w:r>
          </w:p>
        </w:tc>
        <w:tc>
          <w:tcPr>
            <w:tcW w:w="1038" w:type="pct"/>
            <w:gridSpan w:val="2"/>
            <w:tcBorders>
              <w:left w:val="nil"/>
              <w:bottom w:val="single" w:sz="4" w:space="0" w:color="auto"/>
              <w:right w:val="nil"/>
            </w:tcBorders>
            <w:shd w:val="clear" w:color="auto" w:fill="auto"/>
            <w:noWrap/>
          </w:tcPr>
          <w:p w14:paraId="0864C826" w14:textId="77777777" w:rsidR="00AE5BD5" w:rsidRPr="003B4D22" w:rsidRDefault="00AE5BD5" w:rsidP="00AE5BD5">
            <w:pPr>
              <w:spacing w:after="0" w:line="240" w:lineRule="auto"/>
              <w:jc w:val="right"/>
              <w:rPr>
                <w:rFonts w:ascii="Arial Narrow" w:hAnsi="Arial Narrow"/>
                <w:i/>
                <w:sz w:val="20"/>
              </w:rPr>
            </w:pPr>
            <w:r w:rsidRPr="003B4D22">
              <w:rPr>
                <w:rFonts w:ascii="Arial Narrow" w:hAnsi="Arial Narrow"/>
                <w:i/>
                <w:sz w:val="20"/>
              </w:rPr>
              <w:t>0.062</w:t>
            </w:r>
          </w:p>
        </w:tc>
        <w:tc>
          <w:tcPr>
            <w:tcW w:w="666" w:type="pct"/>
            <w:tcBorders>
              <w:left w:val="nil"/>
              <w:bottom w:val="single" w:sz="4" w:space="0" w:color="auto"/>
              <w:right w:val="single" w:sz="4" w:space="0" w:color="auto"/>
            </w:tcBorders>
          </w:tcPr>
          <w:p w14:paraId="1D5F0D95" w14:textId="77777777" w:rsidR="00AE5BD5" w:rsidRPr="003B4D22" w:rsidRDefault="00AE5BD5" w:rsidP="00AE5BD5">
            <w:pPr>
              <w:spacing w:after="0" w:line="240" w:lineRule="auto"/>
              <w:jc w:val="right"/>
              <w:rPr>
                <w:rFonts w:ascii="Arial Narrow" w:hAnsi="Arial Narrow"/>
                <w:sz w:val="20"/>
              </w:rPr>
            </w:pPr>
          </w:p>
        </w:tc>
      </w:tr>
      <w:tr w:rsidR="00AE5BD5" w:rsidRPr="003B4D22" w14:paraId="70143B77" w14:textId="77777777" w:rsidTr="003735E3">
        <w:tc>
          <w:tcPr>
            <w:tcW w:w="650" w:type="pct"/>
            <w:tcBorders>
              <w:top w:val="nil"/>
              <w:left w:val="single" w:sz="4" w:space="0" w:color="auto"/>
              <w:bottom w:val="nil"/>
              <w:right w:val="single" w:sz="4" w:space="0" w:color="auto"/>
            </w:tcBorders>
          </w:tcPr>
          <w:p w14:paraId="1C15C9F8"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single" w:sz="4" w:space="0" w:color="auto"/>
              <w:right w:val="single" w:sz="4" w:space="0" w:color="auto"/>
            </w:tcBorders>
            <w:shd w:val="clear" w:color="auto" w:fill="auto"/>
          </w:tcPr>
          <w:p w14:paraId="0AF1FED2" w14:textId="77777777" w:rsidR="00AE5BD5" w:rsidRPr="003B4D22" w:rsidRDefault="00AE5BD5" w:rsidP="00AE5BD5">
            <w:pPr>
              <w:spacing w:after="0" w:line="240" w:lineRule="auto"/>
              <w:rPr>
                <w:rFonts w:ascii="Arial Narrow" w:hAnsi="Arial Narrow"/>
                <w:sz w:val="20"/>
              </w:rPr>
            </w:pPr>
            <w:r w:rsidRPr="003B4D22">
              <w:rPr>
                <w:rFonts w:ascii="Arial Narrow" w:hAnsi="Arial Narrow"/>
                <w:sz w:val="20"/>
              </w:rPr>
              <w:t>Serious infections, bacterial</w:t>
            </w:r>
            <w:r w:rsidRPr="003B4D22">
              <w:rPr>
                <w:rFonts w:ascii="Arial Narrow" w:hAnsi="Arial Narrow"/>
                <w:sz w:val="20"/>
              </w:rPr>
              <w:br/>
              <w:t>Secondary comparison (not incl. outlier patient with 5 UTIs)</w:t>
            </w:r>
          </w:p>
        </w:tc>
        <w:tc>
          <w:tcPr>
            <w:tcW w:w="940" w:type="pct"/>
            <w:gridSpan w:val="2"/>
            <w:tcBorders>
              <w:top w:val="single" w:sz="4" w:space="0" w:color="auto"/>
              <w:left w:val="single" w:sz="4" w:space="0" w:color="auto"/>
              <w:bottom w:val="single" w:sz="4" w:space="0" w:color="auto"/>
              <w:right w:val="nil"/>
            </w:tcBorders>
            <w:shd w:val="clear" w:color="auto" w:fill="auto"/>
            <w:noWrap/>
          </w:tcPr>
          <w:p w14:paraId="00C97BF6" w14:textId="77777777" w:rsidR="00AE5BD5" w:rsidRPr="003B4D22" w:rsidRDefault="00AE5BD5" w:rsidP="00AE5BD5">
            <w:pPr>
              <w:spacing w:after="0" w:line="240" w:lineRule="auto"/>
              <w:jc w:val="right"/>
              <w:rPr>
                <w:rFonts w:ascii="Arial Narrow" w:hAnsi="Arial Narrow" w:cs="Calibri"/>
                <w:sz w:val="20"/>
              </w:rPr>
            </w:pPr>
            <w:r w:rsidRPr="003B4D22">
              <w:rPr>
                <w:rFonts w:ascii="Arial Narrow" w:hAnsi="Arial Narrow"/>
                <w:sz w:val="20"/>
              </w:rPr>
              <w:t>10</w:t>
            </w:r>
          </w:p>
        </w:tc>
        <w:tc>
          <w:tcPr>
            <w:tcW w:w="1038" w:type="pct"/>
            <w:gridSpan w:val="2"/>
            <w:tcBorders>
              <w:top w:val="single" w:sz="4" w:space="0" w:color="auto"/>
              <w:left w:val="nil"/>
              <w:bottom w:val="single" w:sz="4" w:space="0" w:color="auto"/>
              <w:right w:val="nil"/>
            </w:tcBorders>
            <w:shd w:val="clear" w:color="auto" w:fill="auto"/>
            <w:noWrap/>
          </w:tcPr>
          <w:p w14:paraId="4CA52C49" w14:textId="77777777" w:rsidR="00AE5BD5" w:rsidRPr="003B4D22" w:rsidRDefault="00AE5BD5" w:rsidP="00AE5BD5">
            <w:pPr>
              <w:spacing w:after="0" w:line="240" w:lineRule="auto"/>
              <w:jc w:val="right"/>
              <w:rPr>
                <w:rFonts w:ascii="Arial Narrow" w:hAnsi="Arial Narrow"/>
                <w:sz w:val="20"/>
              </w:rPr>
            </w:pPr>
            <w:r w:rsidRPr="003B4D22">
              <w:rPr>
                <w:rFonts w:ascii="Arial Narrow" w:hAnsi="Arial Narrow"/>
                <w:sz w:val="20"/>
              </w:rPr>
              <w:t>29</w:t>
            </w:r>
          </w:p>
        </w:tc>
        <w:tc>
          <w:tcPr>
            <w:tcW w:w="666" w:type="pct"/>
            <w:tcBorders>
              <w:top w:val="single" w:sz="4" w:space="0" w:color="auto"/>
              <w:left w:val="nil"/>
              <w:bottom w:val="single" w:sz="4" w:space="0" w:color="auto"/>
              <w:right w:val="single" w:sz="4" w:space="0" w:color="auto"/>
            </w:tcBorders>
          </w:tcPr>
          <w:p w14:paraId="77A0D4E5" w14:textId="77777777" w:rsidR="00AE5BD5" w:rsidRPr="003B4D22" w:rsidRDefault="00AE5BD5" w:rsidP="00AE5BD5">
            <w:pPr>
              <w:spacing w:after="0" w:line="240" w:lineRule="auto"/>
              <w:jc w:val="right"/>
              <w:rPr>
                <w:rFonts w:ascii="Arial Narrow" w:hAnsi="Arial Narrow"/>
                <w:sz w:val="20"/>
                <w:szCs w:val="20"/>
              </w:rPr>
            </w:pPr>
            <w:r w:rsidRPr="003B4D22">
              <w:rPr>
                <w:rFonts w:ascii="Arial Narrow" w:hAnsi="Arial Narrow"/>
                <w:sz w:val="20"/>
              </w:rPr>
              <w:t>0.007</w:t>
            </w:r>
          </w:p>
        </w:tc>
      </w:tr>
      <w:tr w:rsidR="00AE5BD5" w:rsidRPr="003B4D22" w14:paraId="71A5DF71" w14:textId="77777777" w:rsidTr="003735E3">
        <w:tc>
          <w:tcPr>
            <w:tcW w:w="650" w:type="pct"/>
            <w:tcBorders>
              <w:top w:val="nil"/>
              <w:left w:val="single" w:sz="4" w:space="0" w:color="auto"/>
              <w:bottom w:val="nil"/>
              <w:right w:val="single" w:sz="4" w:space="0" w:color="auto"/>
            </w:tcBorders>
          </w:tcPr>
          <w:p w14:paraId="533A422F"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nil"/>
              <w:right w:val="single" w:sz="4" w:space="0" w:color="auto"/>
            </w:tcBorders>
            <w:shd w:val="clear" w:color="auto" w:fill="auto"/>
          </w:tcPr>
          <w:p w14:paraId="7D09EBF3" w14:textId="77777777" w:rsidR="00AE5BD5" w:rsidRPr="003B4D22" w:rsidRDefault="00AE5BD5" w:rsidP="00AE5BD5">
            <w:pPr>
              <w:spacing w:after="0" w:line="240" w:lineRule="auto"/>
              <w:rPr>
                <w:rFonts w:ascii="Arial Narrow" w:hAnsi="Arial Narrow"/>
                <w:sz w:val="20"/>
              </w:rPr>
            </w:pPr>
            <w:r w:rsidRPr="003B4D22">
              <w:rPr>
                <w:rFonts w:ascii="Arial Narrow" w:hAnsi="Arial Narrow"/>
                <w:sz w:val="20"/>
              </w:rPr>
              <w:t>Total patient months</w:t>
            </w:r>
          </w:p>
        </w:tc>
        <w:tc>
          <w:tcPr>
            <w:tcW w:w="940" w:type="pct"/>
            <w:gridSpan w:val="2"/>
            <w:tcBorders>
              <w:top w:val="single" w:sz="4" w:space="0" w:color="auto"/>
              <w:left w:val="single" w:sz="4" w:space="0" w:color="auto"/>
              <w:bottom w:val="nil"/>
              <w:right w:val="single" w:sz="4" w:space="0" w:color="auto"/>
            </w:tcBorders>
            <w:shd w:val="clear" w:color="auto" w:fill="auto"/>
            <w:noWrap/>
          </w:tcPr>
          <w:p w14:paraId="00ADB22E" w14:textId="77777777" w:rsidR="00AE5BD5" w:rsidRPr="003B4D22" w:rsidRDefault="00AE5BD5" w:rsidP="00AE5BD5">
            <w:pPr>
              <w:spacing w:after="0" w:line="240" w:lineRule="auto"/>
              <w:jc w:val="right"/>
              <w:rPr>
                <w:rFonts w:ascii="Arial Narrow" w:hAnsi="Arial Narrow" w:cs="Calibri"/>
                <w:sz w:val="20"/>
              </w:rPr>
            </w:pPr>
            <w:r w:rsidRPr="003B4D22">
              <w:rPr>
                <w:rFonts w:ascii="Arial Narrow" w:hAnsi="Arial Narrow"/>
                <w:sz w:val="20"/>
              </w:rPr>
              <w:t>449</w:t>
            </w:r>
          </w:p>
        </w:tc>
        <w:tc>
          <w:tcPr>
            <w:tcW w:w="1038" w:type="pct"/>
            <w:gridSpan w:val="2"/>
            <w:tcBorders>
              <w:top w:val="single" w:sz="4" w:space="0" w:color="auto"/>
              <w:left w:val="single" w:sz="4" w:space="0" w:color="auto"/>
              <w:bottom w:val="nil"/>
              <w:right w:val="single" w:sz="4" w:space="0" w:color="auto"/>
            </w:tcBorders>
            <w:shd w:val="clear" w:color="auto" w:fill="auto"/>
            <w:noWrap/>
          </w:tcPr>
          <w:p w14:paraId="22994D94" w14:textId="77777777" w:rsidR="00AE5BD5" w:rsidRPr="003B4D22" w:rsidRDefault="00AE5BD5" w:rsidP="00AE5BD5">
            <w:pPr>
              <w:spacing w:after="0" w:line="240" w:lineRule="auto"/>
              <w:jc w:val="right"/>
              <w:rPr>
                <w:rFonts w:ascii="Arial Narrow" w:hAnsi="Arial Narrow"/>
                <w:sz w:val="20"/>
              </w:rPr>
            </w:pPr>
            <w:r w:rsidRPr="003B4D22">
              <w:rPr>
                <w:rFonts w:ascii="Arial Narrow" w:hAnsi="Arial Narrow"/>
                <w:sz w:val="20"/>
              </w:rPr>
              <w:t>470</w:t>
            </w:r>
          </w:p>
        </w:tc>
        <w:tc>
          <w:tcPr>
            <w:tcW w:w="666" w:type="pct"/>
            <w:tcBorders>
              <w:top w:val="single" w:sz="4" w:space="0" w:color="auto"/>
              <w:left w:val="single" w:sz="4" w:space="0" w:color="auto"/>
              <w:bottom w:val="nil"/>
              <w:right w:val="single" w:sz="4" w:space="0" w:color="auto"/>
            </w:tcBorders>
          </w:tcPr>
          <w:p w14:paraId="6E41E973" w14:textId="77777777" w:rsidR="00AE5BD5" w:rsidRPr="003B4D22" w:rsidRDefault="00AE5BD5" w:rsidP="00AE5BD5">
            <w:pPr>
              <w:spacing w:after="0" w:line="240" w:lineRule="auto"/>
              <w:jc w:val="right"/>
              <w:rPr>
                <w:rFonts w:ascii="Arial Narrow" w:hAnsi="Arial Narrow"/>
                <w:sz w:val="20"/>
                <w:szCs w:val="20"/>
              </w:rPr>
            </w:pPr>
            <w:r w:rsidRPr="003B4D22">
              <w:rPr>
                <w:rFonts w:ascii="Arial Narrow" w:hAnsi="Arial Narrow"/>
                <w:sz w:val="20"/>
                <w:szCs w:val="20"/>
              </w:rPr>
              <w:t>―</w:t>
            </w:r>
          </w:p>
        </w:tc>
      </w:tr>
      <w:tr w:rsidR="00AE5BD5" w:rsidRPr="003B4D22" w14:paraId="0A4CA945" w14:textId="77777777" w:rsidTr="003735E3">
        <w:tc>
          <w:tcPr>
            <w:tcW w:w="650" w:type="pct"/>
            <w:tcBorders>
              <w:top w:val="nil"/>
              <w:left w:val="single" w:sz="4" w:space="0" w:color="auto"/>
              <w:bottom w:val="nil"/>
              <w:right w:val="single" w:sz="4" w:space="0" w:color="auto"/>
            </w:tcBorders>
          </w:tcPr>
          <w:p w14:paraId="0379E19F"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left w:val="single" w:sz="4" w:space="0" w:color="auto"/>
              <w:bottom w:val="nil"/>
              <w:right w:val="single" w:sz="4" w:space="0" w:color="auto"/>
            </w:tcBorders>
            <w:shd w:val="clear" w:color="auto" w:fill="auto"/>
          </w:tcPr>
          <w:p w14:paraId="75D15611" w14:textId="77777777" w:rsidR="00AE5BD5" w:rsidRPr="003B4D22" w:rsidRDefault="00AE5BD5" w:rsidP="00AE5BD5">
            <w:pPr>
              <w:spacing w:after="0" w:line="240" w:lineRule="auto"/>
              <w:rPr>
                <w:rFonts w:ascii="Arial Narrow" w:hAnsi="Arial Narrow"/>
                <w:sz w:val="20"/>
              </w:rPr>
            </w:pPr>
            <w:r w:rsidRPr="003B4D22">
              <w:rPr>
                <w:rFonts w:ascii="Arial Narrow" w:hAnsi="Arial Narrow"/>
                <w:sz w:val="20"/>
              </w:rPr>
              <w:t>Mean months per patient</w:t>
            </w:r>
          </w:p>
        </w:tc>
        <w:tc>
          <w:tcPr>
            <w:tcW w:w="940" w:type="pct"/>
            <w:gridSpan w:val="2"/>
            <w:tcBorders>
              <w:left w:val="single" w:sz="4" w:space="0" w:color="auto"/>
              <w:bottom w:val="nil"/>
              <w:right w:val="single" w:sz="4" w:space="0" w:color="auto"/>
            </w:tcBorders>
            <w:shd w:val="clear" w:color="auto" w:fill="auto"/>
            <w:noWrap/>
          </w:tcPr>
          <w:p w14:paraId="7ADFCB0D" w14:textId="77777777" w:rsidR="00AE5BD5" w:rsidRPr="003B4D22" w:rsidRDefault="00AE5BD5" w:rsidP="00AE5BD5">
            <w:pPr>
              <w:spacing w:after="0" w:line="240" w:lineRule="auto"/>
              <w:jc w:val="right"/>
              <w:rPr>
                <w:rFonts w:ascii="Arial Narrow" w:hAnsi="Arial Narrow"/>
                <w:i/>
                <w:sz w:val="20"/>
              </w:rPr>
            </w:pPr>
            <w:r w:rsidRPr="003B4D22">
              <w:rPr>
                <w:rFonts w:ascii="Arial Narrow" w:hAnsi="Arial Narrow"/>
                <w:i/>
                <w:sz w:val="20"/>
              </w:rPr>
              <w:t>11.0</w:t>
            </w:r>
          </w:p>
        </w:tc>
        <w:tc>
          <w:tcPr>
            <w:tcW w:w="1038" w:type="pct"/>
            <w:gridSpan w:val="2"/>
            <w:tcBorders>
              <w:left w:val="single" w:sz="4" w:space="0" w:color="auto"/>
              <w:bottom w:val="nil"/>
              <w:right w:val="single" w:sz="4" w:space="0" w:color="auto"/>
            </w:tcBorders>
            <w:shd w:val="clear" w:color="auto" w:fill="auto"/>
            <w:noWrap/>
          </w:tcPr>
          <w:p w14:paraId="767D9BBE" w14:textId="77777777" w:rsidR="00AE5BD5" w:rsidRPr="003B4D22" w:rsidRDefault="00AE5BD5" w:rsidP="00AE5BD5">
            <w:pPr>
              <w:spacing w:after="0" w:line="240" w:lineRule="auto"/>
              <w:jc w:val="right"/>
              <w:rPr>
                <w:rFonts w:ascii="Arial Narrow" w:hAnsi="Arial Narrow"/>
                <w:i/>
                <w:sz w:val="20"/>
              </w:rPr>
            </w:pPr>
            <w:r w:rsidRPr="003B4D22">
              <w:rPr>
                <w:rFonts w:ascii="Arial Narrow" w:hAnsi="Arial Narrow"/>
                <w:i/>
                <w:sz w:val="20"/>
              </w:rPr>
              <w:t>11.5</w:t>
            </w:r>
          </w:p>
        </w:tc>
        <w:tc>
          <w:tcPr>
            <w:tcW w:w="666" w:type="pct"/>
            <w:tcBorders>
              <w:left w:val="single" w:sz="4" w:space="0" w:color="auto"/>
              <w:bottom w:val="nil"/>
              <w:right w:val="single" w:sz="4" w:space="0" w:color="auto"/>
            </w:tcBorders>
          </w:tcPr>
          <w:p w14:paraId="4BCCC920" w14:textId="77777777" w:rsidR="00AE5BD5" w:rsidRPr="003B4D22" w:rsidRDefault="00AE5BD5" w:rsidP="00AE5BD5">
            <w:pPr>
              <w:spacing w:after="0" w:line="240" w:lineRule="auto"/>
              <w:jc w:val="right"/>
              <w:rPr>
                <w:rFonts w:ascii="Arial Narrow" w:hAnsi="Arial Narrow"/>
                <w:sz w:val="20"/>
                <w:szCs w:val="20"/>
              </w:rPr>
            </w:pPr>
          </w:p>
        </w:tc>
      </w:tr>
      <w:tr w:rsidR="00AE5BD5" w:rsidRPr="003B4D22" w14:paraId="2A575B66" w14:textId="77777777" w:rsidTr="003735E3">
        <w:tc>
          <w:tcPr>
            <w:tcW w:w="650" w:type="pct"/>
            <w:tcBorders>
              <w:top w:val="nil"/>
              <w:left w:val="single" w:sz="4" w:space="0" w:color="auto"/>
              <w:bottom w:val="nil"/>
              <w:right w:val="single" w:sz="4" w:space="0" w:color="auto"/>
            </w:tcBorders>
          </w:tcPr>
          <w:p w14:paraId="3A066AF9"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single" w:sz="4" w:space="0" w:color="auto"/>
              <w:right w:val="single" w:sz="4" w:space="0" w:color="auto"/>
            </w:tcBorders>
            <w:shd w:val="clear" w:color="auto" w:fill="auto"/>
          </w:tcPr>
          <w:p w14:paraId="2342A10F" w14:textId="77777777" w:rsidR="00AE5BD5" w:rsidRPr="003B4D22" w:rsidRDefault="00AE5BD5" w:rsidP="00AE5BD5">
            <w:pPr>
              <w:spacing w:after="0" w:line="240" w:lineRule="auto"/>
              <w:rPr>
                <w:rFonts w:ascii="Arial Narrow" w:hAnsi="Arial Narrow"/>
                <w:sz w:val="20"/>
              </w:rPr>
            </w:pPr>
            <w:r w:rsidRPr="003B4D22">
              <w:rPr>
                <w:rFonts w:ascii="Arial Narrow" w:hAnsi="Arial Narrow"/>
                <w:sz w:val="20"/>
              </w:rPr>
              <w:t>Serious infections /patient/month</w:t>
            </w:r>
          </w:p>
        </w:tc>
        <w:tc>
          <w:tcPr>
            <w:tcW w:w="940" w:type="pct"/>
            <w:gridSpan w:val="2"/>
            <w:tcBorders>
              <w:top w:val="nil"/>
              <w:left w:val="single" w:sz="4" w:space="0" w:color="auto"/>
              <w:bottom w:val="single" w:sz="4" w:space="0" w:color="auto"/>
              <w:right w:val="nil"/>
            </w:tcBorders>
            <w:shd w:val="clear" w:color="auto" w:fill="auto"/>
            <w:noWrap/>
          </w:tcPr>
          <w:p w14:paraId="4E2984AE" w14:textId="77777777" w:rsidR="00AE5BD5" w:rsidRPr="003B4D22" w:rsidRDefault="00AE5BD5" w:rsidP="00AE5BD5">
            <w:pPr>
              <w:spacing w:after="0" w:line="240" w:lineRule="auto"/>
              <w:ind w:left="-111" w:right="-106"/>
              <w:jc w:val="right"/>
              <w:rPr>
                <w:rFonts w:ascii="Arial Narrow" w:hAnsi="Arial Narrow" w:cs="Calibri"/>
                <w:sz w:val="20"/>
              </w:rPr>
            </w:pPr>
            <w:r w:rsidRPr="003B4D22">
              <w:rPr>
                <w:rFonts w:ascii="Arial Narrow" w:hAnsi="Arial Narrow"/>
                <w:sz w:val="20"/>
              </w:rPr>
              <w:t>n.r.</w:t>
            </w:r>
            <w:r w:rsidRPr="003B4D22">
              <w:rPr>
                <w:rFonts w:ascii="Arial Narrow" w:hAnsi="Arial Narrow"/>
                <w:sz w:val="20"/>
              </w:rPr>
              <w:br/>
            </w:r>
            <w:r w:rsidRPr="003B4D22">
              <w:rPr>
                <w:rFonts w:ascii="Arial Narrow" w:hAnsi="Arial Narrow"/>
                <w:i/>
                <w:sz w:val="20"/>
              </w:rPr>
              <w:t>(calculated: 0.042)</w:t>
            </w:r>
          </w:p>
        </w:tc>
        <w:tc>
          <w:tcPr>
            <w:tcW w:w="1038" w:type="pct"/>
            <w:gridSpan w:val="2"/>
            <w:tcBorders>
              <w:top w:val="nil"/>
              <w:left w:val="nil"/>
              <w:bottom w:val="single" w:sz="4" w:space="0" w:color="auto"/>
              <w:right w:val="nil"/>
            </w:tcBorders>
            <w:shd w:val="clear" w:color="auto" w:fill="auto"/>
            <w:noWrap/>
          </w:tcPr>
          <w:p w14:paraId="29D3E4F3" w14:textId="77777777" w:rsidR="00AE5BD5" w:rsidRPr="003B4D22" w:rsidRDefault="00AE5BD5" w:rsidP="00AE5BD5">
            <w:pPr>
              <w:spacing w:after="0" w:line="240" w:lineRule="auto"/>
              <w:ind w:left="-111" w:right="-106"/>
              <w:jc w:val="right"/>
              <w:rPr>
                <w:rFonts w:ascii="Arial Narrow" w:hAnsi="Arial Narrow"/>
                <w:sz w:val="20"/>
              </w:rPr>
            </w:pPr>
            <w:r w:rsidRPr="003B4D22">
              <w:rPr>
                <w:rFonts w:ascii="Arial Narrow" w:hAnsi="Arial Narrow"/>
                <w:sz w:val="20"/>
              </w:rPr>
              <w:t>n.r.</w:t>
            </w:r>
            <w:r w:rsidRPr="003B4D22">
              <w:rPr>
                <w:rFonts w:ascii="Arial Narrow" w:hAnsi="Arial Narrow"/>
                <w:sz w:val="20"/>
              </w:rPr>
              <w:br/>
            </w:r>
            <w:r w:rsidRPr="003B4D22">
              <w:rPr>
                <w:rFonts w:ascii="Arial Narrow" w:hAnsi="Arial Narrow"/>
                <w:i/>
                <w:sz w:val="20"/>
              </w:rPr>
              <w:t>(calculated: 0.081)</w:t>
            </w:r>
          </w:p>
        </w:tc>
        <w:tc>
          <w:tcPr>
            <w:tcW w:w="666" w:type="pct"/>
            <w:tcBorders>
              <w:top w:val="nil"/>
              <w:left w:val="nil"/>
              <w:bottom w:val="single" w:sz="4" w:space="0" w:color="auto"/>
              <w:right w:val="single" w:sz="4" w:space="0" w:color="auto"/>
            </w:tcBorders>
          </w:tcPr>
          <w:p w14:paraId="4102FAAB" w14:textId="77777777" w:rsidR="00AE5BD5" w:rsidRPr="003B4D22" w:rsidRDefault="00AE5BD5" w:rsidP="00AE5BD5">
            <w:pPr>
              <w:spacing w:after="0" w:line="240" w:lineRule="auto"/>
              <w:jc w:val="right"/>
              <w:rPr>
                <w:rFonts w:ascii="Arial Narrow" w:hAnsi="Arial Narrow"/>
                <w:sz w:val="20"/>
                <w:szCs w:val="20"/>
              </w:rPr>
            </w:pPr>
            <w:r w:rsidRPr="003B4D22">
              <w:rPr>
                <w:rFonts w:ascii="Arial Narrow" w:hAnsi="Arial Narrow"/>
                <w:sz w:val="20"/>
              </w:rPr>
              <w:t xml:space="preserve">0.019 (95% CI </w:t>
            </w:r>
            <w:r w:rsidRPr="003B4D22">
              <w:rPr>
                <w:rFonts w:ascii="Arial Narrow" w:hAnsi="Arial Narrow"/>
                <w:sz w:val="20"/>
                <w:szCs w:val="20"/>
              </w:rPr>
              <w:t>0.007-0.071)</w:t>
            </w:r>
          </w:p>
        </w:tc>
      </w:tr>
      <w:tr w:rsidR="00AE5BD5" w:rsidRPr="00AE5BD5" w14:paraId="38E5EEB4" w14:textId="77777777" w:rsidTr="003735E3">
        <w:tc>
          <w:tcPr>
            <w:tcW w:w="650" w:type="pct"/>
            <w:tcBorders>
              <w:top w:val="nil"/>
              <w:left w:val="single" w:sz="4" w:space="0" w:color="auto"/>
              <w:bottom w:val="nil"/>
              <w:right w:val="single" w:sz="4" w:space="0" w:color="auto"/>
            </w:tcBorders>
          </w:tcPr>
          <w:p w14:paraId="2362C5F7" w14:textId="77777777" w:rsidR="00AE5BD5" w:rsidRPr="00AE5BD5" w:rsidRDefault="00AE5BD5" w:rsidP="00AE5BD5">
            <w:pPr>
              <w:spacing w:after="0" w:line="240" w:lineRule="auto"/>
              <w:rPr>
                <w:rFonts w:ascii="Arial Narrow" w:hAnsi="Arial Narrow" w:cs="Calibri"/>
                <w:b/>
                <w:color w:val="000000"/>
                <w:sz w:val="20"/>
                <w:szCs w:val="20"/>
              </w:rPr>
            </w:pPr>
          </w:p>
        </w:tc>
        <w:tc>
          <w:tcPr>
            <w:tcW w:w="1706" w:type="pct"/>
            <w:tcBorders>
              <w:top w:val="nil"/>
              <w:left w:val="single" w:sz="4" w:space="0" w:color="auto"/>
              <w:bottom w:val="single" w:sz="4" w:space="0" w:color="auto"/>
              <w:right w:val="single" w:sz="4" w:space="0" w:color="auto"/>
            </w:tcBorders>
            <w:shd w:val="clear" w:color="auto" w:fill="auto"/>
          </w:tcPr>
          <w:p w14:paraId="1F514EA7" w14:textId="7F5BB34B" w:rsidR="00AE5BD5" w:rsidRPr="00AE5BD5" w:rsidRDefault="00AE5BD5" w:rsidP="00AE5BD5">
            <w:pPr>
              <w:spacing w:after="0" w:line="240" w:lineRule="auto"/>
              <w:rPr>
                <w:rFonts w:ascii="Arial Narrow" w:hAnsi="Arial Narrow"/>
                <w:b/>
                <w:sz w:val="20"/>
              </w:rPr>
            </w:pPr>
            <w:r w:rsidRPr="00AE5BD5">
              <w:rPr>
                <w:rFonts w:ascii="Arial Narrow" w:hAnsi="Arial Narrow"/>
                <w:b/>
                <w:sz w:val="20"/>
              </w:rPr>
              <w:t>Minor infections</w:t>
            </w:r>
            <w:r>
              <w:rPr>
                <w:rFonts w:ascii="Arial Narrow" w:hAnsi="Arial Narrow"/>
                <w:b/>
                <w:sz w:val="20"/>
              </w:rPr>
              <w:t>*</w:t>
            </w:r>
          </w:p>
        </w:tc>
        <w:tc>
          <w:tcPr>
            <w:tcW w:w="940" w:type="pct"/>
            <w:gridSpan w:val="2"/>
            <w:tcBorders>
              <w:top w:val="nil"/>
              <w:left w:val="single" w:sz="4" w:space="0" w:color="auto"/>
              <w:bottom w:val="single" w:sz="4" w:space="0" w:color="auto"/>
              <w:right w:val="nil"/>
            </w:tcBorders>
            <w:shd w:val="clear" w:color="auto" w:fill="auto"/>
            <w:noWrap/>
          </w:tcPr>
          <w:p w14:paraId="0D431FCF" w14:textId="5DEFB2B4" w:rsidR="00AE5BD5" w:rsidRPr="00AE5BD5" w:rsidRDefault="00AE5BD5" w:rsidP="00AE5BD5">
            <w:pPr>
              <w:spacing w:after="0" w:line="240" w:lineRule="auto"/>
              <w:ind w:left="-111" w:right="-106"/>
              <w:jc w:val="right"/>
              <w:rPr>
                <w:rFonts w:ascii="Arial Narrow" w:hAnsi="Arial Narrow"/>
                <w:b/>
                <w:sz w:val="20"/>
              </w:rPr>
            </w:pPr>
            <w:r w:rsidRPr="00AE5BD5">
              <w:rPr>
                <w:rFonts w:ascii="Arial Narrow" w:hAnsi="Arial Narrow"/>
                <w:b/>
                <w:sz w:val="20"/>
              </w:rPr>
              <w:t>n.r.</w:t>
            </w:r>
          </w:p>
        </w:tc>
        <w:tc>
          <w:tcPr>
            <w:tcW w:w="1038" w:type="pct"/>
            <w:gridSpan w:val="2"/>
            <w:tcBorders>
              <w:top w:val="nil"/>
              <w:left w:val="nil"/>
              <w:bottom w:val="single" w:sz="4" w:space="0" w:color="auto"/>
              <w:right w:val="nil"/>
            </w:tcBorders>
            <w:shd w:val="clear" w:color="auto" w:fill="auto"/>
            <w:noWrap/>
          </w:tcPr>
          <w:p w14:paraId="6327F215" w14:textId="4FA78C24" w:rsidR="00AE5BD5" w:rsidRPr="00AE5BD5" w:rsidRDefault="00AE5BD5" w:rsidP="00AE5BD5">
            <w:pPr>
              <w:spacing w:after="0" w:line="240" w:lineRule="auto"/>
              <w:ind w:left="-111" w:right="-106"/>
              <w:jc w:val="right"/>
              <w:rPr>
                <w:rFonts w:ascii="Arial Narrow" w:hAnsi="Arial Narrow"/>
                <w:b/>
                <w:sz w:val="20"/>
              </w:rPr>
            </w:pPr>
            <w:r w:rsidRPr="00AE5BD5">
              <w:rPr>
                <w:rFonts w:ascii="Arial Narrow" w:hAnsi="Arial Narrow"/>
                <w:b/>
                <w:sz w:val="20"/>
              </w:rPr>
              <w:t>n.r.</w:t>
            </w:r>
          </w:p>
        </w:tc>
        <w:tc>
          <w:tcPr>
            <w:tcW w:w="666" w:type="pct"/>
            <w:tcBorders>
              <w:top w:val="nil"/>
              <w:left w:val="nil"/>
              <w:bottom w:val="single" w:sz="4" w:space="0" w:color="auto"/>
              <w:right w:val="single" w:sz="4" w:space="0" w:color="auto"/>
            </w:tcBorders>
          </w:tcPr>
          <w:p w14:paraId="0E7EFE14" w14:textId="77777777" w:rsidR="00AE5BD5" w:rsidRPr="00AE5BD5" w:rsidRDefault="00AE5BD5" w:rsidP="00AE5BD5">
            <w:pPr>
              <w:spacing w:after="0" w:line="240" w:lineRule="auto"/>
              <w:jc w:val="right"/>
              <w:rPr>
                <w:rFonts w:ascii="Arial Narrow" w:hAnsi="Arial Narrow"/>
                <w:b/>
                <w:sz w:val="20"/>
              </w:rPr>
            </w:pPr>
          </w:p>
        </w:tc>
      </w:tr>
      <w:tr w:rsidR="00AE5BD5" w:rsidRPr="003B4D22" w14:paraId="48DE434A" w14:textId="77777777" w:rsidTr="003735E3">
        <w:tc>
          <w:tcPr>
            <w:tcW w:w="650" w:type="pct"/>
            <w:tcBorders>
              <w:top w:val="nil"/>
              <w:left w:val="single" w:sz="4" w:space="0" w:color="auto"/>
              <w:bottom w:val="nil"/>
              <w:right w:val="single" w:sz="4" w:space="0" w:color="auto"/>
            </w:tcBorders>
          </w:tcPr>
          <w:p w14:paraId="745A1365"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nil"/>
              <w:right w:val="single" w:sz="4" w:space="0" w:color="auto"/>
            </w:tcBorders>
            <w:shd w:val="clear" w:color="auto" w:fill="auto"/>
          </w:tcPr>
          <w:p w14:paraId="3EA70480" w14:textId="77777777" w:rsidR="00AE5BD5" w:rsidRPr="003B4D22" w:rsidRDefault="00AE5BD5" w:rsidP="00AE5BD5">
            <w:pPr>
              <w:spacing w:after="0" w:line="240" w:lineRule="auto"/>
              <w:rPr>
                <w:rFonts w:ascii="Arial Narrow" w:hAnsi="Arial Narrow"/>
                <w:sz w:val="20"/>
              </w:rPr>
            </w:pPr>
            <w:r w:rsidRPr="003B4D22">
              <w:rPr>
                <w:rFonts w:ascii="Arial Narrow" w:hAnsi="Arial Narrow"/>
                <w:sz w:val="20"/>
              </w:rPr>
              <w:t xml:space="preserve">Recurrent infections any severity during </w:t>
            </w:r>
            <w:r w:rsidRPr="003B4D22">
              <w:rPr>
                <w:rFonts w:ascii="Arial Narrow" w:hAnsi="Arial Narrow"/>
                <w:sz w:val="20"/>
              </w:rPr>
              <w:lastRenderedPageBreak/>
              <w:t>12 mo</w:t>
            </w:r>
          </w:p>
        </w:tc>
        <w:tc>
          <w:tcPr>
            <w:tcW w:w="940" w:type="pct"/>
            <w:gridSpan w:val="2"/>
            <w:tcBorders>
              <w:top w:val="single" w:sz="4" w:space="0" w:color="auto"/>
              <w:left w:val="single" w:sz="4" w:space="0" w:color="auto"/>
              <w:bottom w:val="nil"/>
              <w:right w:val="nil"/>
            </w:tcBorders>
            <w:shd w:val="clear" w:color="auto" w:fill="auto"/>
            <w:noWrap/>
          </w:tcPr>
          <w:p w14:paraId="28647140" w14:textId="77777777" w:rsidR="00AE5BD5" w:rsidRPr="003B4D22" w:rsidRDefault="00AE5BD5" w:rsidP="00AE5BD5">
            <w:pPr>
              <w:spacing w:after="0" w:line="240" w:lineRule="auto"/>
              <w:jc w:val="center"/>
              <w:rPr>
                <w:rFonts w:ascii="Arial Narrow" w:hAnsi="Arial Narrow" w:cs="Calibri"/>
                <w:sz w:val="20"/>
              </w:rPr>
            </w:pPr>
            <w:r w:rsidRPr="003B4D22">
              <w:rPr>
                <w:rFonts w:ascii="Arial Narrow" w:hAnsi="Arial Narrow"/>
                <w:sz w:val="20"/>
              </w:rPr>
              <w:lastRenderedPageBreak/>
              <w:t>IVIg</w:t>
            </w:r>
          </w:p>
        </w:tc>
        <w:tc>
          <w:tcPr>
            <w:tcW w:w="1038" w:type="pct"/>
            <w:gridSpan w:val="2"/>
            <w:tcBorders>
              <w:top w:val="single" w:sz="4" w:space="0" w:color="auto"/>
              <w:left w:val="nil"/>
              <w:bottom w:val="nil"/>
              <w:right w:val="nil"/>
            </w:tcBorders>
            <w:shd w:val="clear" w:color="auto" w:fill="auto"/>
            <w:noWrap/>
          </w:tcPr>
          <w:p w14:paraId="30597A6B" w14:textId="77777777" w:rsidR="00AE5BD5" w:rsidRPr="003B4D22" w:rsidRDefault="00AE5BD5" w:rsidP="00AE5BD5">
            <w:pPr>
              <w:spacing w:after="0" w:line="240" w:lineRule="auto"/>
              <w:ind w:right="-107"/>
              <w:jc w:val="center"/>
              <w:rPr>
                <w:rFonts w:ascii="Arial Narrow" w:hAnsi="Arial Narrow"/>
                <w:sz w:val="20"/>
              </w:rPr>
            </w:pPr>
            <w:r w:rsidRPr="003B4D22">
              <w:rPr>
                <w:rFonts w:ascii="Arial Narrow" w:hAnsi="Arial Narrow"/>
                <w:sz w:val="20"/>
              </w:rPr>
              <w:t>Placebo (albumin)</w:t>
            </w:r>
          </w:p>
        </w:tc>
        <w:tc>
          <w:tcPr>
            <w:tcW w:w="666" w:type="pct"/>
            <w:tcBorders>
              <w:top w:val="single" w:sz="4" w:space="0" w:color="auto"/>
              <w:left w:val="nil"/>
              <w:bottom w:val="nil"/>
              <w:right w:val="single" w:sz="4" w:space="0" w:color="auto"/>
            </w:tcBorders>
          </w:tcPr>
          <w:p w14:paraId="73BA305D" w14:textId="77777777" w:rsidR="00AE5BD5" w:rsidRPr="003B4D22" w:rsidRDefault="00AE5BD5" w:rsidP="00AE5BD5">
            <w:pPr>
              <w:spacing w:after="0" w:line="240" w:lineRule="auto"/>
              <w:jc w:val="right"/>
              <w:rPr>
                <w:rFonts w:ascii="Arial Narrow" w:hAnsi="Arial Narrow"/>
                <w:sz w:val="20"/>
                <w:szCs w:val="20"/>
              </w:rPr>
            </w:pPr>
            <w:r w:rsidRPr="003B4D22">
              <w:rPr>
                <w:rFonts w:ascii="Arial Narrow" w:hAnsi="Arial Narrow"/>
                <w:sz w:val="20"/>
              </w:rPr>
              <w:t>p (2-tailed)</w:t>
            </w:r>
          </w:p>
        </w:tc>
      </w:tr>
      <w:tr w:rsidR="00AE5BD5" w:rsidRPr="003B4D22" w14:paraId="4DED7CCC" w14:textId="77777777" w:rsidTr="003735E3">
        <w:tc>
          <w:tcPr>
            <w:tcW w:w="650" w:type="pct"/>
            <w:tcBorders>
              <w:top w:val="nil"/>
              <w:left w:val="single" w:sz="4" w:space="0" w:color="auto"/>
              <w:bottom w:val="nil"/>
              <w:right w:val="single" w:sz="4" w:space="0" w:color="auto"/>
            </w:tcBorders>
          </w:tcPr>
          <w:p w14:paraId="11C8501E"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tcPr>
          <w:p w14:paraId="4CB64765" w14:textId="77777777" w:rsidR="00AE5BD5" w:rsidRPr="003B4D22" w:rsidRDefault="00AE5BD5" w:rsidP="00AE5BD5">
            <w:pPr>
              <w:spacing w:after="0" w:line="240" w:lineRule="auto"/>
              <w:rPr>
                <w:rFonts w:ascii="Arial Narrow" w:hAnsi="Arial Narrow"/>
                <w:sz w:val="20"/>
              </w:rPr>
            </w:pPr>
            <w:r w:rsidRPr="003B4D22">
              <w:rPr>
                <w:rFonts w:ascii="Arial Narrow" w:hAnsi="Arial Narrow"/>
                <w:sz w:val="20"/>
              </w:rPr>
              <w:t>Patients at risk</w:t>
            </w:r>
          </w:p>
        </w:tc>
        <w:tc>
          <w:tcPr>
            <w:tcW w:w="940" w:type="pct"/>
            <w:gridSpan w:val="2"/>
            <w:tcBorders>
              <w:top w:val="nil"/>
              <w:left w:val="single" w:sz="4" w:space="0" w:color="auto"/>
              <w:bottom w:val="nil"/>
              <w:right w:val="nil"/>
            </w:tcBorders>
            <w:shd w:val="clear" w:color="auto" w:fill="auto"/>
            <w:noWrap/>
          </w:tcPr>
          <w:p w14:paraId="07DDC5E3" w14:textId="77777777" w:rsidR="00AE5BD5" w:rsidRPr="003B4D22" w:rsidRDefault="00AE5BD5" w:rsidP="00AE5BD5">
            <w:pPr>
              <w:spacing w:after="0" w:line="240" w:lineRule="auto"/>
              <w:jc w:val="right"/>
              <w:rPr>
                <w:rFonts w:ascii="Arial Narrow" w:hAnsi="Arial Narrow" w:cs="Calibri"/>
                <w:sz w:val="20"/>
              </w:rPr>
            </w:pPr>
            <w:r w:rsidRPr="003B4D22">
              <w:rPr>
                <w:rFonts w:ascii="Arial Narrow" w:hAnsi="Arial Narrow"/>
                <w:sz w:val="20"/>
              </w:rPr>
              <w:t>30</w:t>
            </w:r>
          </w:p>
        </w:tc>
        <w:tc>
          <w:tcPr>
            <w:tcW w:w="1038" w:type="pct"/>
            <w:gridSpan w:val="2"/>
            <w:tcBorders>
              <w:top w:val="nil"/>
              <w:left w:val="nil"/>
              <w:bottom w:val="nil"/>
              <w:right w:val="nil"/>
            </w:tcBorders>
            <w:shd w:val="clear" w:color="auto" w:fill="auto"/>
            <w:noWrap/>
          </w:tcPr>
          <w:p w14:paraId="61FD40EC" w14:textId="77777777" w:rsidR="00AE5BD5" w:rsidRPr="003B4D22" w:rsidRDefault="00AE5BD5" w:rsidP="00AE5BD5">
            <w:pPr>
              <w:spacing w:after="0" w:line="240" w:lineRule="auto"/>
              <w:jc w:val="right"/>
              <w:rPr>
                <w:rFonts w:ascii="Arial Narrow" w:hAnsi="Arial Narrow"/>
                <w:sz w:val="20"/>
              </w:rPr>
            </w:pPr>
            <w:r w:rsidRPr="003B4D22">
              <w:rPr>
                <w:rFonts w:ascii="Arial Narrow" w:hAnsi="Arial Narrow"/>
                <w:sz w:val="20"/>
              </w:rPr>
              <w:t>31</w:t>
            </w:r>
          </w:p>
        </w:tc>
        <w:tc>
          <w:tcPr>
            <w:tcW w:w="666" w:type="pct"/>
            <w:tcBorders>
              <w:top w:val="nil"/>
              <w:left w:val="nil"/>
              <w:bottom w:val="nil"/>
              <w:right w:val="single" w:sz="4" w:space="0" w:color="auto"/>
            </w:tcBorders>
          </w:tcPr>
          <w:p w14:paraId="4BB0850F" w14:textId="77777777" w:rsidR="00AE5BD5" w:rsidRPr="003B4D22" w:rsidRDefault="00AE5BD5" w:rsidP="00AE5BD5">
            <w:pPr>
              <w:spacing w:after="0" w:line="240" w:lineRule="auto"/>
              <w:jc w:val="right"/>
              <w:rPr>
                <w:rFonts w:ascii="Arial Narrow" w:hAnsi="Arial Narrow"/>
                <w:sz w:val="20"/>
                <w:szCs w:val="20"/>
              </w:rPr>
            </w:pPr>
          </w:p>
        </w:tc>
      </w:tr>
      <w:tr w:rsidR="00AE5BD5" w:rsidRPr="003B4D22" w14:paraId="0E1C5984" w14:textId="77777777" w:rsidTr="003735E3">
        <w:tc>
          <w:tcPr>
            <w:tcW w:w="650" w:type="pct"/>
            <w:tcBorders>
              <w:top w:val="nil"/>
              <w:left w:val="single" w:sz="4" w:space="0" w:color="auto"/>
              <w:bottom w:val="nil"/>
              <w:right w:val="single" w:sz="4" w:space="0" w:color="auto"/>
            </w:tcBorders>
          </w:tcPr>
          <w:p w14:paraId="2AD96A9D"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tcPr>
          <w:p w14:paraId="71DBCDF7" w14:textId="77777777" w:rsidR="00AE5BD5" w:rsidRPr="003B4D22" w:rsidRDefault="00AE5BD5" w:rsidP="00AE5BD5">
            <w:pPr>
              <w:spacing w:after="0" w:line="240" w:lineRule="auto"/>
              <w:rPr>
                <w:rFonts w:ascii="Arial Narrow" w:hAnsi="Arial Narrow"/>
                <w:sz w:val="20"/>
              </w:rPr>
            </w:pPr>
            <w:r w:rsidRPr="003B4D22">
              <w:rPr>
                <w:rFonts w:ascii="Arial Narrow" w:hAnsi="Arial Narrow"/>
                <w:sz w:val="20"/>
              </w:rPr>
              <w:t>1 infection</w:t>
            </w:r>
          </w:p>
        </w:tc>
        <w:tc>
          <w:tcPr>
            <w:tcW w:w="940" w:type="pct"/>
            <w:gridSpan w:val="2"/>
            <w:tcBorders>
              <w:top w:val="nil"/>
              <w:left w:val="single" w:sz="4" w:space="0" w:color="auto"/>
              <w:bottom w:val="nil"/>
              <w:right w:val="nil"/>
            </w:tcBorders>
            <w:shd w:val="clear" w:color="auto" w:fill="auto"/>
            <w:noWrap/>
          </w:tcPr>
          <w:p w14:paraId="18798122" w14:textId="77777777" w:rsidR="00AE5BD5" w:rsidRPr="003B4D22" w:rsidRDefault="00AE5BD5" w:rsidP="00AE5BD5">
            <w:pPr>
              <w:spacing w:after="0" w:line="240" w:lineRule="auto"/>
              <w:jc w:val="right"/>
              <w:rPr>
                <w:rFonts w:ascii="Arial Narrow" w:hAnsi="Arial Narrow" w:cs="Calibri"/>
                <w:sz w:val="20"/>
              </w:rPr>
            </w:pPr>
            <w:r w:rsidRPr="003B4D22">
              <w:rPr>
                <w:rFonts w:ascii="Arial Narrow" w:hAnsi="Arial Narrow"/>
                <w:sz w:val="20"/>
              </w:rPr>
              <w:t>12</w:t>
            </w:r>
          </w:p>
        </w:tc>
        <w:tc>
          <w:tcPr>
            <w:tcW w:w="1038" w:type="pct"/>
            <w:gridSpan w:val="2"/>
            <w:tcBorders>
              <w:top w:val="nil"/>
              <w:left w:val="nil"/>
              <w:bottom w:val="nil"/>
              <w:right w:val="nil"/>
            </w:tcBorders>
            <w:shd w:val="clear" w:color="auto" w:fill="auto"/>
            <w:noWrap/>
          </w:tcPr>
          <w:p w14:paraId="085BA755" w14:textId="77777777" w:rsidR="00AE5BD5" w:rsidRPr="003B4D22" w:rsidRDefault="00AE5BD5" w:rsidP="00AE5BD5">
            <w:pPr>
              <w:spacing w:after="0" w:line="240" w:lineRule="auto"/>
              <w:jc w:val="right"/>
              <w:rPr>
                <w:rFonts w:ascii="Arial Narrow" w:hAnsi="Arial Narrow"/>
                <w:sz w:val="20"/>
              </w:rPr>
            </w:pPr>
            <w:r w:rsidRPr="003B4D22">
              <w:rPr>
                <w:rFonts w:ascii="Arial Narrow" w:hAnsi="Arial Narrow"/>
                <w:sz w:val="20"/>
              </w:rPr>
              <w:t>4</w:t>
            </w:r>
          </w:p>
        </w:tc>
        <w:tc>
          <w:tcPr>
            <w:tcW w:w="666" w:type="pct"/>
            <w:tcBorders>
              <w:top w:val="nil"/>
              <w:left w:val="nil"/>
              <w:bottom w:val="nil"/>
              <w:right w:val="single" w:sz="4" w:space="0" w:color="auto"/>
            </w:tcBorders>
          </w:tcPr>
          <w:p w14:paraId="3F2F2146" w14:textId="77777777" w:rsidR="00AE5BD5" w:rsidRPr="003B4D22" w:rsidRDefault="00AE5BD5" w:rsidP="00AE5BD5">
            <w:pPr>
              <w:spacing w:after="0" w:line="240" w:lineRule="auto"/>
              <w:jc w:val="right"/>
              <w:rPr>
                <w:rFonts w:ascii="Arial Narrow" w:hAnsi="Arial Narrow"/>
                <w:sz w:val="20"/>
                <w:szCs w:val="20"/>
              </w:rPr>
            </w:pPr>
          </w:p>
        </w:tc>
      </w:tr>
      <w:tr w:rsidR="00AE5BD5" w:rsidRPr="003B4D22" w14:paraId="7FE12E12" w14:textId="77777777" w:rsidTr="003735E3">
        <w:tc>
          <w:tcPr>
            <w:tcW w:w="650" w:type="pct"/>
            <w:tcBorders>
              <w:top w:val="nil"/>
              <w:left w:val="single" w:sz="4" w:space="0" w:color="auto"/>
              <w:bottom w:val="nil"/>
              <w:right w:val="single" w:sz="4" w:space="0" w:color="auto"/>
            </w:tcBorders>
          </w:tcPr>
          <w:p w14:paraId="70A2E3AF"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tcPr>
          <w:p w14:paraId="34059C66" w14:textId="77777777" w:rsidR="00AE5BD5" w:rsidRPr="003B4D22" w:rsidRDefault="00AE5BD5" w:rsidP="00AE5BD5">
            <w:pPr>
              <w:spacing w:after="0" w:line="240" w:lineRule="auto"/>
              <w:rPr>
                <w:rFonts w:ascii="Arial Narrow" w:hAnsi="Arial Narrow"/>
                <w:sz w:val="20"/>
              </w:rPr>
            </w:pPr>
            <w:r w:rsidRPr="003B4D22">
              <w:rPr>
                <w:rFonts w:ascii="Arial Narrow" w:hAnsi="Arial Narrow"/>
                <w:sz w:val="20"/>
              </w:rPr>
              <w:t>2 infections</w:t>
            </w:r>
          </w:p>
        </w:tc>
        <w:tc>
          <w:tcPr>
            <w:tcW w:w="940" w:type="pct"/>
            <w:gridSpan w:val="2"/>
            <w:tcBorders>
              <w:top w:val="nil"/>
              <w:left w:val="single" w:sz="4" w:space="0" w:color="auto"/>
              <w:bottom w:val="nil"/>
              <w:right w:val="nil"/>
            </w:tcBorders>
            <w:shd w:val="clear" w:color="auto" w:fill="auto"/>
            <w:noWrap/>
          </w:tcPr>
          <w:p w14:paraId="564DB737" w14:textId="77777777" w:rsidR="00AE5BD5" w:rsidRPr="003B4D22" w:rsidRDefault="00AE5BD5" w:rsidP="00AE5BD5">
            <w:pPr>
              <w:spacing w:after="0" w:line="240" w:lineRule="auto"/>
              <w:jc w:val="right"/>
              <w:rPr>
                <w:rFonts w:ascii="Arial Narrow" w:hAnsi="Arial Narrow" w:cs="Calibri"/>
                <w:sz w:val="20"/>
              </w:rPr>
            </w:pPr>
            <w:r w:rsidRPr="003B4D22">
              <w:rPr>
                <w:rFonts w:ascii="Arial Narrow" w:hAnsi="Arial Narrow"/>
                <w:sz w:val="20"/>
              </w:rPr>
              <w:t>4</w:t>
            </w:r>
          </w:p>
        </w:tc>
        <w:tc>
          <w:tcPr>
            <w:tcW w:w="1038" w:type="pct"/>
            <w:gridSpan w:val="2"/>
            <w:tcBorders>
              <w:top w:val="nil"/>
              <w:left w:val="nil"/>
              <w:bottom w:val="nil"/>
              <w:right w:val="nil"/>
            </w:tcBorders>
            <w:shd w:val="clear" w:color="auto" w:fill="auto"/>
            <w:noWrap/>
          </w:tcPr>
          <w:p w14:paraId="7E7AA1BA" w14:textId="77777777" w:rsidR="00AE5BD5" w:rsidRPr="003B4D22" w:rsidRDefault="00AE5BD5" w:rsidP="00AE5BD5">
            <w:pPr>
              <w:spacing w:after="0" w:line="240" w:lineRule="auto"/>
              <w:jc w:val="right"/>
              <w:rPr>
                <w:rFonts w:ascii="Arial Narrow" w:hAnsi="Arial Narrow"/>
                <w:sz w:val="20"/>
              </w:rPr>
            </w:pPr>
            <w:r w:rsidRPr="003B4D22">
              <w:rPr>
                <w:rFonts w:ascii="Arial Narrow" w:hAnsi="Arial Narrow"/>
                <w:sz w:val="20"/>
              </w:rPr>
              <w:t>11</w:t>
            </w:r>
          </w:p>
        </w:tc>
        <w:tc>
          <w:tcPr>
            <w:tcW w:w="666" w:type="pct"/>
            <w:tcBorders>
              <w:top w:val="nil"/>
              <w:left w:val="nil"/>
              <w:bottom w:val="nil"/>
              <w:right w:val="single" w:sz="4" w:space="0" w:color="auto"/>
            </w:tcBorders>
          </w:tcPr>
          <w:p w14:paraId="419B5A3A" w14:textId="77777777" w:rsidR="00AE5BD5" w:rsidRPr="003B4D22" w:rsidRDefault="00AE5BD5" w:rsidP="00AE5BD5">
            <w:pPr>
              <w:spacing w:after="0" w:line="240" w:lineRule="auto"/>
              <w:jc w:val="right"/>
              <w:rPr>
                <w:rFonts w:ascii="Arial Narrow" w:hAnsi="Arial Narrow"/>
                <w:sz w:val="20"/>
                <w:szCs w:val="20"/>
              </w:rPr>
            </w:pPr>
          </w:p>
        </w:tc>
      </w:tr>
      <w:tr w:rsidR="00AE5BD5" w:rsidRPr="003B4D22" w14:paraId="4C9BFCB2" w14:textId="77777777" w:rsidTr="003735E3">
        <w:tc>
          <w:tcPr>
            <w:tcW w:w="650" w:type="pct"/>
            <w:tcBorders>
              <w:top w:val="nil"/>
              <w:left w:val="single" w:sz="4" w:space="0" w:color="auto"/>
              <w:bottom w:val="nil"/>
              <w:right w:val="single" w:sz="4" w:space="0" w:color="auto"/>
            </w:tcBorders>
          </w:tcPr>
          <w:p w14:paraId="7CB161EB"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tcPr>
          <w:p w14:paraId="3C067E77" w14:textId="77777777" w:rsidR="00AE5BD5" w:rsidRPr="003B4D22" w:rsidRDefault="00AE5BD5" w:rsidP="00AE5BD5">
            <w:pPr>
              <w:spacing w:after="0" w:line="240" w:lineRule="auto"/>
              <w:rPr>
                <w:rFonts w:ascii="Arial Narrow" w:hAnsi="Arial Narrow"/>
                <w:sz w:val="20"/>
              </w:rPr>
            </w:pPr>
            <w:r w:rsidRPr="003B4D22">
              <w:rPr>
                <w:rFonts w:ascii="Arial Narrow" w:hAnsi="Arial Narrow"/>
                <w:sz w:val="20"/>
              </w:rPr>
              <w:t>3 infections</w:t>
            </w:r>
          </w:p>
        </w:tc>
        <w:tc>
          <w:tcPr>
            <w:tcW w:w="940" w:type="pct"/>
            <w:gridSpan w:val="2"/>
            <w:tcBorders>
              <w:top w:val="nil"/>
              <w:left w:val="single" w:sz="4" w:space="0" w:color="auto"/>
              <w:bottom w:val="nil"/>
              <w:right w:val="nil"/>
            </w:tcBorders>
            <w:shd w:val="clear" w:color="auto" w:fill="auto"/>
            <w:noWrap/>
          </w:tcPr>
          <w:p w14:paraId="602E6C14" w14:textId="77777777" w:rsidR="00AE5BD5" w:rsidRPr="003B4D22" w:rsidRDefault="00AE5BD5" w:rsidP="00AE5BD5">
            <w:pPr>
              <w:spacing w:after="0" w:line="240" w:lineRule="auto"/>
              <w:jc w:val="right"/>
              <w:rPr>
                <w:rFonts w:ascii="Arial Narrow" w:hAnsi="Arial Narrow" w:cs="Calibri"/>
                <w:sz w:val="20"/>
              </w:rPr>
            </w:pPr>
            <w:r w:rsidRPr="003B4D22">
              <w:rPr>
                <w:rFonts w:ascii="Arial Narrow" w:hAnsi="Arial Narrow"/>
                <w:sz w:val="20"/>
              </w:rPr>
              <w:t>4</w:t>
            </w:r>
          </w:p>
        </w:tc>
        <w:tc>
          <w:tcPr>
            <w:tcW w:w="1038" w:type="pct"/>
            <w:gridSpan w:val="2"/>
            <w:tcBorders>
              <w:top w:val="nil"/>
              <w:left w:val="nil"/>
              <w:bottom w:val="nil"/>
              <w:right w:val="nil"/>
            </w:tcBorders>
            <w:shd w:val="clear" w:color="auto" w:fill="auto"/>
            <w:noWrap/>
          </w:tcPr>
          <w:p w14:paraId="6FF514BA" w14:textId="77777777" w:rsidR="00AE5BD5" w:rsidRPr="003B4D22" w:rsidRDefault="00AE5BD5" w:rsidP="00AE5BD5">
            <w:pPr>
              <w:spacing w:after="0" w:line="240" w:lineRule="auto"/>
              <w:jc w:val="right"/>
              <w:rPr>
                <w:rFonts w:ascii="Arial Narrow" w:hAnsi="Arial Narrow"/>
                <w:sz w:val="20"/>
              </w:rPr>
            </w:pPr>
            <w:r w:rsidRPr="003B4D22">
              <w:rPr>
                <w:rFonts w:ascii="Arial Narrow" w:hAnsi="Arial Narrow"/>
                <w:sz w:val="20"/>
              </w:rPr>
              <w:t>7</w:t>
            </w:r>
          </w:p>
        </w:tc>
        <w:tc>
          <w:tcPr>
            <w:tcW w:w="666" w:type="pct"/>
            <w:tcBorders>
              <w:top w:val="nil"/>
              <w:left w:val="nil"/>
              <w:bottom w:val="nil"/>
              <w:right w:val="single" w:sz="4" w:space="0" w:color="auto"/>
            </w:tcBorders>
          </w:tcPr>
          <w:p w14:paraId="28291F21" w14:textId="77777777" w:rsidR="00AE5BD5" w:rsidRPr="003B4D22" w:rsidRDefault="00AE5BD5" w:rsidP="00AE5BD5">
            <w:pPr>
              <w:spacing w:after="0" w:line="240" w:lineRule="auto"/>
              <w:jc w:val="right"/>
              <w:rPr>
                <w:rFonts w:ascii="Arial Narrow" w:hAnsi="Arial Narrow"/>
                <w:sz w:val="20"/>
                <w:szCs w:val="20"/>
              </w:rPr>
            </w:pPr>
          </w:p>
        </w:tc>
      </w:tr>
      <w:tr w:rsidR="00AE5BD5" w:rsidRPr="003B4D22" w14:paraId="3DA31592" w14:textId="77777777" w:rsidTr="003735E3">
        <w:tc>
          <w:tcPr>
            <w:tcW w:w="650" w:type="pct"/>
            <w:tcBorders>
              <w:top w:val="nil"/>
              <w:left w:val="single" w:sz="4" w:space="0" w:color="auto"/>
              <w:bottom w:val="nil"/>
              <w:right w:val="single" w:sz="4" w:space="0" w:color="auto"/>
            </w:tcBorders>
          </w:tcPr>
          <w:p w14:paraId="173A0BFD"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tcPr>
          <w:p w14:paraId="28EA9BCA" w14:textId="77777777" w:rsidR="00AE5BD5" w:rsidRPr="003B4D22" w:rsidRDefault="00AE5BD5" w:rsidP="00AE5BD5">
            <w:pPr>
              <w:spacing w:after="0" w:line="240" w:lineRule="auto"/>
              <w:rPr>
                <w:rFonts w:ascii="Arial Narrow" w:hAnsi="Arial Narrow"/>
                <w:sz w:val="20"/>
              </w:rPr>
            </w:pPr>
            <w:r w:rsidRPr="003B4D22">
              <w:rPr>
                <w:rFonts w:ascii="Arial Narrow" w:hAnsi="Arial Narrow"/>
                <w:sz w:val="20"/>
              </w:rPr>
              <w:t>4+ infections</w:t>
            </w:r>
          </w:p>
        </w:tc>
        <w:tc>
          <w:tcPr>
            <w:tcW w:w="940" w:type="pct"/>
            <w:gridSpan w:val="2"/>
            <w:tcBorders>
              <w:top w:val="nil"/>
              <w:left w:val="single" w:sz="4" w:space="0" w:color="auto"/>
              <w:bottom w:val="nil"/>
              <w:right w:val="nil"/>
            </w:tcBorders>
            <w:shd w:val="clear" w:color="auto" w:fill="auto"/>
            <w:noWrap/>
          </w:tcPr>
          <w:p w14:paraId="4B6754AC" w14:textId="77777777" w:rsidR="00AE5BD5" w:rsidRPr="003B4D22" w:rsidRDefault="00AE5BD5" w:rsidP="00AE5BD5">
            <w:pPr>
              <w:spacing w:after="0" w:line="240" w:lineRule="auto"/>
              <w:jc w:val="right"/>
              <w:rPr>
                <w:rFonts w:ascii="Arial Narrow" w:hAnsi="Arial Narrow" w:cs="Calibri"/>
                <w:sz w:val="20"/>
              </w:rPr>
            </w:pPr>
            <w:r w:rsidRPr="003B4D22">
              <w:rPr>
                <w:rFonts w:ascii="Arial Narrow" w:hAnsi="Arial Narrow"/>
                <w:sz w:val="20"/>
              </w:rPr>
              <w:t>4</w:t>
            </w:r>
          </w:p>
        </w:tc>
        <w:tc>
          <w:tcPr>
            <w:tcW w:w="1038" w:type="pct"/>
            <w:gridSpan w:val="2"/>
            <w:tcBorders>
              <w:top w:val="nil"/>
              <w:left w:val="nil"/>
              <w:bottom w:val="nil"/>
              <w:right w:val="nil"/>
            </w:tcBorders>
            <w:shd w:val="clear" w:color="auto" w:fill="auto"/>
            <w:noWrap/>
          </w:tcPr>
          <w:p w14:paraId="56281E7A" w14:textId="77777777" w:rsidR="00AE5BD5" w:rsidRPr="003B4D22" w:rsidRDefault="00AE5BD5" w:rsidP="00AE5BD5">
            <w:pPr>
              <w:spacing w:after="0" w:line="240" w:lineRule="auto"/>
              <w:jc w:val="right"/>
              <w:rPr>
                <w:rFonts w:ascii="Arial Narrow" w:hAnsi="Arial Narrow"/>
                <w:sz w:val="20"/>
              </w:rPr>
            </w:pPr>
            <w:r w:rsidRPr="003B4D22">
              <w:rPr>
                <w:rFonts w:ascii="Arial Narrow" w:hAnsi="Arial Narrow"/>
                <w:sz w:val="20"/>
              </w:rPr>
              <w:t>4</w:t>
            </w:r>
          </w:p>
        </w:tc>
        <w:tc>
          <w:tcPr>
            <w:tcW w:w="666" w:type="pct"/>
            <w:tcBorders>
              <w:top w:val="nil"/>
              <w:left w:val="nil"/>
              <w:bottom w:val="nil"/>
              <w:right w:val="single" w:sz="4" w:space="0" w:color="auto"/>
            </w:tcBorders>
          </w:tcPr>
          <w:p w14:paraId="5C261FE9" w14:textId="77777777" w:rsidR="00AE5BD5" w:rsidRPr="003B4D22" w:rsidRDefault="00AE5BD5" w:rsidP="00AE5BD5">
            <w:pPr>
              <w:spacing w:after="0" w:line="240" w:lineRule="auto"/>
              <w:jc w:val="right"/>
              <w:rPr>
                <w:rFonts w:ascii="Arial Narrow" w:hAnsi="Arial Narrow"/>
                <w:sz w:val="20"/>
                <w:szCs w:val="20"/>
              </w:rPr>
            </w:pPr>
          </w:p>
        </w:tc>
      </w:tr>
      <w:tr w:rsidR="00AE5BD5" w:rsidRPr="003B4D22" w14:paraId="3D7CA065" w14:textId="77777777" w:rsidTr="003735E3">
        <w:tc>
          <w:tcPr>
            <w:tcW w:w="650" w:type="pct"/>
            <w:tcBorders>
              <w:top w:val="nil"/>
              <w:left w:val="single" w:sz="4" w:space="0" w:color="auto"/>
              <w:bottom w:val="nil"/>
              <w:right w:val="single" w:sz="4" w:space="0" w:color="auto"/>
            </w:tcBorders>
          </w:tcPr>
          <w:p w14:paraId="347F5968"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tcPr>
          <w:p w14:paraId="1495BCAE" w14:textId="77777777" w:rsidR="00AE5BD5" w:rsidRPr="003B4D22" w:rsidRDefault="00AE5BD5" w:rsidP="00AE5BD5">
            <w:pPr>
              <w:spacing w:after="0" w:line="240" w:lineRule="auto"/>
              <w:rPr>
                <w:rFonts w:ascii="Arial Narrow" w:hAnsi="Arial Narrow"/>
                <w:i/>
                <w:sz w:val="20"/>
              </w:rPr>
            </w:pPr>
            <w:r w:rsidRPr="003B4D22">
              <w:rPr>
                <w:rFonts w:ascii="Arial Narrow" w:hAnsi="Arial Narrow"/>
                <w:i/>
                <w:sz w:val="20"/>
              </w:rPr>
              <w:t>Patient months</w:t>
            </w:r>
          </w:p>
        </w:tc>
        <w:tc>
          <w:tcPr>
            <w:tcW w:w="940" w:type="pct"/>
            <w:gridSpan w:val="2"/>
            <w:tcBorders>
              <w:top w:val="nil"/>
              <w:left w:val="single" w:sz="4" w:space="0" w:color="auto"/>
              <w:bottom w:val="nil"/>
              <w:right w:val="nil"/>
            </w:tcBorders>
            <w:shd w:val="clear" w:color="auto" w:fill="auto"/>
            <w:noWrap/>
          </w:tcPr>
          <w:p w14:paraId="4F742724" w14:textId="77777777" w:rsidR="00AE5BD5" w:rsidRPr="003B4D22" w:rsidRDefault="00AE5BD5" w:rsidP="00AE5BD5">
            <w:pPr>
              <w:spacing w:after="0" w:line="240" w:lineRule="auto"/>
              <w:jc w:val="right"/>
              <w:rPr>
                <w:rFonts w:ascii="Arial Narrow" w:hAnsi="Arial Narrow" w:cs="Calibri"/>
                <w:i/>
                <w:sz w:val="20"/>
              </w:rPr>
            </w:pPr>
            <w:r w:rsidRPr="003B4D22">
              <w:rPr>
                <w:rFonts w:ascii="Arial Narrow" w:hAnsi="Arial Narrow"/>
                <w:i/>
                <w:sz w:val="20"/>
              </w:rPr>
              <w:t>360</w:t>
            </w:r>
          </w:p>
        </w:tc>
        <w:tc>
          <w:tcPr>
            <w:tcW w:w="1038" w:type="pct"/>
            <w:gridSpan w:val="2"/>
            <w:tcBorders>
              <w:top w:val="nil"/>
              <w:left w:val="nil"/>
              <w:bottom w:val="nil"/>
              <w:right w:val="nil"/>
            </w:tcBorders>
            <w:shd w:val="clear" w:color="auto" w:fill="auto"/>
            <w:noWrap/>
          </w:tcPr>
          <w:p w14:paraId="360E784E" w14:textId="77777777" w:rsidR="00AE5BD5" w:rsidRPr="003B4D22" w:rsidRDefault="00AE5BD5" w:rsidP="00AE5BD5">
            <w:pPr>
              <w:spacing w:after="0" w:line="240" w:lineRule="auto"/>
              <w:jc w:val="right"/>
              <w:rPr>
                <w:rFonts w:ascii="Arial Narrow" w:hAnsi="Arial Narrow"/>
                <w:i/>
                <w:sz w:val="20"/>
              </w:rPr>
            </w:pPr>
            <w:r w:rsidRPr="003B4D22">
              <w:rPr>
                <w:rFonts w:ascii="Arial Narrow" w:hAnsi="Arial Narrow"/>
                <w:i/>
                <w:sz w:val="20"/>
              </w:rPr>
              <w:t>372</w:t>
            </w:r>
          </w:p>
        </w:tc>
        <w:tc>
          <w:tcPr>
            <w:tcW w:w="666" w:type="pct"/>
            <w:tcBorders>
              <w:top w:val="nil"/>
              <w:left w:val="nil"/>
              <w:bottom w:val="nil"/>
              <w:right w:val="single" w:sz="4" w:space="0" w:color="auto"/>
            </w:tcBorders>
          </w:tcPr>
          <w:p w14:paraId="642A1536" w14:textId="77777777" w:rsidR="00AE5BD5" w:rsidRPr="003B4D22" w:rsidRDefault="00AE5BD5" w:rsidP="00AE5BD5">
            <w:pPr>
              <w:spacing w:after="0" w:line="240" w:lineRule="auto"/>
              <w:jc w:val="right"/>
              <w:rPr>
                <w:rFonts w:ascii="Arial Narrow" w:hAnsi="Arial Narrow"/>
                <w:sz w:val="20"/>
                <w:szCs w:val="20"/>
              </w:rPr>
            </w:pPr>
          </w:p>
        </w:tc>
      </w:tr>
      <w:tr w:rsidR="00AE5BD5" w:rsidRPr="003B4D22" w14:paraId="272B1259" w14:textId="77777777" w:rsidTr="003735E3">
        <w:tc>
          <w:tcPr>
            <w:tcW w:w="650" w:type="pct"/>
            <w:tcBorders>
              <w:top w:val="nil"/>
              <w:left w:val="single" w:sz="4" w:space="0" w:color="auto"/>
              <w:bottom w:val="single" w:sz="4" w:space="0" w:color="auto"/>
              <w:right w:val="single" w:sz="4" w:space="0" w:color="auto"/>
            </w:tcBorders>
          </w:tcPr>
          <w:p w14:paraId="71220C1E"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single" w:sz="4" w:space="0" w:color="auto"/>
              <w:right w:val="single" w:sz="4" w:space="0" w:color="auto"/>
            </w:tcBorders>
            <w:shd w:val="clear" w:color="auto" w:fill="auto"/>
          </w:tcPr>
          <w:p w14:paraId="4237DB67" w14:textId="77777777" w:rsidR="00AE5BD5" w:rsidRPr="003B4D22" w:rsidRDefault="00AE5BD5" w:rsidP="00AE5BD5">
            <w:pPr>
              <w:spacing w:after="0" w:line="240" w:lineRule="auto"/>
              <w:rPr>
                <w:rFonts w:ascii="Arial Narrow" w:hAnsi="Arial Narrow"/>
                <w:sz w:val="20"/>
              </w:rPr>
            </w:pPr>
            <w:r w:rsidRPr="003B4D22">
              <w:rPr>
                <w:rFonts w:ascii="Arial Narrow" w:hAnsi="Arial Narrow"/>
                <w:sz w:val="20"/>
              </w:rPr>
              <w:t>Recurrent infections /patient/month</w:t>
            </w:r>
          </w:p>
        </w:tc>
        <w:tc>
          <w:tcPr>
            <w:tcW w:w="940" w:type="pct"/>
            <w:gridSpan w:val="2"/>
            <w:tcBorders>
              <w:top w:val="nil"/>
              <w:left w:val="single" w:sz="4" w:space="0" w:color="auto"/>
              <w:bottom w:val="single" w:sz="4" w:space="0" w:color="auto"/>
              <w:right w:val="nil"/>
            </w:tcBorders>
            <w:shd w:val="clear" w:color="auto" w:fill="auto"/>
            <w:noWrap/>
          </w:tcPr>
          <w:p w14:paraId="73E8C5AC" w14:textId="77777777" w:rsidR="00AE5BD5" w:rsidRPr="003B4D22" w:rsidRDefault="00AE5BD5" w:rsidP="00AE5BD5">
            <w:pPr>
              <w:spacing w:after="0" w:line="240" w:lineRule="auto"/>
              <w:jc w:val="right"/>
              <w:rPr>
                <w:rFonts w:ascii="Arial Narrow" w:hAnsi="Arial Narrow" w:cs="Calibri"/>
                <w:sz w:val="20"/>
              </w:rPr>
            </w:pPr>
            <w:r w:rsidRPr="003B4D22">
              <w:rPr>
                <w:rFonts w:ascii="Arial Narrow" w:hAnsi="Arial Narrow" w:cs="Calibri"/>
                <w:sz w:val="20"/>
              </w:rPr>
              <w:t>n.r.</w:t>
            </w:r>
          </w:p>
        </w:tc>
        <w:tc>
          <w:tcPr>
            <w:tcW w:w="1038" w:type="pct"/>
            <w:gridSpan w:val="2"/>
            <w:tcBorders>
              <w:top w:val="nil"/>
              <w:left w:val="nil"/>
              <w:bottom w:val="single" w:sz="4" w:space="0" w:color="auto"/>
              <w:right w:val="nil"/>
            </w:tcBorders>
            <w:shd w:val="clear" w:color="auto" w:fill="auto"/>
            <w:noWrap/>
          </w:tcPr>
          <w:p w14:paraId="43F44DB9" w14:textId="77777777" w:rsidR="00AE5BD5" w:rsidRPr="003B4D22" w:rsidRDefault="00AE5BD5" w:rsidP="00AE5BD5">
            <w:pPr>
              <w:spacing w:after="0" w:line="240" w:lineRule="auto"/>
              <w:jc w:val="right"/>
              <w:rPr>
                <w:rFonts w:ascii="Arial Narrow" w:hAnsi="Arial Narrow"/>
                <w:sz w:val="20"/>
              </w:rPr>
            </w:pPr>
            <w:r w:rsidRPr="003B4D22">
              <w:rPr>
                <w:rFonts w:ascii="Arial Narrow" w:hAnsi="Arial Narrow"/>
                <w:sz w:val="20"/>
              </w:rPr>
              <w:t>n.r.</w:t>
            </w:r>
          </w:p>
        </w:tc>
        <w:tc>
          <w:tcPr>
            <w:tcW w:w="666" w:type="pct"/>
            <w:tcBorders>
              <w:top w:val="nil"/>
              <w:left w:val="nil"/>
              <w:bottom w:val="single" w:sz="4" w:space="0" w:color="auto"/>
              <w:right w:val="single" w:sz="4" w:space="0" w:color="auto"/>
            </w:tcBorders>
          </w:tcPr>
          <w:p w14:paraId="0E567DF7" w14:textId="77777777" w:rsidR="00AE5BD5" w:rsidRPr="003B4D22" w:rsidRDefault="00AE5BD5" w:rsidP="00AE5BD5">
            <w:pPr>
              <w:spacing w:after="0" w:line="240" w:lineRule="auto"/>
              <w:jc w:val="right"/>
              <w:rPr>
                <w:rFonts w:ascii="Arial Narrow" w:hAnsi="Arial Narrow"/>
                <w:sz w:val="20"/>
                <w:szCs w:val="20"/>
              </w:rPr>
            </w:pPr>
            <w:r w:rsidRPr="003B4D22">
              <w:rPr>
                <w:rFonts w:ascii="Arial Narrow" w:hAnsi="Arial Narrow"/>
                <w:sz w:val="20"/>
                <w:szCs w:val="20"/>
              </w:rPr>
              <w:t>0.021</w:t>
            </w:r>
          </w:p>
        </w:tc>
      </w:tr>
      <w:tr w:rsidR="00AE5BD5" w:rsidRPr="00386411" w14:paraId="40D0A2E9" w14:textId="77777777" w:rsidTr="00B52A4F">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0A4725" w14:textId="77777777" w:rsidR="00AE5BD5" w:rsidRPr="00386411" w:rsidRDefault="00AE5BD5" w:rsidP="00AE5BD5">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Kobayashi et al., 2014</w:t>
            </w:r>
          </w:p>
        </w:tc>
        <w:tc>
          <w:tcPr>
            <w:tcW w:w="17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58475B" w14:textId="1EA39B8F" w:rsidR="00AE5BD5" w:rsidRPr="00386411" w:rsidRDefault="00AE5BD5" w:rsidP="00AE5BD5">
            <w:pPr>
              <w:spacing w:after="0" w:line="240" w:lineRule="auto"/>
              <w:rPr>
                <w:rFonts w:ascii="Arial Narrow" w:hAnsi="Arial Narrow"/>
                <w:b/>
                <w:i/>
                <w:sz w:val="20"/>
              </w:rPr>
            </w:pPr>
            <w:r w:rsidRPr="00386411">
              <w:rPr>
                <w:rFonts w:ascii="Arial Narrow" w:hAnsi="Arial Narrow" w:cs="Calibri"/>
                <w:b/>
                <w:color w:val="000000"/>
                <w:sz w:val="20"/>
                <w:szCs w:val="20"/>
              </w:rPr>
              <w:t>Tx success rate*, % of episodes</w:t>
            </w:r>
            <w:r w:rsidRPr="00386411">
              <w:rPr>
                <w:rFonts w:ascii="Arial Narrow" w:hAnsi="Arial Narrow" w:cs="Calibri"/>
                <w:b/>
                <w:color w:val="000000"/>
                <w:sz w:val="20"/>
                <w:szCs w:val="20"/>
              </w:rPr>
              <w:br/>
              <w:t>(N=61; 146 episodes)</w:t>
            </w:r>
          </w:p>
        </w:tc>
        <w:tc>
          <w:tcPr>
            <w:tcW w:w="940" w:type="pct"/>
            <w:gridSpan w:val="2"/>
            <w:tcBorders>
              <w:top w:val="single" w:sz="4" w:space="0" w:color="auto"/>
              <w:left w:val="single" w:sz="4" w:space="0" w:color="auto"/>
              <w:bottom w:val="single" w:sz="4" w:space="0" w:color="auto"/>
              <w:right w:val="nil"/>
            </w:tcBorders>
            <w:shd w:val="clear" w:color="auto" w:fill="D9D9D9" w:themeFill="background1" w:themeFillShade="D9"/>
            <w:noWrap/>
          </w:tcPr>
          <w:p w14:paraId="27B663FF" w14:textId="77777777" w:rsidR="00AE5BD5" w:rsidRPr="00386411" w:rsidRDefault="00AE5BD5" w:rsidP="00AE5BD5">
            <w:pPr>
              <w:spacing w:after="0" w:line="240" w:lineRule="auto"/>
              <w:jc w:val="center"/>
              <w:rPr>
                <w:rFonts w:ascii="Arial Narrow" w:hAnsi="Arial Narrow"/>
                <w:b/>
                <w:i/>
                <w:sz w:val="20"/>
              </w:rPr>
            </w:pPr>
            <w:r w:rsidRPr="00386411">
              <w:rPr>
                <w:rFonts w:ascii="Arial Narrow" w:hAnsi="Arial Narrow" w:cs="Calibri"/>
                <w:b/>
                <w:color w:val="000000"/>
                <w:sz w:val="20"/>
                <w:szCs w:val="20"/>
              </w:rPr>
              <w:t xml:space="preserve">MEPM+IVIg </w:t>
            </w:r>
            <w:r w:rsidRPr="00386411">
              <w:rPr>
                <w:rFonts w:ascii="Arial Narrow" w:hAnsi="Arial Narrow" w:cs="Calibri"/>
                <w:b/>
                <w:color w:val="000000"/>
                <w:sz w:val="20"/>
                <w:szCs w:val="20"/>
              </w:rPr>
              <w:br/>
              <w:t>(n=62 episodes)</w:t>
            </w:r>
          </w:p>
        </w:tc>
        <w:tc>
          <w:tcPr>
            <w:tcW w:w="1038" w:type="pct"/>
            <w:gridSpan w:val="2"/>
            <w:tcBorders>
              <w:top w:val="single" w:sz="4" w:space="0" w:color="auto"/>
              <w:left w:val="nil"/>
              <w:bottom w:val="single" w:sz="4" w:space="0" w:color="auto"/>
              <w:right w:val="nil"/>
            </w:tcBorders>
            <w:shd w:val="clear" w:color="auto" w:fill="D9D9D9" w:themeFill="background1" w:themeFillShade="D9"/>
            <w:noWrap/>
          </w:tcPr>
          <w:p w14:paraId="1B2703E2" w14:textId="77777777" w:rsidR="00AE5BD5" w:rsidRPr="00386411" w:rsidRDefault="00AE5BD5" w:rsidP="00AE5BD5">
            <w:pPr>
              <w:spacing w:after="0" w:line="240" w:lineRule="auto"/>
              <w:jc w:val="center"/>
              <w:rPr>
                <w:rFonts w:ascii="Arial Narrow" w:hAnsi="Arial Narrow"/>
                <w:b/>
                <w:i/>
                <w:sz w:val="20"/>
              </w:rPr>
            </w:pPr>
            <w:r w:rsidRPr="00386411">
              <w:rPr>
                <w:rFonts w:ascii="Arial Narrow" w:hAnsi="Arial Narrow" w:cs="Calibri"/>
                <w:b/>
                <w:color w:val="000000"/>
                <w:sz w:val="20"/>
                <w:szCs w:val="20"/>
              </w:rPr>
              <w:t xml:space="preserve">MEPM alone </w:t>
            </w:r>
            <w:r w:rsidRPr="00386411">
              <w:rPr>
                <w:rFonts w:ascii="Arial Narrow" w:hAnsi="Arial Narrow" w:cs="Calibri"/>
                <w:b/>
                <w:color w:val="000000"/>
                <w:sz w:val="20"/>
                <w:szCs w:val="20"/>
              </w:rPr>
              <w:br/>
              <w:t>(n=84 episdoes)</w:t>
            </w:r>
          </w:p>
        </w:tc>
        <w:tc>
          <w:tcPr>
            <w:tcW w:w="666" w:type="pct"/>
            <w:tcBorders>
              <w:top w:val="single" w:sz="4" w:space="0" w:color="auto"/>
              <w:left w:val="nil"/>
              <w:bottom w:val="single" w:sz="4" w:space="0" w:color="auto"/>
              <w:right w:val="single" w:sz="4" w:space="0" w:color="auto"/>
            </w:tcBorders>
            <w:shd w:val="clear" w:color="auto" w:fill="D9D9D9" w:themeFill="background1" w:themeFillShade="D9"/>
          </w:tcPr>
          <w:p w14:paraId="42CCAB33" w14:textId="77777777" w:rsidR="00AE5BD5" w:rsidRPr="00386411" w:rsidRDefault="00AE5BD5" w:rsidP="00AE5BD5">
            <w:pPr>
              <w:spacing w:after="0" w:line="240" w:lineRule="auto"/>
              <w:jc w:val="right"/>
              <w:rPr>
                <w:rFonts w:ascii="Arial Narrow" w:hAnsi="Arial Narrow" w:cs="Calibri"/>
                <w:b/>
                <w:color w:val="000000"/>
                <w:sz w:val="20"/>
                <w:szCs w:val="20"/>
              </w:rPr>
            </w:pPr>
          </w:p>
        </w:tc>
      </w:tr>
      <w:tr w:rsidR="00AE5BD5" w:rsidRPr="003B4D22" w14:paraId="3DE451DB" w14:textId="77777777" w:rsidTr="00E32BC7">
        <w:tc>
          <w:tcPr>
            <w:tcW w:w="650" w:type="pct"/>
            <w:tcBorders>
              <w:top w:val="single" w:sz="4" w:space="0" w:color="auto"/>
              <w:left w:val="single" w:sz="4" w:space="0" w:color="auto"/>
              <w:bottom w:val="nil"/>
              <w:right w:val="single" w:sz="4" w:space="0" w:color="auto"/>
            </w:tcBorders>
            <w:vAlign w:val="bottom"/>
          </w:tcPr>
          <w:p w14:paraId="1F06A741" w14:textId="0C12FB26" w:rsidR="00AE5BD5" w:rsidRPr="003B4D22" w:rsidRDefault="00AE5BD5" w:rsidP="00AE5BD5">
            <w:pPr>
              <w:spacing w:after="0" w:line="240" w:lineRule="auto"/>
              <w:rPr>
                <w:rFonts w:ascii="Arial Narrow" w:hAnsi="Arial Narrow" w:cs="Calibri"/>
                <w:color w:val="000000"/>
                <w:sz w:val="20"/>
                <w:szCs w:val="20"/>
              </w:rPr>
            </w:pPr>
            <w:r w:rsidRPr="003B4D22">
              <w:rPr>
                <w:rFonts w:ascii="Arial Narrow" w:hAnsi="Arial Narrow" w:cs="Calibri"/>
                <w:color w:val="000000"/>
                <w:sz w:val="20"/>
                <w:szCs w:val="20"/>
              </w:rPr>
              <w:t xml:space="preserve">AL </w:t>
            </w:r>
          </w:p>
        </w:tc>
        <w:tc>
          <w:tcPr>
            <w:tcW w:w="1706" w:type="pct"/>
            <w:tcBorders>
              <w:top w:val="single" w:sz="4" w:space="0" w:color="auto"/>
              <w:left w:val="single" w:sz="4" w:space="0" w:color="auto"/>
              <w:bottom w:val="single" w:sz="4" w:space="0" w:color="auto"/>
              <w:right w:val="single" w:sz="4" w:space="0" w:color="auto"/>
            </w:tcBorders>
          </w:tcPr>
          <w:p w14:paraId="5D4B1D96" w14:textId="7D64CB4A" w:rsidR="00AE5BD5" w:rsidRPr="003B4D22" w:rsidRDefault="00AE5BD5" w:rsidP="00AE5BD5">
            <w:pPr>
              <w:spacing w:after="0" w:line="240" w:lineRule="auto"/>
              <w:rPr>
                <w:rFonts w:ascii="Arial Narrow" w:hAnsi="Arial Narrow"/>
                <w:sz w:val="20"/>
              </w:rPr>
            </w:pPr>
            <w:r w:rsidRPr="003B4D22">
              <w:rPr>
                <w:rFonts w:ascii="Arial Narrow" w:hAnsi="Arial Narrow"/>
                <w:sz w:val="20"/>
              </w:rPr>
              <w:t>Tx success rate overall</w:t>
            </w:r>
          </w:p>
        </w:tc>
        <w:tc>
          <w:tcPr>
            <w:tcW w:w="940" w:type="pct"/>
            <w:gridSpan w:val="2"/>
            <w:tcBorders>
              <w:top w:val="single" w:sz="4" w:space="0" w:color="auto"/>
              <w:left w:val="single" w:sz="4" w:space="0" w:color="auto"/>
              <w:bottom w:val="single" w:sz="4" w:space="0" w:color="auto"/>
              <w:right w:val="nil"/>
            </w:tcBorders>
            <w:shd w:val="clear" w:color="auto" w:fill="auto"/>
            <w:noWrap/>
          </w:tcPr>
          <w:p w14:paraId="25BAED71" w14:textId="01EC4704" w:rsidR="00AE5BD5" w:rsidRPr="003B4D22" w:rsidRDefault="00AE5BD5" w:rsidP="00AE5BD5">
            <w:pPr>
              <w:spacing w:after="0" w:line="240" w:lineRule="auto"/>
              <w:jc w:val="right"/>
              <w:rPr>
                <w:rFonts w:ascii="Arial Narrow" w:hAnsi="Arial Narrow"/>
                <w:sz w:val="20"/>
              </w:rPr>
            </w:pPr>
            <w:r w:rsidRPr="003B4D22">
              <w:rPr>
                <w:rFonts w:ascii="Arial Narrow" w:hAnsi="Arial Narrow"/>
                <w:sz w:val="20"/>
              </w:rPr>
              <w:t>69.4%</w:t>
            </w:r>
          </w:p>
        </w:tc>
        <w:tc>
          <w:tcPr>
            <w:tcW w:w="1038" w:type="pct"/>
            <w:gridSpan w:val="2"/>
            <w:tcBorders>
              <w:top w:val="single" w:sz="4" w:space="0" w:color="auto"/>
              <w:left w:val="nil"/>
              <w:bottom w:val="single" w:sz="4" w:space="0" w:color="auto"/>
              <w:right w:val="nil"/>
            </w:tcBorders>
            <w:shd w:val="clear" w:color="auto" w:fill="auto"/>
            <w:noWrap/>
          </w:tcPr>
          <w:p w14:paraId="0F33DBC0" w14:textId="77411BF8" w:rsidR="00AE5BD5" w:rsidRPr="003B4D22" w:rsidRDefault="00AE5BD5" w:rsidP="00AE5BD5">
            <w:pPr>
              <w:spacing w:after="0" w:line="240" w:lineRule="auto"/>
              <w:jc w:val="right"/>
              <w:rPr>
                <w:rFonts w:ascii="Arial Narrow" w:hAnsi="Arial Narrow"/>
                <w:sz w:val="20"/>
              </w:rPr>
            </w:pPr>
            <w:r w:rsidRPr="003B4D22">
              <w:rPr>
                <w:rFonts w:ascii="Arial Narrow" w:hAnsi="Arial Narrow"/>
                <w:sz w:val="20"/>
              </w:rPr>
              <w:t xml:space="preserve">65.5% </w:t>
            </w:r>
          </w:p>
        </w:tc>
        <w:tc>
          <w:tcPr>
            <w:tcW w:w="666" w:type="pct"/>
            <w:tcBorders>
              <w:top w:val="single" w:sz="4" w:space="0" w:color="auto"/>
              <w:left w:val="nil"/>
              <w:bottom w:val="single" w:sz="4" w:space="0" w:color="auto"/>
              <w:right w:val="single" w:sz="4" w:space="0" w:color="auto"/>
            </w:tcBorders>
          </w:tcPr>
          <w:p w14:paraId="5382041B" w14:textId="00E1BEB9"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rPr>
              <w:t>p=0.862</w:t>
            </w:r>
          </w:p>
        </w:tc>
      </w:tr>
      <w:tr w:rsidR="00AE5BD5" w:rsidRPr="003B4D22" w14:paraId="50932EBE" w14:textId="77777777" w:rsidTr="00E32BC7">
        <w:tc>
          <w:tcPr>
            <w:tcW w:w="650" w:type="pct"/>
            <w:tcBorders>
              <w:top w:val="nil"/>
              <w:left w:val="single" w:sz="4" w:space="0" w:color="auto"/>
              <w:bottom w:val="nil"/>
              <w:right w:val="single" w:sz="4" w:space="0" w:color="auto"/>
            </w:tcBorders>
            <w:vAlign w:val="bottom"/>
          </w:tcPr>
          <w:p w14:paraId="76513B4A"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nil"/>
              <w:right w:val="single" w:sz="4" w:space="0" w:color="auto"/>
            </w:tcBorders>
          </w:tcPr>
          <w:p w14:paraId="255C8377" w14:textId="4A65CA67" w:rsidR="00AE5BD5" w:rsidRPr="003B4D22" w:rsidRDefault="00AE5BD5" w:rsidP="00AE5BD5">
            <w:pPr>
              <w:spacing w:after="0" w:line="240" w:lineRule="auto"/>
              <w:rPr>
                <w:rFonts w:ascii="Arial Narrow" w:hAnsi="Arial Narrow"/>
                <w:sz w:val="20"/>
              </w:rPr>
            </w:pPr>
            <w:r w:rsidRPr="003B4D22">
              <w:rPr>
                <w:rFonts w:ascii="Arial Narrow" w:hAnsi="Arial Narrow"/>
                <w:sz w:val="20"/>
              </w:rPr>
              <w:t xml:space="preserve">Tx success, </w:t>
            </w:r>
            <w:r w:rsidRPr="003B4D22">
              <w:rPr>
                <w:rFonts w:ascii="Arial Narrow" w:hAnsi="Arial Narrow"/>
                <w:sz w:val="20"/>
              </w:rPr>
              <w:br/>
              <w:t>patients with serum IgG &lt;500 mg/dL</w:t>
            </w:r>
          </w:p>
        </w:tc>
        <w:tc>
          <w:tcPr>
            <w:tcW w:w="940" w:type="pct"/>
            <w:gridSpan w:val="2"/>
            <w:tcBorders>
              <w:top w:val="single" w:sz="4" w:space="0" w:color="auto"/>
              <w:left w:val="single" w:sz="4" w:space="0" w:color="auto"/>
              <w:bottom w:val="nil"/>
              <w:right w:val="nil"/>
            </w:tcBorders>
            <w:shd w:val="clear" w:color="auto" w:fill="auto"/>
            <w:noWrap/>
          </w:tcPr>
          <w:p w14:paraId="692C3030" w14:textId="77777777" w:rsidR="00AE5BD5" w:rsidRPr="003B4D22" w:rsidRDefault="00AE5BD5" w:rsidP="00AE5BD5">
            <w:pPr>
              <w:spacing w:after="0" w:line="240" w:lineRule="auto"/>
              <w:jc w:val="right"/>
              <w:rPr>
                <w:rFonts w:ascii="Arial Narrow" w:hAnsi="Arial Narrow"/>
                <w:sz w:val="20"/>
              </w:rPr>
            </w:pPr>
            <w:r w:rsidRPr="003B4D22">
              <w:rPr>
                <w:rFonts w:ascii="Arial Narrow" w:hAnsi="Arial Narrow"/>
                <w:sz w:val="20"/>
              </w:rPr>
              <w:t>81.3%</w:t>
            </w:r>
          </w:p>
        </w:tc>
        <w:tc>
          <w:tcPr>
            <w:tcW w:w="1038" w:type="pct"/>
            <w:gridSpan w:val="2"/>
            <w:tcBorders>
              <w:top w:val="single" w:sz="4" w:space="0" w:color="auto"/>
              <w:left w:val="nil"/>
              <w:bottom w:val="nil"/>
              <w:right w:val="nil"/>
            </w:tcBorders>
            <w:shd w:val="clear" w:color="auto" w:fill="auto"/>
            <w:noWrap/>
          </w:tcPr>
          <w:p w14:paraId="5F4197F9" w14:textId="77777777" w:rsidR="00AE5BD5" w:rsidRPr="003B4D22" w:rsidRDefault="00AE5BD5" w:rsidP="00AE5BD5">
            <w:pPr>
              <w:spacing w:after="0" w:line="240" w:lineRule="auto"/>
              <w:jc w:val="right"/>
              <w:rPr>
                <w:rFonts w:ascii="Arial Narrow" w:hAnsi="Arial Narrow"/>
                <w:sz w:val="20"/>
              </w:rPr>
            </w:pPr>
            <w:r w:rsidRPr="003B4D22">
              <w:rPr>
                <w:rFonts w:ascii="Arial Narrow" w:hAnsi="Arial Narrow"/>
                <w:sz w:val="20"/>
              </w:rPr>
              <w:t>62.5%</w:t>
            </w:r>
          </w:p>
        </w:tc>
        <w:tc>
          <w:tcPr>
            <w:tcW w:w="666" w:type="pct"/>
            <w:tcBorders>
              <w:top w:val="single" w:sz="4" w:space="0" w:color="auto"/>
              <w:left w:val="nil"/>
              <w:bottom w:val="nil"/>
              <w:right w:val="single" w:sz="4" w:space="0" w:color="auto"/>
            </w:tcBorders>
          </w:tcPr>
          <w:p w14:paraId="727012EE"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rPr>
              <w:t>p=0.238</w:t>
            </w:r>
          </w:p>
        </w:tc>
      </w:tr>
      <w:tr w:rsidR="00AE5BD5" w:rsidRPr="003B4D22" w14:paraId="038445D1" w14:textId="77777777" w:rsidTr="00E32BC7">
        <w:tc>
          <w:tcPr>
            <w:tcW w:w="650" w:type="pct"/>
            <w:tcBorders>
              <w:top w:val="nil"/>
              <w:left w:val="single" w:sz="4" w:space="0" w:color="auto"/>
              <w:bottom w:val="single" w:sz="4" w:space="0" w:color="auto"/>
              <w:right w:val="single" w:sz="4" w:space="0" w:color="auto"/>
            </w:tcBorders>
            <w:vAlign w:val="bottom"/>
          </w:tcPr>
          <w:p w14:paraId="569B3955"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left w:val="single" w:sz="4" w:space="0" w:color="auto"/>
              <w:bottom w:val="single" w:sz="4" w:space="0" w:color="auto"/>
              <w:right w:val="single" w:sz="4" w:space="0" w:color="auto"/>
            </w:tcBorders>
          </w:tcPr>
          <w:p w14:paraId="1BF36785" w14:textId="1E27061D" w:rsidR="00AE5BD5" w:rsidRPr="003B4D22" w:rsidRDefault="00AE5BD5" w:rsidP="00AE5BD5">
            <w:pPr>
              <w:spacing w:after="0" w:line="240" w:lineRule="auto"/>
              <w:rPr>
                <w:rFonts w:ascii="Arial Narrow" w:hAnsi="Arial Narrow"/>
                <w:sz w:val="20"/>
              </w:rPr>
            </w:pPr>
            <w:r w:rsidRPr="003B4D22">
              <w:rPr>
                <w:rFonts w:ascii="Arial Narrow" w:hAnsi="Arial Narrow"/>
                <w:sz w:val="20"/>
              </w:rPr>
              <w:t xml:space="preserve">Tx success, </w:t>
            </w:r>
            <w:r w:rsidRPr="003B4D22">
              <w:rPr>
                <w:rFonts w:ascii="Arial Narrow" w:hAnsi="Arial Narrow"/>
                <w:sz w:val="20"/>
              </w:rPr>
              <w:br/>
              <w:t>patients with serum IgG &gt;500 mg/dL</w:t>
            </w:r>
          </w:p>
        </w:tc>
        <w:tc>
          <w:tcPr>
            <w:tcW w:w="940" w:type="pct"/>
            <w:gridSpan w:val="2"/>
            <w:tcBorders>
              <w:left w:val="single" w:sz="4" w:space="0" w:color="auto"/>
              <w:bottom w:val="single" w:sz="4" w:space="0" w:color="auto"/>
              <w:right w:val="nil"/>
            </w:tcBorders>
            <w:shd w:val="clear" w:color="auto" w:fill="auto"/>
            <w:noWrap/>
          </w:tcPr>
          <w:p w14:paraId="63D71389" w14:textId="2384C7D7" w:rsidR="00AE5BD5" w:rsidRPr="003B4D22" w:rsidRDefault="00AE5BD5" w:rsidP="00AE5BD5">
            <w:pPr>
              <w:spacing w:after="0" w:line="240" w:lineRule="auto"/>
              <w:jc w:val="right"/>
              <w:rPr>
                <w:rFonts w:ascii="Arial Narrow" w:hAnsi="Arial Narrow"/>
                <w:sz w:val="20"/>
              </w:rPr>
            </w:pPr>
            <w:r w:rsidRPr="003B4D22">
              <w:rPr>
                <w:rFonts w:ascii="Arial Narrow" w:hAnsi="Arial Narrow"/>
                <w:sz w:val="20"/>
              </w:rPr>
              <w:t>66.0%</w:t>
            </w:r>
          </w:p>
        </w:tc>
        <w:tc>
          <w:tcPr>
            <w:tcW w:w="1038" w:type="pct"/>
            <w:gridSpan w:val="2"/>
            <w:tcBorders>
              <w:left w:val="nil"/>
              <w:bottom w:val="single" w:sz="4" w:space="0" w:color="auto"/>
              <w:right w:val="nil"/>
            </w:tcBorders>
            <w:shd w:val="clear" w:color="auto" w:fill="auto"/>
            <w:noWrap/>
          </w:tcPr>
          <w:p w14:paraId="4D154DC7" w14:textId="6BE38788" w:rsidR="00AE5BD5" w:rsidRPr="003B4D22" w:rsidRDefault="00AE5BD5" w:rsidP="00AE5BD5">
            <w:pPr>
              <w:spacing w:after="0" w:line="240" w:lineRule="auto"/>
              <w:jc w:val="right"/>
              <w:rPr>
                <w:rFonts w:ascii="Arial Narrow" w:hAnsi="Arial Narrow"/>
                <w:sz w:val="20"/>
              </w:rPr>
            </w:pPr>
            <w:r w:rsidRPr="003B4D22">
              <w:rPr>
                <w:rFonts w:ascii="Arial Narrow" w:hAnsi="Arial Narrow"/>
                <w:sz w:val="20"/>
              </w:rPr>
              <w:t xml:space="preserve">66.7% </w:t>
            </w:r>
          </w:p>
        </w:tc>
        <w:tc>
          <w:tcPr>
            <w:tcW w:w="666" w:type="pct"/>
            <w:tcBorders>
              <w:left w:val="nil"/>
              <w:bottom w:val="single" w:sz="4" w:space="0" w:color="auto"/>
              <w:right w:val="single" w:sz="4" w:space="0" w:color="auto"/>
            </w:tcBorders>
          </w:tcPr>
          <w:p w14:paraId="4555B16C" w14:textId="1218F19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rPr>
              <w:t>p=1.000</w:t>
            </w:r>
          </w:p>
        </w:tc>
      </w:tr>
      <w:tr w:rsidR="00AE5BD5" w:rsidRPr="003B4D22" w14:paraId="02D9D682" w14:textId="77777777" w:rsidTr="007D3D74">
        <w:tc>
          <w:tcPr>
            <w:tcW w:w="650" w:type="pct"/>
            <w:tcBorders>
              <w:top w:val="nil"/>
              <w:left w:val="single" w:sz="4" w:space="0" w:color="auto"/>
              <w:bottom w:val="single" w:sz="4" w:space="0" w:color="auto"/>
              <w:right w:val="single" w:sz="4" w:space="0" w:color="auto"/>
            </w:tcBorders>
            <w:vAlign w:val="bottom"/>
          </w:tcPr>
          <w:p w14:paraId="7F50618D"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single" w:sz="4" w:space="0" w:color="auto"/>
              <w:right w:val="single" w:sz="4" w:space="0" w:color="auto"/>
            </w:tcBorders>
          </w:tcPr>
          <w:p w14:paraId="49BB6744" w14:textId="0E4D60D6" w:rsidR="00AE5BD5" w:rsidRPr="003B4D22" w:rsidRDefault="00AE5BD5" w:rsidP="00AE5BD5">
            <w:pPr>
              <w:spacing w:after="0" w:line="240" w:lineRule="auto"/>
              <w:rPr>
                <w:rFonts w:ascii="Arial Narrow" w:hAnsi="Arial Narrow"/>
                <w:sz w:val="20"/>
              </w:rPr>
            </w:pPr>
            <w:r w:rsidRPr="003B4D22">
              <w:rPr>
                <w:rFonts w:ascii="Arial Narrow" w:hAnsi="Arial Narrow"/>
                <w:sz w:val="20"/>
              </w:rPr>
              <w:t>Tx success</w:t>
            </w:r>
            <w:r w:rsidRPr="003B4D22">
              <w:rPr>
                <w:rFonts w:ascii="Arial Narrow" w:hAnsi="Arial Narrow"/>
                <w:sz w:val="20"/>
              </w:rPr>
              <w:br/>
              <w:t>patients with ANC &lt;0.5×10</w:t>
            </w:r>
            <w:r w:rsidRPr="003B4D22">
              <w:rPr>
                <w:rFonts w:ascii="Arial Narrow" w:hAnsi="Arial Narrow"/>
                <w:sz w:val="20"/>
                <w:vertAlign w:val="superscript"/>
              </w:rPr>
              <w:t>9</w:t>
            </w:r>
            <w:r w:rsidRPr="003B4D22">
              <w:rPr>
                <w:rFonts w:ascii="Arial Narrow" w:hAnsi="Arial Narrow"/>
                <w:sz w:val="20"/>
              </w:rPr>
              <w:t>/L</w:t>
            </w:r>
          </w:p>
        </w:tc>
        <w:tc>
          <w:tcPr>
            <w:tcW w:w="940" w:type="pct"/>
            <w:gridSpan w:val="2"/>
            <w:tcBorders>
              <w:top w:val="single" w:sz="4" w:space="0" w:color="auto"/>
              <w:left w:val="single" w:sz="4" w:space="0" w:color="auto"/>
              <w:bottom w:val="single" w:sz="4" w:space="0" w:color="auto"/>
              <w:right w:val="nil"/>
            </w:tcBorders>
            <w:shd w:val="clear" w:color="auto" w:fill="auto"/>
            <w:noWrap/>
          </w:tcPr>
          <w:p w14:paraId="35757E16" w14:textId="77777777" w:rsidR="00AE5BD5" w:rsidRPr="003B4D22" w:rsidRDefault="00AE5BD5" w:rsidP="00AE5BD5">
            <w:pPr>
              <w:spacing w:after="0" w:line="240" w:lineRule="auto"/>
              <w:jc w:val="right"/>
              <w:rPr>
                <w:rFonts w:ascii="Arial Narrow" w:hAnsi="Arial Narrow"/>
                <w:sz w:val="20"/>
              </w:rPr>
            </w:pPr>
            <w:r w:rsidRPr="003B4D22">
              <w:rPr>
                <w:rFonts w:ascii="Arial Narrow" w:hAnsi="Arial Narrow"/>
                <w:sz w:val="20"/>
              </w:rPr>
              <w:t>64.3%</w:t>
            </w:r>
          </w:p>
        </w:tc>
        <w:tc>
          <w:tcPr>
            <w:tcW w:w="1038" w:type="pct"/>
            <w:gridSpan w:val="2"/>
            <w:tcBorders>
              <w:top w:val="single" w:sz="4" w:space="0" w:color="auto"/>
              <w:left w:val="nil"/>
              <w:bottom w:val="single" w:sz="4" w:space="0" w:color="auto"/>
              <w:right w:val="nil"/>
            </w:tcBorders>
            <w:shd w:val="clear" w:color="auto" w:fill="auto"/>
            <w:noWrap/>
          </w:tcPr>
          <w:p w14:paraId="7772D86C" w14:textId="77777777" w:rsidR="00AE5BD5" w:rsidRPr="003B4D22" w:rsidRDefault="00AE5BD5" w:rsidP="00AE5BD5">
            <w:pPr>
              <w:spacing w:after="0" w:line="240" w:lineRule="auto"/>
              <w:jc w:val="right"/>
              <w:rPr>
                <w:rFonts w:ascii="Arial Narrow" w:hAnsi="Arial Narrow"/>
                <w:sz w:val="20"/>
              </w:rPr>
            </w:pPr>
            <w:r w:rsidRPr="003B4D22">
              <w:rPr>
                <w:rFonts w:ascii="Arial Narrow" w:hAnsi="Arial Narrow"/>
                <w:sz w:val="20"/>
              </w:rPr>
              <w:t>53.7%</w:t>
            </w:r>
          </w:p>
        </w:tc>
        <w:tc>
          <w:tcPr>
            <w:tcW w:w="666" w:type="pct"/>
            <w:tcBorders>
              <w:top w:val="single" w:sz="4" w:space="0" w:color="auto"/>
              <w:left w:val="nil"/>
              <w:bottom w:val="single" w:sz="4" w:space="0" w:color="auto"/>
              <w:right w:val="single" w:sz="4" w:space="0" w:color="auto"/>
            </w:tcBorders>
          </w:tcPr>
          <w:p w14:paraId="0BE59D8D"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rPr>
              <w:t>p=0.460</w:t>
            </w:r>
          </w:p>
        </w:tc>
      </w:tr>
      <w:tr w:rsidR="00AE5BD5" w:rsidRPr="00386411" w14:paraId="1171BCD5" w14:textId="77777777" w:rsidTr="00B52A4F">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2309C3" w14:textId="77777777" w:rsidR="00AE5BD5" w:rsidRPr="00386411" w:rsidRDefault="00AE5BD5" w:rsidP="00AE5BD5">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Molica et al., 1996</w:t>
            </w:r>
          </w:p>
        </w:tc>
        <w:tc>
          <w:tcPr>
            <w:tcW w:w="17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3A4D8F" w14:textId="597D103E" w:rsidR="00AE5BD5" w:rsidRPr="00386411" w:rsidRDefault="00AE5BD5" w:rsidP="00AE5BD5">
            <w:pPr>
              <w:spacing w:after="0" w:line="240" w:lineRule="auto"/>
              <w:rPr>
                <w:rFonts w:ascii="Arial Narrow" w:hAnsi="Arial Narrow" w:cs="Calibri"/>
                <w:b/>
                <w:color w:val="000000"/>
                <w:sz w:val="20"/>
                <w:szCs w:val="20"/>
              </w:rPr>
            </w:pPr>
            <w:r>
              <w:rPr>
                <w:rFonts w:ascii="Arial Narrow" w:hAnsi="Arial Narrow"/>
                <w:b/>
                <w:sz w:val="20"/>
                <w:szCs w:val="20"/>
              </w:rPr>
              <w:t xml:space="preserve">Type and site (N=42; </w:t>
            </w:r>
            <w:r w:rsidRPr="00386411">
              <w:rPr>
                <w:rFonts w:ascii="Arial Narrow" w:hAnsi="Arial Narrow"/>
                <w:b/>
                <w:sz w:val="20"/>
                <w:szCs w:val="20"/>
              </w:rPr>
              <w:t xml:space="preserve">crossover tx in 2 groups of </w:t>
            </w:r>
            <w:r>
              <w:rPr>
                <w:rFonts w:ascii="Arial Narrow" w:hAnsi="Arial Narrow"/>
                <w:b/>
                <w:sz w:val="20"/>
                <w:szCs w:val="20"/>
              </w:rPr>
              <w:t xml:space="preserve">randomised </w:t>
            </w:r>
            <w:r w:rsidRPr="00386411">
              <w:rPr>
                <w:rFonts w:ascii="Arial Narrow" w:hAnsi="Arial Narrow"/>
                <w:b/>
                <w:sz w:val="20"/>
                <w:szCs w:val="20"/>
              </w:rPr>
              <w:t>n=21)</w:t>
            </w:r>
          </w:p>
        </w:tc>
        <w:tc>
          <w:tcPr>
            <w:tcW w:w="940" w:type="pct"/>
            <w:gridSpan w:val="2"/>
            <w:tcBorders>
              <w:top w:val="single" w:sz="4" w:space="0" w:color="auto"/>
              <w:left w:val="single" w:sz="4" w:space="0" w:color="auto"/>
              <w:bottom w:val="single" w:sz="4" w:space="0" w:color="auto"/>
              <w:right w:val="nil"/>
            </w:tcBorders>
            <w:shd w:val="clear" w:color="auto" w:fill="D9D9D9" w:themeFill="background1" w:themeFillShade="D9"/>
            <w:noWrap/>
          </w:tcPr>
          <w:p w14:paraId="63BE7157" w14:textId="21998D23" w:rsidR="00AE5BD5" w:rsidRPr="00386411" w:rsidRDefault="00AE5BD5" w:rsidP="00AE5BD5">
            <w:pPr>
              <w:spacing w:after="0" w:line="240" w:lineRule="auto"/>
              <w:jc w:val="right"/>
              <w:rPr>
                <w:rFonts w:ascii="Arial Narrow" w:hAnsi="Arial Narrow" w:cs="Calibri"/>
                <w:b/>
                <w:color w:val="000000"/>
                <w:sz w:val="20"/>
                <w:szCs w:val="20"/>
              </w:rPr>
            </w:pPr>
            <w:r w:rsidRPr="00386411">
              <w:rPr>
                <w:rFonts w:ascii="Arial Narrow" w:hAnsi="Arial Narrow"/>
                <w:b/>
                <w:sz w:val="20"/>
                <w:szCs w:val="20"/>
              </w:rPr>
              <w:t>IVIg therapy phase (N=42</w:t>
            </w:r>
            <w:r>
              <w:rPr>
                <w:rFonts w:ascii="Arial Narrow" w:hAnsi="Arial Narrow"/>
                <w:b/>
                <w:sz w:val="20"/>
                <w:szCs w:val="20"/>
              </w:rPr>
              <w:t>)</w:t>
            </w:r>
          </w:p>
        </w:tc>
        <w:tc>
          <w:tcPr>
            <w:tcW w:w="1038" w:type="pct"/>
            <w:gridSpan w:val="2"/>
            <w:tcBorders>
              <w:top w:val="single" w:sz="4" w:space="0" w:color="auto"/>
              <w:left w:val="nil"/>
              <w:bottom w:val="single" w:sz="4" w:space="0" w:color="auto"/>
              <w:right w:val="nil"/>
            </w:tcBorders>
            <w:shd w:val="clear" w:color="auto" w:fill="D9D9D9" w:themeFill="background1" w:themeFillShade="D9"/>
            <w:noWrap/>
          </w:tcPr>
          <w:p w14:paraId="1C0F0354" w14:textId="47F1B23E" w:rsidR="00AE5BD5" w:rsidRPr="00386411" w:rsidRDefault="00AE5BD5" w:rsidP="00AE5BD5">
            <w:pPr>
              <w:spacing w:after="0" w:line="240" w:lineRule="auto"/>
              <w:jc w:val="right"/>
              <w:rPr>
                <w:rFonts w:ascii="Arial Narrow" w:hAnsi="Arial Narrow" w:cs="Calibri"/>
                <w:b/>
                <w:color w:val="000000"/>
                <w:sz w:val="20"/>
                <w:szCs w:val="20"/>
              </w:rPr>
            </w:pPr>
            <w:r w:rsidRPr="00386411">
              <w:rPr>
                <w:rFonts w:ascii="Arial Narrow" w:hAnsi="Arial Narrow"/>
                <w:b/>
                <w:sz w:val="20"/>
                <w:szCs w:val="20"/>
              </w:rPr>
              <w:t>Empirical phase (N=42)</w:t>
            </w:r>
          </w:p>
        </w:tc>
        <w:tc>
          <w:tcPr>
            <w:tcW w:w="666" w:type="pct"/>
            <w:tcBorders>
              <w:top w:val="single" w:sz="4" w:space="0" w:color="auto"/>
              <w:left w:val="nil"/>
              <w:bottom w:val="single" w:sz="4" w:space="0" w:color="auto"/>
              <w:right w:val="single" w:sz="4" w:space="0" w:color="auto"/>
            </w:tcBorders>
            <w:shd w:val="clear" w:color="auto" w:fill="D9D9D9" w:themeFill="background1" w:themeFillShade="D9"/>
          </w:tcPr>
          <w:p w14:paraId="06FF7680" w14:textId="77777777" w:rsidR="00AE5BD5" w:rsidRPr="00386411" w:rsidRDefault="00AE5BD5" w:rsidP="00AE5BD5">
            <w:pPr>
              <w:spacing w:after="0" w:line="240" w:lineRule="auto"/>
              <w:jc w:val="right"/>
              <w:rPr>
                <w:rFonts w:ascii="Arial Narrow" w:hAnsi="Arial Narrow" w:cs="Calibri"/>
                <w:b/>
                <w:color w:val="000000"/>
                <w:sz w:val="20"/>
                <w:szCs w:val="20"/>
              </w:rPr>
            </w:pPr>
          </w:p>
        </w:tc>
      </w:tr>
      <w:tr w:rsidR="00AE5BD5" w:rsidRPr="00386411" w14:paraId="0F67411F" w14:textId="77777777" w:rsidTr="003735E3">
        <w:tc>
          <w:tcPr>
            <w:tcW w:w="650" w:type="pct"/>
            <w:tcBorders>
              <w:top w:val="single" w:sz="4" w:space="0" w:color="auto"/>
              <w:left w:val="single" w:sz="4" w:space="0" w:color="auto"/>
              <w:bottom w:val="nil"/>
              <w:right w:val="single" w:sz="4" w:space="0" w:color="auto"/>
            </w:tcBorders>
            <w:vAlign w:val="bottom"/>
          </w:tcPr>
          <w:p w14:paraId="5365F0EC" w14:textId="77777777" w:rsidR="00AE5BD5" w:rsidRPr="00386411" w:rsidRDefault="00AE5BD5" w:rsidP="00AE5BD5">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CLL</w:t>
            </w:r>
          </w:p>
        </w:tc>
        <w:tc>
          <w:tcPr>
            <w:tcW w:w="1706" w:type="pct"/>
            <w:tcBorders>
              <w:top w:val="single" w:sz="4" w:space="0" w:color="auto"/>
              <w:left w:val="single" w:sz="4" w:space="0" w:color="auto"/>
              <w:bottom w:val="nil"/>
              <w:right w:val="single" w:sz="4" w:space="0" w:color="auto"/>
            </w:tcBorders>
          </w:tcPr>
          <w:p w14:paraId="08D87AC2" w14:textId="77777777" w:rsidR="00AE5BD5" w:rsidRPr="00386411" w:rsidRDefault="00AE5BD5" w:rsidP="00AE5BD5">
            <w:pPr>
              <w:spacing w:after="0" w:line="240" w:lineRule="auto"/>
              <w:rPr>
                <w:rFonts w:ascii="Arial Narrow" w:hAnsi="Arial Narrow" w:cs="Calibri"/>
                <w:b/>
                <w:color w:val="000000"/>
                <w:sz w:val="20"/>
                <w:szCs w:val="20"/>
              </w:rPr>
            </w:pPr>
            <w:r w:rsidRPr="00386411">
              <w:rPr>
                <w:rFonts w:ascii="Arial Narrow" w:hAnsi="Arial Narrow"/>
                <w:b/>
                <w:sz w:val="20"/>
                <w:szCs w:val="20"/>
              </w:rPr>
              <w:t>Major infections</w:t>
            </w:r>
          </w:p>
        </w:tc>
        <w:tc>
          <w:tcPr>
            <w:tcW w:w="940" w:type="pct"/>
            <w:gridSpan w:val="2"/>
            <w:tcBorders>
              <w:top w:val="single" w:sz="4" w:space="0" w:color="auto"/>
              <w:left w:val="single" w:sz="4" w:space="0" w:color="auto"/>
              <w:bottom w:val="nil"/>
              <w:right w:val="nil"/>
            </w:tcBorders>
            <w:shd w:val="clear" w:color="auto" w:fill="auto"/>
            <w:noWrap/>
          </w:tcPr>
          <w:p w14:paraId="73EA22F7" w14:textId="77777777" w:rsidR="00AE5BD5" w:rsidRPr="00386411" w:rsidRDefault="00AE5BD5" w:rsidP="00AE5BD5">
            <w:pPr>
              <w:spacing w:after="0" w:line="240" w:lineRule="auto"/>
              <w:jc w:val="right"/>
              <w:rPr>
                <w:rFonts w:ascii="Arial Narrow" w:hAnsi="Arial Narrow" w:cs="Calibri"/>
                <w:b/>
                <w:color w:val="000000"/>
                <w:sz w:val="20"/>
                <w:szCs w:val="20"/>
              </w:rPr>
            </w:pPr>
          </w:p>
        </w:tc>
        <w:tc>
          <w:tcPr>
            <w:tcW w:w="1038" w:type="pct"/>
            <w:gridSpan w:val="2"/>
            <w:tcBorders>
              <w:top w:val="single" w:sz="4" w:space="0" w:color="auto"/>
              <w:left w:val="nil"/>
              <w:bottom w:val="nil"/>
              <w:right w:val="nil"/>
            </w:tcBorders>
            <w:shd w:val="clear" w:color="auto" w:fill="auto"/>
            <w:noWrap/>
          </w:tcPr>
          <w:p w14:paraId="784C4A4C" w14:textId="77777777" w:rsidR="00AE5BD5" w:rsidRPr="00386411" w:rsidRDefault="00AE5BD5" w:rsidP="00AE5BD5">
            <w:pPr>
              <w:spacing w:after="0" w:line="240" w:lineRule="auto"/>
              <w:jc w:val="right"/>
              <w:rPr>
                <w:rFonts w:ascii="Arial Narrow" w:hAnsi="Arial Narrow" w:cs="Calibri"/>
                <w:b/>
                <w:color w:val="000000"/>
                <w:sz w:val="20"/>
                <w:szCs w:val="20"/>
              </w:rPr>
            </w:pPr>
          </w:p>
        </w:tc>
        <w:tc>
          <w:tcPr>
            <w:tcW w:w="666" w:type="pct"/>
            <w:tcBorders>
              <w:top w:val="single" w:sz="4" w:space="0" w:color="auto"/>
              <w:left w:val="nil"/>
              <w:bottom w:val="nil"/>
              <w:right w:val="single" w:sz="4" w:space="0" w:color="auto"/>
            </w:tcBorders>
          </w:tcPr>
          <w:p w14:paraId="21CB4D75" w14:textId="77777777" w:rsidR="00AE5BD5" w:rsidRPr="00386411" w:rsidRDefault="00AE5BD5" w:rsidP="00AE5BD5">
            <w:pPr>
              <w:spacing w:after="0" w:line="240" w:lineRule="auto"/>
              <w:jc w:val="right"/>
              <w:rPr>
                <w:rFonts w:ascii="Arial Narrow" w:hAnsi="Arial Narrow" w:cs="Calibri"/>
                <w:b/>
                <w:color w:val="000000"/>
                <w:sz w:val="20"/>
                <w:szCs w:val="20"/>
              </w:rPr>
            </w:pPr>
          </w:p>
        </w:tc>
      </w:tr>
      <w:tr w:rsidR="00AE5BD5" w:rsidRPr="003B4D22" w14:paraId="757BBDC7" w14:textId="77777777" w:rsidTr="003735E3">
        <w:tc>
          <w:tcPr>
            <w:tcW w:w="650" w:type="pct"/>
            <w:tcBorders>
              <w:top w:val="nil"/>
              <w:left w:val="single" w:sz="4" w:space="0" w:color="auto"/>
              <w:bottom w:val="nil"/>
              <w:right w:val="single" w:sz="4" w:space="0" w:color="auto"/>
            </w:tcBorders>
            <w:vAlign w:val="bottom"/>
          </w:tcPr>
          <w:p w14:paraId="0739FDE9"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tcPr>
          <w:p w14:paraId="56CE773C" w14:textId="77777777" w:rsidR="00AE5BD5" w:rsidRPr="003B4D22" w:rsidRDefault="00AE5BD5" w:rsidP="00331FB9">
            <w:pPr>
              <w:pStyle w:val="ListParagraph"/>
              <w:numPr>
                <w:ilvl w:val="0"/>
                <w:numId w:val="16"/>
              </w:numPr>
              <w:spacing w:after="0" w:line="240" w:lineRule="auto"/>
              <w:ind w:left="322" w:hanging="257"/>
              <w:rPr>
                <w:rFonts w:ascii="Arial Narrow" w:hAnsi="Arial Narrow" w:cs="Calibri"/>
                <w:color w:val="000000"/>
                <w:sz w:val="20"/>
                <w:szCs w:val="20"/>
              </w:rPr>
            </w:pPr>
            <w:r w:rsidRPr="003B4D22">
              <w:rPr>
                <w:rFonts w:ascii="Arial Narrow" w:hAnsi="Arial Narrow"/>
                <w:sz w:val="20"/>
                <w:szCs w:val="20"/>
              </w:rPr>
              <w:t xml:space="preserve">Sepsis </w:t>
            </w:r>
          </w:p>
        </w:tc>
        <w:tc>
          <w:tcPr>
            <w:tcW w:w="940" w:type="pct"/>
            <w:gridSpan w:val="2"/>
            <w:tcBorders>
              <w:top w:val="nil"/>
              <w:left w:val="single" w:sz="4" w:space="0" w:color="auto"/>
              <w:bottom w:val="nil"/>
              <w:right w:val="nil"/>
            </w:tcBorders>
            <w:shd w:val="clear" w:color="auto" w:fill="auto"/>
            <w:noWrap/>
          </w:tcPr>
          <w:p w14:paraId="49C11D5A"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szCs w:val="20"/>
              </w:rPr>
              <w:t>2</w:t>
            </w:r>
          </w:p>
        </w:tc>
        <w:tc>
          <w:tcPr>
            <w:tcW w:w="1038" w:type="pct"/>
            <w:gridSpan w:val="2"/>
            <w:tcBorders>
              <w:top w:val="nil"/>
              <w:left w:val="nil"/>
              <w:bottom w:val="nil"/>
              <w:right w:val="nil"/>
            </w:tcBorders>
            <w:shd w:val="clear" w:color="auto" w:fill="auto"/>
            <w:noWrap/>
          </w:tcPr>
          <w:p w14:paraId="108FD665"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szCs w:val="20"/>
              </w:rPr>
              <w:t>1</w:t>
            </w:r>
          </w:p>
        </w:tc>
        <w:tc>
          <w:tcPr>
            <w:tcW w:w="666" w:type="pct"/>
            <w:tcBorders>
              <w:top w:val="nil"/>
              <w:left w:val="nil"/>
              <w:bottom w:val="nil"/>
              <w:right w:val="single" w:sz="4" w:space="0" w:color="auto"/>
            </w:tcBorders>
          </w:tcPr>
          <w:p w14:paraId="7920AC37" w14:textId="77777777" w:rsidR="00AE5BD5" w:rsidRPr="003B4D22" w:rsidRDefault="00AE5BD5" w:rsidP="00AE5BD5">
            <w:pPr>
              <w:spacing w:after="0" w:line="240" w:lineRule="auto"/>
              <w:jc w:val="right"/>
              <w:rPr>
                <w:rFonts w:ascii="Arial Narrow" w:hAnsi="Arial Narrow" w:cs="Calibri"/>
                <w:color w:val="000000"/>
                <w:sz w:val="20"/>
                <w:szCs w:val="20"/>
              </w:rPr>
            </w:pPr>
          </w:p>
        </w:tc>
      </w:tr>
      <w:tr w:rsidR="00AE5BD5" w:rsidRPr="003B4D22" w14:paraId="1A116AB2" w14:textId="77777777" w:rsidTr="003735E3">
        <w:tc>
          <w:tcPr>
            <w:tcW w:w="650" w:type="pct"/>
            <w:tcBorders>
              <w:top w:val="nil"/>
              <w:left w:val="single" w:sz="4" w:space="0" w:color="auto"/>
              <w:bottom w:val="nil"/>
              <w:right w:val="single" w:sz="4" w:space="0" w:color="auto"/>
            </w:tcBorders>
            <w:vAlign w:val="bottom"/>
          </w:tcPr>
          <w:p w14:paraId="272C689D"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tcPr>
          <w:p w14:paraId="6DB62979" w14:textId="77777777" w:rsidR="00AE5BD5" w:rsidRPr="003B4D22" w:rsidRDefault="00AE5BD5" w:rsidP="00331FB9">
            <w:pPr>
              <w:pStyle w:val="ListParagraph"/>
              <w:numPr>
                <w:ilvl w:val="0"/>
                <w:numId w:val="16"/>
              </w:numPr>
              <w:spacing w:after="0" w:line="240" w:lineRule="auto"/>
              <w:ind w:left="322" w:hanging="257"/>
              <w:rPr>
                <w:rFonts w:ascii="Arial Narrow" w:hAnsi="Arial Narrow" w:cs="Calibri"/>
                <w:color w:val="000000"/>
                <w:sz w:val="20"/>
                <w:szCs w:val="20"/>
              </w:rPr>
            </w:pPr>
            <w:r w:rsidRPr="003B4D22">
              <w:rPr>
                <w:rFonts w:ascii="Arial Narrow" w:hAnsi="Arial Narrow"/>
                <w:sz w:val="20"/>
                <w:szCs w:val="20"/>
              </w:rPr>
              <w:t>Bacterial pneumonia</w:t>
            </w:r>
          </w:p>
        </w:tc>
        <w:tc>
          <w:tcPr>
            <w:tcW w:w="940" w:type="pct"/>
            <w:gridSpan w:val="2"/>
            <w:tcBorders>
              <w:top w:val="nil"/>
              <w:left w:val="single" w:sz="4" w:space="0" w:color="auto"/>
              <w:bottom w:val="nil"/>
              <w:right w:val="nil"/>
            </w:tcBorders>
            <w:shd w:val="clear" w:color="auto" w:fill="auto"/>
            <w:noWrap/>
          </w:tcPr>
          <w:p w14:paraId="0061EA04"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szCs w:val="20"/>
              </w:rPr>
              <w:t>3</w:t>
            </w:r>
          </w:p>
        </w:tc>
        <w:tc>
          <w:tcPr>
            <w:tcW w:w="1038" w:type="pct"/>
            <w:gridSpan w:val="2"/>
            <w:tcBorders>
              <w:top w:val="nil"/>
              <w:left w:val="nil"/>
              <w:bottom w:val="nil"/>
              <w:right w:val="nil"/>
            </w:tcBorders>
            <w:shd w:val="clear" w:color="auto" w:fill="auto"/>
            <w:noWrap/>
          </w:tcPr>
          <w:p w14:paraId="475B5406"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szCs w:val="20"/>
              </w:rPr>
              <w:t>5</w:t>
            </w:r>
          </w:p>
        </w:tc>
        <w:tc>
          <w:tcPr>
            <w:tcW w:w="666" w:type="pct"/>
            <w:tcBorders>
              <w:top w:val="nil"/>
              <w:left w:val="nil"/>
              <w:bottom w:val="nil"/>
              <w:right w:val="single" w:sz="4" w:space="0" w:color="auto"/>
            </w:tcBorders>
          </w:tcPr>
          <w:p w14:paraId="15B34958" w14:textId="77777777" w:rsidR="00AE5BD5" w:rsidRPr="003B4D22" w:rsidRDefault="00AE5BD5" w:rsidP="00AE5BD5">
            <w:pPr>
              <w:spacing w:after="0" w:line="240" w:lineRule="auto"/>
              <w:jc w:val="right"/>
              <w:rPr>
                <w:rFonts w:ascii="Arial Narrow" w:hAnsi="Arial Narrow" w:cs="Calibri"/>
                <w:color w:val="000000"/>
                <w:sz w:val="20"/>
                <w:szCs w:val="20"/>
              </w:rPr>
            </w:pPr>
          </w:p>
        </w:tc>
      </w:tr>
      <w:tr w:rsidR="00AE5BD5" w:rsidRPr="003B4D22" w14:paraId="640B6003" w14:textId="77777777" w:rsidTr="003735E3">
        <w:tc>
          <w:tcPr>
            <w:tcW w:w="650" w:type="pct"/>
            <w:tcBorders>
              <w:top w:val="nil"/>
              <w:left w:val="single" w:sz="4" w:space="0" w:color="auto"/>
              <w:bottom w:val="nil"/>
              <w:right w:val="single" w:sz="4" w:space="0" w:color="auto"/>
            </w:tcBorders>
            <w:vAlign w:val="bottom"/>
          </w:tcPr>
          <w:p w14:paraId="2936EB35"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tcPr>
          <w:p w14:paraId="3AEA211A" w14:textId="77777777" w:rsidR="00AE5BD5" w:rsidRPr="003B4D22" w:rsidRDefault="00AE5BD5" w:rsidP="00331FB9">
            <w:pPr>
              <w:pStyle w:val="ListParagraph"/>
              <w:numPr>
                <w:ilvl w:val="0"/>
                <w:numId w:val="16"/>
              </w:numPr>
              <w:spacing w:after="0" w:line="240" w:lineRule="auto"/>
              <w:ind w:left="322" w:hanging="257"/>
              <w:rPr>
                <w:rFonts w:ascii="Arial Narrow" w:hAnsi="Arial Narrow" w:cs="Calibri"/>
                <w:color w:val="000000"/>
                <w:sz w:val="20"/>
                <w:szCs w:val="20"/>
              </w:rPr>
            </w:pPr>
            <w:r w:rsidRPr="003B4D22">
              <w:rPr>
                <w:rFonts w:ascii="Arial Narrow" w:hAnsi="Arial Narrow"/>
                <w:sz w:val="20"/>
                <w:szCs w:val="20"/>
              </w:rPr>
              <w:t>Peritonitis</w:t>
            </w:r>
          </w:p>
        </w:tc>
        <w:tc>
          <w:tcPr>
            <w:tcW w:w="940" w:type="pct"/>
            <w:gridSpan w:val="2"/>
            <w:tcBorders>
              <w:top w:val="nil"/>
              <w:left w:val="single" w:sz="4" w:space="0" w:color="auto"/>
              <w:bottom w:val="nil"/>
              <w:right w:val="nil"/>
            </w:tcBorders>
            <w:shd w:val="clear" w:color="auto" w:fill="auto"/>
            <w:noWrap/>
          </w:tcPr>
          <w:p w14:paraId="4304BBE9"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szCs w:val="20"/>
              </w:rPr>
              <w:t>0</w:t>
            </w:r>
          </w:p>
        </w:tc>
        <w:tc>
          <w:tcPr>
            <w:tcW w:w="1038" w:type="pct"/>
            <w:gridSpan w:val="2"/>
            <w:tcBorders>
              <w:top w:val="nil"/>
              <w:left w:val="nil"/>
              <w:bottom w:val="nil"/>
              <w:right w:val="nil"/>
            </w:tcBorders>
            <w:shd w:val="clear" w:color="auto" w:fill="auto"/>
            <w:noWrap/>
          </w:tcPr>
          <w:p w14:paraId="27A9AED7"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szCs w:val="20"/>
              </w:rPr>
              <w:t>1</w:t>
            </w:r>
          </w:p>
        </w:tc>
        <w:tc>
          <w:tcPr>
            <w:tcW w:w="666" w:type="pct"/>
            <w:tcBorders>
              <w:top w:val="nil"/>
              <w:left w:val="nil"/>
              <w:bottom w:val="nil"/>
              <w:right w:val="single" w:sz="4" w:space="0" w:color="auto"/>
            </w:tcBorders>
          </w:tcPr>
          <w:p w14:paraId="33A535BD" w14:textId="77777777" w:rsidR="00AE5BD5" w:rsidRPr="003B4D22" w:rsidRDefault="00AE5BD5" w:rsidP="00AE5BD5">
            <w:pPr>
              <w:spacing w:after="0" w:line="240" w:lineRule="auto"/>
              <w:jc w:val="right"/>
              <w:rPr>
                <w:rFonts w:ascii="Arial Narrow" w:hAnsi="Arial Narrow" w:cs="Calibri"/>
                <w:color w:val="000000"/>
                <w:sz w:val="20"/>
                <w:szCs w:val="20"/>
              </w:rPr>
            </w:pPr>
          </w:p>
        </w:tc>
      </w:tr>
      <w:tr w:rsidR="00AE5BD5" w:rsidRPr="003B4D22" w14:paraId="12D19DF2" w14:textId="77777777" w:rsidTr="003735E3">
        <w:tc>
          <w:tcPr>
            <w:tcW w:w="650" w:type="pct"/>
            <w:tcBorders>
              <w:top w:val="nil"/>
              <w:left w:val="single" w:sz="4" w:space="0" w:color="auto"/>
              <w:bottom w:val="nil"/>
              <w:right w:val="single" w:sz="4" w:space="0" w:color="auto"/>
            </w:tcBorders>
            <w:vAlign w:val="bottom"/>
          </w:tcPr>
          <w:p w14:paraId="236F3074"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tcPr>
          <w:p w14:paraId="7BA2920D" w14:textId="77777777" w:rsidR="00AE5BD5" w:rsidRPr="003B4D22" w:rsidRDefault="00AE5BD5" w:rsidP="00331FB9">
            <w:pPr>
              <w:pStyle w:val="ListParagraph"/>
              <w:numPr>
                <w:ilvl w:val="0"/>
                <w:numId w:val="16"/>
              </w:numPr>
              <w:spacing w:after="0" w:line="240" w:lineRule="auto"/>
              <w:ind w:left="322" w:hanging="257"/>
              <w:rPr>
                <w:rFonts w:ascii="Arial Narrow" w:hAnsi="Arial Narrow" w:cs="Calibri"/>
                <w:color w:val="000000"/>
                <w:sz w:val="20"/>
                <w:szCs w:val="20"/>
              </w:rPr>
            </w:pPr>
            <w:r w:rsidRPr="003B4D22">
              <w:rPr>
                <w:rFonts w:ascii="Arial Narrow" w:hAnsi="Arial Narrow"/>
                <w:sz w:val="20"/>
                <w:szCs w:val="20"/>
              </w:rPr>
              <w:t>Mycotic pneumonia</w:t>
            </w:r>
          </w:p>
        </w:tc>
        <w:tc>
          <w:tcPr>
            <w:tcW w:w="940" w:type="pct"/>
            <w:gridSpan w:val="2"/>
            <w:tcBorders>
              <w:top w:val="nil"/>
              <w:left w:val="single" w:sz="4" w:space="0" w:color="auto"/>
              <w:bottom w:val="nil"/>
              <w:right w:val="nil"/>
            </w:tcBorders>
            <w:shd w:val="clear" w:color="auto" w:fill="auto"/>
            <w:noWrap/>
          </w:tcPr>
          <w:p w14:paraId="26C9FA9B"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szCs w:val="20"/>
              </w:rPr>
              <w:t>0</w:t>
            </w:r>
          </w:p>
        </w:tc>
        <w:tc>
          <w:tcPr>
            <w:tcW w:w="1038" w:type="pct"/>
            <w:gridSpan w:val="2"/>
            <w:tcBorders>
              <w:top w:val="nil"/>
              <w:left w:val="nil"/>
              <w:bottom w:val="nil"/>
              <w:right w:val="nil"/>
            </w:tcBorders>
            <w:shd w:val="clear" w:color="auto" w:fill="auto"/>
            <w:noWrap/>
          </w:tcPr>
          <w:p w14:paraId="2D9FC5C8"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szCs w:val="20"/>
              </w:rPr>
              <w:t>1</w:t>
            </w:r>
          </w:p>
        </w:tc>
        <w:tc>
          <w:tcPr>
            <w:tcW w:w="666" w:type="pct"/>
            <w:tcBorders>
              <w:top w:val="nil"/>
              <w:left w:val="nil"/>
              <w:bottom w:val="nil"/>
              <w:right w:val="single" w:sz="4" w:space="0" w:color="auto"/>
            </w:tcBorders>
          </w:tcPr>
          <w:p w14:paraId="65734958" w14:textId="77777777" w:rsidR="00AE5BD5" w:rsidRPr="003B4D22" w:rsidRDefault="00AE5BD5" w:rsidP="00AE5BD5">
            <w:pPr>
              <w:spacing w:after="0" w:line="240" w:lineRule="auto"/>
              <w:jc w:val="right"/>
              <w:rPr>
                <w:rFonts w:ascii="Arial Narrow" w:hAnsi="Arial Narrow" w:cs="Calibri"/>
                <w:color w:val="000000"/>
                <w:sz w:val="20"/>
                <w:szCs w:val="20"/>
              </w:rPr>
            </w:pPr>
          </w:p>
        </w:tc>
      </w:tr>
      <w:tr w:rsidR="00AE5BD5" w:rsidRPr="003B4D22" w14:paraId="66CC7D50" w14:textId="77777777" w:rsidTr="003735E3">
        <w:tc>
          <w:tcPr>
            <w:tcW w:w="650" w:type="pct"/>
            <w:tcBorders>
              <w:top w:val="nil"/>
              <w:left w:val="single" w:sz="4" w:space="0" w:color="auto"/>
              <w:bottom w:val="nil"/>
              <w:right w:val="single" w:sz="4" w:space="0" w:color="auto"/>
            </w:tcBorders>
            <w:vAlign w:val="bottom"/>
          </w:tcPr>
          <w:p w14:paraId="0EA512C0"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tcPr>
          <w:p w14:paraId="6DCD0E50" w14:textId="77777777" w:rsidR="00AE5BD5" w:rsidRPr="003B4D22" w:rsidRDefault="00AE5BD5" w:rsidP="00331FB9">
            <w:pPr>
              <w:pStyle w:val="ListParagraph"/>
              <w:numPr>
                <w:ilvl w:val="0"/>
                <w:numId w:val="16"/>
              </w:numPr>
              <w:spacing w:after="0" w:line="240" w:lineRule="auto"/>
              <w:ind w:left="322" w:hanging="257"/>
              <w:rPr>
                <w:rFonts w:ascii="Arial Narrow" w:hAnsi="Arial Narrow" w:cs="Calibri"/>
                <w:color w:val="000000"/>
                <w:sz w:val="20"/>
                <w:szCs w:val="20"/>
              </w:rPr>
            </w:pPr>
            <w:r w:rsidRPr="003B4D22">
              <w:rPr>
                <w:rFonts w:ascii="Arial Narrow" w:hAnsi="Arial Narrow"/>
                <w:sz w:val="20"/>
                <w:szCs w:val="20"/>
              </w:rPr>
              <w:t>Varicella</w:t>
            </w:r>
          </w:p>
        </w:tc>
        <w:tc>
          <w:tcPr>
            <w:tcW w:w="940" w:type="pct"/>
            <w:gridSpan w:val="2"/>
            <w:tcBorders>
              <w:top w:val="nil"/>
              <w:left w:val="single" w:sz="4" w:space="0" w:color="auto"/>
              <w:bottom w:val="nil"/>
              <w:right w:val="nil"/>
            </w:tcBorders>
            <w:shd w:val="clear" w:color="auto" w:fill="auto"/>
            <w:noWrap/>
          </w:tcPr>
          <w:p w14:paraId="6EAB0699"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szCs w:val="20"/>
              </w:rPr>
              <w:t>0</w:t>
            </w:r>
          </w:p>
        </w:tc>
        <w:tc>
          <w:tcPr>
            <w:tcW w:w="1038" w:type="pct"/>
            <w:gridSpan w:val="2"/>
            <w:tcBorders>
              <w:top w:val="nil"/>
              <w:left w:val="nil"/>
              <w:bottom w:val="nil"/>
              <w:right w:val="nil"/>
            </w:tcBorders>
            <w:shd w:val="clear" w:color="auto" w:fill="auto"/>
            <w:noWrap/>
          </w:tcPr>
          <w:p w14:paraId="32291F62"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szCs w:val="20"/>
              </w:rPr>
              <w:t>1</w:t>
            </w:r>
          </w:p>
        </w:tc>
        <w:tc>
          <w:tcPr>
            <w:tcW w:w="666" w:type="pct"/>
            <w:tcBorders>
              <w:top w:val="nil"/>
              <w:left w:val="nil"/>
              <w:bottom w:val="nil"/>
              <w:right w:val="single" w:sz="4" w:space="0" w:color="auto"/>
            </w:tcBorders>
          </w:tcPr>
          <w:p w14:paraId="6EA5B98E" w14:textId="77777777" w:rsidR="00AE5BD5" w:rsidRPr="003B4D22" w:rsidRDefault="00AE5BD5" w:rsidP="00AE5BD5">
            <w:pPr>
              <w:spacing w:after="0" w:line="240" w:lineRule="auto"/>
              <w:jc w:val="right"/>
              <w:rPr>
                <w:rFonts w:ascii="Arial Narrow" w:hAnsi="Arial Narrow" w:cs="Calibri"/>
                <w:color w:val="000000"/>
                <w:sz w:val="20"/>
                <w:szCs w:val="20"/>
              </w:rPr>
            </w:pPr>
          </w:p>
        </w:tc>
      </w:tr>
      <w:tr w:rsidR="00AE5BD5" w:rsidRPr="003B4D22" w14:paraId="167F1EF2" w14:textId="77777777" w:rsidTr="003735E3">
        <w:tc>
          <w:tcPr>
            <w:tcW w:w="650" w:type="pct"/>
            <w:tcBorders>
              <w:top w:val="nil"/>
              <w:left w:val="single" w:sz="4" w:space="0" w:color="auto"/>
              <w:bottom w:val="nil"/>
              <w:right w:val="single" w:sz="4" w:space="0" w:color="auto"/>
            </w:tcBorders>
            <w:vAlign w:val="bottom"/>
          </w:tcPr>
          <w:p w14:paraId="4DF0424C" w14:textId="77777777" w:rsidR="00AE5BD5" w:rsidRPr="003B4D22" w:rsidRDefault="00AE5BD5" w:rsidP="00AE5BD5">
            <w:pPr>
              <w:spacing w:after="0" w:line="240" w:lineRule="auto"/>
              <w:rPr>
                <w:rFonts w:ascii="Arial Narrow" w:hAnsi="Arial Narrow" w:cs="Calibri"/>
                <w:i/>
                <w:color w:val="000000"/>
                <w:sz w:val="20"/>
                <w:szCs w:val="20"/>
              </w:rPr>
            </w:pPr>
          </w:p>
        </w:tc>
        <w:tc>
          <w:tcPr>
            <w:tcW w:w="1706" w:type="pct"/>
            <w:tcBorders>
              <w:top w:val="nil"/>
              <w:left w:val="single" w:sz="4" w:space="0" w:color="auto"/>
              <w:bottom w:val="single" w:sz="4" w:space="0" w:color="auto"/>
              <w:right w:val="single" w:sz="4" w:space="0" w:color="auto"/>
            </w:tcBorders>
          </w:tcPr>
          <w:p w14:paraId="152C4E74" w14:textId="77777777" w:rsidR="00AE5BD5" w:rsidRPr="001F160B" w:rsidRDefault="00AE5BD5" w:rsidP="00AE5BD5">
            <w:pPr>
              <w:spacing w:after="0" w:line="240" w:lineRule="auto"/>
              <w:ind w:left="65"/>
              <w:rPr>
                <w:rFonts w:ascii="Arial Narrow" w:hAnsi="Arial Narrow"/>
                <w:b/>
                <w:i/>
                <w:sz w:val="20"/>
                <w:szCs w:val="20"/>
              </w:rPr>
            </w:pPr>
            <w:r w:rsidRPr="001F160B">
              <w:rPr>
                <w:rFonts w:ascii="Arial Narrow" w:hAnsi="Arial Narrow"/>
                <w:b/>
                <w:i/>
                <w:sz w:val="20"/>
                <w:szCs w:val="20"/>
              </w:rPr>
              <w:t>Total major infections</w:t>
            </w:r>
          </w:p>
        </w:tc>
        <w:tc>
          <w:tcPr>
            <w:tcW w:w="940" w:type="pct"/>
            <w:gridSpan w:val="2"/>
            <w:tcBorders>
              <w:top w:val="nil"/>
              <w:left w:val="single" w:sz="4" w:space="0" w:color="auto"/>
              <w:bottom w:val="single" w:sz="4" w:space="0" w:color="auto"/>
              <w:right w:val="nil"/>
            </w:tcBorders>
            <w:shd w:val="clear" w:color="auto" w:fill="auto"/>
            <w:noWrap/>
          </w:tcPr>
          <w:p w14:paraId="5FCA80BF" w14:textId="77777777" w:rsidR="00AE5BD5" w:rsidRPr="001F160B" w:rsidRDefault="00AE5BD5" w:rsidP="00AE5BD5">
            <w:pPr>
              <w:spacing w:after="0" w:line="240" w:lineRule="auto"/>
              <w:jc w:val="right"/>
              <w:rPr>
                <w:rFonts w:ascii="Arial Narrow" w:hAnsi="Arial Narrow"/>
                <w:b/>
                <w:i/>
                <w:sz w:val="20"/>
                <w:szCs w:val="20"/>
              </w:rPr>
            </w:pPr>
            <w:r w:rsidRPr="001F160B">
              <w:rPr>
                <w:rFonts w:ascii="Arial Narrow" w:hAnsi="Arial Narrow"/>
                <w:b/>
                <w:i/>
                <w:sz w:val="20"/>
                <w:szCs w:val="20"/>
              </w:rPr>
              <w:t>5</w:t>
            </w:r>
          </w:p>
        </w:tc>
        <w:tc>
          <w:tcPr>
            <w:tcW w:w="1038" w:type="pct"/>
            <w:gridSpan w:val="2"/>
            <w:tcBorders>
              <w:top w:val="nil"/>
              <w:left w:val="nil"/>
              <w:bottom w:val="single" w:sz="4" w:space="0" w:color="auto"/>
              <w:right w:val="nil"/>
            </w:tcBorders>
            <w:shd w:val="clear" w:color="auto" w:fill="auto"/>
            <w:noWrap/>
          </w:tcPr>
          <w:p w14:paraId="76B9F999" w14:textId="77777777" w:rsidR="00AE5BD5" w:rsidRPr="001F160B" w:rsidRDefault="00AE5BD5" w:rsidP="00AE5BD5">
            <w:pPr>
              <w:spacing w:after="0" w:line="240" w:lineRule="auto"/>
              <w:jc w:val="right"/>
              <w:rPr>
                <w:rFonts w:ascii="Arial Narrow" w:hAnsi="Arial Narrow"/>
                <w:b/>
                <w:i/>
                <w:sz w:val="20"/>
                <w:szCs w:val="20"/>
              </w:rPr>
            </w:pPr>
            <w:r w:rsidRPr="001F160B">
              <w:rPr>
                <w:rFonts w:ascii="Arial Narrow" w:hAnsi="Arial Narrow"/>
                <w:b/>
                <w:i/>
                <w:sz w:val="20"/>
                <w:szCs w:val="20"/>
              </w:rPr>
              <w:t>9</w:t>
            </w:r>
          </w:p>
        </w:tc>
        <w:tc>
          <w:tcPr>
            <w:tcW w:w="666" w:type="pct"/>
            <w:tcBorders>
              <w:top w:val="nil"/>
              <w:left w:val="nil"/>
              <w:bottom w:val="single" w:sz="4" w:space="0" w:color="auto"/>
              <w:right w:val="single" w:sz="4" w:space="0" w:color="auto"/>
            </w:tcBorders>
          </w:tcPr>
          <w:p w14:paraId="57A95718" w14:textId="77777777" w:rsidR="00AE5BD5" w:rsidRPr="003B4D22" w:rsidRDefault="00AE5BD5" w:rsidP="00AE5BD5">
            <w:pPr>
              <w:spacing w:after="0" w:line="240" w:lineRule="auto"/>
              <w:jc w:val="right"/>
              <w:rPr>
                <w:rFonts w:ascii="Arial Narrow" w:hAnsi="Arial Narrow" w:cs="Calibri"/>
                <w:i/>
                <w:color w:val="000000"/>
                <w:sz w:val="20"/>
                <w:szCs w:val="20"/>
              </w:rPr>
            </w:pPr>
          </w:p>
        </w:tc>
      </w:tr>
      <w:tr w:rsidR="00AE5BD5" w:rsidRPr="003B4D22" w14:paraId="2358AF32" w14:textId="77777777" w:rsidTr="003735E3">
        <w:tc>
          <w:tcPr>
            <w:tcW w:w="650" w:type="pct"/>
            <w:tcBorders>
              <w:top w:val="nil"/>
              <w:left w:val="single" w:sz="4" w:space="0" w:color="auto"/>
              <w:bottom w:val="nil"/>
              <w:right w:val="single" w:sz="4" w:space="0" w:color="auto"/>
            </w:tcBorders>
            <w:vAlign w:val="bottom"/>
          </w:tcPr>
          <w:p w14:paraId="25D2DA9F"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nil"/>
              <w:right w:val="single" w:sz="4" w:space="0" w:color="auto"/>
            </w:tcBorders>
          </w:tcPr>
          <w:p w14:paraId="2519BBC9" w14:textId="77777777" w:rsidR="00AE5BD5" w:rsidRPr="001F160B" w:rsidRDefault="00AE5BD5" w:rsidP="00AE5BD5">
            <w:pPr>
              <w:spacing w:after="0" w:line="240" w:lineRule="auto"/>
              <w:rPr>
                <w:rFonts w:ascii="Arial Narrow" w:hAnsi="Arial Narrow" w:cs="Calibri"/>
                <w:b/>
                <w:color w:val="000000"/>
                <w:sz w:val="20"/>
                <w:szCs w:val="20"/>
              </w:rPr>
            </w:pPr>
            <w:r w:rsidRPr="001F160B">
              <w:rPr>
                <w:rFonts w:ascii="Arial Narrow" w:hAnsi="Arial Narrow"/>
                <w:b/>
                <w:sz w:val="20"/>
                <w:szCs w:val="20"/>
              </w:rPr>
              <w:t>Minor infections</w:t>
            </w:r>
          </w:p>
        </w:tc>
        <w:tc>
          <w:tcPr>
            <w:tcW w:w="940" w:type="pct"/>
            <w:gridSpan w:val="2"/>
            <w:tcBorders>
              <w:top w:val="single" w:sz="4" w:space="0" w:color="auto"/>
              <w:left w:val="single" w:sz="4" w:space="0" w:color="auto"/>
              <w:bottom w:val="nil"/>
              <w:right w:val="nil"/>
            </w:tcBorders>
            <w:shd w:val="clear" w:color="auto" w:fill="auto"/>
            <w:noWrap/>
          </w:tcPr>
          <w:p w14:paraId="6745E66F" w14:textId="77777777" w:rsidR="00AE5BD5" w:rsidRPr="003B4D22" w:rsidRDefault="00AE5BD5" w:rsidP="00AE5BD5">
            <w:pPr>
              <w:spacing w:after="0" w:line="240" w:lineRule="auto"/>
              <w:jc w:val="right"/>
              <w:rPr>
                <w:rFonts w:ascii="Arial Narrow" w:hAnsi="Arial Narrow" w:cs="Calibri"/>
                <w:color w:val="000000"/>
                <w:sz w:val="20"/>
                <w:szCs w:val="20"/>
              </w:rPr>
            </w:pPr>
          </w:p>
        </w:tc>
        <w:tc>
          <w:tcPr>
            <w:tcW w:w="1038" w:type="pct"/>
            <w:gridSpan w:val="2"/>
            <w:tcBorders>
              <w:top w:val="single" w:sz="4" w:space="0" w:color="auto"/>
              <w:left w:val="nil"/>
              <w:bottom w:val="nil"/>
              <w:right w:val="nil"/>
            </w:tcBorders>
            <w:shd w:val="clear" w:color="auto" w:fill="auto"/>
            <w:noWrap/>
          </w:tcPr>
          <w:p w14:paraId="7FA6170C" w14:textId="77777777" w:rsidR="00AE5BD5" w:rsidRPr="003B4D22" w:rsidRDefault="00AE5BD5" w:rsidP="00AE5BD5">
            <w:pPr>
              <w:spacing w:after="0" w:line="240" w:lineRule="auto"/>
              <w:jc w:val="right"/>
              <w:rPr>
                <w:rFonts w:ascii="Arial Narrow" w:hAnsi="Arial Narrow" w:cs="Calibri"/>
                <w:color w:val="000000"/>
                <w:sz w:val="20"/>
                <w:szCs w:val="20"/>
              </w:rPr>
            </w:pPr>
          </w:p>
        </w:tc>
        <w:tc>
          <w:tcPr>
            <w:tcW w:w="666" w:type="pct"/>
            <w:tcBorders>
              <w:top w:val="single" w:sz="4" w:space="0" w:color="auto"/>
              <w:left w:val="nil"/>
              <w:bottom w:val="nil"/>
              <w:right w:val="single" w:sz="4" w:space="0" w:color="auto"/>
            </w:tcBorders>
          </w:tcPr>
          <w:p w14:paraId="21CF28B0" w14:textId="77777777" w:rsidR="00AE5BD5" w:rsidRPr="003B4D22" w:rsidRDefault="00AE5BD5" w:rsidP="00AE5BD5">
            <w:pPr>
              <w:spacing w:after="0" w:line="240" w:lineRule="auto"/>
              <w:jc w:val="right"/>
              <w:rPr>
                <w:rFonts w:ascii="Arial Narrow" w:hAnsi="Arial Narrow" w:cs="Calibri"/>
                <w:color w:val="000000"/>
                <w:sz w:val="20"/>
                <w:szCs w:val="20"/>
              </w:rPr>
            </w:pPr>
          </w:p>
        </w:tc>
      </w:tr>
      <w:tr w:rsidR="00AE5BD5" w:rsidRPr="003B4D22" w14:paraId="41387E60" w14:textId="77777777" w:rsidTr="003735E3">
        <w:tc>
          <w:tcPr>
            <w:tcW w:w="650" w:type="pct"/>
            <w:tcBorders>
              <w:top w:val="nil"/>
              <w:left w:val="single" w:sz="4" w:space="0" w:color="auto"/>
              <w:bottom w:val="nil"/>
              <w:right w:val="single" w:sz="4" w:space="0" w:color="auto"/>
            </w:tcBorders>
            <w:vAlign w:val="bottom"/>
          </w:tcPr>
          <w:p w14:paraId="1C45E10A"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tcPr>
          <w:p w14:paraId="3FD7083C" w14:textId="77777777" w:rsidR="00AE5BD5" w:rsidRPr="003B4D22" w:rsidRDefault="00AE5BD5" w:rsidP="00331FB9">
            <w:pPr>
              <w:pStyle w:val="ListParagraph"/>
              <w:numPr>
                <w:ilvl w:val="0"/>
                <w:numId w:val="16"/>
              </w:numPr>
              <w:spacing w:after="0" w:line="240" w:lineRule="auto"/>
              <w:ind w:left="322" w:hanging="257"/>
              <w:rPr>
                <w:rFonts w:ascii="Arial Narrow" w:hAnsi="Arial Narrow" w:cs="Calibri"/>
                <w:color w:val="000000"/>
                <w:sz w:val="20"/>
                <w:szCs w:val="20"/>
              </w:rPr>
            </w:pPr>
            <w:r w:rsidRPr="003B4D22">
              <w:rPr>
                <w:rFonts w:ascii="Arial Narrow" w:hAnsi="Arial Narrow"/>
                <w:sz w:val="20"/>
                <w:szCs w:val="20"/>
              </w:rPr>
              <w:t>Bronchitis</w:t>
            </w:r>
          </w:p>
        </w:tc>
        <w:tc>
          <w:tcPr>
            <w:tcW w:w="940" w:type="pct"/>
            <w:gridSpan w:val="2"/>
            <w:tcBorders>
              <w:top w:val="nil"/>
              <w:left w:val="single" w:sz="4" w:space="0" w:color="auto"/>
              <w:bottom w:val="nil"/>
              <w:right w:val="nil"/>
            </w:tcBorders>
            <w:shd w:val="clear" w:color="auto" w:fill="auto"/>
            <w:noWrap/>
          </w:tcPr>
          <w:p w14:paraId="3763CA34"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szCs w:val="20"/>
              </w:rPr>
              <w:t>14</w:t>
            </w:r>
          </w:p>
        </w:tc>
        <w:tc>
          <w:tcPr>
            <w:tcW w:w="1038" w:type="pct"/>
            <w:gridSpan w:val="2"/>
            <w:tcBorders>
              <w:top w:val="nil"/>
              <w:left w:val="nil"/>
              <w:bottom w:val="nil"/>
              <w:right w:val="nil"/>
            </w:tcBorders>
            <w:shd w:val="clear" w:color="auto" w:fill="auto"/>
            <w:noWrap/>
          </w:tcPr>
          <w:p w14:paraId="0A50EFA8"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szCs w:val="20"/>
              </w:rPr>
              <w:t>19</w:t>
            </w:r>
          </w:p>
        </w:tc>
        <w:tc>
          <w:tcPr>
            <w:tcW w:w="666" w:type="pct"/>
            <w:tcBorders>
              <w:top w:val="nil"/>
              <w:left w:val="nil"/>
              <w:bottom w:val="nil"/>
              <w:right w:val="single" w:sz="4" w:space="0" w:color="auto"/>
            </w:tcBorders>
          </w:tcPr>
          <w:p w14:paraId="5E06AD70" w14:textId="77777777" w:rsidR="00AE5BD5" w:rsidRPr="003B4D22" w:rsidRDefault="00AE5BD5" w:rsidP="00AE5BD5">
            <w:pPr>
              <w:spacing w:after="0" w:line="240" w:lineRule="auto"/>
              <w:jc w:val="right"/>
              <w:rPr>
                <w:rFonts w:ascii="Arial Narrow" w:hAnsi="Arial Narrow" w:cs="Calibri"/>
                <w:color w:val="000000"/>
                <w:sz w:val="20"/>
                <w:szCs w:val="20"/>
              </w:rPr>
            </w:pPr>
          </w:p>
        </w:tc>
      </w:tr>
      <w:tr w:rsidR="00AE5BD5" w:rsidRPr="003B4D22" w14:paraId="74EC4E4C" w14:textId="77777777" w:rsidTr="003735E3">
        <w:tc>
          <w:tcPr>
            <w:tcW w:w="650" w:type="pct"/>
            <w:tcBorders>
              <w:top w:val="nil"/>
              <w:left w:val="single" w:sz="4" w:space="0" w:color="auto"/>
              <w:bottom w:val="nil"/>
              <w:right w:val="single" w:sz="4" w:space="0" w:color="auto"/>
            </w:tcBorders>
            <w:vAlign w:val="bottom"/>
          </w:tcPr>
          <w:p w14:paraId="2F54F6CD"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tcPr>
          <w:p w14:paraId="698CECB7" w14:textId="77777777" w:rsidR="00AE5BD5" w:rsidRPr="003B4D22" w:rsidRDefault="00AE5BD5" w:rsidP="00331FB9">
            <w:pPr>
              <w:pStyle w:val="ListParagraph"/>
              <w:numPr>
                <w:ilvl w:val="0"/>
                <w:numId w:val="16"/>
              </w:numPr>
              <w:spacing w:after="0" w:line="240" w:lineRule="auto"/>
              <w:ind w:left="322" w:hanging="257"/>
              <w:rPr>
                <w:rFonts w:ascii="Arial Narrow" w:hAnsi="Arial Narrow" w:cs="Calibri"/>
                <w:color w:val="000000"/>
                <w:sz w:val="20"/>
                <w:szCs w:val="20"/>
              </w:rPr>
            </w:pPr>
            <w:r w:rsidRPr="003B4D22">
              <w:rPr>
                <w:rFonts w:ascii="Arial Narrow" w:hAnsi="Arial Narrow"/>
                <w:sz w:val="20"/>
                <w:szCs w:val="20"/>
              </w:rPr>
              <w:t>Bacterial skin infection</w:t>
            </w:r>
          </w:p>
        </w:tc>
        <w:tc>
          <w:tcPr>
            <w:tcW w:w="940" w:type="pct"/>
            <w:gridSpan w:val="2"/>
            <w:tcBorders>
              <w:top w:val="nil"/>
              <w:left w:val="single" w:sz="4" w:space="0" w:color="auto"/>
              <w:bottom w:val="nil"/>
              <w:right w:val="nil"/>
            </w:tcBorders>
            <w:shd w:val="clear" w:color="auto" w:fill="auto"/>
            <w:noWrap/>
          </w:tcPr>
          <w:p w14:paraId="5E6204F1"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szCs w:val="20"/>
              </w:rPr>
              <w:t>1</w:t>
            </w:r>
          </w:p>
        </w:tc>
        <w:tc>
          <w:tcPr>
            <w:tcW w:w="1038" w:type="pct"/>
            <w:gridSpan w:val="2"/>
            <w:tcBorders>
              <w:top w:val="nil"/>
              <w:left w:val="nil"/>
              <w:bottom w:val="nil"/>
              <w:right w:val="nil"/>
            </w:tcBorders>
            <w:shd w:val="clear" w:color="auto" w:fill="auto"/>
            <w:noWrap/>
          </w:tcPr>
          <w:p w14:paraId="716470EF"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szCs w:val="20"/>
              </w:rPr>
              <w:t>2</w:t>
            </w:r>
          </w:p>
        </w:tc>
        <w:tc>
          <w:tcPr>
            <w:tcW w:w="666" w:type="pct"/>
            <w:tcBorders>
              <w:top w:val="nil"/>
              <w:left w:val="nil"/>
              <w:bottom w:val="nil"/>
              <w:right w:val="single" w:sz="4" w:space="0" w:color="auto"/>
            </w:tcBorders>
          </w:tcPr>
          <w:p w14:paraId="354D636E" w14:textId="77777777" w:rsidR="00AE5BD5" w:rsidRPr="003B4D22" w:rsidRDefault="00AE5BD5" w:rsidP="00AE5BD5">
            <w:pPr>
              <w:spacing w:after="0" w:line="240" w:lineRule="auto"/>
              <w:jc w:val="right"/>
              <w:rPr>
                <w:rFonts w:ascii="Arial Narrow" w:hAnsi="Arial Narrow" w:cs="Calibri"/>
                <w:color w:val="000000"/>
                <w:sz w:val="20"/>
                <w:szCs w:val="20"/>
              </w:rPr>
            </w:pPr>
          </w:p>
        </w:tc>
      </w:tr>
      <w:tr w:rsidR="00AE5BD5" w:rsidRPr="003B4D22" w14:paraId="02AECA19" w14:textId="77777777" w:rsidTr="003735E3">
        <w:tc>
          <w:tcPr>
            <w:tcW w:w="650" w:type="pct"/>
            <w:tcBorders>
              <w:top w:val="nil"/>
              <w:left w:val="single" w:sz="4" w:space="0" w:color="auto"/>
              <w:bottom w:val="nil"/>
              <w:right w:val="single" w:sz="4" w:space="0" w:color="auto"/>
            </w:tcBorders>
            <w:vAlign w:val="bottom"/>
          </w:tcPr>
          <w:p w14:paraId="2884A38F"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tcPr>
          <w:p w14:paraId="038378CC" w14:textId="77777777" w:rsidR="00AE5BD5" w:rsidRPr="003B4D22" w:rsidRDefault="00AE5BD5" w:rsidP="00331FB9">
            <w:pPr>
              <w:pStyle w:val="ListParagraph"/>
              <w:numPr>
                <w:ilvl w:val="0"/>
                <w:numId w:val="16"/>
              </w:numPr>
              <w:spacing w:after="0" w:line="240" w:lineRule="auto"/>
              <w:ind w:left="322" w:hanging="257"/>
              <w:rPr>
                <w:rFonts w:ascii="Arial Narrow" w:hAnsi="Arial Narrow" w:cs="Calibri"/>
                <w:color w:val="000000"/>
                <w:sz w:val="20"/>
                <w:szCs w:val="20"/>
              </w:rPr>
            </w:pPr>
            <w:r w:rsidRPr="003B4D22">
              <w:rPr>
                <w:rFonts w:ascii="Arial Narrow" w:hAnsi="Arial Narrow"/>
                <w:sz w:val="20"/>
                <w:szCs w:val="20"/>
              </w:rPr>
              <w:t>Bacterial stomatitis</w:t>
            </w:r>
          </w:p>
        </w:tc>
        <w:tc>
          <w:tcPr>
            <w:tcW w:w="940" w:type="pct"/>
            <w:gridSpan w:val="2"/>
            <w:tcBorders>
              <w:top w:val="nil"/>
              <w:left w:val="single" w:sz="4" w:space="0" w:color="auto"/>
              <w:bottom w:val="nil"/>
              <w:right w:val="nil"/>
            </w:tcBorders>
            <w:shd w:val="clear" w:color="auto" w:fill="auto"/>
            <w:noWrap/>
          </w:tcPr>
          <w:p w14:paraId="65BDE766"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szCs w:val="20"/>
              </w:rPr>
              <w:t>0</w:t>
            </w:r>
          </w:p>
        </w:tc>
        <w:tc>
          <w:tcPr>
            <w:tcW w:w="1038" w:type="pct"/>
            <w:gridSpan w:val="2"/>
            <w:tcBorders>
              <w:top w:val="nil"/>
              <w:left w:val="nil"/>
              <w:bottom w:val="nil"/>
              <w:right w:val="nil"/>
            </w:tcBorders>
            <w:shd w:val="clear" w:color="auto" w:fill="auto"/>
            <w:noWrap/>
          </w:tcPr>
          <w:p w14:paraId="41632439"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szCs w:val="20"/>
              </w:rPr>
              <w:t>2</w:t>
            </w:r>
          </w:p>
        </w:tc>
        <w:tc>
          <w:tcPr>
            <w:tcW w:w="666" w:type="pct"/>
            <w:tcBorders>
              <w:top w:val="nil"/>
              <w:left w:val="nil"/>
              <w:bottom w:val="nil"/>
              <w:right w:val="single" w:sz="4" w:space="0" w:color="auto"/>
            </w:tcBorders>
          </w:tcPr>
          <w:p w14:paraId="13717554" w14:textId="77777777" w:rsidR="00AE5BD5" w:rsidRPr="003B4D22" w:rsidRDefault="00AE5BD5" w:rsidP="00AE5BD5">
            <w:pPr>
              <w:spacing w:after="0" w:line="240" w:lineRule="auto"/>
              <w:jc w:val="right"/>
              <w:rPr>
                <w:rFonts w:ascii="Arial Narrow" w:hAnsi="Arial Narrow" w:cs="Calibri"/>
                <w:color w:val="000000"/>
                <w:sz w:val="20"/>
                <w:szCs w:val="20"/>
              </w:rPr>
            </w:pPr>
          </w:p>
        </w:tc>
      </w:tr>
      <w:tr w:rsidR="00AE5BD5" w:rsidRPr="003B4D22" w14:paraId="07908CB6" w14:textId="77777777" w:rsidTr="003735E3">
        <w:tc>
          <w:tcPr>
            <w:tcW w:w="650" w:type="pct"/>
            <w:tcBorders>
              <w:top w:val="nil"/>
              <w:left w:val="single" w:sz="4" w:space="0" w:color="auto"/>
              <w:bottom w:val="nil"/>
              <w:right w:val="single" w:sz="4" w:space="0" w:color="auto"/>
            </w:tcBorders>
            <w:vAlign w:val="bottom"/>
          </w:tcPr>
          <w:p w14:paraId="068BC580"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tcPr>
          <w:p w14:paraId="3B247D9E" w14:textId="77777777" w:rsidR="00AE5BD5" w:rsidRPr="003B4D22" w:rsidRDefault="00AE5BD5" w:rsidP="00331FB9">
            <w:pPr>
              <w:pStyle w:val="ListParagraph"/>
              <w:numPr>
                <w:ilvl w:val="0"/>
                <w:numId w:val="16"/>
              </w:numPr>
              <w:spacing w:after="0" w:line="240" w:lineRule="auto"/>
              <w:ind w:left="322" w:hanging="257"/>
              <w:rPr>
                <w:rFonts w:ascii="Arial Narrow" w:hAnsi="Arial Narrow" w:cs="Calibri"/>
                <w:color w:val="000000"/>
                <w:sz w:val="20"/>
                <w:szCs w:val="20"/>
              </w:rPr>
            </w:pPr>
            <w:r w:rsidRPr="003B4D22">
              <w:rPr>
                <w:rFonts w:ascii="Arial Narrow" w:hAnsi="Arial Narrow"/>
                <w:sz w:val="20"/>
                <w:szCs w:val="20"/>
              </w:rPr>
              <w:t>Lower urinary tract infection</w:t>
            </w:r>
          </w:p>
        </w:tc>
        <w:tc>
          <w:tcPr>
            <w:tcW w:w="940" w:type="pct"/>
            <w:gridSpan w:val="2"/>
            <w:tcBorders>
              <w:top w:val="nil"/>
              <w:left w:val="single" w:sz="4" w:space="0" w:color="auto"/>
              <w:bottom w:val="nil"/>
              <w:right w:val="nil"/>
            </w:tcBorders>
            <w:shd w:val="clear" w:color="auto" w:fill="auto"/>
            <w:noWrap/>
          </w:tcPr>
          <w:p w14:paraId="01F3F720"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szCs w:val="20"/>
              </w:rPr>
              <w:t>1</w:t>
            </w:r>
          </w:p>
        </w:tc>
        <w:tc>
          <w:tcPr>
            <w:tcW w:w="1038" w:type="pct"/>
            <w:gridSpan w:val="2"/>
            <w:tcBorders>
              <w:top w:val="nil"/>
              <w:left w:val="nil"/>
              <w:bottom w:val="nil"/>
              <w:right w:val="nil"/>
            </w:tcBorders>
            <w:shd w:val="clear" w:color="auto" w:fill="auto"/>
            <w:noWrap/>
          </w:tcPr>
          <w:p w14:paraId="075C3DED"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szCs w:val="20"/>
              </w:rPr>
              <w:t>0</w:t>
            </w:r>
          </w:p>
        </w:tc>
        <w:tc>
          <w:tcPr>
            <w:tcW w:w="666" w:type="pct"/>
            <w:tcBorders>
              <w:top w:val="nil"/>
              <w:left w:val="nil"/>
              <w:bottom w:val="nil"/>
              <w:right w:val="single" w:sz="4" w:space="0" w:color="auto"/>
            </w:tcBorders>
          </w:tcPr>
          <w:p w14:paraId="78C06285" w14:textId="77777777" w:rsidR="00AE5BD5" w:rsidRPr="003B4D22" w:rsidRDefault="00AE5BD5" w:rsidP="00AE5BD5">
            <w:pPr>
              <w:spacing w:after="0" w:line="240" w:lineRule="auto"/>
              <w:jc w:val="right"/>
              <w:rPr>
                <w:rFonts w:ascii="Arial Narrow" w:hAnsi="Arial Narrow" w:cs="Calibri"/>
                <w:color w:val="000000"/>
                <w:sz w:val="20"/>
                <w:szCs w:val="20"/>
              </w:rPr>
            </w:pPr>
          </w:p>
        </w:tc>
      </w:tr>
      <w:tr w:rsidR="00AE5BD5" w:rsidRPr="003B4D22" w14:paraId="2D1493E5" w14:textId="77777777" w:rsidTr="003735E3">
        <w:tc>
          <w:tcPr>
            <w:tcW w:w="650" w:type="pct"/>
            <w:tcBorders>
              <w:top w:val="nil"/>
              <w:left w:val="single" w:sz="4" w:space="0" w:color="auto"/>
              <w:bottom w:val="nil"/>
              <w:right w:val="single" w:sz="4" w:space="0" w:color="auto"/>
            </w:tcBorders>
            <w:vAlign w:val="bottom"/>
          </w:tcPr>
          <w:p w14:paraId="4F72C4CF"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right w:val="single" w:sz="4" w:space="0" w:color="auto"/>
            </w:tcBorders>
          </w:tcPr>
          <w:p w14:paraId="00F516DD" w14:textId="77777777" w:rsidR="00AE5BD5" w:rsidRPr="003B4D22" w:rsidRDefault="00AE5BD5" w:rsidP="00331FB9">
            <w:pPr>
              <w:pStyle w:val="ListParagraph"/>
              <w:numPr>
                <w:ilvl w:val="0"/>
                <w:numId w:val="16"/>
              </w:numPr>
              <w:spacing w:after="0" w:line="240" w:lineRule="auto"/>
              <w:ind w:left="322" w:hanging="257"/>
              <w:rPr>
                <w:rFonts w:ascii="Arial Narrow" w:hAnsi="Arial Narrow" w:cs="Calibri"/>
                <w:color w:val="000000"/>
                <w:sz w:val="20"/>
                <w:szCs w:val="20"/>
              </w:rPr>
            </w:pPr>
            <w:r w:rsidRPr="003B4D22">
              <w:rPr>
                <w:rFonts w:ascii="Arial Narrow" w:hAnsi="Arial Narrow"/>
                <w:sz w:val="20"/>
                <w:szCs w:val="20"/>
              </w:rPr>
              <w:t>Fever of unknown origin</w:t>
            </w:r>
          </w:p>
        </w:tc>
        <w:tc>
          <w:tcPr>
            <w:tcW w:w="940" w:type="pct"/>
            <w:gridSpan w:val="2"/>
            <w:tcBorders>
              <w:top w:val="nil"/>
              <w:left w:val="single" w:sz="4" w:space="0" w:color="auto"/>
              <w:right w:val="nil"/>
            </w:tcBorders>
            <w:shd w:val="clear" w:color="auto" w:fill="auto"/>
            <w:noWrap/>
          </w:tcPr>
          <w:p w14:paraId="557AD1B5"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szCs w:val="20"/>
              </w:rPr>
              <w:t>13</w:t>
            </w:r>
          </w:p>
        </w:tc>
        <w:tc>
          <w:tcPr>
            <w:tcW w:w="1038" w:type="pct"/>
            <w:gridSpan w:val="2"/>
            <w:tcBorders>
              <w:top w:val="nil"/>
              <w:left w:val="nil"/>
              <w:right w:val="nil"/>
            </w:tcBorders>
            <w:shd w:val="clear" w:color="auto" w:fill="auto"/>
            <w:noWrap/>
          </w:tcPr>
          <w:p w14:paraId="63CBFA26"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szCs w:val="20"/>
              </w:rPr>
              <w:t>15</w:t>
            </w:r>
          </w:p>
        </w:tc>
        <w:tc>
          <w:tcPr>
            <w:tcW w:w="666" w:type="pct"/>
            <w:tcBorders>
              <w:top w:val="nil"/>
              <w:left w:val="nil"/>
              <w:right w:val="single" w:sz="4" w:space="0" w:color="auto"/>
            </w:tcBorders>
          </w:tcPr>
          <w:p w14:paraId="2348709A" w14:textId="77777777" w:rsidR="00AE5BD5" w:rsidRPr="003B4D22" w:rsidRDefault="00AE5BD5" w:rsidP="00AE5BD5">
            <w:pPr>
              <w:spacing w:after="0" w:line="240" w:lineRule="auto"/>
              <w:jc w:val="right"/>
              <w:rPr>
                <w:rFonts w:ascii="Arial Narrow" w:hAnsi="Arial Narrow" w:cs="Calibri"/>
                <w:color w:val="000000"/>
                <w:sz w:val="20"/>
                <w:szCs w:val="20"/>
              </w:rPr>
            </w:pPr>
          </w:p>
        </w:tc>
      </w:tr>
      <w:tr w:rsidR="00AE5BD5" w:rsidRPr="003B4D22" w14:paraId="01C3AC7E" w14:textId="77777777" w:rsidTr="003735E3">
        <w:tc>
          <w:tcPr>
            <w:tcW w:w="650" w:type="pct"/>
            <w:tcBorders>
              <w:top w:val="nil"/>
              <w:left w:val="single" w:sz="4" w:space="0" w:color="auto"/>
              <w:bottom w:val="nil"/>
              <w:right w:val="single" w:sz="4" w:space="0" w:color="auto"/>
            </w:tcBorders>
            <w:vAlign w:val="bottom"/>
          </w:tcPr>
          <w:p w14:paraId="097A8AC4"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right w:val="single" w:sz="4" w:space="0" w:color="auto"/>
            </w:tcBorders>
          </w:tcPr>
          <w:p w14:paraId="3D2A3B20" w14:textId="77777777" w:rsidR="00AE5BD5" w:rsidRPr="003B4D22" w:rsidRDefault="00AE5BD5" w:rsidP="00331FB9">
            <w:pPr>
              <w:pStyle w:val="ListParagraph"/>
              <w:numPr>
                <w:ilvl w:val="0"/>
                <w:numId w:val="16"/>
              </w:numPr>
              <w:spacing w:after="0" w:line="240" w:lineRule="auto"/>
              <w:ind w:left="322" w:hanging="257"/>
              <w:rPr>
                <w:rFonts w:ascii="Arial Narrow" w:hAnsi="Arial Narrow" w:cs="Calibri"/>
                <w:color w:val="000000"/>
                <w:sz w:val="20"/>
                <w:szCs w:val="20"/>
              </w:rPr>
            </w:pPr>
            <w:r w:rsidRPr="003B4D22">
              <w:rPr>
                <w:rFonts w:ascii="Arial Narrow" w:hAnsi="Arial Narrow"/>
                <w:sz w:val="20"/>
                <w:szCs w:val="20"/>
              </w:rPr>
              <w:t>Herpes zoster</w:t>
            </w:r>
          </w:p>
        </w:tc>
        <w:tc>
          <w:tcPr>
            <w:tcW w:w="940" w:type="pct"/>
            <w:gridSpan w:val="2"/>
            <w:tcBorders>
              <w:top w:val="nil"/>
              <w:left w:val="single" w:sz="4" w:space="0" w:color="auto"/>
              <w:right w:val="nil"/>
            </w:tcBorders>
            <w:shd w:val="clear" w:color="auto" w:fill="auto"/>
            <w:noWrap/>
          </w:tcPr>
          <w:p w14:paraId="182AFDC3"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szCs w:val="20"/>
              </w:rPr>
              <w:t>1</w:t>
            </w:r>
          </w:p>
        </w:tc>
        <w:tc>
          <w:tcPr>
            <w:tcW w:w="1038" w:type="pct"/>
            <w:gridSpan w:val="2"/>
            <w:tcBorders>
              <w:top w:val="nil"/>
              <w:left w:val="nil"/>
              <w:right w:val="nil"/>
            </w:tcBorders>
            <w:shd w:val="clear" w:color="auto" w:fill="auto"/>
            <w:noWrap/>
          </w:tcPr>
          <w:p w14:paraId="4455F217"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szCs w:val="20"/>
              </w:rPr>
              <w:t>4</w:t>
            </w:r>
          </w:p>
        </w:tc>
        <w:tc>
          <w:tcPr>
            <w:tcW w:w="666" w:type="pct"/>
            <w:tcBorders>
              <w:top w:val="nil"/>
              <w:left w:val="nil"/>
              <w:right w:val="single" w:sz="4" w:space="0" w:color="auto"/>
            </w:tcBorders>
          </w:tcPr>
          <w:p w14:paraId="30352470" w14:textId="77777777" w:rsidR="00AE5BD5" w:rsidRPr="003B4D22" w:rsidRDefault="00AE5BD5" w:rsidP="00AE5BD5">
            <w:pPr>
              <w:spacing w:after="0" w:line="240" w:lineRule="auto"/>
              <w:jc w:val="right"/>
              <w:rPr>
                <w:rFonts w:ascii="Arial Narrow" w:hAnsi="Arial Narrow" w:cs="Calibri"/>
                <w:color w:val="000000"/>
                <w:sz w:val="20"/>
                <w:szCs w:val="20"/>
              </w:rPr>
            </w:pPr>
          </w:p>
        </w:tc>
      </w:tr>
      <w:tr w:rsidR="00AE5BD5" w:rsidRPr="003B4D22" w14:paraId="4C0824FB" w14:textId="77777777" w:rsidTr="003735E3">
        <w:tc>
          <w:tcPr>
            <w:tcW w:w="650" w:type="pct"/>
            <w:tcBorders>
              <w:top w:val="nil"/>
              <w:left w:val="single" w:sz="4" w:space="0" w:color="auto"/>
              <w:bottom w:val="nil"/>
              <w:right w:val="single" w:sz="4" w:space="0" w:color="auto"/>
            </w:tcBorders>
            <w:vAlign w:val="bottom"/>
          </w:tcPr>
          <w:p w14:paraId="4ABCFC0B"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single" w:sz="4" w:space="0" w:color="auto"/>
              <w:right w:val="single" w:sz="4" w:space="0" w:color="auto"/>
            </w:tcBorders>
          </w:tcPr>
          <w:p w14:paraId="4F1E1A86" w14:textId="77777777" w:rsidR="00AE5BD5" w:rsidRPr="001F160B" w:rsidRDefault="00AE5BD5" w:rsidP="00AE5BD5">
            <w:pPr>
              <w:spacing w:after="0" w:line="240" w:lineRule="auto"/>
              <w:ind w:left="65"/>
              <w:rPr>
                <w:rFonts w:ascii="Arial Narrow" w:hAnsi="Arial Narrow"/>
                <w:b/>
                <w:sz w:val="20"/>
                <w:szCs w:val="20"/>
              </w:rPr>
            </w:pPr>
            <w:r w:rsidRPr="001F160B">
              <w:rPr>
                <w:rFonts w:ascii="Arial Narrow" w:hAnsi="Arial Narrow"/>
                <w:b/>
                <w:sz w:val="20"/>
                <w:szCs w:val="20"/>
              </w:rPr>
              <w:t>Total minor infections</w:t>
            </w:r>
          </w:p>
        </w:tc>
        <w:tc>
          <w:tcPr>
            <w:tcW w:w="940" w:type="pct"/>
            <w:gridSpan w:val="2"/>
            <w:tcBorders>
              <w:top w:val="nil"/>
              <w:left w:val="single" w:sz="4" w:space="0" w:color="auto"/>
              <w:bottom w:val="single" w:sz="4" w:space="0" w:color="auto"/>
              <w:right w:val="nil"/>
            </w:tcBorders>
            <w:shd w:val="clear" w:color="auto" w:fill="auto"/>
            <w:noWrap/>
          </w:tcPr>
          <w:p w14:paraId="50EC6012" w14:textId="77777777" w:rsidR="00AE5BD5" w:rsidRPr="001F160B" w:rsidRDefault="00AE5BD5" w:rsidP="00AE5BD5">
            <w:pPr>
              <w:spacing w:after="0" w:line="240" w:lineRule="auto"/>
              <w:jc w:val="right"/>
              <w:rPr>
                <w:rFonts w:ascii="Arial Narrow" w:hAnsi="Arial Narrow"/>
                <w:b/>
                <w:i/>
                <w:sz w:val="20"/>
                <w:szCs w:val="20"/>
              </w:rPr>
            </w:pPr>
            <w:r w:rsidRPr="001F160B">
              <w:rPr>
                <w:rFonts w:ascii="Arial Narrow" w:hAnsi="Arial Narrow"/>
                <w:b/>
                <w:i/>
                <w:sz w:val="20"/>
              </w:rPr>
              <w:t>30</w:t>
            </w:r>
          </w:p>
        </w:tc>
        <w:tc>
          <w:tcPr>
            <w:tcW w:w="1038" w:type="pct"/>
            <w:gridSpan w:val="2"/>
            <w:tcBorders>
              <w:top w:val="nil"/>
              <w:left w:val="nil"/>
              <w:bottom w:val="single" w:sz="4" w:space="0" w:color="auto"/>
              <w:right w:val="nil"/>
            </w:tcBorders>
            <w:shd w:val="clear" w:color="auto" w:fill="auto"/>
            <w:noWrap/>
          </w:tcPr>
          <w:p w14:paraId="172E60C4" w14:textId="77777777" w:rsidR="00AE5BD5" w:rsidRPr="001F160B" w:rsidRDefault="00AE5BD5" w:rsidP="00AE5BD5">
            <w:pPr>
              <w:spacing w:after="0" w:line="240" w:lineRule="auto"/>
              <w:jc w:val="right"/>
              <w:rPr>
                <w:rFonts w:ascii="Arial Narrow" w:hAnsi="Arial Narrow"/>
                <w:b/>
                <w:i/>
                <w:sz w:val="20"/>
                <w:szCs w:val="20"/>
              </w:rPr>
            </w:pPr>
            <w:r w:rsidRPr="001F160B">
              <w:rPr>
                <w:rFonts w:ascii="Arial Narrow" w:hAnsi="Arial Narrow"/>
                <w:b/>
                <w:i/>
                <w:sz w:val="20"/>
              </w:rPr>
              <w:t>42</w:t>
            </w:r>
          </w:p>
        </w:tc>
        <w:tc>
          <w:tcPr>
            <w:tcW w:w="666" w:type="pct"/>
            <w:tcBorders>
              <w:top w:val="nil"/>
              <w:left w:val="nil"/>
              <w:bottom w:val="single" w:sz="4" w:space="0" w:color="auto"/>
              <w:right w:val="single" w:sz="4" w:space="0" w:color="auto"/>
            </w:tcBorders>
          </w:tcPr>
          <w:p w14:paraId="69430AF4" w14:textId="77777777" w:rsidR="00AE5BD5" w:rsidRPr="003B4D22" w:rsidRDefault="00AE5BD5" w:rsidP="00AE5BD5">
            <w:pPr>
              <w:spacing w:after="0" w:line="240" w:lineRule="auto"/>
              <w:jc w:val="right"/>
              <w:rPr>
                <w:rFonts w:ascii="Arial Narrow" w:hAnsi="Arial Narrow" w:cs="Calibri"/>
                <w:color w:val="000000"/>
                <w:sz w:val="20"/>
                <w:szCs w:val="20"/>
              </w:rPr>
            </w:pPr>
          </w:p>
        </w:tc>
      </w:tr>
      <w:tr w:rsidR="00AE5BD5" w:rsidRPr="003B4D22" w14:paraId="2446CC51" w14:textId="77777777" w:rsidTr="00FB36D8">
        <w:tc>
          <w:tcPr>
            <w:tcW w:w="650" w:type="pct"/>
            <w:tcBorders>
              <w:top w:val="nil"/>
              <w:left w:val="single" w:sz="4" w:space="0" w:color="auto"/>
              <w:bottom w:val="nil"/>
              <w:right w:val="single" w:sz="4" w:space="0" w:color="auto"/>
            </w:tcBorders>
            <w:vAlign w:val="bottom"/>
          </w:tcPr>
          <w:p w14:paraId="2A92E9BA" w14:textId="77777777" w:rsidR="00AE5BD5" w:rsidRPr="003B4D22" w:rsidRDefault="00AE5BD5" w:rsidP="00AE5BD5">
            <w:pPr>
              <w:spacing w:after="0" w:line="240" w:lineRule="auto"/>
              <w:rPr>
                <w:rFonts w:ascii="Arial Narrow" w:hAnsi="Arial Narrow" w:cs="Calibri"/>
                <w:i/>
                <w:color w:val="000000"/>
                <w:sz w:val="20"/>
                <w:szCs w:val="20"/>
              </w:rPr>
            </w:pPr>
          </w:p>
        </w:tc>
        <w:tc>
          <w:tcPr>
            <w:tcW w:w="1706" w:type="pct"/>
            <w:tcBorders>
              <w:top w:val="single" w:sz="4" w:space="0" w:color="auto"/>
              <w:left w:val="single" w:sz="4" w:space="0" w:color="auto"/>
              <w:bottom w:val="single" w:sz="4" w:space="0" w:color="auto"/>
              <w:right w:val="single" w:sz="4" w:space="0" w:color="auto"/>
            </w:tcBorders>
          </w:tcPr>
          <w:p w14:paraId="611D3BDE" w14:textId="77777777" w:rsidR="00AE5BD5" w:rsidRPr="001F160B" w:rsidRDefault="00AE5BD5" w:rsidP="00AE5BD5">
            <w:pPr>
              <w:spacing w:after="0" w:line="240" w:lineRule="auto"/>
              <w:ind w:right="-57"/>
              <w:rPr>
                <w:rFonts w:ascii="Arial Narrow" w:hAnsi="Arial Narrow"/>
                <w:b/>
                <w:i/>
                <w:sz w:val="20"/>
              </w:rPr>
            </w:pPr>
            <w:r w:rsidRPr="001F160B">
              <w:rPr>
                <w:rFonts w:ascii="Arial Narrow" w:hAnsi="Arial Narrow"/>
                <w:b/>
                <w:i/>
                <w:sz w:val="20"/>
              </w:rPr>
              <w:t>Total serious (major+minor) infections</w:t>
            </w:r>
          </w:p>
        </w:tc>
        <w:tc>
          <w:tcPr>
            <w:tcW w:w="940" w:type="pct"/>
            <w:gridSpan w:val="2"/>
            <w:tcBorders>
              <w:top w:val="single" w:sz="4" w:space="0" w:color="auto"/>
              <w:left w:val="single" w:sz="4" w:space="0" w:color="auto"/>
              <w:bottom w:val="single" w:sz="4" w:space="0" w:color="auto"/>
              <w:right w:val="nil"/>
            </w:tcBorders>
            <w:shd w:val="clear" w:color="auto" w:fill="auto"/>
            <w:noWrap/>
          </w:tcPr>
          <w:p w14:paraId="398E8F70" w14:textId="77777777" w:rsidR="00AE5BD5" w:rsidRPr="001F160B" w:rsidRDefault="00AE5BD5" w:rsidP="00AE5BD5">
            <w:pPr>
              <w:spacing w:after="0" w:line="240" w:lineRule="auto"/>
              <w:jc w:val="right"/>
              <w:rPr>
                <w:rFonts w:ascii="Arial Narrow" w:hAnsi="Arial Narrow"/>
                <w:b/>
                <w:i/>
                <w:sz w:val="20"/>
              </w:rPr>
            </w:pPr>
            <w:r w:rsidRPr="001F160B">
              <w:rPr>
                <w:rFonts w:ascii="Arial Narrow" w:hAnsi="Arial Narrow"/>
                <w:b/>
                <w:i/>
                <w:sz w:val="20"/>
              </w:rPr>
              <w:t>35</w:t>
            </w:r>
          </w:p>
        </w:tc>
        <w:tc>
          <w:tcPr>
            <w:tcW w:w="1038" w:type="pct"/>
            <w:gridSpan w:val="2"/>
            <w:tcBorders>
              <w:top w:val="single" w:sz="4" w:space="0" w:color="auto"/>
              <w:left w:val="nil"/>
              <w:bottom w:val="single" w:sz="4" w:space="0" w:color="auto"/>
              <w:right w:val="nil"/>
            </w:tcBorders>
            <w:shd w:val="clear" w:color="auto" w:fill="auto"/>
            <w:noWrap/>
          </w:tcPr>
          <w:p w14:paraId="2D2182B9" w14:textId="4B18FC7E" w:rsidR="00AE5BD5" w:rsidRPr="001F160B" w:rsidRDefault="00AE5BD5" w:rsidP="00AE5BD5">
            <w:pPr>
              <w:spacing w:after="0" w:line="240" w:lineRule="auto"/>
              <w:jc w:val="right"/>
              <w:rPr>
                <w:rFonts w:ascii="Arial Narrow" w:hAnsi="Arial Narrow"/>
                <w:b/>
                <w:i/>
                <w:sz w:val="20"/>
              </w:rPr>
            </w:pPr>
            <w:r w:rsidRPr="001F160B">
              <w:rPr>
                <w:rFonts w:ascii="Arial Narrow" w:hAnsi="Arial Narrow"/>
                <w:b/>
                <w:i/>
                <w:sz w:val="20"/>
              </w:rPr>
              <w:t>51</w:t>
            </w:r>
          </w:p>
        </w:tc>
        <w:tc>
          <w:tcPr>
            <w:tcW w:w="666" w:type="pct"/>
            <w:tcBorders>
              <w:top w:val="single" w:sz="4" w:space="0" w:color="auto"/>
              <w:left w:val="nil"/>
              <w:bottom w:val="single" w:sz="4" w:space="0" w:color="auto"/>
              <w:right w:val="single" w:sz="4" w:space="0" w:color="auto"/>
            </w:tcBorders>
          </w:tcPr>
          <w:p w14:paraId="79A0AE2C" w14:textId="77777777" w:rsidR="00AE5BD5" w:rsidRPr="003B4D22" w:rsidRDefault="00AE5BD5" w:rsidP="00AE5BD5">
            <w:pPr>
              <w:spacing w:after="0" w:line="240" w:lineRule="auto"/>
              <w:jc w:val="right"/>
              <w:rPr>
                <w:rFonts w:ascii="Arial Narrow" w:hAnsi="Arial Narrow" w:cs="Calibri"/>
                <w:i/>
                <w:color w:val="000000"/>
                <w:sz w:val="20"/>
                <w:szCs w:val="20"/>
              </w:rPr>
            </w:pPr>
          </w:p>
        </w:tc>
      </w:tr>
      <w:tr w:rsidR="00AE5BD5" w:rsidRPr="003B4D22" w14:paraId="5A28A2C3" w14:textId="77777777" w:rsidTr="003735E3">
        <w:tc>
          <w:tcPr>
            <w:tcW w:w="650" w:type="pct"/>
            <w:tcBorders>
              <w:top w:val="nil"/>
              <w:left w:val="single" w:sz="4" w:space="0" w:color="auto"/>
              <w:bottom w:val="nil"/>
              <w:right w:val="single" w:sz="4" w:space="0" w:color="auto"/>
            </w:tcBorders>
            <w:vAlign w:val="bottom"/>
          </w:tcPr>
          <w:p w14:paraId="6F7F9210"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single" w:sz="4" w:space="0" w:color="auto"/>
              <w:right w:val="single" w:sz="4" w:space="0" w:color="auto"/>
            </w:tcBorders>
          </w:tcPr>
          <w:p w14:paraId="0C136AB3" w14:textId="77777777" w:rsidR="00AE5BD5" w:rsidRPr="00B921E9" w:rsidRDefault="00AE5BD5" w:rsidP="00AE5BD5">
            <w:pPr>
              <w:spacing w:after="0" w:line="240" w:lineRule="auto"/>
              <w:rPr>
                <w:rFonts w:ascii="Arial Narrow" w:hAnsi="Arial Narrow" w:cs="Calibri"/>
                <w:b/>
                <w:color w:val="000000"/>
                <w:sz w:val="20"/>
                <w:szCs w:val="20"/>
              </w:rPr>
            </w:pPr>
            <w:r w:rsidRPr="00B921E9">
              <w:rPr>
                <w:rFonts w:ascii="Arial Narrow" w:hAnsi="Arial Narrow"/>
                <w:b/>
                <w:sz w:val="20"/>
                <w:szCs w:val="20"/>
              </w:rPr>
              <w:t>Trivial infections</w:t>
            </w:r>
          </w:p>
        </w:tc>
        <w:tc>
          <w:tcPr>
            <w:tcW w:w="940" w:type="pct"/>
            <w:gridSpan w:val="2"/>
            <w:tcBorders>
              <w:top w:val="single" w:sz="4" w:space="0" w:color="auto"/>
              <w:left w:val="single" w:sz="4" w:space="0" w:color="auto"/>
              <w:bottom w:val="single" w:sz="4" w:space="0" w:color="auto"/>
              <w:right w:val="nil"/>
            </w:tcBorders>
            <w:shd w:val="clear" w:color="auto" w:fill="auto"/>
            <w:noWrap/>
          </w:tcPr>
          <w:p w14:paraId="5FF1044E" w14:textId="77777777" w:rsidR="00AE5BD5" w:rsidRPr="00B921E9" w:rsidRDefault="00AE5BD5" w:rsidP="00AE5BD5">
            <w:pPr>
              <w:spacing w:after="0" w:line="240" w:lineRule="auto"/>
              <w:jc w:val="right"/>
              <w:rPr>
                <w:rFonts w:ascii="Arial Narrow" w:hAnsi="Arial Narrow" w:cs="Calibri"/>
                <w:b/>
                <w:color w:val="000000"/>
                <w:sz w:val="20"/>
                <w:szCs w:val="20"/>
              </w:rPr>
            </w:pPr>
            <w:r w:rsidRPr="00B921E9">
              <w:rPr>
                <w:rFonts w:ascii="Arial Narrow" w:hAnsi="Arial Narrow"/>
                <w:b/>
                <w:sz w:val="20"/>
                <w:szCs w:val="20"/>
              </w:rPr>
              <w:t>6</w:t>
            </w:r>
          </w:p>
        </w:tc>
        <w:tc>
          <w:tcPr>
            <w:tcW w:w="1038" w:type="pct"/>
            <w:gridSpan w:val="2"/>
            <w:tcBorders>
              <w:top w:val="single" w:sz="4" w:space="0" w:color="auto"/>
              <w:left w:val="nil"/>
              <w:bottom w:val="single" w:sz="4" w:space="0" w:color="auto"/>
              <w:right w:val="nil"/>
            </w:tcBorders>
            <w:shd w:val="clear" w:color="auto" w:fill="auto"/>
            <w:noWrap/>
          </w:tcPr>
          <w:p w14:paraId="3C3F15C7" w14:textId="77777777" w:rsidR="00AE5BD5" w:rsidRPr="00B921E9" w:rsidRDefault="00AE5BD5" w:rsidP="00AE5BD5">
            <w:pPr>
              <w:spacing w:after="0" w:line="240" w:lineRule="auto"/>
              <w:jc w:val="right"/>
              <w:rPr>
                <w:rFonts w:ascii="Arial Narrow" w:hAnsi="Arial Narrow" w:cs="Calibri"/>
                <w:b/>
                <w:color w:val="000000"/>
                <w:sz w:val="20"/>
                <w:szCs w:val="20"/>
              </w:rPr>
            </w:pPr>
            <w:r w:rsidRPr="00B921E9">
              <w:rPr>
                <w:rFonts w:ascii="Arial Narrow" w:hAnsi="Arial Narrow"/>
                <w:b/>
                <w:sz w:val="20"/>
                <w:szCs w:val="20"/>
              </w:rPr>
              <w:t>11</w:t>
            </w:r>
          </w:p>
        </w:tc>
        <w:tc>
          <w:tcPr>
            <w:tcW w:w="666" w:type="pct"/>
            <w:tcBorders>
              <w:top w:val="single" w:sz="4" w:space="0" w:color="auto"/>
              <w:left w:val="nil"/>
              <w:bottom w:val="single" w:sz="4" w:space="0" w:color="auto"/>
              <w:right w:val="single" w:sz="4" w:space="0" w:color="auto"/>
            </w:tcBorders>
          </w:tcPr>
          <w:p w14:paraId="5B334D48" w14:textId="77777777" w:rsidR="00AE5BD5" w:rsidRPr="003B4D22" w:rsidRDefault="00AE5BD5" w:rsidP="00AE5BD5">
            <w:pPr>
              <w:spacing w:after="0" w:line="240" w:lineRule="auto"/>
              <w:jc w:val="right"/>
              <w:rPr>
                <w:rFonts w:ascii="Arial Narrow" w:hAnsi="Arial Narrow" w:cs="Calibri"/>
                <w:color w:val="000000"/>
                <w:sz w:val="20"/>
                <w:szCs w:val="20"/>
              </w:rPr>
            </w:pPr>
          </w:p>
        </w:tc>
      </w:tr>
      <w:tr w:rsidR="00AE5BD5" w:rsidRPr="003B4D22" w14:paraId="4312590B" w14:textId="77777777" w:rsidTr="003735E3">
        <w:tc>
          <w:tcPr>
            <w:tcW w:w="650" w:type="pct"/>
            <w:tcBorders>
              <w:top w:val="nil"/>
              <w:left w:val="single" w:sz="4" w:space="0" w:color="auto"/>
              <w:bottom w:val="nil"/>
              <w:right w:val="single" w:sz="4" w:space="0" w:color="auto"/>
            </w:tcBorders>
            <w:vAlign w:val="bottom"/>
          </w:tcPr>
          <w:p w14:paraId="63F90A59"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single" w:sz="4" w:space="0" w:color="auto"/>
              <w:right w:val="single" w:sz="4" w:space="0" w:color="auto"/>
            </w:tcBorders>
          </w:tcPr>
          <w:p w14:paraId="640EEDAB" w14:textId="1C4287F9" w:rsidR="00AE5BD5" w:rsidRPr="00B921E9" w:rsidRDefault="00AE5BD5" w:rsidP="00AE5BD5">
            <w:pPr>
              <w:spacing w:after="0" w:line="240" w:lineRule="auto"/>
              <w:rPr>
                <w:rFonts w:ascii="Arial Narrow" w:hAnsi="Arial Narrow"/>
                <w:b/>
                <w:i/>
                <w:sz w:val="20"/>
                <w:szCs w:val="20"/>
              </w:rPr>
            </w:pPr>
            <w:r w:rsidRPr="00B921E9">
              <w:rPr>
                <w:rFonts w:ascii="Arial Narrow" w:hAnsi="Arial Narrow"/>
                <w:b/>
                <w:i/>
                <w:sz w:val="20"/>
              </w:rPr>
              <w:t>Total</w:t>
            </w:r>
            <w:r w:rsidR="00B921E9" w:rsidRPr="00B921E9">
              <w:rPr>
                <w:rFonts w:ascii="Arial Narrow" w:hAnsi="Arial Narrow"/>
                <w:b/>
                <w:i/>
                <w:sz w:val="20"/>
              </w:rPr>
              <w:t xml:space="preserve"> overall</w:t>
            </w:r>
            <w:r w:rsidRPr="00B921E9">
              <w:rPr>
                <w:rFonts w:ascii="Arial Narrow" w:hAnsi="Arial Narrow"/>
                <w:b/>
                <w:i/>
                <w:sz w:val="20"/>
              </w:rPr>
              <w:t xml:space="preserve"> infections</w:t>
            </w:r>
          </w:p>
        </w:tc>
        <w:tc>
          <w:tcPr>
            <w:tcW w:w="940" w:type="pct"/>
            <w:gridSpan w:val="2"/>
            <w:tcBorders>
              <w:top w:val="single" w:sz="4" w:space="0" w:color="auto"/>
              <w:left w:val="single" w:sz="4" w:space="0" w:color="auto"/>
              <w:bottom w:val="single" w:sz="4" w:space="0" w:color="auto"/>
              <w:right w:val="nil"/>
            </w:tcBorders>
            <w:shd w:val="clear" w:color="auto" w:fill="auto"/>
            <w:noWrap/>
          </w:tcPr>
          <w:p w14:paraId="2BC0A432" w14:textId="77777777" w:rsidR="00AE5BD5" w:rsidRPr="00B921E9" w:rsidRDefault="00AE5BD5" w:rsidP="00AE5BD5">
            <w:pPr>
              <w:spacing w:after="0" w:line="240" w:lineRule="auto"/>
              <w:jc w:val="right"/>
              <w:rPr>
                <w:rFonts w:ascii="Arial Narrow" w:hAnsi="Arial Narrow"/>
                <w:b/>
                <w:i/>
                <w:sz w:val="20"/>
                <w:szCs w:val="20"/>
              </w:rPr>
            </w:pPr>
            <w:r w:rsidRPr="00B921E9">
              <w:rPr>
                <w:rFonts w:ascii="Arial Narrow" w:hAnsi="Arial Narrow"/>
                <w:b/>
                <w:i/>
                <w:sz w:val="20"/>
              </w:rPr>
              <w:t>41</w:t>
            </w:r>
          </w:p>
        </w:tc>
        <w:tc>
          <w:tcPr>
            <w:tcW w:w="1038" w:type="pct"/>
            <w:gridSpan w:val="2"/>
            <w:tcBorders>
              <w:top w:val="single" w:sz="4" w:space="0" w:color="auto"/>
              <w:left w:val="nil"/>
              <w:bottom w:val="single" w:sz="4" w:space="0" w:color="auto"/>
              <w:right w:val="nil"/>
            </w:tcBorders>
            <w:shd w:val="clear" w:color="auto" w:fill="auto"/>
            <w:noWrap/>
          </w:tcPr>
          <w:p w14:paraId="1867DB4C" w14:textId="77777777" w:rsidR="00AE5BD5" w:rsidRPr="00B921E9" w:rsidRDefault="00AE5BD5" w:rsidP="00AE5BD5">
            <w:pPr>
              <w:spacing w:after="0" w:line="240" w:lineRule="auto"/>
              <w:jc w:val="right"/>
              <w:rPr>
                <w:rFonts w:ascii="Arial Narrow" w:hAnsi="Arial Narrow"/>
                <w:b/>
                <w:i/>
                <w:sz w:val="20"/>
                <w:szCs w:val="20"/>
              </w:rPr>
            </w:pPr>
            <w:r w:rsidRPr="00B921E9">
              <w:rPr>
                <w:rFonts w:ascii="Arial Narrow" w:hAnsi="Arial Narrow"/>
                <w:b/>
                <w:i/>
                <w:sz w:val="20"/>
              </w:rPr>
              <w:t>62</w:t>
            </w:r>
          </w:p>
        </w:tc>
        <w:tc>
          <w:tcPr>
            <w:tcW w:w="666" w:type="pct"/>
            <w:tcBorders>
              <w:top w:val="single" w:sz="4" w:space="0" w:color="auto"/>
              <w:left w:val="nil"/>
              <w:bottom w:val="single" w:sz="4" w:space="0" w:color="auto"/>
              <w:right w:val="single" w:sz="4" w:space="0" w:color="auto"/>
            </w:tcBorders>
          </w:tcPr>
          <w:p w14:paraId="6354B0DF" w14:textId="77777777" w:rsidR="00AE5BD5" w:rsidRPr="003B4D22" w:rsidRDefault="00AE5BD5" w:rsidP="00AE5BD5">
            <w:pPr>
              <w:spacing w:after="0" w:line="240" w:lineRule="auto"/>
              <w:jc w:val="right"/>
              <w:rPr>
                <w:rFonts w:ascii="Arial Narrow" w:hAnsi="Arial Narrow" w:cs="Calibri"/>
                <w:color w:val="000000"/>
                <w:sz w:val="20"/>
                <w:szCs w:val="20"/>
              </w:rPr>
            </w:pPr>
          </w:p>
        </w:tc>
      </w:tr>
      <w:tr w:rsidR="00AE5BD5" w:rsidRPr="003B4D22" w14:paraId="68F3DC23" w14:textId="77777777" w:rsidTr="003735E3">
        <w:tc>
          <w:tcPr>
            <w:tcW w:w="650" w:type="pct"/>
            <w:tcBorders>
              <w:top w:val="nil"/>
              <w:left w:val="single" w:sz="4" w:space="0" w:color="auto"/>
              <w:bottom w:val="nil"/>
              <w:right w:val="single" w:sz="4" w:space="0" w:color="auto"/>
            </w:tcBorders>
            <w:vAlign w:val="bottom"/>
          </w:tcPr>
          <w:p w14:paraId="31EEC267"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single" w:sz="4" w:space="0" w:color="auto"/>
              <w:right w:val="single" w:sz="4" w:space="0" w:color="auto"/>
            </w:tcBorders>
          </w:tcPr>
          <w:p w14:paraId="2FA4C73B" w14:textId="77777777" w:rsidR="00AE5BD5" w:rsidRPr="003B4D22" w:rsidRDefault="00AE5BD5" w:rsidP="00AE5BD5">
            <w:pPr>
              <w:spacing w:after="0" w:line="240" w:lineRule="auto"/>
              <w:rPr>
                <w:rFonts w:ascii="Arial Narrow" w:hAnsi="Arial Narrow" w:cs="Calibri"/>
                <w:color w:val="000000"/>
                <w:sz w:val="20"/>
                <w:szCs w:val="20"/>
              </w:rPr>
            </w:pPr>
            <w:r w:rsidRPr="003B4D22">
              <w:rPr>
                <w:rFonts w:ascii="Arial Narrow" w:hAnsi="Arial Narrow"/>
                <w:sz w:val="20"/>
                <w:szCs w:val="20"/>
              </w:rPr>
              <w:t xml:space="preserve">Patients with no infections </w:t>
            </w:r>
          </w:p>
        </w:tc>
        <w:tc>
          <w:tcPr>
            <w:tcW w:w="940" w:type="pct"/>
            <w:gridSpan w:val="2"/>
            <w:tcBorders>
              <w:top w:val="single" w:sz="4" w:space="0" w:color="auto"/>
              <w:left w:val="single" w:sz="4" w:space="0" w:color="auto"/>
              <w:bottom w:val="single" w:sz="4" w:space="0" w:color="auto"/>
              <w:right w:val="nil"/>
            </w:tcBorders>
            <w:shd w:val="clear" w:color="auto" w:fill="auto"/>
            <w:noWrap/>
          </w:tcPr>
          <w:p w14:paraId="5F7BE5CB"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szCs w:val="20"/>
              </w:rPr>
              <w:t>22*</w:t>
            </w:r>
          </w:p>
        </w:tc>
        <w:tc>
          <w:tcPr>
            <w:tcW w:w="1038" w:type="pct"/>
            <w:gridSpan w:val="2"/>
            <w:tcBorders>
              <w:top w:val="single" w:sz="4" w:space="0" w:color="auto"/>
              <w:left w:val="nil"/>
              <w:bottom w:val="single" w:sz="4" w:space="0" w:color="auto"/>
              <w:right w:val="nil"/>
            </w:tcBorders>
            <w:shd w:val="clear" w:color="auto" w:fill="auto"/>
            <w:noWrap/>
          </w:tcPr>
          <w:p w14:paraId="2F2B81E7"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sz w:val="20"/>
                <w:szCs w:val="20"/>
              </w:rPr>
              <w:t>10*</w:t>
            </w:r>
          </w:p>
        </w:tc>
        <w:tc>
          <w:tcPr>
            <w:tcW w:w="666" w:type="pct"/>
            <w:tcBorders>
              <w:top w:val="single" w:sz="4" w:space="0" w:color="auto"/>
              <w:left w:val="nil"/>
              <w:bottom w:val="single" w:sz="4" w:space="0" w:color="auto"/>
              <w:right w:val="single" w:sz="4" w:space="0" w:color="auto"/>
            </w:tcBorders>
          </w:tcPr>
          <w:p w14:paraId="332336A3" w14:textId="77777777" w:rsidR="00AE5BD5" w:rsidRPr="003B4D22" w:rsidRDefault="00AE5BD5" w:rsidP="00AE5BD5">
            <w:pPr>
              <w:spacing w:after="0" w:line="240" w:lineRule="auto"/>
              <w:jc w:val="right"/>
              <w:rPr>
                <w:rFonts w:ascii="Arial Narrow" w:hAnsi="Arial Narrow" w:cs="Calibri"/>
                <w:color w:val="000000"/>
                <w:sz w:val="20"/>
                <w:szCs w:val="20"/>
              </w:rPr>
            </w:pPr>
            <w:r w:rsidRPr="003B4D22">
              <w:rPr>
                <w:rFonts w:ascii="Arial Narrow" w:hAnsi="Arial Narrow" w:cs="Calibri"/>
                <w:color w:val="000000"/>
                <w:sz w:val="20"/>
                <w:szCs w:val="20"/>
              </w:rPr>
              <w:t xml:space="preserve">*p&lt;0.02 </w:t>
            </w:r>
            <w:r w:rsidRPr="003B4D22">
              <w:rPr>
                <w:rFonts w:ascii="Arial Narrow" w:hAnsi="Arial Narrow" w:cs="Calibri"/>
                <w:color w:val="000000"/>
                <w:sz w:val="20"/>
                <w:szCs w:val="20"/>
              </w:rPr>
              <w:br/>
              <w:t>(χ-square).</w:t>
            </w:r>
          </w:p>
        </w:tc>
      </w:tr>
      <w:tr w:rsidR="00AE5BD5" w:rsidRPr="003B4D22" w14:paraId="0DF914A4" w14:textId="77777777" w:rsidTr="003735E3">
        <w:tc>
          <w:tcPr>
            <w:tcW w:w="650" w:type="pct"/>
            <w:tcBorders>
              <w:top w:val="nil"/>
              <w:left w:val="single" w:sz="4" w:space="0" w:color="auto"/>
              <w:bottom w:val="nil"/>
              <w:right w:val="single" w:sz="4" w:space="0" w:color="auto"/>
            </w:tcBorders>
            <w:vAlign w:val="bottom"/>
          </w:tcPr>
          <w:p w14:paraId="6E510B25"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nil"/>
              <w:right w:val="single" w:sz="4" w:space="0" w:color="auto"/>
            </w:tcBorders>
          </w:tcPr>
          <w:p w14:paraId="362581E1" w14:textId="77777777" w:rsidR="00AE5BD5" w:rsidRPr="003B4D22" w:rsidRDefault="00AE5BD5" w:rsidP="00AE5BD5">
            <w:pPr>
              <w:spacing w:after="0" w:line="240" w:lineRule="auto"/>
              <w:rPr>
                <w:rFonts w:ascii="Arial Narrow" w:hAnsi="Arial Narrow"/>
                <w:i/>
                <w:sz w:val="20"/>
                <w:szCs w:val="20"/>
              </w:rPr>
            </w:pPr>
            <w:r w:rsidRPr="003B4D22">
              <w:rPr>
                <w:rFonts w:ascii="Arial Narrow" w:hAnsi="Arial Narrow"/>
                <w:i/>
                <w:sz w:val="20"/>
                <w:szCs w:val="20"/>
              </w:rPr>
              <w:t>Calculated infections rates</w:t>
            </w:r>
          </w:p>
        </w:tc>
        <w:tc>
          <w:tcPr>
            <w:tcW w:w="940" w:type="pct"/>
            <w:gridSpan w:val="2"/>
            <w:tcBorders>
              <w:top w:val="single" w:sz="4" w:space="0" w:color="auto"/>
              <w:left w:val="single" w:sz="4" w:space="0" w:color="auto"/>
              <w:bottom w:val="nil"/>
              <w:right w:val="nil"/>
            </w:tcBorders>
            <w:shd w:val="clear" w:color="auto" w:fill="auto"/>
            <w:noWrap/>
          </w:tcPr>
          <w:p w14:paraId="57F45CE5" w14:textId="77777777" w:rsidR="00AE5BD5" w:rsidRPr="003B4D22" w:rsidRDefault="00AE5BD5" w:rsidP="00AE5BD5">
            <w:pPr>
              <w:spacing w:after="0" w:line="240" w:lineRule="auto"/>
              <w:jc w:val="right"/>
              <w:rPr>
                <w:rFonts w:ascii="Arial Narrow" w:hAnsi="Arial Narrow"/>
                <w:i/>
                <w:sz w:val="20"/>
                <w:szCs w:val="20"/>
              </w:rPr>
            </w:pPr>
          </w:p>
        </w:tc>
        <w:tc>
          <w:tcPr>
            <w:tcW w:w="1038" w:type="pct"/>
            <w:gridSpan w:val="2"/>
            <w:tcBorders>
              <w:top w:val="single" w:sz="4" w:space="0" w:color="auto"/>
              <w:left w:val="nil"/>
              <w:bottom w:val="nil"/>
              <w:right w:val="nil"/>
            </w:tcBorders>
            <w:shd w:val="clear" w:color="auto" w:fill="auto"/>
            <w:noWrap/>
          </w:tcPr>
          <w:p w14:paraId="549C93F5" w14:textId="77777777" w:rsidR="00AE5BD5" w:rsidRPr="003B4D22" w:rsidRDefault="00AE5BD5" w:rsidP="00AE5BD5">
            <w:pPr>
              <w:spacing w:after="0" w:line="240" w:lineRule="auto"/>
              <w:jc w:val="right"/>
              <w:rPr>
                <w:rFonts w:ascii="Arial Narrow" w:hAnsi="Arial Narrow"/>
                <w:i/>
                <w:sz w:val="20"/>
                <w:szCs w:val="20"/>
              </w:rPr>
            </w:pPr>
          </w:p>
        </w:tc>
        <w:tc>
          <w:tcPr>
            <w:tcW w:w="666" w:type="pct"/>
            <w:tcBorders>
              <w:top w:val="single" w:sz="4" w:space="0" w:color="auto"/>
              <w:left w:val="nil"/>
              <w:bottom w:val="nil"/>
              <w:right w:val="single" w:sz="4" w:space="0" w:color="auto"/>
            </w:tcBorders>
          </w:tcPr>
          <w:p w14:paraId="15E504E2" w14:textId="77777777" w:rsidR="00AE5BD5" w:rsidRPr="003B4D22" w:rsidRDefault="00AE5BD5" w:rsidP="00AE5BD5">
            <w:pPr>
              <w:spacing w:after="0" w:line="240" w:lineRule="auto"/>
              <w:jc w:val="right"/>
              <w:rPr>
                <w:rFonts w:ascii="Arial Narrow" w:hAnsi="Arial Narrow" w:cs="Calibri"/>
                <w:color w:val="000000"/>
                <w:sz w:val="20"/>
                <w:szCs w:val="20"/>
              </w:rPr>
            </w:pPr>
          </w:p>
        </w:tc>
      </w:tr>
      <w:tr w:rsidR="00AE5BD5" w:rsidRPr="003B4D22" w14:paraId="56DBB2BE" w14:textId="77777777" w:rsidTr="003735E3">
        <w:tc>
          <w:tcPr>
            <w:tcW w:w="650" w:type="pct"/>
            <w:tcBorders>
              <w:top w:val="nil"/>
              <w:left w:val="single" w:sz="4" w:space="0" w:color="auto"/>
              <w:bottom w:val="nil"/>
              <w:right w:val="single" w:sz="4" w:space="0" w:color="auto"/>
            </w:tcBorders>
            <w:vAlign w:val="bottom"/>
          </w:tcPr>
          <w:p w14:paraId="27999672"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tcPr>
          <w:p w14:paraId="4A2D561A" w14:textId="77777777" w:rsidR="00AE5BD5" w:rsidRPr="003B4D22" w:rsidRDefault="00AE5BD5" w:rsidP="00AE5BD5">
            <w:pPr>
              <w:spacing w:after="0" w:line="240" w:lineRule="auto"/>
              <w:rPr>
                <w:rFonts w:ascii="Arial Narrow" w:hAnsi="Arial Narrow"/>
                <w:sz w:val="20"/>
                <w:szCs w:val="20"/>
              </w:rPr>
            </w:pPr>
            <w:r w:rsidRPr="003B4D22">
              <w:rPr>
                <w:rFonts w:ascii="Arial Narrow" w:hAnsi="Arial Narrow"/>
                <w:sz w:val="20"/>
                <w:szCs w:val="20"/>
              </w:rPr>
              <w:t>Patient-months, total</w:t>
            </w:r>
          </w:p>
        </w:tc>
        <w:tc>
          <w:tcPr>
            <w:tcW w:w="940" w:type="pct"/>
            <w:gridSpan w:val="2"/>
            <w:tcBorders>
              <w:top w:val="nil"/>
              <w:left w:val="single" w:sz="4" w:space="0" w:color="auto"/>
              <w:bottom w:val="nil"/>
              <w:right w:val="nil"/>
            </w:tcBorders>
            <w:shd w:val="clear" w:color="auto" w:fill="auto"/>
            <w:noWrap/>
          </w:tcPr>
          <w:p w14:paraId="484CF03F" w14:textId="77777777" w:rsidR="00AE5BD5" w:rsidRPr="003B4D22" w:rsidRDefault="00AE5BD5" w:rsidP="00AE5BD5">
            <w:pPr>
              <w:spacing w:after="0" w:line="240" w:lineRule="auto"/>
              <w:jc w:val="right"/>
              <w:rPr>
                <w:rFonts w:ascii="Arial Narrow" w:hAnsi="Arial Narrow"/>
                <w:sz w:val="20"/>
                <w:szCs w:val="20"/>
              </w:rPr>
            </w:pPr>
            <w:r w:rsidRPr="003B4D22">
              <w:rPr>
                <w:rFonts w:ascii="Arial Narrow" w:hAnsi="Arial Narrow"/>
                <w:sz w:val="20"/>
                <w:szCs w:val="20"/>
              </w:rPr>
              <w:t>376</w:t>
            </w:r>
          </w:p>
        </w:tc>
        <w:tc>
          <w:tcPr>
            <w:tcW w:w="1038" w:type="pct"/>
            <w:gridSpan w:val="2"/>
            <w:tcBorders>
              <w:top w:val="nil"/>
              <w:left w:val="nil"/>
              <w:bottom w:val="nil"/>
              <w:right w:val="nil"/>
            </w:tcBorders>
            <w:shd w:val="clear" w:color="auto" w:fill="auto"/>
            <w:noWrap/>
          </w:tcPr>
          <w:p w14:paraId="4AA981B2" w14:textId="77777777" w:rsidR="00AE5BD5" w:rsidRPr="003B4D22" w:rsidRDefault="00AE5BD5" w:rsidP="00AE5BD5">
            <w:pPr>
              <w:spacing w:after="0" w:line="240" w:lineRule="auto"/>
              <w:jc w:val="right"/>
              <w:rPr>
                <w:rFonts w:ascii="Arial Narrow" w:hAnsi="Arial Narrow"/>
                <w:sz w:val="20"/>
                <w:szCs w:val="20"/>
              </w:rPr>
            </w:pPr>
            <w:r w:rsidRPr="003B4D22">
              <w:rPr>
                <w:rFonts w:ascii="Arial Narrow" w:hAnsi="Arial Narrow"/>
                <w:sz w:val="20"/>
                <w:szCs w:val="20"/>
              </w:rPr>
              <w:t>368</w:t>
            </w:r>
          </w:p>
        </w:tc>
        <w:tc>
          <w:tcPr>
            <w:tcW w:w="666" w:type="pct"/>
            <w:tcBorders>
              <w:top w:val="nil"/>
              <w:left w:val="nil"/>
              <w:bottom w:val="nil"/>
              <w:right w:val="single" w:sz="4" w:space="0" w:color="auto"/>
            </w:tcBorders>
          </w:tcPr>
          <w:p w14:paraId="63E15737" w14:textId="77777777" w:rsidR="00AE5BD5" w:rsidRPr="003B4D22" w:rsidRDefault="00AE5BD5" w:rsidP="00AE5BD5">
            <w:pPr>
              <w:spacing w:after="0" w:line="240" w:lineRule="auto"/>
              <w:jc w:val="right"/>
              <w:rPr>
                <w:rFonts w:ascii="Arial Narrow" w:hAnsi="Arial Narrow" w:cs="Calibri"/>
                <w:color w:val="000000"/>
                <w:sz w:val="20"/>
                <w:szCs w:val="20"/>
              </w:rPr>
            </w:pPr>
          </w:p>
        </w:tc>
      </w:tr>
      <w:tr w:rsidR="00AE5BD5" w:rsidRPr="003B4D22" w14:paraId="6C975E99" w14:textId="77777777" w:rsidTr="003735E3">
        <w:tc>
          <w:tcPr>
            <w:tcW w:w="650" w:type="pct"/>
            <w:tcBorders>
              <w:top w:val="nil"/>
              <w:left w:val="single" w:sz="4" w:space="0" w:color="auto"/>
              <w:bottom w:val="nil"/>
              <w:right w:val="single" w:sz="4" w:space="0" w:color="auto"/>
            </w:tcBorders>
            <w:vAlign w:val="bottom"/>
          </w:tcPr>
          <w:p w14:paraId="45651417"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tcPr>
          <w:p w14:paraId="51C093DD" w14:textId="77777777" w:rsidR="00AE5BD5" w:rsidRPr="003B4D22" w:rsidRDefault="00AE5BD5" w:rsidP="00AE5BD5">
            <w:pPr>
              <w:spacing w:after="0" w:line="240" w:lineRule="auto"/>
              <w:rPr>
                <w:rFonts w:ascii="Arial Narrow" w:hAnsi="Arial Narrow"/>
                <w:i/>
                <w:sz w:val="20"/>
                <w:szCs w:val="20"/>
              </w:rPr>
            </w:pPr>
            <w:r w:rsidRPr="003B4D22">
              <w:rPr>
                <w:rFonts w:ascii="Arial Narrow" w:hAnsi="Arial Narrow"/>
                <w:i/>
                <w:sz w:val="20"/>
                <w:szCs w:val="20"/>
              </w:rPr>
              <w:t>Patient months, mean</w:t>
            </w:r>
          </w:p>
        </w:tc>
        <w:tc>
          <w:tcPr>
            <w:tcW w:w="940" w:type="pct"/>
            <w:gridSpan w:val="2"/>
            <w:tcBorders>
              <w:top w:val="nil"/>
              <w:left w:val="single" w:sz="4" w:space="0" w:color="auto"/>
              <w:bottom w:val="nil"/>
              <w:right w:val="nil"/>
            </w:tcBorders>
            <w:shd w:val="clear" w:color="auto" w:fill="auto"/>
            <w:noWrap/>
          </w:tcPr>
          <w:p w14:paraId="63F5797F" w14:textId="77777777" w:rsidR="00AE5BD5" w:rsidRPr="003B4D22" w:rsidRDefault="00AE5BD5" w:rsidP="00AE5BD5">
            <w:pPr>
              <w:spacing w:after="0" w:line="240" w:lineRule="auto"/>
              <w:jc w:val="right"/>
              <w:rPr>
                <w:rFonts w:ascii="Arial Narrow" w:hAnsi="Arial Narrow"/>
                <w:i/>
                <w:sz w:val="20"/>
                <w:szCs w:val="20"/>
              </w:rPr>
            </w:pPr>
            <w:r w:rsidRPr="003B4D22">
              <w:rPr>
                <w:rFonts w:ascii="Arial Narrow" w:hAnsi="Arial Narrow"/>
                <w:i/>
                <w:sz w:val="20"/>
              </w:rPr>
              <w:t>8.95</w:t>
            </w:r>
          </w:p>
        </w:tc>
        <w:tc>
          <w:tcPr>
            <w:tcW w:w="1038" w:type="pct"/>
            <w:gridSpan w:val="2"/>
            <w:tcBorders>
              <w:top w:val="nil"/>
              <w:left w:val="nil"/>
              <w:bottom w:val="nil"/>
              <w:right w:val="nil"/>
            </w:tcBorders>
            <w:shd w:val="clear" w:color="auto" w:fill="auto"/>
            <w:noWrap/>
          </w:tcPr>
          <w:p w14:paraId="5B42F2C6" w14:textId="77777777" w:rsidR="00AE5BD5" w:rsidRPr="003B4D22" w:rsidRDefault="00AE5BD5" w:rsidP="00AE5BD5">
            <w:pPr>
              <w:spacing w:after="0" w:line="240" w:lineRule="auto"/>
              <w:jc w:val="right"/>
              <w:rPr>
                <w:rFonts w:ascii="Arial Narrow" w:hAnsi="Arial Narrow"/>
                <w:i/>
                <w:sz w:val="20"/>
                <w:szCs w:val="20"/>
              </w:rPr>
            </w:pPr>
            <w:r w:rsidRPr="003B4D22">
              <w:rPr>
                <w:rFonts w:ascii="Arial Narrow" w:hAnsi="Arial Narrow"/>
                <w:i/>
                <w:sz w:val="20"/>
              </w:rPr>
              <w:t>8.76</w:t>
            </w:r>
          </w:p>
        </w:tc>
        <w:tc>
          <w:tcPr>
            <w:tcW w:w="666" w:type="pct"/>
            <w:tcBorders>
              <w:top w:val="nil"/>
              <w:left w:val="nil"/>
              <w:bottom w:val="nil"/>
              <w:right w:val="single" w:sz="4" w:space="0" w:color="auto"/>
            </w:tcBorders>
          </w:tcPr>
          <w:p w14:paraId="32687683" w14:textId="77777777" w:rsidR="00AE5BD5" w:rsidRPr="003B4D22" w:rsidRDefault="00AE5BD5" w:rsidP="00AE5BD5">
            <w:pPr>
              <w:spacing w:after="0" w:line="240" w:lineRule="auto"/>
              <w:jc w:val="right"/>
              <w:rPr>
                <w:rFonts w:ascii="Arial Narrow" w:hAnsi="Arial Narrow" w:cs="Calibri"/>
                <w:color w:val="000000"/>
                <w:sz w:val="20"/>
                <w:szCs w:val="20"/>
              </w:rPr>
            </w:pPr>
          </w:p>
        </w:tc>
      </w:tr>
      <w:tr w:rsidR="00AE5BD5" w:rsidRPr="003B4D22" w14:paraId="6D3279AA" w14:textId="77777777" w:rsidTr="003735E3">
        <w:tc>
          <w:tcPr>
            <w:tcW w:w="650" w:type="pct"/>
            <w:tcBorders>
              <w:top w:val="nil"/>
              <w:left w:val="single" w:sz="4" w:space="0" w:color="auto"/>
              <w:bottom w:val="nil"/>
              <w:right w:val="single" w:sz="4" w:space="0" w:color="auto"/>
            </w:tcBorders>
            <w:vAlign w:val="bottom"/>
          </w:tcPr>
          <w:p w14:paraId="0614F9B7"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left w:val="single" w:sz="4" w:space="0" w:color="auto"/>
              <w:bottom w:val="nil"/>
              <w:right w:val="single" w:sz="4" w:space="0" w:color="auto"/>
            </w:tcBorders>
          </w:tcPr>
          <w:p w14:paraId="6DBC84C5" w14:textId="77777777" w:rsidR="00AE5BD5" w:rsidRPr="003B4D22" w:rsidRDefault="00AE5BD5" w:rsidP="00AE5BD5">
            <w:pPr>
              <w:spacing w:after="0" w:line="240" w:lineRule="auto"/>
              <w:rPr>
                <w:rFonts w:ascii="Arial Narrow" w:hAnsi="Arial Narrow"/>
                <w:i/>
                <w:sz w:val="20"/>
                <w:szCs w:val="20"/>
              </w:rPr>
            </w:pPr>
            <w:r w:rsidRPr="003B4D22">
              <w:rPr>
                <w:rFonts w:ascii="Arial Narrow" w:hAnsi="Arial Narrow"/>
                <w:i/>
                <w:sz w:val="20"/>
              </w:rPr>
              <w:t>Infections per patient</w:t>
            </w:r>
          </w:p>
        </w:tc>
        <w:tc>
          <w:tcPr>
            <w:tcW w:w="940" w:type="pct"/>
            <w:gridSpan w:val="2"/>
            <w:tcBorders>
              <w:left w:val="single" w:sz="4" w:space="0" w:color="auto"/>
              <w:bottom w:val="nil"/>
              <w:right w:val="nil"/>
            </w:tcBorders>
            <w:shd w:val="clear" w:color="auto" w:fill="auto"/>
            <w:noWrap/>
          </w:tcPr>
          <w:p w14:paraId="743E689B" w14:textId="77777777" w:rsidR="00AE5BD5" w:rsidRPr="003B4D22" w:rsidRDefault="00AE5BD5" w:rsidP="00AE5BD5">
            <w:pPr>
              <w:spacing w:after="0" w:line="240" w:lineRule="auto"/>
              <w:jc w:val="right"/>
              <w:rPr>
                <w:rFonts w:ascii="Arial Narrow" w:hAnsi="Arial Narrow"/>
                <w:i/>
                <w:sz w:val="20"/>
                <w:szCs w:val="20"/>
              </w:rPr>
            </w:pPr>
            <w:r w:rsidRPr="003B4D22">
              <w:rPr>
                <w:rFonts w:ascii="Arial Narrow" w:hAnsi="Arial Narrow"/>
                <w:i/>
                <w:sz w:val="20"/>
              </w:rPr>
              <w:t>0.98</w:t>
            </w:r>
          </w:p>
        </w:tc>
        <w:tc>
          <w:tcPr>
            <w:tcW w:w="1038" w:type="pct"/>
            <w:gridSpan w:val="2"/>
            <w:tcBorders>
              <w:left w:val="nil"/>
              <w:bottom w:val="nil"/>
              <w:right w:val="nil"/>
            </w:tcBorders>
            <w:shd w:val="clear" w:color="auto" w:fill="auto"/>
            <w:noWrap/>
          </w:tcPr>
          <w:p w14:paraId="19400A02" w14:textId="77777777" w:rsidR="00AE5BD5" w:rsidRPr="003B4D22" w:rsidRDefault="00AE5BD5" w:rsidP="00AE5BD5">
            <w:pPr>
              <w:spacing w:after="0" w:line="240" w:lineRule="auto"/>
              <w:jc w:val="right"/>
              <w:rPr>
                <w:rFonts w:ascii="Arial Narrow" w:hAnsi="Arial Narrow"/>
                <w:i/>
                <w:sz w:val="20"/>
                <w:szCs w:val="20"/>
              </w:rPr>
            </w:pPr>
            <w:r w:rsidRPr="003B4D22">
              <w:rPr>
                <w:rFonts w:ascii="Arial Narrow" w:hAnsi="Arial Narrow"/>
                <w:i/>
                <w:sz w:val="20"/>
              </w:rPr>
              <w:t>1.48</w:t>
            </w:r>
          </w:p>
        </w:tc>
        <w:tc>
          <w:tcPr>
            <w:tcW w:w="666" w:type="pct"/>
            <w:tcBorders>
              <w:left w:val="nil"/>
              <w:bottom w:val="nil"/>
              <w:right w:val="single" w:sz="4" w:space="0" w:color="auto"/>
            </w:tcBorders>
          </w:tcPr>
          <w:p w14:paraId="48CCA067" w14:textId="77777777" w:rsidR="00AE5BD5" w:rsidRPr="003B4D22" w:rsidRDefault="00AE5BD5" w:rsidP="00AE5BD5">
            <w:pPr>
              <w:spacing w:after="0" w:line="240" w:lineRule="auto"/>
              <w:jc w:val="right"/>
              <w:rPr>
                <w:rFonts w:ascii="Arial Narrow" w:hAnsi="Arial Narrow" w:cs="Calibri"/>
                <w:color w:val="000000"/>
                <w:sz w:val="20"/>
                <w:szCs w:val="20"/>
              </w:rPr>
            </w:pPr>
          </w:p>
        </w:tc>
      </w:tr>
      <w:tr w:rsidR="00AE5BD5" w:rsidRPr="003B4D22" w14:paraId="63F028E2" w14:textId="77777777" w:rsidTr="003735E3">
        <w:tc>
          <w:tcPr>
            <w:tcW w:w="650" w:type="pct"/>
            <w:tcBorders>
              <w:top w:val="nil"/>
              <w:left w:val="single" w:sz="4" w:space="0" w:color="auto"/>
              <w:bottom w:val="nil"/>
              <w:right w:val="single" w:sz="4" w:space="0" w:color="auto"/>
            </w:tcBorders>
            <w:vAlign w:val="bottom"/>
          </w:tcPr>
          <w:p w14:paraId="44725E53"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tcPr>
          <w:p w14:paraId="729981D2" w14:textId="77777777" w:rsidR="00AE5BD5" w:rsidRPr="003B4D22" w:rsidRDefault="00AE5BD5" w:rsidP="00AE5BD5">
            <w:pPr>
              <w:spacing w:after="0" w:line="240" w:lineRule="auto"/>
              <w:rPr>
                <w:rFonts w:ascii="Arial Narrow" w:hAnsi="Arial Narrow"/>
                <w:i/>
                <w:sz w:val="20"/>
                <w:szCs w:val="20"/>
              </w:rPr>
            </w:pPr>
            <w:r w:rsidRPr="003B4D22">
              <w:rPr>
                <w:rFonts w:ascii="Arial Narrow" w:hAnsi="Arial Narrow"/>
                <w:i/>
                <w:sz w:val="20"/>
              </w:rPr>
              <w:t>Rate, infections /patient/month</w:t>
            </w:r>
          </w:p>
        </w:tc>
        <w:tc>
          <w:tcPr>
            <w:tcW w:w="940" w:type="pct"/>
            <w:gridSpan w:val="2"/>
            <w:tcBorders>
              <w:top w:val="nil"/>
              <w:left w:val="single" w:sz="4" w:space="0" w:color="auto"/>
              <w:bottom w:val="nil"/>
              <w:right w:val="nil"/>
            </w:tcBorders>
            <w:shd w:val="clear" w:color="auto" w:fill="auto"/>
            <w:noWrap/>
          </w:tcPr>
          <w:p w14:paraId="0616562B" w14:textId="77777777" w:rsidR="00AE5BD5" w:rsidRPr="003B4D22" w:rsidRDefault="00AE5BD5" w:rsidP="00AE5BD5">
            <w:pPr>
              <w:spacing w:after="0" w:line="240" w:lineRule="auto"/>
              <w:jc w:val="right"/>
              <w:rPr>
                <w:rFonts w:ascii="Arial Narrow" w:hAnsi="Arial Narrow"/>
                <w:i/>
                <w:sz w:val="20"/>
                <w:szCs w:val="20"/>
              </w:rPr>
            </w:pPr>
            <w:r w:rsidRPr="003B4D22">
              <w:rPr>
                <w:rFonts w:ascii="Arial Narrow" w:hAnsi="Arial Narrow"/>
                <w:i/>
                <w:sz w:val="20"/>
              </w:rPr>
              <w:t>0.109</w:t>
            </w:r>
          </w:p>
        </w:tc>
        <w:tc>
          <w:tcPr>
            <w:tcW w:w="1038" w:type="pct"/>
            <w:gridSpan w:val="2"/>
            <w:tcBorders>
              <w:top w:val="nil"/>
              <w:left w:val="nil"/>
              <w:bottom w:val="nil"/>
              <w:right w:val="nil"/>
            </w:tcBorders>
            <w:shd w:val="clear" w:color="auto" w:fill="auto"/>
            <w:noWrap/>
          </w:tcPr>
          <w:p w14:paraId="21F47349" w14:textId="77777777" w:rsidR="00AE5BD5" w:rsidRPr="003B4D22" w:rsidRDefault="00AE5BD5" w:rsidP="00AE5BD5">
            <w:pPr>
              <w:spacing w:after="0" w:line="240" w:lineRule="auto"/>
              <w:jc w:val="right"/>
              <w:rPr>
                <w:rFonts w:ascii="Arial Narrow" w:hAnsi="Arial Narrow"/>
                <w:i/>
                <w:sz w:val="20"/>
                <w:szCs w:val="20"/>
              </w:rPr>
            </w:pPr>
            <w:r w:rsidRPr="003B4D22">
              <w:rPr>
                <w:rFonts w:ascii="Arial Narrow" w:hAnsi="Arial Narrow"/>
                <w:i/>
                <w:sz w:val="20"/>
              </w:rPr>
              <w:t>0.168</w:t>
            </w:r>
          </w:p>
        </w:tc>
        <w:tc>
          <w:tcPr>
            <w:tcW w:w="666" w:type="pct"/>
            <w:tcBorders>
              <w:top w:val="nil"/>
              <w:left w:val="nil"/>
              <w:bottom w:val="nil"/>
              <w:right w:val="single" w:sz="4" w:space="0" w:color="auto"/>
            </w:tcBorders>
          </w:tcPr>
          <w:p w14:paraId="39F76BD2" w14:textId="77777777" w:rsidR="00AE5BD5" w:rsidRPr="003B4D22" w:rsidRDefault="00AE5BD5" w:rsidP="00AE5BD5">
            <w:pPr>
              <w:spacing w:after="0" w:line="240" w:lineRule="auto"/>
              <w:jc w:val="right"/>
              <w:rPr>
                <w:rFonts w:ascii="Arial Narrow" w:hAnsi="Arial Narrow" w:cs="Calibri"/>
                <w:color w:val="000000"/>
                <w:sz w:val="20"/>
                <w:szCs w:val="20"/>
              </w:rPr>
            </w:pPr>
          </w:p>
        </w:tc>
      </w:tr>
      <w:tr w:rsidR="00AE5BD5" w:rsidRPr="003B4D22" w14:paraId="056D137B" w14:textId="77777777" w:rsidTr="003735E3">
        <w:tc>
          <w:tcPr>
            <w:tcW w:w="650" w:type="pct"/>
            <w:tcBorders>
              <w:top w:val="nil"/>
              <w:left w:val="single" w:sz="4" w:space="0" w:color="auto"/>
              <w:bottom w:val="nil"/>
              <w:right w:val="single" w:sz="4" w:space="0" w:color="auto"/>
            </w:tcBorders>
            <w:vAlign w:val="bottom"/>
          </w:tcPr>
          <w:p w14:paraId="0F5D5EE4"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left w:val="single" w:sz="4" w:space="0" w:color="auto"/>
              <w:bottom w:val="nil"/>
              <w:right w:val="single" w:sz="4" w:space="0" w:color="auto"/>
            </w:tcBorders>
          </w:tcPr>
          <w:p w14:paraId="0C0DFCD1" w14:textId="77777777" w:rsidR="00AE5BD5" w:rsidRPr="003B4D22" w:rsidRDefault="00AE5BD5" w:rsidP="00AE5BD5">
            <w:pPr>
              <w:spacing w:after="0" w:line="240" w:lineRule="auto"/>
              <w:rPr>
                <w:rFonts w:ascii="Arial Narrow" w:hAnsi="Arial Narrow"/>
                <w:i/>
                <w:sz w:val="20"/>
              </w:rPr>
            </w:pPr>
            <w:r w:rsidRPr="003B4D22">
              <w:rPr>
                <w:rFonts w:ascii="Arial Narrow" w:hAnsi="Arial Narrow"/>
                <w:i/>
                <w:sz w:val="20"/>
              </w:rPr>
              <w:t>Major infections per patient</w:t>
            </w:r>
          </w:p>
        </w:tc>
        <w:tc>
          <w:tcPr>
            <w:tcW w:w="940" w:type="pct"/>
            <w:gridSpan w:val="2"/>
            <w:tcBorders>
              <w:left w:val="single" w:sz="4" w:space="0" w:color="auto"/>
              <w:bottom w:val="nil"/>
              <w:right w:val="nil"/>
            </w:tcBorders>
            <w:shd w:val="clear" w:color="auto" w:fill="auto"/>
            <w:noWrap/>
          </w:tcPr>
          <w:p w14:paraId="0FA882F2" w14:textId="77777777" w:rsidR="00AE5BD5" w:rsidRPr="003B4D22" w:rsidRDefault="00AE5BD5" w:rsidP="00AE5BD5">
            <w:pPr>
              <w:spacing w:after="0" w:line="240" w:lineRule="auto"/>
              <w:jc w:val="right"/>
              <w:rPr>
                <w:rFonts w:ascii="Arial Narrow" w:hAnsi="Arial Narrow"/>
                <w:i/>
                <w:sz w:val="20"/>
              </w:rPr>
            </w:pPr>
            <w:r w:rsidRPr="003B4D22">
              <w:rPr>
                <w:rFonts w:ascii="Arial Narrow" w:hAnsi="Arial Narrow"/>
                <w:i/>
                <w:sz w:val="20"/>
              </w:rPr>
              <w:t>0.119</w:t>
            </w:r>
          </w:p>
        </w:tc>
        <w:tc>
          <w:tcPr>
            <w:tcW w:w="1038" w:type="pct"/>
            <w:gridSpan w:val="2"/>
            <w:tcBorders>
              <w:left w:val="nil"/>
              <w:bottom w:val="nil"/>
              <w:right w:val="nil"/>
            </w:tcBorders>
            <w:shd w:val="clear" w:color="auto" w:fill="auto"/>
            <w:noWrap/>
          </w:tcPr>
          <w:p w14:paraId="4EB4270D" w14:textId="77777777" w:rsidR="00AE5BD5" w:rsidRPr="003B4D22" w:rsidRDefault="00AE5BD5" w:rsidP="00AE5BD5">
            <w:pPr>
              <w:spacing w:after="0" w:line="240" w:lineRule="auto"/>
              <w:jc w:val="right"/>
              <w:rPr>
                <w:rFonts w:ascii="Arial Narrow" w:hAnsi="Arial Narrow"/>
                <w:i/>
                <w:sz w:val="20"/>
              </w:rPr>
            </w:pPr>
            <w:r w:rsidRPr="003B4D22">
              <w:rPr>
                <w:rFonts w:ascii="Arial Narrow" w:hAnsi="Arial Narrow"/>
                <w:i/>
                <w:sz w:val="20"/>
              </w:rPr>
              <w:t>0.214</w:t>
            </w:r>
          </w:p>
        </w:tc>
        <w:tc>
          <w:tcPr>
            <w:tcW w:w="666" w:type="pct"/>
            <w:tcBorders>
              <w:left w:val="nil"/>
              <w:bottom w:val="nil"/>
              <w:right w:val="single" w:sz="4" w:space="0" w:color="auto"/>
            </w:tcBorders>
          </w:tcPr>
          <w:p w14:paraId="704AECD8" w14:textId="77777777" w:rsidR="00AE5BD5" w:rsidRPr="003B4D22" w:rsidRDefault="00AE5BD5" w:rsidP="00AE5BD5">
            <w:pPr>
              <w:spacing w:after="0" w:line="240" w:lineRule="auto"/>
              <w:jc w:val="right"/>
              <w:rPr>
                <w:rFonts w:ascii="Arial Narrow" w:hAnsi="Arial Narrow" w:cs="Calibri"/>
                <w:color w:val="000000"/>
                <w:sz w:val="20"/>
                <w:szCs w:val="20"/>
              </w:rPr>
            </w:pPr>
          </w:p>
        </w:tc>
      </w:tr>
      <w:tr w:rsidR="00AE5BD5" w:rsidRPr="003B4D22" w14:paraId="6520971E" w14:textId="77777777" w:rsidTr="003735E3">
        <w:tc>
          <w:tcPr>
            <w:tcW w:w="650" w:type="pct"/>
            <w:tcBorders>
              <w:top w:val="nil"/>
              <w:left w:val="single" w:sz="4" w:space="0" w:color="auto"/>
              <w:bottom w:val="single" w:sz="4" w:space="0" w:color="auto"/>
              <w:right w:val="single" w:sz="4" w:space="0" w:color="auto"/>
            </w:tcBorders>
            <w:vAlign w:val="bottom"/>
          </w:tcPr>
          <w:p w14:paraId="449116A5" w14:textId="77777777" w:rsidR="00AE5BD5" w:rsidRPr="003B4D22" w:rsidRDefault="00AE5BD5" w:rsidP="00AE5BD5">
            <w:pPr>
              <w:spacing w:after="0" w:line="240" w:lineRule="auto"/>
              <w:rPr>
                <w:rFonts w:ascii="Arial Narrow" w:hAnsi="Arial Narrow" w:cs="Calibri"/>
                <w:color w:val="000000"/>
                <w:sz w:val="20"/>
                <w:szCs w:val="20"/>
              </w:rPr>
            </w:pPr>
          </w:p>
        </w:tc>
        <w:tc>
          <w:tcPr>
            <w:tcW w:w="1706" w:type="pct"/>
            <w:tcBorders>
              <w:top w:val="nil"/>
              <w:left w:val="single" w:sz="4" w:space="0" w:color="auto"/>
              <w:bottom w:val="single" w:sz="4" w:space="0" w:color="auto"/>
              <w:right w:val="single" w:sz="4" w:space="0" w:color="auto"/>
            </w:tcBorders>
          </w:tcPr>
          <w:p w14:paraId="0D1EA44B" w14:textId="77777777" w:rsidR="00AE5BD5" w:rsidRPr="003B4D22" w:rsidRDefault="00AE5BD5" w:rsidP="00AE5BD5">
            <w:pPr>
              <w:spacing w:after="0" w:line="240" w:lineRule="auto"/>
              <w:rPr>
                <w:rFonts w:ascii="Arial Narrow" w:hAnsi="Arial Narrow"/>
                <w:i/>
                <w:sz w:val="20"/>
              </w:rPr>
            </w:pPr>
            <w:r w:rsidRPr="003B4D22">
              <w:rPr>
                <w:rFonts w:ascii="Arial Narrow" w:hAnsi="Arial Narrow"/>
                <w:i/>
                <w:sz w:val="20"/>
              </w:rPr>
              <w:t>Rate, major infections /patient/month</w:t>
            </w:r>
          </w:p>
        </w:tc>
        <w:tc>
          <w:tcPr>
            <w:tcW w:w="940" w:type="pct"/>
            <w:gridSpan w:val="2"/>
            <w:tcBorders>
              <w:top w:val="nil"/>
              <w:left w:val="single" w:sz="4" w:space="0" w:color="auto"/>
              <w:bottom w:val="single" w:sz="4" w:space="0" w:color="auto"/>
              <w:right w:val="nil"/>
            </w:tcBorders>
            <w:shd w:val="clear" w:color="auto" w:fill="auto"/>
            <w:noWrap/>
          </w:tcPr>
          <w:p w14:paraId="6B917762" w14:textId="77777777" w:rsidR="00AE5BD5" w:rsidRPr="003B4D22" w:rsidRDefault="00AE5BD5" w:rsidP="00AE5BD5">
            <w:pPr>
              <w:spacing w:after="0" w:line="240" w:lineRule="auto"/>
              <w:jc w:val="right"/>
              <w:rPr>
                <w:rFonts w:ascii="Arial Narrow" w:hAnsi="Arial Narrow"/>
                <w:i/>
                <w:sz w:val="20"/>
              </w:rPr>
            </w:pPr>
            <w:r w:rsidRPr="003B4D22">
              <w:rPr>
                <w:rFonts w:ascii="Arial Narrow" w:hAnsi="Arial Narrow"/>
                <w:i/>
                <w:sz w:val="20"/>
              </w:rPr>
              <w:t>0.013</w:t>
            </w:r>
          </w:p>
        </w:tc>
        <w:tc>
          <w:tcPr>
            <w:tcW w:w="1038" w:type="pct"/>
            <w:gridSpan w:val="2"/>
            <w:tcBorders>
              <w:top w:val="nil"/>
              <w:left w:val="nil"/>
              <w:bottom w:val="single" w:sz="4" w:space="0" w:color="auto"/>
              <w:right w:val="nil"/>
            </w:tcBorders>
            <w:shd w:val="clear" w:color="auto" w:fill="auto"/>
            <w:noWrap/>
          </w:tcPr>
          <w:p w14:paraId="469DD5E6" w14:textId="77777777" w:rsidR="00AE5BD5" w:rsidRPr="003B4D22" w:rsidRDefault="00AE5BD5" w:rsidP="00AE5BD5">
            <w:pPr>
              <w:spacing w:after="0" w:line="240" w:lineRule="auto"/>
              <w:jc w:val="right"/>
              <w:rPr>
                <w:rFonts w:ascii="Arial Narrow" w:hAnsi="Arial Narrow"/>
                <w:i/>
                <w:sz w:val="20"/>
              </w:rPr>
            </w:pPr>
            <w:r w:rsidRPr="003B4D22">
              <w:rPr>
                <w:rFonts w:ascii="Arial Narrow" w:hAnsi="Arial Narrow"/>
                <w:i/>
                <w:sz w:val="20"/>
              </w:rPr>
              <w:t>0.024</w:t>
            </w:r>
          </w:p>
        </w:tc>
        <w:tc>
          <w:tcPr>
            <w:tcW w:w="666" w:type="pct"/>
            <w:tcBorders>
              <w:top w:val="nil"/>
              <w:left w:val="nil"/>
              <w:bottom w:val="single" w:sz="4" w:space="0" w:color="auto"/>
              <w:right w:val="single" w:sz="4" w:space="0" w:color="auto"/>
            </w:tcBorders>
          </w:tcPr>
          <w:p w14:paraId="3023B697" w14:textId="77777777" w:rsidR="00AE5BD5" w:rsidRPr="003B4D22" w:rsidRDefault="00AE5BD5" w:rsidP="00AE5BD5">
            <w:pPr>
              <w:spacing w:after="0" w:line="240" w:lineRule="auto"/>
              <w:jc w:val="right"/>
              <w:rPr>
                <w:rFonts w:ascii="Arial Narrow" w:hAnsi="Arial Narrow" w:cs="Calibri"/>
                <w:color w:val="000000"/>
                <w:sz w:val="20"/>
                <w:szCs w:val="20"/>
              </w:rPr>
            </w:pPr>
          </w:p>
        </w:tc>
      </w:tr>
      <w:tr w:rsidR="00AE5BD5" w:rsidRPr="00386411" w14:paraId="166634BF" w14:textId="77777777" w:rsidTr="00B52A4F">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72729F" w14:textId="77777777" w:rsidR="00AE5BD5" w:rsidRPr="00386411" w:rsidRDefault="00AE5BD5" w:rsidP="00DA3E9F">
            <w:pPr>
              <w:keepNext/>
              <w:spacing w:after="0" w:line="240" w:lineRule="auto"/>
              <w:rPr>
                <w:rFonts w:ascii="Arial Narrow" w:hAnsi="Arial Narrow" w:cs="Calibri"/>
                <w:b/>
                <w:color w:val="000000"/>
                <w:sz w:val="20"/>
                <w:szCs w:val="20"/>
              </w:rPr>
            </w:pPr>
            <w:r w:rsidRPr="00386411">
              <w:rPr>
                <w:rFonts w:ascii="Arial Narrow" w:hAnsi="Arial Narrow"/>
                <w:b/>
                <w:sz w:val="20"/>
              </w:rPr>
              <w:t>Musto et al., 1995</w:t>
            </w:r>
          </w:p>
        </w:tc>
        <w:tc>
          <w:tcPr>
            <w:tcW w:w="17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A4229E" w14:textId="77777777" w:rsidR="00AE5BD5" w:rsidRPr="00386411" w:rsidRDefault="00AE5BD5" w:rsidP="00DA3E9F">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 xml:space="preserve">Infections outcomes </w:t>
            </w:r>
            <w:r w:rsidRPr="00386411">
              <w:rPr>
                <w:rFonts w:ascii="Arial Narrow" w:hAnsi="Arial Narrow" w:cs="Calibri"/>
                <w:b/>
                <w:color w:val="000000"/>
                <w:sz w:val="20"/>
                <w:szCs w:val="20"/>
              </w:rPr>
              <w:br/>
              <w:t>(6+12+6 mo crossover of either IVIg or No IVIg [observation])</w:t>
            </w:r>
          </w:p>
        </w:tc>
        <w:tc>
          <w:tcPr>
            <w:tcW w:w="940" w:type="pct"/>
            <w:gridSpan w:val="2"/>
            <w:tcBorders>
              <w:top w:val="single" w:sz="4" w:space="0" w:color="auto"/>
              <w:left w:val="single" w:sz="4" w:space="0" w:color="auto"/>
              <w:bottom w:val="single" w:sz="4" w:space="0" w:color="auto"/>
              <w:right w:val="nil"/>
            </w:tcBorders>
            <w:shd w:val="clear" w:color="auto" w:fill="D9D9D9" w:themeFill="background1" w:themeFillShade="D9"/>
            <w:noWrap/>
          </w:tcPr>
          <w:p w14:paraId="2FD0CD9C" w14:textId="77777777" w:rsidR="00AE5BD5" w:rsidRPr="00386411" w:rsidRDefault="00AE5BD5" w:rsidP="00DA3E9F">
            <w:pPr>
              <w:keepNext/>
              <w:spacing w:after="0" w:line="240" w:lineRule="auto"/>
              <w:jc w:val="center"/>
              <w:rPr>
                <w:rFonts w:ascii="Arial Narrow" w:hAnsi="Arial Narrow" w:cs="Calibri"/>
                <w:b/>
                <w:color w:val="000000"/>
                <w:sz w:val="20"/>
                <w:szCs w:val="20"/>
              </w:rPr>
            </w:pPr>
            <w:r w:rsidRPr="00386411">
              <w:rPr>
                <w:rFonts w:ascii="Arial Narrow" w:hAnsi="Arial Narrow"/>
                <w:b/>
                <w:sz w:val="20"/>
              </w:rPr>
              <w:t>During IVIg phases (N=25 received IVIg + observation)</w:t>
            </w:r>
          </w:p>
        </w:tc>
        <w:tc>
          <w:tcPr>
            <w:tcW w:w="1038" w:type="pct"/>
            <w:gridSpan w:val="2"/>
            <w:tcBorders>
              <w:top w:val="single" w:sz="4" w:space="0" w:color="auto"/>
              <w:left w:val="nil"/>
              <w:bottom w:val="single" w:sz="4" w:space="0" w:color="auto"/>
              <w:right w:val="nil"/>
            </w:tcBorders>
            <w:shd w:val="clear" w:color="auto" w:fill="D9D9D9" w:themeFill="background1" w:themeFillShade="D9"/>
            <w:noWrap/>
          </w:tcPr>
          <w:p w14:paraId="786C94B6" w14:textId="77777777" w:rsidR="00AE5BD5" w:rsidRPr="00386411" w:rsidRDefault="00AE5BD5" w:rsidP="00DA3E9F">
            <w:pPr>
              <w:keepNext/>
              <w:spacing w:after="0" w:line="240" w:lineRule="auto"/>
              <w:jc w:val="center"/>
              <w:rPr>
                <w:rFonts w:ascii="Arial Narrow" w:hAnsi="Arial Narrow" w:cs="Calibri"/>
                <w:b/>
                <w:color w:val="000000"/>
                <w:sz w:val="20"/>
                <w:szCs w:val="20"/>
              </w:rPr>
            </w:pPr>
            <w:r w:rsidRPr="00386411">
              <w:rPr>
                <w:rFonts w:ascii="Arial Narrow" w:hAnsi="Arial Narrow"/>
                <w:b/>
                <w:sz w:val="20"/>
              </w:rPr>
              <w:t>During No IVIg phases (N=25 received IVIg + observation)</w:t>
            </w:r>
          </w:p>
        </w:tc>
        <w:tc>
          <w:tcPr>
            <w:tcW w:w="666" w:type="pct"/>
            <w:tcBorders>
              <w:top w:val="single" w:sz="4" w:space="0" w:color="auto"/>
              <w:left w:val="nil"/>
              <w:bottom w:val="single" w:sz="4" w:space="0" w:color="auto"/>
              <w:right w:val="single" w:sz="4" w:space="0" w:color="auto"/>
            </w:tcBorders>
            <w:shd w:val="clear" w:color="auto" w:fill="D9D9D9" w:themeFill="background1" w:themeFillShade="D9"/>
          </w:tcPr>
          <w:p w14:paraId="78920F69" w14:textId="77777777" w:rsidR="00AE5BD5" w:rsidRPr="00386411" w:rsidRDefault="00AE5BD5" w:rsidP="00DA3E9F">
            <w:pPr>
              <w:keepNext/>
              <w:spacing w:after="0" w:line="240" w:lineRule="auto"/>
              <w:jc w:val="center"/>
              <w:rPr>
                <w:rFonts w:ascii="Arial Narrow" w:hAnsi="Arial Narrow" w:cs="Calibri"/>
                <w:b/>
                <w:color w:val="000000"/>
                <w:sz w:val="20"/>
                <w:szCs w:val="20"/>
              </w:rPr>
            </w:pPr>
            <w:r w:rsidRPr="00386411">
              <w:rPr>
                <w:rFonts w:ascii="Arial Narrow" w:hAnsi="Arial Narrow"/>
                <w:b/>
                <w:sz w:val="20"/>
              </w:rPr>
              <w:t>p-value</w:t>
            </w:r>
          </w:p>
        </w:tc>
      </w:tr>
      <w:tr w:rsidR="00B921E9" w:rsidRPr="003B4D22" w14:paraId="3C05AFDB" w14:textId="77777777" w:rsidTr="00DA3E9F">
        <w:tc>
          <w:tcPr>
            <w:tcW w:w="650" w:type="pct"/>
            <w:tcBorders>
              <w:top w:val="single" w:sz="4" w:space="0" w:color="auto"/>
              <w:left w:val="single" w:sz="4" w:space="0" w:color="auto"/>
              <w:right w:val="single" w:sz="4" w:space="0" w:color="auto"/>
            </w:tcBorders>
            <w:vAlign w:val="bottom"/>
          </w:tcPr>
          <w:p w14:paraId="6A0231C4" w14:textId="77777777" w:rsidR="00B921E9" w:rsidRPr="003B4D22" w:rsidRDefault="00B921E9" w:rsidP="00B921E9">
            <w:pPr>
              <w:spacing w:after="0" w:line="240" w:lineRule="auto"/>
              <w:rPr>
                <w:rFonts w:ascii="Arial Narrow" w:hAnsi="Arial Narrow" w:cs="Calibri"/>
                <w:color w:val="000000"/>
                <w:sz w:val="20"/>
                <w:szCs w:val="20"/>
              </w:rPr>
            </w:pPr>
            <w:r w:rsidRPr="003B4D22">
              <w:rPr>
                <w:rFonts w:ascii="Arial Narrow" w:hAnsi="Arial Narrow" w:cs="Calibri"/>
                <w:color w:val="000000"/>
                <w:sz w:val="20"/>
                <w:szCs w:val="20"/>
              </w:rPr>
              <w:t>MM</w:t>
            </w:r>
          </w:p>
        </w:tc>
        <w:tc>
          <w:tcPr>
            <w:tcW w:w="1706" w:type="pct"/>
            <w:tcBorders>
              <w:top w:val="single" w:sz="4" w:space="0" w:color="auto"/>
              <w:left w:val="single" w:sz="4" w:space="0" w:color="auto"/>
              <w:right w:val="single" w:sz="4" w:space="0" w:color="auto"/>
            </w:tcBorders>
          </w:tcPr>
          <w:p w14:paraId="713C16C0" w14:textId="322B9BA6" w:rsidR="00B921E9" w:rsidRPr="00DA3E9F" w:rsidRDefault="00B921E9" w:rsidP="00B921E9">
            <w:pPr>
              <w:spacing w:after="0" w:line="240" w:lineRule="auto"/>
              <w:rPr>
                <w:rFonts w:ascii="Arial Narrow" w:hAnsi="Arial Narrow" w:cs="Calibri"/>
                <w:b/>
                <w:color w:val="000000"/>
                <w:sz w:val="20"/>
                <w:szCs w:val="20"/>
              </w:rPr>
            </w:pPr>
            <w:r w:rsidRPr="00DA3E9F">
              <w:rPr>
                <w:rFonts w:ascii="Arial Narrow" w:hAnsi="Arial Narrow"/>
                <w:b/>
                <w:sz w:val="20"/>
              </w:rPr>
              <w:t>Serious infections</w:t>
            </w:r>
          </w:p>
        </w:tc>
        <w:tc>
          <w:tcPr>
            <w:tcW w:w="940" w:type="pct"/>
            <w:gridSpan w:val="2"/>
            <w:tcBorders>
              <w:top w:val="single" w:sz="4" w:space="0" w:color="auto"/>
              <w:left w:val="single" w:sz="4" w:space="0" w:color="auto"/>
              <w:right w:val="nil"/>
            </w:tcBorders>
            <w:shd w:val="clear" w:color="auto" w:fill="auto"/>
            <w:noWrap/>
          </w:tcPr>
          <w:p w14:paraId="2941A8D4" w14:textId="4DFEF536" w:rsidR="00B921E9" w:rsidRPr="00DA3E9F" w:rsidRDefault="00B921E9" w:rsidP="00B921E9">
            <w:pPr>
              <w:spacing w:after="0" w:line="240" w:lineRule="auto"/>
              <w:jc w:val="right"/>
              <w:rPr>
                <w:rFonts w:ascii="Arial Narrow" w:hAnsi="Arial Narrow" w:cs="Calibri"/>
                <w:b/>
                <w:color w:val="000000"/>
                <w:sz w:val="20"/>
                <w:szCs w:val="20"/>
              </w:rPr>
            </w:pPr>
            <w:r w:rsidRPr="00DA3E9F">
              <w:rPr>
                <w:rFonts w:ascii="Arial Narrow" w:hAnsi="Arial Narrow"/>
                <w:b/>
                <w:sz w:val="20"/>
              </w:rPr>
              <w:t>10</w:t>
            </w:r>
          </w:p>
        </w:tc>
        <w:tc>
          <w:tcPr>
            <w:tcW w:w="1038" w:type="pct"/>
            <w:gridSpan w:val="2"/>
            <w:tcBorders>
              <w:top w:val="single" w:sz="4" w:space="0" w:color="auto"/>
              <w:left w:val="nil"/>
              <w:right w:val="nil"/>
            </w:tcBorders>
            <w:shd w:val="clear" w:color="auto" w:fill="auto"/>
            <w:noWrap/>
          </w:tcPr>
          <w:p w14:paraId="56F6A834" w14:textId="49120484" w:rsidR="00B921E9" w:rsidRPr="00DA3E9F" w:rsidRDefault="00B921E9" w:rsidP="00B921E9">
            <w:pPr>
              <w:spacing w:after="0" w:line="240" w:lineRule="auto"/>
              <w:jc w:val="right"/>
              <w:rPr>
                <w:rFonts w:ascii="Arial Narrow" w:hAnsi="Arial Narrow" w:cs="Calibri"/>
                <w:b/>
                <w:color w:val="000000"/>
                <w:sz w:val="20"/>
                <w:szCs w:val="20"/>
              </w:rPr>
            </w:pPr>
            <w:r w:rsidRPr="00DA3E9F">
              <w:rPr>
                <w:rFonts w:ascii="Arial Narrow" w:hAnsi="Arial Narrow"/>
                <w:b/>
                <w:sz w:val="20"/>
              </w:rPr>
              <w:t>30</w:t>
            </w:r>
          </w:p>
        </w:tc>
        <w:tc>
          <w:tcPr>
            <w:tcW w:w="666" w:type="pct"/>
            <w:tcBorders>
              <w:top w:val="single" w:sz="4" w:space="0" w:color="auto"/>
              <w:left w:val="nil"/>
              <w:right w:val="single" w:sz="4" w:space="0" w:color="auto"/>
            </w:tcBorders>
          </w:tcPr>
          <w:p w14:paraId="4F9FAEE7" w14:textId="53440502" w:rsidR="00B921E9" w:rsidRPr="00DA3E9F" w:rsidRDefault="00B921E9" w:rsidP="00B921E9">
            <w:pPr>
              <w:spacing w:after="0" w:line="240" w:lineRule="auto"/>
              <w:jc w:val="right"/>
              <w:rPr>
                <w:rFonts w:ascii="Arial Narrow" w:hAnsi="Arial Narrow" w:cs="Calibri"/>
                <w:b/>
                <w:color w:val="000000"/>
                <w:sz w:val="20"/>
                <w:szCs w:val="20"/>
              </w:rPr>
            </w:pPr>
            <w:r w:rsidRPr="00DA3E9F">
              <w:rPr>
                <w:rFonts w:ascii="Arial Narrow" w:hAnsi="Arial Narrow"/>
                <w:b/>
                <w:sz w:val="20"/>
              </w:rPr>
              <w:t>p&lt;0.002</w:t>
            </w:r>
          </w:p>
        </w:tc>
      </w:tr>
      <w:tr w:rsidR="004C3A82" w:rsidRPr="003B4D22" w14:paraId="33F9C760" w14:textId="77777777" w:rsidTr="00DA3E9F">
        <w:tc>
          <w:tcPr>
            <w:tcW w:w="650" w:type="pct"/>
            <w:tcBorders>
              <w:left w:val="single" w:sz="4" w:space="0" w:color="auto"/>
              <w:right w:val="single" w:sz="4" w:space="0" w:color="auto"/>
            </w:tcBorders>
            <w:vAlign w:val="bottom"/>
          </w:tcPr>
          <w:p w14:paraId="2A25B36F" w14:textId="77777777" w:rsidR="004C3A82" w:rsidRPr="00DA3E9F" w:rsidRDefault="004C3A82" w:rsidP="00B921E9">
            <w:pPr>
              <w:spacing w:after="0" w:line="240" w:lineRule="auto"/>
              <w:rPr>
                <w:rFonts w:ascii="Arial Narrow" w:hAnsi="Arial Narrow" w:cs="Calibri"/>
                <w:b/>
                <w:color w:val="000000"/>
                <w:sz w:val="20"/>
                <w:szCs w:val="20"/>
              </w:rPr>
            </w:pPr>
          </w:p>
        </w:tc>
        <w:tc>
          <w:tcPr>
            <w:tcW w:w="1706" w:type="pct"/>
            <w:tcBorders>
              <w:left w:val="single" w:sz="4" w:space="0" w:color="auto"/>
              <w:right w:val="single" w:sz="4" w:space="0" w:color="auto"/>
            </w:tcBorders>
          </w:tcPr>
          <w:p w14:paraId="03617814" w14:textId="772347EE" w:rsidR="004C3A82" w:rsidRPr="003B4D22" w:rsidRDefault="004C3A82" w:rsidP="004C3A82">
            <w:pPr>
              <w:spacing w:after="0" w:line="240" w:lineRule="auto"/>
              <w:rPr>
                <w:rFonts w:ascii="Arial Narrow" w:hAnsi="Arial Narrow"/>
                <w:sz w:val="20"/>
              </w:rPr>
            </w:pPr>
            <w:r>
              <w:rPr>
                <w:rFonts w:ascii="Arial Narrow" w:hAnsi="Arial Narrow"/>
                <w:sz w:val="20"/>
              </w:rPr>
              <w:t xml:space="preserve">Of which, life-threatening </w:t>
            </w:r>
            <w:r>
              <w:rPr>
                <w:rFonts w:ascii="Arial Narrow" w:hAnsi="Arial Narrow"/>
                <w:sz w:val="20"/>
              </w:rPr>
              <w:br/>
              <w:t>(septicaemia or pneumonia)</w:t>
            </w:r>
          </w:p>
        </w:tc>
        <w:tc>
          <w:tcPr>
            <w:tcW w:w="940" w:type="pct"/>
            <w:gridSpan w:val="2"/>
            <w:tcBorders>
              <w:left w:val="single" w:sz="4" w:space="0" w:color="auto"/>
              <w:right w:val="nil"/>
            </w:tcBorders>
            <w:shd w:val="clear" w:color="auto" w:fill="auto"/>
            <w:noWrap/>
          </w:tcPr>
          <w:p w14:paraId="4D484712" w14:textId="0C63804F" w:rsidR="004C3A82" w:rsidRPr="003B4D22" w:rsidRDefault="004C3A82" w:rsidP="00B921E9">
            <w:pPr>
              <w:spacing w:after="0" w:line="240" w:lineRule="auto"/>
              <w:jc w:val="right"/>
              <w:rPr>
                <w:rFonts w:ascii="Arial Narrow" w:hAnsi="Arial Narrow"/>
                <w:sz w:val="20"/>
              </w:rPr>
            </w:pPr>
            <w:r>
              <w:rPr>
                <w:rFonts w:ascii="Arial Narrow" w:hAnsi="Arial Narrow"/>
                <w:sz w:val="20"/>
              </w:rPr>
              <w:t>0</w:t>
            </w:r>
          </w:p>
        </w:tc>
        <w:tc>
          <w:tcPr>
            <w:tcW w:w="1038" w:type="pct"/>
            <w:gridSpan w:val="2"/>
            <w:tcBorders>
              <w:left w:val="nil"/>
              <w:right w:val="nil"/>
            </w:tcBorders>
            <w:shd w:val="clear" w:color="auto" w:fill="auto"/>
            <w:noWrap/>
          </w:tcPr>
          <w:p w14:paraId="68DB5308" w14:textId="603E0334" w:rsidR="004C3A82" w:rsidRPr="003B4D22" w:rsidRDefault="004C3A82" w:rsidP="00B921E9">
            <w:pPr>
              <w:spacing w:after="0" w:line="240" w:lineRule="auto"/>
              <w:jc w:val="right"/>
              <w:rPr>
                <w:rFonts w:ascii="Arial Narrow" w:hAnsi="Arial Narrow"/>
                <w:sz w:val="20"/>
              </w:rPr>
            </w:pPr>
            <w:r>
              <w:rPr>
                <w:rFonts w:ascii="Arial Narrow" w:hAnsi="Arial Narrow"/>
                <w:sz w:val="20"/>
              </w:rPr>
              <w:t>9</w:t>
            </w:r>
          </w:p>
        </w:tc>
        <w:tc>
          <w:tcPr>
            <w:tcW w:w="666" w:type="pct"/>
            <w:tcBorders>
              <w:left w:val="nil"/>
              <w:right w:val="single" w:sz="4" w:space="0" w:color="auto"/>
            </w:tcBorders>
          </w:tcPr>
          <w:p w14:paraId="410D3D69" w14:textId="77777777" w:rsidR="004C3A82" w:rsidRPr="003B4D22" w:rsidRDefault="004C3A82" w:rsidP="00B921E9">
            <w:pPr>
              <w:spacing w:after="0" w:line="240" w:lineRule="auto"/>
              <w:jc w:val="right"/>
              <w:rPr>
                <w:rFonts w:ascii="Arial Narrow" w:hAnsi="Arial Narrow"/>
                <w:sz w:val="20"/>
              </w:rPr>
            </w:pPr>
          </w:p>
        </w:tc>
      </w:tr>
      <w:tr w:rsidR="00B921E9" w:rsidRPr="003B4D22" w14:paraId="799DA4AA" w14:textId="77777777" w:rsidTr="00DA3E9F">
        <w:tc>
          <w:tcPr>
            <w:tcW w:w="650" w:type="pct"/>
            <w:tcBorders>
              <w:left w:val="single" w:sz="4" w:space="0" w:color="auto"/>
              <w:bottom w:val="nil"/>
              <w:right w:val="single" w:sz="4" w:space="0" w:color="auto"/>
            </w:tcBorders>
            <w:vAlign w:val="bottom"/>
          </w:tcPr>
          <w:p w14:paraId="41383987" w14:textId="77777777" w:rsidR="00B921E9" w:rsidRPr="00DA3E9F" w:rsidRDefault="00B921E9" w:rsidP="00B921E9">
            <w:pPr>
              <w:spacing w:after="0" w:line="240" w:lineRule="auto"/>
              <w:rPr>
                <w:rFonts w:ascii="Arial Narrow" w:hAnsi="Arial Narrow" w:cs="Calibri"/>
                <w:b/>
                <w:color w:val="000000"/>
                <w:sz w:val="20"/>
                <w:szCs w:val="20"/>
              </w:rPr>
            </w:pPr>
          </w:p>
        </w:tc>
        <w:tc>
          <w:tcPr>
            <w:tcW w:w="1706" w:type="pct"/>
            <w:tcBorders>
              <w:left w:val="single" w:sz="4" w:space="0" w:color="auto"/>
              <w:bottom w:val="single" w:sz="4" w:space="0" w:color="auto"/>
              <w:right w:val="single" w:sz="4" w:space="0" w:color="auto"/>
            </w:tcBorders>
          </w:tcPr>
          <w:p w14:paraId="2503C922" w14:textId="5F400D11" w:rsidR="00B921E9" w:rsidRPr="003B4D22" w:rsidRDefault="00B921E9" w:rsidP="00B921E9">
            <w:pPr>
              <w:spacing w:after="0" w:line="240" w:lineRule="auto"/>
              <w:rPr>
                <w:rFonts w:ascii="Arial Narrow" w:hAnsi="Arial Narrow" w:cs="Calibri"/>
                <w:color w:val="000000"/>
                <w:sz w:val="20"/>
                <w:szCs w:val="20"/>
              </w:rPr>
            </w:pPr>
            <w:r w:rsidRPr="003B4D22">
              <w:rPr>
                <w:rFonts w:ascii="Arial Narrow" w:hAnsi="Arial Narrow"/>
                <w:i/>
                <w:sz w:val="20"/>
              </w:rPr>
              <w:t>Serious infections per patient</w:t>
            </w:r>
          </w:p>
        </w:tc>
        <w:tc>
          <w:tcPr>
            <w:tcW w:w="940" w:type="pct"/>
            <w:gridSpan w:val="2"/>
            <w:tcBorders>
              <w:left w:val="single" w:sz="4" w:space="0" w:color="auto"/>
              <w:bottom w:val="single" w:sz="4" w:space="0" w:color="auto"/>
              <w:right w:val="nil"/>
            </w:tcBorders>
            <w:shd w:val="clear" w:color="auto" w:fill="auto"/>
            <w:noWrap/>
          </w:tcPr>
          <w:p w14:paraId="1D47F612" w14:textId="37423FC2" w:rsidR="00B921E9" w:rsidRPr="003B4D22" w:rsidRDefault="00B921E9" w:rsidP="00B921E9">
            <w:pPr>
              <w:spacing w:after="0" w:line="240" w:lineRule="auto"/>
              <w:jc w:val="right"/>
              <w:rPr>
                <w:rFonts w:ascii="Arial Narrow" w:hAnsi="Arial Narrow" w:cs="Calibri"/>
                <w:color w:val="000000"/>
                <w:sz w:val="20"/>
                <w:szCs w:val="20"/>
              </w:rPr>
            </w:pPr>
            <w:r w:rsidRPr="003B4D22">
              <w:rPr>
                <w:rFonts w:ascii="Arial Narrow" w:hAnsi="Arial Narrow"/>
                <w:i/>
                <w:sz w:val="20"/>
                <w:szCs w:val="20"/>
              </w:rPr>
              <w:t>0.4</w:t>
            </w:r>
          </w:p>
        </w:tc>
        <w:tc>
          <w:tcPr>
            <w:tcW w:w="1038" w:type="pct"/>
            <w:gridSpan w:val="2"/>
            <w:tcBorders>
              <w:left w:val="nil"/>
              <w:bottom w:val="single" w:sz="4" w:space="0" w:color="auto"/>
              <w:right w:val="nil"/>
            </w:tcBorders>
            <w:shd w:val="clear" w:color="auto" w:fill="auto"/>
            <w:noWrap/>
          </w:tcPr>
          <w:p w14:paraId="6CB7C669" w14:textId="0394D59D" w:rsidR="00B921E9" w:rsidRPr="003B4D22" w:rsidRDefault="00B921E9" w:rsidP="00B921E9">
            <w:pPr>
              <w:spacing w:after="0" w:line="240" w:lineRule="auto"/>
              <w:jc w:val="right"/>
              <w:rPr>
                <w:rFonts w:ascii="Arial Narrow" w:hAnsi="Arial Narrow" w:cs="Calibri"/>
                <w:color w:val="000000"/>
                <w:sz w:val="20"/>
                <w:szCs w:val="20"/>
              </w:rPr>
            </w:pPr>
            <w:r w:rsidRPr="003B4D22">
              <w:rPr>
                <w:rFonts w:ascii="Arial Narrow" w:hAnsi="Arial Narrow"/>
                <w:i/>
                <w:sz w:val="20"/>
                <w:szCs w:val="20"/>
              </w:rPr>
              <w:t>1.2</w:t>
            </w:r>
          </w:p>
        </w:tc>
        <w:tc>
          <w:tcPr>
            <w:tcW w:w="666" w:type="pct"/>
            <w:tcBorders>
              <w:left w:val="nil"/>
              <w:bottom w:val="single" w:sz="4" w:space="0" w:color="auto"/>
              <w:right w:val="single" w:sz="4" w:space="0" w:color="auto"/>
            </w:tcBorders>
          </w:tcPr>
          <w:p w14:paraId="61439AFC" w14:textId="25D7618B" w:rsidR="00B921E9" w:rsidRPr="003B4D22" w:rsidRDefault="00B921E9" w:rsidP="00B921E9">
            <w:pPr>
              <w:spacing w:after="0" w:line="240" w:lineRule="auto"/>
              <w:jc w:val="right"/>
              <w:rPr>
                <w:rFonts w:ascii="Arial Narrow" w:hAnsi="Arial Narrow" w:cs="Calibri"/>
                <w:color w:val="000000"/>
                <w:sz w:val="20"/>
                <w:szCs w:val="20"/>
              </w:rPr>
            </w:pPr>
          </w:p>
        </w:tc>
      </w:tr>
      <w:tr w:rsidR="00B921E9" w:rsidRPr="003B4D22" w14:paraId="0B6C5385" w14:textId="77777777" w:rsidTr="003735E3">
        <w:tc>
          <w:tcPr>
            <w:tcW w:w="650" w:type="pct"/>
            <w:tcBorders>
              <w:top w:val="nil"/>
              <w:left w:val="single" w:sz="4" w:space="0" w:color="auto"/>
              <w:bottom w:val="nil"/>
              <w:right w:val="single" w:sz="4" w:space="0" w:color="auto"/>
            </w:tcBorders>
            <w:vAlign w:val="bottom"/>
          </w:tcPr>
          <w:p w14:paraId="2FC2F5E9" w14:textId="77777777" w:rsidR="00B921E9" w:rsidRPr="00DA3E9F" w:rsidRDefault="00B921E9" w:rsidP="00B921E9">
            <w:pPr>
              <w:spacing w:after="0" w:line="240" w:lineRule="auto"/>
              <w:rPr>
                <w:rFonts w:ascii="Arial Narrow" w:hAnsi="Arial Narrow" w:cs="Calibri"/>
                <w:b/>
                <w:i/>
                <w:color w:val="000000"/>
                <w:sz w:val="20"/>
                <w:szCs w:val="20"/>
              </w:rPr>
            </w:pPr>
          </w:p>
        </w:tc>
        <w:tc>
          <w:tcPr>
            <w:tcW w:w="1706" w:type="pct"/>
            <w:tcBorders>
              <w:top w:val="single" w:sz="4" w:space="0" w:color="auto"/>
              <w:left w:val="single" w:sz="4" w:space="0" w:color="auto"/>
              <w:bottom w:val="single" w:sz="4" w:space="0" w:color="auto"/>
              <w:right w:val="single" w:sz="4" w:space="0" w:color="auto"/>
            </w:tcBorders>
          </w:tcPr>
          <w:p w14:paraId="6560B1B3" w14:textId="20449CF9" w:rsidR="00B921E9" w:rsidRPr="00DA3E9F" w:rsidRDefault="00B921E9" w:rsidP="00B921E9">
            <w:pPr>
              <w:spacing w:after="0" w:line="240" w:lineRule="auto"/>
              <w:rPr>
                <w:rFonts w:ascii="Arial Narrow" w:hAnsi="Arial Narrow"/>
                <w:b/>
                <w:i/>
                <w:sz w:val="20"/>
              </w:rPr>
            </w:pPr>
            <w:r w:rsidRPr="00DA3E9F">
              <w:rPr>
                <w:rFonts w:ascii="Arial Narrow" w:hAnsi="Arial Narrow"/>
                <w:b/>
                <w:sz w:val="20"/>
              </w:rPr>
              <w:t>Minor infections</w:t>
            </w:r>
          </w:p>
        </w:tc>
        <w:tc>
          <w:tcPr>
            <w:tcW w:w="940" w:type="pct"/>
            <w:gridSpan w:val="2"/>
            <w:tcBorders>
              <w:top w:val="single" w:sz="4" w:space="0" w:color="auto"/>
              <w:left w:val="single" w:sz="4" w:space="0" w:color="auto"/>
              <w:bottom w:val="single" w:sz="4" w:space="0" w:color="auto"/>
              <w:right w:val="nil"/>
            </w:tcBorders>
            <w:shd w:val="clear" w:color="auto" w:fill="auto"/>
            <w:noWrap/>
          </w:tcPr>
          <w:p w14:paraId="498E19DC" w14:textId="0346BE19" w:rsidR="00B921E9" w:rsidRPr="00DA3E9F" w:rsidRDefault="00B921E9" w:rsidP="00B921E9">
            <w:pPr>
              <w:spacing w:after="0" w:line="240" w:lineRule="auto"/>
              <w:jc w:val="right"/>
              <w:rPr>
                <w:rFonts w:ascii="Arial Narrow" w:hAnsi="Arial Narrow"/>
                <w:b/>
                <w:i/>
                <w:sz w:val="20"/>
                <w:szCs w:val="20"/>
              </w:rPr>
            </w:pPr>
            <w:r w:rsidRPr="00DA3E9F">
              <w:rPr>
                <w:rFonts w:ascii="Arial Narrow" w:hAnsi="Arial Narrow"/>
                <w:b/>
                <w:sz w:val="20"/>
              </w:rPr>
              <w:t>23</w:t>
            </w:r>
          </w:p>
        </w:tc>
        <w:tc>
          <w:tcPr>
            <w:tcW w:w="1038" w:type="pct"/>
            <w:gridSpan w:val="2"/>
            <w:tcBorders>
              <w:top w:val="single" w:sz="4" w:space="0" w:color="auto"/>
              <w:left w:val="nil"/>
              <w:bottom w:val="single" w:sz="4" w:space="0" w:color="auto"/>
              <w:right w:val="nil"/>
            </w:tcBorders>
            <w:shd w:val="clear" w:color="auto" w:fill="auto"/>
            <w:noWrap/>
          </w:tcPr>
          <w:p w14:paraId="6B82F419" w14:textId="4BF77D0E" w:rsidR="00B921E9" w:rsidRPr="00DA3E9F" w:rsidRDefault="00B921E9" w:rsidP="00B921E9">
            <w:pPr>
              <w:spacing w:after="0" w:line="240" w:lineRule="auto"/>
              <w:jc w:val="right"/>
              <w:rPr>
                <w:rFonts w:ascii="Arial Narrow" w:hAnsi="Arial Narrow"/>
                <w:b/>
                <w:i/>
                <w:sz w:val="20"/>
                <w:szCs w:val="20"/>
              </w:rPr>
            </w:pPr>
            <w:r w:rsidRPr="00DA3E9F">
              <w:rPr>
                <w:rFonts w:ascii="Arial Narrow" w:hAnsi="Arial Narrow"/>
                <w:b/>
                <w:sz w:val="20"/>
              </w:rPr>
              <w:t>27</w:t>
            </w:r>
          </w:p>
        </w:tc>
        <w:tc>
          <w:tcPr>
            <w:tcW w:w="666" w:type="pct"/>
            <w:tcBorders>
              <w:top w:val="single" w:sz="4" w:space="0" w:color="auto"/>
              <w:left w:val="nil"/>
              <w:bottom w:val="single" w:sz="4" w:space="0" w:color="auto"/>
              <w:right w:val="single" w:sz="4" w:space="0" w:color="auto"/>
            </w:tcBorders>
          </w:tcPr>
          <w:p w14:paraId="19DB417F" w14:textId="70854FDC" w:rsidR="00B921E9" w:rsidRPr="00DA3E9F" w:rsidRDefault="00B921E9" w:rsidP="00B921E9">
            <w:pPr>
              <w:spacing w:after="0" w:line="240" w:lineRule="auto"/>
              <w:jc w:val="right"/>
              <w:rPr>
                <w:rFonts w:ascii="Arial Narrow" w:hAnsi="Arial Narrow"/>
                <w:b/>
                <w:i/>
                <w:sz w:val="20"/>
              </w:rPr>
            </w:pPr>
            <w:r w:rsidRPr="00DA3E9F">
              <w:rPr>
                <w:rFonts w:ascii="Arial Narrow" w:hAnsi="Arial Narrow"/>
                <w:b/>
                <w:sz w:val="20"/>
              </w:rPr>
              <w:t xml:space="preserve">n.s. </w:t>
            </w:r>
          </w:p>
        </w:tc>
      </w:tr>
      <w:tr w:rsidR="00DA3E9F" w:rsidRPr="00DA3E9F" w14:paraId="133D1B37" w14:textId="77777777" w:rsidTr="00DA3E9F">
        <w:tc>
          <w:tcPr>
            <w:tcW w:w="650" w:type="pct"/>
            <w:tcBorders>
              <w:top w:val="nil"/>
              <w:left w:val="single" w:sz="4" w:space="0" w:color="auto"/>
              <w:bottom w:val="nil"/>
              <w:right w:val="single" w:sz="4" w:space="0" w:color="auto"/>
            </w:tcBorders>
            <w:vAlign w:val="bottom"/>
          </w:tcPr>
          <w:p w14:paraId="3CFB8F47" w14:textId="77777777" w:rsidR="00DA3E9F" w:rsidRPr="00DA3E9F" w:rsidRDefault="00DA3E9F" w:rsidP="00B921E9">
            <w:pPr>
              <w:spacing w:after="0" w:line="240" w:lineRule="auto"/>
              <w:rPr>
                <w:rFonts w:ascii="Arial Narrow" w:hAnsi="Arial Narrow" w:cs="Calibri"/>
                <w:b/>
                <w:i/>
                <w:color w:val="000000"/>
                <w:sz w:val="20"/>
                <w:szCs w:val="20"/>
              </w:rPr>
            </w:pPr>
          </w:p>
        </w:tc>
        <w:tc>
          <w:tcPr>
            <w:tcW w:w="1706" w:type="pct"/>
            <w:tcBorders>
              <w:top w:val="single" w:sz="4" w:space="0" w:color="auto"/>
              <w:left w:val="single" w:sz="4" w:space="0" w:color="auto"/>
              <w:bottom w:val="single" w:sz="4" w:space="0" w:color="auto"/>
              <w:right w:val="single" w:sz="4" w:space="0" w:color="auto"/>
            </w:tcBorders>
          </w:tcPr>
          <w:p w14:paraId="19B468C4" w14:textId="2A49C1CE" w:rsidR="00DA3E9F" w:rsidRPr="00DA3E9F" w:rsidRDefault="00DA3E9F" w:rsidP="00B921E9">
            <w:pPr>
              <w:spacing w:after="0" w:line="240" w:lineRule="auto"/>
              <w:rPr>
                <w:rFonts w:ascii="Arial Narrow" w:hAnsi="Arial Narrow"/>
                <w:b/>
                <w:i/>
                <w:sz w:val="20"/>
              </w:rPr>
            </w:pPr>
            <w:r w:rsidRPr="00DA3E9F">
              <w:rPr>
                <w:rFonts w:ascii="Arial Narrow" w:hAnsi="Arial Narrow"/>
                <w:b/>
                <w:i/>
                <w:sz w:val="20"/>
              </w:rPr>
              <w:t>Total infections</w:t>
            </w:r>
          </w:p>
        </w:tc>
        <w:tc>
          <w:tcPr>
            <w:tcW w:w="940" w:type="pct"/>
            <w:gridSpan w:val="2"/>
            <w:tcBorders>
              <w:top w:val="single" w:sz="4" w:space="0" w:color="auto"/>
              <w:left w:val="single" w:sz="4" w:space="0" w:color="auto"/>
              <w:bottom w:val="single" w:sz="4" w:space="0" w:color="auto"/>
              <w:right w:val="nil"/>
            </w:tcBorders>
            <w:shd w:val="clear" w:color="auto" w:fill="auto"/>
            <w:noWrap/>
          </w:tcPr>
          <w:p w14:paraId="3923F61A" w14:textId="6A9CD7D8" w:rsidR="00DA3E9F" w:rsidRPr="00DA3E9F" w:rsidRDefault="00DA3E9F" w:rsidP="00B921E9">
            <w:pPr>
              <w:spacing w:after="0" w:line="240" w:lineRule="auto"/>
              <w:jc w:val="right"/>
              <w:rPr>
                <w:rFonts w:ascii="Arial Narrow" w:hAnsi="Arial Narrow"/>
                <w:b/>
                <w:i/>
                <w:sz w:val="20"/>
              </w:rPr>
            </w:pPr>
            <w:r w:rsidRPr="00DA3E9F">
              <w:rPr>
                <w:rFonts w:ascii="Arial Narrow" w:hAnsi="Arial Narrow"/>
                <w:b/>
                <w:i/>
                <w:sz w:val="20"/>
              </w:rPr>
              <w:t>33</w:t>
            </w:r>
          </w:p>
        </w:tc>
        <w:tc>
          <w:tcPr>
            <w:tcW w:w="1038" w:type="pct"/>
            <w:gridSpan w:val="2"/>
            <w:tcBorders>
              <w:top w:val="single" w:sz="4" w:space="0" w:color="auto"/>
              <w:left w:val="nil"/>
              <w:bottom w:val="single" w:sz="4" w:space="0" w:color="auto"/>
              <w:right w:val="nil"/>
            </w:tcBorders>
            <w:shd w:val="clear" w:color="auto" w:fill="auto"/>
            <w:noWrap/>
          </w:tcPr>
          <w:p w14:paraId="33A5278D" w14:textId="1E117BC5" w:rsidR="00DA3E9F" w:rsidRPr="00DA3E9F" w:rsidRDefault="00DA3E9F" w:rsidP="00B921E9">
            <w:pPr>
              <w:spacing w:after="0" w:line="240" w:lineRule="auto"/>
              <w:jc w:val="right"/>
              <w:rPr>
                <w:rFonts w:ascii="Arial Narrow" w:hAnsi="Arial Narrow"/>
                <w:b/>
                <w:i/>
                <w:sz w:val="20"/>
              </w:rPr>
            </w:pPr>
            <w:r w:rsidRPr="00DA3E9F">
              <w:rPr>
                <w:rFonts w:ascii="Arial Narrow" w:hAnsi="Arial Narrow"/>
                <w:b/>
                <w:i/>
                <w:sz w:val="20"/>
              </w:rPr>
              <w:t>57</w:t>
            </w:r>
          </w:p>
        </w:tc>
        <w:tc>
          <w:tcPr>
            <w:tcW w:w="666" w:type="pct"/>
            <w:tcBorders>
              <w:top w:val="single" w:sz="4" w:space="0" w:color="auto"/>
              <w:left w:val="nil"/>
              <w:bottom w:val="single" w:sz="4" w:space="0" w:color="auto"/>
              <w:right w:val="single" w:sz="4" w:space="0" w:color="auto"/>
            </w:tcBorders>
          </w:tcPr>
          <w:p w14:paraId="61EB1979" w14:textId="77777777" w:rsidR="00DA3E9F" w:rsidRPr="00DA3E9F" w:rsidRDefault="00DA3E9F" w:rsidP="00B921E9">
            <w:pPr>
              <w:spacing w:after="0" w:line="240" w:lineRule="auto"/>
              <w:jc w:val="right"/>
              <w:rPr>
                <w:rFonts w:ascii="Arial Narrow" w:hAnsi="Arial Narrow"/>
                <w:i/>
                <w:sz w:val="20"/>
              </w:rPr>
            </w:pPr>
          </w:p>
        </w:tc>
      </w:tr>
      <w:tr w:rsidR="00B921E9" w:rsidRPr="003B4D22" w14:paraId="45753513" w14:textId="77777777" w:rsidTr="00DA3E9F">
        <w:tc>
          <w:tcPr>
            <w:tcW w:w="650" w:type="pct"/>
            <w:tcBorders>
              <w:top w:val="nil"/>
              <w:left w:val="single" w:sz="4" w:space="0" w:color="auto"/>
              <w:bottom w:val="nil"/>
              <w:right w:val="single" w:sz="4" w:space="0" w:color="auto"/>
            </w:tcBorders>
            <w:vAlign w:val="bottom"/>
          </w:tcPr>
          <w:p w14:paraId="55CCD980" w14:textId="77777777" w:rsidR="00B921E9" w:rsidRPr="00DA3E9F" w:rsidRDefault="00B921E9" w:rsidP="00B921E9">
            <w:pPr>
              <w:spacing w:after="0" w:line="240" w:lineRule="auto"/>
              <w:rPr>
                <w:rFonts w:ascii="Arial Narrow" w:hAnsi="Arial Narrow" w:cs="Calibri"/>
                <w:b/>
                <w:color w:val="000000"/>
                <w:sz w:val="20"/>
                <w:szCs w:val="20"/>
              </w:rPr>
            </w:pPr>
          </w:p>
        </w:tc>
        <w:tc>
          <w:tcPr>
            <w:tcW w:w="1706" w:type="pct"/>
            <w:tcBorders>
              <w:top w:val="single" w:sz="4" w:space="0" w:color="auto"/>
              <w:left w:val="single" w:sz="4" w:space="0" w:color="auto"/>
              <w:right w:val="single" w:sz="4" w:space="0" w:color="auto"/>
            </w:tcBorders>
          </w:tcPr>
          <w:p w14:paraId="2EC0E894" w14:textId="77777777" w:rsidR="00B921E9" w:rsidRPr="003B4D22" w:rsidRDefault="00B921E9" w:rsidP="00B921E9">
            <w:pPr>
              <w:spacing w:after="0" w:line="240" w:lineRule="auto"/>
              <w:rPr>
                <w:rFonts w:ascii="Arial Narrow" w:hAnsi="Arial Narrow" w:cs="Calibri"/>
                <w:color w:val="000000"/>
                <w:sz w:val="20"/>
                <w:szCs w:val="20"/>
              </w:rPr>
            </w:pPr>
            <w:r w:rsidRPr="003B4D22">
              <w:rPr>
                <w:rFonts w:ascii="Arial Narrow" w:hAnsi="Arial Narrow"/>
                <w:sz w:val="20"/>
              </w:rPr>
              <w:t>Patient months, total</w:t>
            </w:r>
          </w:p>
        </w:tc>
        <w:tc>
          <w:tcPr>
            <w:tcW w:w="940" w:type="pct"/>
            <w:gridSpan w:val="2"/>
            <w:tcBorders>
              <w:top w:val="single" w:sz="4" w:space="0" w:color="auto"/>
              <w:left w:val="single" w:sz="4" w:space="0" w:color="auto"/>
              <w:right w:val="nil"/>
            </w:tcBorders>
            <w:shd w:val="clear" w:color="auto" w:fill="auto"/>
            <w:noWrap/>
          </w:tcPr>
          <w:p w14:paraId="39A750E1" w14:textId="77777777" w:rsidR="00B921E9" w:rsidRPr="003B4D22" w:rsidRDefault="00B921E9" w:rsidP="00B921E9">
            <w:pPr>
              <w:spacing w:after="0" w:line="240" w:lineRule="auto"/>
              <w:jc w:val="right"/>
              <w:rPr>
                <w:rFonts w:ascii="Arial Narrow" w:hAnsi="Arial Narrow" w:cs="Calibri"/>
                <w:color w:val="000000"/>
                <w:sz w:val="20"/>
                <w:szCs w:val="20"/>
              </w:rPr>
            </w:pPr>
            <w:r w:rsidRPr="003B4D22">
              <w:rPr>
                <w:rFonts w:ascii="Arial Narrow" w:hAnsi="Arial Narrow"/>
                <w:sz w:val="20"/>
                <w:szCs w:val="20"/>
              </w:rPr>
              <w:t>261</w:t>
            </w:r>
          </w:p>
        </w:tc>
        <w:tc>
          <w:tcPr>
            <w:tcW w:w="1038" w:type="pct"/>
            <w:gridSpan w:val="2"/>
            <w:tcBorders>
              <w:top w:val="single" w:sz="4" w:space="0" w:color="auto"/>
              <w:left w:val="nil"/>
              <w:right w:val="nil"/>
            </w:tcBorders>
            <w:shd w:val="clear" w:color="auto" w:fill="auto"/>
            <w:noWrap/>
          </w:tcPr>
          <w:p w14:paraId="62D69CC8" w14:textId="77777777" w:rsidR="00B921E9" w:rsidRPr="003B4D22" w:rsidRDefault="00B921E9" w:rsidP="00B921E9">
            <w:pPr>
              <w:spacing w:after="0" w:line="240" w:lineRule="auto"/>
              <w:jc w:val="right"/>
              <w:rPr>
                <w:rFonts w:ascii="Arial Narrow" w:hAnsi="Arial Narrow" w:cs="Calibri"/>
                <w:color w:val="000000"/>
                <w:sz w:val="20"/>
                <w:szCs w:val="20"/>
              </w:rPr>
            </w:pPr>
            <w:r w:rsidRPr="003B4D22">
              <w:rPr>
                <w:rFonts w:ascii="Arial Narrow" w:hAnsi="Arial Narrow"/>
                <w:sz w:val="20"/>
                <w:szCs w:val="20"/>
              </w:rPr>
              <w:t>250</w:t>
            </w:r>
          </w:p>
        </w:tc>
        <w:tc>
          <w:tcPr>
            <w:tcW w:w="666" w:type="pct"/>
            <w:tcBorders>
              <w:top w:val="single" w:sz="4" w:space="0" w:color="auto"/>
              <w:left w:val="nil"/>
              <w:right w:val="single" w:sz="4" w:space="0" w:color="auto"/>
            </w:tcBorders>
          </w:tcPr>
          <w:p w14:paraId="5E4984B6" w14:textId="77777777" w:rsidR="00B921E9" w:rsidRPr="003B4D22" w:rsidRDefault="00B921E9" w:rsidP="00B921E9">
            <w:pPr>
              <w:spacing w:after="0" w:line="240" w:lineRule="auto"/>
              <w:jc w:val="right"/>
              <w:rPr>
                <w:rFonts w:ascii="Arial Narrow" w:hAnsi="Arial Narrow" w:cs="Calibri"/>
                <w:color w:val="000000"/>
                <w:sz w:val="20"/>
                <w:szCs w:val="20"/>
              </w:rPr>
            </w:pPr>
          </w:p>
        </w:tc>
      </w:tr>
      <w:tr w:rsidR="00B921E9" w:rsidRPr="003B4D22" w14:paraId="3095CF71" w14:textId="77777777" w:rsidTr="007D3D74">
        <w:tc>
          <w:tcPr>
            <w:tcW w:w="650" w:type="pct"/>
            <w:tcBorders>
              <w:top w:val="nil"/>
              <w:left w:val="single" w:sz="4" w:space="0" w:color="auto"/>
              <w:right w:val="single" w:sz="4" w:space="0" w:color="auto"/>
            </w:tcBorders>
            <w:vAlign w:val="bottom"/>
          </w:tcPr>
          <w:p w14:paraId="3C81F684" w14:textId="77777777" w:rsidR="00B921E9" w:rsidRPr="00DA3E9F" w:rsidRDefault="00B921E9" w:rsidP="00B921E9">
            <w:pPr>
              <w:spacing w:after="0" w:line="240" w:lineRule="auto"/>
              <w:rPr>
                <w:rFonts w:ascii="Arial Narrow" w:hAnsi="Arial Narrow" w:cs="Calibri"/>
                <w:b/>
                <w:i/>
                <w:color w:val="000000"/>
                <w:sz w:val="20"/>
                <w:szCs w:val="20"/>
              </w:rPr>
            </w:pPr>
          </w:p>
        </w:tc>
        <w:tc>
          <w:tcPr>
            <w:tcW w:w="1706" w:type="pct"/>
            <w:tcBorders>
              <w:left w:val="single" w:sz="4" w:space="0" w:color="auto"/>
              <w:right w:val="single" w:sz="4" w:space="0" w:color="auto"/>
            </w:tcBorders>
          </w:tcPr>
          <w:p w14:paraId="60DAECE9" w14:textId="77777777" w:rsidR="00B921E9" w:rsidRPr="003B4D22" w:rsidRDefault="00B921E9" w:rsidP="00B921E9">
            <w:pPr>
              <w:spacing w:after="0" w:line="240" w:lineRule="auto"/>
              <w:rPr>
                <w:rFonts w:ascii="Arial Narrow" w:hAnsi="Arial Narrow"/>
                <w:i/>
                <w:sz w:val="20"/>
              </w:rPr>
            </w:pPr>
            <w:r w:rsidRPr="003B4D22">
              <w:rPr>
                <w:rFonts w:ascii="Arial Narrow" w:hAnsi="Arial Narrow"/>
                <w:i/>
                <w:sz w:val="20"/>
              </w:rPr>
              <w:t>Patient months, mean</w:t>
            </w:r>
          </w:p>
        </w:tc>
        <w:tc>
          <w:tcPr>
            <w:tcW w:w="940" w:type="pct"/>
            <w:gridSpan w:val="2"/>
            <w:tcBorders>
              <w:left w:val="single" w:sz="4" w:space="0" w:color="auto"/>
              <w:right w:val="nil"/>
            </w:tcBorders>
            <w:shd w:val="clear" w:color="auto" w:fill="auto"/>
            <w:noWrap/>
          </w:tcPr>
          <w:p w14:paraId="49BF8102"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i/>
                <w:sz w:val="20"/>
                <w:szCs w:val="20"/>
              </w:rPr>
              <w:t>10.4</w:t>
            </w:r>
          </w:p>
        </w:tc>
        <w:tc>
          <w:tcPr>
            <w:tcW w:w="1038" w:type="pct"/>
            <w:gridSpan w:val="2"/>
            <w:tcBorders>
              <w:left w:val="nil"/>
              <w:right w:val="nil"/>
            </w:tcBorders>
            <w:shd w:val="clear" w:color="auto" w:fill="auto"/>
            <w:noWrap/>
          </w:tcPr>
          <w:p w14:paraId="52C505D0"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i/>
                <w:sz w:val="20"/>
                <w:szCs w:val="20"/>
              </w:rPr>
              <w:t>10.0</w:t>
            </w:r>
          </w:p>
        </w:tc>
        <w:tc>
          <w:tcPr>
            <w:tcW w:w="666" w:type="pct"/>
            <w:tcBorders>
              <w:left w:val="nil"/>
              <w:right w:val="single" w:sz="4" w:space="0" w:color="auto"/>
            </w:tcBorders>
          </w:tcPr>
          <w:p w14:paraId="6B7CDF77" w14:textId="77777777" w:rsidR="00B921E9" w:rsidRPr="003B4D22" w:rsidRDefault="00B921E9" w:rsidP="00B921E9">
            <w:pPr>
              <w:spacing w:after="0" w:line="240" w:lineRule="auto"/>
              <w:jc w:val="right"/>
              <w:rPr>
                <w:rFonts w:ascii="Arial Narrow" w:hAnsi="Arial Narrow" w:cs="Calibri"/>
                <w:i/>
                <w:color w:val="000000"/>
                <w:sz w:val="20"/>
                <w:szCs w:val="20"/>
              </w:rPr>
            </w:pPr>
          </w:p>
        </w:tc>
      </w:tr>
      <w:tr w:rsidR="00B921E9" w:rsidRPr="003B4D22" w14:paraId="2D3F2BDD" w14:textId="77777777" w:rsidTr="007D3D74">
        <w:tc>
          <w:tcPr>
            <w:tcW w:w="650" w:type="pct"/>
            <w:tcBorders>
              <w:top w:val="nil"/>
              <w:left w:val="single" w:sz="4" w:space="0" w:color="auto"/>
              <w:bottom w:val="single" w:sz="4" w:space="0" w:color="auto"/>
              <w:right w:val="single" w:sz="4" w:space="0" w:color="auto"/>
            </w:tcBorders>
            <w:vAlign w:val="bottom"/>
          </w:tcPr>
          <w:p w14:paraId="7E43FB96" w14:textId="77777777" w:rsidR="00B921E9" w:rsidRPr="00DA3E9F" w:rsidRDefault="00B921E9" w:rsidP="00B921E9">
            <w:pPr>
              <w:spacing w:after="0" w:line="240" w:lineRule="auto"/>
              <w:rPr>
                <w:rFonts w:ascii="Arial Narrow" w:hAnsi="Arial Narrow" w:cs="Calibri"/>
                <w:b/>
                <w:color w:val="000000"/>
                <w:sz w:val="20"/>
                <w:szCs w:val="20"/>
              </w:rPr>
            </w:pPr>
          </w:p>
        </w:tc>
        <w:tc>
          <w:tcPr>
            <w:tcW w:w="1706" w:type="pct"/>
            <w:tcBorders>
              <w:left w:val="single" w:sz="4" w:space="0" w:color="auto"/>
              <w:bottom w:val="single" w:sz="4" w:space="0" w:color="auto"/>
              <w:right w:val="single" w:sz="4" w:space="0" w:color="auto"/>
            </w:tcBorders>
          </w:tcPr>
          <w:p w14:paraId="1117AC05" w14:textId="77777777" w:rsidR="00B921E9" w:rsidRPr="003B4D22" w:rsidRDefault="00B921E9" w:rsidP="00B921E9">
            <w:pPr>
              <w:spacing w:after="0" w:line="240" w:lineRule="auto"/>
              <w:rPr>
                <w:rFonts w:ascii="Arial Narrow" w:hAnsi="Arial Narrow" w:cs="Calibri"/>
                <w:i/>
                <w:color w:val="000000"/>
                <w:sz w:val="20"/>
                <w:szCs w:val="20"/>
              </w:rPr>
            </w:pPr>
            <w:r w:rsidRPr="003B4D22">
              <w:rPr>
                <w:rFonts w:ascii="Arial Narrow" w:hAnsi="Arial Narrow"/>
                <w:i/>
                <w:sz w:val="20"/>
              </w:rPr>
              <w:t>Rate serious infections / patient /month</w:t>
            </w:r>
          </w:p>
        </w:tc>
        <w:tc>
          <w:tcPr>
            <w:tcW w:w="940" w:type="pct"/>
            <w:gridSpan w:val="2"/>
            <w:tcBorders>
              <w:left w:val="single" w:sz="4" w:space="0" w:color="auto"/>
              <w:bottom w:val="single" w:sz="4" w:space="0" w:color="auto"/>
              <w:right w:val="nil"/>
            </w:tcBorders>
            <w:shd w:val="clear" w:color="auto" w:fill="auto"/>
            <w:noWrap/>
          </w:tcPr>
          <w:p w14:paraId="542EFF7A" w14:textId="77777777" w:rsidR="00B921E9" w:rsidRPr="003B4D22" w:rsidRDefault="00B921E9" w:rsidP="00B921E9">
            <w:pPr>
              <w:spacing w:after="0" w:line="240" w:lineRule="auto"/>
              <w:jc w:val="right"/>
              <w:rPr>
                <w:rFonts w:ascii="Arial Narrow" w:hAnsi="Arial Narrow" w:cs="Calibri"/>
                <w:i/>
                <w:color w:val="000000"/>
                <w:sz w:val="20"/>
                <w:szCs w:val="20"/>
              </w:rPr>
            </w:pPr>
            <w:r w:rsidRPr="003B4D22">
              <w:rPr>
                <w:rFonts w:ascii="Arial Narrow" w:hAnsi="Arial Narrow"/>
                <w:i/>
                <w:sz w:val="20"/>
              </w:rPr>
              <w:t>0.04</w:t>
            </w:r>
          </w:p>
        </w:tc>
        <w:tc>
          <w:tcPr>
            <w:tcW w:w="1038" w:type="pct"/>
            <w:gridSpan w:val="2"/>
            <w:tcBorders>
              <w:left w:val="nil"/>
              <w:bottom w:val="single" w:sz="4" w:space="0" w:color="auto"/>
              <w:right w:val="nil"/>
            </w:tcBorders>
            <w:shd w:val="clear" w:color="auto" w:fill="auto"/>
            <w:noWrap/>
          </w:tcPr>
          <w:p w14:paraId="2A0BC5FC" w14:textId="77777777" w:rsidR="00B921E9" w:rsidRPr="003B4D22" w:rsidRDefault="00B921E9" w:rsidP="00B921E9">
            <w:pPr>
              <w:spacing w:after="0" w:line="240" w:lineRule="auto"/>
              <w:jc w:val="right"/>
              <w:rPr>
                <w:rFonts w:ascii="Arial Narrow" w:hAnsi="Arial Narrow" w:cs="Calibri"/>
                <w:i/>
                <w:color w:val="000000"/>
                <w:sz w:val="20"/>
                <w:szCs w:val="20"/>
              </w:rPr>
            </w:pPr>
            <w:r w:rsidRPr="003B4D22">
              <w:rPr>
                <w:rFonts w:ascii="Arial Narrow" w:hAnsi="Arial Narrow"/>
                <w:i/>
                <w:sz w:val="20"/>
              </w:rPr>
              <w:t>0.12</w:t>
            </w:r>
          </w:p>
        </w:tc>
        <w:tc>
          <w:tcPr>
            <w:tcW w:w="666" w:type="pct"/>
            <w:tcBorders>
              <w:left w:val="nil"/>
              <w:bottom w:val="single" w:sz="4" w:space="0" w:color="auto"/>
              <w:right w:val="single" w:sz="4" w:space="0" w:color="auto"/>
            </w:tcBorders>
          </w:tcPr>
          <w:p w14:paraId="20B72625" w14:textId="77777777" w:rsidR="00B921E9" w:rsidRPr="003B4D22" w:rsidRDefault="00B921E9" w:rsidP="00B921E9">
            <w:pPr>
              <w:spacing w:after="0" w:line="240" w:lineRule="auto"/>
              <w:jc w:val="right"/>
              <w:rPr>
                <w:rFonts w:ascii="Arial Narrow" w:hAnsi="Arial Narrow" w:cs="Calibri"/>
                <w:i/>
                <w:color w:val="000000"/>
                <w:sz w:val="20"/>
                <w:szCs w:val="20"/>
              </w:rPr>
            </w:pPr>
          </w:p>
        </w:tc>
      </w:tr>
      <w:tr w:rsidR="00B921E9" w:rsidRPr="00386411" w14:paraId="6AF0A3EF" w14:textId="77777777" w:rsidTr="00B52A4F">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B13D72" w14:textId="77777777" w:rsidR="00B921E9" w:rsidRPr="00386411" w:rsidRDefault="00B921E9" w:rsidP="00B921E9">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 xml:space="preserve">Sullivan et </w:t>
            </w:r>
            <w:r w:rsidRPr="00386411">
              <w:rPr>
                <w:rFonts w:ascii="Arial Narrow" w:hAnsi="Arial Narrow" w:cs="Calibri"/>
                <w:b/>
                <w:color w:val="000000"/>
                <w:sz w:val="20"/>
                <w:szCs w:val="20"/>
              </w:rPr>
              <w:lastRenderedPageBreak/>
              <w:t>al., 1990</w:t>
            </w:r>
          </w:p>
        </w:tc>
        <w:tc>
          <w:tcPr>
            <w:tcW w:w="17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8F0CF0" w14:textId="6D1F67D2" w:rsidR="00B921E9" w:rsidRPr="00386411" w:rsidRDefault="00B921E9" w:rsidP="00B921E9">
            <w:pPr>
              <w:spacing w:after="0" w:line="240" w:lineRule="auto"/>
              <w:rPr>
                <w:rFonts w:ascii="Arial Narrow" w:hAnsi="Arial Narrow"/>
                <w:b/>
                <w:sz w:val="20"/>
                <w:szCs w:val="20"/>
              </w:rPr>
            </w:pPr>
            <w:r w:rsidRPr="00386411">
              <w:rPr>
                <w:rFonts w:ascii="Arial Narrow" w:hAnsi="Arial Narrow"/>
                <w:b/>
                <w:sz w:val="20"/>
                <w:szCs w:val="20"/>
              </w:rPr>
              <w:lastRenderedPageBreak/>
              <w:t xml:space="preserve">Infectious Outcomes </w:t>
            </w:r>
            <w:r w:rsidRPr="00386411">
              <w:rPr>
                <w:rFonts w:ascii="Arial Narrow" w:hAnsi="Arial Narrow"/>
                <w:b/>
                <w:sz w:val="20"/>
                <w:szCs w:val="20"/>
              </w:rPr>
              <w:br/>
            </w:r>
            <w:r w:rsidRPr="00386411">
              <w:rPr>
                <w:rFonts w:ascii="Arial Narrow" w:hAnsi="Arial Narrow"/>
                <w:b/>
                <w:sz w:val="20"/>
                <w:szCs w:val="20"/>
              </w:rPr>
              <w:lastRenderedPageBreak/>
              <w:t>from d0 to d100 or discharge (N=369)</w:t>
            </w:r>
          </w:p>
        </w:tc>
        <w:tc>
          <w:tcPr>
            <w:tcW w:w="940" w:type="pct"/>
            <w:gridSpan w:val="2"/>
            <w:tcBorders>
              <w:top w:val="single" w:sz="4" w:space="0" w:color="auto"/>
              <w:left w:val="single" w:sz="4" w:space="0" w:color="auto"/>
              <w:bottom w:val="single" w:sz="4" w:space="0" w:color="auto"/>
              <w:right w:val="nil"/>
            </w:tcBorders>
            <w:shd w:val="clear" w:color="auto" w:fill="D9D9D9" w:themeFill="background1" w:themeFillShade="D9"/>
            <w:noWrap/>
          </w:tcPr>
          <w:p w14:paraId="23F03AD1" w14:textId="77777777" w:rsidR="00B921E9" w:rsidRPr="00386411" w:rsidRDefault="00B921E9" w:rsidP="00B921E9">
            <w:pPr>
              <w:spacing w:after="0" w:line="240" w:lineRule="auto"/>
              <w:jc w:val="center"/>
              <w:rPr>
                <w:rFonts w:ascii="Arial Narrow" w:hAnsi="Arial Narrow"/>
                <w:b/>
                <w:i/>
                <w:sz w:val="20"/>
                <w:szCs w:val="20"/>
              </w:rPr>
            </w:pPr>
            <w:r w:rsidRPr="00386411">
              <w:rPr>
                <w:rFonts w:ascii="Arial Narrow" w:hAnsi="Arial Narrow" w:cs="Calibri"/>
                <w:b/>
                <w:color w:val="000000"/>
                <w:sz w:val="20"/>
                <w:szCs w:val="20"/>
              </w:rPr>
              <w:lastRenderedPageBreak/>
              <w:t>IVIg (n=184)</w:t>
            </w:r>
          </w:p>
        </w:tc>
        <w:tc>
          <w:tcPr>
            <w:tcW w:w="1038" w:type="pct"/>
            <w:gridSpan w:val="2"/>
            <w:tcBorders>
              <w:top w:val="single" w:sz="4" w:space="0" w:color="auto"/>
              <w:left w:val="nil"/>
              <w:bottom w:val="single" w:sz="4" w:space="0" w:color="auto"/>
              <w:right w:val="nil"/>
            </w:tcBorders>
            <w:shd w:val="clear" w:color="auto" w:fill="D9D9D9" w:themeFill="background1" w:themeFillShade="D9"/>
            <w:noWrap/>
          </w:tcPr>
          <w:p w14:paraId="520D1F7E" w14:textId="77777777" w:rsidR="00B921E9" w:rsidRPr="00386411" w:rsidRDefault="00B921E9" w:rsidP="00B921E9">
            <w:pPr>
              <w:spacing w:after="0" w:line="240" w:lineRule="auto"/>
              <w:jc w:val="center"/>
              <w:rPr>
                <w:rFonts w:ascii="Arial Narrow" w:hAnsi="Arial Narrow"/>
                <w:b/>
                <w:i/>
                <w:sz w:val="20"/>
                <w:szCs w:val="20"/>
              </w:rPr>
            </w:pPr>
            <w:r w:rsidRPr="00386411">
              <w:rPr>
                <w:rFonts w:ascii="Arial Narrow" w:hAnsi="Arial Narrow" w:cs="Calibri"/>
                <w:b/>
                <w:color w:val="000000"/>
                <w:sz w:val="20"/>
                <w:szCs w:val="20"/>
              </w:rPr>
              <w:t>No IVIg (n=185)</w:t>
            </w:r>
          </w:p>
        </w:tc>
        <w:tc>
          <w:tcPr>
            <w:tcW w:w="666" w:type="pct"/>
            <w:tcBorders>
              <w:top w:val="single" w:sz="4" w:space="0" w:color="auto"/>
              <w:left w:val="nil"/>
              <w:bottom w:val="single" w:sz="4" w:space="0" w:color="auto"/>
              <w:right w:val="single" w:sz="4" w:space="0" w:color="auto"/>
            </w:tcBorders>
            <w:shd w:val="clear" w:color="auto" w:fill="D9D9D9" w:themeFill="background1" w:themeFillShade="D9"/>
          </w:tcPr>
          <w:p w14:paraId="5C7E0E1F" w14:textId="77777777" w:rsidR="00B921E9" w:rsidRPr="00386411" w:rsidRDefault="00B921E9" w:rsidP="00B921E9">
            <w:pPr>
              <w:spacing w:after="0" w:line="240" w:lineRule="auto"/>
              <w:jc w:val="right"/>
              <w:rPr>
                <w:rFonts w:ascii="Arial Narrow" w:hAnsi="Arial Narrow"/>
                <w:b/>
                <w:sz w:val="20"/>
                <w:szCs w:val="20"/>
              </w:rPr>
            </w:pPr>
          </w:p>
        </w:tc>
      </w:tr>
      <w:tr w:rsidR="00B921E9" w:rsidRPr="003B4D22" w14:paraId="6ADB9822" w14:textId="77777777" w:rsidTr="003735E3">
        <w:tc>
          <w:tcPr>
            <w:tcW w:w="650" w:type="pct"/>
            <w:tcBorders>
              <w:top w:val="single" w:sz="4" w:space="0" w:color="auto"/>
              <w:left w:val="single" w:sz="4" w:space="0" w:color="auto"/>
              <w:bottom w:val="nil"/>
              <w:right w:val="single" w:sz="4" w:space="0" w:color="auto"/>
            </w:tcBorders>
          </w:tcPr>
          <w:p w14:paraId="2CCDFE83" w14:textId="77777777" w:rsidR="00B921E9" w:rsidRPr="003B4D22" w:rsidRDefault="00B921E9" w:rsidP="00B921E9">
            <w:pPr>
              <w:spacing w:after="0" w:line="240" w:lineRule="auto"/>
              <w:rPr>
                <w:rFonts w:ascii="Arial Narrow" w:hAnsi="Arial Narrow" w:cs="Calibri"/>
                <w:color w:val="000000"/>
                <w:sz w:val="20"/>
                <w:szCs w:val="20"/>
              </w:rPr>
            </w:pPr>
            <w:r w:rsidRPr="003B4D22">
              <w:rPr>
                <w:rFonts w:ascii="Arial Narrow" w:hAnsi="Arial Narrow" w:cs="Calibri"/>
                <w:color w:val="000000"/>
                <w:sz w:val="20"/>
                <w:szCs w:val="20"/>
              </w:rPr>
              <w:lastRenderedPageBreak/>
              <w:t>BMT</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14:paraId="75A9B6A3" w14:textId="77777777" w:rsidR="00B921E9" w:rsidRPr="003B4D22" w:rsidRDefault="00B921E9" w:rsidP="00B921E9">
            <w:pPr>
              <w:spacing w:after="0" w:line="240" w:lineRule="auto"/>
              <w:rPr>
                <w:rFonts w:ascii="Arial Narrow" w:hAnsi="Arial Narrow"/>
                <w:sz w:val="20"/>
                <w:szCs w:val="20"/>
              </w:rPr>
            </w:pPr>
            <w:r w:rsidRPr="003B4D22">
              <w:rPr>
                <w:rFonts w:ascii="Arial Narrow" w:hAnsi="Arial Narrow"/>
                <w:sz w:val="20"/>
                <w:szCs w:val="20"/>
              </w:rPr>
              <w:t>Infections</w:t>
            </w:r>
          </w:p>
        </w:tc>
        <w:tc>
          <w:tcPr>
            <w:tcW w:w="444" w:type="pct"/>
            <w:tcBorders>
              <w:top w:val="single" w:sz="4" w:space="0" w:color="auto"/>
              <w:left w:val="single" w:sz="4" w:space="0" w:color="auto"/>
              <w:bottom w:val="single" w:sz="4" w:space="0" w:color="auto"/>
              <w:right w:val="nil"/>
            </w:tcBorders>
            <w:shd w:val="clear" w:color="auto" w:fill="auto"/>
            <w:noWrap/>
            <w:vAlign w:val="center"/>
          </w:tcPr>
          <w:p w14:paraId="0AD07D42"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No.</w:t>
            </w:r>
          </w:p>
        </w:tc>
        <w:tc>
          <w:tcPr>
            <w:tcW w:w="496" w:type="pct"/>
            <w:tcBorders>
              <w:top w:val="single" w:sz="4" w:space="0" w:color="auto"/>
              <w:left w:val="nil"/>
              <w:bottom w:val="single" w:sz="4" w:space="0" w:color="auto"/>
              <w:right w:val="nil"/>
            </w:tcBorders>
            <w:shd w:val="clear" w:color="auto" w:fill="auto"/>
            <w:vAlign w:val="center"/>
          </w:tcPr>
          <w:p w14:paraId="7B621222"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Rate/100d</w:t>
            </w:r>
          </w:p>
        </w:tc>
        <w:tc>
          <w:tcPr>
            <w:tcW w:w="469" w:type="pct"/>
            <w:tcBorders>
              <w:top w:val="single" w:sz="4" w:space="0" w:color="auto"/>
              <w:left w:val="nil"/>
              <w:bottom w:val="single" w:sz="4" w:space="0" w:color="auto"/>
              <w:right w:val="nil"/>
            </w:tcBorders>
            <w:shd w:val="clear" w:color="auto" w:fill="auto"/>
            <w:noWrap/>
            <w:vAlign w:val="center"/>
          </w:tcPr>
          <w:p w14:paraId="7C5E954A"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No.</w:t>
            </w:r>
          </w:p>
        </w:tc>
        <w:tc>
          <w:tcPr>
            <w:tcW w:w="569" w:type="pct"/>
            <w:tcBorders>
              <w:top w:val="single" w:sz="4" w:space="0" w:color="auto"/>
              <w:left w:val="nil"/>
              <w:bottom w:val="single" w:sz="4" w:space="0" w:color="auto"/>
              <w:right w:val="nil"/>
            </w:tcBorders>
            <w:shd w:val="clear" w:color="auto" w:fill="auto"/>
            <w:vAlign w:val="center"/>
          </w:tcPr>
          <w:p w14:paraId="53922A4C"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Rate/100 d</w:t>
            </w:r>
          </w:p>
        </w:tc>
        <w:tc>
          <w:tcPr>
            <w:tcW w:w="666" w:type="pct"/>
            <w:tcBorders>
              <w:top w:val="single" w:sz="4" w:space="0" w:color="auto"/>
              <w:left w:val="nil"/>
              <w:bottom w:val="single" w:sz="4" w:space="0" w:color="auto"/>
              <w:right w:val="single" w:sz="4" w:space="0" w:color="auto"/>
            </w:tcBorders>
          </w:tcPr>
          <w:p w14:paraId="296D8D89" w14:textId="77777777" w:rsidR="00B921E9" w:rsidRPr="003B4D22" w:rsidRDefault="00B921E9" w:rsidP="00B921E9">
            <w:pPr>
              <w:spacing w:after="0" w:line="240" w:lineRule="auto"/>
              <w:jc w:val="right"/>
              <w:rPr>
                <w:rFonts w:ascii="Arial Narrow" w:hAnsi="Arial Narrow"/>
                <w:sz w:val="20"/>
                <w:szCs w:val="20"/>
              </w:rPr>
            </w:pPr>
            <w:r w:rsidRPr="003B4D22">
              <w:rPr>
                <w:rFonts w:ascii="Arial Narrow" w:hAnsi="Arial Narrow"/>
                <w:sz w:val="20"/>
                <w:szCs w:val="20"/>
              </w:rPr>
              <w:t xml:space="preserve">Relative risk </w:t>
            </w:r>
            <w:r w:rsidRPr="003B4D22">
              <w:rPr>
                <w:rFonts w:ascii="Arial Narrow" w:hAnsi="Arial Narrow"/>
                <w:sz w:val="20"/>
                <w:szCs w:val="20"/>
              </w:rPr>
              <w:br/>
              <w:t>(p-value)</w:t>
            </w:r>
          </w:p>
        </w:tc>
      </w:tr>
      <w:tr w:rsidR="00B921E9" w:rsidRPr="003B4D22" w14:paraId="67F4A13A" w14:textId="77777777" w:rsidTr="003735E3">
        <w:tc>
          <w:tcPr>
            <w:tcW w:w="650" w:type="pct"/>
            <w:tcBorders>
              <w:top w:val="nil"/>
              <w:left w:val="single" w:sz="4" w:space="0" w:color="auto"/>
              <w:bottom w:val="nil"/>
              <w:right w:val="single" w:sz="4" w:space="0" w:color="auto"/>
            </w:tcBorders>
          </w:tcPr>
          <w:p w14:paraId="0568489E" w14:textId="77777777" w:rsidR="00B921E9" w:rsidRPr="003B4D22" w:rsidRDefault="00B921E9" w:rsidP="00B921E9">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right w:val="single" w:sz="4" w:space="0" w:color="auto"/>
            </w:tcBorders>
            <w:shd w:val="clear" w:color="auto" w:fill="auto"/>
            <w:vAlign w:val="center"/>
          </w:tcPr>
          <w:p w14:paraId="0CB6770B" w14:textId="77777777" w:rsidR="00B921E9" w:rsidRPr="003B4D22" w:rsidRDefault="00B921E9" w:rsidP="00B921E9">
            <w:pPr>
              <w:spacing w:after="0" w:line="240" w:lineRule="auto"/>
              <w:rPr>
                <w:rFonts w:ascii="Arial Narrow" w:hAnsi="Arial Narrow"/>
                <w:i/>
                <w:sz w:val="20"/>
                <w:szCs w:val="20"/>
              </w:rPr>
            </w:pPr>
            <w:r w:rsidRPr="003B4D22">
              <w:rPr>
                <w:rFonts w:ascii="Arial Narrow" w:hAnsi="Arial Narrow" w:cs="Calibri"/>
                <w:color w:val="000000"/>
                <w:sz w:val="20"/>
                <w:szCs w:val="20"/>
              </w:rPr>
              <w:t>Patient days at risk</w:t>
            </w:r>
          </w:p>
        </w:tc>
        <w:tc>
          <w:tcPr>
            <w:tcW w:w="444" w:type="pct"/>
            <w:tcBorders>
              <w:top w:val="single" w:sz="4" w:space="0" w:color="auto"/>
              <w:left w:val="single" w:sz="4" w:space="0" w:color="auto"/>
              <w:right w:val="nil"/>
            </w:tcBorders>
            <w:shd w:val="clear" w:color="auto" w:fill="auto"/>
            <w:noWrap/>
            <w:vAlign w:val="center"/>
          </w:tcPr>
          <w:p w14:paraId="4F01A9D3"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13,415</w:t>
            </w:r>
          </w:p>
        </w:tc>
        <w:tc>
          <w:tcPr>
            <w:tcW w:w="496" w:type="pct"/>
            <w:tcBorders>
              <w:top w:val="single" w:sz="4" w:space="0" w:color="auto"/>
              <w:left w:val="nil"/>
              <w:right w:val="nil"/>
            </w:tcBorders>
            <w:shd w:val="clear" w:color="auto" w:fill="auto"/>
            <w:vAlign w:val="center"/>
          </w:tcPr>
          <w:p w14:paraId="0DDCF2C6" w14:textId="77777777" w:rsidR="00B921E9" w:rsidRPr="003B4D22" w:rsidRDefault="00B921E9" w:rsidP="00B921E9">
            <w:pPr>
              <w:spacing w:after="0" w:line="240" w:lineRule="auto"/>
              <w:jc w:val="right"/>
              <w:rPr>
                <w:rFonts w:ascii="Arial Narrow" w:hAnsi="Arial Narrow"/>
                <w:i/>
                <w:sz w:val="20"/>
                <w:szCs w:val="20"/>
              </w:rPr>
            </w:pPr>
          </w:p>
        </w:tc>
        <w:tc>
          <w:tcPr>
            <w:tcW w:w="469" w:type="pct"/>
            <w:tcBorders>
              <w:top w:val="single" w:sz="4" w:space="0" w:color="auto"/>
              <w:left w:val="nil"/>
              <w:right w:val="nil"/>
            </w:tcBorders>
            <w:shd w:val="clear" w:color="auto" w:fill="auto"/>
            <w:noWrap/>
            <w:vAlign w:val="bottom"/>
          </w:tcPr>
          <w:p w14:paraId="705A57B7"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13,878</w:t>
            </w:r>
          </w:p>
        </w:tc>
        <w:tc>
          <w:tcPr>
            <w:tcW w:w="569" w:type="pct"/>
            <w:tcBorders>
              <w:top w:val="single" w:sz="4" w:space="0" w:color="auto"/>
              <w:left w:val="nil"/>
              <w:right w:val="nil"/>
            </w:tcBorders>
            <w:shd w:val="clear" w:color="auto" w:fill="auto"/>
            <w:vAlign w:val="bottom"/>
          </w:tcPr>
          <w:p w14:paraId="54E3F3C0" w14:textId="77777777" w:rsidR="00B921E9" w:rsidRPr="003B4D22" w:rsidRDefault="00B921E9" w:rsidP="00B921E9">
            <w:pPr>
              <w:spacing w:after="0" w:line="240" w:lineRule="auto"/>
              <w:jc w:val="right"/>
              <w:rPr>
                <w:rFonts w:ascii="Arial Narrow" w:hAnsi="Arial Narrow"/>
                <w:i/>
                <w:sz w:val="20"/>
                <w:szCs w:val="20"/>
              </w:rPr>
            </w:pPr>
          </w:p>
        </w:tc>
        <w:tc>
          <w:tcPr>
            <w:tcW w:w="666" w:type="pct"/>
            <w:tcBorders>
              <w:top w:val="single" w:sz="4" w:space="0" w:color="auto"/>
              <w:left w:val="nil"/>
              <w:right w:val="single" w:sz="4" w:space="0" w:color="auto"/>
            </w:tcBorders>
          </w:tcPr>
          <w:p w14:paraId="480AF8B9" w14:textId="77777777" w:rsidR="00B921E9" w:rsidRPr="003B4D22" w:rsidRDefault="00B921E9" w:rsidP="00B921E9">
            <w:pPr>
              <w:spacing w:after="0" w:line="240" w:lineRule="auto"/>
              <w:jc w:val="right"/>
              <w:rPr>
                <w:rFonts w:ascii="Arial Narrow" w:hAnsi="Arial Narrow"/>
                <w:sz w:val="20"/>
                <w:szCs w:val="20"/>
              </w:rPr>
            </w:pPr>
          </w:p>
        </w:tc>
      </w:tr>
      <w:tr w:rsidR="00B921E9" w:rsidRPr="003B4D22" w14:paraId="27630DB5" w14:textId="77777777" w:rsidTr="003735E3">
        <w:tc>
          <w:tcPr>
            <w:tcW w:w="650" w:type="pct"/>
            <w:tcBorders>
              <w:top w:val="nil"/>
              <w:left w:val="single" w:sz="4" w:space="0" w:color="auto"/>
              <w:bottom w:val="nil"/>
              <w:right w:val="single" w:sz="4" w:space="0" w:color="auto"/>
            </w:tcBorders>
          </w:tcPr>
          <w:p w14:paraId="2EDA2DF9" w14:textId="77777777" w:rsidR="00B921E9" w:rsidRPr="003B4D22" w:rsidRDefault="00B921E9" w:rsidP="00B921E9">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nil"/>
              <w:right w:val="single" w:sz="4" w:space="0" w:color="auto"/>
            </w:tcBorders>
            <w:shd w:val="clear" w:color="auto" w:fill="auto"/>
            <w:vAlign w:val="center"/>
          </w:tcPr>
          <w:p w14:paraId="0322859F" w14:textId="77777777" w:rsidR="00B921E9" w:rsidRPr="003B4D22" w:rsidRDefault="00B921E9" w:rsidP="00B921E9">
            <w:pPr>
              <w:spacing w:after="0" w:line="240" w:lineRule="auto"/>
              <w:rPr>
                <w:rFonts w:ascii="Arial Narrow" w:hAnsi="Arial Narrow"/>
                <w:i/>
                <w:sz w:val="20"/>
                <w:szCs w:val="20"/>
              </w:rPr>
            </w:pPr>
            <w:r w:rsidRPr="003B4D22">
              <w:rPr>
                <w:rFonts w:ascii="Arial Narrow" w:hAnsi="Arial Narrow" w:cs="Calibri"/>
                <w:bCs/>
                <w:color w:val="000000"/>
                <w:sz w:val="20"/>
                <w:szCs w:val="20"/>
              </w:rPr>
              <w:t>Septicaemia</w:t>
            </w:r>
          </w:p>
        </w:tc>
        <w:tc>
          <w:tcPr>
            <w:tcW w:w="444" w:type="pct"/>
            <w:tcBorders>
              <w:top w:val="single" w:sz="4" w:space="0" w:color="auto"/>
              <w:left w:val="single" w:sz="4" w:space="0" w:color="auto"/>
              <w:bottom w:val="nil"/>
              <w:right w:val="nil"/>
            </w:tcBorders>
            <w:shd w:val="clear" w:color="auto" w:fill="auto"/>
            <w:noWrap/>
            <w:vAlign w:val="bottom"/>
          </w:tcPr>
          <w:p w14:paraId="5E6CE845" w14:textId="77777777" w:rsidR="00B921E9" w:rsidRPr="003B4D22" w:rsidRDefault="00B921E9" w:rsidP="00B921E9">
            <w:pPr>
              <w:spacing w:after="0" w:line="240" w:lineRule="auto"/>
              <w:jc w:val="right"/>
              <w:rPr>
                <w:rFonts w:ascii="Arial Narrow" w:hAnsi="Arial Narrow"/>
                <w:i/>
                <w:sz w:val="20"/>
                <w:szCs w:val="20"/>
              </w:rPr>
            </w:pPr>
          </w:p>
        </w:tc>
        <w:tc>
          <w:tcPr>
            <w:tcW w:w="496" w:type="pct"/>
            <w:tcBorders>
              <w:top w:val="single" w:sz="4" w:space="0" w:color="auto"/>
              <w:left w:val="nil"/>
              <w:bottom w:val="nil"/>
              <w:right w:val="nil"/>
            </w:tcBorders>
            <w:shd w:val="clear" w:color="auto" w:fill="auto"/>
            <w:vAlign w:val="bottom"/>
          </w:tcPr>
          <w:p w14:paraId="13179229" w14:textId="77777777" w:rsidR="00B921E9" w:rsidRPr="003B4D22" w:rsidRDefault="00B921E9" w:rsidP="00B921E9">
            <w:pPr>
              <w:spacing w:after="0" w:line="240" w:lineRule="auto"/>
              <w:jc w:val="right"/>
              <w:rPr>
                <w:rFonts w:ascii="Arial Narrow" w:hAnsi="Arial Narrow"/>
                <w:i/>
                <w:sz w:val="20"/>
                <w:szCs w:val="20"/>
              </w:rPr>
            </w:pPr>
          </w:p>
        </w:tc>
        <w:tc>
          <w:tcPr>
            <w:tcW w:w="469" w:type="pct"/>
            <w:tcBorders>
              <w:top w:val="single" w:sz="4" w:space="0" w:color="auto"/>
              <w:left w:val="nil"/>
              <w:bottom w:val="nil"/>
              <w:right w:val="nil"/>
            </w:tcBorders>
            <w:shd w:val="clear" w:color="auto" w:fill="auto"/>
            <w:noWrap/>
            <w:vAlign w:val="bottom"/>
          </w:tcPr>
          <w:p w14:paraId="0A4EF960" w14:textId="77777777" w:rsidR="00B921E9" w:rsidRPr="003B4D22" w:rsidRDefault="00B921E9" w:rsidP="00B921E9">
            <w:pPr>
              <w:spacing w:after="0" w:line="240" w:lineRule="auto"/>
              <w:jc w:val="right"/>
              <w:rPr>
                <w:rFonts w:ascii="Arial Narrow" w:hAnsi="Arial Narrow"/>
                <w:i/>
                <w:sz w:val="20"/>
                <w:szCs w:val="20"/>
              </w:rPr>
            </w:pPr>
          </w:p>
        </w:tc>
        <w:tc>
          <w:tcPr>
            <w:tcW w:w="569" w:type="pct"/>
            <w:tcBorders>
              <w:top w:val="single" w:sz="4" w:space="0" w:color="auto"/>
              <w:left w:val="nil"/>
              <w:bottom w:val="nil"/>
              <w:right w:val="nil"/>
            </w:tcBorders>
            <w:shd w:val="clear" w:color="auto" w:fill="auto"/>
            <w:vAlign w:val="bottom"/>
          </w:tcPr>
          <w:p w14:paraId="12C1A07C" w14:textId="77777777" w:rsidR="00B921E9" w:rsidRPr="003B4D22" w:rsidRDefault="00B921E9" w:rsidP="00B921E9">
            <w:pPr>
              <w:spacing w:after="0" w:line="240" w:lineRule="auto"/>
              <w:jc w:val="right"/>
              <w:rPr>
                <w:rFonts w:ascii="Arial Narrow" w:hAnsi="Arial Narrow"/>
                <w:i/>
                <w:sz w:val="20"/>
                <w:szCs w:val="20"/>
              </w:rPr>
            </w:pPr>
          </w:p>
        </w:tc>
        <w:tc>
          <w:tcPr>
            <w:tcW w:w="666" w:type="pct"/>
            <w:tcBorders>
              <w:top w:val="single" w:sz="4" w:space="0" w:color="auto"/>
              <w:left w:val="nil"/>
              <w:bottom w:val="nil"/>
              <w:right w:val="single" w:sz="4" w:space="0" w:color="auto"/>
            </w:tcBorders>
          </w:tcPr>
          <w:p w14:paraId="293668E6" w14:textId="77777777" w:rsidR="00B921E9" w:rsidRPr="003B4D22" w:rsidRDefault="00B921E9" w:rsidP="00B921E9">
            <w:pPr>
              <w:spacing w:after="0" w:line="240" w:lineRule="auto"/>
              <w:jc w:val="right"/>
              <w:rPr>
                <w:rFonts w:ascii="Arial Narrow" w:hAnsi="Arial Narrow"/>
                <w:sz w:val="20"/>
                <w:szCs w:val="20"/>
              </w:rPr>
            </w:pPr>
          </w:p>
        </w:tc>
      </w:tr>
      <w:tr w:rsidR="00B921E9" w:rsidRPr="003B4D22" w14:paraId="63D8C043" w14:textId="77777777" w:rsidTr="003735E3">
        <w:tc>
          <w:tcPr>
            <w:tcW w:w="650" w:type="pct"/>
            <w:tcBorders>
              <w:top w:val="nil"/>
              <w:left w:val="single" w:sz="4" w:space="0" w:color="auto"/>
              <w:bottom w:val="nil"/>
              <w:right w:val="single" w:sz="4" w:space="0" w:color="auto"/>
            </w:tcBorders>
          </w:tcPr>
          <w:p w14:paraId="1E119D8A" w14:textId="77777777" w:rsidR="00B921E9" w:rsidRPr="003B4D22" w:rsidRDefault="00B921E9" w:rsidP="00B921E9">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vAlign w:val="center"/>
          </w:tcPr>
          <w:p w14:paraId="24D5873C" w14:textId="77777777" w:rsidR="00B921E9" w:rsidRPr="003B4D22" w:rsidRDefault="00B921E9" w:rsidP="00331FB9">
            <w:pPr>
              <w:pStyle w:val="ListParagraph"/>
              <w:numPr>
                <w:ilvl w:val="0"/>
                <w:numId w:val="16"/>
              </w:numPr>
              <w:spacing w:after="0" w:line="240" w:lineRule="auto"/>
              <w:ind w:left="140" w:hanging="154"/>
              <w:rPr>
                <w:rFonts w:ascii="Arial Narrow" w:hAnsi="Arial Narrow"/>
                <w:i/>
                <w:sz w:val="20"/>
                <w:szCs w:val="20"/>
              </w:rPr>
            </w:pPr>
            <w:r w:rsidRPr="003B4D22">
              <w:rPr>
                <w:rFonts w:ascii="Arial Narrow" w:hAnsi="Arial Narrow" w:cs="Calibri"/>
                <w:color w:val="000000"/>
                <w:sz w:val="20"/>
                <w:szCs w:val="20"/>
              </w:rPr>
              <w:t>gram-positive</w:t>
            </w:r>
          </w:p>
        </w:tc>
        <w:tc>
          <w:tcPr>
            <w:tcW w:w="444" w:type="pct"/>
            <w:tcBorders>
              <w:top w:val="nil"/>
              <w:left w:val="single" w:sz="4" w:space="0" w:color="auto"/>
              <w:bottom w:val="nil"/>
              <w:right w:val="nil"/>
            </w:tcBorders>
            <w:shd w:val="clear" w:color="auto" w:fill="auto"/>
            <w:noWrap/>
            <w:vAlign w:val="bottom"/>
          </w:tcPr>
          <w:p w14:paraId="2EB1C2F1"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14</w:t>
            </w:r>
          </w:p>
        </w:tc>
        <w:tc>
          <w:tcPr>
            <w:tcW w:w="496" w:type="pct"/>
            <w:tcBorders>
              <w:top w:val="nil"/>
              <w:left w:val="nil"/>
              <w:bottom w:val="nil"/>
              <w:right w:val="nil"/>
            </w:tcBorders>
            <w:shd w:val="clear" w:color="auto" w:fill="auto"/>
            <w:vAlign w:val="bottom"/>
          </w:tcPr>
          <w:p w14:paraId="74906F97"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0.1</w:t>
            </w:r>
          </w:p>
        </w:tc>
        <w:tc>
          <w:tcPr>
            <w:tcW w:w="469" w:type="pct"/>
            <w:tcBorders>
              <w:top w:val="nil"/>
              <w:left w:val="nil"/>
              <w:bottom w:val="nil"/>
              <w:right w:val="nil"/>
            </w:tcBorders>
            <w:shd w:val="clear" w:color="auto" w:fill="auto"/>
            <w:noWrap/>
            <w:vAlign w:val="center"/>
          </w:tcPr>
          <w:p w14:paraId="6415DE1A"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19</w:t>
            </w:r>
          </w:p>
        </w:tc>
        <w:tc>
          <w:tcPr>
            <w:tcW w:w="569" w:type="pct"/>
            <w:tcBorders>
              <w:top w:val="nil"/>
              <w:left w:val="nil"/>
              <w:bottom w:val="nil"/>
              <w:right w:val="nil"/>
            </w:tcBorders>
            <w:shd w:val="clear" w:color="auto" w:fill="auto"/>
            <w:vAlign w:val="center"/>
          </w:tcPr>
          <w:p w14:paraId="35F67B2A"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0.14</w:t>
            </w:r>
          </w:p>
        </w:tc>
        <w:tc>
          <w:tcPr>
            <w:tcW w:w="666" w:type="pct"/>
            <w:tcBorders>
              <w:top w:val="nil"/>
              <w:left w:val="nil"/>
              <w:bottom w:val="nil"/>
              <w:right w:val="single" w:sz="4" w:space="0" w:color="auto"/>
            </w:tcBorders>
            <w:shd w:val="clear" w:color="auto" w:fill="auto"/>
            <w:vAlign w:val="bottom"/>
          </w:tcPr>
          <w:p w14:paraId="4BDFCD6E" w14:textId="77777777" w:rsidR="00B921E9" w:rsidRPr="003B4D22" w:rsidRDefault="00B921E9" w:rsidP="00B921E9">
            <w:pPr>
              <w:spacing w:after="0" w:line="240" w:lineRule="auto"/>
              <w:jc w:val="right"/>
              <w:rPr>
                <w:rFonts w:ascii="Arial Narrow" w:hAnsi="Arial Narrow"/>
                <w:sz w:val="20"/>
                <w:szCs w:val="20"/>
              </w:rPr>
            </w:pPr>
            <w:r w:rsidRPr="003B4D22">
              <w:rPr>
                <w:rFonts w:ascii="Arial Narrow" w:hAnsi="Arial Narrow" w:cs="Calibri"/>
                <w:color w:val="000000"/>
                <w:sz w:val="20"/>
                <w:szCs w:val="20"/>
              </w:rPr>
              <w:t>1.69 (n.s.)</w:t>
            </w:r>
          </w:p>
        </w:tc>
      </w:tr>
      <w:tr w:rsidR="00B921E9" w:rsidRPr="003B4D22" w14:paraId="69C0A692" w14:textId="77777777" w:rsidTr="003735E3">
        <w:tc>
          <w:tcPr>
            <w:tcW w:w="650" w:type="pct"/>
            <w:tcBorders>
              <w:top w:val="nil"/>
              <w:left w:val="single" w:sz="4" w:space="0" w:color="auto"/>
              <w:bottom w:val="nil"/>
              <w:right w:val="single" w:sz="4" w:space="0" w:color="auto"/>
            </w:tcBorders>
          </w:tcPr>
          <w:p w14:paraId="0D54B93D" w14:textId="77777777" w:rsidR="00B921E9" w:rsidRPr="003B4D22" w:rsidRDefault="00B921E9" w:rsidP="00B921E9">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vAlign w:val="center"/>
          </w:tcPr>
          <w:p w14:paraId="0653060C" w14:textId="77777777" w:rsidR="00B921E9" w:rsidRPr="003B4D22" w:rsidRDefault="00B921E9" w:rsidP="00331FB9">
            <w:pPr>
              <w:pStyle w:val="ListParagraph"/>
              <w:numPr>
                <w:ilvl w:val="0"/>
                <w:numId w:val="16"/>
              </w:numPr>
              <w:spacing w:after="0" w:line="240" w:lineRule="auto"/>
              <w:ind w:left="140" w:hanging="154"/>
              <w:rPr>
                <w:rFonts w:ascii="Arial Narrow" w:hAnsi="Arial Narrow"/>
                <w:i/>
                <w:sz w:val="20"/>
                <w:szCs w:val="20"/>
              </w:rPr>
            </w:pPr>
            <w:r w:rsidRPr="003B4D22">
              <w:rPr>
                <w:rFonts w:ascii="Arial Narrow" w:hAnsi="Arial Narrow" w:cs="Calibri"/>
                <w:color w:val="000000"/>
                <w:sz w:val="20"/>
                <w:szCs w:val="20"/>
              </w:rPr>
              <w:t>gram-negative</w:t>
            </w:r>
          </w:p>
        </w:tc>
        <w:tc>
          <w:tcPr>
            <w:tcW w:w="444" w:type="pct"/>
            <w:tcBorders>
              <w:top w:val="nil"/>
              <w:left w:val="single" w:sz="4" w:space="0" w:color="auto"/>
              <w:bottom w:val="nil"/>
              <w:right w:val="nil"/>
            </w:tcBorders>
            <w:shd w:val="clear" w:color="auto" w:fill="auto"/>
            <w:noWrap/>
            <w:vAlign w:val="bottom"/>
          </w:tcPr>
          <w:p w14:paraId="3A1BA645"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11</w:t>
            </w:r>
          </w:p>
        </w:tc>
        <w:tc>
          <w:tcPr>
            <w:tcW w:w="496" w:type="pct"/>
            <w:tcBorders>
              <w:top w:val="nil"/>
              <w:left w:val="nil"/>
              <w:bottom w:val="nil"/>
              <w:right w:val="nil"/>
            </w:tcBorders>
            <w:shd w:val="clear" w:color="auto" w:fill="auto"/>
            <w:vAlign w:val="bottom"/>
          </w:tcPr>
          <w:p w14:paraId="51C6697A"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0.08</w:t>
            </w:r>
          </w:p>
        </w:tc>
        <w:tc>
          <w:tcPr>
            <w:tcW w:w="469" w:type="pct"/>
            <w:tcBorders>
              <w:top w:val="nil"/>
              <w:left w:val="nil"/>
              <w:bottom w:val="nil"/>
              <w:right w:val="nil"/>
            </w:tcBorders>
            <w:shd w:val="clear" w:color="auto" w:fill="auto"/>
            <w:noWrap/>
            <w:vAlign w:val="center"/>
          </w:tcPr>
          <w:p w14:paraId="43C940F1"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33</w:t>
            </w:r>
          </w:p>
        </w:tc>
        <w:tc>
          <w:tcPr>
            <w:tcW w:w="569" w:type="pct"/>
            <w:tcBorders>
              <w:top w:val="nil"/>
              <w:left w:val="nil"/>
              <w:bottom w:val="nil"/>
              <w:right w:val="nil"/>
            </w:tcBorders>
            <w:shd w:val="clear" w:color="auto" w:fill="auto"/>
            <w:vAlign w:val="center"/>
          </w:tcPr>
          <w:p w14:paraId="1ACD2C4E"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0.24</w:t>
            </w:r>
          </w:p>
        </w:tc>
        <w:tc>
          <w:tcPr>
            <w:tcW w:w="666" w:type="pct"/>
            <w:tcBorders>
              <w:top w:val="nil"/>
              <w:left w:val="nil"/>
              <w:bottom w:val="nil"/>
              <w:right w:val="single" w:sz="4" w:space="0" w:color="auto"/>
            </w:tcBorders>
            <w:shd w:val="clear" w:color="auto" w:fill="auto"/>
            <w:vAlign w:val="bottom"/>
          </w:tcPr>
          <w:p w14:paraId="4C295C24" w14:textId="77777777" w:rsidR="00B921E9" w:rsidRPr="003B4D22" w:rsidRDefault="00B921E9" w:rsidP="00B921E9">
            <w:pPr>
              <w:spacing w:after="0" w:line="240" w:lineRule="auto"/>
              <w:jc w:val="right"/>
              <w:rPr>
                <w:rFonts w:ascii="Arial Narrow" w:hAnsi="Arial Narrow"/>
                <w:sz w:val="20"/>
                <w:szCs w:val="20"/>
              </w:rPr>
            </w:pPr>
            <w:r w:rsidRPr="003B4D22">
              <w:rPr>
                <w:rFonts w:ascii="Arial Narrow" w:hAnsi="Arial Narrow" w:cs="Calibri"/>
                <w:color w:val="000000"/>
                <w:sz w:val="20"/>
                <w:szCs w:val="20"/>
              </w:rPr>
              <w:t>2.65 (0.0039)</w:t>
            </w:r>
          </w:p>
        </w:tc>
      </w:tr>
      <w:tr w:rsidR="00B921E9" w:rsidRPr="003B4D22" w14:paraId="5C1379F1" w14:textId="77777777" w:rsidTr="003735E3">
        <w:tc>
          <w:tcPr>
            <w:tcW w:w="650" w:type="pct"/>
            <w:tcBorders>
              <w:top w:val="nil"/>
              <w:left w:val="single" w:sz="4" w:space="0" w:color="auto"/>
              <w:bottom w:val="nil"/>
              <w:right w:val="single" w:sz="4" w:space="0" w:color="auto"/>
            </w:tcBorders>
          </w:tcPr>
          <w:p w14:paraId="1EC3128C" w14:textId="77777777" w:rsidR="00B921E9" w:rsidRPr="003B4D22" w:rsidRDefault="00B921E9" w:rsidP="00B921E9">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vAlign w:val="center"/>
          </w:tcPr>
          <w:p w14:paraId="3CAB40BA" w14:textId="77777777" w:rsidR="00B921E9" w:rsidRPr="003B4D22" w:rsidRDefault="00B921E9" w:rsidP="00331FB9">
            <w:pPr>
              <w:pStyle w:val="ListParagraph"/>
              <w:numPr>
                <w:ilvl w:val="0"/>
                <w:numId w:val="16"/>
              </w:numPr>
              <w:spacing w:after="0" w:line="240" w:lineRule="auto"/>
              <w:ind w:left="140" w:hanging="154"/>
              <w:rPr>
                <w:rFonts w:ascii="Arial Narrow" w:hAnsi="Arial Narrow"/>
                <w:i/>
                <w:sz w:val="20"/>
                <w:szCs w:val="20"/>
              </w:rPr>
            </w:pPr>
            <w:r w:rsidRPr="003B4D22">
              <w:rPr>
                <w:rFonts w:ascii="Arial Narrow" w:hAnsi="Arial Narrow" w:cs="Calibri"/>
                <w:color w:val="000000"/>
                <w:sz w:val="20"/>
                <w:szCs w:val="20"/>
              </w:rPr>
              <w:t>fungal</w:t>
            </w:r>
          </w:p>
        </w:tc>
        <w:tc>
          <w:tcPr>
            <w:tcW w:w="444" w:type="pct"/>
            <w:tcBorders>
              <w:top w:val="nil"/>
              <w:left w:val="single" w:sz="4" w:space="0" w:color="auto"/>
              <w:bottom w:val="nil"/>
              <w:right w:val="nil"/>
            </w:tcBorders>
            <w:shd w:val="clear" w:color="auto" w:fill="auto"/>
            <w:noWrap/>
            <w:vAlign w:val="bottom"/>
          </w:tcPr>
          <w:p w14:paraId="10DEFE6F"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13</w:t>
            </w:r>
          </w:p>
        </w:tc>
        <w:tc>
          <w:tcPr>
            <w:tcW w:w="496" w:type="pct"/>
            <w:tcBorders>
              <w:top w:val="nil"/>
              <w:left w:val="nil"/>
              <w:bottom w:val="nil"/>
              <w:right w:val="nil"/>
            </w:tcBorders>
            <w:shd w:val="clear" w:color="auto" w:fill="auto"/>
            <w:vAlign w:val="bottom"/>
          </w:tcPr>
          <w:p w14:paraId="55D39A27"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0.1</w:t>
            </w:r>
          </w:p>
        </w:tc>
        <w:tc>
          <w:tcPr>
            <w:tcW w:w="469" w:type="pct"/>
            <w:tcBorders>
              <w:top w:val="nil"/>
              <w:left w:val="nil"/>
              <w:bottom w:val="nil"/>
              <w:right w:val="nil"/>
            </w:tcBorders>
            <w:shd w:val="clear" w:color="auto" w:fill="auto"/>
            <w:noWrap/>
            <w:vAlign w:val="center"/>
          </w:tcPr>
          <w:p w14:paraId="31CD9BFE"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16</w:t>
            </w:r>
          </w:p>
        </w:tc>
        <w:tc>
          <w:tcPr>
            <w:tcW w:w="569" w:type="pct"/>
            <w:tcBorders>
              <w:top w:val="nil"/>
              <w:left w:val="nil"/>
              <w:bottom w:val="nil"/>
              <w:right w:val="nil"/>
            </w:tcBorders>
            <w:shd w:val="clear" w:color="auto" w:fill="auto"/>
            <w:vAlign w:val="center"/>
          </w:tcPr>
          <w:p w14:paraId="37E6203D"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0.12</w:t>
            </w:r>
          </w:p>
        </w:tc>
        <w:tc>
          <w:tcPr>
            <w:tcW w:w="666" w:type="pct"/>
            <w:tcBorders>
              <w:top w:val="nil"/>
              <w:left w:val="nil"/>
              <w:bottom w:val="nil"/>
              <w:right w:val="single" w:sz="4" w:space="0" w:color="auto"/>
            </w:tcBorders>
            <w:shd w:val="clear" w:color="auto" w:fill="auto"/>
            <w:vAlign w:val="bottom"/>
          </w:tcPr>
          <w:p w14:paraId="126F8A25" w14:textId="77777777" w:rsidR="00B921E9" w:rsidRPr="003B4D22" w:rsidRDefault="00B921E9" w:rsidP="00B921E9">
            <w:pPr>
              <w:spacing w:after="0" w:line="240" w:lineRule="auto"/>
              <w:jc w:val="right"/>
              <w:rPr>
                <w:rFonts w:ascii="Arial Narrow" w:hAnsi="Arial Narrow"/>
                <w:sz w:val="20"/>
                <w:szCs w:val="20"/>
              </w:rPr>
            </w:pPr>
            <w:r w:rsidRPr="003B4D22">
              <w:rPr>
                <w:rFonts w:ascii="Arial Narrow" w:hAnsi="Arial Narrow" w:cs="Calibri"/>
                <w:color w:val="000000"/>
                <w:sz w:val="20"/>
                <w:szCs w:val="20"/>
              </w:rPr>
              <w:t>1.32 (n.s.)</w:t>
            </w:r>
          </w:p>
        </w:tc>
      </w:tr>
      <w:tr w:rsidR="00B921E9" w:rsidRPr="003B4D22" w14:paraId="6EE6B400" w14:textId="77777777" w:rsidTr="003735E3">
        <w:tc>
          <w:tcPr>
            <w:tcW w:w="650" w:type="pct"/>
            <w:tcBorders>
              <w:top w:val="nil"/>
              <w:left w:val="single" w:sz="4" w:space="0" w:color="auto"/>
              <w:bottom w:val="nil"/>
              <w:right w:val="single" w:sz="4" w:space="0" w:color="auto"/>
            </w:tcBorders>
          </w:tcPr>
          <w:p w14:paraId="7239FDD8" w14:textId="77777777" w:rsidR="00B921E9" w:rsidRPr="003B4D22" w:rsidRDefault="00B921E9" w:rsidP="00B921E9">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vAlign w:val="center"/>
          </w:tcPr>
          <w:p w14:paraId="35CC4BDE" w14:textId="77777777" w:rsidR="00B921E9" w:rsidRPr="003B4D22" w:rsidRDefault="00B921E9" w:rsidP="00331FB9">
            <w:pPr>
              <w:pStyle w:val="ListParagraph"/>
              <w:numPr>
                <w:ilvl w:val="0"/>
                <w:numId w:val="16"/>
              </w:numPr>
              <w:spacing w:after="0" w:line="240" w:lineRule="auto"/>
              <w:ind w:left="140" w:hanging="154"/>
              <w:rPr>
                <w:rFonts w:ascii="Arial Narrow" w:hAnsi="Arial Narrow"/>
                <w:i/>
                <w:sz w:val="20"/>
                <w:szCs w:val="20"/>
              </w:rPr>
            </w:pPr>
            <w:r w:rsidRPr="003B4D22">
              <w:rPr>
                <w:rFonts w:ascii="Arial Narrow" w:hAnsi="Arial Narrow" w:cs="Calibri"/>
                <w:color w:val="000000"/>
                <w:sz w:val="20"/>
                <w:szCs w:val="20"/>
              </w:rPr>
              <w:t>other</w:t>
            </w:r>
          </w:p>
        </w:tc>
        <w:tc>
          <w:tcPr>
            <w:tcW w:w="444" w:type="pct"/>
            <w:tcBorders>
              <w:top w:val="nil"/>
              <w:left w:val="single" w:sz="4" w:space="0" w:color="auto"/>
              <w:bottom w:val="nil"/>
              <w:right w:val="nil"/>
            </w:tcBorders>
            <w:shd w:val="clear" w:color="auto" w:fill="auto"/>
            <w:noWrap/>
            <w:vAlign w:val="bottom"/>
          </w:tcPr>
          <w:p w14:paraId="79875BFC"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1</w:t>
            </w:r>
          </w:p>
        </w:tc>
        <w:tc>
          <w:tcPr>
            <w:tcW w:w="496" w:type="pct"/>
            <w:tcBorders>
              <w:top w:val="nil"/>
              <w:left w:val="nil"/>
              <w:bottom w:val="nil"/>
              <w:right w:val="nil"/>
            </w:tcBorders>
            <w:shd w:val="clear" w:color="auto" w:fill="auto"/>
            <w:vAlign w:val="center"/>
          </w:tcPr>
          <w:p w14:paraId="58E0D8AB"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i/>
                <w:sz w:val="20"/>
                <w:szCs w:val="20"/>
              </w:rPr>
              <w:t>―</w:t>
            </w:r>
          </w:p>
        </w:tc>
        <w:tc>
          <w:tcPr>
            <w:tcW w:w="469" w:type="pct"/>
            <w:tcBorders>
              <w:top w:val="nil"/>
              <w:left w:val="nil"/>
              <w:bottom w:val="nil"/>
              <w:right w:val="nil"/>
            </w:tcBorders>
            <w:shd w:val="clear" w:color="auto" w:fill="auto"/>
            <w:noWrap/>
            <w:vAlign w:val="center"/>
          </w:tcPr>
          <w:p w14:paraId="44E4F75B"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0</w:t>
            </w:r>
          </w:p>
        </w:tc>
        <w:tc>
          <w:tcPr>
            <w:tcW w:w="569" w:type="pct"/>
            <w:tcBorders>
              <w:top w:val="nil"/>
              <w:left w:val="nil"/>
              <w:bottom w:val="nil"/>
              <w:right w:val="nil"/>
            </w:tcBorders>
            <w:shd w:val="clear" w:color="auto" w:fill="auto"/>
            <w:vAlign w:val="center"/>
          </w:tcPr>
          <w:p w14:paraId="1EF232BB"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i/>
                <w:sz w:val="20"/>
                <w:szCs w:val="20"/>
              </w:rPr>
              <w:t>―</w:t>
            </w:r>
          </w:p>
        </w:tc>
        <w:tc>
          <w:tcPr>
            <w:tcW w:w="666" w:type="pct"/>
            <w:tcBorders>
              <w:top w:val="nil"/>
              <w:left w:val="nil"/>
              <w:bottom w:val="nil"/>
              <w:right w:val="single" w:sz="4" w:space="0" w:color="auto"/>
            </w:tcBorders>
            <w:shd w:val="clear" w:color="auto" w:fill="auto"/>
            <w:vAlign w:val="bottom"/>
          </w:tcPr>
          <w:p w14:paraId="4C90ED26" w14:textId="77777777" w:rsidR="00B921E9" w:rsidRPr="003B4D22" w:rsidRDefault="00B921E9" w:rsidP="00B921E9">
            <w:pPr>
              <w:spacing w:after="0" w:line="240" w:lineRule="auto"/>
              <w:jc w:val="right"/>
              <w:rPr>
                <w:rFonts w:ascii="Arial Narrow" w:hAnsi="Arial Narrow"/>
                <w:sz w:val="20"/>
                <w:szCs w:val="20"/>
              </w:rPr>
            </w:pPr>
          </w:p>
        </w:tc>
      </w:tr>
      <w:tr w:rsidR="00B921E9" w:rsidRPr="003B4D22" w14:paraId="7DD94CE7" w14:textId="77777777" w:rsidTr="003735E3">
        <w:tc>
          <w:tcPr>
            <w:tcW w:w="650" w:type="pct"/>
            <w:tcBorders>
              <w:top w:val="nil"/>
              <w:left w:val="single" w:sz="4" w:space="0" w:color="auto"/>
              <w:bottom w:val="nil"/>
              <w:right w:val="single" w:sz="4" w:space="0" w:color="auto"/>
            </w:tcBorders>
          </w:tcPr>
          <w:p w14:paraId="2394651A" w14:textId="77777777" w:rsidR="00B921E9" w:rsidRPr="003B4D22" w:rsidRDefault="00B921E9" w:rsidP="00B921E9">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vAlign w:val="center"/>
          </w:tcPr>
          <w:p w14:paraId="0EF76F17" w14:textId="77777777" w:rsidR="00B921E9" w:rsidRPr="003B4D22" w:rsidRDefault="00B921E9" w:rsidP="00B921E9">
            <w:pPr>
              <w:spacing w:after="0" w:line="240" w:lineRule="auto"/>
              <w:ind w:left="-14"/>
              <w:rPr>
                <w:rFonts w:ascii="Arial Narrow" w:hAnsi="Arial Narrow" w:cs="Calibri"/>
                <w:color w:val="000000"/>
                <w:sz w:val="20"/>
                <w:szCs w:val="20"/>
              </w:rPr>
            </w:pPr>
            <w:r w:rsidRPr="003B4D22">
              <w:rPr>
                <w:rFonts w:ascii="Arial Narrow" w:hAnsi="Arial Narrow" w:cs="Calibri"/>
                <w:color w:val="000000"/>
                <w:sz w:val="20"/>
                <w:szCs w:val="20"/>
              </w:rPr>
              <w:t>Total, septicaemia</w:t>
            </w:r>
          </w:p>
        </w:tc>
        <w:tc>
          <w:tcPr>
            <w:tcW w:w="444" w:type="pct"/>
            <w:tcBorders>
              <w:top w:val="nil"/>
              <w:left w:val="single" w:sz="4" w:space="0" w:color="auto"/>
              <w:bottom w:val="nil"/>
              <w:right w:val="nil"/>
            </w:tcBorders>
            <w:shd w:val="clear" w:color="auto" w:fill="auto"/>
            <w:noWrap/>
            <w:vAlign w:val="bottom"/>
          </w:tcPr>
          <w:p w14:paraId="456D7443" w14:textId="77777777" w:rsidR="00B921E9" w:rsidRPr="003B4D22" w:rsidRDefault="00B921E9" w:rsidP="00B921E9">
            <w:pPr>
              <w:spacing w:after="0" w:line="240" w:lineRule="auto"/>
              <w:jc w:val="right"/>
              <w:rPr>
                <w:rFonts w:ascii="Arial Narrow" w:hAnsi="Arial Narrow" w:cs="Calibri"/>
                <w:color w:val="000000"/>
                <w:sz w:val="20"/>
                <w:szCs w:val="20"/>
              </w:rPr>
            </w:pPr>
            <w:r w:rsidRPr="003B4D22">
              <w:rPr>
                <w:rFonts w:ascii="Arial Narrow" w:hAnsi="Arial Narrow" w:cs="Calibri"/>
                <w:color w:val="000000"/>
                <w:sz w:val="20"/>
                <w:szCs w:val="20"/>
              </w:rPr>
              <w:t>39</w:t>
            </w:r>
          </w:p>
        </w:tc>
        <w:tc>
          <w:tcPr>
            <w:tcW w:w="496" w:type="pct"/>
            <w:tcBorders>
              <w:top w:val="nil"/>
              <w:left w:val="nil"/>
              <w:bottom w:val="nil"/>
              <w:right w:val="nil"/>
            </w:tcBorders>
            <w:shd w:val="clear" w:color="auto" w:fill="auto"/>
            <w:vAlign w:val="bottom"/>
          </w:tcPr>
          <w:p w14:paraId="1311FCF1"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0.29</w:t>
            </w:r>
          </w:p>
        </w:tc>
        <w:tc>
          <w:tcPr>
            <w:tcW w:w="469" w:type="pct"/>
            <w:tcBorders>
              <w:top w:val="nil"/>
              <w:left w:val="nil"/>
              <w:bottom w:val="nil"/>
              <w:right w:val="nil"/>
            </w:tcBorders>
            <w:shd w:val="clear" w:color="auto" w:fill="auto"/>
            <w:noWrap/>
            <w:vAlign w:val="center"/>
          </w:tcPr>
          <w:p w14:paraId="342171C8" w14:textId="77777777" w:rsidR="00B921E9" w:rsidRPr="003B4D22" w:rsidRDefault="00B921E9" w:rsidP="00B921E9">
            <w:pPr>
              <w:spacing w:after="0" w:line="240" w:lineRule="auto"/>
              <w:jc w:val="right"/>
              <w:rPr>
                <w:rFonts w:ascii="Arial Narrow" w:hAnsi="Arial Narrow" w:cs="Calibri"/>
                <w:color w:val="000000"/>
                <w:sz w:val="20"/>
                <w:szCs w:val="20"/>
              </w:rPr>
            </w:pPr>
            <w:r w:rsidRPr="003B4D22">
              <w:rPr>
                <w:rFonts w:ascii="Arial Narrow" w:hAnsi="Arial Narrow" w:cs="Calibri"/>
                <w:color w:val="000000"/>
                <w:sz w:val="20"/>
                <w:szCs w:val="20"/>
              </w:rPr>
              <w:t>68</w:t>
            </w:r>
          </w:p>
        </w:tc>
        <w:tc>
          <w:tcPr>
            <w:tcW w:w="569" w:type="pct"/>
            <w:tcBorders>
              <w:top w:val="nil"/>
              <w:left w:val="nil"/>
              <w:bottom w:val="nil"/>
              <w:right w:val="nil"/>
            </w:tcBorders>
            <w:shd w:val="clear" w:color="auto" w:fill="auto"/>
            <w:vAlign w:val="center"/>
          </w:tcPr>
          <w:p w14:paraId="0216E365"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0.49</w:t>
            </w:r>
          </w:p>
        </w:tc>
        <w:tc>
          <w:tcPr>
            <w:tcW w:w="666" w:type="pct"/>
            <w:tcBorders>
              <w:top w:val="nil"/>
              <w:left w:val="nil"/>
              <w:bottom w:val="nil"/>
              <w:right w:val="single" w:sz="4" w:space="0" w:color="auto"/>
            </w:tcBorders>
            <w:shd w:val="clear" w:color="auto" w:fill="auto"/>
            <w:vAlign w:val="bottom"/>
          </w:tcPr>
          <w:p w14:paraId="431E5615" w14:textId="77777777" w:rsidR="00B921E9" w:rsidRPr="003B4D22" w:rsidRDefault="00B921E9" w:rsidP="00B921E9">
            <w:pPr>
              <w:spacing w:after="0" w:line="240" w:lineRule="auto"/>
              <w:jc w:val="right"/>
              <w:rPr>
                <w:rFonts w:ascii="Arial Narrow" w:hAnsi="Arial Narrow"/>
                <w:sz w:val="20"/>
                <w:szCs w:val="20"/>
              </w:rPr>
            </w:pPr>
            <w:r w:rsidRPr="003B4D22">
              <w:rPr>
                <w:rFonts w:ascii="Arial Narrow" w:hAnsi="Arial Narrow" w:cs="Calibri"/>
                <w:color w:val="000000"/>
                <w:sz w:val="20"/>
                <w:szCs w:val="20"/>
              </w:rPr>
              <w:t>2.15 (0.0022)</w:t>
            </w:r>
          </w:p>
        </w:tc>
      </w:tr>
      <w:tr w:rsidR="00B921E9" w:rsidRPr="003B4D22" w14:paraId="6D236587" w14:textId="77777777" w:rsidTr="003735E3">
        <w:tc>
          <w:tcPr>
            <w:tcW w:w="650" w:type="pct"/>
            <w:tcBorders>
              <w:top w:val="nil"/>
              <w:left w:val="single" w:sz="4" w:space="0" w:color="auto"/>
              <w:bottom w:val="nil"/>
              <w:right w:val="single" w:sz="4" w:space="0" w:color="auto"/>
            </w:tcBorders>
          </w:tcPr>
          <w:p w14:paraId="146832A1" w14:textId="77777777" w:rsidR="00B921E9" w:rsidRPr="003B4D22" w:rsidRDefault="00B921E9" w:rsidP="00B921E9">
            <w:pPr>
              <w:spacing w:after="0" w:line="240" w:lineRule="auto"/>
              <w:rPr>
                <w:rFonts w:ascii="Arial Narrow" w:hAnsi="Arial Narrow" w:cs="Calibri"/>
                <w:color w:val="000000"/>
                <w:sz w:val="20"/>
                <w:szCs w:val="20"/>
              </w:rPr>
            </w:pPr>
          </w:p>
        </w:tc>
        <w:tc>
          <w:tcPr>
            <w:tcW w:w="1706" w:type="pct"/>
            <w:tcBorders>
              <w:top w:val="nil"/>
              <w:left w:val="single" w:sz="4" w:space="0" w:color="auto"/>
              <w:bottom w:val="single" w:sz="4" w:space="0" w:color="auto"/>
              <w:right w:val="single" w:sz="4" w:space="0" w:color="auto"/>
            </w:tcBorders>
            <w:shd w:val="clear" w:color="auto" w:fill="auto"/>
          </w:tcPr>
          <w:p w14:paraId="7C6B15F0" w14:textId="77777777" w:rsidR="00B921E9" w:rsidRPr="003B4D22" w:rsidRDefault="00B921E9" w:rsidP="00B921E9">
            <w:pPr>
              <w:spacing w:after="0" w:line="240" w:lineRule="auto"/>
              <w:rPr>
                <w:rFonts w:ascii="Arial Narrow" w:hAnsi="Arial Narrow"/>
                <w:i/>
                <w:sz w:val="20"/>
                <w:szCs w:val="20"/>
              </w:rPr>
            </w:pPr>
            <w:r w:rsidRPr="003B4D22">
              <w:rPr>
                <w:rFonts w:ascii="Arial Narrow" w:hAnsi="Arial Narrow"/>
                <w:i/>
                <w:sz w:val="20"/>
                <w:szCs w:val="20"/>
              </w:rPr>
              <w:t>Rate, septicaemia per patient month</w:t>
            </w:r>
          </w:p>
        </w:tc>
        <w:tc>
          <w:tcPr>
            <w:tcW w:w="444" w:type="pct"/>
            <w:tcBorders>
              <w:top w:val="nil"/>
              <w:left w:val="single" w:sz="4" w:space="0" w:color="auto"/>
              <w:bottom w:val="single" w:sz="4" w:space="0" w:color="auto"/>
              <w:right w:val="nil"/>
            </w:tcBorders>
            <w:shd w:val="clear" w:color="auto" w:fill="auto"/>
            <w:noWrap/>
          </w:tcPr>
          <w:p w14:paraId="33359505"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i/>
                <w:sz w:val="20"/>
                <w:szCs w:val="20"/>
              </w:rPr>
              <w:t>0.088</w:t>
            </w:r>
          </w:p>
        </w:tc>
        <w:tc>
          <w:tcPr>
            <w:tcW w:w="496" w:type="pct"/>
            <w:tcBorders>
              <w:top w:val="nil"/>
              <w:left w:val="nil"/>
              <w:bottom w:val="single" w:sz="4" w:space="0" w:color="auto"/>
              <w:right w:val="nil"/>
            </w:tcBorders>
            <w:shd w:val="clear" w:color="auto" w:fill="auto"/>
            <w:vAlign w:val="bottom"/>
          </w:tcPr>
          <w:p w14:paraId="29A2ABF9" w14:textId="77777777" w:rsidR="00B921E9" w:rsidRPr="003B4D22" w:rsidRDefault="00B921E9" w:rsidP="00B921E9">
            <w:pPr>
              <w:spacing w:after="0" w:line="240" w:lineRule="auto"/>
              <w:jc w:val="right"/>
              <w:rPr>
                <w:rFonts w:ascii="Arial Narrow" w:hAnsi="Arial Narrow"/>
                <w:i/>
                <w:sz w:val="20"/>
                <w:szCs w:val="20"/>
              </w:rPr>
            </w:pPr>
          </w:p>
        </w:tc>
        <w:tc>
          <w:tcPr>
            <w:tcW w:w="469" w:type="pct"/>
            <w:tcBorders>
              <w:top w:val="nil"/>
              <w:left w:val="nil"/>
              <w:bottom w:val="single" w:sz="4" w:space="0" w:color="auto"/>
              <w:right w:val="nil"/>
            </w:tcBorders>
            <w:shd w:val="clear" w:color="auto" w:fill="auto"/>
            <w:noWrap/>
          </w:tcPr>
          <w:p w14:paraId="60AC2A0D"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i/>
                <w:sz w:val="20"/>
                <w:szCs w:val="20"/>
              </w:rPr>
              <w:t>0.149</w:t>
            </w:r>
          </w:p>
        </w:tc>
        <w:tc>
          <w:tcPr>
            <w:tcW w:w="569" w:type="pct"/>
            <w:tcBorders>
              <w:top w:val="nil"/>
              <w:left w:val="nil"/>
              <w:bottom w:val="single" w:sz="4" w:space="0" w:color="auto"/>
              <w:right w:val="nil"/>
            </w:tcBorders>
            <w:shd w:val="clear" w:color="auto" w:fill="auto"/>
          </w:tcPr>
          <w:p w14:paraId="47D61036" w14:textId="77777777" w:rsidR="00B921E9" w:rsidRPr="003B4D22" w:rsidRDefault="00B921E9" w:rsidP="00B921E9">
            <w:pPr>
              <w:spacing w:after="0" w:line="240" w:lineRule="auto"/>
              <w:jc w:val="right"/>
              <w:rPr>
                <w:rFonts w:ascii="Arial Narrow" w:hAnsi="Arial Narrow"/>
                <w:i/>
                <w:sz w:val="20"/>
                <w:szCs w:val="20"/>
              </w:rPr>
            </w:pPr>
          </w:p>
        </w:tc>
        <w:tc>
          <w:tcPr>
            <w:tcW w:w="666" w:type="pct"/>
            <w:tcBorders>
              <w:top w:val="nil"/>
              <w:left w:val="nil"/>
              <w:bottom w:val="single" w:sz="4" w:space="0" w:color="auto"/>
              <w:right w:val="single" w:sz="4" w:space="0" w:color="auto"/>
            </w:tcBorders>
            <w:shd w:val="clear" w:color="auto" w:fill="auto"/>
            <w:vAlign w:val="bottom"/>
          </w:tcPr>
          <w:p w14:paraId="7A38B923" w14:textId="77777777" w:rsidR="00B921E9" w:rsidRPr="003B4D22" w:rsidRDefault="00B921E9" w:rsidP="00B921E9">
            <w:pPr>
              <w:spacing w:after="0" w:line="240" w:lineRule="auto"/>
              <w:jc w:val="right"/>
              <w:rPr>
                <w:rFonts w:ascii="Arial Narrow" w:hAnsi="Arial Narrow"/>
                <w:sz w:val="20"/>
                <w:szCs w:val="20"/>
              </w:rPr>
            </w:pPr>
          </w:p>
        </w:tc>
      </w:tr>
      <w:tr w:rsidR="00B921E9" w:rsidRPr="003B4D22" w14:paraId="1E78B749" w14:textId="77777777" w:rsidTr="003735E3">
        <w:tc>
          <w:tcPr>
            <w:tcW w:w="650" w:type="pct"/>
            <w:tcBorders>
              <w:top w:val="nil"/>
              <w:left w:val="single" w:sz="4" w:space="0" w:color="auto"/>
              <w:bottom w:val="nil"/>
              <w:right w:val="single" w:sz="4" w:space="0" w:color="auto"/>
            </w:tcBorders>
          </w:tcPr>
          <w:p w14:paraId="01FAE8F4" w14:textId="77777777" w:rsidR="00B921E9" w:rsidRPr="003B4D22" w:rsidRDefault="00B921E9" w:rsidP="00B921E9">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nil"/>
              <w:right w:val="single" w:sz="4" w:space="0" w:color="auto"/>
            </w:tcBorders>
            <w:shd w:val="clear" w:color="auto" w:fill="auto"/>
            <w:vAlign w:val="center"/>
          </w:tcPr>
          <w:p w14:paraId="11C78454" w14:textId="77777777" w:rsidR="00B921E9" w:rsidRPr="003B4D22" w:rsidRDefault="00B921E9" w:rsidP="00B921E9">
            <w:pPr>
              <w:spacing w:after="0" w:line="240" w:lineRule="auto"/>
              <w:rPr>
                <w:rFonts w:ascii="Arial Narrow" w:hAnsi="Arial Narrow"/>
                <w:i/>
                <w:sz w:val="20"/>
                <w:szCs w:val="20"/>
              </w:rPr>
            </w:pPr>
            <w:r w:rsidRPr="003B4D22">
              <w:rPr>
                <w:rFonts w:ascii="Arial Narrow" w:hAnsi="Arial Narrow" w:cs="Calibri"/>
                <w:bCs/>
                <w:color w:val="000000"/>
                <w:sz w:val="20"/>
                <w:szCs w:val="20"/>
              </w:rPr>
              <w:t>Bacteraemia</w:t>
            </w:r>
          </w:p>
        </w:tc>
        <w:tc>
          <w:tcPr>
            <w:tcW w:w="444" w:type="pct"/>
            <w:tcBorders>
              <w:top w:val="single" w:sz="4" w:space="0" w:color="auto"/>
              <w:left w:val="single" w:sz="4" w:space="0" w:color="auto"/>
              <w:bottom w:val="nil"/>
              <w:right w:val="nil"/>
            </w:tcBorders>
            <w:shd w:val="clear" w:color="auto" w:fill="auto"/>
            <w:noWrap/>
            <w:vAlign w:val="center"/>
          </w:tcPr>
          <w:p w14:paraId="2E2C3A06" w14:textId="77777777" w:rsidR="00B921E9" w:rsidRPr="003B4D22" w:rsidRDefault="00B921E9" w:rsidP="00B921E9">
            <w:pPr>
              <w:spacing w:after="0" w:line="240" w:lineRule="auto"/>
              <w:jc w:val="right"/>
              <w:rPr>
                <w:rFonts w:ascii="Arial Narrow" w:hAnsi="Arial Narrow"/>
                <w:i/>
                <w:sz w:val="20"/>
                <w:szCs w:val="20"/>
              </w:rPr>
            </w:pPr>
          </w:p>
        </w:tc>
        <w:tc>
          <w:tcPr>
            <w:tcW w:w="496" w:type="pct"/>
            <w:tcBorders>
              <w:top w:val="single" w:sz="4" w:space="0" w:color="auto"/>
              <w:left w:val="nil"/>
              <w:bottom w:val="nil"/>
              <w:right w:val="nil"/>
            </w:tcBorders>
            <w:shd w:val="clear" w:color="auto" w:fill="auto"/>
            <w:vAlign w:val="center"/>
          </w:tcPr>
          <w:p w14:paraId="71BAC8CD" w14:textId="77777777" w:rsidR="00B921E9" w:rsidRPr="003B4D22" w:rsidRDefault="00B921E9" w:rsidP="00B921E9">
            <w:pPr>
              <w:spacing w:after="0" w:line="240" w:lineRule="auto"/>
              <w:jc w:val="right"/>
              <w:rPr>
                <w:rFonts w:ascii="Arial Narrow" w:hAnsi="Arial Narrow"/>
                <w:i/>
                <w:sz w:val="20"/>
                <w:szCs w:val="20"/>
              </w:rPr>
            </w:pPr>
          </w:p>
        </w:tc>
        <w:tc>
          <w:tcPr>
            <w:tcW w:w="469" w:type="pct"/>
            <w:tcBorders>
              <w:top w:val="single" w:sz="4" w:space="0" w:color="auto"/>
              <w:left w:val="nil"/>
              <w:bottom w:val="nil"/>
              <w:right w:val="nil"/>
            </w:tcBorders>
            <w:shd w:val="clear" w:color="auto" w:fill="auto"/>
            <w:noWrap/>
            <w:vAlign w:val="bottom"/>
          </w:tcPr>
          <w:p w14:paraId="25B64B66" w14:textId="77777777" w:rsidR="00B921E9" w:rsidRPr="003B4D22" w:rsidRDefault="00B921E9" w:rsidP="00B921E9">
            <w:pPr>
              <w:spacing w:after="0" w:line="240" w:lineRule="auto"/>
              <w:jc w:val="right"/>
              <w:rPr>
                <w:rFonts w:ascii="Arial Narrow" w:hAnsi="Arial Narrow"/>
                <w:i/>
                <w:sz w:val="20"/>
                <w:szCs w:val="20"/>
              </w:rPr>
            </w:pPr>
          </w:p>
        </w:tc>
        <w:tc>
          <w:tcPr>
            <w:tcW w:w="569" w:type="pct"/>
            <w:tcBorders>
              <w:top w:val="single" w:sz="4" w:space="0" w:color="auto"/>
              <w:left w:val="nil"/>
              <w:bottom w:val="nil"/>
              <w:right w:val="nil"/>
            </w:tcBorders>
            <w:shd w:val="clear" w:color="auto" w:fill="auto"/>
            <w:vAlign w:val="bottom"/>
          </w:tcPr>
          <w:p w14:paraId="5D774352" w14:textId="77777777" w:rsidR="00B921E9" w:rsidRPr="003B4D22" w:rsidRDefault="00B921E9" w:rsidP="00B921E9">
            <w:pPr>
              <w:spacing w:after="0" w:line="240" w:lineRule="auto"/>
              <w:jc w:val="right"/>
              <w:rPr>
                <w:rFonts w:ascii="Arial Narrow" w:hAnsi="Arial Narrow"/>
                <w:i/>
                <w:sz w:val="20"/>
                <w:szCs w:val="20"/>
              </w:rPr>
            </w:pPr>
          </w:p>
        </w:tc>
        <w:tc>
          <w:tcPr>
            <w:tcW w:w="666" w:type="pct"/>
            <w:tcBorders>
              <w:top w:val="single" w:sz="4" w:space="0" w:color="auto"/>
              <w:left w:val="nil"/>
              <w:bottom w:val="nil"/>
              <w:right w:val="single" w:sz="4" w:space="0" w:color="auto"/>
            </w:tcBorders>
            <w:shd w:val="clear" w:color="auto" w:fill="auto"/>
            <w:vAlign w:val="bottom"/>
          </w:tcPr>
          <w:p w14:paraId="435E94A1" w14:textId="77777777" w:rsidR="00B921E9" w:rsidRPr="003B4D22" w:rsidRDefault="00B921E9" w:rsidP="00B921E9">
            <w:pPr>
              <w:spacing w:after="0" w:line="240" w:lineRule="auto"/>
              <w:jc w:val="right"/>
              <w:rPr>
                <w:rFonts w:ascii="Arial Narrow" w:hAnsi="Arial Narrow"/>
                <w:sz w:val="20"/>
                <w:szCs w:val="20"/>
              </w:rPr>
            </w:pPr>
          </w:p>
        </w:tc>
      </w:tr>
      <w:tr w:rsidR="00B921E9" w:rsidRPr="003B4D22" w14:paraId="5DA8F641" w14:textId="77777777" w:rsidTr="003735E3">
        <w:tc>
          <w:tcPr>
            <w:tcW w:w="650" w:type="pct"/>
            <w:tcBorders>
              <w:top w:val="nil"/>
              <w:left w:val="single" w:sz="4" w:space="0" w:color="auto"/>
              <w:bottom w:val="nil"/>
              <w:right w:val="single" w:sz="4" w:space="0" w:color="auto"/>
            </w:tcBorders>
          </w:tcPr>
          <w:p w14:paraId="181C3A59" w14:textId="77777777" w:rsidR="00B921E9" w:rsidRPr="003B4D22" w:rsidRDefault="00B921E9" w:rsidP="00B921E9">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vAlign w:val="center"/>
          </w:tcPr>
          <w:p w14:paraId="0DF71F1C" w14:textId="77777777" w:rsidR="00B921E9" w:rsidRPr="003B4D22" w:rsidRDefault="00B921E9" w:rsidP="00331FB9">
            <w:pPr>
              <w:pStyle w:val="ListParagraph"/>
              <w:numPr>
                <w:ilvl w:val="0"/>
                <w:numId w:val="16"/>
              </w:numPr>
              <w:spacing w:after="0" w:line="240" w:lineRule="auto"/>
              <w:ind w:left="140" w:hanging="154"/>
              <w:rPr>
                <w:rFonts w:ascii="Arial Narrow" w:hAnsi="Arial Narrow"/>
                <w:i/>
                <w:sz w:val="20"/>
                <w:szCs w:val="20"/>
              </w:rPr>
            </w:pPr>
            <w:r w:rsidRPr="003B4D22">
              <w:rPr>
                <w:rFonts w:ascii="Arial Narrow" w:hAnsi="Arial Narrow" w:cs="Calibri"/>
                <w:color w:val="000000"/>
                <w:sz w:val="20"/>
                <w:szCs w:val="20"/>
              </w:rPr>
              <w:t>gram-positive</w:t>
            </w:r>
          </w:p>
        </w:tc>
        <w:tc>
          <w:tcPr>
            <w:tcW w:w="444" w:type="pct"/>
            <w:tcBorders>
              <w:top w:val="nil"/>
              <w:left w:val="single" w:sz="4" w:space="0" w:color="auto"/>
              <w:bottom w:val="nil"/>
              <w:right w:val="nil"/>
            </w:tcBorders>
            <w:shd w:val="clear" w:color="auto" w:fill="auto"/>
            <w:noWrap/>
            <w:vAlign w:val="center"/>
          </w:tcPr>
          <w:p w14:paraId="5C71202E"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121</w:t>
            </w:r>
          </w:p>
        </w:tc>
        <w:tc>
          <w:tcPr>
            <w:tcW w:w="496" w:type="pct"/>
            <w:tcBorders>
              <w:top w:val="nil"/>
              <w:left w:val="nil"/>
              <w:bottom w:val="nil"/>
              <w:right w:val="nil"/>
            </w:tcBorders>
            <w:shd w:val="clear" w:color="auto" w:fill="auto"/>
            <w:vAlign w:val="bottom"/>
          </w:tcPr>
          <w:p w14:paraId="7AEC6896"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0.90</w:t>
            </w:r>
          </w:p>
        </w:tc>
        <w:tc>
          <w:tcPr>
            <w:tcW w:w="469" w:type="pct"/>
            <w:tcBorders>
              <w:top w:val="nil"/>
              <w:left w:val="nil"/>
              <w:bottom w:val="nil"/>
              <w:right w:val="nil"/>
            </w:tcBorders>
            <w:shd w:val="clear" w:color="auto" w:fill="auto"/>
            <w:noWrap/>
            <w:vAlign w:val="center"/>
          </w:tcPr>
          <w:p w14:paraId="5A754790"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122</w:t>
            </w:r>
          </w:p>
        </w:tc>
        <w:tc>
          <w:tcPr>
            <w:tcW w:w="569" w:type="pct"/>
            <w:tcBorders>
              <w:top w:val="nil"/>
              <w:left w:val="nil"/>
              <w:bottom w:val="nil"/>
              <w:right w:val="nil"/>
            </w:tcBorders>
            <w:shd w:val="clear" w:color="auto" w:fill="auto"/>
            <w:vAlign w:val="center"/>
          </w:tcPr>
          <w:p w14:paraId="60474FEE"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0.88</w:t>
            </w:r>
          </w:p>
        </w:tc>
        <w:tc>
          <w:tcPr>
            <w:tcW w:w="666" w:type="pct"/>
            <w:tcBorders>
              <w:top w:val="nil"/>
              <w:left w:val="nil"/>
              <w:bottom w:val="nil"/>
              <w:right w:val="single" w:sz="4" w:space="0" w:color="auto"/>
            </w:tcBorders>
            <w:shd w:val="clear" w:color="auto" w:fill="auto"/>
            <w:vAlign w:val="bottom"/>
          </w:tcPr>
          <w:p w14:paraId="2AD23787" w14:textId="77777777" w:rsidR="00B921E9" w:rsidRPr="003B4D22" w:rsidRDefault="00B921E9" w:rsidP="00B921E9">
            <w:pPr>
              <w:spacing w:after="0" w:line="240" w:lineRule="auto"/>
              <w:jc w:val="right"/>
              <w:rPr>
                <w:rFonts w:ascii="Arial Narrow" w:hAnsi="Arial Narrow"/>
                <w:sz w:val="20"/>
                <w:szCs w:val="20"/>
              </w:rPr>
            </w:pPr>
            <w:r w:rsidRPr="003B4D22">
              <w:rPr>
                <w:rFonts w:ascii="Arial Narrow" w:hAnsi="Arial Narrow" w:cs="Calibri"/>
                <w:color w:val="000000"/>
                <w:sz w:val="20"/>
                <w:szCs w:val="20"/>
              </w:rPr>
              <w:t>0.98 (n.s.)</w:t>
            </w:r>
          </w:p>
        </w:tc>
      </w:tr>
      <w:tr w:rsidR="00B921E9" w:rsidRPr="003B4D22" w14:paraId="523B72B3" w14:textId="77777777" w:rsidTr="003735E3">
        <w:tc>
          <w:tcPr>
            <w:tcW w:w="650" w:type="pct"/>
            <w:tcBorders>
              <w:top w:val="nil"/>
              <w:left w:val="single" w:sz="4" w:space="0" w:color="auto"/>
              <w:bottom w:val="nil"/>
              <w:right w:val="single" w:sz="4" w:space="0" w:color="auto"/>
            </w:tcBorders>
          </w:tcPr>
          <w:p w14:paraId="35FC0F01" w14:textId="77777777" w:rsidR="00B921E9" w:rsidRPr="003B4D22" w:rsidRDefault="00B921E9" w:rsidP="00B921E9">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vAlign w:val="center"/>
          </w:tcPr>
          <w:p w14:paraId="21D868B7" w14:textId="77777777" w:rsidR="00B921E9" w:rsidRPr="003B4D22" w:rsidRDefault="00B921E9" w:rsidP="00331FB9">
            <w:pPr>
              <w:pStyle w:val="ListParagraph"/>
              <w:numPr>
                <w:ilvl w:val="0"/>
                <w:numId w:val="16"/>
              </w:numPr>
              <w:spacing w:after="0" w:line="240" w:lineRule="auto"/>
              <w:ind w:left="140" w:hanging="154"/>
              <w:rPr>
                <w:rFonts w:ascii="Arial Narrow" w:hAnsi="Arial Narrow"/>
                <w:i/>
                <w:sz w:val="20"/>
                <w:szCs w:val="20"/>
              </w:rPr>
            </w:pPr>
            <w:r w:rsidRPr="003B4D22">
              <w:rPr>
                <w:rFonts w:ascii="Arial Narrow" w:hAnsi="Arial Narrow" w:cs="Calibri"/>
                <w:color w:val="000000"/>
                <w:sz w:val="20"/>
                <w:szCs w:val="20"/>
              </w:rPr>
              <w:t>gram-negative</w:t>
            </w:r>
          </w:p>
        </w:tc>
        <w:tc>
          <w:tcPr>
            <w:tcW w:w="444" w:type="pct"/>
            <w:tcBorders>
              <w:top w:val="nil"/>
              <w:left w:val="single" w:sz="4" w:space="0" w:color="auto"/>
              <w:bottom w:val="nil"/>
              <w:right w:val="nil"/>
            </w:tcBorders>
            <w:shd w:val="clear" w:color="auto" w:fill="auto"/>
            <w:noWrap/>
            <w:vAlign w:val="center"/>
          </w:tcPr>
          <w:p w14:paraId="0635F5AC"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41</w:t>
            </w:r>
          </w:p>
        </w:tc>
        <w:tc>
          <w:tcPr>
            <w:tcW w:w="496" w:type="pct"/>
            <w:tcBorders>
              <w:top w:val="nil"/>
              <w:left w:val="nil"/>
              <w:bottom w:val="nil"/>
              <w:right w:val="nil"/>
            </w:tcBorders>
            <w:shd w:val="clear" w:color="auto" w:fill="auto"/>
            <w:vAlign w:val="bottom"/>
          </w:tcPr>
          <w:p w14:paraId="5F1E7C02"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0.31</w:t>
            </w:r>
          </w:p>
        </w:tc>
        <w:tc>
          <w:tcPr>
            <w:tcW w:w="469" w:type="pct"/>
            <w:tcBorders>
              <w:top w:val="nil"/>
              <w:left w:val="nil"/>
              <w:bottom w:val="nil"/>
              <w:right w:val="nil"/>
            </w:tcBorders>
            <w:shd w:val="clear" w:color="auto" w:fill="auto"/>
            <w:noWrap/>
            <w:vAlign w:val="center"/>
          </w:tcPr>
          <w:p w14:paraId="2F883F3B"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38</w:t>
            </w:r>
          </w:p>
        </w:tc>
        <w:tc>
          <w:tcPr>
            <w:tcW w:w="569" w:type="pct"/>
            <w:tcBorders>
              <w:top w:val="nil"/>
              <w:left w:val="nil"/>
              <w:bottom w:val="nil"/>
              <w:right w:val="nil"/>
            </w:tcBorders>
            <w:shd w:val="clear" w:color="auto" w:fill="auto"/>
            <w:vAlign w:val="center"/>
          </w:tcPr>
          <w:p w14:paraId="18EE807F"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0.27</w:t>
            </w:r>
          </w:p>
        </w:tc>
        <w:tc>
          <w:tcPr>
            <w:tcW w:w="666" w:type="pct"/>
            <w:tcBorders>
              <w:top w:val="nil"/>
              <w:left w:val="nil"/>
              <w:bottom w:val="nil"/>
              <w:right w:val="single" w:sz="4" w:space="0" w:color="auto"/>
            </w:tcBorders>
            <w:shd w:val="clear" w:color="auto" w:fill="auto"/>
            <w:vAlign w:val="bottom"/>
          </w:tcPr>
          <w:p w14:paraId="10C4353F" w14:textId="77777777" w:rsidR="00B921E9" w:rsidRPr="003B4D22" w:rsidRDefault="00B921E9" w:rsidP="00B921E9">
            <w:pPr>
              <w:spacing w:after="0" w:line="240" w:lineRule="auto"/>
              <w:jc w:val="right"/>
              <w:rPr>
                <w:rFonts w:ascii="Arial Narrow" w:hAnsi="Arial Narrow"/>
                <w:sz w:val="20"/>
                <w:szCs w:val="20"/>
              </w:rPr>
            </w:pPr>
            <w:r w:rsidRPr="003B4D22">
              <w:rPr>
                <w:rFonts w:ascii="Arial Narrow" w:hAnsi="Arial Narrow" w:cs="Calibri"/>
                <w:color w:val="000000"/>
                <w:sz w:val="20"/>
                <w:szCs w:val="20"/>
              </w:rPr>
              <w:t>0.88 (n.s.)</w:t>
            </w:r>
          </w:p>
        </w:tc>
      </w:tr>
      <w:tr w:rsidR="00B921E9" w:rsidRPr="003B4D22" w14:paraId="33DBA3CC" w14:textId="77777777" w:rsidTr="003735E3">
        <w:tc>
          <w:tcPr>
            <w:tcW w:w="650" w:type="pct"/>
            <w:tcBorders>
              <w:top w:val="nil"/>
              <w:left w:val="single" w:sz="4" w:space="0" w:color="auto"/>
              <w:bottom w:val="nil"/>
              <w:right w:val="single" w:sz="4" w:space="0" w:color="auto"/>
            </w:tcBorders>
          </w:tcPr>
          <w:p w14:paraId="4DAC1B70" w14:textId="77777777" w:rsidR="00B921E9" w:rsidRPr="003B4D22" w:rsidRDefault="00B921E9" w:rsidP="00B921E9">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vAlign w:val="center"/>
          </w:tcPr>
          <w:p w14:paraId="5EA56C6E" w14:textId="77777777" w:rsidR="00B921E9" w:rsidRPr="003B4D22" w:rsidRDefault="00B921E9" w:rsidP="00331FB9">
            <w:pPr>
              <w:pStyle w:val="ListParagraph"/>
              <w:numPr>
                <w:ilvl w:val="0"/>
                <w:numId w:val="16"/>
              </w:numPr>
              <w:spacing w:after="0" w:line="240" w:lineRule="auto"/>
              <w:ind w:left="140" w:hanging="154"/>
              <w:rPr>
                <w:rFonts w:ascii="Arial Narrow" w:hAnsi="Arial Narrow"/>
                <w:i/>
                <w:sz w:val="20"/>
                <w:szCs w:val="20"/>
              </w:rPr>
            </w:pPr>
            <w:r w:rsidRPr="003B4D22">
              <w:rPr>
                <w:rFonts w:ascii="Arial Narrow" w:hAnsi="Arial Narrow" w:cs="Calibri"/>
                <w:color w:val="000000"/>
                <w:sz w:val="20"/>
                <w:szCs w:val="20"/>
              </w:rPr>
              <w:t>fungal</w:t>
            </w:r>
          </w:p>
        </w:tc>
        <w:tc>
          <w:tcPr>
            <w:tcW w:w="444" w:type="pct"/>
            <w:tcBorders>
              <w:top w:val="nil"/>
              <w:left w:val="single" w:sz="4" w:space="0" w:color="auto"/>
              <w:bottom w:val="nil"/>
              <w:right w:val="nil"/>
            </w:tcBorders>
            <w:shd w:val="clear" w:color="auto" w:fill="auto"/>
            <w:noWrap/>
            <w:vAlign w:val="center"/>
          </w:tcPr>
          <w:p w14:paraId="0B3DA283"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16</w:t>
            </w:r>
          </w:p>
        </w:tc>
        <w:tc>
          <w:tcPr>
            <w:tcW w:w="496" w:type="pct"/>
            <w:tcBorders>
              <w:top w:val="nil"/>
              <w:left w:val="nil"/>
              <w:bottom w:val="nil"/>
              <w:right w:val="nil"/>
            </w:tcBorders>
            <w:shd w:val="clear" w:color="auto" w:fill="auto"/>
            <w:vAlign w:val="bottom"/>
          </w:tcPr>
          <w:p w14:paraId="56903A4E"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0.12</w:t>
            </w:r>
          </w:p>
        </w:tc>
        <w:tc>
          <w:tcPr>
            <w:tcW w:w="469" w:type="pct"/>
            <w:tcBorders>
              <w:top w:val="nil"/>
              <w:left w:val="nil"/>
              <w:bottom w:val="nil"/>
              <w:right w:val="nil"/>
            </w:tcBorders>
            <w:shd w:val="clear" w:color="auto" w:fill="auto"/>
            <w:noWrap/>
            <w:vAlign w:val="center"/>
          </w:tcPr>
          <w:p w14:paraId="76199D72"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13</w:t>
            </w:r>
          </w:p>
        </w:tc>
        <w:tc>
          <w:tcPr>
            <w:tcW w:w="569" w:type="pct"/>
            <w:tcBorders>
              <w:top w:val="nil"/>
              <w:left w:val="nil"/>
              <w:bottom w:val="nil"/>
              <w:right w:val="nil"/>
            </w:tcBorders>
            <w:shd w:val="clear" w:color="auto" w:fill="auto"/>
            <w:vAlign w:val="center"/>
          </w:tcPr>
          <w:p w14:paraId="4FBA19D2"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0.09</w:t>
            </w:r>
          </w:p>
        </w:tc>
        <w:tc>
          <w:tcPr>
            <w:tcW w:w="666" w:type="pct"/>
            <w:tcBorders>
              <w:top w:val="nil"/>
              <w:left w:val="nil"/>
              <w:bottom w:val="nil"/>
              <w:right w:val="single" w:sz="4" w:space="0" w:color="auto"/>
            </w:tcBorders>
            <w:shd w:val="clear" w:color="auto" w:fill="auto"/>
            <w:vAlign w:val="bottom"/>
          </w:tcPr>
          <w:p w14:paraId="317D6D6C" w14:textId="77777777" w:rsidR="00B921E9" w:rsidRPr="003B4D22" w:rsidRDefault="00B921E9" w:rsidP="00B921E9">
            <w:pPr>
              <w:spacing w:after="0" w:line="240" w:lineRule="auto"/>
              <w:jc w:val="right"/>
              <w:rPr>
                <w:rFonts w:ascii="Arial Narrow" w:hAnsi="Arial Narrow"/>
                <w:sz w:val="20"/>
                <w:szCs w:val="20"/>
              </w:rPr>
            </w:pPr>
            <w:r w:rsidRPr="003B4D22">
              <w:rPr>
                <w:rFonts w:ascii="Arial Narrow" w:hAnsi="Arial Narrow" w:cs="Calibri"/>
                <w:color w:val="000000"/>
                <w:sz w:val="20"/>
                <w:szCs w:val="20"/>
              </w:rPr>
              <w:t>0.83 (n.s.)</w:t>
            </w:r>
          </w:p>
        </w:tc>
      </w:tr>
      <w:tr w:rsidR="00B921E9" w:rsidRPr="003B4D22" w14:paraId="33989BE0" w14:textId="77777777" w:rsidTr="003735E3">
        <w:tc>
          <w:tcPr>
            <w:tcW w:w="650" w:type="pct"/>
            <w:tcBorders>
              <w:top w:val="nil"/>
              <w:left w:val="single" w:sz="4" w:space="0" w:color="auto"/>
              <w:bottom w:val="nil"/>
              <w:right w:val="single" w:sz="4" w:space="0" w:color="auto"/>
            </w:tcBorders>
          </w:tcPr>
          <w:p w14:paraId="0C27A19A" w14:textId="77777777" w:rsidR="00B921E9" w:rsidRPr="003B4D22" w:rsidRDefault="00B921E9" w:rsidP="00B921E9">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tcPr>
          <w:p w14:paraId="676F5846" w14:textId="77777777" w:rsidR="00B921E9" w:rsidRPr="003B4D22" w:rsidRDefault="00B921E9" w:rsidP="00B921E9">
            <w:pPr>
              <w:spacing w:after="0" w:line="240" w:lineRule="auto"/>
              <w:ind w:left="-14"/>
              <w:rPr>
                <w:rFonts w:ascii="Arial Narrow" w:hAnsi="Arial Narrow" w:cs="Calibri"/>
                <w:color w:val="000000"/>
                <w:sz w:val="20"/>
                <w:szCs w:val="20"/>
              </w:rPr>
            </w:pPr>
            <w:r w:rsidRPr="003B4D22">
              <w:rPr>
                <w:rFonts w:ascii="Arial Narrow" w:hAnsi="Arial Narrow"/>
                <w:sz w:val="20"/>
                <w:szCs w:val="20"/>
              </w:rPr>
              <w:t>Total, bacteraemia</w:t>
            </w:r>
          </w:p>
        </w:tc>
        <w:tc>
          <w:tcPr>
            <w:tcW w:w="444" w:type="pct"/>
            <w:tcBorders>
              <w:top w:val="nil"/>
              <w:left w:val="single" w:sz="4" w:space="0" w:color="auto"/>
              <w:bottom w:val="nil"/>
              <w:right w:val="nil"/>
            </w:tcBorders>
            <w:shd w:val="clear" w:color="auto" w:fill="auto"/>
            <w:noWrap/>
            <w:vAlign w:val="center"/>
          </w:tcPr>
          <w:p w14:paraId="359A72A3" w14:textId="77777777" w:rsidR="00B921E9" w:rsidRPr="003B4D22" w:rsidRDefault="00B921E9" w:rsidP="00B921E9">
            <w:pPr>
              <w:spacing w:after="0" w:line="240" w:lineRule="auto"/>
              <w:jc w:val="right"/>
              <w:rPr>
                <w:rFonts w:ascii="Arial Narrow" w:hAnsi="Arial Narrow" w:cs="Calibri"/>
                <w:color w:val="000000"/>
                <w:sz w:val="20"/>
                <w:szCs w:val="20"/>
              </w:rPr>
            </w:pPr>
            <w:r w:rsidRPr="003B4D22">
              <w:rPr>
                <w:rFonts w:ascii="Arial Narrow" w:hAnsi="Arial Narrow" w:cs="Calibri"/>
                <w:color w:val="000000"/>
                <w:sz w:val="20"/>
                <w:szCs w:val="20"/>
              </w:rPr>
              <w:t>178</w:t>
            </w:r>
          </w:p>
        </w:tc>
        <w:tc>
          <w:tcPr>
            <w:tcW w:w="496" w:type="pct"/>
            <w:tcBorders>
              <w:top w:val="nil"/>
              <w:left w:val="nil"/>
              <w:bottom w:val="nil"/>
              <w:right w:val="nil"/>
            </w:tcBorders>
            <w:shd w:val="clear" w:color="auto" w:fill="auto"/>
            <w:vAlign w:val="bottom"/>
          </w:tcPr>
          <w:p w14:paraId="012C9EB3" w14:textId="77777777" w:rsidR="00B921E9" w:rsidRPr="003B4D22" w:rsidRDefault="00B921E9" w:rsidP="00B921E9">
            <w:pPr>
              <w:spacing w:after="0" w:line="240" w:lineRule="auto"/>
              <w:jc w:val="right"/>
              <w:rPr>
                <w:rFonts w:ascii="Arial Narrow" w:hAnsi="Arial Narrow" w:cs="Calibri"/>
                <w:color w:val="000000"/>
                <w:sz w:val="20"/>
                <w:szCs w:val="20"/>
              </w:rPr>
            </w:pPr>
            <w:r w:rsidRPr="003B4D22">
              <w:rPr>
                <w:rFonts w:ascii="Arial Narrow" w:hAnsi="Arial Narrow" w:cs="Calibri"/>
                <w:color w:val="000000"/>
                <w:sz w:val="20"/>
                <w:szCs w:val="20"/>
              </w:rPr>
              <w:t>1.33</w:t>
            </w:r>
          </w:p>
        </w:tc>
        <w:tc>
          <w:tcPr>
            <w:tcW w:w="469" w:type="pct"/>
            <w:tcBorders>
              <w:top w:val="nil"/>
              <w:left w:val="nil"/>
              <w:bottom w:val="nil"/>
              <w:right w:val="nil"/>
            </w:tcBorders>
            <w:shd w:val="clear" w:color="auto" w:fill="auto"/>
            <w:noWrap/>
            <w:vAlign w:val="center"/>
          </w:tcPr>
          <w:p w14:paraId="27D0F772" w14:textId="77777777" w:rsidR="00B921E9" w:rsidRPr="003B4D22" w:rsidRDefault="00B921E9" w:rsidP="00B921E9">
            <w:pPr>
              <w:spacing w:after="0" w:line="240" w:lineRule="auto"/>
              <w:jc w:val="right"/>
              <w:rPr>
                <w:rFonts w:ascii="Arial Narrow" w:hAnsi="Arial Narrow" w:cs="Calibri"/>
                <w:color w:val="000000"/>
                <w:sz w:val="20"/>
                <w:szCs w:val="20"/>
              </w:rPr>
            </w:pPr>
            <w:r w:rsidRPr="003B4D22">
              <w:rPr>
                <w:rFonts w:ascii="Arial Narrow" w:hAnsi="Arial Narrow" w:cs="Calibri"/>
                <w:color w:val="000000"/>
                <w:sz w:val="20"/>
                <w:szCs w:val="20"/>
              </w:rPr>
              <w:t>173</w:t>
            </w:r>
          </w:p>
        </w:tc>
        <w:tc>
          <w:tcPr>
            <w:tcW w:w="569" w:type="pct"/>
            <w:tcBorders>
              <w:top w:val="nil"/>
              <w:left w:val="nil"/>
              <w:bottom w:val="nil"/>
              <w:right w:val="nil"/>
            </w:tcBorders>
            <w:shd w:val="clear" w:color="auto" w:fill="auto"/>
            <w:vAlign w:val="center"/>
          </w:tcPr>
          <w:p w14:paraId="16B18FA8" w14:textId="77777777" w:rsidR="00B921E9" w:rsidRPr="003B4D22" w:rsidRDefault="00B921E9" w:rsidP="00B921E9">
            <w:pPr>
              <w:spacing w:after="0" w:line="240" w:lineRule="auto"/>
              <w:jc w:val="right"/>
              <w:rPr>
                <w:rFonts w:ascii="Arial Narrow" w:hAnsi="Arial Narrow" w:cs="Calibri"/>
                <w:color w:val="000000"/>
                <w:sz w:val="20"/>
                <w:szCs w:val="20"/>
              </w:rPr>
            </w:pPr>
            <w:r w:rsidRPr="003B4D22">
              <w:rPr>
                <w:rFonts w:ascii="Arial Narrow" w:hAnsi="Arial Narrow" w:cs="Calibri"/>
                <w:color w:val="000000"/>
                <w:sz w:val="20"/>
                <w:szCs w:val="20"/>
              </w:rPr>
              <w:t>1.25</w:t>
            </w:r>
          </w:p>
        </w:tc>
        <w:tc>
          <w:tcPr>
            <w:tcW w:w="666" w:type="pct"/>
            <w:tcBorders>
              <w:top w:val="nil"/>
              <w:left w:val="nil"/>
              <w:bottom w:val="nil"/>
              <w:right w:val="single" w:sz="4" w:space="0" w:color="auto"/>
            </w:tcBorders>
            <w:shd w:val="clear" w:color="auto" w:fill="auto"/>
            <w:vAlign w:val="bottom"/>
          </w:tcPr>
          <w:p w14:paraId="34E0EAB3" w14:textId="77777777" w:rsidR="00B921E9" w:rsidRPr="003B4D22" w:rsidRDefault="00B921E9" w:rsidP="00B921E9">
            <w:pPr>
              <w:spacing w:after="0" w:line="240" w:lineRule="auto"/>
              <w:jc w:val="right"/>
              <w:rPr>
                <w:rFonts w:ascii="Arial Narrow" w:hAnsi="Arial Narrow" w:cs="Calibri"/>
                <w:color w:val="000000"/>
                <w:sz w:val="20"/>
                <w:szCs w:val="20"/>
              </w:rPr>
            </w:pPr>
            <w:r w:rsidRPr="003B4D22">
              <w:rPr>
                <w:rFonts w:ascii="Arial Narrow" w:hAnsi="Arial Narrow" w:cs="Calibri"/>
                <w:color w:val="000000"/>
                <w:sz w:val="20"/>
                <w:szCs w:val="20"/>
              </w:rPr>
              <w:t>0.97 (n.s.)</w:t>
            </w:r>
          </w:p>
        </w:tc>
      </w:tr>
      <w:tr w:rsidR="00B921E9" w:rsidRPr="003B4D22" w14:paraId="3B3DA36F" w14:textId="77777777" w:rsidTr="003735E3">
        <w:tc>
          <w:tcPr>
            <w:tcW w:w="650" w:type="pct"/>
            <w:tcBorders>
              <w:top w:val="nil"/>
              <w:left w:val="single" w:sz="4" w:space="0" w:color="auto"/>
              <w:bottom w:val="nil"/>
              <w:right w:val="single" w:sz="4" w:space="0" w:color="auto"/>
            </w:tcBorders>
          </w:tcPr>
          <w:p w14:paraId="00A09D1C" w14:textId="77777777" w:rsidR="00B921E9" w:rsidRPr="003B4D22" w:rsidRDefault="00B921E9" w:rsidP="00B921E9">
            <w:pPr>
              <w:spacing w:after="0" w:line="240" w:lineRule="auto"/>
              <w:rPr>
                <w:rFonts w:ascii="Arial Narrow" w:hAnsi="Arial Narrow" w:cs="Calibri"/>
                <w:color w:val="000000"/>
                <w:sz w:val="20"/>
                <w:szCs w:val="20"/>
              </w:rPr>
            </w:pPr>
          </w:p>
        </w:tc>
        <w:tc>
          <w:tcPr>
            <w:tcW w:w="1706" w:type="pct"/>
            <w:tcBorders>
              <w:top w:val="nil"/>
              <w:left w:val="single" w:sz="4" w:space="0" w:color="auto"/>
              <w:bottom w:val="single" w:sz="4" w:space="0" w:color="auto"/>
              <w:right w:val="single" w:sz="4" w:space="0" w:color="auto"/>
            </w:tcBorders>
            <w:shd w:val="clear" w:color="auto" w:fill="auto"/>
          </w:tcPr>
          <w:p w14:paraId="2CB7E3E6" w14:textId="77777777" w:rsidR="00B921E9" w:rsidRPr="003B4D22" w:rsidRDefault="00B921E9" w:rsidP="00B921E9">
            <w:pPr>
              <w:spacing w:after="0" w:line="240" w:lineRule="auto"/>
              <w:rPr>
                <w:rFonts w:ascii="Arial Narrow" w:hAnsi="Arial Narrow"/>
                <w:i/>
                <w:sz w:val="20"/>
                <w:szCs w:val="20"/>
              </w:rPr>
            </w:pPr>
            <w:r w:rsidRPr="003B4D22">
              <w:rPr>
                <w:rFonts w:ascii="Arial Narrow" w:hAnsi="Arial Narrow"/>
                <w:i/>
                <w:sz w:val="20"/>
                <w:szCs w:val="20"/>
              </w:rPr>
              <w:t>Rate, bacteraemia per patient month</w:t>
            </w:r>
          </w:p>
        </w:tc>
        <w:tc>
          <w:tcPr>
            <w:tcW w:w="444" w:type="pct"/>
            <w:tcBorders>
              <w:top w:val="nil"/>
              <w:left w:val="single" w:sz="4" w:space="0" w:color="auto"/>
              <w:bottom w:val="single" w:sz="4" w:space="0" w:color="auto"/>
              <w:right w:val="nil"/>
            </w:tcBorders>
            <w:shd w:val="clear" w:color="auto" w:fill="auto"/>
            <w:noWrap/>
            <w:vAlign w:val="center"/>
          </w:tcPr>
          <w:p w14:paraId="25AEAA8A"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i/>
                <w:sz w:val="20"/>
                <w:szCs w:val="20"/>
              </w:rPr>
              <w:t>0.404</w:t>
            </w:r>
          </w:p>
        </w:tc>
        <w:tc>
          <w:tcPr>
            <w:tcW w:w="496" w:type="pct"/>
            <w:tcBorders>
              <w:top w:val="nil"/>
              <w:left w:val="nil"/>
              <w:bottom w:val="single" w:sz="4" w:space="0" w:color="auto"/>
              <w:right w:val="nil"/>
            </w:tcBorders>
            <w:shd w:val="clear" w:color="auto" w:fill="auto"/>
            <w:vAlign w:val="bottom"/>
          </w:tcPr>
          <w:p w14:paraId="38D12B67" w14:textId="77777777" w:rsidR="00B921E9" w:rsidRPr="003B4D22" w:rsidRDefault="00B921E9" w:rsidP="00B921E9">
            <w:pPr>
              <w:spacing w:after="0" w:line="240" w:lineRule="auto"/>
              <w:jc w:val="right"/>
              <w:rPr>
                <w:rFonts w:ascii="Arial Narrow" w:hAnsi="Arial Narrow"/>
                <w:i/>
                <w:sz w:val="20"/>
                <w:szCs w:val="20"/>
              </w:rPr>
            </w:pPr>
          </w:p>
        </w:tc>
        <w:tc>
          <w:tcPr>
            <w:tcW w:w="469" w:type="pct"/>
            <w:tcBorders>
              <w:top w:val="nil"/>
              <w:left w:val="nil"/>
              <w:bottom w:val="single" w:sz="4" w:space="0" w:color="auto"/>
              <w:right w:val="nil"/>
            </w:tcBorders>
            <w:shd w:val="clear" w:color="auto" w:fill="auto"/>
            <w:noWrap/>
            <w:vAlign w:val="center"/>
          </w:tcPr>
          <w:p w14:paraId="4B7ADBE5"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i/>
                <w:sz w:val="20"/>
                <w:szCs w:val="20"/>
              </w:rPr>
              <w:t>0.379</w:t>
            </w:r>
          </w:p>
        </w:tc>
        <w:tc>
          <w:tcPr>
            <w:tcW w:w="569" w:type="pct"/>
            <w:tcBorders>
              <w:top w:val="nil"/>
              <w:left w:val="nil"/>
              <w:bottom w:val="single" w:sz="4" w:space="0" w:color="auto"/>
              <w:right w:val="nil"/>
            </w:tcBorders>
            <w:shd w:val="clear" w:color="auto" w:fill="auto"/>
            <w:vAlign w:val="center"/>
          </w:tcPr>
          <w:p w14:paraId="4352B2FD" w14:textId="77777777" w:rsidR="00B921E9" w:rsidRPr="003B4D22" w:rsidRDefault="00B921E9" w:rsidP="00B921E9">
            <w:pPr>
              <w:spacing w:after="0" w:line="240" w:lineRule="auto"/>
              <w:jc w:val="right"/>
              <w:rPr>
                <w:rFonts w:ascii="Arial Narrow" w:hAnsi="Arial Narrow"/>
                <w:i/>
                <w:sz w:val="20"/>
                <w:szCs w:val="20"/>
              </w:rPr>
            </w:pPr>
          </w:p>
        </w:tc>
        <w:tc>
          <w:tcPr>
            <w:tcW w:w="666" w:type="pct"/>
            <w:tcBorders>
              <w:top w:val="nil"/>
              <w:left w:val="nil"/>
              <w:bottom w:val="single" w:sz="4" w:space="0" w:color="auto"/>
              <w:right w:val="single" w:sz="4" w:space="0" w:color="auto"/>
            </w:tcBorders>
            <w:shd w:val="clear" w:color="auto" w:fill="auto"/>
            <w:vAlign w:val="bottom"/>
          </w:tcPr>
          <w:p w14:paraId="56A962BC" w14:textId="77777777" w:rsidR="00B921E9" w:rsidRPr="003B4D22" w:rsidRDefault="00B921E9" w:rsidP="00B921E9">
            <w:pPr>
              <w:spacing w:after="0" w:line="240" w:lineRule="auto"/>
              <w:jc w:val="right"/>
              <w:rPr>
                <w:rFonts w:ascii="Arial Narrow" w:hAnsi="Arial Narrow"/>
                <w:sz w:val="20"/>
                <w:szCs w:val="20"/>
              </w:rPr>
            </w:pPr>
          </w:p>
        </w:tc>
      </w:tr>
      <w:tr w:rsidR="00B921E9" w:rsidRPr="003B4D22" w14:paraId="480C818A" w14:textId="77777777" w:rsidTr="003735E3">
        <w:tc>
          <w:tcPr>
            <w:tcW w:w="650" w:type="pct"/>
            <w:tcBorders>
              <w:top w:val="nil"/>
              <w:left w:val="single" w:sz="4" w:space="0" w:color="auto"/>
              <w:bottom w:val="nil"/>
              <w:right w:val="single" w:sz="4" w:space="0" w:color="auto"/>
            </w:tcBorders>
          </w:tcPr>
          <w:p w14:paraId="46B3AAB2" w14:textId="77777777" w:rsidR="00B921E9" w:rsidRPr="003B4D22" w:rsidRDefault="00B921E9" w:rsidP="00B921E9">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nil"/>
              <w:right w:val="single" w:sz="4" w:space="0" w:color="auto"/>
            </w:tcBorders>
            <w:shd w:val="clear" w:color="auto" w:fill="auto"/>
            <w:vAlign w:val="center"/>
          </w:tcPr>
          <w:p w14:paraId="75A8528A" w14:textId="77777777" w:rsidR="00B921E9" w:rsidRPr="003B4D22" w:rsidRDefault="00B921E9" w:rsidP="00B921E9">
            <w:pPr>
              <w:spacing w:after="0" w:line="240" w:lineRule="auto"/>
              <w:rPr>
                <w:rFonts w:ascii="Arial Narrow" w:hAnsi="Arial Narrow"/>
                <w:i/>
                <w:sz w:val="20"/>
                <w:szCs w:val="20"/>
              </w:rPr>
            </w:pPr>
            <w:r w:rsidRPr="003B4D22">
              <w:rPr>
                <w:rFonts w:ascii="Arial Narrow" w:hAnsi="Arial Narrow" w:cs="Calibri"/>
                <w:bCs/>
                <w:color w:val="000000"/>
                <w:sz w:val="20"/>
                <w:szCs w:val="20"/>
              </w:rPr>
              <w:t>Local infection</w:t>
            </w:r>
          </w:p>
        </w:tc>
        <w:tc>
          <w:tcPr>
            <w:tcW w:w="444" w:type="pct"/>
            <w:tcBorders>
              <w:top w:val="single" w:sz="4" w:space="0" w:color="auto"/>
              <w:left w:val="single" w:sz="4" w:space="0" w:color="auto"/>
              <w:bottom w:val="nil"/>
              <w:right w:val="nil"/>
            </w:tcBorders>
            <w:shd w:val="clear" w:color="auto" w:fill="auto"/>
            <w:noWrap/>
            <w:vAlign w:val="center"/>
          </w:tcPr>
          <w:p w14:paraId="55737D34" w14:textId="77777777" w:rsidR="00B921E9" w:rsidRPr="003B4D22" w:rsidRDefault="00B921E9" w:rsidP="00B921E9">
            <w:pPr>
              <w:spacing w:after="0" w:line="240" w:lineRule="auto"/>
              <w:jc w:val="right"/>
              <w:rPr>
                <w:rFonts w:ascii="Arial Narrow" w:hAnsi="Arial Narrow"/>
                <w:i/>
                <w:sz w:val="20"/>
                <w:szCs w:val="20"/>
              </w:rPr>
            </w:pPr>
          </w:p>
        </w:tc>
        <w:tc>
          <w:tcPr>
            <w:tcW w:w="496" w:type="pct"/>
            <w:tcBorders>
              <w:top w:val="single" w:sz="4" w:space="0" w:color="auto"/>
              <w:left w:val="nil"/>
              <w:bottom w:val="nil"/>
              <w:right w:val="nil"/>
            </w:tcBorders>
            <w:shd w:val="clear" w:color="auto" w:fill="auto"/>
            <w:vAlign w:val="center"/>
          </w:tcPr>
          <w:p w14:paraId="4A972482" w14:textId="77777777" w:rsidR="00B921E9" w:rsidRPr="003B4D22" w:rsidRDefault="00B921E9" w:rsidP="00B921E9">
            <w:pPr>
              <w:spacing w:after="0" w:line="240" w:lineRule="auto"/>
              <w:jc w:val="right"/>
              <w:rPr>
                <w:rFonts w:ascii="Arial Narrow" w:hAnsi="Arial Narrow"/>
                <w:i/>
                <w:sz w:val="20"/>
                <w:szCs w:val="20"/>
              </w:rPr>
            </w:pPr>
          </w:p>
        </w:tc>
        <w:tc>
          <w:tcPr>
            <w:tcW w:w="469" w:type="pct"/>
            <w:tcBorders>
              <w:top w:val="single" w:sz="4" w:space="0" w:color="auto"/>
              <w:left w:val="nil"/>
              <w:bottom w:val="nil"/>
              <w:right w:val="nil"/>
            </w:tcBorders>
            <w:shd w:val="clear" w:color="auto" w:fill="auto"/>
            <w:noWrap/>
            <w:vAlign w:val="center"/>
          </w:tcPr>
          <w:p w14:paraId="2360694B" w14:textId="77777777" w:rsidR="00B921E9" w:rsidRPr="003B4D22" w:rsidRDefault="00B921E9" w:rsidP="00B921E9">
            <w:pPr>
              <w:spacing w:after="0" w:line="240" w:lineRule="auto"/>
              <w:jc w:val="right"/>
              <w:rPr>
                <w:rFonts w:ascii="Arial Narrow" w:hAnsi="Arial Narrow"/>
                <w:i/>
                <w:sz w:val="20"/>
                <w:szCs w:val="20"/>
              </w:rPr>
            </w:pPr>
          </w:p>
        </w:tc>
        <w:tc>
          <w:tcPr>
            <w:tcW w:w="569" w:type="pct"/>
            <w:tcBorders>
              <w:top w:val="single" w:sz="4" w:space="0" w:color="auto"/>
              <w:left w:val="nil"/>
              <w:bottom w:val="nil"/>
              <w:right w:val="nil"/>
            </w:tcBorders>
            <w:shd w:val="clear" w:color="auto" w:fill="auto"/>
            <w:vAlign w:val="bottom"/>
          </w:tcPr>
          <w:p w14:paraId="44B42276" w14:textId="77777777" w:rsidR="00B921E9" w:rsidRPr="003B4D22" w:rsidRDefault="00B921E9" w:rsidP="00B921E9">
            <w:pPr>
              <w:spacing w:after="0" w:line="240" w:lineRule="auto"/>
              <w:jc w:val="right"/>
              <w:rPr>
                <w:rFonts w:ascii="Arial Narrow" w:hAnsi="Arial Narrow"/>
                <w:i/>
                <w:sz w:val="20"/>
                <w:szCs w:val="20"/>
              </w:rPr>
            </w:pPr>
          </w:p>
        </w:tc>
        <w:tc>
          <w:tcPr>
            <w:tcW w:w="666" w:type="pct"/>
            <w:tcBorders>
              <w:top w:val="single" w:sz="4" w:space="0" w:color="auto"/>
              <w:left w:val="nil"/>
              <w:bottom w:val="nil"/>
              <w:right w:val="single" w:sz="4" w:space="0" w:color="auto"/>
            </w:tcBorders>
            <w:shd w:val="clear" w:color="auto" w:fill="auto"/>
            <w:vAlign w:val="bottom"/>
          </w:tcPr>
          <w:p w14:paraId="4D9AD5E5" w14:textId="77777777" w:rsidR="00B921E9" w:rsidRPr="003B4D22" w:rsidRDefault="00B921E9" w:rsidP="00B921E9">
            <w:pPr>
              <w:spacing w:after="0" w:line="240" w:lineRule="auto"/>
              <w:jc w:val="right"/>
              <w:rPr>
                <w:rFonts w:ascii="Arial Narrow" w:hAnsi="Arial Narrow"/>
                <w:sz w:val="20"/>
                <w:szCs w:val="20"/>
              </w:rPr>
            </w:pPr>
          </w:p>
        </w:tc>
      </w:tr>
      <w:tr w:rsidR="00B921E9" w:rsidRPr="003B4D22" w14:paraId="280FE9C3" w14:textId="77777777" w:rsidTr="003735E3">
        <w:tc>
          <w:tcPr>
            <w:tcW w:w="650" w:type="pct"/>
            <w:tcBorders>
              <w:top w:val="nil"/>
              <w:left w:val="single" w:sz="4" w:space="0" w:color="auto"/>
              <w:bottom w:val="nil"/>
              <w:right w:val="single" w:sz="4" w:space="0" w:color="auto"/>
            </w:tcBorders>
          </w:tcPr>
          <w:p w14:paraId="22D272B0" w14:textId="77777777" w:rsidR="00B921E9" w:rsidRPr="003B4D22" w:rsidRDefault="00B921E9" w:rsidP="00B921E9">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vAlign w:val="center"/>
          </w:tcPr>
          <w:p w14:paraId="7E867E75" w14:textId="77777777" w:rsidR="00B921E9" w:rsidRPr="003B4D22" w:rsidRDefault="00B921E9" w:rsidP="00331FB9">
            <w:pPr>
              <w:pStyle w:val="ListParagraph"/>
              <w:numPr>
                <w:ilvl w:val="0"/>
                <w:numId w:val="16"/>
              </w:numPr>
              <w:spacing w:after="0" w:line="240" w:lineRule="auto"/>
              <w:ind w:left="140" w:hanging="154"/>
              <w:rPr>
                <w:rFonts w:ascii="Arial Narrow" w:hAnsi="Arial Narrow"/>
                <w:i/>
                <w:sz w:val="20"/>
                <w:szCs w:val="20"/>
              </w:rPr>
            </w:pPr>
            <w:r w:rsidRPr="003B4D22">
              <w:rPr>
                <w:rFonts w:ascii="Arial Narrow" w:hAnsi="Arial Narrow" w:cs="Calibri"/>
                <w:color w:val="000000"/>
                <w:sz w:val="20"/>
                <w:szCs w:val="20"/>
              </w:rPr>
              <w:t>gram-positive</w:t>
            </w:r>
          </w:p>
        </w:tc>
        <w:tc>
          <w:tcPr>
            <w:tcW w:w="444" w:type="pct"/>
            <w:tcBorders>
              <w:top w:val="nil"/>
              <w:left w:val="single" w:sz="4" w:space="0" w:color="auto"/>
              <w:bottom w:val="nil"/>
              <w:right w:val="nil"/>
            </w:tcBorders>
            <w:shd w:val="clear" w:color="auto" w:fill="auto"/>
            <w:noWrap/>
            <w:vAlign w:val="center"/>
          </w:tcPr>
          <w:p w14:paraId="08AE5B5F"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18</w:t>
            </w:r>
          </w:p>
        </w:tc>
        <w:tc>
          <w:tcPr>
            <w:tcW w:w="496" w:type="pct"/>
            <w:tcBorders>
              <w:top w:val="nil"/>
              <w:left w:val="nil"/>
              <w:bottom w:val="nil"/>
              <w:right w:val="nil"/>
            </w:tcBorders>
            <w:shd w:val="clear" w:color="auto" w:fill="auto"/>
            <w:vAlign w:val="bottom"/>
          </w:tcPr>
          <w:p w14:paraId="23F41192"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0.13</w:t>
            </w:r>
          </w:p>
        </w:tc>
        <w:tc>
          <w:tcPr>
            <w:tcW w:w="469" w:type="pct"/>
            <w:tcBorders>
              <w:top w:val="nil"/>
              <w:left w:val="nil"/>
              <w:bottom w:val="nil"/>
              <w:right w:val="nil"/>
            </w:tcBorders>
            <w:shd w:val="clear" w:color="auto" w:fill="auto"/>
            <w:noWrap/>
            <w:vAlign w:val="center"/>
          </w:tcPr>
          <w:p w14:paraId="6552E182"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27</w:t>
            </w:r>
          </w:p>
        </w:tc>
        <w:tc>
          <w:tcPr>
            <w:tcW w:w="569" w:type="pct"/>
            <w:tcBorders>
              <w:top w:val="nil"/>
              <w:left w:val="nil"/>
              <w:bottom w:val="nil"/>
              <w:right w:val="nil"/>
            </w:tcBorders>
            <w:shd w:val="clear" w:color="auto" w:fill="auto"/>
            <w:vAlign w:val="center"/>
          </w:tcPr>
          <w:p w14:paraId="37A21F67"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0.19</w:t>
            </w:r>
          </w:p>
        </w:tc>
        <w:tc>
          <w:tcPr>
            <w:tcW w:w="666" w:type="pct"/>
            <w:tcBorders>
              <w:top w:val="nil"/>
              <w:left w:val="nil"/>
              <w:bottom w:val="nil"/>
              <w:right w:val="single" w:sz="4" w:space="0" w:color="auto"/>
            </w:tcBorders>
            <w:shd w:val="clear" w:color="auto" w:fill="auto"/>
            <w:vAlign w:val="bottom"/>
          </w:tcPr>
          <w:p w14:paraId="619B90D3" w14:textId="77777777" w:rsidR="00B921E9" w:rsidRPr="003B4D22" w:rsidRDefault="00B921E9" w:rsidP="00B921E9">
            <w:pPr>
              <w:spacing w:after="0" w:line="240" w:lineRule="auto"/>
              <w:jc w:val="right"/>
              <w:rPr>
                <w:rFonts w:ascii="Arial Narrow" w:hAnsi="Arial Narrow"/>
                <w:sz w:val="20"/>
                <w:szCs w:val="20"/>
              </w:rPr>
            </w:pPr>
            <w:r w:rsidRPr="003B4D22">
              <w:rPr>
                <w:rFonts w:ascii="Arial Narrow" w:hAnsi="Arial Narrow" w:cs="Calibri"/>
                <w:color w:val="000000"/>
                <w:sz w:val="20"/>
                <w:szCs w:val="20"/>
              </w:rPr>
              <w:t>1.32 (n.s.)</w:t>
            </w:r>
          </w:p>
        </w:tc>
      </w:tr>
      <w:tr w:rsidR="00B921E9" w:rsidRPr="003B4D22" w14:paraId="280EB9E7" w14:textId="77777777" w:rsidTr="003735E3">
        <w:tc>
          <w:tcPr>
            <w:tcW w:w="650" w:type="pct"/>
            <w:tcBorders>
              <w:top w:val="nil"/>
              <w:left w:val="single" w:sz="4" w:space="0" w:color="auto"/>
              <w:bottom w:val="nil"/>
              <w:right w:val="single" w:sz="4" w:space="0" w:color="auto"/>
            </w:tcBorders>
          </w:tcPr>
          <w:p w14:paraId="0587A207" w14:textId="77777777" w:rsidR="00B921E9" w:rsidRPr="003B4D22" w:rsidRDefault="00B921E9" w:rsidP="00B921E9">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vAlign w:val="center"/>
          </w:tcPr>
          <w:p w14:paraId="3F5FA542" w14:textId="77777777" w:rsidR="00B921E9" w:rsidRPr="003B4D22" w:rsidRDefault="00B921E9" w:rsidP="00331FB9">
            <w:pPr>
              <w:pStyle w:val="ListParagraph"/>
              <w:numPr>
                <w:ilvl w:val="0"/>
                <w:numId w:val="16"/>
              </w:numPr>
              <w:spacing w:after="0" w:line="240" w:lineRule="auto"/>
              <w:ind w:left="140" w:hanging="154"/>
              <w:rPr>
                <w:rFonts w:ascii="Arial Narrow" w:hAnsi="Arial Narrow"/>
                <w:i/>
                <w:sz w:val="20"/>
                <w:szCs w:val="20"/>
              </w:rPr>
            </w:pPr>
            <w:r w:rsidRPr="003B4D22">
              <w:rPr>
                <w:rFonts w:ascii="Arial Narrow" w:hAnsi="Arial Narrow" w:cs="Calibri"/>
                <w:color w:val="000000"/>
                <w:sz w:val="20"/>
                <w:szCs w:val="20"/>
              </w:rPr>
              <w:t>gram-negative</w:t>
            </w:r>
          </w:p>
        </w:tc>
        <w:tc>
          <w:tcPr>
            <w:tcW w:w="444" w:type="pct"/>
            <w:tcBorders>
              <w:top w:val="nil"/>
              <w:left w:val="single" w:sz="4" w:space="0" w:color="auto"/>
              <w:bottom w:val="nil"/>
              <w:right w:val="nil"/>
            </w:tcBorders>
            <w:shd w:val="clear" w:color="auto" w:fill="auto"/>
            <w:noWrap/>
            <w:vAlign w:val="center"/>
          </w:tcPr>
          <w:p w14:paraId="5353B017"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9</w:t>
            </w:r>
          </w:p>
        </w:tc>
        <w:tc>
          <w:tcPr>
            <w:tcW w:w="496" w:type="pct"/>
            <w:tcBorders>
              <w:top w:val="nil"/>
              <w:left w:val="nil"/>
              <w:bottom w:val="nil"/>
              <w:right w:val="nil"/>
            </w:tcBorders>
            <w:shd w:val="clear" w:color="auto" w:fill="auto"/>
            <w:vAlign w:val="bottom"/>
          </w:tcPr>
          <w:p w14:paraId="4C973766"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0.07</w:t>
            </w:r>
          </w:p>
        </w:tc>
        <w:tc>
          <w:tcPr>
            <w:tcW w:w="469" w:type="pct"/>
            <w:tcBorders>
              <w:top w:val="nil"/>
              <w:left w:val="nil"/>
              <w:bottom w:val="nil"/>
              <w:right w:val="nil"/>
            </w:tcBorders>
            <w:shd w:val="clear" w:color="auto" w:fill="auto"/>
            <w:noWrap/>
            <w:vAlign w:val="center"/>
          </w:tcPr>
          <w:p w14:paraId="6035241C"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12</w:t>
            </w:r>
          </w:p>
        </w:tc>
        <w:tc>
          <w:tcPr>
            <w:tcW w:w="569" w:type="pct"/>
            <w:tcBorders>
              <w:top w:val="nil"/>
              <w:left w:val="nil"/>
              <w:bottom w:val="nil"/>
              <w:right w:val="nil"/>
            </w:tcBorders>
            <w:shd w:val="clear" w:color="auto" w:fill="auto"/>
            <w:vAlign w:val="center"/>
          </w:tcPr>
          <w:p w14:paraId="71B74120"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0.09</w:t>
            </w:r>
          </w:p>
        </w:tc>
        <w:tc>
          <w:tcPr>
            <w:tcW w:w="666" w:type="pct"/>
            <w:tcBorders>
              <w:top w:val="nil"/>
              <w:left w:val="nil"/>
              <w:bottom w:val="nil"/>
              <w:right w:val="single" w:sz="4" w:space="0" w:color="auto"/>
            </w:tcBorders>
            <w:shd w:val="clear" w:color="auto" w:fill="auto"/>
            <w:vAlign w:val="bottom"/>
          </w:tcPr>
          <w:p w14:paraId="1E4A6B9A" w14:textId="77777777" w:rsidR="00B921E9" w:rsidRPr="003B4D22" w:rsidRDefault="00B921E9" w:rsidP="00B921E9">
            <w:pPr>
              <w:spacing w:after="0" w:line="240" w:lineRule="auto"/>
              <w:jc w:val="right"/>
              <w:rPr>
                <w:rFonts w:ascii="Arial Narrow" w:hAnsi="Arial Narrow"/>
                <w:sz w:val="20"/>
                <w:szCs w:val="20"/>
              </w:rPr>
            </w:pPr>
            <w:r w:rsidRPr="003B4D22">
              <w:rPr>
                <w:rFonts w:ascii="Arial Narrow" w:hAnsi="Arial Narrow" w:cs="Calibri"/>
                <w:color w:val="000000"/>
                <w:sz w:val="20"/>
                <w:szCs w:val="20"/>
              </w:rPr>
              <w:t>0.96 (n.s.)</w:t>
            </w:r>
          </w:p>
        </w:tc>
      </w:tr>
      <w:tr w:rsidR="00B921E9" w:rsidRPr="003B4D22" w14:paraId="2991F1C9" w14:textId="77777777" w:rsidTr="003735E3">
        <w:tc>
          <w:tcPr>
            <w:tcW w:w="650" w:type="pct"/>
            <w:tcBorders>
              <w:top w:val="nil"/>
              <w:left w:val="single" w:sz="4" w:space="0" w:color="auto"/>
              <w:bottom w:val="nil"/>
              <w:right w:val="single" w:sz="4" w:space="0" w:color="auto"/>
            </w:tcBorders>
          </w:tcPr>
          <w:p w14:paraId="57FEAD48" w14:textId="77777777" w:rsidR="00B921E9" w:rsidRPr="003B4D22" w:rsidRDefault="00B921E9" w:rsidP="00B921E9">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vAlign w:val="center"/>
          </w:tcPr>
          <w:p w14:paraId="604A7F3E" w14:textId="77777777" w:rsidR="00B921E9" w:rsidRPr="003B4D22" w:rsidRDefault="00B921E9" w:rsidP="00331FB9">
            <w:pPr>
              <w:pStyle w:val="ListParagraph"/>
              <w:numPr>
                <w:ilvl w:val="0"/>
                <w:numId w:val="16"/>
              </w:numPr>
              <w:spacing w:after="0" w:line="240" w:lineRule="auto"/>
              <w:ind w:left="140" w:hanging="154"/>
              <w:rPr>
                <w:rFonts w:ascii="Arial Narrow" w:hAnsi="Arial Narrow"/>
                <w:i/>
                <w:sz w:val="20"/>
                <w:szCs w:val="20"/>
              </w:rPr>
            </w:pPr>
            <w:r w:rsidRPr="003B4D22">
              <w:rPr>
                <w:rFonts w:ascii="Arial Narrow" w:hAnsi="Arial Narrow" w:cs="Calibri"/>
                <w:color w:val="000000"/>
                <w:sz w:val="20"/>
                <w:szCs w:val="20"/>
              </w:rPr>
              <w:t>fungal</w:t>
            </w:r>
          </w:p>
        </w:tc>
        <w:tc>
          <w:tcPr>
            <w:tcW w:w="444" w:type="pct"/>
            <w:tcBorders>
              <w:top w:val="nil"/>
              <w:left w:val="single" w:sz="4" w:space="0" w:color="auto"/>
              <w:bottom w:val="nil"/>
              <w:right w:val="nil"/>
            </w:tcBorders>
            <w:shd w:val="clear" w:color="auto" w:fill="auto"/>
            <w:noWrap/>
            <w:vAlign w:val="center"/>
          </w:tcPr>
          <w:p w14:paraId="2500506E"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10</w:t>
            </w:r>
          </w:p>
        </w:tc>
        <w:tc>
          <w:tcPr>
            <w:tcW w:w="496" w:type="pct"/>
            <w:tcBorders>
              <w:top w:val="nil"/>
              <w:left w:val="nil"/>
              <w:bottom w:val="nil"/>
              <w:right w:val="nil"/>
            </w:tcBorders>
            <w:shd w:val="clear" w:color="auto" w:fill="auto"/>
            <w:vAlign w:val="bottom"/>
          </w:tcPr>
          <w:p w14:paraId="181A5CD0"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0.07</w:t>
            </w:r>
          </w:p>
        </w:tc>
        <w:tc>
          <w:tcPr>
            <w:tcW w:w="469" w:type="pct"/>
            <w:tcBorders>
              <w:top w:val="nil"/>
              <w:left w:val="nil"/>
              <w:bottom w:val="nil"/>
              <w:right w:val="nil"/>
            </w:tcBorders>
            <w:shd w:val="clear" w:color="auto" w:fill="auto"/>
            <w:noWrap/>
            <w:vAlign w:val="center"/>
          </w:tcPr>
          <w:p w14:paraId="46674AAA"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22</w:t>
            </w:r>
          </w:p>
        </w:tc>
        <w:tc>
          <w:tcPr>
            <w:tcW w:w="569" w:type="pct"/>
            <w:tcBorders>
              <w:top w:val="nil"/>
              <w:left w:val="nil"/>
              <w:bottom w:val="nil"/>
              <w:right w:val="nil"/>
            </w:tcBorders>
            <w:shd w:val="clear" w:color="auto" w:fill="auto"/>
            <w:vAlign w:val="center"/>
          </w:tcPr>
          <w:p w14:paraId="03A830F5"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0.16</w:t>
            </w:r>
          </w:p>
        </w:tc>
        <w:tc>
          <w:tcPr>
            <w:tcW w:w="666" w:type="pct"/>
            <w:tcBorders>
              <w:top w:val="nil"/>
              <w:left w:val="nil"/>
              <w:bottom w:val="nil"/>
              <w:right w:val="single" w:sz="4" w:space="0" w:color="auto"/>
            </w:tcBorders>
            <w:shd w:val="clear" w:color="auto" w:fill="auto"/>
            <w:vAlign w:val="bottom"/>
          </w:tcPr>
          <w:p w14:paraId="666AC845" w14:textId="77777777" w:rsidR="00B921E9" w:rsidRPr="003B4D22" w:rsidRDefault="00B921E9" w:rsidP="00B921E9">
            <w:pPr>
              <w:spacing w:after="0" w:line="240" w:lineRule="auto"/>
              <w:jc w:val="right"/>
              <w:rPr>
                <w:rFonts w:ascii="Arial Narrow" w:hAnsi="Arial Narrow"/>
                <w:sz w:val="20"/>
                <w:szCs w:val="20"/>
              </w:rPr>
            </w:pPr>
            <w:r w:rsidRPr="003B4D22">
              <w:rPr>
                <w:rFonts w:ascii="Arial Narrow" w:hAnsi="Arial Narrow" w:cs="Calibri"/>
                <w:color w:val="000000"/>
                <w:sz w:val="20"/>
                <w:szCs w:val="20"/>
              </w:rPr>
              <w:t>1.82 (n.s.)</w:t>
            </w:r>
          </w:p>
        </w:tc>
      </w:tr>
      <w:tr w:rsidR="00B921E9" w:rsidRPr="003B4D22" w14:paraId="3AE9F336" w14:textId="77777777" w:rsidTr="003735E3">
        <w:tc>
          <w:tcPr>
            <w:tcW w:w="650" w:type="pct"/>
            <w:tcBorders>
              <w:top w:val="nil"/>
              <w:left w:val="single" w:sz="4" w:space="0" w:color="auto"/>
              <w:bottom w:val="nil"/>
              <w:right w:val="single" w:sz="4" w:space="0" w:color="auto"/>
            </w:tcBorders>
          </w:tcPr>
          <w:p w14:paraId="5EF56304" w14:textId="77777777" w:rsidR="00B921E9" w:rsidRPr="003B4D22" w:rsidRDefault="00B921E9" w:rsidP="00B921E9">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vAlign w:val="center"/>
          </w:tcPr>
          <w:p w14:paraId="06E476BC" w14:textId="77777777" w:rsidR="00B921E9" w:rsidRPr="003B4D22" w:rsidRDefault="00B921E9" w:rsidP="00331FB9">
            <w:pPr>
              <w:pStyle w:val="ListParagraph"/>
              <w:numPr>
                <w:ilvl w:val="0"/>
                <w:numId w:val="16"/>
              </w:numPr>
              <w:spacing w:after="0" w:line="240" w:lineRule="auto"/>
              <w:ind w:left="140" w:hanging="154"/>
              <w:rPr>
                <w:rFonts w:ascii="Arial Narrow" w:hAnsi="Arial Narrow"/>
                <w:i/>
                <w:sz w:val="20"/>
                <w:szCs w:val="20"/>
              </w:rPr>
            </w:pPr>
            <w:r w:rsidRPr="003B4D22">
              <w:rPr>
                <w:rFonts w:ascii="Arial Narrow" w:hAnsi="Arial Narrow" w:cs="Calibri"/>
                <w:color w:val="000000"/>
                <w:sz w:val="20"/>
                <w:szCs w:val="20"/>
              </w:rPr>
              <w:t>viral</w:t>
            </w:r>
          </w:p>
        </w:tc>
        <w:tc>
          <w:tcPr>
            <w:tcW w:w="444" w:type="pct"/>
            <w:tcBorders>
              <w:top w:val="nil"/>
              <w:left w:val="single" w:sz="4" w:space="0" w:color="auto"/>
              <w:bottom w:val="nil"/>
              <w:right w:val="nil"/>
            </w:tcBorders>
            <w:shd w:val="clear" w:color="auto" w:fill="auto"/>
            <w:noWrap/>
            <w:vAlign w:val="center"/>
          </w:tcPr>
          <w:p w14:paraId="05ABBB74"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33</w:t>
            </w:r>
          </w:p>
        </w:tc>
        <w:tc>
          <w:tcPr>
            <w:tcW w:w="496" w:type="pct"/>
            <w:tcBorders>
              <w:top w:val="nil"/>
              <w:left w:val="nil"/>
              <w:bottom w:val="nil"/>
              <w:right w:val="nil"/>
            </w:tcBorders>
            <w:shd w:val="clear" w:color="auto" w:fill="auto"/>
            <w:vAlign w:val="bottom"/>
          </w:tcPr>
          <w:p w14:paraId="28430A9D"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0.25</w:t>
            </w:r>
          </w:p>
        </w:tc>
        <w:tc>
          <w:tcPr>
            <w:tcW w:w="469" w:type="pct"/>
            <w:tcBorders>
              <w:top w:val="nil"/>
              <w:left w:val="nil"/>
              <w:bottom w:val="nil"/>
              <w:right w:val="nil"/>
            </w:tcBorders>
            <w:shd w:val="clear" w:color="auto" w:fill="auto"/>
            <w:noWrap/>
            <w:vAlign w:val="center"/>
          </w:tcPr>
          <w:p w14:paraId="2EFAE8BA"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43</w:t>
            </w:r>
          </w:p>
        </w:tc>
        <w:tc>
          <w:tcPr>
            <w:tcW w:w="569" w:type="pct"/>
            <w:tcBorders>
              <w:top w:val="nil"/>
              <w:left w:val="nil"/>
              <w:bottom w:val="nil"/>
              <w:right w:val="nil"/>
            </w:tcBorders>
            <w:shd w:val="clear" w:color="auto" w:fill="auto"/>
            <w:vAlign w:val="center"/>
          </w:tcPr>
          <w:p w14:paraId="6ABEEA2E"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0.31</w:t>
            </w:r>
          </w:p>
        </w:tc>
        <w:tc>
          <w:tcPr>
            <w:tcW w:w="666" w:type="pct"/>
            <w:tcBorders>
              <w:top w:val="nil"/>
              <w:left w:val="nil"/>
              <w:bottom w:val="nil"/>
              <w:right w:val="single" w:sz="4" w:space="0" w:color="auto"/>
            </w:tcBorders>
            <w:shd w:val="clear" w:color="auto" w:fill="auto"/>
            <w:vAlign w:val="bottom"/>
          </w:tcPr>
          <w:p w14:paraId="392AD2E8" w14:textId="77777777" w:rsidR="00B921E9" w:rsidRPr="003B4D22" w:rsidRDefault="00B921E9" w:rsidP="00B921E9">
            <w:pPr>
              <w:spacing w:after="0" w:line="240" w:lineRule="auto"/>
              <w:jc w:val="right"/>
              <w:rPr>
                <w:rFonts w:ascii="Arial Narrow" w:hAnsi="Arial Narrow"/>
                <w:sz w:val="20"/>
                <w:szCs w:val="20"/>
              </w:rPr>
            </w:pPr>
            <w:r w:rsidRPr="003B4D22">
              <w:rPr>
                <w:rFonts w:ascii="Arial Narrow" w:hAnsi="Arial Narrow" w:cs="Calibri"/>
                <w:color w:val="000000"/>
                <w:sz w:val="20"/>
                <w:szCs w:val="20"/>
              </w:rPr>
              <w:t>1.36 (n.s.)</w:t>
            </w:r>
          </w:p>
        </w:tc>
      </w:tr>
      <w:tr w:rsidR="00B921E9" w:rsidRPr="003B4D22" w14:paraId="607BC1FF" w14:textId="77777777" w:rsidTr="003735E3">
        <w:tc>
          <w:tcPr>
            <w:tcW w:w="650" w:type="pct"/>
            <w:tcBorders>
              <w:top w:val="nil"/>
              <w:left w:val="single" w:sz="4" w:space="0" w:color="auto"/>
              <w:bottom w:val="nil"/>
              <w:right w:val="single" w:sz="4" w:space="0" w:color="auto"/>
            </w:tcBorders>
          </w:tcPr>
          <w:p w14:paraId="3C242BCB" w14:textId="77777777" w:rsidR="00B921E9" w:rsidRPr="003B4D22" w:rsidRDefault="00B921E9" w:rsidP="00B921E9">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vAlign w:val="center"/>
          </w:tcPr>
          <w:p w14:paraId="52B0E808" w14:textId="77777777" w:rsidR="00B921E9" w:rsidRPr="003B4D22" w:rsidRDefault="00B921E9" w:rsidP="00331FB9">
            <w:pPr>
              <w:pStyle w:val="ListParagraph"/>
              <w:numPr>
                <w:ilvl w:val="0"/>
                <w:numId w:val="16"/>
              </w:numPr>
              <w:spacing w:after="0" w:line="240" w:lineRule="auto"/>
              <w:ind w:left="140" w:hanging="154"/>
              <w:rPr>
                <w:rFonts w:ascii="Arial Narrow" w:hAnsi="Arial Narrow"/>
                <w:i/>
                <w:sz w:val="20"/>
                <w:szCs w:val="20"/>
              </w:rPr>
            </w:pPr>
            <w:r w:rsidRPr="003B4D22">
              <w:rPr>
                <w:rFonts w:ascii="Arial Narrow" w:hAnsi="Arial Narrow" w:cs="Calibri"/>
                <w:color w:val="000000"/>
                <w:sz w:val="20"/>
                <w:szCs w:val="20"/>
              </w:rPr>
              <w:t>other</w:t>
            </w:r>
          </w:p>
        </w:tc>
        <w:tc>
          <w:tcPr>
            <w:tcW w:w="444" w:type="pct"/>
            <w:tcBorders>
              <w:top w:val="nil"/>
              <w:left w:val="single" w:sz="4" w:space="0" w:color="auto"/>
              <w:bottom w:val="nil"/>
              <w:right w:val="nil"/>
            </w:tcBorders>
            <w:shd w:val="clear" w:color="auto" w:fill="auto"/>
            <w:noWrap/>
            <w:vAlign w:val="center"/>
          </w:tcPr>
          <w:p w14:paraId="67C25A37"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2</w:t>
            </w:r>
          </w:p>
        </w:tc>
        <w:tc>
          <w:tcPr>
            <w:tcW w:w="496" w:type="pct"/>
            <w:tcBorders>
              <w:top w:val="nil"/>
              <w:left w:val="nil"/>
              <w:bottom w:val="nil"/>
              <w:right w:val="nil"/>
            </w:tcBorders>
            <w:shd w:val="clear" w:color="auto" w:fill="auto"/>
            <w:vAlign w:val="center"/>
          </w:tcPr>
          <w:p w14:paraId="260BCB9F"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i/>
                <w:sz w:val="20"/>
                <w:szCs w:val="20"/>
              </w:rPr>
              <w:t>―</w:t>
            </w:r>
          </w:p>
        </w:tc>
        <w:tc>
          <w:tcPr>
            <w:tcW w:w="469" w:type="pct"/>
            <w:tcBorders>
              <w:top w:val="nil"/>
              <w:left w:val="nil"/>
              <w:bottom w:val="nil"/>
              <w:right w:val="nil"/>
            </w:tcBorders>
            <w:shd w:val="clear" w:color="auto" w:fill="auto"/>
            <w:noWrap/>
            <w:vAlign w:val="center"/>
          </w:tcPr>
          <w:p w14:paraId="2D8F4BDC"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3</w:t>
            </w:r>
          </w:p>
        </w:tc>
        <w:tc>
          <w:tcPr>
            <w:tcW w:w="569" w:type="pct"/>
            <w:tcBorders>
              <w:top w:val="nil"/>
              <w:left w:val="nil"/>
              <w:bottom w:val="nil"/>
              <w:right w:val="nil"/>
            </w:tcBorders>
            <w:shd w:val="clear" w:color="auto" w:fill="auto"/>
            <w:vAlign w:val="center"/>
          </w:tcPr>
          <w:p w14:paraId="6D5DFA21"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i/>
                <w:sz w:val="20"/>
                <w:szCs w:val="20"/>
              </w:rPr>
              <w:t>―</w:t>
            </w:r>
          </w:p>
        </w:tc>
        <w:tc>
          <w:tcPr>
            <w:tcW w:w="666" w:type="pct"/>
            <w:tcBorders>
              <w:top w:val="nil"/>
              <w:left w:val="nil"/>
              <w:bottom w:val="nil"/>
              <w:right w:val="single" w:sz="4" w:space="0" w:color="auto"/>
            </w:tcBorders>
            <w:shd w:val="clear" w:color="auto" w:fill="auto"/>
            <w:vAlign w:val="bottom"/>
          </w:tcPr>
          <w:p w14:paraId="4951C191" w14:textId="77777777" w:rsidR="00B921E9" w:rsidRPr="003B4D22" w:rsidRDefault="00B921E9" w:rsidP="00B921E9">
            <w:pPr>
              <w:spacing w:after="0" w:line="240" w:lineRule="auto"/>
              <w:jc w:val="right"/>
              <w:rPr>
                <w:rFonts w:ascii="Arial Narrow" w:hAnsi="Arial Narrow"/>
                <w:sz w:val="20"/>
                <w:szCs w:val="20"/>
              </w:rPr>
            </w:pPr>
          </w:p>
        </w:tc>
      </w:tr>
      <w:tr w:rsidR="00B921E9" w:rsidRPr="003B4D22" w14:paraId="1C5643F7" w14:textId="77777777" w:rsidTr="003735E3">
        <w:tc>
          <w:tcPr>
            <w:tcW w:w="650" w:type="pct"/>
            <w:tcBorders>
              <w:top w:val="nil"/>
              <w:left w:val="single" w:sz="4" w:space="0" w:color="auto"/>
              <w:bottom w:val="nil"/>
              <w:right w:val="single" w:sz="4" w:space="0" w:color="auto"/>
            </w:tcBorders>
          </w:tcPr>
          <w:p w14:paraId="06CE4A2D" w14:textId="77777777" w:rsidR="00B921E9" w:rsidRPr="003B4D22" w:rsidRDefault="00B921E9" w:rsidP="00B921E9">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vAlign w:val="center"/>
          </w:tcPr>
          <w:p w14:paraId="33006176" w14:textId="77777777" w:rsidR="00B921E9" w:rsidRPr="003B4D22" w:rsidRDefault="00B921E9" w:rsidP="00331FB9">
            <w:pPr>
              <w:pStyle w:val="ListParagraph"/>
              <w:numPr>
                <w:ilvl w:val="0"/>
                <w:numId w:val="16"/>
              </w:numPr>
              <w:spacing w:after="0" w:line="240" w:lineRule="auto"/>
              <w:ind w:left="140" w:hanging="154"/>
              <w:rPr>
                <w:rFonts w:ascii="Arial Narrow" w:hAnsi="Arial Narrow"/>
                <w:i/>
                <w:sz w:val="20"/>
                <w:szCs w:val="20"/>
              </w:rPr>
            </w:pPr>
            <w:r w:rsidRPr="003B4D22">
              <w:rPr>
                <w:rFonts w:ascii="Arial Narrow" w:hAnsi="Arial Narrow" w:cs="Calibri"/>
                <w:color w:val="000000"/>
                <w:sz w:val="20"/>
                <w:szCs w:val="20"/>
              </w:rPr>
              <w:t>clinical only</w:t>
            </w:r>
          </w:p>
        </w:tc>
        <w:tc>
          <w:tcPr>
            <w:tcW w:w="444" w:type="pct"/>
            <w:tcBorders>
              <w:top w:val="nil"/>
              <w:left w:val="single" w:sz="4" w:space="0" w:color="auto"/>
              <w:bottom w:val="nil"/>
              <w:right w:val="nil"/>
            </w:tcBorders>
            <w:shd w:val="clear" w:color="auto" w:fill="auto"/>
            <w:noWrap/>
            <w:vAlign w:val="center"/>
          </w:tcPr>
          <w:p w14:paraId="30A7BFCA"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22</w:t>
            </w:r>
          </w:p>
        </w:tc>
        <w:tc>
          <w:tcPr>
            <w:tcW w:w="496" w:type="pct"/>
            <w:tcBorders>
              <w:top w:val="nil"/>
              <w:left w:val="nil"/>
              <w:bottom w:val="nil"/>
              <w:right w:val="nil"/>
            </w:tcBorders>
            <w:shd w:val="clear" w:color="auto" w:fill="auto"/>
            <w:vAlign w:val="bottom"/>
          </w:tcPr>
          <w:p w14:paraId="2E756CA5"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0.16</w:t>
            </w:r>
          </w:p>
        </w:tc>
        <w:tc>
          <w:tcPr>
            <w:tcW w:w="469" w:type="pct"/>
            <w:tcBorders>
              <w:top w:val="nil"/>
              <w:left w:val="nil"/>
              <w:bottom w:val="nil"/>
              <w:right w:val="nil"/>
            </w:tcBorders>
            <w:shd w:val="clear" w:color="auto" w:fill="auto"/>
            <w:noWrap/>
            <w:vAlign w:val="center"/>
          </w:tcPr>
          <w:p w14:paraId="69D5BB9F"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37</w:t>
            </w:r>
          </w:p>
        </w:tc>
        <w:tc>
          <w:tcPr>
            <w:tcW w:w="569" w:type="pct"/>
            <w:tcBorders>
              <w:top w:val="nil"/>
              <w:left w:val="nil"/>
              <w:bottom w:val="nil"/>
              <w:right w:val="nil"/>
            </w:tcBorders>
            <w:shd w:val="clear" w:color="auto" w:fill="auto"/>
            <w:vAlign w:val="center"/>
          </w:tcPr>
          <w:p w14:paraId="478BC01E" w14:textId="77777777" w:rsidR="00B921E9" w:rsidRPr="003B4D22" w:rsidRDefault="00B921E9" w:rsidP="00B921E9">
            <w:pPr>
              <w:spacing w:after="0" w:line="240" w:lineRule="auto"/>
              <w:jc w:val="right"/>
              <w:rPr>
                <w:rFonts w:ascii="Arial Narrow" w:hAnsi="Arial Narrow"/>
                <w:i/>
                <w:sz w:val="20"/>
                <w:szCs w:val="20"/>
              </w:rPr>
            </w:pPr>
            <w:r w:rsidRPr="003B4D22">
              <w:rPr>
                <w:rFonts w:ascii="Arial Narrow" w:hAnsi="Arial Narrow" w:cs="Calibri"/>
                <w:color w:val="000000"/>
                <w:sz w:val="20"/>
                <w:szCs w:val="20"/>
              </w:rPr>
              <w:t>0.27</w:t>
            </w:r>
          </w:p>
        </w:tc>
        <w:tc>
          <w:tcPr>
            <w:tcW w:w="666" w:type="pct"/>
            <w:tcBorders>
              <w:top w:val="nil"/>
              <w:left w:val="nil"/>
              <w:bottom w:val="nil"/>
              <w:right w:val="single" w:sz="4" w:space="0" w:color="auto"/>
            </w:tcBorders>
            <w:shd w:val="clear" w:color="auto" w:fill="auto"/>
            <w:vAlign w:val="bottom"/>
          </w:tcPr>
          <w:p w14:paraId="57561451" w14:textId="77777777" w:rsidR="00B921E9" w:rsidRPr="003B4D22" w:rsidRDefault="00B921E9" w:rsidP="00B921E9">
            <w:pPr>
              <w:spacing w:after="0" w:line="240" w:lineRule="auto"/>
              <w:jc w:val="right"/>
              <w:rPr>
                <w:rFonts w:ascii="Arial Narrow" w:hAnsi="Arial Narrow"/>
                <w:sz w:val="20"/>
                <w:szCs w:val="20"/>
              </w:rPr>
            </w:pPr>
            <w:r w:rsidRPr="003B4D22">
              <w:rPr>
                <w:rFonts w:ascii="Arial Narrow" w:hAnsi="Arial Narrow" w:cs="Calibri"/>
                <w:color w:val="000000"/>
                <w:sz w:val="20"/>
                <w:szCs w:val="20"/>
              </w:rPr>
              <w:t>1.46 (n.s.)</w:t>
            </w:r>
          </w:p>
        </w:tc>
      </w:tr>
      <w:tr w:rsidR="00B921E9" w:rsidRPr="003B4D22" w14:paraId="610F80E9" w14:textId="77777777" w:rsidTr="003735E3">
        <w:tc>
          <w:tcPr>
            <w:tcW w:w="650" w:type="pct"/>
            <w:tcBorders>
              <w:top w:val="nil"/>
              <w:left w:val="single" w:sz="4" w:space="0" w:color="auto"/>
              <w:bottom w:val="nil"/>
              <w:right w:val="single" w:sz="4" w:space="0" w:color="auto"/>
            </w:tcBorders>
          </w:tcPr>
          <w:p w14:paraId="347A1AB8" w14:textId="77777777" w:rsidR="00B921E9" w:rsidRPr="003B4D22" w:rsidRDefault="00B921E9" w:rsidP="00B921E9">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shd w:val="clear" w:color="auto" w:fill="auto"/>
            <w:vAlign w:val="center"/>
          </w:tcPr>
          <w:p w14:paraId="4B5FE354" w14:textId="77777777" w:rsidR="00B921E9" w:rsidRPr="003B4D22" w:rsidRDefault="00B921E9" w:rsidP="00B921E9">
            <w:pPr>
              <w:spacing w:after="0" w:line="240" w:lineRule="auto"/>
              <w:ind w:left="-14"/>
              <w:rPr>
                <w:rFonts w:ascii="Arial Narrow" w:hAnsi="Arial Narrow" w:cs="Calibri"/>
                <w:color w:val="000000"/>
                <w:sz w:val="20"/>
                <w:szCs w:val="20"/>
              </w:rPr>
            </w:pPr>
            <w:r w:rsidRPr="003B4D22">
              <w:rPr>
                <w:rFonts w:ascii="Arial Narrow" w:hAnsi="Arial Narrow" w:cs="Calibri"/>
                <w:color w:val="000000"/>
                <w:sz w:val="20"/>
                <w:szCs w:val="20"/>
              </w:rPr>
              <w:t>Total, local infection</w:t>
            </w:r>
          </w:p>
        </w:tc>
        <w:tc>
          <w:tcPr>
            <w:tcW w:w="444" w:type="pct"/>
            <w:tcBorders>
              <w:top w:val="nil"/>
              <w:left w:val="single" w:sz="4" w:space="0" w:color="auto"/>
              <w:bottom w:val="nil"/>
              <w:right w:val="nil"/>
            </w:tcBorders>
            <w:shd w:val="clear" w:color="auto" w:fill="auto"/>
            <w:noWrap/>
            <w:vAlign w:val="center"/>
          </w:tcPr>
          <w:p w14:paraId="38A0E93B" w14:textId="77777777" w:rsidR="00B921E9" w:rsidRPr="003B4D22" w:rsidRDefault="00B921E9" w:rsidP="00B921E9">
            <w:pPr>
              <w:spacing w:after="0" w:line="240" w:lineRule="auto"/>
              <w:jc w:val="right"/>
              <w:rPr>
                <w:rFonts w:ascii="Arial Narrow" w:hAnsi="Arial Narrow" w:cs="Calibri"/>
                <w:color w:val="000000"/>
                <w:sz w:val="20"/>
                <w:szCs w:val="20"/>
              </w:rPr>
            </w:pPr>
            <w:r w:rsidRPr="003B4D22">
              <w:rPr>
                <w:rFonts w:ascii="Arial Narrow" w:hAnsi="Arial Narrow" w:cs="Calibri"/>
                <w:color w:val="000000"/>
                <w:sz w:val="20"/>
                <w:szCs w:val="20"/>
              </w:rPr>
              <w:t>94</w:t>
            </w:r>
          </w:p>
        </w:tc>
        <w:tc>
          <w:tcPr>
            <w:tcW w:w="496" w:type="pct"/>
            <w:tcBorders>
              <w:top w:val="nil"/>
              <w:left w:val="nil"/>
              <w:bottom w:val="nil"/>
              <w:right w:val="nil"/>
            </w:tcBorders>
            <w:shd w:val="clear" w:color="auto" w:fill="auto"/>
            <w:vAlign w:val="bottom"/>
          </w:tcPr>
          <w:p w14:paraId="10203C80" w14:textId="77777777" w:rsidR="00B921E9" w:rsidRPr="003B4D22" w:rsidRDefault="00B921E9" w:rsidP="00B921E9">
            <w:pPr>
              <w:spacing w:after="0" w:line="240" w:lineRule="auto"/>
              <w:jc w:val="right"/>
              <w:rPr>
                <w:rFonts w:ascii="Arial Narrow" w:hAnsi="Arial Narrow" w:cs="Calibri"/>
                <w:color w:val="000000"/>
                <w:sz w:val="20"/>
                <w:szCs w:val="20"/>
              </w:rPr>
            </w:pPr>
            <w:r w:rsidRPr="003B4D22">
              <w:rPr>
                <w:rFonts w:ascii="Arial Narrow" w:hAnsi="Arial Narrow" w:cs="Calibri"/>
                <w:color w:val="000000"/>
                <w:sz w:val="20"/>
                <w:szCs w:val="20"/>
              </w:rPr>
              <w:t>0.70</w:t>
            </w:r>
          </w:p>
        </w:tc>
        <w:tc>
          <w:tcPr>
            <w:tcW w:w="469" w:type="pct"/>
            <w:tcBorders>
              <w:top w:val="nil"/>
              <w:left w:val="nil"/>
              <w:bottom w:val="nil"/>
              <w:right w:val="nil"/>
            </w:tcBorders>
            <w:shd w:val="clear" w:color="auto" w:fill="auto"/>
            <w:noWrap/>
            <w:vAlign w:val="center"/>
          </w:tcPr>
          <w:p w14:paraId="3FBDB997" w14:textId="77777777" w:rsidR="00B921E9" w:rsidRPr="003B4D22" w:rsidRDefault="00B921E9" w:rsidP="00B921E9">
            <w:pPr>
              <w:spacing w:after="0" w:line="240" w:lineRule="auto"/>
              <w:jc w:val="right"/>
              <w:rPr>
                <w:rFonts w:ascii="Arial Narrow" w:hAnsi="Arial Narrow" w:cs="Calibri"/>
                <w:color w:val="000000"/>
                <w:sz w:val="20"/>
                <w:szCs w:val="20"/>
              </w:rPr>
            </w:pPr>
            <w:r w:rsidRPr="003B4D22">
              <w:rPr>
                <w:rFonts w:ascii="Arial Narrow" w:hAnsi="Arial Narrow" w:cs="Calibri"/>
                <w:color w:val="000000"/>
                <w:sz w:val="20"/>
                <w:szCs w:val="20"/>
              </w:rPr>
              <w:t>144</w:t>
            </w:r>
          </w:p>
        </w:tc>
        <w:tc>
          <w:tcPr>
            <w:tcW w:w="569" w:type="pct"/>
            <w:tcBorders>
              <w:top w:val="nil"/>
              <w:left w:val="nil"/>
              <w:bottom w:val="nil"/>
              <w:right w:val="nil"/>
            </w:tcBorders>
            <w:shd w:val="clear" w:color="auto" w:fill="auto"/>
            <w:vAlign w:val="center"/>
          </w:tcPr>
          <w:p w14:paraId="6C85AD72" w14:textId="77777777" w:rsidR="00B921E9" w:rsidRPr="003B4D22" w:rsidRDefault="00B921E9" w:rsidP="00B921E9">
            <w:pPr>
              <w:spacing w:after="0" w:line="240" w:lineRule="auto"/>
              <w:jc w:val="right"/>
              <w:rPr>
                <w:rFonts w:ascii="Arial Narrow" w:hAnsi="Arial Narrow" w:cs="Calibri"/>
                <w:color w:val="000000"/>
                <w:sz w:val="20"/>
                <w:szCs w:val="20"/>
              </w:rPr>
            </w:pPr>
            <w:r w:rsidRPr="003B4D22">
              <w:rPr>
                <w:rFonts w:ascii="Arial Narrow" w:hAnsi="Arial Narrow" w:cs="Calibri"/>
                <w:color w:val="000000"/>
                <w:sz w:val="20"/>
                <w:szCs w:val="20"/>
              </w:rPr>
              <w:t>1.04</w:t>
            </w:r>
          </w:p>
        </w:tc>
        <w:tc>
          <w:tcPr>
            <w:tcW w:w="666" w:type="pct"/>
            <w:tcBorders>
              <w:top w:val="nil"/>
              <w:left w:val="nil"/>
              <w:bottom w:val="nil"/>
              <w:right w:val="single" w:sz="4" w:space="0" w:color="auto"/>
            </w:tcBorders>
            <w:shd w:val="clear" w:color="auto" w:fill="auto"/>
            <w:vAlign w:val="bottom"/>
          </w:tcPr>
          <w:p w14:paraId="5F5BD537" w14:textId="77777777" w:rsidR="00B921E9" w:rsidRPr="003B4D22" w:rsidRDefault="00B921E9" w:rsidP="00B921E9">
            <w:pPr>
              <w:spacing w:after="0" w:line="240" w:lineRule="auto"/>
              <w:jc w:val="right"/>
              <w:rPr>
                <w:rFonts w:ascii="Arial Narrow" w:hAnsi="Arial Narrow" w:cs="Calibri"/>
                <w:color w:val="000000"/>
                <w:sz w:val="20"/>
                <w:szCs w:val="20"/>
              </w:rPr>
            </w:pPr>
            <w:r w:rsidRPr="003B4D22">
              <w:rPr>
                <w:rFonts w:ascii="Arial Narrow" w:hAnsi="Arial Narrow" w:cs="Calibri"/>
                <w:color w:val="000000"/>
                <w:sz w:val="20"/>
                <w:szCs w:val="20"/>
              </w:rPr>
              <w:t>1.36 (0.029)</w:t>
            </w:r>
          </w:p>
        </w:tc>
      </w:tr>
      <w:tr w:rsidR="00B921E9" w:rsidRPr="003B4D22" w14:paraId="3CE9E2A9" w14:textId="77777777" w:rsidTr="00E218D0">
        <w:tc>
          <w:tcPr>
            <w:tcW w:w="650" w:type="pct"/>
            <w:tcBorders>
              <w:top w:val="nil"/>
              <w:left w:val="single" w:sz="4" w:space="0" w:color="auto"/>
              <w:bottom w:val="single" w:sz="4" w:space="0" w:color="auto"/>
              <w:right w:val="single" w:sz="4" w:space="0" w:color="auto"/>
            </w:tcBorders>
          </w:tcPr>
          <w:p w14:paraId="2AD153FF" w14:textId="77777777" w:rsidR="00B921E9" w:rsidRPr="003B4D22" w:rsidRDefault="00B921E9" w:rsidP="00B921E9">
            <w:pPr>
              <w:spacing w:after="0" w:line="240" w:lineRule="auto"/>
              <w:rPr>
                <w:rFonts w:ascii="Arial Narrow" w:hAnsi="Arial Narrow" w:cs="Calibri"/>
                <w:i/>
                <w:color w:val="000000"/>
                <w:sz w:val="20"/>
                <w:szCs w:val="20"/>
              </w:rPr>
            </w:pPr>
          </w:p>
        </w:tc>
        <w:tc>
          <w:tcPr>
            <w:tcW w:w="1706" w:type="pct"/>
            <w:tcBorders>
              <w:top w:val="nil"/>
              <w:left w:val="single" w:sz="4" w:space="0" w:color="auto"/>
              <w:bottom w:val="single" w:sz="4" w:space="0" w:color="auto"/>
              <w:right w:val="single" w:sz="4" w:space="0" w:color="auto"/>
            </w:tcBorders>
            <w:shd w:val="clear" w:color="auto" w:fill="auto"/>
          </w:tcPr>
          <w:p w14:paraId="3B901FF3" w14:textId="77777777" w:rsidR="00B921E9" w:rsidRPr="003B4D22" w:rsidRDefault="00B921E9" w:rsidP="00B921E9">
            <w:pPr>
              <w:spacing w:after="0" w:line="240" w:lineRule="auto"/>
              <w:ind w:left="-14"/>
              <w:rPr>
                <w:rFonts w:ascii="Arial Narrow" w:hAnsi="Arial Narrow" w:cs="Calibri"/>
                <w:i/>
                <w:color w:val="000000"/>
                <w:sz w:val="20"/>
                <w:szCs w:val="20"/>
              </w:rPr>
            </w:pPr>
            <w:r w:rsidRPr="003B4D22">
              <w:rPr>
                <w:rFonts w:ascii="Arial Narrow" w:hAnsi="Arial Narrow"/>
                <w:i/>
                <w:sz w:val="20"/>
                <w:szCs w:val="20"/>
              </w:rPr>
              <w:t>Rate, local infection per patient month</w:t>
            </w:r>
          </w:p>
        </w:tc>
        <w:tc>
          <w:tcPr>
            <w:tcW w:w="444" w:type="pct"/>
            <w:tcBorders>
              <w:top w:val="nil"/>
              <w:left w:val="single" w:sz="4" w:space="0" w:color="auto"/>
              <w:bottom w:val="single" w:sz="4" w:space="0" w:color="auto"/>
              <w:right w:val="nil"/>
            </w:tcBorders>
            <w:shd w:val="clear" w:color="auto" w:fill="auto"/>
            <w:noWrap/>
            <w:vAlign w:val="center"/>
          </w:tcPr>
          <w:p w14:paraId="23267D9A" w14:textId="77777777" w:rsidR="00B921E9" w:rsidRPr="003B4D22" w:rsidRDefault="00B921E9" w:rsidP="00B921E9">
            <w:pPr>
              <w:spacing w:after="0" w:line="240" w:lineRule="auto"/>
              <w:jc w:val="right"/>
              <w:rPr>
                <w:rFonts w:ascii="Arial Narrow" w:hAnsi="Arial Narrow" w:cs="Calibri"/>
                <w:i/>
                <w:color w:val="000000"/>
                <w:sz w:val="20"/>
                <w:szCs w:val="20"/>
              </w:rPr>
            </w:pPr>
            <w:r w:rsidRPr="003B4D22">
              <w:rPr>
                <w:rFonts w:ascii="Arial Narrow" w:hAnsi="Arial Narrow" w:cs="Calibri"/>
                <w:i/>
                <w:color w:val="000000"/>
                <w:sz w:val="20"/>
                <w:szCs w:val="20"/>
              </w:rPr>
              <w:t>0.213</w:t>
            </w:r>
          </w:p>
        </w:tc>
        <w:tc>
          <w:tcPr>
            <w:tcW w:w="496" w:type="pct"/>
            <w:tcBorders>
              <w:top w:val="nil"/>
              <w:left w:val="nil"/>
              <w:bottom w:val="single" w:sz="4" w:space="0" w:color="auto"/>
              <w:right w:val="nil"/>
            </w:tcBorders>
            <w:shd w:val="clear" w:color="auto" w:fill="auto"/>
            <w:vAlign w:val="bottom"/>
          </w:tcPr>
          <w:p w14:paraId="16AD4BFF" w14:textId="77777777" w:rsidR="00B921E9" w:rsidRPr="003B4D22" w:rsidRDefault="00B921E9" w:rsidP="00B921E9">
            <w:pPr>
              <w:spacing w:after="0" w:line="240" w:lineRule="auto"/>
              <w:jc w:val="right"/>
              <w:rPr>
                <w:rFonts w:ascii="Arial Narrow" w:hAnsi="Arial Narrow" w:cs="Calibri"/>
                <w:i/>
                <w:color w:val="000000"/>
                <w:sz w:val="20"/>
                <w:szCs w:val="20"/>
              </w:rPr>
            </w:pPr>
          </w:p>
        </w:tc>
        <w:tc>
          <w:tcPr>
            <w:tcW w:w="469" w:type="pct"/>
            <w:tcBorders>
              <w:top w:val="nil"/>
              <w:left w:val="nil"/>
              <w:bottom w:val="single" w:sz="4" w:space="0" w:color="auto"/>
              <w:right w:val="nil"/>
            </w:tcBorders>
            <w:shd w:val="clear" w:color="auto" w:fill="auto"/>
            <w:noWrap/>
            <w:vAlign w:val="center"/>
          </w:tcPr>
          <w:p w14:paraId="11494151" w14:textId="77777777" w:rsidR="00B921E9" w:rsidRPr="003B4D22" w:rsidRDefault="00B921E9" w:rsidP="00B921E9">
            <w:pPr>
              <w:spacing w:after="0" w:line="240" w:lineRule="auto"/>
              <w:jc w:val="right"/>
              <w:rPr>
                <w:rFonts w:ascii="Arial Narrow" w:hAnsi="Arial Narrow" w:cs="Calibri"/>
                <w:i/>
                <w:color w:val="000000"/>
                <w:sz w:val="20"/>
                <w:szCs w:val="20"/>
              </w:rPr>
            </w:pPr>
            <w:r w:rsidRPr="003B4D22">
              <w:rPr>
                <w:rFonts w:ascii="Arial Narrow" w:hAnsi="Arial Narrow" w:cs="Calibri"/>
                <w:i/>
                <w:color w:val="000000"/>
                <w:sz w:val="20"/>
                <w:szCs w:val="20"/>
              </w:rPr>
              <w:t>0.316</w:t>
            </w:r>
          </w:p>
        </w:tc>
        <w:tc>
          <w:tcPr>
            <w:tcW w:w="569" w:type="pct"/>
            <w:tcBorders>
              <w:top w:val="nil"/>
              <w:left w:val="nil"/>
              <w:bottom w:val="single" w:sz="4" w:space="0" w:color="auto"/>
              <w:right w:val="nil"/>
            </w:tcBorders>
            <w:shd w:val="clear" w:color="auto" w:fill="auto"/>
            <w:vAlign w:val="center"/>
          </w:tcPr>
          <w:p w14:paraId="425B856F" w14:textId="77777777" w:rsidR="00B921E9" w:rsidRPr="003B4D22" w:rsidRDefault="00B921E9" w:rsidP="00B921E9">
            <w:pPr>
              <w:spacing w:after="0" w:line="240" w:lineRule="auto"/>
              <w:jc w:val="right"/>
              <w:rPr>
                <w:rFonts w:ascii="Arial Narrow" w:hAnsi="Arial Narrow" w:cs="Calibri"/>
                <w:i/>
                <w:color w:val="000000"/>
                <w:sz w:val="20"/>
                <w:szCs w:val="20"/>
              </w:rPr>
            </w:pPr>
          </w:p>
        </w:tc>
        <w:tc>
          <w:tcPr>
            <w:tcW w:w="666" w:type="pct"/>
            <w:tcBorders>
              <w:top w:val="nil"/>
              <w:left w:val="nil"/>
              <w:bottom w:val="single" w:sz="4" w:space="0" w:color="auto"/>
              <w:right w:val="single" w:sz="4" w:space="0" w:color="auto"/>
            </w:tcBorders>
            <w:shd w:val="clear" w:color="auto" w:fill="auto"/>
            <w:vAlign w:val="bottom"/>
          </w:tcPr>
          <w:p w14:paraId="4C1AD854" w14:textId="77777777" w:rsidR="00B921E9" w:rsidRPr="003B4D22" w:rsidRDefault="00B921E9" w:rsidP="00B921E9">
            <w:pPr>
              <w:spacing w:after="0" w:line="240" w:lineRule="auto"/>
              <w:jc w:val="right"/>
              <w:rPr>
                <w:rFonts w:ascii="Arial Narrow" w:hAnsi="Arial Narrow"/>
                <w:i/>
                <w:sz w:val="20"/>
                <w:szCs w:val="20"/>
              </w:rPr>
            </w:pPr>
          </w:p>
        </w:tc>
      </w:tr>
    </w:tbl>
    <w:p w14:paraId="3A9228A8" w14:textId="4D008017" w:rsidR="00A904EF" w:rsidRPr="00876F28" w:rsidRDefault="00A904EF" w:rsidP="00166EC0">
      <w:pPr>
        <w:spacing w:after="0" w:line="240" w:lineRule="auto"/>
        <w:ind w:right="-188"/>
        <w:rPr>
          <w:rFonts w:ascii="Arial Narrow" w:hAnsi="Arial Narrow"/>
          <w:sz w:val="20"/>
          <w:szCs w:val="20"/>
        </w:rPr>
      </w:pPr>
      <w:r w:rsidRPr="00876F28">
        <w:rPr>
          <w:rFonts w:ascii="Arial Narrow" w:hAnsi="Arial Narrow"/>
          <w:sz w:val="20"/>
          <w:szCs w:val="20"/>
        </w:rPr>
        <w:t xml:space="preserve">Notes: Values in italics have been calculated for this evaluation. </w:t>
      </w:r>
      <w:r w:rsidRPr="00876F28">
        <w:rPr>
          <w:rFonts w:ascii="Arial Narrow" w:hAnsi="Arial Narrow"/>
          <w:sz w:val="20"/>
          <w:szCs w:val="20"/>
          <w:u w:val="single"/>
        </w:rPr>
        <w:t>Boughton et al., (1995)</w:t>
      </w:r>
      <w:r w:rsidRPr="00876F28">
        <w:rPr>
          <w:rFonts w:ascii="Arial Narrow" w:hAnsi="Arial Narrow"/>
          <w:sz w:val="20"/>
          <w:szCs w:val="20"/>
        </w:rPr>
        <w:t xml:space="preserve"> – infections reported were mostly respiratory tract infections. Specific types of infection not reported, except where positive bacterial culture obtained (19/122 infectious episodes).  </w:t>
      </w:r>
      <w:r w:rsidRPr="00876F28">
        <w:rPr>
          <w:rFonts w:ascii="Arial Narrow" w:hAnsi="Arial Narrow"/>
          <w:sz w:val="20"/>
          <w:szCs w:val="20"/>
          <w:u w:val="single"/>
        </w:rPr>
        <w:t>Chapel et al., 1994</w:t>
      </w:r>
      <w:r w:rsidRPr="00876F28">
        <w:rPr>
          <w:rFonts w:ascii="Arial Narrow" w:hAnsi="Arial Narrow"/>
          <w:sz w:val="20"/>
          <w:szCs w:val="20"/>
        </w:rPr>
        <w:t xml:space="preserve"> –</w:t>
      </w:r>
      <w:r w:rsidR="00C57B4A" w:rsidRPr="00876F28">
        <w:rPr>
          <w:rFonts w:ascii="Arial Narrow" w:hAnsi="Arial Narrow"/>
          <w:sz w:val="20"/>
          <w:szCs w:val="20"/>
        </w:rPr>
        <w:t xml:space="preserve"> ‘other chest infections’ included acute bronchitis and pleurisy not requiring hospitalisation;</w:t>
      </w:r>
      <w:r w:rsidRPr="00876F28">
        <w:rPr>
          <w:rFonts w:ascii="Arial Narrow" w:hAnsi="Arial Narrow"/>
          <w:sz w:val="20"/>
          <w:szCs w:val="20"/>
        </w:rPr>
        <w:t xml:space="preserve"> ‘all infections’ incidence was not reported by group thus recurrent infection </w:t>
      </w:r>
      <w:r w:rsidR="00763F47" w:rsidRPr="00876F28">
        <w:rPr>
          <w:rFonts w:ascii="Arial Narrow" w:hAnsi="Arial Narrow"/>
          <w:sz w:val="20"/>
          <w:szCs w:val="20"/>
        </w:rPr>
        <w:t>rates could not be calculated</w:t>
      </w:r>
      <w:r w:rsidR="00AE5BD5" w:rsidRPr="00876F28">
        <w:rPr>
          <w:rFonts w:ascii="Arial Narrow" w:hAnsi="Arial Narrow"/>
          <w:sz w:val="20"/>
          <w:szCs w:val="20"/>
        </w:rPr>
        <w:t>; minor infections were not reported in the article though the authors state theses were mostly viral URT infections with similar rates in each group</w:t>
      </w:r>
      <w:r w:rsidR="00B921E9" w:rsidRPr="00876F28">
        <w:rPr>
          <w:rFonts w:ascii="Arial Narrow" w:hAnsi="Arial Narrow"/>
          <w:sz w:val="20"/>
          <w:szCs w:val="20"/>
        </w:rPr>
        <w:t>, thus total infections numbers were not derived either</w:t>
      </w:r>
      <w:r w:rsidR="00763F47" w:rsidRPr="00876F28">
        <w:rPr>
          <w:rFonts w:ascii="Arial Narrow" w:hAnsi="Arial Narrow"/>
          <w:sz w:val="20"/>
          <w:szCs w:val="20"/>
        </w:rPr>
        <w:t>.</w:t>
      </w:r>
      <w:r w:rsidR="00AB1771" w:rsidRPr="00876F28">
        <w:rPr>
          <w:rFonts w:ascii="Arial Narrow" w:hAnsi="Arial Narrow"/>
          <w:sz w:val="20"/>
          <w:szCs w:val="20"/>
        </w:rPr>
        <w:t xml:space="preserve"> </w:t>
      </w:r>
      <w:r w:rsidR="00AB1771" w:rsidRPr="00876F28">
        <w:rPr>
          <w:rFonts w:ascii="Arial Narrow" w:hAnsi="Arial Narrow"/>
          <w:sz w:val="20"/>
          <w:szCs w:val="20"/>
          <w:u w:val="single"/>
        </w:rPr>
        <w:t>Molica et al., 1996</w:t>
      </w:r>
      <w:r w:rsidR="00AB1771" w:rsidRPr="00876F28">
        <w:rPr>
          <w:rFonts w:ascii="Arial Narrow" w:hAnsi="Arial Narrow"/>
          <w:sz w:val="20"/>
          <w:szCs w:val="20"/>
        </w:rPr>
        <w:t xml:space="preserve"> –</w:t>
      </w:r>
      <w:r w:rsidR="00153CAC" w:rsidRPr="00876F28">
        <w:rPr>
          <w:rFonts w:ascii="Arial Narrow" w:hAnsi="Arial Narrow"/>
          <w:sz w:val="20"/>
          <w:szCs w:val="20"/>
        </w:rPr>
        <w:t xml:space="preserve"> </w:t>
      </w:r>
      <w:r w:rsidR="00AB1771" w:rsidRPr="00876F28">
        <w:rPr>
          <w:rFonts w:ascii="Arial Narrow" w:hAnsi="Arial Narrow"/>
          <w:sz w:val="20"/>
          <w:szCs w:val="20"/>
        </w:rPr>
        <w:t xml:space="preserve"> </w:t>
      </w:r>
      <w:r w:rsidR="00153CAC" w:rsidRPr="00876F28">
        <w:rPr>
          <w:rFonts w:ascii="Arial Narrow" w:hAnsi="Arial Narrow"/>
          <w:sz w:val="20"/>
          <w:szCs w:val="20"/>
        </w:rPr>
        <w:t xml:space="preserve">infections were pooled according to tx status (Ig or observation) not reported by randomised group or study part (group 1 or 2; part 1 [1st 6mo], part 2 [12mo after 1st crossover], part 3 [6mo after 2nd crossover]); </w:t>
      </w:r>
      <w:r w:rsidR="00AB1771" w:rsidRPr="00876F28">
        <w:rPr>
          <w:rFonts w:ascii="Arial Narrow" w:hAnsi="Arial Narrow"/>
          <w:sz w:val="20"/>
          <w:szCs w:val="20"/>
        </w:rPr>
        <w:t>The authors reported that 30 (of 42) patients completed 6 months of treatment and 17 completed 12 months (and that a further 17 did not complete the study) but not report how many patients completed the full 6+12+6 months protocol.</w:t>
      </w:r>
      <w:r w:rsidRPr="00876F28">
        <w:rPr>
          <w:rFonts w:ascii="Arial Narrow" w:hAnsi="Arial Narrow"/>
          <w:sz w:val="20"/>
          <w:szCs w:val="20"/>
        </w:rPr>
        <w:t xml:space="preserve"> </w:t>
      </w:r>
      <w:r w:rsidR="00BB1779" w:rsidRPr="00876F28">
        <w:rPr>
          <w:rFonts w:ascii="Arial Narrow" w:hAnsi="Arial Narrow"/>
          <w:sz w:val="20"/>
          <w:szCs w:val="20"/>
          <w:u w:val="single"/>
        </w:rPr>
        <w:t>Sullivan et al., 1990</w:t>
      </w:r>
      <w:r w:rsidR="00BB1779" w:rsidRPr="00876F28">
        <w:rPr>
          <w:rFonts w:ascii="Arial Narrow" w:hAnsi="Arial Narrow"/>
          <w:sz w:val="20"/>
          <w:szCs w:val="20"/>
        </w:rPr>
        <w:t xml:space="preserve"> – infections of URT or oral cavity and herpes simplex infections were not reported.</w:t>
      </w:r>
    </w:p>
    <w:p w14:paraId="142E7F83" w14:textId="5A20108E" w:rsidR="00A904EF" w:rsidRPr="00876F28" w:rsidRDefault="00A904EF" w:rsidP="00166EC0">
      <w:pPr>
        <w:spacing w:line="240" w:lineRule="auto"/>
        <w:ind w:right="-188"/>
        <w:rPr>
          <w:rFonts w:ascii="Arial Narrow" w:hAnsi="Arial Narrow"/>
          <w:sz w:val="20"/>
          <w:szCs w:val="20"/>
        </w:rPr>
      </w:pPr>
      <w:r w:rsidRPr="00876F28">
        <w:rPr>
          <w:rFonts w:ascii="Arial Narrow" w:hAnsi="Arial Narrow"/>
          <w:sz w:val="20"/>
          <w:szCs w:val="20"/>
        </w:rPr>
        <w:t xml:space="preserve">ALL=acute lymphoblastic leukaemia; </w:t>
      </w:r>
      <w:r w:rsidR="00E218D0" w:rsidRPr="00876F28">
        <w:rPr>
          <w:rFonts w:ascii="Arial Narrow" w:hAnsi="Arial Narrow"/>
          <w:sz w:val="20"/>
          <w:szCs w:val="20"/>
        </w:rPr>
        <w:t xml:space="preserve">BMT=bone marrow transplant; </w:t>
      </w:r>
      <w:r w:rsidRPr="00876F28">
        <w:rPr>
          <w:rFonts w:ascii="Arial Narrow" w:hAnsi="Arial Narrow"/>
          <w:sz w:val="20"/>
          <w:szCs w:val="20"/>
        </w:rPr>
        <w:t>BSI=bloodstream infections; CLL=chronic lymphocytic leukaemia; GI=gastrointestinal; IgG=immunoglobulin gamma; IVIg=intravenous immunoglobulin; HSCT=haematopoietic stem cell transplant; LRTI=lower respiratory tract infection; MM=multiple myeloma; mo=month; n.r.=not reported; n.s.=not significant; SEM=standard error of the mean; tx=treatment; URTI=upper respiratory tract infection; UTI=urinary tract infection; yr=year.</w:t>
      </w:r>
    </w:p>
    <w:p w14:paraId="7B0BCB15" w14:textId="670521C7" w:rsidR="00A904EF" w:rsidRPr="00386411" w:rsidRDefault="00A904EF" w:rsidP="00166EC0">
      <w:pPr>
        <w:pStyle w:val="Caption"/>
        <w:keepNext/>
        <w:rPr>
          <w:rFonts w:cs="Arial"/>
          <w:snapToGrid w:val="0"/>
          <w:szCs w:val="16"/>
          <w:lang w:eastAsia="en-US"/>
        </w:rPr>
      </w:pPr>
      <w:bookmarkStart w:id="769" w:name="_Ref9898840"/>
      <w:bookmarkStart w:id="770" w:name="_Toc14429626"/>
      <w:bookmarkStart w:id="771" w:name="_Toc16671684"/>
      <w:r w:rsidRPr="00386411">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86</w:t>
      </w:r>
      <w:r w:rsidRPr="00386411">
        <w:rPr>
          <w:noProof/>
        </w:rPr>
        <w:fldChar w:fldCharType="end"/>
      </w:r>
      <w:bookmarkEnd w:id="769"/>
      <w:r w:rsidRPr="00386411">
        <w:tab/>
      </w:r>
      <w:r w:rsidR="00386411" w:rsidRPr="00386411">
        <w:rPr>
          <w:rFonts w:cs="Arial"/>
          <w:snapToGrid w:val="0"/>
          <w:szCs w:val="16"/>
          <w:lang w:eastAsia="en-US"/>
        </w:rPr>
        <w:t>Randomised</w:t>
      </w:r>
      <w:r w:rsidRPr="00386411">
        <w:rPr>
          <w:rFonts w:cs="Arial"/>
          <w:snapToGrid w:val="0"/>
          <w:szCs w:val="16"/>
          <w:lang w:eastAsia="en-US"/>
        </w:rPr>
        <w:t xml:space="preserve"> studies presenting infections – SCIg vs no SCIg</w:t>
      </w:r>
      <w:bookmarkEnd w:id="770"/>
      <w:bookmarkEnd w:id="771"/>
    </w:p>
    <w:tbl>
      <w:tblPr>
        <w:tblW w:w="5000" w:type="pct"/>
        <w:tblLook w:val="04A0" w:firstRow="1" w:lastRow="0" w:firstColumn="1" w:lastColumn="0" w:noHBand="0" w:noVBand="1"/>
      </w:tblPr>
      <w:tblGrid>
        <w:gridCol w:w="1395"/>
        <w:gridCol w:w="3048"/>
        <w:gridCol w:w="1758"/>
        <w:gridCol w:w="1603"/>
        <w:gridCol w:w="1438"/>
      </w:tblGrid>
      <w:tr w:rsidR="00A904EF" w:rsidRPr="00386411" w14:paraId="2B01BD48" w14:textId="77777777" w:rsidTr="00B52A4F">
        <w:tc>
          <w:tcPr>
            <w:tcW w:w="7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7AE55C" w14:textId="77777777" w:rsidR="00A904EF" w:rsidRPr="00386411" w:rsidRDefault="00A904EF" w:rsidP="00166EC0">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Study</w:t>
            </w:r>
          </w:p>
        </w:tc>
        <w:tc>
          <w:tcPr>
            <w:tcW w:w="16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BDB04C" w14:textId="77777777" w:rsidR="00A904EF" w:rsidRPr="00386411" w:rsidRDefault="00A904EF" w:rsidP="00166EC0">
            <w:pPr>
              <w:keepNext/>
              <w:spacing w:after="0" w:line="240" w:lineRule="auto"/>
              <w:rPr>
                <w:rFonts w:ascii="Arial Narrow" w:hAnsi="Arial Narrow"/>
                <w:b/>
                <w:sz w:val="20"/>
              </w:rPr>
            </w:pPr>
            <w:r w:rsidRPr="00386411">
              <w:rPr>
                <w:rFonts w:ascii="Arial Narrow" w:hAnsi="Arial Narrow"/>
                <w:b/>
                <w:sz w:val="20"/>
              </w:rPr>
              <w:t>Outcome</w:t>
            </w:r>
          </w:p>
        </w:tc>
        <w:tc>
          <w:tcPr>
            <w:tcW w:w="951" w:type="pct"/>
            <w:tcBorders>
              <w:top w:val="single" w:sz="4" w:space="0" w:color="auto"/>
              <w:left w:val="single" w:sz="4" w:space="0" w:color="auto"/>
              <w:bottom w:val="single" w:sz="4" w:space="0" w:color="auto"/>
              <w:right w:val="nil"/>
            </w:tcBorders>
            <w:shd w:val="clear" w:color="auto" w:fill="D9D9D9" w:themeFill="background1" w:themeFillShade="D9"/>
            <w:noWrap/>
          </w:tcPr>
          <w:p w14:paraId="57211E16" w14:textId="77777777" w:rsidR="00A904EF" w:rsidRPr="00386411" w:rsidRDefault="00A904EF" w:rsidP="00166EC0">
            <w:pPr>
              <w:keepNext/>
              <w:spacing w:after="0" w:line="240" w:lineRule="auto"/>
              <w:jc w:val="center"/>
              <w:rPr>
                <w:rFonts w:ascii="Arial Narrow" w:hAnsi="Arial Narrow"/>
                <w:b/>
                <w:sz w:val="20"/>
                <w:szCs w:val="20"/>
              </w:rPr>
            </w:pPr>
            <w:r w:rsidRPr="00386411">
              <w:rPr>
                <w:rFonts w:ascii="Arial Narrow" w:hAnsi="Arial Narrow"/>
                <w:b/>
                <w:sz w:val="20"/>
                <w:szCs w:val="20"/>
              </w:rPr>
              <w:t>Intervention</w:t>
            </w:r>
          </w:p>
        </w:tc>
        <w:tc>
          <w:tcPr>
            <w:tcW w:w="867" w:type="pct"/>
            <w:tcBorders>
              <w:top w:val="single" w:sz="4" w:space="0" w:color="auto"/>
              <w:left w:val="nil"/>
              <w:bottom w:val="single" w:sz="4" w:space="0" w:color="auto"/>
              <w:right w:val="nil"/>
            </w:tcBorders>
            <w:shd w:val="clear" w:color="auto" w:fill="D9D9D9" w:themeFill="background1" w:themeFillShade="D9"/>
            <w:noWrap/>
          </w:tcPr>
          <w:p w14:paraId="2C8C20F6" w14:textId="77777777" w:rsidR="00A904EF" w:rsidRPr="00386411" w:rsidRDefault="00A904EF" w:rsidP="00166EC0">
            <w:pPr>
              <w:keepNext/>
              <w:spacing w:after="0" w:line="240" w:lineRule="auto"/>
              <w:jc w:val="center"/>
              <w:rPr>
                <w:rFonts w:ascii="Arial Narrow" w:hAnsi="Arial Narrow"/>
                <w:b/>
                <w:sz w:val="20"/>
                <w:szCs w:val="20"/>
              </w:rPr>
            </w:pPr>
            <w:r w:rsidRPr="00386411">
              <w:rPr>
                <w:rFonts w:ascii="Arial Narrow" w:hAnsi="Arial Narrow"/>
                <w:b/>
                <w:sz w:val="20"/>
                <w:szCs w:val="20"/>
              </w:rPr>
              <w:t>Comparator</w:t>
            </w:r>
          </w:p>
        </w:tc>
        <w:tc>
          <w:tcPr>
            <w:tcW w:w="778" w:type="pct"/>
            <w:tcBorders>
              <w:top w:val="single" w:sz="4" w:space="0" w:color="auto"/>
              <w:left w:val="nil"/>
              <w:bottom w:val="single" w:sz="4" w:space="0" w:color="auto"/>
              <w:right w:val="single" w:sz="4" w:space="0" w:color="auto"/>
            </w:tcBorders>
            <w:shd w:val="clear" w:color="auto" w:fill="D9D9D9" w:themeFill="background1" w:themeFillShade="D9"/>
          </w:tcPr>
          <w:p w14:paraId="16D95795" w14:textId="77777777" w:rsidR="00A904EF" w:rsidRPr="00386411" w:rsidRDefault="00A904EF" w:rsidP="00166EC0">
            <w:pPr>
              <w:keepNext/>
              <w:spacing w:after="0" w:line="240" w:lineRule="auto"/>
              <w:jc w:val="right"/>
              <w:rPr>
                <w:rFonts w:ascii="Arial Narrow" w:hAnsi="Arial Narrow"/>
                <w:b/>
                <w:sz w:val="20"/>
                <w:szCs w:val="20"/>
              </w:rPr>
            </w:pPr>
            <w:r w:rsidRPr="00386411">
              <w:rPr>
                <w:rFonts w:ascii="Arial Narrow" w:hAnsi="Arial Narrow"/>
                <w:b/>
                <w:sz w:val="20"/>
                <w:szCs w:val="20"/>
              </w:rPr>
              <w:t>Comparison</w:t>
            </w:r>
          </w:p>
        </w:tc>
      </w:tr>
      <w:tr w:rsidR="00A904EF" w:rsidRPr="00386411" w14:paraId="613AD8DE" w14:textId="77777777" w:rsidTr="00B52A4F">
        <w:tc>
          <w:tcPr>
            <w:tcW w:w="7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C737F0" w14:textId="77777777" w:rsidR="00A904EF" w:rsidRPr="00386411" w:rsidRDefault="00A904EF" w:rsidP="00402B1A">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Vacca et al., 2018</w:t>
            </w:r>
          </w:p>
        </w:tc>
        <w:tc>
          <w:tcPr>
            <w:tcW w:w="16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B9E8A7" w14:textId="77777777" w:rsidR="00A904EF" w:rsidRPr="00386411" w:rsidRDefault="00A904EF" w:rsidP="00402B1A">
            <w:pPr>
              <w:keepNext/>
              <w:spacing w:after="0" w:line="240" w:lineRule="auto"/>
              <w:rPr>
                <w:rFonts w:ascii="Arial Narrow" w:hAnsi="Arial Narrow"/>
                <w:b/>
                <w:sz w:val="20"/>
              </w:rPr>
            </w:pPr>
            <w:r w:rsidRPr="00386411">
              <w:rPr>
                <w:rFonts w:ascii="Arial Narrow" w:hAnsi="Arial Narrow"/>
                <w:b/>
                <w:sz w:val="20"/>
              </w:rPr>
              <w:t xml:space="preserve">Infectious episodes </w:t>
            </w:r>
            <w:r w:rsidRPr="00386411">
              <w:rPr>
                <w:rFonts w:ascii="Arial Narrow" w:hAnsi="Arial Narrow"/>
                <w:b/>
                <w:sz w:val="20"/>
              </w:rPr>
              <w:br/>
              <w:t>(all outcomes adjusted to 365d)</w:t>
            </w:r>
          </w:p>
        </w:tc>
        <w:tc>
          <w:tcPr>
            <w:tcW w:w="951" w:type="pct"/>
            <w:tcBorders>
              <w:top w:val="single" w:sz="4" w:space="0" w:color="auto"/>
              <w:left w:val="single" w:sz="4" w:space="0" w:color="auto"/>
              <w:bottom w:val="single" w:sz="4" w:space="0" w:color="auto"/>
            </w:tcBorders>
            <w:shd w:val="clear" w:color="auto" w:fill="D9D9D9" w:themeFill="background1" w:themeFillShade="D9"/>
            <w:noWrap/>
          </w:tcPr>
          <w:p w14:paraId="541F08E3" w14:textId="77777777" w:rsidR="00A904EF" w:rsidRPr="00386411" w:rsidRDefault="00A904EF" w:rsidP="00402B1A">
            <w:pPr>
              <w:keepNext/>
              <w:spacing w:after="0" w:line="240" w:lineRule="auto"/>
              <w:jc w:val="right"/>
              <w:rPr>
                <w:rFonts w:ascii="Arial Narrow" w:hAnsi="Arial Narrow"/>
                <w:b/>
                <w:sz w:val="20"/>
                <w:szCs w:val="20"/>
              </w:rPr>
            </w:pPr>
            <w:r w:rsidRPr="00386411">
              <w:rPr>
                <w:rFonts w:ascii="Arial Narrow" w:hAnsi="Arial Narrow"/>
                <w:b/>
                <w:sz w:val="20"/>
              </w:rPr>
              <w:t>SCIg (n=24)</w:t>
            </w:r>
          </w:p>
        </w:tc>
        <w:tc>
          <w:tcPr>
            <w:tcW w:w="867" w:type="pct"/>
            <w:tcBorders>
              <w:top w:val="single" w:sz="4" w:space="0" w:color="auto"/>
              <w:bottom w:val="single" w:sz="4" w:space="0" w:color="auto"/>
            </w:tcBorders>
            <w:shd w:val="clear" w:color="auto" w:fill="D9D9D9" w:themeFill="background1" w:themeFillShade="D9"/>
            <w:noWrap/>
          </w:tcPr>
          <w:p w14:paraId="45A4CB7A" w14:textId="77777777" w:rsidR="00A904EF" w:rsidRPr="00386411" w:rsidRDefault="00A904EF" w:rsidP="00402B1A">
            <w:pPr>
              <w:keepNext/>
              <w:spacing w:after="0" w:line="240" w:lineRule="auto"/>
              <w:jc w:val="right"/>
              <w:rPr>
                <w:rFonts w:ascii="Arial Narrow" w:hAnsi="Arial Narrow"/>
                <w:b/>
                <w:sz w:val="20"/>
                <w:szCs w:val="20"/>
              </w:rPr>
            </w:pPr>
            <w:r w:rsidRPr="00386411">
              <w:rPr>
                <w:rFonts w:ascii="Arial Narrow" w:hAnsi="Arial Narrow"/>
                <w:b/>
                <w:sz w:val="20"/>
              </w:rPr>
              <w:t>No SCIg (n=22)</w:t>
            </w:r>
          </w:p>
        </w:tc>
        <w:tc>
          <w:tcPr>
            <w:tcW w:w="778" w:type="pct"/>
            <w:tcBorders>
              <w:top w:val="single" w:sz="4" w:space="0" w:color="auto"/>
              <w:bottom w:val="single" w:sz="4" w:space="0" w:color="auto"/>
              <w:right w:val="single" w:sz="4" w:space="0" w:color="auto"/>
            </w:tcBorders>
            <w:shd w:val="clear" w:color="auto" w:fill="D9D9D9" w:themeFill="background1" w:themeFillShade="D9"/>
          </w:tcPr>
          <w:p w14:paraId="5E1EDE16" w14:textId="77777777" w:rsidR="00A904EF" w:rsidRPr="00386411" w:rsidRDefault="00A904EF" w:rsidP="00402B1A">
            <w:pPr>
              <w:keepNext/>
              <w:spacing w:after="0" w:line="240" w:lineRule="auto"/>
              <w:jc w:val="right"/>
              <w:rPr>
                <w:rFonts w:ascii="Arial Narrow" w:hAnsi="Arial Narrow"/>
                <w:b/>
                <w:sz w:val="20"/>
                <w:szCs w:val="20"/>
              </w:rPr>
            </w:pPr>
          </w:p>
        </w:tc>
      </w:tr>
      <w:tr w:rsidR="00A904EF" w:rsidRPr="003B4D22" w14:paraId="39F19AEC" w14:textId="77777777" w:rsidTr="007D3D74">
        <w:tc>
          <w:tcPr>
            <w:tcW w:w="755" w:type="pct"/>
            <w:tcBorders>
              <w:top w:val="single" w:sz="4" w:space="0" w:color="auto"/>
              <w:left w:val="single" w:sz="4" w:space="0" w:color="auto"/>
              <w:bottom w:val="nil"/>
              <w:right w:val="single" w:sz="4" w:space="0" w:color="auto"/>
            </w:tcBorders>
          </w:tcPr>
          <w:p w14:paraId="299EA58D" w14:textId="77777777" w:rsidR="00A904EF" w:rsidRPr="003B4D22" w:rsidRDefault="00A904EF" w:rsidP="003735E3">
            <w:pPr>
              <w:spacing w:after="0" w:line="240" w:lineRule="auto"/>
              <w:rPr>
                <w:rFonts w:ascii="Arial Narrow" w:hAnsi="Arial Narrow" w:cs="Calibri"/>
                <w:color w:val="000000"/>
                <w:sz w:val="20"/>
                <w:szCs w:val="20"/>
              </w:rPr>
            </w:pPr>
            <w:r w:rsidRPr="003B4D22">
              <w:rPr>
                <w:rFonts w:ascii="Arial Narrow" w:hAnsi="Arial Narrow" w:cs="Calibri"/>
                <w:color w:val="000000"/>
                <w:sz w:val="20"/>
                <w:szCs w:val="20"/>
              </w:rPr>
              <w:t>MM</w:t>
            </w:r>
          </w:p>
        </w:tc>
        <w:tc>
          <w:tcPr>
            <w:tcW w:w="1649" w:type="pct"/>
            <w:tcBorders>
              <w:top w:val="single" w:sz="4" w:space="0" w:color="auto"/>
              <w:left w:val="single" w:sz="4" w:space="0" w:color="auto"/>
              <w:bottom w:val="nil"/>
              <w:right w:val="single" w:sz="4" w:space="0" w:color="auto"/>
            </w:tcBorders>
          </w:tcPr>
          <w:p w14:paraId="4641D116" w14:textId="77777777" w:rsidR="00A904EF" w:rsidRPr="003B4D22" w:rsidRDefault="00A904EF" w:rsidP="003735E3">
            <w:pPr>
              <w:spacing w:after="0" w:line="240" w:lineRule="auto"/>
              <w:rPr>
                <w:rFonts w:ascii="Arial Narrow" w:hAnsi="Arial Narrow"/>
                <w:b/>
                <w:sz w:val="20"/>
                <w:szCs w:val="20"/>
              </w:rPr>
            </w:pPr>
            <w:r w:rsidRPr="003B4D22">
              <w:rPr>
                <w:rFonts w:ascii="Arial Narrow" w:hAnsi="Arial Narrow"/>
                <w:b/>
                <w:sz w:val="20"/>
                <w:szCs w:val="20"/>
              </w:rPr>
              <w:t>Major infections</w:t>
            </w:r>
          </w:p>
        </w:tc>
        <w:tc>
          <w:tcPr>
            <w:tcW w:w="951" w:type="pct"/>
            <w:tcBorders>
              <w:top w:val="single" w:sz="4" w:space="0" w:color="auto"/>
              <w:left w:val="single" w:sz="4" w:space="0" w:color="auto"/>
              <w:bottom w:val="nil"/>
            </w:tcBorders>
            <w:shd w:val="clear" w:color="auto" w:fill="auto"/>
            <w:noWrap/>
          </w:tcPr>
          <w:p w14:paraId="65FF220A" w14:textId="77777777" w:rsidR="00A904EF" w:rsidRPr="003B4D22" w:rsidRDefault="00A904EF" w:rsidP="003735E3">
            <w:pPr>
              <w:spacing w:after="0" w:line="240" w:lineRule="auto"/>
              <w:jc w:val="right"/>
              <w:rPr>
                <w:rFonts w:ascii="Arial Narrow" w:hAnsi="Arial Narrow"/>
                <w:sz w:val="20"/>
                <w:szCs w:val="20"/>
              </w:rPr>
            </w:pPr>
          </w:p>
        </w:tc>
        <w:tc>
          <w:tcPr>
            <w:tcW w:w="867" w:type="pct"/>
            <w:tcBorders>
              <w:top w:val="single" w:sz="4" w:space="0" w:color="auto"/>
              <w:bottom w:val="nil"/>
            </w:tcBorders>
            <w:shd w:val="clear" w:color="auto" w:fill="auto"/>
            <w:noWrap/>
          </w:tcPr>
          <w:p w14:paraId="07C9CCCD" w14:textId="77777777" w:rsidR="00A904EF" w:rsidRPr="003B4D22" w:rsidRDefault="00A904EF" w:rsidP="003735E3">
            <w:pPr>
              <w:spacing w:after="0" w:line="240" w:lineRule="auto"/>
              <w:jc w:val="right"/>
              <w:rPr>
                <w:rFonts w:ascii="Arial Narrow" w:hAnsi="Arial Narrow"/>
                <w:sz w:val="20"/>
                <w:szCs w:val="20"/>
              </w:rPr>
            </w:pPr>
          </w:p>
        </w:tc>
        <w:tc>
          <w:tcPr>
            <w:tcW w:w="778" w:type="pct"/>
            <w:tcBorders>
              <w:top w:val="single" w:sz="4" w:space="0" w:color="auto"/>
              <w:bottom w:val="nil"/>
              <w:right w:val="single" w:sz="4" w:space="0" w:color="auto"/>
            </w:tcBorders>
          </w:tcPr>
          <w:p w14:paraId="63C28EEA" w14:textId="77777777" w:rsidR="00A904EF" w:rsidRPr="003B4D22" w:rsidRDefault="00A904EF" w:rsidP="003735E3">
            <w:pPr>
              <w:spacing w:after="0" w:line="240" w:lineRule="auto"/>
              <w:jc w:val="right"/>
              <w:rPr>
                <w:rFonts w:ascii="Arial Narrow" w:hAnsi="Arial Narrow"/>
                <w:sz w:val="20"/>
                <w:szCs w:val="20"/>
              </w:rPr>
            </w:pPr>
          </w:p>
        </w:tc>
      </w:tr>
      <w:tr w:rsidR="00A904EF" w:rsidRPr="003B4D22" w14:paraId="3A0E0322" w14:textId="77777777" w:rsidTr="007D3D74">
        <w:tc>
          <w:tcPr>
            <w:tcW w:w="755" w:type="pct"/>
            <w:tcBorders>
              <w:top w:val="nil"/>
              <w:left w:val="single" w:sz="4" w:space="0" w:color="auto"/>
              <w:bottom w:val="nil"/>
              <w:right w:val="single" w:sz="4" w:space="0" w:color="auto"/>
            </w:tcBorders>
          </w:tcPr>
          <w:p w14:paraId="04D12981" w14:textId="77777777" w:rsidR="00A904EF" w:rsidRPr="003B4D22" w:rsidRDefault="00A904EF" w:rsidP="003735E3">
            <w:pPr>
              <w:spacing w:after="0" w:line="240" w:lineRule="auto"/>
              <w:rPr>
                <w:rFonts w:ascii="Arial Narrow" w:hAnsi="Arial Narrow" w:cs="Calibri"/>
                <w:color w:val="000000"/>
                <w:sz w:val="20"/>
                <w:szCs w:val="20"/>
              </w:rPr>
            </w:pPr>
          </w:p>
        </w:tc>
        <w:tc>
          <w:tcPr>
            <w:tcW w:w="1649" w:type="pct"/>
            <w:tcBorders>
              <w:top w:val="nil"/>
              <w:left w:val="single" w:sz="4" w:space="0" w:color="auto"/>
              <w:bottom w:val="nil"/>
              <w:right w:val="single" w:sz="4" w:space="0" w:color="auto"/>
            </w:tcBorders>
          </w:tcPr>
          <w:p w14:paraId="6731DE34" w14:textId="77777777" w:rsidR="00A904EF" w:rsidRPr="003B4D22" w:rsidRDefault="00A904EF" w:rsidP="00331FB9">
            <w:pPr>
              <w:pStyle w:val="ListParagraph"/>
              <w:numPr>
                <w:ilvl w:val="0"/>
                <w:numId w:val="16"/>
              </w:numPr>
              <w:spacing w:after="0" w:line="240" w:lineRule="auto"/>
              <w:ind w:left="322" w:hanging="257"/>
              <w:rPr>
                <w:rFonts w:ascii="Arial Narrow" w:hAnsi="Arial Narrow"/>
                <w:sz w:val="20"/>
                <w:szCs w:val="20"/>
              </w:rPr>
            </w:pPr>
            <w:r w:rsidRPr="003B4D22">
              <w:rPr>
                <w:rFonts w:ascii="Arial Narrow" w:hAnsi="Arial Narrow"/>
                <w:sz w:val="20"/>
                <w:szCs w:val="20"/>
              </w:rPr>
              <w:t xml:space="preserve">Sepsis </w:t>
            </w:r>
          </w:p>
        </w:tc>
        <w:tc>
          <w:tcPr>
            <w:tcW w:w="951" w:type="pct"/>
            <w:tcBorders>
              <w:top w:val="nil"/>
              <w:left w:val="single" w:sz="4" w:space="0" w:color="auto"/>
              <w:bottom w:val="nil"/>
            </w:tcBorders>
            <w:shd w:val="clear" w:color="auto" w:fill="auto"/>
            <w:noWrap/>
          </w:tcPr>
          <w:p w14:paraId="7F264E66"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0</w:t>
            </w:r>
          </w:p>
        </w:tc>
        <w:tc>
          <w:tcPr>
            <w:tcW w:w="867" w:type="pct"/>
            <w:tcBorders>
              <w:top w:val="nil"/>
              <w:bottom w:val="nil"/>
            </w:tcBorders>
            <w:shd w:val="clear" w:color="auto" w:fill="auto"/>
            <w:noWrap/>
          </w:tcPr>
          <w:p w14:paraId="7B9A9344"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24</w:t>
            </w:r>
          </w:p>
        </w:tc>
        <w:tc>
          <w:tcPr>
            <w:tcW w:w="778" w:type="pct"/>
            <w:tcBorders>
              <w:top w:val="nil"/>
              <w:bottom w:val="nil"/>
              <w:right w:val="single" w:sz="4" w:space="0" w:color="auto"/>
            </w:tcBorders>
          </w:tcPr>
          <w:p w14:paraId="74108D6A" w14:textId="77777777" w:rsidR="00A904EF" w:rsidRPr="003B4D22" w:rsidRDefault="00A904EF" w:rsidP="003735E3">
            <w:pPr>
              <w:spacing w:after="0" w:line="240" w:lineRule="auto"/>
              <w:jc w:val="right"/>
              <w:rPr>
                <w:rFonts w:ascii="Arial Narrow" w:hAnsi="Arial Narrow"/>
                <w:sz w:val="20"/>
                <w:szCs w:val="20"/>
              </w:rPr>
            </w:pPr>
          </w:p>
        </w:tc>
      </w:tr>
      <w:tr w:rsidR="00A904EF" w:rsidRPr="003B4D22" w14:paraId="5115AD43" w14:textId="77777777" w:rsidTr="007D3D74">
        <w:tc>
          <w:tcPr>
            <w:tcW w:w="755" w:type="pct"/>
            <w:tcBorders>
              <w:top w:val="nil"/>
              <w:left w:val="single" w:sz="4" w:space="0" w:color="auto"/>
              <w:bottom w:val="nil"/>
              <w:right w:val="single" w:sz="4" w:space="0" w:color="auto"/>
            </w:tcBorders>
          </w:tcPr>
          <w:p w14:paraId="469B1148" w14:textId="77777777" w:rsidR="00A904EF" w:rsidRPr="003B4D22" w:rsidRDefault="00A904EF" w:rsidP="003735E3">
            <w:pPr>
              <w:spacing w:after="0" w:line="240" w:lineRule="auto"/>
              <w:rPr>
                <w:rFonts w:ascii="Arial Narrow" w:hAnsi="Arial Narrow" w:cs="Calibri"/>
                <w:color w:val="000000"/>
                <w:sz w:val="20"/>
                <w:szCs w:val="20"/>
              </w:rPr>
            </w:pPr>
          </w:p>
        </w:tc>
        <w:tc>
          <w:tcPr>
            <w:tcW w:w="1649" w:type="pct"/>
            <w:tcBorders>
              <w:top w:val="nil"/>
              <w:left w:val="single" w:sz="4" w:space="0" w:color="auto"/>
              <w:bottom w:val="nil"/>
              <w:right w:val="single" w:sz="4" w:space="0" w:color="auto"/>
            </w:tcBorders>
          </w:tcPr>
          <w:p w14:paraId="45F2E081" w14:textId="77777777" w:rsidR="00A904EF" w:rsidRPr="003B4D22" w:rsidRDefault="00A904EF" w:rsidP="00331FB9">
            <w:pPr>
              <w:pStyle w:val="ListParagraph"/>
              <w:numPr>
                <w:ilvl w:val="0"/>
                <w:numId w:val="16"/>
              </w:numPr>
              <w:spacing w:after="0" w:line="240" w:lineRule="auto"/>
              <w:ind w:left="322" w:hanging="257"/>
              <w:rPr>
                <w:rFonts w:ascii="Arial Narrow" w:hAnsi="Arial Narrow"/>
                <w:sz w:val="20"/>
                <w:szCs w:val="20"/>
              </w:rPr>
            </w:pPr>
            <w:r w:rsidRPr="003B4D22">
              <w:rPr>
                <w:rFonts w:ascii="Arial Narrow" w:hAnsi="Arial Narrow"/>
                <w:sz w:val="20"/>
                <w:szCs w:val="20"/>
              </w:rPr>
              <w:t>Bacterial pneumonia</w:t>
            </w:r>
          </w:p>
        </w:tc>
        <w:tc>
          <w:tcPr>
            <w:tcW w:w="951" w:type="pct"/>
            <w:tcBorders>
              <w:top w:val="nil"/>
              <w:left w:val="single" w:sz="4" w:space="0" w:color="auto"/>
              <w:bottom w:val="nil"/>
            </w:tcBorders>
            <w:shd w:val="clear" w:color="auto" w:fill="auto"/>
            <w:noWrap/>
          </w:tcPr>
          <w:p w14:paraId="119B9D8B"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0</w:t>
            </w:r>
          </w:p>
        </w:tc>
        <w:tc>
          <w:tcPr>
            <w:tcW w:w="867" w:type="pct"/>
            <w:tcBorders>
              <w:top w:val="nil"/>
              <w:bottom w:val="nil"/>
            </w:tcBorders>
            <w:shd w:val="clear" w:color="auto" w:fill="auto"/>
            <w:noWrap/>
          </w:tcPr>
          <w:p w14:paraId="19F78775"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18</w:t>
            </w:r>
          </w:p>
        </w:tc>
        <w:tc>
          <w:tcPr>
            <w:tcW w:w="778" w:type="pct"/>
            <w:tcBorders>
              <w:top w:val="nil"/>
              <w:bottom w:val="nil"/>
              <w:right w:val="single" w:sz="4" w:space="0" w:color="auto"/>
            </w:tcBorders>
          </w:tcPr>
          <w:p w14:paraId="4814628E" w14:textId="77777777" w:rsidR="00A904EF" w:rsidRPr="003B4D22" w:rsidRDefault="00A904EF" w:rsidP="003735E3">
            <w:pPr>
              <w:spacing w:after="0" w:line="240" w:lineRule="auto"/>
              <w:jc w:val="right"/>
              <w:rPr>
                <w:rFonts w:ascii="Arial Narrow" w:hAnsi="Arial Narrow"/>
                <w:sz w:val="20"/>
                <w:szCs w:val="20"/>
              </w:rPr>
            </w:pPr>
          </w:p>
        </w:tc>
      </w:tr>
      <w:tr w:rsidR="00A904EF" w:rsidRPr="003B4D22" w14:paraId="1C8A08B3" w14:textId="77777777" w:rsidTr="007D3D74">
        <w:tc>
          <w:tcPr>
            <w:tcW w:w="755" w:type="pct"/>
            <w:tcBorders>
              <w:top w:val="nil"/>
              <w:left w:val="single" w:sz="4" w:space="0" w:color="auto"/>
              <w:bottom w:val="nil"/>
              <w:right w:val="single" w:sz="4" w:space="0" w:color="auto"/>
            </w:tcBorders>
          </w:tcPr>
          <w:p w14:paraId="47A4CEB6" w14:textId="77777777" w:rsidR="00A904EF" w:rsidRPr="003B4D22" w:rsidRDefault="00A904EF" w:rsidP="003735E3">
            <w:pPr>
              <w:spacing w:after="0" w:line="240" w:lineRule="auto"/>
              <w:rPr>
                <w:rFonts w:ascii="Arial Narrow" w:hAnsi="Arial Narrow" w:cs="Calibri"/>
                <w:color w:val="000000"/>
                <w:sz w:val="20"/>
                <w:szCs w:val="20"/>
              </w:rPr>
            </w:pPr>
          </w:p>
        </w:tc>
        <w:tc>
          <w:tcPr>
            <w:tcW w:w="1649" w:type="pct"/>
            <w:tcBorders>
              <w:top w:val="nil"/>
              <w:left w:val="single" w:sz="4" w:space="0" w:color="auto"/>
              <w:bottom w:val="nil"/>
              <w:right w:val="single" w:sz="4" w:space="0" w:color="auto"/>
            </w:tcBorders>
          </w:tcPr>
          <w:p w14:paraId="189B0120" w14:textId="77777777" w:rsidR="00A904EF" w:rsidRPr="003B4D22" w:rsidRDefault="00A904EF" w:rsidP="00331FB9">
            <w:pPr>
              <w:pStyle w:val="ListParagraph"/>
              <w:numPr>
                <w:ilvl w:val="0"/>
                <w:numId w:val="16"/>
              </w:numPr>
              <w:spacing w:after="0" w:line="240" w:lineRule="auto"/>
              <w:ind w:left="322" w:hanging="257"/>
              <w:rPr>
                <w:rFonts w:ascii="Arial Narrow" w:hAnsi="Arial Narrow"/>
                <w:sz w:val="20"/>
                <w:szCs w:val="20"/>
              </w:rPr>
            </w:pPr>
            <w:r w:rsidRPr="003B4D22">
              <w:rPr>
                <w:rFonts w:ascii="Arial Narrow" w:hAnsi="Arial Narrow"/>
                <w:sz w:val="20"/>
                <w:szCs w:val="20"/>
              </w:rPr>
              <w:t>Bronchitis with sepsis</w:t>
            </w:r>
          </w:p>
        </w:tc>
        <w:tc>
          <w:tcPr>
            <w:tcW w:w="951" w:type="pct"/>
            <w:tcBorders>
              <w:top w:val="nil"/>
              <w:left w:val="single" w:sz="4" w:space="0" w:color="auto"/>
              <w:bottom w:val="nil"/>
            </w:tcBorders>
            <w:shd w:val="clear" w:color="auto" w:fill="auto"/>
            <w:noWrap/>
          </w:tcPr>
          <w:p w14:paraId="0D86D669"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0</w:t>
            </w:r>
          </w:p>
        </w:tc>
        <w:tc>
          <w:tcPr>
            <w:tcW w:w="867" w:type="pct"/>
            <w:tcBorders>
              <w:top w:val="nil"/>
              <w:bottom w:val="nil"/>
            </w:tcBorders>
            <w:shd w:val="clear" w:color="auto" w:fill="auto"/>
            <w:noWrap/>
          </w:tcPr>
          <w:p w14:paraId="08DC2CF3"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43</w:t>
            </w:r>
          </w:p>
        </w:tc>
        <w:tc>
          <w:tcPr>
            <w:tcW w:w="778" w:type="pct"/>
            <w:tcBorders>
              <w:top w:val="nil"/>
              <w:bottom w:val="nil"/>
              <w:right w:val="single" w:sz="4" w:space="0" w:color="auto"/>
            </w:tcBorders>
          </w:tcPr>
          <w:p w14:paraId="01B51F9A" w14:textId="77777777" w:rsidR="00A904EF" w:rsidRPr="003B4D22" w:rsidRDefault="00A904EF" w:rsidP="003735E3">
            <w:pPr>
              <w:spacing w:after="0" w:line="240" w:lineRule="auto"/>
              <w:jc w:val="right"/>
              <w:rPr>
                <w:rFonts w:ascii="Arial Narrow" w:hAnsi="Arial Narrow"/>
                <w:sz w:val="20"/>
                <w:szCs w:val="20"/>
              </w:rPr>
            </w:pPr>
          </w:p>
        </w:tc>
      </w:tr>
      <w:tr w:rsidR="00A904EF" w:rsidRPr="003B4D22" w14:paraId="7F331FB9" w14:textId="77777777" w:rsidTr="007D3D74">
        <w:tc>
          <w:tcPr>
            <w:tcW w:w="755" w:type="pct"/>
            <w:tcBorders>
              <w:top w:val="nil"/>
              <w:left w:val="single" w:sz="4" w:space="0" w:color="auto"/>
              <w:bottom w:val="nil"/>
              <w:right w:val="single" w:sz="4" w:space="0" w:color="auto"/>
            </w:tcBorders>
          </w:tcPr>
          <w:p w14:paraId="767C85E1" w14:textId="77777777" w:rsidR="00A904EF" w:rsidRPr="003B4D22" w:rsidRDefault="00A904EF" w:rsidP="003735E3">
            <w:pPr>
              <w:spacing w:after="0" w:line="240" w:lineRule="auto"/>
              <w:rPr>
                <w:rFonts w:ascii="Arial Narrow" w:hAnsi="Arial Narrow" w:cs="Calibri"/>
                <w:color w:val="000000"/>
                <w:sz w:val="20"/>
                <w:szCs w:val="20"/>
              </w:rPr>
            </w:pPr>
          </w:p>
        </w:tc>
        <w:tc>
          <w:tcPr>
            <w:tcW w:w="1649" w:type="pct"/>
            <w:tcBorders>
              <w:top w:val="nil"/>
              <w:left w:val="single" w:sz="4" w:space="0" w:color="auto"/>
              <w:bottom w:val="nil"/>
              <w:right w:val="single" w:sz="4" w:space="0" w:color="auto"/>
            </w:tcBorders>
          </w:tcPr>
          <w:p w14:paraId="22290B31" w14:textId="77777777" w:rsidR="00A904EF" w:rsidRPr="003B4D22" w:rsidRDefault="00A904EF" w:rsidP="00331FB9">
            <w:pPr>
              <w:pStyle w:val="ListParagraph"/>
              <w:numPr>
                <w:ilvl w:val="0"/>
                <w:numId w:val="16"/>
              </w:numPr>
              <w:spacing w:after="0" w:line="240" w:lineRule="auto"/>
              <w:ind w:left="322" w:hanging="257"/>
              <w:rPr>
                <w:rFonts w:ascii="Arial Narrow" w:hAnsi="Arial Narrow"/>
                <w:sz w:val="20"/>
                <w:szCs w:val="20"/>
              </w:rPr>
            </w:pPr>
            <w:r w:rsidRPr="003B4D22">
              <w:rPr>
                <w:rFonts w:ascii="Arial Narrow" w:hAnsi="Arial Narrow"/>
                <w:sz w:val="20"/>
                <w:szCs w:val="20"/>
              </w:rPr>
              <w:t>Pharyngo-tracheitis with sepsis</w:t>
            </w:r>
          </w:p>
        </w:tc>
        <w:tc>
          <w:tcPr>
            <w:tcW w:w="951" w:type="pct"/>
            <w:tcBorders>
              <w:top w:val="nil"/>
              <w:left w:val="single" w:sz="4" w:space="0" w:color="auto"/>
              <w:bottom w:val="nil"/>
            </w:tcBorders>
            <w:shd w:val="clear" w:color="auto" w:fill="auto"/>
            <w:noWrap/>
          </w:tcPr>
          <w:p w14:paraId="1B9F136C"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2</w:t>
            </w:r>
          </w:p>
        </w:tc>
        <w:tc>
          <w:tcPr>
            <w:tcW w:w="867" w:type="pct"/>
            <w:tcBorders>
              <w:top w:val="nil"/>
              <w:bottom w:val="nil"/>
            </w:tcBorders>
            <w:shd w:val="clear" w:color="auto" w:fill="auto"/>
            <w:noWrap/>
          </w:tcPr>
          <w:p w14:paraId="40B8C7B0"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24</w:t>
            </w:r>
          </w:p>
        </w:tc>
        <w:tc>
          <w:tcPr>
            <w:tcW w:w="778" w:type="pct"/>
            <w:tcBorders>
              <w:top w:val="nil"/>
              <w:bottom w:val="nil"/>
              <w:right w:val="single" w:sz="4" w:space="0" w:color="auto"/>
            </w:tcBorders>
          </w:tcPr>
          <w:p w14:paraId="0BD18049" w14:textId="77777777" w:rsidR="00A904EF" w:rsidRPr="003B4D22" w:rsidRDefault="00A904EF" w:rsidP="003735E3">
            <w:pPr>
              <w:spacing w:after="0" w:line="240" w:lineRule="auto"/>
              <w:jc w:val="right"/>
              <w:rPr>
                <w:rFonts w:ascii="Arial Narrow" w:hAnsi="Arial Narrow"/>
                <w:sz w:val="20"/>
                <w:szCs w:val="20"/>
              </w:rPr>
            </w:pPr>
          </w:p>
        </w:tc>
      </w:tr>
      <w:tr w:rsidR="00A904EF" w:rsidRPr="003B4D22" w14:paraId="2B8DCAB7" w14:textId="77777777" w:rsidTr="007D3D74">
        <w:tc>
          <w:tcPr>
            <w:tcW w:w="755" w:type="pct"/>
            <w:tcBorders>
              <w:top w:val="nil"/>
              <w:left w:val="single" w:sz="4" w:space="0" w:color="auto"/>
              <w:bottom w:val="nil"/>
              <w:right w:val="single" w:sz="4" w:space="0" w:color="auto"/>
            </w:tcBorders>
          </w:tcPr>
          <w:p w14:paraId="6754E6AE" w14:textId="77777777" w:rsidR="00A904EF" w:rsidRPr="003B4D22" w:rsidRDefault="00A904EF" w:rsidP="003735E3">
            <w:pPr>
              <w:spacing w:after="0" w:line="240" w:lineRule="auto"/>
              <w:rPr>
                <w:rFonts w:ascii="Arial Narrow" w:hAnsi="Arial Narrow" w:cs="Calibri"/>
                <w:color w:val="000000"/>
                <w:sz w:val="20"/>
                <w:szCs w:val="20"/>
              </w:rPr>
            </w:pPr>
          </w:p>
        </w:tc>
        <w:tc>
          <w:tcPr>
            <w:tcW w:w="1649" w:type="pct"/>
            <w:tcBorders>
              <w:top w:val="nil"/>
              <w:left w:val="single" w:sz="4" w:space="0" w:color="auto"/>
              <w:bottom w:val="nil"/>
              <w:right w:val="single" w:sz="4" w:space="0" w:color="auto"/>
            </w:tcBorders>
          </w:tcPr>
          <w:p w14:paraId="3F227F65" w14:textId="77777777" w:rsidR="00A904EF" w:rsidRPr="003B4D22" w:rsidRDefault="00A904EF" w:rsidP="00331FB9">
            <w:pPr>
              <w:pStyle w:val="ListParagraph"/>
              <w:numPr>
                <w:ilvl w:val="0"/>
                <w:numId w:val="16"/>
              </w:numPr>
              <w:spacing w:after="0" w:line="240" w:lineRule="auto"/>
              <w:ind w:left="322" w:hanging="257"/>
              <w:rPr>
                <w:rFonts w:ascii="Arial Narrow" w:hAnsi="Arial Narrow"/>
                <w:sz w:val="20"/>
                <w:szCs w:val="20"/>
              </w:rPr>
            </w:pPr>
            <w:r w:rsidRPr="003B4D22">
              <w:rPr>
                <w:rFonts w:ascii="Arial Narrow" w:hAnsi="Arial Narrow"/>
                <w:sz w:val="20"/>
                <w:szCs w:val="20"/>
              </w:rPr>
              <w:t>Acute sinusitis</w:t>
            </w:r>
          </w:p>
        </w:tc>
        <w:tc>
          <w:tcPr>
            <w:tcW w:w="951" w:type="pct"/>
            <w:tcBorders>
              <w:top w:val="nil"/>
              <w:left w:val="single" w:sz="4" w:space="0" w:color="auto"/>
              <w:bottom w:val="nil"/>
            </w:tcBorders>
            <w:shd w:val="clear" w:color="auto" w:fill="auto"/>
            <w:noWrap/>
          </w:tcPr>
          <w:p w14:paraId="297E2BE5"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0</w:t>
            </w:r>
          </w:p>
        </w:tc>
        <w:tc>
          <w:tcPr>
            <w:tcW w:w="867" w:type="pct"/>
            <w:tcBorders>
              <w:top w:val="nil"/>
              <w:bottom w:val="nil"/>
            </w:tcBorders>
            <w:shd w:val="clear" w:color="auto" w:fill="auto"/>
            <w:noWrap/>
          </w:tcPr>
          <w:p w14:paraId="6866C0BD"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5</w:t>
            </w:r>
          </w:p>
        </w:tc>
        <w:tc>
          <w:tcPr>
            <w:tcW w:w="778" w:type="pct"/>
            <w:tcBorders>
              <w:top w:val="nil"/>
              <w:bottom w:val="nil"/>
              <w:right w:val="single" w:sz="4" w:space="0" w:color="auto"/>
            </w:tcBorders>
          </w:tcPr>
          <w:p w14:paraId="48FCF69D" w14:textId="77777777" w:rsidR="00A904EF" w:rsidRPr="003B4D22" w:rsidRDefault="00A904EF" w:rsidP="003735E3">
            <w:pPr>
              <w:spacing w:after="0" w:line="240" w:lineRule="auto"/>
              <w:jc w:val="right"/>
              <w:rPr>
                <w:rFonts w:ascii="Arial Narrow" w:hAnsi="Arial Narrow"/>
                <w:sz w:val="20"/>
                <w:szCs w:val="20"/>
              </w:rPr>
            </w:pPr>
          </w:p>
        </w:tc>
      </w:tr>
      <w:tr w:rsidR="00A904EF" w:rsidRPr="003B4D22" w14:paraId="3C3B94BA" w14:textId="77777777" w:rsidTr="007D3D74">
        <w:tc>
          <w:tcPr>
            <w:tcW w:w="755" w:type="pct"/>
            <w:tcBorders>
              <w:top w:val="nil"/>
              <w:left w:val="single" w:sz="4" w:space="0" w:color="auto"/>
              <w:bottom w:val="nil"/>
              <w:right w:val="single" w:sz="4" w:space="0" w:color="auto"/>
            </w:tcBorders>
          </w:tcPr>
          <w:p w14:paraId="79A6949C" w14:textId="77777777" w:rsidR="00A904EF" w:rsidRPr="003B4D22" w:rsidRDefault="00A904EF" w:rsidP="003735E3">
            <w:pPr>
              <w:spacing w:after="0" w:line="240" w:lineRule="auto"/>
              <w:rPr>
                <w:rFonts w:ascii="Arial Narrow" w:hAnsi="Arial Narrow" w:cs="Calibri"/>
                <w:color w:val="000000"/>
                <w:sz w:val="20"/>
                <w:szCs w:val="20"/>
              </w:rPr>
            </w:pPr>
          </w:p>
        </w:tc>
        <w:tc>
          <w:tcPr>
            <w:tcW w:w="1649" w:type="pct"/>
            <w:tcBorders>
              <w:top w:val="nil"/>
              <w:left w:val="single" w:sz="4" w:space="0" w:color="auto"/>
              <w:bottom w:val="nil"/>
              <w:right w:val="single" w:sz="4" w:space="0" w:color="auto"/>
            </w:tcBorders>
          </w:tcPr>
          <w:p w14:paraId="06A0257A" w14:textId="77777777" w:rsidR="00A904EF" w:rsidRPr="003B4D22" w:rsidRDefault="00A904EF" w:rsidP="00331FB9">
            <w:pPr>
              <w:pStyle w:val="ListParagraph"/>
              <w:numPr>
                <w:ilvl w:val="0"/>
                <w:numId w:val="16"/>
              </w:numPr>
              <w:spacing w:after="0" w:line="240" w:lineRule="auto"/>
              <w:ind w:left="322" w:hanging="257"/>
              <w:rPr>
                <w:rFonts w:ascii="Arial Narrow" w:hAnsi="Arial Narrow"/>
                <w:sz w:val="20"/>
                <w:szCs w:val="20"/>
              </w:rPr>
            </w:pPr>
            <w:r w:rsidRPr="003B4D22">
              <w:rPr>
                <w:rFonts w:ascii="Arial Narrow" w:hAnsi="Arial Narrow"/>
                <w:sz w:val="20"/>
                <w:szCs w:val="20"/>
              </w:rPr>
              <w:t>Erysipelas (skin infection)</w:t>
            </w:r>
          </w:p>
        </w:tc>
        <w:tc>
          <w:tcPr>
            <w:tcW w:w="951" w:type="pct"/>
            <w:tcBorders>
              <w:top w:val="nil"/>
              <w:left w:val="single" w:sz="4" w:space="0" w:color="auto"/>
              <w:bottom w:val="nil"/>
            </w:tcBorders>
            <w:shd w:val="clear" w:color="auto" w:fill="auto"/>
            <w:noWrap/>
          </w:tcPr>
          <w:p w14:paraId="48CA7616"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0</w:t>
            </w:r>
          </w:p>
        </w:tc>
        <w:tc>
          <w:tcPr>
            <w:tcW w:w="867" w:type="pct"/>
            <w:tcBorders>
              <w:top w:val="nil"/>
              <w:bottom w:val="nil"/>
            </w:tcBorders>
            <w:shd w:val="clear" w:color="auto" w:fill="auto"/>
            <w:noWrap/>
          </w:tcPr>
          <w:p w14:paraId="1A210FBF"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12</w:t>
            </w:r>
          </w:p>
        </w:tc>
        <w:tc>
          <w:tcPr>
            <w:tcW w:w="778" w:type="pct"/>
            <w:tcBorders>
              <w:top w:val="nil"/>
              <w:bottom w:val="nil"/>
              <w:right w:val="single" w:sz="4" w:space="0" w:color="auto"/>
            </w:tcBorders>
          </w:tcPr>
          <w:p w14:paraId="0165DF7E" w14:textId="77777777" w:rsidR="00A904EF" w:rsidRPr="003B4D22" w:rsidRDefault="00A904EF" w:rsidP="003735E3">
            <w:pPr>
              <w:spacing w:after="0" w:line="240" w:lineRule="auto"/>
              <w:jc w:val="right"/>
              <w:rPr>
                <w:rFonts w:ascii="Arial Narrow" w:hAnsi="Arial Narrow"/>
                <w:sz w:val="20"/>
                <w:szCs w:val="20"/>
              </w:rPr>
            </w:pPr>
          </w:p>
        </w:tc>
      </w:tr>
      <w:tr w:rsidR="00A904EF" w:rsidRPr="003B4D22" w14:paraId="6FED368F" w14:textId="77777777" w:rsidTr="007D3D74">
        <w:tc>
          <w:tcPr>
            <w:tcW w:w="755" w:type="pct"/>
            <w:tcBorders>
              <w:top w:val="nil"/>
              <w:left w:val="single" w:sz="4" w:space="0" w:color="auto"/>
              <w:bottom w:val="nil"/>
              <w:right w:val="single" w:sz="4" w:space="0" w:color="auto"/>
            </w:tcBorders>
          </w:tcPr>
          <w:p w14:paraId="54C58700" w14:textId="77777777" w:rsidR="00A904EF" w:rsidRPr="003B4D22" w:rsidRDefault="00A904EF" w:rsidP="003735E3">
            <w:pPr>
              <w:spacing w:after="0" w:line="240" w:lineRule="auto"/>
              <w:rPr>
                <w:rFonts w:ascii="Arial Narrow" w:hAnsi="Arial Narrow" w:cs="Calibri"/>
                <w:color w:val="000000"/>
                <w:sz w:val="20"/>
                <w:szCs w:val="20"/>
              </w:rPr>
            </w:pPr>
          </w:p>
        </w:tc>
        <w:tc>
          <w:tcPr>
            <w:tcW w:w="1649" w:type="pct"/>
            <w:tcBorders>
              <w:top w:val="nil"/>
              <w:left w:val="single" w:sz="4" w:space="0" w:color="auto"/>
              <w:bottom w:val="nil"/>
              <w:right w:val="single" w:sz="4" w:space="0" w:color="auto"/>
            </w:tcBorders>
          </w:tcPr>
          <w:p w14:paraId="38D8F1BA" w14:textId="77777777" w:rsidR="00A904EF" w:rsidRPr="003B4D22" w:rsidRDefault="00A904EF" w:rsidP="00331FB9">
            <w:pPr>
              <w:pStyle w:val="ListParagraph"/>
              <w:numPr>
                <w:ilvl w:val="0"/>
                <w:numId w:val="16"/>
              </w:numPr>
              <w:spacing w:after="0" w:line="240" w:lineRule="auto"/>
              <w:ind w:left="322" w:hanging="257"/>
              <w:rPr>
                <w:rFonts w:ascii="Arial Narrow" w:hAnsi="Arial Narrow"/>
                <w:sz w:val="20"/>
                <w:szCs w:val="20"/>
              </w:rPr>
            </w:pPr>
            <w:r w:rsidRPr="003B4D22">
              <w:rPr>
                <w:rFonts w:ascii="Arial Narrow" w:hAnsi="Arial Narrow"/>
                <w:sz w:val="20"/>
                <w:szCs w:val="20"/>
              </w:rPr>
              <w:t>Urinary infection with sepsis</w:t>
            </w:r>
          </w:p>
        </w:tc>
        <w:tc>
          <w:tcPr>
            <w:tcW w:w="951" w:type="pct"/>
            <w:tcBorders>
              <w:top w:val="nil"/>
              <w:left w:val="single" w:sz="4" w:space="0" w:color="auto"/>
              <w:bottom w:val="nil"/>
            </w:tcBorders>
            <w:shd w:val="clear" w:color="auto" w:fill="auto"/>
            <w:noWrap/>
          </w:tcPr>
          <w:p w14:paraId="75BE4788"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1</w:t>
            </w:r>
          </w:p>
        </w:tc>
        <w:tc>
          <w:tcPr>
            <w:tcW w:w="867" w:type="pct"/>
            <w:tcBorders>
              <w:top w:val="nil"/>
              <w:bottom w:val="nil"/>
            </w:tcBorders>
            <w:shd w:val="clear" w:color="auto" w:fill="auto"/>
            <w:noWrap/>
          </w:tcPr>
          <w:p w14:paraId="1FCB19E1"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32</w:t>
            </w:r>
          </w:p>
        </w:tc>
        <w:tc>
          <w:tcPr>
            <w:tcW w:w="778" w:type="pct"/>
            <w:tcBorders>
              <w:top w:val="nil"/>
              <w:bottom w:val="nil"/>
              <w:right w:val="single" w:sz="4" w:space="0" w:color="auto"/>
            </w:tcBorders>
          </w:tcPr>
          <w:p w14:paraId="4DAC8EC0" w14:textId="77777777" w:rsidR="00A904EF" w:rsidRPr="003B4D22" w:rsidRDefault="00A904EF" w:rsidP="003735E3">
            <w:pPr>
              <w:spacing w:after="0" w:line="240" w:lineRule="auto"/>
              <w:jc w:val="right"/>
              <w:rPr>
                <w:rFonts w:ascii="Arial Narrow" w:hAnsi="Arial Narrow"/>
                <w:sz w:val="20"/>
                <w:szCs w:val="20"/>
              </w:rPr>
            </w:pPr>
          </w:p>
        </w:tc>
      </w:tr>
      <w:tr w:rsidR="00A904EF" w:rsidRPr="003B4D22" w14:paraId="4AF5DD92" w14:textId="77777777" w:rsidTr="007D3D74">
        <w:tc>
          <w:tcPr>
            <w:tcW w:w="755" w:type="pct"/>
            <w:tcBorders>
              <w:top w:val="nil"/>
              <w:left w:val="single" w:sz="4" w:space="0" w:color="auto"/>
              <w:bottom w:val="nil"/>
              <w:right w:val="single" w:sz="4" w:space="0" w:color="auto"/>
            </w:tcBorders>
          </w:tcPr>
          <w:p w14:paraId="7A5311D8" w14:textId="77777777" w:rsidR="00A904EF" w:rsidRPr="003B4D22" w:rsidRDefault="00A904EF" w:rsidP="003735E3">
            <w:pPr>
              <w:spacing w:after="0" w:line="240" w:lineRule="auto"/>
              <w:rPr>
                <w:rFonts w:ascii="Arial Narrow" w:hAnsi="Arial Narrow" w:cs="Calibri"/>
                <w:color w:val="000000"/>
                <w:sz w:val="20"/>
                <w:szCs w:val="20"/>
              </w:rPr>
            </w:pPr>
          </w:p>
        </w:tc>
        <w:tc>
          <w:tcPr>
            <w:tcW w:w="1649" w:type="pct"/>
            <w:tcBorders>
              <w:top w:val="nil"/>
              <w:left w:val="single" w:sz="4" w:space="0" w:color="auto"/>
              <w:bottom w:val="nil"/>
              <w:right w:val="single" w:sz="4" w:space="0" w:color="auto"/>
            </w:tcBorders>
          </w:tcPr>
          <w:p w14:paraId="5FE07C16" w14:textId="77777777" w:rsidR="00A904EF" w:rsidRPr="003B4D22" w:rsidRDefault="00A904EF" w:rsidP="00331FB9">
            <w:pPr>
              <w:pStyle w:val="ListParagraph"/>
              <w:numPr>
                <w:ilvl w:val="0"/>
                <w:numId w:val="16"/>
              </w:numPr>
              <w:spacing w:after="0" w:line="240" w:lineRule="auto"/>
              <w:ind w:left="322" w:hanging="257"/>
              <w:rPr>
                <w:rFonts w:ascii="Arial Narrow" w:hAnsi="Arial Narrow"/>
                <w:sz w:val="20"/>
                <w:szCs w:val="20"/>
              </w:rPr>
            </w:pPr>
            <w:r w:rsidRPr="003B4D22">
              <w:rPr>
                <w:rFonts w:ascii="Arial Narrow" w:hAnsi="Arial Narrow"/>
                <w:sz w:val="20"/>
                <w:szCs w:val="20"/>
              </w:rPr>
              <w:t>Fever of unknown origin</w:t>
            </w:r>
          </w:p>
        </w:tc>
        <w:tc>
          <w:tcPr>
            <w:tcW w:w="951" w:type="pct"/>
            <w:tcBorders>
              <w:top w:val="nil"/>
              <w:left w:val="single" w:sz="4" w:space="0" w:color="auto"/>
              <w:bottom w:val="nil"/>
            </w:tcBorders>
            <w:shd w:val="clear" w:color="auto" w:fill="auto"/>
            <w:noWrap/>
          </w:tcPr>
          <w:p w14:paraId="42053222"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13</w:t>
            </w:r>
          </w:p>
        </w:tc>
        <w:tc>
          <w:tcPr>
            <w:tcW w:w="867" w:type="pct"/>
            <w:tcBorders>
              <w:top w:val="nil"/>
              <w:bottom w:val="nil"/>
            </w:tcBorders>
            <w:shd w:val="clear" w:color="auto" w:fill="auto"/>
            <w:noWrap/>
          </w:tcPr>
          <w:p w14:paraId="5C610988"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32</w:t>
            </w:r>
          </w:p>
        </w:tc>
        <w:tc>
          <w:tcPr>
            <w:tcW w:w="778" w:type="pct"/>
            <w:tcBorders>
              <w:top w:val="nil"/>
              <w:bottom w:val="nil"/>
              <w:right w:val="single" w:sz="4" w:space="0" w:color="auto"/>
            </w:tcBorders>
          </w:tcPr>
          <w:p w14:paraId="11B795AE" w14:textId="77777777" w:rsidR="00A904EF" w:rsidRPr="003B4D22" w:rsidRDefault="00A904EF" w:rsidP="003735E3">
            <w:pPr>
              <w:spacing w:after="0" w:line="240" w:lineRule="auto"/>
              <w:jc w:val="right"/>
              <w:rPr>
                <w:rFonts w:ascii="Arial Narrow" w:hAnsi="Arial Narrow"/>
                <w:sz w:val="20"/>
                <w:szCs w:val="20"/>
              </w:rPr>
            </w:pPr>
          </w:p>
        </w:tc>
      </w:tr>
      <w:tr w:rsidR="00A904EF" w:rsidRPr="003B4D22" w14:paraId="00945396" w14:textId="77777777" w:rsidTr="007D3D74">
        <w:tc>
          <w:tcPr>
            <w:tcW w:w="755" w:type="pct"/>
            <w:tcBorders>
              <w:top w:val="nil"/>
              <w:left w:val="single" w:sz="4" w:space="0" w:color="auto"/>
              <w:bottom w:val="nil"/>
              <w:right w:val="single" w:sz="4" w:space="0" w:color="auto"/>
            </w:tcBorders>
          </w:tcPr>
          <w:p w14:paraId="55420E11" w14:textId="77777777" w:rsidR="00A904EF" w:rsidRPr="003B4D22" w:rsidRDefault="00A904EF" w:rsidP="003735E3">
            <w:pPr>
              <w:spacing w:after="0" w:line="240" w:lineRule="auto"/>
              <w:rPr>
                <w:rFonts w:ascii="Arial Narrow" w:hAnsi="Arial Narrow" w:cs="Calibri"/>
                <w:color w:val="000000"/>
                <w:sz w:val="20"/>
                <w:szCs w:val="20"/>
              </w:rPr>
            </w:pPr>
          </w:p>
        </w:tc>
        <w:tc>
          <w:tcPr>
            <w:tcW w:w="1649" w:type="pct"/>
            <w:tcBorders>
              <w:top w:val="nil"/>
              <w:left w:val="single" w:sz="4" w:space="0" w:color="auto"/>
              <w:bottom w:val="single" w:sz="4" w:space="0" w:color="auto"/>
              <w:right w:val="single" w:sz="4" w:space="0" w:color="auto"/>
            </w:tcBorders>
          </w:tcPr>
          <w:p w14:paraId="62228ED2" w14:textId="77777777" w:rsidR="00A904EF" w:rsidRPr="00BB1779" w:rsidRDefault="00A904EF" w:rsidP="003735E3">
            <w:pPr>
              <w:spacing w:after="0" w:line="240" w:lineRule="auto"/>
              <w:rPr>
                <w:rFonts w:ascii="Arial Narrow" w:hAnsi="Arial Narrow"/>
                <w:b/>
                <w:i/>
                <w:sz w:val="20"/>
                <w:szCs w:val="20"/>
              </w:rPr>
            </w:pPr>
            <w:r w:rsidRPr="00BB1779">
              <w:rPr>
                <w:rFonts w:ascii="Arial Narrow" w:hAnsi="Arial Narrow"/>
                <w:b/>
                <w:i/>
                <w:sz w:val="20"/>
                <w:szCs w:val="20"/>
              </w:rPr>
              <w:t>Major infections in 365d</w:t>
            </w:r>
          </w:p>
        </w:tc>
        <w:tc>
          <w:tcPr>
            <w:tcW w:w="951" w:type="pct"/>
            <w:tcBorders>
              <w:top w:val="nil"/>
              <w:left w:val="single" w:sz="4" w:space="0" w:color="auto"/>
              <w:bottom w:val="single" w:sz="4" w:space="0" w:color="auto"/>
            </w:tcBorders>
            <w:shd w:val="clear" w:color="auto" w:fill="auto"/>
            <w:noWrap/>
          </w:tcPr>
          <w:p w14:paraId="62CDF6AA" w14:textId="77777777" w:rsidR="00A904EF" w:rsidRPr="00BB1779" w:rsidRDefault="00A904EF" w:rsidP="003735E3">
            <w:pPr>
              <w:spacing w:after="0" w:line="240" w:lineRule="auto"/>
              <w:jc w:val="right"/>
              <w:rPr>
                <w:rFonts w:ascii="Arial Narrow" w:hAnsi="Arial Narrow"/>
                <w:b/>
                <w:i/>
                <w:sz w:val="20"/>
                <w:szCs w:val="20"/>
              </w:rPr>
            </w:pPr>
            <w:r w:rsidRPr="00BB1779">
              <w:rPr>
                <w:rFonts w:ascii="Arial Narrow" w:hAnsi="Arial Narrow"/>
                <w:b/>
                <w:i/>
                <w:sz w:val="20"/>
              </w:rPr>
              <w:t>16</w:t>
            </w:r>
          </w:p>
        </w:tc>
        <w:tc>
          <w:tcPr>
            <w:tcW w:w="867" w:type="pct"/>
            <w:tcBorders>
              <w:top w:val="nil"/>
              <w:bottom w:val="single" w:sz="4" w:space="0" w:color="auto"/>
            </w:tcBorders>
            <w:shd w:val="clear" w:color="auto" w:fill="auto"/>
            <w:noWrap/>
          </w:tcPr>
          <w:p w14:paraId="127CB293" w14:textId="77777777" w:rsidR="00A904EF" w:rsidRPr="00BB1779" w:rsidRDefault="00A904EF" w:rsidP="003735E3">
            <w:pPr>
              <w:spacing w:after="0" w:line="240" w:lineRule="auto"/>
              <w:jc w:val="right"/>
              <w:rPr>
                <w:rFonts w:ascii="Arial Narrow" w:hAnsi="Arial Narrow"/>
                <w:b/>
                <w:i/>
                <w:sz w:val="20"/>
                <w:szCs w:val="20"/>
              </w:rPr>
            </w:pPr>
            <w:r w:rsidRPr="00BB1779">
              <w:rPr>
                <w:rFonts w:ascii="Arial Narrow" w:hAnsi="Arial Narrow"/>
                <w:b/>
                <w:i/>
                <w:sz w:val="20"/>
              </w:rPr>
              <w:t>190</w:t>
            </w:r>
          </w:p>
        </w:tc>
        <w:tc>
          <w:tcPr>
            <w:tcW w:w="778" w:type="pct"/>
            <w:tcBorders>
              <w:top w:val="nil"/>
              <w:bottom w:val="single" w:sz="4" w:space="0" w:color="auto"/>
              <w:right w:val="single" w:sz="4" w:space="0" w:color="auto"/>
            </w:tcBorders>
          </w:tcPr>
          <w:p w14:paraId="54DB6A92" w14:textId="77777777" w:rsidR="00A904EF" w:rsidRPr="003B4D22" w:rsidRDefault="00A904EF" w:rsidP="003735E3">
            <w:pPr>
              <w:spacing w:after="0" w:line="240" w:lineRule="auto"/>
              <w:jc w:val="right"/>
              <w:rPr>
                <w:rFonts w:ascii="Arial Narrow" w:hAnsi="Arial Narrow"/>
                <w:sz w:val="20"/>
                <w:szCs w:val="20"/>
              </w:rPr>
            </w:pPr>
          </w:p>
        </w:tc>
      </w:tr>
      <w:tr w:rsidR="00A904EF" w:rsidRPr="003B4D22" w14:paraId="3ED4280B" w14:textId="77777777" w:rsidTr="007D3D74">
        <w:tc>
          <w:tcPr>
            <w:tcW w:w="755" w:type="pct"/>
            <w:tcBorders>
              <w:top w:val="nil"/>
              <w:left w:val="single" w:sz="4" w:space="0" w:color="auto"/>
              <w:bottom w:val="nil"/>
              <w:right w:val="single" w:sz="4" w:space="0" w:color="auto"/>
            </w:tcBorders>
          </w:tcPr>
          <w:p w14:paraId="55574E39" w14:textId="77777777" w:rsidR="00A904EF" w:rsidRPr="003B4D22" w:rsidRDefault="00A904EF" w:rsidP="003735E3">
            <w:pPr>
              <w:spacing w:after="0" w:line="240" w:lineRule="auto"/>
              <w:rPr>
                <w:rFonts w:ascii="Arial Narrow" w:hAnsi="Arial Narrow" w:cs="Calibri"/>
                <w:color w:val="000000"/>
                <w:sz w:val="20"/>
                <w:szCs w:val="20"/>
              </w:rPr>
            </w:pPr>
          </w:p>
        </w:tc>
        <w:tc>
          <w:tcPr>
            <w:tcW w:w="1649" w:type="pct"/>
            <w:tcBorders>
              <w:top w:val="single" w:sz="4" w:space="0" w:color="auto"/>
              <w:left w:val="single" w:sz="4" w:space="0" w:color="auto"/>
              <w:bottom w:val="nil"/>
              <w:right w:val="single" w:sz="4" w:space="0" w:color="auto"/>
            </w:tcBorders>
          </w:tcPr>
          <w:p w14:paraId="1160CB69" w14:textId="77777777" w:rsidR="00A904EF" w:rsidRPr="003B4D22" w:rsidRDefault="00A904EF" w:rsidP="003735E3">
            <w:pPr>
              <w:spacing w:after="0" w:line="240" w:lineRule="auto"/>
              <w:rPr>
                <w:rFonts w:ascii="Arial Narrow" w:hAnsi="Arial Narrow"/>
                <w:b/>
                <w:sz w:val="20"/>
                <w:szCs w:val="20"/>
              </w:rPr>
            </w:pPr>
            <w:r w:rsidRPr="003B4D22">
              <w:rPr>
                <w:rFonts w:ascii="Arial Narrow" w:hAnsi="Arial Narrow"/>
                <w:b/>
                <w:sz w:val="20"/>
                <w:szCs w:val="20"/>
              </w:rPr>
              <w:t>Minor infections</w:t>
            </w:r>
          </w:p>
        </w:tc>
        <w:tc>
          <w:tcPr>
            <w:tcW w:w="951" w:type="pct"/>
            <w:tcBorders>
              <w:top w:val="single" w:sz="4" w:space="0" w:color="auto"/>
              <w:left w:val="single" w:sz="4" w:space="0" w:color="auto"/>
              <w:bottom w:val="nil"/>
            </w:tcBorders>
            <w:shd w:val="clear" w:color="auto" w:fill="auto"/>
            <w:noWrap/>
          </w:tcPr>
          <w:p w14:paraId="49682CE6" w14:textId="77777777" w:rsidR="00A904EF" w:rsidRPr="003B4D22" w:rsidRDefault="00A904EF" w:rsidP="003735E3">
            <w:pPr>
              <w:spacing w:after="0" w:line="240" w:lineRule="auto"/>
              <w:jc w:val="right"/>
              <w:rPr>
                <w:rFonts w:ascii="Arial Narrow" w:hAnsi="Arial Narrow"/>
                <w:sz w:val="20"/>
                <w:szCs w:val="20"/>
              </w:rPr>
            </w:pPr>
          </w:p>
        </w:tc>
        <w:tc>
          <w:tcPr>
            <w:tcW w:w="867" w:type="pct"/>
            <w:tcBorders>
              <w:top w:val="single" w:sz="4" w:space="0" w:color="auto"/>
              <w:bottom w:val="nil"/>
            </w:tcBorders>
            <w:shd w:val="clear" w:color="auto" w:fill="auto"/>
            <w:noWrap/>
          </w:tcPr>
          <w:p w14:paraId="3C8F3E69" w14:textId="77777777" w:rsidR="00A904EF" w:rsidRPr="003B4D22" w:rsidRDefault="00A904EF" w:rsidP="003735E3">
            <w:pPr>
              <w:spacing w:after="0" w:line="240" w:lineRule="auto"/>
              <w:jc w:val="right"/>
              <w:rPr>
                <w:rFonts w:ascii="Arial Narrow" w:hAnsi="Arial Narrow"/>
                <w:sz w:val="20"/>
                <w:szCs w:val="20"/>
              </w:rPr>
            </w:pPr>
          </w:p>
        </w:tc>
        <w:tc>
          <w:tcPr>
            <w:tcW w:w="778" w:type="pct"/>
            <w:tcBorders>
              <w:top w:val="single" w:sz="4" w:space="0" w:color="auto"/>
              <w:bottom w:val="nil"/>
              <w:right w:val="single" w:sz="4" w:space="0" w:color="auto"/>
            </w:tcBorders>
          </w:tcPr>
          <w:p w14:paraId="5E5A073A" w14:textId="77777777" w:rsidR="00A904EF" w:rsidRPr="003B4D22" w:rsidRDefault="00A904EF" w:rsidP="003735E3">
            <w:pPr>
              <w:spacing w:after="0" w:line="240" w:lineRule="auto"/>
              <w:jc w:val="right"/>
              <w:rPr>
                <w:rFonts w:ascii="Arial Narrow" w:hAnsi="Arial Narrow"/>
                <w:sz w:val="20"/>
                <w:szCs w:val="20"/>
              </w:rPr>
            </w:pPr>
          </w:p>
        </w:tc>
      </w:tr>
      <w:tr w:rsidR="00A904EF" w:rsidRPr="003B4D22" w14:paraId="0B4D7196" w14:textId="77777777" w:rsidTr="007D3D74">
        <w:tc>
          <w:tcPr>
            <w:tcW w:w="755" w:type="pct"/>
            <w:tcBorders>
              <w:top w:val="nil"/>
              <w:left w:val="single" w:sz="4" w:space="0" w:color="auto"/>
              <w:bottom w:val="nil"/>
              <w:right w:val="single" w:sz="4" w:space="0" w:color="auto"/>
            </w:tcBorders>
          </w:tcPr>
          <w:p w14:paraId="6C10FE04" w14:textId="77777777" w:rsidR="00A904EF" w:rsidRPr="003B4D22" w:rsidRDefault="00A904EF" w:rsidP="003735E3">
            <w:pPr>
              <w:spacing w:after="0" w:line="240" w:lineRule="auto"/>
              <w:rPr>
                <w:rFonts w:ascii="Arial Narrow" w:hAnsi="Arial Narrow" w:cs="Calibri"/>
                <w:color w:val="000000"/>
                <w:sz w:val="20"/>
                <w:szCs w:val="20"/>
              </w:rPr>
            </w:pPr>
          </w:p>
        </w:tc>
        <w:tc>
          <w:tcPr>
            <w:tcW w:w="1649" w:type="pct"/>
            <w:tcBorders>
              <w:top w:val="nil"/>
              <w:left w:val="single" w:sz="4" w:space="0" w:color="auto"/>
              <w:bottom w:val="nil"/>
              <w:right w:val="single" w:sz="4" w:space="0" w:color="auto"/>
            </w:tcBorders>
          </w:tcPr>
          <w:p w14:paraId="62EDDF5B" w14:textId="77777777" w:rsidR="00A904EF" w:rsidRPr="003B4D22" w:rsidRDefault="00A904EF" w:rsidP="00331FB9">
            <w:pPr>
              <w:pStyle w:val="ListParagraph"/>
              <w:numPr>
                <w:ilvl w:val="0"/>
                <w:numId w:val="16"/>
              </w:numPr>
              <w:spacing w:after="0" w:line="240" w:lineRule="auto"/>
              <w:ind w:left="322" w:hanging="257"/>
              <w:rPr>
                <w:rFonts w:ascii="Arial Narrow" w:hAnsi="Arial Narrow"/>
                <w:sz w:val="20"/>
                <w:szCs w:val="20"/>
              </w:rPr>
            </w:pPr>
            <w:r w:rsidRPr="003B4D22">
              <w:rPr>
                <w:rFonts w:ascii="Arial Narrow" w:hAnsi="Arial Narrow"/>
                <w:sz w:val="20"/>
                <w:szCs w:val="20"/>
              </w:rPr>
              <w:t>Tracheobronchitis</w:t>
            </w:r>
          </w:p>
        </w:tc>
        <w:tc>
          <w:tcPr>
            <w:tcW w:w="951" w:type="pct"/>
            <w:tcBorders>
              <w:top w:val="nil"/>
              <w:left w:val="single" w:sz="4" w:space="0" w:color="auto"/>
              <w:bottom w:val="nil"/>
            </w:tcBorders>
            <w:shd w:val="clear" w:color="auto" w:fill="auto"/>
            <w:noWrap/>
          </w:tcPr>
          <w:p w14:paraId="5A9E824B"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32</w:t>
            </w:r>
          </w:p>
        </w:tc>
        <w:tc>
          <w:tcPr>
            <w:tcW w:w="867" w:type="pct"/>
            <w:tcBorders>
              <w:top w:val="nil"/>
              <w:bottom w:val="nil"/>
            </w:tcBorders>
            <w:shd w:val="clear" w:color="auto" w:fill="auto"/>
            <w:noWrap/>
          </w:tcPr>
          <w:p w14:paraId="0DF96817"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64</w:t>
            </w:r>
          </w:p>
        </w:tc>
        <w:tc>
          <w:tcPr>
            <w:tcW w:w="778" w:type="pct"/>
            <w:tcBorders>
              <w:top w:val="nil"/>
              <w:bottom w:val="nil"/>
              <w:right w:val="single" w:sz="4" w:space="0" w:color="auto"/>
            </w:tcBorders>
          </w:tcPr>
          <w:p w14:paraId="341B02F6" w14:textId="77777777" w:rsidR="00A904EF" w:rsidRPr="003B4D22" w:rsidRDefault="00A904EF" w:rsidP="003735E3">
            <w:pPr>
              <w:spacing w:after="0" w:line="240" w:lineRule="auto"/>
              <w:jc w:val="right"/>
              <w:rPr>
                <w:rFonts w:ascii="Arial Narrow" w:hAnsi="Arial Narrow"/>
                <w:sz w:val="20"/>
                <w:szCs w:val="20"/>
              </w:rPr>
            </w:pPr>
          </w:p>
        </w:tc>
      </w:tr>
      <w:tr w:rsidR="00A904EF" w:rsidRPr="003B4D22" w14:paraId="264EE732" w14:textId="77777777" w:rsidTr="007D3D74">
        <w:tc>
          <w:tcPr>
            <w:tcW w:w="755" w:type="pct"/>
            <w:tcBorders>
              <w:top w:val="nil"/>
              <w:left w:val="single" w:sz="4" w:space="0" w:color="auto"/>
              <w:bottom w:val="nil"/>
              <w:right w:val="single" w:sz="4" w:space="0" w:color="auto"/>
            </w:tcBorders>
          </w:tcPr>
          <w:p w14:paraId="350B2F48" w14:textId="77777777" w:rsidR="00A904EF" w:rsidRPr="003B4D22" w:rsidRDefault="00A904EF" w:rsidP="003735E3">
            <w:pPr>
              <w:spacing w:after="0" w:line="240" w:lineRule="auto"/>
              <w:rPr>
                <w:rFonts w:ascii="Arial Narrow" w:hAnsi="Arial Narrow" w:cs="Calibri"/>
                <w:color w:val="000000"/>
                <w:sz w:val="20"/>
                <w:szCs w:val="20"/>
              </w:rPr>
            </w:pPr>
          </w:p>
        </w:tc>
        <w:tc>
          <w:tcPr>
            <w:tcW w:w="1649" w:type="pct"/>
            <w:tcBorders>
              <w:top w:val="nil"/>
              <w:left w:val="single" w:sz="4" w:space="0" w:color="auto"/>
              <w:bottom w:val="nil"/>
              <w:right w:val="single" w:sz="4" w:space="0" w:color="auto"/>
            </w:tcBorders>
          </w:tcPr>
          <w:p w14:paraId="0921A1F2" w14:textId="77777777" w:rsidR="00A904EF" w:rsidRPr="003B4D22" w:rsidRDefault="00A904EF" w:rsidP="00331FB9">
            <w:pPr>
              <w:pStyle w:val="ListParagraph"/>
              <w:numPr>
                <w:ilvl w:val="0"/>
                <w:numId w:val="16"/>
              </w:numPr>
              <w:spacing w:after="0" w:line="240" w:lineRule="auto"/>
              <w:ind w:left="322" w:hanging="257"/>
              <w:rPr>
                <w:rFonts w:ascii="Arial Narrow" w:hAnsi="Arial Narrow"/>
                <w:sz w:val="20"/>
                <w:szCs w:val="20"/>
              </w:rPr>
            </w:pPr>
            <w:r w:rsidRPr="003B4D22">
              <w:rPr>
                <w:rFonts w:ascii="Arial Narrow" w:hAnsi="Arial Narrow"/>
                <w:sz w:val="20"/>
                <w:szCs w:val="20"/>
              </w:rPr>
              <w:t>Bacterial skin infection</w:t>
            </w:r>
          </w:p>
        </w:tc>
        <w:tc>
          <w:tcPr>
            <w:tcW w:w="951" w:type="pct"/>
            <w:tcBorders>
              <w:top w:val="nil"/>
              <w:left w:val="single" w:sz="4" w:space="0" w:color="auto"/>
              <w:bottom w:val="nil"/>
            </w:tcBorders>
            <w:shd w:val="clear" w:color="auto" w:fill="auto"/>
            <w:noWrap/>
          </w:tcPr>
          <w:p w14:paraId="6A4E6AA6"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11</w:t>
            </w:r>
          </w:p>
        </w:tc>
        <w:tc>
          <w:tcPr>
            <w:tcW w:w="867" w:type="pct"/>
            <w:tcBorders>
              <w:top w:val="nil"/>
              <w:bottom w:val="nil"/>
            </w:tcBorders>
            <w:shd w:val="clear" w:color="auto" w:fill="auto"/>
            <w:noWrap/>
          </w:tcPr>
          <w:p w14:paraId="5D5E42D0"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16</w:t>
            </w:r>
          </w:p>
        </w:tc>
        <w:tc>
          <w:tcPr>
            <w:tcW w:w="778" w:type="pct"/>
            <w:tcBorders>
              <w:top w:val="nil"/>
              <w:bottom w:val="nil"/>
              <w:right w:val="single" w:sz="4" w:space="0" w:color="auto"/>
            </w:tcBorders>
          </w:tcPr>
          <w:p w14:paraId="0435FD9B" w14:textId="77777777" w:rsidR="00A904EF" w:rsidRPr="003B4D22" w:rsidRDefault="00A904EF" w:rsidP="003735E3">
            <w:pPr>
              <w:spacing w:after="0" w:line="240" w:lineRule="auto"/>
              <w:jc w:val="right"/>
              <w:rPr>
                <w:rFonts w:ascii="Arial Narrow" w:hAnsi="Arial Narrow"/>
                <w:sz w:val="20"/>
                <w:szCs w:val="20"/>
              </w:rPr>
            </w:pPr>
          </w:p>
        </w:tc>
      </w:tr>
      <w:tr w:rsidR="00A904EF" w:rsidRPr="003B4D22" w14:paraId="053C7372" w14:textId="77777777" w:rsidTr="007D3D74">
        <w:tc>
          <w:tcPr>
            <w:tcW w:w="755" w:type="pct"/>
            <w:tcBorders>
              <w:top w:val="nil"/>
              <w:left w:val="single" w:sz="4" w:space="0" w:color="auto"/>
              <w:bottom w:val="nil"/>
              <w:right w:val="single" w:sz="4" w:space="0" w:color="auto"/>
            </w:tcBorders>
          </w:tcPr>
          <w:p w14:paraId="3C08325F" w14:textId="77777777" w:rsidR="00A904EF" w:rsidRPr="003B4D22" w:rsidRDefault="00A904EF" w:rsidP="003735E3">
            <w:pPr>
              <w:spacing w:after="0" w:line="240" w:lineRule="auto"/>
              <w:rPr>
                <w:rFonts w:ascii="Arial Narrow" w:hAnsi="Arial Narrow" w:cs="Calibri"/>
                <w:color w:val="000000"/>
                <w:sz w:val="20"/>
                <w:szCs w:val="20"/>
              </w:rPr>
            </w:pPr>
          </w:p>
        </w:tc>
        <w:tc>
          <w:tcPr>
            <w:tcW w:w="1649" w:type="pct"/>
            <w:tcBorders>
              <w:top w:val="nil"/>
              <w:left w:val="single" w:sz="4" w:space="0" w:color="auto"/>
              <w:bottom w:val="nil"/>
              <w:right w:val="single" w:sz="4" w:space="0" w:color="auto"/>
            </w:tcBorders>
          </w:tcPr>
          <w:p w14:paraId="21812BBF" w14:textId="77777777" w:rsidR="00A904EF" w:rsidRPr="003B4D22" w:rsidRDefault="00A904EF" w:rsidP="00331FB9">
            <w:pPr>
              <w:pStyle w:val="ListParagraph"/>
              <w:numPr>
                <w:ilvl w:val="0"/>
                <w:numId w:val="16"/>
              </w:numPr>
              <w:spacing w:after="0" w:line="240" w:lineRule="auto"/>
              <w:ind w:left="322" w:hanging="257"/>
              <w:rPr>
                <w:rFonts w:ascii="Arial Narrow" w:hAnsi="Arial Narrow"/>
                <w:sz w:val="20"/>
                <w:szCs w:val="20"/>
              </w:rPr>
            </w:pPr>
            <w:r w:rsidRPr="003B4D22">
              <w:rPr>
                <w:rFonts w:ascii="Arial Narrow" w:hAnsi="Arial Narrow"/>
                <w:sz w:val="20"/>
                <w:szCs w:val="20"/>
              </w:rPr>
              <w:t>Bacterial stomatitis</w:t>
            </w:r>
          </w:p>
        </w:tc>
        <w:tc>
          <w:tcPr>
            <w:tcW w:w="951" w:type="pct"/>
            <w:tcBorders>
              <w:top w:val="nil"/>
              <w:left w:val="single" w:sz="4" w:space="0" w:color="auto"/>
              <w:bottom w:val="nil"/>
            </w:tcBorders>
            <w:shd w:val="clear" w:color="auto" w:fill="auto"/>
            <w:noWrap/>
          </w:tcPr>
          <w:p w14:paraId="737811EE"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6</w:t>
            </w:r>
          </w:p>
        </w:tc>
        <w:tc>
          <w:tcPr>
            <w:tcW w:w="867" w:type="pct"/>
            <w:tcBorders>
              <w:top w:val="nil"/>
              <w:bottom w:val="nil"/>
            </w:tcBorders>
            <w:shd w:val="clear" w:color="auto" w:fill="auto"/>
            <w:noWrap/>
          </w:tcPr>
          <w:p w14:paraId="6054C59B"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12</w:t>
            </w:r>
          </w:p>
        </w:tc>
        <w:tc>
          <w:tcPr>
            <w:tcW w:w="778" w:type="pct"/>
            <w:tcBorders>
              <w:top w:val="nil"/>
              <w:bottom w:val="nil"/>
              <w:right w:val="single" w:sz="4" w:space="0" w:color="auto"/>
            </w:tcBorders>
          </w:tcPr>
          <w:p w14:paraId="2F2DA5C0" w14:textId="77777777" w:rsidR="00A904EF" w:rsidRPr="003B4D22" w:rsidRDefault="00A904EF" w:rsidP="003735E3">
            <w:pPr>
              <w:spacing w:after="0" w:line="240" w:lineRule="auto"/>
              <w:jc w:val="right"/>
              <w:rPr>
                <w:rFonts w:ascii="Arial Narrow" w:hAnsi="Arial Narrow"/>
                <w:sz w:val="20"/>
                <w:szCs w:val="20"/>
              </w:rPr>
            </w:pPr>
          </w:p>
        </w:tc>
      </w:tr>
      <w:tr w:rsidR="00A904EF" w:rsidRPr="003B4D22" w14:paraId="3E6C24AB" w14:textId="77777777" w:rsidTr="007D3D74">
        <w:tc>
          <w:tcPr>
            <w:tcW w:w="755" w:type="pct"/>
            <w:tcBorders>
              <w:top w:val="nil"/>
              <w:left w:val="single" w:sz="4" w:space="0" w:color="auto"/>
              <w:bottom w:val="nil"/>
              <w:right w:val="single" w:sz="4" w:space="0" w:color="auto"/>
            </w:tcBorders>
          </w:tcPr>
          <w:p w14:paraId="7B2594D5" w14:textId="77777777" w:rsidR="00A904EF" w:rsidRPr="003B4D22" w:rsidRDefault="00A904EF" w:rsidP="003735E3">
            <w:pPr>
              <w:spacing w:after="0" w:line="240" w:lineRule="auto"/>
              <w:rPr>
                <w:rFonts w:ascii="Arial Narrow" w:hAnsi="Arial Narrow" w:cs="Calibri"/>
                <w:color w:val="000000"/>
                <w:sz w:val="20"/>
                <w:szCs w:val="20"/>
              </w:rPr>
            </w:pPr>
          </w:p>
        </w:tc>
        <w:tc>
          <w:tcPr>
            <w:tcW w:w="1649" w:type="pct"/>
            <w:tcBorders>
              <w:top w:val="nil"/>
              <w:left w:val="single" w:sz="4" w:space="0" w:color="auto"/>
              <w:bottom w:val="nil"/>
              <w:right w:val="single" w:sz="4" w:space="0" w:color="auto"/>
            </w:tcBorders>
          </w:tcPr>
          <w:p w14:paraId="6BCBA6F6" w14:textId="77777777" w:rsidR="00A904EF" w:rsidRPr="003B4D22" w:rsidRDefault="00A904EF" w:rsidP="00331FB9">
            <w:pPr>
              <w:pStyle w:val="ListParagraph"/>
              <w:numPr>
                <w:ilvl w:val="0"/>
                <w:numId w:val="16"/>
              </w:numPr>
              <w:spacing w:after="0" w:line="240" w:lineRule="auto"/>
              <w:ind w:left="322" w:hanging="257"/>
              <w:rPr>
                <w:rFonts w:ascii="Arial Narrow" w:hAnsi="Arial Narrow"/>
                <w:sz w:val="20"/>
                <w:szCs w:val="20"/>
              </w:rPr>
            </w:pPr>
            <w:r w:rsidRPr="003B4D22">
              <w:rPr>
                <w:rFonts w:ascii="Arial Narrow" w:hAnsi="Arial Narrow"/>
                <w:sz w:val="20"/>
                <w:szCs w:val="20"/>
              </w:rPr>
              <w:t>Lower UTI</w:t>
            </w:r>
          </w:p>
        </w:tc>
        <w:tc>
          <w:tcPr>
            <w:tcW w:w="951" w:type="pct"/>
            <w:tcBorders>
              <w:top w:val="nil"/>
              <w:left w:val="single" w:sz="4" w:space="0" w:color="auto"/>
              <w:bottom w:val="nil"/>
            </w:tcBorders>
            <w:shd w:val="clear" w:color="auto" w:fill="auto"/>
            <w:noWrap/>
          </w:tcPr>
          <w:p w14:paraId="7ED127AB"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19</w:t>
            </w:r>
          </w:p>
        </w:tc>
        <w:tc>
          <w:tcPr>
            <w:tcW w:w="867" w:type="pct"/>
            <w:tcBorders>
              <w:top w:val="nil"/>
              <w:bottom w:val="nil"/>
            </w:tcBorders>
            <w:shd w:val="clear" w:color="auto" w:fill="auto"/>
            <w:noWrap/>
          </w:tcPr>
          <w:p w14:paraId="38EBD883"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36</w:t>
            </w:r>
          </w:p>
        </w:tc>
        <w:tc>
          <w:tcPr>
            <w:tcW w:w="778" w:type="pct"/>
            <w:tcBorders>
              <w:top w:val="nil"/>
              <w:bottom w:val="nil"/>
              <w:right w:val="single" w:sz="4" w:space="0" w:color="auto"/>
            </w:tcBorders>
          </w:tcPr>
          <w:p w14:paraId="4ADDEA23" w14:textId="77777777" w:rsidR="00A904EF" w:rsidRPr="003B4D22" w:rsidRDefault="00A904EF" w:rsidP="003735E3">
            <w:pPr>
              <w:spacing w:after="0" w:line="240" w:lineRule="auto"/>
              <w:jc w:val="right"/>
              <w:rPr>
                <w:rFonts w:ascii="Arial Narrow" w:hAnsi="Arial Narrow"/>
                <w:sz w:val="20"/>
                <w:szCs w:val="20"/>
              </w:rPr>
            </w:pPr>
          </w:p>
        </w:tc>
      </w:tr>
      <w:tr w:rsidR="00A904EF" w:rsidRPr="003B4D22" w14:paraId="75AC5509" w14:textId="77777777" w:rsidTr="007D3D74">
        <w:tc>
          <w:tcPr>
            <w:tcW w:w="755" w:type="pct"/>
            <w:tcBorders>
              <w:top w:val="nil"/>
              <w:left w:val="single" w:sz="4" w:space="0" w:color="auto"/>
              <w:bottom w:val="nil"/>
              <w:right w:val="single" w:sz="4" w:space="0" w:color="auto"/>
            </w:tcBorders>
          </w:tcPr>
          <w:p w14:paraId="55C799CC" w14:textId="77777777" w:rsidR="00A904EF" w:rsidRPr="003B4D22" w:rsidRDefault="00A904EF" w:rsidP="003735E3">
            <w:pPr>
              <w:spacing w:after="0" w:line="240" w:lineRule="auto"/>
              <w:rPr>
                <w:rFonts w:ascii="Arial Narrow" w:hAnsi="Arial Narrow" w:cs="Calibri"/>
                <w:color w:val="000000"/>
                <w:sz w:val="20"/>
                <w:szCs w:val="20"/>
              </w:rPr>
            </w:pPr>
          </w:p>
        </w:tc>
        <w:tc>
          <w:tcPr>
            <w:tcW w:w="1649" w:type="pct"/>
            <w:tcBorders>
              <w:top w:val="nil"/>
              <w:left w:val="single" w:sz="4" w:space="0" w:color="auto"/>
              <w:bottom w:val="nil"/>
              <w:right w:val="single" w:sz="4" w:space="0" w:color="auto"/>
            </w:tcBorders>
          </w:tcPr>
          <w:p w14:paraId="6564139B" w14:textId="77777777" w:rsidR="00A904EF" w:rsidRPr="003B4D22" w:rsidRDefault="00A904EF" w:rsidP="00331FB9">
            <w:pPr>
              <w:pStyle w:val="ListParagraph"/>
              <w:numPr>
                <w:ilvl w:val="0"/>
                <w:numId w:val="16"/>
              </w:numPr>
              <w:spacing w:after="0" w:line="240" w:lineRule="auto"/>
              <w:ind w:left="322" w:hanging="257"/>
              <w:rPr>
                <w:rFonts w:ascii="Arial Narrow" w:hAnsi="Arial Narrow"/>
                <w:sz w:val="20"/>
                <w:szCs w:val="20"/>
              </w:rPr>
            </w:pPr>
            <w:r w:rsidRPr="003B4D22">
              <w:rPr>
                <w:rFonts w:ascii="Arial Narrow" w:hAnsi="Arial Narrow"/>
                <w:sz w:val="20"/>
                <w:szCs w:val="20"/>
              </w:rPr>
              <w:t>Thoracic herpes zoster</w:t>
            </w:r>
          </w:p>
        </w:tc>
        <w:tc>
          <w:tcPr>
            <w:tcW w:w="951" w:type="pct"/>
            <w:tcBorders>
              <w:top w:val="nil"/>
              <w:left w:val="single" w:sz="4" w:space="0" w:color="auto"/>
              <w:bottom w:val="nil"/>
            </w:tcBorders>
            <w:shd w:val="clear" w:color="auto" w:fill="auto"/>
            <w:noWrap/>
          </w:tcPr>
          <w:p w14:paraId="4B50FBBF"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1</w:t>
            </w:r>
          </w:p>
        </w:tc>
        <w:tc>
          <w:tcPr>
            <w:tcW w:w="867" w:type="pct"/>
            <w:tcBorders>
              <w:top w:val="nil"/>
              <w:bottom w:val="nil"/>
            </w:tcBorders>
            <w:shd w:val="clear" w:color="auto" w:fill="auto"/>
            <w:noWrap/>
          </w:tcPr>
          <w:p w14:paraId="7CD6B170"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15</w:t>
            </w:r>
          </w:p>
        </w:tc>
        <w:tc>
          <w:tcPr>
            <w:tcW w:w="778" w:type="pct"/>
            <w:tcBorders>
              <w:top w:val="nil"/>
              <w:bottom w:val="nil"/>
              <w:right w:val="single" w:sz="4" w:space="0" w:color="auto"/>
            </w:tcBorders>
          </w:tcPr>
          <w:p w14:paraId="53621AD6" w14:textId="77777777" w:rsidR="00A904EF" w:rsidRPr="003B4D22" w:rsidRDefault="00A904EF" w:rsidP="003735E3">
            <w:pPr>
              <w:spacing w:after="0" w:line="240" w:lineRule="auto"/>
              <w:jc w:val="right"/>
              <w:rPr>
                <w:rFonts w:ascii="Arial Narrow" w:hAnsi="Arial Narrow"/>
                <w:sz w:val="20"/>
                <w:szCs w:val="20"/>
              </w:rPr>
            </w:pPr>
          </w:p>
        </w:tc>
      </w:tr>
      <w:tr w:rsidR="00A904EF" w:rsidRPr="003B4D22" w14:paraId="442EBA22" w14:textId="77777777" w:rsidTr="007D3D74">
        <w:tc>
          <w:tcPr>
            <w:tcW w:w="755" w:type="pct"/>
            <w:tcBorders>
              <w:top w:val="nil"/>
              <w:left w:val="single" w:sz="4" w:space="0" w:color="auto"/>
              <w:bottom w:val="nil"/>
              <w:right w:val="single" w:sz="4" w:space="0" w:color="auto"/>
            </w:tcBorders>
          </w:tcPr>
          <w:p w14:paraId="6F473D8B" w14:textId="77777777" w:rsidR="00A904EF" w:rsidRPr="003B4D22" w:rsidRDefault="00A904EF" w:rsidP="003735E3">
            <w:pPr>
              <w:spacing w:after="0" w:line="240" w:lineRule="auto"/>
              <w:rPr>
                <w:rFonts w:ascii="Arial Narrow" w:hAnsi="Arial Narrow" w:cs="Calibri"/>
                <w:color w:val="000000"/>
                <w:sz w:val="20"/>
                <w:szCs w:val="20"/>
              </w:rPr>
            </w:pPr>
          </w:p>
        </w:tc>
        <w:tc>
          <w:tcPr>
            <w:tcW w:w="1649" w:type="pct"/>
            <w:tcBorders>
              <w:top w:val="nil"/>
              <w:left w:val="single" w:sz="4" w:space="0" w:color="auto"/>
              <w:bottom w:val="single" w:sz="4" w:space="0" w:color="auto"/>
              <w:right w:val="single" w:sz="4" w:space="0" w:color="auto"/>
            </w:tcBorders>
          </w:tcPr>
          <w:p w14:paraId="1B10E054" w14:textId="77777777" w:rsidR="00A904EF" w:rsidRPr="00BB1779" w:rsidRDefault="00A904EF" w:rsidP="003735E3">
            <w:pPr>
              <w:spacing w:after="0" w:line="240" w:lineRule="auto"/>
              <w:rPr>
                <w:rFonts w:ascii="Arial Narrow" w:hAnsi="Arial Narrow"/>
                <w:b/>
                <w:i/>
                <w:sz w:val="20"/>
              </w:rPr>
            </w:pPr>
            <w:r w:rsidRPr="00BB1779">
              <w:rPr>
                <w:rFonts w:ascii="Arial Narrow" w:hAnsi="Arial Narrow"/>
                <w:b/>
                <w:i/>
                <w:sz w:val="20"/>
              </w:rPr>
              <w:t>Minor infections in 365d</w:t>
            </w:r>
          </w:p>
        </w:tc>
        <w:tc>
          <w:tcPr>
            <w:tcW w:w="951" w:type="pct"/>
            <w:tcBorders>
              <w:top w:val="nil"/>
              <w:left w:val="single" w:sz="4" w:space="0" w:color="auto"/>
              <w:bottom w:val="single" w:sz="4" w:space="0" w:color="auto"/>
            </w:tcBorders>
            <w:shd w:val="clear" w:color="auto" w:fill="auto"/>
            <w:noWrap/>
          </w:tcPr>
          <w:p w14:paraId="717AC078" w14:textId="77777777" w:rsidR="00A904EF" w:rsidRPr="00BB1779" w:rsidRDefault="00A904EF" w:rsidP="003735E3">
            <w:pPr>
              <w:spacing w:after="0" w:line="240" w:lineRule="auto"/>
              <w:jc w:val="right"/>
              <w:rPr>
                <w:rFonts w:ascii="Arial Narrow" w:hAnsi="Arial Narrow"/>
                <w:b/>
                <w:i/>
                <w:sz w:val="20"/>
                <w:szCs w:val="20"/>
              </w:rPr>
            </w:pPr>
            <w:r w:rsidRPr="00BB1779">
              <w:rPr>
                <w:rFonts w:ascii="Arial Narrow" w:hAnsi="Arial Narrow"/>
                <w:b/>
                <w:i/>
                <w:sz w:val="20"/>
              </w:rPr>
              <w:t>69</w:t>
            </w:r>
          </w:p>
        </w:tc>
        <w:tc>
          <w:tcPr>
            <w:tcW w:w="867" w:type="pct"/>
            <w:tcBorders>
              <w:top w:val="nil"/>
              <w:bottom w:val="single" w:sz="4" w:space="0" w:color="auto"/>
            </w:tcBorders>
            <w:shd w:val="clear" w:color="auto" w:fill="auto"/>
            <w:noWrap/>
          </w:tcPr>
          <w:p w14:paraId="0D36A027" w14:textId="77777777" w:rsidR="00A904EF" w:rsidRPr="00BB1779" w:rsidRDefault="00A904EF" w:rsidP="003735E3">
            <w:pPr>
              <w:spacing w:after="0" w:line="240" w:lineRule="auto"/>
              <w:jc w:val="right"/>
              <w:rPr>
                <w:rFonts w:ascii="Arial Narrow" w:hAnsi="Arial Narrow"/>
                <w:b/>
                <w:i/>
                <w:sz w:val="20"/>
                <w:szCs w:val="20"/>
              </w:rPr>
            </w:pPr>
            <w:r w:rsidRPr="00BB1779">
              <w:rPr>
                <w:rFonts w:ascii="Arial Narrow" w:hAnsi="Arial Narrow"/>
                <w:b/>
                <w:i/>
                <w:sz w:val="20"/>
              </w:rPr>
              <w:t>143</w:t>
            </w:r>
          </w:p>
        </w:tc>
        <w:tc>
          <w:tcPr>
            <w:tcW w:w="778" w:type="pct"/>
            <w:tcBorders>
              <w:top w:val="nil"/>
              <w:bottom w:val="single" w:sz="4" w:space="0" w:color="auto"/>
              <w:right w:val="single" w:sz="4" w:space="0" w:color="auto"/>
            </w:tcBorders>
          </w:tcPr>
          <w:p w14:paraId="03AAA2A8" w14:textId="77777777" w:rsidR="00A904EF" w:rsidRPr="003B4D22" w:rsidRDefault="00A904EF" w:rsidP="003735E3">
            <w:pPr>
              <w:spacing w:after="0" w:line="240" w:lineRule="auto"/>
              <w:jc w:val="right"/>
              <w:rPr>
                <w:rFonts w:ascii="Arial Narrow" w:hAnsi="Arial Narrow"/>
                <w:sz w:val="20"/>
                <w:szCs w:val="20"/>
              </w:rPr>
            </w:pPr>
          </w:p>
        </w:tc>
      </w:tr>
      <w:tr w:rsidR="00A904EF" w:rsidRPr="003B4D22" w14:paraId="6214DDE8" w14:textId="77777777" w:rsidTr="007D3D74">
        <w:tc>
          <w:tcPr>
            <w:tcW w:w="755" w:type="pct"/>
            <w:tcBorders>
              <w:top w:val="nil"/>
              <w:left w:val="single" w:sz="4" w:space="0" w:color="auto"/>
              <w:bottom w:val="nil"/>
              <w:right w:val="single" w:sz="4" w:space="0" w:color="auto"/>
            </w:tcBorders>
          </w:tcPr>
          <w:p w14:paraId="4FA77F8B" w14:textId="77777777" w:rsidR="00A904EF" w:rsidRPr="003B4D22" w:rsidRDefault="00A904EF" w:rsidP="003735E3">
            <w:pPr>
              <w:spacing w:after="0" w:line="240" w:lineRule="auto"/>
              <w:rPr>
                <w:rFonts w:ascii="Arial Narrow" w:hAnsi="Arial Narrow" w:cs="Calibri"/>
                <w:color w:val="000000"/>
                <w:sz w:val="20"/>
                <w:szCs w:val="20"/>
              </w:rPr>
            </w:pPr>
          </w:p>
        </w:tc>
        <w:tc>
          <w:tcPr>
            <w:tcW w:w="1649" w:type="pct"/>
            <w:tcBorders>
              <w:top w:val="single" w:sz="4" w:space="0" w:color="auto"/>
              <w:left w:val="single" w:sz="4" w:space="0" w:color="auto"/>
              <w:bottom w:val="nil"/>
              <w:right w:val="single" w:sz="4" w:space="0" w:color="auto"/>
            </w:tcBorders>
          </w:tcPr>
          <w:p w14:paraId="67D4E57D" w14:textId="77777777" w:rsidR="00A904EF" w:rsidRPr="003B4D22" w:rsidRDefault="00A904EF" w:rsidP="003735E3">
            <w:pPr>
              <w:spacing w:after="0" w:line="240" w:lineRule="auto"/>
              <w:rPr>
                <w:rFonts w:ascii="Arial Narrow" w:hAnsi="Arial Narrow"/>
                <w:i/>
                <w:sz w:val="20"/>
                <w:szCs w:val="20"/>
              </w:rPr>
            </w:pPr>
            <w:r w:rsidRPr="003B4D22">
              <w:rPr>
                <w:rFonts w:ascii="Arial Narrow" w:hAnsi="Arial Narrow"/>
                <w:i/>
                <w:sz w:val="20"/>
              </w:rPr>
              <w:t>Upper respiratory tract infections</w:t>
            </w:r>
          </w:p>
        </w:tc>
        <w:tc>
          <w:tcPr>
            <w:tcW w:w="951" w:type="pct"/>
            <w:tcBorders>
              <w:top w:val="single" w:sz="4" w:space="0" w:color="auto"/>
              <w:left w:val="single" w:sz="4" w:space="0" w:color="auto"/>
              <w:bottom w:val="nil"/>
            </w:tcBorders>
            <w:shd w:val="clear" w:color="auto" w:fill="auto"/>
            <w:noWrap/>
          </w:tcPr>
          <w:p w14:paraId="6D74DF1F" w14:textId="77777777" w:rsidR="00A904EF" w:rsidRPr="003B4D22" w:rsidRDefault="00A904EF" w:rsidP="003735E3">
            <w:pPr>
              <w:spacing w:after="0" w:line="240" w:lineRule="auto"/>
              <w:jc w:val="right"/>
              <w:rPr>
                <w:rFonts w:ascii="Arial Narrow" w:hAnsi="Arial Narrow"/>
                <w:i/>
                <w:sz w:val="20"/>
                <w:szCs w:val="20"/>
              </w:rPr>
            </w:pPr>
            <w:r w:rsidRPr="003B4D22">
              <w:rPr>
                <w:rFonts w:ascii="Arial Narrow" w:hAnsi="Arial Narrow"/>
                <w:i/>
                <w:sz w:val="20"/>
              </w:rPr>
              <w:t>2</w:t>
            </w:r>
          </w:p>
        </w:tc>
        <w:tc>
          <w:tcPr>
            <w:tcW w:w="867" w:type="pct"/>
            <w:tcBorders>
              <w:top w:val="single" w:sz="4" w:space="0" w:color="auto"/>
              <w:bottom w:val="nil"/>
            </w:tcBorders>
            <w:shd w:val="clear" w:color="auto" w:fill="auto"/>
            <w:noWrap/>
          </w:tcPr>
          <w:p w14:paraId="37A0ABFD" w14:textId="77777777" w:rsidR="00A904EF" w:rsidRPr="003B4D22" w:rsidRDefault="00A904EF" w:rsidP="003735E3">
            <w:pPr>
              <w:spacing w:after="0" w:line="240" w:lineRule="auto"/>
              <w:jc w:val="right"/>
              <w:rPr>
                <w:rFonts w:ascii="Arial Narrow" w:hAnsi="Arial Narrow"/>
                <w:i/>
                <w:sz w:val="20"/>
                <w:szCs w:val="20"/>
              </w:rPr>
            </w:pPr>
            <w:r w:rsidRPr="003B4D22">
              <w:rPr>
                <w:rFonts w:ascii="Arial Narrow" w:hAnsi="Arial Narrow"/>
                <w:i/>
                <w:sz w:val="20"/>
              </w:rPr>
              <w:t>29</w:t>
            </w:r>
          </w:p>
        </w:tc>
        <w:tc>
          <w:tcPr>
            <w:tcW w:w="778" w:type="pct"/>
            <w:tcBorders>
              <w:top w:val="single" w:sz="4" w:space="0" w:color="auto"/>
              <w:bottom w:val="nil"/>
              <w:right w:val="single" w:sz="4" w:space="0" w:color="auto"/>
            </w:tcBorders>
          </w:tcPr>
          <w:p w14:paraId="29F2C8FA" w14:textId="77777777" w:rsidR="00A904EF" w:rsidRPr="003B4D22" w:rsidRDefault="00A904EF" w:rsidP="003735E3">
            <w:pPr>
              <w:spacing w:after="0" w:line="240" w:lineRule="auto"/>
              <w:jc w:val="right"/>
              <w:rPr>
                <w:rFonts w:ascii="Arial Narrow" w:hAnsi="Arial Narrow"/>
                <w:sz w:val="20"/>
                <w:szCs w:val="20"/>
              </w:rPr>
            </w:pPr>
          </w:p>
        </w:tc>
      </w:tr>
      <w:tr w:rsidR="00A904EF" w:rsidRPr="003B4D22" w14:paraId="01C5A99D" w14:textId="77777777" w:rsidTr="007D3D74">
        <w:tc>
          <w:tcPr>
            <w:tcW w:w="755" w:type="pct"/>
            <w:tcBorders>
              <w:top w:val="nil"/>
              <w:left w:val="single" w:sz="4" w:space="0" w:color="auto"/>
              <w:right w:val="single" w:sz="4" w:space="0" w:color="auto"/>
            </w:tcBorders>
          </w:tcPr>
          <w:p w14:paraId="55920B3C" w14:textId="77777777" w:rsidR="00A904EF" w:rsidRPr="003B4D22" w:rsidRDefault="00A904EF" w:rsidP="003735E3">
            <w:pPr>
              <w:spacing w:after="0" w:line="240" w:lineRule="auto"/>
              <w:rPr>
                <w:rFonts w:ascii="Arial Narrow" w:hAnsi="Arial Narrow" w:cs="Calibri"/>
                <w:color w:val="000000"/>
                <w:sz w:val="20"/>
                <w:szCs w:val="20"/>
              </w:rPr>
            </w:pPr>
          </w:p>
        </w:tc>
        <w:tc>
          <w:tcPr>
            <w:tcW w:w="1649" w:type="pct"/>
            <w:tcBorders>
              <w:top w:val="nil"/>
              <w:left w:val="single" w:sz="4" w:space="0" w:color="auto"/>
              <w:bottom w:val="single" w:sz="4" w:space="0" w:color="auto"/>
              <w:right w:val="single" w:sz="4" w:space="0" w:color="auto"/>
            </w:tcBorders>
          </w:tcPr>
          <w:p w14:paraId="5EC5E399" w14:textId="77777777" w:rsidR="00A904EF" w:rsidRPr="003B4D22" w:rsidRDefault="00A904EF" w:rsidP="003735E3">
            <w:pPr>
              <w:spacing w:after="0" w:line="240" w:lineRule="auto"/>
              <w:rPr>
                <w:rFonts w:ascii="Arial Narrow" w:hAnsi="Arial Narrow"/>
                <w:i/>
                <w:sz w:val="20"/>
                <w:szCs w:val="20"/>
              </w:rPr>
            </w:pPr>
            <w:r w:rsidRPr="003B4D22">
              <w:rPr>
                <w:rFonts w:ascii="Arial Narrow" w:hAnsi="Arial Narrow"/>
                <w:i/>
                <w:sz w:val="20"/>
              </w:rPr>
              <w:t>Lower respiratory tract infections</w:t>
            </w:r>
          </w:p>
        </w:tc>
        <w:tc>
          <w:tcPr>
            <w:tcW w:w="951" w:type="pct"/>
            <w:tcBorders>
              <w:top w:val="nil"/>
              <w:left w:val="single" w:sz="4" w:space="0" w:color="auto"/>
              <w:bottom w:val="single" w:sz="4" w:space="0" w:color="auto"/>
            </w:tcBorders>
            <w:shd w:val="clear" w:color="auto" w:fill="auto"/>
            <w:noWrap/>
          </w:tcPr>
          <w:p w14:paraId="68B94683" w14:textId="77777777" w:rsidR="00A904EF" w:rsidRPr="003B4D22" w:rsidRDefault="00A904EF" w:rsidP="003735E3">
            <w:pPr>
              <w:spacing w:after="0" w:line="240" w:lineRule="auto"/>
              <w:jc w:val="right"/>
              <w:rPr>
                <w:rFonts w:ascii="Arial Narrow" w:hAnsi="Arial Narrow"/>
                <w:i/>
                <w:sz w:val="20"/>
                <w:szCs w:val="20"/>
              </w:rPr>
            </w:pPr>
            <w:r w:rsidRPr="003B4D22">
              <w:rPr>
                <w:rFonts w:ascii="Arial Narrow" w:hAnsi="Arial Narrow"/>
                <w:i/>
                <w:sz w:val="20"/>
              </w:rPr>
              <w:t>32</w:t>
            </w:r>
          </w:p>
        </w:tc>
        <w:tc>
          <w:tcPr>
            <w:tcW w:w="867" w:type="pct"/>
            <w:tcBorders>
              <w:top w:val="nil"/>
              <w:bottom w:val="single" w:sz="4" w:space="0" w:color="auto"/>
            </w:tcBorders>
            <w:shd w:val="clear" w:color="auto" w:fill="auto"/>
            <w:noWrap/>
          </w:tcPr>
          <w:p w14:paraId="26D2F8F1" w14:textId="77777777" w:rsidR="00A904EF" w:rsidRPr="003B4D22" w:rsidRDefault="00A904EF" w:rsidP="003735E3">
            <w:pPr>
              <w:spacing w:after="0" w:line="240" w:lineRule="auto"/>
              <w:jc w:val="right"/>
              <w:rPr>
                <w:rFonts w:ascii="Arial Narrow" w:hAnsi="Arial Narrow"/>
                <w:i/>
                <w:sz w:val="20"/>
                <w:szCs w:val="20"/>
              </w:rPr>
            </w:pPr>
            <w:r w:rsidRPr="003B4D22">
              <w:rPr>
                <w:rFonts w:ascii="Arial Narrow" w:hAnsi="Arial Narrow"/>
                <w:i/>
                <w:sz w:val="20"/>
              </w:rPr>
              <w:t>125</w:t>
            </w:r>
          </w:p>
        </w:tc>
        <w:tc>
          <w:tcPr>
            <w:tcW w:w="778" w:type="pct"/>
            <w:tcBorders>
              <w:top w:val="nil"/>
              <w:bottom w:val="single" w:sz="4" w:space="0" w:color="auto"/>
              <w:right w:val="single" w:sz="4" w:space="0" w:color="auto"/>
            </w:tcBorders>
          </w:tcPr>
          <w:p w14:paraId="06A4F7DE" w14:textId="77777777" w:rsidR="00A904EF" w:rsidRPr="003B4D22" w:rsidRDefault="00A904EF" w:rsidP="003735E3">
            <w:pPr>
              <w:spacing w:after="0" w:line="240" w:lineRule="auto"/>
              <w:jc w:val="right"/>
              <w:rPr>
                <w:rFonts w:ascii="Arial Narrow" w:hAnsi="Arial Narrow"/>
                <w:sz w:val="20"/>
                <w:szCs w:val="20"/>
              </w:rPr>
            </w:pPr>
          </w:p>
        </w:tc>
      </w:tr>
      <w:tr w:rsidR="00BB1779" w:rsidRPr="003B4D22" w14:paraId="4CDA7233" w14:textId="77777777" w:rsidTr="00BB1779">
        <w:tc>
          <w:tcPr>
            <w:tcW w:w="755" w:type="pct"/>
            <w:tcBorders>
              <w:top w:val="nil"/>
              <w:left w:val="single" w:sz="4" w:space="0" w:color="auto"/>
              <w:right w:val="single" w:sz="4" w:space="0" w:color="auto"/>
            </w:tcBorders>
          </w:tcPr>
          <w:p w14:paraId="46416192" w14:textId="77777777" w:rsidR="00BB1779" w:rsidRPr="003B4D22" w:rsidRDefault="00BB1779" w:rsidP="003735E3">
            <w:pPr>
              <w:spacing w:after="0" w:line="240" w:lineRule="auto"/>
              <w:rPr>
                <w:rFonts w:ascii="Arial Narrow" w:hAnsi="Arial Narrow" w:cs="Calibri"/>
                <w:color w:val="000000"/>
                <w:sz w:val="20"/>
                <w:szCs w:val="20"/>
              </w:rPr>
            </w:pPr>
          </w:p>
        </w:tc>
        <w:tc>
          <w:tcPr>
            <w:tcW w:w="1649" w:type="pct"/>
            <w:tcBorders>
              <w:top w:val="single" w:sz="4" w:space="0" w:color="auto"/>
              <w:left w:val="single" w:sz="4" w:space="0" w:color="auto"/>
              <w:bottom w:val="single" w:sz="4" w:space="0" w:color="auto"/>
              <w:right w:val="single" w:sz="4" w:space="0" w:color="auto"/>
            </w:tcBorders>
          </w:tcPr>
          <w:p w14:paraId="55490849" w14:textId="27FF6F0C" w:rsidR="00BB1779" w:rsidRPr="003B4D22" w:rsidRDefault="00BB1779" w:rsidP="003735E3">
            <w:pPr>
              <w:spacing w:after="0" w:line="240" w:lineRule="auto"/>
              <w:rPr>
                <w:rFonts w:ascii="Arial Narrow" w:hAnsi="Arial Narrow"/>
                <w:i/>
                <w:sz w:val="20"/>
              </w:rPr>
            </w:pPr>
            <w:r>
              <w:rPr>
                <w:rFonts w:ascii="Arial Narrow" w:hAnsi="Arial Narrow"/>
                <w:i/>
                <w:sz w:val="20"/>
              </w:rPr>
              <w:t>Total overall infections</w:t>
            </w:r>
          </w:p>
        </w:tc>
        <w:tc>
          <w:tcPr>
            <w:tcW w:w="951" w:type="pct"/>
            <w:tcBorders>
              <w:top w:val="single" w:sz="4" w:space="0" w:color="auto"/>
              <w:left w:val="single" w:sz="4" w:space="0" w:color="auto"/>
              <w:bottom w:val="single" w:sz="4" w:space="0" w:color="auto"/>
            </w:tcBorders>
            <w:shd w:val="clear" w:color="auto" w:fill="auto"/>
            <w:noWrap/>
          </w:tcPr>
          <w:p w14:paraId="6DCFC816" w14:textId="0D53E007" w:rsidR="00BB1779" w:rsidRPr="003B4D22" w:rsidRDefault="00BB1779" w:rsidP="003735E3">
            <w:pPr>
              <w:spacing w:after="0" w:line="240" w:lineRule="auto"/>
              <w:jc w:val="right"/>
              <w:rPr>
                <w:rFonts w:ascii="Arial Narrow" w:hAnsi="Arial Narrow"/>
                <w:i/>
                <w:sz w:val="20"/>
              </w:rPr>
            </w:pPr>
            <w:r>
              <w:rPr>
                <w:rFonts w:ascii="Arial Narrow" w:hAnsi="Arial Narrow"/>
                <w:i/>
                <w:sz w:val="20"/>
              </w:rPr>
              <w:t>85</w:t>
            </w:r>
          </w:p>
        </w:tc>
        <w:tc>
          <w:tcPr>
            <w:tcW w:w="867" w:type="pct"/>
            <w:tcBorders>
              <w:top w:val="single" w:sz="4" w:space="0" w:color="auto"/>
              <w:bottom w:val="single" w:sz="4" w:space="0" w:color="auto"/>
            </w:tcBorders>
            <w:shd w:val="clear" w:color="auto" w:fill="auto"/>
            <w:noWrap/>
          </w:tcPr>
          <w:p w14:paraId="573BDF97" w14:textId="278E6F44" w:rsidR="00BB1779" w:rsidRPr="003B4D22" w:rsidRDefault="00BB1779" w:rsidP="003735E3">
            <w:pPr>
              <w:spacing w:after="0" w:line="240" w:lineRule="auto"/>
              <w:jc w:val="right"/>
              <w:rPr>
                <w:rFonts w:ascii="Arial Narrow" w:hAnsi="Arial Narrow"/>
                <w:i/>
                <w:sz w:val="20"/>
              </w:rPr>
            </w:pPr>
            <w:r>
              <w:rPr>
                <w:rFonts w:ascii="Arial Narrow" w:hAnsi="Arial Narrow"/>
                <w:i/>
                <w:sz w:val="20"/>
              </w:rPr>
              <w:t>333</w:t>
            </w:r>
          </w:p>
        </w:tc>
        <w:tc>
          <w:tcPr>
            <w:tcW w:w="778" w:type="pct"/>
            <w:tcBorders>
              <w:top w:val="single" w:sz="4" w:space="0" w:color="auto"/>
              <w:bottom w:val="single" w:sz="4" w:space="0" w:color="auto"/>
              <w:right w:val="single" w:sz="4" w:space="0" w:color="auto"/>
            </w:tcBorders>
          </w:tcPr>
          <w:p w14:paraId="2EFD7767" w14:textId="77777777" w:rsidR="00BB1779" w:rsidRPr="003B4D22" w:rsidRDefault="00BB1779" w:rsidP="003735E3">
            <w:pPr>
              <w:spacing w:after="0" w:line="240" w:lineRule="auto"/>
              <w:jc w:val="right"/>
              <w:rPr>
                <w:rFonts w:ascii="Arial Narrow" w:hAnsi="Arial Narrow"/>
                <w:sz w:val="20"/>
                <w:szCs w:val="20"/>
              </w:rPr>
            </w:pPr>
          </w:p>
        </w:tc>
      </w:tr>
      <w:tr w:rsidR="00A904EF" w:rsidRPr="003B4D22" w14:paraId="6E846100" w14:textId="77777777" w:rsidTr="00BB1779">
        <w:tc>
          <w:tcPr>
            <w:tcW w:w="755" w:type="pct"/>
            <w:tcBorders>
              <w:left w:val="single" w:sz="4" w:space="0" w:color="auto"/>
              <w:bottom w:val="nil"/>
              <w:right w:val="single" w:sz="4" w:space="0" w:color="auto"/>
            </w:tcBorders>
          </w:tcPr>
          <w:p w14:paraId="170894B9" w14:textId="1FEB9A5B" w:rsidR="00A904EF" w:rsidRPr="003B4D22" w:rsidRDefault="00A904EF" w:rsidP="003735E3">
            <w:pPr>
              <w:spacing w:after="0" w:line="240" w:lineRule="auto"/>
              <w:rPr>
                <w:rFonts w:ascii="Arial Narrow" w:hAnsi="Arial Narrow" w:cs="Calibri"/>
                <w:i/>
                <w:color w:val="000000"/>
                <w:sz w:val="20"/>
                <w:szCs w:val="20"/>
              </w:rPr>
            </w:pPr>
          </w:p>
        </w:tc>
        <w:tc>
          <w:tcPr>
            <w:tcW w:w="1649" w:type="pct"/>
            <w:tcBorders>
              <w:top w:val="single" w:sz="4" w:space="0" w:color="auto"/>
              <w:left w:val="single" w:sz="4" w:space="0" w:color="auto"/>
              <w:bottom w:val="nil"/>
              <w:right w:val="single" w:sz="4" w:space="0" w:color="auto"/>
            </w:tcBorders>
          </w:tcPr>
          <w:p w14:paraId="3F3E48E3" w14:textId="77777777" w:rsidR="00A904EF" w:rsidRPr="003B4D22" w:rsidRDefault="00A904EF" w:rsidP="003735E3">
            <w:pPr>
              <w:spacing w:after="0" w:line="240" w:lineRule="auto"/>
              <w:rPr>
                <w:rFonts w:ascii="Arial Narrow" w:hAnsi="Arial Narrow"/>
                <w:b/>
                <w:sz w:val="20"/>
              </w:rPr>
            </w:pPr>
            <w:r w:rsidRPr="003B4D22">
              <w:rPr>
                <w:rFonts w:ascii="Arial Narrow" w:hAnsi="Arial Narrow"/>
                <w:b/>
                <w:sz w:val="20"/>
              </w:rPr>
              <w:t>Infection rates</w:t>
            </w:r>
          </w:p>
        </w:tc>
        <w:tc>
          <w:tcPr>
            <w:tcW w:w="951" w:type="pct"/>
            <w:tcBorders>
              <w:top w:val="single" w:sz="4" w:space="0" w:color="auto"/>
              <w:left w:val="single" w:sz="4" w:space="0" w:color="auto"/>
              <w:bottom w:val="nil"/>
            </w:tcBorders>
            <w:shd w:val="clear" w:color="auto" w:fill="auto"/>
            <w:noWrap/>
          </w:tcPr>
          <w:p w14:paraId="537F087A" w14:textId="77777777" w:rsidR="00A904EF" w:rsidRPr="003B4D22" w:rsidRDefault="00A904EF" w:rsidP="003735E3">
            <w:pPr>
              <w:spacing w:after="0" w:line="240" w:lineRule="auto"/>
              <w:jc w:val="right"/>
              <w:rPr>
                <w:rFonts w:ascii="Arial Narrow" w:hAnsi="Arial Narrow"/>
                <w:sz w:val="20"/>
              </w:rPr>
            </w:pPr>
            <w:r w:rsidRPr="003B4D22">
              <w:rPr>
                <w:rFonts w:ascii="Arial Narrow" w:hAnsi="Arial Narrow"/>
                <w:sz w:val="20"/>
              </w:rPr>
              <w:t>SCIg (n=24)</w:t>
            </w:r>
          </w:p>
        </w:tc>
        <w:tc>
          <w:tcPr>
            <w:tcW w:w="867" w:type="pct"/>
            <w:tcBorders>
              <w:top w:val="single" w:sz="4" w:space="0" w:color="auto"/>
              <w:bottom w:val="nil"/>
            </w:tcBorders>
            <w:shd w:val="clear" w:color="auto" w:fill="auto"/>
            <w:noWrap/>
          </w:tcPr>
          <w:p w14:paraId="4B750C42" w14:textId="77777777" w:rsidR="00A904EF" w:rsidRPr="003B4D22" w:rsidRDefault="00A904EF" w:rsidP="003735E3">
            <w:pPr>
              <w:spacing w:after="0" w:line="240" w:lineRule="auto"/>
              <w:jc w:val="right"/>
              <w:rPr>
                <w:rFonts w:ascii="Arial Narrow" w:hAnsi="Arial Narrow"/>
                <w:sz w:val="20"/>
              </w:rPr>
            </w:pPr>
            <w:r w:rsidRPr="003B4D22">
              <w:rPr>
                <w:rFonts w:ascii="Arial Narrow" w:hAnsi="Arial Narrow"/>
                <w:sz w:val="20"/>
              </w:rPr>
              <w:t>No SCIg (n=22)</w:t>
            </w:r>
          </w:p>
        </w:tc>
        <w:tc>
          <w:tcPr>
            <w:tcW w:w="778" w:type="pct"/>
            <w:tcBorders>
              <w:top w:val="single" w:sz="4" w:space="0" w:color="auto"/>
              <w:bottom w:val="nil"/>
              <w:right w:val="single" w:sz="4" w:space="0" w:color="auto"/>
            </w:tcBorders>
          </w:tcPr>
          <w:p w14:paraId="646414F1"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p value</w:t>
            </w:r>
          </w:p>
        </w:tc>
      </w:tr>
      <w:tr w:rsidR="00A904EF" w:rsidRPr="003B4D22" w14:paraId="4CA2E28C" w14:textId="77777777" w:rsidTr="003735E3">
        <w:tc>
          <w:tcPr>
            <w:tcW w:w="755" w:type="pct"/>
            <w:tcBorders>
              <w:top w:val="nil"/>
              <w:left w:val="single" w:sz="4" w:space="0" w:color="auto"/>
              <w:bottom w:val="nil"/>
              <w:right w:val="single" w:sz="4" w:space="0" w:color="auto"/>
            </w:tcBorders>
          </w:tcPr>
          <w:p w14:paraId="678A3C14" w14:textId="77777777" w:rsidR="00A904EF" w:rsidRPr="003B4D22" w:rsidRDefault="00A904EF" w:rsidP="003735E3">
            <w:pPr>
              <w:spacing w:after="0" w:line="240" w:lineRule="auto"/>
              <w:rPr>
                <w:rFonts w:ascii="Arial Narrow" w:hAnsi="Arial Narrow" w:cs="Calibri"/>
                <w:color w:val="000000"/>
                <w:sz w:val="20"/>
                <w:szCs w:val="20"/>
              </w:rPr>
            </w:pPr>
          </w:p>
        </w:tc>
        <w:tc>
          <w:tcPr>
            <w:tcW w:w="1649" w:type="pct"/>
            <w:tcBorders>
              <w:top w:val="nil"/>
              <w:left w:val="single" w:sz="4" w:space="0" w:color="auto"/>
              <w:bottom w:val="nil"/>
              <w:right w:val="single" w:sz="4" w:space="0" w:color="auto"/>
            </w:tcBorders>
          </w:tcPr>
          <w:p w14:paraId="3D2FA781" w14:textId="77777777" w:rsidR="00A904EF" w:rsidRPr="003B4D22" w:rsidRDefault="00A904EF" w:rsidP="003735E3">
            <w:pPr>
              <w:spacing w:after="0" w:line="240" w:lineRule="auto"/>
              <w:rPr>
                <w:rFonts w:ascii="Arial Narrow" w:hAnsi="Arial Narrow"/>
                <w:i/>
                <w:sz w:val="20"/>
                <w:szCs w:val="20"/>
              </w:rPr>
            </w:pPr>
            <w:r w:rsidRPr="003B4D22">
              <w:rPr>
                <w:rFonts w:ascii="Arial Narrow" w:hAnsi="Arial Narrow"/>
                <w:i/>
                <w:sz w:val="20"/>
              </w:rPr>
              <w:t>Major infections/patient/mo</w:t>
            </w:r>
          </w:p>
        </w:tc>
        <w:tc>
          <w:tcPr>
            <w:tcW w:w="951" w:type="pct"/>
            <w:tcBorders>
              <w:top w:val="nil"/>
              <w:left w:val="single" w:sz="4" w:space="0" w:color="auto"/>
              <w:bottom w:val="nil"/>
            </w:tcBorders>
            <w:shd w:val="clear" w:color="auto" w:fill="auto"/>
            <w:noWrap/>
          </w:tcPr>
          <w:p w14:paraId="6839CA57" w14:textId="77777777" w:rsidR="00A904EF" w:rsidRPr="003B4D22" w:rsidRDefault="00A904EF" w:rsidP="003735E3">
            <w:pPr>
              <w:spacing w:after="0" w:line="240" w:lineRule="auto"/>
              <w:jc w:val="right"/>
              <w:rPr>
                <w:rFonts w:ascii="Arial Narrow" w:hAnsi="Arial Narrow"/>
                <w:i/>
                <w:sz w:val="20"/>
                <w:szCs w:val="20"/>
              </w:rPr>
            </w:pPr>
            <w:r w:rsidRPr="003B4D22">
              <w:rPr>
                <w:rFonts w:ascii="Arial Narrow" w:hAnsi="Arial Narrow"/>
                <w:i/>
                <w:sz w:val="20"/>
              </w:rPr>
              <w:t>0.056</w:t>
            </w:r>
          </w:p>
        </w:tc>
        <w:tc>
          <w:tcPr>
            <w:tcW w:w="867" w:type="pct"/>
            <w:tcBorders>
              <w:top w:val="nil"/>
              <w:bottom w:val="nil"/>
            </w:tcBorders>
            <w:shd w:val="clear" w:color="auto" w:fill="auto"/>
            <w:noWrap/>
          </w:tcPr>
          <w:p w14:paraId="0C145A94" w14:textId="77777777" w:rsidR="00A904EF" w:rsidRPr="003B4D22" w:rsidRDefault="00A904EF" w:rsidP="003735E3">
            <w:pPr>
              <w:spacing w:after="0" w:line="240" w:lineRule="auto"/>
              <w:jc w:val="right"/>
              <w:rPr>
                <w:rFonts w:ascii="Arial Narrow" w:hAnsi="Arial Narrow"/>
                <w:i/>
                <w:sz w:val="20"/>
                <w:szCs w:val="20"/>
              </w:rPr>
            </w:pPr>
            <w:r w:rsidRPr="003B4D22">
              <w:rPr>
                <w:rFonts w:ascii="Arial Narrow" w:hAnsi="Arial Narrow"/>
                <w:i/>
                <w:sz w:val="20"/>
              </w:rPr>
              <w:t>0.720</w:t>
            </w:r>
          </w:p>
        </w:tc>
        <w:tc>
          <w:tcPr>
            <w:tcW w:w="778" w:type="pct"/>
            <w:tcBorders>
              <w:top w:val="nil"/>
              <w:bottom w:val="nil"/>
              <w:right w:val="single" w:sz="4" w:space="0" w:color="auto"/>
            </w:tcBorders>
          </w:tcPr>
          <w:p w14:paraId="03E3939F"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p&lt;0.001</w:t>
            </w:r>
          </w:p>
        </w:tc>
      </w:tr>
      <w:tr w:rsidR="00A904EF" w:rsidRPr="003B4D22" w14:paraId="6A59C41B" w14:textId="77777777" w:rsidTr="003735E3">
        <w:tc>
          <w:tcPr>
            <w:tcW w:w="755" w:type="pct"/>
            <w:tcBorders>
              <w:top w:val="nil"/>
              <w:left w:val="single" w:sz="4" w:space="0" w:color="auto"/>
              <w:bottom w:val="nil"/>
              <w:right w:val="single" w:sz="4" w:space="0" w:color="auto"/>
            </w:tcBorders>
          </w:tcPr>
          <w:p w14:paraId="1FDA0002" w14:textId="77777777" w:rsidR="00A904EF" w:rsidRPr="003B4D22" w:rsidRDefault="00A904EF" w:rsidP="003735E3">
            <w:pPr>
              <w:spacing w:after="0" w:line="240" w:lineRule="auto"/>
              <w:rPr>
                <w:rFonts w:ascii="Arial Narrow" w:hAnsi="Arial Narrow" w:cs="Calibri"/>
                <w:color w:val="000000"/>
                <w:sz w:val="20"/>
                <w:szCs w:val="20"/>
              </w:rPr>
            </w:pPr>
          </w:p>
        </w:tc>
        <w:tc>
          <w:tcPr>
            <w:tcW w:w="1649" w:type="pct"/>
            <w:tcBorders>
              <w:top w:val="nil"/>
              <w:left w:val="single" w:sz="4" w:space="0" w:color="auto"/>
              <w:bottom w:val="nil"/>
              <w:right w:val="single" w:sz="4" w:space="0" w:color="auto"/>
            </w:tcBorders>
          </w:tcPr>
          <w:p w14:paraId="093F1CD4" w14:textId="77777777" w:rsidR="00A904EF" w:rsidRPr="003B4D22" w:rsidRDefault="00A904EF" w:rsidP="003735E3">
            <w:pPr>
              <w:spacing w:after="0" w:line="240" w:lineRule="auto"/>
              <w:rPr>
                <w:rFonts w:ascii="Arial Narrow" w:hAnsi="Arial Narrow"/>
                <w:i/>
                <w:sz w:val="20"/>
              </w:rPr>
            </w:pPr>
            <w:r w:rsidRPr="003B4D22">
              <w:rPr>
                <w:rFonts w:ascii="Arial Narrow" w:hAnsi="Arial Narrow"/>
                <w:i/>
                <w:sz w:val="20"/>
              </w:rPr>
              <w:t>Minor infections/patient/mo</w:t>
            </w:r>
          </w:p>
        </w:tc>
        <w:tc>
          <w:tcPr>
            <w:tcW w:w="951" w:type="pct"/>
            <w:tcBorders>
              <w:top w:val="nil"/>
              <w:left w:val="single" w:sz="4" w:space="0" w:color="auto"/>
              <w:bottom w:val="nil"/>
            </w:tcBorders>
            <w:shd w:val="clear" w:color="auto" w:fill="auto"/>
            <w:noWrap/>
          </w:tcPr>
          <w:p w14:paraId="5541AB29" w14:textId="77777777" w:rsidR="00A904EF" w:rsidRPr="003B4D22" w:rsidRDefault="00A904EF" w:rsidP="003735E3">
            <w:pPr>
              <w:spacing w:after="0" w:line="240" w:lineRule="auto"/>
              <w:jc w:val="right"/>
              <w:rPr>
                <w:rFonts w:ascii="Arial Narrow" w:hAnsi="Arial Narrow"/>
                <w:i/>
                <w:sz w:val="20"/>
                <w:szCs w:val="20"/>
              </w:rPr>
            </w:pPr>
            <w:r w:rsidRPr="003B4D22">
              <w:rPr>
                <w:rFonts w:ascii="Arial Narrow" w:hAnsi="Arial Narrow"/>
                <w:i/>
                <w:sz w:val="20"/>
              </w:rPr>
              <w:t>0.240</w:t>
            </w:r>
          </w:p>
        </w:tc>
        <w:tc>
          <w:tcPr>
            <w:tcW w:w="867" w:type="pct"/>
            <w:tcBorders>
              <w:top w:val="nil"/>
              <w:bottom w:val="nil"/>
            </w:tcBorders>
            <w:shd w:val="clear" w:color="auto" w:fill="auto"/>
            <w:noWrap/>
          </w:tcPr>
          <w:p w14:paraId="53501BEF" w14:textId="77777777" w:rsidR="00A904EF" w:rsidRPr="003B4D22" w:rsidRDefault="00A904EF" w:rsidP="003735E3">
            <w:pPr>
              <w:spacing w:after="0" w:line="240" w:lineRule="auto"/>
              <w:jc w:val="right"/>
              <w:rPr>
                <w:rFonts w:ascii="Arial Narrow" w:hAnsi="Arial Narrow"/>
                <w:i/>
                <w:sz w:val="20"/>
                <w:szCs w:val="20"/>
              </w:rPr>
            </w:pPr>
            <w:r w:rsidRPr="003B4D22">
              <w:rPr>
                <w:rFonts w:ascii="Arial Narrow" w:hAnsi="Arial Narrow"/>
                <w:i/>
                <w:sz w:val="20"/>
              </w:rPr>
              <w:t>0.542</w:t>
            </w:r>
          </w:p>
        </w:tc>
        <w:tc>
          <w:tcPr>
            <w:tcW w:w="778" w:type="pct"/>
            <w:tcBorders>
              <w:top w:val="nil"/>
              <w:bottom w:val="nil"/>
              <w:right w:val="single" w:sz="4" w:space="0" w:color="auto"/>
            </w:tcBorders>
          </w:tcPr>
          <w:p w14:paraId="434C8A13" w14:textId="77777777" w:rsidR="00A904EF" w:rsidRPr="003B4D22" w:rsidRDefault="00A904EF" w:rsidP="003735E3">
            <w:pPr>
              <w:spacing w:after="0" w:line="240" w:lineRule="auto"/>
              <w:jc w:val="right"/>
              <w:rPr>
                <w:rFonts w:ascii="Arial Narrow" w:hAnsi="Arial Narrow"/>
                <w:sz w:val="20"/>
                <w:szCs w:val="20"/>
              </w:rPr>
            </w:pPr>
            <w:r w:rsidRPr="003B4D22">
              <w:rPr>
                <w:rFonts w:ascii="Arial Narrow" w:hAnsi="Arial Narrow"/>
                <w:sz w:val="20"/>
                <w:szCs w:val="20"/>
              </w:rPr>
              <w:t>p&lt;0.001</w:t>
            </w:r>
          </w:p>
        </w:tc>
      </w:tr>
      <w:tr w:rsidR="00B22A3B" w:rsidRPr="003B4D22" w14:paraId="1ABA402A" w14:textId="77777777" w:rsidTr="003735E3">
        <w:tc>
          <w:tcPr>
            <w:tcW w:w="755" w:type="pct"/>
            <w:tcBorders>
              <w:top w:val="nil"/>
              <w:left w:val="single" w:sz="4" w:space="0" w:color="auto"/>
              <w:bottom w:val="nil"/>
              <w:right w:val="single" w:sz="4" w:space="0" w:color="auto"/>
            </w:tcBorders>
          </w:tcPr>
          <w:p w14:paraId="10C52B69" w14:textId="77777777" w:rsidR="00B22A3B" w:rsidRPr="003B4D22" w:rsidRDefault="00B22A3B" w:rsidP="00B22A3B">
            <w:pPr>
              <w:spacing w:after="0" w:line="240" w:lineRule="auto"/>
              <w:rPr>
                <w:rFonts w:ascii="Arial Narrow" w:hAnsi="Arial Narrow" w:cs="Calibri"/>
                <w:color w:val="000000"/>
                <w:sz w:val="20"/>
                <w:szCs w:val="20"/>
              </w:rPr>
            </w:pPr>
          </w:p>
        </w:tc>
        <w:tc>
          <w:tcPr>
            <w:tcW w:w="1649" w:type="pct"/>
            <w:tcBorders>
              <w:top w:val="nil"/>
              <w:left w:val="single" w:sz="4" w:space="0" w:color="auto"/>
              <w:bottom w:val="nil"/>
              <w:right w:val="single" w:sz="4" w:space="0" w:color="auto"/>
            </w:tcBorders>
          </w:tcPr>
          <w:p w14:paraId="771F0853" w14:textId="77777777" w:rsidR="00B22A3B" w:rsidRPr="003B4D22" w:rsidRDefault="00B22A3B" w:rsidP="00B22A3B">
            <w:pPr>
              <w:spacing w:after="0" w:line="240" w:lineRule="auto"/>
              <w:rPr>
                <w:rFonts w:ascii="Arial Narrow" w:hAnsi="Arial Narrow"/>
                <w:i/>
                <w:sz w:val="20"/>
                <w:szCs w:val="20"/>
              </w:rPr>
            </w:pPr>
            <w:r w:rsidRPr="003B4D22">
              <w:rPr>
                <w:rFonts w:ascii="Arial Narrow" w:hAnsi="Arial Narrow"/>
                <w:i/>
                <w:sz w:val="20"/>
              </w:rPr>
              <w:t>Upper respiratory infections/patient/yr</w:t>
            </w:r>
          </w:p>
        </w:tc>
        <w:tc>
          <w:tcPr>
            <w:tcW w:w="951" w:type="pct"/>
            <w:tcBorders>
              <w:top w:val="nil"/>
              <w:left w:val="single" w:sz="4" w:space="0" w:color="auto"/>
              <w:bottom w:val="nil"/>
            </w:tcBorders>
            <w:shd w:val="clear" w:color="auto" w:fill="auto"/>
            <w:noWrap/>
          </w:tcPr>
          <w:p w14:paraId="7C8F464B" w14:textId="383C4B77" w:rsidR="00B22A3B" w:rsidRPr="003B4D22" w:rsidRDefault="00B22A3B" w:rsidP="00B22A3B">
            <w:pPr>
              <w:spacing w:after="0" w:line="240" w:lineRule="auto"/>
              <w:jc w:val="right"/>
              <w:rPr>
                <w:rFonts w:ascii="Arial Narrow" w:hAnsi="Arial Narrow"/>
                <w:i/>
                <w:sz w:val="20"/>
                <w:szCs w:val="20"/>
              </w:rPr>
            </w:pPr>
            <w:r>
              <w:rPr>
                <w:rFonts w:ascii="Arial Narrow" w:hAnsi="Arial Narrow"/>
                <w:i/>
                <w:sz w:val="20"/>
              </w:rPr>
              <w:t>―</w:t>
            </w:r>
          </w:p>
        </w:tc>
        <w:tc>
          <w:tcPr>
            <w:tcW w:w="867" w:type="pct"/>
            <w:tcBorders>
              <w:top w:val="nil"/>
              <w:bottom w:val="nil"/>
            </w:tcBorders>
            <w:shd w:val="clear" w:color="auto" w:fill="auto"/>
            <w:noWrap/>
          </w:tcPr>
          <w:p w14:paraId="1F88AC0D" w14:textId="41578E02" w:rsidR="00B22A3B" w:rsidRPr="003B4D22" w:rsidRDefault="00B22A3B" w:rsidP="00B22A3B">
            <w:pPr>
              <w:spacing w:after="0" w:line="240" w:lineRule="auto"/>
              <w:jc w:val="right"/>
              <w:rPr>
                <w:rFonts w:ascii="Arial Narrow" w:hAnsi="Arial Narrow"/>
                <w:i/>
                <w:sz w:val="20"/>
                <w:szCs w:val="20"/>
              </w:rPr>
            </w:pPr>
            <w:r>
              <w:rPr>
                <w:rFonts w:ascii="Arial Narrow" w:hAnsi="Arial Narrow"/>
                <w:i/>
                <w:sz w:val="20"/>
              </w:rPr>
              <w:t>―</w:t>
            </w:r>
          </w:p>
        </w:tc>
        <w:tc>
          <w:tcPr>
            <w:tcW w:w="778" w:type="pct"/>
            <w:tcBorders>
              <w:top w:val="nil"/>
              <w:bottom w:val="nil"/>
              <w:right w:val="single" w:sz="4" w:space="0" w:color="auto"/>
            </w:tcBorders>
          </w:tcPr>
          <w:p w14:paraId="593D2B7D" w14:textId="77777777" w:rsidR="00B22A3B" w:rsidRPr="003B4D22" w:rsidRDefault="00B22A3B" w:rsidP="00B22A3B">
            <w:pPr>
              <w:spacing w:after="0" w:line="240" w:lineRule="auto"/>
              <w:jc w:val="right"/>
              <w:rPr>
                <w:rFonts w:ascii="Arial Narrow" w:hAnsi="Arial Narrow"/>
                <w:sz w:val="20"/>
                <w:szCs w:val="20"/>
              </w:rPr>
            </w:pPr>
            <w:r w:rsidRPr="003B4D22">
              <w:rPr>
                <w:rFonts w:ascii="Arial Narrow" w:hAnsi="Arial Narrow"/>
                <w:sz w:val="20"/>
                <w:szCs w:val="20"/>
              </w:rPr>
              <w:t>p&lt;0.001</w:t>
            </w:r>
          </w:p>
        </w:tc>
      </w:tr>
      <w:tr w:rsidR="00B22A3B" w:rsidRPr="003B4D22" w14:paraId="299F3ACC" w14:textId="77777777" w:rsidTr="003735E3">
        <w:tc>
          <w:tcPr>
            <w:tcW w:w="755" w:type="pct"/>
            <w:tcBorders>
              <w:top w:val="nil"/>
              <w:left w:val="single" w:sz="4" w:space="0" w:color="auto"/>
              <w:right w:val="single" w:sz="4" w:space="0" w:color="auto"/>
            </w:tcBorders>
          </w:tcPr>
          <w:p w14:paraId="763C585B" w14:textId="77777777" w:rsidR="00B22A3B" w:rsidRPr="003B4D22" w:rsidRDefault="00B22A3B" w:rsidP="00B22A3B">
            <w:pPr>
              <w:spacing w:after="0" w:line="240" w:lineRule="auto"/>
              <w:rPr>
                <w:rFonts w:ascii="Arial Narrow" w:hAnsi="Arial Narrow" w:cs="Calibri"/>
                <w:color w:val="000000"/>
                <w:sz w:val="20"/>
                <w:szCs w:val="20"/>
              </w:rPr>
            </w:pPr>
          </w:p>
        </w:tc>
        <w:tc>
          <w:tcPr>
            <w:tcW w:w="1649" w:type="pct"/>
            <w:tcBorders>
              <w:top w:val="nil"/>
              <w:left w:val="single" w:sz="4" w:space="0" w:color="auto"/>
              <w:bottom w:val="single" w:sz="4" w:space="0" w:color="auto"/>
              <w:right w:val="single" w:sz="4" w:space="0" w:color="auto"/>
            </w:tcBorders>
          </w:tcPr>
          <w:p w14:paraId="041697BE" w14:textId="77777777" w:rsidR="00B22A3B" w:rsidRPr="003B4D22" w:rsidRDefault="00B22A3B" w:rsidP="00B22A3B">
            <w:pPr>
              <w:spacing w:after="0" w:line="240" w:lineRule="auto"/>
              <w:rPr>
                <w:rFonts w:ascii="Arial Narrow" w:hAnsi="Arial Narrow"/>
                <w:i/>
                <w:sz w:val="20"/>
                <w:szCs w:val="20"/>
              </w:rPr>
            </w:pPr>
            <w:r w:rsidRPr="003B4D22">
              <w:rPr>
                <w:rFonts w:ascii="Arial Narrow" w:hAnsi="Arial Narrow"/>
                <w:i/>
                <w:sz w:val="20"/>
              </w:rPr>
              <w:t>Lower respiratory infections/patient/yr</w:t>
            </w:r>
          </w:p>
        </w:tc>
        <w:tc>
          <w:tcPr>
            <w:tcW w:w="951" w:type="pct"/>
            <w:tcBorders>
              <w:top w:val="nil"/>
              <w:left w:val="single" w:sz="4" w:space="0" w:color="auto"/>
              <w:bottom w:val="single" w:sz="4" w:space="0" w:color="auto"/>
            </w:tcBorders>
            <w:shd w:val="clear" w:color="auto" w:fill="auto"/>
            <w:noWrap/>
          </w:tcPr>
          <w:p w14:paraId="71C81116" w14:textId="20EB10F9" w:rsidR="00B22A3B" w:rsidRPr="003B4D22" w:rsidRDefault="00B22A3B" w:rsidP="00B22A3B">
            <w:pPr>
              <w:spacing w:after="0" w:line="240" w:lineRule="auto"/>
              <w:jc w:val="right"/>
              <w:rPr>
                <w:rFonts w:ascii="Arial Narrow" w:hAnsi="Arial Narrow"/>
                <w:i/>
                <w:sz w:val="20"/>
                <w:szCs w:val="20"/>
              </w:rPr>
            </w:pPr>
            <w:r>
              <w:rPr>
                <w:rFonts w:ascii="Arial Narrow" w:hAnsi="Arial Narrow"/>
                <w:i/>
                <w:sz w:val="20"/>
              </w:rPr>
              <w:t>―</w:t>
            </w:r>
          </w:p>
        </w:tc>
        <w:tc>
          <w:tcPr>
            <w:tcW w:w="867" w:type="pct"/>
            <w:tcBorders>
              <w:top w:val="nil"/>
              <w:bottom w:val="single" w:sz="4" w:space="0" w:color="auto"/>
            </w:tcBorders>
            <w:shd w:val="clear" w:color="auto" w:fill="auto"/>
            <w:noWrap/>
          </w:tcPr>
          <w:p w14:paraId="23447A9F" w14:textId="43B4F448" w:rsidR="00B22A3B" w:rsidRPr="003B4D22" w:rsidRDefault="00B22A3B" w:rsidP="00B22A3B">
            <w:pPr>
              <w:spacing w:after="0" w:line="240" w:lineRule="auto"/>
              <w:jc w:val="right"/>
              <w:rPr>
                <w:rFonts w:ascii="Arial Narrow" w:hAnsi="Arial Narrow"/>
                <w:i/>
                <w:sz w:val="20"/>
                <w:szCs w:val="20"/>
              </w:rPr>
            </w:pPr>
            <w:r>
              <w:rPr>
                <w:rFonts w:ascii="Arial Narrow" w:hAnsi="Arial Narrow"/>
                <w:i/>
                <w:sz w:val="20"/>
              </w:rPr>
              <w:t>―</w:t>
            </w:r>
          </w:p>
        </w:tc>
        <w:tc>
          <w:tcPr>
            <w:tcW w:w="778" w:type="pct"/>
            <w:tcBorders>
              <w:top w:val="nil"/>
              <w:bottom w:val="single" w:sz="4" w:space="0" w:color="auto"/>
              <w:right w:val="single" w:sz="4" w:space="0" w:color="auto"/>
            </w:tcBorders>
          </w:tcPr>
          <w:p w14:paraId="1520E288" w14:textId="77777777" w:rsidR="00B22A3B" w:rsidRPr="003B4D22" w:rsidRDefault="00B22A3B" w:rsidP="00B22A3B">
            <w:pPr>
              <w:spacing w:after="0" w:line="240" w:lineRule="auto"/>
              <w:jc w:val="right"/>
              <w:rPr>
                <w:rFonts w:ascii="Arial Narrow" w:hAnsi="Arial Narrow"/>
                <w:sz w:val="20"/>
                <w:szCs w:val="20"/>
              </w:rPr>
            </w:pPr>
            <w:r w:rsidRPr="003B4D22">
              <w:rPr>
                <w:rFonts w:ascii="Arial Narrow" w:hAnsi="Arial Narrow"/>
                <w:sz w:val="20"/>
                <w:szCs w:val="20"/>
              </w:rPr>
              <w:t>p&lt;0.001</w:t>
            </w:r>
          </w:p>
        </w:tc>
      </w:tr>
      <w:tr w:rsidR="00B22A3B" w:rsidRPr="003B4D22" w14:paraId="6609FEC3" w14:textId="77777777" w:rsidTr="003735E3">
        <w:tc>
          <w:tcPr>
            <w:tcW w:w="755" w:type="pct"/>
            <w:tcBorders>
              <w:left w:val="single" w:sz="4" w:space="0" w:color="auto"/>
              <w:bottom w:val="nil"/>
              <w:right w:val="single" w:sz="4" w:space="0" w:color="auto"/>
            </w:tcBorders>
          </w:tcPr>
          <w:p w14:paraId="5C9F7136" w14:textId="77777777" w:rsidR="00B22A3B" w:rsidRPr="003B4D22" w:rsidRDefault="00B22A3B" w:rsidP="00B22A3B">
            <w:pPr>
              <w:spacing w:after="0" w:line="240" w:lineRule="auto"/>
              <w:rPr>
                <w:rFonts w:ascii="Arial Narrow" w:hAnsi="Arial Narrow" w:cs="Calibri"/>
                <w:color w:val="000000"/>
                <w:sz w:val="20"/>
                <w:szCs w:val="20"/>
              </w:rPr>
            </w:pPr>
          </w:p>
        </w:tc>
        <w:tc>
          <w:tcPr>
            <w:tcW w:w="1649" w:type="pct"/>
            <w:tcBorders>
              <w:top w:val="single" w:sz="4" w:space="0" w:color="auto"/>
              <w:left w:val="single" w:sz="4" w:space="0" w:color="auto"/>
              <w:bottom w:val="nil"/>
              <w:right w:val="single" w:sz="4" w:space="0" w:color="auto"/>
            </w:tcBorders>
          </w:tcPr>
          <w:p w14:paraId="6BC6FAEF" w14:textId="77777777" w:rsidR="00B22A3B" w:rsidRPr="003B4D22" w:rsidRDefault="00B22A3B" w:rsidP="00B22A3B">
            <w:pPr>
              <w:spacing w:after="0" w:line="240" w:lineRule="auto"/>
              <w:rPr>
                <w:rFonts w:ascii="Arial Narrow" w:hAnsi="Arial Narrow"/>
                <w:sz w:val="20"/>
              </w:rPr>
            </w:pPr>
            <w:r w:rsidRPr="003B4D22">
              <w:rPr>
                <w:rFonts w:ascii="Arial Narrow" w:hAnsi="Arial Narrow"/>
                <w:sz w:val="20"/>
              </w:rPr>
              <w:t>Duration of infections</w:t>
            </w:r>
          </w:p>
        </w:tc>
        <w:tc>
          <w:tcPr>
            <w:tcW w:w="951" w:type="pct"/>
            <w:tcBorders>
              <w:top w:val="single" w:sz="4" w:space="0" w:color="auto"/>
              <w:left w:val="single" w:sz="4" w:space="0" w:color="auto"/>
              <w:bottom w:val="nil"/>
              <w:right w:val="nil"/>
            </w:tcBorders>
            <w:shd w:val="clear" w:color="auto" w:fill="auto"/>
            <w:noWrap/>
          </w:tcPr>
          <w:p w14:paraId="4B958641" w14:textId="77777777" w:rsidR="00B22A3B" w:rsidRPr="003B4D22" w:rsidRDefault="00B22A3B" w:rsidP="00B22A3B">
            <w:pPr>
              <w:spacing w:after="0" w:line="240" w:lineRule="auto"/>
              <w:jc w:val="right"/>
              <w:rPr>
                <w:rFonts w:ascii="Arial Narrow" w:hAnsi="Arial Narrow"/>
                <w:sz w:val="20"/>
              </w:rPr>
            </w:pPr>
            <w:r w:rsidRPr="003B4D22">
              <w:rPr>
                <w:rFonts w:ascii="Arial Narrow" w:hAnsi="Arial Narrow"/>
                <w:sz w:val="20"/>
              </w:rPr>
              <w:t>SCIg (n=24)</w:t>
            </w:r>
          </w:p>
        </w:tc>
        <w:tc>
          <w:tcPr>
            <w:tcW w:w="867" w:type="pct"/>
            <w:tcBorders>
              <w:top w:val="single" w:sz="4" w:space="0" w:color="auto"/>
              <w:left w:val="nil"/>
              <w:bottom w:val="nil"/>
              <w:right w:val="nil"/>
            </w:tcBorders>
            <w:shd w:val="clear" w:color="auto" w:fill="auto"/>
            <w:noWrap/>
          </w:tcPr>
          <w:p w14:paraId="424C46F3" w14:textId="77777777" w:rsidR="00B22A3B" w:rsidRPr="003B4D22" w:rsidRDefault="00B22A3B" w:rsidP="00B22A3B">
            <w:pPr>
              <w:spacing w:after="0" w:line="240" w:lineRule="auto"/>
              <w:jc w:val="right"/>
              <w:rPr>
                <w:rFonts w:ascii="Arial Narrow" w:hAnsi="Arial Narrow"/>
                <w:sz w:val="20"/>
              </w:rPr>
            </w:pPr>
            <w:r w:rsidRPr="003B4D22">
              <w:rPr>
                <w:rFonts w:ascii="Arial Narrow" w:hAnsi="Arial Narrow"/>
                <w:sz w:val="20"/>
              </w:rPr>
              <w:t>No SCIg (n=22)</w:t>
            </w:r>
          </w:p>
        </w:tc>
        <w:tc>
          <w:tcPr>
            <w:tcW w:w="778" w:type="pct"/>
            <w:tcBorders>
              <w:top w:val="single" w:sz="4" w:space="0" w:color="auto"/>
              <w:left w:val="nil"/>
              <w:bottom w:val="nil"/>
              <w:right w:val="single" w:sz="4" w:space="0" w:color="auto"/>
            </w:tcBorders>
          </w:tcPr>
          <w:p w14:paraId="034AC23B" w14:textId="77777777" w:rsidR="00B22A3B" w:rsidRPr="003B4D22" w:rsidRDefault="00B22A3B" w:rsidP="00B22A3B">
            <w:pPr>
              <w:spacing w:after="0" w:line="240" w:lineRule="auto"/>
              <w:jc w:val="right"/>
              <w:rPr>
                <w:rFonts w:ascii="Arial Narrow" w:hAnsi="Arial Narrow"/>
                <w:sz w:val="20"/>
                <w:szCs w:val="20"/>
              </w:rPr>
            </w:pPr>
            <w:r w:rsidRPr="003B4D22">
              <w:rPr>
                <w:rFonts w:ascii="Arial Narrow" w:hAnsi="Arial Narrow"/>
                <w:sz w:val="20"/>
                <w:szCs w:val="20"/>
              </w:rPr>
              <w:t>p value</w:t>
            </w:r>
          </w:p>
        </w:tc>
      </w:tr>
      <w:tr w:rsidR="00B22A3B" w:rsidRPr="003B4D22" w14:paraId="06148CB2" w14:textId="77777777" w:rsidTr="00E218D0">
        <w:tc>
          <w:tcPr>
            <w:tcW w:w="755" w:type="pct"/>
            <w:tcBorders>
              <w:left w:val="single" w:sz="4" w:space="0" w:color="auto"/>
              <w:bottom w:val="single" w:sz="4" w:space="0" w:color="auto"/>
              <w:right w:val="single" w:sz="4" w:space="0" w:color="auto"/>
            </w:tcBorders>
          </w:tcPr>
          <w:p w14:paraId="287F7AED" w14:textId="77777777" w:rsidR="00B22A3B" w:rsidRPr="003B4D22" w:rsidRDefault="00B22A3B" w:rsidP="00B22A3B">
            <w:pPr>
              <w:spacing w:after="0" w:line="240" w:lineRule="auto"/>
              <w:rPr>
                <w:rFonts w:ascii="Arial Narrow" w:hAnsi="Arial Narrow" w:cs="Calibri"/>
                <w:color w:val="000000"/>
                <w:sz w:val="20"/>
                <w:szCs w:val="20"/>
              </w:rPr>
            </w:pPr>
          </w:p>
        </w:tc>
        <w:tc>
          <w:tcPr>
            <w:tcW w:w="1649" w:type="pct"/>
            <w:tcBorders>
              <w:left w:val="single" w:sz="4" w:space="0" w:color="auto"/>
              <w:bottom w:val="single" w:sz="4" w:space="0" w:color="auto"/>
              <w:right w:val="single" w:sz="4" w:space="0" w:color="auto"/>
            </w:tcBorders>
          </w:tcPr>
          <w:p w14:paraId="3D9B98C9" w14:textId="77777777" w:rsidR="00B22A3B" w:rsidRPr="003B4D22" w:rsidRDefault="00B22A3B" w:rsidP="00B22A3B">
            <w:pPr>
              <w:spacing w:after="0" w:line="240" w:lineRule="auto"/>
              <w:rPr>
                <w:rFonts w:ascii="Arial Narrow" w:hAnsi="Arial Narrow"/>
                <w:i/>
                <w:sz w:val="20"/>
              </w:rPr>
            </w:pPr>
            <w:r w:rsidRPr="003B4D22">
              <w:rPr>
                <w:rFonts w:ascii="Arial Narrow" w:hAnsi="Arial Narrow"/>
                <w:sz w:val="20"/>
              </w:rPr>
              <w:t>Total infection days per yr (range)</w:t>
            </w:r>
          </w:p>
        </w:tc>
        <w:tc>
          <w:tcPr>
            <w:tcW w:w="951" w:type="pct"/>
            <w:tcBorders>
              <w:left w:val="single" w:sz="4" w:space="0" w:color="auto"/>
              <w:bottom w:val="single" w:sz="4" w:space="0" w:color="auto"/>
              <w:right w:val="nil"/>
            </w:tcBorders>
            <w:shd w:val="clear" w:color="auto" w:fill="auto"/>
            <w:noWrap/>
          </w:tcPr>
          <w:p w14:paraId="154123D3" w14:textId="77777777" w:rsidR="00B22A3B" w:rsidRPr="003B4D22" w:rsidRDefault="00B22A3B" w:rsidP="00B22A3B">
            <w:pPr>
              <w:spacing w:after="0" w:line="240" w:lineRule="auto"/>
              <w:jc w:val="right"/>
              <w:rPr>
                <w:rFonts w:ascii="Arial Narrow" w:hAnsi="Arial Narrow"/>
                <w:i/>
                <w:sz w:val="20"/>
              </w:rPr>
            </w:pPr>
            <w:r w:rsidRPr="003B4D22">
              <w:rPr>
                <w:rFonts w:ascii="Arial Narrow" w:hAnsi="Arial Narrow"/>
                <w:sz w:val="20"/>
              </w:rPr>
              <w:t>62 (26-87)</w:t>
            </w:r>
          </w:p>
        </w:tc>
        <w:tc>
          <w:tcPr>
            <w:tcW w:w="867" w:type="pct"/>
            <w:tcBorders>
              <w:left w:val="nil"/>
              <w:bottom w:val="single" w:sz="4" w:space="0" w:color="auto"/>
              <w:right w:val="nil"/>
            </w:tcBorders>
            <w:shd w:val="clear" w:color="auto" w:fill="auto"/>
            <w:noWrap/>
          </w:tcPr>
          <w:p w14:paraId="7F081018" w14:textId="77777777" w:rsidR="00B22A3B" w:rsidRPr="003B4D22" w:rsidRDefault="00B22A3B" w:rsidP="00B22A3B">
            <w:pPr>
              <w:spacing w:after="0" w:line="240" w:lineRule="auto"/>
              <w:jc w:val="right"/>
              <w:rPr>
                <w:rFonts w:ascii="Arial Narrow" w:hAnsi="Arial Narrow"/>
                <w:i/>
                <w:sz w:val="20"/>
              </w:rPr>
            </w:pPr>
            <w:r w:rsidRPr="003B4D22">
              <w:rPr>
                <w:rFonts w:ascii="Arial Narrow" w:hAnsi="Arial Narrow"/>
                <w:sz w:val="20"/>
              </w:rPr>
              <w:t>135 (88-194)</w:t>
            </w:r>
          </w:p>
        </w:tc>
        <w:tc>
          <w:tcPr>
            <w:tcW w:w="778" w:type="pct"/>
            <w:tcBorders>
              <w:left w:val="nil"/>
              <w:bottom w:val="single" w:sz="4" w:space="0" w:color="auto"/>
              <w:right w:val="single" w:sz="4" w:space="0" w:color="auto"/>
            </w:tcBorders>
          </w:tcPr>
          <w:p w14:paraId="735E5CA1" w14:textId="075B9270" w:rsidR="00B22A3B" w:rsidRPr="003B4D22" w:rsidRDefault="00F40C0D" w:rsidP="00B22A3B">
            <w:pPr>
              <w:spacing w:after="0" w:line="240" w:lineRule="auto"/>
              <w:jc w:val="right"/>
              <w:rPr>
                <w:rFonts w:ascii="Arial Narrow" w:hAnsi="Arial Narrow"/>
                <w:sz w:val="20"/>
                <w:szCs w:val="20"/>
              </w:rPr>
            </w:pPr>
            <w:r>
              <w:rPr>
                <w:rFonts w:ascii="Arial Narrow" w:hAnsi="Arial Narrow"/>
                <w:sz w:val="20"/>
              </w:rPr>
              <w:t>p</w:t>
            </w:r>
            <w:r w:rsidR="00B22A3B" w:rsidRPr="003B4D22">
              <w:rPr>
                <w:rFonts w:ascii="Arial Narrow" w:hAnsi="Arial Narrow"/>
                <w:sz w:val="20"/>
              </w:rPr>
              <w:t>&lt;0.01</w:t>
            </w:r>
          </w:p>
        </w:tc>
      </w:tr>
    </w:tbl>
    <w:p w14:paraId="5D9F1714" w14:textId="6CC61D36" w:rsidR="00A904EF" w:rsidRDefault="00A904EF" w:rsidP="00A148C4">
      <w:pPr>
        <w:pStyle w:val="Tablenotes1"/>
      </w:pPr>
      <w:r w:rsidRPr="00876F28">
        <w:t>Notes: Values in italics have been</w:t>
      </w:r>
      <w:r w:rsidR="008A7CB3" w:rsidRPr="00876F28">
        <w:t xml:space="preserve"> calculated for the evaluation.</w:t>
      </w:r>
      <w:r w:rsidRPr="00876F28">
        <w:t xml:space="preserve"> </w:t>
      </w:r>
      <w:r w:rsidRPr="00876F28">
        <w:rPr>
          <w:u w:val="single"/>
        </w:rPr>
        <w:t>Vacca et al., 2018</w:t>
      </w:r>
      <w:r w:rsidRPr="00876F28">
        <w:t xml:space="preserve"> – </w:t>
      </w:r>
      <w:r w:rsidR="00F40C0D" w:rsidRPr="00876F28">
        <w:t xml:space="preserve">The article describes infections as serious vs nild/non-serious in the graphs; major vs minor in tables and severe in the text – it is assumed </w:t>
      </w:r>
      <w:r w:rsidRPr="00876F28">
        <w:t>Upper and lower respiratory tract infection rates were not calculated as patient numbers for these events were not</w:t>
      </w:r>
      <w:r w:rsidR="008A7CB3" w:rsidRPr="00876F28">
        <w:t xml:space="preserve"> reported. </w:t>
      </w:r>
      <w:r w:rsidR="00F40C0D" w:rsidRPr="00876F28">
        <w:t>I</w:t>
      </w:r>
      <w:r w:rsidR="008A7CB3" w:rsidRPr="00876F28">
        <w:t xml:space="preserve">nfection rates </w:t>
      </w:r>
      <w:r w:rsidR="00F40C0D" w:rsidRPr="00876F28">
        <w:t xml:space="preserve">presented as bar charts without values , thus rates </w:t>
      </w:r>
      <w:r w:rsidR="008A7CB3" w:rsidRPr="00876F28">
        <w:t xml:space="preserve">were derived using the infection episodes above, assuming 365d and N=46 patients. Numbers approximating the authors’ graphs could not be replicated for the ‘No SCIg’ major infections rate. </w:t>
      </w:r>
    </w:p>
    <w:p w14:paraId="0F7B74B9" w14:textId="50644866" w:rsidR="00876F28" w:rsidRPr="00876F28" w:rsidRDefault="00876F28" w:rsidP="00A148C4">
      <w:pPr>
        <w:pStyle w:val="Tablenotes1"/>
      </w:pPr>
      <w:r w:rsidRPr="00876F28">
        <w:t>CLL=chronic lymphocytic leukaemia; GI=gastrointestinal; IVIg=intravenous immunoglobulin; HSCT=haematopoietic stem cell transplant; MM=multiple myeloma; mo=month; n.r.=not reported; n.s.=not significant; SCIg=sub-cutaneous immunoglobulin; SEM=standard error of the mean; tx=treatment; UTI=urinary tract infection; yr=year.</w:t>
      </w:r>
    </w:p>
    <w:p w14:paraId="3E92CCE1" w14:textId="4AEDBE1D" w:rsidR="00386411" w:rsidRPr="00386411" w:rsidRDefault="00386411" w:rsidP="00A148C4">
      <w:pPr>
        <w:pStyle w:val="Caption"/>
      </w:pPr>
      <w:bookmarkStart w:id="772" w:name="_Ref14101014"/>
      <w:bookmarkStart w:id="773" w:name="_Toc14429627"/>
      <w:bookmarkStart w:id="774" w:name="_Toc16671685"/>
      <w:r w:rsidRPr="00386411">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87</w:t>
      </w:r>
      <w:r w:rsidRPr="00386411">
        <w:rPr>
          <w:noProof/>
        </w:rPr>
        <w:fldChar w:fldCharType="end"/>
      </w:r>
      <w:bookmarkEnd w:id="772"/>
      <w:r w:rsidRPr="00386411">
        <w:tab/>
      </w:r>
      <w:r w:rsidRPr="00386411">
        <w:rPr>
          <w:snapToGrid w:val="0"/>
          <w:lang w:eastAsia="en-US"/>
        </w:rPr>
        <w:t>Cohort studies presenting infections – IVIg vs no IVIg</w:t>
      </w:r>
      <w:bookmarkEnd w:id="773"/>
      <w:bookmarkEnd w:id="774"/>
    </w:p>
    <w:tbl>
      <w:tblPr>
        <w:tblW w:w="5171" w:type="pct"/>
        <w:tblLayout w:type="fixed"/>
        <w:tblLook w:val="04A0" w:firstRow="1" w:lastRow="0" w:firstColumn="1" w:lastColumn="0" w:noHBand="0" w:noVBand="1"/>
      </w:tblPr>
      <w:tblGrid>
        <w:gridCol w:w="1243"/>
        <w:gridCol w:w="3261"/>
        <w:gridCol w:w="1797"/>
        <w:gridCol w:w="1984"/>
        <w:gridCol w:w="1273"/>
      </w:tblGrid>
      <w:tr w:rsidR="00E218D0" w:rsidRPr="00386411" w14:paraId="6866BB72" w14:textId="77777777" w:rsidTr="00B52A4F">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083652A" w14:textId="77777777" w:rsidR="00E218D0" w:rsidRPr="00386411" w:rsidRDefault="00E218D0" w:rsidP="00402B1A">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Study</w:t>
            </w:r>
          </w:p>
        </w:tc>
        <w:tc>
          <w:tcPr>
            <w:tcW w:w="17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CCE2FC" w14:textId="77777777" w:rsidR="00E218D0" w:rsidRPr="00386411" w:rsidRDefault="00E218D0" w:rsidP="00402B1A">
            <w:pPr>
              <w:keepNext/>
              <w:spacing w:after="0" w:line="240" w:lineRule="auto"/>
              <w:rPr>
                <w:rFonts w:ascii="Arial Narrow" w:hAnsi="Arial Narrow"/>
                <w:b/>
                <w:sz w:val="20"/>
              </w:rPr>
            </w:pPr>
            <w:r w:rsidRPr="00386411">
              <w:rPr>
                <w:rFonts w:ascii="Arial Narrow" w:hAnsi="Arial Narrow"/>
                <w:b/>
                <w:sz w:val="20"/>
              </w:rPr>
              <w:t>Outcome</w:t>
            </w:r>
          </w:p>
        </w:tc>
        <w:tc>
          <w:tcPr>
            <w:tcW w:w="940" w:type="pct"/>
            <w:tcBorders>
              <w:top w:val="single" w:sz="4" w:space="0" w:color="auto"/>
              <w:left w:val="single" w:sz="4" w:space="0" w:color="auto"/>
              <w:bottom w:val="single" w:sz="4" w:space="0" w:color="auto"/>
              <w:right w:val="nil"/>
            </w:tcBorders>
            <w:shd w:val="clear" w:color="auto" w:fill="D9D9D9" w:themeFill="background1" w:themeFillShade="D9"/>
            <w:noWrap/>
          </w:tcPr>
          <w:p w14:paraId="6E2CB882" w14:textId="77777777" w:rsidR="00E218D0" w:rsidRPr="00386411" w:rsidRDefault="00E218D0" w:rsidP="00402B1A">
            <w:pPr>
              <w:keepNext/>
              <w:spacing w:after="0" w:line="240" w:lineRule="auto"/>
              <w:jc w:val="center"/>
              <w:rPr>
                <w:rFonts w:ascii="Arial Narrow" w:hAnsi="Arial Narrow"/>
                <w:b/>
                <w:sz w:val="20"/>
                <w:szCs w:val="20"/>
              </w:rPr>
            </w:pPr>
            <w:r w:rsidRPr="00386411">
              <w:rPr>
                <w:rFonts w:ascii="Arial Narrow" w:hAnsi="Arial Narrow"/>
                <w:b/>
                <w:sz w:val="20"/>
                <w:szCs w:val="20"/>
              </w:rPr>
              <w:t>Intervention</w:t>
            </w:r>
          </w:p>
        </w:tc>
        <w:tc>
          <w:tcPr>
            <w:tcW w:w="1038" w:type="pct"/>
            <w:tcBorders>
              <w:top w:val="single" w:sz="4" w:space="0" w:color="auto"/>
              <w:left w:val="nil"/>
              <w:bottom w:val="single" w:sz="4" w:space="0" w:color="auto"/>
              <w:right w:val="nil"/>
            </w:tcBorders>
            <w:shd w:val="clear" w:color="auto" w:fill="D9D9D9" w:themeFill="background1" w:themeFillShade="D9"/>
            <w:noWrap/>
          </w:tcPr>
          <w:p w14:paraId="44AF40B2" w14:textId="77777777" w:rsidR="00E218D0" w:rsidRPr="00386411" w:rsidRDefault="00E218D0" w:rsidP="00402B1A">
            <w:pPr>
              <w:keepNext/>
              <w:spacing w:after="0" w:line="240" w:lineRule="auto"/>
              <w:jc w:val="center"/>
              <w:rPr>
                <w:rFonts w:ascii="Arial Narrow" w:hAnsi="Arial Narrow"/>
                <w:b/>
                <w:sz w:val="20"/>
                <w:szCs w:val="20"/>
              </w:rPr>
            </w:pPr>
            <w:r w:rsidRPr="00386411">
              <w:rPr>
                <w:rFonts w:ascii="Arial Narrow" w:hAnsi="Arial Narrow"/>
                <w:b/>
                <w:sz w:val="20"/>
                <w:szCs w:val="20"/>
              </w:rPr>
              <w:t>Comparator</w:t>
            </w:r>
          </w:p>
        </w:tc>
        <w:tc>
          <w:tcPr>
            <w:tcW w:w="666" w:type="pct"/>
            <w:tcBorders>
              <w:top w:val="single" w:sz="4" w:space="0" w:color="auto"/>
              <w:left w:val="nil"/>
              <w:bottom w:val="single" w:sz="4" w:space="0" w:color="auto"/>
              <w:right w:val="single" w:sz="4" w:space="0" w:color="auto"/>
            </w:tcBorders>
            <w:shd w:val="clear" w:color="auto" w:fill="D9D9D9" w:themeFill="background1" w:themeFillShade="D9"/>
          </w:tcPr>
          <w:p w14:paraId="1251D50B" w14:textId="77777777" w:rsidR="00E218D0" w:rsidRPr="00386411" w:rsidRDefault="00E218D0" w:rsidP="00402B1A">
            <w:pPr>
              <w:keepNext/>
              <w:spacing w:after="0" w:line="240" w:lineRule="auto"/>
              <w:jc w:val="center"/>
              <w:rPr>
                <w:rFonts w:ascii="Arial Narrow" w:hAnsi="Arial Narrow"/>
                <w:b/>
                <w:sz w:val="20"/>
                <w:szCs w:val="20"/>
              </w:rPr>
            </w:pPr>
            <w:r w:rsidRPr="00386411">
              <w:rPr>
                <w:rFonts w:ascii="Arial Narrow" w:hAnsi="Arial Narrow"/>
                <w:b/>
                <w:sz w:val="20"/>
                <w:szCs w:val="20"/>
              </w:rPr>
              <w:t>Comparison</w:t>
            </w:r>
          </w:p>
        </w:tc>
      </w:tr>
      <w:tr w:rsidR="00E218D0" w:rsidRPr="00386411" w14:paraId="62485025" w14:textId="77777777" w:rsidTr="00B52A4F">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31E3F3" w14:textId="77777777" w:rsidR="00E218D0" w:rsidRPr="00386411" w:rsidRDefault="00E218D0" w:rsidP="00402B1A">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Blombery et al., 2011</w:t>
            </w:r>
          </w:p>
        </w:tc>
        <w:tc>
          <w:tcPr>
            <w:tcW w:w="17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02AB75" w14:textId="77777777" w:rsidR="00E218D0" w:rsidRPr="00386411" w:rsidRDefault="00E218D0" w:rsidP="00402B1A">
            <w:pPr>
              <w:keepNext/>
              <w:spacing w:after="0" w:line="240" w:lineRule="auto"/>
              <w:rPr>
                <w:rFonts w:ascii="Arial Narrow" w:hAnsi="Arial Narrow"/>
                <w:b/>
                <w:sz w:val="20"/>
              </w:rPr>
            </w:pPr>
            <w:r w:rsidRPr="00386411">
              <w:rPr>
                <w:rFonts w:ascii="Arial Narrow" w:hAnsi="Arial Narrow"/>
                <w:b/>
                <w:sz w:val="20"/>
              </w:rPr>
              <w:t>Patients with infectious complications until d30 (fever; infections) (%)</w:t>
            </w:r>
          </w:p>
        </w:tc>
        <w:tc>
          <w:tcPr>
            <w:tcW w:w="940" w:type="pct"/>
            <w:tcBorders>
              <w:top w:val="single" w:sz="4" w:space="0" w:color="auto"/>
              <w:left w:val="single" w:sz="4" w:space="0" w:color="auto"/>
              <w:bottom w:val="single" w:sz="4" w:space="0" w:color="auto"/>
              <w:right w:val="nil"/>
            </w:tcBorders>
            <w:shd w:val="clear" w:color="auto" w:fill="D9D9D9" w:themeFill="background1" w:themeFillShade="D9"/>
            <w:noWrap/>
          </w:tcPr>
          <w:p w14:paraId="2A787A9A" w14:textId="77777777" w:rsidR="00E218D0" w:rsidRPr="00386411" w:rsidRDefault="00E218D0" w:rsidP="00402B1A">
            <w:pPr>
              <w:keepNext/>
              <w:spacing w:after="0" w:line="240" w:lineRule="auto"/>
              <w:jc w:val="center"/>
              <w:rPr>
                <w:rFonts w:ascii="Arial Narrow" w:hAnsi="Arial Narrow"/>
                <w:b/>
                <w:sz w:val="20"/>
              </w:rPr>
            </w:pPr>
            <w:r w:rsidRPr="00386411">
              <w:rPr>
                <w:rFonts w:ascii="Arial Narrow" w:hAnsi="Arial Narrow"/>
                <w:b/>
                <w:sz w:val="20"/>
              </w:rPr>
              <w:t>IVIg (n=130)</w:t>
            </w:r>
          </w:p>
        </w:tc>
        <w:tc>
          <w:tcPr>
            <w:tcW w:w="1038" w:type="pct"/>
            <w:tcBorders>
              <w:top w:val="single" w:sz="4" w:space="0" w:color="auto"/>
              <w:left w:val="nil"/>
              <w:bottom w:val="single" w:sz="4" w:space="0" w:color="auto"/>
              <w:right w:val="nil"/>
            </w:tcBorders>
            <w:shd w:val="clear" w:color="auto" w:fill="D9D9D9" w:themeFill="background1" w:themeFillShade="D9"/>
            <w:noWrap/>
          </w:tcPr>
          <w:p w14:paraId="6B042A47" w14:textId="77777777" w:rsidR="00E218D0" w:rsidRPr="00386411" w:rsidRDefault="00E218D0" w:rsidP="00402B1A">
            <w:pPr>
              <w:keepNext/>
              <w:spacing w:after="0" w:line="240" w:lineRule="auto"/>
              <w:jc w:val="center"/>
              <w:rPr>
                <w:rFonts w:ascii="Arial Narrow" w:hAnsi="Arial Narrow"/>
                <w:b/>
                <w:sz w:val="20"/>
                <w:szCs w:val="20"/>
              </w:rPr>
            </w:pPr>
            <w:r w:rsidRPr="00386411">
              <w:rPr>
                <w:rFonts w:ascii="Arial Narrow" w:hAnsi="Arial Narrow"/>
                <w:b/>
                <w:sz w:val="20"/>
              </w:rPr>
              <w:t>No IVIg (n=110)</w:t>
            </w:r>
          </w:p>
        </w:tc>
        <w:tc>
          <w:tcPr>
            <w:tcW w:w="666" w:type="pct"/>
            <w:tcBorders>
              <w:top w:val="single" w:sz="4" w:space="0" w:color="auto"/>
              <w:left w:val="nil"/>
              <w:bottom w:val="single" w:sz="4" w:space="0" w:color="auto"/>
              <w:right w:val="single" w:sz="4" w:space="0" w:color="auto"/>
            </w:tcBorders>
            <w:shd w:val="clear" w:color="auto" w:fill="D9D9D9" w:themeFill="background1" w:themeFillShade="D9"/>
          </w:tcPr>
          <w:p w14:paraId="19D6D8D0" w14:textId="77777777" w:rsidR="00E218D0" w:rsidRPr="00386411" w:rsidRDefault="00E218D0" w:rsidP="00402B1A">
            <w:pPr>
              <w:keepNext/>
              <w:spacing w:after="0" w:line="240" w:lineRule="auto"/>
              <w:jc w:val="right"/>
              <w:rPr>
                <w:rFonts w:ascii="Arial Narrow" w:hAnsi="Arial Narrow"/>
                <w:b/>
                <w:sz w:val="20"/>
                <w:szCs w:val="20"/>
              </w:rPr>
            </w:pPr>
            <w:r w:rsidRPr="00386411">
              <w:rPr>
                <w:rFonts w:ascii="Arial Narrow" w:hAnsi="Arial Narrow"/>
                <w:b/>
                <w:sz w:val="20"/>
              </w:rPr>
              <w:t>p value</w:t>
            </w:r>
          </w:p>
        </w:tc>
      </w:tr>
      <w:tr w:rsidR="00E218D0" w:rsidRPr="003B4D22" w14:paraId="00589A2B" w14:textId="77777777" w:rsidTr="00EB4D73">
        <w:tc>
          <w:tcPr>
            <w:tcW w:w="650" w:type="pct"/>
            <w:tcBorders>
              <w:top w:val="single" w:sz="4" w:space="0" w:color="auto"/>
              <w:left w:val="single" w:sz="4" w:space="0" w:color="auto"/>
              <w:bottom w:val="nil"/>
              <w:right w:val="single" w:sz="4" w:space="0" w:color="auto"/>
            </w:tcBorders>
          </w:tcPr>
          <w:p w14:paraId="0B377835" w14:textId="77777777" w:rsidR="00E218D0" w:rsidRPr="003B4D22" w:rsidRDefault="00E218D0" w:rsidP="00386411">
            <w:pPr>
              <w:spacing w:after="0" w:line="240" w:lineRule="auto"/>
              <w:rPr>
                <w:rFonts w:ascii="Arial Narrow" w:hAnsi="Arial Narrow" w:cs="Calibri"/>
                <w:color w:val="000000"/>
                <w:sz w:val="20"/>
                <w:szCs w:val="20"/>
              </w:rPr>
            </w:pPr>
            <w:r w:rsidRPr="003B4D22">
              <w:rPr>
                <w:rFonts w:ascii="Arial Narrow" w:hAnsi="Arial Narrow" w:cs="Calibri"/>
                <w:color w:val="000000"/>
                <w:sz w:val="20"/>
                <w:szCs w:val="20"/>
              </w:rPr>
              <w:t>MM+HSCT</w:t>
            </w:r>
          </w:p>
        </w:tc>
        <w:tc>
          <w:tcPr>
            <w:tcW w:w="1706" w:type="pct"/>
            <w:tcBorders>
              <w:top w:val="single" w:sz="4" w:space="0" w:color="auto"/>
              <w:left w:val="single" w:sz="4" w:space="0" w:color="auto"/>
              <w:bottom w:val="nil"/>
              <w:right w:val="single" w:sz="4" w:space="0" w:color="auto"/>
            </w:tcBorders>
          </w:tcPr>
          <w:p w14:paraId="6A0B37C8" w14:textId="77777777" w:rsidR="00E218D0" w:rsidRPr="003B4D22" w:rsidRDefault="00E218D0" w:rsidP="00331FB9">
            <w:pPr>
              <w:pStyle w:val="ListParagraph"/>
              <w:numPr>
                <w:ilvl w:val="0"/>
                <w:numId w:val="16"/>
              </w:numPr>
              <w:spacing w:after="0" w:line="240" w:lineRule="auto"/>
              <w:ind w:left="141" w:hanging="153"/>
              <w:rPr>
                <w:rFonts w:ascii="Arial Narrow" w:hAnsi="Arial Narrow"/>
                <w:sz w:val="20"/>
              </w:rPr>
            </w:pPr>
            <w:r w:rsidRPr="003B4D22">
              <w:rPr>
                <w:rFonts w:ascii="Arial Narrow" w:hAnsi="Arial Narrow"/>
                <w:sz w:val="20"/>
              </w:rPr>
              <w:t>Fever (%)</w:t>
            </w:r>
          </w:p>
        </w:tc>
        <w:tc>
          <w:tcPr>
            <w:tcW w:w="940" w:type="pct"/>
            <w:tcBorders>
              <w:top w:val="single" w:sz="4" w:space="0" w:color="auto"/>
              <w:left w:val="single" w:sz="4" w:space="0" w:color="auto"/>
              <w:bottom w:val="nil"/>
              <w:right w:val="nil"/>
            </w:tcBorders>
            <w:shd w:val="clear" w:color="auto" w:fill="auto"/>
            <w:noWrap/>
          </w:tcPr>
          <w:p w14:paraId="4B67EC24" w14:textId="77777777" w:rsidR="00E218D0" w:rsidRPr="003B4D22" w:rsidRDefault="00E218D0" w:rsidP="00386411">
            <w:pPr>
              <w:spacing w:after="0" w:line="240" w:lineRule="auto"/>
              <w:jc w:val="right"/>
              <w:rPr>
                <w:rFonts w:ascii="Arial Narrow" w:hAnsi="Arial Narrow"/>
                <w:sz w:val="20"/>
                <w:szCs w:val="20"/>
              </w:rPr>
            </w:pPr>
            <w:r w:rsidRPr="003B4D22">
              <w:rPr>
                <w:rFonts w:ascii="Arial Narrow" w:hAnsi="Arial Narrow"/>
                <w:sz w:val="20"/>
              </w:rPr>
              <w:t>111 (85.4)</w:t>
            </w:r>
          </w:p>
        </w:tc>
        <w:tc>
          <w:tcPr>
            <w:tcW w:w="1038" w:type="pct"/>
            <w:tcBorders>
              <w:top w:val="single" w:sz="4" w:space="0" w:color="auto"/>
              <w:left w:val="nil"/>
              <w:bottom w:val="nil"/>
              <w:right w:val="nil"/>
            </w:tcBorders>
            <w:shd w:val="clear" w:color="auto" w:fill="auto"/>
            <w:noWrap/>
          </w:tcPr>
          <w:p w14:paraId="6CDAFDE9" w14:textId="77777777" w:rsidR="00E218D0" w:rsidRPr="003B4D22" w:rsidRDefault="00E218D0" w:rsidP="00386411">
            <w:pPr>
              <w:spacing w:after="0" w:line="240" w:lineRule="auto"/>
              <w:jc w:val="right"/>
              <w:rPr>
                <w:rFonts w:ascii="Arial Narrow" w:hAnsi="Arial Narrow"/>
                <w:sz w:val="20"/>
                <w:szCs w:val="20"/>
              </w:rPr>
            </w:pPr>
            <w:r w:rsidRPr="003B4D22">
              <w:rPr>
                <w:rFonts w:ascii="Arial Narrow" w:hAnsi="Arial Narrow"/>
                <w:sz w:val="20"/>
              </w:rPr>
              <w:t>93 (84.5)</w:t>
            </w:r>
          </w:p>
        </w:tc>
        <w:tc>
          <w:tcPr>
            <w:tcW w:w="666" w:type="pct"/>
            <w:tcBorders>
              <w:top w:val="single" w:sz="4" w:space="0" w:color="auto"/>
              <w:left w:val="nil"/>
              <w:bottom w:val="nil"/>
              <w:right w:val="single" w:sz="4" w:space="0" w:color="auto"/>
            </w:tcBorders>
          </w:tcPr>
          <w:p w14:paraId="284BD5DF" w14:textId="77777777" w:rsidR="00E218D0" w:rsidRPr="003B4D22" w:rsidRDefault="00E218D0" w:rsidP="00386411">
            <w:pPr>
              <w:spacing w:after="0" w:line="240" w:lineRule="auto"/>
              <w:jc w:val="right"/>
              <w:rPr>
                <w:rFonts w:ascii="Arial Narrow" w:hAnsi="Arial Narrow"/>
                <w:sz w:val="20"/>
                <w:szCs w:val="20"/>
              </w:rPr>
            </w:pPr>
            <w:r w:rsidRPr="003B4D22">
              <w:rPr>
                <w:rFonts w:ascii="Arial Narrow" w:hAnsi="Arial Narrow"/>
                <w:sz w:val="20"/>
              </w:rPr>
              <w:t>p=0.86</w:t>
            </w:r>
          </w:p>
        </w:tc>
      </w:tr>
      <w:tr w:rsidR="00E218D0" w:rsidRPr="003B4D22" w14:paraId="161574E0" w14:textId="77777777" w:rsidTr="00EB4D73">
        <w:tc>
          <w:tcPr>
            <w:tcW w:w="650" w:type="pct"/>
            <w:tcBorders>
              <w:top w:val="nil"/>
              <w:left w:val="single" w:sz="4" w:space="0" w:color="auto"/>
              <w:bottom w:val="nil"/>
              <w:right w:val="single" w:sz="4" w:space="0" w:color="auto"/>
            </w:tcBorders>
          </w:tcPr>
          <w:p w14:paraId="621F020A" w14:textId="77777777" w:rsidR="00E218D0" w:rsidRPr="003B4D22" w:rsidRDefault="00E218D0" w:rsidP="00386411">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tcPr>
          <w:p w14:paraId="5A9E3018" w14:textId="77777777" w:rsidR="00E218D0" w:rsidRPr="003B4D22" w:rsidRDefault="00E218D0" w:rsidP="00331FB9">
            <w:pPr>
              <w:pStyle w:val="ListParagraph"/>
              <w:numPr>
                <w:ilvl w:val="0"/>
                <w:numId w:val="16"/>
              </w:numPr>
              <w:spacing w:after="0" w:line="240" w:lineRule="auto"/>
              <w:ind w:left="141" w:hanging="153"/>
              <w:rPr>
                <w:rFonts w:ascii="Arial Narrow" w:hAnsi="Arial Narrow"/>
                <w:i/>
                <w:sz w:val="20"/>
              </w:rPr>
            </w:pPr>
            <w:r w:rsidRPr="003B4D22">
              <w:rPr>
                <w:rFonts w:ascii="Arial Narrow" w:hAnsi="Arial Narrow"/>
                <w:sz w:val="20"/>
              </w:rPr>
              <w:t>BSI (%)</w:t>
            </w:r>
          </w:p>
        </w:tc>
        <w:tc>
          <w:tcPr>
            <w:tcW w:w="940" w:type="pct"/>
            <w:tcBorders>
              <w:top w:val="nil"/>
              <w:left w:val="single" w:sz="4" w:space="0" w:color="auto"/>
              <w:bottom w:val="nil"/>
              <w:right w:val="nil"/>
            </w:tcBorders>
            <w:shd w:val="clear" w:color="auto" w:fill="auto"/>
            <w:noWrap/>
          </w:tcPr>
          <w:p w14:paraId="01A7F79E" w14:textId="77777777" w:rsidR="00E218D0" w:rsidRPr="003B4D22" w:rsidRDefault="00E218D0" w:rsidP="00386411">
            <w:pPr>
              <w:spacing w:after="0" w:line="240" w:lineRule="auto"/>
              <w:jc w:val="right"/>
              <w:rPr>
                <w:rFonts w:ascii="Arial Narrow" w:hAnsi="Arial Narrow"/>
                <w:i/>
                <w:sz w:val="20"/>
                <w:szCs w:val="20"/>
              </w:rPr>
            </w:pPr>
            <w:r w:rsidRPr="003B4D22">
              <w:rPr>
                <w:rFonts w:ascii="Arial Narrow" w:hAnsi="Arial Narrow"/>
                <w:sz w:val="20"/>
              </w:rPr>
              <w:t>46 (35.4)</w:t>
            </w:r>
            <w:r w:rsidRPr="003B4D22">
              <w:rPr>
                <w:rFonts w:ascii="Arial Narrow" w:hAnsi="Arial Narrow"/>
                <w:i/>
                <w:sz w:val="20"/>
              </w:rPr>
              <w:t xml:space="preserve"> </w:t>
            </w:r>
          </w:p>
        </w:tc>
        <w:tc>
          <w:tcPr>
            <w:tcW w:w="1038" w:type="pct"/>
            <w:tcBorders>
              <w:top w:val="nil"/>
              <w:left w:val="nil"/>
              <w:bottom w:val="nil"/>
              <w:right w:val="nil"/>
            </w:tcBorders>
            <w:shd w:val="clear" w:color="auto" w:fill="auto"/>
            <w:noWrap/>
          </w:tcPr>
          <w:p w14:paraId="23D31548" w14:textId="77777777" w:rsidR="00E218D0" w:rsidRPr="003B4D22" w:rsidRDefault="00E218D0" w:rsidP="00386411">
            <w:pPr>
              <w:spacing w:after="0" w:line="240" w:lineRule="auto"/>
              <w:jc w:val="right"/>
              <w:rPr>
                <w:rFonts w:ascii="Arial Narrow" w:hAnsi="Arial Narrow"/>
                <w:i/>
                <w:sz w:val="20"/>
                <w:szCs w:val="20"/>
              </w:rPr>
            </w:pPr>
            <w:r w:rsidRPr="003B4D22">
              <w:rPr>
                <w:rFonts w:ascii="Arial Narrow" w:hAnsi="Arial Narrow"/>
                <w:sz w:val="20"/>
              </w:rPr>
              <w:t>35 (31.8)</w:t>
            </w:r>
          </w:p>
        </w:tc>
        <w:tc>
          <w:tcPr>
            <w:tcW w:w="666" w:type="pct"/>
            <w:tcBorders>
              <w:top w:val="nil"/>
              <w:left w:val="nil"/>
              <w:bottom w:val="nil"/>
              <w:right w:val="single" w:sz="4" w:space="0" w:color="auto"/>
            </w:tcBorders>
          </w:tcPr>
          <w:p w14:paraId="73E43D6D" w14:textId="77777777" w:rsidR="00E218D0" w:rsidRPr="003B4D22" w:rsidRDefault="00E218D0" w:rsidP="00386411">
            <w:pPr>
              <w:spacing w:after="0" w:line="240" w:lineRule="auto"/>
              <w:jc w:val="right"/>
              <w:rPr>
                <w:rFonts w:ascii="Arial Narrow" w:hAnsi="Arial Narrow"/>
                <w:i/>
                <w:sz w:val="20"/>
                <w:szCs w:val="20"/>
              </w:rPr>
            </w:pPr>
            <w:r w:rsidRPr="003B4D22">
              <w:rPr>
                <w:rFonts w:ascii="Arial Narrow" w:hAnsi="Arial Narrow"/>
                <w:sz w:val="20"/>
              </w:rPr>
              <w:t>p=0.59</w:t>
            </w:r>
          </w:p>
        </w:tc>
      </w:tr>
      <w:tr w:rsidR="00E218D0" w:rsidRPr="003B4D22" w14:paraId="3FCFEA29" w14:textId="77777777" w:rsidTr="00EB4D73">
        <w:tc>
          <w:tcPr>
            <w:tcW w:w="650" w:type="pct"/>
            <w:tcBorders>
              <w:top w:val="nil"/>
              <w:left w:val="single" w:sz="4" w:space="0" w:color="auto"/>
              <w:bottom w:val="nil"/>
              <w:right w:val="single" w:sz="4" w:space="0" w:color="auto"/>
            </w:tcBorders>
          </w:tcPr>
          <w:p w14:paraId="50317164" w14:textId="77777777" w:rsidR="00E218D0" w:rsidRPr="003B4D22" w:rsidRDefault="00E218D0" w:rsidP="00386411">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tcPr>
          <w:p w14:paraId="13D7F621" w14:textId="77777777" w:rsidR="00E218D0" w:rsidRPr="003B4D22" w:rsidRDefault="00E218D0" w:rsidP="00331FB9">
            <w:pPr>
              <w:pStyle w:val="ListParagraph"/>
              <w:numPr>
                <w:ilvl w:val="0"/>
                <w:numId w:val="16"/>
              </w:numPr>
              <w:spacing w:after="0" w:line="240" w:lineRule="auto"/>
              <w:ind w:left="141" w:hanging="153"/>
              <w:rPr>
                <w:rFonts w:ascii="Arial Narrow" w:hAnsi="Arial Narrow"/>
                <w:sz w:val="20"/>
              </w:rPr>
            </w:pPr>
            <w:r w:rsidRPr="003B4D22">
              <w:rPr>
                <w:rFonts w:ascii="Arial Narrow" w:hAnsi="Arial Narrow"/>
                <w:sz w:val="20"/>
              </w:rPr>
              <w:t xml:space="preserve">Pneumonia (%) </w:t>
            </w:r>
          </w:p>
        </w:tc>
        <w:tc>
          <w:tcPr>
            <w:tcW w:w="940" w:type="pct"/>
            <w:tcBorders>
              <w:top w:val="nil"/>
              <w:left w:val="single" w:sz="4" w:space="0" w:color="auto"/>
              <w:bottom w:val="nil"/>
              <w:right w:val="nil"/>
            </w:tcBorders>
            <w:shd w:val="clear" w:color="auto" w:fill="auto"/>
            <w:noWrap/>
          </w:tcPr>
          <w:p w14:paraId="5F09F992" w14:textId="77777777" w:rsidR="00E218D0" w:rsidRPr="003B4D22" w:rsidRDefault="00E218D0" w:rsidP="00386411">
            <w:pPr>
              <w:spacing w:after="0" w:line="240" w:lineRule="auto"/>
              <w:jc w:val="right"/>
              <w:rPr>
                <w:rFonts w:ascii="Arial Narrow" w:hAnsi="Arial Narrow"/>
                <w:sz w:val="20"/>
                <w:szCs w:val="20"/>
              </w:rPr>
            </w:pPr>
            <w:r w:rsidRPr="003B4D22">
              <w:rPr>
                <w:rFonts w:ascii="Arial Narrow" w:hAnsi="Arial Narrow"/>
                <w:sz w:val="20"/>
              </w:rPr>
              <w:t>23 (17.7)</w:t>
            </w:r>
          </w:p>
        </w:tc>
        <w:tc>
          <w:tcPr>
            <w:tcW w:w="1038" w:type="pct"/>
            <w:tcBorders>
              <w:top w:val="nil"/>
              <w:left w:val="nil"/>
              <w:bottom w:val="nil"/>
              <w:right w:val="nil"/>
            </w:tcBorders>
            <w:shd w:val="clear" w:color="auto" w:fill="auto"/>
            <w:noWrap/>
          </w:tcPr>
          <w:p w14:paraId="1CB84EFA" w14:textId="77777777" w:rsidR="00E218D0" w:rsidRPr="003B4D22" w:rsidRDefault="00E218D0" w:rsidP="00386411">
            <w:pPr>
              <w:spacing w:after="0" w:line="240" w:lineRule="auto"/>
              <w:jc w:val="right"/>
              <w:rPr>
                <w:rFonts w:ascii="Arial Narrow" w:hAnsi="Arial Narrow"/>
                <w:sz w:val="20"/>
                <w:szCs w:val="20"/>
              </w:rPr>
            </w:pPr>
            <w:r w:rsidRPr="003B4D22">
              <w:rPr>
                <w:rFonts w:ascii="Arial Narrow" w:hAnsi="Arial Narrow"/>
                <w:sz w:val="20"/>
              </w:rPr>
              <w:t>16 (14.5)</w:t>
            </w:r>
          </w:p>
        </w:tc>
        <w:tc>
          <w:tcPr>
            <w:tcW w:w="666" w:type="pct"/>
            <w:tcBorders>
              <w:top w:val="nil"/>
              <w:left w:val="nil"/>
              <w:bottom w:val="nil"/>
              <w:right w:val="single" w:sz="4" w:space="0" w:color="auto"/>
            </w:tcBorders>
          </w:tcPr>
          <w:p w14:paraId="65BA86BD" w14:textId="77777777" w:rsidR="00E218D0" w:rsidRPr="003B4D22" w:rsidRDefault="00E218D0" w:rsidP="00386411">
            <w:pPr>
              <w:spacing w:after="0" w:line="240" w:lineRule="auto"/>
              <w:jc w:val="right"/>
              <w:rPr>
                <w:rFonts w:ascii="Arial Narrow" w:hAnsi="Arial Narrow"/>
                <w:sz w:val="20"/>
                <w:szCs w:val="20"/>
              </w:rPr>
            </w:pPr>
            <w:r w:rsidRPr="003B4D22">
              <w:rPr>
                <w:rFonts w:ascii="Arial Narrow" w:hAnsi="Arial Narrow"/>
                <w:sz w:val="20"/>
              </w:rPr>
              <w:t>p=0.60</w:t>
            </w:r>
          </w:p>
        </w:tc>
      </w:tr>
      <w:tr w:rsidR="00E218D0" w:rsidRPr="003B4D22" w14:paraId="375EA8EB" w14:textId="77777777" w:rsidTr="00EB4D73">
        <w:tc>
          <w:tcPr>
            <w:tcW w:w="650" w:type="pct"/>
            <w:tcBorders>
              <w:top w:val="nil"/>
              <w:left w:val="single" w:sz="4" w:space="0" w:color="auto"/>
              <w:bottom w:val="nil"/>
              <w:right w:val="single" w:sz="4" w:space="0" w:color="auto"/>
            </w:tcBorders>
          </w:tcPr>
          <w:p w14:paraId="2656F725" w14:textId="77777777" w:rsidR="00E218D0" w:rsidRPr="003B4D22" w:rsidRDefault="00E218D0" w:rsidP="00386411">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tcPr>
          <w:p w14:paraId="71540E85" w14:textId="77777777" w:rsidR="00E218D0" w:rsidRPr="003B4D22" w:rsidRDefault="00E218D0" w:rsidP="00331FB9">
            <w:pPr>
              <w:pStyle w:val="ListParagraph"/>
              <w:numPr>
                <w:ilvl w:val="0"/>
                <w:numId w:val="16"/>
              </w:numPr>
              <w:spacing w:after="0" w:line="240" w:lineRule="auto"/>
              <w:ind w:left="141" w:hanging="153"/>
              <w:rPr>
                <w:rFonts w:ascii="Arial Narrow" w:hAnsi="Arial Narrow"/>
                <w:sz w:val="20"/>
              </w:rPr>
            </w:pPr>
            <w:r w:rsidRPr="003B4D22">
              <w:rPr>
                <w:rFonts w:ascii="Arial Narrow" w:hAnsi="Arial Narrow"/>
                <w:sz w:val="20"/>
              </w:rPr>
              <w:t>UTIs (%)</w:t>
            </w:r>
          </w:p>
        </w:tc>
        <w:tc>
          <w:tcPr>
            <w:tcW w:w="940" w:type="pct"/>
            <w:tcBorders>
              <w:top w:val="nil"/>
              <w:left w:val="single" w:sz="4" w:space="0" w:color="auto"/>
              <w:bottom w:val="nil"/>
              <w:right w:val="nil"/>
            </w:tcBorders>
            <w:shd w:val="clear" w:color="auto" w:fill="auto"/>
            <w:noWrap/>
          </w:tcPr>
          <w:p w14:paraId="40BDFA7B" w14:textId="77777777" w:rsidR="00E218D0" w:rsidRPr="003B4D22" w:rsidRDefault="00E218D0" w:rsidP="00386411">
            <w:pPr>
              <w:spacing w:after="0" w:line="240" w:lineRule="auto"/>
              <w:jc w:val="right"/>
              <w:rPr>
                <w:rFonts w:ascii="Arial Narrow" w:hAnsi="Arial Narrow"/>
                <w:sz w:val="20"/>
              </w:rPr>
            </w:pPr>
            <w:r w:rsidRPr="003B4D22">
              <w:rPr>
                <w:rFonts w:ascii="Arial Narrow" w:hAnsi="Arial Narrow"/>
                <w:sz w:val="20"/>
              </w:rPr>
              <w:t>2 (1.5)</w:t>
            </w:r>
          </w:p>
        </w:tc>
        <w:tc>
          <w:tcPr>
            <w:tcW w:w="1038" w:type="pct"/>
            <w:tcBorders>
              <w:top w:val="nil"/>
              <w:left w:val="nil"/>
              <w:bottom w:val="nil"/>
              <w:right w:val="nil"/>
            </w:tcBorders>
            <w:shd w:val="clear" w:color="auto" w:fill="auto"/>
            <w:noWrap/>
          </w:tcPr>
          <w:p w14:paraId="533F0564" w14:textId="77777777" w:rsidR="00E218D0" w:rsidRPr="003B4D22" w:rsidRDefault="00E218D0" w:rsidP="00386411">
            <w:pPr>
              <w:spacing w:after="0" w:line="240" w:lineRule="auto"/>
              <w:jc w:val="right"/>
              <w:rPr>
                <w:rFonts w:ascii="Arial Narrow" w:hAnsi="Arial Narrow"/>
                <w:sz w:val="20"/>
              </w:rPr>
            </w:pPr>
            <w:r w:rsidRPr="003B4D22">
              <w:rPr>
                <w:rFonts w:ascii="Arial Narrow" w:hAnsi="Arial Narrow"/>
                <w:sz w:val="20"/>
              </w:rPr>
              <w:t>2 (1.8)</w:t>
            </w:r>
          </w:p>
        </w:tc>
        <w:tc>
          <w:tcPr>
            <w:tcW w:w="666" w:type="pct"/>
            <w:tcBorders>
              <w:top w:val="nil"/>
              <w:left w:val="nil"/>
              <w:bottom w:val="nil"/>
              <w:right w:val="single" w:sz="4" w:space="0" w:color="auto"/>
            </w:tcBorders>
          </w:tcPr>
          <w:p w14:paraId="33BEBCD3" w14:textId="77777777" w:rsidR="00E218D0" w:rsidRPr="003B4D22" w:rsidRDefault="00E218D0" w:rsidP="00386411">
            <w:pPr>
              <w:spacing w:after="0" w:line="240" w:lineRule="auto"/>
              <w:jc w:val="right"/>
              <w:rPr>
                <w:rFonts w:ascii="Arial Narrow" w:hAnsi="Arial Narrow"/>
                <w:sz w:val="20"/>
              </w:rPr>
            </w:pPr>
            <w:r w:rsidRPr="003B4D22">
              <w:rPr>
                <w:rFonts w:ascii="Arial Narrow" w:hAnsi="Arial Narrow"/>
                <w:sz w:val="20"/>
              </w:rPr>
              <w:t>p=1.00</w:t>
            </w:r>
          </w:p>
        </w:tc>
      </w:tr>
      <w:tr w:rsidR="00E218D0" w:rsidRPr="003B4D22" w14:paraId="235C5FB6" w14:textId="77777777" w:rsidTr="00EB4D73">
        <w:tc>
          <w:tcPr>
            <w:tcW w:w="650" w:type="pct"/>
            <w:tcBorders>
              <w:top w:val="nil"/>
              <w:left w:val="single" w:sz="4" w:space="0" w:color="auto"/>
              <w:bottom w:val="nil"/>
              <w:right w:val="single" w:sz="4" w:space="0" w:color="auto"/>
            </w:tcBorders>
          </w:tcPr>
          <w:p w14:paraId="4583170A" w14:textId="77777777" w:rsidR="00E218D0" w:rsidRPr="003B4D22" w:rsidRDefault="00E218D0" w:rsidP="00386411">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tcPr>
          <w:p w14:paraId="5117A20A" w14:textId="77777777" w:rsidR="00E218D0" w:rsidRPr="003B4D22" w:rsidRDefault="00E218D0" w:rsidP="00331FB9">
            <w:pPr>
              <w:pStyle w:val="ListParagraph"/>
              <w:numPr>
                <w:ilvl w:val="0"/>
                <w:numId w:val="16"/>
              </w:numPr>
              <w:spacing w:after="0" w:line="240" w:lineRule="auto"/>
              <w:ind w:left="141" w:hanging="153"/>
              <w:rPr>
                <w:rFonts w:ascii="Arial Narrow" w:hAnsi="Arial Narrow"/>
                <w:sz w:val="20"/>
              </w:rPr>
            </w:pPr>
            <w:r w:rsidRPr="003B4D22">
              <w:rPr>
                <w:rFonts w:ascii="Arial Narrow" w:hAnsi="Arial Narrow"/>
                <w:sz w:val="20"/>
              </w:rPr>
              <w:t>GI infections (%)</w:t>
            </w:r>
          </w:p>
        </w:tc>
        <w:tc>
          <w:tcPr>
            <w:tcW w:w="940" w:type="pct"/>
            <w:tcBorders>
              <w:top w:val="nil"/>
              <w:left w:val="single" w:sz="4" w:space="0" w:color="auto"/>
              <w:bottom w:val="nil"/>
              <w:right w:val="nil"/>
            </w:tcBorders>
            <w:shd w:val="clear" w:color="auto" w:fill="auto"/>
            <w:noWrap/>
          </w:tcPr>
          <w:p w14:paraId="12B03772" w14:textId="77777777" w:rsidR="00E218D0" w:rsidRPr="003B4D22" w:rsidRDefault="00E218D0" w:rsidP="00386411">
            <w:pPr>
              <w:spacing w:after="0" w:line="240" w:lineRule="auto"/>
              <w:jc w:val="right"/>
              <w:rPr>
                <w:rFonts w:ascii="Arial Narrow" w:hAnsi="Arial Narrow"/>
                <w:sz w:val="20"/>
              </w:rPr>
            </w:pPr>
            <w:r w:rsidRPr="003B4D22">
              <w:rPr>
                <w:rFonts w:ascii="Arial Narrow" w:hAnsi="Arial Narrow"/>
                <w:sz w:val="20"/>
              </w:rPr>
              <w:t>6 (4.6)</w:t>
            </w:r>
          </w:p>
        </w:tc>
        <w:tc>
          <w:tcPr>
            <w:tcW w:w="1038" w:type="pct"/>
            <w:tcBorders>
              <w:top w:val="nil"/>
              <w:left w:val="nil"/>
              <w:bottom w:val="nil"/>
              <w:right w:val="nil"/>
            </w:tcBorders>
            <w:shd w:val="clear" w:color="auto" w:fill="auto"/>
            <w:noWrap/>
          </w:tcPr>
          <w:p w14:paraId="0D4BD3C7" w14:textId="77777777" w:rsidR="00E218D0" w:rsidRPr="003B4D22" w:rsidRDefault="00E218D0" w:rsidP="00386411">
            <w:pPr>
              <w:spacing w:after="0" w:line="240" w:lineRule="auto"/>
              <w:jc w:val="right"/>
              <w:rPr>
                <w:rFonts w:ascii="Arial Narrow" w:hAnsi="Arial Narrow"/>
                <w:sz w:val="20"/>
              </w:rPr>
            </w:pPr>
            <w:r w:rsidRPr="003B4D22">
              <w:rPr>
                <w:rFonts w:ascii="Arial Narrow" w:hAnsi="Arial Narrow"/>
                <w:sz w:val="20"/>
              </w:rPr>
              <w:t>11 (10.0)</w:t>
            </w:r>
          </w:p>
        </w:tc>
        <w:tc>
          <w:tcPr>
            <w:tcW w:w="666" w:type="pct"/>
            <w:tcBorders>
              <w:top w:val="nil"/>
              <w:left w:val="nil"/>
              <w:bottom w:val="nil"/>
              <w:right w:val="single" w:sz="4" w:space="0" w:color="auto"/>
            </w:tcBorders>
          </w:tcPr>
          <w:p w14:paraId="31083816" w14:textId="77777777" w:rsidR="00E218D0" w:rsidRPr="003B4D22" w:rsidRDefault="00E218D0" w:rsidP="00386411">
            <w:pPr>
              <w:spacing w:after="0" w:line="240" w:lineRule="auto"/>
              <w:jc w:val="right"/>
              <w:rPr>
                <w:rFonts w:ascii="Arial Narrow" w:hAnsi="Arial Narrow"/>
                <w:sz w:val="20"/>
              </w:rPr>
            </w:pPr>
            <w:r w:rsidRPr="003B4D22">
              <w:rPr>
                <w:rFonts w:ascii="Arial Narrow" w:hAnsi="Arial Narrow"/>
                <w:sz w:val="20"/>
              </w:rPr>
              <w:t>p=0.13</w:t>
            </w:r>
          </w:p>
        </w:tc>
      </w:tr>
      <w:tr w:rsidR="001635CD" w:rsidRPr="003B4D22" w14:paraId="0E743D35" w14:textId="77777777" w:rsidTr="00EB4D73">
        <w:tc>
          <w:tcPr>
            <w:tcW w:w="650" w:type="pct"/>
            <w:tcBorders>
              <w:top w:val="nil"/>
              <w:left w:val="single" w:sz="4" w:space="0" w:color="auto"/>
              <w:bottom w:val="nil"/>
              <w:right w:val="single" w:sz="4" w:space="0" w:color="auto"/>
            </w:tcBorders>
          </w:tcPr>
          <w:p w14:paraId="65B53F86" w14:textId="77777777" w:rsidR="001635CD" w:rsidRPr="003B4D22" w:rsidRDefault="001635CD" w:rsidP="001635CD">
            <w:pPr>
              <w:spacing w:after="0" w:line="240" w:lineRule="auto"/>
              <w:rPr>
                <w:rFonts w:ascii="Arial Narrow" w:hAnsi="Arial Narrow" w:cs="Calibri"/>
                <w:color w:val="000000"/>
                <w:sz w:val="20"/>
                <w:szCs w:val="20"/>
              </w:rPr>
            </w:pPr>
          </w:p>
        </w:tc>
        <w:tc>
          <w:tcPr>
            <w:tcW w:w="1706" w:type="pct"/>
            <w:tcBorders>
              <w:top w:val="nil"/>
              <w:left w:val="single" w:sz="4" w:space="0" w:color="auto"/>
              <w:bottom w:val="single" w:sz="4" w:space="0" w:color="auto"/>
              <w:right w:val="single" w:sz="4" w:space="0" w:color="auto"/>
            </w:tcBorders>
          </w:tcPr>
          <w:p w14:paraId="7552D5C9" w14:textId="19C5EE1F" w:rsidR="001635CD" w:rsidRPr="003B4D22" w:rsidRDefault="001635CD" w:rsidP="001635CD">
            <w:pPr>
              <w:spacing w:after="0" w:line="240" w:lineRule="auto"/>
              <w:ind w:left="-12"/>
              <w:rPr>
                <w:rFonts w:ascii="Arial Narrow" w:hAnsi="Arial Narrow"/>
                <w:i/>
                <w:sz w:val="20"/>
              </w:rPr>
            </w:pPr>
            <w:r w:rsidRPr="003B4D22">
              <w:rPr>
                <w:rFonts w:ascii="Arial Narrow" w:hAnsi="Arial Narrow"/>
                <w:i/>
                <w:sz w:val="20"/>
              </w:rPr>
              <w:t>Total HSCTs with infections</w:t>
            </w:r>
          </w:p>
        </w:tc>
        <w:tc>
          <w:tcPr>
            <w:tcW w:w="940" w:type="pct"/>
            <w:tcBorders>
              <w:top w:val="nil"/>
              <w:left w:val="single" w:sz="4" w:space="0" w:color="auto"/>
              <w:bottom w:val="single" w:sz="4" w:space="0" w:color="auto"/>
              <w:right w:val="nil"/>
            </w:tcBorders>
            <w:shd w:val="clear" w:color="auto" w:fill="auto"/>
            <w:noWrap/>
          </w:tcPr>
          <w:p w14:paraId="05E0859F" w14:textId="594CC898" w:rsidR="001635CD" w:rsidRPr="003B4D22" w:rsidRDefault="001635CD" w:rsidP="001635CD">
            <w:pPr>
              <w:spacing w:after="0" w:line="240" w:lineRule="auto"/>
              <w:jc w:val="right"/>
              <w:rPr>
                <w:rFonts w:ascii="Arial Narrow" w:hAnsi="Arial Narrow"/>
                <w:i/>
                <w:sz w:val="20"/>
                <w:szCs w:val="20"/>
              </w:rPr>
            </w:pPr>
            <w:r w:rsidRPr="003B4D22">
              <w:rPr>
                <w:rFonts w:ascii="Arial Narrow" w:hAnsi="Arial Narrow"/>
                <w:i/>
                <w:sz w:val="20"/>
                <w:szCs w:val="20"/>
              </w:rPr>
              <w:t>188</w:t>
            </w:r>
          </w:p>
        </w:tc>
        <w:tc>
          <w:tcPr>
            <w:tcW w:w="1038" w:type="pct"/>
            <w:tcBorders>
              <w:top w:val="nil"/>
              <w:left w:val="nil"/>
              <w:bottom w:val="single" w:sz="4" w:space="0" w:color="auto"/>
              <w:right w:val="nil"/>
            </w:tcBorders>
            <w:shd w:val="clear" w:color="auto" w:fill="auto"/>
            <w:noWrap/>
          </w:tcPr>
          <w:p w14:paraId="1172D325" w14:textId="71B844EF" w:rsidR="001635CD" w:rsidRPr="003B4D22" w:rsidRDefault="001635CD" w:rsidP="001635CD">
            <w:pPr>
              <w:spacing w:after="0" w:line="240" w:lineRule="auto"/>
              <w:jc w:val="right"/>
              <w:rPr>
                <w:rFonts w:ascii="Arial Narrow" w:hAnsi="Arial Narrow"/>
                <w:i/>
                <w:sz w:val="20"/>
                <w:szCs w:val="20"/>
              </w:rPr>
            </w:pPr>
            <w:r w:rsidRPr="003B4D22">
              <w:rPr>
                <w:rFonts w:ascii="Arial Narrow" w:hAnsi="Arial Narrow"/>
                <w:i/>
                <w:sz w:val="20"/>
                <w:szCs w:val="20"/>
              </w:rPr>
              <w:t>157</w:t>
            </w:r>
          </w:p>
        </w:tc>
        <w:tc>
          <w:tcPr>
            <w:tcW w:w="666" w:type="pct"/>
            <w:tcBorders>
              <w:top w:val="nil"/>
              <w:left w:val="nil"/>
              <w:bottom w:val="single" w:sz="4" w:space="0" w:color="auto"/>
              <w:right w:val="single" w:sz="4" w:space="0" w:color="auto"/>
            </w:tcBorders>
          </w:tcPr>
          <w:p w14:paraId="7D1AF69F" w14:textId="77777777" w:rsidR="001635CD" w:rsidRPr="003B4D22" w:rsidRDefault="001635CD" w:rsidP="001635CD">
            <w:pPr>
              <w:spacing w:after="0" w:line="240" w:lineRule="auto"/>
              <w:jc w:val="right"/>
              <w:rPr>
                <w:rFonts w:ascii="Arial Narrow" w:hAnsi="Arial Narrow"/>
                <w:sz w:val="20"/>
                <w:szCs w:val="20"/>
              </w:rPr>
            </w:pPr>
          </w:p>
        </w:tc>
      </w:tr>
      <w:tr w:rsidR="001635CD" w:rsidRPr="003B4D22" w14:paraId="7B2C0035" w14:textId="77777777" w:rsidTr="00EB4D73">
        <w:tc>
          <w:tcPr>
            <w:tcW w:w="650" w:type="pct"/>
            <w:tcBorders>
              <w:top w:val="nil"/>
              <w:left w:val="single" w:sz="4" w:space="0" w:color="auto"/>
              <w:bottom w:val="nil"/>
              <w:right w:val="single" w:sz="4" w:space="0" w:color="auto"/>
            </w:tcBorders>
          </w:tcPr>
          <w:p w14:paraId="743DAFDD" w14:textId="77777777" w:rsidR="001635CD" w:rsidRPr="003B4D22" w:rsidRDefault="001635CD" w:rsidP="001635CD">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nil"/>
              <w:right w:val="single" w:sz="4" w:space="0" w:color="auto"/>
            </w:tcBorders>
          </w:tcPr>
          <w:p w14:paraId="7D90A485" w14:textId="32EC2F61" w:rsidR="001635CD" w:rsidRPr="003B4D22" w:rsidRDefault="001635CD" w:rsidP="001635CD">
            <w:pPr>
              <w:spacing w:after="0" w:line="240" w:lineRule="auto"/>
              <w:ind w:left="-12"/>
              <w:rPr>
                <w:rFonts w:ascii="Arial Narrow" w:hAnsi="Arial Narrow"/>
                <w:i/>
                <w:sz w:val="20"/>
              </w:rPr>
            </w:pPr>
            <w:r w:rsidRPr="003B4D22">
              <w:rPr>
                <w:rFonts w:ascii="Arial Narrow" w:hAnsi="Arial Narrow"/>
                <w:i/>
                <w:sz w:val="20"/>
              </w:rPr>
              <w:t xml:space="preserve">Crude rate </w:t>
            </w:r>
            <w:r w:rsidR="00EB4D73">
              <w:rPr>
                <w:rFonts w:ascii="Arial Narrow" w:hAnsi="Arial Narrow"/>
                <w:i/>
                <w:sz w:val="20"/>
              </w:rPr>
              <w:t xml:space="preserve">infections </w:t>
            </w:r>
            <w:r w:rsidRPr="003B4D22">
              <w:rPr>
                <w:rFonts w:ascii="Arial Narrow" w:hAnsi="Arial Narrow"/>
                <w:i/>
                <w:sz w:val="20"/>
              </w:rPr>
              <w:t>per patient (30 d)</w:t>
            </w:r>
          </w:p>
        </w:tc>
        <w:tc>
          <w:tcPr>
            <w:tcW w:w="940" w:type="pct"/>
            <w:tcBorders>
              <w:top w:val="single" w:sz="4" w:space="0" w:color="auto"/>
              <w:left w:val="single" w:sz="4" w:space="0" w:color="auto"/>
              <w:bottom w:val="nil"/>
              <w:right w:val="nil"/>
            </w:tcBorders>
            <w:shd w:val="clear" w:color="auto" w:fill="auto"/>
            <w:noWrap/>
          </w:tcPr>
          <w:p w14:paraId="3104909B" w14:textId="77777777" w:rsidR="001635CD" w:rsidRPr="003B4D22" w:rsidRDefault="001635CD" w:rsidP="001635CD">
            <w:pPr>
              <w:spacing w:after="0" w:line="240" w:lineRule="auto"/>
              <w:jc w:val="right"/>
              <w:rPr>
                <w:rFonts w:ascii="Arial Narrow" w:hAnsi="Arial Narrow"/>
                <w:i/>
                <w:sz w:val="20"/>
                <w:szCs w:val="20"/>
              </w:rPr>
            </w:pPr>
            <w:r w:rsidRPr="003B4D22">
              <w:rPr>
                <w:rFonts w:ascii="Arial Narrow" w:hAnsi="Arial Narrow"/>
                <w:i/>
                <w:sz w:val="20"/>
                <w:szCs w:val="20"/>
              </w:rPr>
              <w:t>1.45</w:t>
            </w:r>
          </w:p>
        </w:tc>
        <w:tc>
          <w:tcPr>
            <w:tcW w:w="1038" w:type="pct"/>
            <w:tcBorders>
              <w:top w:val="single" w:sz="4" w:space="0" w:color="auto"/>
              <w:left w:val="nil"/>
              <w:bottom w:val="nil"/>
              <w:right w:val="nil"/>
            </w:tcBorders>
            <w:shd w:val="clear" w:color="auto" w:fill="auto"/>
            <w:noWrap/>
          </w:tcPr>
          <w:p w14:paraId="172C61C1" w14:textId="77777777" w:rsidR="001635CD" w:rsidRPr="003B4D22" w:rsidRDefault="001635CD" w:rsidP="001635CD">
            <w:pPr>
              <w:spacing w:after="0" w:line="240" w:lineRule="auto"/>
              <w:jc w:val="right"/>
              <w:rPr>
                <w:rFonts w:ascii="Arial Narrow" w:hAnsi="Arial Narrow"/>
                <w:i/>
                <w:sz w:val="20"/>
                <w:szCs w:val="20"/>
              </w:rPr>
            </w:pPr>
            <w:r w:rsidRPr="003B4D22">
              <w:rPr>
                <w:rFonts w:ascii="Arial Narrow" w:hAnsi="Arial Narrow"/>
                <w:i/>
                <w:sz w:val="20"/>
                <w:szCs w:val="20"/>
              </w:rPr>
              <w:t>1.43</w:t>
            </w:r>
          </w:p>
        </w:tc>
        <w:tc>
          <w:tcPr>
            <w:tcW w:w="666" w:type="pct"/>
            <w:tcBorders>
              <w:top w:val="single" w:sz="4" w:space="0" w:color="auto"/>
              <w:left w:val="nil"/>
              <w:bottom w:val="nil"/>
              <w:right w:val="single" w:sz="4" w:space="0" w:color="auto"/>
            </w:tcBorders>
          </w:tcPr>
          <w:p w14:paraId="1CAEDB9E" w14:textId="77777777" w:rsidR="001635CD" w:rsidRPr="003B4D22" w:rsidRDefault="001635CD" w:rsidP="001635CD">
            <w:pPr>
              <w:spacing w:after="0" w:line="240" w:lineRule="auto"/>
              <w:jc w:val="right"/>
              <w:rPr>
                <w:rFonts w:ascii="Arial Narrow" w:hAnsi="Arial Narrow"/>
                <w:sz w:val="20"/>
                <w:szCs w:val="20"/>
              </w:rPr>
            </w:pPr>
          </w:p>
        </w:tc>
      </w:tr>
      <w:tr w:rsidR="001635CD" w:rsidRPr="003B4D22" w14:paraId="550F16CB" w14:textId="77777777" w:rsidTr="00EB4D73">
        <w:tc>
          <w:tcPr>
            <w:tcW w:w="650" w:type="pct"/>
            <w:tcBorders>
              <w:top w:val="nil"/>
              <w:left w:val="single" w:sz="4" w:space="0" w:color="auto"/>
              <w:bottom w:val="nil"/>
              <w:right w:val="single" w:sz="4" w:space="0" w:color="auto"/>
            </w:tcBorders>
          </w:tcPr>
          <w:p w14:paraId="6210D9DA" w14:textId="77777777" w:rsidR="001635CD" w:rsidRPr="003B4D22" w:rsidRDefault="001635CD" w:rsidP="001635CD">
            <w:pPr>
              <w:spacing w:after="0" w:line="240" w:lineRule="auto"/>
              <w:rPr>
                <w:rFonts w:ascii="Arial Narrow" w:hAnsi="Arial Narrow" w:cs="Calibri"/>
                <w:color w:val="000000"/>
                <w:sz w:val="20"/>
                <w:szCs w:val="20"/>
              </w:rPr>
            </w:pPr>
          </w:p>
        </w:tc>
        <w:tc>
          <w:tcPr>
            <w:tcW w:w="1706" w:type="pct"/>
            <w:tcBorders>
              <w:top w:val="nil"/>
              <w:left w:val="single" w:sz="4" w:space="0" w:color="auto"/>
              <w:bottom w:val="nil"/>
              <w:right w:val="single" w:sz="4" w:space="0" w:color="auto"/>
            </w:tcBorders>
          </w:tcPr>
          <w:p w14:paraId="3B826FEA" w14:textId="77777777" w:rsidR="001635CD" w:rsidRPr="003B4D22" w:rsidRDefault="001635CD" w:rsidP="001635CD">
            <w:pPr>
              <w:spacing w:after="0" w:line="240" w:lineRule="auto"/>
              <w:ind w:left="-12"/>
              <w:rPr>
                <w:rFonts w:ascii="Arial Narrow" w:hAnsi="Arial Narrow"/>
                <w:i/>
                <w:sz w:val="20"/>
              </w:rPr>
            </w:pPr>
            <w:r w:rsidRPr="003B4D22">
              <w:rPr>
                <w:rFonts w:ascii="Arial Narrow" w:hAnsi="Arial Narrow"/>
                <w:i/>
                <w:sz w:val="20"/>
              </w:rPr>
              <w:t>Crude rate / patient / year</w:t>
            </w:r>
          </w:p>
        </w:tc>
        <w:tc>
          <w:tcPr>
            <w:tcW w:w="940" w:type="pct"/>
            <w:tcBorders>
              <w:top w:val="nil"/>
              <w:left w:val="single" w:sz="4" w:space="0" w:color="auto"/>
              <w:bottom w:val="nil"/>
              <w:right w:val="nil"/>
            </w:tcBorders>
            <w:shd w:val="clear" w:color="auto" w:fill="auto"/>
            <w:noWrap/>
          </w:tcPr>
          <w:p w14:paraId="160C372E" w14:textId="77777777" w:rsidR="001635CD" w:rsidRPr="003B4D22" w:rsidRDefault="001635CD" w:rsidP="001635CD">
            <w:pPr>
              <w:spacing w:after="0" w:line="240" w:lineRule="auto"/>
              <w:jc w:val="right"/>
              <w:rPr>
                <w:rFonts w:ascii="Arial Narrow" w:hAnsi="Arial Narrow"/>
                <w:i/>
                <w:sz w:val="20"/>
                <w:szCs w:val="20"/>
              </w:rPr>
            </w:pPr>
            <w:r w:rsidRPr="003B4D22">
              <w:rPr>
                <w:rFonts w:ascii="Arial Narrow" w:hAnsi="Arial Narrow"/>
                <w:i/>
                <w:sz w:val="20"/>
                <w:szCs w:val="20"/>
              </w:rPr>
              <w:t>17.59</w:t>
            </w:r>
          </w:p>
        </w:tc>
        <w:tc>
          <w:tcPr>
            <w:tcW w:w="1038" w:type="pct"/>
            <w:tcBorders>
              <w:top w:val="nil"/>
              <w:left w:val="nil"/>
              <w:bottom w:val="nil"/>
              <w:right w:val="nil"/>
            </w:tcBorders>
            <w:shd w:val="clear" w:color="auto" w:fill="auto"/>
            <w:noWrap/>
          </w:tcPr>
          <w:p w14:paraId="6DADAB03" w14:textId="77777777" w:rsidR="001635CD" w:rsidRPr="003B4D22" w:rsidRDefault="001635CD" w:rsidP="001635CD">
            <w:pPr>
              <w:spacing w:after="0" w:line="240" w:lineRule="auto"/>
              <w:jc w:val="right"/>
              <w:rPr>
                <w:rFonts w:ascii="Arial Narrow" w:hAnsi="Arial Narrow"/>
                <w:i/>
                <w:sz w:val="20"/>
                <w:szCs w:val="20"/>
              </w:rPr>
            </w:pPr>
            <w:r w:rsidRPr="003B4D22">
              <w:rPr>
                <w:rFonts w:ascii="Arial Narrow" w:hAnsi="Arial Narrow"/>
                <w:i/>
                <w:sz w:val="20"/>
                <w:szCs w:val="20"/>
              </w:rPr>
              <w:t>17.37</w:t>
            </w:r>
          </w:p>
        </w:tc>
        <w:tc>
          <w:tcPr>
            <w:tcW w:w="666" w:type="pct"/>
            <w:tcBorders>
              <w:top w:val="nil"/>
              <w:left w:val="nil"/>
              <w:bottom w:val="nil"/>
              <w:right w:val="single" w:sz="4" w:space="0" w:color="auto"/>
            </w:tcBorders>
          </w:tcPr>
          <w:p w14:paraId="3A8680FC" w14:textId="77777777" w:rsidR="001635CD" w:rsidRPr="003B4D22" w:rsidRDefault="001635CD" w:rsidP="001635CD">
            <w:pPr>
              <w:spacing w:after="0" w:line="240" w:lineRule="auto"/>
              <w:jc w:val="right"/>
              <w:rPr>
                <w:rFonts w:ascii="Arial Narrow" w:hAnsi="Arial Narrow"/>
                <w:sz w:val="20"/>
                <w:szCs w:val="20"/>
              </w:rPr>
            </w:pPr>
          </w:p>
        </w:tc>
      </w:tr>
      <w:tr w:rsidR="001635CD" w:rsidRPr="003B4D22" w14:paraId="1B7A4953" w14:textId="77777777" w:rsidTr="00EB4D73">
        <w:tc>
          <w:tcPr>
            <w:tcW w:w="650" w:type="pct"/>
            <w:tcBorders>
              <w:top w:val="nil"/>
              <w:left w:val="single" w:sz="4" w:space="0" w:color="auto"/>
              <w:right w:val="single" w:sz="4" w:space="0" w:color="auto"/>
            </w:tcBorders>
          </w:tcPr>
          <w:p w14:paraId="3EEA3C05" w14:textId="77777777" w:rsidR="001635CD" w:rsidRPr="003B4D22" w:rsidRDefault="001635CD" w:rsidP="001635CD">
            <w:pPr>
              <w:spacing w:after="0" w:line="240" w:lineRule="auto"/>
              <w:rPr>
                <w:rFonts w:ascii="Arial Narrow" w:hAnsi="Arial Narrow" w:cs="Calibri"/>
                <w:color w:val="000000"/>
                <w:sz w:val="20"/>
                <w:szCs w:val="20"/>
              </w:rPr>
            </w:pPr>
          </w:p>
        </w:tc>
        <w:tc>
          <w:tcPr>
            <w:tcW w:w="1706" w:type="pct"/>
            <w:tcBorders>
              <w:top w:val="nil"/>
              <w:left w:val="single" w:sz="4" w:space="0" w:color="auto"/>
              <w:right w:val="single" w:sz="4" w:space="0" w:color="auto"/>
            </w:tcBorders>
          </w:tcPr>
          <w:p w14:paraId="3B0D503A" w14:textId="77777777" w:rsidR="001635CD" w:rsidRPr="003B4D22" w:rsidRDefault="001635CD" w:rsidP="001635CD">
            <w:pPr>
              <w:spacing w:after="0" w:line="240" w:lineRule="auto"/>
              <w:ind w:left="-12"/>
              <w:rPr>
                <w:rFonts w:ascii="Arial Narrow" w:hAnsi="Arial Narrow"/>
                <w:i/>
                <w:sz w:val="20"/>
              </w:rPr>
            </w:pPr>
            <w:r w:rsidRPr="003B4D22">
              <w:rPr>
                <w:rFonts w:ascii="Arial Narrow" w:hAnsi="Arial Narrow"/>
                <w:i/>
                <w:sz w:val="20"/>
              </w:rPr>
              <w:t>Total HSCTs with infections, not including fever</w:t>
            </w:r>
          </w:p>
        </w:tc>
        <w:tc>
          <w:tcPr>
            <w:tcW w:w="940" w:type="pct"/>
            <w:tcBorders>
              <w:top w:val="nil"/>
              <w:left w:val="single" w:sz="4" w:space="0" w:color="auto"/>
              <w:right w:val="nil"/>
            </w:tcBorders>
            <w:shd w:val="clear" w:color="auto" w:fill="auto"/>
            <w:noWrap/>
          </w:tcPr>
          <w:p w14:paraId="08CB94B2" w14:textId="77777777" w:rsidR="001635CD" w:rsidRPr="003B4D22" w:rsidRDefault="001635CD" w:rsidP="001635CD">
            <w:pPr>
              <w:spacing w:after="0" w:line="240" w:lineRule="auto"/>
              <w:jc w:val="right"/>
              <w:rPr>
                <w:rFonts w:ascii="Arial Narrow" w:hAnsi="Arial Narrow"/>
                <w:i/>
                <w:sz w:val="20"/>
                <w:szCs w:val="20"/>
              </w:rPr>
            </w:pPr>
            <w:r w:rsidRPr="003B4D22">
              <w:rPr>
                <w:rFonts w:ascii="Arial Narrow" w:hAnsi="Arial Narrow"/>
                <w:i/>
                <w:sz w:val="20"/>
                <w:szCs w:val="20"/>
              </w:rPr>
              <w:t>77</w:t>
            </w:r>
          </w:p>
        </w:tc>
        <w:tc>
          <w:tcPr>
            <w:tcW w:w="1038" w:type="pct"/>
            <w:tcBorders>
              <w:top w:val="nil"/>
              <w:left w:val="nil"/>
              <w:right w:val="nil"/>
            </w:tcBorders>
            <w:shd w:val="clear" w:color="auto" w:fill="auto"/>
            <w:noWrap/>
          </w:tcPr>
          <w:p w14:paraId="0514190E" w14:textId="77777777" w:rsidR="001635CD" w:rsidRPr="003B4D22" w:rsidRDefault="001635CD" w:rsidP="001635CD">
            <w:pPr>
              <w:spacing w:after="0" w:line="240" w:lineRule="auto"/>
              <w:jc w:val="right"/>
              <w:rPr>
                <w:rFonts w:ascii="Arial Narrow" w:hAnsi="Arial Narrow"/>
                <w:i/>
                <w:sz w:val="20"/>
                <w:szCs w:val="20"/>
              </w:rPr>
            </w:pPr>
            <w:r w:rsidRPr="003B4D22">
              <w:rPr>
                <w:rFonts w:ascii="Arial Narrow" w:hAnsi="Arial Narrow"/>
                <w:i/>
                <w:sz w:val="20"/>
                <w:szCs w:val="20"/>
              </w:rPr>
              <w:t>64</w:t>
            </w:r>
          </w:p>
        </w:tc>
        <w:tc>
          <w:tcPr>
            <w:tcW w:w="666" w:type="pct"/>
            <w:tcBorders>
              <w:top w:val="nil"/>
              <w:left w:val="nil"/>
              <w:right w:val="single" w:sz="4" w:space="0" w:color="auto"/>
            </w:tcBorders>
          </w:tcPr>
          <w:p w14:paraId="6F11DDE3" w14:textId="77777777" w:rsidR="001635CD" w:rsidRPr="003B4D22" w:rsidRDefault="001635CD" w:rsidP="001635CD">
            <w:pPr>
              <w:spacing w:after="0" w:line="240" w:lineRule="auto"/>
              <w:jc w:val="right"/>
              <w:rPr>
                <w:rFonts w:ascii="Arial Narrow" w:hAnsi="Arial Narrow"/>
                <w:sz w:val="20"/>
                <w:szCs w:val="20"/>
              </w:rPr>
            </w:pPr>
          </w:p>
        </w:tc>
      </w:tr>
      <w:tr w:rsidR="001635CD" w:rsidRPr="003B4D22" w14:paraId="40DBC031" w14:textId="77777777" w:rsidTr="00EB4D73">
        <w:tc>
          <w:tcPr>
            <w:tcW w:w="650" w:type="pct"/>
            <w:tcBorders>
              <w:top w:val="nil"/>
              <w:left w:val="single" w:sz="4" w:space="0" w:color="auto"/>
              <w:right w:val="single" w:sz="4" w:space="0" w:color="auto"/>
            </w:tcBorders>
          </w:tcPr>
          <w:p w14:paraId="3D5BB25F" w14:textId="77777777" w:rsidR="001635CD" w:rsidRPr="003B4D22" w:rsidRDefault="001635CD" w:rsidP="001635CD">
            <w:pPr>
              <w:spacing w:after="0" w:line="240" w:lineRule="auto"/>
              <w:rPr>
                <w:rFonts w:ascii="Arial Narrow" w:hAnsi="Arial Narrow" w:cs="Calibri"/>
                <w:color w:val="000000"/>
                <w:sz w:val="20"/>
                <w:szCs w:val="20"/>
              </w:rPr>
            </w:pPr>
          </w:p>
        </w:tc>
        <w:tc>
          <w:tcPr>
            <w:tcW w:w="1706" w:type="pct"/>
            <w:tcBorders>
              <w:top w:val="nil"/>
              <w:left w:val="single" w:sz="4" w:space="0" w:color="auto"/>
              <w:right w:val="single" w:sz="4" w:space="0" w:color="auto"/>
            </w:tcBorders>
          </w:tcPr>
          <w:p w14:paraId="01D6A95A" w14:textId="77777777" w:rsidR="001635CD" w:rsidRPr="003B4D22" w:rsidRDefault="001635CD" w:rsidP="001635CD">
            <w:pPr>
              <w:spacing w:after="0" w:line="240" w:lineRule="auto"/>
              <w:ind w:left="-12"/>
              <w:rPr>
                <w:rFonts w:ascii="Arial Narrow" w:hAnsi="Arial Narrow"/>
                <w:i/>
                <w:sz w:val="20"/>
              </w:rPr>
            </w:pPr>
            <w:r w:rsidRPr="003B4D22">
              <w:rPr>
                <w:rFonts w:ascii="Arial Narrow" w:hAnsi="Arial Narrow"/>
                <w:i/>
                <w:sz w:val="20"/>
              </w:rPr>
              <w:t>Crude rate, not including fever (30 d)</w:t>
            </w:r>
          </w:p>
        </w:tc>
        <w:tc>
          <w:tcPr>
            <w:tcW w:w="940" w:type="pct"/>
            <w:tcBorders>
              <w:top w:val="nil"/>
              <w:left w:val="single" w:sz="4" w:space="0" w:color="auto"/>
              <w:right w:val="nil"/>
            </w:tcBorders>
            <w:shd w:val="clear" w:color="auto" w:fill="auto"/>
            <w:noWrap/>
          </w:tcPr>
          <w:p w14:paraId="232B9613" w14:textId="77777777" w:rsidR="001635CD" w:rsidRPr="003B4D22" w:rsidRDefault="001635CD" w:rsidP="001635CD">
            <w:pPr>
              <w:spacing w:after="0" w:line="240" w:lineRule="auto"/>
              <w:jc w:val="right"/>
              <w:rPr>
                <w:rFonts w:ascii="Arial Narrow" w:hAnsi="Arial Narrow"/>
                <w:i/>
                <w:sz w:val="20"/>
                <w:szCs w:val="20"/>
              </w:rPr>
            </w:pPr>
            <w:r w:rsidRPr="003B4D22">
              <w:rPr>
                <w:rFonts w:ascii="Arial Narrow" w:hAnsi="Arial Narrow"/>
                <w:i/>
                <w:sz w:val="20"/>
                <w:szCs w:val="20"/>
              </w:rPr>
              <w:t>0.59</w:t>
            </w:r>
          </w:p>
        </w:tc>
        <w:tc>
          <w:tcPr>
            <w:tcW w:w="1038" w:type="pct"/>
            <w:tcBorders>
              <w:top w:val="nil"/>
              <w:left w:val="nil"/>
              <w:right w:val="nil"/>
            </w:tcBorders>
            <w:shd w:val="clear" w:color="auto" w:fill="auto"/>
            <w:noWrap/>
          </w:tcPr>
          <w:p w14:paraId="5A29091B" w14:textId="77777777" w:rsidR="001635CD" w:rsidRPr="003B4D22" w:rsidRDefault="001635CD" w:rsidP="001635CD">
            <w:pPr>
              <w:spacing w:after="0" w:line="240" w:lineRule="auto"/>
              <w:jc w:val="right"/>
              <w:rPr>
                <w:rFonts w:ascii="Arial Narrow" w:hAnsi="Arial Narrow"/>
                <w:i/>
                <w:sz w:val="20"/>
                <w:szCs w:val="20"/>
              </w:rPr>
            </w:pPr>
            <w:r w:rsidRPr="003B4D22">
              <w:rPr>
                <w:rFonts w:ascii="Arial Narrow" w:hAnsi="Arial Narrow"/>
                <w:i/>
                <w:sz w:val="20"/>
                <w:szCs w:val="20"/>
              </w:rPr>
              <w:t>0.58</w:t>
            </w:r>
          </w:p>
        </w:tc>
        <w:tc>
          <w:tcPr>
            <w:tcW w:w="666" w:type="pct"/>
            <w:tcBorders>
              <w:top w:val="nil"/>
              <w:left w:val="nil"/>
              <w:right w:val="single" w:sz="4" w:space="0" w:color="auto"/>
            </w:tcBorders>
          </w:tcPr>
          <w:p w14:paraId="734F361C" w14:textId="77777777" w:rsidR="001635CD" w:rsidRPr="003B4D22" w:rsidRDefault="001635CD" w:rsidP="001635CD">
            <w:pPr>
              <w:spacing w:after="0" w:line="240" w:lineRule="auto"/>
              <w:jc w:val="right"/>
              <w:rPr>
                <w:rFonts w:ascii="Arial Narrow" w:hAnsi="Arial Narrow"/>
                <w:sz w:val="20"/>
                <w:szCs w:val="20"/>
              </w:rPr>
            </w:pPr>
          </w:p>
        </w:tc>
      </w:tr>
      <w:tr w:rsidR="001635CD" w:rsidRPr="003B4D22" w14:paraId="4B5C832A" w14:textId="77777777" w:rsidTr="00EB4D73">
        <w:tc>
          <w:tcPr>
            <w:tcW w:w="650" w:type="pct"/>
            <w:tcBorders>
              <w:left w:val="single" w:sz="4" w:space="0" w:color="auto"/>
              <w:bottom w:val="single" w:sz="4" w:space="0" w:color="auto"/>
              <w:right w:val="single" w:sz="4" w:space="0" w:color="auto"/>
            </w:tcBorders>
          </w:tcPr>
          <w:p w14:paraId="4968E08E" w14:textId="77777777" w:rsidR="001635CD" w:rsidRPr="003B4D22" w:rsidRDefault="001635CD" w:rsidP="001635CD">
            <w:pPr>
              <w:spacing w:after="0" w:line="240" w:lineRule="auto"/>
              <w:rPr>
                <w:rFonts w:ascii="Arial Narrow" w:hAnsi="Arial Narrow" w:cs="Calibri"/>
                <w:color w:val="000000"/>
                <w:sz w:val="20"/>
                <w:szCs w:val="20"/>
              </w:rPr>
            </w:pPr>
          </w:p>
        </w:tc>
        <w:tc>
          <w:tcPr>
            <w:tcW w:w="1706" w:type="pct"/>
            <w:tcBorders>
              <w:left w:val="single" w:sz="4" w:space="0" w:color="auto"/>
              <w:bottom w:val="single" w:sz="4" w:space="0" w:color="auto"/>
              <w:right w:val="single" w:sz="4" w:space="0" w:color="auto"/>
            </w:tcBorders>
          </w:tcPr>
          <w:p w14:paraId="577B8FBC" w14:textId="77777777" w:rsidR="001635CD" w:rsidRPr="003B4D22" w:rsidRDefault="001635CD" w:rsidP="001635CD">
            <w:pPr>
              <w:spacing w:after="0" w:line="240" w:lineRule="auto"/>
              <w:rPr>
                <w:rFonts w:ascii="Arial Narrow" w:hAnsi="Arial Narrow"/>
                <w:sz w:val="20"/>
              </w:rPr>
            </w:pPr>
            <w:r w:rsidRPr="003B4D22">
              <w:rPr>
                <w:rFonts w:ascii="Arial Narrow" w:hAnsi="Arial Narrow"/>
                <w:sz w:val="20"/>
              </w:rPr>
              <w:t>Median no. febrile d [range]</w:t>
            </w:r>
          </w:p>
        </w:tc>
        <w:tc>
          <w:tcPr>
            <w:tcW w:w="940" w:type="pct"/>
            <w:tcBorders>
              <w:left w:val="single" w:sz="4" w:space="0" w:color="auto"/>
              <w:bottom w:val="single" w:sz="4" w:space="0" w:color="auto"/>
            </w:tcBorders>
            <w:shd w:val="clear" w:color="auto" w:fill="auto"/>
            <w:noWrap/>
          </w:tcPr>
          <w:p w14:paraId="3A460B92" w14:textId="77777777" w:rsidR="001635CD" w:rsidRPr="003B4D22" w:rsidRDefault="001635CD" w:rsidP="001635CD">
            <w:pPr>
              <w:spacing w:after="0" w:line="240" w:lineRule="auto"/>
              <w:jc w:val="center"/>
              <w:rPr>
                <w:rFonts w:ascii="Arial Narrow" w:hAnsi="Arial Narrow"/>
                <w:sz w:val="20"/>
              </w:rPr>
            </w:pPr>
            <w:r w:rsidRPr="003B4D22">
              <w:rPr>
                <w:rFonts w:ascii="Arial Narrow" w:hAnsi="Arial Narrow"/>
                <w:sz w:val="20"/>
              </w:rPr>
              <w:t>2 [0–15]</w:t>
            </w:r>
          </w:p>
        </w:tc>
        <w:tc>
          <w:tcPr>
            <w:tcW w:w="1038" w:type="pct"/>
            <w:tcBorders>
              <w:bottom w:val="single" w:sz="4" w:space="0" w:color="auto"/>
            </w:tcBorders>
            <w:shd w:val="clear" w:color="auto" w:fill="auto"/>
            <w:noWrap/>
          </w:tcPr>
          <w:p w14:paraId="2C36A593" w14:textId="77777777" w:rsidR="001635CD" w:rsidRPr="003B4D22" w:rsidRDefault="001635CD" w:rsidP="001635CD">
            <w:pPr>
              <w:spacing w:after="0" w:line="240" w:lineRule="auto"/>
              <w:jc w:val="center"/>
              <w:rPr>
                <w:rFonts w:ascii="Arial Narrow" w:hAnsi="Arial Narrow"/>
                <w:sz w:val="20"/>
              </w:rPr>
            </w:pPr>
            <w:r w:rsidRPr="003B4D22">
              <w:rPr>
                <w:rFonts w:ascii="Arial Narrow" w:hAnsi="Arial Narrow"/>
                <w:sz w:val="20"/>
              </w:rPr>
              <w:t>2 [0–12]</w:t>
            </w:r>
          </w:p>
        </w:tc>
        <w:tc>
          <w:tcPr>
            <w:tcW w:w="666" w:type="pct"/>
            <w:tcBorders>
              <w:bottom w:val="single" w:sz="4" w:space="0" w:color="auto"/>
              <w:right w:val="single" w:sz="4" w:space="0" w:color="auto"/>
            </w:tcBorders>
          </w:tcPr>
          <w:p w14:paraId="477AC175" w14:textId="77777777" w:rsidR="001635CD" w:rsidRPr="003B4D22" w:rsidRDefault="001635CD" w:rsidP="001635CD">
            <w:pPr>
              <w:spacing w:after="0" w:line="240" w:lineRule="auto"/>
              <w:jc w:val="center"/>
              <w:rPr>
                <w:rFonts w:ascii="Arial Narrow" w:hAnsi="Arial Narrow"/>
                <w:sz w:val="20"/>
              </w:rPr>
            </w:pPr>
            <w:r w:rsidRPr="003B4D22">
              <w:rPr>
                <w:rFonts w:ascii="Arial Narrow" w:hAnsi="Arial Narrow"/>
                <w:sz w:val="20"/>
              </w:rPr>
              <w:t>p=0.17</w:t>
            </w:r>
          </w:p>
        </w:tc>
      </w:tr>
      <w:tr w:rsidR="001635CD" w:rsidRPr="00386411" w14:paraId="4F89E28D" w14:textId="77777777" w:rsidTr="00B52A4F">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87CC5B" w14:textId="77777777" w:rsidR="001635CD" w:rsidRPr="00386411" w:rsidRDefault="001635CD" w:rsidP="001635CD">
            <w:pPr>
              <w:spacing w:after="0" w:line="240" w:lineRule="auto"/>
              <w:rPr>
                <w:rFonts w:ascii="Arial Narrow" w:hAnsi="Arial Narrow"/>
                <w:b/>
                <w:sz w:val="20"/>
                <w:szCs w:val="20"/>
              </w:rPr>
            </w:pPr>
            <w:r w:rsidRPr="00386411">
              <w:rPr>
                <w:rFonts w:ascii="Arial Narrow" w:hAnsi="Arial Narrow"/>
                <w:b/>
                <w:sz w:val="20"/>
                <w:szCs w:val="20"/>
              </w:rPr>
              <w:t>Van Winkle et al., 2018</w:t>
            </w:r>
          </w:p>
        </w:tc>
        <w:tc>
          <w:tcPr>
            <w:tcW w:w="17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7B0E0" w14:textId="77777777" w:rsidR="001635CD" w:rsidRPr="00386411" w:rsidRDefault="001635CD" w:rsidP="001635CD">
            <w:pPr>
              <w:spacing w:after="0" w:line="240" w:lineRule="auto"/>
              <w:rPr>
                <w:rFonts w:ascii="Arial Narrow" w:hAnsi="Arial Narrow"/>
                <w:b/>
                <w:sz w:val="20"/>
                <w:szCs w:val="20"/>
              </w:rPr>
            </w:pPr>
            <w:r w:rsidRPr="00386411">
              <w:rPr>
                <w:rFonts w:ascii="Arial Narrow" w:hAnsi="Arial Narrow"/>
                <w:b/>
                <w:sz w:val="20"/>
                <w:szCs w:val="20"/>
              </w:rPr>
              <w:t xml:space="preserve">Infectious complications during maintenance chemo.±IVIg, </w:t>
            </w:r>
          </w:p>
        </w:tc>
        <w:tc>
          <w:tcPr>
            <w:tcW w:w="940" w:type="pct"/>
            <w:tcBorders>
              <w:top w:val="single" w:sz="4" w:space="0" w:color="auto"/>
              <w:left w:val="single" w:sz="4" w:space="0" w:color="auto"/>
              <w:bottom w:val="single" w:sz="4" w:space="0" w:color="auto"/>
              <w:right w:val="nil"/>
            </w:tcBorders>
            <w:shd w:val="clear" w:color="auto" w:fill="D9D9D9" w:themeFill="background1" w:themeFillShade="D9"/>
            <w:noWrap/>
          </w:tcPr>
          <w:p w14:paraId="4C0957D8" w14:textId="77777777" w:rsidR="001635CD" w:rsidRPr="00386411" w:rsidRDefault="001635CD" w:rsidP="001635CD">
            <w:pPr>
              <w:spacing w:after="0" w:line="240" w:lineRule="auto"/>
              <w:jc w:val="center"/>
              <w:rPr>
                <w:rFonts w:ascii="Arial Narrow" w:hAnsi="Arial Narrow"/>
                <w:b/>
                <w:i/>
                <w:sz w:val="20"/>
                <w:szCs w:val="20"/>
              </w:rPr>
            </w:pPr>
            <w:r w:rsidRPr="00386411">
              <w:rPr>
                <w:rFonts w:ascii="Arial Narrow" w:hAnsi="Arial Narrow"/>
                <w:b/>
                <w:sz w:val="20"/>
                <w:szCs w:val="20"/>
              </w:rPr>
              <w:t>IVIg (N=36)</w:t>
            </w:r>
          </w:p>
        </w:tc>
        <w:tc>
          <w:tcPr>
            <w:tcW w:w="1038" w:type="pct"/>
            <w:tcBorders>
              <w:top w:val="single" w:sz="4" w:space="0" w:color="auto"/>
              <w:left w:val="nil"/>
              <w:bottom w:val="single" w:sz="4" w:space="0" w:color="auto"/>
              <w:right w:val="nil"/>
            </w:tcBorders>
            <w:shd w:val="clear" w:color="auto" w:fill="D9D9D9" w:themeFill="background1" w:themeFillShade="D9"/>
            <w:noWrap/>
          </w:tcPr>
          <w:p w14:paraId="1D7BC479" w14:textId="77777777" w:rsidR="001635CD" w:rsidRPr="00386411" w:rsidRDefault="001635CD" w:rsidP="001635CD">
            <w:pPr>
              <w:spacing w:after="0" w:line="240" w:lineRule="auto"/>
              <w:jc w:val="center"/>
              <w:rPr>
                <w:rFonts w:ascii="Arial Narrow" w:hAnsi="Arial Narrow"/>
                <w:b/>
                <w:sz w:val="20"/>
                <w:szCs w:val="20"/>
              </w:rPr>
            </w:pPr>
            <w:r w:rsidRPr="00386411">
              <w:rPr>
                <w:rFonts w:ascii="Arial Narrow" w:hAnsi="Arial Narrow"/>
                <w:b/>
                <w:sz w:val="20"/>
                <w:szCs w:val="20"/>
              </w:rPr>
              <w:t>No IVIG, (N=82)</w:t>
            </w:r>
          </w:p>
        </w:tc>
        <w:tc>
          <w:tcPr>
            <w:tcW w:w="666" w:type="pct"/>
            <w:tcBorders>
              <w:top w:val="single" w:sz="4" w:space="0" w:color="auto"/>
              <w:left w:val="nil"/>
              <w:bottom w:val="single" w:sz="4" w:space="0" w:color="auto"/>
              <w:right w:val="single" w:sz="4" w:space="0" w:color="auto"/>
            </w:tcBorders>
            <w:shd w:val="clear" w:color="auto" w:fill="D9D9D9" w:themeFill="background1" w:themeFillShade="D9"/>
          </w:tcPr>
          <w:p w14:paraId="302D28FB" w14:textId="77777777" w:rsidR="001635CD" w:rsidRPr="00386411" w:rsidRDefault="001635CD" w:rsidP="001635CD">
            <w:pPr>
              <w:spacing w:after="0" w:line="240" w:lineRule="auto"/>
              <w:jc w:val="center"/>
              <w:rPr>
                <w:rFonts w:ascii="Arial Narrow" w:hAnsi="Arial Narrow"/>
                <w:b/>
                <w:sz w:val="20"/>
                <w:szCs w:val="20"/>
              </w:rPr>
            </w:pPr>
            <w:r w:rsidRPr="00386411">
              <w:rPr>
                <w:rFonts w:ascii="Arial Narrow" w:hAnsi="Arial Narrow"/>
                <w:b/>
                <w:sz w:val="20"/>
                <w:szCs w:val="20"/>
              </w:rPr>
              <w:t>p-value</w:t>
            </w:r>
          </w:p>
        </w:tc>
      </w:tr>
      <w:tr w:rsidR="001635CD" w:rsidRPr="003B4D22" w14:paraId="0A511B7E" w14:textId="77777777" w:rsidTr="00386411">
        <w:tc>
          <w:tcPr>
            <w:tcW w:w="650" w:type="pct"/>
            <w:tcBorders>
              <w:left w:val="single" w:sz="4" w:space="0" w:color="auto"/>
              <w:right w:val="single" w:sz="4" w:space="0" w:color="auto"/>
            </w:tcBorders>
          </w:tcPr>
          <w:p w14:paraId="77C50BFE" w14:textId="77777777" w:rsidR="001635CD" w:rsidRPr="003B4D22" w:rsidRDefault="001635CD" w:rsidP="001635CD">
            <w:pPr>
              <w:spacing w:after="0" w:line="240" w:lineRule="auto"/>
              <w:rPr>
                <w:rFonts w:ascii="Arial Narrow" w:hAnsi="Arial Narrow" w:cs="Calibri"/>
                <w:color w:val="000000"/>
                <w:sz w:val="20"/>
                <w:szCs w:val="20"/>
              </w:rPr>
            </w:pPr>
            <w:r w:rsidRPr="003B4D22">
              <w:rPr>
                <w:rFonts w:ascii="Arial Narrow" w:hAnsi="Arial Narrow"/>
                <w:sz w:val="20"/>
                <w:szCs w:val="20"/>
              </w:rPr>
              <w:t>ALL</w:t>
            </w:r>
          </w:p>
        </w:tc>
        <w:tc>
          <w:tcPr>
            <w:tcW w:w="1706" w:type="pct"/>
            <w:tcBorders>
              <w:top w:val="single" w:sz="4" w:space="0" w:color="auto"/>
              <w:left w:val="single" w:sz="4" w:space="0" w:color="auto"/>
              <w:bottom w:val="single" w:sz="4" w:space="0" w:color="auto"/>
              <w:right w:val="single" w:sz="4" w:space="0" w:color="auto"/>
            </w:tcBorders>
          </w:tcPr>
          <w:p w14:paraId="5D6A0822" w14:textId="77777777" w:rsidR="001635CD" w:rsidRPr="003B4D22" w:rsidRDefault="001635CD" w:rsidP="001635CD">
            <w:pPr>
              <w:spacing w:after="0" w:line="240" w:lineRule="auto"/>
              <w:rPr>
                <w:rFonts w:ascii="Arial Narrow" w:hAnsi="Arial Narrow" w:cs="Arial Narrow"/>
                <w:i/>
                <w:color w:val="000000"/>
                <w:sz w:val="20"/>
                <w:szCs w:val="16"/>
              </w:rPr>
            </w:pPr>
            <w:r w:rsidRPr="003B4D22">
              <w:rPr>
                <w:rFonts w:ascii="Arial Narrow" w:hAnsi="Arial Narrow" w:cs="Arial Narrow"/>
                <w:i/>
                <w:color w:val="000000"/>
                <w:sz w:val="20"/>
                <w:szCs w:val="16"/>
              </w:rPr>
              <w:t>Treatment duration mo, mean (range)</w:t>
            </w:r>
          </w:p>
          <w:p w14:paraId="47C6D9BE" w14:textId="77777777" w:rsidR="001635CD" w:rsidRPr="003B4D22" w:rsidRDefault="001635CD" w:rsidP="001635CD">
            <w:pPr>
              <w:spacing w:after="0" w:line="240" w:lineRule="auto"/>
              <w:rPr>
                <w:rFonts w:ascii="Arial Narrow" w:hAnsi="Arial Narrow" w:cs="Arial Narrow"/>
                <w:i/>
                <w:color w:val="000000"/>
                <w:sz w:val="20"/>
                <w:szCs w:val="16"/>
              </w:rPr>
            </w:pPr>
            <w:r w:rsidRPr="003B4D22">
              <w:rPr>
                <w:rFonts w:ascii="Arial Narrow" w:hAnsi="Arial Narrow" w:cs="Arial Narrow"/>
                <w:i/>
                <w:color w:val="000000"/>
                <w:sz w:val="20"/>
                <w:szCs w:val="16"/>
              </w:rPr>
              <w:t>(based on mean # infusions which were given monthly)</w:t>
            </w:r>
          </w:p>
        </w:tc>
        <w:tc>
          <w:tcPr>
            <w:tcW w:w="940" w:type="pct"/>
            <w:tcBorders>
              <w:top w:val="single" w:sz="4" w:space="0" w:color="auto"/>
              <w:left w:val="single" w:sz="4" w:space="0" w:color="auto"/>
              <w:bottom w:val="single" w:sz="4" w:space="0" w:color="auto"/>
              <w:right w:val="nil"/>
            </w:tcBorders>
            <w:shd w:val="clear" w:color="auto" w:fill="auto"/>
            <w:noWrap/>
          </w:tcPr>
          <w:p w14:paraId="329C1C40" w14:textId="77777777" w:rsidR="001635CD" w:rsidRPr="003B4D22" w:rsidRDefault="001635CD" w:rsidP="001635CD">
            <w:pPr>
              <w:spacing w:after="0" w:line="240" w:lineRule="auto"/>
              <w:jc w:val="right"/>
              <w:rPr>
                <w:rFonts w:ascii="Arial Narrow" w:hAnsi="Arial Narrow" w:cs="Arial Narrow"/>
                <w:i/>
                <w:color w:val="000000"/>
                <w:sz w:val="20"/>
                <w:szCs w:val="16"/>
                <w:highlight w:val="green"/>
              </w:rPr>
            </w:pPr>
            <w:r w:rsidRPr="003B4D22">
              <w:rPr>
                <w:rFonts w:ascii="Arial Narrow" w:hAnsi="Arial Narrow"/>
                <w:i/>
                <w:sz w:val="20"/>
                <w:szCs w:val="20"/>
              </w:rPr>
              <w:t>10.5 mo (range 1-31)</w:t>
            </w:r>
          </w:p>
        </w:tc>
        <w:tc>
          <w:tcPr>
            <w:tcW w:w="1038" w:type="pct"/>
            <w:tcBorders>
              <w:top w:val="single" w:sz="4" w:space="0" w:color="auto"/>
              <w:left w:val="nil"/>
              <w:bottom w:val="single" w:sz="4" w:space="0" w:color="auto"/>
              <w:right w:val="nil"/>
            </w:tcBorders>
            <w:shd w:val="clear" w:color="auto" w:fill="auto"/>
            <w:noWrap/>
          </w:tcPr>
          <w:p w14:paraId="29F48F01" w14:textId="77777777" w:rsidR="001635CD" w:rsidRPr="003B4D22" w:rsidRDefault="001635CD" w:rsidP="001635CD">
            <w:pPr>
              <w:spacing w:after="0" w:line="240" w:lineRule="auto"/>
              <w:jc w:val="right"/>
              <w:rPr>
                <w:rFonts w:ascii="Arial Narrow" w:hAnsi="Arial Narrow"/>
                <w:sz w:val="20"/>
                <w:szCs w:val="20"/>
                <w:highlight w:val="green"/>
              </w:rPr>
            </w:pPr>
            <w:r w:rsidRPr="003B4D22">
              <w:rPr>
                <w:rFonts w:ascii="Arial Narrow" w:hAnsi="Arial Narrow"/>
                <w:i/>
                <w:sz w:val="20"/>
                <w:szCs w:val="20"/>
              </w:rPr>
              <w:t>―</w:t>
            </w:r>
          </w:p>
        </w:tc>
        <w:tc>
          <w:tcPr>
            <w:tcW w:w="666" w:type="pct"/>
            <w:tcBorders>
              <w:top w:val="single" w:sz="4" w:space="0" w:color="auto"/>
              <w:left w:val="nil"/>
              <w:bottom w:val="single" w:sz="4" w:space="0" w:color="auto"/>
              <w:right w:val="single" w:sz="4" w:space="0" w:color="auto"/>
            </w:tcBorders>
          </w:tcPr>
          <w:p w14:paraId="261EE558" w14:textId="77777777" w:rsidR="001635CD" w:rsidRPr="003B4D22" w:rsidRDefault="001635CD" w:rsidP="001635CD">
            <w:pPr>
              <w:spacing w:after="0" w:line="240" w:lineRule="auto"/>
              <w:jc w:val="right"/>
              <w:rPr>
                <w:rFonts w:ascii="Arial Narrow" w:hAnsi="Arial Narrow" w:cs="Arial Narrow"/>
                <w:color w:val="000000"/>
                <w:sz w:val="20"/>
                <w:szCs w:val="16"/>
              </w:rPr>
            </w:pPr>
          </w:p>
        </w:tc>
      </w:tr>
      <w:tr w:rsidR="001635CD" w:rsidRPr="003B4D22" w14:paraId="373335E6" w14:textId="77777777" w:rsidTr="00386411">
        <w:tc>
          <w:tcPr>
            <w:tcW w:w="650" w:type="pct"/>
            <w:tcBorders>
              <w:left w:val="single" w:sz="4" w:space="0" w:color="auto"/>
              <w:right w:val="single" w:sz="4" w:space="0" w:color="auto"/>
            </w:tcBorders>
          </w:tcPr>
          <w:p w14:paraId="64985EED" w14:textId="77777777" w:rsidR="001635CD" w:rsidRPr="003B4D22" w:rsidRDefault="001635CD" w:rsidP="001635CD">
            <w:pPr>
              <w:spacing w:after="0" w:line="240" w:lineRule="auto"/>
              <w:rPr>
                <w:rFonts w:ascii="Arial Narrow" w:hAnsi="Arial Narrow"/>
                <w:sz w:val="20"/>
                <w:szCs w:val="20"/>
              </w:rPr>
            </w:pPr>
          </w:p>
        </w:tc>
        <w:tc>
          <w:tcPr>
            <w:tcW w:w="1706" w:type="pct"/>
            <w:tcBorders>
              <w:top w:val="single" w:sz="4" w:space="0" w:color="auto"/>
              <w:left w:val="single" w:sz="4" w:space="0" w:color="auto"/>
              <w:bottom w:val="single" w:sz="4" w:space="0" w:color="auto"/>
              <w:right w:val="single" w:sz="4" w:space="0" w:color="auto"/>
            </w:tcBorders>
          </w:tcPr>
          <w:p w14:paraId="447EA61B" w14:textId="51318EF8" w:rsidR="001635CD" w:rsidRPr="003B4D22" w:rsidRDefault="001635CD" w:rsidP="001635CD">
            <w:pPr>
              <w:spacing w:after="0" w:line="240" w:lineRule="auto"/>
              <w:rPr>
                <w:rFonts w:ascii="Arial Narrow" w:hAnsi="Arial Narrow" w:cs="Arial Narrow"/>
                <w:i/>
                <w:color w:val="000000"/>
                <w:sz w:val="20"/>
                <w:szCs w:val="16"/>
              </w:rPr>
            </w:pPr>
            <w:r w:rsidRPr="003B4D22">
              <w:rPr>
                <w:rFonts w:ascii="Arial Narrow" w:hAnsi="Arial Narrow" w:cs="Arial Narrow"/>
                <w:color w:val="000000"/>
                <w:sz w:val="20"/>
                <w:szCs w:val="16"/>
                <w:u w:val="single"/>
              </w:rPr>
              <w:t>Prior</w:t>
            </w:r>
            <w:r w:rsidRPr="003B4D22">
              <w:rPr>
                <w:rFonts w:ascii="Arial Narrow" w:hAnsi="Arial Narrow" w:cs="Arial Narrow"/>
                <w:color w:val="000000"/>
                <w:sz w:val="20"/>
                <w:szCs w:val="16"/>
              </w:rPr>
              <w:t>: Days of treatment from induction to maintenance chemotherapy</w:t>
            </w:r>
            <w:r w:rsidRPr="003B4D22">
              <w:rPr>
                <w:rFonts w:ascii="Arial Narrow" w:hAnsi="Arial Narrow" w:cs="Arial Narrow"/>
                <w:i/>
                <w:color w:val="000000"/>
                <w:sz w:val="20"/>
                <w:szCs w:val="16"/>
              </w:rPr>
              <w:t xml:space="preserve"> (taken to be equivalent to patient days of observation)</w:t>
            </w:r>
            <w:r w:rsidR="003F7B2F">
              <w:rPr>
                <w:rFonts w:ascii="Arial Narrow" w:hAnsi="Arial Narrow" w:cs="Arial Narrow"/>
                <w:i/>
                <w:color w:val="000000"/>
                <w:sz w:val="20"/>
                <w:szCs w:val="16"/>
              </w:rPr>
              <w:t>(SEM)</w:t>
            </w:r>
          </w:p>
        </w:tc>
        <w:tc>
          <w:tcPr>
            <w:tcW w:w="940" w:type="pct"/>
            <w:tcBorders>
              <w:top w:val="single" w:sz="4" w:space="0" w:color="auto"/>
              <w:left w:val="single" w:sz="4" w:space="0" w:color="auto"/>
              <w:bottom w:val="single" w:sz="4" w:space="0" w:color="auto"/>
              <w:right w:val="nil"/>
            </w:tcBorders>
            <w:shd w:val="clear" w:color="auto" w:fill="auto"/>
            <w:noWrap/>
          </w:tcPr>
          <w:p w14:paraId="49B724E3" w14:textId="77777777" w:rsidR="001635CD" w:rsidRPr="003B4D22" w:rsidRDefault="001635CD" w:rsidP="001635CD">
            <w:pPr>
              <w:spacing w:after="0" w:line="240" w:lineRule="auto"/>
              <w:jc w:val="right"/>
              <w:rPr>
                <w:rFonts w:ascii="Arial Narrow" w:hAnsi="Arial Narrow"/>
                <w:i/>
                <w:sz w:val="20"/>
                <w:szCs w:val="20"/>
              </w:rPr>
            </w:pPr>
            <w:r w:rsidRPr="003B4D22">
              <w:rPr>
                <w:rFonts w:ascii="Arial Narrow" w:hAnsi="Arial Narrow" w:cs="Arial Narrow"/>
                <w:color w:val="000000"/>
                <w:sz w:val="20"/>
                <w:szCs w:val="16"/>
              </w:rPr>
              <w:t xml:space="preserve">279 (11.0) </w:t>
            </w:r>
          </w:p>
        </w:tc>
        <w:tc>
          <w:tcPr>
            <w:tcW w:w="1038" w:type="pct"/>
            <w:tcBorders>
              <w:top w:val="single" w:sz="4" w:space="0" w:color="auto"/>
              <w:left w:val="nil"/>
              <w:bottom w:val="single" w:sz="4" w:space="0" w:color="auto"/>
              <w:right w:val="nil"/>
            </w:tcBorders>
            <w:shd w:val="clear" w:color="auto" w:fill="auto"/>
            <w:noWrap/>
          </w:tcPr>
          <w:p w14:paraId="120EF275" w14:textId="77777777" w:rsidR="001635CD" w:rsidRPr="003B4D22" w:rsidRDefault="001635CD" w:rsidP="001635CD">
            <w:pPr>
              <w:spacing w:after="0" w:line="240" w:lineRule="auto"/>
              <w:jc w:val="right"/>
              <w:rPr>
                <w:rFonts w:ascii="Arial Narrow" w:hAnsi="Arial Narrow"/>
                <w:i/>
                <w:sz w:val="20"/>
                <w:szCs w:val="20"/>
              </w:rPr>
            </w:pPr>
            <w:r w:rsidRPr="003B4D22">
              <w:rPr>
                <w:rFonts w:ascii="Arial Narrow" w:hAnsi="Arial Narrow" w:cs="Arial Narrow"/>
                <w:color w:val="000000"/>
                <w:sz w:val="20"/>
                <w:szCs w:val="16"/>
              </w:rPr>
              <w:t xml:space="preserve">244 (6.7) </w:t>
            </w:r>
          </w:p>
        </w:tc>
        <w:tc>
          <w:tcPr>
            <w:tcW w:w="666" w:type="pct"/>
            <w:tcBorders>
              <w:top w:val="single" w:sz="4" w:space="0" w:color="auto"/>
              <w:left w:val="nil"/>
              <w:bottom w:val="single" w:sz="4" w:space="0" w:color="auto"/>
              <w:right w:val="single" w:sz="4" w:space="0" w:color="auto"/>
            </w:tcBorders>
          </w:tcPr>
          <w:p w14:paraId="62782BBF" w14:textId="77777777" w:rsidR="001635CD" w:rsidRPr="003B4D22" w:rsidRDefault="001635CD" w:rsidP="001635CD">
            <w:pPr>
              <w:spacing w:after="0" w:line="240" w:lineRule="auto"/>
              <w:jc w:val="right"/>
              <w:rPr>
                <w:rFonts w:ascii="Arial Narrow" w:hAnsi="Arial Narrow" w:cs="Arial Narrow"/>
                <w:color w:val="000000"/>
                <w:sz w:val="20"/>
                <w:szCs w:val="16"/>
              </w:rPr>
            </w:pPr>
            <w:r w:rsidRPr="003B4D22">
              <w:rPr>
                <w:rFonts w:ascii="Arial Narrow" w:hAnsi="Arial Narrow" w:cs="Arial Narrow"/>
                <w:color w:val="000000"/>
                <w:sz w:val="20"/>
                <w:szCs w:val="16"/>
              </w:rPr>
              <w:t>0.004</w:t>
            </w:r>
          </w:p>
        </w:tc>
      </w:tr>
      <w:tr w:rsidR="001635CD" w:rsidRPr="003B4D22" w14:paraId="637B68D7" w14:textId="77777777" w:rsidTr="00386411">
        <w:tc>
          <w:tcPr>
            <w:tcW w:w="650" w:type="pct"/>
            <w:tcBorders>
              <w:left w:val="single" w:sz="4" w:space="0" w:color="auto"/>
              <w:bottom w:val="nil"/>
              <w:right w:val="single" w:sz="4" w:space="0" w:color="auto"/>
            </w:tcBorders>
          </w:tcPr>
          <w:p w14:paraId="42A78787" w14:textId="77777777" w:rsidR="001635CD" w:rsidRPr="003B4D22" w:rsidRDefault="001635CD" w:rsidP="001635CD">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single" w:sz="4" w:space="0" w:color="auto"/>
              <w:right w:val="single" w:sz="4" w:space="0" w:color="auto"/>
            </w:tcBorders>
          </w:tcPr>
          <w:p w14:paraId="3007311E" w14:textId="77777777" w:rsidR="001635CD" w:rsidRPr="003B4D22" w:rsidRDefault="001635CD" w:rsidP="001635CD">
            <w:pPr>
              <w:spacing w:after="0" w:line="240" w:lineRule="auto"/>
              <w:rPr>
                <w:rFonts w:ascii="Arial Narrow" w:hAnsi="Arial Narrow"/>
                <w:i/>
                <w:sz w:val="20"/>
                <w:szCs w:val="20"/>
              </w:rPr>
            </w:pPr>
            <w:r w:rsidRPr="003B4D22">
              <w:rPr>
                <w:rFonts w:ascii="Arial Narrow" w:hAnsi="Arial Narrow" w:cs="Arial Narrow"/>
                <w:color w:val="000000"/>
                <w:sz w:val="20"/>
                <w:szCs w:val="16"/>
                <w:u w:val="single"/>
              </w:rPr>
              <w:t>Prior</w:t>
            </w:r>
            <w:r w:rsidRPr="003B4D22">
              <w:rPr>
                <w:rFonts w:ascii="Arial Narrow" w:hAnsi="Arial Narrow" w:cs="Arial Narrow"/>
                <w:color w:val="000000"/>
                <w:sz w:val="20"/>
                <w:szCs w:val="16"/>
              </w:rPr>
              <w:t>: mean episodes of bacteremia or fungemia (SEM)</w:t>
            </w:r>
          </w:p>
        </w:tc>
        <w:tc>
          <w:tcPr>
            <w:tcW w:w="940" w:type="pct"/>
            <w:tcBorders>
              <w:top w:val="single" w:sz="4" w:space="0" w:color="auto"/>
              <w:left w:val="single" w:sz="4" w:space="0" w:color="auto"/>
              <w:bottom w:val="single" w:sz="4" w:space="0" w:color="auto"/>
              <w:right w:val="nil"/>
            </w:tcBorders>
            <w:shd w:val="clear" w:color="auto" w:fill="auto"/>
            <w:noWrap/>
          </w:tcPr>
          <w:p w14:paraId="1EF41508" w14:textId="77777777" w:rsidR="001635CD" w:rsidRPr="003B4D22" w:rsidRDefault="001635CD" w:rsidP="001635CD">
            <w:pPr>
              <w:spacing w:after="0" w:line="240" w:lineRule="auto"/>
              <w:jc w:val="right"/>
              <w:rPr>
                <w:rFonts w:ascii="Arial Narrow" w:hAnsi="Arial Narrow" w:cs="Arial Narrow"/>
                <w:color w:val="000000"/>
                <w:sz w:val="20"/>
                <w:szCs w:val="16"/>
              </w:rPr>
            </w:pPr>
            <w:r w:rsidRPr="003B4D22">
              <w:rPr>
                <w:rFonts w:ascii="Arial Narrow" w:hAnsi="Arial Narrow" w:cs="Arial Narrow"/>
                <w:color w:val="000000"/>
                <w:sz w:val="20"/>
                <w:szCs w:val="16"/>
              </w:rPr>
              <w:t xml:space="preserve">0.89 (0.2) </w:t>
            </w:r>
          </w:p>
          <w:p w14:paraId="14D7922D" w14:textId="77777777" w:rsidR="001635CD" w:rsidRPr="003B4D22" w:rsidRDefault="001635CD" w:rsidP="001635CD">
            <w:pPr>
              <w:spacing w:after="0" w:line="240" w:lineRule="auto"/>
              <w:jc w:val="right"/>
              <w:rPr>
                <w:rFonts w:ascii="Arial Narrow" w:hAnsi="Arial Narrow"/>
                <w:i/>
                <w:sz w:val="20"/>
                <w:szCs w:val="20"/>
              </w:rPr>
            </w:pPr>
            <w:r w:rsidRPr="003B4D22">
              <w:rPr>
                <w:rFonts w:ascii="Arial Narrow" w:hAnsi="Arial Narrow" w:cs="Arial Narrow"/>
                <w:color w:val="000000"/>
                <w:sz w:val="20"/>
                <w:szCs w:val="16"/>
              </w:rPr>
              <w:t>[32.0 episodes]</w:t>
            </w:r>
          </w:p>
        </w:tc>
        <w:tc>
          <w:tcPr>
            <w:tcW w:w="1038" w:type="pct"/>
            <w:tcBorders>
              <w:top w:val="single" w:sz="4" w:space="0" w:color="auto"/>
              <w:left w:val="nil"/>
              <w:bottom w:val="single" w:sz="4" w:space="0" w:color="auto"/>
              <w:right w:val="nil"/>
            </w:tcBorders>
            <w:shd w:val="clear" w:color="auto" w:fill="auto"/>
            <w:noWrap/>
          </w:tcPr>
          <w:p w14:paraId="2D0F79A7" w14:textId="77777777" w:rsidR="001635CD" w:rsidRPr="003B4D22" w:rsidRDefault="001635CD" w:rsidP="001635CD">
            <w:pPr>
              <w:spacing w:after="0" w:line="240" w:lineRule="auto"/>
              <w:jc w:val="right"/>
              <w:rPr>
                <w:rFonts w:ascii="Arial Narrow" w:hAnsi="Arial Narrow" w:cs="Arial Narrow"/>
                <w:color w:val="000000"/>
                <w:sz w:val="20"/>
                <w:szCs w:val="16"/>
              </w:rPr>
            </w:pPr>
            <w:r w:rsidRPr="003B4D22">
              <w:rPr>
                <w:rFonts w:ascii="Arial Narrow" w:hAnsi="Arial Narrow" w:cs="Arial Narrow"/>
                <w:color w:val="000000"/>
                <w:sz w:val="20"/>
                <w:szCs w:val="16"/>
              </w:rPr>
              <w:t>0.26 (0.1)</w:t>
            </w:r>
          </w:p>
          <w:p w14:paraId="45BAC313" w14:textId="77777777" w:rsidR="001635CD" w:rsidRPr="003B4D22" w:rsidRDefault="001635CD" w:rsidP="001635CD">
            <w:pPr>
              <w:spacing w:after="0" w:line="240" w:lineRule="auto"/>
              <w:jc w:val="right"/>
              <w:rPr>
                <w:rFonts w:ascii="Arial Narrow" w:hAnsi="Arial Narrow"/>
                <w:i/>
                <w:sz w:val="20"/>
                <w:szCs w:val="20"/>
              </w:rPr>
            </w:pPr>
            <w:r w:rsidRPr="003B4D22">
              <w:rPr>
                <w:rFonts w:ascii="Arial Narrow" w:hAnsi="Arial Narrow" w:cs="Arial Narrow"/>
                <w:color w:val="000000"/>
                <w:sz w:val="20"/>
                <w:szCs w:val="16"/>
              </w:rPr>
              <w:t xml:space="preserve">[21.3 episodes] </w:t>
            </w:r>
          </w:p>
        </w:tc>
        <w:tc>
          <w:tcPr>
            <w:tcW w:w="666" w:type="pct"/>
            <w:tcBorders>
              <w:top w:val="single" w:sz="4" w:space="0" w:color="auto"/>
              <w:left w:val="nil"/>
              <w:bottom w:val="single" w:sz="4" w:space="0" w:color="auto"/>
              <w:right w:val="single" w:sz="4" w:space="0" w:color="auto"/>
            </w:tcBorders>
          </w:tcPr>
          <w:p w14:paraId="28DA8DB7" w14:textId="77777777" w:rsidR="001635CD" w:rsidRPr="003B4D22" w:rsidRDefault="001635CD" w:rsidP="001635CD">
            <w:pPr>
              <w:spacing w:after="0" w:line="240" w:lineRule="auto"/>
              <w:jc w:val="right"/>
              <w:rPr>
                <w:rFonts w:ascii="Arial Narrow" w:hAnsi="Arial Narrow"/>
                <w:sz w:val="20"/>
                <w:szCs w:val="20"/>
              </w:rPr>
            </w:pPr>
            <w:r w:rsidRPr="003B4D22">
              <w:rPr>
                <w:rFonts w:ascii="Arial Narrow" w:hAnsi="Arial Narrow" w:cs="Arial Narrow"/>
                <w:color w:val="000000"/>
                <w:sz w:val="20"/>
                <w:szCs w:val="16"/>
              </w:rPr>
              <w:t xml:space="preserve">0.002 </w:t>
            </w:r>
          </w:p>
        </w:tc>
      </w:tr>
      <w:tr w:rsidR="001635CD" w:rsidRPr="003B4D22" w14:paraId="7B9DE8EA" w14:textId="77777777" w:rsidTr="00386411">
        <w:tc>
          <w:tcPr>
            <w:tcW w:w="650" w:type="pct"/>
            <w:tcBorders>
              <w:left w:val="single" w:sz="4" w:space="0" w:color="auto"/>
              <w:bottom w:val="nil"/>
              <w:right w:val="single" w:sz="4" w:space="0" w:color="auto"/>
            </w:tcBorders>
          </w:tcPr>
          <w:p w14:paraId="1071E543" w14:textId="77777777" w:rsidR="001635CD" w:rsidRPr="003B4D22" w:rsidRDefault="001635CD" w:rsidP="001635CD">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single" w:sz="4" w:space="0" w:color="auto"/>
              <w:right w:val="single" w:sz="4" w:space="0" w:color="auto"/>
            </w:tcBorders>
          </w:tcPr>
          <w:p w14:paraId="7C74F70E" w14:textId="77777777" w:rsidR="001635CD" w:rsidRPr="003B4D22" w:rsidRDefault="001635CD" w:rsidP="001635CD">
            <w:pPr>
              <w:spacing w:after="0" w:line="240" w:lineRule="auto"/>
              <w:rPr>
                <w:rFonts w:ascii="Arial Narrow" w:hAnsi="Arial Narrow" w:cs="Arial Narrow"/>
                <w:i/>
                <w:color w:val="000000"/>
                <w:sz w:val="20"/>
                <w:szCs w:val="16"/>
              </w:rPr>
            </w:pPr>
            <w:r w:rsidRPr="003B4D22">
              <w:rPr>
                <w:rFonts w:ascii="Arial Narrow" w:hAnsi="Arial Narrow" w:cs="Arial Narrow"/>
                <w:i/>
                <w:color w:val="000000"/>
                <w:sz w:val="20"/>
                <w:szCs w:val="16"/>
                <w:u w:val="single"/>
              </w:rPr>
              <w:t>Prior</w:t>
            </w:r>
            <w:r w:rsidRPr="003B4D22">
              <w:rPr>
                <w:rFonts w:ascii="Arial Narrow" w:hAnsi="Arial Narrow" w:cs="Arial Narrow"/>
                <w:i/>
                <w:color w:val="000000"/>
                <w:sz w:val="20"/>
                <w:szCs w:val="16"/>
              </w:rPr>
              <w:t xml:space="preserve"> rate, bacteraemia or fungaemia</w:t>
            </w:r>
          </w:p>
        </w:tc>
        <w:tc>
          <w:tcPr>
            <w:tcW w:w="940" w:type="pct"/>
            <w:tcBorders>
              <w:top w:val="single" w:sz="4" w:space="0" w:color="auto"/>
              <w:left w:val="single" w:sz="4" w:space="0" w:color="auto"/>
              <w:bottom w:val="single" w:sz="4" w:space="0" w:color="auto"/>
              <w:right w:val="nil"/>
            </w:tcBorders>
            <w:shd w:val="clear" w:color="auto" w:fill="auto"/>
            <w:noWrap/>
          </w:tcPr>
          <w:p w14:paraId="2E36CB60" w14:textId="77777777" w:rsidR="001635CD" w:rsidRPr="003B4D22" w:rsidRDefault="001635CD" w:rsidP="001635CD">
            <w:pPr>
              <w:spacing w:after="0" w:line="240" w:lineRule="auto"/>
              <w:jc w:val="right"/>
              <w:rPr>
                <w:rFonts w:ascii="Arial Narrow" w:hAnsi="Arial Narrow" w:cs="Arial Narrow"/>
                <w:i/>
                <w:color w:val="000000"/>
                <w:sz w:val="20"/>
                <w:szCs w:val="16"/>
              </w:rPr>
            </w:pPr>
            <w:r w:rsidRPr="003B4D22">
              <w:rPr>
                <w:rFonts w:ascii="Arial Narrow" w:hAnsi="Arial Narrow" w:cs="Arial Narrow"/>
                <w:i/>
                <w:color w:val="000000"/>
                <w:sz w:val="20"/>
                <w:szCs w:val="16"/>
              </w:rPr>
              <w:t>0.097</w:t>
            </w:r>
          </w:p>
        </w:tc>
        <w:tc>
          <w:tcPr>
            <w:tcW w:w="1038" w:type="pct"/>
            <w:tcBorders>
              <w:top w:val="single" w:sz="4" w:space="0" w:color="auto"/>
              <w:left w:val="nil"/>
              <w:bottom w:val="single" w:sz="4" w:space="0" w:color="auto"/>
              <w:right w:val="nil"/>
            </w:tcBorders>
            <w:shd w:val="clear" w:color="auto" w:fill="auto"/>
            <w:noWrap/>
          </w:tcPr>
          <w:p w14:paraId="0724DBF3" w14:textId="77777777" w:rsidR="001635CD" w:rsidRPr="003B4D22" w:rsidRDefault="001635CD" w:rsidP="001635CD">
            <w:pPr>
              <w:spacing w:after="0" w:line="240" w:lineRule="auto"/>
              <w:jc w:val="right"/>
              <w:rPr>
                <w:rFonts w:ascii="Arial Narrow" w:hAnsi="Arial Narrow" w:cs="Arial Narrow"/>
                <w:i/>
                <w:color w:val="000000"/>
                <w:sz w:val="20"/>
                <w:szCs w:val="16"/>
              </w:rPr>
            </w:pPr>
            <w:r w:rsidRPr="003B4D22">
              <w:rPr>
                <w:rFonts w:ascii="Arial Narrow" w:hAnsi="Arial Narrow"/>
                <w:i/>
                <w:sz w:val="20"/>
                <w:szCs w:val="20"/>
              </w:rPr>
              <w:t>0.032</w:t>
            </w:r>
          </w:p>
        </w:tc>
        <w:tc>
          <w:tcPr>
            <w:tcW w:w="666" w:type="pct"/>
            <w:tcBorders>
              <w:top w:val="single" w:sz="4" w:space="0" w:color="auto"/>
              <w:left w:val="nil"/>
              <w:bottom w:val="single" w:sz="4" w:space="0" w:color="auto"/>
              <w:right w:val="single" w:sz="4" w:space="0" w:color="auto"/>
            </w:tcBorders>
          </w:tcPr>
          <w:p w14:paraId="2C16A3FD" w14:textId="77777777" w:rsidR="001635CD" w:rsidRPr="003B4D22" w:rsidRDefault="001635CD" w:rsidP="001635CD">
            <w:pPr>
              <w:spacing w:after="0" w:line="240" w:lineRule="auto"/>
              <w:jc w:val="right"/>
              <w:rPr>
                <w:rFonts w:ascii="Arial Narrow" w:hAnsi="Arial Narrow" w:cs="Arial Narrow"/>
                <w:color w:val="000000"/>
                <w:sz w:val="20"/>
                <w:szCs w:val="16"/>
              </w:rPr>
            </w:pPr>
          </w:p>
        </w:tc>
      </w:tr>
      <w:tr w:rsidR="001635CD" w:rsidRPr="003B4D22" w14:paraId="75BE306F" w14:textId="77777777" w:rsidTr="00386411">
        <w:tc>
          <w:tcPr>
            <w:tcW w:w="650" w:type="pct"/>
            <w:tcBorders>
              <w:left w:val="single" w:sz="4" w:space="0" w:color="auto"/>
              <w:bottom w:val="nil"/>
              <w:right w:val="single" w:sz="4" w:space="0" w:color="auto"/>
            </w:tcBorders>
          </w:tcPr>
          <w:p w14:paraId="73FD4833" w14:textId="77777777" w:rsidR="001635CD" w:rsidRPr="003B4D22" w:rsidRDefault="001635CD" w:rsidP="001635CD">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single" w:sz="4" w:space="0" w:color="auto"/>
              <w:right w:val="single" w:sz="4" w:space="0" w:color="auto"/>
            </w:tcBorders>
          </w:tcPr>
          <w:p w14:paraId="56C7BBA5" w14:textId="6CBE5D61" w:rsidR="001635CD" w:rsidRPr="003B4D22" w:rsidRDefault="001635CD" w:rsidP="003F7B2F">
            <w:pPr>
              <w:spacing w:after="0" w:line="240" w:lineRule="auto"/>
              <w:rPr>
                <w:rFonts w:ascii="Arial Narrow" w:hAnsi="Arial Narrow" w:cs="Arial Narrow"/>
                <w:color w:val="000000"/>
                <w:sz w:val="20"/>
                <w:szCs w:val="16"/>
              </w:rPr>
            </w:pPr>
            <w:r w:rsidRPr="003B4D22">
              <w:rPr>
                <w:rFonts w:ascii="Arial Narrow" w:hAnsi="Arial Narrow" w:cs="Arial Narrow"/>
                <w:color w:val="000000"/>
                <w:sz w:val="20"/>
                <w:szCs w:val="16"/>
                <w:u w:val="single"/>
              </w:rPr>
              <w:t>During</w:t>
            </w:r>
            <w:r w:rsidRPr="003B4D22">
              <w:rPr>
                <w:rFonts w:ascii="Arial Narrow" w:hAnsi="Arial Narrow" w:cs="Arial Narrow"/>
                <w:color w:val="000000"/>
                <w:sz w:val="20"/>
                <w:szCs w:val="16"/>
              </w:rPr>
              <w:t>: Days of chemotherapy, mean patient-days</w:t>
            </w:r>
            <w:r w:rsidRPr="003B4D22">
              <w:rPr>
                <w:rFonts w:ascii="Arial Narrow" w:hAnsi="Arial Narrow" w:cs="Arial Narrow"/>
                <w:i/>
                <w:color w:val="000000"/>
                <w:sz w:val="20"/>
                <w:szCs w:val="16"/>
              </w:rPr>
              <w:t>(taken to be equivalent to patient days at risk)</w:t>
            </w:r>
            <w:r w:rsidR="003F7B2F" w:rsidRPr="003B4D22">
              <w:rPr>
                <w:rFonts w:ascii="Arial Narrow" w:hAnsi="Arial Narrow" w:cs="Arial Narrow"/>
                <w:color w:val="000000"/>
                <w:sz w:val="20"/>
                <w:szCs w:val="16"/>
              </w:rPr>
              <w:t xml:space="preserve"> (SEM)</w:t>
            </w:r>
          </w:p>
        </w:tc>
        <w:tc>
          <w:tcPr>
            <w:tcW w:w="940" w:type="pct"/>
            <w:tcBorders>
              <w:top w:val="single" w:sz="4" w:space="0" w:color="auto"/>
              <w:left w:val="single" w:sz="4" w:space="0" w:color="auto"/>
              <w:bottom w:val="single" w:sz="4" w:space="0" w:color="auto"/>
              <w:right w:val="nil"/>
            </w:tcBorders>
            <w:shd w:val="clear" w:color="auto" w:fill="auto"/>
            <w:noWrap/>
          </w:tcPr>
          <w:p w14:paraId="4776912B" w14:textId="77777777" w:rsidR="001635CD" w:rsidRPr="003B4D22" w:rsidRDefault="001635CD" w:rsidP="001635CD">
            <w:pPr>
              <w:spacing w:after="0" w:line="240" w:lineRule="auto"/>
              <w:jc w:val="right"/>
              <w:rPr>
                <w:rFonts w:ascii="Arial Narrow" w:hAnsi="Arial Narrow" w:cs="Arial Narrow"/>
                <w:color w:val="000000"/>
                <w:sz w:val="20"/>
                <w:szCs w:val="16"/>
                <w:highlight w:val="green"/>
              </w:rPr>
            </w:pPr>
            <w:r w:rsidRPr="003B4D22">
              <w:rPr>
                <w:rFonts w:ascii="Arial Narrow" w:hAnsi="Arial Narrow"/>
                <w:sz w:val="20"/>
              </w:rPr>
              <w:t>713 (33.2)</w:t>
            </w:r>
          </w:p>
        </w:tc>
        <w:tc>
          <w:tcPr>
            <w:tcW w:w="1038" w:type="pct"/>
            <w:tcBorders>
              <w:top w:val="single" w:sz="4" w:space="0" w:color="auto"/>
              <w:left w:val="nil"/>
              <w:bottom w:val="single" w:sz="4" w:space="0" w:color="auto"/>
              <w:right w:val="nil"/>
            </w:tcBorders>
            <w:shd w:val="clear" w:color="auto" w:fill="auto"/>
            <w:noWrap/>
          </w:tcPr>
          <w:p w14:paraId="2AABEB80" w14:textId="77777777" w:rsidR="001635CD" w:rsidRPr="003B4D22" w:rsidRDefault="001635CD" w:rsidP="001635CD">
            <w:pPr>
              <w:spacing w:after="0" w:line="240" w:lineRule="auto"/>
              <w:jc w:val="right"/>
              <w:rPr>
                <w:rFonts w:ascii="Arial Narrow" w:hAnsi="Arial Narrow"/>
                <w:sz w:val="20"/>
                <w:szCs w:val="20"/>
                <w:highlight w:val="green"/>
              </w:rPr>
            </w:pPr>
            <w:r w:rsidRPr="003B4D22">
              <w:rPr>
                <w:rFonts w:ascii="Arial Narrow" w:hAnsi="Arial Narrow"/>
                <w:sz w:val="20"/>
              </w:rPr>
              <w:t xml:space="preserve">736 (22.8) </w:t>
            </w:r>
          </w:p>
        </w:tc>
        <w:tc>
          <w:tcPr>
            <w:tcW w:w="666" w:type="pct"/>
            <w:tcBorders>
              <w:top w:val="single" w:sz="4" w:space="0" w:color="auto"/>
              <w:left w:val="nil"/>
              <w:bottom w:val="single" w:sz="4" w:space="0" w:color="auto"/>
              <w:right w:val="single" w:sz="4" w:space="0" w:color="auto"/>
            </w:tcBorders>
          </w:tcPr>
          <w:p w14:paraId="20764EEA" w14:textId="77777777" w:rsidR="001635CD" w:rsidRPr="003B4D22" w:rsidRDefault="001635CD" w:rsidP="001635CD">
            <w:pPr>
              <w:spacing w:after="0" w:line="240" w:lineRule="auto"/>
              <w:jc w:val="right"/>
              <w:rPr>
                <w:rFonts w:ascii="Arial Narrow" w:hAnsi="Arial Narrow" w:cs="Arial Narrow"/>
                <w:color w:val="000000"/>
                <w:sz w:val="20"/>
                <w:szCs w:val="16"/>
              </w:rPr>
            </w:pPr>
            <w:r w:rsidRPr="003B4D22">
              <w:rPr>
                <w:rFonts w:ascii="Arial Narrow" w:hAnsi="Arial Narrow"/>
                <w:sz w:val="20"/>
              </w:rPr>
              <w:t>p=0.617</w:t>
            </w:r>
          </w:p>
        </w:tc>
      </w:tr>
      <w:tr w:rsidR="001635CD" w:rsidRPr="003B4D22" w14:paraId="7775CF53" w14:textId="77777777" w:rsidTr="00386411">
        <w:tc>
          <w:tcPr>
            <w:tcW w:w="650" w:type="pct"/>
            <w:tcBorders>
              <w:top w:val="nil"/>
              <w:left w:val="single" w:sz="4" w:space="0" w:color="auto"/>
              <w:bottom w:val="nil"/>
              <w:right w:val="single" w:sz="4" w:space="0" w:color="auto"/>
            </w:tcBorders>
          </w:tcPr>
          <w:p w14:paraId="1C5512D4" w14:textId="77777777" w:rsidR="001635CD" w:rsidRPr="003B4D22" w:rsidRDefault="001635CD" w:rsidP="001635CD">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single" w:sz="4" w:space="0" w:color="auto"/>
              <w:right w:val="single" w:sz="4" w:space="0" w:color="auto"/>
            </w:tcBorders>
            <w:vAlign w:val="bottom"/>
          </w:tcPr>
          <w:p w14:paraId="06C01647" w14:textId="77777777" w:rsidR="001635CD" w:rsidRPr="003B4D22" w:rsidRDefault="001635CD" w:rsidP="001635CD">
            <w:pPr>
              <w:spacing w:after="0" w:line="240" w:lineRule="auto"/>
              <w:rPr>
                <w:rFonts w:ascii="Arial Narrow" w:hAnsi="Arial Narrow" w:cs="Calibri"/>
                <w:sz w:val="20"/>
                <w:szCs w:val="20"/>
              </w:rPr>
            </w:pPr>
            <w:r w:rsidRPr="003B4D22">
              <w:rPr>
                <w:rFonts w:ascii="Arial Narrow" w:hAnsi="Arial Narrow" w:cs="Calibri"/>
                <w:sz w:val="20"/>
                <w:szCs w:val="20"/>
                <w:u w:val="single"/>
              </w:rPr>
              <w:t>During</w:t>
            </w:r>
            <w:r w:rsidRPr="003B4D22">
              <w:rPr>
                <w:rFonts w:ascii="Arial Narrow" w:hAnsi="Arial Narrow" w:cs="Calibri"/>
                <w:sz w:val="20"/>
                <w:szCs w:val="20"/>
              </w:rPr>
              <w:t>: mean episodes of bacteraemia (SEM)</w:t>
            </w:r>
          </w:p>
        </w:tc>
        <w:tc>
          <w:tcPr>
            <w:tcW w:w="940" w:type="pct"/>
            <w:tcBorders>
              <w:top w:val="single" w:sz="4" w:space="0" w:color="auto"/>
              <w:left w:val="single" w:sz="4" w:space="0" w:color="auto"/>
              <w:bottom w:val="single" w:sz="4" w:space="0" w:color="auto"/>
              <w:right w:val="nil"/>
            </w:tcBorders>
            <w:shd w:val="clear" w:color="auto" w:fill="auto"/>
            <w:noWrap/>
          </w:tcPr>
          <w:p w14:paraId="12234B4E" w14:textId="77777777" w:rsidR="001635CD" w:rsidRPr="003B4D22" w:rsidRDefault="001635CD" w:rsidP="001635CD">
            <w:pPr>
              <w:spacing w:after="0" w:line="240" w:lineRule="auto"/>
              <w:jc w:val="right"/>
              <w:rPr>
                <w:rFonts w:ascii="Arial Narrow" w:hAnsi="Arial Narrow"/>
                <w:sz w:val="20"/>
                <w:szCs w:val="20"/>
              </w:rPr>
            </w:pPr>
            <w:r w:rsidRPr="003B4D22">
              <w:rPr>
                <w:rFonts w:ascii="Arial Narrow" w:hAnsi="Arial Narrow"/>
                <w:sz w:val="20"/>
                <w:szCs w:val="20"/>
              </w:rPr>
              <w:t>0.25 (0.09)</w:t>
            </w:r>
          </w:p>
          <w:p w14:paraId="6F0CBAF0" w14:textId="77777777" w:rsidR="001635CD" w:rsidRPr="003B4D22" w:rsidRDefault="001635CD" w:rsidP="001635CD">
            <w:pPr>
              <w:spacing w:after="0" w:line="240" w:lineRule="auto"/>
              <w:jc w:val="right"/>
              <w:rPr>
                <w:rFonts w:ascii="Arial Narrow" w:hAnsi="Arial Narrow"/>
                <w:sz w:val="20"/>
                <w:szCs w:val="20"/>
              </w:rPr>
            </w:pPr>
            <w:r w:rsidRPr="003B4D22">
              <w:rPr>
                <w:rFonts w:ascii="Arial Narrow" w:hAnsi="Arial Narrow"/>
                <w:sz w:val="20"/>
                <w:szCs w:val="20"/>
              </w:rPr>
              <w:t>[9.0 episodes]</w:t>
            </w:r>
          </w:p>
        </w:tc>
        <w:tc>
          <w:tcPr>
            <w:tcW w:w="1038" w:type="pct"/>
            <w:tcBorders>
              <w:top w:val="single" w:sz="4" w:space="0" w:color="auto"/>
              <w:left w:val="nil"/>
              <w:bottom w:val="single" w:sz="4" w:space="0" w:color="auto"/>
              <w:right w:val="nil"/>
            </w:tcBorders>
            <w:shd w:val="clear" w:color="auto" w:fill="auto"/>
            <w:noWrap/>
          </w:tcPr>
          <w:p w14:paraId="566C6D97" w14:textId="77777777" w:rsidR="001635CD" w:rsidRPr="003B4D22" w:rsidRDefault="001635CD" w:rsidP="001635CD">
            <w:pPr>
              <w:spacing w:after="0" w:line="240" w:lineRule="auto"/>
              <w:jc w:val="right"/>
              <w:rPr>
                <w:rFonts w:ascii="Arial Narrow" w:hAnsi="Arial Narrow"/>
                <w:sz w:val="20"/>
                <w:szCs w:val="20"/>
              </w:rPr>
            </w:pPr>
            <w:r w:rsidRPr="003B4D22">
              <w:rPr>
                <w:rFonts w:ascii="Arial Narrow" w:hAnsi="Arial Narrow"/>
                <w:sz w:val="20"/>
                <w:szCs w:val="20"/>
              </w:rPr>
              <w:t>0.15 (0.04)</w:t>
            </w:r>
          </w:p>
          <w:p w14:paraId="18B522FC" w14:textId="77777777" w:rsidR="001635CD" w:rsidRPr="003B4D22" w:rsidRDefault="001635CD" w:rsidP="001635CD">
            <w:pPr>
              <w:spacing w:after="0" w:line="240" w:lineRule="auto"/>
              <w:jc w:val="right"/>
              <w:rPr>
                <w:rFonts w:ascii="Arial Narrow" w:hAnsi="Arial Narrow"/>
                <w:sz w:val="20"/>
                <w:szCs w:val="20"/>
              </w:rPr>
            </w:pPr>
            <w:r w:rsidRPr="003B4D22">
              <w:rPr>
                <w:rFonts w:ascii="Arial Narrow" w:hAnsi="Arial Narrow"/>
                <w:sz w:val="20"/>
                <w:szCs w:val="20"/>
              </w:rPr>
              <w:t>[12.3 episodes]</w:t>
            </w:r>
          </w:p>
        </w:tc>
        <w:tc>
          <w:tcPr>
            <w:tcW w:w="666" w:type="pct"/>
            <w:tcBorders>
              <w:top w:val="single" w:sz="4" w:space="0" w:color="auto"/>
              <w:left w:val="nil"/>
              <w:bottom w:val="single" w:sz="4" w:space="0" w:color="auto"/>
              <w:right w:val="single" w:sz="4" w:space="0" w:color="auto"/>
            </w:tcBorders>
          </w:tcPr>
          <w:p w14:paraId="780BCAF3" w14:textId="77777777" w:rsidR="001635CD" w:rsidRPr="003B4D22" w:rsidRDefault="001635CD" w:rsidP="001635CD">
            <w:pPr>
              <w:spacing w:after="0" w:line="240" w:lineRule="auto"/>
              <w:jc w:val="right"/>
              <w:rPr>
                <w:rFonts w:ascii="Arial Narrow" w:hAnsi="Arial Narrow"/>
                <w:sz w:val="20"/>
                <w:szCs w:val="20"/>
              </w:rPr>
            </w:pPr>
            <w:r w:rsidRPr="003B4D22">
              <w:rPr>
                <w:rFonts w:ascii="Arial Narrow" w:hAnsi="Arial Narrow"/>
                <w:sz w:val="20"/>
                <w:szCs w:val="20"/>
              </w:rPr>
              <w:t>0.336</w:t>
            </w:r>
          </w:p>
        </w:tc>
      </w:tr>
      <w:tr w:rsidR="001635CD" w:rsidRPr="003B4D22" w14:paraId="52102A5E" w14:textId="77777777" w:rsidTr="00386411">
        <w:tc>
          <w:tcPr>
            <w:tcW w:w="650" w:type="pct"/>
            <w:tcBorders>
              <w:top w:val="nil"/>
              <w:left w:val="single" w:sz="4" w:space="0" w:color="auto"/>
              <w:bottom w:val="nil"/>
              <w:right w:val="single" w:sz="4" w:space="0" w:color="auto"/>
            </w:tcBorders>
          </w:tcPr>
          <w:p w14:paraId="7D9F9783" w14:textId="77777777" w:rsidR="001635CD" w:rsidRPr="003B4D22" w:rsidRDefault="001635CD" w:rsidP="001635CD">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single" w:sz="4" w:space="0" w:color="auto"/>
              <w:right w:val="single" w:sz="4" w:space="0" w:color="auto"/>
            </w:tcBorders>
            <w:vAlign w:val="bottom"/>
          </w:tcPr>
          <w:p w14:paraId="6E84803D" w14:textId="77777777" w:rsidR="001635CD" w:rsidRPr="003B4D22" w:rsidRDefault="001635CD" w:rsidP="001635CD">
            <w:pPr>
              <w:spacing w:after="0" w:line="240" w:lineRule="auto"/>
              <w:rPr>
                <w:rFonts w:ascii="Arial Narrow" w:hAnsi="Arial Narrow" w:cs="Calibri"/>
                <w:i/>
                <w:sz w:val="20"/>
                <w:szCs w:val="20"/>
              </w:rPr>
            </w:pPr>
            <w:r w:rsidRPr="003B4D22">
              <w:rPr>
                <w:rFonts w:ascii="Arial Narrow" w:hAnsi="Arial Narrow" w:cs="Calibri"/>
                <w:i/>
                <w:sz w:val="20"/>
                <w:szCs w:val="20"/>
                <w:u w:val="single"/>
              </w:rPr>
              <w:t>During</w:t>
            </w:r>
            <w:r w:rsidRPr="003B4D22">
              <w:rPr>
                <w:rFonts w:ascii="Arial Narrow" w:hAnsi="Arial Narrow" w:cs="Calibri"/>
                <w:i/>
                <w:sz w:val="20"/>
                <w:szCs w:val="20"/>
              </w:rPr>
              <w:t>: rate, bactermaemia (/patient/month)</w:t>
            </w:r>
          </w:p>
        </w:tc>
        <w:tc>
          <w:tcPr>
            <w:tcW w:w="940" w:type="pct"/>
            <w:tcBorders>
              <w:top w:val="single" w:sz="4" w:space="0" w:color="auto"/>
              <w:left w:val="single" w:sz="4" w:space="0" w:color="auto"/>
              <w:bottom w:val="single" w:sz="4" w:space="0" w:color="auto"/>
              <w:right w:val="nil"/>
            </w:tcBorders>
            <w:shd w:val="clear" w:color="auto" w:fill="auto"/>
            <w:noWrap/>
          </w:tcPr>
          <w:p w14:paraId="6C38838B" w14:textId="77777777" w:rsidR="001635CD" w:rsidRPr="003B4D22" w:rsidRDefault="001635CD" w:rsidP="001635CD">
            <w:pPr>
              <w:spacing w:after="0" w:line="240" w:lineRule="auto"/>
              <w:jc w:val="right"/>
              <w:rPr>
                <w:rFonts w:ascii="Arial Narrow" w:hAnsi="Arial Narrow"/>
                <w:i/>
                <w:sz w:val="20"/>
                <w:szCs w:val="20"/>
              </w:rPr>
            </w:pPr>
            <w:r w:rsidRPr="003B4D22">
              <w:rPr>
                <w:rFonts w:ascii="Arial Narrow" w:hAnsi="Arial Narrow"/>
                <w:i/>
                <w:sz w:val="20"/>
              </w:rPr>
              <w:t>0.011</w:t>
            </w:r>
          </w:p>
        </w:tc>
        <w:tc>
          <w:tcPr>
            <w:tcW w:w="1038" w:type="pct"/>
            <w:tcBorders>
              <w:top w:val="single" w:sz="4" w:space="0" w:color="auto"/>
              <w:left w:val="nil"/>
              <w:bottom w:val="single" w:sz="4" w:space="0" w:color="auto"/>
              <w:right w:val="nil"/>
            </w:tcBorders>
            <w:shd w:val="clear" w:color="auto" w:fill="auto"/>
            <w:noWrap/>
          </w:tcPr>
          <w:p w14:paraId="4F1B4E2D" w14:textId="77777777" w:rsidR="001635CD" w:rsidRPr="003B4D22" w:rsidRDefault="001635CD" w:rsidP="001635CD">
            <w:pPr>
              <w:spacing w:after="0" w:line="240" w:lineRule="auto"/>
              <w:jc w:val="right"/>
              <w:rPr>
                <w:rFonts w:ascii="Arial Narrow" w:hAnsi="Arial Narrow"/>
                <w:i/>
                <w:sz w:val="20"/>
                <w:szCs w:val="20"/>
              </w:rPr>
            </w:pPr>
            <w:r w:rsidRPr="003B4D22">
              <w:rPr>
                <w:rFonts w:ascii="Arial Narrow" w:hAnsi="Arial Narrow"/>
                <w:i/>
                <w:sz w:val="20"/>
              </w:rPr>
              <w:t>0.006</w:t>
            </w:r>
          </w:p>
        </w:tc>
        <w:tc>
          <w:tcPr>
            <w:tcW w:w="666" w:type="pct"/>
            <w:tcBorders>
              <w:top w:val="single" w:sz="4" w:space="0" w:color="auto"/>
              <w:left w:val="nil"/>
              <w:bottom w:val="single" w:sz="4" w:space="0" w:color="auto"/>
              <w:right w:val="single" w:sz="4" w:space="0" w:color="auto"/>
            </w:tcBorders>
          </w:tcPr>
          <w:p w14:paraId="6592F6BA" w14:textId="77777777" w:rsidR="001635CD" w:rsidRPr="003B4D22" w:rsidRDefault="001635CD" w:rsidP="001635CD">
            <w:pPr>
              <w:spacing w:after="0" w:line="240" w:lineRule="auto"/>
              <w:jc w:val="right"/>
              <w:rPr>
                <w:rFonts w:ascii="Arial Narrow" w:hAnsi="Arial Narrow"/>
                <w:sz w:val="20"/>
                <w:szCs w:val="20"/>
              </w:rPr>
            </w:pPr>
          </w:p>
        </w:tc>
      </w:tr>
      <w:tr w:rsidR="001635CD" w:rsidRPr="003B4D22" w14:paraId="0C3A3050" w14:textId="77777777" w:rsidTr="00386411">
        <w:tc>
          <w:tcPr>
            <w:tcW w:w="650" w:type="pct"/>
            <w:tcBorders>
              <w:top w:val="nil"/>
              <w:left w:val="single" w:sz="4" w:space="0" w:color="auto"/>
              <w:bottom w:val="nil"/>
              <w:right w:val="single" w:sz="4" w:space="0" w:color="auto"/>
            </w:tcBorders>
          </w:tcPr>
          <w:p w14:paraId="51362819" w14:textId="77777777" w:rsidR="001635CD" w:rsidRPr="003B4D22" w:rsidRDefault="001635CD" w:rsidP="001635CD">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single" w:sz="4" w:space="0" w:color="auto"/>
              <w:right w:val="single" w:sz="4" w:space="0" w:color="auto"/>
            </w:tcBorders>
            <w:vAlign w:val="bottom"/>
          </w:tcPr>
          <w:p w14:paraId="25AD19A8" w14:textId="77777777" w:rsidR="001635CD" w:rsidRPr="003B4D22" w:rsidRDefault="001635CD" w:rsidP="001635CD">
            <w:pPr>
              <w:spacing w:after="0" w:line="240" w:lineRule="auto"/>
              <w:rPr>
                <w:rFonts w:ascii="Arial Narrow" w:hAnsi="Arial Narrow"/>
                <w:i/>
                <w:sz w:val="20"/>
                <w:szCs w:val="20"/>
              </w:rPr>
            </w:pPr>
            <w:r w:rsidRPr="003B4D22">
              <w:rPr>
                <w:rFonts w:ascii="Arial Narrow" w:hAnsi="Arial Narrow" w:cs="Calibri"/>
                <w:color w:val="000000"/>
                <w:sz w:val="20"/>
                <w:szCs w:val="20"/>
              </w:rPr>
              <w:t>Mean no. infections treated with antibiotics, outpatient (SEM)</w:t>
            </w:r>
          </w:p>
        </w:tc>
        <w:tc>
          <w:tcPr>
            <w:tcW w:w="940" w:type="pct"/>
            <w:tcBorders>
              <w:top w:val="single" w:sz="4" w:space="0" w:color="auto"/>
              <w:left w:val="single" w:sz="4" w:space="0" w:color="auto"/>
              <w:bottom w:val="single" w:sz="4" w:space="0" w:color="auto"/>
              <w:right w:val="nil"/>
            </w:tcBorders>
            <w:shd w:val="clear" w:color="auto" w:fill="auto"/>
            <w:noWrap/>
          </w:tcPr>
          <w:p w14:paraId="7CBDFBF3" w14:textId="77777777" w:rsidR="001635CD" w:rsidRPr="003B4D22" w:rsidRDefault="001635CD" w:rsidP="001635CD">
            <w:pPr>
              <w:spacing w:after="0" w:line="240" w:lineRule="auto"/>
              <w:jc w:val="right"/>
              <w:rPr>
                <w:rFonts w:ascii="Arial Narrow" w:hAnsi="Arial Narrow"/>
                <w:sz w:val="20"/>
                <w:szCs w:val="20"/>
              </w:rPr>
            </w:pPr>
            <w:r w:rsidRPr="003B4D22">
              <w:rPr>
                <w:rFonts w:ascii="Arial Narrow" w:hAnsi="Arial Narrow"/>
                <w:sz w:val="20"/>
                <w:szCs w:val="20"/>
              </w:rPr>
              <w:t>4.8 (0.8)</w:t>
            </w:r>
          </w:p>
          <w:p w14:paraId="1F7782C7" w14:textId="77777777" w:rsidR="001635CD" w:rsidRPr="003B4D22" w:rsidRDefault="001635CD" w:rsidP="001635CD">
            <w:pPr>
              <w:spacing w:after="0" w:line="240" w:lineRule="auto"/>
              <w:jc w:val="right"/>
              <w:rPr>
                <w:rFonts w:ascii="Arial Narrow" w:hAnsi="Arial Narrow"/>
                <w:i/>
                <w:sz w:val="20"/>
                <w:szCs w:val="20"/>
              </w:rPr>
            </w:pPr>
            <w:r w:rsidRPr="003B4D22">
              <w:rPr>
                <w:rFonts w:ascii="Arial Narrow" w:hAnsi="Arial Narrow"/>
                <w:sz w:val="20"/>
                <w:szCs w:val="20"/>
              </w:rPr>
              <w:t xml:space="preserve">[172.8 episodes] </w:t>
            </w:r>
          </w:p>
        </w:tc>
        <w:tc>
          <w:tcPr>
            <w:tcW w:w="1038" w:type="pct"/>
            <w:tcBorders>
              <w:top w:val="single" w:sz="4" w:space="0" w:color="auto"/>
              <w:left w:val="nil"/>
              <w:bottom w:val="single" w:sz="4" w:space="0" w:color="auto"/>
              <w:right w:val="nil"/>
            </w:tcBorders>
            <w:shd w:val="clear" w:color="auto" w:fill="auto"/>
            <w:noWrap/>
          </w:tcPr>
          <w:p w14:paraId="46E0DC8B" w14:textId="77777777" w:rsidR="001635CD" w:rsidRPr="003B4D22" w:rsidRDefault="001635CD" w:rsidP="001635CD">
            <w:pPr>
              <w:spacing w:after="0" w:line="240" w:lineRule="auto"/>
              <w:jc w:val="right"/>
              <w:rPr>
                <w:rFonts w:ascii="Arial Narrow" w:hAnsi="Arial Narrow"/>
                <w:sz w:val="20"/>
                <w:szCs w:val="20"/>
              </w:rPr>
            </w:pPr>
            <w:r w:rsidRPr="003B4D22">
              <w:rPr>
                <w:rFonts w:ascii="Arial Narrow" w:hAnsi="Arial Narrow"/>
                <w:sz w:val="20"/>
                <w:szCs w:val="20"/>
              </w:rPr>
              <w:t>4.7 (0.4)</w:t>
            </w:r>
          </w:p>
          <w:p w14:paraId="3B798894" w14:textId="77777777" w:rsidR="001635CD" w:rsidRPr="003B4D22" w:rsidRDefault="001635CD" w:rsidP="001635CD">
            <w:pPr>
              <w:spacing w:after="0" w:line="240" w:lineRule="auto"/>
              <w:jc w:val="right"/>
              <w:rPr>
                <w:rFonts w:ascii="Arial Narrow" w:hAnsi="Arial Narrow"/>
                <w:i/>
                <w:sz w:val="20"/>
                <w:szCs w:val="20"/>
              </w:rPr>
            </w:pPr>
            <w:r w:rsidRPr="003B4D22">
              <w:rPr>
                <w:rFonts w:ascii="Arial Narrow" w:hAnsi="Arial Narrow"/>
                <w:sz w:val="20"/>
                <w:szCs w:val="20"/>
              </w:rPr>
              <w:t xml:space="preserve">[385.4 episodes] </w:t>
            </w:r>
          </w:p>
        </w:tc>
        <w:tc>
          <w:tcPr>
            <w:tcW w:w="666" w:type="pct"/>
            <w:tcBorders>
              <w:top w:val="single" w:sz="4" w:space="0" w:color="auto"/>
              <w:left w:val="nil"/>
              <w:bottom w:val="single" w:sz="4" w:space="0" w:color="auto"/>
              <w:right w:val="single" w:sz="4" w:space="0" w:color="auto"/>
            </w:tcBorders>
          </w:tcPr>
          <w:p w14:paraId="40796591" w14:textId="77777777" w:rsidR="001635CD" w:rsidRPr="003B4D22" w:rsidRDefault="001635CD" w:rsidP="001635CD">
            <w:pPr>
              <w:spacing w:after="0" w:line="240" w:lineRule="auto"/>
              <w:jc w:val="right"/>
              <w:rPr>
                <w:rFonts w:ascii="Arial Narrow" w:hAnsi="Arial Narrow"/>
                <w:sz w:val="20"/>
                <w:szCs w:val="20"/>
              </w:rPr>
            </w:pPr>
            <w:r w:rsidRPr="003B4D22">
              <w:rPr>
                <w:rFonts w:ascii="Arial Narrow" w:hAnsi="Arial Narrow"/>
                <w:sz w:val="20"/>
                <w:szCs w:val="20"/>
              </w:rPr>
              <w:t>0.756</w:t>
            </w:r>
          </w:p>
        </w:tc>
      </w:tr>
      <w:tr w:rsidR="001635CD" w:rsidRPr="003B4D22" w14:paraId="61EBF02F" w14:textId="77777777" w:rsidTr="00386411">
        <w:tc>
          <w:tcPr>
            <w:tcW w:w="650" w:type="pct"/>
            <w:tcBorders>
              <w:top w:val="nil"/>
              <w:left w:val="single" w:sz="4" w:space="0" w:color="auto"/>
              <w:bottom w:val="single" w:sz="4" w:space="0" w:color="auto"/>
              <w:right w:val="single" w:sz="4" w:space="0" w:color="auto"/>
            </w:tcBorders>
          </w:tcPr>
          <w:p w14:paraId="2F5C2F3A" w14:textId="77777777" w:rsidR="001635CD" w:rsidRPr="003B4D22" w:rsidRDefault="001635CD" w:rsidP="001635CD">
            <w:pPr>
              <w:spacing w:after="0" w:line="240" w:lineRule="auto"/>
              <w:rPr>
                <w:rFonts w:ascii="Arial Narrow" w:hAnsi="Arial Narrow" w:cs="Calibri"/>
                <w:color w:val="000000"/>
                <w:sz w:val="20"/>
                <w:szCs w:val="20"/>
              </w:rPr>
            </w:pPr>
          </w:p>
        </w:tc>
        <w:tc>
          <w:tcPr>
            <w:tcW w:w="1706" w:type="pct"/>
            <w:tcBorders>
              <w:top w:val="single" w:sz="4" w:space="0" w:color="auto"/>
              <w:left w:val="single" w:sz="4" w:space="0" w:color="auto"/>
              <w:bottom w:val="single" w:sz="4" w:space="0" w:color="auto"/>
              <w:right w:val="single" w:sz="4" w:space="0" w:color="auto"/>
            </w:tcBorders>
            <w:vAlign w:val="bottom"/>
          </w:tcPr>
          <w:p w14:paraId="7E8C8674" w14:textId="77777777" w:rsidR="001635CD" w:rsidRPr="003B4D22" w:rsidRDefault="001635CD" w:rsidP="001635CD">
            <w:pPr>
              <w:spacing w:after="0" w:line="240" w:lineRule="auto"/>
              <w:rPr>
                <w:rFonts w:ascii="Arial Narrow" w:hAnsi="Arial Narrow" w:cs="Calibri"/>
                <w:i/>
                <w:color w:val="000000"/>
                <w:sz w:val="20"/>
                <w:szCs w:val="20"/>
              </w:rPr>
            </w:pPr>
            <w:r w:rsidRPr="003B4D22">
              <w:rPr>
                <w:rFonts w:ascii="Arial Narrow" w:hAnsi="Arial Narrow" w:cs="Calibri"/>
                <w:i/>
                <w:color w:val="000000"/>
                <w:sz w:val="20"/>
                <w:szCs w:val="20"/>
                <w:u w:val="single"/>
              </w:rPr>
              <w:t>During</w:t>
            </w:r>
            <w:r w:rsidRPr="003B4D22">
              <w:rPr>
                <w:rFonts w:ascii="Arial Narrow" w:hAnsi="Arial Narrow" w:cs="Calibri"/>
                <w:i/>
                <w:color w:val="000000"/>
                <w:sz w:val="20"/>
                <w:szCs w:val="20"/>
              </w:rPr>
              <w:t>: rate, infection + antibiotics (/patient/mo)</w:t>
            </w:r>
          </w:p>
        </w:tc>
        <w:tc>
          <w:tcPr>
            <w:tcW w:w="940" w:type="pct"/>
            <w:tcBorders>
              <w:top w:val="single" w:sz="4" w:space="0" w:color="auto"/>
              <w:left w:val="single" w:sz="4" w:space="0" w:color="auto"/>
              <w:bottom w:val="single" w:sz="4" w:space="0" w:color="auto"/>
              <w:right w:val="nil"/>
            </w:tcBorders>
            <w:shd w:val="clear" w:color="auto" w:fill="auto"/>
            <w:noWrap/>
          </w:tcPr>
          <w:p w14:paraId="700F0DCB" w14:textId="77777777" w:rsidR="001635CD" w:rsidRPr="003B4D22" w:rsidRDefault="001635CD" w:rsidP="001635CD">
            <w:pPr>
              <w:spacing w:after="0" w:line="240" w:lineRule="auto"/>
              <w:jc w:val="right"/>
              <w:rPr>
                <w:rFonts w:ascii="Arial Narrow" w:hAnsi="Arial Narrow"/>
                <w:i/>
                <w:sz w:val="20"/>
                <w:szCs w:val="20"/>
              </w:rPr>
            </w:pPr>
            <w:r w:rsidRPr="003B4D22">
              <w:rPr>
                <w:rFonts w:ascii="Arial Narrow" w:hAnsi="Arial Narrow"/>
                <w:i/>
                <w:sz w:val="20"/>
              </w:rPr>
              <w:t>0.205</w:t>
            </w:r>
          </w:p>
        </w:tc>
        <w:tc>
          <w:tcPr>
            <w:tcW w:w="1038" w:type="pct"/>
            <w:tcBorders>
              <w:top w:val="single" w:sz="4" w:space="0" w:color="auto"/>
              <w:left w:val="nil"/>
              <w:bottom w:val="single" w:sz="4" w:space="0" w:color="auto"/>
              <w:right w:val="nil"/>
            </w:tcBorders>
            <w:shd w:val="clear" w:color="auto" w:fill="auto"/>
            <w:noWrap/>
          </w:tcPr>
          <w:p w14:paraId="0C91161E" w14:textId="77777777" w:rsidR="001635CD" w:rsidRPr="003B4D22" w:rsidRDefault="001635CD" w:rsidP="001635CD">
            <w:pPr>
              <w:spacing w:after="0" w:line="240" w:lineRule="auto"/>
              <w:jc w:val="right"/>
              <w:rPr>
                <w:rFonts w:ascii="Arial Narrow" w:hAnsi="Arial Narrow"/>
                <w:i/>
                <w:sz w:val="20"/>
                <w:szCs w:val="20"/>
              </w:rPr>
            </w:pPr>
            <w:r w:rsidRPr="003B4D22">
              <w:rPr>
                <w:rFonts w:ascii="Arial Narrow" w:hAnsi="Arial Narrow"/>
                <w:i/>
                <w:sz w:val="20"/>
              </w:rPr>
              <w:t>0.194</w:t>
            </w:r>
          </w:p>
        </w:tc>
        <w:tc>
          <w:tcPr>
            <w:tcW w:w="666" w:type="pct"/>
            <w:tcBorders>
              <w:top w:val="single" w:sz="4" w:space="0" w:color="auto"/>
              <w:left w:val="nil"/>
              <w:bottom w:val="single" w:sz="4" w:space="0" w:color="auto"/>
              <w:right w:val="single" w:sz="4" w:space="0" w:color="auto"/>
            </w:tcBorders>
          </w:tcPr>
          <w:p w14:paraId="350A29A2" w14:textId="77777777" w:rsidR="001635CD" w:rsidRPr="003B4D22" w:rsidRDefault="001635CD" w:rsidP="001635CD">
            <w:pPr>
              <w:spacing w:after="0" w:line="240" w:lineRule="auto"/>
              <w:jc w:val="right"/>
              <w:rPr>
                <w:rFonts w:ascii="Arial Narrow" w:hAnsi="Arial Narrow"/>
                <w:sz w:val="20"/>
                <w:szCs w:val="20"/>
              </w:rPr>
            </w:pPr>
          </w:p>
        </w:tc>
      </w:tr>
    </w:tbl>
    <w:p w14:paraId="46B673C0" w14:textId="411A8C46" w:rsidR="00E218D0" w:rsidRDefault="00E218D0" w:rsidP="00A904EF">
      <w:pPr>
        <w:spacing w:line="240" w:lineRule="auto"/>
        <w:rPr>
          <w:rFonts w:ascii="Arial Narrow" w:hAnsi="Arial Narrow"/>
          <w:sz w:val="20"/>
        </w:rPr>
      </w:pPr>
      <w:r w:rsidRPr="00876F28">
        <w:rPr>
          <w:rFonts w:ascii="Arial Narrow" w:hAnsi="Arial Narrow"/>
          <w:sz w:val="20"/>
        </w:rPr>
        <w:t xml:space="preserve">Notes: </w:t>
      </w:r>
      <w:r w:rsidRPr="00876F28">
        <w:rPr>
          <w:rFonts w:ascii="Arial Narrow" w:hAnsi="Arial Narrow"/>
          <w:sz w:val="20"/>
          <w:u w:val="single"/>
        </w:rPr>
        <w:t>Van Winkle et al., 2018</w:t>
      </w:r>
      <w:r w:rsidRPr="00876F28">
        <w:rPr>
          <w:rFonts w:ascii="Arial Narrow" w:hAnsi="Arial Narrow"/>
          <w:sz w:val="20"/>
        </w:rPr>
        <w:t xml:space="preserve"> – p values took into account days of chemotherapy; otherwise no information about duration of observation or IgG treatment was provided in the paper.  Days of chemotherapy were assumed to be equivalent to patient days</w:t>
      </w:r>
      <w:r w:rsidR="003F7B2F" w:rsidRPr="00876F28">
        <w:rPr>
          <w:rFonts w:ascii="Arial Narrow" w:hAnsi="Arial Narrow"/>
          <w:sz w:val="20"/>
        </w:rPr>
        <w:t>of observation or</w:t>
      </w:r>
      <w:r w:rsidRPr="00876F28">
        <w:rPr>
          <w:rFonts w:ascii="Arial Narrow" w:hAnsi="Arial Narrow"/>
          <w:sz w:val="20"/>
        </w:rPr>
        <w:t xml:space="preserve"> at risk for the purpose of this evaluation.</w:t>
      </w:r>
    </w:p>
    <w:p w14:paraId="3A3FF5F6" w14:textId="77777777" w:rsidR="00876F28" w:rsidRPr="00876F28" w:rsidRDefault="00876F28" w:rsidP="00A904EF">
      <w:pPr>
        <w:spacing w:line="240" w:lineRule="auto"/>
        <w:rPr>
          <w:rFonts w:ascii="Arial Narrow" w:hAnsi="Arial Narrow"/>
          <w:sz w:val="20"/>
        </w:rPr>
      </w:pPr>
    </w:p>
    <w:p w14:paraId="7440F0FC" w14:textId="1DA32AD1" w:rsidR="009360A2" w:rsidRPr="00386411" w:rsidRDefault="009360A2" w:rsidP="009360A2">
      <w:pPr>
        <w:pStyle w:val="Caption"/>
        <w:keepNext/>
        <w:rPr>
          <w:rFonts w:cs="Arial"/>
          <w:snapToGrid w:val="0"/>
          <w:szCs w:val="16"/>
          <w:lang w:eastAsia="en-US"/>
        </w:rPr>
      </w:pPr>
      <w:bookmarkStart w:id="775" w:name="_Ref9453066"/>
      <w:bookmarkStart w:id="776" w:name="_Toc14429628"/>
      <w:bookmarkStart w:id="777" w:name="_Toc16671686"/>
      <w:r w:rsidRPr="00386411">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88</w:t>
      </w:r>
      <w:r w:rsidRPr="00386411">
        <w:rPr>
          <w:noProof/>
        </w:rPr>
        <w:fldChar w:fldCharType="end"/>
      </w:r>
      <w:bookmarkEnd w:id="775"/>
      <w:r w:rsidRPr="00386411">
        <w:tab/>
      </w:r>
      <w:r w:rsidRPr="00386411">
        <w:rPr>
          <w:rFonts w:cs="Arial"/>
          <w:snapToGrid w:val="0"/>
          <w:szCs w:val="16"/>
          <w:lang w:eastAsia="en-US"/>
        </w:rPr>
        <w:t>Studies presenting infections within sub-groups – Blombery et al., 2011</w:t>
      </w:r>
      <w:bookmarkEnd w:id="776"/>
      <w:bookmarkEnd w:id="777"/>
    </w:p>
    <w:tbl>
      <w:tblPr>
        <w:tblW w:w="5000" w:type="pct"/>
        <w:tblLayout w:type="fixed"/>
        <w:tblLook w:val="04A0" w:firstRow="1" w:lastRow="0" w:firstColumn="1" w:lastColumn="0" w:noHBand="0" w:noVBand="1"/>
      </w:tblPr>
      <w:tblGrid>
        <w:gridCol w:w="1102"/>
        <w:gridCol w:w="2834"/>
        <w:gridCol w:w="1985"/>
        <w:gridCol w:w="1981"/>
        <w:gridCol w:w="1340"/>
      </w:tblGrid>
      <w:tr w:rsidR="009360A2" w:rsidRPr="00386411" w14:paraId="56039C49" w14:textId="77777777" w:rsidTr="00B52A4F">
        <w:tc>
          <w:tcPr>
            <w:tcW w:w="596" w:type="pct"/>
            <w:tcBorders>
              <w:top w:val="single" w:sz="4" w:space="0" w:color="auto"/>
              <w:left w:val="single" w:sz="4" w:space="0" w:color="auto"/>
              <w:bottom w:val="single" w:sz="4" w:space="0" w:color="auto"/>
              <w:right w:val="nil"/>
            </w:tcBorders>
            <w:shd w:val="clear" w:color="auto" w:fill="D9D9D9" w:themeFill="background1" w:themeFillShade="D9"/>
          </w:tcPr>
          <w:p w14:paraId="7A69FC96" w14:textId="77777777" w:rsidR="009360A2" w:rsidRPr="00386411" w:rsidRDefault="009360A2" w:rsidP="00B87914">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Study, Indication</w:t>
            </w:r>
          </w:p>
        </w:tc>
        <w:tc>
          <w:tcPr>
            <w:tcW w:w="1533" w:type="pct"/>
            <w:tcBorders>
              <w:top w:val="single" w:sz="4" w:space="0" w:color="auto"/>
              <w:left w:val="nil"/>
              <w:bottom w:val="single" w:sz="4" w:space="0" w:color="auto"/>
              <w:right w:val="nil"/>
            </w:tcBorders>
            <w:shd w:val="clear" w:color="auto" w:fill="D9D9D9" w:themeFill="background1" w:themeFillShade="D9"/>
          </w:tcPr>
          <w:p w14:paraId="4F0C0F3C" w14:textId="77777777" w:rsidR="009360A2" w:rsidRPr="00386411" w:rsidRDefault="009360A2" w:rsidP="00B87914">
            <w:pPr>
              <w:keepNext/>
              <w:spacing w:after="0" w:line="240" w:lineRule="auto"/>
              <w:rPr>
                <w:rFonts w:ascii="Arial Narrow" w:hAnsi="Arial Narrow"/>
                <w:b/>
                <w:sz w:val="20"/>
              </w:rPr>
            </w:pPr>
            <w:r w:rsidRPr="00386411">
              <w:rPr>
                <w:rFonts w:ascii="Arial Narrow" w:hAnsi="Arial Narrow"/>
                <w:b/>
                <w:sz w:val="20"/>
              </w:rPr>
              <w:t>Outcome</w:t>
            </w:r>
          </w:p>
        </w:tc>
        <w:tc>
          <w:tcPr>
            <w:tcW w:w="1074" w:type="pct"/>
            <w:tcBorders>
              <w:top w:val="single" w:sz="4" w:space="0" w:color="auto"/>
              <w:left w:val="nil"/>
              <w:bottom w:val="single" w:sz="4" w:space="0" w:color="auto"/>
              <w:right w:val="nil"/>
            </w:tcBorders>
            <w:shd w:val="clear" w:color="auto" w:fill="D9D9D9" w:themeFill="background1" w:themeFillShade="D9"/>
            <w:noWrap/>
          </w:tcPr>
          <w:p w14:paraId="1CB15DAC" w14:textId="77777777" w:rsidR="009360A2" w:rsidRPr="00386411" w:rsidRDefault="009360A2" w:rsidP="00B87914">
            <w:pPr>
              <w:keepNext/>
              <w:spacing w:after="0" w:line="240" w:lineRule="auto"/>
              <w:jc w:val="center"/>
              <w:rPr>
                <w:rFonts w:ascii="Arial Narrow" w:hAnsi="Arial Narrow"/>
                <w:b/>
                <w:sz w:val="20"/>
                <w:szCs w:val="20"/>
              </w:rPr>
            </w:pPr>
            <w:r w:rsidRPr="00386411">
              <w:rPr>
                <w:rFonts w:ascii="Arial Narrow" w:hAnsi="Arial Narrow"/>
                <w:b/>
                <w:sz w:val="20"/>
                <w:szCs w:val="20"/>
              </w:rPr>
              <w:t>Intervention 1</w:t>
            </w:r>
          </w:p>
        </w:tc>
        <w:tc>
          <w:tcPr>
            <w:tcW w:w="1072" w:type="pct"/>
            <w:tcBorders>
              <w:top w:val="single" w:sz="4" w:space="0" w:color="auto"/>
              <w:left w:val="nil"/>
              <w:bottom w:val="single" w:sz="4" w:space="0" w:color="auto"/>
              <w:right w:val="nil"/>
            </w:tcBorders>
            <w:shd w:val="clear" w:color="auto" w:fill="D9D9D9" w:themeFill="background1" w:themeFillShade="D9"/>
            <w:noWrap/>
          </w:tcPr>
          <w:p w14:paraId="5B634009" w14:textId="77777777" w:rsidR="009360A2" w:rsidRPr="00386411" w:rsidRDefault="009360A2" w:rsidP="00B87914">
            <w:pPr>
              <w:keepNext/>
              <w:spacing w:after="0" w:line="240" w:lineRule="auto"/>
              <w:jc w:val="center"/>
              <w:rPr>
                <w:rFonts w:ascii="Arial Narrow" w:hAnsi="Arial Narrow"/>
                <w:b/>
                <w:sz w:val="20"/>
                <w:szCs w:val="20"/>
              </w:rPr>
            </w:pPr>
            <w:r w:rsidRPr="00386411">
              <w:rPr>
                <w:rFonts w:ascii="Arial Narrow" w:hAnsi="Arial Narrow"/>
                <w:b/>
                <w:sz w:val="20"/>
                <w:szCs w:val="20"/>
              </w:rPr>
              <w:t>Intervention 2</w:t>
            </w:r>
          </w:p>
        </w:tc>
        <w:tc>
          <w:tcPr>
            <w:tcW w:w="725" w:type="pct"/>
            <w:tcBorders>
              <w:top w:val="single" w:sz="4" w:space="0" w:color="auto"/>
              <w:left w:val="nil"/>
              <w:bottom w:val="single" w:sz="4" w:space="0" w:color="auto"/>
              <w:right w:val="single" w:sz="4" w:space="0" w:color="auto"/>
            </w:tcBorders>
            <w:shd w:val="clear" w:color="auto" w:fill="D9D9D9" w:themeFill="background1" w:themeFillShade="D9"/>
          </w:tcPr>
          <w:p w14:paraId="099C8E16" w14:textId="77777777" w:rsidR="009360A2" w:rsidRPr="00386411" w:rsidRDefault="009360A2" w:rsidP="00B87914">
            <w:pPr>
              <w:keepNext/>
              <w:spacing w:after="0" w:line="240" w:lineRule="auto"/>
              <w:jc w:val="center"/>
              <w:rPr>
                <w:rFonts w:ascii="Arial Narrow" w:hAnsi="Arial Narrow"/>
                <w:b/>
                <w:sz w:val="20"/>
                <w:szCs w:val="20"/>
              </w:rPr>
            </w:pPr>
            <w:r w:rsidRPr="00386411">
              <w:rPr>
                <w:rFonts w:ascii="Arial Narrow" w:hAnsi="Arial Narrow"/>
                <w:b/>
                <w:sz w:val="20"/>
                <w:szCs w:val="20"/>
              </w:rPr>
              <w:t>Comparison</w:t>
            </w:r>
          </w:p>
        </w:tc>
      </w:tr>
      <w:tr w:rsidR="009360A2" w:rsidRPr="00386411" w14:paraId="03566F06" w14:textId="77777777" w:rsidTr="00B52A4F">
        <w:tc>
          <w:tcPr>
            <w:tcW w:w="5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8F827F" w14:textId="77777777" w:rsidR="009360A2" w:rsidRPr="00386411" w:rsidRDefault="009360A2" w:rsidP="00B87914">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Blombery et al., 2011</w:t>
            </w:r>
          </w:p>
        </w:tc>
        <w:tc>
          <w:tcPr>
            <w:tcW w:w="15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8E2425" w14:textId="77777777" w:rsidR="009360A2" w:rsidRPr="00386411" w:rsidRDefault="009360A2" w:rsidP="00B87914">
            <w:pPr>
              <w:keepNext/>
              <w:spacing w:after="0" w:line="240" w:lineRule="auto"/>
              <w:rPr>
                <w:rFonts w:ascii="Arial Narrow" w:hAnsi="Arial Narrow"/>
                <w:b/>
                <w:sz w:val="20"/>
              </w:rPr>
            </w:pPr>
            <w:r w:rsidRPr="00386411">
              <w:rPr>
                <w:rFonts w:ascii="Arial Narrow" w:hAnsi="Arial Narrow"/>
                <w:b/>
                <w:sz w:val="20"/>
              </w:rPr>
              <w:t>Patients with infections (%) – single vs multi-dose sub-groups</w:t>
            </w:r>
          </w:p>
        </w:tc>
        <w:tc>
          <w:tcPr>
            <w:tcW w:w="1074" w:type="pct"/>
            <w:tcBorders>
              <w:top w:val="single" w:sz="4" w:space="0" w:color="auto"/>
              <w:left w:val="single" w:sz="4" w:space="0" w:color="auto"/>
              <w:bottom w:val="single" w:sz="4" w:space="0" w:color="auto"/>
              <w:right w:val="nil"/>
            </w:tcBorders>
            <w:shd w:val="clear" w:color="auto" w:fill="D9D9D9" w:themeFill="background1" w:themeFillShade="D9"/>
            <w:noWrap/>
          </w:tcPr>
          <w:p w14:paraId="4F0D6965" w14:textId="77777777" w:rsidR="009360A2" w:rsidRPr="00386411" w:rsidRDefault="009360A2" w:rsidP="00B87914">
            <w:pPr>
              <w:keepNext/>
              <w:spacing w:after="0" w:line="240" w:lineRule="auto"/>
              <w:jc w:val="center"/>
              <w:rPr>
                <w:rFonts w:ascii="Arial Narrow" w:hAnsi="Arial Narrow"/>
                <w:b/>
                <w:sz w:val="20"/>
                <w:szCs w:val="20"/>
              </w:rPr>
            </w:pPr>
            <w:r w:rsidRPr="00386411">
              <w:rPr>
                <w:rFonts w:ascii="Arial Narrow" w:hAnsi="Arial Narrow"/>
                <w:b/>
                <w:sz w:val="20"/>
              </w:rPr>
              <w:t>IVIg (multi-dose RT) (n=25)</w:t>
            </w:r>
          </w:p>
        </w:tc>
        <w:tc>
          <w:tcPr>
            <w:tcW w:w="1072" w:type="pct"/>
            <w:tcBorders>
              <w:top w:val="single" w:sz="4" w:space="0" w:color="auto"/>
              <w:left w:val="nil"/>
              <w:bottom w:val="single" w:sz="4" w:space="0" w:color="auto"/>
              <w:right w:val="nil"/>
            </w:tcBorders>
            <w:shd w:val="clear" w:color="auto" w:fill="D9D9D9" w:themeFill="background1" w:themeFillShade="D9"/>
            <w:noWrap/>
          </w:tcPr>
          <w:p w14:paraId="50912C3F" w14:textId="77777777" w:rsidR="009360A2" w:rsidRPr="00386411" w:rsidRDefault="009360A2" w:rsidP="00B87914">
            <w:pPr>
              <w:keepNext/>
              <w:spacing w:after="0" w:line="240" w:lineRule="auto"/>
              <w:jc w:val="center"/>
              <w:rPr>
                <w:rFonts w:ascii="Arial Narrow" w:hAnsi="Arial Narrow"/>
                <w:b/>
                <w:sz w:val="20"/>
                <w:szCs w:val="20"/>
              </w:rPr>
            </w:pPr>
            <w:r w:rsidRPr="00386411">
              <w:rPr>
                <w:rFonts w:ascii="Arial Narrow" w:hAnsi="Arial Narrow"/>
                <w:b/>
                <w:sz w:val="20"/>
              </w:rPr>
              <w:t>IVIg (single dose only) (n=105)</w:t>
            </w:r>
          </w:p>
        </w:tc>
        <w:tc>
          <w:tcPr>
            <w:tcW w:w="725" w:type="pct"/>
            <w:tcBorders>
              <w:top w:val="single" w:sz="4" w:space="0" w:color="auto"/>
              <w:left w:val="nil"/>
              <w:bottom w:val="single" w:sz="4" w:space="0" w:color="auto"/>
              <w:right w:val="single" w:sz="4" w:space="0" w:color="auto"/>
            </w:tcBorders>
            <w:shd w:val="clear" w:color="auto" w:fill="D9D9D9" w:themeFill="background1" w:themeFillShade="D9"/>
          </w:tcPr>
          <w:p w14:paraId="6C5B3D95" w14:textId="77777777" w:rsidR="009360A2" w:rsidRPr="00386411" w:rsidRDefault="009360A2" w:rsidP="00B87914">
            <w:pPr>
              <w:keepNext/>
              <w:spacing w:after="0" w:line="240" w:lineRule="auto"/>
              <w:jc w:val="center"/>
              <w:rPr>
                <w:rFonts w:ascii="Arial Narrow" w:hAnsi="Arial Narrow"/>
                <w:b/>
                <w:sz w:val="20"/>
                <w:szCs w:val="20"/>
              </w:rPr>
            </w:pPr>
            <w:r w:rsidRPr="00386411">
              <w:rPr>
                <w:rFonts w:ascii="Arial Narrow" w:hAnsi="Arial Narrow"/>
                <w:b/>
                <w:sz w:val="20"/>
              </w:rPr>
              <w:t>p value</w:t>
            </w:r>
          </w:p>
        </w:tc>
      </w:tr>
      <w:tr w:rsidR="009360A2" w:rsidRPr="003B4D22" w14:paraId="49C7F80C" w14:textId="77777777" w:rsidTr="00B87914">
        <w:tc>
          <w:tcPr>
            <w:tcW w:w="596" w:type="pct"/>
            <w:tcBorders>
              <w:top w:val="single" w:sz="4" w:space="0" w:color="auto"/>
              <w:left w:val="single" w:sz="4" w:space="0" w:color="auto"/>
              <w:bottom w:val="nil"/>
              <w:right w:val="single" w:sz="4" w:space="0" w:color="auto"/>
            </w:tcBorders>
          </w:tcPr>
          <w:p w14:paraId="25EDF041" w14:textId="77777777" w:rsidR="009360A2" w:rsidRPr="003B4D22" w:rsidRDefault="009360A2" w:rsidP="00B87914">
            <w:pPr>
              <w:spacing w:after="0" w:line="240" w:lineRule="auto"/>
              <w:rPr>
                <w:rFonts w:ascii="Arial Narrow" w:hAnsi="Arial Narrow" w:cs="Calibri"/>
                <w:color w:val="000000"/>
                <w:sz w:val="20"/>
                <w:szCs w:val="20"/>
              </w:rPr>
            </w:pPr>
            <w:r w:rsidRPr="003B4D22">
              <w:rPr>
                <w:rFonts w:ascii="Arial Narrow" w:hAnsi="Arial Narrow" w:cs="Calibri"/>
                <w:color w:val="000000"/>
                <w:sz w:val="20"/>
                <w:szCs w:val="20"/>
              </w:rPr>
              <w:t>MM+HSCT</w:t>
            </w:r>
          </w:p>
        </w:tc>
        <w:tc>
          <w:tcPr>
            <w:tcW w:w="1533" w:type="pct"/>
            <w:tcBorders>
              <w:top w:val="single" w:sz="4" w:space="0" w:color="auto"/>
              <w:left w:val="single" w:sz="4" w:space="0" w:color="auto"/>
              <w:bottom w:val="nil"/>
              <w:right w:val="single" w:sz="4" w:space="0" w:color="auto"/>
            </w:tcBorders>
          </w:tcPr>
          <w:p w14:paraId="3426B47F" w14:textId="77777777" w:rsidR="009360A2" w:rsidRPr="003B4D22" w:rsidRDefault="009360A2" w:rsidP="00331FB9">
            <w:pPr>
              <w:pStyle w:val="ListParagraph"/>
              <w:numPr>
                <w:ilvl w:val="0"/>
                <w:numId w:val="15"/>
              </w:numPr>
              <w:spacing w:after="0" w:line="240" w:lineRule="auto"/>
              <w:ind w:left="183" w:hanging="183"/>
              <w:rPr>
                <w:rFonts w:ascii="Arial Narrow" w:hAnsi="Arial Narrow"/>
                <w:sz w:val="20"/>
              </w:rPr>
            </w:pPr>
            <w:r w:rsidRPr="003B4D22">
              <w:rPr>
                <w:rFonts w:ascii="Arial Narrow" w:hAnsi="Arial Narrow"/>
                <w:sz w:val="20"/>
                <w:szCs w:val="20"/>
              </w:rPr>
              <w:t>BSI (%)</w:t>
            </w:r>
          </w:p>
        </w:tc>
        <w:tc>
          <w:tcPr>
            <w:tcW w:w="1074" w:type="pct"/>
            <w:tcBorders>
              <w:top w:val="single" w:sz="4" w:space="0" w:color="auto"/>
              <w:left w:val="single" w:sz="4" w:space="0" w:color="auto"/>
              <w:bottom w:val="nil"/>
              <w:right w:val="nil"/>
            </w:tcBorders>
            <w:shd w:val="clear" w:color="auto" w:fill="auto"/>
            <w:noWrap/>
          </w:tcPr>
          <w:p w14:paraId="4BE73F88" w14:textId="77777777" w:rsidR="009360A2" w:rsidRPr="003B4D22" w:rsidRDefault="009360A2" w:rsidP="00B87914">
            <w:pPr>
              <w:spacing w:after="0" w:line="240" w:lineRule="auto"/>
              <w:jc w:val="right"/>
              <w:rPr>
                <w:rFonts w:ascii="Arial Narrow" w:hAnsi="Arial Narrow"/>
                <w:sz w:val="20"/>
                <w:szCs w:val="20"/>
              </w:rPr>
            </w:pPr>
            <w:r w:rsidRPr="003B4D22">
              <w:rPr>
                <w:rFonts w:ascii="Arial Narrow" w:hAnsi="Arial Narrow"/>
                <w:sz w:val="20"/>
                <w:szCs w:val="20"/>
              </w:rPr>
              <w:t xml:space="preserve">9 (36.0%) </w:t>
            </w:r>
          </w:p>
        </w:tc>
        <w:tc>
          <w:tcPr>
            <w:tcW w:w="1072" w:type="pct"/>
            <w:tcBorders>
              <w:top w:val="single" w:sz="4" w:space="0" w:color="auto"/>
              <w:left w:val="nil"/>
              <w:bottom w:val="nil"/>
              <w:right w:val="nil"/>
            </w:tcBorders>
            <w:shd w:val="clear" w:color="auto" w:fill="auto"/>
            <w:noWrap/>
          </w:tcPr>
          <w:p w14:paraId="017D249E" w14:textId="77777777" w:rsidR="009360A2" w:rsidRPr="003B4D22" w:rsidRDefault="009360A2" w:rsidP="00B87914">
            <w:pPr>
              <w:spacing w:after="0" w:line="240" w:lineRule="auto"/>
              <w:jc w:val="right"/>
              <w:rPr>
                <w:rFonts w:ascii="Arial Narrow" w:hAnsi="Arial Narrow"/>
                <w:sz w:val="20"/>
                <w:szCs w:val="20"/>
              </w:rPr>
            </w:pPr>
            <w:r w:rsidRPr="003B4D22">
              <w:rPr>
                <w:rFonts w:ascii="Arial Narrow" w:hAnsi="Arial Narrow"/>
                <w:sz w:val="20"/>
                <w:szCs w:val="20"/>
              </w:rPr>
              <w:t>37 (35.2%)</w:t>
            </w:r>
          </w:p>
        </w:tc>
        <w:tc>
          <w:tcPr>
            <w:tcW w:w="725" w:type="pct"/>
            <w:tcBorders>
              <w:top w:val="single" w:sz="4" w:space="0" w:color="auto"/>
              <w:left w:val="nil"/>
              <w:bottom w:val="nil"/>
              <w:right w:val="single" w:sz="4" w:space="0" w:color="auto"/>
            </w:tcBorders>
          </w:tcPr>
          <w:p w14:paraId="38F27D91" w14:textId="77777777" w:rsidR="009360A2" w:rsidRPr="003B4D22" w:rsidRDefault="009360A2" w:rsidP="00B87914">
            <w:pPr>
              <w:spacing w:after="0" w:line="240" w:lineRule="auto"/>
              <w:jc w:val="right"/>
              <w:rPr>
                <w:rFonts w:ascii="Arial Narrow" w:hAnsi="Arial Narrow"/>
                <w:sz w:val="20"/>
                <w:szCs w:val="20"/>
              </w:rPr>
            </w:pPr>
            <w:r w:rsidRPr="003B4D22">
              <w:rPr>
                <w:rFonts w:ascii="Arial Narrow" w:hAnsi="Arial Narrow"/>
                <w:sz w:val="20"/>
                <w:szCs w:val="20"/>
              </w:rPr>
              <w:t>p=1.00</w:t>
            </w:r>
          </w:p>
        </w:tc>
      </w:tr>
      <w:tr w:rsidR="009360A2" w:rsidRPr="003B4D22" w14:paraId="701D3B8B" w14:textId="77777777" w:rsidTr="00B87914">
        <w:tc>
          <w:tcPr>
            <w:tcW w:w="596" w:type="pct"/>
            <w:tcBorders>
              <w:top w:val="nil"/>
              <w:left w:val="single" w:sz="4" w:space="0" w:color="auto"/>
              <w:bottom w:val="nil"/>
              <w:right w:val="single" w:sz="4" w:space="0" w:color="auto"/>
            </w:tcBorders>
          </w:tcPr>
          <w:p w14:paraId="1783B788" w14:textId="77777777" w:rsidR="009360A2" w:rsidRPr="003B4D22" w:rsidRDefault="009360A2" w:rsidP="00B87914">
            <w:pPr>
              <w:spacing w:after="0" w:line="240" w:lineRule="auto"/>
              <w:rPr>
                <w:rFonts w:ascii="Arial Narrow" w:hAnsi="Arial Narrow" w:cs="Calibri"/>
                <w:color w:val="000000"/>
                <w:sz w:val="20"/>
                <w:szCs w:val="20"/>
              </w:rPr>
            </w:pPr>
          </w:p>
        </w:tc>
        <w:tc>
          <w:tcPr>
            <w:tcW w:w="1533" w:type="pct"/>
            <w:tcBorders>
              <w:top w:val="nil"/>
              <w:left w:val="single" w:sz="4" w:space="0" w:color="auto"/>
              <w:bottom w:val="nil"/>
              <w:right w:val="single" w:sz="4" w:space="0" w:color="auto"/>
            </w:tcBorders>
          </w:tcPr>
          <w:p w14:paraId="3324A7B6" w14:textId="77777777" w:rsidR="009360A2" w:rsidRPr="003B4D22" w:rsidRDefault="009360A2" w:rsidP="00331FB9">
            <w:pPr>
              <w:pStyle w:val="ListParagraph"/>
              <w:numPr>
                <w:ilvl w:val="0"/>
                <w:numId w:val="15"/>
              </w:numPr>
              <w:spacing w:after="0" w:line="240" w:lineRule="auto"/>
              <w:ind w:left="183" w:hanging="183"/>
              <w:rPr>
                <w:rFonts w:ascii="Arial Narrow" w:hAnsi="Arial Narrow"/>
                <w:sz w:val="20"/>
                <w:szCs w:val="20"/>
              </w:rPr>
            </w:pPr>
            <w:r w:rsidRPr="003B4D22">
              <w:rPr>
                <w:rFonts w:ascii="Arial Narrow" w:hAnsi="Arial Narrow"/>
                <w:sz w:val="20"/>
              </w:rPr>
              <w:t xml:space="preserve">Pneumonia (%) </w:t>
            </w:r>
          </w:p>
        </w:tc>
        <w:tc>
          <w:tcPr>
            <w:tcW w:w="1074" w:type="pct"/>
            <w:tcBorders>
              <w:top w:val="nil"/>
              <w:left w:val="single" w:sz="4" w:space="0" w:color="auto"/>
              <w:bottom w:val="nil"/>
              <w:right w:val="nil"/>
            </w:tcBorders>
            <w:shd w:val="clear" w:color="auto" w:fill="auto"/>
            <w:noWrap/>
          </w:tcPr>
          <w:p w14:paraId="2042B9A6" w14:textId="77777777" w:rsidR="009360A2" w:rsidRPr="003B4D22" w:rsidRDefault="009360A2" w:rsidP="00B87914">
            <w:pPr>
              <w:spacing w:after="0" w:line="240" w:lineRule="auto"/>
              <w:jc w:val="right"/>
              <w:rPr>
                <w:rFonts w:ascii="Arial Narrow" w:hAnsi="Arial Narrow"/>
                <w:sz w:val="20"/>
                <w:szCs w:val="20"/>
              </w:rPr>
            </w:pPr>
            <w:r w:rsidRPr="003B4D22">
              <w:rPr>
                <w:rFonts w:ascii="Arial Narrow" w:hAnsi="Arial Narrow"/>
                <w:sz w:val="20"/>
              </w:rPr>
              <w:t>8 (32.0%)</w:t>
            </w:r>
          </w:p>
        </w:tc>
        <w:tc>
          <w:tcPr>
            <w:tcW w:w="1072" w:type="pct"/>
            <w:tcBorders>
              <w:top w:val="nil"/>
              <w:left w:val="nil"/>
              <w:bottom w:val="nil"/>
              <w:right w:val="nil"/>
            </w:tcBorders>
            <w:shd w:val="clear" w:color="auto" w:fill="auto"/>
            <w:noWrap/>
          </w:tcPr>
          <w:p w14:paraId="3AD8E88D" w14:textId="77777777" w:rsidR="009360A2" w:rsidRPr="003B4D22" w:rsidRDefault="009360A2" w:rsidP="00B87914">
            <w:pPr>
              <w:spacing w:after="0" w:line="240" w:lineRule="auto"/>
              <w:jc w:val="right"/>
              <w:rPr>
                <w:rFonts w:ascii="Arial Narrow" w:hAnsi="Arial Narrow"/>
                <w:sz w:val="20"/>
                <w:szCs w:val="20"/>
              </w:rPr>
            </w:pPr>
            <w:r w:rsidRPr="003B4D22">
              <w:rPr>
                <w:rFonts w:ascii="Arial Narrow" w:hAnsi="Arial Narrow"/>
                <w:sz w:val="20"/>
              </w:rPr>
              <w:t>15 (14.3%)</w:t>
            </w:r>
          </w:p>
        </w:tc>
        <w:tc>
          <w:tcPr>
            <w:tcW w:w="725" w:type="pct"/>
            <w:tcBorders>
              <w:top w:val="nil"/>
              <w:left w:val="nil"/>
              <w:bottom w:val="nil"/>
              <w:right w:val="single" w:sz="4" w:space="0" w:color="auto"/>
            </w:tcBorders>
          </w:tcPr>
          <w:p w14:paraId="2E5E3B7F" w14:textId="77777777" w:rsidR="009360A2" w:rsidRPr="003B4D22" w:rsidRDefault="009360A2" w:rsidP="00B87914">
            <w:pPr>
              <w:spacing w:after="0" w:line="240" w:lineRule="auto"/>
              <w:jc w:val="right"/>
              <w:rPr>
                <w:rFonts w:ascii="Arial Narrow" w:hAnsi="Arial Narrow"/>
                <w:sz w:val="20"/>
                <w:szCs w:val="20"/>
              </w:rPr>
            </w:pPr>
            <w:r w:rsidRPr="003B4D22">
              <w:rPr>
                <w:rFonts w:ascii="Arial Narrow" w:hAnsi="Arial Narrow"/>
                <w:sz w:val="20"/>
              </w:rPr>
              <w:t>p=0.046</w:t>
            </w:r>
          </w:p>
        </w:tc>
      </w:tr>
      <w:tr w:rsidR="009360A2" w:rsidRPr="003B4D22" w14:paraId="392E647C" w14:textId="77777777" w:rsidTr="00B87914">
        <w:tc>
          <w:tcPr>
            <w:tcW w:w="596" w:type="pct"/>
            <w:tcBorders>
              <w:top w:val="nil"/>
              <w:left w:val="single" w:sz="4" w:space="0" w:color="auto"/>
              <w:bottom w:val="nil"/>
              <w:right w:val="single" w:sz="4" w:space="0" w:color="auto"/>
            </w:tcBorders>
          </w:tcPr>
          <w:p w14:paraId="2C823D7B" w14:textId="77777777" w:rsidR="009360A2" w:rsidRPr="003B4D22" w:rsidRDefault="009360A2" w:rsidP="00B87914">
            <w:pPr>
              <w:spacing w:after="0" w:line="240" w:lineRule="auto"/>
              <w:rPr>
                <w:rFonts w:ascii="Arial Narrow" w:hAnsi="Arial Narrow" w:cs="Calibri"/>
                <w:color w:val="000000"/>
                <w:sz w:val="20"/>
                <w:szCs w:val="20"/>
              </w:rPr>
            </w:pPr>
          </w:p>
        </w:tc>
        <w:tc>
          <w:tcPr>
            <w:tcW w:w="1533" w:type="pct"/>
            <w:tcBorders>
              <w:top w:val="nil"/>
              <w:left w:val="single" w:sz="4" w:space="0" w:color="auto"/>
              <w:bottom w:val="nil"/>
              <w:right w:val="single" w:sz="4" w:space="0" w:color="auto"/>
            </w:tcBorders>
          </w:tcPr>
          <w:p w14:paraId="1B7D6670" w14:textId="77777777" w:rsidR="009360A2" w:rsidRPr="003B4D22" w:rsidRDefault="009360A2" w:rsidP="00331FB9">
            <w:pPr>
              <w:pStyle w:val="ListParagraph"/>
              <w:numPr>
                <w:ilvl w:val="0"/>
                <w:numId w:val="15"/>
              </w:numPr>
              <w:spacing w:after="0" w:line="240" w:lineRule="auto"/>
              <w:ind w:left="183" w:hanging="183"/>
              <w:rPr>
                <w:rFonts w:ascii="Arial Narrow" w:hAnsi="Arial Narrow"/>
                <w:sz w:val="20"/>
                <w:szCs w:val="20"/>
              </w:rPr>
            </w:pPr>
            <w:r w:rsidRPr="003B4D22">
              <w:rPr>
                <w:rFonts w:ascii="Arial Narrow" w:hAnsi="Arial Narrow"/>
                <w:sz w:val="20"/>
              </w:rPr>
              <w:t>UTIs (%)</w:t>
            </w:r>
          </w:p>
        </w:tc>
        <w:tc>
          <w:tcPr>
            <w:tcW w:w="1074" w:type="pct"/>
            <w:tcBorders>
              <w:top w:val="nil"/>
              <w:left w:val="single" w:sz="4" w:space="0" w:color="auto"/>
              <w:bottom w:val="nil"/>
              <w:right w:val="nil"/>
            </w:tcBorders>
            <w:shd w:val="clear" w:color="auto" w:fill="auto"/>
            <w:noWrap/>
          </w:tcPr>
          <w:p w14:paraId="34CF867E" w14:textId="77777777" w:rsidR="009360A2" w:rsidRPr="003B4D22" w:rsidRDefault="009360A2" w:rsidP="00B87914">
            <w:pPr>
              <w:spacing w:after="0" w:line="240" w:lineRule="auto"/>
              <w:jc w:val="right"/>
              <w:rPr>
                <w:rFonts w:ascii="Arial Narrow" w:hAnsi="Arial Narrow"/>
                <w:sz w:val="20"/>
                <w:szCs w:val="20"/>
              </w:rPr>
            </w:pPr>
            <w:r w:rsidRPr="003B4D22">
              <w:rPr>
                <w:rFonts w:ascii="Arial Narrow" w:hAnsi="Arial Narrow"/>
                <w:sz w:val="20"/>
              </w:rPr>
              <w:t>0</w:t>
            </w:r>
          </w:p>
        </w:tc>
        <w:tc>
          <w:tcPr>
            <w:tcW w:w="1072" w:type="pct"/>
            <w:tcBorders>
              <w:top w:val="nil"/>
              <w:left w:val="nil"/>
              <w:bottom w:val="nil"/>
              <w:right w:val="nil"/>
            </w:tcBorders>
            <w:shd w:val="clear" w:color="auto" w:fill="auto"/>
            <w:noWrap/>
          </w:tcPr>
          <w:p w14:paraId="18676545" w14:textId="77777777" w:rsidR="009360A2" w:rsidRPr="003B4D22" w:rsidRDefault="009360A2" w:rsidP="00B87914">
            <w:pPr>
              <w:spacing w:after="0" w:line="240" w:lineRule="auto"/>
              <w:jc w:val="right"/>
              <w:rPr>
                <w:rFonts w:ascii="Arial Narrow" w:hAnsi="Arial Narrow"/>
                <w:sz w:val="20"/>
                <w:szCs w:val="20"/>
              </w:rPr>
            </w:pPr>
            <w:r w:rsidRPr="003B4D22">
              <w:rPr>
                <w:rFonts w:ascii="Arial Narrow" w:hAnsi="Arial Narrow"/>
                <w:sz w:val="20"/>
              </w:rPr>
              <w:t>2 (1.9%)</w:t>
            </w:r>
          </w:p>
        </w:tc>
        <w:tc>
          <w:tcPr>
            <w:tcW w:w="725" w:type="pct"/>
            <w:tcBorders>
              <w:top w:val="nil"/>
              <w:left w:val="nil"/>
              <w:bottom w:val="nil"/>
              <w:right w:val="single" w:sz="4" w:space="0" w:color="auto"/>
            </w:tcBorders>
          </w:tcPr>
          <w:p w14:paraId="51A4C535" w14:textId="77777777" w:rsidR="009360A2" w:rsidRPr="003B4D22" w:rsidRDefault="009360A2" w:rsidP="00B87914">
            <w:pPr>
              <w:spacing w:after="0" w:line="240" w:lineRule="auto"/>
              <w:jc w:val="right"/>
              <w:rPr>
                <w:rFonts w:ascii="Arial Narrow" w:hAnsi="Arial Narrow"/>
                <w:sz w:val="20"/>
                <w:szCs w:val="20"/>
              </w:rPr>
            </w:pPr>
            <w:r w:rsidRPr="003B4D22">
              <w:rPr>
                <w:rFonts w:ascii="Arial Narrow" w:hAnsi="Arial Narrow"/>
                <w:sz w:val="20"/>
              </w:rPr>
              <w:t>p=1.00</w:t>
            </w:r>
          </w:p>
        </w:tc>
      </w:tr>
      <w:tr w:rsidR="009360A2" w:rsidRPr="003B4D22" w14:paraId="3DB997E4" w14:textId="77777777" w:rsidTr="00B87914">
        <w:tc>
          <w:tcPr>
            <w:tcW w:w="596" w:type="pct"/>
            <w:tcBorders>
              <w:top w:val="nil"/>
              <w:left w:val="single" w:sz="4" w:space="0" w:color="auto"/>
              <w:bottom w:val="nil"/>
              <w:right w:val="single" w:sz="4" w:space="0" w:color="auto"/>
            </w:tcBorders>
          </w:tcPr>
          <w:p w14:paraId="43D1C7E8" w14:textId="77777777" w:rsidR="009360A2" w:rsidRPr="003B4D22" w:rsidRDefault="009360A2" w:rsidP="00B87914">
            <w:pPr>
              <w:spacing w:after="0" w:line="240" w:lineRule="auto"/>
              <w:rPr>
                <w:rFonts w:ascii="Arial Narrow" w:hAnsi="Arial Narrow" w:cs="Calibri"/>
                <w:color w:val="000000"/>
                <w:sz w:val="20"/>
                <w:szCs w:val="20"/>
              </w:rPr>
            </w:pPr>
          </w:p>
        </w:tc>
        <w:tc>
          <w:tcPr>
            <w:tcW w:w="1533" w:type="pct"/>
            <w:tcBorders>
              <w:top w:val="nil"/>
              <w:left w:val="single" w:sz="4" w:space="0" w:color="auto"/>
              <w:bottom w:val="nil"/>
              <w:right w:val="single" w:sz="4" w:space="0" w:color="auto"/>
            </w:tcBorders>
          </w:tcPr>
          <w:p w14:paraId="61EEE778" w14:textId="77777777" w:rsidR="009360A2" w:rsidRPr="003B4D22" w:rsidRDefault="009360A2" w:rsidP="00331FB9">
            <w:pPr>
              <w:pStyle w:val="ListParagraph"/>
              <w:numPr>
                <w:ilvl w:val="0"/>
                <w:numId w:val="15"/>
              </w:numPr>
              <w:spacing w:after="0" w:line="240" w:lineRule="auto"/>
              <w:ind w:left="183" w:hanging="183"/>
              <w:rPr>
                <w:rFonts w:ascii="Arial Narrow" w:hAnsi="Arial Narrow"/>
                <w:sz w:val="20"/>
                <w:szCs w:val="20"/>
              </w:rPr>
            </w:pPr>
            <w:r w:rsidRPr="003B4D22">
              <w:rPr>
                <w:rFonts w:ascii="Arial Narrow" w:hAnsi="Arial Narrow"/>
                <w:sz w:val="20"/>
              </w:rPr>
              <w:t>GI infections (%)</w:t>
            </w:r>
          </w:p>
        </w:tc>
        <w:tc>
          <w:tcPr>
            <w:tcW w:w="1074" w:type="pct"/>
            <w:tcBorders>
              <w:top w:val="nil"/>
              <w:left w:val="single" w:sz="4" w:space="0" w:color="auto"/>
              <w:bottom w:val="nil"/>
              <w:right w:val="nil"/>
            </w:tcBorders>
            <w:shd w:val="clear" w:color="auto" w:fill="auto"/>
            <w:noWrap/>
          </w:tcPr>
          <w:p w14:paraId="2532DEC8" w14:textId="77777777" w:rsidR="009360A2" w:rsidRPr="003B4D22" w:rsidRDefault="009360A2" w:rsidP="00B87914">
            <w:pPr>
              <w:spacing w:after="0" w:line="240" w:lineRule="auto"/>
              <w:jc w:val="right"/>
              <w:rPr>
                <w:rFonts w:ascii="Arial Narrow" w:hAnsi="Arial Narrow"/>
                <w:sz w:val="20"/>
                <w:szCs w:val="20"/>
              </w:rPr>
            </w:pPr>
            <w:r w:rsidRPr="003B4D22">
              <w:rPr>
                <w:rFonts w:ascii="Arial Narrow" w:hAnsi="Arial Narrow"/>
                <w:sz w:val="20"/>
              </w:rPr>
              <w:t>2 (8.0%)</w:t>
            </w:r>
          </w:p>
        </w:tc>
        <w:tc>
          <w:tcPr>
            <w:tcW w:w="1072" w:type="pct"/>
            <w:tcBorders>
              <w:top w:val="nil"/>
              <w:left w:val="nil"/>
              <w:bottom w:val="nil"/>
              <w:right w:val="nil"/>
            </w:tcBorders>
            <w:shd w:val="clear" w:color="auto" w:fill="auto"/>
            <w:noWrap/>
          </w:tcPr>
          <w:p w14:paraId="2B995F9F" w14:textId="77777777" w:rsidR="009360A2" w:rsidRPr="003B4D22" w:rsidRDefault="009360A2" w:rsidP="00B87914">
            <w:pPr>
              <w:spacing w:after="0" w:line="240" w:lineRule="auto"/>
              <w:jc w:val="right"/>
              <w:rPr>
                <w:rFonts w:ascii="Arial Narrow" w:hAnsi="Arial Narrow"/>
                <w:sz w:val="20"/>
                <w:szCs w:val="20"/>
              </w:rPr>
            </w:pPr>
            <w:r w:rsidRPr="003B4D22">
              <w:rPr>
                <w:rFonts w:ascii="Arial Narrow" w:hAnsi="Arial Narrow"/>
                <w:sz w:val="20"/>
              </w:rPr>
              <w:t>4 (3.8%)</w:t>
            </w:r>
          </w:p>
        </w:tc>
        <w:tc>
          <w:tcPr>
            <w:tcW w:w="725" w:type="pct"/>
            <w:tcBorders>
              <w:top w:val="nil"/>
              <w:left w:val="nil"/>
              <w:bottom w:val="nil"/>
              <w:right w:val="single" w:sz="4" w:space="0" w:color="auto"/>
            </w:tcBorders>
          </w:tcPr>
          <w:p w14:paraId="35F61CBF" w14:textId="77777777" w:rsidR="009360A2" w:rsidRPr="003B4D22" w:rsidRDefault="009360A2" w:rsidP="00B87914">
            <w:pPr>
              <w:spacing w:after="0" w:line="240" w:lineRule="auto"/>
              <w:jc w:val="right"/>
              <w:rPr>
                <w:rFonts w:ascii="Arial Narrow" w:hAnsi="Arial Narrow"/>
                <w:sz w:val="20"/>
                <w:szCs w:val="20"/>
              </w:rPr>
            </w:pPr>
            <w:r w:rsidRPr="003B4D22">
              <w:rPr>
                <w:rFonts w:ascii="Arial Narrow" w:hAnsi="Arial Narrow"/>
                <w:sz w:val="20"/>
              </w:rPr>
              <w:t>p=0.33</w:t>
            </w:r>
          </w:p>
        </w:tc>
      </w:tr>
      <w:tr w:rsidR="009360A2" w:rsidRPr="003B4D22" w14:paraId="03E7AF6C" w14:textId="77777777" w:rsidTr="00B87914">
        <w:tc>
          <w:tcPr>
            <w:tcW w:w="596" w:type="pct"/>
            <w:tcBorders>
              <w:top w:val="nil"/>
              <w:left w:val="single" w:sz="4" w:space="0" w:color="auto"/>
              <w:bottom w:val="nil"/>
              <w:right w:val="single" w:sz="4" w:space="0" w:color="auto"/>
            </w:tcBorders>
          </w:tcPr>
          <w:p w14:paraId="1404CAC4" w14:textId="77777777" w:rsidR="009360A2" w:rsidRPr="003B4D22" w:rsidRDefault="009360A2" w:rsidP="00B87914">
            <w:pPr>
              <w:spacing w:after="0" w:line="240" w:lineRule="auto"/>
              <w:rPr>
                <w:rFonts w:ascii="Arial Narrow" w:hAnsi="Arial Narrow" w:cs="Calibri"/>
                <w:color w:val="000000"/>
                <w:sz w:val="20"/>
                <w:szCs w:val="20"/>
              </w:rPr>
            </w:pPr>
          </w:p>
        </w:tc>
        <w:tc>
          <w:tcPr>
            <w:tcW w:w="1533" w:type="pct"/>
            <w:tcBorders>
              <w:top w:val="nil"/>
              <w:left w:val="single" w:sz="4" w:space="0" w:color="auto"/>
              <w:bottom w:val="nil"/>
              <w:right w:val="single" w:sz="4" w:space="0" w:color="auto"/>
            </w:tcBorders>
          </w:tcPr>
          <w:p w14:paraId="16E378E1" w14:textId="77777777" w:rsidR="009360A2" w:rsidRPr="003B4D22" w:rsidRDefault="009360A2" w:rsidP="00B87914">
            <w:pPr>
              <w:spacing w:after="0" w:line="240" w:lineRule="auto"/>
              <w:rPr>
                <w:rFonts w:ascii="Arial Narrow" w:hAnsi="Arial Narrow"/>
                <w:i/>
                <w:sz w:val="20"/>
              </w:rPr>
            </w:pPr>
            <w:r w:rsidRPr="003B4D22">
              <w:rPr>
                <w:rFonts w:ascii="Arial Narrow" w:hAnsi="Arial Narrow"/>
                <w:i/>
                <w:sz w:val="20"/>
              </w:rPr>
              <w:t>Total patients with infections</w:t>
            </w:r>
          </w:p>
        </w:tc>
        <w:tc>
          <w:tcPr>
            <w:tcW w:w="1074" w:type="pct"/>
            <w:tcBorders>
              <w:top w:val="nil"/>
              <w:left w:val="single" w:sz="4" w:space="0" w:color="auto"/>
              <w:bottom w:val="nil"/>
              <w:right w:val="nil"/>
            </w:tcBorders>
            <w:shd w:val="clear" w:color="auto" w:fill="auto"/>
            <w:noWrap/>
          </w:tcPr>
          <w:p w14:paraId="2FA101A4" w14:textId="77777777" w:rsidR="009360A2" w:rsidRPr="003B4D22" w:rsidRDefault="009360A2" w:rsidP="00B87914">
            <w:pPr>
              <w:spacing w:after="0" w:line="240" w:lineRule="auto"/>
              <w:jc w:val="right"/>
              <w:rPr>
                <w:rFonts w:ascii="Arial Narrow" w:hAnsi="Arial Narrow"/>
                <w:i/>
                <w:sz w:val="20"/>
              </w:rPr>
            </w:pPr>
            <w:r w:rsidRPr="003B4D22">
              <w:rPr>
                <w:rFonts w:ascii="Arial Narrow" w:hAnsi="Arial Narrow"/>
                <w:i/>
                <w:sz w:val="20"/>
              </w:rPr>
              <w:t>19</w:t>
            </w:r>
          </w:p>
        </w:tc>
        <w:tc>
          <w:tcPr>
            <w:tcW w:w="1072" w:type="pct"/>
            <w:tcBorders>
              <w:top w:val="nil"/>
              <w:left w:val="nil"/>
              <w:bottom w:val="nil"/>
              <w:right w:val="nil"/>
            </w:tcBorders>
            <w:shd w:val="clear" w:color="auto" w:fill="auto"/>
            <w:noWrap/>
          </w:tcPr>
          <w:p w14:paraId="4EC8C95E" w14:textId="77777777" w:rsidR="009360A2" w:rsidRPr="003B4D22" w:rsidRDefault="009360A2" w:rsidP="00B87914">
            <w:pPr>
              <w:spacing w:after="0" w:line="240" w:lineRule="auto"/>
              <w:jc w:val="right"/>
              <w:rPr>
                <w:rFonts w:ascii="Arial Narrow" w:hAnsi="Arial Narrow"/>
                <w:i/>
                <w:sz w:val="20"/>
              </w:rPr>
            </w:pPr>
            <w:r w:rsidRPr="003B4D22">
              <w:rPr>
                <w:rFonts w:ascii="Arial Narrow" w:hAnsi="Arial Narrow"/>
                <w:i/>
                <w:sz w:val="20"/>
              </w:rPr>
              <w:t>58</w:t>
            </w:r>
          </w:p>
        </w:tc>
        <w:tc>
          <w:tcPr>
            <w:tcW w:w="725" w:type="pct"/>
            <w:tcBorders>
              <w:top w:val="nil"/>
              <w:left w:val="nil"/>
              <w:bottom w:val="nil"/>
              <w:right w:val="single" w:sz="4" w:space="0" w:color="auto"/>
            </w:tcBorders>
          </w:tcPr>
          <w:p w14:paraId="07E1FE5B" w14:textId="77777777" w:rsidR="009360A2" w:rsidRPr="003B4D22" w:rsidRDefault="009360A2" w:rsidP="00B87914">
            <w:pPr>
              <w:spacing w:after="0" w:line="240" w:lineRule="auto"/>
              <w:jc w:val="right"/>
              <w:rPr>
                <w:rFonts w:ascii="Arial Narrow" w:hAnsi="Arial Narrow"/>
                <w:sz w:val="20"/>
              </w:rPr>
            </w:pPr>
          </w:p>
        </w:tc>
      </w:tr>
      <w:tr w:rsidR="009360A2" w:rsidRPr="003B4D22" w14:paraId="643AC88C" w14:textId="77777777" w:rsidTr="00B87914">
        <w:tc>
          <w:tcPr>
            <w:tcW w:w="596" w:type="pct"/>
            <w:tcBorders>
              <w:top w:val="nil"/>
              <w:left w:val="single" w:sz="4" w:space="0" w:color="auto"/>
              <w:bottom w:val="single" w:sz="4" w:space="0" w:color="auto"/>
              <w:right w:val="single" w:sz="4" w:space="0" w:color="auto"/>
            </w:tcBorders>
          </w:tcPr>
          <w:p w14:paraId="6A4164D9" w14:textId="77777777" w:rsidR="009360A2" w:rsidRPr="003B4D22" w:rsidRDefault="009360A2" w:rsidP="00B87914">
            <w:pPr>
              <w:spacing w:after="0" w:line="240" w:lineRule="auto"/>
              <w:rPr>
                <w:rFonts w:ascii="Arial Narrow" w:hAnsi="Arial Narrow" w:cs="Calibri"/>
                <w:color w:val="000000"/>
                <w:sz w:val="20"/>
                <w:szCs w:val="20"/>
              </w:rPr>
            </w:pPr>
          </w:p>
        </w:tc>
        <w:tc>
          <w:tcPr>
            <w:tcW w:w="1533" w:type="pct"/>
            <w:tcBorders>
              <w:top w:val="nil"/>
              <w:left w:val="single" w:sz="4" w:space="0" w:color="auto"/>
              <w:bottom w:val="single" w:sz="4" w:space="0" w:color="auto"/>
              <w:right w:val="single" w:sz="4" w:space="0" w:color="auto"/>
            </w:tcBorders>
          </w:tcPr>
          <w:p w14:paraId="69C6D5E3" w14:textId="77777777" w:rsidR="009360A2" w:rsidRPr="003B4D22" w:rsidRDefault="009360A2" w:rsidP="00B87914">
            <w:pPr>
              <w:spacing w:after="0" w:line="240" w:lineRule="auto"/>
              <w:rPr>
                <w:rFonts w:ascii="Arial Narrow" w:hAnsi="Arial Narrow"/>
                <w:i/>
                <w:sz w:val="20"/>
              </w:rPr>
            </w:pPr>
            <w:r w:rsidRPr="003B4D22">
              <w:rPr>
                <w:rFonts w:ascii="Arial Narrow" w:hAnsi="Arial Narrow"/>
                <w:i/>
                <w:sz w:val="20"/>
              </w:rPr>
              <w:t>Crude rate per patient</w:t>
            </w:r>
          </w:p>
        </w:tc>
        <w:tc>
          <w:tcPr>
            <w:tcW w:w="1074" w:type="pct"/>
            <w:tcBorders>
              <w:top w:val="nil"/>
              <w:left w:val="single" w:sz="4" w:space="0" w:color="auto"/>
              <w:bottom w:val="single" w:sz="4" w:space="0" w:color="auto"/>
              <w:right w:val="nil"/>
            </w:tcBorders>
            <w:shd w:val="clear" w:color="auto" w:fill="auto"/>
            <w:noWrap/>
          </w:tcPr>
          <w:p w14:paraId="0C084560" w14:textId="77777777" w:rsidR="009360A2" w:rsidRPr="003B4D22" w:rsidRDefault="009360A2" w:rsidP="00B87914">
            <w:pPr>
              <w:spacing w:after="0" w:line="240" w:lineRule="auto"/>
              <w:jc w:val="right"/>
              <w:rPr>
                <w:rFonts w:ascii="Arial Narrow" w:hAnsi="Arial Narrow"/>
                <w:i/>
                <w:sz w:val="20"/>
              </w:rPr>
            </w:pPr>
            <w:r w:rsidRPr="003B4D22">
              <w:rPr>
                <w:rFonts w:ascii="Arial Narrow" w:hAnsi="Arial Narrow"/>
                <w:i/>
                <w:sz w:val="20"/>
              </w:rPr>
              <w:t>0.76</w:t>
            </w:r>
          </w:p>
        </w:tc>
        <w:tc>
          <w:tcPr>
            <w:tcW w:w="1072" w:type="pct"/>
            <w:tcBorders>
              <w:top w:val="nil"/>
              <w:left w:val="nil"/>
              <w:bottom w:val="single" w:sz="4" w:space="0" w:color="auto"/>
              <w:right w:val="nil"/>
            </w:tcBorders>
            <w:shd w:val="clear" w:color="auto" w:fill="auto"/>
            <w:noWrap/>
          </w:tcPr>
          <w:p w14:paraId="345A3A89" w14:textId="77777777" w:rsidR="009360A2" w:rsidRPr="003B4D22" w:rsidRDefault="009360A2" w:rsidP="00B87914">
            <w:pPr>
              <w:spacing w:after="0" w:line="240" w:lineRule="auto"/>
              <w:jc w:val="right"/>
              <w:rPr>
                <w:rFonts w:ascii="Arial Narrow" w:hAnsi="Arial Narrow"/>
                <w:i/>
                <w:sz w:val="20"/>
              </w:rPr>
            </w:pPr>
            <w:r w:rsidRPr="003B4D22">
              <w:rPr>
                <w:rFonts w:ascii="Arial Narrow" w:hAnsi="Arial Narrow"/>
                <w:i/>
                <w:sz w:val="20"/>
              </w:rPr>
              <w:t>0.55</w:t>
            </w:r>
          </w:p>
        </w:tc>
        <w:tc>
          <w:tcPr>
            <w:tcW w:w="725" w:type="pct"/>
            <w:tcBorders>
              <w:top w:val="nil"/>
              <w:left w:val="nil"/>
              <w:bottom w:val="single" w:sz="4" w:space="0" w:color="auto"/>
              <w:right w:val="single" w:sz="4" w:space="0" w:color="auto"/>
            </w:tcBorders>
          </w:tcPr>
          <w:p w14:paraId="04845844" w14:textId="77777777" w:rsidR="009360A2" w:rsidRPr="003B4D22" w:rsidRDefault="009360A2" w:rsidP="00B87914">
            <w:pPr>
              <w:spacing w:after="0" w:line="240" w:lineRule="auto"/>
              <w:jc w:val="right"/>
              <w:rPr>
                <w:rFonts w:ascii="Arial Narrow" w:hAnsi="Arial Narrow"/>
                <w:sz w:val="20"/>
              </w:rPr>
            </w:pPr>
          </w:p>
        </w:tc>
      </w:tr>
    </w:tbl>
    <w:p w14:paraId="5FAB7553" w14:textId="77777777" w:rsidR="009360A2" w:rsidRDefault="009360A2" w:rsidP="009360A2">
      <w:pPr>
        <w:spacing w:after="100" w:afterAutospacing="1" w:line="240" w:lineRule="auto"/>
        <w:rPr>
          <w:rFonts w:ascii="Arial Narrow" w:hAnsi="Arial Narrow"/>
          <w:sz w:val="20"/>
        </w:rPr>
      </w:pPr>
      <w:r w:rsidRPr="00876F28">
        <w:rPr>
          <w:rFonts w:ascii="Arial Narrow" w:hAnsi="Arial Narrow"/>
          <w:sz w:val="20"/>
        </w:rPr>
        <w:t>BSI=bloodstream infections; GI=gastrointestinal; HSCT=haematopoietic stem cell transplant; IVIg=intravenous immunoglobulin; MM=multiple myeloma; RT=replacement therapy; UTI=urinary tract infection.</w:t>
      </w:r>
    </w:p>
    <w:p w14:paraId="250E141B" w14:textId="77777777" w:rsidR="00876F28" w:rsidRPr="00876F28" w:rsidRDefault="00876F28" w:rsidP="009360A2">
      <w:pPr>
        <w:spacing w:after="100" w:afterAutospacing="1" w:line="240" w:lineRule="auto"/>
        <w:rPr>
          <w:rFonts w:ascii="Arial Narrow" w:hAnsi="Arial Narrow"/>
          <w:sz w:val="20"/>
        </w:rPr>
      </w:pPr>
    </w:p>
    <w:p w14:paraId="7924DF02" w14:textId="17AE43F5" w:rsidR="00D42D26" w:rsidRPr="00386411" w:rsidRDefault="00D42D26" w:rsidP="00D42D26">
      <w:pPr>
        <w:pStyle w:val="Caption"/>
        <w:keepNext/>
        <w:rPr>
          <w:rFonts w:cs="Arial"/>
          <w:snapToGrid w:val="0"/>
          <w:szCs w:val="16"/>
          <w:lang w:eastAsia="en-US"/>
        </w:rPr>
      </w:pPr>
      <w:bookmarkStart w:id="778" w:name="_Ref9900139"/>
      <w:bookmarkStart w:id="779" w:name="_Toc14429629"/>
      <w:bookmarkStart w:id="780" w:name="_Toc16671687"/>
      <w:r w:rsidRPr="00386411">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89</w:t>
      </w:r>
      <w:r w:rsidRPr="00386411">
        <w:rPr>
          <w:noProof/>
        </w:rPr>
        <w:fldChar w:fldCharType="end"/>
      </w:r>
      <w:bookmarkEnd w:id="778"/>
      <w:r w:rsidRPr="00386411">
        <w:tab/>
      </w:r>
      <w:r>
        <w:rPr>
          <w:rFonts w:cs="Arial"/>
          <w:snapToGrid w:val="0"/>
          <w:szCs w:val="16"/>
          <w:lang w:eastAsia="en-US"/>
        </w:rPr>
        <w:t>Case series</w:t>
      </w:r>
      <w:r w:rsidRPr="00386411">
        <w:rPr>
          <w:rFonts w:cs="Arial"/>
          <w:snapToGrid w:val="0"/>
          <w:szCs w:val="16"/>
          <w:lang w:eastAsia="en-US"/>
        </w:rPr>
        <w:t xml:space="preserve"> presenting within-patient (before/after) infections outcomes – IVIg</w:t>
      </w:r>
      <w:bookmarkEnd w:id="779"/>
      <w:bookmarkEnd w:id="780"/>
      <w:r w:rsidRPr="00386411">
        <w:rPr>
          <w:rFonts w:cs="Arial"/>
          <w:snapToGrid w:val="0"/>
          <w:szCs w:val="16"/>
          <w:lang w:eastAsia="en-US"/>
        </w:rPr>
        <w:t xml:space="preserve"> </w:t>
      </w:r>
    </w:p>
    <w:tbl>
      <w:tblPr>
        <w:tblW w:w="5026" w:type="pct"/>
        <w:jc w:val="center"/>
        <w:tblLayout w:type="fixed"/>
        <w:tblLook w:val="04A0" w:firstRow="1" w:lastRow="0" w:firstColumn="1" w:lastColumn="0" w:noHBand="0" w:noVBand="1"/>
      </w:tblPr>
      <w:tblGrid>
        <w:gridCol w:w="1460"/>
        <w:gridCol w:w="2200"/>
        <w:gridCol w:w="957"/>
        <w:gridCol w:w="1297"/>
        <w:gridCol w:w="2245"/>
        <w:gridCol w:w="1109"/>
        <w:gridCol w:w="22"/>
      </w:tblGrid>
      <w:tr w:rsidR="00D42D26" w:rsidRPr="00386411" w14:paraId="338BA8FD" w14:textId="77777777" w:rsidTr="00B52A4F">
        <w:trPr>
          <w:gridAfter w:val="1"/>
          <w:wAfter w:w="21" w:type="dxa"/>
          <w:jc w:val="center"/>
        </w:trPr>
        <w:tc>
          <w:tcPr>
            <w:tcW w:w="1425" w:type="dxa"/>
            <w:tcBorders>
              <w:top w:val="single" w:sz="4" w:space="0" w:color="auto"/>
              <w:left w:val="single" w:sz="4" w:space="0" w:color="auto"/>
              <w:bottom w:val="nil"/>
              <w:right w:val="single" w:sz="4" w:space="0" w:color="auto"/>
            </w:tcBorders>
            <w:shd w:val="clear" w:color="auto" w:fill="D9D9D9" w:themeFill="background1" w:themeFillShade="D9"/>
          </w:tcPr>
          <w:p w14:paraId="168C38C7" w14:textId="77777777" w:rsidR="00D42D26" w:rsidRPr="00386411" w:rsidRDefault="00D42D26" w:rsidP="001A2B6F">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Study, Indication</w:t>
            </w:r>
          </w:p>
        </w:tc>
        <w:tc>
          <w:tcPr>
            <w:tcW w:w="2146" w:type="dxa"/>
            <w:tcBorders>
              <w:top w:val="single" w:sz="4" w:space="0" w:color="auto"/>
              <w:left w:val="single" w:sz="4" w:space="0" w:color="auto"/>
              <w:bottom w:val="nil"/>
              <w:right w:val="single" w:sz="4" w:space="0" w:color="auto"/>
            </w:tcBorders>
            <w:shd w:val="clear" w:color="auto" w:fill="D9D9D9" w:themeFill="background1" w:themeFillShade="D9"/>
          </w:tcPr>
          <w:p w14:paraId="1C6AF73F" w14:textId="77777777" w:rsidR="00D42D26" w:rsidRPr="00386411" w:rsidRDefault="00D42D26" w:rsidP="001A2B6F">
            <w:pPr>
              <w:keepNext/>
              <w:spacing w:after="0" w:line="240" w:lineRule="auto"/>
              <w:rPr>
                <w:rFonts w:ascii="Arial Narrow" w:hAnsi="Arial Narrow"/>
                <w:b/>
                <w:sz w:val="20"/>
              </w:rPr>
            </w:pPr>
            <w:r w:rsidRPr="00386411">
              <w:rPr>
                <w:rFonts w:ascii="Arial Narrow" w:hAnsi="Arial Narrow"/>
                <w:b/>
                <w:sz w:val="20"/>
              </w:rPr>
              <w:t>Outcome</w:t>
            </w:r>
          </w:p>
        </w:tc>
        <w:tc>
          <w:tcPr>
            <w:tcW w:w="2199" w:type="dxa"/>
            <w:gridSpan w:val="2"/>
            <w:tcBorders>
              <w:top w:val="single" w:sz="4" w:space="0" w:color="auto"/>
              <w:left w:val="single" w:sz="4" w:space="0" w:color="auto"/>
              <w:bottom w:val="nil"/>
              <w:right w:val="nil"/>
            </w:tcBorders>
            <w:shd w:val="clear" w:color="auto" w:fill="D9D9D9" w:themeFill="background1" w:themeFillShade="D9"/>
            <w:noWrap/>
          </w:tcPr>
          <w:p w14:paraId="4E9BF444" w14:textId="77777777" w:rsidR="00D42D26" w:rsidRPr="00386411" w:rsidRDefault="00D42D26" w:rsidP="001A2B6F">
            <w:pPr>
              <w:keepNext/>
              <w:spacing w:after="0" w:line="240" w:lineRule="auto"/>
              <w:jc w:val="center"/>
              <w:rPr>
                <w:rFonts w:ascii="Arial Narrow" w:hAnsi="Arial Narrow"/>
                <w:b/>
                <w:sz w:val="20"/>
                <w:szCs w:val="20"/>
              </w:rPr>
            </w:pPr>
            <w:r w:rsidRPr="00386411">
              <w:rPr>
                <w:rFonts w:ascii="Arial Narrow" w:hAnsi="Arial Narrow"/>
                <w:b/>
                <w:sz w:val="20"/>
                <w:szCs w:val="20"/>
              </w:rPr>
              <w:t>Comparator</w:t>
            </w:r>
          </w:p>
        </w:tc>
        <w:tc>
          <w:tcPr>
            <w:tcW w:w="2190" w:type="dxa"/>
            <w:tcBorders>
              <w:top w:val="single" w:sz="4" w:space="0" w:color="auto"/>
              <w:left w:val="nil"/>
              <w:bottom w:val="nil"/>
              <w:right w:val="nil"/>
            </w:tcBorders>
            <w:shd w:val="clear" w:color="auto" w:fill="D9D9D9" w:themeFill="background1" w:themeFillShade="D9"/>
            <w:noWrap/>
          </w:tcPr>
          <w:p w14:paraId="4FF6C060" w14:textId="77777777" w:rsidR="00D42D26" w:rsidRPr="00386411" w:rsidRDefault="00D42D26" w:rsidP="001A2B6F">
            <w:pPr>
              <w:keepNext/>
              <w:spacing w:after="0" w:line="240" w:lineRule="auto"/>
              <w:jc w:val="center"/>
              <w:rPr>
                <w:rFonts w:ascii="Arial Narrow" w:hAnsi="Arial Narrow"/>
                <w:b/>
                <w:sz w:val="20"/>
                <w:szCs w:val="20"/>
              </w:rPr>
            </w:pPr>
            <w:r w:rsidRPr="00386411">
              <w:rPr>
                <w:rFonts w:ascii="Arial Narrow" w:hAnsi="Arial Narrow"/>
                <w:b/>
                <w:sz w:val="20"/>
                <w:szCs w:val="20"/>
              </w:rPr>
              <w:t>Intervention</w:t>
            </w:r>
          </w:p>
        </w:tc>
        <w:tc>
          <w:tcPr>
            <w:tcW w:w="1082" w:type="dxa"/>
            <w:tcBorders>
              <w:top w:val="single" w:sz="4" w:space="0" w:color="auto"/>
              <w:left w:val="nil"/>
              <w:bottom w:val="nil"/>
              <w:right w:val="single" w:sz="4" w:space="0" w:color="auto"/>
            </w:tcBorders>
            <w:shd w:val="clear" w:color="auto" w:fill="D9D9D9" w:themeFill="background1" w:themeFillShade="D9"/>
          </w:tcPr>
          <w:p w14:paraId="483EFD63" w14:textId="77777777" w:rsidR="00D42D26" w:rsidRPr="00386411" w:rsidRDefault="00D42D26" w:rsidP="001A2B6F">
            <w:pPr>
              <w:keepNext/>
              <w:spacing w:after="0" w:line="240" w:lineRule="auto"/>
              <w:ind w:left="-57" w:right="-57"/>
              <w:jc w:val="right"/>
              <w:rPr>
                <w:rFonts w:ascii="Arial Narrow" w:hAnsi="Arial Narrow"/>
                <w:b/>
                <w:sz w:val="20"/>
                <w:szCs w:val="20"/>
              </w:rPr>
            </w:pPr>
            <w:r w:rsidRPr="00386411">
              <w:rPr>
                <w:rFonts w:ascii="Arial Narrow" w:hAnsi="Arial Narrow"/>
                <w:b/>
                <w:sz w:val="20"/>
                <w:szCs w:val="20"/>
              </w:rPr>
              <w:t>Comparison</w:t>
            </w:r>
          </w:p>
        </w:tc>
      </w:tr>
      <w:tr w:rsidR="00D42D26" w:rsidRPr="00386411" w14:paraId="052475BB" w14:textId="77777777" w:rsidTr="00B52A4F">
        <w:trPr>
          <w:gridAfter w:val="1"/>
          <w:wAfter w:w="21" w:type="dxa"/>
          <w:jc w:val="center"/>
        </w:trPr>
        <w:tc>
          <w:tcPr>
            <w:tcW w:w="1425" w:type="dxa"/>
            <w:tcBorders>
              <w:top w:val="single" w:sz="4" w:space="0" w:color="auto"/>
              <w:left w:val="single" w:sz="4" w:space="0" w:color="auto"/>
              <w:bottom w:val="nil"/>
              <w:right w:val="single" w:sz="4" w:space="0" w:color="auto"/>
            </w:tcBorders>
            <w:shd w:val="clear" w:color="auto" w:fill="D9D9D9" w:themeFill="background1" w:themeFillShade="D9"/>
          </w:tcPr>
          <w:p w14:paraId="0FDECC94" w14:textId="77777777" w:rsidR="00D42D26" w:rsidRPr="00386411" w:rsidRDefault="00D42D26" w:rsidP="00402B1A">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Besa, 1992</w:t>
            </w:r>
          </w:p>
        </w:tc>
        <w:tc>
          <w:tcPr>
            <w:tcW w:w="2146" w:type="dxa"/>
            <w:tcBorders>
              <w:top w:val="single" w:sz="4" w:space="0" w:color="auto"/>
              <w:left w:val="single" w:sz="4" w:space="0" w:color="auto"/>
              <w:bottom w:val="nil"/>
              <w:right w:val="single" w:sz="4" w:space="0" w:color="auto"/>
            </w:tcBorders>
            <w:shd w:val="clear" w:color="auto" w:fill="D9D9D9" w:themeFill="background1" w:themeFillShade="D9"/>
          </w:tcPr>
          <w:p w14:paraId="715AF4FF" w14:textId="77777777" w:rsidR="00D42D26" w:rsidRPr="00386411" w:rsidRDefault="00D42D26" w:rsidP="00402B1A">
            <w:pPr>
              <w:keepNext/>
              <w:spacing w:after="0" w:line="240" w:lineRule="auto"/>
              <w:rPr>
                <w:rFonts w:ascii="Arial Narrow" w:hAnsi="Arial Narrow"/>
                <w:b/>
                <w:sz w:val="20"/>
              </w:rPr>
            </w:pPr>
            <w:r w:rsidRPr="00386411">
              <w:rPr>
                <w:rFonts w:ascii="Arial Narrow" w:hAnsi="Arial Narrow"/>
                <w:b/>
                <w:sz w:val="20"/>
              </w:rPr>
              <w:t>Infections – episodes</w:t>
            </w:r>
          </w:p>
        </w:tc>
        <w:tc>
          <w:tcPr>
            <w:tcW w:w="2199" w:type="dxa"/>
            <w:gridSpan w:val="2"/>
            <w:tcBorders>
              <w:top w:val="single" w:sz="4" w:space="0" w:color="auto"/>
              <w:left w:val="single" w:sz="4" w:space="0" w:color="auto"/>
              <w:bottom w:val="nil"/>
              <w:right w:val="nil"/>
            </w:tcBorders>
            <w:shd w:val="clear" w:color="auto" w:fill="D9D9D9" w:themeFill="background1" w:themeFillShade="D9"/>
            <w:noWrap/>
          </w:tcPr>
          <w:p w14:paraId="4975D36C" w14:textId="77777777" w:rsidR="00D42D26" w:rsidRPr="00386411" w:rsidRDefault="00D42D26" w:rsidP="00402B1A">
            <w:pPr>
              <w:keepNext/>
              <w:spacing w:after="0" w:line="240" w:lineRule="auto"/>
              <w:jc w:val="center"/>
              <w:rPr>
                <w:rFonts w:ascii="Arial Narrow" w:hAnsi="Arial Narrow"/>
                <w:b/>
                <w:sz w:val="20"/>
                <w:szCs w:val="20"/>
                <w:highlight w:val="yellow"/>
              </w:rPr>
            </w:pPr>
            <w:r w:rsidRPr="00386411">
              <w:rPr>
                <w:rFonts w:ascii="Arial Narrow" w:hAnsi="Arial Narrow"/>
                <w:b/>
                <w:sz w:val="20"/>
                <w:szCs w:val="20"/>
              </w:rPr>
              <w:t>Before IVIg</w:t>
            </w:r>
            <w:r w:rsidRPr="00386411">
              <w:rPr>
                <w:rFonts w:ascii="Arial Narrow" w:hAnsi="Arial Narrow"/>
                <w:b/>
                <w:sz w:val="20"/>
                <w:szCs w:val="20"/>
              </w:rPr>
              <w:br/>
              <w:t>(3 yrs)(N=23)</w:t>
            </w:r>
          </w:p>
        </w:tc>
        <w:tc>
          <w:tcPr>
            <w:tcW w:w="2190" w:type="dxa"/>
            <w:tcBorders>
              <w:top w:val="single" w:sz="4" w:space="0" w:color="auto"/>
              <w:left w:val="nil"/>
              <w:bottom w:val="nil"/>
              <w:right w:val="nil"/>
            </w:tcBorders>
            <w:shd w:val="clear" w:color="auto" w:fill="D9D9D9" w:themeFill="background1" w:themeFillShade="D9"/>
            <w:noWrap/>
          </w:tcPr>
          <w:p w14:paraId="483CA895" w14:textId="77777777" w:rsidR="00D42D26" w:rsidRPr="00386411" w:rsidRDefault="00D42D26" w:rsidP="00402B1A">
            <w:pPr>
              <w:keepNext/>
              <w:spacing w:after="0" w:line="240" w:lineRule="auto"/>
              <w:jc w:val="center"/>
              <w:rPr>
                <w:rFonts w:ascii="Arial Narrow" w:hAnsi="Arial Narrow"/>
                <w:b/>
                <w:sz w:val="20"/>
                <w:szCs w:val="20"/>
                <w:highlight w:val="yellow"/>
              </w:rPr>
            </w:pPr>
            <w:r w:rsidRPr="00386411">
              <w:rPr>
                <w:rFonts w:ascii="Arial Narrow" w:hAnsi="Arial Narrow"/>
                <w:b/>
                <w:sz w:val="20"/>
                <w:szCs w:val="20"/>
              </w:rPr>
              <w:t xml:space="preserve">During IVIg tx </w:t>
            </w:r>
            <w:r w:rsidRPr="00386411">
              <w:rPr>
                <w:rFonts w:ascii="Arial Narrow" w:hAnsi="Arial Narrow"/>
                <w:b/>
                <w:sz w:val="20"/>
                <w:szCs w:val="20"/>
              </w:rPr>
              <w:br/>
              <w:t>(3 yrs)(N=23)</w:t>
            </w:r>
          </w:p>
        </w:tc>
        <w:tc>
          <w:tcPr>
            <w:tcW w:w="1082" w:type="dxa"/>
            <w:tcBorders>
              <w:top w:val="single" w:sz="4" w:space="0" w:color="auto"/>
              <w:left w:val="nil"/>
              <w:bottom w:val="nil"/>
              <w:right w:val="single" w:sz="4" w:space="0" w:color="auto"/>
            </w:tcBorders>
            <w:shd w:val="clear" w:color="auto" w:fill="D9D9D9" w:themeFill="background1" w:themeFillShade="D9"/>
          </w:tcPr>
          <w:p w14:paraId="5A1C2781" w14:textId="77777777" w:rsidR="00D42D26" w:rsidRPr="00386411" w:rsidRDefault="00D42D26" w:rsidP="00402B1A">
            <w:pPr>
              <w:keepNext/>
              <w:spacing w:after="0" w:line="240" w:lineRule="auto"/>
              <w:jc w:val="right"/>
              <w:rPr>
                <w:rFonts w:ascii="Arial Narrow" w:hAnsi="Arial Narrow"/>
                <w:b/>
                <w:sz w:val="20"/>
                <w:szCs w:val="20"/>
              </w:rPr>
            </w:pPr>
          </w:p>
        </w:tc>
      </w:tr>
      <w:tr w:rsidR="00D42D26" w:rsidRPr="007D0AA8" w14:paraId="1016C498" w14:textId="77777777" w:rsidTr="00F340FF">
        <w:trPr>
          <w:jc w:val="center"/>
        </w:trPr>
        <w:tc>
          <w:tcPr>
            <w:tcW w:w="1425" w:type="dxa"/>
            <w:tcBorders>
              <w:top w:val="single" w:sz="4" w:space="0" w:color="auto"/>
              <w:left w:val="single" w:sz="4" w:space="0" w:color="auto"/>
              <w:bottom w:val="nil"/>
              <w:right w:val="single" w:sz="4" w:space="0" w:color="auto"/>
            </w:tcBorders>
          </w:tcPr>
          <w:p w14:paraId="62C52FB1" w14:textId="77777777" w:rsidR="00D42D26" w:rsidRPr="007D0AA8" w:rsidRDefault="00D42D26" w:rsidP="001A2B6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CLL</w:t>
            </w:r>
          </w:p>
        </w:tc>
        <w:tc>
          <w:tcPr>
            <w:tcW w:w="2146" w:type="dxa"/>
            <w:tcBorders>
              <w:top w:val="single" w:sz="4" w:space="0" w:color="auto"/>
              <w:left w:val="single" w:sz="4" w:space="0" w:color="auto"/>
              <w:bottom w:val="nil"/>
              <w:right w:val="single" w:sz="4" w:space="0" w:color="auto"/>
            </w:tcBorders>
          </w:tcPr>
          <w:p w14:paraId="41C3924F" w14:textId="77777777" w:rsidR="00D42D26" w:rsidRPr="007D0AA8" w:rsidRDefault="00D42D26" w:rsidP="001A2B6F">
            <w:pPr>
              <w:spacing w:after="0" w:line="240" w:lineRule="auto"/>
              <w:rPr>
                <w:rFonts w:ascii="Arial Narrow" w:hAnsi="Arial Narrow"/>
                <w:sz w:val="20"/>
              </w:rPr>
            </w:pPr>
            <w:r w:rsidRPr="007D0AA8">
              <w:rPr>
                <w:rFonts w:ascii="Arial Narrow" w:hAnsi="Arial Narrow"/>
                <w:sz w:val="20"/>
              </w:rPr>
              <w:t>Bacterial</w:t>
            </w:r>
          </w:p>
        </w:tc>
        <w:tc>
          <w:tcPr>
            <w:tcW w:w="2199" w:type="dxa"/>
            <w:gridSpan w:val="2"/>
            <w:tcBorders>
              <w:top w:val="single" w:sz="4" w:space="0" w:color="auto"/>
              <w:left w:val="single" w:sz="4" w:space="0" w:color="auto"/>
              <w:bottom w:val="nil"/>
              <w:right w:val="nil"/>
            </w:tcBorders>
            <w:shd w:val="clear" w:color="auto" w:fill="auto"/>
            <w:noWrap/>
          </w:tcPr>
          <w:p w14:paraId="06D0C7F4" w14:textId="77777777" w:rsidR="00D42D26" w:rsidRPr="007D0AA8" w:rsidRDefault="00D42D26" w:rsidP="001A2B6F">
            <w:pPr>
              <w:spacing w:after="0" w:line="240" w:lineRule="auto"/>
              <w:jc w:val="center"/>
              <w:rPr>
                <w:rFonts w:ascii="Arial Narrow" w:hAnsi="Arial Narrow"/>
                <w:sz w:val="20"/>
                <w:szCs w:val="20"/>
                <w:highlight w:val="yellow"/>
              </w:rPr>
            </w:pPr>
          </w:p>
        </w:tc>
        <w:tc>
          <w:tcPr>
            <w:tcW w:w="2190" w:type="dxa"/>
            <w:tcBorders>
              <w:top w:val="single" w:sz="4" w:space="0" w:color="auto"/>
              <w:left w:val="nil"/>
              <w:bottom w:val="nil"/>
              <w:right w:val="nil"/>
            </w:tcBorders>
            <w:shd w:val="clear" w:color="auto" w:fill="auto"/>
            <w:noWrap/>
          </w:tcPr>
          <w:p w14:paraId="12939AA9" w14:textId="77777777" w:rsidR="00D42D26" w:rsidRPr="007D0AA8" w:rsidRDefault="00D42D26" w:rsidP="001A2B6F">
            <w:pPr>
              <w:spacing w:after="0" w:line="240" w:lineRule="auto"/>
              <w:jc w:val="center"/>
              <w:rPr>
                <w:rFonts w:ascii="Arial Narrow" w:hAnsi="Arial Narrow"/>
                <w:sz w:val="20"/>
                <w:szCs w:val="20"/>
                <w:highlight w:val="yellow"/>
              </w:rPr>
            </w:pPr>
          </w:p>
        </w:tc>
        <w:tc>
          <w:tcPr>
            <w:tcW w:w="1103" w:type="dxa"/>
            <w:gridSpan w:val="2"/>
            <w:tcBorders>
              <w:top w:val="single" w:sz="4" w:space="0" w:color="auto"/>
              <w:left w:val="nil"/>
              <w:bottom w:val="nil"/>
              <w:right w:val="single" w:sz="4" w:space="0" w:color="auto"/>
            </w:tcBorders>
          </w:tcPr>
          <w:p w14:paraId="43A0EFA7" w14:textId="77777777" w:rsidR="00D42D26" w:rsidRPr="007D0AA8" w:rsidRDefault="00D42D26" w:rsidP="001A2B6F">
            <w:pPr>
              <w:spacing w:after="0" w:line="240" w:lineRule="auto"/>
              <w:jc w:val="right"/>
              <w:rPr>
                <w:rFonts w:ascii="Arial Narrow" w:hAnsi="Arial Narrow"/>
                <w:sz w:val="20"/>
                <w:szCs w:val="20"/>
              </w:rPr>
            </w:pPr>
          </w:p>
        </w:tc>
      </w:tr>
      <w:tr w:rsidR="00F340FF" w:rsidRPr="007D0AA8" w14:paraId="1D42A5D1" w14:textId="77777777" w:rsidTr="00F340FF">
        <w:trPr>
          <w:jc w:val="center"/>
        </w:trPr>
        <w:tc>
          <w:tcPr>
            <w:tcW w:w="1425" w:type="dxa"/>
            <w:tcBorders>
              <w:top w:val="nil"/>
              <w:left w:val="single" w:sz="4" w:space="0" w:color="auto"/>
              <w:bottom w:val="nil"/>
              <w:right w:val="single" w:sz="4" w:space="0" w:color="auto"/>
            </w:tcBorders>
          </w:tcPr>
          <w:p w14:paraId="1D7E3304" w14:textId="77777777" w:rsidR="00F340FF" w:rsidRPr="007D0AA8" w:rsidRDefault="00F340FF" w:rsidP="00652551">
            <w:pPr>
              <w:spacing w:after="0" w:line="240" w:lineRule="auto"/>
              <w:rPr>
                <w:rFonts w:ascii="Arial Narrow" w:hAnsi="Arial Narrow" w:cs="Calibri"/>
                <w:color w:val="000000"/>
                <w:sz w:val="20"/>
                <w:szCs w:val="20"/>
              </w:rPr>
            </w:pPr>
          </w:p>
        </w:tc>
        <w:tc>
          <w:tcPr>
            <w:tcW w:w="2146" w:type="dxa"/>
            <w:tcBorders>
              <w:top w:val="nil"/>
              <w:left w:val="single" w:sz="4" w:space="0" w:color="auto"/>
              <w:bottom w:val="nil"/>
              <w:right w:val="single" w:sz="4" w:space="0" w:color="auto"/>
            </w:tcBorders>
          </w:tcPr>
          <w:p w14:paraId="0D77F25A" w14:textId="77777777" w:rsidR="00F340FF" w:rsidRPr="007D0AA8" w:rsidRDefault="00F340FF" w:rsidP="00331FB9">
            <w:pPr>
              <w:pStyle w:val="ListParagraph"/>
              <w:numPr>
                <w:ilvl w:val="0"/>
                <w:numId w:val="15"/>
              </w:numPr>
              <w:spacing w:after="0" w:line="240" w:lineRule="auto"/>
              <w:ind w:left="316" w:hanging="262"/>
              <w:rPr>
                <w:rFonts w:ascii="Arial Narrow" w:hAnsi="Arial Narrow"/>
                <w:sz w:val="20"/>
              </w:rPr>
            </w:pPr>
            <w:r w:rsidRPr="007D0AA8">
              <w:rPr>
                <w:rFonts w:ascii="Arial Narrow" w:hAnsi="Arial Narrow"/>
                <w:sz w:val="20"/>
              </w:rPr>
              <w:t>Pneumonia</w:t>
            </w:r>
          </w:p>
        </w:tc>
        <w:tc>
          <w:tcPr>
            <w:tcW w:w="2199" w:type="dxa"/>
            <w:gridSpan w:val="2"/>
            <w:tcBorders>
              <w:top w:val="nil"/>
              <w:left w:val="single" w:sz="4" w:space="0" w:color="auto"/>
              <w:bottom w:val="nil"/>
              <w:right w:val="nil"/>
            </w:tcBorders>
            <w:shd w:val="clear" w:color="auto" w:fill="auto"/>
            <w:noWrap/>
          </w:tcPr>
          <w:p w14:paraId="4D992EA0" w14:textId="77777777" w:rsidR="00F340FF" w:rsidRPr="007D0AA8" w:rsidRDefault="00F340FF" w:rsidP="00652551">
            <w:pPr>
              <w:spacing w:after="0" w:line="240" w:lineRule="auto"/>
              <w:jc w:val="right"/>
              <w:rPr>
                <w:rFonts w:ascii="Arial Narrow" w:hAnsi="Arial Narrow"/>
                <w:sz w:val="20"/>
                <w:szCs w:val="20"/>
              </w:rPr>
            </w:pPr>
            <w:r w:rsidRPr="007D0AA8">
              <w:rPr>
                <w:rFonts w:ascii="Arial Narrow" w:hAnsi="Arial Narrow"/>
                <w:sz w:val="20"/>
              </w:rPr>
              <w:t>8</w:t>
            </w:r>
          </w:p>
        </w:tc>
        <w:tc>
          <w:tcPr>
            <w:tcW w:w="2190" w:type="dxa"/>
            <w:tcBorders>
              <w:top w:val="nil"/>
              <w:left w:val="nil"/>
              <w:bottom w:val="nil"/>
              <w:right w:val="nil"/>
            </w:tcBorders>
            <w:shd w:val="clear" w:color="auto" w:fill="auto"/>
            <w:noWrap/>
          </w:tcPr>
          <w:p w14:paraId="089E985B" w14:textId="77777777" w:rsidR="00F340FF" w:rsidRPr="007D0AA8" w:rsidRDefault="00F340FF" w:rsidP="00652551">
            <w:pPr>
              <w:spacing w:after="0" w:line="240" w:lineRule="auto"/>
              <w:jc w:val="right"/>
              <w:rPr>
                <w:rFonts w:ascii="Arial Narrow" w:hAnsi="Arial Narrow"/>
                <w:sz w:val="20"/>
                <w:szCs w:val="20"/>
              </w:rPr>
            </w:pPr>
            <w:r w:rsidRPr="007D0AA8">
              <w:rPr>
                <w:rFonts w:ascii="Arial Narrow" w:hAnsi="Arial Narrow"/>
                <w:sz w:val="20"/>
              </w:rPr>
              <w:t>0</w:t>
            </w:r>
          </w:p>
        </w:tc>
        <w:tc>
          <w:tcPr>
            <w:tcW w:w="1103" w:type="dxa"/>
            <w:gridSpan w:val="2"/>
            <w:tcBorders>
              <w:top w:val="nil"/>
              <w:left w:val="nil"/>
              <w:bottom w:val="nil"/>
              <w:right w:val="single" w:sz="4" w:space="0" w:color="auto"/>
            </w:tcBorders>
          </w:tcPr>
          <w:p w14:paraId="47478192" w14:textId="77777777" w:rsidR="00F340FF" w:rsidRPr="007D0AA8" w:rsidRDefault="00F340FF" w:rsidP="00652551">
            <w:pPr>
              <w:spacing w:after="0" w:line="240" w:lineRule="auto"/>
              <w:jc w:val="right"/>
              <w:rPr>
                <w:rFonts w:ascii="Arial Narrow" w:hAnsi="Arial Narrow"/>
                <w:sz w:val="20"/>
                <w:szCs w:val="20"/>
              </w:rPr>
            </w:pPr>
          </w:p>
        </w:tc>
      </w:tr>
      <w:tr w:rsidR="00F340FF" w:rsidRPr="007D0AA8" w14:paraId="43B349F3" w14:textId="77777777" w:rsidTr="00E05A79">
        <w:trPr>
          <w:jc w:val="center"/>
        </w:trPr>
        <w:tc>
          <w:tcPr>
            <w:tcW w:w="1425" w:type="dxa"/>
            <w:tcBorders>
              <w:top w:val="nil"/>
              <w:left w:val="single" w:sz="4" w:space="0" w:color="auto"/>
              <w:bottom w:val="nil"/>
              <w:right w:val="single" w:sz="4" w:space="0" w:color="auto"/>
            </w:tcBorders>
          </w:tcPr>
          <w:p w14:paraId="20E00C5C" w14:textId="77777777" w:rsidR="00F340FF" w:rsidRPr="007D0AA8" w:rsidRDefault="00F340FF" w:rsidP="00652551">
            <w:pPr>
              <w:spacing w:after="0" w:line="240" w:lineRule="auto"/>
              <w:rPr>
                <w:rFonts w:ascii="Arial Narrow" w:hAnsi="Arial Narrow" w:cs="Calibri"/>
                <w:color w:val="000000"/>
                <w:sz w:val="20"/>
                <w:szCs w:val="20"/>
              </w:rPr>
            </w:pPr>
          </w:p>
        </w:tc>
        <w:tc>
          <w:tcPr>
            <w:tcW w:w="2146" w:type="dxa"/>
            <w:tcBorders>
              <w:top w:val="nil"/>
              <w:left w:val="single" w:sz="4" w:space="0" w:color="auto"/>
              <w:bottom w:val="nil"/>
              <w:right w:val="single" w:sz="4" w:space="0" w:color="auto"/>
            </w:tcBorders>
          </w:tcPr>
          <w:p w14:paraId="4E46D932" w14:textId="77777777" w:rsidR="00F340FF" w:rsidRPr="007D0AA8" w:rsidRDefault="00F340FF" w:rsidP="00331FB9">
            <w:pPr>
              <w:pStyle w:val="ListParagraph"/>
              <w:numPr>
                <w:ilvl w:val="0"/>
                <w:numId w:val="15"/>
              </w:numPr>
              <w:spacing w:after="0" w:line="240" w:lineRule="auto"/>
              <w:ind w:left="316" w:hanging="262"/>
              <w:rPr>
                <w:rFonts w:ascii="Arial Narrow" w:hAnsi="Arial Narrow"/>
                <w:sz w:val="20"/>
              </w:rPr>
            </w:pPr>
            <w:r w:rsidRPr="007D0AA8">
              <w:rPr>
                <w:rFonts w:ascii="Arial Narrow" w:hAnsi="Arial Narrow"/>
                <w:sz w:val="20"/>
              </w:rPr>
              <w:t>Sepsis</w:t>
            </w:r>
          </w:p>
        </w:tc>
        <w:tc>
          <w:tcPr>
            <w:tcW w:w="2199" w:type="dxa"/>
            <w:gridSpan w:val="2"/>
            <w:tcBorders>
              <w:top w:val="nil"/>
              <w:left w:val="single" w:sz="4" w:space="0" w:color="auto"/>
              <w:bottom w:val="nil"/>
              <w:right w:val="nil"/>
            </w:tcBorders>
            <w:shd w:val="clear" w:color="auto" w:fill="auto"/>
            <w:noWrap/>
          </w:tcPr>
          <w:p w14:paraId="0F0740B6" w14:textId="77777777" w:rsidR="00F340FF" w:rsidRPr="007D0AA8" w:rsidRDefault="00F340FF" w:rsidP="00652551">
            <w:pPr>
              <w:spacing w:after="0" w:line="240" w:lineRule="auto"/>
              <w:jc w:val="right"/>
              <w:rPr>
                <w:rFonts w:ascii="Arial Narrow" w:hAnsi="Arial Narrow"/>
                <w:sz w:val="20"/>
                <w:szCs w:val="20"/>
              </w:rPr>
            </w:pPr>
            <w:r w:rsidRPr="007D0AA8">
              <w:rPr>
                <w:rFonts w:ascii="Arial Narrow" w:hAnsi="Arial Narrow"/>
                <w:sz w:val="20"/>
              </w:rPr>
              <w:t>2</w:t>
            </w:r>
          </w:p>
        </w:tc>
        <w:tc>
          <w:tcPr>
            <w:tcW w:w="2190" w:type="dxa"/>
            <w:tcBorders>
              <w:top w:val="nil"/>
              <w:left w:val="nil"/>
              <w:bottom w:val="nil"/>
              <w:right w:val="nil"/>
            </w:tcBorders>
            <w:shd w:val="clear" w:color="auto" w:fill="auto"/>
            <w:noWrap/>
          </w:tcPr>
          <w:p w14:paraId="244A4F06" w14:textId="77777777" w:rsidR="00F340FF" w:rsidRPr="007D0AA8" w:rsidRDefault="00F340FF" w:rsidP="00652551">
            <w:pPr>
              <w:spacing w:after="0" w:line="240" w:lineRule="auto"/>
              <w:jc w:val="right"/>
              <w:rPr>
                <w:rFonts w:ascii="Arial Narrow" w:hAnsi="Arial Narrow"/>
                <w:sz w:val="20"/>
                <w:szCs w:val="20"/>
              </w:rPr>
            </w:pPr>
            <w:r w:rsidRPr="007D0AA8">
              <w:rPr>
                <w:rFonts w:ascii="Arial Narrow" w:hAnsi="Arial Narrow"/>
                <w:sz w:val="20"/>
              </w:rPr>
              <w:t>0</w:t>
            </w:r>
          </w:p>
        </w:tc>
        <w:tc>
          <w:tcPr>
            <w:tcW w:w="1103" w:type="dxa"/>
            <w:gridSpan w:val="2"/>
            <w:tcBorders>
              <w:top w:val="nil"/>
              <w:left w:val="nil"/>
              <w:bottom w:val="nil"/>
              <w:right w:val="single" w:sz="4" w:space="0" w:color="auto"/>
            </w:tcBorders>
          </w:tcPr>
          <w:p w14:paraId="51C668E7" w14:textId="77777777" w:rsidR="00F340FF" w:rsidRPr="007D0AA8" w:rsidRDefault="00F340FF" w:rsidP="00652551">
            <w:pPr>
              <w:spacing w:after="0" w:line="240" w:lineRule="auto"/>
              <w:jc w:val="right"/>
              <w:rPr>
                <w:rFonts w:ascii="Arial Narrow" w:hAnsi="Arial Narrow"/>
                <w:sz w:val="20"/>
                <w:szCs w:val="20"/>
              </w:rPr>
            </w:pPr>
          </w:p>
        </w:tc>
      </w:tr>
      <w:tr w:rsidR="00D42D26" w:rsidRPr="007D0AA8" w14:paraId="28E95329" w14:textId="77777777" w:rsidTr="00B52A4F">
        <w:trPr>
          <w:jc w:val="center"/>
        </w:trPr>
        <w:tc>
          <w:tcPr>
            <w:tcW w:w="1425" w:type="dxa"/>
            <w:tcBorders>
              <w:top w:val="nil"/>
              <w:left w:val="single" w:sz="4" w:space="0" w:color="auto"/>
              <w:bottom w:val="nil"/>
              <w:right w:val="single" w:sz="4" w:space="0" w:color="auto"/>
            </w:tcBorders>
          </w:tcPr>
          <w:p w14:paraId="5480B669" w14:textId="77777777" w:rsidR="00D42D26" w:rsidRPr="007D0AA8" w:rsidRDefault="00D42D26" w:rsidP="001A2B6F">
            <w:pPr>
              <w:spacing w:after="0" w:line="240" w:lineRule="auto"/>
              <w:rPr>
                <w:rFonts w:ascii="Arial Narrow" w:hAnsi="Arial Narrow" w:cs="Calibri"/>
                <w:color w:val="000000"/>
                <w:sz w:val="20"/>
                <w:szCs w:val="20"/>
              </w:rPr>
            </w:pPr>
          </w:p>
        </w:tc>
        <w:tc>
          <w:tcPr>
            <w:tcW w:w="2146" w:type="dxa"/>
            <w:tcBorders>
              <w:top w:val="nil"/>
              <w:left w:val="single" w:sz="4" w:space="0" w:color="auto"/>
              <w:bottom w:val="nil"/>
              <w:right w:val="single" w:sz="4" w:space="0" w:color="auto"/>
            </w:tcBorders>
          </w:tcPr>
          <w:p w14:paraId="68E2C703" w14:textId="77777777" w:rsidR="00D42D26" w:rsidRPr="007D0AA8" w:rsidRDefault="00D42D26" w:rsidP="00331FB9">
            <w:pPr>
              <w:pStyle w:val="ListParagraph"/>
              <w:numPr>
                <w:ilvl w:val="0"/>
                <w:numId w:val="15"/>
              </w:numPr>
              <w:spacing w:after="0" w:line="240" w:lineRule="auto"/>
              <w:ind w:left="316" w:hanging="262"/>
              <w:rPr>
                <w:rFonts w:ascii="Arial Narrow" w:hAnsi="Arial Narrow"/>
                <w:sz w:val="20"/>
              </w:rPr>
            </w:pPr>
            <w:r w:rsidRPr="007D0AA8">
              <w:rPr>
                <w:rFonts w:ascii="Arial Narrow" w:hAnsi="Arial Narrow"/>
                <w:sz w:val="20"/>
              </w:rPr>
              <w:t>Sinusitis</w:t>
            </w:r>
          </w:p>
        </w:tc>
        <w:tc>
          <w:tcPr>
            <w:tcW w:w="2199" w:type="dxa"/>
            <w:gridSpan w:val="2"/>
            <w:tcBorders>
              <w:top w:val="nil"/>
              <w:left w:val="single" w:sz="4" w:space="0" w:color="auto"/>
              <w:bottom w:val="nil"/>
              <w:right w:val="nil"/>
            </w:tcBorders>
            <w:shd w:val="clear" w:color="auto" w:fill="auto"/>
            <w:noWrap/>
          </w:tcPr>
          <w:p w14:paraId="5EF9BB5E" w14:textId="77777777" w:rsidR="00D42D26" w:rsidRPr="007D0AA8" w:rsidRDefault="00D42D26" w:rsidP="001A2B6F">
            <w:pPr>
              <w:spacing w:after="0" w:line="240" w:lineRule="auto"/>
              <w:jc w:val="right"/>
              <w:rPr>
                <w:rFonts w:ascii="Arial Narrow" w:hAnsi="Arial Narrow"/>
                <w:sz w:val="20"/>
                <w:szCs w:val="20"/>
              </w:rPr>
            </w:pPr>
            <w:r w:rsidRPr="007D0AA8">
              <w:rPr>
                <w:rFonts w:ascii="Arial Narrow" w:hAnsi="Arial Narrow"/>
                <w:sz w:val="20"/>
              </w:rPr>
              <w:t>5</w:t>
            </w:r>
          </w:p>
        </w:tc>
        <w:tc>
          <w:tcPr>
            <w:tcW w:w="2190" w:type="dxa"/>
            <w:tcBorders>
              <w:top w:val="nil"/>
              <w:left w:val="nil"/>
              <w:bottom w:val="nil"/>
              <w:right w:val="nil"/>
            </w:tcBorders>
            <w:shd w:val="clear" w:color="auto" w:fill="auto"/>
            <w:noWrap/>
          </w:tcPr>
          <w:p w14:paraId="2D95F9F7" w14:textId="77777777" w:rsidR="00D42D26" w:rsidRPr="007D0AA8" w:rsidRDefault="00D42D26" w:rsidP="001A2B6F">
            <w:pPr>
              <w:spacing w:after="0" w:line="240" w:lineRule="auto"/>
              <w:jc w:val="right"/>
              <w:rPr>
                <w:rFonts w:ascii="Arial Narrow" w:hAnsi="Arial Narrow"/>
                <w:sz w:val="20"/>
                <w:szCs w:val="20"/>
              </w:rPr>
            </w:pPr>
            <w:r w:rsidRPr="007D0AA8">
              <w:rPr>
                <w:rFonts w:ascii="Arial Narrow" w:hAnsi="Arial Narrow"/>
                <w:sz w:val="20"/>
              </w:rPr>
              <w:t>0</w:t>
            </w:r>
          </w:p>
        </w:tc>
        <w:tc>
          <w:tcPr>
            <w:tcW w:w="1103" w:type="dxa"/>
            <w:gridSpan w:val="2"/>
            <w:tcBorders>
              <w:top w:val="nil"/>
              <w:left w:val="nil"/>
              <w:bottom w:val="nil"/>
              <w:right w:val="single" w:sz="4" w:space="0" w:color="auto"/>
            </w:tcBorders>
          </w:tcPr>
          <w:p w14:paraId="6DA33306" w14:textId="77777777" w:rsidR="00D42D26" w:rsidRPr="007D0AA8" w:rsidRDefault="00D42D26" w:rsidP="001A2B6F">
            <w:pPr>
              <w:spacing w:after="0" w:line="240" w:lineRule="auto"/>
              <w:jc w:val="right"/>
              <w:rPr>
                <w:rFonts w:ascii="Arial Narrow" w:hAnsi="Arial Narrow"/>
                <w:sz w:val="20"/>
                <w:szCs w:val="20"/>
              </w:rPr>
            </w:pPr>
          </w:p>
        </w:tc>
      </w:tr>
      <w:tr w:rsidR="00D42D26" w:rsidRPr="007D0AA8" w14:paraId="416FE3BD" w14:textId="77777777" w:rsidTr="00F340FF">
        <w:trPr>
          <w:jc w:val="center"/>
        </w:trPr>
        <w:tc>
          <w:tcPr>
            <w:tcW w:w="1425" w:type="dxa"/>
            <w:tcBorders>
              <w:top w:val="nil"/>
              <w:left w:val="single" w:sz="4" w:space="0" w:color="auto"/>
              <w:bottom w:val="nil"/>
              <w:right w:val="single" w:sz="4" w:space="0" w:color="auto"/>
            </w:tcBorders>
          </w:tcPr>
          <w:p w14:paraId="1A28079D" w14:textId="77777777" w:rsidR="00D42D26" w:rsidRPr="007D0AA8" w:rsidRDefault="00D42D26" w:rsidP="001A2B6F">
            <w:pPr>
              <w:spacing w:after="0" w:line="240" w:lineRule="auto"/>
              <w:rPr>
                <w:rFonts w:ascii="Arial Narrow" w:hAnsi="Arial Narrow" w:cs="Calibri"/>
                <w:color w:val="000000"/>
                <w:sz w:val="20"/>
                <w:szCs w:val="20"/>
              </w:rPr>
            </w:pPr>
          </w:p>
        </w:tc>
        <w:tc>
          <w:tcPr>
            <w:tcW w:w="2146" w:type="dxa"/>
            <w:tcBorders>
              <w:top w:val="nil"/>
              <w:left w:val="single" w:sz="4" w:space="0" w:color="auto"/>
              <w:bottom w:val="nil"/>
              <w:right w:val="single" w:sz="4" w:space="0" w:color="auto"/>
            </w:tcBorders>
          </w:tcPr>
          <w:p w14:paraId="0CB8E2F6" w14:textId="77777777" w:rsidR="00D42D26" w:rsidRPr="007D0AA8" w:rsidRDefault="00D42D26" w:rsidP="00331FB9">
            <w:pPr>
              <w:pStyle w:val="ListParagraph"/>
              <w:numPr>
                <w:ilvl w:val="0"/>
                <w:numId w:val="15"/>
              </w:numPr>
              <w:spacing w:after="0" w:line="240" w:lineRule="auto"/>
              <w:ind w:left="316" w:hanging="262"/>
              <w:rPr>
                <w:rFonts w:ascii="Arial Narrow" w:hAnsi="Arial Narrow"/>
                <w:sz w:val="20"/>
              </w:rPr>
            </w:pPr>
            <w:r w:rsidRPr="007D0AA8">
              <w:rPr>
                <w:rFonts w:ascii="Arial Narrow" w:hAnsi="Arial Narrow"/>
                <w:sz w:val="20"/>
              </w:rPr>
              <w:t>Cellulitis</w:t>
            </w:r>
          </w:p>
        </w:tc>
        <w:tc>
          <w:tcPr>
            <w:tcW w:w="2199" w:type="dxa"/>
            <w:gridSpan w:val="2"/>
            <w:tcBorders>
              <w:top w:val="nil"/>
              <w:left w:val="single" w:sz="4" w:space="0" w:color="auto"/>
              <w:bottom w:val="nil"/>
              <w:right w:val="nil"/>
            </w:tcBorders>
            <w:shd w:val="clear" w:color="auto" w:fill="auto"/>
            <w:noWrap/>
          </w:tcPr>
          <w:p w14:paraId="2BE7B170" w14:textId="77777777" w:rsidR="00D42D26" w:rsidRPr="007D0AA8" w:rsidRDefault="00D42D26" w:rsidP="001A2B6F">
            <w:pPr>
              <w:spacing w:after="0" w:line="240" w:lineRule="auto"/>
              <w:jc w:val="right"/>
              <w:rPr>
                <w:rFonts w:ascii="Arial Narrow" w:hAnsi="Arial Narrow"/>
                <w:sz w:val="20"/>
                <w:szCs w:val="20"/>
              </w:rPr>
            </w:pPr>
            <w:r w:rsidRPr="007D0AA8">
              <w:rPr>
                <w:rFonts w:ascii="Arial Narrow" w:hAnsi="Arial Narrow"/>
                <w:sz w:val="20"/>
              </w:rPr>
              <w:t>4</w:t>
            </w:r>
          </w:p>
        </w:tc>
        <w:tc>
          <w:tcPr>
            <w:tcW w:w="2190" w:type="dxa"/>
            <w:tcBorders>
              <w:top w:val="nil"/>
              <w:left w:val="nil"/>
              <w:bottom w:val="nil"/>
              <w:right w:val="nil"/>
            </w:tcBorders>
            <w:shd w:val="clear" w:color="auto" w:fill="auto"/>
            <w:noWrap/>
          </w:tcPr>
          <w:p w14:paraId="728EE6C2" w14:textId="77777777" w:rsidR="00D42D26" w:rsidRPr="007D0AA8" w:rsidRDefault="00D42D26" w:rsidP="001A2B6F">
            <w:pPr>
              <w:spacing w:after="0" w:line="240" w:lineRule="auto"/>
              <w:jc w:val="right"/>
              <w:rPr>
                <w:rFonts w:ascii="Arial Narrow" w:hAnsi="Arial Narrow"/>
                <w:sz w:val="20"/>
                <w:szCs w:val="20"/>
              </w:rPr>
            </w:pPr>
            <w:r w:rsidRPr="007D0AA8">
              <w:rPr>
                <w:rFonts w:ascii="Arial Narrow" w:hAnsi="Arial Narrow"/>
                <w:sz w:val="20"/>
              </w:rPr>
              <w:t>2</w:t>
            </w:r>
          </w:p>
        </w:tc>
        <w:tc>
          <w:tcPr>
            <w:tcW w:w="1103" w:type="dxa"/>
            <w:gridSpan w:val="2"/>
            <w:tcBorders>
              <w:top w:val="nil"/>
              <w:left w:val="nil"/>
              <w:bottom w:val="nil"/>
              <w:right w:val="single" w:sz="4" w:space="0" w:color="auto"/>
            </w:tcBorders>
          </w:tcPr>
          <w:p w14:paraId="6F378ED8" w14:textId="77777777" w:rsidR="00D42D26" w:rsidRPr="007D0AA8" w:rsidRDefault="00D42D26" w:rsidP="001A2B6F">
            <w:pPr>
              <w:spacing w:after="0" w:line="240" w:lineRule="auto"/>
              <w:jc w:val="right"/>
              <w:rPr>
                <w:rFonts w:ascii="Arial Narrow" w:hAnsi="Arial Narrow"/>
                <w:sz w:val="20"/>
                <w:szCs w:val="20"/>
              </w:rPr>
            </w:pPr>
          </w:p>
        </w:tc>
      </w:tr>
      <w:tr w:rsidR="00D42D26" w:rsidRPr="007D0AA8" w14:paraId="5E4E1613" w14:textId="77777777" w:rsidTr="00F340FF">
        <w:trPr>
          <w:jc w:val="center"/>
        </w:trPr>
        <w:tc>
          <w:tcPr>
            <w:tcW w:w="1425" w:type="dxa"/>
            <w:tcBorders>
              <w:top w:val="nil"/>
              <w:left w:val="single" w:sz="4" w:space="0" w:color="auto"/>
              <w:bottom w:val="nil"/>
              <w:right w:val="single" w:sz="4" w:space="0" w:color="auto"/>
            </w:tcBorders>
          </w:tcPr>
          <w:p w14:paraId="14DA6534" w14:textId="77777777" w:rsidR="00D42D26" w:rsidRPr="007D0AA8" w:rsidRDefault="00D42D26" w:rsidP="001A2B6F">
            <w:pPr>
              <w:spacing w:after="0" w:line="240" w:lineRule="auto"/>
              <w:rPr>
                <w:rFonts w:ascii="Arial Narrow" w:hAnsi="Arial Narrow" w:cs="Calibri"/>
                <w:color w:val="000000"/>
                <w:sz w:val="20"/>
                <w:szCs w:val="20"/>
              </w:rPr>
            </w:pPr>
          </w:p>
        </w:tc>
        <w:tc>
          <w:tcPr>
            <w:tcW w:w="2146" w:type="dxa"/>
            <w:tcBorders>
              <w:top w:val="nil"/>
              <w:left w:val="single" w:sz="4" w:space="0" w:color="auto"/>
              <w:bottom w:val="nil"/>
              <w:right w:val="single" w:sz="4" w:space="0" w:color="auto"/>
            </w:tcBorders>
          </w:tcPr>
          <w:p w14:paraId="1969301E" w14:textId="77777777" w:rsidR="00D42D26" w:rsidRPr="007D0AA8" w:rsidRDefault="00D42D26" w:rsidP="001A2B6F">
            <w:pPr>
              <w:spacing w:after="0" w:line="240" w:lineRule="auto"/>
              <w:rPr>
                <w:rFonts w:ascii="Arial Narrow" w:hAnsi="Arial Narrow"/>
                <w:sz w:val="20"/>
              </w:rPr>
            </w:pPr>
            <w:r w:rsidRPr="007D0AA8">
              <w:rPr>
                <w:rFonts w:ascii="Arial Narrow" w:hAnsi="Arial Narrow"/>
                <w:sz w:val="20"/>
              </w:rPr>
              <w:t xml:space="preserve">Bacterial infections </w:t>
            </w:r>
            <w:r w:rsidRPr="007D0AA8">
              <w:rPr>
                <w:rFonts w:ascii="Arial Narrow" w:hAnsi="Arial Narrow"/>
                <w:sz w:val="20"/>
              </w:rPr>
              <w:br/>
              <w:t>(n patients)</w:t>
            </w:r>
          </w:p>
        </w:tc>
        <w:tc>
          <w:tcPr>
            <w:tcW w:w="2199" w:type="dxa"/>
            <w:gridSpan w:val="2"/>
            <w:tcBorders>
              <w:top w:val="nil"/>
              <w:left w:val="single" w:sz="4" w:space="0" w:color="auto"/>
              <w:bottom w:val="nil"/>
              <w:right w:val="nil"/>
            </w:tcBorders>
            <w:shd w:val="clear" w:color="auto" w:fill="auto"/>
            <w:noWrap/>
          </w:tcPr>
          <w:p w14:paraId="7367B986" w14:textId="77777777" w:rsidR="00D42D26" w:rsidRPr="007D0AA8" w:rsidRDefault="00D42D26" w:rsidP="001A2B6F">
            <w:pPr>
              <w:spacing w:after="0" w:line="240" w:lineRule="auto"/>
              <w:jc w:val="right"/>
              <w:rPr>
                <w:rFonts w:ascii="Arial Narrow" w:hAnsi="Arial Narrow"/>
                <w:sz w:val="20"/>
                <w:szCs w:val="20"/>
              </w:rPr>
            </w:pPr>
            <w:r w:rsidRPr="007D0AA8">
              <w:rPr>
                <w:rFonts w:ascii="Arial Narrow" w:hAnsi="Arial Narrow"/>
                <w:sz w:val="20"/>
              </w:rPr>
              <w:t>19 (in 13 patients)</w:t>
            </w:r>
          </w:p>
        </w:tc>
        <w:tc>
          <w:tcPr>
            <w:tcW w:w="2190" w:type="dxa"/>
            <w:tcBorders>
              <w:top w:val="nil"/>
              <w:left w:val="nil"/>
              <w:bottom w:val="nil"/>
              <w:right w:val="nil"/>
            </w:tcBorders>
            <w:shd w:val="clear" w:color="auto" w:fill="auto"/>
            <w:noWrap/>
          </w:tcPr>
          <w:p w14:paraId="6D454695" w14:textId="77777777" w:rsidR="00D42D26" w:rsidRPr="007D0AA8" w:rsidRDefault="00D42D26" w:rsidP="001A2B6F">
            <w:pPr>
              <w:spacing w:after="0" w:line="240" w:lineRule="auto"/>
              <w:jc w:val="right"/>
              <w:rPr>
                <w:rFonts w:ascii="Arial Narrow" w:hAnsi="Arial Narrow"/>
                <w:sz w:val="20"/>
                <w:szCs w:val="20"/>
              </w:rPr>
            </w:pPr>
            <w:r w:rsidRPr="007D0AA8">
              <w:rPr>
                <w:rFonts w:ascii="Arial Narrow" w:hAnsi="Arial Narrow"/>
                <w:sz w:val="20"/>
              </w:rPr>
              <w:t>2 (in 1 patient)</w:t>
            </w:r>
          </w:p>
        </w:tc>
        <w:tc>
          <w:tcPr>
            <w:tcW w:w="1103" w:type="dxa"/>
            <w:gridSpan w:val="2"/>
            <w:tcBorders>
              <w:top w:val="nil"/>
              <w:left w:val="nil"/>
              <w:bottom w:val="nil"/>
              <w:right w:val="single" w:sz="4" w:space="0" w:color="auto"/>
            </w:tcBorders>
          </w:tcPr>
          <w:p w14:paraId="15B1BA8B" w14:textId="77777777" w:rsidR="00D42D26" w:rsidRPr="007D0AA8" w:rsidRDefault="00D42D26" w:rsidP="001A2B6F">
            <w:pPr>
              <w:spacing w:after="0" w:line="240" w:lineRule="auto"/>
              <w:jc w:val="right"/>
              <w:rPr>
                <w:rFonts w:ascii="Arial Narrow" w:hAnsi="Arial Narrow"/>
                <w:sz w:val="20"/>
                <w:szCs w:val="20"/>
              </w:rPr>
            </w:pPr>
          </w:p>
        </w:tc>
      </w:tr>
      <w:tr w:rsidR="00D42D26" w:rsidRPr="007D0AA8" w14:paraId="440029BC" w14:textId="77777777" w:rsidTr="00F340FF">
        <w:trPr>
          <w:jc w:val="center"/>
        </w:trPr>
        <w:tc>
          <w:tcPr>
            <w:tcW w:w="1425" w:type="dxa"/>
            <w:tcBorders>
              <w:top w:val="nil"/>
              <w:left w:val="single" w:sz="4" w:space="0" w:color="auto"/>
              <w:bottom w:val="nil"/>
              <w:right w:val="single" w:sz="4" w:space="0" w:color="auto"/>
            </w:tcBorders>
          </w:tcPr>
          <w:p w14:paraId="74B1BDDA" w14:textId="77777777" w:rsidR="00D42D26" w:rsidRPr="007D0AA8" w:rsidRDefault="00D42D26" w:rsidP="001A2B6F">
            <w:pPr>
              <w:spacing w:after="0" w:line="240" w:lineRule="auto"/>
              <w:rPr>
                <w:rFonts w:ascii="Arial Narrow" w:hAnsi="Arial Narrow" w:cs="Calibri"/>
                <w:color w:val="000000"/>
                <w:sz w:val="20"/>
                <w:szCs w:val="20"/>
              </w:rPr>
            </w:pPr>
          </w:p>
        </w:tc>
        <w:tc>
          <w:tcPr>
            <w:tcW w:w="2146" w:type="dxa"/>
            <w:tcBorders>
              <w:top w:val="nil"/>
              <w:left w:val="single" w:sz="4" w:space="0" w:color="auto"/>
              <w:bottom w:val="nil"/>
              <w:right w:val="single" w:sz="4" w:space="0" w:color="auto"/>
            </w:tcBorders>
          </w:tcPr>
          <w:p w14:paraId="61CD4410" w14:textId="77777777" w:rsidR="00D42D26" w:rsidRPr="007D0AA8" w:rsidRDefault="00D42D26" w:rsidP="001A2B6F">
            <w:pPr>
              <w:spacing w:after="0" w:line="240" w:lineRule="auto"/>
              <w:rPr>
                <w:rFonts w:ascii="Arial Narrow" w:hAnsi="Arial Narrow"/>
                <w:sz w:val="20"/>
              </w:rPr>
            </w:pPr>
            <w:r w:rsidRPr="007D0AA8">
              <w:rPr>
                <w:rFonts w:ascii="Arial Narrow" w:hAnsi="Arial Narrow"/>
                <w:sz w:val="20"/>
              </w:rPr>
              <w:t>Viral</w:t>
            </w:r>
          </w:p>
        </w:tc>
        <w:tc>
          <w:tcPr>
            <w:tcW w:w="2199" w:type="dxa"/>
            <w:gridSpan w:val="2"/>
            <w:tcBorders>
              <w:top w:val="nil"/>
              <w:left w:val="single" w:sz="4" w:space="0" w:color="auto"/>
              <w:bottom w:val="nil"/>
              <w:right w:val="nil"/>
            </w:tcBorders>
            <w:shd w:val="clear" w:color="auto" w:fill="auto"/>
            <w:noWrap/>
          </w:tcPr>
          <w:p w14:paraId="1AB8FAFF" w14:textId="77777777" w:rsidR="00D42D26" w:rsidRPr="007D0AA8" w:rsidRDefault="00D42D26" w:rsidP="001A2B6F">
            <w:pPr>
              <w:spacing w:after="0" w:line="240" w:lineRule="auto"/>
              <w:jc w:val="right"/>
              <w:rPr>
                <w:rFonts w:ascii="Arial Narrow" w:hAnsi="Arial Narrow"/>
                <w:sz w:val="20"/>
                <w:szCs w:val="20"/>
              </w:rPr>
            </w:pPr>
          </w:p>
        </w:tc>
        <w:tc>
          <w:tcPr>
            <w:tcW w:w="2190" w:type="dxa"/>
            <w:tcBorders>
              <w:top w:val="nil"/>
              <w:left w:val="nil"/>
              <w:bottom w:val="nil"/>
              <w:right w:val="nil"/>
            </w:tcBorders>
            <w:shd w:val="clear" w:color="auto" w:fill="auto"/>
            <w:noWrap/>
          </w:tcPr>
          <w:p w14:paraId="4581D2AA" w14:textId="77777777" w:rsidR="00D42D26" w:rsidRPr="007D0AA8" w:rsidRDefault="00D42D26" w:rsidP="001A2B6F">
            <w:pPr>
              <w:spacing w:after="0" w:line="240" w:lineRule="auto"/>
              <w:jc w:val="right"/>
              <w:rPr>
                <w:rFonts w:ascii="Arial Narrow" w:hAnsi="Arial Narrow"/>
                <w:sz w:val="20"/>
                <w:szCs w:val="20"/>
              </w:rPr>
            </w:pPr>
          </w:p>
        </w:tc>
        <w:tc>
          <w:tcPr>
            <w:tcW w:w="1103" w:type="dxa"/>
            <w:gridSpan w:val="2"/>
            <w:tcBorders>
              <w:top w:val="nil"/>
              <w:left w:val="nil"/>
              <w:bottom w:val="nil"/>
              <w:right w:val="single" w:sz="4" w:space="0" w:color="auto"/>
            </w:tcBorders>
          </w:tcPr>
          <w:p w14:paraId="207BAF48" w14:textId="77777777" w:rsidR="00D42D26" w:rsidRPr="007D0AA8" w:rsidRDefault="00D42D26" w:rsidP="001A2B6F">
            <w:pPr>
              <w:spacing w:after="0" w:line="240" w:lineRule="auto"/>
              <w:jc w:val="right"/>
              <w:rPr>
                <w:rFonts w:ascii="Arial Narrow" w:hAnsi="Arial Narrow"/>
                <w:sz w:val="20"/>
                <w:szCs w:val="20"/>
              </w:rPr>
            </w:pPr>
          </w:p>
        </w:tc>
      </w:tr>
      <w:tr w:rsidR="00D42D26" w:rsidRPr="007D0AA8" w14:paraId="29A9BBE3" w14:textId="77777777" w:rsidTr="00F340FF">
        <w:trPr>
          <w:jc w:val="center"/>
        </w:trPr>
        <w:tc>
          <w:tcPr>
            <w:tcW w:w="1425" w:type="dxa"/>
            <w:tcBorders>
              <w:top w:val="nil"/>
              <w:left w:val="single" w:sz="4" w:space="0" w:color="auto"/>
              <w:bottom w:val="nil"/>
              <w:right w:val="single" w:sz="4" w:space="0" w:color="auto"/>
            </w:tcBorders>
          </w:tcPr>
          <w:p w14:paraId="554DDD33" w14:textId="77777777" w:rsidR="00D42D26" w:rsidRPr="007D0AA8" w:rsidRDefault="00D42D26" w:rsidP="001A2B6F">
            <w:pPr>
              <w:spacing w:after="0" w:line="240" w:lineRule="auto"/>
              <w:rPr>
                <w:rFonts w:ascii="Arial Narrow" w:hAnsi="Arial Narrow" w:cs="Calibri"/>
                <w:color w:val="000000"/>
                <w:sz w:val="20"/>
                <w:szCs w:val="20"/>
              </w:rPr>
            </w:pPr>
          </w:p>
        </w:tc>
        <w:tc>
          <w:tcPr>
            <w:tcW w:w="2146" w:type="dxa"/>
            <w:tcBorders>
              <w:top w:val="nil"/>
              <w:left w:val="single" w:sz="4" w:space="0" w:color="auto"/>
              <w:bottom w:val="nil"/>
              <w:right w:val="single" w:sz="4" w:space="0" w:color="auto"/>
            </w:tcBorders>
          </w:tcPr>
          <w:p w14:paraId="272BC771" w14:textId="77777777" w:rsidR="00D42D26" w:rsidRPr="007D0AA8" w:rsidRDefault="00D42D26" w:rsidP="00331FB9">
            <w:pPr>
              <w:pStyle w:val="ListParagraph"/>
              <w:numPr>
                <w:ilvl w:val="0"/>
                <w:numId w:val="15"/>
              </w:numPr>
              <w:spacing w:after="0" w:line="240" w:lineRule="auto"/>
              <w:ind w:left="316" w:hanging="283"/>
              <w:rPr>
                <w:rFonts w:ascii="Arial Narrow" w:hAnsi="Arial Narrow"/>
                <w:sz w:val="20"/>
              </w:rPr>
            </w:pPr>
            <w:r w:rsidRPr="007D0AA8">
              <w:rPr>
                <w:rFonts w:ascii="Arial Narrow" w:hAnsi="Arial Narrow"/>
                <w:sz w:val="20"/>
              </w:rPr>
              <w:t>Zoster</w:t>
            </w:r>
          </w:p>
        </w:tc>
        <w:tc>
          <w:tcPr>
            <w:tcW w:w="2199" w:type="dxa"/>
            <w:gridSpan w:val="2"/>
            <w:tcBorders>
              <w:top w:val="nil"/>
              <w:left w:val="single" w:sz="4" w:space="0" w:color="auto"/>
              <w:bottom w:val="nil"/>
              <w:right w:val="nil"/>
            </w:tcBorders>
            <w:shd w:val="clear" w:color="auto" w:fill="auto"/>
            <w:noWrap/>
          </w:tcPr>
          <w:p w14:paraId="558F12B1" w14:textId="77777777" w:rsidR="00D42D26" w:rsidRPr="007D0AA8" w:rsidRDefault="00D42D26" w:rsidP="001A2B6F">
            <w:pPr>
              <w:spacing w:after="0" w:line="240" w:lineRule="auto"/>
              <w:jc w:val="right"/>
              <w:rPr>
                <w:rFonts w:ascii="Arial Narrow" w:hAnsi="Arial Narrow"/>
                <w:sz w:val="20"/>
                <w:szCs w:val="20"/>
              </w:rPr>
            </w:pPr>
            <w:r w:rsidRPr="007D0AA8">
              <w:rPr>
                <w:rFonts w:ascii="Arial Narrow" w:hAnsi="Arial Narrow"/>
                <w:sz w:val="20"/>
              </w:rPr>
              <w:t>1</w:t>
            </w:r>
          </w:p>
        </w:tc>
        <w:tc>
          <w:tcPr>
            <w:tcW w:w="2190" w:type="dxa"/>
            <w:tcBorders>
              <w:top w:val="nil"/>
              <w:left w:val="nil"/>
              <w:bottom w:val="nil"/>
              <w:right w:val="nil"/>
            </w:tcBorders>
            <w:shd w:val="clear" w:color="auto" w:fill="auto"/>
            <w:noWrap/>
          </w:tcPr>
          <w:p w14:paraId="6CCCE591" w14:textId="77777777" w:rsidR="00D42D26" w:rsidRPr="007D0AA8" w:rsidRDefault="00D42D26" w:rsidP="001A2B6F">
            <w:pPr>
              <w:spacing w:after="0" w:line="240" w:lineRule="auto"/>
              <w:jc w:val="right"/>
              <w:rPr>
                <w:rFonts w:ascii="Arial Narrow" w:hAnsi="Arial Narrow"/>
                <w:sz w:val="20"/>
                <w:szCs w:val="20"/>
              </w:rPr>
            </w:pPr>
            <w:r w:rsidRPr="007D0AA8">
              <w:rPr>
                <w:rFonts w:ascii="Arial Narrow" w:hAnsi="Arial Narrow"/>
                <w:sz w:val="20"/>
              </w:rPr>
              <w:t>0</w:t>
            </w:r>
          </w:p>
        </w:tc>
        <w:tc>
          <w:tcPr>
            <w:tcW w:w="1103" w:type="dxa"/>
            <w:gridSpan w:val="2"/>
            <w:tcBorders>
              <w:top w:val="nil"/>
              <w:left w:val="nil"/>
              <w:bottom w:val="nil"/>
              <w:right w:val="single" w:sz="4" w:space="0" w:color="auto"/>
            </w:tcBorders>
          </w:tcPr>
          <w:p w14:paraId="0B8FE0A4" w14:textId="77777777" w:rsidR="00D42D26" w:rsidRPr="007D0AA8" w:rsidRDefault="00D42D26" w:rsidP="001A2B6F">
            <w:pPr>
              <w:spacing w:after="0" w:line="240" w:lineRule="auto"/>
              <w:jc w:val="right"/>
              <w:rPr>
                <w:rFonts w:ascii="Arial Narrow" w:hAnsi="Arial Narrow"/>
                <w:sz w:val="20"/>
                <w:szCs w:val="20"/>
              </w:rPr>
            </w:pPr>
          </w:p>
        </w:tc>
      </w:tr>
      <w:tr w:rsidR="00D42D26" w:rsidRPr="007D0AA8" w14:paraId="21811DA6" w14:textId="77777777" w:rsidTr="00F340FF">
        <w:trPr>
          <w:jc w:val="center"/>
        </w:trPr>
        <w:tc>
          <w:tcPr>
            <w:tcW w:w="1425" w:type="dxa"/>
            <w:tcBorders>
              <w:top w:val="nil"/>
              <w:left w:val="single" w:sz="4" w:space="0" w:color="auto"/>
              <w:right w:val="single" w:sz="4" w:space="0" w:color="auto"/>
            </w:tcBorders>
          </w:tcPr>
          <w:p w14:paraId="6F99B1CD" w14:textId="77777777" w:rsidR="00D42D26" w:rsidRPr="007D0AA8" w:rsidRDefault="00D42D26" w:rsidP="001A2B6F">
            <w:pPr>
              <w:spacing w:after="0" w:line="240" w:lineRule="auto"/>
              <w:rPr>
                <w:rFonts w:ascii="Arial Narrow" w:hAnsi="Arial Narrow" w:cs="Calibri"/>
                <w:color w:val="000000"/>
                <w:sz w:val="20"/>
                <w:szCs w:val="20"/>
              </w:rPr>
            </w:pPr>
          </w:p>
        </w:tc>
        <w:tc>
          <w:tcPr>
            <w:tcW w:w="2146" w:type="dxa"/>
            <w:tcBorders>
              <w:top w:val="nil"/>
              <w:left w:val="single" w:sz="4" w:space="0" w:color="auto"/>
              <w:right w:val="single" w:sz="4" w:space="0" w:color="auto"/>
            </w:tcBorders>
          </w:tcPr>
          <w:p w14:paraId="76470A78" w14:textId="77777777" w:rsidR="00D42D26" w:rsidRPr="007D0AA8" w:rsidRDefault="00D42D26" w:rsidP="001A2B6F">
            <w:pPr>
              <w:spacing w:after="0" w:line="240" w:lineRule="auto"/>
              <w:rPr>
                <w:rFonts w:ascii="Arial Narrow" w:hAnsi="Arial Narrow"/>
                <w:sz w:val="20"/>
              </w:rPr>
            </w:pPr>
            <w:r w:rsidRPr="007D0AA8">
              <w:rPr>
                <w:rFonts w:ascii="Arial Narrow" w:hAnsi="Arial Narrow"/>
                <w:sz w:val="20"/>
              </w:rPr>
              <w:t>Total n/N patients (%)</w:t>
            </w:r>
          </w:p>
        </w:tc>
        <w:tc>
          <w:tcPr>
            <w:tcW w:w="2199" w:type="dxa"/>
            <w:gridSpan w:val="2"/>
            <w:tcBorders>
              <w:top w:val="nil"/>
              <w:left w:val="single" w:sz="4" w:space="0" w:color="auto"/>
              <w:right w:val="nil"/>
            </w:tcBorders>
            <w:shd w:val="clear" w:color="auto" w:fill="auto"/>
            <w:noWrap/>
          </w:tcPr>
          <w:p w14:paraId="1E698752" w14:textId="77777777" w:rsidR="00D42D26" w:rsidRPr="007D0AA8" w:rsidRDefault="00D42D26" w:rsidP="001A2B6F">
            <w:pPr>
              <w:spacing w:after="0" w:line="240" w:lineRule="auto"/>
              <w:jc w:val="right"/>
              <w:rPr>
                <w:rFonts w:ascii="Arial Narrow" w:hAnsi="Arial Narrow"/>
                <w:sz w:val="20"/>
                <w:szCs w:val="20"/>
              </w:rPr>
            </w:pPr>
            <w:r w:rsidRPr="007D0AA8">
              <w:rPr>
                <w:rFonts w:ascii="Arial Narrow" w:hAnsi="Arial Narrow"/>
                <w:sz w:val="20"/>
              </w:rPr>
              <w:t>13/23 (57)</w:t>
            </w:r>
          </w:p>
        </w:tc>
        <w:tc>
          <w:tcPr>
            <w:tcW w:w="2190" w:type="dxa"/>
            <w:tcBorders>
              <w:top w:val="nil"/>
              <w:left w:val="nil"/>
              <w:right w:val="nil"/>
            </w:tcBorders>
            <w:shd w:val="clear" w:color="auto" w:fill="auto"/>
            <w:noWrap/>
          </w:tcPr>
          <w:p w14:paraId="517913A7" w14:textId="77777777" w:rsidR="00D42D26" w:rsidRPr="007D0AA8" w:rsidRDefault="00D42D26" w:rsidP="001A2B6F">
            <w:pPr>
              <w:spacing w:after="0" w:line="240" w:lineRule="auto"/>
              <w:jc w:val="right"/>
              <w:rPr>
                <w:rFonts w:ascii="Arial Narrow" w:hAnsi="Arial Narrow"/>
                <w:sz w:val="20"/>
                <w:szCs w:val="20"/>
              </w:rPr>
            </w:pPr>
            <w:r w:rsidRPr="007D0AA8">
              <w:rPr>
                <w:rFonts w:ascii="Arial Narrow" w:hAnsi="Arial Narrow"/>
                <w:sz w:val="20"/>
                <w:szCs w:val="20"/>
              </w:rPr>
              <w:t>1/23 (4)</w:t>
            </w:r>
          </w:p>
        </w:tc>
        <w:tc>
          <w:tcPr>
            <w:tcW w:w="1103" w:type="dxa"/>
            <w:gridSpan w:val="2"/>
            <w:tcBorders>
              <w:top w:val="nil"/>
              <w:left w:val="nil"/>
              <w:right w:val="single" w:sz="4" w:space="0" w:color="auto"/>
            </w:tcBorders>
          </w:tcPr>
          <w:p w14:paraId="2CF3D6B8" w14:textId="77777777" w:rsidR="00D42D26" w:rsidRPr="007D0AA8" w:rsidRDefault="00D42D26" w:rsidP="001A2B6F">
            <w:pPr>
              <w:spacing w:after="0" w:line="240" w:lineRule="auto"/>
              <w:jc w:val="right"/>
              <w:rPr>
                <w:rFonts w:ascii="Arial Narrow" w:hAnsi="Arial Narrow"/>
                <w:sz w:val="20"/>
                <w:szCs w:val="20"/>
              </w:rPr>
            </w:pPr>
          </w:p>
        </w:tc>
      </w:tr>
      <w:tr w:rsidR="00D42D26" w:rsidRPr="007D0AA8" w14:paraId="603B18A9" w14:textId="77777777" w:rsidTr="00F340FF">
        <w:trPr>
          <w:jc w:val="center"/>
        </w:trPr>
        <w:tc>
          <w:tcPr>
            <w:tcW w:w="1425" w:type="dxa"/>
            <w:tcBorders>
              <w:top w:val="nil"/>
              <w:left w:val="single" w:sz="4" w:space="0" w:color="auto"/>
              <w:bottom w:val="single" w:sz="4" w:space="0" w:color="auto"/>
              <w:right w:val="single" w:sz="4" w:space="0" w:color="auto"/>
            </w:tcBorders>
          </w:tcPr>
          <w:p w14:paraId="715B23BF" w14:textId="77777777" w:rsidR="00D42D26" w:rsidRPr="007D0AA8" w:rsidRDefault="00D42D26" w:rsidP="001A2B6F">
            <w:pPr>
              <w:spacing w:after="0" w:line="240" w:lineRule="auto"/>
              <w:rPr>
                <w:rFonts w:ascii="Arial Narrow" w:hAnsi="Arial Narrow" w:cs="Calibri"/>
                <w:i/>
                <w:color w:val="000000"/>
                <w:sz w:val="20"/>
                <w:szCs w:val="20"/>
              </w:rPr>
            </w:pPr>
          </w:p>
        </w:tc>
        <w:tc>
          <w:tcPr>
            <w:tcW w:w="2146" w:type="dxa"/>
            <w:tcBorders>
              <w:top w:val="nil"/>
              <w:left w:val="single" w:sz="4" w:space="0" w:color="auto"/>
              <w:bottom w:val="single" w:sz="4" w:space="0" w:color="auto"/>
              <w:right w:val="single" w:sz="4" w:space="0" w:color="auto"/>
            </w:tcBorders>
          </w:tcPr>
          <w:p w14:paraId="50774A4D" w14:textId="77777777" w:rsidR="00D42D26" w:rsidRPr="007D0AA8" w:rsidRDefault="00D42D26" w:rsidP="001A2B6F">
            <w:pPr>
              <w:spacing w:after="0" w:line="240" w:lineRule="auto"/>
              <w:rPr>
                <w:rFonts w:ascii="Arial Narrow" w:hAnsi="Arial Narrow"/>
                <w:i/>
                <w:sz w:val="20"/>
              </w:rPr>
            </w:pPr>
            <w:r w:rsidRPr="007D0AA8">
              <w:rPr>
                <w:rFonts w:ascii="Arial Narrow" w:hAnsi="Arial Narrow"/>
                <w:i/>
                <w:sz w:val="20"/>
              </w:rPr>
              <w:t>Infections per patient per month</w:t>
            </w:r>
          </w:p>
        </w:tc>
        <w:tc>
          <w:tcPr>
            <w:tcW w:w="2199" w:type="dxa"/>
            <w:gridSpan w:val="2"/>
            <w:tcBorders>
              <w:top w:val="nil"/>
              <w:left w:val="single" w:sz="4" w:space="0" w:color="auto"/>
              <w:bottom w:val="single" w:sz="4" w:space="0" w:color="auto"/>
              <w:right w:val="nil"/>
            </w:tcBorders>
            <w:shd w:val="clear" w:color="auto" w:fill="auto"/>
            <w:noWrap/>
          </w:tcPr>
          <w:p w14:paraId="0B6A45D1" w14:textId="77777777" w:rsidR="00D42D26" w:rsidRPr="007D0AA8" w:rsidRDefault="00D42D26" w:rsidP="001A2B6F">
            <w:pPr>
              <w:spacing w:after="0" w:line="240" w:lineRule="auto"/>
              <w:jc w:val="right"/>
              <w:rPr>
                <w:rFonts w:ascii="Arial Narrow" w:hAnsi="Arial Narrow"/>
                <w:i/>
                <w:sz w:val="20"/>
                <w:szCs w:val="20"/>
              </w:rPr>
            </w:pPr>
            <w:r w:rsidRPr="007D0AA8">
              <w:rPr>
                <w:rFonts w:ascii="Arial Narrow" w:hAnsi="Arial Narrow"/>
                <w:i/>
                <w:sz w:val="20"/>
                <w:szCs w:val="20"/>
              </w:rPr>
              <w:t>0.023</w:t>
            </w:r>
          </w:p>
        </w:tc>
        <w:tc>
          <w:tcPr>
            <w:tcW w:w="2190" w:type="dxa"/>
            <w:tcBorders>
              <w:top w:val="nil"/>
              <w:left w:val="nil"/>
              <w:bottom w:val="single" w:sz="4" w:space="0" w:color="auto"/>
              <w:right w:val="nil"/>
            </w:tcBorders>
            <w:shd w:val="clear" w:color="auto" w:fill="auto"/>
            <w:noWrap/>
          </w:tcPr>
          <w:p w14:paraId="07050E3D" w14:textId="77777777" w:rsidR="00D42D26" w:rsidRPr="007D0AA8" w:rsidRDefault="00D42D26" w:rsidP="001A2B6F">
            <w:pPr>
              <w:spacing w:after="0" w:line="240" w:lineRule="auto"/>
              <w:jc w:val="right"/>
              <w:rPr>
                <w:rFonts w:ascii="Arial Narrow" w:hAnsi="Arial Narrow"/>
                <w:i/>
                <w:sz w:val="20"/>
                <w:szCs w:val="20"/>
              </w:rPr>
            </w:pPr>
            <w:r w:rsidRPr="007D0AA8">
              <w:rPr>
                <w:rFonts w:ascii="Arial Narrow" w:hAnsi="Arial Narrow"/>
                <w:i/>
                <w:sz w:val="20"/>
                <w:szCs w:val="20"/>
              </w:rPr>
              <w:t>0.002</w:t>
            </w:r>
          </w:p>
        </w:tc>
        <w:tc>
          <w:tcPr>
            <w:tcW w:w="1103" w:type="dxa"/>
            <w:gridSpan w:val="2"/>
            <w:tcBorders>
              <w:top w:val="nil"/>
              <w:left w:val="nil"/>
              <w:bottom w:val="single" w:sz="4" w:space="0" w:color="auto"/>
              <w:right w:val="single" w:sz="4" w:space="0" w:color="auto"/>
            </w:tcBorders>
          </w:tcPr>
          <w:p w14:paraId="67FFED2F" w14:textId="77777777" w:rsidR="00D42D26" w:rsidRPr="007D0AA8" w:rsidRDefault="00D42D26" w:rsidP="001A2B6F">
            <w:pPr>
              <w:spacing w:after="0" w:line="240" w:lineRule="auto"/>
              <w:jc w:val="right"/>
              <w:rPr>
                <w:rFonts w:ascii="Arial Narrow" w:hAnsi="Arial Narrow"/>
                <w:i/>
                <w:sz w:val="20"/>
                <w:szCs w:val="20"/>
              </w:rPr>
            </w:pPr>
          </w:p>
        </w:tc>
      </w:tr>
      <w:tr w:rsidR="00D42D26" w:rsidRPr="00386411" w14:paraId="15639D8F" w14:textId="77777777" w:rsidTr="00B52A4F">
        <w:trPr>
          <w:jc w:val="center"/>
        </w:trPr>
        <w:tc>
          <w:tcPr>
            <w:tcW w:w="1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FE5D27" w14:textId="77777777" w:rsidR="00D42D26" w:rsidRPr="00386411" w:rsidRDefault="00D42D26" w:rsidP="001A2B6F">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Brenner, 1996</w:t>
            </w:r>
          </w:p>
        </w:tc>
        <w:tc>
          <w:tcPr>
            <w:tcW w:w="2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485A6A" w14:textId="3251670A" w:rsidR="00D42D26" w:rsidRPr="00386411" w:rsidRDefault="00D42D26" w:rsidP="001A2B6F">
            <w:pPr>
              <w:spacing w:after="0" w:line="240" w:lineRule="auto"/>
              <w:rPr>
                <w:rFonts w:ascii="Arial Narrow" w:hAnsi="Arial Narrow"/>
                <w:b/>
                <w:sz w:val="20"/>
              </w:rPr>
            </w:pPr>
            <w:r w:rsidRPr="00386411">
              <w:rPr>
                <w:rFonts w:ascii="Arial Narrow" w:hAnsi="Arial Narrow"/>
                <w:b/>
                <w:sz w:val="20"/>
              </w:rPr>
              <w:t>Infections in CLL patients (N=54</w:t>
            </w:r>
            <w:r w:rsidR="00A049C5">
              <w:rPr>
                <w:rFonts w:ascii="Arial Narrow" w:hAnsi="Arial Narrow"/>
                <w:b/>
                <w:sz w:val="20"/>
              </w:rPr>
              <w:t>, of which 26 SID patients</w:t>
            </w:r>
            <w:r w:rsidRPr="00386411">
              <w:rPr>
                <w:rFonts w:ascii="Arial Narrow" w:hAnsi="Arial Narrow"/>
                <w:b/>
                <w:sz w:val="20"/>
              </w:rPr>
              <w:t>)</w:t>
            </w:r>
          </w:p>
        </w:tc>
        <w:tc>
          <w:tcPr>
            <w:tcW w:w="934" w:type="dxa"/>
            <w:tcBorders>
              <w:top w:val="single" w:sz="4" w:space="0" w:color="auto"/>
              <w:left w:val="single" w:sz="4" w:space="0" w:color="auto"/>
              <w:bottom w:val="single" w:sz="4" w:space="0" w:color="auto"/>
              <w:right w:val="nil"/>
            </w:tcBorders>
            <w:shd w:val="clear" w:color="auto" w:fill="D9D9D9" w:themeFill="background1" w:themeFillShade="D9"/>
            <w:noWrap/>
          </w:tcPr>
          <w:p w14:paraId="25C165A8" w14:textId="77777777" w:rsidR="00D42D26" w:rsidRPr="00386411" w:rsidRDefault="00D42D26" w:rsidP="001A2B6F">
            <w:pPr>
              <w:spacing w:after="0" w:line="240" w:lineRule="auto"/>
              <w:jc w:val="right"/>
              <w:rPr>
                <w:rFonts w:ascii="Arial Narrow" w:hAnsi="Arial Narrow"/>
                <w:b/>
                <w:sz w:val="20"/>
              </w:rPr>
            </w:pPr>
            <w:r w:rsidRPr="00386411">
              <w:rPr>
                <w:rFonts w:ascii="Arial Narrow" w:hAnsi="Arial Narrow"/>
                <w:b/>
                <w:sz w:val="20"/>
              </w:rPr>
              <w:t>Patient history</w:t>
            </w:r>
          </w:p>
        </w:tc>
        <w:tc>
          <w:tcPr>
            <w:tcW w:w="1265" w:type="dxa"/>
            <w:tcBorders>
              <w:top w:val="single" w:sz="4" w:space="0" w:color="auto"/>
              <w:left w:val="single" w:sz="4" w:space="0" w:color="auto"/>
              <w:bottom w:val="single" w:sz="4" w:space="0" w:color="auto"/>
              <w:right w:val="nil"/>
            </w:tcBorders>
            <w:shd w:val="clear" w:color="auto" w:fill="D9D9D9" w:themeFill="background1" w:themeFillShade="D9"/>
          </w:tcPr>
          <w:p w14:paraId="0765AD02" w14:textId="77777777" w:rsidR="00D42D26" w:rsidRPr="00386411" w:rsidRDefault="00D42D26" w:rsidP="001A2B6F">
            <w:pPr>
              <w:spacing w:after="0" w:line="240" w:lineRule="auto"/>
              <w:jc w:val="right"/>
              <w:rPr>
                <w:rFonts w:ascii="Arial Narrow" w:hAnsi="Arial Narrow"/>
                <w:b/>
                <w:sz w:val="20"/>
              </w:rPr>
            </w:pPr>
            <w:r w:rsidRPr="00386411">
              <w:rPr>
                <w:rFonts w:ascii="Arial Narrow" w:hAnsi="Arial Narrow"/>
                <w:b/>
                <w:sz w:val="20"/>
              </w:rPr>
              <w:t>Equivalent to study period (no IVIg)</w:t>
            </w:r>
          </w:p>
        </w:tc>
        <w:tc>
          <w:tcPr>
            <w:tcW w:w="2190" w:type="dxa"/>
            <w:tcBorders>
              <w:top w:val="single" w:sz="4" w:space="0" w:color="auto"/>
              <w:left w:val="single" w:sz="4" w:space="0" w:color="auto"/>
              <w:bottom w:val="single" w:sz="4" w:space="0" w:color="auto"/>
              <w:right w:val="nil"/>
            </w:tcBorders>
            <w:shd w:val="clear" w:color="auto" w:fill="D9D9D9" w:themeFill="background1" w:themeFillShade="D9"/>
            <w:noWrap/>
          </w:tcPr>
          <w:p w14:paraId="62AAEA6F" w14:textId="77777777" w:rsidR="00D42D26" w:rsidRPr="00386411" w:rsidRDefault="00D42D26" w:rsidP="001A2B6F">
            <w:pPr>
              <w:spacing w:after="0" w:line="240" w:lineRule="auto"/>
              <w:jc w:val="right"/>
              <w:rPr>
                <w:rFonts w:ascii="Arial Narrow" w:hAnsi="Arial Narrow"/>
                <w:b/>
                <w:sz w:val="20"/>
              </w:rPr>
            </w:pPr>
            <w:r w:rsidRPr="00386411">
              <w:rPr>
                <w:rFonts w:ascii="Arial Narrow" w:hAnsi="Arial Narrow"/>
                <w:b/>
                <w:sz w:val="20"/>
              </w:rPr>
              <w:t>During study</w:t>
            </w:r>
            <w:r w:rsidRPr="00386411">
              <w:rPr>
                <w:rFonts w:ascii="Arial Narrow" w:hAnsi="Arial Narrow"/>
                <w:b/>
                <w:sz w:val="20"/>
              </w:rPr>
              <w:br/>
              <w:t>period (~12mo)(+IVIg)</w:t>
            </w:r>
          </w:p>
        </w:tc>
        <w:tc>
          <w:tcPr>
            <w:tcW w:w="1103" w:type="dxa"/>
            <w:gridSpan w:val="2"/>
            <w:tcBorders>
              <w:top w:val="single" w:sz="4" w:space="0" w:color="auto"/>
              <w:left w:val="nil"/>
              <w:bottom w:val="single" w:sz="4" w:space="0" w:color="auto"/>
              <w:right w:val="single" w:sz="4" w:space="0" w:color="auto"/>
            </w:tcBorders>
            <w:shd w:val="clear" w:color="auto" w:fill="D9D9D9" w:themeFill="background1" w:themeFillShade="D9"/>
          </w:tcPr>
          <w:p w14:paraId="51F093D1" w14:textId="77777777" w:rsidR="00D42D26" w:rsidRPr="00386411" w:rsidRDefault="00D42D26" w:rsidP="001A2B6F">
            <w:pPr>
              <w:spacing w:after="0" w:line="240" w:lineRule="auto"/>
              <w:jc w:val="right"/>
              <w:rPr>
                <w:rFonts w:ascii="Arial Narrow" w:hAnsi="Arial Narrow"/>
                <w:b/>
                <w:sz w:val="20"/>
                <w:szCs w:val="20"/>
              </w:rPr>
            </w:pPr>
          </w:p>
        </w:tc>
      </w:tr>
      <w:tr w:rsidR="00D42D26" w:rsidRPr="007D0AA8" w14:paraId="6D7860C8" w14:textId="77777777" w:rsidTr="001A2B6F">
        <w:trPr>
          <w:jc w:val="center"/>
        </w:trPr>
        <w:tc>
          <w:tcPr>
            <w:tcW w:w="1425" w:type="dxa"/>
            <w:tcBorders>
              <w:top w:val="single" w:sz="4" w:space="0" w:color="auto"/>
              <w:left w:val="single" w:sz="4" w:space="0" w:color="auto"/>
              <w:bottom w:val="nil"/>
              <w:right w:val="single" w:sz="4" w:space="0" w:color="auto"/>
            </w:tcBorders>
          </w:tcPr>
          <w:p w14:paraId="29A02841" w14:textId="77AC915C" w:rsidR="00D42D26" w:rsidRPr="007D0AA8" w:rsidRDefault="00D42D26" w:rsidP="001A2B6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CLL</w:t>
            </w:r>
            <w:r w:rsidR="00A049C5">
              <w:rPr>
                <w:rFonts w:ascii="Arial Narrow" w:hAnsi="Arial Narrow" w:cs="Calibri"/>
                <w:color w:val="000000"/>
                <w:sz w:val="20"/>
                <w:szCs w:val="20"/>
              </w:rPr>
              <w:t>(22)</w:t>
            </w:r>
            <w:r w:rsidRPr="007D0AA8">
              <w:rPr>
                <w:rFonts w:ascii="Arial Narrow" w:hAnsi="Arial Narrow" w:cs="Calibri"/>
                <w:color w:val="000000"/>
                <w:sz w:val="20"/>
                <w:szCs w:val="20"/>
              </w:rPr>
              <w:t>, MM</w:t>
            </w:r>
            <w:r w:rsidR="00A049C5">
              <w:rPr>
                <w:rFonts w:ascii="Arial Narrow" w:hAnsi="Arial Narrow" w:cs="Calibri"/>
                <w:color w:val="000000"/>
                <w:sz w:val="20"/>
                <w:szCs w:val="20"/>
              </w:rPr>
              <w:t>(4)</w:t>
            </w:r>
            <w:r w:rsidRPr="007D0AA8">
              <w:rPr>
                <w:rFonts w:ascii="Arial Narrow" w:hAnsi="Arial Narrow" w:cs="Calibri"/>
                <w:color w:val="000000"/>
                <w:sz w:val="20"/>
                <w:szCs w:val="20"/>
              </w:rPr>
              <w:t>*</w:t>
            </w:r>
          </w:p>
        </w:tc>
        <w:tc>
          <w:tcPr>
            <w:tcW w:w="2146" w:type="dxa"/>
            <w:tcBorders>
              <w:top w:val="single" w:sz="4" w:space="0" w:color="auto"/>
              <w:left w:val="single" w:sz="4" w:space="0" w:color="auto"/>
              <w:bottom w:val="nil"/>
              <w:right w:val="single" w:sz="4" w:space="0" w:color="auto"/>
            </w:tcBorders>
          </w:tcPr>
          <w:p w14:paraId="00350D06" w14:textId="77777777" w:rsidR="00D42D26" w:rsidRPr="007D0AA8" w:rsidRDefault="00D42D26" w:rsidP="001A2B6F">
            <w:pPr>
              <w:spacing w:after="0" w:line="240" w:lineRule="auto"/>
              <w:rPr>
                <w:rFonts w:ascii="Arial Narrow" w:hAnsi="Arial Narrow"/>
                <w:sz w:val="20"/>
              </w:rPr>
            </w:pPr>
            <w:r w:rsidRPr="007D0AA8">
              <w:rPr>
                <w:rFonts w:ascii="Arial Narrow" w:hAnsi="Arial Narrow"/>
                <w:sz w:val="20"/>
              </w:rPr>
              <w:t>Evaluable patients, N</w:t>
            </w:r>
          </w:p>
        </w:tc>
        <w:tc>
          <w:tcPr>
            <w:tcW w:w="934" w:type="dxa"/>
            <w:tcBorders>
              <w:top w:val="single" w:sz="4" w:space="0" w:color="auto"/>
              <w:left w:val="single" w:sz="4" w:space="0" w:color="auto"/>
              <w:bottom w:val="nil"/>
              <w:right w:val="nil"/>
            </w:tcBorders>
            <w:shd w:val="clear" w:color="auto" w:fill="auto"/>
            <w:noWrap/>
          </w:tcPr>
          <w:p w14:paraId="0E4156A1"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21</w:t>
            </w:r>
          </w:p>
        </w:tc>
        <w:tc>
          <w:tcPr>
            <w:tcW w:w="1265" w:type="dxa"/>
            <w:tcBorders>
              <w:top w:val="single" w:sz="4" w:space="0" w:color="auto"/>
              <w:left w:val="single" w:sz="4" w:space="0" w:color="auto"/>
              <w:bottom w:val="nil"/>
              <w:right w:val="nil"/>
            </w:tcBorders>
            <w:shd w:val="clear" w:color="auto" w:fill="auto"/>
          </w:tcPr>
          <w:p w14:paraId="7BA521D9"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21</w:t>
            </w:r>
          </w:p>
        </w:tc>
        <w:tc>
          <w:tcPr>
            <w:tcW w:w="2190" w:type="dxa"/>
            <w:tcBorders>
              <w:top w:val="single" w:sz="4" w:space="0" w:color="auto"/>
              <w:left w:val="nil"/>
              <w:bottom w:val="nil"/>
              <w:right w:val="nil"/>
            </w:tcBorders>
            <w:shd w:val="clear" w:color="auto" w:fill="auto"/>
            <w:noWrap/>
          </w:tcPr>
          <w:p w14:paraId="0910755B"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szCs w:val="20"/>
              </w:rPr>
              <w:t>21</w:t>
            </w:r>
          </w:p>
        </w:tc>
        <w:tc>
          <w:tcPr>
            <w:tcW w:w="1103" w:type="dxa"/>
            <w:gridSpan w:val="2"/>
            <w:tcBorders>
              <w:top w:val="single" w:sz="4" w:space="0" w:color="auto"/>
              <w:left w:val="nil"/>
              <w:bottom w:val="nil"/>
              <w:right w:val="single" w:sz="4" w:space="0" w:color="auto"/>
            </w:tcBorders>
          </w:tcPr>
          <w:p w14:paraId="5772E2EC" w14:textId="77777777" w:rsidR="00D42D26" w:rsidRPr="007D0AA8" w:rsidRDefault="00D42D26" w:rsidP="001A2B6F">
            <w:pPr>
              <w:spacing w:after="0" w:line="240" w:lineRule="auto"/>
              <w:jc w:val="right"/>
              <w:rPr>
                <w:rFonts w:ascii="Arial Narrow" w:hAnsi="Arial Narrow"/>
                <w:sz w:val="20"/>
                <w:szCs w:val="20"/>
              </w:rPr>
            </w:pPr>
          </w:p>
        </w:tc>
      </w:tr>
      <w:tr w:rsidR="00D42D26" w:rsidRPr="007D0AA8" w14:paraId="184F9DC3" w14:textId="77777777" w:rsidTr="001A2B6F">
        <w:trPr>
          <w:jc w:val="center"/>
        </w:trPr>
        <w:tc>
          <w:tcPr>
            <w:tcW w:w="1425" w:type="dxa"/>
            <w:tcBorders>
              <w:top w:val="nil"/>
              <w:left w:val="single" w:sz="4" w:space="0" w:color="auto"/>
              <w:bottom w:val="nil"/>
              <w:right w:val="single" w:sz="4" w:space="0" w:color="auto"/>
            </w:tcBorders>
          </w:tcPr>
          <w:p w14:paraId="3E25CBD2" w14:textId="77777777" w:rsidR="00D42D26" w:rsidRPr="007D0AA8" w:rsidRDefault="00D42D26" w:rsidP="001A2B6F">
            <w:pPr>
              <w:spacing w:after="0" w:line="240" w:lineRule="auto"/>
              <w:rPr>
                <w:rFonts w:ascii="Arial Narrow" w:hAnsi="Arial Narrow" w:cs="Calibri"/>
                <w:color w:val="000000"/>
                <w:sz w:val="20"/>
                <w:szCs w:val="20"/>
              </w:rPr>
            </w:pPr>
          </w:p>
        </w:tc>
        <w:tc>
          <w:tcPr>
            <w:tcW w:w="2146" w:type="dxa"/>
            <w:tcBorders>
              <w:top w:val="nil"/>
              <w:left w:val="single" w:sz="4" w:space="0" w:color="auto"/>
              <w:bottom w:val="nil"/>
              <w:right w:val="single" w:sz="4" w:space="0" w:color="auto"/>
            </w:tcBorders>
          </w:tcPr>
          <w:p w14:paraId="4B09182C" w14:textId="77777777" w:rsidR="00D42D26" w:rsidRPr="007D0AA8" w:rsidRDefault="00D42D26" w:rsidP="001A2B6F">
            <w:pPr>
              <w:spacing w:after="0" w:line="240" w:lineRule="auto"/>
              <w:rPr>
                <w:rFonts w:ascii="Arial Narrow" w:hAnsi="Arial Narrow"/>
                <w:sz w:val="20"/>
              </w:rPr>
            </w:pPr>
            <w:r w:rsidRPr="007D0AA8">
              <w:rPr>
                <w:rFonts w:ascii="Arial Narrow" w:hAnsi="Arial Narrow"/>
                <w:sz w:val="20"/>
              </w:rPr>
              <w:t>Patients with infections</w:t>
            </w:r>
          </w:p>
        </w:tc>
        <w:tc>
          <w:tcPr>
            <w:tcW w:w="934" w:type="dxa"/>
            <w:tcBorders>
              <w:top w:val="nil"/>
              <w:left w:val="single" w:sz="4" w:space="0" w:color="auto"/>
              <w:bottom w:val="nil"/>
              <w:right w:val="nil"/>
            </w:tcBorders>
            <w:shd w:val="clear" w:color="auto" w:fill="auto"/>
            <w:noWrap/>
          </w:tcPr>
          <w:p w14:paraId="36F12481"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21</w:t>
            </w:r>
          </w:p>
        </w:tc>
        <w:tc>
          <w:tcPr>
            <w:tcW w:w="1265" w:type="dxa"/>
            <w:tcBorders>
              <w:top w:val="nil"/>
              <w:left w:val="single" w:sz="4" w:space="0" w:color="auto"/>
              <w:bottom w:val="nil"/>
              <w:right w:val="nil"/>
            </w:tcBorders>
            <w:shd w:val="clear" w:color="auto" w:fill="auto"/>
          </w:tcPr>
          <w:p w14:paraId="5C123E81"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n.r.</w:t>
            </w:r>
          </w:p>
        </w:tc>
        <w:tc>
          <w:tcPr>
            <w:tcW w:w="2190" w:type="dxa"/>
            <w:tcBorders>
              <w:top w:val="nil"/>
              <w:left w:val="nil"/>
              <w:bottom w:val="nil"/>
              <w:right w:val="nil"/>
            </w:tcBorders>
            <w:shd w:val="clear" w:color="auto" w:fill="auto"/>
            <w:noWrap/>
          </w:tcPr>
          <w:p w14:paraId="42F4CC4E"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8</w:t>
            </w:r>
          </w:p>
        </w:tc>
        <w:tc>
          <w:tcPr>
            <w:tcW w:w="1103" w:type="dxa"/>
            <w:gridSpan w:val="2"/>
            <w:tcBorders>
              <w:top w:val="nil"/>
              <w:left w:val="nil"/>
              <w:bottom w:val="nil"/>
              <w:right w:val="single" w:sz="4" w:space="0" w:color="auto"/>
            </w:tcBorders>
          </w:tcPr>
          <w:p w14:paraId="444EA653" w14:textId="77777777" w:rsidR="00D42D26" w:rsidRPr="007D0AA8" w:rsidRDefault="00D42D26" w:rsidP="001A2B6F">
            <w:pPr>
              <w:spacing w:after="0" w:line="240" w:lineRule="auto"/>
              <w:jc w:val="right"/>
              <w:rPr>
                <w:rFonts w:ascii="Arial Narrow" w:hAnsi="Arial Narrow"/>
                <w:sz w:val="20"/>
                <w:szCs w:val="20"/>
              </w:rPr>
            </w:pPr>
          </w:p>
        </w:tc>
      </w:tr>
      <w:tr w:rsidR="00D42D26" w:rsidRPr="007D0AA8" w14:paraId="29160A53" w14:textId="77777777" w:rsidTr="001A2B6F">
        <w:trPr>
          <w:jc w:val="center"/>
        </w:trPr>
        <w:tc>
          <w:tcPr>
            <w:tcW w:w="1425" w:type="dxa"/>
            <w:tcBorders>
              <w:top w:val="nil"/>
              <w:left w:val="single" w:sz="4" w:space="0" w:color="auto"/>
              <w:bottom w:val="nil"/>
              <w:right w:val="single" w:sz="4" w:space="0" w:color="auto"/>
            </w:tcBorders>
          </w:tcPr>
          <w:p w14:paraId="416412FD" w14:textId="77777777" w:rsidR="00D42D26" w:rsidRPr="007D0AA8" w:rsidRDefault="00D42D26" w:rsidP="001A2B6F">
            <w:pPr>
              <w:spacing w:after="0" w:line="240" w:lineRule="auto"/>
              <w:rPr>
                <w:rFonts w:ascii="Arial Narrow" w:hAnsi="Arial Narrow" w:cs="Calibri"/>
                <w:color w:val="000000"/>
                <w:sz w:val="20"/>
                <w:szCs w:val="20"/>
              </w:rPr>
            </w:pPr>
          </w:p>
        </w:tc>
        <w:tc>
          <w:tcPr>
            <w:tcW w:w="2146" w:type="dxa"/>
            <w:tcBorders>
              <w:top w:val="nil"/>
              <w:left w:val="single" w:sz="4" w:space="0" w:color="auto"/>
              <w:bottom w:val="single" w:sz="4" w:space="0" w:color="auto"/>
              <w:right w:val="single" w:sz="4" w:space="0" w:color="auto"/>
            </w:tcBorders>
          </w:tcPr>
          <w:p w14:paraId="373942E3" w14:textId="77777777" w:rsidR="00D42D26" w:rsidRPr="007D0AA8" w:rsidRDefault="00D42D26" w:rsidP="001A2B6F">
            <w:pPr>
              <w:spacing w:after="0" w:line="240" w:lineRule="auto"/>
              <w:rPr>
                <w:rFonts w:ascii="Arial Narrow" w:hAnsi="Arial Narrow"/>
                <w:sz w:val="20"/>
              </w:rPr>
            </w:pPr>
            <w:r w:rsidRPr="007D0AA8">
              <w:rPr>
                <w:rFonts w:ascii="Arial Narrow" w:hAnsi="Arial Narrow"/>
                <w:sz w:val="20"/>
              </w:rPr>
              <w:t>Patients with no infections</w:t>
            </w:r>
          </w:p>
        </w:tc>
        <w:tc>
          <w:tcPr>
            <w:tcW w:w="934" w:type="dxa"/>
            <w:tcBorders>
              <w:top w:val="nil"/>
              <w:left w:val="single" w:sz="4" w:space="0" w:color="auto"/>
              <w:bottom w:val="single" w:sz="4" w:space="0" w:color="auto"/>
              <w:right w:val="nil"/>
            </w:tcBorders>
            <w:shd w:val="clear" w:color="auto" w:fill="auto"/>
            <w:noWrap/>
          </w:tcPr>
          <w:p w14:paraId="2AC7C32D"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0</w:t>
            </w:r>
          </w:p>
        </w:tc>
        <w:tc>
          <w:tcPr>
            <w:tcW w:w="1265" w:type="dxa"/>
            <w:tcBorders>
              <w:top w:val="nil"/>
              <w:left w:val="single" w:sz="4" w:space="0" w:color="auto"/>
              <w:bottom w:val="single" w:sz="4" w:space="0" w:color="auto"/>
              <w:right w:val="nil"/>
            </w:tcBorders>
            <w:shd w:val="clear" w:color="auto" w:fill="auto"/>
          </w:tcPr>
          <w:p w14:paraId="4C975E7A"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n.r.</w:t>
            </w:r>
          </w:p>
        </w:tc>
        <w:tc>
          <w:tcPr>
            <w:tcW w:w="2190" w:type="dxa"/>
            <w:tcBorders>
              <w:top w:val="nil"/>
              <w:left w:val="nil"/>
              <w:bottom w:val="single" w:sz="4" w:space="0" w:color="auto"/>
              <w:right w:val="nil"/>
            </w:tcBorders>
            <w:shd w:val="clear" w:color="auto" w:fill="auto"/>
            <w:noWrap/>
          </w:tcPr>
          <w:p w14:paraId="661052F2"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13</w:t>
            </w:r>
          </w:p>
        </w:tc>
        <w:tc>
          <w:tcPr>
            <w:tcW w:w="1103" w:type="dxa"/>
            <w:gridSpan w:val="2"/>
            <w:tcBorders>
              <w:top w:val="nil"/>
              <w:left w:val="nil"/>
              <w:bottom w:val="single" w:sz="4" w:space="0" w:color="auto"/>
              <w:right w:val="single" w:sz="4" w:space="0" w:color="auto"/>
            </w:tcBorders>
          </w:tcPr>
          <w:p w14:paraId="1B4B0BF2" w14:textId="77777777" w:rsidR="00D42D26" w:rsidRPr="007D0AA8" w:rsidRDefault="00D42D26" w:rsidP="001A2B6F">
            <w:pPr>
              <w:spacing w:after="0" w:line="240" w:lineRule="auto"/>
              <w:jc w:val="right"/>
              <w:rPr>
                <w:rFonts w:ascii="Arial Narrow" w:hAnsi="Arial Narrow"/>
                <w:sz w:val="20"/>
                <w:szCs w:val="20"/>
              </w:rPr>
            </w:pPr>
          </w:p>
        </w:tc>
      </w:tr>
      <w:tr w:rsidR="00D42D26" w:rsidRPr="007D0AA8" w14:paraId="1CAFE0F8" w14:textId="77777777" w:rsidTr="001A2B6F">
        <w:trPr>
          <w:jc w:val="center"/>
        </w:trPr>
        <w:tc>
          <w:tcPr>
            <w:tcW w:w="1425" w:type="dxa"/>
            <w:tcBorders>
              <w:top w:val="nil"/>
              <w:left w:val="single" w:sz="4" w:space="0" w:color="auto"/>
              <w:bottom w:val="nil"/>
              <w:right w:val="single" w:sz="4" w:space="0" w:color="auto"/>
            </w:tcBorders>
          </w:tcPr>
          <w:p w14:paraId="4D96C999" w14:textId="77777777" w:rsidR="00D42D26" w:rsidRPr="007D0AA8" w:rsidRDefault="00D42D26" w:rsidP="001A2B6F">
            <w:pPr>
              <w:spacing w:after="0" w:line="240" w:lineRule="auto"/>
              <w:rPr>
                <w:rFonts w:ascii="Arial Narrow" w:hAnsi="Arial Narrow" w:cs="Calibri"/>
                <w:color w:val="000000"/>
                <w:sz w:val="20"/>
                <w:szCs w:val="20"/>
              </w:rPr>
            </w:pPr>
          </w:p>
        </w:tc>
        <w:tc>
          <w:tcPr>
            <w:tcW w:w="2146" w:type="dxa"/>
            <w:tcBorders>
              <w:top w:val="single" w:sz="4" w:space="0" w:color="auto"/>
              <w:left w:val="single" w:sz="4" w:space="0" w:color="auto"/>
              <w:bottom w:val="nil"/>
              <w:right w:val="single" w:sz="4" w:space="0" w:color="auto"/>
            </w:tcBorders>
            <w:shd w:val="clear" w:color="auto" w:fill="F2F2F2" w:themeFill="background1" w:themeFillShade="F2"/>
          </w:tcPr>
          <w:p w14:paraId="2CC0DC4F" w14:textId="77777777" w:rsidR="00D42D26" w:rsidRPr="007D0AA8" w:rsidRDefault="00D42D26" w:rsidP="001A2B6F">
            <w:pPr>
              <w:spacing w:after="0" w:line="240" w:lineRule="auto"/>
              <w:rPr>
                <w:rFonts w:ascii="Arial Narrow" w:hAnsi="Arial Narrow"/>
                <w:sz w:val="20"/>
              </w:rPr>
            </w:pPr>
            <w:r w:rsidRPr="007D0AA8">
              <w:rPr>
                <w:rFonts w:ascii="Arial Narrow" w:hAnsi="Arial Narrow"/>
                <w:sz w:val="20"/>
              </w:rPr>
              <w:t>Infections requiring hospitalisation</w:t>
            </w:r>
          </w:p>
        </w:tc>
        <w:tc>
          <w:tcPr>
            <w:tcW w:w="2199" w:type="dxa"/>
            <w:gridSpan w:val="2"/>
            <w:tcBorders>
              <w:top w:val="single" w:sz="4" w:space="0" w:color="auto"/>
              <w:left w:val="single" w:sz="4" w:space="0" w:color="auto"/>
              <w:bottom w:val="nil"/>
              <w:right w:val="nil"/>
            </w:tcBorders>
            <w:shd w:val="clear" w:color="auto" w:fill="F2F2F2" w:themeFill="background1" w:themeFillShade="F2"/>
            <w:noWrap/>
          </w:tcPr>
          <w:p w14:paraId="7DD0817C" w14:textId="77777777" w:rsidR="00D42D26" w:rsidRPr="007D0AA8" w:rsidRDefault="00D42D26" w:rsidP="001A2B6F">
            <w:pPr>
              <w:spacing w:after="0" w:line="240" w:lineRule="auto"/>
              <w:jc w:val="right"/>
              <w:rPr>
                <w:rFonts w:ascii="Arial Narrow" w:hAnsi="Arial Narrow"/>
                <w:sz w:val="20"/>
              </w:rPr>
            </w:pPr>
          </w:p>
        </w:tc>
        <w:tc>
          <w:tcPr>
            <w:tcW w:w="2190" w:type="dxa"/>
            <w:tcBorders>
              <w:top w:val="single" w:sz="4" w:space="0" w:color="auto"/>
              <w:left w:val="nil"/>
              <w:bottom w:val="nil"/>
            </w:tcBorders>
            <w:shd w:val="clear" w:color="auto" w:fill="F2F2F2" w:themeFill="background1" w:themeFillShade="F2"/>
            <w:noWrap/>
          </w:tcPr>
          <w:p w14:paraId="43047A7E" w14:textId="77777777" w:rsidR="00D42D26" w:rsidRPr="007D0AA8" w:rsidRDefault="00D42D26" w:rsidP="001A2B6F">
            <w:pPr>
              <w:spacing w:after="0" w:line="240" w:lineRule="auto"/>
              <w:jc w:val="right"/>
              <w:rPr>
                <w:rFonts w:ascii="Arial Narrow" w:hAnsi="Arial Narrow"/>
                <w:sz w:val="20"/>
              </w:rPr>
            </w:pPr>
          </w:p>
        </w:tc>
        <w:tc>
          <w:tcPr>
            <w:tcW w:w="1103" w:type="dxa"/>
            <w:gridSpan w:val="2"/>
            <w:tcBorders>
              <w:top w:val="single" w:sz="4" w:space="0" w:color="auto"/>
              <w:left w:val="nil"/>
              <w:bottom w:val="nil"/>
              <w:right w:val="single" w:sz="4" w:space="0" w:color="auto"/>
            </w:tcBorders>
            <w:shd w:val="clear" w:color="auto" w:fill="F2F2F2" w:themeFill="background1" w:themeFillShade="F2"/>
          </w:tcPr>
          <w:p w14:paraId="1DDC04C6" w14:textId="77777777" w:rsidR="00D42D26" w:rsidRPr="007D0AA8" w:rsidRDefault="00D42D26" w:rsidP="001A2B6F">
            <w:pPr>
              <w:spacing w:after="0" w:line="240" w:lineRule="auto"/>
              <w:jc w:val="right"/>
              <w:rPr>
                <w:rFonts w:ascii="Arial Narrow" w:hAnsi="Arial Narrow"/>
                <w:sz w:val="20"/>
                <w:szCs w:val="20"/>
              </w:rPr>
            </w:pPr>
          </w:p>
        </w:tc>
      </w:tr>
      <w:tr w:rsidR="00D42D26" w:rsidRPr="007D0AA8" w14:paraId="64AEE004" w14:textId="77777777" w:rsidTr="001A2B6F">
        <w:trPr>
          <w:jc w:val="center"/>
        </w:trPr>
        <w:tc>
          <w:tcPr>
            <w:tcW w:w="1425" w:type="dxa"/>
            <w:tcBorders>
              <w:top w:val="nil"/>
              <w:left w:val="single" w:sz="4" w:space="0" w:color="auto"/>
              <w:bottom w:val="nil"/>
              <w:right w:val="single" w:sz="4" w:space="0" w:color="auto"/>
            </w:tcBorders>
          </w:tcPr>
          <w:p w14:paraId="2256570C" w14:textId="77777777" w:rsidR="00D42D26" w:rsidRPr="007D0AA8" w:rsidRDefault="00D42D26" w:rsidP="001A2B6F">
            <w:pPr>
              <w:spacing w:after="0" w:line="240" w:lineRule="auto"/>
              <w:rPr>
                <w:rFonts w:ascii="Arial Narrow" w:hAnsi="Arial Narrow" w:cs="Calibri"/>
                <w:color w:val="000000"/>
                <w:sz w:val="20"/>
                <w:szCs w:val="20"/>
              </w:rPr>
            </w:pPr>
          </w:p>
        </w:tc>
        <w:tc>
          <w:tcPr>
            <w:tcW w:w="2146" w:type="dxa"/>
            <w:tcBorders>
              <w:top w:val="nil"/>
              <w:left w:val="single" w:sz="4" w:space="0" w:color="auto"/>
              <w:bottom w:val="nil"/>
              <w:right w:val="single" w:sz="4" w:space="0" w:color="auto"/>
            </w:tcBorders>
          </w:tcPr>
          <w:p w14:paraId="65562FBD" w14:textId="77777777" w:rsidR="00D42D26" w:rsidRPr="007D0AA8" w:rsidRDefault="00D42D26" w:rsidP="00331FB9">
            <w:pPr>
              <w:pStyle w:val="ListParagraph"/>
              <w:numPr>
                <w:ilvl w:val="0"/>
                <w:numId w:val="15"/>
              </w:numPr>
              <w:spacing w:after="0" w:line="240" w:lineRule="auto"/>
              <w:ind w:left="172" w:hanging="123"/>
              <w:rPr>
                <w:rFonts w:ascii="Arial Narrow" w:hAnsi="Arial Narrow"/>
                <w:sz w:val="20"/>
              </w:rPr>
            </w:pPr>
            <w:r w:rsidRPr="007D0AA8">
              <w:rPr>
                <w:rFonts w:ascii="Arial Narrow" w:hAnsi="Arial Narrow"/>
                <w:sz w:val="20"/>
              </w:rPr>
              <w:t>Sepsis</w:t>
            </w:r>
          </w:p>
        </w:tc>
        <w:tc>
          <w:tcPr>
            <w:tcW w:w="934" w:type="dxa"/>
            <w:tcBorders>
              <w:top w:val="nil"/>
              <w:left w:val="single" w:sz="4" w:space="0" w:color="auto"/>
              <w:bottom w:val="nil"/>
              <w:right w:val="nil"/>
            </w:tcBorders>
            <w:shd w:val="clear" w:color="auto" w:fill="auto"/>
            <w:noWrap/>
          </w:tcPr>
          <w:p w14:paraId="36725155"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6</w:t>
            </w:r>
          </w:p>
        </w:tc>
        <w:tc>
          <w:tcPr>
            <w:tcW w:w="1265" w:type="dxa"/>
            <w:tcBorders>
              <w:top w:val="nil"/>
              <w:left w:val="single" w:sz="4" w:space="0" w:color="auto"/>
              <w:bottom w:val="nil"/>
              <w:right w:val="nil"/>
            </w:tcBorders>
            <w:shd w:val="clear" w:color="auto" w:fill="auto"/>
          </w:tcPr>
          <w:p w14:paraId="5AA70464"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4</w:t>
            </w:r>
          </w:p>
        </w:tc>
        <w:tc>
          <w:tcPr>
            <w:tcW w:w="2190" w:type="dxa"/>
            <w:tcBorders>
              <w:top w:val="nil"/>
              <w:left w:val="nil"/>
              <w:bottom w:val="nil"/>
            </w:tcBorders>
            <w:shd w:val="clear" w:color="auto" w:fill="auto"/>
            <w:noWrap/>
          </w:tcPr>
          <w:p w14:paraId="54605A5A" w14:textId="77777777" w:rsidR="00D42D26" w:rsidRPr="007D0AA8" w:rsidRDefault="00D42D26" w:rsidP="001A2B6F">
            <w:pPr>
              <w:spacing w:after="0" w:line="240" w:lineRule="auto"/>
              <w:jc w:val="right"/>
              <w:rPr>
                <w:rFonts w:ascii="Arial Narrow" w:hAnsi="Arial Narrow"/>
                <w:sz w:val="20"/>
                <w:szCs w:val="20"/>
              </w:rPr>
            </w:pPr>
            <w:r w:rsidRPr="007D0AA8">
              <w:rPr>
                <w:rFonts w:ascii="Arial Narrow" w:hAnsi="Arial Narrow"/>
                <w:sz w:val="20"/>
                <w:szCs w:val="20"/>
              </w:rPr>
              <w:t>2</w:t>
            </w:r>
          </w:p>
        </w:tc>
        <w:tc>
          <w:tcPr>
            <w:tcW w:w="1103" w:type="dxa"/>
            <w:gridSpan w:val="2"/>
            <w:tcBorders>
              <w:top w:val="nil"/>
              <w:left w:val="nil"/>
              <w:bottom w:val="nil"/>
              <w:right w:val="single" w:sz="4" w:space="0" w:color="auto"/>
            </w:tcBorders>
          </w:tcPr>
          <w:p w14:paraId="0F77095D" w14:textId="77777777" w:rsidR="00D42D26" w:rsidRPr="007D0AA8" w:rsidRDefault="00D42D26" w:rsidP="001A2B6F">
            <w:pPr>
              <w:spacing w:after="0" w:line="240" w:lineRule="auto"/>
              <w:jc w:val="right"/>
              <w:rPr>
                <w:rFonts w:ascii="Arial Narrow" w:hAnsi="Arial Narrow"/>
                <w:sz w:val="20"/>
                <w:szCs w:val="20"/>
              </w:rPr>
            </w:pPr>
          </w:p>
        </w:tc>
      </w:tr>
      <w:tr w:rsidR="00D42D26" w:rsidRPr="007D0AA8" w14:paraId="31B99A5D" w14:textId="77777777" w:rsidTr="001A2B6F">
        <w:trPr>
          <w:jc w:val="center"/>
        </w:trPr>
        <w:tc>
          <w:tcPr>
            <w:tcW w:w="1425" w:type="dxa"/>
            <w:tcBorders>
              <w:top w:val="nil"/>
              <w:left w:val="single" w:sz="4" w:space="0" w:color="auto"/>
              <w:bottom w:val="nil"/>
              <w:right w:val="single" w:sz="4" w:space="0" w:color="auto"/>
            </w:tcBorders>
          </w:tcPr>
          <w:p w14:paraId="23D4F23D" w14:textId="77777777" w:rsidR="00D42D26" w:rsidRPr="007D0AA8" w:rsidRDefault="00D42D26" w:rsidP="001A2B6F">
            <w:pPr>
              <w:spacing w:after="0" w:line="240" w:lineRule="auto"/>
              <w:rPr>
                <w:rFonts w:ascii="Arial Narrow" w:hAnsi="Arial Narrow" w:cs="Calibri"/>
                <w:color w:val="000000"/>
                <w:sz w:val="20"/>
                <w:szCs w:val="20"/>
              </w:rPr>
            </w:pPr>
          </w:p>
        </w:tc>
        <w:tc>
          <w:tcPr>
            <w:tcW w:w="2146" w:type="dxa"/>
            <w:tcBorders>
              <w:top w:val="nil"/>
              <w:left w:val="single" w:sz="4" w:space="0" w:color="auto"/>
              <w:bottom w:val="nil"/>
              <w:right w:val="single" w:sz="4" w:space="0" w:color="auto"/>
            </w:tcBorders>
          </w:tcPr>
          <w:p w14:paraId="3B5DE082" w14:textId="77777777" w:rsidR="00D42D26" w:rsidRPr="007D0AA8" w:rsidRDefault="00D42D26" w:rsidP="00331FB9">
            <w:pPr>
              <w:pStyle w:val="ListParagraph"/>
              <w:numPr>
                <w:ilvl w:val="0"/>
                <w:numId w:val="15"/>
              </w:numPr>
              <w:spacing w:after="0" w:line="240" w:lineRule="auto"/>
              <w:ind w:left="172" w:hanging="123"/>
              <w:rPr>
                <w:rFonts w:ascii="Arial Narrow" w:hAnsi="Arial Narrow"/>
                <w:sz w:val="20"/>
              </w:rPr>
            </w:pPr>
            <w:r w:rsidRPr="007D0AA8">
              <w:rPr>
                <w:rFonts w:ascii="Arial Narrow" w:hAnsi="Arial Narrow"/>
                <w:sz w:val="20"/>
              </w:rPr>
              <w:t>Pneumonia</w:t>
            </w:r>
          </w:p>
        </w:tc>
        <w:tc>
          <w:tcPr>
            <w:tcW w:w="934" w:type="dxa"/>
            <w:tcBorders>
              <w:top w:val="nil"/>
              <w:left w:val="single" w:sz="4" w:space="0" w:color="auto"/>
              <w:bottom w:val="nil"/>
              <w:right w:val="nil"/>
            </w:tcBorders>
            <w:shd w:val="clear" w:color="auto" w:fill="auto"/>
            <w:noWrap/>
          </w:tcPr>
          <w:p w14:paraId="1B7AA69B"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11</w:t>
            </w:r>
          </w:p>
        </w:tc>
        <w:tc>
          <w:tcPr>
            <w:tcW w:w="1265" w:type="dxa"/>
            <w:tcBorders>
              <w:top w:val="nil"/>
              <w:left w:val="single" w:sz="4" w:space="0" w:color="auto"/>
              <w:bottom w:val="nil"/>
              <w:right w:val="nil"/>
            </w:tcBorders>
            <w:shd w:val="clear" w:color="auto" w:fill="auto"/>
          </w:tcPr>
          <w:p w14:paraId="4B5657CF"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6</w:t>
            </w:r>
          </w:p>
        </w:tc>
        <w:tc>
          <w:tcPr>
            <w:tcW w:w="2190" w:type="dxa"/>
            <w:tcBorders>
              <w:top w:val="nil"/>
              <w:left w:val="nil"/>
              <w:bottom w:val="nil"/>
            </w:tcBorders>
            <w:shd w:val="clear" w:color="auto" w:fill="auto"/>
            <w:noWrap/>
          </w:tcPr>
          <w:p w14:paraId="4A736F53" w14:textId="77777777" w:rsidR="00D42D26" w:rsidRPr="007D0AA8" w:rsidRDefault="00D42D26" w:rsidP="001A2B6F">
            <w:pPr>
              <w:spacing w:after="0" w:line="240" w:lineRule="auto"/>
              <w:jc w:val="right"/>
              <w:rPr>
                <w:rFonts w:ascii="Arial Narrow" w:hAnsi="Arial Narrow"/>
                <w:sz w:val="20"/>
                <w:szCs w:val="20"/>
              </w:rPr>
            </w:pPr>
            <w:r w:rsidRPr="007D0AA8">
              <w:rPr>
                <w:rFonts w:ascii="Arial Narrow" w:hAnsi="Arial Narrow"/>
                <w:sz w:val="20"/>
                <w:szCs w:val="20"/>
              </w:rPr>
              <w:t>3</w:t>
            </w:r>
          </w:p>
        </w:tc>
        <w:tc>
          <w:tcPr>
            <w:tcW w:w="1103" w:type="dxa"/>
            <w:gridSpan w:val="2"/>
            <w:tcBorders>
              <w:top w:val="nil"/>
              <w:left w:val="nil"/>
              <w:bottom w:val="nil"/>
              <w:right w:val="single" w:sz="4" w:space="0" w:color="auto"/>
            </w:tcBorders>
          </w:tcPr>
          <w:p w14:paraId="498295CC" w14:textId="77777777" w:rsidR="00D42D26" w:rsidRPr="007D0AA8" w:rsidRDefault="00D42D26" w:rsidP="001A2B6F">
            <w:pPr>
              <w:spacing w:after="0" w:line="240" w:lineRule="auto"/>
              <w:jc w:val="right"/>
              <w:rPr>
                <w:rFonts w:ascii="Arial Narrow" w:hAnsi="Arial Narrow"/>
                <w:sz w:val="20"/>
                <w:szCs w:val="20"/>
              </w:rPr>
            </w:pPr>
          </w:p>
        </w:tc>
      </w:tr>
      <w:tr w:rsidR="00D42D26" w:rsidRPr="007D0AA8" w14:paraId="111DA394" w14:textId="77777777" w:rsidTr="001A2B6F">
        <w:trPr>
          <w:jc w:val="center"/>
        </w:trPr>
        <w:tc>
          <w:tcPr>
            <w:tcW w:w="1425" w:type="dxa"/>
            <w:tcBorders>
              <w:top w:val="nil"/>
              <w:left w:val="single" w:sz="4" w:space="0" w:color="auto"/>
              <w:bottom w:val="nil"/>
              <w:right w:val="single" w:sz="4" w:space="0" w:color="auto"/>
            </w:tcBorders>
          </w:tcPr>
          <w:p w14:paraId="3863A0CD" w14:textId="77777777" w:rsidR="00D42D26" w:rsidRPr="007D0AA8" w:rsidRDefault="00D42D26" w:rsidP="001A2B6F">
            <w:pPr>
              <w:spacing w:after="0" w:line="240" w:lineRule="auto"/>
              <w:rPr>
                <w:rFonts w:ascii="Arial Narrow" w:hAnsi="Arial Narrow" w:cs="Calibri"/>
                <w:color w:val="000000"/>
                <w:sz w:val="20"/>
                <w:szCs w:val="20"/>
              </w:rPr>
            </w:pPr>
          </w:p>
        </w:tc>
        <w:tc>
          <w:tcPr>
            <w:tcW w:w="2146" w:type="dxa"/>
            <w:tcBorders>
              <w:top w:val="nil"/>
              <w:left w:val="single" w:sz="4" w:space="0" w:color="auto"/>
              <w:bottom w:val="nil"/>
              <w:right w:val="single" w:sz="4" w:space="0" w:color="auto"/>
            </w:tcBorders>
          </w:tcPr>
          <w:p w14:paraId="611CA918" w14:textId="77777777" w:rsidR="00D42D26" w:rsidRPr="007D0AA8" w:rsidRDefault="00D42D26" w:rsidP="00331FB9">
            <w:pPr>
              <w:pStyle w:val="ListParagraph"/>
              <w:numPr>
                <w:ilvl w:val="0"/>
                <w:numId w:val="15"/>
              </w:numPr>
              <w:spacing w:after="0" w:line="240" w:lineRule="auto"/>
              <w:ind w:left="172" w:hanging="123"/>
              <w:rPr>
                <w:rFonts w:ascii="Arial Narrow" w:hAnsi="Arial Narrow"/>
                <w:sz w:val="20"/>
              </w:rPr>
            </w:pPr>
            <w:r w:rsidRPr="007D0AA8">
              <w:rPr>
                <w:rFonts w:ascii="Arial Narrow" w:hAnsi="Arial Narrow"/>
                <w:sz w:val="20"/>
              </w:rPr>
              <w:t>UTI</w:t>
            </w:r>
          </w:p>
        </w:tc>
        <w:tc>
          <w:tcPr>
            <w:tcW w:w="934" w:type="dxa"/>
            <w:tcBorders>
              <w:top w:val="nil"/>
              <w:left w:val="single" w:sz="4" w:space="0" w:color="auto"/>
              <w:bottom w:val="nil"/>
              <w:right w:val="nil"/>
            </w:tcBorders>
            <w:shd w:val="clear" w:color="auto" w:fill="auto"/>
            <w:noWrap/>
          </w:tcPr>
          <w:p w14:paraId="238FE8A5"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5</w:t>
            </w:r>
          </w:p>
        </w:tc>
        <w:tc>
          <w:tcPr>
            <w:tcW w:w="1265" w:type="dxa"/>
            <w:tcBorders>
              <w:top w:val="nil"/>
              <w:left w:val="single" w:sz="4" w:space="0" w:color="auto"/>
              <w:bottom w:val="nil"/>
              <w:right w:val="nil"/>
            </w:tcBorders>
            <w:shd w:val="clear" w:color="auto" w:fill="auto"/>
          </w:tcPr>
          <w:p w14:paraId="62DCBD22"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3</w:t>
            </w:r>
          </w:p>
        </w:tc>
        <w:tc>
          <w:tcPr>
            <w:tcW w:w="2190" w:type="dxa"/>
            <w:tcBorders>
              <w:top w:val="nil"/>
              <w:left w:val="nil"/>
              <w:bottom w:val="nil"/>
            </w:tcBorders>
            <w:shd w:val="clear" w:color="auto" w:fill="auto"/>
            <w:noWrap/>
          </w:tcPr>
          <w:p w14:paraId="4950AE39" w14:textId="77777777" w:rsidR="00D42D26" w:rsidRPr="007D0AA8" w:rsidRDefault="00D42D26" w:rsidP="001A2B6F">
            <w:pPr>
              <w:spacing w:after="0" w:line="240" w:lineRule="auto"/>
              <w:jc w:val="right"/>
              <w:rPr>
                <w:rFonts w:ascii="Arial Narrow" w:hAnsi="Arial Narrow"/>
                <w:sz w:val="20"/>
                <w:szCs w:val="20"/>
              </w:rPr>
            </w:pPr>
            <w:r w:rsidRPr="007D0AA8">
              <w:rPr>
                <w:rFonts w:ascii="Arial Narrow" w:hAnsi="Arial Narrow"/>
                <w:sz w:val="20"/>
                <w:szCs w:val="20"/>
              </w:rPr>
              <w:t>2</w:t>
            </w:r>
          </w:p>
        </w:tc>
        <w:tc>
          <w:tcPr>
            <w:tcW w:w="1103" w:type="dxa"/>
            <w:gridSpan w:val="2"/>
            <w:tcBorders>
              <w:top w:val="nil"/>
              <w:left w:val="nil"/>
              <w:bottom w:val="nil"/>
              <w:right w:val="single" w:sz="4" w:space="0" w:color="auto"/>
            </w:tcBorders>
          </w:tcPr>
          <w:p w14:paraId="373897A0" w14:textId="77777777" w:rsidR="00D42D26" w:rsidRPr="007D0AA8" w:rsidRDefault="00D42D26" w:rsidP="001A2B6F">
            <w:pPr>
              <w:spacing w:after="0" w:line="240" w:lineRule="auto"/>
              <w:jc w:val="right"/>
              <w:rPr>
                <w:rFonts w:ascii="Arial Narrow" w:hAnsi="Arial Narrow"/>
                <w:sz w:val="20"/>
                <w:szCs w:val="20"/>
              </w:rPr>
            </w:pPr>
          </w:p>
        </w:tc>
      </w:tr>
      <w:tr w:rsidR="00D42D26" w:rsidRPr="007D0AA8" w14:paraId="638F145B" w14:textId="77777777" w:rsidTr="001A2B6F">
        <w:trPr>
          <w:jc w:val="center"/>
        </w:trPr>
        <w:tc>
          <w:tcPr>
            <w:tcW w:w="1425" w:type="dxa"/>
            <w:tcBorders>
              <w:top w:val="nil"/>
              <w:left w:val="single" w:sz="4" w:space="0" w:color="auto"/>
              <w:bottom w:val="nil"/>
              <w:right w:val="single" w:sz="4" w:space="0" w:color="auto"/>
            </w:tcBorders>
          </w:tcPr>
          <w:p w14:paraId="39191F10" w14:textId="77777777" w:rsidR="00D42D26" w:rsidRPr="007D0AA8" w:rsidRDefault="00D42D26" w:rsidP="001A2B6F">
            <w:pPr>
              <w:spacing w:after="0" w:line="240" w:lineRule="auto"/>
              <w:rPr>
                <w:rFonts w:ascii="Arial Narrow" w:hAnsi="Arial Narrow" w:cs="Calibri"/>
                <w:color w:val="000000"/>
                <w:sz w:val="20"/>
                <w:szCs w:val="20"/>
              </w:rPr>
            </w:pPr>
          </w:p>
        </w:tc>
        <w:tc>
          <w:tcPr>
            <w:tcW w:w="2146" w:type="dxa"/>
            <w:tcBorders>
              <w:top w:val="nil"/>
              <w:left w:val="single" w:sz="4" w:space="0" w:color="auto"/>
              <w:bottom w:val="nil"/>
              <w:right w:val="single" w:sz="4" w:space="0" w:color="auto"/>
            </w:tcBorders>
          </w:tcPr>
          <w:p w14:paraId="13C9686E" w14:textId="77777777" w:rsidR="00D42D26" w:rsidRPr="007D0AA8" w:rsidRDefault="00D42D26" w:rsidP="00331FB9">
            <w:pPr>
              <w:pStyle w:val="ListParagraph"/>
              <w:numPr>
                <w:ilvl w:val="0"/>
                <w:numId w:val="15"/>
              </w:numPr>
              <w:spacing w:after="0" w:line="240" w:lineRule="auto"/>
              <w:ind w:left="172" w:hanging="123"/>
              <w:rPr>
                <w:rFonts w:ascii="Arial Narrow" w:hAnsi="Arial Narrow"/>
                <w:sz w:val="20"/>
              </w:rPr>
            </w:pPr>
            <w:r w:rsidRPr="007D0AA8">
              <w:rPr>
                <w:rFonts w:ascii="Arial Narrow" w:hAnsi="Arial Narrow"/>
                <w:sz w:val="20"/>
              </w:rPr>
              <w:t>Cellulitis</w:t>
            </w:r>
          </w:p>
        </w:tc>
        <w:tc>
          <w:tcPr>
            <w:tcW w:w="934" w:type="dxa"/>
            <w:tcBorders>
              <w:top w:val="nil"/>
              <w:left w:val="single" w:sz="4" w:space="0" w:color="auto"/>
              <w:bottom w:val="nil"/>
              <w:right w:val="nil"/>
            </w:tcBorders>
            <w:shd w:val="clear" w:color="auto" w:fill="auto"/>
            <w:noWrap/>
          </w:tcPr>
          <w:p w14:paraId="30B7FF9B"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6</w:t>
            </w:r>
          </w:p>
        </w:tc>
        <w:tc>
          <w:tcPr>
            <w:tcW w:w="1265" w:type="dxa"/>
            <w:tcBorders>
              <w:top w:val="nil"/>
              <w:left w:val="single" w:sz="4" w:space="0" w:color="auto"/>
              <w:bottom w:val="nil"/>
              <w:right w:val="nil"/>
            </w:tcBorders>
            <w:shd w:val="clear" w:color="auto" w:fill="auto"/>
          </w:tcPr>
          <w:p w14:paraId="1DD5A744"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5</w:t>
            </w:r>
          </w:p>
        </w:tc>
        <w:tc>
          <w:tcPr>
            <w:tcW w:w="2190" w:type="dxa"/>
            <w:tcBorders>
              <w:top w:val="nil"/>
              <w:left w:val="nil"/>
              <w:bottom w:val="nil"/>
            </w:tcBorders>
            <w:shd w:val="clear" w:color="auto" w:fill="auto"/>
            <w:noWrap/>
          </w:tcPr>
          <w:p w14:paraId="287E99E5" w14:textId="77777777" w:rsidR="00D42D26" w:rsidRPr="007D0AA8" w:rsidRDefault="00D42D26" w:rsidP="001A2B6F">
            <w:pPr>
              <w:spacing w:after="0" w:line="240" w:lineRule="auto"/>
              <w:jc w:val="right"/>
              <w:rPr>
                <w:rFonts w:ascii="Arial Narrow" w:hAnsi="Arial Narrow"/>
                <w:sz w:val="20"/>
                <w:szCs w:val="20"/>
              </w:rPr>
            </w:pPr>
            <w:r w:rsidRPr="007D0AA8">
              <w:rPr>
                <w:rFonts w:ascii="Arial Narrow" w:hAnsi="Arial Narrow"/>
                <w:sz w:val="20"/>
                <w:szCs w:val="20"/>
              </w:rPr>
              <w:t>7</w:t>
            </w:r>
          </w:p>
        </w:tc>
        <w:tc>
          <w:tcPr>
            <w:tcW w:w="1103" w:type="dxa"/>
            <w:gridSpan w:val="2"/>
            <w:tcBorders>
              <w:top w:val="nil"/>
              <w:left w:val="nil"/>
              <w:bottom w:val="nil"/>
              <w:right w:val="single" w:sz="4" w:space="0" w:color="auto"/>
            </w:tcBorders>
          </w:tcPr>
          <w:p w14:paraId="1BE2B6E4" w14:textId="77777777" w:rsidR="00D42D26" w:rsidRPr="007D0AA8" w:rsidRDefault="00D42D26" w:rsidP="001A2B6F">
            <w:pPr>
              <w:spacing w:after="0" w:line="240" w:lineRule="auto"/>
              <w:jc w:val="right"/>
              <w:rPr>
                <w:rFonts w:ascii="Arial Narrow" w:hAnsi="Arial Narrow"/>
                <w:sz w:val="20"/>
                <w:szCs w:val="20"/>
              </w:rPr>
            </w:pPr>
          </w:p>
        </w:tc>
      </w:tr>
      <w:tr w:rsidR="00D42D26" w:rsidRPr="007D0AA8" w14:paraId="5CB2F45E" w14:textId="77777777" w:rsidTr="001A2B6F">
        <w:trPr>
          <w:jc w:val="center"/>
        </w:trPr>
        <w:tc>
          <w:tcPr>
            <w:tcW w:w="1425" w:type="dxa"/>
            <w:tcBorders>
              <w:top w:val="nil"/>
              <w:left w:val="single" w:sz="4" w:space="0" w:color="auto"/>
              <w:bottom w:val="nil"/>
              <w:right w:val="single" w:sz="4" w:space="0" w:color="auto"/>
            </w:tcBorders>
          </w:tcPr>
          <w:p w14:paraId="030CC480" w14:textId="77777777" w:rsidR="00D42D26" w:rsidRPr="007D0AA8" w:rsidRDefault="00D42D26" w:rsidP="001A2B6F">
            <w:pPr>
              <w:spacing w:after="0" w:line="240" w:lineRule="auto"/>
              <w:rPr>
                <w:rFonts w:ascii="Arial Narrow" w:hAnsi="Arial Narrow" w:cs="Calibri"/>
                <w:color w:val="000000"/>
                <w:sz w:val="20"/>
                <w:szCs w:val="20"/>
              </w:rPr>
            </w:pPr>
          </w:p>
        </w:tc>
        <w:tc>
          <w:tcPr>
            <w:tcW w:w="2146" w:type="dxa"/>
            <w:tcBorders>
              <w:top w:val="nil"/>
              <w:left w:val="single" w:sz="4" w:space="0" w:color="auto"/>
              <w:right w:val="single" w:sz="4" w:space="0" w:color="auto"/>
            </w:tcBorders>
          </w:tcPr>
          <w:p w14:paraId="1BDB0305" w14:textId="77777777" w:rsidR="00D42D26" w:rsidRPr="007D0AA8" w:rsidRDefault="00D42D26" w:rsidP="001A2B6F">
            <w:pPr>
              <w:spacing w:after="0" w:line="240" w:lineRule="auto"/>
              <w:rPr>
                <w:rFonts w:ascii="Arial Narrow" w:hAnsi="Arial Narrow"/>
                <w:sz w:val="20"/>
              </w:rPr>
            </w:pPr>
            <w:r w:rsidRPr="007D0AA8">
              <w:rPr>
                <w:rFonts w:ascii="Arial Narrow" w:hAnsi="Arial Narrow"/>
                <w:sz w:val="20"/>
              </w:rPr>
              <w:t>All requiring hospitalisation*</w:t>
            </w:r>
          </w:p>
        </w:tc>
        <w:tc>
          <w:tcPr>
            <w:tcW w:w="934" w:type="dxa"/>
            <w:tcBorders>
              <w:top w:val="nil"/>
              <w:left w:val="single" w:sz="4" w:space="0" w:color="auto"/>
              <w:right w:val="nil"/>
            </w:tcBorders>
            <w:shd w:val="clear" w:color="auto" w:fill="auto"/>
            <w:noWrap/>
          </w:tcPr>
          <w:p w14:paraId="3C0FAA37"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32*</w:t>
            </w:r>
          </w:p>
        </w:tc>
        <w:tc>
          <w:tcPr>
            <w:tcW w:w="1265" w:type="dxa"/>
            <w:tcBorders>
              <w:top w:val="nil"/>
              <w:left w:val="single" w:sz="4" w:space="0" w:color="auto"/>
              <w:right w:val="nil"/>
            </w:tcBorders>
            <w:shd w:val="clear" w:color="auto" w:fill="auto"/>
          </w:tcPr>
          <w:p w14:paraId="4001D0D4"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21*</w:t>
            </w:r>
          </w:p>
        </w:tc>
        <w:tc>
          <w:tcPr>
            <w:tcW w:w="2190" w:type="dxa"/>
            <w:tcBorders>
              <w:top w:val="nil"/>
              <w:left w:val="nil"/>
            </w:tcBorders>
            <w:shd w:val="clear" w:color="auto" w:fill="auto"/>
            <w:noWrap/>
          </w:tcPr>
          <w:p w14:paraId="20B52E7B" w14:textId="77777777" w:rsidR="00D42D26" w:rsidRPr="007D0AA8" w:rsidRDefault="00D42D26" w:rsidP="001A2B6F">
            <w:pPr>
              <w:spacing w:after="0" w:line="240" w:lineRule="auto"/>
              <w:jc w:val="right"/>
              <w:rPr>
                <w:rFonts w:ascii="Arial Narrow" w:hAnsi="Arial Narrow"/>
                <w:sz w:val="20"/>
                <w:szCs w:val="20"/>
              </w:rPr>
            </w:pPr>
            <w:r w:rsidRPr="007D0AA8">
              <w:rPr>
                <w:rFonts w:ascii="Arial Narrow" w:hAnsi="Arial Narrow"/>
                <w:sz w:val="20"/>
                <w:szCs w:val="20"/>
              </w:rPr>
              <w:t>14</w:t>
            </w:r>
          </w:p>
        </w:tc>
        <w:tc>
          <w:tcPr>
            <w:tcW w:w="1103" w:type="dxa"/>
            <w:gridSpan w:val="2"/>
            <w:tcBorders>
              <w:top w:val="nil"/>
              <w:left w:val="nil"/>
              <w:right w:val="single" w:sz="4" w:space="0" w:color="auto"/>
            </w:tcBorders>
          </w:tcPr>
          <w:p w14:paraId="61C4F9E0" w14:textId="77777777" w:rsidR="00D42D26" w:rsidRPr="007D0AA8" w:rsidRDefault="00D42D26" w:rsidP="001A2B6F">
            <w:pPr>
              <w:spacing w:after="0" w:line="240" w:lineRule="auto"/>
              <w:jc w:val="right"/>
              <w:rPr>
                <w:rFonts w:ascii="Arial Narrow" w:hAnsi="Arial Narrow"/>
                <w:sz w:val="20"/>
                <w:szCs w:val="20"/>
              </w:rPr>
            </w:pPr>
          </w:p>
        </w:tc>
      </w:tr>
      <w:tr w:rsidR="00D42D26" w:rsidRPr="007D0AA8" w14:paraId="71C63F61" w14:textId="77777777" w:rsidTr="001A2B6F">
        <w:trPr>
          <w:jc w:val="center"/>
        </w:trPr>
        <w:tc>
          <w:tcPr>
            <w:tcW w:w="1425" w:type="dxa"/>
            <w:tcBorders>
              <w:top w:val="nil"/>
              <w:left w:val="single" w:sz="4" w:space="0" w:color="auto"/>
              <w:bottom w:val="nil"/>
              <w:right w:val="single" w:sz="4" w:space="0" w:color="auto"/>
            </w:tcBorders>
          </w:tcPr>
          <w:p w14:paraId="5855ACDD" w14:textId="77777777" w:rsidR="00D42D26" w:rsidRPr="007D0AA8" w:rsidRDefault="00D42D26" w:rsidP="001A2B6F">
            <w:pPr>
              <w:spacing w:after="0" w:line="240" w:lineRule="auto"/>
              <w:rPr>
                <w:rFonts w:ascii="Arial Narrow" w:hAnsi="Arial Narrow" w:cs="Calibri"/>
                <w:color w:val="000000"/>
                <w:sz w:val="20"/>
                <w:szCs w:val="20"/>
              </w:rPr>
            </w:pPr>
          </w:p>
        </w:tc>
        <w:tc>
          <w:tcPr>
            <w:tcW w:w="2146" w:type="dxa"/>
            <w:tcBorders>
              <w:top w:val="nil"/>
              <w:left w:val="single" w:sz="4" w:space="0" w:color="auto"/>
              <w:bottom w:val="single" w:sz="4" w:space="0" w:color="auto"/>
              <w:right w:val="single" w:sz="4" w:space="0" w:color="auto"/>
            </w:tcBorders>
          </w:tcPr>
          <w:p w14:paraId="69D577A5" w14:textId="77777777" w:rsidR="00D42D26" w:rsidRPr="007D0AA8" w:rsidRDefault="00D42D26" w:rsidP="001A2B6F">
            <w:pPr>
              <w:spacing w:after="0" w:line="240" w:lineRule="auto"/>
              <w:rPr>
                <w:rFonts w:ascii="Arial Narrow" w:hAnsi="Arial Narrow"/>
                <w:i/>
                <w:sz w:val="20"/>
              </w:rPr>
            </w:pPr>
            <w:r w:rsidRPr="007D0AA8">
              <w:rPr>
                <w:rFonts w:ascii="Arial Narrow" w:hAnsi="Arial Narrow"/>
                <w:i/>
                <w:sz w:val="20"/>
              </w:rPr>
              <w:t>Rate /patient/month</w:t>
            </w:r>
          </w:p>
        </w:tc>
        <w:tc>
          <w:tcPr>
            <w:tcW w:w="934" w:type="dxa"/>
            <w:tcBorders>
              <w:top w:val="nil"/>
              <w:left w:val="single" w:sz="4" w:space="0" w:color="auto"/>
              <w:bottom w:val="single" w:sz="4" w:space="0" w:color="auto"/>
              <w:right w:val="nil"/>
            </w:tcBorders>
            <w:shd w:val="clear" w:color="auto" w:fill="auto"/>
            <w:noWrap/>
          </w:tcPr>
          <w:p w14:paraId="3D5BDB38" w14:textId="77777777" w:rsidR="00D42D26" w:rsidRPr="007D0AA8" w:rsidRDefault="00D42D26" w:rsidP="001A2B6F">
            <w:pPr>
              <w:spacing w:after="0" w:line="240" w:lineRule="auto"/>
              <w:jc w:val="right"/>
              <w:rPr>
                <w:rFonts w:ascii="Arial Narrow" w:hAnsi="Arial Narrow"/>
                <w:sz w:val="20"/>
              </w:rPr>
            </w:pPr>
          </w:p>
        </w:tc>
        <w:tc>
          <w:tcPr>
            <w:tcW w:w="1265" w:type="dxa"/>
            <w:tcBorders>
              <w:top w:val="nil"/>
              <w:left w:val="single" w:sz="4" w:space="0" w:color="auto"/>
              <w:bottom w:val="single" w:sz="4" w:space="0" w:color="auto"/>
              <w:right w:val="nil"/>
            </w:tcBorders>
            <w:shd w:val="clear" w:color="auto" w:fill="auto"/>
          </w:tcPr>
          <w:p w14:paraId="07F5CADD" w14:textId="77777777" w:rsidR="00D42D26" w:rsidRPr="007D0AA8" w:rsidRDefault="00D42D26" w:rsidP="001A2B6F">
            <w:pPr>
              <w:spacing w:after="0" w:line="240" w:lineRule="auto"/>
              <w:jc w:val="right"/>
              <w:rPr>
                <w:rFonts w:ascii="Arial Narrow" w:hAnsi="Arial Narrow"/>
                <w:i/>
                <w:sz w:val="20"/>
              </w:rPr>
            </w:pPr>
            <w:r w:rsidRPr="007D0AA8">
              <w:rPr>
                <w:rFonts w:ascii="Arial Narrow" w:hAnsi="Arial Narrow"/>
                <w:i/>
                <w:sz w:val="20"/>
              </w:rPr>
              <w:t>0.083</w:t>
            </w:r>
          </w:p>
        </w:tc>
        <w:tc>
          <w:tcPr>
            <w:tcW w:w="2190" w:type="dxa"/>
            <w:tcBorders>
              <w:top w:val="nil"/>
              <w:left w:val="nil"/>
              <w:bottom w:val="single" w:sz="4" w:space="0" w:color="auto"/>
            </w:tcBorders>
            <w:shd w:val="clear" w:color="auto" w:fill="auto"/>
            <w:noWrap/>
          </w:tcPr>
          <w:p w14:paraId="7B7439C0" w14:textId="77777777" w:rsidR="00D42D26" w:rsidRPr="007D0AA8" w:rsidRDefault="00D42D26" w:rsidP="001A2B6F">
            <w:pPr>
              <w:spacing w:after="0" w:line="240" w:lineRule="auto"/>
              <w:jc w:val="right"/>
              <w:rPr>
                <w:rFonts w:ascii="Arial Narrow" w:hAnsi="Arial Narrow"/>
                <w:i/>
                <w:sz w:val="20"/>
                <w:szCs w:val="20"/>
              </w:rPr>
            </w:pPr>
            <w:r w:rsidRPr="007D0AA8">
              <w:rPr>
                <w:rFonts w:ascii="Arial Narrow" w:hAnsi="Arial Narrow"/>
                <w:i/>
                <w:sz w:val="20"/>
                <w:szCs w:val="20"/>
              </w:rPr>
              <w:t>0.056</w:t>
            </w:r>
          </w:p>
        </w:tc>
        <w:tc>
          <w:tcPr>
            <w:tcW w:w="1103" w:type="dxa"/>
            <w:gridSpan w:val="2"/>
            <w:tcBorders>
              <w:top w:val="nil"/>
              <w:left w:val="nil"/>
              <w:bottom w:val="single" w:sz="4" w:space="0" w:color="auto"/>
              <w:right w:val="single" w:sz="4" w:space="0" w:color="auto"/>
            </w:tcBorders>
          </w:tcPr>
          <w:p w14:paraId="34D8872B" w14:textId="77777777" w:rsidR="00D42D26" w:rsidRPr="007D0AA8" w:rsidRDefault="00D42D26" w:rsidP="001A2B6F">
            <w:pPr>
              <w:spacing w:after="0" w:line="240" w:lineRule="auto"/>
              <w:jc w:val="right"/>
              <w:rPr>
                <w:rFonts w:ascii="Arial Narrow" w:hAnsi="Arial Narrow"/>
                <w:sz w:val="20"/>
                <w:szCs w:val="20"/>
              </w:rPr>
            </w:pPr>
          </w:p>
        </w:tc>
      </w:tr>
      <w:tr w:rsidR="00D42D26" w:rsidRPr="007D0AA8" w14:paraId="5A09D8EF" w14:textId="77777777" w:rsidTr="001A2B6F">
        <w:trPr>
          <w:jc w:val="center"/>
        </w:trPr>
        <w:tc>
          <w:tcPr>
            <w:tcW w:w="1425" w:type="dxa"/>
            <w:tcBorders>
              <w:top w:val="nil"/>
              <w:left w:val="single" w:sz="4" w:space="0" w:color="auto"/>
              <w:bottom w:val="nil"/>
              <w:right w:val="single" w:sz="4" w:space="0" w:color="auto"/>
            </w:tcBorders>
          </w:tcPr>
          <w:p w14:paraId="5D7A665F" w14:textId="77777777" w:rsidR="00D42D26" w:rsidRPr="007D0AA8" w:rsidRDefault="00D42D26" w:rsidP="001A2B6F">
            <w:pPr>
              <w:spacing w:after="0" w:line="240" w:lineRule="auto"/>
              <w:rPr>
                <w:rFonts w:ascii="Arial Narrow" w:hAnsi="Arial Narrow" w:cs="Calibri"/>
                <w:color w:val="000000"/>
                <w:sz w:val="20"/>
                <w:szCs w:val="20"/>
              </w:rPr>
            </w:pPr>
          </w:p>
        </w:tc>
        <w:tc>
          <w:tcPr>
            <w:tcW w:w="2146" w:type="dxa"/>
            <w:tcBorders>
              <w:top w:val="single" w:sz="4" w:space="0" w:color="auto"/>
              <w:left w:val="single" w:sz="4" w:space="0" w:color="auto"/>
              <w:bottom w:val="nil"/>
              <w:right w:val="single" w:sz="4" w:space="0" w:color="auto"/>
            </w:tcBorders>
            <w:shd w:val="clear" w:color="auto" w:fill="F2F2F2" w:themeFill="background1" w:themeFillShade="F2"/>
          </w:tcPr>
          <w:p w14:paraId="3BB62759" w14:textId="77777777" w:rsidR="00D42D26" w:rsidRPr="007D0AA8" w:rsidRDefault="00D42D26" w:rsidP="001A2B6F">
            <w:pPr>
              <w:spacing w:after="0" w:line="240" w:lineRule="auto"/>
              <w:rPr>
                <w:rFonts w:ascii="Arial Narrow" w:hAnsi="Arial Narrow"/>
                <w:sz w:val="20"/>
              </w:rPr>
            </w:pPr>
            <w:r w:rsidRPr="007D0AA8">
              <w:rPr>
                <w:rFonts w:ascii="Arial Narrow" w:hAnsi="Arial Narrow"/>
                <w:sz w:val="20"/>
              </w:rPr>
              <w:t>Treated ambulatory</w:t>
            </w:r>
          </w:p>
        </w:tc>
        <w:tc>
          <w:tcPr>
            <w:tcW w:w="2199" w:type="dxa"/>
            <w:gridSpan w:val="2"/>
            <w:tcBorders>
              <w:top w:val="single" w:sz="4" w:space="0" w:color="auto"/>
              <w:left w:val="single" w:sz="4" w:space="0" w:color="auto"/>
              <w:bottom w:val="nil"/>
            </w:tcBorders>
            <w:shd w:val="clear" w:color="auto" w:fill="F2F2F2" w:themeFill="background1" w:themeFillShade="F2"/>
            <w:noWrap/>
          </w:tcPr>
          <w:p w14:paraId="56105D31" w14:textId="77777777" w:rsidR="00D42D26" w:rsidRPr="007D0AA8" w:rsidRDefault="00D42D26" w:rsidP="001A2B6F">
            <w:pPr>
              <w:spacing w:after="0" w:line="240" w:lineRule="auto"/>
              <w:jc w:val="right"/>
              <w:rPr>
                <w:rFonts w:ascii="Arial Narrow" w:hAnsi="Arial Narrow"/>
                <w:sz w:val="20"/>
              </w:rPr>
            </w:pPr>
          </w:p>
        </w:tc>
        <w:tc>
          <w:tcPr>
            <w:tcW w:w="2190" w:type="dxa"/>
            <w:tcBorders>
              <w:top w:val="single" w:sz="4" w:space="0" w:color="auto"/>
              <w:bottom w:val="nil"/>
            </w:tcBorders>
            <w:shd w:val="clear" w:color="auto" w:fill="F2F2F2" w:themeFill="background1" w:themeFillShade="F2"/>
            <w:noWrap/>
          </w:tcPr>
          <w:p w14:paraId="4CD4152A" w14:textId="77777777" w:rsidR="00D42D26" w:rsidRPr="007D0AA8" w:rsidRDefault="00D42D26" w:rsidP="001A2B6F">
            <w:pPr>
              <w:spacing w:after="0" w:line="240" w:lineRule="auto"/>
              <w:jc w:val="right"/>
              <w:rPr>
                <w:rFonts w:ascii="Arial Narrow" w:hAnsi="Arial Narrow"/>
                <w:sz w:val="20"/>
              </w:rPr>
            </w:pPr>
          </w:p>
        </w:tc>
        <w:tc>
          <w:tcPr>
            <w:tcW w:w="1103" w:type="dxa"/>
            <w:gridSpan w:val="2"/>
            <w:tcBorders>
              <w:top w:val="single" w:sz="4" w:space="0" w:color="auto"/>
              <w:bottom w:val="nil"/>
              <w:right w:val="single" w:sz="4" w:space="0" w:color="auto"/>
            </w:tcBorders>
            <w:shd w:val="clear" w:color="auto" w:fill="F2F2F2" w:themeFill="background1" w:themeFillShade="F2"/>
          </w:tcPr>
          <w:p w14:paraId="7F3CC977" w14:textId="77777777" w:rsidR="00D42D26" w:rsidRPr="007D0AA8" w:rsidRDefault="00D42D26" w:rsidP="001A2B6F">
            <w:pPr>
              <w:spacing w:after="0" w:line="240" w:lineRule="auto"/>
              <w:jc w:val="right"/>
              <w:rPr>
                <w:rFonts w:ascii="Arial Narrow" w:hAnsi="Arial Narrow"/>
                <w:sz w:val="20"/>
                <w:szCs w:val="20"/>
              </w:rPr>
            </w:pPr>
          </w:p>
        </w:tc>
      </w:tr>
      <w:tr w:rsidR="00D42D26" w:rsidRPr="007D0AA8" w14:paraId="6382975A" w14:textId="77777777" w:rsidTr="001A2B6F">
        <w:trPr>
          <w:jc w:val="center"/>
        </w:trPr>
        <w:tc>
          <w:tcPr>
            <w:tcW w:w="1425" w:type="dxa"/>
            <w:tcBorders>
              <w:top w:val="nil"/>
              <w:left w:val="single" w:sz="4" w:space="0" w:color="auto"/>
              <w:bottom w:val="nil"/>
              <w:right w:val="single" w:sz="4" w:space="0" w:color="auto"/>
            </w:tcBorders>
          </w:tcPr>
          <w:p w14:paraId="46D428A8" w14:textId="77777777" w:rsidR="00D42D26" w:rsidRPr="007D0AA8" w:rsidRDefault="00D42D26" w:rsidP="001A2B6F">
            <w:pPr>
              <w:spacing w:after="0" w:line="240" w:lineRule="auto"/>
              <w:rPr>
                <w:rFonts w:ascii="Arial Narrow" w:hAnsi="Arial Narrow" w:cs="Calibri"/>
                <w:color w:val="000000"/>
                <w:sz w:val="20"/>
                <w:szCs w:val="20"/>
              </w:rPr>
            </w:pPr>
          </w:p>
        </w:tc>
        <w:tc>
          <w:tcPr>
            <w:tcW w:w="2146" w:type="dxa"/>
            <w:tcBorders>
              <w:top w:val="nil"/>
              <w:left w:val="single" w:sz="4" w:space="0" w:color="auto"/>
              <w:bottom w:val="nil"/>
              <w:right w:val="single" w:sz="4" w:space="0" w:color="auto"/>
            </w:tcBorders>
          </w:tcPr>
          <w:p w14:paraId="54289B15" w14:textId="77777777" w:rsidR="00D42D26" w:rsidRPr="007D0AA8" w:rsidRDefault="00D42D26" w:rsidP="00331FB9">
            <w:pPr>
              <w:pStyle w:val="ListParagraph"/>
              <w:numPr>
                <w:ilvl w:val="0"/>
                <w:numId w:val="15"/>
              </w:numPr>
              <w:spacing w:after="0" w:line="240" w:lineRule="auto"/>
              <w:ind w:left="172" w:hanging="123"/>
              <w:rPr>
                <w:rFonts w:ascii="Arial Narrow" w:hAnsi="Arial Narrow"/>
                <w:sz w:val="20"/>
              </w:rPr>
            </w:pPr>
            <w:r w:rsidRPr="007D0AA8">
              <w:rPr>
                <w:rFonts w:ascii="Arial Narrow" w:hAnsi="Arial Narrow"/>
                <w:sz w:val="20"/>
              </w:rPr>
              <w:t>Fever, URI</w:t>
            </w:r>
          </w:p>
        </w:tc>
        <w:tc>
          <w:tcPr>
            <w:tcW w:w="934" w:type="dxa"/>
            <w:tcBorders>
              <w:top w:val="nil"/>
              <w:left w:val="single" w:sz="4" w:space="0" w:color="auto"/>
              <w:bottom w:val="nil"/>
            </w:tcBorders>
            <w:shd w:val="clear" w:color="auto" w:fill="auto"/>
            <w:noWrap/>
          </w:tcPr>
          <w:p w14:paraId="34D25D9B"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5</w:t>
            </w:r>
          </w:p>
        </w:tc>
        <w:tc>
          <w:tcPr>
            <w:tcW w:w="1265" w:type="dxa"/>
            <w:tcBorders>
              <w:top w:val="nil"/>
              <w:left w:val="single" w:sz="4" w:space="0" w:color="auto"/>
              <w:bottom w:val="nil"/>
            </w:tcBorders>
            <w:shd w:val="clear" w:color="auto" w:fill="auto"/>
          </w:tcPr>
          <w:p w14:paraId="055DC925"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6</w:t>
            </w:r>
          </w:p>
        </w:tc>
        <w:tc>
          <w:tcPr>
            <w:tcW w:w="2190" w:type="dxa"/>
            <w:tcBorders>
              <w:top w:val="nil"/>
              <w:bottom w:val="nil"/>
            </w:tcBorders>
            <w:shd w:val="clear" w:color="auto" w:fill="auto"/>
            <w:noWrap/>
          </w:tcPr>
          <w:p w14:paraId="79FA4F01"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szCs w:val="20"/>
              </w:rPr>
              <w:t>9</w:t>
            </w:r>
          </w:p>
        </w:tc>
        <w:tc>
          <w:tcPr>
            <w:tcW w:w="1103" w:type="dxa"/>
            <w:gridSpan w:val="2"/>
            <w:tcBorders>
              <w:top w:val="nil"/>
              <w:bottom w:val="nil"/>
              <w:right w:val="single" w:sz="4" w:space="0" w:color="auto"/>
            </w:tcBorders>
          </w:tcPr>
          <w:p w14:paraId="12B5CCE8" w14:textId="77777777" w:rsidR="00D42D26" w:rsidRPr="007D0AA8" w:rsidRDefault="00D42D26" w:rsidP="001A2B6F">
            <w:pPr>
              <w:spacing w:after="0" w:line="240" w:lineRule="auto"/>
              <w:jc w:val="right"/>
              <w:rPr>
                <w:rFonts w:ascii="Arial Narrow" w:hAnsi="Arial Narrow"/>
                <w:sz w:val="20"/>
                <w:szCs w:val="20"/>
              </w:rPr>
            </w:pPr>
          </w:p>
        </w:tc>
      </w:tr>
      <w:tr w:rsidR="00D42D26" w:rsidRPr="007D0AA8" w14:paraId="552F96A1" w14:textId="77777777" w:rsidTr="001A2B6F">
        <w:trPr>
          <w:jc w:val="center"/>
        </w:trPr>
        <w:tc>
          <w:tcPr>
            <w:tcW w:w="1425" w:type="dxa"/>
            <w:tcBorders>
              <w:top w:val="nil"/>
              <w:left w:val="single" w:sz="4" w:space="0" w:color="auto"/>
              <w:bottom w:val="nil"/>
              <w:right w:val="single" w:sz="4" w:space="0" w:color="auto"/>
            </w:tcBorders>
          </w:tcPr>
          <w:p w14:paraId="23F544F1" w14:textId="77777777" w:rsidR="00D42D26" w:rsidRPr="007D0AA8" w:rsidRDefault="00D42D26" w:rsidP="001A2B6F">
            <w:pPr>
              <w:spacing w:after="0" w:line="240" w:lineRule="auto"/>
              <w:rPr>
                <w:rFonts w:ascii="Arial Narrow" w:hAnsi="Arial Narrow" w:cs="Calibri"/>
                <w:color w:val="000000"/>
                <w:sz w:val="20"/>
                <w:szCs w:val="20"/>
              </w:rPr>
            </w:pPr>
          </w:p>
        </w:tc>
        <w:tc>
          <w:tcPr>
            <w:tcW w:w="2146" w:type="dxa"/>
            <w:tcBorders>
              <w:top w:val="nil"/>
              <w:left w:val="single" w:sz="4" w:space="0" w:color="auto"/>
              <w:bottom w:val="nil"/>
              <w:right w:val="single" w:sz="4" w:space="0" w:color="auto"/>
            </w:tcBorders>
          </w:tcPr>
          <w:p w14:paraId="1362A4F3" w14:textId="77777777" w:rsidR="00D42D26" w:rsidRPr="007D0AA8" w:rsidRDefault="00D42D26" w:rsidP="00331FB9">
            <w:pPr>
              <w:pStyle w:val="ListParagraph"/>
              <w:numPr>
                <w:ilvl w:val="0"/>
                <w:numId w:val="15"/>
              </w:numPr>
              <w:spacing w:after="0" w:line="240" w:lineRule="auto"/>
              <w:ind w:left="172" w:hanging="123"/>
              <w:rPr>
                <w:rFonts w:ascii="Arial Narrow" w:hAnsi="Arial Narrow"/>
                <w:sz w:val="20"/>
              </w:rPr>
            </w:pPr>
            <w:r w:rsidRPr="007D0AA8">
              <w:rPr>
                <w:rFonts w:ascii="Arial Narrow" w:hAnsi="Arial Narrow"/>
                <w:sz w:val="20"/>
              </w:rPr>
              <w:t>Bronchitis</w:t>
            </w:r>
          </w:p>
        </w:tc>
        <w:tc>
          <w:tcPr>
            <w:tcW w:w="934" w:type="dxa"/>
            <w:tcBorders>
              <w:top w:val="nil"/>
              <w:left w:val="single" w:sz="4" w:space="0" w:color="auto"/>
              <w:bottom w:val="nil"/>
            </w:tcBorders>
            <w:shd w:val="clear" w:color="auto" w:fill="auto"/>
            <w:noWrap/>
          </w:tcPr>
          <w:p w14:paraId="4A5EB81F"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7</w:t>
            </w:r>
          </w:p>
        </w:tc>
        <w:tc>
          <w:tcPr>
            <w:tcW w:w="1265" w:type="dxa"/>
            <w:tcBorders>
              <w:top w:val="nil"/>
              <w:left w:val="single" w:sz="4" w:space="0" w:color="auto"/>
              <w:bottom w:val="nil"/>
            </w:tcBorders>
            <w:shd w:val="clear" w:color="auto" w:fill="auto"/>
          </w:tcPr>
          <w:p w14:paraId="2ECA5FCB"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4</w:t>
            </w:r>
          </w:p>
        </w:tc>
        <w:tc>
          <w:tcPr>
            <w:tcW w:w="2190" w:type="dxa"/>
            <w:tcBorders>
              <w:top w:val="nil"/>
              <w:bottom w:val="nil"/>
            </w:tcBorders>
            <w:shd w:val="clear" w:color="auto" w:fill="auto"/>
            <w:noWrap/>
          </w:tcPr>
          <w:p w14:paraId="24C9C31E"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szCs w:val="20"/>
              </w:rPr>
              <w:t>3</w:t>
            </w:r>
          </w:p>
        </w:tc>
        <w:tc>
          <w:tcPr>
            <w:tcW w:w="1103" w:type="dxa"/>
            <w:gridSpan w:val="2"/>
            <w:tcBorders>
              <w:top w:val="nil"/>
              <w:bottom w:val="nil"/>
              <w:right w:val="single" w:sz="4" w:space="0" w:color="auto"/>
            </w:tcBorders>
          </w:tcPr>
          <w:p w14:paraId="6B4F1D9A" w14:textId="77777777" w:rsidR="00D42D26" w:rsidRPr="007D0AA8" w:rsidRDefault="00D42D26" w:rsidP="001A2B6F">
            <w:pPr>
              <w:spacing w:after="0" w:line="240" w:lineRule="auto"/>
              <w:jc w:val="right"/>
              <w:rPr>
                <w:rFonts w:ascii="Arial Narrow" w:hAnsi="Arial Narrow"/>
                <w:sz w:val="20"/>
                <w:szCs w:val="20"/>
              </w:rPr>
            </w:pPr>
          </w:p>
        </w:tc>
      </w:tr>
      <w:tr w:rsidR="00D42D26" w:rsidRPr="007D0AA8" w14:paraId="2F030737" w14:textId="77777777" w:rsidTr="001A2B6F">
        <w:trPr>
          <w:jc w:val="center"/>
        </w:trPr>
        <w:tc>
          <w:tcPr>
            <w:tcW w:w="1425" w:type="dxa"/>
            <w:tcBorders>
              <w:top w:val="nil"/>
              <w:left w:val="single" w:sz="4" w:space="0" w:color="auto"/>
              <w:bottom w:val="nil"/>
              <w:right w:val="single" w:sz="4" w:space="0" w:color="auto"/>
            </w:tcBorders>
          </w:tcPr>
          <w:p w14:paraId="1DB277BB" w14:textId="77777777" w:rsidR="00D42D26" w:rsidRPr="007D0AA8" w:rsidRDefault="00D42D26" w:rsidP="001A2B6F">
            <w:pPr>
              <w:spacing w:after="0" w:line="240" w:lineRule="auto"/>
              <w:rPr>
                <w:rFonts w:ascii="Arial Narrow" w:hAnsi="Arial Narrow" w:cs="Calibri"/>
                <w:color w:val="000000"/>
                <w:sz w:val="20"/>
                <w:szCs w:val="20"/>
              </w:rPr>
            </w:pPr>
          </w:p>
        </w:tc>
        <w:tc>
          <w:tcPr>
            <w:tcW w:w="2146" w:type="dxa"/>
            <w:tcBorders>
              <w:top w:val="nil"/>
              <w:left w:val="single" w:sz="4" w:space="0" w:color="auto"/>
              <w:bottom w:val="nil"/>
              <w:right w:val="single" w:sz="4" w:space="0" w:color="auto"/>
            </w:tcBorders>
          </w:tcPr>
          <w:p w14:paraId="62A80138" w14:textId="77777777" w:rsidR="00D42D26" w:rsidRPr="007D0AA8" w:rsidRDefault="00D42D26" w:rsidP="00331FB9">
            <w:pPr>
              <w:pStyle w:val="ListParagraph"/>
              <w:numPr>
                <w:ilvl w:val="0"/>
                <w:numId w:val="15"/>
              </w:numPr>
              <w:spacing w:after="0" w:line="240" w:lineRule="auto"/>
              <w:ind w:left="172" w:hanging="123"/>
              <w:rPr>
                <w:rFonts w:ascii="Arial Narrow" w:hAnsi="Arial Narrow"/>
                <w:sz w:val="20"/>
              </w:rPr>
            </w:pPr>
            <w:r w:rsidRPr="007D0AA8">
              <w:rPr>
                <w:rFonts w:ascii="Arial Narrow" w:hAnsi="Arial Narrow"/>
                <w:sz w:val="20"/>
              </w:rPr>
              <w:t>Others</w:t>
            </w:r>
          </w:p>
        </w:tc>
        <w:tc>
          <w:tcPr>
            <w:tcW w:w="934" w:type="dxa"/>
            <w:tcBorders>
              <w:top w:val="nil"/>
              <w:left w:val="single" w:sz="4" w:space="0" w:color="auto"/>
              <w:bottom w:val="nil"/>
            </w:tcBorders>
            <w:shd w:val="clear" w:color="auto" w:fill="auto"/>
            <w:noWrap/>
          </w:tcPr>
          <w:p w14:paraId="6243BBB3"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3</w:t>
            </w:r>
          </w:p>
        </w:tc>
        <w:tc>
          <w:tcPr>
            <w:tcW w:w="1265" w:type="dxa"/>
            <w:tcBorders>
              <w:top w:val="nil"/>
              <w:left w:val="single" w:sz="4" w:space="0" w:color="auto"/>
              <w:bottom w:val="nil"/>
            </w:tcBorders>
            <w:shd w:val="clear" w:color="auto" w:fill="auto"/>
          </w:tcPr>
          <w:p w14:paraId="5B84B39E"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1</w:t>
            </w:r>
          </w:p>
        </w:tc>
        <w:tc>
          <w:tcPr>
            <w:tcW w:w="2190" w:type="dxa"/>
            <w:tcBorders>
              <w:top w:val="nil"/>
              <w:bottom w:val="nil"/>
            </w:tcBorders>
            <w:shd w:val="clear" w:color="auto" w:fill="auto"/>
            <w:noWrap/>
          </w:tcPr>
          <w:p w14:paraId="0CEB9C54"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szCs w:val="20"/>
              </w:rPr>
              <w:t>0</w:t>
            </w:r>
          </w:p>
        </w:tc>
        <w:tc>
          <w:tcPr>
            <w:tcW w:w="1103" w:type="dxa"/>
            <w:gridSpan w:val="2"/>
            <w:tcBorders>
              <w:top w:val="nil"/>
              <w:bottom w:val="nil"/>
              <w:right w:val="single" w:sz="4" w:space="0" w:color="auto"/>
            </w:tcBorders>
          </w:tcPr>
          <w:p w14:paraId="45D8F385" w14:textId="77777777" w:rsidR="00D42D26" w:rsidRPr="007D0AA8" w:rsidRDefault="00D42D26" w:rsidP="001A2B6F">
            <w:pPr>
              <w:spacing w:after="0" w:line="240" w:lineRule="auto"/>
              <w:jc w:val="right"/>
              <w:rPr>
                <w:rFonts w:ascii="Arial Narrow" w:hAnsi="Arial Narrow"/>
                <w:sz w:val="20"/>
                <w:szCs w:val="20"/>
              </w:rPr>
            </w:pPr>
          </w:p>
        </w:tc>
      </w:tr>
      <w:tr w:rsidR="00D42D26" w:rsidRPr="007D0AA8" w14:paraId="14F8CA3F" w14:textId="77777777" w:rsidTr="001A2B6F">
        <w:trPr>
          <w:jc w:val="center"/>
        </w:trPr>
        <w:tc>
          <w:tcPr>
            <w:tcW w:w="1425" w:type="dxa"/>
            <w:tcBorders>
              <w:top w:val="nil"/>
              <w:left w:val="single" w:sz="4" w:space="0" w:color="auto"/>
              <w:bottom w:val="nil"/>
              <w:right w:val="single" w:sz="4" w:space="0" w:color="auto"/>
            </w:tcBorders>
          </w:tcPr>
          <w:p w14:paraId="223890EA" w14:textId="77777777" w:rsidR="00D42D26" w:rsidRPr="007D0AA8" w:rsidRDefault="00D42D26" w:rsidP="001A2B6F">
            <w:pPr>
              <w:spacing w:after="0" w:line="240" w:lineRule="auto"/>
              <w:rPr>
                <w:rFonts w:ascii="Arial Narrow" w:hAnsi="Arial Narrow" w:cs="Calibri"/>
                <w:color w:val="000000"/>
                <w:sz w:val="20"/>
                <w:szCs w:val="20"/>
              </w:rPr>
            </w:pPr>
          </w:p>
        </w:tc>
        <w:tc>
          <w:tcPr>
            <w:tcW w:w="2146" w:type="dxa"/>
            <w:tcBorders>
              <w:top w:val="nil"/>
              <w:left w:val="single" w:sz="4" w:space="0" w:color="auto"/>
              <w:bottom w:val="single" w:sz="4" w:space="0" w:color="auto"/>
              <w:right w:val="single" w:sz="4" w:space="0" w:color="auto"/>
            </w:tcBorders>
          </w:tcPr>
          <w:p w14:paraId="6F1C22DE" w14:textId="77777777" w:rsidR="00D42D26" w:rsidRPr="007D0AA8" w:rsidRDefault="00D42D26" w:rsidP="001A2B6F">
            <w:pPr>
              <w:spacing w:after="0" w:line="240" w:lineRule="auto"/>
              <w:rPr>
                <w:rFonts w:ascii="Arial Narrow" w:hAnsi="Arial Narrow"/>
                <w:sz w:val="20"/>
              </w:rPr>
            </w:pPr>
            <w:r w:rsidRPr="007D0AA8">
              <w:rPr>
                <w:rFonts w:ascii="Arial Narrow" w:hAnsi="Arial Narrow"/>
                <w:sz w:val="20"/>
              </w:rPr>
              <w:t>All treated ambulatory</w:t>
            </w:r>
          </w:p>
        </w:tc>
        <w:tc>
          <w:tcPr>
            <w:tcW w:w="934" w:type="dxa"/>
            <w:tcBorders>
              <w:top w:val="nil"/>
              <w:left w:val="single" w:sz="4" w:space="0" w:color="auto"/>
              <w:bottom w:val="single" w:sz="4" w:space="0" w:color="auto"/>
            </w:tcBorders>
            <w:shd w:val="clear" w:color="auto" w:fill="auto"/>
            <w:noWrap/>
          </w:tcPr>
          <w:p w14:paraId="257291E4"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15</w:t>
            </w:r>
          </w:p>
        </w:tc>
        <w:tc>
          <w:tcPr>
            <w:tcW w:w="1265" w:type="dxa"/>
            <w:tcBorders>
              <w:top w:val="nil"/>
              <w:left w:val="single" w:sz="4" w:space="0" w:color="auto"/>
              <w:bottom w:val="single" w:sz="4" w:space="0" w:color="auto"/>
            </w:tcBorders>
            <w:shd w:val="clear" w:color="auto" w:fill="auto"/>
          </w:tcPr>
          <w:p w14:paraId="37539964"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11</w:t>
            </w:r>
          </w:p>
        </w:tc>
        <w:tc>
          <w:tcPr>
            <w:tcW w:w="2190" w:type="dxa"/>
            <w:tcBorders>
              <w:top w:val="nil"/>
              <w:bottom w:val="single" w:sz="4" w:space="0" w:color="auto"/>
            </w:tcBorders>
            <w:shd w:val="clear" w:color="auto" w:fill="auto"/>
            <w:noWrap/>
          </w:tcPr>
          <w:p w14:paraId="1D3068B2"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szCs w:val="20"/>
              </w:rPr>
              <w:t>12</w:t>
            </w:r>
          </w:p>
        </w:tc>
        <w:tc>
          <w:tcPr>
            <w:tcW w:w="1103" w:type="dxa"/>
            <w:gridSpan w:val="2"/>
            <w:tcBorders>
              <w:top w:val="nil"/>
              <w:bottom w:val="single" w:sz="4" w:space="0" w:color="auto"/>
              <w:right w:val="single" w:sz="4" w:space="0" w:color="auto"/>
            </w:tcBorders>
          </w:tcPr>
          <w:p w14:paraId="652D468F" w14:textId="77777777" w:rsidR="00D42D26" w:rsidRPr="007D0AA8" w:rsidRDefault="00D42D26" w:rsidP="001A2B6F">
            <w:pPr>
              <w:spacing w:after="0" w:line="240" w:lineRule="auto"/>
              <w:jc w:val="right"/>
              <w:rPr>
                <w:rFonts w:ascii="Arial Narrow" w:hAnsi="Arial Narrow"/>
                <w:sz w:val="20"/>
                <w:szCs w:val="20"/>
              </w:rPr>
            </w:pPr>
          </w:p>
        </w:tc>
      </w:tr>
      <w:tr w:rsidR="00D42D26" w:rsidRPr="007D0AA8" w14:paraId="1D2AB4EE" w14:textId="77777777" w:rsidTr="001A2B6F">
        <w:trPr>
          <w:jc w:val="center"/>
        </w:trPr>
        <w:tc>
          <w:tcPr>
            <w:tcW w:w="1425" w:type="dxa"/>
            <w:tcBorders>
              <w:top w:val="nil"/>
              <w:left w:val="single" w:sz="4" w:space="0" w:color="auto"/>
              <w:bottom w:val="nil"/>
              <w:right w:val="single" w:sz="4" w:space="0" w:color="auto"/>
            </w:tcBorders>
          </w:tcPr>
          <w:p w14:paraId="277394C0" w14:textId="77777777" w:rsidR="00D42D26" w:rsidRPr="007D0AA8" w:rsidRDefault="00D42D26" w:rsidP="001A2B6F">
            <w:pPr>
              <w:spacing w:after="0" w:line="240" w:lineRule="auto"/>
              <w:rPr>
                <w:rFonts w:ascii="Arial Narrow" w:hAnsi="Arial Narrow" w:cs="Calibri"/>
                <w:color w:val="000000"/>
                <w:sz w:val="20"/>
                <w:szCs w:val="20"/>
              </w:rPr>
            </w:pPr>
          </w:p>
        </w:tc>
        <w:tc>
          <w:tcPr>
            <w:tcW w:w="2146" w:type="dxa"/>
            <w:tcBorders>
              <w:top w:val="single" w:sz="4" w:space="0" w:color="auto"/>
              <w:left w:val="single" w:sz="4" w:space="0" w:color="auto"/>
              <w:bottom w:val="single" w:sz="4" w:space="0" w:color="auto"/>
              <w:right w:val="single" w:sz="4" w:space="0" w:color="auto"/>
            </w:tcBorders>
          </w:tcPr>
          <w:p w14:paraId="181E56A1" w14:textId="77777777" w:rsidR="00D42D26" w:rsidRPr="007D0AA8" w:rsidRDefault="00D42D26" w:rsidP="001A2B6F">
            <w:pPr>
              <w:spacing w:after="0" w:line="240" w:lineRule="auto"/>
              <w:rPr>
                <w:rFonts w:ascii="Arial Narrow" w:hAnsi="Arial Narrow"/>
                <w:sz w:val="20"/>
              </w:rPr>
            </w:pPr>
            <w:r w:rsidRPr="007D0AA8">
              <w:rPr>
                <w:rFonts w:ascii="Arial Narrow" w:hAnsi="Arial Narrow"/>
                <w:sz w:val="20"/>
              </w:rPr>
              <w:t xml:space="preserve">All infections in CLL patients </w:t>
            </w:r>
          </w:p>
        </w:tc>
        <w:tc>
          <w:tcPr>
            <w:tcW w:w="934" w:type="dxa"/>
            <w:tcBorders>
              <w:top w:val="single" w:sz="4" w:space="0" w:color="auto"/>
              <w:left w:val="single" w:sz="4" w:space="0" w:color="auto"/>
              <w:bottom w:val="single" w:sz="4" w:space="0" w:color="auto"/>
            </w:tcBorders>
            <w:shd w:val="clear" w:color="auto" w:fill="auto"/>
            <w:noWrap/>
          </w:tcPr>
          <w:p w14:paraId="5EEE1FE6"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47</w:t>
            </w:r>
          </w:p>
        </w:tc>
        <w:tc>
          <w:tcPr>
            <w:tcW w:w="1265" w:type="dxa"/>
            <w:tcBorders>
              <w:top w:val="single" w:sz="4" w:space="0" w:color="auto"/>
              <w:left w:val="single" w:sz="4" w:space="0" w:color="auto"/>
              <w:bottom w:val="single" w:sz="4" w:space="0" w:color="auto"/>
            </w:tcBorders>
            <w:shd w:val="clear" w:color="auto" w:fill="auto"/>
          </w:tcPr>
          <w:p w14:paraId="704AAA58"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32</w:t>
            </w:r>
          </w:p>
        </w:tc>
        <w:tc>
          <w:tcPr>
            <w:tcW w:w="2190" w:type="dxa"/>
            <w:tcBorders>
              <w:top w:val="single" w:sz="4" w:space="0" w:color="auto"/>
              <w:bottom w:val="single" w:sz="4" w:space="0" w:color="auto"/>
            </w:tcBorders>
            <w:shd w:val="clear" w:color="auto" w:fill="auto"/>
            <w:noWrap/>
          </w:tcPr>
          <w:p w14:paraId="7B75F278"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szCs w:val="20"/>
              </w:rPr>
              <w:t>26</w:t>
            </w:r>
          </w:p>
        </w:tc>
        <w:tc>
          <w:tcPr>
            <w:tcW w:w="1103" w:type="dxa"/>
            <w:gridSpan w:val="2"/>
            <w:tcBorders>
              <w:top w:val="single" w:sz="4" w:space="0" w:color="auto"/>
              <w:bottom w:val="single" w:sz="4" w:space="0" w:color="auto"/>
              <w:right w:val="single" w:sz="4" w:space="0" w:color="auto"/>
            </w:tcBorders>
          </w:tcPr>
          <w:p w14:paraId="76E3D336" w14:textId="77777777" w:rsidR="00D42D26" w:rsidRPr="007D0AA8" w:rsidRDefault="00D42D26" w:rsidP="001A2B6F">
            <w:pPr>
              <w:spacing w:after="0" w:line="240" w:lineRule="auto"/>
              <w:jc w:val="right"/>
              <w:rPr>
                <w:rFonts w:ascii="Arial Narrow" w:hAnsi="Arial Narrow"/>
                <w:sz w:val="20"/>
                <w:szCs w:val="20"/>
              </w:rPr>
            </w:pPr>
          </w:p>
        </w:tc>
      </w:tr>
      <w:tr w:rsidR="00D42D26" w:rsidRPr="007D0AA8" w14:paraId="41543916" w14:textId="77777777" w:rsidTr="001A2B6F">
        <w:trPr>
          <w:jc w:val="center"/>
        </w:trPr>
        <w:tc>
          <w:tcPr>
            <w:tcW w:w="1425" w:type="dxa"/>
            <w:tcBorders>
              <w:top w:val="nil"/>
              <w:left w:val="single" w:sz="4" w:space="0" w:color="auto"/>
              <w:bottom w:val="nil"/>
              <w:right w:val="single" w:sz="4" w:space="0" w:color="auto"/>
            </w:tcBorders>
          </w:tcPr>
          <w:p w14:paraId="0A6BE11C" w14:textId="77777777" w:rsidR="00D42D26" w:rsidRPr="007D0AA8" w:rsidRDefault="00D42D26" w:rsidP="001A2B6F">
            <w:pPr>
              <w:spacing w:after="0" w:line="240" w:lineRule="auto"/>
              <w:rPr>
                <w:rFonts w:ascii="Arial Narrow" w:hAnsi="Arial Narrow" w:cs="Calibri"/>
                <w:color w:val="000000"/>
                <w:sz w:val="20"/>
                <w:szCs w:val="20"/>
              </w:rPr>
            </w:pPr>
          </w:p>
        </w:tc>
        <w:tc>
          <w:tcPr>
            <w:tcW w:w="2146" w:type="dxa"/>
            <w:tcBorders>
              <w:top w:val="single" w:sz="4" w:space="0" w:color="auto"/>
              <w:left w:val="single" w:sz="4" w:space="0" w:color="auto"/>
              <w:bottom w:val="nil"/>
              <w:right w:val="single" w:sz="4" w:space="0" w:color="auto"/>
            </w:tcBorders>
          </w:tcPr>
          <w:p w14:paraId="67A7B00F" w14:textId="77777777" w:rsidR="00D42D26" w:rsidRPr="007D0AA8" w:rsidRDefault="00D42D26" w:rsidP="001A2B6F">
            <w:pPr>
              <w:spacing w:after="0" w:line="240" w:lineRule="auto"/>
              <w:rPr>
                <w:rFonts w:ascii="Arial Narrow" w:hAnsi="Arial Narrow"/>
                <w:sz w:val="20"/>
              </w:rPr>
            </w:pPr>
            <w:r w:rsidRPr="007D0AA8">
              <w:rPr>
                <w:rFonts w:ascii="Arial Narrow" w:hAnsi="Arial Narrow"/>
                <w:sz w:val="20"/>
              </w:rPr>
              <w:t>Infections in MM patients</w:t>
            </w:r>
          </w:p>
        </w:tc>
        <w:tc>
          <w:tcPr>
            <w:tcW w:w="934" w:type="dxa"/>
            <w:tcBorders>
              <w:top w:val="single" w:sz="4" w:space="0" w:color="auto"/>
              <w:left w:val="single" w:sz="4" w:space="0" w:color="auto"/>
              <w:bottom w:val="nil"/>
              <w:right w:val="nil"/>
            </w:tcBorders>
            <w:shd w:val="clear" w:color="auto" w:fill="auto"/>
            <w:noWrap/>
          </w:tcPr>
          <w:p w14:paraId="271A14D4" w14:textId="77777777" w:rsidR="00D42D26" w:rsidRPr="007D0AA8" w:rsidRDefault="00D42D26" w:rsidP="001A2B6F">
            <w:pPr>
              <w:spacing w:after="0" w:line="240" w:lineRule="auto"/>
              <w:jc w:val="right"/>
              <w:rPr>
                <w:rFonts w:ascii="Arial Narrow" w:hAnsi="Arial Narrow"/>
                <w:sz w:val="20"/>
              </w:rPr>
            </w:pPr>
          </w:p>
        </w:tc>
        <w:tc>
          <w:tcPr>
            <w:tcW w:w="1265" w:type="dxa"/>
            <w:tcBorders>
              <w:top w:val="single" w:sz="4" w:space="0" w:color="auto"/>
              <w:left w:val="single" w:sz="4" w:space="0" w:color="auto"/>
              <w:bottom w:val="nil"/>
              <w:right w:val="nil"/>
            </w:tcBorders>
            <w:shd w:val="clear" w:color="auto" w:fill="auto"/>
          </w:tcPr>
          <w:p w14:paraId="2E9DD9A4" w14:textId="77777777" w:rsidR="00D42D26" w:rsidRPr="007D0AA8" w:rsidRDefault="00D42D26" w:rsidP="001A2B6F">
            <w:pPr>
              <w:spacing w:after="0" w:line="240" w:lineRule="auto"/>
              <w:jc w:val="right"/>
              <w:rPr>
                <w:rFonts w:ascii="Arial Narrow" w:hAnsi="Arial Narrow"/>
                <w:sz w:val="20"/>
              </w:rPr>
            </w:pPr>
          </w:p>
        </w:tc>
        <w:tc>
          <w:tcPr>
            <w:tcW w:w="2190" w:type="dxa"/>
            <w:tcBorders>
              <w:top w:val="single" w:sz="4" w:space="0" w:color="auto"/>
              <w:left w:val="nil"/>
              <w:bottom w:val="nil"/>
              <w:right w:val="nil"/>
            </w:tcBorders>
            <w:shd w:val="clear" w:color="auto" w:fill="auto"/>
            <w:noWrap/>
          </w:tcPr>
          <w:p w14:paraId="78B32D22" w14:textId="77777777" w:rsidR="00D42D26" w:rsidRPr="007D0AA8" w:rsidRDefault="00D42D26" w:rsidP="001A2B6F">
            <w:pPr>
              <w:spacing w:after="0" w:line="240" w:lineRule="auto"/>
              <w:jc w:val="right"/>
              <w:rPr>
                <w:rFonts w:ascii="Arial Narrow" w:hAnsi="Arial Narrow"/>
                <w:sz w:val="20"/>
              </w:rPr>
            </w:pPr>
          </w:p>
        </w:tc>
        <w:tc>
          <w:tcPr>
            <w:tcW w:w="1103" w:type="dxa"/>
            <w:gridSpan w:val="2"/>
            <w:tcBorders>
              <w:top w:val="single" w:sz="4" w:space="0" w:color="auto"/>
              <w:left w:val="nil"/>
              <w:bottom w:val="nil"/>
              <w:right w:val="single" w:sz="4" w:space="0" w:color="auto"/>
            </w:tcBorders>
          </w:tcPr>
          <w:p w14:paraId="0CD77946" w14:textId="77777777" w:rsidR="00D42D26" w:rsidRPr="007D0AA8" w:rsidRDefault="00D42D26" w:rsidP="001A2B6F">
            <w:pPr>
              <w:spacing w:after="0" w:line="240" w:lineRule="auto"/>
              <w:jc w:val="right"/>
              <w:rPr>
                <w:rFonts w:ascii="Arial Narrow" w:hAnsi="Arial Narrow"/>
                <w:sz w:val="20"/>
                <w:szCs w:val="20"/>
              </w:rPr>
            </w:pPr>
          </w:p>
        </w:tc>
      </w:tr>
      <w:tr w:rsidR="00D42D26" w:rsidRPr="007D0AA8" w14:paraId="5936CDC0" w14:textId="77777777" w:rsidTr="001A2B6F">
        <w:trPr>
          <w:jc w:val="center"/>
        </w:trPr>
        <w:tc>
          <w:tcPr>
            <w:tcW w:w="1425" w:type="dxa"/>
            <w:tcBorders>
              <w:top w:val="nil"/>
              <w:left w:val="single" w:sz="4" w:space="0" w:color="auto"/>
              <w:bottom w:val="nil"/>
              <w:right w:val="single" w:sz="4" w:space="0" w:color="auto"/>
            </w:tcBorders>
          </w:tcPr>
          <w:p w14:paraId="571EE5D8" w14:textId="77777777" w:rsidR="00D42D26" w:rsidRPr="007D0AA8" w:rsidRDefault="00D42D26" w:rsidP="001A2B6F">
            <w:pPr>
              <w:spacing w:after="0" w:line="240" w:lineRule="auto"/>
              <w:rPr>
                <w:rFonts w:ascii="Arial Narrow" w:hAnsi="Arial Narrow" w:cs="Calibri"/>
                <w:color w:val="000000"/>
                <w:sz w:val="20"/>
                <w:szCs w:val="20"/>
              </w:rPr>
            </w:pPr>
          </w:p>
        </w:tc>
        <w:tc>
          <w:tcPr>
            <w:tcW w:w="2146" w:type="dxa"/>
            <w:tcBorders>
              <w:top w:val="nil"/>
              <w:left w:val="single" w:sz="4" w:space="0" w:color="auto"/>
              <w:bottom w:val="nil"/>
              <w:right w:val="single" w:sz="4" w:space="0" w:color="auto"/>
            </w:tcBorders>
          </w:tcPr>
          <w:p w14:paraId="57647C0A" w14:textId="77777777" w:rsidR="00D42D26" w:rsidRPr="007D0AA8" w:rsidRDefault="00D42D26" w:rsidP="001A2B6F">
            <w:pPr>
              <w:spacing w:after="0" w:line="240" w:lineRule="auto"/>
              <w:rPr>
                <w:rFonts w:ascii="Arial Narrow" w:hAnsi="Arial Narrow"/>
                <w:sz w:val="20"/>
              </w:rPr>
            </w:pPr>
            <w:r w:rsidRPr="007D0AA8">
              <w:rPr>
                <w:rFonts w:ascii="Arial Narrow" w:hAnsi="Arial Narrow"/>
                <w:sz w:val="20"/>
              </w:rPr>
              <w:t>Evaluable patients n/N</w:t>
            </w:r>
          </w:p>
        </w:tc>
        <w:tc>
          <w:tcPr>
            <w:tcW w:w="934" w:type="dxa"/>
            <w:tcBorders>
              <w:top w:val="nil"/>
              <w:left w:val="single" w:sz="4" w:space="0" w:color="auto"/>
              <w:bottom w:val="nil"/>
              <w:right w:val="nil"/>
            </w:tcBorders>
            <w:shd w:val="clear" w:color="auto" w:fill="auto"/>
            <w:noWrap/>
          </w:tcPr>
          <w:p w14:paraId="44F76D0A"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3/4</w:t>
            </w:r>
          </w:p>
        </w:tc>
        <w:tc>
          <w:tcPr>
            <w:tcW w:w="1265" w:type="dxa"/>
            <w:tcBorders>
              <w:top w:val="nil"/>
              <w:left w:val="single" w:sz="4" w:space="0" w:color="auto"/>
              <w:bottom w:val="nil"/>
              <w:right w:val="nil"/>
            </w:tcBorders>
            <w:shd w:val="clear" w:color="auto" w:fill="auto"/>
          </w:tcPr>
          <w:p w14:paraId="631EF791"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n.r.</w:t>
            </w:r>
          </w:p>
        </w:tc>
        <w:tc>
          <w:tcPr>
            <w:tcW w:w="2190" w:type="dxa"/>
            <w:tcBorders>
              <w:top w:val="nil"/>
              <w:left w:val="nil"/>
              <w:bottom w:val="nil"/>
              <w:right w:val="nil"/>
            </w:tcBorders>
            <w:shd w:val="clear" w:color="auto" w:fill="auto"/>
            <w:noWrap/>
          </w:tcPr>
          <w:p w14:paraId="360C54D6"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3/4</w:t>
            </w:r>
          </w:p>
        </w:tc>
        <w:tc>
          <w:tcPr>
            <w:tcW w:w="1103" w:type="dxa"/>
            <w:gridSpan w:val="2"/>
            <w:tcBorders>
              <w:top w:val="nil"/>
              <w:left w:val="nil"/>
              <w:bottom w:val="nil"/>
              <w:right w:val="single" w:sz="4" w:space="0" w:color="auto"/>
            </w:tcBorders>
          </w:tcPr>
          <w:p w14:paraId="121F6372" w14:textId="77777777" w:rsidR="00D42D26" w:rsidRPr="007D0AA8" w:rsidRDefault="00D42D26" w:rsidP="001A2B6F">
            <w:pPr>
              <w:spacing w:after="0" w:line="240" w:lineRule="auto"/>
              <w:jc w:val="right"/>
              <w:rPr>
                <w:rFonts w:ascii="Arial Narrow" w:hAnsi="Arial Narrow"/>
                <w:sz w:val="20"/>
                <w:szCs w:val="20"/>
              </w:rPr>
            </w:pPr>
          </w:p>
        </w:tc>
      </w:tr>
      <w:tr w:rsidR="00D42D26" w:rsidRPr="007D0AA8" w14:paraId="44F93DE2" w14:textId="77777777" w:rsidTr="001A2B6F">
        <w:trPr>
          <w:jc w:val="center"/>
        </w:trPr>
        <w:tc>
          <w:tcPr>
            <w:tcW w:w="1425" w:type="dxa"/>
            <w:tcBorders>
              <w:top w:val="nil"/>
              <w:left w:val="single" w:sz="4" w:space="0" w:color="auto"/>
              <w:bottom w:val="single" w:sz="4" w:space="0" w:color="auto"/>
              <w:right w:val="single" w:sz="4" w:space="0" w:color="auto"/>
            </w:tcBorders>
          </w:tcPr>
          <w:p w14:paraId="26802794" w14:textId="77777777" w:rsidR="00D42D26" w:rsidRPr="007D0AA8" w:rsidRDefault="00D42D26" w:rsidP="001A2B6F">
            <w:pPr>
              <w:spacing w:after="0" w:line="240" w:lineRule="auto"/>
              <w:rPr>
                <w:rFonts w:ascii="Arial Narrow" w:hAnsi="Arial Narrow" w:cs="Calibri"/>
                <w:color w:val="000000"/>
                <w:sz w:val="20"/>
                <w:szCs w:val="20"/>
              </w:rPr>
            </w:pPr>
          </w:p>
        </w:tc>
        <w:tc>
          <w:tcPr>
            <w:tcW w:w="2146" w:type="dxa"/>
            <w:tcBorders>
              <w:top w:val="nil"/>
              <w:left w:val="single" w:sz="4" w:space="0" w:color="auto"/>
              <w:bottom w:val="single" w:sz="4" w:space="0" w:color="auto"/>
              <w:right w:val="single" w:sz="4" w:space="0" w:color="auto"/>
            </w:tcBorders>
          </w:tcPr>
          <w:p w14:paraId="1D7B10AA" w14:textId="77777777" w:rsidR="00D42D26" w:rsidRPr="007D0AA8" w:rsidRDefault="00D42D26" w:rsidP="001A2B6F">
            <w:pPr>
              <w:spacing w:after="0" w:line="240" w:lineRule="auto"/>
              <w:rPr>
                <w:rFonts w:ascii="Arial Narrow" w:hAnsi="Arial Narrow"/>
                <w:sz w:val="20"/>
              </w:rPr>
            </w:pPr>
            <w:r w:rsidRPr="007D0AA8">
              <w:rPr>
                <w:rFonts w:ascii="Arial Narrow" w:hAnsi="Arial Narrow"/>
                <w:sz w:val="20"/>
              </w:rPr>
              <w:t>Bacterial infections</w:t>
            </w:r>
          </w:p>
        </w:tc>
        <w:tc>
          <w:tcPr>
            <w:tcW w:w="934" w:type="dxa"/>
            <w:tcBorders>
              <w:top w:val="nil"/>
              <w:left w:val="single" w:sz="4" w:space="0" w:color="auto"/>
              <w:bottom w:val="single" w:sz="4" w:space="0" w:color="auto"/>
              <w:right w:val="nil"/>
            </w:tcBorders>
            <w:shd w:val="clear" w:color="auto" w:fill="auto"/>
            <w:noWrap/>
          </w:tcPr>
          <w:p w14:paraId="153B1091"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n.r.</w:t>
            </w:r>
          </w:p>
        </w:tc>
        <w:tc>
          <w:tcPr>
            <w:tcW w:w="1265" w:type="dxa"/>
            <w:tcBorders>
              <w:top w:val="nil"/>
              <w:left w:val="single" w:sz="4" w:space="0" w:color="auto"/>
              <w:bottom w:val="single" w:sz="4" w:space="0" w:color="auto"/>
              <w:right w:val="nil"/>
            </w:tcBorders>
            <w:shd w:val="clear" w:color="auto" w:fill="auto"/>
          </w:tcPr>
          <w:p w14:paraId="15F7571B"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n.r.</w:t>
            </w:r>
          </w:p>
        </w:tc>
        <w:tc>
          <w:tcPr>
            <w:tcW w:w="2190" w:type="dxa"/>
            <w:tcBorders>
              <w:top w:val="nil"/>
              <w:left w:val="nil"/>
              <w:bottom w:val="single" w:sz="4" w:space="0" w:color="auto"/>
              <w:right w:val="nil"/>
            </w:tcBorders>
            <w:shd w:val="clear" w:color="auto" w:fill="auto"/>
            <w:noWrap/>
          </w:tcPr>
          <w:p w14:paraId="4CD564C6" w14:textId="77777777" w:rsidR="00D42D26" w:rsidRPr="007D0AA8" w:rsidRDefault="00D42D26" w:rsidP="001A2B6F">
            <w:pPr>
              <w:spacing w:after="0" w:line="240" w:lineRule="auto"/>
              <w:jc w:val="right"/>
              <w:rPr>
                <w:rFonts w:ascii="Arial Narrow" w:hAnsi="Arial Narrow"/>
                <w:sz w:val="20"/>
              </w:rPr>
            </w:pPr>
            <w:r w:rsidRPr="007D0AA8">
              <w:rPr>
                <w:rFonts w:ascii="Arial Narrow" w:hAnsi="Arial Narrow"/>
                <w:sz w:val="20"/>
              </w:rPr>
              <w:t>0</w:t>
            </w:r>
          </w:p>
        </w:tc>
        <w:tc>
          <w:tcPr>
            <w:tcW w:w="1103" w:type="dxa"/>
            <w:gridSpan w:val="2"/>
            <w:tcBorders>
              <w:top w:val="nil"/>
              <w:left w:val="nil"/>
              <w:bottom w:val="single" w:sz="4" w:space="0" w:color="auto"/>
              <w:right w:val="single" w:sz="4" w:space="0" w:color="auto"/>
            </w:tcBorders>
          </w:tcPr>
          <w:p w14:paraId="3187E216" w14:textId="77777777" w:rsidR="00D42D26" w:rsidRPr="007D0AA8" w:rsidRDefault="00D42D26" w:rsidP="001A2B6F">
            <w:pPr>
              <w:spacing w:after="0" w:line="240" w:lineRule="auto"/>
              <w:jc w:val="right"/>
              <w:rPr>
                <w:rFonts w:ascii="Arial Narrow" w:hAnsi="Arial Narrow"/>
                <w:sz w:val="20"/>
                <w:szCs w:val="20"/>
              </w:rPr>
            </w:pPr>
          </w:p>
        </w:tc>
      </w:tr>
      <w:tr w:rsidR="00D42D26" w:rsidRPr="00386411" w14:paraId="2222E4CE" w14:textId="77777777" w:rsidTr="00B52A4F">
        <w:trPr>
          <w:jc w:val="center"/>
        </w:trPr>
        <w:tc>
          <w:tcPr>
            <w:tcW w:w="1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FD94E0" w14:textId="77777777" w:rsidR="00D42D26" w:rsidRPr="00386411" w:rsidRDefault="00D42D26" w:rsidP="001A2B6F">
            <w:pPr>
              <w:spacing w:after="0" w:line="240" w:lineRule="auto"/>
              <w:rPr>
                <w:rFonts w:ascii="Arial Narrow" w:hAnsi="Arial Narrow" w:cs="Calibri"/>
                <w:b/>
                <w:color w:val="000000"/>
                <w:sz w:val="20"/>
                <w:szCs w:val="20"/>
                <w:highlight w:val="yellow"/>
              </w:rPr>
            </w:pPr>
            <w:r w:rsidRPr="00386411">
              <w:rPr>
                <w:rFonts w:ascii="Arial Narrow" w:hAnsi="Arial Narrow" w:cs="Calibri"/>
                <w:b/>
                <w:color w:val="000000"/>
                <w:sz w:val="20"/>
                <w:szCs w:val="20"/>
              </w:rPr>
              <w:t>Günther &amp; Dreger 2013</w:t>
            </w:r>
          </w:p>
        </w:tc>
        <w:tc>
          <w:tcPr>
            <w:tcW w:w="2146" w:type="dxa"/>
            <w:tcBorders>
              <w:top w:val="single" w:sz="4" w:space="0" w:color="auto"/>
              <w:left w:val="nil"/>
              <w:bottom w:val="single" w:sz="4" w:space="0" w:color="auto"/>
              <w:right w:val="single" w:sz="4" w:space="0" w:color="auto"/>
            </w:tcBorders>
            <w:shd w:val="clear" w:color="auto" w:fill="D9D9D9" w:themeFill="background1" w:themeFillShade="D9"/>
          </w:tcPr>
          <w:p w14:paraId="1F454AA4" w14:textId="481D0191" w:rsidR="00D42D26" w:rsidRPr="00386411" w:rsidRDefault="00D42D26" w:rsidP="00E05A79">
            <w:pPr>
              <w:spacing w:after="0" w:line="240" w:lineRule="auto"/>
              <w:rPr>
                <w:rFonts w:ascii="Arial Narrow" w:hAnsi="Arial Narrow"/>
                <w:b/>
                <w:sz w:val="20"/>
                <w:highlight w:val="yellow"/>
              </w:rPr>
            </w:pPr>
            <w:r w:rsidRPr="00386411">
              <w:rPr>
                <w:rFonts w:ascii="Arial Narrow" w:hAnsi="Arial Narrow"/>
                <w:b/>
                <w:snapToGrid w:val="0"/>
                <w:sz w:val="20"/>
                <w:szCs w:val="20"/>
                <w:lang w:eastAsia="en-US"/>
              </w:rPr>
              <w:t>Infections before/during IVIg (N=10)</w:t>
            </w:r>
          </w:p>
        </w:tc>
        <w:tc>
          <w:tcPr>
            <w:tcW w:w="2199" w:type="dxa"/>
            <w:gridSpan w:val="2"/>
            <w:tcBorders>
              <w:top w:val="single" w:sz="4" w:space="0" w:color="auto"/>
              <w:left w:val="single" w:sz="4" w:space="0" w:color="auto"/>
              <w:bottom w:val="single" w:sz="4" w:space="0" w:color="auto"/>
              <w:right w:val="nil"/>
            </w:tcBorders>
            <w:shd w:val="clear" w:color="auto" w:fill="D9D9D9" w:themeFill="background1" w:themeFillShade="D9"/>
            <w:noWrap/>
          </w:tcPr>
          <w:p w14:paraId="404D3352" w14:textId="188B7590" w:rsidR="00D42D26" w:rsidRPr="00386411" w:rsidRDefault="00D42D26" w:rsidP="00E05A79">
            <w:pPr>
              <w:spacing w:after="0" w:line="240" w:lineRule="auto"/>
              <w:jc w:val="right"/>
              <w:rPr>
                <w:rFonts w:ascii="Arial Narrow" w:hAnsi="Arial Narrow"/>
                <w:b/>
                <w:sz w:val="20"/>
                <w:highlight w:val="yellow"/>
              </w:rPr>
            </w:pPr>
            <w:r w:rsidRPr="00386411">
              <w:rPr>
                <w:rFonts w:ascii="Arial Narrow" w:hAnsi="Arial Narrow"/>
                <w:b/>
                <w:snapToGrid w:val="0"/>
                <w:sz w:val="20"/>
                <w:szCs w:val="20"/>
                <w:lang w:eastAsia="en-US"/>
              </w:rPr>
              <w:t>Prior to IVIg</w:t>
            </w:r>
            <w:r w:rsidR="00E05A79" w:rsidRPr="00386411">
              <w:rPr>
                <w:rFonts w:ascii="Arial Narrow" w:hAnsi="Arial Narrow"/>
                <w:b/>
                <w:snapToGrid w:val="0"/>
                <w:sz w:val="20"/>
                <w:szCs w:val="20"/>
                <w:lang w:eastAsia="en-US"/>
              </w:rPr>
              <w:t xml:space="preserve"> (N=10)</w:t>
            </w:r>
            <w:r w:rsidRPr="00386411">
              <w:rPr>
                <w:rFonts w:ascii="Arial Narrow" w:hAnsi="Arial Narrow"/>
                <w:b/>
                <w:snapToGrid w:val="0"/>
                <w:sz w:val="20"/>
                <w:szCs w:val="20"/>
                <w:lang w:eastAsia="en-US"/>
              </w:rPr>
              <w:t xml:space="preserve"> </w:t>
            </w:r>
            <w:r w:rsidRPr="00386411">
              <w:rPr>
                <w:rFonts w:ascii="Arial Narrow" w:hAnsi="Arial Narrow"/>
                <w:b/>
                <w:snapToGrid w:val="0"/>
                <w:sz w:val="20"/>
                <w:szCs w:val="20"/>
                <w:lang w:eastAsia="en-US"/>
              </w:rPr>
              <w:br/>
              <w:t>(3 mo)</w:t>
            </w:r>
          </w:p>
        </w:tc>
        <w:tc>
          <w:tcPr>
            <w:tcW w:w="2190" w:type="dxa"/>
            <w:tcBorders>
              <w:top w:val="single" w:sz="4" w:space="0" w:color="auto"/>
              <w:left w:val="nil"/>
              <w:bottom w:val="single" w:sz="4" w:space="0" w:color="auto"/>
              <w:right w:val="nil"/>
            </w:tcBorders>
            <w:shd w:val="clear" w:color="auto" w:fill="D9D9D9" w:themeFill="background1" w:themeFillShade="D9"/>
            <w:noWrap/>
          </w:tcPr>
          <w:p w14:paraId="6CB69E0A" w14:textId="1BD20573" w:rsidR="00D42D26" w:rsidRPr="00386411" w:rsidRDefault="00D42D26" w:rsidP="00E05A79">
            <w:pPr>
              <w:spacing w:after="0" w:line="240" w:lineRule="auto"/>
              <w:jc w:val="right"/>
              <w:rPr>
                <w:rFonts w:ascii="Arial Narrow" w:hAnsi="Arial Narrow"/>
                <w:b/>
                <w:sz w:val="20"/>
                <w:highlight w:val="yellow"/>
              </w:rPr>
            </w:pPr>
            <w:r w:rsidRPr="00386411">
              <w:rPr>
                <w:rFonts w:ascii="Arial Narrow" w:hAnsi="Arial Narrow"/>
                <w:b/>
                <w:snapToGrid w:val="0"/>
                <w:sz w:val="20"/>
                <w:szCs w:val="20"/>
                <w:lang w:eastAsia="en-US"/>
              </w:rPr>
              <w:t>During IVIg</w:t>
            </w:r>
            <w:r w:rsidR="00E05A79">
              <w:rPr>
                <w:rFonts w:ascii="Arial Narrow" w:hAnsi="Arial Narrow"/>
                <w:b/>
                <w:snapToGrid w:val="0"/>
                <w:sz w:val="20"/>
                <w:szCs w:val="20"/>
                <w:lang w:eastAsia="en-US"/>
              </w:rPr>
              <w:t xml:space="preserve"> </w:t>
            </w:r>
            <w:r w:rsidR="00E05A79" w:rsidRPr="00386411">
              <w:rPr>
                <w:rFonts w:ascii="Arial Narrow" w:hAnsi="Arial Narrow"/>
                <w:b/>
                <w:snapToGrid w:val="0"/>
                <w:sz w:val="20"/>
                <w:szCs w:val="20"/>
                <w:lang w:eastAsia="en-US"/>
              </w:rPr>
              <w:t>(N=10)</w:t>
            </w:r>
            <w:r w:rsidRPr="00386411">
              <w:rPr>
                <w:rFonts w:ascii="Arial Narrow" w:hAnsi="Arial Narrow"/>
                <w:b/>
                <w:snapToGrid w:val="0"/>
                <w:sz w:val="20"/>
                <w:szCs w:val="20"/>
                <w:lang w:eastAsia="en-US"/>
              </w:rPr>
              <w:t xml:space="preserve"> </w:t>
            </w:r>
            <w:r w:rsidRPr="00386411">
              <w:rPr>
                <w:rFonts w:ascii="Arial Narrow" w:hAnsi="Arial Narrow"/>
                <w:b/>
                <w:snapToGrid w:val="0"/>
                <w:sz w:val="20"/>
                <w:szCs w:val="20"/>
                <w:lang w:eastAsia="en-US"/>
              </w:rPr>
              <w:br/>
              <w:t>(mean tx 51.2±25.4 mo</w:t>
            </w:r>
            <w:r w:rsidR="00E05A79">
              <w:rPr>
                <w:rFonts w:ascii="Arial Narrow" w:hAnsi="Arial Narrow"/>
                <w:b/>
                <w:snapToGrid w:val="0"/>
                <w:sz w:val="20"/>
                <w:szCs w:val="20"/>
                <w:lang w:eastAsia="en-US"/>
              </w:rPr>
              <w:t>)</w:t>
            </w:r>
          </w:p>
        </w:tc>
        <w:tc>
          <w:tcPr>
            <w:tcW w:w="1103" w:type="dxa"/>
            <w:gridSpan w:val="2"/>
            <w:tcBorders>
              <w:top w:val="single" w:sz="4" w:space="0" w:color="auto"/>
              <w:left w:val="nil"/>
              <w:bottom w:val="single" w:sz="4" w:space="0" w:color="auto"/>
              <w:right w:val="single" w:sz="4" w:space="0" w:color="auto"/>
            </w:tcBorders>
            <w:shd w:val="clear" w:color="auto" w:fill="D9D9D9" w:themeFill="background1" w:themeFillShade="D9"/>
          </w:tcPr>
          <w:p w14:paraId="34D9C9E3" w14:textId="77777777" w:rsidR="00D42D26" w:rsidRPr="00386411" w:rsidRDefault="00D42D26" w:rsidP="001A2B6F">
            <w:pPr>
              <w:spacing w:after="0" w:line="240" w:lineRule="auto"/>
              <w:jc w:val="right"/>
              <w:rPr>
                <w:rFonts w:ascii="Arial Narrow" w:hAnsi="Arial Narrow"/>
                <w:b/>
                <w:sz w:val="20"/>
                <w:szCs w:val="20"/>
                <w:highlight w:val="yellow"/>
              </w:rPr>
            </w:pPr>
          </w:p>
        </w:tc>
      </w:tr>
      <w:tr w:rsidR="00D42D26" w:rsidRPr="007D0AA8" w14:paraId="00BC3BC1" w14:textId="77777777" w:rsidTr="001A2B6F">
        <w:trPr>
          <w:jc w:val="center"/>
        </w:trPr>
        <w:tc>
          <w:tcPr>
            <w:tcW w:w="1425" w:type="dxa"/>
            <w:tcBorders>
              <w:top w:val="nil"/>
              <w:left w:val="single" w:sz="4" w:space="0" w:color="auto"/>
              <w:bottom w:val="nil"/>
              <w:right w:val="single" w:sz="4" w:space="0" w:color="auto"/>
            </w:tcBorders>
          </w:tcPr>
          <w:p w14:paraId="2FB0766C" w14:textId="77777777" w:rsidR="00D42D26" w:rsidRPr="007D0AA8" w:rsidRDefault="00D42D26" w:rsidP="001A2B6F">
            <w:pPr>
              <w:spacing w:after="0" w:line="240" w:lineRule="auto"/>
              <w:rPr>
                <w:rFonts w:ascii="Arial Narrow" w:hAnsi="Arial Narrow" w:cs="Calibri"/>
                <w:color w:val="000000"/>
                <w:sz w:val="20"/>
                <w:szCs w:val="20"/>
                <w:highlight w:val="yellow"/>
              </w:rPr>
            </w:pPr>
            <w:r w:rsidRPr="007D0AA8">
              <w:rPr>
                <w:rFonts w:ascii="Arial Narrow" w:hAnsi="Arial Narrow" w:cs="Calibri"/>
                <w:color w:val="000000"/>
                <w:sz w:val="20"/>
                <w:szCs w:val="20"/>
              </w:rPr>
              <w:t>Various*</w:t>
            </w:r>
          </w:p>
        </w:tc>
        <w:tc>
          <w:tcPr>
            <w:tcW w:w="2146" w:type="dxa"/>
            <w:tcBorders>
              <w:top w:val="nil"/>
              <w:left w:val="nil"/>
              <w:bottom w:val="nil"/>
              <w:right w:val="single" w:sz="4" w:space="0" w:color="auto"/>
            </w:tcBorders>
            <w:shd w:val="clear" w:color="auto" w:fill="auto"/>
          </w:tcPr>
          <w:p w14:paraId="1FBBE0EE" w14:textId="77777777" w:rsidR="00D42D26" w:rsidRPr="007D0AA8" w:rsidRDefault="00D42D26" w:rsidP="001A2B6F">
            <w:pPr>
              <w:spacing w:after="0" w:line="240" w:lineRule="auto"/>
              <w:rPr>
                <w:rFonts w:ascii="Arial Narrow" w:hAnsi="Arial Narrow"/>
                <w:sz w:val="20"/>
                <w:highlight w:val="yellow"/>
              </w:rPr>
            </w:pPr>
            <w:r w:rsidRPr="007D0AA8">
              <w:rPr>
                <w:rFonts w:ascii="Arial Narrow" w:hAnsi="Arial Narrow"/>
                <w:sz w:val="20"/>
              </w:rPr>
              <w:t>Severe bacterial infections</w:t>
            </w:r>
          </w:p>
        </w:tc>
        <w:tc>
          <w:tcPr>
            <w:tcW w:w="2199" w:type="dxa"/>
            <w:gridSpan w:val="2"/>
            <w:tcBorders>
              <w:top w:val="nil"/>
              <w:left w:val="single" w:sz="4" w:space="0" w:color="auto"/>
              <w:bottom w:val="nil"/>
              <w:right w:val="nil"/>
            </w:tcBorders>
            <w:shd w:val="clear" w:color="auto" w:fill="auto"/>
            <w:noWrap/>
          </w:tcPr>
          <w:p w14:paraId="05B0E02F" w14:textId="77777777" w:rsidR="00D42D26" w:rsidRPr="007D0AA8" w:rsidRDefault="00D42D26" w:rsidP="001A2B6F">
            <w:pPr>
              <w:spacing w:after="0" w:line="240" w:lineRule="auto"/>
              <w:jc w:val="center"/>
              <w:rPr>
                <w:rFonts w:ascii="Arial Narrow" w:hAnsi="Arial Narrow"/>
                <w:snapToGrid w:val="0"/>
                <w:sz w:val="20"/>
                <w:szCs w:val="20"/>
                <w:lang w:eastAsia="en-US"/>
              </w:rPr>
            </w:pPr>
            <w:r w:rsidRPr="007D0AA8">
              <w:rPr>
                <w:rFonts w:ascii="Arial Narrow" w:hAnsi="Arial Narrow"/>
                <w:snapToGrid w:val="0"/>
                <w:sz w:val="20"/>
                <w:szCs w:val="20"/>
                <w:lang w:eastAsia="en-US"/>
              </w:rPr>
              <w:t>24 infections</w:t>
            </w:r>
          </w:p>
          <w:p w14:paraId="6D9516C1" w14:textId="77777777" w:rsidR="00D42D26" w:rsidRPr="007D0AA8" w:rsidRDefault="00D42D26" w:rsidP="001A2B6F">
            <w:pPr>
              <w:spacing w:after="0" w:line="240" w:lineRule="auto"/>
              <w:jc w:val="center"/>
              <w:rPr>
                <w:rFonts w:ascii="Arial Narrow" w:hAnsi="Arial Narrow"/>
                <w:snapToGrid w:val="0"/>
                <w:sz w:val="20"/>
                <w:szCs w:val="20"/>
                <w:lang w:eastAsia="en-US"/>
              </w:rPr>
            </w:pPr>
            <w:r w:rsidRPr="007D0AA8">
              <w:rPr>
                <w:rFonts w:ascii="Arial Narrow" w:hAnsi="Arial Narrow"/>
                <w:sz w:val="20"/>
              </w:rPr>
              <w:t>(</w:t>
            </w:r>
            <w:r w:rsidRPr="007D0AA8">
              <w:rPr>
                <w:rFonts w:ascii="Arial Narrow" w:hAnsi="Arial Narrow"/>
                <w:snapToGrid w:val="0"/>
                <w:sz w:val="20"/>
                <w:szCs w:val="20"/>
                <w:lang w:eastAsia="en-US"/>
              </w:rPr>
              <w:t>≥2 in 7/10 patients)</w:t>
            </w:r>
          </w:p>
          <w:p w14:paraId="0B96E659" w14:textId="4053167E" w:rsidR="00D42D26" w:rsidRPr="007D0AA8" w:rsidRDefault="00E05A79" w:rsidP="001A2B6F">
            <w:pPr>
              <w:spacing w:after="0" w:line="240" w:lineRule="auto"/>
              <w:jc w:val="center"/>
              <w:rPr>
                <w:rFonts w:ascii="Arial Narrow" w:hAnsi="Arial Narrow"/>
                <w:sz w:val="20"/>
                <w:highlight w:val="yellow"/>
              </w:rPr>
            </w:pPr>
            <w:r>
              <w:rPr>
                <w:rFonts w:ascii="Arial Narrow" w:hAnsi="Arial Narrow"/>
                <w:i/>
                <w:snapToGrid w:val="0"/>
                <w:sz w:val="20"/>
                <w:szCs w:val="20"/>
                <w:lang w:eastAsia="en-US"/>
              </w:rPr>
              <w:t>Or 96</w:t>
            </w:r>
            <w:r w:rsidR="00D42D26" w:rsidRPr="007D0AA8">
              <w:rPr>
                <w:rFonts w:ascii="Arial Narrow" w:hAnsi="Arial Narrow"/>
                <w:i/>
                <w:snapToGrid w:val="0"/>
                <w:sz w:val="20"/>
                <w:szCs w:val="20"/>
                <w:lang w:eastAsia="en-US"/>
              </w:rPr>
              <w:t xml:space="preserve"> events in 12mo</w:t>
            </w:r>
          </w:p>
        </w:tc>
        <w:tc>
          <w:tcPr>
            <w:tcW w:w="2190" w:type="dxa"/>
            <w:tcBorders>
              <w:top w:val="nil"/>
              <w:left w:val="nil"/>
              <w:bottom w:val="nil"/>
              <w:right w:val="nil"/>
            </w:tcBorders>
            <w:shd w:val="clear" w:color="auto" w:fill="auto"/>
            <w:noWrap/>
          </w:tcPr>
          <w:p w14:paraId="370F9E1A" w14:textId="77777777" w:rsidR="00D42D26" w:rsidRPr="007D0AA8" w:rsidRDefault="00D42D26" w:rsidP="001A2B6F">
            <w:pPr>
              <w:spacing w:after="0" w:line="240" w:lineRule="auto"/>
              <w:jc w:val="center"/>
              <w:rPr>
                <w:rFonts w:ascii="Arial Narrow" w:hAnsi="Arial Narrow"/>
                <w:snapToGrid w:val="0"/>
                <w:sz w:val="20"/>
                <w:szCs w:val="20"/>
                <w:lang w:eastAsia="en-US"/>
              </w:rPr>
            </w:pPr>
            <w:r w:rsidRPr="007D0AA8">
              <w:rPr>
                <w:rFonts w:ascii="Arial Narrow" w:hAnsi="Arial Narrow"/>
                <w:snapToGrid w:val="0"/>
                <w:sz w:val="20"/>
                <w:szCs w:val="20"/>
                <w:lang w:eastAsia="en-US"/>
              </w:rPr>
              <w:t>29 infections</w:t>
            </w:r>
          </w:p>
          <w:p w14:paraId="6D312701" w14:textId="4B9AD065" w:rsidR="00D42D26" w:rsidRPr="007D0AA8" w:rsidRDefault="00D42D26" w:rsidP="00E05A79">
            <w:pPr>
              <w:spacing w:after="0" w:line="240" w:lineRule="auto"/>
              <w:jc w:val="center"/>
              <w:rPr>
                <w:rFonts w:ascii="Arial Narrow" w:hAnsi="Arial Narrow"/>
                <w:sz w:val="20"/>
                <w:highlight w:val="yellow"/>
              </w:rPr>
            </w:pPr>
            <w:r w:rsidRPr="007D0AA8">
              <w:rPr>
                <w:rFonts w:ascii="Arial Narrow" w:hAnsi="Arial Narrow"/>
                <w:i/>
                <w:snapToGrid w:val="0"/>
                <w:sz w:val="20"/>
                <w:szCs w:val="20"/>
                <w:lang w:eastAsia="en-US"/>
              </w:rPr>
              <w:t xml:space="preserve">Or </w:t>
            </w:r>
            <w:r w:rsidR="00E05A79">
              <w:rPr>
                <w:rFonts w:ascii="Arial Narrow" w:hAnsi="Arial Narrow"/>
                <w:i/>
                <w:snapToGrid w:val="0"/>
                <w:sz w:val="20"/>
                <w:szCs w:val="20"/>
                <w:lang w:eastAsia="en-US"/>
              </w:rPr>
              <w:t>6.8</w:t>
            </w:r>
            <w:r w:rsidRPr="007D0AA8">
              <w:rPr>
                <w:rFonts w:ascii="Arial Narrow" w:hAnsi="Arial Narrow"/>
                <w:i/>
                <w:snapToGrid w:val="0"/>
                <w:sz w:val="20"/>
                <w:szCs w:val="20"/>
                <w:lang w:eastAsia="en-US"/>
              </w:rPr>
              <w:t xml:space="preserve"> events in 12mo</w:t>
            </w:r>
          </w:p>
        </w:tc>
        <w:tc>
          <w:tcPr>
            <w:tcW w:w="1103" w:type="dxa"/>
            <w:gridSpan w:val="2"/>
            <w:tcBorders>
              <w:top w:val="nil"/>
              <w:left w:val="nil"/>
              <w:bottom w:val="nil"/>
              <w:right w:val="single" w:sz="4" w:space="0" w:color="auto"/>
            </w:tcBorders>
          </w:tcPr>
          <w:p w14:paraId="11B25038" w14:textId="77777777" w:rsidR="00D42D26" w:rsidRPr="007D0AA8" w:rsidRDefault="00D42D26" w:rsidP="001A2B6F">
            <w:pPr>
              <w:spacing w:after="0" w:line="240" w:lineRule="auto"/>
              <w:jc w:val="right"/>
              <w:rPr>
                <w:rFonts w:ascii="Arial Narrow" w:hAnsi="Arial Narrow"/>
                <w:sz w:val="20"/>
                <w:szCs w:val="20"/>
                <w:highlight w:val="yellow"/>
              </w:rPr>
            </w:pPr>
          </w:p>
        </w:tc>
      </w:tr>
      <w:tr w:rsidR="00D42D26" w:rsidRPr="007D0AA8" w14:paraId="02D8E39C" w14:textId="77777777" w:rsidTr="001A2B6F">
        <w:trPr>
          <w:jc w:val="center"/>
        </w:trPr>
        <w:tc>
          <w:tcPr>
            <w:tcW w:w="1425" w:type="dxa"/>
            <w:tcBorders>
              <w:top w:val="nil"/>
              <w:left w:val="single" w:sz="4" w:space="0" w:color="auto"/>
              <w:bottom w:val="nil"/>
              <w:right w:val="single" w:sz="4" w:space="0" w:color="auto"/>
            </w:tcBorders>
          </w:tcPr>
          <w:p w14:paraId="504D128F" w14:textId="77777777" w:rsidR="00D42D26" w:rsidRPr="007D0AA8" w:rsidRDefault="00D42D26" w:rsidP="001A2B6F">
            <w:pPr>
              <w:spacing w:after="0" w:line="240" w:lineRule="auto"/>
              <w:rPr>
                <w:rFonts w:ascii="Arial Narrow" w:hAnsi="Arial Narrow" w:cs="Calibri"/>
                <w:i/>
                <w:color w:val="000000"/>
                <w:sz w:val="20"/>
                <w:szCs w:val="20"/>
                <w:highlight w:val="yellow"/>
              </w:rPr>
            </w:pPr>
          </w:p>
        </w:tc>
        <w:tc>
          <w:tcPr>
            <w:tcW w:w="2146" w:type="dxa"/>
            <w:tcBorders>
              <w:top w:val="nil"/>
              <w:left w:val="nil"/>
              <w:bottom w:val="nil"/>
              <w:right w:val="single" w:sz="4" w:space="0" w:color="auto"/>
            </w:tcBorders>
            <w:shd w:val="clear" w:color="auto" w:fill="auto"/>
          </w:tcPr>
          <w:p w14:paraId="37CDE1AD" w14:textId="77777777" w:rsidR="00D42D26" w:rsidRPr="007D0AA8" w:rsidRDefault="00D42D26" w:rsidP="00331FB9">
            <w:pPr>
              <w:pStyle w:val="ListParagraph"/>
              <w:numPr>
                <w:ilvl w:val="0"/>
                <w:numId w:val="22"/>
              </w:numPr>
              <w:spacing w:after="0" w:line="240" w:lineRule="auto"/>
              <w:ind w:left="215" w:hanging="221"/>
              <w:rPr>
                <w:rFonts w:ascii="Arial Narrow" w:hAnsi="Arial Narrow" w:cs="Calibri"/>
                <w:i/>
                <w:color w:val="000000"/>
                <w:sz w:val="20"/>
              </w:rPr>
            </w:pPr>
            <w:r w:rsidRPr="007D0AA8">
              <w:rPr>
                <w:rFonts w:ascii="Arial Narrow" w:hAnsi="Arial Narrow"/>
                <w:snapToGrid w:val="0"/>
                <w:sz w:val="20"/>
                <w:szCs w:val="20"/>
                <w:lang w:eastAsia="en-US"/>
              </w:rPr>
              <w:t>URTIs</w:t>
            </w:r>
          </w:p>
        </w:tc>
        <w:tc>
          <w:tcPr>
            <w:tcW w:w="2199" w:type="dxa"/>
            <w:gridSpan w:val="2"/>
            <w:tcBorders>
              <w:top w:val="nil"/>
              <w:left w:val="single" w:sz="4" w:space="0" w:color="auto"/>
              <w:bottom w:val="nil"/>
              <w:right w:val="nil"/>
            </w:tcBorders>
            <w:shd w:val="clear" w:color="auto" w:fill="auto"/>
            <w:noWrap/>
          </w:tcPr>
          <w:p w14:paraId="70577419" w14:textId="77777777" w:rsidR="00D42D26" w:rsidRPr="007D0AA8" w:rsidRDefault="00D42D26" w:rsidP="001A2B6F">
            <w:pPr>
              <w:spacing w:after="0" w:line="240" w:lineRule="auto"/>
              <w:jc w:val="right"/>
              <w:rPr>
                <w:rFonts w:ascii="Arial Narrow" w:hAnsi="Arial Narrow" w:cs="Calibri"/>
                <w:i/>
                <w:color w:val="000000"/>
                <w:sz w:val="20"/>
                <w:highlight w:val="yellow"/>
              </w:rPr>
            </w:pPr>
            <w:r w:rsidRPr="007D0AA8">
              <w:rPr>
                <w:rFonts w:ascii="Arial Narrow" w:hAnsi="Arial Narrow"/>
                <w:snapToGrid w:val="0"/>
                <w:sz w:val="20"/>
                <w:szCs w:val="20"/>
                <w:lang w:eastAsia="en-US"/>
              </w:rPr>
              <w:t>5</w:t>
            </w:r>
          </w:p>
        </w:tc>
        <w:tc>
          <w:tcPr>
            <w:tcW w:w="2190" w:type="dxa"/>
            <w:tcBorders>
              <w:top w:val="nil"/>
              <w:left w:val="nil"/>
              <w:bottom w:val="nil"/>
              <w:right w:val="nil"/>
            </w:tcBorders>
            <w:shd w:val="clear" w:color="auto" w:fill="auto"/>
            <w:noWrap/>
          </w:tcPr>
          <w:p w14:paraId="660DE382" w14:textId="77777777" w:rsidR="00D42D26" w:rsidRPr="007D0AA8" w:rsidRDefault="00D42D26" w:rsidP="001A2B6F">
            <w:pPr>
              <w:spacing w:after="0" w:line="240" w:lineRule="auto"/>
              <w:jc w:val="right"/>
              <w:rPr>
                <w:rFonts w:ascii="Arial Narrow" w:hAnsi="Arial Narrow" w:cs="Calibri"/>
                <w:i/>
                <w:color w:val="000000"/>
                <w:sz w:val="20"/>
                <w:highlight w:val="yellow"/>
              </w:rPr>
            </w:pPr>
            <w:r w:rsidRPr="007D0AA8">
              <w:rPr>
                <w:rFonts w:ascii="Arial Narrow" w:hAnsi="Arial Narrow"/>
                <w:snapToGrid w:val="0"/>
                <w:sz w:val="20"/>
                <w:szCs w:val="20"/>
                <w:lang w:eastAsia="en-US"/>
              </w:rPr>
              <w:t>6</w:t>
            </w:r>
          </w:p>
        </w:tc>
        <w:tc>
          <w:tcPr>
            <w:tcW w:w="1103" w:type="dxa"/>
            <w:gridSpan w:val="2"/>
            <w:tcBorders>
              <w:top w:val="nil"/>
              <w:left w:val="nil"/>
              <w:bottom w:val="nil"/>
              <w:right w:val="single" w:sz="4" w:space="0" w:color="auto"/>
            </w:tcBorders>
          </w:tcPr>
          <w:p w14:paraId="3DDDD8F4" w14:textId="77777777" w:rsidR="00D42D26" w:rsidRPr="007D0AA8" w:rsidRDefault="00D42D26" w:rsidP="001A2B6F">
            <w:pPr>
              <w:spacing w:after="0" w:line="240" w:lineRule="auto"/>
              <w:jc w:val="right"/>
              <w:rPr>
                <w:rFonts w:ascii="Arial Narrow" w:hAnsi="Arial Narrow"/>
                <w:i/>
                <w:sz w:val="20"/>
                <w:szCs w:val="20"/>
                <w:highlight w:val="yellow"/>
              </w:rPr>
            </w:pPr>
          </w:p>
        </w:tc>
      </w:tr>
      <w:tr w:rsidR="00D42D26" w:rsidRPr="007D0AA8" w14:paraId="03AA66B3" w14:textId="77777777" w:rsidTr="001A2B6F">
        <w:trPr>
          <w:jc w:val="center"/>
        </w:trPr>
        <w:tc>
          <w:tcPr>
            <w:tcW w:w="1425" w:type="dxa"/>
            <w:tcBorders>
              <w:top w:val="nil"/>
              <w:left w:val="single" w:sz="4" w:space="0" w:color="auto"/>
              <w:bottom w:val="nil"/>
              <w:right w:val="single" w:sz="4" w:space="0" w:color="auto"/>
            </w:tcBorders>
          </w:tcPr>
          <w:p w14:paraId="55A0786A" w14:textId="77777777" w:rsidR="00D42D26" w:rsidRPr="007D0AA8" w:rsidRDefault="00D42D26" w:rsidP="001A2B6F">
            <w:pPr>
              <w:spacing w:after="0" w:line="240" w:lineRule="auto"/>
              <w:rPr>
                <w:rFonts w:ascii="Arial Narrow" w:hAnsi="Arial Narrow" w:cs="Calibri"/>
                <w:i/>
                <w:color w:val="000000"/>
                <w:sz w:val="20"/>
                <w:szCs w:val="20"/>
                <w:highlight w:val="yellow"/>
              </w:rPr>
            </w:pPr>
          </w:p>
        </w:tc>
        <w:tc>
          <w:tcPr>
            <w:tcW w:w="2146" w:type="dxa"/>
            <w:tcBorders>
              <w:top w:val="nil"/>
              <w:left w:val="nil"/>
              <w:bottom w:val="nil"/>
              <w:right w:val="single" w:sz="4" w:space="0" w:color="auto"/>
            </w:tcBorders>
            <w:shd w:val="clear" w:color="auto" w:fill="auto"/>
          </w:tcPr>
          <w:p w14:paraId="083862D0" w14:textId="77777777" w:rsidR="00D42D26" w:rsidRPr="007D0AA8" w:rsidRDefault="00D42D26" w:rsidP="00331FB9">
            <w:pPr>
              <w:pStyle w:val="ListParagraph"/>
              <w:numPr>
                <w:ilvl w:val="0"/>
                <w:numId w:val="22"/>
              </w:numPr>
              <w:spacing w:after="0" w:line="240" w:lineRule="auto"/>
              <w:ind w:left="215" w:hanging="221"/>
              <w:rPr>
                <w:rFonts w:ascii="Arial Narrow" w:hAnsi="Arial Narrow" w:cs="Calibri"/>
                <w:i/>
                <w:color w:val="000000"/>
                <w:sz w:val="20"/>
              </w:rPr>
            </w:pPr>
            <w:r w:rsidRPr="007D0AA8">
              <w:rPr>
                <w:rFonts w:ascii="Arial Narrow" w:hAnsi="Arial Narrow"/>
                <w:snapToGrid w:val="0"/>
                <w:sz w:val="20"/>
                <w:szCs w:val="20"/>
                <w:lang w:eastAsia="en-US"/>
              </w:rPr>
              <w:t>LRTIs</w:t>
            </w:r>
          </w:p>
        </w:tc>
        <w:tc>
          <w:tcPr>
            <w:tcW w:w="2199" w:type="dxa"/>
            <w:gridSpan w:val="2"/>
            <w:tcBorders>
              <w:top w:val="nil"/>
              <w:left w:val="single" w:sz="4" w:space="0" w:color="auto"/>
              <w:bottom w:val="nil"/>
              <w:right w:val="nil"/>
            </w:tcBorders>
            <w:shd w:val="clear" w:color="auto" w:fill="auto"/>
            <w:noWrap/>
          </w:tcPr>
          <w:p w14:paraId="76338A0B" w14:textId="74588253" w:rsidR="00D42D26" w:rsidRPr="007D0AA8" w:rsidRDefault="00D42D26" w:rsidP="001A2B6F">
            <w:pPr>
              <w:spacing w:after="0" w:line="240" w:lineRule="auto"/>
              <w:jc w:val="right"/>
              <w:rPr>
                <w:rFonts w:ascii="Arial Narrow" w:hAnsi="Arial Narrow"/>
                <w:i/>
                <w:sz w:val="20"/>
                <w:highlight w:val="yellow"/>
              </w:rPr>
            </w:pPr>
            <w:r w:rsidRPr="007D0AA8">
              <w:rPr>
                <w:rFonts w:ascii="Arial Narrow" w:hAnsi="Arial Narrow"/>
                <w:snapToGrid w:val="0"/>
                <w:sz w:val="20"/>
                <w:szCs w:val="20"/>
                <w:lang w:eastAsia="en-US"/>
              </w:rPr>
              <w:t>11</w:t>
            </w:r>
            <w:r w:rsidR="00C0506D">
              <w:rPr>
                <w:rFonts w:ascii="Arial Narrow" w:hAnsi="Arial Narrow"/>
                <w:snapToGrid w:val="0"/>
                <w:sz w:val="20"/>
                <w:szCs w:val="20"/>
                <w:lang w:eastAsia="en-US"/>
              </w:rPr>
              <w:br/>
            </w:r>
            <w:r w:rsidR="00C0506D" w:rsidRPr="00C0506D">
              <w:rPr>
                <w:rFonts w:ascii="Arial Narrow" w:hAnsi="Arial Narrow"/>
                <w:i/>
                <w:snapToGrid w:val="0"/>
                <w:sz w:val="20"/>
                <w:szCs w:val="20"/>
                <w:lang w:eastAsia="en-US"/>
              </w:rPr>
              <w:t>(or 44 events in 12mo)</w:t>
            </w:r>
          </w:p>
        </w:tc>
        <w:tc>
          <w:tcPr>
            <w:tcW w:w="2190" w:type="dxa"/>
            <w:tcBorders>
              <w:top w:val="nil"/>
              <w:left w:val="nil"/>
              <w:bottom w:val="nil"/>
              <w:right w:val="nil"/>
            </w:tcBorders>
            <w:shd w:val="clear" w:color="auto" w:fill="auto"/>
            <w:noWrap/>
          </w:tcPr>
          <w:p w14:paraId="3243C8F3" w14:textId="0BB3DB7B" w:rsidR="00D42D26" w:rsidRPr="007D0AA8" w:rsidRDefault="00D42D26" w:rsidP="001A2B6F">
            <w:pPr>
              <w:spacing w:after="0" w:line="240" w:lineRule="auto"/>
              <w:jc w:val="right"/>
              <w:rPr>
                <w:rFonts w:ascii="Arial Narrow" w:hAnsi="Arial Narrow"/>
                <w:i/>
                <w:sz w:val="20"/>
                <w:highlight w:val="yellow"/>
              </w:rPr>
            </w:pPr>
            <w:r w:rsidRPr="007D0AA8">
              <w:rPr>
                <w:rFonts w:ascii="Arial Narrow" w:hAnsi="Arial Narrow"/>
                <w:snapToGrid w:val="0"/>
                <w:sz w:val="20"/>
                <w:szCs w:val="20"/>
                <w:lang w:eastAsia="en-US"/>
              </w:rPr>
              <w:t>17</w:t>
            </w:r>
            <w:r w:rsidR="00C0506D">
              <w:rPr>
                <w:rFonts w:ascii="Arial Narrow" w:hAnsi="Arial Narrow"/>
                <w:snapToGrid w:val="0"/>
                <w:sz w:val="20"/>
                <w:szCs w:val="20"/>
                <w:lang w:eastAsia="en-US"/>
              </w:rPr>
              <w:br/>
            </w:r>
            <w:r w:rsidR="00C0506D" w:rsidRPr="00C0506D">
              <w:rPr>
                <w:rFonts w:ascii="Arial Narrow" w:hAnsi="Arial Narrow"/>
                <w:i/>
                <w:snapToGrid w:val="0"/>
                <w:sz w:val="20"/>
                <w:szCs w:val="20"/>
                <w:lang w:eastAsia="en-US"/>
              </w:rPr>
              <w:t>(or 4 events in 12mo)</w:t>
            </w:r>
          </w:p>
        </w:tc>
        <w:tc>
          <w:tcPr>
            <w:tcW w:w="1103" w:type="dxa"/>
            <w:gridSpan w:val="2"/>
            <w:tcBorders>
              <w:top w:val="nil"/>
              <w:left w:val="nil"/>
              <w:bottom w:val="nil"/>
              <w:right w:val="single" w:sz="4" w:space="0" w:color="auto"/>
            </w:tcBorders>
          </w:tcPr>
          <w:p w14:paraId="6D80DCFA" w14:textId="77777777" w:rsidR="00D42D26" w:rsidRPr="007D0AA8" w:rsidRDefault="00D42D26" w:rsidP="001A2B6F">
            <w:pPr>
              <w:spacing w:after="0" w:line="240" w:lineRule="auto"/>
              <w:jc w:val="right"/>
              <w:rPr>
                <w:rFonts w:ascii="Arial Narrow" w:hAnsi="Arial Narrow"/>
                <w:i/>
                <w:sz w:val="20"/>
                <w:szCs w:val="20"/>
                <w:highlight w:val="yellow"/>
              </w:rPr>
            </w:pPr>
          </w:p>
        </w:tc>
      </w:tr>
      <w:tr w:rsidR="00D42D26" w:rsidRPr="007D0AA8" w14:paraId="41025B66" w14:textId="77777777" w:rsidTr="001A2B6F">
        <w:trPr>
          <w:jc w:val="center"/>
        </w:trPr>
        <w:tc>
          <w:tcPr>
            <w:tcW w:w="1425" w:type="dxa"/>
            <w:tcBorders>
              <w:top w:val="nil"/>
              <w:left w:val="single" w:sz="4" w:space="0" w:color="auto"/>
              <w:bottom w:val="nil"/>
              <w:right w:val="single" w:sz="4" w:space="0" w:color="auto"/>
            </w:tcBorders>
          </w:tcPr>
          <w:p w14:paraId="3B328884" w14:textId="77777777" w:rsidR="00D42D26" w:rsidRPr="007D0AA8" w:rsidRDefault="00D42D26" w:rsidP="001A2B6F">
            <w:pPr>
              <w:spacing w:after="0" w:line="240" w:lineRule="auto"/>
              <w:rPr>
                <w:rFonts w:ascii="Arial Narrow" w:hAnsi="Arial Narrow" w:cs="Calibri"/>
                <w:i/>
                <w:color w:val="000000"/>
                <w:sz w:val="20"/>
                <w:szCs w:val="20"/>
                <w:highlight w:val="yellow"/>
              </w:rPr>
            </w:pPr>
          </w:p>
        </w:tc>
        <w:tc>
          <w:tcPr>
            <w:tcW w:w="2146" w:type="dxa"/>
            <w:tcBorders>
              <w:top w:val="nil"/>
              <w:left w:val="nil"/>
              <w:bottom w:val="nil"/>
              <w:right w:val="single" w:sz="4" w:space="0" w:color="auto"/>
            </w:tcBorders>
            <w:shd w:val="clear" w:color="auto" w:fill="auto"/>
          </w:tcPr>
          <w:p w14:paraId="1CABFF3B" w14:textId="24D8872D" w:rsidR="00D42D26" w:rsidRPr="007D0AA8" w:rsidRDefault="00E05A79" w:rsidP="00331FB9">
            <w:pPr>
              <w:pStyle w:val="ListParagraph"/>
              <w:numPr>
                <w:ilvl w:val="0"/>
                <w:numId w:val="22"/>
              </w:numPr>
              <w:spacing w:after="0" w:line="240" w:lineRule="auto"/>
              <w:ind w:left="215" w:hanging="221"/>
              <w:rPr>
                <w:rFonts w:ascii="Arial Narrow" w:hAnsi="Arial Narrow" w:cs="Calibri"/>
                <w:i/>
                <w:color w:val="000000"/>
                <w:sz w:val="20"/>
              </w:rPr>
            </w:pPr>
            <w:r>
              <w:rPr>
                <w:rFonts w:ascii="Arial Narrow" w:hAnsi="Arial Narrow"/>
                <w:snapToGrid w:val="0"/>
                <w:sz w:val="20"/>
                <w:szCs w:val="20"/>
                <w:lang w:eastAsia="en-US"/>
              </w:rPr>
              <w:t>Ear infections</w:t>
            </w:r>
          </w:p>
        </w:tc>
        <w:tc>
          <w:tcPr>
            <w:tcW w:w="2199" w:type="dxa"/>
            <w:gridSpan w:val="2"/>
            <w:tcBorders>
              <w:top w:val="nil"/>
              <w:left w:val="single" w:sz="4" w:space="0" w:color="auto"/>
              <w:bottom w:val="nil"/>
              <w:right w:val="nil"/>
            </w:tcBorders>
            <w:shd w:val="clear" w:color="auto" w:fill="auto"/>
            <w:noWrap/>
          </w:tcPr>
          <w:p w14:paraId="0D6B34A8" w14:textId="77777777" w:rsidR="00D42D26" w:rsidRPr="007D0AA8" w:rsidRDefault="00D42D26" w:rsidP="001A2B6F">
            <w:pPr>
              <w:spacing w:after="0" w:line="240" w:lineRule="auto"/>
              <w:jc w:val="right"/>
              <w:rPr>
                <w:rFonts w:ascii="Arial Narrow" w:hAnsi="Arial Narrow"/>
                <w:i/>
                <w:sz w:val="20"/>
                <w:highlight w:val="yellow"/>
              </w:rPr>
            </w:pPr>
            <w:r w:rsidRPr="007D0AA8">
              <w:rPr>
                <w:rFonts w:ascii="Arial Narrow" w:hAnsi="Arial Narrow"/>
                <w:snapToGrid w:val="0"/>
                <w:sz w:val="20"/>
                <w:szCs w:val="20"/>
                <w:lang w:eastAsia="en-US"/>
              </w:rPr>
              <w:t>0</w:t>
            </w:r>
          </w:p>
        </w:tc>
        <w:tc>
          <w:tcPr>
            <w:tcW w:w="2190" w:type="dxa"/>
            <w:tcBorders>
              <w:top w:val="nil"/>
              <w:left w:val="nil"/>
              <w:bottom w:val="nil"/>
              <w:right w:val="nil"/>
            </w:tcBorders>
            <w:shd w:val="clear" w:color="auto" w:fill="auto"/>
            <w:noWrap/>
          </w:tcPr>
          <w:p w14:paraId="64CFC9AD" w14:textId="77777777" w:rsidR="00D42D26" w:rsidRPr="007D0AA8" w:rsidRDefault="00D42D26" w:rsidP="001A2B6F">
            <w:pPr>
              <w:spacing w:after="0" w:line="240" w:lineRule="auto"/>
              <w:jc w:val="right"/>
              <w:rPr>
                <w:rFonts w:ascii="Arial Narrow" w:hAnsi="Arial Narrow"/>
                <w:i/>
                <w:sz w:val="20"/>
                <w:highlight w:val="yellow"/>
              </w:rPr>
            </w:pPr>
            <w:r w:rsidRPr="007D0AA8">
              <w:rPr>
                <w:rFonts w:ascii="Arial Narrow" w:hAnsi="Arial Narrow"/>
                <w:snapToGrid w:val="0"/>
                <w:sz w:val="20"/>
                <w:szCs w:val="20"/>
                <w:lang w:eastAsia="en-US"/>
              </w:rPr>
              <w:t>2</w:t>
            </w:r>
          </w:p>
        </w:tc>
        <w:tc>
          <w:tcPr>
            <w:tcW w:w="1103" w:type="dxa"/>
            <w:gridSpan w:val="2"/>
            <w:tcBorders>
              <w:top w:val="nil"/>
              <w:left w:val="nil"/>
              <w:bottom w:val="nil"/>
              <w:right w:val="single" w:sz="4" w:space="0" w:color="auto"/>
            </w:tcBorders>
          </w:tcPr>
          <w:p w14:paraId="1278D7FA" w14:textId="77777777" w:rsidR="00D42D26" w:rsidRPr="007D0AA8" w:rsidRDefault="00D42D26" w:rsidP="001A2B6F">
            <w:pPr>
              <w:spacing w:after="0" w:line="240" w:lineRule="auto"/>
              <w:jc w:val="right"/>
              <w:rPr>
                <w:rFonts w:ascii="Arial Narrow" w:hAnsi="Arial Narrow"/>
                <w:i/>
                <w:sz w:val="20"/>
                <w:szCs w:val="20"/>
                <w:highlight w:val="yellow"/>
              </w:rPr>
            </w:pPr>
          </w:p>
        </w:tc>
      </w:tr>
      <w:tr w:rsidR="00D42D26" w:rsidRPr="007D0AA8" w14:paraId="42BEFA3C" w14:textId="77777777" w:rsidTr="001A2B6F">
        <w:trPr>
          <w:jc w:val="center"/>
        </w:trPr>
        <w:tc>
          <w:tcPr>
            <w:tcW w:w="1425" w:type="dxa"/>
            <w:tcBorders>
              <w:top w:val="nil"/>
              <w:left w:val="single" w:sz="4" w:space="0" w:color="auto"/>
              <w:bottom w:val="nil"/>
              <w:right w:val="single" w:sz="4" w:space="0" w:color="auto"/>
            </w:tcBorders>
          </w:tcPr>
          <w:p w14:paraId="12794022" w14:textId="77777777" w:rsidR="00D42D26" w:rsidRPr="00E05A79" w:rsidRDefault="00D42D26" w:rsidP="001A2B6F">
            <w:pPr>
              <w:spacing w:after="0" w:line="240" w:lineRule="auto"/>
              <w:rPr>
                <w:rFonts w:ascii="Arial Narrow" w:hAnsi="Arial Narrow" w:cs="Calibri"/>
                <w:i/>
                <w:color w:val="000000"/>
                <w:sz w:val="20"/>
                <w:szCs w:val="20"/>
              </w:rPr>
            </w:pPr>
          </w:p>
        </w:tc>
        <w:tc>
          <w:tcPr>
            <w:tcW w:w="2146" w:type="dxa"/>
            <w:tcBorders>
              <w:top w:val="nil"/>
              <w:left w:val="nil"/>
              <w:bottom w:val="nil"/>
              <w:right w:val="single" w:sz="4" w:space="0" w:color="auto"/>
            </w:tcBorders>
            <w:shd w:val="clear" w:color="auto" w:fill="auto"/>
          </w:tcPr>
          <w:p w14:paraId="509E174A" w14:textId="77777777" w:rsidR="00D42D26" w:rsidRPr="00E05A79" w:rsidRDefault="00D42D26" w:rsidP="00331FB9">
            <w:pPr>
              <w:pStyle w:val="ListParagraph"/>
              <w:numPr>
                <w:ilvl w:val="0"/>
                <w:numId w:val="22"/>
              </w:numPr>
              <w:spacing w:after="0" w:line="240" w:lineRule="auto"/>
              <w:ind w:left="215" w:hanging="221"/>
              <w:rPr>
                <w:rFonts w:ascii="Arial Narrow" w:hAnsi="Arial Narrow" w:cs="Calibri"/>
                <w:i/>
                <w:color w:val="000000"/>
                <w:sz w:val="20"/>
              </w:rPr>
            </w:pPr>
            <w:r w:rsidRPr="00E05A79">
              <w:rPr>
                <w:rFonts w:ascii="Arial Narrow" w:hAnsi="Arial Narrow"/>
                <w:snapToGrid w:val="0"/>
                <w:sz w:val="20"/>
                <w:szCs w:val="20"/>
                <w:lang w:eastAsia="en-US"/>
              </w:rPr>
              <w:t>Sinusitis</w:t>
            </w:r>
          </w:p>
        </w:tc>
        <w:tc>
          <w:tcPr>
            <w:tcW w:w="2199" w:type="dxa"/>
            <w:gridSpan w:val="2"/>
            <w:tcBorders>
              <w:top w:val="nil"/>
              <w:left w:val="single" w:sz="4" w:space="0" w:color="auto"/>
              <w:bottom w:val="nil"/>
              <w:right w:val="nil"/>
            </w:tcBorders>
            <w:shd w:val="clear" w:color="auto" w:fill="auto"/>
            <w:noWrap/>
          </w:tcPr>
          <w:p w14:paraId="5BF061E6" w14:textId="77777777" w:rsidR="00D42D26" w:rsidRPr="00E05A79" w:rsidRDefault="00D42D26" w:rsidP="001A2B6F">
            <w:pPr>
              <w:spacing w:after="0" w:line="240" w:lineRule="auto"/>
              <w:jc w:val="right"/>
              <w:rPr>
                <w:rFonts w:ascii="Arial Narrow" w:hAnsi="Arial Narrow"/>
                <w:i/>
                <w:sz w:val="20"/>
              </w:rPr>
            </w:pPr>
            <w:r w:rsidRPr="00E05A79">
              <w:rPr>
                <w:rFonts w:ascii="Arial Narrow" w:hAnsi="Arial Narrow"/>
                <w:snapToGrid w:val="0"/>
                <w:sz w:val="20"/>
                <w:szCs w:val="20"/>
                <w:lang w:eastAsia="en-US"/>
              </w:rPr>
              <w:t>1</w:t>
            </w:r>
          </w:p>
        </w:tc>
        <w:tc>
          <w:tcPr>
            <w:tcW w:w="2190" w:type="dxa"/>
            <w:tcBorders>
              <w:top w:val="nil"/>
              <w:left w:val="nil"/>
              <w:bottom w:val="nil"/>
              <w:right w:val="nil"/>
            </w:tcBorders>
            <w:shd w:val="clear" w:color="auto" w:fill="auto"/>
            <w:noWrap/>
          </w:tcPr>
          <w:p w14:paraId="2FE8A39A" w14:textId="5A5E51E7" w:rsidR="00D42D26" w:rsidRPr="00E05A79" w:rsidRDefault="00E05A79" w:rsidP="001A2B6F">
            <w:pPr>
              <w:spacing w:after="0" w:line="240" w:lineRule="auto"/>
              <w:jc w:val="right"/>
              <w:rPr>
                <w:rFonts w:ascii="Arial Narrow" w:hAnsi="Arial Narrow"/>
                <w:sz w:val="20"/>
              </w:rPr>
            </w:pPr>
            <w:r w:rsidRPr="00E05A79">
              <w:rPr>
                <w:rFonts w:ascii="Arial Narrow" w:hAnsi="Arial Narrow"/>
                <w:sz w:val="20"/>
              </w:rPr>
              <w:t>0</w:t>
            </w:r>
          </w:p>
        </w:tc>
        <w:tc>
          <w:tcPr>
            <w:tcW w:w="1103" w:type="dxa"/>
            <w:gridSpan w:val="2"/>
            <w:tcBorders>
              <w:top w:val="nil"/>
              <w:left w:val="nil"/>
              <w:bottom w:val="nil"/>
              <w:right w:val="single" w:sz="4" w:space="0" w:color="auto"/>
            </w:tcBorders>
          </w:tcPr>
          <w:p w14:paraId="0AD905C5" w14:textId="77777777" w:rsidR="00D42D26" w:rsidRPr="00E05A79" w:rsidRDefault="00D42D26" w:rsidP="001A2B6F">
            <w:pPr>
              <w:spacing w:after="0" w:line="240" w:lineRule="auto"/>
              <w:jc w:val="right"/>
              <w:rPr>
                <w:rFonts w:ascii="Arial Narrow" w:hAnsi="Arial Narrow"/>
                <w:i/>
                <w:sz w:val="20"/>
                <w:szCs w:val="20"/>
              </w:rPr>
            </w:pPr>
          </w:p>
        </w:tc>
      </w:tr>
      <w:tr w:rsidR="00D42D26" w:rsidRPr="007D0AA8" w14:paraId="724092BA" w14:textId="77777777" w:rsidTr="001A2B6F">
        <w:trPr>
          <w:jc w:val="center"/>
        </w:trPr>
        <w:tc>
          <w:tcPr>
            <w:tcW w:w="1425" w:type="dxa"/>
            <w:tcBorders>
              <w:top w:val="nil"/>
              <w:left w:val="single" w:sz="4" w:space="0" w:color="auto"/>
              <w:bottom w:val="nil"/>
              <w:right w:val="single" w:sz="4" w:space="0" w:color="auto"/>
            </w:tcBorders>
          </w:tcPr>
          <w:p w14:paraId="339294F5" w14:textId="77777777" w:rsidR="00D42D26" w:rsidRPr="007D0AA8" w:rsidRDefault="00D42D26" w:rsidP="001A2B6F">
            <w:pPr>
              <w:spacing w:after="0" w:line="240" w:lineRule="auto"/>
              <w:rPr>
                <w:rFonts w:ascii="Arial Narrow" w:hAnsi="Arial Narrow" w:cs="Calibri"/>
                <w:i/>
                <w:color w:val="000000"/>
                <w:sz w:val="20"/>
                <w:szCs w:val="20"/>
                <w:highlight w:val="yellow"/>
              </w:rPr>
            </w:pPr>
          </w:p>
        </w:tc>
        <w:tc>
          <w:tcPr>
            <w:tcW w:w="2146" w:type="dxa"/>
            <w:tcBorders>
              <w:top w:val="nil"/>
              <w:left w:val="nil"/>
              <w:bottom w:val="nil"/>
              <w:right w:val="single" w:sz="4" w:space="0" w:color="auto"/>
            </w:tcBorders>
            <w:shd w:val="clear" w:color="auto" w:fill="auto"/>
          </w:tcPr>
          <w:p w14:paraId="19694795" w14:textId="77777777" w:rsidR="00D42D26" w:rsidRPr="007D0AA8" w:rsidRDefault="00D42D26" w:rsidP="00331FB9">
            <w:pPr>
              <w:pStyle w:val="ListParagraph"/>
              <w:numPr>
                <w:ilvl w:val="0"/>
                <w:numId w:val="22"/>
              </w:numPr>
              <w:spacing w:after="0" w:line="240" w:lineRule="auto"/>
              <w:ind w:left="215" w:hanging="221"/>
              <w:rPr>
                <w:rFonts w:ascii="Arial Narrow" w:hAnsi="Arial Narrow" w:cs="Calibri"/>
                <w:i/>
                <w:color w:val="000000"/>
                <w:sz w:val="20"/>
              </w:rPr>
            </w:pPr>
            <w:r w:rsidRPr="007D0AA8">
              <w:rPr>
                <w:rFonts w:ascii="Arial Narrow" w:hAnsi="Arial Narrow"/>
                <w:snapToGrid w:val="0"/>
                <w:sz w:val="20"/>
                <w:szCs w:val="20"/>
                <w:lang w:eastAsia="en-US"/>
              </w:rPr>
              <w:t>Skin &amp; soft tissue infection</w:t>
            </w:r>
          </w:p>
        </w:tc>
        <w:tc>
          <w:tcPr>
            <w:tcW w:w="2199" w:type="dxa"/>
            <w:gridSpan w:val="2"/>
            <w:tcBorders>
              <w:top w:val="nil"/>
              <w:left w:val="single" w:sz="4" w:space="0" w:color="auto"/>
              <w:bottom w:val="nil"/>
              <w:right w:val="nil"/>
            </w:tcBorders>
            <w:shd w:val="clear" w:color="auto" w:fill="auto"/>
            <w:noWrap/>
          </w:tcPr>
          <w:p w14:paraId="76EBEB07" w14:textId="77777777" w:rsidR="00D42D26" w:rsidRPr="007D0AA8" w:rsidRDefault="00D42D26" w:rsidP="001A2B6F">
            <w:pPr>
              <w:spacing w:after="0" w:line="240" w:lineRule="auto"/>
              <w:jc w:val="right"/>
              <w:rPr>
                <w:rFonts w:ascii="Arial Narrow" w:hAnsi="Arial Narrow"/>
                <w:i/>
                <w:sz w:val="20"/>
                <w:highlight w:val="yellow"/>
              </w:rPr>
            </w:pPr>
            <w:r w:rsidRPr="007D0AA8">
              <w:rPr>
                <w:rFonts w:ascii="Arial Narrow" w:hAnsi="Arial Narrow"/>
                <w:snapToGrid w:val="0"/>
                <w:sz w:val="20"/>
                <w:szCs w:val="20"/>
                <w:lang w:eastAsia="en-US"/>
              </w:rPr>
              <w:t>0</w:t>
            </w:r>
          </w:p>
        </w:tc>
        <w:tc>
          <w:tcPr>
            <w:tcW w:w="2190" w:type="dxa"/>
            <w:tcBorders>
              <w:top w:val="nil"/>
              <w:left w:val="nil"/>
              <w:bottom w:val="nil"/>
              <w:right w:val="nil"/>
            </w:tcBorders>
            <w:shd w:val="clear" w:color="auto" w:fill="auto"/>
            <w:noWrap/>
          </w:tcPr>
          <w:p w14:paraId="53A46BD2" w14:textId="77777777" w:rsidR="00D42D26" w:rsidRPr="007D0AA8" w:rsidRDefault="00D42D26" w:rsidP="001A2B6F">
            <w:pPr>
              <w:spacing w:after="0" w:line="240" w:lineRule="auto"/>
              <w:jc w:val="right"/>
              <w:rPr>
                <w:rFonts w:ascii="Arial Narrow" w:hAnsi="Arial Narrow"/>
                <w:i/>
                <w:sz w:val="20"/>
                <w:highlight w:val="yellow"/>
              </w:rPr>
            </w:pPr>
            <w:r w:rsidRPr="007D0AA8">
              <w:rPr>
                <w:rFonts w:ascii="Arial Narrow" w:hAnsi="Arial Narrow"/>
                <w:snapToGrid w:val="0"/>
                <w:sz w:val="20"/>
                <w:szCs w:val="20"/>
                <w:lang w:eastAsia="en-US"/>
              </w:rPr>
              <w:t>1</w:t>
            </w:r>
          </w:p>
        </w:tc>
        <w:tc>
          <w:tcPr>
            <w:tcW w:w="1103" w:type="dxa"/>
            <w:gridSpan w:val="2"/>
            <w:tcBorders>
              <w:top w:val="nil"/>
              <w:left w:val="nil"/>
              <w:bottom w:val="nil"/>
              <w:right w:val="single" w:sz="4" w:space="0" w:color="auto"/>
            </w:tcBorders>
          </w:tcPr>
          <w:p w14:paraId="65C92FED" w14:textId="77777777" w:rsidR="00D42D26" w:rsidRPr="007D0AA8" w:rsidRDefault="00D42D26" w:rsidP="001A2B6F">
            <w:pPr>
              <w:spacing w:after="0" w:line="240" w:lineRule="auto"/>
              <w:jc w:val="right"/>
              <w:rPr>
                <w:rFonts w:ascii="Arial Narrow" w:hAnsi="Arial Narrow"/>
                <w:i/>
                <w:sz w:val="20"/>
                <w:szCs w:val="20"/>
                <w:highlight w:val="yellow"/>
              </w:rPr>
            </w:pPr>
          </w:p>
        </w:tc>
      </w:tr>
      <w:tr w:rsidR="00D42D26" w:rsidRPr="007D0AA8" w14:paraId="78C06CB6" w14:textId="77777777" w:rsidTr="001A2B6F">
        <w:trPr>
          <w:jc w:val="center"/>
        </w:trPr>
        <w:tc>
          <w:tcPr>
            <w:tcW w:w="1425" w:type="dxa"/>
            <w:tcBorders>
              <w:top w:val="nil"/>
              <w:left w:val="single" w:sz="4" w:space="0" w:color="auto"/>
              <w:bottom w:val="nil"/>
              <w:right w:val="single" w:sz="4" w:space="0" w:color="auto"/>
            </w:tcBorders>
          </w:tcPr>
          <w:p w14:paraId="3249DE89" w14:textId="77777777" w:rsidR="00D42D26" w:rsidRPr="007D0AA8" w:rsidRDefault="00D42D26" w:rsidP="001A2B6F">
            <w:pPr>
              <w:spacing w:after="0" w:line="240" w:lineRule="auto"/>
              <w:rPr>
                <w:rFonts w:ascii="Arial Narrow" w:hAnsi="Arial Narrow" w:cs="Calibri"/>
                <w:i/>
                <w:color w:val="000000"/>
                <w:sz w:val="20"/>
                <w:szCs w:val="20"/>
                <w:highlight w:val="yellow"/>
              </w:rPr>
            </w:pPr>
          </w:p>
        </w:tc>
        <w:tc>
          <w:tcPr>
            <w:tcW w:w="2146" w:type="dxa"/>
            <w:tcBorders>
              <w:top w:val="nil"/>
              <w:left w:val="nil"/>
              <w:bottom w:val="nil"/>
              <w:right w:val="single" w:sz="4" w:space="0" w:color="auto"/>
            </w:tcBorders>
            <w:shd w:val="clear" w:color="auto" w:fill="auto"/>
          </w:tcPr>
          <w:p w14:paraId="56EAF613" w14:textId="77777777" w:rsidR="00D42D26" w:rsidRPr="007D0AA8" w:rsidRDefault="00D42D26" w:rsidP="00331FB9">
            <w:pPr>
              <w:pStyle w:val="ListParagraph"/>
              <w:numPr>
                <w:ilvl w:val="0"/>
                <w:numId w:val="22"/>
              </w:numPr>
              <w:spacing w:after="0" w:line="240" w:lineRule="auto"/>
              <w:ind w:left="215" w:hanging="221"/>
              <w:rPr>
                <w:rFonts w:ascii="Arial Narrow" w:hAnsi="Arial Narrow" w:cs="Calibri"/>
                <w:i/>
                <w:color w:val="000000"/>
                <w:sz w:val="20"/>
              </w:rPr>
            </w:pPr>
            <w:r w:rsidRPr="007D0AA8">
              <w:rPr>
                <w:rFonts w:ascii="Arial Narrow" w:hAnsi="Arial Narrow"/>
                <w:snapToGrid w:val="0"/>
                <w:sz w:val="20"/>
                <w:szCs w:val="20"/>
                <w:lang w:eastAsia="en-US"/>
              </w:rPr>
              <w:t>GI infection</w:t>
            </w:r>
          </w:p>
        </w:tc>
        <w:tc>
          <w:tcPr>
            <w:tcW w:w="2199" w:type="dxa"/>
            <w:gridSpan w:val="2"/>
            <w:tcBorders>
              <w:top w:val="nil"/>
              <w:left w:val="single" w:sz="4" w:space="0" w:color="auto"/>
              <w:bottom w:val="nil"/>
              <w:right w:val="nil"/>
            </w:tcBorders>
            <w:shd w:val="clear" w:color="auto" w:fill="auto"/>
            <w:noWrap/>
          </w:tcPr>
          <w:p w14:paraId="0EEF1B9C" w14:textId="77777777" w:rsidR="00D42D26" w:rsidRPr="007D0AA8" w:rsidRDefault="00D42D26" w:rsidP="001A2B6F">
            <w:pPr>
              <w:spacing w:after="0" w:line="240" w:lineRule="auto"/>
              <w:jc w:val="right"/>
              <w:rPr>
                <w:rFonts w:ascii="Arial Narrow" w:hAnsi="Arial Narrow"/>
                <w:i/>
                <w:sz w:val="20"/>
                <w:highlight w:val="yellow"/>
              </w:rPr>
            </w:pPr>
            <w:r w:rsidRPr="007D0AA8">
              <w:rPr>
                <w:rFonts w:ascii="Arial Narrow" w:hAnsi="Arial Narrow"/>
                <w:snapToGrid w:val="0"/>
                <w:sz w:val="20"/>
                <w:szCs w:val="20"/>
                <w:lang w:eastAsia="en-US"/>
              </w:rPr>
              <w:t>0</w:t>
            </w:r>
          </w:p>
        </w:tc>
        <w:tc>
          <w:tcPr>
            <w:tcW w:w="2190" w:type="dxa"/>
            <w:tcBorders>
              <w:top w:val="nil"/>
              <w:left w:val="nil"/>
              <w:bottom w:val="nil"/>
              <w:right w:val="nil"/>
            </w:tcBorders>
            <w:shd w:val="clear" w:color="auto" w:fill="auto"/>
            <w:noWrap/>
          </w:tcPr>
          <w:p w14:paraId="0602E7F2" w14:textId="77777777" w:rsidR="00D42D26" w:rsidRPr="007D0AA8" w:rsidRDefault="00D42D26" w:rsidP="001A2B6F">
            <w:pPr>
              <w:spacing w:after="0" w:line="240" w:lineRule="auto"/>
              <w:jc w:val="right"/>
              <w:rPr>
                <w:rFonts w:ascii="Arial Narrow" w:hAnsi="Arial Narrow"/>
                <w:i/>
                <w:sz w:val="20"/>
                <w:highlight w:val="yellow"/>
              </w:rPr>
            </w:pPr>
            <w:r w:rsidRPr="007D0AA8">
              <w:rPr>
                <w:rFonts w:ascii="Arial Narrow" w:hAnsi="Arial Narrow"/>
                <w:snapToGrid w:val="0"/>
                <w:sz w:val="20"/>
                <w:szCs w:val="20"/>
                <w:lang w:eastAsia="en-US"/>
              </w:rPr>
              <w:t>1</w:t>
            </w:r>
          </w:p>
        </w:tc>
        <w:tc>
          <w:tcPr>
            <w:tcW w:w="1103" w:type="dxa"/>
            <w:gridSpan w:val="2"/>
            <w:tcBorders>
              <w:top w:val="nil"/>
              <w:left w:val="nil"/>
              <w:bottom w:val="nil"/>
              <w:right w:val="single" w:sz="4" w:space="0" w:color="auto"/>
            </w:tcBorders>
          </w:tcPr>
          <w:p w14:paraId="3888F233" w14:textId="77777777" w:rsidR="00D42D26" w:rsidRPr="007D0AA8" w:rsidRDefault="00D42D26" w:rsidP="001A2B6F">
            <w:pPr>
              <w:spacing w:after="0" w:line="240" w:lineRule="auto"/>
              <w:jc w:val="right"/>
              <w:rPr>
                <w:rFonts w:ascii="Arial Narrow" w:hAnsi="Arial Narrow"/>
                <w:i/>
                <w:sz w:val="20"/>
                <w:szCs w:val="20"/>
                <w:highlight w:val="yellow"/>
              </w:rPr>
            </w:pPr>
          </w:p>
        </w:tc>
      </w:tr>
      <w:tr w:rsidR="00D42D26" w:rsidRPr="007D0AA8" w14:paraId="4EF32262" w14:textId="77777777" w:rsidTr="001A2B6F">
        <w:trPr>
          <w:jc w:val="center"/>
        </w:trPr>
        <w:tc>
          <w:tcPr>
            <w:tcW w:w="1425" w:type="dxa"/>
            <w:tcBorders>
              <w:top w:val="nil"/>
              <w:left w:val="single" w:sz="4" w:space="0" w:color="auto"/>
              <w:bottom w:val="nil"/>
              <w:right w:val="single" w:sz="4" w:space="0" w:color="auto"/>
            </w:tcBorders>
          </w:tcPr>
          <w:p w14:paraId="09176853" w14:textId="77777777" w:rsidR="00D42D26" w:rsidRPr="007D0AA8" w:rsidRDefault="00D42D26" w:rsidP="001A2B6F">
            <w:pPr>
              <w:spacing w:after="0" w:line="240" w:lineRule="auto"/>
              <w:rPr>
                <w:rFonts w:ascii="Arial Narrow" w:hAnsi="Arial Narrow" w:cs="Calibri"/>
                <w:i/>
                <w:color w:val="000000"/>
                <w:sz w:val="20"/>
                <w:szCs w:val="20"/>
                <w:highlight w:val="yellow"/>
              </w:rPr>
            </w:pPr>
          </w:p>
        </w:tc>
        <w:tc>
          <w:tcPr>
            <w:tcW w:w="2146" w:type="dxa"/>
            <w:tcBorders>
              <w:top w:val="nil"/>
              <w:left w:val="nil"/>
              <w:bottom w:val="nil"/>
              <w:right w:val="single" w:sz="4" w:space="0" w:color="auto"/>
            </w:tcBorders>
            <w:shd w:val="clear" w:color="auto" w:fill="auto"/>
          </w:tcPr>
          <w:p w14:paraId="6209E256" w14:textId="77777777" w:rsidR="00D42D26" w:rsidRPr="007D0AA8" w:rsidRDefault="00D42D26" w:rsidP="00331FB9">
            <w:pPr>
              <w:pStyle w:val="ListParagraph"/>
              <w:numPr>
                <w:ilvl w:val="0"/>
                <w:numId w:val="22"/>
              </w:numPr>
              <w:spacing w:after="0" w:line="240" w:lineRule="auto"/>
              <w:ind w:left="215" w:hanging="221"/>
              <w:rPr>
                <w:rFonts w:ascii="Arial Narrow" w:hAnsi="Arial Narrow" w:cs="Calibri"/>
                <w:i/>
                <w:color w:val="000000"/>
                <w:sz w:val="20"/>
              </w:rPr>
            </w:pPr>
            <w:r w:rsidRPr="007D0AA8">
              <w:rPr>
                <w:rFonts w:ascii="Arial Narrow" w:hAnsi="Arial Narrow"/>
                <w:snapToGrid w:val="0"/>
                <w:sz w:val="20"/>
                <w:szCs w:val="20"/>
                <w:lang w:eastAsia="en-US"/>
              </w:rPr>
              <w:t>Not specified</w:t>
            </w:r>
          </w:p>
        </w:tc>
        <w:tc>
          <w:tcPr>
            <w:tcW w:w="2199" w:type="dxa"/>
            <w:gridSpan w:val="2"/>
            <w:tcBorders>
              <w:top w:val="nil"/>
              <w:left w:val="single" w:sz="4" w:space="0" w:color="auto"/>
              <w:bottom w:val="nil"/>
              <w:right w:val="nil"/>
            </w:tcBorders>
            <w:shd w:val="clear" w:color="auto" w:fill="auto"/>
            <w:noWrap/>
          </w:tcPr>
          <w:p w14:paraId="303CE133" w14:textId="77777777" w:rsidR="00D42D26" w:rsidRPr="007D0AA8" w:rsidRDefault="00D42D26" w:rsidP="001A2B6F">
            <w:pPr>
              <w:spacing w:after="0" w:line="240" w:lineRule="auto"/>
              <w:jc w:val="right"/>
              <w:rPr>
                <w:rFonts w:ascii="Arial Narrow" w:hAnsi="Arial Narrow"/>
                <w:i/>
                <w:sz w:val="20"/>
                <w:highlight w:val="yellow"/>
              </w:rPr>
            </w:pPr>
            <w:r w:rsidRPr="007D0AA8">
              <w:rPr>
                <w:rFonts w:ascii="Arial Narrow" w:hAnsi="Arial Narrow"/>
                <w:snapToGrid w:val="0"/>
                <w:sz w:val="20"/>
                <w:szCs w:val="20"/>
                <w:lang w:eastAsia="en-US"/>
              </w:rPr>
              <w:t>7</w:t>
            </w:r>
          </w:p>
        </w:tc>
        <w:tc>
          <w:tcPr>
            <w:tcW w:w="2190" w:type="dxa"/>
            <w:tcBorders>
              <w:top w:val="nil"/>
              <w:left w:val="nil"/>
              <w:bottom w:val="nil"/>
              <w:right w:val="nil"/>
            </w:tcBorders>
            <w:shd w:val="clear" w:color="auto" w:fill="auto"/>
            <w:noWrap/>
          </w:tcPr>
          <w:p w14:paraId="2A9820D8" w14:textId="77777777" w:rsidR="00D42D26" w:rsidRPr="007D0AA8" w:rsidRDefault="00D42D26" w:rsidP="001A2B6F">
            <w:pPr>
              <w:spacing w:after="0" w:line="240" w:lineRule="auto"/>
              <w:jc w:val="right"/>
              <w:rPr>
                <w:rFonts w:ascii="Arial Narrow" w:hAnsi="Arial Narrow"/>
                <w:i/>
                <w:sz w:val="20"/>
                <w:highlight w:val="yellow"/>
              </w:rPr>
            </w:pPr>
            <w:r w:rsidRPr="007D0AA8">
              <w:rPr>
                <w:rFonts w:ascii="Arial Narrow" w:hAnsi="Arial Narrow"/>
                <w:snapToGrid w:val="0"/>
                <w:sz w:val="20"/>
                <w:szCs w:val="20"/>
                <w:lang w:eastAsia="en-US"/>
              </w:rPr>
              <w:t>2</w:t>
            </w:r>
          </w:p>
        </w:tc>
        <w:tc>
          <w:tcPr>
            <w:tcW w:w="1103" w:type="dxa"/>
            <w:gridSpan w:val="2"/>
            <w:tcBorders>
              <w:top w:val="nil"/>
              <w:left w:val="nil"/>
              <w:bottom w:val="nil"/>
              <w:right w:val="single" w:sz="4" w:space="0" w:color="auto"/>
            </w:tcBorders>
          </w:tcPr>
          <w:p w14:paraId="2930C49A" w14:textId="77777777" w:rsidR="00D42D26" w:rsidRPr="007D0AA8" w:rsidRDefault="00D42D26" w:rsidP="001A2B6F">
            <w:pPr>
              <w:spacing w:after="0" w:line="240" w:lineRule="auto"/>
              <w:jc w:val="right"/>
              <w:rPr>
                <w:rFonts w:ascii="Arial Narrow" w:hAnsi="Arial Narrow"/>
                <w:i/>
                <w:sz w:val="20"/>
                <w:szCs w:val="20"/>
                <w:highlight w:val="yellow"/>
              </w:rPr>
            </w:pPr>
          </w:p>
        </w:tc>
      </w:tr>
      <w:tr w:rsidR="00F340FF" w:rsidRPr="007D0AA8" w14:paraId="58BB839D" w14:textId="77777777" w:rsidTr="001A2B6F">
        <w:trPr>
          <w:jc w:val="center"/>
        </w:trPr>
        <w:tc>
          <w:tcPr>
            <w:tcW w:w="1425" w:type="dxa"/>
            <w:tcBorders>
              <w:top w:val="nil"/>
              <w:left w:val="single" w:sz="4" w:space="0" w:color="auto"/>
              <w:bottom w:val="nil"/>
              <w:right w:val="single" w:sz="4" w:space="0" w:color="auto"/>
            </w:tcBorders>
          </w:tcPr>
          <w:p w14:paraId="06F1F733" w14:textId="77777777" w:rsidR="00F340FF" w:rsidRPr="007D0AA8" w:rsidRDefault="00F340FF" w:rsidP="00F340FF">
            <w:pPr>
              <w:spacing w:after="0" w:line="240" w:lineRule="auto"/>
              <w:rPr>
                <w:rFonts w:ascii="Arial Narrow" w:hAnsi="Arial Narrow" w:cs="Calibri"/>
                <w:i/>
                <w:color w:val="000000"/>
                <w:sz w:val="20"/>
                <w:szCs w:val="20"/>
                <w:highlight w:val="yellow"/>
              </w:rPr>
            </w:pPr>
          </w:p>
        </w:tc>
        <w:tc>
          <w:tcPr>
            <w:tcW w:w="2146" w:type="dxa"/>
            <w:tcBorders>
              <w:top w:val="nil"/>
              <w:left w:val="nil"/>
              <w:bottom w:val="nil"/>
              <w:right w:val="single" w:sz="4" w:space="0" w:color="auto"/>
            </w:tcBorders>
            <w:shd w:val="clear" w:color="auto" w:fill="auto"/>
          </w:tcPr>
          <w:p w14:paraId="0BA523DE" w14:textId="29984131" w:rsidR="00F340FF" w:rsidRPr="007D0AA8" w:rsidRDefault="00F340FF" w:rsidP="00F340FF">
            <w:pPr>
              <w:spacing w:after="0" w:line="240" w:lineRule="auto"/>
              <w:rPr>
                <w:rFonts w:ascii="Arial Narrow" w:hAnsi="Arial Narrow"/>
                <w:snapToGrid w:val="0"/>
                <w:sz w:val="20"/>
                <w:szCs w:val="20"/>
                <w:lang w:eastAsia="en-US"/>
              </w:rPr>
            </w:pPr>
            <w:r w:rsidRPr="007D0AA8">
              <w:rPr>
                <w:rFonts w:ascii="Arial Narrow" w:hAnsi="Arial Narrow"/>
                <w:snapToGrid w:val="0"/>
                <w:sz w:val="20"/>
                <w:szCs w:val="20"/>
                <w:lang w:eastAsia="en-US"/>
              </w:rPr>
              <w:t>Mean severe bacterial infections (/patient/yr)</w:t>
            </w:r>
          </w:p>
        </w:tc>
        <w:tc>
          <w:tcPr>
            <w:tcW w:w="2199" w:type="dxa"/>
            <w:gridSpan w:val="2"/>
            <w:tcBorders>
              <w:top w:val="nil"/>
              <w:left w:val="single" w:sz="4" w:space="0" w:color="auto"/>
              <w:bottom w:val="nil"/>
              <w:right w:val="nil"/>
            </w:tcBorders>
            <w:shd w:val="clear" w:color="auto" w:fill="auto"/>
            <w:noWrap/>
          </w:tcPr>
          <w:p w14:paraId="595DA1F0" w14:textId="5109C20D" w:rsidR="00F340FF" w:rsidRPr="007D0AA8" w:rsidRDefault="00F340FF" w:rsidP="00F340FF">
            <w:pPr>
              <w:spacing w:after="0" w:line="240" w:lineRule="auto"/>
              <w:jc w:val="right"/>
              <w:rPr>
                <w:rFonts w:ascii="Arial Narrow" w:hAnsi="Arial Narrow"/>
                <w:snapToGrid w:val="0"/>
                <w:sz w:val="20"/>
                <w:szCs w:val="20"/>
                <w:lang w:eastAsia="en-US"/>
              </w:rPr>
            </w:pPr>
            <w:r w:rsidRPr="007D0AA8">
              <w:rPr>
                <w:rFonts w:ascii="Arial Narrow" w:hAnsi="Arial Narrow"/>
                <w:snapToGrid w:val="0"/>
                <w:sz w:val="20"/>
                <w:szCs w:val="20"/>
                <w:lang w:eastAsia="en-US"/>
              </w:rPr>
              <w:t>9.7</w:t>
            </w:r>
          </w:p>
        </w:tc>
        <w:tc>
          <w:tcPr>
            <w:tcW w:w="2190" w:type="dxa"/>
            <w:tcBorders>
              <w:top w:val="nil"/>
              <w:left w:val="nil"/>
              <w:bottom w:val="nil"/>
              <w:right w:val="nil"/>
            </w:tcBorders>
            <w:shd w:val="clear" w:color="auto" w:fill="auto"/>
            <w:noWrap/>
          </w:tcPr>
          <w:p w14:paraId="781A470E" w14:textId="7E6650F9" w:rsidR="00F340FF" w:rsidRPr="007D0AA8" w:rsidRDefault="00F340FF" w:rsidP="00F340FF">
            <w:pPr>
              <w:spacing w:after="0" w:line="240" w:lineRule="auto"/>
              <w:jc w:val="right"/>
              <w:rPr>
                <w:rFonts w:ascii="Arial Narrow" w:hAnsi="Arial Narrow"/>
                <w:snapToGrid w:val="0"/>
                <w:sz w:val="20"/>
                <w:szCs w:val="20"/>
                <w:lang w:eastAsia="en-US"/>
              </w:rPr>
            </w:pPr>
            <w:r w:rsidRPr="007D0AA8">
              <w:rPr>
                <w:rFonts w:ascii="Arial Narrow" w:hAnsi="Arial Narrow"/>
                <w:snapToGrid w:val="0"/>
                <w:sz w:val="20"/>
                <w:szCs w:val="20"/>
                <w:lang w:eastAsia="en-US"/>
              </w:rPr>
              <w:t>0.7</w:t>
            </w:r>
          </w:p>
        </w:tc>
        <w:tc>
          <w:tcPr>
            <w:tcW w:w="1103" w:type="dxa"/>
            <w:gridSpan w:val="2"/>
            <w:tcBorders>
              <w:top w:val="nil"/>
              <w:left w:val="nil"/>
              <w:bottom w:val="nil"/>
              <w:right w:val="single" w:sz="4" w:space="0" w:color="auto"/>
            </w:tcBorders>
          </w:tcPr>
          <w:p w14:paraId="2324E03F" w14:textId="77777777" w:rsidR="00F340FF" w:rsidRPr="007D0AA8" w:rsidRDefault="00F340FF" w:rsidP="00F340FF">
            <w:pPr>
              <w:spacing w:after="0" w:line="240" w:lineRule="auto"/>
              <w:jc w:val="right"/>
              <w:rPr>
                <w:rFonts w:ascii="Arial Narrow" w:hAnsi="Arial Narrow"/>
                <w:i/>
                <w:sz w:val="20"/>
                <w:szCs w:val="20"/>
                <w:highlight w:val="yellow"/>
              </w:rPr>
            </w:pPr>
          </w:p>
        </w:tc>
      </w:tr>
      <w:tr w:rsidR="00F340FF" w:rsidRPr="007D0AA8" w14:paraId="2AEED7B5" w14:textId="77777777" w:rsidTr="001A2B6F">
        <w:trPr>
          <w:jc w:val="center"/>
        </w:trPr>
        <w:tc>
          <w:tcPr>
            <w:tcW w:w="1425" w:type="dxa"/>
            <w:tcBorders>
              <w:top w:val="nil"/>
              <w:left w:val="single" w:sz="4" w:space="0" w:color="auto"/>
              <w:bottom w:val="nil"/>
              <w:right w:val="single" w:sz="4" w:space="0" w:color="auto"/>
            </w:tcBorders>
          </w:tcPr>
          <w:p w14:paraId="494C6147" w14:textId="77777777" w:rsidR="00F340FF" w:rsidRPr="007D0AA8" w:rsidRDefault="00F340FF" w:rsidP="00F340FF">
            <w:pPr>
              <w:spacing w:after="0" w:line="240" w:lineRule="auto"/>
              <w:rPr>
                <w:rFonts w:ascii="Arial Narrow" w:hAnsi="Arial Narrow" w:cs="Calibri"/>
                <w:i/>
                <w:color w:val="000000"/>
                <w:sz w:val="20"/>
                <w:szCs w:val="20"/>
                <w:highlight w:val="yellow"/>
              </w:rPr>
            </w:pPr>
          </w:p>
        </w:tc>
        <w:tc>
          <w:tcPr>
            <w:tcW w:w="2146" w:type="dxa"/>
            <w:tcBorders>
              <w:top w:val="nil"/>
              <w:left w:val="nil"/>
              <w:bottom w:val="nil"/>
              <w:right w:val="single" w:sz="4" w:space="0" w:color="auto"/>
            </w:tcBorders>
            <w:shd w:val="clear" w:color="auto" w:fill="auto"/>
          </w:tcPr>
          <w:p w14:paraId="123CCA38" w14:textId="77777777" w:rsidR="00F340FF" w:rsidRPr="007D0AA8" w:rsidRDefault="00F340FF" w:rsidP="00F340FF">
            <w:pPr>
              <w:spacing w:after="0" w:line="240" w:lineRule="auto"/>
              <w:rPr>
                <w:rFonts w:ascii="Arial Narrow" w:hAnsi="Arial Narrow" w:cs="Calibri"/>
                <w:i/>
                <w:color w:val="000000"/>
                <w:sz w:val="20"/>
                <w:highlight w:val="yellow"/>
              </w:rPr>
            </w:pPr>
            <w:r w:rsidRPr="007D0AA8">
              <w:rPr>
                <w:rFonts w:ascii="Arial Narrow" w:hAnsi="Arial Narrow"/>
                <w:i/>
                <w:snapToGrid w:val="0"/>
                <w:sz w:val="20"/>
                <w:szCs w:val="20"/>
                <w:lang w:eastAsia="en-US"/>
              </w:rPr>
              <w:t>(rate /patient /month)</w:t>
            </w:r>
          </w:p>
        </w:tc>
        <w:tc>
          <w:tcPr>
            <w:tcW w:w="2199" w:type="dxa"/>
            <w:gridSpan w:val="2"/>
            <w:tcBorders>
              <w:top w:val="nil"/>
              <w:left w:val="single" w:sz="4" w:space="0" w:color="auto"/>
              <w:bottom w:val="nil"/>
              <w:right w:val="nil"/>
            </w:tcBorders>
            <w:shd w:val="clear" w:color="auto" w:fill="auto"/>
            <w:noWrap/>
          </w:tcPr>
          <w:p w14:paraId="41268FA0" w14:textId="77777777" w:rsidR="00F340FF" w:rsidRPr="007D0AA8" w:rsidRDefault="00F340FF" w:rsidP="00F340FF">
            <w:pPr>
              <w:spacing w:after="0" w:line="240" w:lineRule="auto"/>
              <w:jc w:val="right"/>
              <w:rPr>
                <w:rFonts w:ascii="Arial Narrow" w:hAnsi="Arial Narrow"/>
                <w:i/>
                <w:sz w:val="20"/>
                <w:highlight w:val="yellow"/>
              </w:rPr>
            </w:pPr>
            <w:r w:rsidRPr="007D0AA8">
              <w:rPr>
                <w:rFonts w:ascii="Arial Narrow" w:hAnsi="Arial Narrow"/>
                <w:i/>
                <w:snapToGrid w:val="0"/>
                <w:sz w:val="20"/>
                <w:szCs w:val="20"/>
                <w:lang w:eastAsia="en-US"/>
              </w:rPr>
              <w:t>0.808</w:t>
            </w:r>
          </w:p>
        </w:tc>
        <w:tc>
          <w:tcPr>
            <w:tcW w:w="2190" w:type="dxa"/>
            <w:tcBorders>
              <w:top w:val="nil"/>
              <w:left w:val="nil"/>
              <w:bottom w:val="nil"/>
              <w:right w:val="nil"/>
            </w:tcBorders>
            <w:shd w:val="clear" w:color="auto" w:fill="auto"/>
            <w:noWrap/>
          </w:tcPr>
          <w:p w14:paraId="7F60B953" w14:textId="77777777" w:rsidR="00F340FF" w:rsidRPr="007D0AA8" w:rsidRDefault="00F340FF" w:rsidP="00F340FF">
            <w:pPr>
              <w:spacing w:after="0" w:line="240" w:lineRule="auto"/>
              <w:jc w:val="right"/>
              <w:rPr>
                <w:rFonts w:ascii="Arial Narrow" w:hAnsi="Arial Narrow"/>
                <w:i/>
                <w:sz w:val="20"/>
                <w:highlight w:val="yellow"/>
              </w:rPr>
            </w:pPr>
            <w:r w:rsidRPr="007D0AA8">
              <w:rPr>
                <w:rFonts w:ascii="Arial Narrow" w:hAnsi="Arial Narrow"/>
                <w:i/>
                <w:snapToGrid w:val="0"/>
                <w:sz w:val="20"/>
                <w:szCs w:val="20"/>
                <w:lang w:eastAsia="en-US"/>
              </w:rPr>
              <w:t>0.058</w:t>
            </w:r>
          </w:p>
        </w:tc>
        <w:tc>
          <w:tcPr>
            <w:tcW w:w="1103" w:type="dxa"/>
            <w:gridSpan w:val="2"/>
            <w:tcBorders>
              <w:top w:val="nil"/>
              <w:left w:val="nil"/>
              <w:bottom w:val="nil"/>
              <w:right w:val="single" w:sz="4" w:space="0" w:color="auto"/>
            </w:tcBorders>
          </w:tcPr>
          <w:p w14:paraId="3CB29AF1" w14:textId="77777777" w:rsidR="00F340FF" w:rsidRPr="007D0AA8" w:rsidRDefault="00F340FF" w:rsidP="00F340FF">
            <w:pPr>
              <w:spacing w:after="0" w:line="240" w:lineRule="auto"/>
              <w:jc w:val="right"/>
              <w:rPr>
                <w:rFonts w:ascii="Arial Narrow" w:hAnsi="Arial Narrow"/>
                <w:i/>
                <w:sz w:val="20"/>
                <w:szCs w:val="20"/>
                <w:highlight w:val="yellow"/>
              </w:rPr>
            </w:pPr>
          </w:p>
        </w:tc>
      </w:tr>
      <w:tr w:rsidR="00F340FF" w:rsidRPr="007D0AA8" w14:paraId="29E4E7F6" w14:textId="77777777" w:rsidTr="007D3D74">
        <w:trPr>
          <w:jc w:val="center"/>
        </w:trPr>
        <w:tc>
          <w:tcPr>
            <w:tcW w:w="1425" w:type="dxa"/>
            <w:tcBorders>
              <w:top w:val="nil"/>
              <w:left w:val="single" w:sz="4" w:space="0" w:color="auto"/>
              <w:bottom w:val="single" w:sz="4" w:space="0" w:color="auto"/>
              <w:right w:val="single" w:sz="4" w:space="0" w:color="auto"/>
            </w:tcBorders>
          </w:tcPr>
          <w:p w14:paraId="27D61186" w14:textId="77777777" w:rsidR="00F340FF" w:rsidRPr="007D0AA8" w:rsidRDefault="00F340FF" w:rsidP="00F340FF">
            <w:pPr>
              <w:spacing w:after="0" w:line="240" w:lineRule="auto"/>
              <w:rPr>
                <w:rFonts w:ascii="Arial Narrow" w:hAnsi="Arial Narrow" w:cs="Calibri"/>
                <w:i/>
                <w:color w:val="000000"/>
                <w:sz w:val="20"/>
                <w:szCs w:val="20"/>
                <w:highlight w:val="yellow"/>
              </w:rPr>
            </w:pPr>
          </w:p>
        </w:tc>
        <w:tc>
          <w:tcPr>
            <w:tcW w:w="2146" w:type="dxa"/>
            <w:tcBorders>
              <w:top w:val="nil"/>
              <w:left w:val="nil"/>
              <w:bottom w:val="single" w:sz="4" w:space="0" w:color="auto"/>
              <w:right w:val="single" w:sz="4" w:space="0" w:color="auto"/>
            </w:tcBorders>
            <w:shd w:val="clear" w:color="auto" w:fill="auto"/>
          </w:tcPr>
          <w:p w14:paraId="5A6B0231" w14:textId="77777777" w:rsidR="00F340FF" w:rsidRPr="007D0AA8" w:rsidRDefault="00F340FF" w:rsidP="00F340FF">
            <w:pPr>
              <w:spacing w:after="0" w:line="240" w:lineRule="auto"/>
              <w:rPr>
                <w:rFonts w:ascii="Arial Narrow" w:hAnsi="Arial Narrow" w:cs="Calibri"/>
                <w:i/>
                <w:color w:val="000000"/>
                <w:sz w:val="20"/>
                <w:highlight w:val="yellow"/>
              </w:rPr>
            </w:pPr>
            <w:r w:rsidRPr="007D0AA8">
              <w:rPr>
                <w:rFonts w:ascii="Arial Narrow" w:hAnsi="Arial Narrow"/>
                <w:sz w:val="20"/>
              </w:rPr>
              <w:t>Non-bacterial infections</w:t>
            </w:r>
          </w:p>
        </w:tc>
        <w:tc>
          <w:tcPr>
            <w:tcW w:w="2199" w:type="dxa"/>
            <w:gridSpan w:val="2"/>
            <w:tcBorders>
              <w:top w:val="nil"/>
              <w:left w:val="single" w:sz="4" w:space="0" w:color="auto"/>
              <w:bottom w:val="single" w:sz="4" w:space="0" w:color="auto"/>
              <w:right w:val="nil"/>
            </w:tcBorders>
            <w:shd w:val="clear" w:color="auto" w:fill="auto"/>
            <w:noWrap/>
          </w:tcPr>
          <w:p w14:paraId="563FFAB3" w14:textId="77777777" w:rsidR="00F340FF" w:rsidRPr="007D0AA8" w:rsidRDefault="00F340FF" w:rsidP="00F340FF">
            <w:pPr>
              <w:spacing w:after="0" w:line="240" w:lineRule="auto"/>
              <w:jc w:val="right"/>
              <w:rPr>
                <w:rFonts w:ascii="Arial Narrow" w:hAnsi="Arial Narrow"/>
                <w:i/>
                <w:sz w:val="20"/>
                <w:highlight w:val="yellow"/>
              </w:rPr>
            </w:pPr>
            <w:r w:rsidRPr="007D0AA8">
              <w:rPr>
                <w:rFonts w:ascii="Arial Narrow" w:hAnsi="Arial Narrow"/>
                <w:snapToGrid w:val="0"/>
                <w:sz w:val="20"/>
                <w:szCs w:val="20"/>
                <w:lang w:eastAsia="en-US"/>
              </w:rPr>
              <w:t>n.r.</w:t>
            </w:r>
          </w:p>
        </w:tc>
        <w:tc>
          <w:tcPr>
            <w:tcW w:w="2190" w:type="dxa"/>
            <w:tcBorders>
              <w:top w:val="nil"/>
              <w:left w:val="nil"/>
              <w:bottom w:val="single" w:sz="4" w:space="0" w:color="auto"/>
              <w:right w:val="nil"/>
            </w:tcBorders>
            <w:shd w:val="clear" w:color="auto" w:fill="auto"/>
            <w:noWrap/>
          </w:tcPr>
          <w:p w14:paraId="6F818A41" w14:textId="77777777" w:rsidR="00F340FF" w:rsidRPr="007D0AA8" w:rsidRDefault="00F340FF" w:rsidP="00F340FF">
            <w:pPr>
              <w:spacing w:after="0" w:line="240" w:lineRule="auto"/>
              <w:jc w:val="right"/>
              <w:rPr>
                <w:rFonts w:ascii="Arial Narrow" w:hAnsi="Arial Narrow"/>
                <w:snapToGrid w:val="0"/>
                <w:sz w:val="20"/>
                <w:szCs w:val="20"/>
                <w:lang w:eastAsia="en-US"/>
              </w:rPr>
            </w:pPr>
            <w:r w:rsidRPr="007D0AA8">
              <w:rPr>
                <w:rFonts w:ascii="Arial Narrow" w:hAnsi="Arial Narrow"/>
                <w:snapToGrid w:val="0"/>
                <w:sz w:val="20"/>
                <w:szCs w:val="20"/>
                <w:lang w:eastAsia="en-US"/>
              </w:rPr>
              <w:t>17 viral</w:t>
            </w:r>
          </w:p>
          <w:p w14:paraId="57A1C8A9" w14:textId="77777777" w:rsidR="00F340FF" w:rsidRPr="007D0AA8" w:rsidRDefault="00F340FF" w:rsidP="00F340FF">
            <w:pPr>
              <w:spacing w:after="0" w:line="240" w:lineRule="auto"/>
              <w:jc w:val="right"/>
              <w:rPr>
                <w:rFonts w:ascii="Arial Narrow" w:hAnsi="Arial Narrow"/>
                <w:snapToGrid w:val="0"/>
                <w:sz w:val="20"/>
                <w:szCs w:val="20"/>
                <w:lang w:eastAsia="en-US"/>
              </w:rPr>
            </w:pPr>
            <w:r w:rsidRPr="007D0AA8">
              <w:rPr>
                <w:rFonts w:ascii="Arial Narrow" w:hAnsi="Arial Narrow"/>
                <w:snapToGrid w:val="0"/>
                <w:sz w:val="20"/>
                <w:szCs w:val="20"/>
                <w:lang w:eastAsia="en-US"/>
              </w:rPr>
              <w:t>6 unclear</w:t>
            </w:r>
          </w:p>
          <w:p w14:paraId="749BEEB5" w14:textId="77777777" w:rsidR="00F340FF" w:rsidRPr="007D0AA8" w:rsidRDefault="00F340FF" w:rsidP="00F340FF">
            <w:pPr>
              <w:spacing w:after="0" w:line="240" w:lineRule="auto"/>
              <w:jc w:val="right"/>
              <w:rPr>
                <w:rFonts w:ascii="Arial Narrow" w:hAnsi="Arial Narrow"/>
                <w:i/>
                <w:sz w:val="20"/>
                <w:highlight w:val="yellow"/>
              </w:rPr>
            </w:pPr>
            <w:r w:rsidRPr="007D0AA8">
              <w:rPr>
                <w:rFonts w:ascii="Arial Narrow" w:hAnsi="Arial Narrow"/>
                <w:snapToGrid w:val="0"/>
                <w:sz w:val="20"/>
                <w:szCs w:val="20"/>
                <w:lang w:eastAsia="en-US"/>
              </w:rPr>
              <w:t>4 fungal</w:t>
            </w:r>
          </w:p>
        </w:tc>
        <w:tc>
          <w:tcPr>
            <w:tcW w:w="1103" w:type="dxa"/>
            <w:gridSpan w:val="2"/>
            <w:tcBorders>
              <w:top w:val="nil"/>
              <w:left w:val="nil"/>
              <w:bottom w:val="single" w:sz="4" w:space="0" w:color="auto"/>
              <w:right w:val="single" w:sz="4" w:space="0" w:color="auto"/>
            </w:tcBorders>
          </w:tcPr>
          <w:p w14:paraId="1D218480" w14:textId="77777777" w:rsidR="00F340FF" w:rsidRPr="007D0AA8" w:rsidRDefault="00F340FF" w:rsidP="00F340FF">
            <w:pPr>
              <w:spacing w:after="0" w:line="240" w:lineRule="auto"/>
              <w:jc w:val="right"/>
              <w:rPr>
                <w:rFonts w:ascii="Arial Narrow" w:hAnsi="Arial Narrow"/>
                <w:i/>
                <w:sz w:val="20"/>
                <w:szCs w:val="20"/>
                <w:highlight w:val="yellow"/>
              </w:rPr>
            </w:pPr>
          </w:p>
        </w:tc>
      </w:tr>
      <w:tr w:rsidR="00F340FF" w:rsidRPr="00386411" w14:paraId="5A8C0CB6" w14:textId="77777777" w:rsidTr="00B52A4F">
        <w:trPr>
          <w:jc w:val="center"/>
        </w:trPr>
        <w:tc>
          <w:tcPr>
            <w:tcW w:w="1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6FFE88" w14:textId="77777777" w:rsidR="00F340FF" w:rsidRPr="00386411" w:rsidRDefault="00F340FF" w:rsidP="00F340FF">
            <w:pPr>
              <w:spacing w:after="0" w:line="240" w:lineRule="auto"/>
              <w:rPr>
                <w:rFonts w:ascii="Arial Narrow" w:hAnsi="Arial Narrow" w:cs="Calibri"/>
                <w:b/>
                <w:color w:val="000000"/>
                <w:sz w:val="20"/>
                <w:szCs w:val="20"/>
                <w:highlight w:val="yellow"/>
              </w:rPr>
            </w:pPr>
            <w:r w:rsidRPr="00386411">
              <w:rPr>
                <w:rFonts w:ascii="Arial Narrow" w:hAnsi="Arial Narrow" w:cs="Calibri"/>
                <w:b/>
                <w:color w:val="000000"/>
                <w:sz w:val="20"/>
                <w:szCs w:val="20"/>
              </w:rPr>
              <w:t>Jurlander et al., 1994</w:t>
            </w:r>
          </w:p>
        </w:tc>
        <w:tc>
          <w:tcPr>
            <w:tcW w:w="2146" w:type="dxa"/>
            <w:tcBorders>
              <w:top w:val="single" w:sz="4" w:space="0" w:color="auto"/>
              <w:left w:val="nil"/>
              <w:bottom w:val="single" w:sz="4" w:space="0" w:color="auto"/>
              <w:right w:val="single" w:sz="4" w:space="0" w:color="auto"/>
            </w:tcBorders>
            <w:shd w:val="clear" w:color="auto" w:fill="D9D9D9" w:themeFill="background1" w:themeFillShade="D9"/>
          </w:tcPr>
          <w:p w14:paraId="5C849613" w14:textId="77777777" w:rsidR="00F340FF" w:rsidRPr="00386411" w:rsidRDefault="00F340FF" w:rsidP="00F340FF">
            <w:pPr>
              <w:spacing w:after="0" w:line="240" w:lineRule="auto"/>
              <w:jc w:val="center"/>
              <w:rPr>
                <w:rFonts w:ascii="Arial Narrow" w:hAnsi="Arial Narrow" w:cs="Calibri"/>
                <w:b/>
                <w:color w:val="000000"/>
                <w:sz w:val="20"/>
                <w:szCs w:val="20"/>
                <w:highlight w:val="yellow"/>
              </w:rPr>
            </w:pPr>
            <w:r w:rsidRPr="00386411">
              <w:rPr>
                <w:rFonts w:ascii="Arial Narrow" w:hAnsi="Arial Narrow" w:cs="Calibri"/>
                <w:b/>
                <w:color w:val="000000"/>
                <w:sz w:val="20"/>
                <w:szCs w:val="20"/>
              </w:rPr>
              <w:t>Infection-related outcomes (</w:t>
            </w:r>
            <w:r w:rsidRPr="00386411">
              <w:rPr>
                <w:rFonts w:ascii="Arial Narrow" w:hAnsi="Arial Narrow"/>
                <w:b/>
                <w:sz w:val="20"/>
                <w:szCs w:val="20"/>
              </w:rPr>
              <w:t>N=15)*</w:t>
            </w:r>
          </w:p>
        </w:tc>
        <w:tc>
          <w:tcPr>
            <w:tcW w:w="2199" w:type="dxa"/>
            <w:gridSpan w:val="2"/>
            <w:tcBorders>
              <w:top w:val="single" w:sz="4" w:space="0" w:color="auto"/>
              <w:left w:val="single" w:sz="4" w:space="0" w:color="auto"/>
              <w:bottom w:val="single" w:sz="4" w:space="0" w:color="auto"/>
              <w:right w:val="nil"/>
            </w:tcBorders>
            <w:shd w:val="clear" w:color="auto" w:fill="D9D9D9" w:themeFill="background1" w:themeFillShade="D9"/>
            <w:noWrap/>
          </w:tcPr>
          <w:p w14:paraId="657E3B9B" w14:textId="77777777" w:rsidR="00F340FF" w:rsidRPr="00386411" w:rsidRDefault="00F340FF" w:rsidP="00F340FF">
            <w:pPr>
              <w:spacing w:after="0" w:line="240" w:lineRule="auto"/>
              <w:jc w:val="center"/>
              <w:rPr>
                <w:rFonts w:ascii="Arial Narrow" w:hAnsi="Arial Narrow" w:cs="Calibri"/>
                <w:b/>
                <w:color w:val="000000"/>
                <w:sz w:val="20"/>
                <w:szCs w:val="20"/>
                <w:highlight w:val="yellow"/>
              </w:rPr>
            </w:pPr>
            <w:r w:rsidRPr="00386411">
              <w:rPr>
                <w:rFonts w:ascii="Arial Narrow" w:hAnsi="Arial Narrow"/>
                <w:b/>
                <w:snapToGrid w:val="0"/>
                <w:sz w:val="20"/>
                <w:szCs w:val="20"/>
                <w:lang w:eastAsia="en-US"/>
              </w:rPr>
              <w:t>12 months prior to study (N=14)</w:t>
            </w:r>
          </w:p>
        </w:tc>
        <w:tc>
          <w:tcPr>
            <w:tcW w:w="2190" w:type="dxa"/>
            <w:tcBorders>
              <w:top w:val="single" w:sz="4" w:space="0" w:color="auto"/>
              <w:left w:val="nil"/>
              <w:bottom w:val="single" w:sz="4" w:space="0" w:color="auto"/>
              <w:right w:val="nil"/>
            </w:tcBorders>
            <w:shd w:val="clear" w:color="auto" w:fill="D9D9D9" w:themeFill="background1" w:themeFillShade="D9"/>
            <w:noWrap/>
          </w:tcPr>
          <w:p w14:paraId="36C187F2" w14:textId="332DC791" w:rsidR="00F340FF" w:rsidRPr="00386411" w:rsidRDefault="00F340FF" w:rsidP="00F340FF">
            <w:pPr>
              <w:spacing w:after="0" w:line="240" w:lineRule="auto"/>
              <w:jc w:val="center"/>
              <w:rPr>
                <w:rFonts w:ascii="Arial Narrow" w:hAnsi="Arial Narrow" w:cs="Calibri"/>
                <w:b/>
                <w:color w:val="000000"/>
                <w:sz w:val="20"/>
                <w:szCs w:val="20"/>
                <w:highlight w:val="yellow"/>
              </w:rPr>
            </w:pPr>
            <w:r w:rsidRPr="00386411">
              <w:rPr>
                <w:rFonts w:ascii="Arial Narrow" w:hAnsi="Arial Narrow"/>
                <w:b/>
                <w:snapToGrid w:val="0"/>
                <w:sz w:val="20"/>
                <w:szCs w:val="20"/>
                <w:lang w:eastAsia="en-US"/>
              </w:rPr>
              <w:t>12</w:t>
            </w:r>
            <w:r w:rsidR="005724E8">
              <w:rPr>
                <w:rFonts w:ascii="Arial Narrow" w:hAnsi="Arial Narrow"/>
                <w:b/>
                <w:snapToGrid w:val="0"/>
                <w:sz w:val="20"/>
                <w:szCs w:val="20"/>
                <w:lang w:eastAsia="en-US"/>
              </w:rPr>
              <w:t xml:space="preserve"> months during study (median 14</w:t>
            </w:r>
            <w:r w:rsidRPr="00386411">
              <w:rPr>
                <w:rFonts w:ascii="Arial Narrow" w:hAnsi="Arial Narrow"/>
                <w:b/>
                <w:snapToGrid w:val="0"/>
                <w:sz w:val="20"/>
                <w:szCs w:val="20"/>
                <w:lang w:eastAsia="en-US"/>
              </w:rPr>
              <w:t xml:space="preserve">mo, </w:t>
            </w:r>
            <w:r w:rsidR="005724E8">
              <w:rPr>
                <w:rFonts w:ascii="Arial Narrow" w:hAnsi="Arial Narrow"/>
                <w:b/>
                <w:snapToGrid w:val="0"/>
                <w:sz w:val="20"/>
                <w:szCs w:val="20"/>
                <w:lang w:eastAsia="en-US"/>
              </w:rPr>
              <w:br/>
            </w:r>
            <w:r w:rsidRPr="00386411">
              <w:rPr>
                <w:rFonts w:ascii="Arial Narrow" w:hAnsi="Arial Narrow"/>
                <w:b/>
                <w:snapToGrid w:val="0"/>
                <w:sz w:val="20"/>
                <w:szCs w:val="20"/>
                <w:lang w:eastAsia="en-US"/>
              </w:rPr>
              <w:t>range 3-20) (n=14)</w:t>
            </w:r>
          </w:p>
        </w:tc>
        <w:tc>
          <w:tcPr>
            <w:tcW w:w="1103" w:type="dxa"/>
            <w:gridSpan w:val="2"/>
            <w:tcBorders>
              <w:top w:val="single" w:sz="4" w:space="0" w:color="auto"/>
              <w:left w:val="nil"/>
              <w:bottom w:val="single" w:sz="4" w:space="0" w:color="auto"/>
              <w:right w:val="single" w:sz="4" w:space="0" w:color="auto"/>
            </w:tcBorders>
            <w:shd w:val="clear" w:color="auto" w:fill="D9D9D9" w:themeFill="background1" w:themeFillShade="D9"/>
          </w:tcPr>
          <w:p w14:paraId="39891233" w14:textId="77777777" w:rsidR="00F340FF" w:rsidRPr="00386411" w:rsidRDefault="00F340FF" w:rsidP="00F340FF">
            <w:pPr>
              <w:spacing w:after="0" w:line="240" w:lineRule="auto"/>
              <w:jc w:val="center"/>
              <w:rPr>
                <w:rFonts w:ascii="Arial Narrow" w:hAnsi="Arial Narrow"/>
                <w:b/>
                <w:sz w:val="20"/>
                <w:szCs w:val="20"/>
              </w:rPr>
            </w:pPr>
            <w:r w:rsidRPr="00386411">
              <w:rPr>
                <w:rFonts w:ascii="Arial Narrow" w:hAnsi="Arial Narrow"/>
                <w:b/>
                <w:snapToGrid w:val="0"/>
                <w:sz w:val="20"/>
                <w:szCs w:val="20"/>
                <w:lang w:eastAsia="en-US"/>
              </w:rPr>
              <w:t>p-value</w:t>
            </w:r>
          </w:p>
        </w:tc>
      </w:tr>
      <w:tr w:rsidR="00F340FF" w:rsidRPr="00402B1A" w14:paraId="6DD5C262" w14:textId="77777777" w:rsidTr="001A2B6F">
        <w:trPr>
          <w:jc w:val="center"/>
        </w:trPr>
        <w:tc>
          <w:tcPr>
            <w:tcW w:w="1425" w:type="dxa"/>
            <w:tcBorders>
              <w:top w:val="single" w:sz="4" w:space="0" w:color="auto"/>
              <w:left w:val="single" w:sz="4" w:space="0" w:color="auto"/>
              <w:right w:val="single" w:sz="4" w:space="0" w:color="auto"/>
            </w:tcBorders>
          </w:tcPr>
          <w:p w14:paraId="49D08852" w14:textId="77777777" w:rsidR="00F340FF" w:rsidRPr="00402B1A" w:rsidRDefault="00F340FF" w:rsidP="00F340FF">
            <w:pPr>
              <w:spacing w:after="0" w:line="240" w:lineRule="auto"/>
              <w:rPr>
                <w:rFonts w:ascii="Arial Narrow" w:hAnsi="Arial Narrow" w:cs="Calibri"/>
                <w:color w:val="000000"/>
                <w:sz w:val="20"/>
                <w:szCs w:val="20"/>
                <w:highlight w:val="yellow"/>
              </w:rPr>
            </w:pPr>
            <w:r w:rsidRPr="00402B1A">
              <w:rPr>
                <w:rFonts w:ascii="Arial Narrow" w:hAnsi="Arial Narrow" w:cs="Calibri"/>
                <w:color w:val="000000"/>
                <w:sz w:val="20"/>
                <w:szCs w:val="20"/>
              </w:rPr>
              <w:t>CLL</w:t>
            </w:r>
          </w:p>
        </w:tc>
        <w:tc>
          <w:tcPr>
            <w:tcW w:w="2146" w:type="dxa"/>
            <w:tcBorders>
              <w:top w:val="single" w:sz="4" w:space="0" w:color="auto"/>
              <w:left w:val="nil"/>
              <w:right w:val="single" w:sz="4" w:space="0" w:color="auto"/>
            </w:tcBorders>
            <w:shd w:val="clear" w:color="auto" w:fill="auto"/>
          </w:tcPr>
          <w:p w14:paraId="600A8256" w14:textId="77777777" w:rsidR="00F340FF" w:rsidRPr="00402B1A" w:rsidRDefault="00F340FF" w:rsidP="00F340FF">
            <w:pPr>
              <w:spacing w:after="0" w:line="240" w:lineRule="auto"/>
              <w:rPr>
                <w:rFonts w:ascii="Arial Narrow" w:hAnsi="Arial Narrow" w:cs="Calibri"/>
                <w:color w:val="000000"/>
                <w:sz w:val="20"/>
                <w:szCs w:val="20"/>
                <w:highlight w:val="yellow"/>
              </w:rPr>
            </w:pPr>
            <w:r w:rsidRPr="00402B1A">
              <w:rPr>
                <w:rFonts w:ascii="Arial Narrow" w:hAnsi="Arial Narrow"/>
                <w:snapToGrid w:val="0"/>
                <w:sz w:val="20"/>
                <w:szCs w:val="20"/>
                <w:lang w:eastAsia="en-US"/>
              </w:rPr>
              <w:t>Patient months</w:t>
            </w:r>
          </w:p>
        </w:tc>
        <w:tc>
          <w:tcPr>
            <w:tcW w:w="2199" w:type="dxa"/>
            <w:gridSpan w:val="2"/>
            <w:tcBorders>
              <w:top w:val="single" w:sz="4" w:space="0" w:color="auto"/>
              <w:left w:val="single" w:sz="4" w:space="0" w:color="auto"/>
              <w:right w:val="nil"/>
            </w:tcBorders>
            <w:shd w:val="clear" w:color="auto" w:fill="auto"/>
            <w:noWrap/>
          </w:tcPr>
          <w:p w14:paraId="0E370133" w14:textId="77777777" w:rsidR="00F340FF" w:rsidRPr="00402B1A" w:rsidRDefault="00F340FF" w:rsidP="00F340FF">
            <w:pPr>
              <w:spacing w:after="0" w:line="240" w:lineRule="auto"/>
              <w:jc w:val="right"/>
              <w:rPr>
                <w:rFonts w:ascii="Arial Narrow" w:hAnsi="Arial Narrow" w:cs="Calibri"/>
                <w:color w:val="000000"/>
                <w:sz w:val="20"/>
                <w:szCs w:val="20"/>
                <w:highlight w:val="yellow"/>
              </w:rPr>
            </w:pPr>
            <w:r w:rsidRPr="00402B1A">
              <w:rPr>
                <w:rFonts w:ascii="Arial Narrow" w:hAnsi="Arial Narrow"/>
                <w:snapToGrid w:val="0"/>
                <w:sz w:val="20"/>
                <w:szCs w:val="20"/>
                <w:lang w:eastAsia="en-US"/>
              </w:rPr>
              <w:t>168</w:t>
            </w:r>
          </w:p>
        </w:tc>
        <w:tc>
          <w:tcPr>
            <w:tcW w:w="2190" w:type="dxa"/>
            <w:tcBorders>
              <w:top w:val="single" w:sz="4" w:space="0" w:color="auto"/>
              <w:left w:val="nil"/>
              <w:right w:val="nil"/>
            </w:tcBorders>
            <w:shd w:val="clear" w:color="auto" w:fill="auto"/>
            <w:noWrap/>
          </w:tcPr>
          <w:p w14:paraId="6F35C0D7" w14:textId="77777777" w:rsidR="00F340FF" w:rsidRPr="00402B1A" w:rsidRDefault="00F340FF" w:rsidP="00F340FF">
            <w:pPr>
              <w:spacing w:after="0" w:line="240" w:lineRule="auto"/>
              <w:jc w:val="right"/>
              <w:rPr>
                <w:rFonts w:ascii="Arial Narrow" w:hAnsi="Arial Narrow" w:cs="Calibri"/>
                <w:color w:val="000000"/>
                <w:sz w:val="20"/>
                <w:szCs w:val="20"/>
                <w:highlight w:val="yellow"/>
              </w:rPr>
            </w:pPr>
            <w:r w:rsidRPr="00402B1A">
              <w:rPr>
                <w:rFonts w:ascii="Arial Narrow" w:hAnsi="Arial Narrow"/>
                <w:snapToGrid w:val="0"/>
                <w:sz w:val="20"/>
                <w:szCs w:val="20"/>
                <w:lang w:eastAsia="en-US"/>
              </w:rPr>
              <w:t>169</w:t>
            </w:r>
          </w:p>
        </w:tc>
        <w:tc>
          <w:tcPr>
            <w:tcW w:w="1103" w:type="dxa"/>
            <w:gridSpan w:val="2"/>
            <w:tcBorders>
              <w:top w:val="single" w:sz="4" w:space="0" w:color="auto"/>
              <w:left w:val="nil"/>
              <w:right w:val="single" w:sz="4" w:space="0" w:color="auto"/>
            </w:tcBorders>
          </w:tcPr>
          <w:p w14:paraId="7C33E499" w14:textId="77777777" w:rsidR="00F340FF" w:rsidRPr="00402B1A" w:rsidRDefault="00F340FF" w:rsidP="00F340FF">
            <w:pPr>
              <w:spacing w:after="0" w:line="240" w:lineRule="auto"/>
              <w:jc w:val="right"/>
              <w:rPr>
                <w:rFonts w:ascii="Arial Narrow" w:hAnsi="Arial Narrow"/>
                <w:sz w:val="20"/>
                <w:szCs w:val="20"/>
              </w:rPr>
            </w:pPr>
          </w:p>
        </w:tc>
      </w:tr>
      <w:tr w:rsidR="00F340FF" w:rsidRPr="00402B1A" w14:paraId="14406063" w14:textId="77777777" w:rsidTr="001A2B6F">
        <w:trPr>
          <w:jc w:val="center"/>
        </w:trPr>
        <w:tc>
          <w:tcPr>
            <w:tcW w:w="1425" w:type="dxa"/>
            <w:tcBorders>
              <w:top w:val="nil"/>
              <w:left w:val="single" w:sz="4" w:space="0" w:color="auto"/>
              <w:right w:val="single" w:sz="4" w:space="0" w:color="auto"/>
            </w:tcBorders>
            <w:vAlign w:val="bottom"/>
          </w:tcPr>
          <w:p w14:paraId="3C8F0CBB" w14:textId="77777777" w:rsidR="00F340FF" w:rsidRPr="00402B1A" w:rsidRDefault="00F340FF" w:rsidP="00F340FF">
            <w:pPr>
              <w:spacing w:after="0" w:line="240" w:lineRule="auto"/>
              <w:rPr>
                <w:rFonts w:ascii="Arial Narrow" w:hAnsi="Arial Narrow" w:cs="Calibri"/>
                <w:color w:val="000000"/>
                <w:sz w:val="20"/>
                <w:szCs w:val="20"/>
                <w:highlight w:val="yellow"/>
              </w:rPr>
            </w:pPr>
          </w:p>
        </w:tc>
        <w:tc>
          <w:tcPr>
            <w:tcW w:w="2146" w:type="dxa"/>
            <w:tcBorders>
              <w:top w:val="nil"/>
              <w:left w:val="nil"/>
              <w:right w:val="single" w:sz="4" w:space="0" w:color="auto"/>
            </w:tcBorders>
            <w:shd w:val="clear" w:color="auto" w:fill="auto"/>
          </w:tcPr>
          <w:p w14:paraId="56E847C3" w14:textId="77777777" w:rsidR="00F340FF" w:rsidRPr="00402B1A" w:rsidRDefault="00F340FF" w:rsidP="00F340FF">
            <w:pPr>
              <w:spacing w:after="0" w:line="240" w:lineRule="auto"/>
              <w:rPr>
                <w:rFonts w:ascii="Arial Narrow" w:hAnsi="Arial Narrow" w:cs="Calibri"/>
                <w:color w:val="000000"/>
                <w:sz w:val="20"/>
                <w:szCs w:val="20"/>
                <w:highlight w:val="yellow"/>
              </w:rPr>
            </w:pPr>
            <w:r w:rsidRPr="00402B1A">
              <w:rPr>
                <w:rFonts w:ascii="Arial Narrow" w:hAnsi="Arial Narrow"/>
                <w:snapToGrid w:val="0"/>
                <w:sz w:val="20"/>
                <w:szCs w:val="20"/>
                <w:lang w:eastAsia="en-US"/>
              </w:rPr>
              <w:t>Febrile episodes</w:t>
            </w:r>
          </w:p>
        </w:tc>
        <w:tc>
          <w:tcPr>
            <w:tcW w:w="2199" w:type="dxa"/>
            <w:gridSpan w:val="2"/>
            <w:tcBorders>
              <w:top w:val="nil"/>
              <w:left w:val="single" w:sz="4" w:space="0" w:color="auto"/>
              <w:right w:val="nil"/>
            </w:tcBorders>
            <w:shd w:val="clear" w:color="auto" w:fill="auto"/>
            <w:noWrap/>
          </w:tcPr>
          <w:p w14:paraId="2815D7E9" w14:textId="77777777" w:rsidR="00F340FF" w:rsidRPr="00402B1A" w:rsidRDefault="00F340FF" w:rsidP="00F340FF">
            <w:pPr>
              <w:spacing w:after="0" w:line="240" w:lineRule="auto"/>
              <w:jc w:val="right"/>
              <w:rPr>
                <w:rFonts w:ascii="Arial Narrow" w:hAnsi="Arial Narrow" w:cs="Calibri"/>
                <w:color w:val="000000"/>
                <w:sz w:val="20"/>
                <w:szCs w:val="20"/>
                <w:highlight w:val="yellow"/>
              </w:rPr>
            </w:pPr>
            <w:r w:rsidRPr="00402B1A">
              <w:rPr>
                <w:rFonts w:ascii="Arial Narrow" w:hAnsi="Arial Narrow"/>
                <w:snapToGrid w:val="0"/>
                <w:sz w:val="20"/>
                <w:szCs w:val="20"/>
                <w:lang w:eastAsia="en-US"/>
              </w:rPr>
              <w:t>63</w:t>
            </w:r>
          </w:p>
        </w:tc>
        <w:tc>
          <w:tcPr>
            <w:tcW w:w="2190" w:type="dxa"/>
            <w:tcBorders>
              <w:top w:val="nil"/>
              <w:left w:val="nil"/>
              <w:right w:val="nil"/>
            </w:tcBorders>
            <w:shd w:val="clear" w:color="auto" w:fill="auto"/>
            <w:noWrap/>
          </w:tcPr>
          <w:p w14:paraId="6908D7D7" w14:textId="77777777" w:rsidR="00F340FF" w:rsidRPr="00402B1A" w:rsidRDefault="00F340FF" w:rsidP="00F340FF">
            <w:pPr>
              <w:spacing w:after="0" w:line="240" w:lineRule="auto"/>
              <w:jc w:val="right"/>
              <w:rPr>
                <w:rFonts w:ascii="Arial Narrow" w:hAnsi="Arial Narrow" w:cs="Calibri"/>
                <w:color w:val="000000"/>
                <w:sz w:val="20"/>
                <w:szCs w:val="20"/>
                <w:highlight w:val="yellow"/>
              </w:rPr>
            </w:pPr>
            <w:r w:rsidRPr="00402B1A">
              <w:rPr>
                <w:rFonts w:ascii="Arial Narrow" w:hAnsi="Arial Narrow"/>
                <w:snapToGrid w:val="0"/>
                <w:sz w:val="20"/>
                <w:szCs w:val="20"/>
                <w:lang w:eastAsia="en-US"/>
              </w:rPr>
              <w:t>31</w:t>
            </w:r>
          </w:p>
        </w:tc>
        <w:tc>
          <w:tcPr>
            <w:tcW w:w="1103" w:type="dxa"/>
            <w:gridSpan w:val="2"/>
            <w:tcBorders>
              <w:top w:val="nil"/>
              <w:left w:val="nil"/>
              <w:right w:val="single" w:sz="4" w:space="0" w:color="auto"/>
            </w:tcBorders>
          </w:tcPr>
          <w:p w14:paraId="134D36EA" w14:textId="77777777" w:rsidR="00F340FF" w:rsidRPr="00402B1A" w:rsidRDefault="00F340FF" w:rsidP="00F340FF">
            <w:pPr>
              <w:spacing w:after="0" w:line="240" w:lineRule="auto"/>
              <w:jc w:val="right"/>
              <w:rPr>
                <w:rFonts w:ascii="Arial Narrow" w:hAnsi="Arial Narrow"/>
                <w:sz w:val="20"/>
                <w:szCs w:val="20"/>
              </w:rPr>
            </w:pPr>
            <w:r w:rsidRPr="00402B1A">
              <w:rPr>
                <w:rFonts w:ascii="Arial Narrow" w:hAnsi="Arial Narrow"/>
                <w:snapToGrid w:val="0"/>
                <w:sz w:val="20"/>
                <w:szCs w:val="20"/>
                <w:lang w:eastAsia="en-US"/>
              </w:rPr>
              <w:t>p=0.004</w:t>
            </w:r>
          </w:p>
        </w:tc>
      </w:tr>
      <w:tr w:rsidR="00F340FF" w:rsidRPr="00402B1A" w14:paraId="7A486207" w14:textId="77777777" w:rsidTr="001A2B6F">
        <w:trPr>
          <w:jc w:val="center"/>
        </w:trPr>
        <w:tc>
          <w:tcPr>
            <w:tcW w:w="1425" w:type="dxa"/>
            <w:tcBorders>
              <w:top w:val="nil"/>
              <w:left w:val="single" w:sz="4" w:space="0" w:color="auto"/>
              <w:right w:val="single" w:sz="4" w:space="0" w:color="auto"/>
            </w:tcBorders>
            <w:vAlign w:val="bottom"/>
          </w:tcPr>
          <w:p w14:paraId="04BE8458" w14:textId="77777777" w:rsidR="00F340FF" w:rsidRPr="00402B1A" w:rsidRDefault="00F340FF" w:rsidP="00F340FF">
            <w:pPr>
              <w:spacing w:after="0" w:line="240" w:lineRule="auto"/>
              <w:rPr>
                <w:rFonts w:ascii="Arial Narrow" w:hAnsi="Arial Narrow" w:cs="Calibri"/>
                <w:color w:val="000000"/>
                <w:sz w:val="20"/>
                <w:szCs w:val="20"/>
                <w:highlight w:val="yellow"/>
              </w:rPr>
            </w:pPr>
          </w:p>
        </w:tc>
        <w:tc>
          <w:tcPr>
            <w:tcW w:w="2146" w:type="dxa"/>
            <w:tcBorders>
              <w:top w:val="nil"/>
              <w:left w:val="nil"/>
              <w:right w:val="single" w:sz="4" w:space="0" w:color="auto"/>
            </w:tcBorders>
            <w:shd w:val="clear" w:color="auto" w:fill="auto"/>
          </w:tcPr>
          <w:p w14:paraId="1BE7D74C" w14:textId="1B848659" w:rsidR="00F340FF" w:rsidRPr="00402B1A" w:rsidRDefault="00F340FF" w:rsidP="009901BD">
            <w:pPr>
              <w:spacing w:after="0" w:line="240" w:lineRule="auto"/>
              <w:rPr>
                <w:rFonts w:ascii="Arial Narrow" w:hAnsi="Arial Narrow" w:cs="Calibri"/>
                <w:color w:val="000000"/>
                <w:sz w:val="20"/>
                <w:szCs w:val="20"/>
                <w:highlight w:val="yellow"/>
              </w:rPr>
            </w:pPr>
            <w:r w:rsidRPr="00402B1A">
              <w:rPr>
                <w:rFonts w:ascii="Arial Narrow" w:hAnsi="Arial Narrow"/>
                <w:snapToGrid w:val="0"/>
                <w:sz w:val="20"/>
                <w:szCs w:val="20"/>
                <w:lang w:eastAsia="en-US"/>
              </w:rPr>
              <w:t>Severe infection</w:t>
            </w:r>
            <w:r w:rsidR="009901BD" w:rsidRPr="00402B1A">
              <w:rPr>
                <w:rFonts w:ascii="Arial Narrow" w:hAnsi="Arial Narrow"/>
                <w:snapToGrid w:val="0"/>
                <w:sz w:val="20"/>
                <w:szCs w:val="20"/>
                <w:lang w:eastAsia="en-US"/>
              </w:rPr>
              <w:t xml:space="preserve"> (septicaemia, pneumonia, meningitis)</w:t>
            </w:r>
          </w:p>
        </w:tc>
        <w:tc>
          <w:tcPr>
            <w:tcW w:w="2199" w:type="dxa"/>
            <w:gridSpan w:val="2"/>
            <w:tcBorders>
              <w:top w:val="nil"/>
              <w:left w:val="single" w:sz="4" w:space="0" w:color="auto"/>
              <w:right w:val="nil"/>
            </w:tcBorders>
            <w:shd w:val="clear" w:color="auto" w:fill="auto"/>
            <w:noWrap/>
          </w:tcPr>
          <w:p w14:paraId="283B4259" w14:textId="77777777" w:rsidR="00F340FF" w:rsidRPr="00402B1A" w:rsidRDefault="00F340FF" w:rsidP="00F340FF">
            <w:pPr>
              <w:spacing w:after="0" w:line="240" w:lineRule="auto"/>
              <w:jc w:val="right"/>
              <w:rPr>
                <w:rFonts w:ascii="Arial Narrow" w:hAnsi="Arial Narrow" w:cs="Calibri"/>
                <w:color w:val="000000"/>
                <w:sz w:val="20"/>
                <w:szCs w:val="20"/>
                <w:highlight w:val="yellow"/>
              </w:rPr>
            </w:pPr>
            <w:r w:rsidRPr="00402B1A">
              <w:rPr>
                <w:rFonts w:ascii="Arial Narrow" w:hAnsi="Arial Narrow"/>
                <w:snapToGrid w:val="0"/>
                <w:sz w:val="20"/>
                <w:szCs w:val="20"/>
                <w:lang w:eastAsia="en-US"/>
              </w:rPr>
              <w:t>6</w:t>
            </w:r>
          </w:p>
        </w:tc>
        <w:tc>
          <w:tcPr>
            <w:tcW w:w="2190" w:type="dxa"/>
            <w:tcBorders>
              <w:top w:val="nil"/>
              <w:left w:val="nil"/>
              <w:right w:val="nil"/>
            </w:tcBorders>
            <w:shd w:val="clear" w:color="auto" w:fill="auto"/>
            <w:noWrap/>
          </w:tcPr>
          <w:p w14:paraId="046D0B9B" w14:textId="77777777" w:rsidR="00F340FF" w:rsidRPr="00402B1A" w:rsidRDefault="00F340FF" w:rsidP="00F340FF">
            <w:pPr>
              <w:spacing w:after="0" w:line="240" w:lineRule="auto"/>
              <w:jc w:val="right"/>
              <w:rPr>
                <w:rFonts w:ascii="Arial Narrow" w:hAnsi="Arial Narrow" w:cs="Calibri"/>
                <w:color w:val="000000"/>
                <w:sz w:val="20"/>
                <w:szCs w:val="20"/>
                <w:highlight w:val="yellow"/>
              </w:rPr>
            </w:pPr>
            <w:r w:rsidRPr="00402B1A">
              <w:rPr>
                <w:rFonts w:ascii="Arial Narrow" w:hAnsi="Arial Narrow"/>
                <w:snapToGrid w:val="0"/>
                <w:sz w:val="20"/>
                <w:szCs w:val="20"/>
                <w:lang w:eastAsia="en-US"/>
              </w:rPr>
              <w:t>3</w:t>
            </w:r>
          </w:p>
        </w:tc>
        <w:tc>
          <w:tcPr>
            <w:tcW w:w="1103" w:type="dxa"/>
            <w:gridSpan w:val="2"/>
            <w:tcBorders>
              <w:top w:val="nil"/>
              <w:left w:val="nil"/>
              <w:right w:val="single" w:sz="4" w:space="0" w:color="auto"/>
            </w:tcBorders>
          </w:tcPr>
          <w:p w14:paraId="6662E06B" w14:textId="77777777" w:rsidR="00F340FF" w:rsidRPr="00402B1A" w:rsidRDefault="00F340FF" w:rsidP="00F340FF">
            <w:pPr>
              <w:spacing w:after="0" w:line="240" w:lineRule="auto"/>
              <w:jc w:val="right"/>
              <w:rPr>
                <w:rFonts w:ascii="Arial Narrow" w:hAnsi="Arial Narrow"/>
                <w:sz w:val="20"/>
                <w:szCs w:val="20"/>
              </w:rPr>
            </w:pPr>
            <w:r w:rsidRPr="00402B1A">
              <w:rPr>
                <w:rFonts w:ascii="Arial Narrow" w:hAnsi="Arial Narrow"/>
                <w:snapToGrid w:val="0"/>
                <w:sz w:val="20"/>
                <w:szCs w:val="20"/>
                <w:lang w:eastAsia="en-US"/>
              </w:rPr>
              <w:t>p&gt;0.05</w:t>
            </w:r>
          </w:p>
        </w:tc>
      </w:tr>
      <w:tr w:rsidR="00F340FF" w:rsidRPr="00402B1A" w14:paraId="7B852C94" w14:textId="77777777" w:rsidTr="001A2B6F">
        <w:trPr>
          <w:jc w:val="center"/>
        </w:trPr>
        <w:tc>
          <w:tcPr>
            <w:tcW w:w="1425" w:type="dxa"/>
            <w:tcBorders>
              <w:top w:val="nil"/>
              <w:left w:val="single" w:sz="4" w:space="0" w:color="auto"/>
              <w:right w:val="single" w:sz="4" w:space="0" w:color="auto"/>
            </w:tcBorders>
            <w:vAlign w:val="bottom"/>
          </w:tcPr>
          <w:p w14:paraId="45E59BBB" w14:textId="77777777" w:rsidR="00F340FF" w:rsidRPr="00402B1A" w:rsidRDefault="00F340FF" w:rsidP="00F340FF">
            <w:pPr>
              <w:spacing w:after="0" w:line="240" w:lineRule="auto"/>
              <w:rPr>
                <w:rFonts w:ascii="Arial Narrow" w:hAnsi="Arial Narrow" w:cs="Calibri"/>
                <w:color w:val="000000"/>
                <w:sz w:val="20"/>
                <w:szCs w:val="20"/>
                <w:highlight w:val="yellow"/>
              </w:rPr>
            </w:pPr>
          </w:p>
        </w:tc>
        <w:tc>
          <w:tcPr>
            <w:tcW w:w="2146" w:type="dxa"/>
            <w:tcBorders>
              <w:top w:val="nil"/>
              <w:left w:val="nil"/>
              <w:right w:val="single" w:sz="4" w:space="0" w:color="auto"/>
            </w:tcBorders>
            <w:shd w:val="clear" w:color="auto" w:fill="auto"/>
          </w:tcPr>
          <w:p w14:paraId="14943213" w14:textId="77777777" w:rsidR="00F340FF" w:rsidRPr="00402B1A" w:rsidRDefault="00F340FF" w:rsidP="00F340FF">
            <w:pPr>
              <w:spacing w:after="0" w:line="240" w:lineRule="auto"/>
              <w:rPr>
                <w:rFonts w:ascii="Arial Narrow" w:hAnsi="Arial Narrow" w:cs="Calibri"/>
                <w:color w:val="000000"/>
                <w:sz w:val="20"/>
                <w:szCs w:val="20"/>
                <w:highlight w:val="yellow"/>
              </w:rPr>
            </w:pPr>
            <w:r w:rsidRPr="00402B1A">
              <w:rPr>
                <w:rFonts w:ascii="Arial Narrow" w:hAnsi="Arial Narrow"/>
                <w:i/>
                <w:snapToGrid w:val="0"/>
                <w:sz w:val="20"/>
                <w:szCs w:val="20"/>
                <w:lang w:eastAsia="en-US"/>
              </w:rPr>
              <w:t>Rate of severe infections (/patient month)</w:t>
            </w:r>
          </w:p>
        </w:tc>
        <w:tc>
          <w:tcPr>
            <w:tcW w:w="2199" w:type="dxa"/>
            <w:gridSpan w:val="2"/>
            <w:tcBorders>
              <w:top w:val="nil"/>
              <w:left w:val="single" w:sz="4" w:space="0" w:color="auto"/>
              <w:right w:val="nil"/>
            </w:tcBorders>
            <w:shd w:val="clear" w:color="auto" w:fill="auto"/>
            <w:noWrap/>
          </w:tcPr>
          <w:p w14:paraId="1451ADEA" w14:textId="77777777" w:rsidR="00F340FF" w:rsidRPr="00402B1A" w:rsidRDefault="00F340FF" w:rsidP="00F340FF">
            <w:pPr>
              <w:spacing w:after="0" w:line="240" w:lineRule="auto"/>
              <w:jc w:val="right"/>
              <w:rPr>
                <w:rFonts w:ascii="Arial Narrow" w:hAnsi="Arial Narrow" w:cs="Calibri"/>
                <w:color w:val="000000"/>
                <w:sz w:val="20"/>
                <w:szCs w:val="20"/>
                <w:highlight w:val="yellow"/>
              </w:rPr>
            </w:pPr>
            <w:r w:rsidRPr="00402B1A">
              <w:rPr>
                <w:rFonts w:ascii="Arial Narrow" w:hAnsi="Arial Narrow"/>
                <w:i/>
                <w:snapToGrid w:val="0"/>
                <w:sz w:val="20"/>
                <w:szCs w:val="20"/>
                <w:lang w:eastAsia="en-US"/>
              </w:rPr>
              <w:t>0.036</w:t>
            </w:r>
          </w:p>
        </w:tc>
        <w:tc>
          <w:tcPr>
            <w:tcW w:w="2190" w:type="dxa"/>
            <w:tcBorders>
              <w:top w:val="nil"/>
              <w:left w:val="nil"/>
              <w:right w:val="nil"/>
            </w:tcBorders>
            <w:shd w:val="clear" w:color="auto" w:fill="auto"/>
            <w:noWrap/>
          </w:tcPr>
          <w:p w14:paraId="1C89A787" w14:textId="77777777" w:rsidR="00F340FF" w:rsidRPr="00402B1A" w:rsidRDefault="00F340FF" w:rsidP="00F340FF">
            <w:pPr>
              <w:spacing w:after="0" w:line="240" w:lineRule="auto"/>
              <w:jc w:val="right"/>
              <w:rPr>
                <w:rFonts w:ascii="Arial Narrow" w:hAnsi="Arial Narrow" w:cs="Calibri"/>
                <w:color w:val="000000"/>
                <w:sz w:val="20"/>
                <w:szCs w:val="20"/>
                <w:highlight w:val="yellow"/>
              </w:rPr>
            </w:pPr>
            <w:r w:rsidRPr="00402B1A">
              <w:rPr>
                <w:rFonts w:ascii="Arial Narrow" w:hAnsi="Arial Narrow"/>
                <w:i/>
                <w:snapToGrid w:val="0"/>
                <w:sz w:val="20"/>
                <w:szCs w:val="20"/>
                <w:lang w:eastAsia="en-US"/>
              </w:rPr>
              <w:t>0.018</w:t>
            </w:r>
          </w:p>
        </w:tc>
        <w:tc>
          <w:tcPr>
            <w:tcW w:w="1103" w:type="dxa"/>
            <w:gridSpan w:val="2"/>
            <w:tcBorders>
              <w:top w:val="nil"/>
              <w:left w:val="nil"/>
              <w:right w:val="single" w:sz="4" w:space="0" w:color="auto"/>
            </w:tcBorders>
          </w:tcPr>
          <w:p w14:paraId="67EC9E63" w14:textId="77777777" w:rsidR="00F340FF" w:rsidRPr="00402B1A" w:rsidRDefault="00F340FF" w:rsidP="00F340FF">
            <w:pPr>
              <w:spacing w:after="0" w:line="240" w:lineRule="auto"/>
              <w:jc w:val="right"/>
              <w:rPr>
                <w:rFonts w:ascii="Arial Narrow" w:hAnsi="Arial Narrow"/>
                <w:sz w:val="20"/>
                <w:szCs w:val="20"/>
              </w:rPr>
            </w:pPr>
          </w:p>
        </w:tc>
      </w:tr>
      <w:tr w:rsidR="00F340FF" w:rsidRPr="00402B1A" w14:paraId="0F75670F" w14:textId="77777777" w:rsidTr="007D3D74">
        <w:trPr>
          <w:jc w:val="center"/>
        </w:trPr>
        <w:tc>
          <w:tcPr>
            <w:tcW w:w="1425" w:type="dxa"/>
            <w:tcBorders>
              <w:top w:val="nil"/>
              <w:left w:val="single" w:sz="4" w:space="0" w:color="auto"/>
              <w:bottom w:val="single" w:sz="4" w:space="0" w:color="auto"/>
              <w:right w:val="single" w:sz="4" w:space="0" w:color="auto"/>
            </w:tcBorders>
            <w:vAlign w:val="bottom"/>
          </w:tcPr>
          <w:p w14:paraId="3F0C2A31" w14:textId="77777777" w:rsidR="00F340FF" w:rsidRPr="00402B1A" w:rsidRDefault="00F340FF" w:rsidP="00F340FF">
            <w:pPr>
              <w:spacing w:after="0" w:line="240" w:lineRule="auto"/>
              <w:rPr>
                <w:rFonts w:ascii="Arial Narrow" w:hAnsi="Arial Narrow" w:cs="Calibri"/>
                <w:color w:val="000000"/>
                <w:sz w:val="20"/>
                <w:szCs w:val="20"/>
                <w:highlight w:val="yellow"/>
              </w:rPr>
            </w:pPr>
          </w:p>
        </w:tc>
        <w:tc>
          <w:tcPr>
            <w:tcW w:w="2146" w:type="dxa"/>
            <w:tcBorders>
              <w:top w:val="nil"/>
              <w:left w:val="nil"/>
              <w:bottom w:val="single" w:sz="4" w:space="0" w:color="auto"/>
              <w:right w:val="single" w:sz="4" w:space="0" w:color="auto"/>
            </w:tcBorders>
            <w:shd w:val="clear" w:color="auto" w:fill="auto"/>
          </w:tcPr>
          <w:p w14:paraId="50BB8087" w14:textId="77777777" w:rsidR="00F340FF" w:rsidRPr="00402B1A" w:rsidRDefault="00F340FF" w:rsidP="00F340FF">
            <w:pPr>
              <w:spacing w:after="0" w:line="240" w:lineRule="auto"/>
              <w:rPr>
                <w:rFonts w:ascii="Arial Narrow" w:hAnsi="Arial Narrow" w:cs="Calibri"/>
                <w:color w:val="000000"/>
                <w:sz w:val="20"/>
                <w:szCs w:val="20"/>
                <w:highlight w:val="yellow"/>
              </w:rPr>
            </w:pPr>
            <w:r w:rsidRPr="00402B1A">
              <w:rPr>
                <w:rFonts w:ascii="Arial Narrow" w:hAnsi="Arial Narrow"/>
                <w:snapToGrid w:val="0"/>
                <w:sz w:val="20"/>
                <w:szCs w:val="20"/>
                <w:lang w:eastAsia="en-US"/>
              </w:rPr>
              <w:t>Death due to infection (septicaemia)</w:t>
            </w:r>
          </w:p>
        </w:tc>
        <w:tc>
          <w:tcPr>
            <w:tcW w:w="2199" w:type="dxa"/>
            <w:gridSpan w:val="2"/>
            <w:tcBorders>
              <w:top w:val="nil"/>
              <w:left w:val="single" w:sz="4" w:space="0" w:color="auto"/>
              <w:bottom w:val="single" w:sz="4" w:space="0" w:color="auto"/>
              <w:right w:val="nil"/>
            </w:tcBorders>
            <w:shd w:val="clear" w:color="auto" w:fill="auto"/>
            <w:noWrap/>
          </w:tcPr>
          <w:p w14:paraId="443E9602" w14:textId="77777777" w:rsidR="00F340FF" w:rsidRPr="00402B1A" w:rsidRDefault="00F340FF" w:rsidP="00F340FF">
            <w:pPr>
              <w:spacing w:after="0" w:line="240" w:lineRule="auto"/>
              <w:jc w:val="right"/>
              <w:rPr>
                <w:rFonts w:ascii="Arial Narrow" w:hAnsi="Arial Narrow" w:cs="Calibri"/>
                <w:color w:val="000000"/>
                <w:sz w:val="20"/>
                <w:szCs w:val="20"/>
                <w:highlight w:val="yellow"/>
              </w:rPr>
            </w:pPr>
            <w:r w:rsidRPr="00402B1A">
              <w:rPr>
                <w:rFonts w:ascii="Arial Narrow" w:hAnsi="Arial Narrow"/>
                <w:snapToGrid w:val="0"/>
                <w:sz w:val="20"/>
                <w:szCs w:val="20"/>
                <w:lang w:eastAsia="en-US"/>
              </w:rPr>
              <w:t>―</w:t>
            </w:r>
          </w:p>
        </w:tc>
        <w:tc>
          <w:tcPr>
            <w:tcW w:w="2190" w:type="dxa"/>
            <w:tcBorders>
              <w:top w:val="nil"/>
              <w:left w:val="nil"/>
              <w:bottom w:val="single" w:sz="4" w:space="0" w:color="auto"/>
              <w:right w:val="nil"/>
            </w:tcBorders>
            <w:shd w:val="clear" w:color="auto" w:fill="auto"/>
            <w:noWrap/>
          </w:tcPr>
          <w:p w14:paraId="300D91D6" w14:textId="77777777" w:rsidR="00F340FF" w:rsidRPr="00402B1A" w:rsidRDefault="00F340FF" w:rsidP="00F340FF">
            <w:pPr>
              <w:spacing w:after="0" w:line="240" w:lineRule="auto"/>
              <w:jc w:val="right"/>
              <w:rPr>
                <w:rFonts w:ascii="Arial Narrow" w:hAnsi="Arial Narrow" w:cs="Calibri"/>
                <w:color w:val="000000"/>
                <w:sz w:val="20"/>
                <w:szCs w:val="20"/>
                <w:highlight w:val="yellow"/>
              </w:rPr>
            </w:pPr>
            <w:r w:rsidRPr="00402B1A">
              <w:rPr>
                <w:rFonts w:ascii="Arial Narrow" w:hAnsi="Arial Narrow"/>
                <w:snapToGrid w:val="0"/>
                <w:sz w:val="20"/>
                <w:szCs w:val="20"/>
                <w:lang w:eastAsia="en-US"/>
              </w:rPr>
              <w:t>2</w:t>
            </w:r>
          </w:p>
        </w:tc>
        <w:tc>
          <w:tcPr>
            <w:tcW w:w="1103" w:type="dxa"/>
            <w:gridSpan w:val="2"/>
            <w:tcBorders>
              <w:top w:val="nil"/>
              <w:left w:val="nil"/>
              <w:bottom w:val="single" w:sz="4" w:space="0" w:color="auto"/>
              <w:right w:val="single" w:sz="4" w:space="0" w:color="auto"/>
            </w:tcBorders>
          </w:tcPr>
          <w:p w14:paraId="13A080AF" w14:textId="77777777" w:rsidR="00F340FF" w:rsidRPr="00402B1A" w:rsidRDefault="00F340FF" w:rsidP="00F340FF">
            <w:pPr>
              <w:spacing w:after="0" w:line="240" w:lineRule="auto"/>
              <w:jc w:val="right"/>
              <w:rPr>
                <w:rFonts w:ascii="Arial Narrow" w:hAnsi="Arial Narrow"/>
                <w:sz w:val="20"/>
                <w:szCs w:val="20"/>
              </w:rPr>
            </w:pPr>
          </w:p>
        </w:tc>
      </w:tr>
    </w:tbl>
    <w:p w14:paraId="01D318A1" w14:textId="2325735F" w:rsidR="00D42D26" w:rsidRPr="00876F28" w:rsidRDefault="00D42D26" w:rsidP="00D42D26">
      <w:pPr>
        <w:spacing w:after="0" w:line="240" w:lineRule="auto"/>
        <w:rPr>
          <w:rFonts w:ascii="Arial Narrow" w:hAnsi="Arial Narrow"/>
          <w:sz w:val="20"/>
        </w:rPr>
      </w:pPr>
      <w:r w:rsidRPr="00876F28">
        <w:rPr>
          <w:rFonts w:ascii="Arial Narrow" w:hAnsi="Arial Narrow"/>
          <w:sz w:val="20"/>
        </w:rPr>
        <w:t xml:space="preserve">*Notes: </w:t>
      </w:r>
      <w:r w:rsidRPr="00876F28">
        <w:rPr>
          <w:rFonts w:ascii="Arial Narrow" w:hAnsi="Arial Narrow"/>
          <w:sz w:val="20"/>
          <w:u w:val="single"/>
        </w:rPr>
        <w:t>Brenner, 1996</w:t>
      </w:r>
      <w:r w:rsidRPr="00876F28">
        <w:rPr>
          <w:rFonts w:ascii="Arial Narrow" w:hAnsi="Arial Narrow"/>
          <w:sz w:val="20"/>
        </w:rPr>
        <w:t xml:space="preserve"> studied a population (N=54) of CLL(22), MM(4) and also ITP and PAPS patients. The CLL and MM patient results are reported separately where possible. For CLL, the total numbers of infections requiring hospitalisation did not correspond with the individual contributing infections but this was not explained by the authors. No further MM data were presented due to small patient numbers.  </w:t>
      </w:r>
      <w:r w:rsidRPr="00876F28">
        <w:rPr>
          <w:rFonts w:ascii="Arial Narrow" w:hAnsi="Arial Narrow"/>
          <w:sz w:val="20"/>
          <w:u w:val="single"/>
        </w:rPr>
        <w:t>Günther &amp; Dreger 2013</w:t>
      </w:r>
      <w:r w:rsidRPr="00876F28">
        <w:rPr>
          <w:rFonts w:ascii="Arial Narrow" w:hAnsi="Arial Narrow"/>
          <w:sz w:val="20"/>
        </w:rPr>
        <w:t xml:space="preserve"> – underlying disease types: CLL(5), FL(2), WM(1), IgA-plasmacytoma (1), MDS(1)]; duration of IVIg ranged from 22.5 months to more than 9 years</w:t>
      </w:r>
      <w:r w:rsidR="00E05A79" w:rsidRPr="00876F28">
        <w:rPr>
          <w:rFonts w:ascii="Arial Narrow" w:hAnsi="Arial Narrow"/>
          <w:sz w:val="20"/>
        </w:rPr>
        <w:t>; LRTIs included acute bronchitis, bronchopulmonary infection and pneumonia</w:t>
      </w:r>
      <w:r w:rsidRPr="00876F28">
        <w:rPr>
          <w:rFonts w:ascii="Arial Narrow" w:hAnsi="Arial Narrow"/>
          <w:sz w:val="20"/>
        </w:rPr>
        <w:t xml:space="preserve">.  </w:t>
      </w:r>
      <w:r w:rsidRPr="00876F28">
        <w:rPr>
          <w:rFonts w:ascii="Arial Narrow" w:hAnsi="Arial Narrow"/>
          <w:sz w:val="20"/>
          <w:u w:val="single"/>
        </w:rPr>
        <w:t>Jurlander et al., 1994</w:t>
      </w:r>
      <w:r w:rsidRPr="00876F28">
        <w:rPr>
          <w:rFonts w:ascii="Arial Narrow" w:hAnsi="Arial Narrow"/>
          <w:sz w:val="20"/>
        </w:rPr>
        <w:t xml:space="preserve"> – 1 of 15 patients discontinued after 4 infusions and is not included, thus N=14. </w:t>
      </w:r>
    </w:p>
    <w:p w14:paraId="1A6481C7" w14:textId="0912F7CD" w:rsidR="00D42D26" w:rsidRDefault="00D42D26" w:rsidP="00D42D26">
      <w:pPr>
        <w:spacing w:line="240" w:lineRule="auto"/>
        <w:rPr>
          <w:rFonts w:ascii="Arial Narrow" w:hAnsi="Arial Narrow"/>
          <w:sz w:val="20"/>
        </w:rPr>
      </w:pPr>
      <w:r w:rsidRPr="00876F28">
        <w:rPr>
          <w:rFonts w:ascii="Arial Narrow" w:hAnsi="Arial Narrow"/>
          <w:sz w:val="20"/>
        </w:rPr>
        <w:t>CLL=chronic lymphocytic leukaemia; ITP=idiopathic thrombocytopenic purpura; IVIg=intravenous immunoglobulin; MM=multiple myeloma; n.r.=not reported; PAPS= primary antiphospholipid syndrome; URI=upper respiratory tract infection.</w:t>
      </w:r>
    </w:p>
    <w:p w14:paraId="536C5E88" w14:textId="77777777" w:rsidR="00876F28" w:rsidRPr="007D0AA8" w:rsidRDefault="00876F28" w:rsidP="00876F28">
      <w:pPr>
        <w:spacing w:after="0" w:line="240" w:lineRule="auto"/>
        <w:rPr>
          <w:rFonts w:asciiTheme="minorHAnsi" w:hAnsiTheme="minorHAnsi" w:cstheme="minorHAnsi"/>
        </w:rPr>
      </w:pPr>
      <w:bookmarkStart w:id="781" w:name="_Ref9902722"/>
    </w:p>
    <w:p w14:paraId="1CD365FF" w14:textId="1371D20B" w:rsidR="00D42D26" w:rsidRPr="00386411" w:rsidRDefault="00D42D26" w:rsidP="00D42D26">
      <w:pPr>
        <w:pStyle w:val="Caption"/>
        <w:keepNext/>
        <w:rPr>
          <w:rFonts w:cs="Arial"/>
          <w:snapToGrid w:val="0"/>
          <w:szCs w:val="16"/>
          <w:lang w:eastAsia="en-US"/>
        </w:rPr>
      </w:pPr>
      <w:bookmarkStart w:id="782" w:name="_Ref15306522"/>
      <w:bookmarkStart w:id="783" w:name="_Toc14429630"/>
      <w:bookmarkStart w:id="784" w:name="_Toc16671688"/>
      <w:r w:rsidRPr="00386411">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90</w:t>
      </w:r>
      <w:r w:rsidRPr="00386411">
        <w:rPr>
          <w:noProof/>
        </w:rPr>
        <w:fldChar w:fldCharType="end"/>
      </w:r>
      <w:bookmarkEnd w:id="781"/>
      <w:bookmarkEnd w:id="782"/>
      <w:r w:rsidRPr="00386411">
        <w:tab/>
      </w:r>
      <w:r w:rsidRPr="00386411">
        <w:rPr>
          <w:rFonts w:cs="Arial"/>
          <w:snapToGrid w:val="0"/>
          <w:szCs w:val="16"/>
          <w:lang w:eastAsia="en-US"/>
        </w:rPr>
        <w:t>Non-comparative studies presenting within-patient (before/after) infections outcomes – SCIg</w:t>
      </w:r>
      <w:bookmarkEnd w:id="783"/>
      <w:bookmarkEnd w:id="784"/>
      <w:r w:rsidRPr="00386411">
        <w:rPr>
          <w:rFonts w:cs="Arial"/>
          <w:snapToGrid w:val="0"/>
          <w:szCs w:val="16"/>
          <w:lang w:eastAsia="en-US"/>
        </w:rPr>
        <w:t xml:space="preserve"> </w:t>
      </w:r>
    </w:p>
    <w:tbl>
      <w:tblPr>
        <w:tblW w:w="0" w:type="auto"/>
        <w:jc w:val="center"/>
        <w:tblLayout w:type="fixed"/>
        <w:tblLook w:val="04A0" w:firstRow="1" w:lastRow="0" w:firstColumn="1" w:lastColumn="0" w:noHBand="0" w:noVBand="1"/>
      </w:tblPr>
      <w:tblGrid>
        <w:gridCol w:w="1461"/>
        <w:gridCol w:w="2976"/>
        <w:gridCol w:w="2504"/>
        <w:gridCol w:w="2075"/>
      </w:tblGrid>
      <w:tr w:rsidR="00D42D26" w:rsidRPr="00386411" w14:paraId="7AD2FEAE" w14:textId="77777777" w:rsidTr="00B52A4F">
        <w:trPr>
          <w:jc w:val="center"/>
        </w:trPr>
        <w:tc>
          <w:tcPr>
            <w:tcW w:w="1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FCA2AD" w14:textId="77777777" w:rsidR="00D42D26" w:rsidRPr="00386411" w:rsidRDefault="00D42D26" w:rsidP="001A2B6F">
            <w:pPr>
              <w:spacing w:after="0" w:line="240" w:lineRule="auto"/>
              <w:ind w:left="-57" w:right="-57"/>
              <w:rPr>
                <w:rFonts w:ascii="Arial Narrow" w:hAnsi="Arial Narrow" w:cs="Calibri"/>
                <w:b/>
                <w:color w:val="000000"/>
                <w:sz w:val="20"/>
                <w:szCs w:val="20"/>
              </w:rPr>
            </w:pPr>
            <w:r w:rsidRPr="00386411">
              <w:rPr>
                <w:rFonts w:ascii="Arial Narrow" w:hAnsi="Arial Narrow" w:cs="Calibri"/>
                <w:b/>
                <w:color w:val="000000"/>
                <w:sz w:val="20"/>
                <w:szCs w:val="20"/>
              </w:rPr>
              <w:t>Study, Indication</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F9CC26" w14:textId="77777777" w:rsidR="00D42D26" w:rsidRPr="00386411" w:rsidRDefault="00D42D26" w:rsidP="001A2B6F">
            <w:pPr>
              <w:spacing w:after="0" w:line="240" w:lineRule="auto"/>
              <w:jc w:val="center"/>
              <w:rPr>
                <w:rFonts w:ascii="Arial Narrow" w:hAnsi="Arial Narrow" w:cs="Arial"/>
                <w:b/>
                <w:sz w:val="20"/>
                <w:szCs w:val="20"/>
                <w:lang w:val="en-GB" w:eastAsia="en-GB"/>
              </w:rPr>
            </w:pPr>
            <w:r w:rsidRPr="00386411">
              <w:rPr>
                <w:rFonts w:ascii="Arial Narrow" w:hAnsi="Arial Narrow" w:cs="Arial"/>
                <w:b/>
                <w:sz w:val="20"/>
                <w:szCs w:val="20"/>
                <w:lang w:val="en-GB" w:eastAsia="en-GB"/>
              </w:rPr>
              <w:t>Outcome</w:t>
            </w:r>
          </w:p>
        </w:tc>
        <w:tc>
          <w:tcPr>
            <w:tcW w:w="2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C1986AC" w14:textId="77777777" w:rsidR="00D42D26" w:rsidRPr="00386411" w:rsidRDefault="00D42D26" w:rsidP="001A2B6F">
            <w:pPr>
              <w:spacing w:after="0" w:line="240" w:lineRule="auto"/>
              <w:jc w:val="center"/>
              <w:rPr>
                <w:rFonts w:ascii="Arial Narrow" w:hAnsi="Arial Narrow" w:cs="Arial"/>
                <w:b/>
                <w:bCs/>
                <w:sz w:val="20"/>
                <w:szCs w:val="18"/>
                <w:lang w:val="en-GB" w:eastAsia="en-GB"/>
              </w:rPr>
            </w:pPr>
            <w:r w:rsidRPr="00386411">
              <w:rPr>
                <w:rFonts w:ascii="Arial Narrow" w:hAnsi="Arial Narrow"/>
                <w:b/>
                <w:sz w:val="20"/>
                <w:szCs w:val="20"/>
              </w:rPr>
              <w:t>Comparator</w:t>
            </w:r>
          </w:p>
        </w:tc>
        <w:tc>
          <w:tcPr>
            <w:tcW w:w="2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506F83" w14:textId="77777777" w:rsidR="00D42D26" w:rsidRPr="00386411" w:rsidRDefault="00D42D26" w:rsidP="001A2B6F">
            <w:pPr>
              <w:spacing w:after="0" w:line="240" w:lineRule="auto"/>
              <w:jc w:val="center"/>
              <w:rPr>
                <w:rFonts w:ascii="Arial Narrow" w:hAnsi="Arial Narrow"/>
                <w:b/>
                <w:sz w:val="20"/>
                <w:szCs w:val="20"/>
              </w:rPr>
            </w:pPr>
            <w:r w:rsidRPr="00386411">
              <w:rPr>
                <w:rFonts w:ascii="Arial Narrow" w:hAnsi="Arial Narrow"/>
                <w:b/>
                <w:sz w:val="20"/>
                <w:lang w:val="en-GB"/>
              </w:rPr>
              <w:t>Intervention</w:t>
            </w:r>
          </w:p>
        </w:tc>
      </w:tr>
      <w:tr w:rsidR="00D42D26" w:rsidRPr="00386411" w14:paraId="4A150FFA" w14:textId="77777777" w:rsidTr="00B52A4F">
        <w:trPr>
          <w:jc w:val="center"/>
        </w:trPr>
        <w:tc>
          <w:tcPr>
            <w:tcW w:w="1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81506D" w14:textId="77777777" w:rsidR="00D42D26" w:rsidRPr="00386411" w:rsidRDefault="00D42D26" w:rsidP="001A2B6F">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Dimou et al. (2018)</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F718C5" w14:textId="77777777" w:rsidR="00D42D26" w:rsidRPr="00386411" w:rsidRDefault="00D42D26" w:rsidP="001A2B6F">
            <w:pPr>
              <w:spacing w:after="0" w:line="240" w:lineRule="auto"/>
              <w:jc w:val="center"/>
              <w:rPr>
                <w:rFonts w:ascii="Arial Narrow" w:hAnsi="Arial Narrow" w:cs="Arial"/>
                <w:b/>
                <w:sz w:val="20"/>
                <w:szCs w:val="20"/>
                <w:lang w:val="en-GB" w:eastAsia="en-GB"/>
              </w:rPr>
            </w:pPr>
            <w:r w:rsidRPr="00386411">
              <w:rPr>
                <w:rFonts w:ascii="Arial Narrow" w:hAnsi="Arial Narrow" w:cs="Arial"/>
                <w:b/>
                <w:sz w:val="20"/>
                <w:szCs w:val="20"/>
                <w:lang w:val="en-GB" w:eastAsia="en-GB"/>
              </w:rPr>
              <w:t>Patients with events (N=33)</w:t>
            </w:r>
          </w:p>
        </w:tc>
        <w:tc>
          <w:tcPr>
            <w:tcW w:w="2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47E4017" w14:textId="77777777" w:rsidR="00D42D26" w:rsidRPr="00386411" w:rsidRDefault="00D42D26" w:rsidP="001A2B6F">
            <w:pPr>
              <w:spacing w:after="0" w:line="240" w:lineRule="auto"/>
              <w:jc w:val="center"/>
              <w:rPr>
                <w:rFonts w:ascii="Arial Narrow" w:hAnsi="Arial Narrow" w:cs="Arial"/>
                <w:b/>
                <w:bCs/>
                <w:sz w:val="20"/>
                <w:szCs w:val="18"/>
                <w:lang w:val="en-GB" w:eastAsia="en-GB"/>
              </w:rPr>
            </w:pPr>
            <w:r w:rsidRPr="00386411">
              <w:rPr>
                <w:rFonts w:ascii="Arial Narrow" w:hAnsi="Arial Narrow" w:cs="Arial"/>
                <w:b/>
                <w:bCs/>
                <w:sz w:val="20"/>
                <w:szCs w:val="18"/>
                <w:lang w:val="en-GB" w:eastAsia="en-GB"/>
              </w:rPr>
              <w:t>12 mo prior to SCIg commencement</w:t>
            </w:r>
          </w:p>
        </w:tc>
        <w:tc>
          <w:tcPr>
            <w:tcW w:w="2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6D9C61" w14:textId="77777777" w:rsidR="00D42D26" w:rsidRPr="00386411" w:rsidRDefault="00D42D26" w:rsidP="001A2B6F">
            <w:pPr>
              <w:spacing w:after="0" w:line="240" w:lineRule="auto"/>
              <w:jc w:val="center"/>
              <w:rPr>
                <w:rFonts w:ascii="Arial Narrow" w:hAnsi="Arial Narrow"/>
                <w:b/>
                <w:sz w:val="20"/>
                <w:szCs w:val="20"/>
              </w:rPr>
            </w:pPr>
            <w:r w:rsidRPr="00386411">
              <w:rPr>
                <w:rFonts w:ascii="Arial Narrow" w:hAnsi="Arial Narrow" w:cs="Arial"/>
                <w:b/>
                <w:bCs/>
                <w:sz w:val="20"/>
                <w:szCs w:val="18"/>
                <w:lang w:val="en-GB" w:eastAsia="en-GB"/>
              </w:rPr>
              <w:t>During SCIg</w:t>
            </w:r>
            <w:r w:rsidRPr="00386411">
              <w:rPr>
                <w:rFonts w:ascii="Arial Narrow" w:hAnsi="Arial Narrow" w:cs="Arial"/>
                <w:b/>
                <w:bCs/>
                <w:sz w:val="20"/>
                <w:szCs w:val="18"/>
                <w:lang w:val="en-GB" w:eastAsia="en-GB"/>
              </w:rPr>
              <w:br/>
              <w:t>(median follow up 11.2 mo)</w:t>
            </w:r>
          </w:p>
        </w:tc>
      </w:tr>
      <w:tr w:rsidR="00D42D26" w:rsidRPr="007D0AA8" w14:paraId="2250BD66" w14:textId="77777777" w:rsidTr="001A2B6F">
        <w:trPr>
          <w:jc w:val="center"/>
        </w:trPr>
        <w:tc>
          <w:tcPr>
            <w:tcW w:w="1461" w:type="dxa"/>
            <w:tcBorders>
              <w:top w:val="single" w:sz="4" w:space="0" w:color="auto"/>
              <w:left w:val="single" w:sz="4" w:space="0" w:color="auto"/>
              <w:bottom w:val="nil"/>
              <w:right w:val="single" w:sz="4" w:space="0" w:color="auto"/>
            </w:tcBorders>
          </w:tcPr>
          <w:p w14:paraId="2512C263" w14:textId="77777777" w:rsidR="00D42D26" w:rsidRPr="007D0AA8" w:rsidRDefault="00D42D26" w:rsidP="001A2B6F">
            <w:pPr>
              <w:spacing w:after="0" w:line="240" w:lineRule="auto"/>
              <w:rPr>
                <w:rFonts w:ascii="Arial Narrow" w:hAnsi="Arial Narrow" w:cs="Calibri"/>
                <w:color w:val="000000"/>
                <w:sz w:val="20"/>
                <w:szCs w:val="20"/>
              </w:rPr>
            </w:pPr>
            <w:r w:rsidRPr="007D0AA8">
              <w:rPr>
                <w:rFonts w:ascii="Arial Narrow" w:hAnsi="Arial Narrow"/>
                <w:snapToGrid w:val="0"/>
                <w:sz w:val="20"/>
                <w:szCs w:val="20"/>
              </w:rPr>
              <w:lastRenderedPageBreak/>
              <w:t>CLL(25), MM(3); NHL(3), HL(1)**</w:t>
            </w:r>
          </w:p>
        </w:tc>
        <w:tc>
          <w:tcPr>
            <w:tcW w:w="2976" w:type="dxa"/>
            <w:tcBorders>
              <w:top w:val="single" w:sz="4" w:space="0" w:color="auto"/>
              <w:left w:val="single" w:sz="4" w:space="0" w:color="auto"/>
              <w:right w:val="single" w:sz="4" w:space="0" w:color="auto"/>
            </w:tcBorders>
            <w:shd w:val="clear" w:color="auto" w:fill="auto"/>
          </w:tcPr>
          <w:p w14:paraId="5BB81E43" w14:textId="77777777" w:rsidR="00D42D26" w:rsidRPr="007D0AA8" w:rsidRDefault="00D42D26" w:rsidP="001A2B6F">
            <w:pPr>
              <w:spacing w:after="0" w:line="240" w:lineRule="auto"/>
              <w:rPr>
                <w:rFonts w:ascii="Arial Narrow" w:hAnsi="Arial Narrow" w:cs="Arial"/>
                <w:sz w:val="20"/>
                <w:szCs w:val="20"/>
                <w:lang w:val="en-GB" w:eastAsia="en-GB"/>
              </w:rPr>
            </w:pPr>
            <w:r w:rsidRPr="007D0AA8">
              <w:rPr>
                <w:rFonts w:ascii="Arial Narrow" w:hAnsi="Arial Narrow" w:cs="Arial"/>
                <w:sz w:val="20"/>
                <w:szCs w:val="20"/>
                <w:lang w:val="en-GB" w:eastAsia="en-GB"/>
              </w:rPr>
              <w:t>Total patients with events</w:t>
            </w:r>
          </w:p>
        </w:tc>
        <w:tc>
          <w:tcPr>
            <w:tcW w:w="2504" w:type="dxa"/>
            <w:tcBorders>
              <w:top w:val="single" w:sz="4" w:space="0" w:color="auto"/>
              <w:left w:val="single" w:sz="4" w:space="0" w:color="auto"/>
            </w:tcBorders>
            <w:shd w:val="clear" w:color="auto" w:fill="auto"/>
            <w:noWrap/>
          </w:tcPr>
          <w:p w14:paraId="416DE96D" w14:textId="77777777" w:rsidR="00D42D26" w:rsidRPr="007D0AA8" w:rsidRDefault="00D42D26" w:rsidP="001A2B6F">
            <w:pPr>
              <w:spacing w:after="0" w:line="240" w:lineRule="auto"/>
              <w:jc w:val="right"/>
              <w:rPr>
                <w:rFonts w:ascii="Arial Narrow" w:hAnsi="Arial Narrow" w:cs="Arial"/>
                <w:bCs/>
                <w:sz w:val="20"/>
                <w:szCs w:val="18"/>
                <w:lang w:val="en-GB" w:eastAsia="en-GB"/>
              </w:rPr>
            </w:pPr>
            <w:r w:rsidRPr="007D0AA8">
              <w:rPr>
                <w:rFonts w:ascii="Arial Narrow" w:hAnsi="Arial Narrow" w:cs="Arial"/>
                <w:bCs/>
                <w:sz w:val="20"/>
                <w:szCs w:val="18"/>
                <w:lang w:val="en-GB" w:eastAsia="en-GB"/>
              </w:rPr>
              <w:t>26/33 (</w:t>
            </w:r>
            <w:r w:rsidRPr="007D0AA8">
              <w:rPr>
                <w:rFonts w:ascii="Arial Narrow" w:hAnsi="Arial Narrow" w:cs="Arial"/>
                <w:bCs/>
                <w:i/>
                <w:sz w:val="20"/>
                <w:szCs w:val="18"/>
                <w:lang w:val="en-GB" w:eastAsia="en-GB"/>
              </w:rPr>
              <w:t>79%</w:t>
            </w:r>
            <w:r w:rsidRPr="007D0AA8">
              <w:rPr>
                <w:rFonts w:ascii="Arial Narrow" w:hAnsi="Arial Narrow" w:cs="Arial"/>
                <w:bCs/>
                <w:sz w:val="20"/>
                <w:szCs w:val="18"/>
                <w:lang w:val="en-GB" w:eastAsia="en-GB"/>
              </w:rPr>
              <w:t>)</w:t>
            </w:r>
          </w:p>
        </w:tc>
        <w:tc>
          <w:tcPr>
            <w:tcW w:w="2075" w:type="dxa"/>
            <w:tcBorders>
              <w:top w:val="single" w:sz="4" w:space="0" w:color="auto"/>
              <w:left w:val="nil"/>
              <w:bottom w:val="nil"/>
              <w:right w:val="single" w:sz="4" w:space="0" w:color="auto"/>
            </w:tcBorders>
          </w:tcPr>
          <w:p w14:paraId="30A0C275" w14:textId="77777777" w:rsidR="00D42D26" w:rsidRPr="007D0AA8" w:rsidRDefault="00D42D26" w:rsidP="001A2B6F">
            <w:pPr>
              <w:spacing w:after="0" w:line="240" w:lineRule="auto"/>
              <w:jc w:val="right"/>
              <w:rPr>
                <w:rFonts w:ascii="Arial Narrow" w:hAnsi="Arial Narrow"/>
                <w:sz w:val="20"/>
                <w:szCs w:val="20"/>
              </w:rPr>
            </w:pPr>
            <w:r w:rsidRPr="007D0AA8">
              <w:rPr>
                <w:rFonts w:ascii="Arial Narrow" w:hAnsi="Arial Narrow" w:cs="Arial"/>
                <w:bCs/>
                <w:sz w:val="20"/>
                <w:szCs w:val="18"/>
                <w:lang w:val="en-GB" w:eastAsia="en-GB"/>
              </w:rPr>
              <w:t>6/33 (</w:t>
            </w:r>
            <w:r w:rsidRPr="007D0AA8">
              <w:rPr>
                <w:rFonts w:ascii="Arial Narrow" w:hAnsi="Arial Narrow" w:cs="Arial"/>
                <w:bCs/>
                <w:i/>
                <w:sz w:val="20"/>
                <w:szCs w:val="18"/>
                <w:lang w:val="en-GB" w:eastAsia="en-GB"/>
              </w:rPr>
              <w:t>18%</w:t>
            </w:r>
            <w:r w:rsidRPr="007D0AA8">
              <w:rPr>
                <w:rFonts w:ascii="Arial Narrow" w:hAnsi="Arial Narrow" w:cs="Arial"/>
                <w:bCs/>
                <w:sz w:val="20"/>
                <w:szCs w:val="18"/>
                <w:lang w:val="en-GB" w:eastAsia="en-GB"/>
              </w:rPr>
              <w:t>)</w:t>
            </w:r>
          </w:p>
        </w:tc>
      </w:tr>
      <w:tr w:rsidR="00D42D26" w:rsidRPr="007D0AA8" w14:paraId="52DEA21D" w14:textId="77777777" w:rsidTr="001A2B6F">
        <w:trPr>
          <w:jc w:val="center"/>
        </w:trPr>
        <w:tc>
          <w:tcPr>
            <w:tcW w:w="1461" w:type="dxa"/>
            <w:tcBorders>
              <w:top w:val="nil"/>
              <w:left w:val="single" w:sz="4" w:space="0" w:color="auto"/>
              <w:bottom w:val="nil"/>
              <w:right w:val="single" w:sz="4" w:space="0" w:color="auto"/>
            </w:tcBorders>
          </w:tcPr>
          <w:p w14:paraId="0E7EC30E" w14:textId="77777777" w:rsidR="00D42D26" w:rsidRPr="007D0AA8" w:rsidRDefault="00D42D26" w:rsidP="001A2B6F">
            <w:pPr>
              <w:spacing w:after="0" w:line="240" w:lineRule="auto"/>
              <w:rPr>
                <w:rFonts w:ascii="Arial Narrow" w:hAnsi="Arial Narrow" w:cs="Calibri"/>
                <w:color w:val="000000"/>
                <w:sz w:val="20"/>
                <w:szCs w:val="20"/>
              </w:rPr>
            </w:pPr>
          </w:p>
        </w:tc>
        <w:tc>
          <w:tcPr>
            <w:tcW w:w="2976" w:type="dxa"/>
            <w:tcBorders>
              <w:left w:val="single" w:sz="4" w:space="0" w:color="auto"/>
              <w:right w:val="single" w:sz="4" w:space="0" w:color="auto"/>
            </w:tcBorders>
            <w:shd w:val="clear" w:color="auto" w:fill="auto"/>
          </w:tcPr>
          <w:p w14:paraId="300DB120" w14:textId="77777777" w:rsidR="00D42D26" w:rsidRPr="007D0AA8" w:rsidRDefault="00D42D26" w:rsidP="00331FB9">
            <w:pPr>
              <w:pStyle w:val="ListParagraph"/>
              <w:numPr>
                <w:ilvl w:val="0"/>
                <w:numId w:val="16"/>
              </w:numPr>
              <w:spacing w:after="0" w:line="240" w:lineRule="auto"/>
              <w:ind w:left="134" w:hanging="161"/>
              <w:rPr>
                <w:rFonts w:ascii="Arial Narrow" w:hAnsi="Arial Narrow" w:cs="Arial"/>
                <w:sz w:val="20"/>
                <w:szCs w:val="20"/>
                <w:lang w:val="en-GB" w:eastAsia="en-GB"/>
              </w:rPr>
            </w:pPr>
            <w:r w:rsidRPr="007D0AA8">
              <w:rPr>
                <w:rFonts w:ascii="Arial Narrow" w:hAnsi="Arial Narrow" w:cs="Arial"/>
                <w:sz w:val="20"/>
                <w:szCs w:val="20"/>
                <w:lang w:val="en-GB" w:eastAsia="en-GB"/>
              </w:rPr>
              <w:t>Lower respiratory tract infection</w:t>
            </w:r>
          </w:p>
        </w:tc>
        <w:tc>
          <w:tcPr>
            <w:tcW w:w="2504" w:type="dxa"/>
            <w:tcBorders>
              <w:left w:val="single" w:sz="4" w:space="0" w:color="auto"/>
            </w:tcBorders>
            <w:shd w:val="clear" w:color="auto" w:fill="auto"/>
            <w:noWrap/>
          </w:tcPr>
          <w:p w14:paraId="1850E594" w14:textId="77777777" w:rsidR="00D42D26" w:rsidRPr="007D0AA8" w:rsidRDefault="00D42D26" w:rsidP="001A2B6F">
            <w:pPr>
              <w:spacing w:after="0" w:line="240" w:lineRule="auto"/>
              <w:jc w:val="right"/>
              <w:rPr>
                <w:rFonts w:ascii="Arial Narrow" w:hAnsi="Arial Narrow" w:cs="Arial"/>
                <w:bCs/>
                <w:sz w:val="20"/>
                <w:szCs w:val="18"/>
                <w:lang w:val="en-GB" w:eastAsia="en-GB"/>
              </w:rPr>
            </w:pPr>
            <w:r w:rsidRPr="007D0AA8">
              <w:rPr>
                <w:rFonts w:ascii="Arial Narrow" w:hAnsi="Arial Narrow" w:cs="Arial"/>
                <w:bCs/>
                <w:sz w:val="20"/>
                <w:szCs w:val="18"/>
                <w:lang w:val="en-GB" w:eastAsia="en-GB"/>
              </w:rPr>
              <w:t>15</w:t>
            </w:r>
          </w:p>
        </w:tc>
        <w:tc>
          <w:tcPr>
            <w:tcW w:w="2075" w:type="dxa"/>
            <w:tcBorders>
              <w:top w:val="nil"/>
              <w:left w:val="nil"/>
              <w:bottom w:val="nil"/>
              <w:right w:val="single" w:sz="4" w:space="0" w:color="auto"/>
            </w:tcBorders>
          </w:tcPr>
          <w:p w14:paraId="72842725" w14:textId="77777777" w:rsidR="00D42D26" w:rsidRPr="007D0AA8" w:rsidRDefault="00D42D26" w:rsidP="001A2B6F">
            <w:pPr>
              <w:spacing w:after="0" w:line="240" w:lineRule="auto"/>
              <w:jc w:val="right"/>
              <w:rPr>
                <w:rFonts w:ascii="Arial Narrow" w:hAnsi="Arial Narrow"/>
                <w:sz w:val="20"/>
                <w:szCs w:val="20"/>
              </w:rPr>
            </w:pPr>
            <w:r w:rsidRPr="007D0AA8">
              <w:rPr>
                <w:rFonts w:ascii="Arial Narrow" w:hAnsi="Arial Narrow" w:cs="Arial"/>
                <w:sz w:val="20"/>
                <w:szCs w:val="20"/>
                <w:lang w:val="en-GB" w:eastAsia="en-GB"/>
              </w:rPr>
              <w:t>4</w:t>
            </w:r>
          </w:p>
        </w:tc>
      </w:tr>
      <w:tr w:rsidR="00D42D26" w:rsidRPr="007D0AA8" w14:paraId="35FF72C4" w14:textId="77777777" w:rsidTr="001A2B6F">
        <w:trPr>
          <w:jc w:val="center"/>
        </w:trPr>
        <w:tc>
          <w:tcPr>
            <w:tcW w:w="1461" w:type="dxa"/>
            <w:tcBorders>
              <w:top w:val="nil"/>
              <w:left w:val="single" w:sz="4" w:space="0" w:color="auto"/>
              <w:bottom w:val="nil"/>
              <w:right w:val="single" w:sz="4" w:space="0" w:color="auto"/>
            </w:tcBorders>
          </w:tcPr>
          <w:p w14:paraId="41FE0D20" w14:textId="77777777" w:rsidR="00D42D26" w:rsidRPr="007D0AA8" w:rsidRDefault="00D42D26" w:rsidP="001A2B6F">
            <w:pPr>
              <w:spacing w:after="0" w:line="240" w:lineRule="auto"/>
              <w:rPr>
                <w:rFonts w:ascii="Arial Narrow" w:hAnsi="Arial Narrow" w:cs="Calibri"/>
                <w:color w:val="000000"/>
                <w:sz w:val="20"/>
                <w:szCs w:val="20"/>
              </w:rPr>
            </w:pPr>
          </w:p>
        </w:tc>
        <w:tc>
          <w:tcPr>
            <w:tcW w:w="2976" w:type="dxa"/>
            <w:tcBorders>
              <w:left w:val="single" w:sz="4" w:space="0" w:color="auto"/>
              <w:right w:val="single" w:sz="4" w:space="0" w:color="auto"/>
            </w:tcBorders>
            <w:shd w:val="clear" w:color="auto" w:fill="auto"/>
          </w:tcPr>
          <w:p w14:paraId="4A4A4F41" w14:textId="77777777" w:rsidR="00D42D26" w:rsidRPr="007D0AA8" w:rsidRDefault="00D42D26" w:rsidP="00331FB9">
            <w:pPr>
              <w:pStyle w:val="ListParagraph"/>
              <w:numPr>
                <w:ilvl w:val="0"/>
                <w:numId w:val="16"/>
              </w:numPr>
              <w:spacing w:after="0" w:line="240" w:lineRule="auto"/>
              <w:ind w:left="134" w:hanging="161"/>
              <w:rPr>
                <w:rFonts w:ascii="Arial Narrow" w:hAnsi="Arial Narrow" w:cs="Arial"/>
                <w:sz w:val="20"/>
                <w:szCs w:val="20"/>
                <w:lang w:val="en-GB" w:eastAsia="en-GB"/>
              </w:rPr>
            </w:pPr>
            <w:r w:rsidRPr="007D0AA8">
              <w:rPr>
                <w:rFonts w:ascii="Arial Narrow" w:hAnsi="Arial Narrow" w:cs="Arial"/>
                <w:sz w:val="20"/>
                <w:szCs w:val="20"/>
                <w:lang w:val="en-GB" w:eastAsia="en-GB"/>
              </w:rPr>
              <w:t>Upper respiratory tract infection</w:t>
            </w:r>
          </w:p>
        </w:tc>
        <w:tc>
          <w:tcPr>
            <w:tcW w:w="2504" w:type="dxa"/>
            <w:tcBorders>
              <w:left w:val="single" w:sz="4" w:space="0" w:color="auto"/>
            </w:tcBorders>
            <w:shd w:val="clear" w:color="auto" w:fill="auto"/>
            <w:noWrap/>
          </w:tcPr>
          <w:p w14:paraId="1FCF4728" w14:textId="77777777" w:rsidR="00D42D26" w:rsidRPr="007D0AA8" w:rsidRDefault="00D42D26" w:rsidP="001A2B6F">
            <w:pPr>
              <w:spacing w:after="0" w:line="240" w:lineRule="auto"/>
              <w:jc w:val="right"/>
              <w:rPr>
                <w:rFonts w:ascii="Arial Narrow" w:hAnsi="Arial Narrow" w:cs="Arial"/>
                <w:sz w:val="20"/>
                <w:szCs w:val="20"/>
                <w:lang w:val="en-GB" w:eastAsia="en-GB"/>
              </w:rPr>
            </w:pPr>
            <w:r w:rsidRPr="007D0AA8">
              <w:rPr>
                <w:rFonts w:ascii="Arial Narrow" w:hAnsi="Arial Narrow" w:cs="Arial"/>
                <w:bCs/>
                <w:sz w:val="20"/>
                <w:szCs w:val="18"/>
                <w:lang w:val="en-GB" w:eastAsia="en-GB"/>
              </w:rPr>
              <w:t>7</w:t>
            </w:r>
          </w:p>
        </w:tc>
        <w:tc>
          <w:tcPr>
            <w:tcW w:w="2075" w:type="dxa"/>
            <w:tcBorders>
              <w:top w:val="nil"/>
              <w:left w:val="nil"/>
              <w:bottom w:val="nil"/>
              <w:right w:val="single" w:sz="4" w:space="0" w:color="auto"/>
            </w:tcBorders>
          </w:tcPr>
          <w:p w14:paraId="6DE99B80" w14:textId="77777777" w:rsidR="00D42D26" w:rsidRPr="007D0AA8" w:rsidRDefault="00D42D26" w:rsidP="001A2B6F">
            <w:pPr>
              <w:spacing w:after="0" w:line="240" w:lineRule="auto"/>
              <w:jc w:val="right"/>
              <w:rPr>
                <w:rFonts w:ascii="Arial Narrow" w:hAnsi="Arial Narrow"/>
                <w:sz w:val="20"/>
                <w:szCs w:val="20"/>
              </w:rPr>
            </w:pPr>
            <w:r w:rsidRPr="007D0AA8">
              <w:rPr>
                <w:rFonts w:ascii="Arial Narrow" w:hAnsi="Arial Narrow" w:cs="Arial"/>
                <w:sz w:val="20"/>
                <w:szCs w:val="20"/>
                <w:lang w:val="en-GB" w:eastAsia="en-GB"/>
              </w:rPr>
              <w:t>0</w:t>
            </w:r>
          </w:p>
        </w:tc>
      </w:tr>
      <w:tr w:rsidR="00D42D26" w:rsidRPr="007D0AA8" w14:paraId="5BDA33AC" w14:textId="77777777" w:rsidTr="001A2B6F">
        <w:trPr>
          <w:jc w:val="center"/>
        </w:trPr>
        <w:tc>
          <w:tcPr>
            <w:tcW w:w="1461" w:type="dxa"/>
            <w:tcBorders>
              <w:top w:val="nil"/>
              <w:left w:val="single" w:sz="4" w:space="0" w:color="auto"/>
              <w:bottom w:val="nil"/>
              <w:right w:val="single" w:sz="4" w:space="0" w:color="auto"/>
            </w:tcBorders>
          </w:tcPr>
          <w:p w14:paraId="23E28705" w14:textId="77777777" w:rsidR="00D42D26" w:rsidRPr="007D0AA8" w:rsidRDefault="00D42D26" w:rsidP="001A2B6F">
            <w:pPr>
              <w:spacing w:after="0" w:line="240" w:lineRule="auto"/>
              <w:rPr>
                <w:rFonts w:ascii="Arial Narrow" w:hAnsi="Arial Narrow" w:cs="Calibri"/>
                <w:color w:val="000000"/>
                <w:sz w:val="20"/>
                <w:szCs w:val="20"/>
              </w:rPr>
            </w:pPr>
          </w:p>
        </w:tc>
        <w:tc>
          <w:tcPr>
            <w:tcW w:w="2976" w:type="dxa"/>
            <w:tcBorders>
              <w:left w:val="single" w:sz="4" w:space="0" w:color="auto"/>
              <w:right w:val="single" w:sz="4" w:space="0" w:color="auto"/>
            </w:tcBorders>
            <w:shd w:val="clear" w:color="auto" w:fill="auto"/>
          </w:tcPr>
          <w:p w14:paraId="44629F09" w14:textId="77777777" w:rsidR="00D42D26" w:rsidRPr="007D0AA8" w:rsidRDefault="00D42D26" w:rsidP="00331FB9">
            <w:pPr>
              <w:pStyle w:val="ListParagraph"/>
              <w:numPr>
                <w:ilvl w:val="0"/>
                <w:numId w:val="16"/>
              </w:numPr>
              <w:spacing w:after="0" w:line="240" w:lineRule="auto"/>
              <w:ind w:left="134" w:hanging="161"/>
              <w:rPr>
                <w:rFonts w:ascii="Arial Narrow" w:hAnsi="Arial Narrow" w:cs="Arial"/>
                <w:sz w:val="20"/>
                <w:szCs w:val="20"/>
                <w:lang w:val="en-GB" w:eastAsia="en-GB"/>
              </w:rPr>
            </w:pPr>
            <w:r w:rsidRPr="007D0AA8">
              <w:rPr>
                <w:rFonts w:ascii="Arial Narrow" w:hAnsi="Arial Narrow" w:cs="Calibri"/>
                <w:color w:val="000000"/>
                <w:sz w:val="20"/>
                <w:szCs w:val="20"/>
              </w:rPr>
              <w:t>Renal infections</w:t>
            </w:r>
          </w:p>
        </w:tc>
        <w:tc>
          <w:tcPr>
            <w:tcW w:w="2504" w:type="dxa"/>
            <w:tcBorders>
              <w:left w:val="single" w:sz="4" w:space="0" w:color="auto"/>
            </w:tcBorders>
            <w:shd w:val="clear" w:color="auto" w:fill="auto"/>
            <w:noWrap/>
          </w:tcPr>
          <w:p w14:paraId="167BFC68" w14:textId="77777777" w:rsidR="00D42D26" w:rsidRPr="007D0AA8" w:rsidRDefault="00D42D26" w:rsidP="001A2B6F">
            <w:pPr>
              <w:spacing w:after="0" w:line="240" w:lineRule="auto"/>
              <w:jc w:val="right"/>
              <w:rPr>
                <w:rFonts w:ascii="Arial Narrow" w:hAnsi="Arial Narrow" w:cs="Arial"/>
                <w:sz w:val="20"/>
                <w:szCs w:val="20"/>
                <w:lang w:val="en-GB" w:eastAsia="en-GB"/>
              </w:rPr>
            </w:pPr>
            <w:r w:rsidRPr="007D0AA8">
              <w:rPr>
                <w:rFonts w:ascii="Arial Narrow" w:hAnsi="Arial Narrow" w:cs="Arial"/>
                <w:bCs/>
                <w:sz w:val="20"/>
                <w:szCs w:val="18"/>
                <w:lang w:val="en-GB" w:eastAsia="en-GB"/>
              </w:rPr>
              <w:t>3</w:t>
            </w:r>
          </w:p>
        </w:tc>
        <w:tc>
          <w:tcPr>
            <w:tcW w:w="2075" w:type="dxa"/>
            <w:tcBorders>
              <w:top w:val="nil"/>
              <w:left w:val="nil"/>
              <w:bottom w:val="nil"/>
              <w:right w:val="single" w:sz="4" w:space="0" w:color="auto"/>
            </w:tcBorders>
          </w:tcPr>
          <w:p w14:paraId="2D8ED6FB" w14:textId="77777777" w:rsidR="00D42D26" w:rsidRPr="007D0AA8" w:rsidRDefault="00D42D26" w:rsidP="001A2B6F">
            <w:pPr>
              <w:spacing w:after="0" w:line="240" w:lineRule="auto"/>
              <w:jc w:val="right"/>
              <w:rPr>
                <w:rFonts w:ascii="Arial Narrow" w:hAnsi="Arial Narrow"/>
                <w:sz w:val="20"/>
                <w:szCs w:val="20"/>
              </w:rPr>
            </w:pPr>
            <w:r w:rsidRPr="007D0AA8">
              <w:rPr>
                <w:rFonts w:ascii="Arial Narrow" w:hAnsi="Arial Narrow" w:cs="Arial"/>
                <w:sz w:val="20"/>
                <w:szCs w:val="20"/>
                <w:lang w:val="en-GB" w:eastAsia="en-GB"/>
              </w:rPr>
              <w:t>0</w:t>
            </w:r>
          </w:p>
        </w:tc>
      </w:tr>
      <w:tr w:rsidR="00D42D26" w:rsidRPr="007D0AA8" w14:paraId="1E387EFD" w14:textId="77777777" w:rsidTr="001A2B6F">
        <w:trPr>
          <w:jc w:val="center"/>
        </w:trPr>
        <w:tc>
          <w:tcPr>
            <w:tcW w:w="1461" w:type="dxa"/>
            <w:tcBorders>
              <w:top w:val="nil"/>
              <w:left w:val="single" w:sz="4" w:space="0" w:color="auto"/>
              <w:bottom w:val="nil"/>
              <w:right w:val="single" w:sz="4" w:space="0" w:color="auto"/>
            </w:tcBorders>
          </w:tcPr>
          <w:p w14:paraId="5CFD3B2E" w14:textId="77777777" w:rsidR="00D42D26" w:rsidRPr="007D0AA8" w:rsidRDefault="00D42D26" w:rsidP="001A2B6F">
            <w:pPr>
              <w:spacing w:after="0" w:line="240" w:lineRule="auto"/>
              <w:rPr>
                <w:rFonts w:ascii="Arial Narrow" w:hAnsi="Arial Narrow" w:cs="Calibri"/>
                <w:color w:val="000000"/>
                <w:sz w:val="20"/>
                <w:szCs w:val="20"/>
              </w:rPr>
            </w:pPr>
          </w:p>
        </w:tc>
        <w:tc>
          <w:tcPr>
            <w:tcW w:w="2976" w:type="dxa"/>
            <w:tcBorders>
              <w:left w:val="single" w:sz="4" w:space="0" w:color="auto"/>
              <w:right w:val="single" w:sz="4" w:space="0" w:color="auto"/>
            </w:tcBorders>
            <w:shd w:val="clear" w:color="auto" w:fill="auto"/>
          </w:tcPr>
          <w:p w14:paraId="79D42A8D" w14:textId="77777777" w:rsidR="00D42D26" w:rsidRPr="007D0AA8" w:rsidRDefault="00D42D26" w:rsidP="00331FB9">
            <w:pPr>
              <w:pStyle w:val="ListParagraph"/>
              <w:numPr>
                <w:ilvl w:val="0"/>
                <w:numId w:val="16"/>
              </w:numPr>
              <w:spacing w:after="0" w:line="240" w:lineRule="auto"/>
              <w:ind w:left="134" w:hanging="161"/>
              <w:rPr>
                <w:rFonts w:ascii="Arial Narrow" w:hAnsi="Arial Narrow" w:cs="Calibri"/>
                <w:color w:val="000000"/>
                <w:sz w:val="20"/>
                <w:szCs w:val="20"/>
              </w:rPr>
            </w:pPr>
            <w:r w:rsidRPr="007D0AA8">
              <w:rPr>
                <w:rFonts w:ascii="Arial Narrow" w:hAnsi="Arial Narrow" w:cs="Calibri"/>
                <w:color w:val="000000"/>
                <w:sz w:val="20"/>
                <w:szCs w:val="20"/>
              </w:rPr>
              <w:t>Soft tissue infections</w:t>
            </w:r>
          </w:p>
        </w:tc>
        <w:tc>
          <w:tcPr>
            <w:tcW w:w="2504" w:type="dxa"/>
            <w:tcBorders>
              <w:left w:val="single" w:sz="4" w:space="0" w:color="auto"/>
            </w:tcBorders>
            <w:shd w:val="clear" w:color="auto" w:fill="auto"/>
            <w:noWrap/>
          </w:tcPr>
          <w:p w14:paraId="5B715111" w14:textId="77777777" w:rsidR="00D42D26" w:rsidRPr="007D0AA8" w:rsidRDefault="00D42D26" w:rsidP="001A2B6F">
            <w:pPr>
              <w:spacing w:after="0" w:line="240" w:lineRule="auto"/>
              <w:jc w:val="right"/>
              <w:rPr>
                <w:rFonts w:ascii="Arial Narrow" w:hAnsi="Arial Narrow" w:cs="Arial"/>
                <w:sz w:val="20"/>
                <w:szCs w:val="20"/>
                <w:lang w:val="en-GB" w:eastAsia="en-GB"/>
              </w:rPr>
            </w:pPr>
            <w:r w:rsidRPr="007D0AA8">
              <w:rPr>
                <w:rFonts w:ascii="Arial Narrow" w:hAnsi="Arial Narrow" w:cs="Arial"/>
                <w:bCs/>
                <w:sz w:val="20"/>
                <w:szCs w:val="18"/>
                <w:lang w:val="en-GB" w:eastAsia="en-GB"/>
              </w:rPr>
              <w:t>2</w:t>
            </w:r>
          </w:p>
        </w:tc>
        <w:tc>
          <w:tcPr>
            <w:tcW w:w="2075" w:type="dxa"/>
            <w:tcBorders>
              <w:top w:val="nil"/>
              <w:left w:val="nil"/>
              <w:bottom w:val="nil"/>
              <w:right w:val="single" w:sz="4" w:space="0" w:color="auto"/>
            </w:tcBorders>
          </w:tcPr>
          <w:p w14:paraId="253FDE1B" w14:textId="77777777" w:rsidR="00D42D26" w:rsidRPr="007D0AA8" w:rsidRDefault="00D42D26" w:rsidP="001A2B6F">
            <w:pPr>
              <w:spacing w:after="0" w:line="240" w:lineRule="auto"/>
              <w:jc w:val="right"/>
              <w:rPr>
                <w:rFonts w:ascii="Arial Narrow" w:hAnsi="Arial Narrow"/>
                <w:sz w:val="20"/>
                <w:szCs w:val="20"/>
              </w:rPr>
            </w:pPr>
            <w:r w:rsidRPr="007D0AA8">
              <w:rPr>
                <w:rFonts w:ascii="Arial Narrow" w:hAnsi="Arial Narrow" w:cs="Arial"/>
                <w:sz w:val="20"/>
                <w:szCs w:val="20"/>
                <w:lang w:val="en-GB" w:eastAsia="en-GB"/>
              </w:rPr>
              <w:t>0</w:t>
            </w:r>
          </w:p>
        </w:tc>
      </w:tr>
      <w:tr w:rsidR="00D42D26" w:rsidRPr="007D0AA8" w14:paraId="2397DA5E" w14:textId="77777777" w:rsidTr="001A2B6F">
        <w:trPr>
          <w:jc w:val="center"/>
        </w:trPr>
        <w:tc>
          <w:tcPr>
            <w:tcW w:w="1461" w:type="dxa"/>
            <w:tcBorders>
              <w:top w:val="nil"/>
              <w:left w:val="single" w:sz="4" w:space="0" w:color="auto"/>
              <w:bottom w:val="nil"/>
              <w:right w:val="single" w:sz="4" w:space="0" w:color="auto"/>
            </w:tcBorders>
          </w:tcPr>
          <w:p w14:paraId="786C66D4" w14:textId="77777777" w:rsidR="00D42D26" w:rsidRPr="007D0AA8" w:rsidRDefault="00D42D26" w:rsidP="001A2B6F">
            <w:pPr>
              <w:spacing w:after="0" w:line="240" w:lineRule="auto"/>
              <w:rPr>
                <w:rFonts w:ascii="Arial Narrow" w:hAnsi="Arial Narrow" w:cs="Calibri"/>
                <w:color w:val="000000"/>
                <w:sz w:val="20"/>
                <w:szCs w:val="20"/>
              </w:rPr>
            </w:pPr>
          </w:p>
        </w:tc>
        <w:tc>
          <w:tcPr>
            <w:tcW w:w="2976" w:type="dxa"/>
            <w:tcBorders>
              <w:left w:val="single" w:sz="4" w:space="0" w:color="auto"/>
              <w:right w:val="single" w:sz="4" w:space="0" w:color="auto"/>
            </w:tcBorders>
            <w:shd w:val="clear" w:color="auto" w:fill="auto"/>
          </w:tcPr>
          <w:p w14:paraId="71B1D8AF" w14:textId="77777777" w:rsidR="00D42D26" w:rsidRPr="007D0AA8" w:rsidRDefault="00D42D26" w:rsidP="00331FB9">
            <w:pPr>
              <w:pStyle w:val="ListParagraph"/>
              <w:numPr>
                <w:ilvl w:val="0"/>
                <w:numId w:val="16"/>
              </w:numPr>
              <w:spacing w:after="0" w:line="240" w:lineRule="auto"/>
              <w:ind w:left="134" w:hanging="161"/>
              <w:rPr>
                <w:rFonts w:ascii="Arial Narrow" w:hAnsi="Arial Narrow" w:cs="Calibri"/>
                <w:color w:val="000000"/>
                <w:sz w:val="20"/>
                <w:szCs w:val="20"/>
              </w:rPr>
            </w:pPr>
            <w:r w:rsidRPr="007D0AA8">
              <w:rPr>
                <w:rFonts w:ascii="Arial Narrow" w:hAnsi="Arial Narrow" w:cs="Calibri"/>
                <w:color w:val="000000"/>
                <w:sz w:val="20"/>
                <w:szCs w:val="20"/>
              </w:rPr>
              <w:t>Herpes zoster reactivation</w:t>
            </w:r>
          </w:p>
        </w:tc>
        <w:tc>
          <w:tcPr>
            <w:tcW w:w="2504" w:type="dxa"/>
            <w:tcBorders>
              <w:left w:val="single" w:sz="4" w:space="0" w:color="auto"/>
            </w:tcBorders>
            <w:shd w:val="clear" w:color="auto" w:fill="auto"/>
            <w:noWrap/>
          </w:tcPr>
          <w:p w14:paraId="4ED2B393" w14:textId="77777777" w:rsidR="00D42D26" w:rsidRPr="007D0AA8" w:rsidRDefault="00D42D26" w:rsidP="001A2B6F">
            <w:pPr>
              <w:spacing w:after="0" w:line="240" w:lineRule="auto"/>
              <w:jc w:val="right"/>
              <w:rPr>
                <w:rFonts w:ascii="Arial Narrow" w:hAnsi="Arial Narrow" w:cs="Arial"/>
                <w:sz w:val="20"/>
                <w:szCs w:val="20"/>
                <w:lang w:val="en-GB" w:eastAsia="en-GB"/>
              </w:rPr>
            </w:pPr>
            <w:r w:rsidRPr="007D0AA8">
              <w:rPr>
                <w:rFonts w:ascii="Arial Narrow" w:hAnsi="Arial Narrow" w:cs="Arial"/>
                <w:bCs/>
                <w:sz w:val="20"/>
                <w:szCs w:val="18"/>
                <w:lang w:val="en-GB" w:eastAsia="en-GB"/>
              </w:rPr>
              <w:t>1</w:t>
            </w:r>
          </w:p>
        </w:tc>
        <w:tc>
          <w:tcPr>
            <w:tcW w:w="2075" w:type="dxa"/>
            <w:tcBorders>
              <w:top w:val="nil"/>
              <w:left w:val="nil"/>
              <w:bottom w:val="nil"/>
              <w:right w:val="single" w:sz="4" w:space="0" w:color="auto"/>
            </w:tcBorders>
          </w:tcPr>
          <w:p w14:paraId="043FEDF1" w14:textId="77777777" w:rsidR="00D42D26" w:rsidRPr="007D0AA8" w:rsidRDefault="00D42D26" w:rsidP="001A2B6F">
            <w:pPr>
              <w:spacing w:after="0" w:line="240" w:lineRule="auto"/>
              <w:jc w:val="right"/>
              <w:rPr>
                <w:rFonts w:ascii="Arial Narrow" w:hAnsi="Arial Narrow"/>
                <w:sz w:val="20"/>
                <w:szCs w:val="20"/>
              </w:rPr>
            </w:pPr>
            <w:r w:rsidRPr="007D0AA8">
              <w:rPr>
                <w:rFonts w:ascii="Arial Narrow" w:hAnsi="Arial Narrow" w:cs="Arial"/>
                <w:sz w:val="20"/>
                <w:szCs w:val="20"/>
                <w:lang w:val="en-GB" w:eastAsia="en-GB"/>
              </w:rPr>
              <w:t>0</w:t>
            </w:r>
          </w:p>
        </w:tc>
      </w:tr>
      <w:tr w:rsidR="00D42D26" w:rsidRPr="007D0AA8" w14:paraId="1D22220B" w14:textId="77777777" w:rsidTr="001A2B6F">
        <w:trPr>
          <w:jc w:val="center"/>
        </w:trPr>
        <w:tc>
          <w:tcPr>
            <w:tcW w:w="1461" w:type="dxa"/>
            <w:tcBorders>
              <w:top w:val="nil"/>
              <w:left w:val="single" w:sz="4" w:space="0" w:color="auto"/>
              <w:bottom w:val="nil"/>
              <w:right w:val="single" w:sz="4" w:space="0" w:color="auto"/>
            </w:tcBorders>
          </w:tcPr>
          <w:p w14:paraId="13A11B3F" w14:textId="77777777" w:rsidR="00D42D26" w:rsidRPr="007D0AA8" w:rsidRDefault="00D42D26" w:rsidP="001A2B6F">
            <w:pPr>
              <w:spacing w:after="0" w:line="240" w:lineRule="auto"/>
              <w:rPr>
                <w:rFonts w:ascii="Arial Narrow" w:hAnsi="Arial Narrow" w:cs="Calibri"/>
                <w:color w:val="000000"/>
                <w:sz w:val="20"/>
                <w:szCs w:val="20"/>
              </w:rPr>
            </w:pPr>
          </w:p>
        </w:tc>
        <w:tc>
          <w:tcPr>
            <w:tcW w:w="2976" w:type="dxa"/>
            <w:tcBorders>
              <w:left w:val="single" w:sz="4" w:space="0" w:color="auto"/>
              <w:right w:val="single" w:sz="4" w:space="0" w:color="auto"/>
            </w:tcBorders>
            <w:shd w:val="clear" w:color="auto" w:fill="auto"/>
          </w:tcPr>
          <w:p w14:paraId="269F0439" w14:textId="77777777" w:rsidR="00D42D26" w:rsidRPr="007D0AA8" w:rsidRDefault="00D42D26" w:rsidP="00331FB9">
            <w:pPr>
              <w:pStyle w:val="ListParagraph"/>
              <w:numPr>
                <w:ilvl w:val="0"/>
                <w:numId w:val="16"/>
              </w:numPr>
              <w:spacing w:after="0" w:line="240" w:lineRule="auto"/>
              <w:ind w:left="134" w:hanging="161"/>
              <w:rPr>
                <w:rFonts w:ascii="Arial Narrow" w:hAnsi="Arial Narrow" w:cs="Arial"/>
                <w:sz w:val="20"/>
                <w:szCs w:val="20"/>
                <w:lang w:val="en-GB" w:eastAsia="en-GB"/>
              </w:rPr>
            </w:pPr>
            <w:r w:rsidRPr="007D0AA8">
              <w:rPr>
                <w:rFonts w:ascii="Arial Narrow" w:hAnsi="Arial Narrow" w:cs="Arial"/>
                <w:sz w:val="20"/>
                <w:szCs w:val="20"/>
                <w:lang w:val="en-GB" w:eastAsia="en-GB"/>
              </w:rPr>
              <w:t>Nail infection</w:t>
            </w:r>
          </w:p>
        </w:tc>
        <w:tc>
          <w:tcPr>
            <w:tcW w:w="2504" w:type="dxa"/>
            <w:tcBorders>
              <w:left w:val="single" w:sz="4" w:space="0" w:color="auto"/>
            </w:tcBorders>
            <w:shd w:val="clear" w:color="auto" w:fill="auto"/>
            <w:noWrap/>
          </w:tcPr>
          <w:p w14:paraId="3D71CB5C" w14:textId="77777777" w:rsidR="00D42D26" w:rsidRPr="007D0AA8" w:rsidRDefault="00D42D26" w:rsidP="001A2B6F">
            <w:pPr>
              <w:spacing w:after="0" w:line="240" w:lineRule="auto"/>
              <w:jc w:val="right"/>
              <w:rPr>
                <w:rFonts w:ascii="Arial Narrow" w:hAnsi="Arial Narrow" w:cs="Arial"/>
                <w:bCs/>
                <w:sz w:val="20"/>
                <w:szCs w:val="18"/>
                <w:lang w:val="en-GB" w:eastAsia="en-GB"/>
              </w:rPr>
            </w:pPr>
            <w:r w:rsidRPr="007D0AA8">
              <w:rPr>
                <w:rFonts w:ascii="Arial Narrow" w:hAnsi="Arial Narrow" w:cs="Arial"/>
                <w:bCs/>
                <w:sz w:val="20"/>
                <w:szCs w:val="18"/>
                <w:lang w:val="en-GB" w:eastAsia="en-GB"/>
              </w:rPr>
              <w:t>0</w:t>
            </w:r>
          </w:p>
        </w:tc>
        <w:tc>
          <w:tcPr>
            <w:tcW w:w="2075" w:type="dxa"/>
            <w:tcBorders>
              <w:top w:val="nil"/>
              <w:left w:val="nil"/>
              <w:bottom w:val="nil"/>
              <w:right w:val="single" w:sz="4" w:space="0" w:color="auto"/>
            </w:tcBorders>
          </w:tcPr>
          <w:p w14:paraId="51935B4B" w14:textId="77777777" w:rsidR="00D42D26" w:rsidRPr="007D0AA8" w:rsidRDefault="00D42D26" w:rsidP="001A2B6F">
            <w:pPr>
              <w:spacing w:after="0" w:line="240" w:lineRule="auto"/>
              <w:jc w:val="right"/>
              <w:rPr>
                <w:rFonts w:ascii="Arial Narrow" w:hAnsi="Arial Narrow"/>
                <w:sz w:val="20"/>
                <w:szCs w:val="20"/>
              </w:rPr>
            </w:pPr>
            <w:r w:rsidRPr="007D0AA8">
              <w:rPr>
                <w:rFonts w:ascii="Arial Narrow" w:hAnsi="Arial Narrow" w:cs="Arial"/>
                <w:bCs/>
                <w:sz w:val="20"/>
                <w:szCs w:val="18"/>
                <w:lang w:val="en-GB" w:eastAsia="en-GB"/>
              </w:rPr>
              <w:t>1</w:t>
            </w:r>
          </w:p>
        </w:tc>
      </w:tr>
      <w:tr w:rsidR="00D42D26" w:rsidRPr="007D0AA8" w14:paraId="1D534DE4" w14:textId="77777777" w:rsidTr="001A2B6F">
        <w:trPr>
          <w:jc w:val="center"/>
        </w:trPr>
        <w:tc>
          <w:tcPr>
            <w:tcW w:w="1461" w:type="dxa"/>
            <w:tcBorders>
              <w:top w:val="nil"/>
              <w:left w:val="single" w:sz="4" w:space="0" w:color="auto"/>
              <w:bottom w:val="nil"/>
              <w:right w:val="single" w:sz="4" w:space="0" w:color="auto"/>
            </w:tcBorders>
          </w:tcPr>
          <w:p w14:paraId="4180B2A6" w14:textId="77777777" w:rsidR="00D42D26" w:rsidRPr="007D0AA8" w:rsidRDefault="00D42D26" w:rsidP="001A2B6F">
            <w:pPr>
              <w:spacing w:after="0" w:line="240" w:lineRule="auto"/>
              <w:rPr>
                <w:rFonts w:ascii="Arial Narrow" w:hAnsi="Arial Narrow" w:cs="Calibri"/>
                <w:color w:val="000000"/>
                <w:sz w:val="20"/>
                <w:szCs w:val="20"/>
              </w:rPr>
            </w:pPr>
          </w:p>
        </w:tc>
        <w:tc>
          <w:tcPr>
            <w:tcW w:w="2976" w:type="dxa"/>
            <w:tcBorders>
              <w:left w:val="single" w:sz="4" w:space="0" w:color="auto"/>
              <w:right w:val="single" w:sz="4" w:space="0" w:color="auto"/>
            </w:tcBorders>
            <w:shd w:val="clear" w:color="auto" w:fill="auto"/>
          </w:tcPr>
          <w:p w14:paraId="01525C0E" w14:textId="77777777" w:rsidR="00D42D26" w:rsidRPr="007D0AA8" w:rsidRDefault="00D42D26" w:rsidP="00331FB9">
            <w:pPr>
              <w:pStyle w:val="ListParagraph"/>
              <w:numPr>
                <w:ilvl w:val="0"/>
                <w:numId w:val="16"/>
              </w:numPr>
              <w:spacing w:after="0" w:line="240" w:lineRule="auto"/>
              <w:ind w:left="134" w:hanging="161"/>
              <w:rPr>
                <w:rFonts w:ascii="Arial Narrow" w:hAnsi="Arial Narrow" w:cs="Arial"/>
                <w:sz w:val="20"/>
                <w:szCs w:val="20"/>
                <w:lang w:val="en-GB" w:eastAsia="en-GB"/>
              </w:rPr>
            </w:pPr>
            <w:r w:rsidRPr="007D0AA8">
              <w:rPr>
                <w:rFonts w:ascii="Arial Narrow" w:hAnsi="Arial Narrow" w:cs="Arial"/>
                <w:sz w:val="20"/>
                <w:szCs w:val="20"/>
                <w:lang w:val="en-GB" w:eastAsia="en-GB"/>
              </w:rPr>
              <w:t>Flu-like infection and dermal infection (</w:t>
            </w:r>
            <w:r w:rsidRPr="007D0AA8">
              <w:rPr>
                <w:rFonts w:ascii="Arial Narrow" w:hAnsi="Arial Narrow" w:cs="Arial"/>
                <w:i/>
                <w:sz w:val="20"/>
                <w:szCs w:val="20"/>
                <w:lang w:val="en-GB" w:eastAsia="en-GB"/>
              </w:rPr>
              <w:t>staphylococcus aureus</w:t>
            </w:r>
            <w:r w:rsidRPr="007D0AA8">
              <w:rPr>
                <w:rFonts w:ascii="Arial Narrow" w:hAnsi="Arial Narrow" w:cs="Arial"/>
                <w:sz w:val="20"/>
                <w:szCs w:val="20"/>
                <w:lang w:val="en-GB" w:eastAsia="en-GB"/>
              </w:rPr>
              <w:t>)</w:t>
            </w:r>
          </w:p>
        </w:tc>
        <w:tc>
          <w:tcPr>
            <w:tcW w:w="2504" w:type="dxa"/>
            <w:tcBorders>
              <w:left w:val="single" w:sz="4" w:space="0" w:color="auto"/>
            </w:tcBorders>
            <w:shd w:val="clear" w:color="auto" w:fill="auto"/>
            <w:noWrap/>
          </w:tcPr>
          <w:p w14:paraId="4FA23F14" w14:textId="77777777" w:rsidR="00D42D26" w:rsidRPr="007D0AA8" w:rsidRDefault="00D42D26" w:rsidP="001A2B6F">
            <w:pPr>
              <w:spacing w:after="0" w:line="240" w:lineRule="auto"/>
              <w:jc w:val="right"/>
              <w:rPr>
                <w:rFonts w:ascii="Arial Narrow" w:hAnsi="Arial Narrow" w:cs="Arial"/>
                <w:bCs/>
                <w:sz w:val="20"/>
                <w:szCs w:val="18"/>
                <w:lang w:val="en-GB" w:eastAsia="en-GB"/>
              </w:rPr>
            </w:pPr>
            <w:r w:rsidRPr="007D0AA8">
              <w:rPr>
                <w:rFonts w:ascii="Arial Narrow" w:hAnsi="Arial Narrow" w:cs="Arial"/>
                <w:bCs/>
                <w:sz w:val="20"/>
                <w:szCs w:val="18"/>
                <w:lang w:val="en-GB" w:eastAsia="en-GB"/>
              </w:rPr>
              <w:t>0</w:t>
            </w:r>
          </w:p>
        </w:tc>
        <w:tc>
          <w:tcPr>
            <w:tcW w:w="2075" w:type="dxa"/>
            <w:tcBorders>
              <w:top w:val="nil"/>
              <w:left w:val="nil"/>
              <w:bottom w:val="nil"/>
              <w:right w:val="single" w:sz="4" w:space="0" w:color="auto"/>
            </w:tcBorders>
          </w:tcPr>
          <w:p w14:paraId="1E5AD2BD" w14:textId="77777777" w:rsidR="00D42D26" w:rsidRPr="007D0AA8" w:rsidRDefault="00D42D26" w:rsidP="001A2B6F">
            <w:pPr>
              <w:spacing w:after="0" w:line="240" w:lineRule="auto"/>
              <w:jc w:val="right"/>
              <w:rPr>
                <w:rFonts w:ascii="Arial Narrow" w:hAnsi="Arial Narrow"/>
                <w:sz w:val="20"/>
                <w:szCs w:val="20"/>
              </w:rPr>
            </w:pPr>
            <w:r w:rsidRPr="007D0AA8">
              <w:rPr>
                <w:rFonts w:ascii="Arial Narrow" w:hAnsi="Arial Narrow" w:cs="Arial"/>
                <w:bCs/>
                <w:sz w:val="20"/>
                <w:szCs w:val="18"/>
                <w:lang w:val="en-GB" w:eastAsia="en-GB"/>
              </w:rPr>
              <w:t>1</w:t>
            </w:r>
          </w:p>
        </w:tc>
      </w:tr>
      <w:tr w:rsidR="005724E8" w:rsidRPr="007D0AA8" w14:paraId="5FC325FE" w14:textId="77777777" w:rsidTr="00652551">
        <w:trPr>
          <w:jc w:val="center"/>
        </w:trPr>
        <w:tc>
          <w:tcPr>
            <w:tcW w:w="1461" w:type="dxa"/>
            <w:tcBorders>
              <w:top w:val="nil"/>
              <w:left w:val="single" w:sz="4" w:space="0" w:color="auto"/>
              <w:bottom w:val="nil"/>
              <w:right w:val="single" w:sz="4" w:space="0" w:color="auto"/>
            </w:tcBorders>
          </w:tcPr>
          <w:p w14:paraId="1AD10C2F" w14:textId="77777777" w:rsidR="005724E8" w:rsidRPr="007D0AA8" w:rsidRDefault="005724E8" w:rsidP="00652551">
            <w:pPr>
              <w:spacing w:after="0" w:line="240" w:lineRule="auto"/>
              <w:rPr>
                <w:rFonts w:ascii="Arial Narrow" w:hAnsi="Arial Narrow" w:cs="Calibri"/>
                <w:i/>
                <w:color w:val="000000"/>
                <w:sz w:val="20"/>
                <w:szCs w:val="20"/>
              </w:rPr>
            </w:pPr>
          </w:p>
        </w:tc>
        <w:tc>
          <w:tcPr>
            <w:tcW w:w="2976" w:type="dxa"/>
            <w:tcBorders>
              <w:left w:val="single" w:sz="4" w:space="0" w:color="auto"/>
              <w:right w:val="single" w:sz="4" w:space="0" w:color="auto"/>
            </w:tcBorders>
            <w:shd w:val="clear" w:color="auto" w:fill="auto"/>
          </w:tcPr>
          <w:p w14:paraId="60CD3154" w14:textId="5C9576FC" w:rsidR="005724E8" w:rsidRPr="007D0AA8" w:rsidRDefault="005724E8" w:rsidP="00652551">
            <w:pPr>
              <w:spacing w:after="0" w:line="240" w:lineRule="auto"/>
              <w:ind w:left="-27"/>
              <w:rPr>
                <w:rFonts w:ascii="Arial Narrow" w:hAnsi="Arial Narrow" w:cs="Arial"/>
                <w:i/>
                <w:sz w:val="20"/>
                <w:szCs w:val="20"/>
                <w:lang w:val="en-GB" w:eastAsia="en-GB"/>
              </w:rPr>
            </w:pPr>
            <w:r>
              <w:rPr>
                <w:rFonts w:ascii="Arial Narrow" w:hAnsi="Arial Narrow" w:cs="Arial"/>
                <w:i/>
                <w:sz w:val="20"/>
                <w:szCs w:val="20"/>
                <w:lang w:val="en-GB" w:eastAsia="en-GB"/>
              </w:rPr>
              <w:t>Infections other than LRTIs</w:t>
            </w:r>
          </w:p>
        </w:tc>
        <w:tc>
          <w:tcPr>
            <w:tcW w:w="2504" w:type="dxa"/>
            <w:tcBorders>
              <w:left w:val="single" w:sz="4" w:space="0" w:color="auto"/>
            </w:tcBorders>
            <w:shd w:val="clear" w:color="auto" w:fill="auto"/>
            <w:noWrap/>
          </w:tcPr>
          <w:p w14:paraId="3AEA3D94" w14:textId="141236AC" w:rsidR="005724E8" w:rsidRPr="007D0AA8" w:rsidRDefault="005724E8" w:rsidP="00652551">
            <w:pPr>
              <w:spacing w:after="0" w:line="240" w:lineRule="auto"/>
              <w:jc w:val="right"/>
              <w:rPr>
                <w:rFonts w:ascii="Arial Narrow" w:hAnsi="Arial Narrow" w:cs="Arial"/>
                <w:bCs/>
                <w:i/>
                <w:sz w:val="20"/>
                <w:szCs w:val="18"/>
                <w:lang w:val="en-GB" w:eastAsia="en-GB"/>
              </w:rPr>
            </w:pPr>
            <w:r>
              <w:rPr>
                <w:rFonts w:ascii="Arial Narrow" w:hAnsi="Arial Narrow" w:cs="Arial"/>
                <w:bCs/>
                <w:i/>
                <w:sz w:val="20"/>
                <w:szCs w:val="18"/>
                <w:lang w:val="en-GB" w:eastAsia="en-GB"/>
              </w:rPr>
              <w:t>13</w:t>
            </w:r>
          </w:p>
        </w:tc>
        <w:tc>
          <w:tcPr>
            <w:tcW w:w="2075" w:type="dxa"/>
            <w:tcBorders>
              <w:top w:val="nil"/>
              <w:left w:val="nil"/>
              <w:bottom w:val="nil"/>
              <w:right w:val="single" w:sz="4" w:space="0" w:color="auto"/>
            </w:tcBorders>
          </w:tcPr>
          <w:p w14:paraId="47493D58" w14:textId="19C83183" w:rsidR="005724E8" w:rsidRPr="007D0AA8" w:rsidRDefault="005724E8" w:rsidP="00652551">
            <w:pPr>
              <w:spacing w:after="0" w:line="240" w:lineRule="auto"/>
              <w:jc w:val="right"/>
              <w:rPr>
                <w:rFonts w:ascii="Arial Narrow" w:hAnsi="Arial Narrow" w:cs="Arial"/>
                <w:bCs/>
                <w:i/>
                <w:sz w:val="20"/>
                <w:szCs w:val="18"/>
                <w:lang w:val="en-GB" w:eastAsia="en-GB"/>
              </w:rPr>
            </w:pPr>
            <w:r>
              <w:rPr>
                <w:rFonts w:ascii="Arial Narrow" w:hAnsi="Arial Narrow" w:cs="Arial"/>
                <w:bCs/>
                <w:i/>
                <w:sz w:val="20"/>
                <w:szCs w:val="18"/>
                <w:lang w:val="en-GB" w:eastAsia="en-GB"/>
              </w:rPr>
              <w:t>2</w:t>
            </w:r>
          </w:p>
        </w:tc>
      </w:tr>
      <w:tr w:rsidR="00D42D26" w:rsidRPr="007D0AA8" w14:paraId="112AC1F5" w14:textId="77777777" w:rsidTr="001A2B6F">
        <w:trPr>
          <w:jc w:val="center"/>
        </w:trPr>
        <w:tc>
          <w:tcPr>
            <w:tcW w:w="1461" w:type="dxa"/>
            <w:tcBorders>
              <w:top w:val="nil"/>
              <w:left w:val="single" w:sz="4" w:space="0" w:color="auto"/>
              <w:bottom w:val="nil"/>
              <w:right w:val="single" w:sz="4" w:space="0" w:color="auto"/>
            </w:tcBorders>
          </w:tcPr>
          <w:p w14:paraId="1FDFE445" w14:textId="77777777" w:rsidR="00D42D26" w:rsidRPr="007D0AA8" w:rsidRDefault="00D42D26" w:rsidP="001A2B6F">
            <w:pPr>
              <w:spacing w:after="0" w:line="240" w:lineRule="auto"/>
              <w:rPr>
                <w:rFonts w:ascii="Arial Narrow" w:hAnsi="Arial Narrow" w:cs="Calibri"/>
                <w:i/>
                <w:color w:val="000000"/>
                <w:sz w:val="20"/>
                <w:szCs w:val="20"/>
              </w:rPr>
            </w:pPr>
          </w:p>
        </w:tc>
        <w:tc>
          <w:tcPr>
            <w:tcW w:w="2976" w:type="dxa"/>
            <w:tcBorders>
              <w:left w:val="single" w:sz="4" w:space="0" w:color="auto"/>
              <w:right w:val="single" w:sz="4" w:space="0" w:color="auto"/>
            </w:tcBorders>
            <w:shd w:val="clear" w:color="auto" w:fill="auto"/>
          </w:tcPr>
          <w:p w14:paraId="6B44E6A2" w14:textId="77777777" w:rsidR="00D42D26" w:rsidRPr="007D0AA8" w:rsidRDefault="00D42D26" w:rsidP="001A2B6F">
            <w:pPr>
              <w:spacing w:after="0" w:line="240" w:lineRule="auto"/>
              <w:ind w:left="-27"/>
              <w:rPr>
                <w:rFonts w:ascii="Arial Narrow" w:hAnsi="Arial Narrow" w:cs="Arial"/>
                <w:i/>
                <w:sz w:val="20"/>
                <w:szCs w:val="20"/>
                <w:lang w:val="en-GB" w:eastAsia="en-GB"/>
              </w:rPr>
            </w:pPr>
            <w:r w:rsidRPr="007D0AA8">
              <w:rPr>
                <w:rFonts w:ascii="Arial Narrow" w:hAnsi="Arial Narrow" w:cs="Arial"/>
                <w:i/>
                <w:sz w:val="20"/>
                <w:szCs w:val="20"/>
                <w:lang w:val="en-GB" w:eastAsia="en-GB"/>
              </w:rPr>
              <w:t>Total infections</w:t>
            </w:r>
          </w:p>
        </w:tc>
        <w:tc>
          <w:tcPr>
            <w:tcW w:w="2504" w:type="dxa"/>
            <w:tcBorders>
              <w:left w:val="single" w:sz="4" w:space="0" w:color="auto"/>
            </w:tcBorders>
            <w:shd w:val="clear" w:color="auto" w:fill="auto"/>
            <w:noWrap/>
          </w:tcPr>
          <w:p w14:paraId="4D50BE33" w14:textId="77777777" w:rsidR="00D42D26" w:rsidRPr="007D0AA8" w:rsidRDefault="00D42D26" w:rsidP="001A2B6F">
            <w:pPr>
              <w:spacing w:after="0" w:line="240" w:lineRule="auto"/>
              <w:jc w:val="right"/>
              <w:rPr>
                <w:rFonts w:ascii="Arial Narrow" w:hAnsi="Arial Narrow" w:cs="Arial"/>
                <w:bCs/>
                <w:i/>
                <w:sz w:val="20"/>
                <w:szCs w:val="18"/>
                <w:lang w:val="en-GB" w:eastAsia="en-GB"/>
              </w:rPr>
            </w:pPr>
            <w:r w:rsidRPr="007D0AA8">
              <w:rPr>
                <w:rFonts w:ascii="Arial Narrow" w:hAnsi="Arial Narrow" w:cs="Arial"/>
                <w:bCs/>
                <w:i/>
                <w:sz w:val="20"/>
                <w:szCs w:val="18"/>
                <w:lang w:val="en-GB" w:eastAsia="en-GB"/>
              </w:rPr>
              <w:t>28</w:t>
            </w:r>
          </w:p>
        </w:tc>
        <w:tc>
          <w:tcPr>
            <w:tcW w:w="2075" w:type="dxa"/>
            <w:tcBorders>
              <w:top w:val="nil"/>
              <w:left w:val="nil"/>
              <w:bottom w:val="nil"/>
              <w:right w:val="single" w:sz="4" w:space="0" w:color="auto"/>
            </w:tcBorders>
          </w:tcPr>
          <w:p w14:paraId="2D9D935A" w14:textId="77777777" w:rsidR="00D42D26" w:rsidRPr="007D0AA8" w:rsidRDefault="00D42D26" w:rsidP="001A2B6F">
            <w:pPr>
              <w:spacing w:after="0" w:line="240" w:lineRule="auto"/>
              <w:jc w:val="right"/>
              <w:rPr>
                <w:rFonts w:ascii="Arial Narrow" w:hAnsi="Arial Narrow" w:cs="Arial"/>
                <w:bCs/>
                <w:i/>
                <w:sz w:val="20"/>
                <w:szCs w:val="18"/>
                <w:lang w:val="en-GB" w:eastAsia="en-GB"/>
              </w:rPr>
            </w:pPr>
            <w:r w:rsidRPr="007D0AA8">
              <w:rPr>
                <w:rFonts w:ascii="Arial Narrow" w:hAnsi="Arial Narrow" w:cs="Arial"/>
                <w:bCs/>
                <w:i/>
                <w:sz w:val="20"/>
                <w:szCs w:val="18"/>
                <w:lang w:val="en-GB" w:eastAsia="en-GB"/>
              </w:rPr>
              <w:t>6</w:t>
            </w:r>
          </w:p>
        </w:tc>
      </w:tr>
      <w:tr w:rsidR="00D42D26" w:rsidRPr="007D0AA8" w14:paraId="70CD7477" w14:textId="77777777" w:rsidTr="001A2B6F">
        <w:trPr>
          <w:jc w:val="center"/>
        </w:trPr>
        <w:tc>
          <w:tcPr>
            <w:tcW w:w="1461" w:type="dxa"/>
            <w:tcBorders>
              <w:top w:val="nil"/>
              <w:left w:val="single" w:sz="4" w:space="0" w:color="auto"/>
              <w:bottom w:val="nil"/>
              <w:right w:val="single" w:sz="4" w:space="0" w:color="auto"/>
            </w:tcBorders>
          </w:tcPr>
          <w:p w14:paraId="305F9AD0" w14:textId="77777777" w:rsidR="00D42D26" w:rsidRPr="007D0AA8" w:rsidRDefault="00D42D26" w:rsidP="001A2B6F">
            <w:pPr>
              <w:spacing w:after="0" w:line="240" w:lineRule="auto"/>
              <w:rPr>
                <w:rFonts w:ascii="Arial Narrow" w:hAnsi="Arial Narrow" w:cs="Calibri"/>
                <w:i/>
                <w:color w:val="000000"/>
                <w:sz w:val="20"/>
                <w:szCs w:val="20"/>
              </w:rPr>
            </w:pPr>
          </w:p>
        </w:tc>
        <w:tc>
          <w:tcPr>
            <w:tcW w:w="2976" w:type="dxa"/>
            <w:tcBorders>
              <w:left w:val="single" w:sz="4" w:space="0" w:color="auto"/>
              <w:right w:val="single" w:sz="4" w:space="0" w:color="auto"/>
            </w:tcBorders>
            <w:shd w:val="clear" w:color="auto" w:fill="auto"/>
          </w:tcPr>
          <w:p w14:paraId="5EC2E9FD" w14:textId="77777777" w:rsidR="00D42D26" w:rsidRPr="007D0AA8" w:rsidRDefault="00D42D26" w:rsidP="001A2B6F">
            <w:pPr>
              <w:spacing w:after="0" w:line="240" w:lineRule="auto"/>
              <w:ind w:left="-27"/>
              <w:rPr>
                <w:rFonts w:ascii="Arial Narrow" w:hAnsi="Arial Narrow" w:cs="Arial"/>
                <w:i/>
                <w:sz w:val="20"/>
                <w:szCs w:val="20"/>
                <w:lang w:val="en-GB" w:eastAsia="en-GB"/>
              </w:rPr>
            </w:pPr>
            <w:r w:rsidRPr="007D0AA8">
              <w:rPr>
                <w:rFonts w:ascii="Arial Narrow" w:hAnsi="Arial Narrow" w:cs="Arial"/>
                <w:i/>
                <w:sz w:val="20"/>
                <w:szCs w:val="20"/>
                <w:lang w:val="en-GB" w:eastAsia="en-GB"/>
              </w:rPr>
              <w:t>Infections/patient/month</w:t>
            </w:r>
          </w:p>
        </w:tc>
        <w:tc>
          <w:tcPr>
            <w:tcW w:w="2504" w:type="dxa"/>
            <w:tcBorders>
              <w:top w:val="nil"/>
              <w:left w:val="nil"/>
              <w:bottom w:val="nil"/>
              <w:right w:val="nil"/>
            </w:tcBorders>
            <w:shd w:val="clear" w:color="auto" w:fill="auto"/>
            <w:noWrap/>
            <w:vAlign w:val="bottom"/>
          </w:tcPr>
          <w:p w14:paraId="7697733C" w14:textId="77777777" w:rsidR="00D42D26" w:rsidRPr="007D0AA8" w:rsidRDefault="00D42D26" w:rsidP="001A2B6F">
            <w:pPr>
              <w:spacing w:after="0" w:line="240" w:lineRule="auto"/>
              <w:jc w:val="right"/>
              <w:rPr>
                <w:rFonts w:ascii="Arial Narrow" w:hAnsi="Arial Narrow" w:cs="Arial"/>
                <w:bCs/>
                <w:i/>
                <w:sz w:val="20"/>
                <w:szCs w:val="18"/>
                <w:lang w:val="en-GB" w:eastAsia="en-GB"/>
              </w:rPr>
            </w:pPr>
            <w:r w:rsidRPr="007D0AA8">
              <w:rPr>
                <w:rFonts w:ascii="Arial Narrow" w:hAnsi="Arial Narrow" w:cs="Calibri"/>
                <w:i/>
                <w:color w:val="000000"/>
                <w:sz w:val="20"/>
              </w:rPr>
              <w:t>0.071</w:t>
            </w:r>
          </w:p>
        </w:tc>
        <w:tc>
          <w:tcPr>
            <w:tcW w:w="2075" w:type="dxa"/>
            <w:tcBorders>
              <w:top w:val="nil"/>
              <w:left w:val="nil"/>
              <w:bottom w:val="nil"/>
              <w:right w:val="single" w:sz="4" w:space="0" w:color="auto"/>
            </w:tcBorders>
            <w:shd w:val="clear" w:color="auto" w:fill="auto"/>
            <w:vAlign w:val="bottom"/>
          </w:tcPr>
          <w:p w14:paraId="2B2CCD51" w14:textId="77777777" w:rsidR="00D42D26" w:rsidRPr="007D0AA8" w:rsidRDefault="00D42D26" w:rsidP="001A2B6F">
            <w:pPr>
              <w:spacing w:after="0" w:line="240" w:lineRule="auto"/>
              <w:jc w:val="right"/>
              <w:rPr>
                <w:rFonts w:ascii="Arial Narrow" w:hAnsi="Arial Narrow" w:cs="Arial"/>
                <w:bCs/>
                <w:i/>
                <w:sz w:val="20"/>
                <w:szCs w:val="18"/>
                <w:lang w:val="en-GB" w:eastAsia="en-GB"/>
              </w:rPr>
            </w:pPr>
            <w:r w:rsidRPr="007D0AA8">
              <w:rPr>
                <w:rFonts w:ascii="Arial Narrow" w:hAnsi="Arial Narrow" w:cs="Calibri"/>
                <w:i/>
                <w:color w:val="000000"/>
                <w:sz w:val="20"/>
              </w:rPr>
              <w:t>0.016</w:t>
            </w:r>
          </w:p>
        </w:tc>
      </w:tr>
      <w:tr w:rsidR="00D42D26" w:rsidRPr="007D0AA8" w14:paraId="11A6BC9D" w14:textId="77777777" w:rsidTr="001A2B6F">
        <w:trPr>
          <w:jc w:val="center"/>
        </w:trPr>
        <w:tc>
          <w:tcPr>
            <w:tcW w:w="1461" w:type="dxa"/>
            <w:tcBorders>
              <w:top w:val="nil"/>
              <w:left w:val="single" w:sz="4" w:space="0" w:color="auto"/>
              <w:bottom w:val="nil"/>
              <w:right w:val="single" w:sz="4" w:space="0" w:color="auto"/>
            </w:tcBorders>
          </w:tcPr>
          <w:p w14:paraId="14F9E37B" w14:textId="77777777" w:rsidR="00D42D26" w:rsidRPr="007D0AA8" w:rsidRDefault="00D42D26" w:rsidP="001A2B6F">
            <w:pPr>
              <w:spacing w:after="0" w:line="240" w:lineRule="auto"/>
              <w:rPr>
                <w:rFonts w:ascii="Arial Narrow" w:hAnsi="Arial Narrow" w:cs="Calibri"/>
                <w:color w:val="000000"/>
                <w:sz w:val="20"/>
                <w:szCs w:val="20"/>
              </w:rPr>
            </w:pPr>
          </w:p>
        </w:tc>
        <w:tc>
          <w:tcPr>
            <w:tcW w:w="2976" w:type="dxa"/>
            <w:tcBorders>
              <w:left w:val="single" w:sz="4" w:space="0" w:color="auto"/>
              <w:right w:val="single" w:sz="4" w:space="0" w:color="auto"/>
            </w:tcBorders>
            <w:shd w:val="clear" w:color="auto" w:fill="auto"/>
          </w:tcPr>
          <w:p w14:paraId="5198AF0A" w14:textId="77777777" w:rsidR="00D42D26" w:rsidRPr="007D0AA8" w:rsidRDefault="00D42D26" w:rsidP="001A2B6F">
            <w:pPr>
              <w:spacing w:after="0" w:line="240" w:lineRule="auto"/>
              <w:rPr>
                <w:rFonts w:ascii="Arial Narrow" w:hAnsi="Arial Narrow" w:cs="Arial"/>
                <w:sz w:val="20"/>
                <w:szCs w:val="20"/>
                <w:lang w:val="en-GB" w:eastAsia="en-GB"/>
              </w:rPr>
            </w:pPr>
            <w:r w:rsidRPr="007D0AA8">
              <w:rPr>
                <w:rFonts w:ascii="Arial Narrow" w:hAnsi="Arial Narrow" w:cs="Arial"/>
                <w:sz w:val="20"/>
                <w:szCs w:val="20"/>
                <w:lang w:val="en-GB" w:eastAsia="en-GB"/>
              </w:rPr>
              <w:t>Patients with no events</w:t>
            </w:r>
          </w:p>
        </w:tc>
        <w:tc>
          <w:tcPr>
            <w:tcW w:w="2504" w:type="dxa"/>
            <w:tcBorders>
              <w:left w:val="single" w:sz="4" w:space="0" w:color="auto"/>
            </w:tcBorders>
            <w:shd w:val="clear" w:color="auto" w:fill="auto"/>
            <w:noWrap/>
          </w:tcPr>
          <w:p w14:paraId="697FE5CD" w14:textId="77777777" w:rsidR="00D42D26" w:rsidRPr="007D0AA8" w:rsidRDefault="00D42D26" w:rsidP="001A2B6F">
            <w:pPr>
              <w:spacing w:after="0" w:line="240" w:lineRule="auto"/>
              <w:jc w:val="right"/>
              <w:rPr>
                <w:rFonts w:ascii="Arial Narrow" w:hAnsi="Arial Narrow" w:cs="Arial"/>
                <w:bCs/>
                <w:sz w:val="20"/>
                <w:szCs w:val="18"/>
                <w:lang w:val="en-GB" w:eastAsia="en-GB"/>
              </w:rPr>
            </w:pPr>
            <w:r w:rsidRPr="007D0AA8">
              <w:rPr>
                <w:rFonts w:ascii="Arial Narrow" w:hAnsi="Arial Narrow" w:cs="Arial"/>
                <w:bCs/>
                <w:sz w:val="20"/>
                <w:szCs w:val="18"/>
                <w:lang w:val="en-GB" w:eastAsia="en-GB"/>
              </w:rPr>
              <w:t>7</w:t>
            </w:r>
          </w:p>
        </w:tc>
        <w:tc>
          <w:tcPr>
            <w:tcW w:w="2075" w:type="dxa"/>
            <w:tcBorders>
              <w:top w:val="nil"/>
              <w:left w:val="nil"/>
              <w:bottom w:val="nil"/>
              <w:right w:val="single" w:sz="4" w:space="0" w:color="auto"/>
            </w:tcBorders>
          </w:tcPr>
          <w:p w14:paraId="6A9FDB23" w14:textId="77777777" w:rsidR="00D42D26" w:rsidRPr="007D0AA8" w:rsidRDefault="00D42D26" w:rsidP="001A2B6F">
            <w:pPr>
              <w:spacing w:after="0" w:line="240" w:lineRule="auto"/>
              <w:jc w:val="right"/>
              <w:rPr>
                <w:rFonts w:ascii="Arial Narrow" w:hAnsi="Arial Narrow"/>
                <w:sz w:val="20"/>
                <w:szCs w:val="20"/>
              </w:rPr>
            </w:pPr>
            <w:r w:rsidRPr="007D0AA8">
              <w:rPr>
                <w:rFonts w:ascii="Arial Narrow" w:hAnsi="Arial Narrow" w:cs="Arial"/>
                <w:bCs/>
                <w:sz w:val="20"/>
                <w:szCs w:val="18"/>
                <w:lang w:val="en-GB" w:eastAsia="en-GB"/>
              </w:rPr>
              <w:t>27</w:t>
            </w:r>
          </w:p>
        </w:tc>
      </w:tr>
      <w:tr w:rsidR="00D42D26" w:rsidRPr="007D0AA8" w14:paraId="0074CC2E" w14:textId="77777777" w:rsidTr="001A2B6F">
        <w:trPr>
          <w:jc w:val="center"/>
        </w:trPr>
        <w:tc>
          <w:tcPr>
            <w:tcW w:w="1461" w:type="dxa"/>
            <w:tcBorders>
              <w:top w:val="nil"/>
              <w:left w:val="single" w:sz="4" w:space="0" w:color="auto"/>
              <w:bottom w:val="single" w:sz="4" w:space="0" w:color="auto"/>
              <w:right w:val="single" w:sz="4" w:space="0" w:color="auto"/>
            </w:tcBorders>
          </w:tcPr>
          <w:p w14:paraId="449E7FEB" w14:textId="77777777" w:rsidR="00D42D26" w:rsidRPr="007D0AA8" w:rsidRDefault="00D42D26" w:rsidP="001A2B6F">
            <w:pPr>
              <w:spacing w:after="0" w:line="240" w:lineRule="auto"/>
              <w:rPr>
                <w:rFonts w:ascii="Arial Narrow" w:hAnsi="Arial Narrow" w:cs="Calibri"/>
                <w:color w:val="000000"/>
                <w:sz w:val="20"/>
                <w:szCs w:val="20"/>
              </w:rPr>
            </w:pPr>
          </w:p>
        </w:tc>
        <w:tc>
          <w:tcPr>
            <w:tcW w:w="2976" w:type="dxa"/>
            <w:tcBorders>
              <w:left w:val="single" w:sz="4" w:space="0" w:color="auto"/>
              <w:bottom w:val="single" w:sz="4" w:space="0" w:color="auto"/>
              <w:right w:val="single" w:sz="4" w:space="0" w:color="auto"/>
            </w:tcBorders>
            <w:shd w:val="clear" w:color="auto" w:fill="auto"/>
          </w:tcPr>
          <w:p w14:paraId="0F9E2CA5" w14:textId="77777777" w:rsidR="00D42D26" w:rsidRPr="007D0AA8" w:rsidRDefault="00D42D26" w:rsidP="001A2B6F">
            <w:pPr>
              <w:spacing w:after="0" w:line="240" w:lineRule="auto"/>
              <w:rPr>
                <w:rFonts w:ascii="Arial Narrow" w:hAnsi="Arial Narrow" w:cs="Arial"/>
                <w:sz w:val="20"/>
                <w:szCs w:val="20"/>
                <w:lang w:val="en-GB" w:eastAsia="en-GB"/>
              </w:rPr>
            </w:pPr>
            <w:r w:rsidRPr="007D0AA8">
              <w:rPr>
                <w:rFonts w:ascii="Arial Narrow" w:hAnsi="Arial Narrow" w:cs="Arial"/>
                <w:sz w:val="20"/>
                <w:szCs w:val="20"/>
                <w:lang w:val="en-GB" w:eastAsia="en-GB"/>
              </w:rPr>
              <w:t>Infections incidence</w:t>
            </w:r>
          </w:p>
        </w:tc>
        <w:tc>
          <w:tcPr>
            <w:tcW w:w="2504" w:type="dxa"/>
            <w:tcBorders>
              <w:left w:val="single" w:sz="4" w:space="0" w:color="auto"/>
              <w:bottom w:val="single" w:sz="4" w:space="0" w:color="auto"/>
            </w:tcBorders>
            <w:shd w:val="clear" w:color="auto" w:fill="auto"/>
            <w:noWrap/>
          </w:tcPr>
          <w:p w14:paraId="42237A5A" w14:textId="77777777" w:rsidR="00D42D26" w:rsidRPr="007D0AA8" w:rsidRDefault="00D42D26" w:rsidP="001A2B6F">
            <w:pPr>
              <w:spacing w:after="0" w:line="240" w:lineRule="auto"/>
              <w:jc w:val="right"/>
              <w:rPr>
                <w:rFonts w:ascii="Arial Narrow" w:hAnsi="Arial Narrow" w:cs="Arial"/>
                <w:bCs/>
                <w:sz w:val="20"/>
                <w:szCs w:val="18"/>
                <w:lang w:val="en-GB" w:eastAsia="en-GB"/>
              </w:rPr>
            </w:pPr>
            <w:r w:rsidRPr="007D0AA8">
              <w:rPr>
                <w:rFonts w:ascii="Arial Narrow" w:hAnsi="Arial Narrow" w:cs="Arial"/>
                <w:sz w:val="20"/>
                <w:szCs w:val="20"/>
                <w:lang w:val="en-GB" w:eastAsia="en-GB"/>
              </w:rPr>
              <w:t xml:space="preserve">78.8% </w:t>
            </w:r>
          </w:p>
        </w:tc>
        <w:tc>
          <w:tcPr>
            <w:tcW w:w="2075" w:type="dxa"/>
            <w:tcBorders>
              <w:top w:val="nil"/>
              <w:left w:val="nil"/>
              <w:bottom w:val="single" w:sz="4" w:space="0" w:color="auto"/>
              <w:right w:val="single" w:sz="4" w:space="0" w:color="auto"/>
            </w:tcBorders>
          </w:tcPr>
          <w:p w14:paraId="6619A250" w14:textId="77777777" w:rsidR="00D42D26" w:rsidRPr="007D0AA8" w:rsidRDefault="00D42D26" w:rsidP="001A2B6F">
            <w:pPr>
              <w:spacing w:after="0" w:line="240" w:lineRule="auto"/>
              <w:jc w:val="right"/>
              <w:rPr>
                <w:rFonts w:ascii="Arial Narrow" w:hAnsi="Arial Narrow"/>
                <w:sz w:val="20"/>
                <w:szCs w:val="20"/>
              </w:rPr>
            </w:pPr>
            <w:r w:rsidRPr="007D0AA8">
              <w:rPr>
                <w:rFonts w:ascii="Arial Narrow" w:hAnsi="Arial Narrow" w:cs="Arial"/>
                <w:sz w:val="20"/>
                <w:szCs w:val="20"/>
                <w:lang w:val="en-GB" w:eastAsia="en-GB"/>
              </w:rPr>
              <w:t xml:space="preserve">18.2% </w:t>
            </w:r>
          </w:p>
        </w:tc>
      </w:tr>
    </w:tbl>
    <w:p w14:paraId="3EBBBE16" w14:textId="262F2842" w:rsidR="00D42D26" w:rsidRDefault="00876F28" w:rsidP="00D42D26">
      <w:pPr>
        <w:spacing w:after="0" w:line="240" w:lineRule="auto"/>
        <w:rPr>
          <w:rFonts w:asciiTheme="minorHAnsi" w:hAnsiTheme="minorHAnsi" w:cstheme="minorHAnsi"/>
        </w:rPr>
      </w:pPr>
      <w:r w:rsidRPr="00876F28">
        <w:rPr>
          <w:rFonts w:ascii="Arial Narrow" w:hAnsi="Arial Narrow"/>
          <w:sz w:val="20"/>
        </w:rPr>
        <w:t>*</w:t>
      </w:r>
      <w:r w:rsidR="00D42D26" w:rsidRPr="00876F28">
        <w:rPr>
          <w:rFonts w:ascii="Arial Narrow" w:hAnsi="Arial Narrow"/>
          <w:sz w:val="20"/>
        </w:rPr>
        <w:t xml:space="preserve">Notes:  </w:t>
      </w:r>
      <w:r w:rsidR="00D42D26" w:rsidRPr="00876F28">
        <w:rPr>
          <w:rFonts w:ascii="Arial Narrow" w:hAnsi="Arial Narrow"/>
          <w:sz w:val="20"/>
          <w:u w:val="single"/>
        </w:rPr>
        <w:t>Dimou et al., 2018</w:t>
      </w:r>
      <w:r w:rsidR="00D42D26" w:rsidRPr="00876F28">
        <w:rPr>
          <w:rFonts w:ascii="Arial Narrow" w:hAnsi="Arial Narrow"/>
          <w:sz w:val="20"/>
        </w:rPr>
        <w:t xml:space="preserve"> – the individual haematological malignancy totals do not add up to N=33. In 12 mo prior to SCIg, 13/33 patients were receiving IVIg; 18/33 were tx naïve. Patients switching from IVIg to SCIg (n=13) had a minimum 28 days washout period prior to SCIg commencement.  7 patients switching to SCIg had no history of infection but, as they were already receiving IVIg, it was assumed these individuals met the ESMO 2015 and BCSH 2012 guidelines criteria specified by the authors prior to IVIg commencement.</w:t>
      </w:r>
    </w:p>
    <w:p w14:paraId="62C42639" w14:textId="77777777" w:rsidR="00876F28" w:rsidRPr="007D0AA8" w:rsidRDefault="00876F28" w:rsidP="00D7461D"/>
    <w:p w14:paraId="3E14663F" w14:textId="1093A0C7" w:rsidR="000A68D7" w:rsidRPr="00386411" w:rsidRDefault="000A68D7" w:rsidP="000A68D7">
      <w:pPr>
        <w:pStyle w:val="Caption"/>
        <w:keepNext/>
        <w:rPr>
          <w:rFonts w:cs="Arial"/>
          <w:snapToGrid w:val="0"/>
          <w:szCs w:val="16"/>
          <w:lang w:eastAsia="en-US"/>
        </w:rPr>
      </w:pPr>
      <w:bookmarkStart w:id="785" w:name="_Ref9453302"/>
      <w:bookmarkStart w:id="786" w:name="_Toc14429631"/>
      <w:bookmarkStart w:id="787" w:name="_Toc16671689"/>
      <w:r w:rsidRPr="00386411">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91</w:t>
      </w:r>
      <w:r w:rsidRPr="00386411">
        <w:rPr>
          <w:noProof/>
        </w:rPr>
        <w:fldChar w:fldCharType="end"/>
      </w:r>
      <w:bookmarkEnd w:id="785"/>
      <w:r w:rsidRPr="00386411">
        <w:tab/>
      </w:r>
      <w:r>
        <w:rPr>
          <w:rFonts w:cs="Arial"/>
          <w:snapToGrid w:val="0"/>
          <w:szCs w:val="16"/>
          <w:lang w:eastAsia="en-US"/>
        </w:rPr>
        <w:t xml:space="preserve">IVIg+SCIg studies – </w:t>
      </w:r>
      <w:r w:rsidRPr="00386411">
        <w:rPr>
          <w:rFonts w:cs="Arial"/>
          <w:snapToGrid w:val="0"/>
          <w:szCs w:val="16"/>
          <w:lang w:eastAsia="en-US"/>
        </w:rPr>
        <w:t>infections outcomes as a single group</w:t>
      </w:r>
      <w:bookmarkEnd w:id="786"/>
      <w:bookmarkEnd w:id="787"/>
    </w:p>
    <w:tbl>
      <w:tblPr>
        <w:tblW w:w="5028" w:type="pct"/>
        <w:jc w:val="center"/>
        <w:tblLayout w:type="fixed"/>
        <w:tblLook w:val="04A0" w:firstRow="1" w:lastRow="0" w:firstColumn="1" w:lastColumn="0" w:noHBand="0" w:noVBand="1"/>
      </w:tblPr>
      <w:tblGrid>
        <w:gridCol w:w="1456"/>
        <w:gridCol w:w="2476"/>
        <w:gridCol w:w="1015"/>
        <w:gridCol w:w="1017"/>
        <w:gridCol w:w="1368"/>
        <w:gridCol w:w="812"/>
        <w:gridCol w:w="600"/>
        <w:gridCol w:w="550"/>
      </w:tblGrid>
      <w:tr w:rsidR="000A68D7" w:rsidRPr="00386411" w14:paraId="7EA9C7FB" w14:textId="77777777" w:rsidTr="00B52A4F">
        <w:trPr>
          <w:jc w:val="center"/>
        </w:trPr>
        <w:tc>
          <w:tcPr>
            <w:tcW w:w="78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A36684" w14:textId="77777777" w:rsidR="000A68D7" w:rsidRPr="00386411" w:rsidRDefault="000A68D7" w:rsidP="00876F28">
            <w:pPr>
              <w:keepNext/>
              <w:spacing w:after="0" w:line="240" w:lineRule="auto"/>
              <w:ind w:left="-57" w:right="-57"/>
              <w:rPr>
                <w:rFonts w:ascii="Arial Narrow" w:hAnsi="Arial Narrow" w:cs="Calibri"/>
                <w:b/>
                <w:color w:val="000000"/>
                <w:sz w:val="20"/>
                <w:szCs w:val="20"/>
              </w:rPr>
            </w:pPr>
            <w:r w:rsidRPr="00386411">
              <w:rPr>
                <w:rFonts w:ascii="Arial Narrow" w:hAnsi="Arial Narrow" w:cs="Calibri"/>
                <w:b/>
                <w:color w:val="000000"/>
                <w:sz w:val="20"/>
                <w:szCs w:val="20"/>
              </w:rPr>
              <w:t>Study, Indication</w:t>
            </w:r>
          </w:p>
        </w:tc>
        <w:tc>
          <w:tcPr>
            <w:tcW w:w="13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A09173" w14:textId="77777777" w:rsidR="000A68D7" w:rsidRPr="00386411" w:rsidRDefault="000A68D7" w:rsidP="00876F28">
            <w:pPr>
              <w:keepNext/>
              <w:spacing w:after="0" w:line="240" w:lineRule="auto"/>
              <w:rPr>
                <w:rFonts w:ascii="Arial Narrow" w:hAnsi="Arial Narrow"/>
                <w:b/>
                <w:sz w:val="20"/>
              </w:rPr>
            </w:pPr>
            <w:r w:rsidRPr="00386411">
              <w:rPr>
                <w:rFonts w:ascii="Arial Narrow" w:hAnsi="Arial Narrow"/>
                <w:b/>
                <w:sz w:val="20"/>
              </w:rPr>
              <w:t>Outcome</w:t>
            </w:r>
          </w:p>
        </w:tc>
        <w:tc>
          <w:tcPr>
            <w:tcW w:w="109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CF8A4CB" w14:textId="77777777" w:rsidR="000A68D7" w:rsidRPr="00386411" w:rsidRDefault="000A68D7" w:rsidP="00876F28">
            <w:pPr>
              <w:keepNext/>
              <w:spacing w:after="0" w:line="240" w:lineRule="auto"/>
              <w:jc w:val="center"/>
              <w:rPr>
                <w:rFonts w:ascii="Arial Narrow" w:hAnsi="Arial Narrow"/>
                <w:b/>
                <w:sz w:val="20"/>
              </w:rPr>
            </w:pPr>
            <w:r w:rsidRPr="00386411">
              <w:rPr>
                <w:rFonts w:ascii="Arial Narrow" w:hAnsi="Arial Narrow"/>
                <w:b/>
                <w:sz w:val="20"/>
                <w:szCs w:val="20"/>
              </w:rPr>
              <w:t>Comparator</w:t>
            </w:r>
          </w:p>
        </w:tc>
        <w:tc>
          <w:tcPr>
            <w:tcW w:w="117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9D6EC8B" w14:textId="77777777" w:rsidR="000A68D7" w:rsidRPr="00386411" w:rsidRDefault="000A68D7" w:rsidP="00876F28">
            <w:pPr>
              <w:keepNext/>
              <w:spacing w:after="0" w:line="240" w:lineRule="auto"/>
              <w:jc w:val="center"/>
              <w:rPr>
                <w:rFonts w:ascii="Arial Narrow" w:hAnsi="Arial Narrow"/>
                <w:b/>
                <w:sz w:val="20"/>
                <w:szCs w:val="20"/>
              </w:rPr>
            </w:pPr>
            <w:r w:rsidRPr="00386411">
              <w:rPr>
                <w:rFonts w:ascii="Arial Narrow" w:hAnsi="Arial Narrow"/>
                <w:b/>
                <w:sz w:val="20"/>
              </w:rPr>
              <w:t>Intervention</w:t>
            </w:r>
          </w:p>
        </w:tc>
        <w:tc>
          <w:tcPr>
            <w:tcW w:w="61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3D6071" w14:textId="0019D78B" w:rsidR="000A68D7" w:rsidRPr="00386411" w:rsidRDefault="00402B1A" w:rsidP="00876F28">
            <w:pPr>
              <w:keepNext/>
              <w:spacing w:after="0" w:line="240" w:lineRule="auto"/>
              <w:ind w:left="-57" w:right="-57"/>
              <w:jc w:val="center"/>
              <w:rPr>
                <w:rFonts w:ascii="Arial Narrow" w:hAnsi="Arial Narrow"/>
                <w:b/>
                <w:sz w:val="20"/>
                <w:szCs w:val="20"/>
              </w:rPr>
            </w:pPr>
            <w:r>
              <w:rPr>
                <w:rFonts w:ascii="Arial Narrow" w:hAnsi="Arial Narrow"/>
                <w:b/>
                <w:sz w:val="20"/>
                <w:szCs w:val="20"/>
              </w:rPr>
              <w:t>Comparison</w:t>
            </w:r>
          </w:p>
        </w:tc>
      </w:tr>
      <w:tr w:rsidR="000A68D7" w:rsidRPr="00386411" w14:paraId="5F561DFA" w14:textId="77777777" w:rsidTr="00B52A4F">
        <w:trPr>
          <w:jc w:val="center"/>
        </w:trPr>
        <w:tc>
          <w:tcPr>
            <w:tcW w:w="78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69EED4" w14:textId="77777777" w:rsidR="000A68D7" w:rsidRPr="00386411" w:rsidRDefault="000A68D7" w:rsidP="00876F28">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Benbrahim et al., 2019</w:t>
            </w:r>
          </w:p>
        </w:tc>
        <w:tc>
          <w:tcPr>
            <w:tcW w:w="13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FC2497" w14:textId="77777777" w:rsidR="000A68D7" w:rsidRPr="00386411" w:rsidRDefault="000A68D7" w:rsidP="00876F28">
            <w:pPr>
              <w:keepNext/>
              <w:spacing w:after="0" w:line="240" w:lineRule="auto"/>
              <w:rPr>
                <w:rFonts w:ascii="Arial Narrow" w:hAnsi="Arial Narrow"/>
                <w:b/>
                <w:sz w:val="20"/>
              </w:rPr>
            </w:pPr>
            <w:r w:rsidRPr="00386411">
              <w:rPr>
                <w:rFonts w:ascii="Arial Narrow" w:hAnsi="Arial Narrow"/>
                <w:b/>
                <w:sz w:val="20"/>
              </w:rPr>
              <w:t>Infectious episodes</w:t>
            </w:r>
          </w:p>
        </w:tc>
        <w:tc>
          <w:tcPr>
            <w:tcW w:w="109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8148C13" w14:textId="77777777" w:rsidR="000A68D7" w:rsidRPr="00386411" w:rsidRDefault="000A68D7" w:rsidP="00876F28">
            <w:pPr>
              <w:keepNext/>
              <w:spacing w:after="0" w:line="240" w:lineRule="auto"/>
              <w:jc w:val="right"/>
              <w:rPr>
                <w:rFonts w:ascii="Arial Narrow" w:hAnsi="Arial Narrow"/>
                <w:b/>
                <w:sz w:val="20"/>
              </w:rPr>
            </w:pPr>
            <w:r w:rsidRPr="00386411">
              <w:rPr>
                <w:rFonts w:ascii="Arial Narrow" w:hAnsi="Arial Narrow"/>
                <w:b/>
                <w:sz w:val="20"/>
              </w:rPr>
              <w:t>Baseline Total (N=160)</w:t>
            </w:r>
            <w:r w:rsidRPr="00386411">
              <w:rPr>
                <w:rFonts w:ascii="Arial Narrow" w:hAnsi="Arial Narrow"/>
                <w:b/>
                <w:sz w:val="20"/>
              </w:rPr>
              <w:br/>
              <w:t>(IVIg n=50, SCIg n=110)</w:t>
            </w:r>
          </w:p>
        </w:tc>
        <w:tc>
          <w:tcPr>
            <w:tcW w:w="117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74E78DC" w14:textId="77777777" w:rsidR="000A68D7" w:rsidRPr="00386411" w:rsidRDefault="000A68D7" w:rsidP="00876F28">
            <w:pPr>
              <w:keepNext/>
              <w:spacing w:after="0" w:line="240" w:lineRule="auto"/>
              <w:jc w:val="right"/>
              <w:rPr>
                <w:rFonts w:ascii="Arial Narrow" w:hAnsi="Arial Narrow"/>
                <w:b/>
                <w:sz w:val="20"/>
                <w:szCs w:val="20"/>
              </w:rPr>
            </w:pPr>
            <w:r w:rsidRPr="00386411">
              <w:rPr>
                <w:rFonts w:ascii="Arial Narrow" w:hAnsi="Arial Narrow"/>
                <w:b/>
                <w:sz w:val="20"/>
                <w:szCs w:val="20"/>
              </w:rPr>
              <w:t xml:space="preserve">Last visit </w:t>
            </w:r>
            <w:r w:rsidRPr="00386411">
              <w:rPr>
                <w:rFonts w:ascii="Arial Narrow" w:hAnsi="Arial Narrow"/>
                <w:b/>
                <w:sz w:val="20"/>
              </w:rPr>
              <w:t>(N=160)</w:t>
            </w:r>
            <w:r w:rsidRPr="00386411">
              <w:rPr>
                <w:rFonts w:ascii="Arial Narrow" w:hAnsi="Arial Narrow"/>
                <w:b/>
                <w:sz w:val="20"/>
              </w:rPr>
              <w:br/>
              <w:t>(IVIg n=50, SCIg n=110)</w:t>
            </w:r>
          </w:p>
        </w:tc>
        <w:tc>
          <w:tcPr>
            <w:tcW w:w="61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7F8675" w14:textId="77777777" w:rsidR="000A68D7" w:rsidRPr="00386411" w:rsidRDefault="000A68D7" w:rsidP="00876F28">
            <w:pPr>
              <w:keepNext/>
              <w:spacing w:after="0" w:line="240" w:lineRule="auto"/>
              <w:jc w:val="right"/>
              <w:rPr>
                <w:rFonts w:ascii="Arial Narrow" w:hAnsi="Arial Narrow"/>
                <w:b/>
                <w:sz w:val="20"/>
                <w:szCs w:val="20"/>
              </w:rPr>
            </w:pPr>
          </w:p>
        </w:tc>
      </w:tr>
      <w:tr w:rsidR="000A68D7" w:rsidRPr="007D0AA8" w14:paraId="06FABCF4" w14:textId="77777777" w:rsidTr="00B52A4F">
        <w:trPr>
          <w:jc w:val="center"/>
        </w:trPr>
        <w:tc>
          <w:tcPr>
            <w:tcW w:w="783" w:type="pct"/>
            <w:tcBorders>
              <w:top w:val="single" w:sz="4" w:space="0" w:color="auto"/>
              <w:left w:val="single" w:sz="4" w:space="0" w:color="auto"/>
              <w:bottom w:val="nil"/>
              <w:right w:val="single" w:sz="4" w:space="0" w:color="auto"/>
            </w:tcBorders>
          </w:tcPr>
          <w:p w14:paraId="05C8FA1B" w14:textId="77777777" w:rsidR="000A68D7" w:rsidRPr="00AB2E0B" w:rsidRDefault="000A68D7" w:rsidP="001A2B6F">
            <w:pPr>
              <w:spacing w:after="0" w:line="240" w:lineRule="auto"/>
              <w:ind w:left="-57" w:right="-113"/>
              <w:rPr>
                <w:rFonts w:ascii="Arial Narrow" w:hAnsi="Arial Narrow" w:cs="Calibri"/>
                <w:color w:val="000000"/>
                <w:sz w:val="20"/>
                <w:szCs w:val="20"/>
              </w:rPr>
            </w:pPr>
            <w:r w:rsidRPr="00AB2E0B">
              <w:rPr>
                <w:rFonts w:ascii="Arial Narrow" w:hAnsi="Arial Narrow"/>
                <w:sz w:val="20"/>
                <w:szCs w:val="20"/>
              </w:rPr>
              <w:t>MM(54), CLL(54), NHL(48), HL(4)</w:t>
            </w:r>
          </w:p>
        </w:tc>
        <w:tc>
          <w:tcPr>
            <w:tcW w:w="1332" w:type="pct"/>
            <w:tcBorders>
              <w:top w:val="single" w:sz="4" w:space="0" w:color="auto"/>
              <w:left w:val="single" w:sz="4" w:space="0" w:color="auto"/>
              <w:bottom w:val="single" w:sz="4" w:space="0" w:color="auto"/>
              <w:right w:val="single" w:sz="4" w:space="0" w:color="auto"/>
            </w:tcBorders>
          </w:tcPr>
          <w:p w14:paraId="0A2FA212" w14:textId="77777777" w:rsidR="000A68D7" w:rsidRPr="007D0AA8" w:rsidRDefault="000A68D7" w:rsidP="001A2B6F">
            <w:pPr>
              <w:spacing w:after="0" w:line="240" w:lineRule="auto"/>
              <w:rPr>
                <w:rFonts w:ascii="Arial Narrow" w:hAnsi="Arial Narrow"/>
                <w:sz w:val="20"/>
              </w:rPr>
            </w:pPr>
            <w:r w:rsidRPr="007D0AA8">
              <w:rPr>
                <w:rFonts w:ascii="Arial Narrow" w:hAnsi="Arial Narrow"/>
                <w:sz w:val="20"/>
              </w:rPr>
              <w:t>Patients with hypo-GG</w:t>
            </w:r>
          </w:p>
        </w:tc>
        <w:tc>
          <w:tcPr>
            <w:tcW w:w="1093" w:type="pct"/>
            <w:gridSpan w:val="2"/>
            <w:tcBorders>
              <w:top w:val="single" w:sz="4" w:space="0" w:color="auto"/>
              <w:left w:val="single" w:sz="4" w:space="0" w:color="auto"/>
              <w:bottom w:val="single" w:sz="4" w:space="0" w:color="auto"/>
              <w:right w:val="single" w:sz="4" w:space="0" w:color="auto"/>
            </w:tcBorders>
            <w:shd w:val="clear" w:color="auto" w:fill="auto"/>
            <w:noWrap/>
          </w:tcPr>
          <w:p w14:paraId="60695239" w14:textId="77777777" w:rsidR="000A68D7" w:rsidRPr="007D0AA8" w:rsidRDefault="000A68D7" w:rsidP="001A2B6F">
            <w:pPr>
              <w:spacing w:after="0" w:line="240" w:lineRule="auto"/>
              <w:jc w:val="right"/>
              <w:rPr>
                <w:rFonts w:ascii="Arial Narrow" w:hAnsi="Arial Narrow"/>
                <w:sz w:val="20"/>
              </w:rPr>
            </w:pPr>
            <w:r w:rsidRPr="007D0AA8">
              <w:rPr>
                <w:rFonts w:ascii="Arial Narrow" w:hAnsi="Arial Narrow"/>
                <w:sz w:val="20"/>
              </w:rPr>
              <w:t>69.2%</w:t>
            </w:r>
          </w:p>
        </w:tc>
        <w:tc>
          <w:tcPr>
            <w:tcW w:w="1173" w:type="pct"/>
            <w:gridSpan w:val="2"/>
            <w:tcBorders>
              <w:top w:val="single" w:sz="4" w:space="0" w:color="auto"/>
              <w:left w:val="single" w:sz="4" w:space="0" w:color="auto"/>
              <w:bottom w:val="single" w:sz="4" w:space="0" w:color="auto"/>
              <w:right w:val="single" w:sz="4" w:space="0" w:color="auto"/>
            </w:tcBorders>
            <w:shd w:val="clear" w:color="auto" w:fill="auto"/>
            <w:noWrap/>
          </w:tcPr>
          <w:p w14:paraId="43842BB3" w14:textId="77777777" w:rsidR="000A68D7" w:rsidRPr="007D0AA8" w:rsidRDefault="000A68D7" w:rsidP="001A2B6F">
            <w:pPr>
              <w:spacing w:after="0" w:line="240" w:lineRule="auto"/>
              <w:jc w:val="right"/>
              <w:rPr>
                <w:rFonts w:ascii="Arial Narrow" w:hAnsi="Arial Narrow"/>
                <w:sz w:val="20"/>
                <w:szCs w:val="20"/>
              </w:rPr>
            </w:pPr>
            <w:r w:rsidRPr="007D0AA8">
              <w:rPr>
                <w:rFonts w:ascii="Arial Narrow" w:hAnsi="Arial Narrow"/>
                <w:sz w:val="20"/>
              </w:rPr>
              <w:t>15.9%</w:t>
            </w:r>
          </w:p>
        </w:tc>
        <w:tc>
          <w:tcPr>
            <w:tcW w:w="619" w:type="pct"/>
            <w:gridSpan w:val="2"/>
            <w:tcBorders>
              <w:top w:val="single" w:sz="4" w:space="0" w:color="auto"/>
              <w:left w:val="single" w:sz="4" w:space="0" w:color="auto"/>
              <w:bottom w:val="single" w:sz="4" w:space="0" w:color="auto"/>
              <w:right w:val="single" w:sz="4" w:space="0" w:color="auto"/>
            </w:tcBorders>
          </w:tcPr>
          <w:p w14:paraId="408D4772" w14:textId="77777777" w:rsidR="000A68D7" w:rsidRPr="007D0AA8" w:rsidRDefault="000A68D7" w:rsidP="001A2B6F">
            <w:pPr>
              <w:spacing w:after="0" w:line="240" w:lineRule="auto"/>
              <w:jc w:val="right"/>
              <w:rPr>
                <w:rFonts w:ascii="Arial Narrow" w:hAnsi="Arial Narrow"/>
                <w:sz w:val="20"/>
                <w:szCs w:val="20"/>
              </w:rPr>
            </w:pPr>
            <w:r w:rsidRPr="007D0AA8">
              <w:rPr>
                <w:rFonts w:ascii="Arial Narrow" w:hAnsi="Arial Narrow"/>
                <w:sz w:val="20"/>
              </w:rPr>
              <w:t>p=0.14</w:t>
            </w:r>
          </w:p>
        </w:tc>
      </w:tr>
      <w:tr w:rsidR="000A68D7" w:rsidRPr="007D0AA8" w14:paraId="70540E27" w14:textId="77777777" w:rsidTr="00B52A4F">
        <w:trPr>
          <w:jc w:val="center"/>
        </w:trPr>
        <w:tc>
          <w:tcPr>
            <w:tcW w:w="783" w:type="pct"/>
            <w:tcBorders>
              <w:left w:val="single" w:sz="4" w:space="0" w:color="auto"/>
              <w:bottom w:val="nil"/>
              <w:right w:val="single" w:sz="4" w:space="0" w:color="auto"/>
            </w:tcBorders>
          </w:tcPr>
          <w:p w14:paraId="5C2F9CA1" w14:textId="77777777" w:rsidR="000A68D7" w:rsidRPr="007D0AA8" w:rsidRDefault="000A68D7" w:rsidP="001A2B6F">
            <w:pPr>
              <w:spacing w:after="0" w:line="240" w:lineRule="auto"/>
              <w:ind w:left="-57" w:right="-113"/>
              <w:rPr>
                <w:rFonts w:ascii="Arial Narrow" w:hAnsi="Arial Narrow"/>
                <w:sz w:val="18"/>
                <w:szCs w:val="20"/>
              </w:rPr>
            </w:pPr>
          </w:p>
        </w:tc>
        <w:tc>
          <w:tcPr>
            <w:tcW w:w="1332" w:type="pct"/>
            <w:tcBorders>
              <w:top w:val="single" w:sz="4" w:space="0" w:color="auto"/>
              <w:left w:val="single" w:sz="4" w:space="0" w:color="auto"/>
              <w:bottom w:val="single" w:sz="4" w:space="0" w:color="auto"/>
              <w:right w:val="single" w:sz="4" w:space="0" w:color="auto"/>
            </w:tcBorders>
          </w:tcPr>
          <w:p w14:paraId="2998AAF9" w14:textId="77777777" w:rsidR="000A68D7" w:rsidRPr="00AB2E0B" w:rsidRDefault="000A68D7" w:rsidP="001A2B6F">
            <w:pPr>
              <w:spacing w:after="0" w:line="240" w:lineRule="auto"/>
              <w:rPr>
                <w:rFonts w:ascii="Arial Narrow" w:hAnsi="Arial Narrow"/>
                <w:b/>
                <w:sz w:val="20"/>
              </w:rPr>
            </w:pPr>
            <w:r w:rsidRPr="00AB2E0B">
              <w:rPr>
                <w:rFonts w:ascii="Arial Narrow" w:hAnsi="Arial Narrow"/>
                <w:b/>
                <w:sz w:val="20"/>
                <w:szCs w:val="20"/>
              </w:rPr>
              <w:t>Incidence of infectious episodes /patient/year:</w:t>
            </w:r>
          </w:p>
        </w:tc>
        <w:tc>
          <w:tcPr>
            <w:tcW w:w="1093" w:type="pct"/>
            <w:gridSpan w:val="2"/>
            <w:tcBorders>
              <w:top w:val="single" w:sz="4" w:space="0" w:color="auto"/>
              <w:left w:val="single" w:sz="4" w:space="0" w:color="auto"/>
              <w:bottom w:val="single" w:sz="4" w:space="0" w:color="auto"/>
              <w:right w:val="single" w:sz="4" w:space="0" w:color="auto"/>
            </w:tcBorders>
            <w:shd w:val="clear" w:color="auto" w:fill="auto"/>
            <w:noWrap/>
          </w:tcPr>
          <w:p w14:paraId="60E3EE2B" w14:textId="77777777" w:rsidR="000A68D7" w:rsidRPr="00AB2E0B" w:rsidRDefault="000A68D7" w:rsidP="001A2B6F">
            <w:pPr>
              <w:spacing w:after="0" w:line="240" w:lineRule="auto"/>
              <w:jc w:val="right"/>
              <w:rPr>
                <w:rFonts w:ascii="Arial Narrow" w:hAnsi="Arial Narrow"/>
                <w:b/>
                <w:sz w:val="20"/>
              </w:rPr>
            </w:pPr>
            <w:r w:rsidRPr="00AB2E0B">
              <w:rPr>
                <w:rFonts w:ascii="Arial Narrow" w:hAnsi="Arial Narrow"/>
                <w:b/>
                <w:sz w:val="20"/>
                <w:szCs w:val="20"/>
              </w:rPr>
              <w:t>Prior to study</w:t>
            </w:r>
            <w:r w:rsidRPr="00AB2E0B">
              <w:rPr>
                <w:rFonts w:ascii="Arial Narrow" w:hAnsi="Arial Narrow"/>
                <w:b/>
                <w:sz w:val="20"/>
                <w:szCs w:val="20"/>
              </w:rPr>
              <w:br/>
              <w:t>(95% CI)</w:t>
            </w:r>
          </w:p>
        </w:tc>
        <w:tc>
          <w:tcPr>
            <w:tcW w:w="1173" w:type="pct"/>
            <w:gridSpan w:val="2"/>
            <w:tcBorders>
              <w:top w:val="single" w:sz="4" w:space="0" w:color="auto"/>
              <w:left w:val="single" w:sz="4" w:space="0" w:color="auto"/>
              <w:bottom w:val="single" w:sz="4" w:space="0" w:color="auto"/>
              <w:right w:val="single" w:sz="4" w:space="0" w:color="auto"/>
            </w:tcBorders>
            <w:shd w:val="clear" w:color="auto" w:fill="auto"/>
            <w:noWrap/>
          </w:tcPr>
          <w:p w14:paraId="2334CE0D" w14:textId="77777777" w:rsidR="000A68D7" w:rsidRPr="00AB2E0B" w:rsidRDefault="000A68D7" w:rsidP="001A2B6F">
            <w:pPr>
              <w:spacing w:after="0" w:line="240" w:lineRule="auto"/>
              <w:jc w:val="right"/>
              <w:rPr>
                <w:rFonts w:ascii="Arial Narrow" w:hAnsi="Arial Narrow"/>
                <w:b/>
                <w:sz w:val="20"/>
              </w:rPr>
            </w:pPr>
            <w:r w:rsidRPr="00AB2E0B">
              <w:rPr>
                <w:rFonts w:ascii="Arial Narrow" w:hAnsi="Arial Narrow"/>
                <w:b/>
                <w:sz w:val="20"/>
                <w:szCs w:val="20"/>
              </w:rPr>
              <w:t xml:space="preserve">During follow-up </w:t>
            </w:r>
            <w:r w:rsidRPr="00AB2E0B">
              <w:rPr>
                <w:rFonts w:ascii="Arial Narrow" w:hAnsi="Arial Narrow"/>
                <w:b/>
                <w:sz w:val="20"/>
                <w:szCs w:val="20"/>
              </w:rPr>
              <w:br/>
              <w:t>(95% CI)</w:t>
            </w:r>
          </w:p>
        </w:tc>
        <w:tc>
          <w:tcPr>
            <w:tcW w:w="619" w:type="pct"/>
            <w:gridSpan w:val="2"/>
            <w:tcBorders>
              <w:top w:val="single" w:sz="4" w:space="0" w:color="auto"/>
              <w:left w:val="single" w:sz="4" w:space="0" w:color="auto"/>
              <w:bottom w:val="single" w:sz="4" w:space="0" w:color="auto"/>
              <w:right w:val="single" w:sz="4" w:space="0" w:color="auto"/>
            </w:tcBorders>
          </w:tcPr>
          <w:p w14:paraId="3BD187D0" w14:textId="77777777" w:rsidR="000A68D7" w:rsidRPr="00AB2E0B" w:rsidRDefault="000A68D7" w:rsidP="001A2B6F">
            <w:pPr>
              <w:spacing w:after="0" w:line="240" w:lineRule="auto"/>
              <w:jc w:val="right"/>
              <w:rPr>
                <w:rFonts w:ascii="Arial Narrow" w:hAnsi="Arial Narrow"/>
                <w:b/>
                <w:sz w:val="20"/>
              </w:rPr>
            </w:pPr>
            <w:r w:rsidRPr="00AB2E0B">
              <w:rPr>
                <w:rFonts w:ascii="Arial Narrow" w:hAnsi="Arial Narrow"/>
                <w:b/>
                <w:sz w:val="20"/>
                <w:szCs w:val="20"/>
              </w:rPr>
              <w:t>p-value</w:t>
            </w:r>
          </w:p>
        </w:tc>
      </w:tr>
      <w:tr w:rsidR="000A68D7" w:rsidRPr="007D0AA8" w14:paraId="7AFDA173" w14:textId="77777777" w:rsidTr="00B52A4F">
        <w:trPr>
          <w:jc w:val="center"/>
        </w:trPr>
        <w:tc>
          <w:tcPr>
            <w:tcW w:w="783" w:type="pct"/>
            <w:tcBorders>
              <w:top w:val="nil"/>
              <w:left w:val="single" w:sz="4" w:space="0" w:color="auto"/>
              <w:bottom w:val="nil"/>
              <w:right w:val="single" w:sz="4" w:space="0" w:color="auto"/>
            </w:tcBorders>
          </w:tcPr>
          <w:p w14:paraId="63AFD4F8"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top w:val="single" w:sz="4" w:space="0" w:color="auto"/>
              <w:left w:val="single" w:sz="4" w:space="0" w:color="auto"/>
              <w:bottom w:val="nil"/>
              <w:right w:val="single" w:sz="4" w:space="0" w:color="auto"/>
            </w:tcBorders>
          </w:tcPr>
          <w:p w14:paraId="6B8A1006" w14:textId="6C1D5C3C" w:rsidR="000A68D7" w:rsidRPr="007D0AA8" w:rsidRDefault="000A68D7" w:rsidP="00331FB9">
            <w:pPr>
              <w:pStyle w:val="ListParagraph"/>
              <w:numPr>
                <w:ilvl w:val="0"/>
                <w:numId w:val="16"/>
              </w:numPr>
              <w:spacing w:after="0" w:line="240" w:lineRule="auto"/>
              <w:ind w:left="169" w:hanging="126"/>
              <w:rPr>
                <w:rFonts w:ascii="Arial Narrow" w:hAnsi="Arial Narrow"/>
                <w:sz w:val="20"/>
                <w:szCs w:val="20"/>
              </w:rPr>
            </w:pPr>
            <w:r w:rsidRPr="007D0AA8">
              <w:rPr>
                <w:rFonts w:ascii="Arial Narrow" w:hAnsi="Arial Narrow"/>
                <w:sz w:val="20"/>
                <w:szCs w:val="20"/>
              </w:rPr>
              <w:t>Sepsis</w:t>
            </w:r>
            <w:r w:rsidR="00AB2E0B">
              <w:rPr>
                <w:rFonts w:ascii="Arial Narrow" w:hAnsi="Arial Narrow"/>
                <w:sz w:val="20"/>
                <w:szCs w:val="20"/>
              </w:rPr>
              <w:br/>
            </w:r>
            <w:r w:rsidR="00AB2E0B" w:rsidRPr="00AB2E0B">
              <w:rPr>
                <w:rFonts w:ascii="Arial Narrow" w:hAnsi="Arial Narrow"/>
                <w:i/>
                <w:sz w:val="20"/>
                <w:szCs w:val="20"/>
              </w:rPr>
              <w:t>total events</w:t>
            </w:r>
            <w:r w:rsidRPr="007D0AA8">
              <w:rPr>
                <w:rFonts w:ascii="Arial Narrow" w:hAnsi="Arial Narrow"/>
                <w:sz w:val="20"/>
                <w:szCs w:val="20"/>
              </w:rPr>
              <w:br/>
            </w:r>
            <w:r w:rsidRPr="007D0AA8">
              <w:rPr>
                <w:rFonts w:ascii="Arial Narrow" w:hAnsi="Arial Narrow"/>
                <w:i/>
                <w:sz w:val="20"/>
                <w:szCs w:val="20"/>
              </w:rPr>
              <w:t>rate /patient/month</w:t>
            </w:r>
          </w:p>
        </w:tc>
        <w:tc>
          <w:tcPr>
            <w:tcW w:w="1093" w:type="pct"/>
            <w:gridSpan w:val="2"/>
            <w:tcBorders>
              <w:top w:val="single" w:sz="4" w:space="0" w:color="auto"/>
              <w:left w:val="single" w:sz="4" w:space="0" w:color="auto"/>
              <w:bottom w:val="nil"/>
              <w:right w:val="single" w:sz="4" w:space="0" w:color="auto"/>
            </w:tcBorders>
            <w:shd w:val="clear" w:color="auto" w:fill="auto"/>
            <w:noWrap/>
          </w:tcPr>
          <w:p w14:paraId="2A959F88" w14:textId="12BCF85A" w:rsidR="000A68D7" w:rsidRPr="007D0AA8" w:rsidRDefault="000A68D7" w:rsidP="001A2B6F">
            <w:pPr>
              <w:spacing w:after="0" w:line="240" w:lineRule="auto"/>
              <w:jc w:val="right"/>
              <w:rPr>
                <w:rFonts w:ascii="Arial Narrow" w:hAnsi="Arial Narrow"/>
                <w:sz w:val="20"/>
                <w:szCs w:val="20"/>
              </w:rPr>
            </w:pPr>
            <w:r w:rsidRPr="007D0AA8">
              <w:rPr>
                <w:rFonts w:ascii="Arial Narrow" w:hAnsi="Arial Narrow"/>
                <w:sz w:val="20"/>
                <w:szCs w:val="20"/>
              </w:rPr>
              <w:t>2.43 (2.18–2.70)</w:t>
            </w:r>
            <w:r w:rsidRPr="007D0AA8">
              <w:rPr>
                <w:rFonts w:ascii="Arial Narrow" w:hAnsi="Arial Narrow"/>
                <w:sz w:val="20"/>
                <w:szCs w:val="20"/>
              </w:rPr>
              <w:br/>
            </w:r>
            <w:r w:rsidR="00AB2E0B">
              <w:rPr>
                <w:rFonts w:ascii="Arial Narrow" w:hAnsi="Arial Narrow"/>
                <w:i/>
                <w:sz w:val="20"/>
                <w:szCs w:val="20"/>
              </w:rPr>
              <w:t>389</w:t>
            </w:r>
            <w:r w:rsidR="00AB2E0B">
              <w:rPr>
                <w:rFonts w:ascii="Arial Narrow" w:hAnsi="Arial Narrow"/>
                <w:i/>
                <w:sz w:val="20"/>
                <w:szCs w:val="20"/>
              </w:rPr>
              <w:br/>
            </w:r>
            <w:r w:rsidRPr="007D0AA8">
              <w:rPr>
                <w:rFonts w:ascii="Arial Narrow" w:hAnsi="Arial Narrow"/>
                <w:i/>
                <w:sz w:val="20"/>
                <w:szCs w:val="20"/>
              </w:rPr>
              <w:t>0.203</w:t>
            </w:r>
          </w:p>
        </w:tc>
        <w:tc>
          <w:tcPr>
            <w:tcW w:w="1173" w:type="pct"/>
            <w:gridSpan w:val="2"/>
            <w:tcBorders>
              <w:top w:val="single" w:sz="4" w:space="0" w:color="auto"/>
              <w:left w:val="single" w:sz="4" w:space="0" w:color="auto"/>
              <w:bottom w:val="nil"/>
              <w:right w:val="single" w:sz="4" w:space="0" w:color="auto"/>
            </w:tcBorders>
            <w:shd w:val="clear" w:color="auto" w:fill="auto"/>
            <w:noWrap/>
          </w:tcPr>
          <w:p w14:paraId="4915E6DE" w14:textId="3B089DE4" w:rsidR="000A68D7" w:rsidRPr="007D0AA8" w:rsidRDefault="000A68D7" w:rsidP="001A2B6F">
            <w:pPr>
              <w:spacing w:after="0" w:line="240" w:lineRule="auto"/>
              <w:jc w:val="right"/>
              <w:rPr>
                <w:rFonts w:ascii="Arial Narrow" w:hAnsi="Arial Narrow"/>
                <w:sz w:val="20"/>
                <w:szCs w:val="20"/>
              </w:rPr>
            </w:pPr>
            <w:r w:rsidRPr="007D0AA8">
              <w:rPr>
                <w:rFonts w:ascii="Arial Narrow" w:hAnsi="Arial Narrow"/>
                <w:sz w:val="20"/>
                <w:szCs w:val="20"/>
              </w:rPr>
              <w:t>1.90 (1.46–2.49)</w:t>
            </w:r>
            <w:r w:rsidRPr="007D0AA8">
              <w:rPr>
                <w:rFonts w:ascii="Arial Narrow" w:hAnsi="Arial Narrow"/>
                <w:sz w:val="20"/>
                <w:szCs w:val="20"/>
              </w:rPr>
              <w:br/>
            </w:r>
            <w:r w:rsidR="00AB2E0B">
              <w:rPr>
                <w:rFonts w:ascii="Arial Narrow" w:hAnsi="Arial Narrow"/>
                <w:i/>
                <w:sz w:val="20"/>
                <w:szCs w:val="20"/>
              </w:rPr>
              <w:t>304</w:t>
            </w:r>
            <w:r w:rsidR="00AB2E0B">
              <w:rPr>
                <w:rFonts w:ascii="Arial Narrow" w:hAnsi="Arial Narrow"/>
                <w:i/>
                <w:sz w:val="20"/>
                <w:szCs w:val="20"/>
              </w:rPr>
              <w:br/>
            </w:r>
            <w:r w:rsidRPr="007D0AA8">
              <w:rPr>
                <w:rFonts w:ascii="Arial Narrow" w:hAnsi="Arial Narrow"/>
                <w:i/>
                <w:sz w:val="20"/>
                <w:szCs w:val="20"/>
              </w:rPr>
              <w:t>0.158</w:t>
            </w:r>
            <w:r w:rsidRPr="007D0AA8">
              <w:rPr>
                <w:rFonts w:ascii="Arial Narrow" w:hAnsi="Arial Narrow"/>
                <w:sz w:val="20"/>
                <w:szCs w:val="20"/>
              </w:rPr>
              <w:t xml:space="preserve"> </w:t>
            </w:r>
          </w:p>
        </w:tc>
        <w:tc>
          <w:tcPr>
            <w:tcW w:w="619" w:type="pct"/>
            <w:gridSpan w:val="2"/>
            <w:tcBorders>
              <w:top w:val="single" w:sz="4" w:space="0" w:color="auto"/>
              <w:left w:val="single" w:sz="4" w:space="0" w:color="auto"/>
              <w:bottom w:val="nil"/>
              <w:right w:val="single" w:sz="4" w:space="0" w:color="auto"/>
            </w:tcBorders>
          </w:tcPr>
          <w:p w14:paraId="6846B0E8" w14:textId="77777777" w:rsidR="000A68D7" w:rsidRPr="007D0AA8" w:rsidRDefault="000A68D7" w:rsidP="001A2B6F">
            <w:pPr>
              <w:spacing w:after="0" w:line="240" w:lineRule="auto"/>
              <w:jc w:val="right"/>
              <w:rPr>
                <w:rFonts w:ascii="Arial Narrow" w:hAnsi="Arial Narrow"/>
                <w:sz w:val="20"/>
                <w:szCs w:val="20"/>
              </w:rPr>
            </w:pPr>
            <w:r w:rsidRPr="007D0AA8">
              <w:rPr>
                <w:rFonts w:ascii="Arial Narrow" w:hAnsi="Arial Narrow"/>
                <w:sz w:val="20"/>
                <w:szCs w:val="20"/>
              </w:rPr>
              <w:t>p=0.001</w:t>
            </w:r>
          </w:p>
        </w:tc>
      </w:tr>
      <w:tr w:rsidR="000A68D7" w:rsidRPr="007D0AA8" w14:paraId="4A601166" w14:textId="77777777" w:rsidTr="00B52A4F">
        <w:trPr>
          <w:jc w:val="center"/>
        </w:trPr>
        <w:tc>
          <w:tcPr>
            <w:tcW w:w="783" w:type="pct"/>
            <w:tcBorders>
              <w:top w:val="nil"/>
              <w:left w:val="single" w:sz="4" w:space="0" w:color="auto"/>
              <w:bottom w:val="single" w:sz="4" w:space="0" w:color="auto"/>
              <w:right w:val="single" w:sz="4" w:space="0" w:color="auto"/>
            </w:tcBorders>
          </w:tcPr>
          <w:p w14:paraId="6F27AB91"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top w:val="nil"/>
              <w:left w:val="single" w:sz="4" w:space="0" w:color="auto"/>
              <w:bottom w:val="single" w:sz="4" w:space="0" w:color="auto"/>
              <w:right w:val="single" w:sz="4" w:space="0" w:color="auto"/>
            </w:tcBorders>
          </w:tcPr>
          <w:p w14:paraId="5FEDBE01" w14:textId="5CB717E5" w:rsidR="000A68D7" w:rsidRPr="007D0AA8" w:rsidRDefault="000A68D7" w:rsidP="00331FB9">
            <w:pPr>
              <w:pStyle w:val="ListParagraph"/>
              <w:numPr>
                <w:ilvl w:val="0"/>
                <w:numId w:val="16"/>
              </w:numPr>
              <w:spacing w:after="0" w:line="240" w:lineRule="auto"/>
              <w:ind w:left="169" w:hanging="126"/>
              <w:rPr>
                <w:rFonts w:ascii="Arial Narrow" w:hAnsi="Arial Narrow"/>
                <w:sz w:val="20"/>
              </w:rPr>
            </w:pPr>
            <w:r w:rsidRPr="007D0AA8">
              <w:rPr>
                <w:rFonts w:ascii="Arial Narrow" w:hAnsi="Arial Narrow"/>
                <w:sz w:val="20"/>
              </w:rPr>
              <w:t>WHO grade &gt;2 infections</w:t>
            </w:r>
            <w:r w:rsidRPr="007D0AA8">
              <w:rPr>
                <w:rFonts w:ascii="Arial Narrow" w:hAnsi="Arial Narrow"/>
                <w:sz w:val="20"/>
              </w:rPr>
              <w:br/>
            </w:r>
            <w:r w:rsidR="00AB2E0B">
              <w:rPr>
                <w:rFonts w:ascii="Arial Narrow" w:hAnsi="Arial Narrow"/>
                <w:i/>
                <w:sz w:val="20"/>
                <w:szCs w:val="20"/>
              </w:rPr>
              <w:t>total events</w:t>
            </w:r>
            <w:r w:rsidR="00AB2E0B">
              <w:rPr>
                <w:rFonts w:ascii="Arial Narrow" w:hAnsi="Arial Narrow"/>
                <w:i/>
                <w:sz w:val="20"/>
                <w:szCs w:val="20"/>
              </w:rPr>
              <w:br/>
            </w:r>
            <w:r w:rsidRPr="007D0AA8">
              <w:rPr>
                <w:rFonts w:ascii="Arial Narrow" w:hAnsi="Arial Narrow"/>
                <w:i/>
                <w:sz w:val="20"/>
                <w:szCs w:val="20"/>
              </w:rPr>
              <w:t>rate /patient/month</w:t>
            </w:r>
          </w:p>
        </w:tc>
        <w:tc>
          <w:tcPr>
            <w:tcW w:w="1093" w:type="pct"/>
            <w:gridSpan w:val="2"/>
            <w:tcBorders>
              <w:top w:val="nil"/>
              <w:left w:val="single" w:sz="4" w:space="0" w:color="auto"/>
              <w:bottom w:val="single" w:sz="4" w:space="0" w:color="auto"/>
              <w:right w:val="single" w:sz="4" w:space="0" w:color="auto"/>
            </w:tcBorders>
            <w:shd w:val="clear" w:color="auto" w:fill="auto"/>
            <w:noWrap/>
          </w:tcPr>
          <w:p w14:paraId="3E9F0E98" w14:textId="311066C1" w:rsidR="000A68D7" w:rsidRPr="007D0AA8" w:rsidRDefault="00AB2E0B" w:rsidP="001A2B6F">
            <w:pPr>
              <w:spacing w:after="0" w:line="240" w:lineRule="auto"/>
              <w:jc w:val="right"/>
              <w:rPr>
                <w:rFonts w:ascii="Arial Narrow" w:hAnsi="Arial Narrow"/>
                <w:sz w:val="20"/>
              </w:rPr>
            </w:pPr>
            <w:r>
              <w:rPr>
                <w:rFonts w:ascii="Arial Narrow" w:hAnsi="Arial Narrow"/>
                <w:sz w:val="20"/>
              </w:rPr>
              <w:t>0.51 (0.39–0.67)</w:t>
            </w:r>
            <w:r w:rsidR="000A68D7" w:rsidRPr="007D0AA8">
              <w:rPr>
                <w:rFonts w:ascii="Arial Narrow" w:hAnsi="Arial Narrow"/>
                <w:sz w:val="20"/>
              </w:rPr>
              <w:t xml:space="preserve"> </w:t>
            </w:r>
            <w:r w:rsidR="000A68D7" w:rsidRPr="007D0AA8">
              <w:rPr>
                <w:rFonts w:ascii="Arial Narrow" w:hAnsi="Arial Narrow"/>
                <w:sz w:val="20"/>
              </w:rPr>
              <w:br/>
            </w:r>
            <w:r>
              <w:rPr>
                <w:rFonts w:ascii="Arial Narrow" w:hAnsi="Arial Narrow"/>
                <w:i/>
                <w:sz w:val="20"/>
              </w:rPr>
              <w:t>82</w:t>
            </w:r>
            <w:r>
              <w:rPr>
                <w:rFonts w:ascii="Arial Narrow" w:hAnsi="Arial Narrow"/>
                <w:i/>
                <w:sz w:val="20"/>
              </w:rPr>
              <w:br/>
            </w:r>
            <w:r w:rsidR="000A68D7" w:rsidRPr="007D0AA8">
              <w:rPr>
                <w:rFonts w:ascii="Arial Narrow" w:hAnsi="Arial Narrow"/>
                <w:i/>
                <w:sz w:val="20"/>
              </w:rPr>
              <w:t>0.043</w:t>
            </w:r>
          </w:p>
        </w:tc>
        <w:tc>
          <w:tcPr>
            <w:tcW w:w="1173" w:type="pct"/>
            <w:gridSpan w:val="2"/>
            <w:tcBorders>
              <w:top w:val="nil"/>
              <w:left w:val="single" w:sz="4" w:space="0" w:color="auto"/>
              <w:bottom w:val="single" w:sz="4" w:space="0" w:color="auto"/>
              <w:right w:val="single" w:sz="4" w:space="0" w:color="auto"/>
            </w:tcBorders>
            <w:shd w:val="clear" w:color="auto" w:fill="auto"/>
            <w:noWrap/>
          </w:tcPr>
          <w:p w14:paraId="76FFBC13" w14:textId="5D42D992" w:rsidR="000A68D7" w:rsidRPr="007D0AA8" w:rsidRDefault="00AB2E0B" w:rsidP="001A2B6F">
            <w:pPr>
              <w:spacing w:after="0" w:line="240" w:lineRule="auto"/>
              <w:jc w:val="right"/>
              <w:rPr>
                <w:rFonts w:ascii="Arial Narrow" w:hAnsi="Arial Narrow"/>
                <w:sz w:val="20"/>
                <w:szCs w:val="20"/>
              </w:rPr>
            </w:pPr>
            <w:r>
              <w:rPr>
                <w:rFonts w:ascii="Arial Narrow" w:hAnsi="Arial Narrow"/>
                <w:sz w:val="20"/>
              </w:rPr>
              <w:t>0.30 (0.21–0.42)</w:t>
            </w:r>
            <w:r w:rsidR="000A68D7" w:rsidRPr="007D0AA8">
              <w:rPr>
                <w:rFonts w:ascii="Arial Narrow" w:hAnsi="Arial Narrow"/>
                <w:sz w:val="20"/>
              </w:rPr>
              <w:br/>
            </w:r>
            <w:r>
              <w:rPr>
                <w:rFonts w:ascii="Arial Narrow" w:hAnsi="Arial Narrow"/>
                <w:i/>
                <w:sz w:val="20"/>
              </w:rPr>
              <w:t>48</w:t>
            </w:r>
            <w:r>
              <w:rPr>
                <w:rFonts w:ascii="Arial Narrow" w:hAnsi="Arial Narrow"/>
                <w:i/>
                <w:sz w:val="20"/>
              </w:rPr>
              <w:br/>
            </w:r>
            <w:r w:rsidR="000A68D7" w:rsidRPr="007D0AA8">
              <w:rPr>
                <w:rFonts w:ascii="Arial Narrow" w:hAnsi="Arial Narrow"/>
                <w:i/>
                <w:sz w:val="20"/>
              </w:rPr>
              <w:t>0.025</w:t>
            </w:r>
          </w:p>
        </w:tc>
        <w:tc>
          <w:tcPr>
            <w:tcW w:w="619" w:type="pct"/>
            <w:gridSpan w:val="2"/>
            <w:tcBorders>
              <w:top w:val="nil"/>
              <w:left w:val="single" w:sz="4" w:space="0" w:color="auto"/>
              <w:bottom w:val="single" w:sz="4" w:space="0" w:color="auto"/>
              <w:right w:val="single" w:sz="4" w:space="0" w:color="auto"/>
            </w:tcBorders>
          </w:tcPr>
          <w:p w14:paraId="4BDF2375" w14:textId="77777777" w:rsidR="000A68D7" w:rsidRPr="007D0AA8" w:rsidRDefault="000A68D7" w:rsidP="001A2B6F">
            <w:pPr>
              <w:spacing w:after="0" w:line="240" w:lineRule="auto"/>
              <w:jc w:val="right"/>
              <w:rPr>
                <w:rFonts w:ascii="Arial Narrow" w:hAnsi="Arial Narrow"/>
                <w:sz w:val="20"/>
                <w:szCs w:val="20"/>
              </w:rPr>
            </w:pPr>
            <w:r w:rsidRPr="007D0AA8">
              <w:rPr>
                <w:rFonts w:ascii="Arial Narrow" w:hAnsi="Arial Narrow"/>
                <w:sz w:val="20"/>
              </w:rPr>
              <w:t>p=0.09</w:t>
            </w:r>
          </w:p>
        </w:tc>
      </w:tr>
      <w:tr w:rsidR="000A68D7" w:rsidRPr="00386411" w14:paraId="29A00610" w14:textId="77777777" w:rsidTr="00B52A4F">
        <w:trPr>
          <w:jc w:val="center"/>
        </w:trPr>
        <w:tc>
          <w:tcPr>
            <w:tcW w:w="78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26CFC6" w14:textId="77777777" w:rsidR="000A68D7" w:rsidRPr="00386411" w:rsidRDefault="000A68D7" w:rsidP="005606D4">
            <w:pPr>
              <w:keepNext/>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Duraisingham et al., 2014</w:t>
            </w:r>
          </w:p>
        </w:tc>
        <w:tc>
          <w:tcPr>
            <w:tcW w:w="13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FDCE33" w14:textId="77777777" w:rsidR="000A68D7" w:rsidRPr="00386411" w:rsidRDefault="000A68D7" w:rsidP="005606D4">
            <w:pPr>
              <w:keepNext/>
              <w:spacing w:after="0" w:line="240" w:lineRule="auto"/>
              <w:rPr>
                <w:rFonts w:ascii="Arial Narrow" w:hAnsi="Arial Narrow"/>
                <w:b/>
                <w:sz w:val="20"/>
                <w:szCs w:val="20"/>
              </w:rPr>
            </w:pPr>
            <w:r w:rsidRPr="00386411">
              <w:rPr>
                <w:rFonts w:ascii="Arial Narrow" w:hAnsi="Arial Narrow"/>
                <w:b/>
                <w:sz w:val="20"/>
                <w:szCs w:val="20"/>
              </w:rPr>
              <w:t>Infections before / after IgG-RT (SID group N=39)</w:t>
            </w:r>
          </w:p>
        </w:tc>
        <w:tc>
          <w:tcPr>
            <w:tcW w:w="109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5DC4A40" w14:textId="77777777" w:rsidR="000A68D7" w:rsidRPr="00386411" w:rsidRDefault="000A68D7" w:rsidP="005606D4">
            <w:pPr>
              <w:keepNext/>
              <w:spacing w:after="0" w:line="240" w:lineRule="auto"/>
              <w:jc w:val="center"/>
              <w:rPr>
                <w:rFonts w:ascii="Arial Narrow" w:hAnsi="Arial Narrow"/>
                <w:b/>
                <w:sz w:val="20"/>
                <w:szCs w:val="20"/>
                <w:highlight w:val="yellow"/>
              </w:rPr>
            </w:pPr>
            <w:r w:rsidRPr="00386411">
              <w:rPr>
                <w:rFonts w:ascii="Arial Narrow" w:hAnsi="Arial Narrow" w:cs="Arial"/>
                <w:b/>
                <w:bCs/>
                <w:sz w:val="20"/>
                <w:szCs w:val="20"/>
                <w:lang w:val="en-GB" w:eastAsia="en-GB"/>
              </w:rPr>
              <w:t xml:space="preserve">Infections before </w:t>
            </w:r>
            <w:r w:rsidRPr="00386411">
              <w:rPr>
                <w:rFonts w:ascii="Arial Narrow" w:hAnsi="Arial Narrow" w:cs="Arial"/>
                <w:b/>
                <w:bCs/>
                <w:sz w:val="20"/>
                <w:szCs w:val="20"/>
                <w:lang w:val="en-GB" w:eastAsia="en-GB"/>
              </w:rPr>
              <w:br/>
              <w:t>IgG (1 yr)</w:t>
            </w:r>
          </w:p>
        </w:tc>
        <w:tc>
          <w:tcPr>
            <w:tcW w:w="117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F195D47" w14:textId="77777777" w:rsidR="000A68D7" w:rsidRPr="00386411" w:rsidRDefault="000A68D7" w:rsidP="005606D4">
            <w:pPr>
              <w:keepNext/>
              <w:spacing w:after="0" w:line="240" w:lineRule="auto"/>
              <w:jc w:val="center"/>
              <w:rPr>
                <w:rFonts w:ascii="Arial Narrow" w:hAnsi="Arial Narrow"/>
                <w:b/>
                <w:sz w:val="20"/>
                <w:szCs w:val="20"/>
                <w:highlight w:val="yellow"/>
              </w:rPr>
            </w:pPr>
            <w:r w:rsidRPr="00386411">
              <w:rPr>
                <w:rFonts w:ascii="Arial Narrow" w:hAnsi="Arial Narrow" w:cs="Arial"/>
                <w:b/>
                <w:bCs/>
                <w:sz w:val="20"/>
                <w:szCs w:val="20"/>
                <w:lang w:val="en-GB" w:eastAsia="en-GB"/>
              </w:rPr>
              <w:t>Infections during</w:t>
            </w:r>
            <w:r w:rsidRPr="00386411">
              <w:rPr>
                <w:rFonts w:ascii="Arial Narrow" w:hAnsi="Arial Narrow" w:cs="Arial"/>
                <w:b/>
                <w:bCs/>
                <w:sz w:val="20"/>
                <w:szCs w:val="20"/>
                <w:lang w:val="en-GB" w:eastAsia="en-GB"/>
              </w:rPr>
              <w:br/>
              <w:t>IgG (1 yr)</w:t>
            </w:r>
          </w:p>
        </w:tc>
        <w:tc>
          <w:tcPr>
            <w:tcW w:w="61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1C5971" w14:textId="77777777" w:rsidR="000A68D7" w:rsidRPr="00386411" w:rsidRDefault="000A68D7" w:rsidP="005606D4">
            <w:pPr>
              <w:keepNext/>
              <w:spacing w:after="0" w:line="240" w:lineRule="auto"/>
              <w:jc w:val="center"/>
              <w:rPr>
                <w:rFonts w:ascii="Arial Narrow" w:hAnsi="Arial Narrow"/>
                <w:b/>
                <w:sz w:val="20"/>
                <w:szCs w:val="20"/>
              </w:rPr>
            </w:pPr>
            <w:r w:rsidRPr="00386411">
              <w:rPr>
                <w:rFonts w:ascii="Arial Narrow" w:hAnsi="Arial Narrow"/>
                <w:b/>
                <w:sz w:val="20"/>
                <w:szCs w:val="20"/>
              </w:rPr>
              <w:t>p-value</w:t>
            </w:r>
          </w:p>
        </w:tc>
      </w:tr>
      <w:tr w:rsidR="000A68D7" w:rsidRPr="007D0AA8" w14:paraId="214371F1" w14:textId="77777777" w:rsidTr="00B52A4F">
        <w:trPr>
          <w:jc w:val="center"/>
        </w:trPr>
        <w:tc>
          <w:tcPr>
            <w:tcW w:w="783" w:type="pct"/>
            <w:tcBorders>
              <w:top w:val="single" w:sz="4" w:space="0" w:color="auto"/>
              <w:left w:val="single" w:sz="4" w:space="0" w:color="auto"/>
              <w:right w:val="single" w:sz="4" w:space="0" w:color="auto"/>
            </w:tcBorders>
          </w:tcPr>
          <w:p w14:paraId="7B156E9F" w14:textId="77777777" w:rsidR="000A68D7" w:rsidRPr="005606D4" w:rsidRDefault="000A68D7" w:rsidP="005606D4">
            <w:pPr>
              <w:keepNext/>
              <w:spacing w:after="0" w:line="240" w:lineRule="auto"/>
              <w:ind w:left="-57" w:right="-130"/>
              <w:rPr>
                <w:rFonts w:ascii="Arial Narrow" w:hAnsi="Arial Narrow" w:cs="Calibri"/>
                <w:color w:val="000000"/>
                <w:sz w:val="20"/>
                <w:szCs w:val="20"/>
              </w:rPr>
            </w:pPr>
            <w:r w:rsidRPr="005606D4">
              <w:rPr>
                <w:rFonts w:ascii="Arial Narrow" w:hAnsi="Arial Narrow" w:cs="Calibri"/>
                <w:color w:val="000000"/>
                <w:sz w:val="20"/>
                <w:szCs w:val="20"/>
              </w:rPr>
              <w:t xml:space="preserve">CLL(1), MM(1), NHL(11); MDS(1); MGUS(1) </w:t>
            </w:r>
          </w:p>
        </w:tc>
        <w:tc>
          <w:tcPr>
            <w:tcW w:w="1332" w:type="pct"/>
            <w:tcBorders>
              <w:top w:val="single" w:sz="4" w:space="0" w:color="auto"/>
              <w:left w:val="single" w:sz="4" w:space="0" w:color="auto"/>
              <w:right w:val="single" w:sz="4" w:space="0" w:color="auto"/>
            </w:tcBorders>
            <w:shd w:val="clear" w:color="auto" w:fill="auto"/>
            <w:vAlign w:val="center"/>
          </w:tcPr>
          <w:p w14:paraId="0041CFAA" w14:textId="77777777" w:rsidR="000A68D7" w:rsidRPr="007D0AA8" w:rsidRDefault="000A68D7" w:rsidP="005606D4">
            <w:pPr>
              <w:keepNext/>
              <w:spacing w:after="0" w:line="240" w:lineRule="auto"/>
              <w:rPr>
                <w:rFonts w:ascii="Arial Narrow" w:hAnsi="Arial Narrow" w:cs="Calibri"/>
                <w:color w:val="000000"/>
                <w:sz w:val="20"/>
                <w:szCs w:val="20"/>
              </w:rPr>
            </w:pPr>
            <w:r w:rsidRPr="007D0AA8">
              <w:rPr>
                <w:rFonts w:ascii="Arial Narrow" w:hAnsi="Arial Narrow"/>
                <w:sz w:val="20"/>
                <w:szCs w:val="20"/>
              </w:rPr>
              <w:t xml:space="preserve">Evaluable patients, </w:t>
            </w:r>
            <w:r w:rsidRPr="007D0AA8">
              <w:rPr>
                <w:rFonts w:ascii="Arial Narrow" w:hAnsi="Arial Narrow" w:cs="Arial"/>
                <w:bCs/>
                <w:sz w:val="20"/>
                <w:szCs w:val="20"/>
                <w:lang w:val="en-GB" w:eastAsia="en-GB"/>
              </w:rPr>
              <w:t>n/39</w:t>
            </w:r>
            <w:r w:rsidRPr="007D0AA8">
              <w:rPr>
                <w:rFonts w:ascii="Arial Narrow" w:hAnsi="Arial Narrow" w:cs="Arial"/>
                <w:bCs/>
                <w:sz w:val="20"/>
                <w:szCs w:val="20"/>
                <w:lang w:val="en-GB" w:eastAsia="en-GB"/>
              </w:rPr>
              <w:br/>
            </w:r>
            <w:r w:rsidRPr="007D0AA8">
              <w:rPr>
                <w:rFonts w:ascii="Arial Narrow" w:hAnsi="Arial Narrow" w:cs="Calibri"/>
                <w:color w:val="000000"/>
                <w:sz w:val="20"/>
                <w:szCs w:val="20"/>
              </w:rPr>
              <w:t>IVIg: 13 (33.3%)</w:t>
            </w:r>
          </w:p>
          <w:p w14:paraId="77C850A5" w14:textId="77777777" w:rsidR="000A68D7" w:rsidRPr="007D0AA8" w:rsidRDefault="000A68D7" w:rsidP="005606D4">
            <w:pPr>
              <w:keepNext/>
              <w:spacing w:after="0" w:line="240" w:lineRule="auto"/>
              <w:rPr>
                <w:rFonts w:ascii="Arial Narrow" w:hAnsi="Arial Narrow"/>
                <w:sz w:val="20"/>
                <w:szCs w:val="20"/>
              </w:rPr>
            </w:pPr>
            <w:r w:rsidRPr="007D0AA8">
              <w:rPr>
                <w:rFonts w:ascii="Arial Narrow" w:hAnsi="Arial Narrow" w:cs="Calibri"/>
                <w:color w:val="000000"/>
                <w:sz w:val="20"/>
                <w:szCs w:val="20"/>
              </w:rPr>
              <w:t>SCIg: 26 (66.6%)</w:t>
            </w:r>
          </w:p>
        </w:tc>
        <w:tc>
          <w:tcPr>
            <w:tcW w:w="1093" w:type="pct"/>
            <w:gridSpan w:val="2"/>
            <w:tcBorders>
              <w:top w:val="single" w:sz="4" w:space="0" w:color="auto"/>
              <w:left w:val="single" w:sz="4" w:space="0" w:color="auto"/>
              <w:right w:val="single" w:sz="4" w:space="0" w:color="auto"/>
            </w:tcBorders>
            <w:shd w:val="clear" w:color="auto" w:fill="auto"/>
            <w:noWrap/>
            <w:vAlign w:val="center"/>
          </w:tcPr>
          <w:p w14:paraId="5ACACA5E" w14:textId="77777777" w:rsidR="000A68D7" w:rsidRPr="007D0AA8" w:rsidRDefault="000A68D7" w:rsidP="005606D4">
            <w:pPr>
              <w:keepNext/>
              <w:spacing w:after="0" w:line="240" w:lineRule="auto"/>
              <w:jc w:val="right"/>
              <w:rPr>
                <w:rFonts w:ascii="Arial Narrow" w:hAnsi="Arial Narrow" w:cs="Arial"/>
                <w:bCs/>
                <w:sz w:val="20"/>
                <w:szCs w:val="20"/>
                <w:lang w:val="en-GB" w:eastAsia="en-GB"/>
              </w:rPr>
            </w:pPr>
            <w:r w:rsidRPr="007D0AA8">
              <w:rPr>
                <w:rFonts w:ascii="Arial Narrow" w:hAnsi="Arial Narrow" w:cs="Arial"/>
                <w:bCs/>
                <w:sz w:val="20"/>
                <w:szCs w:val="20"/>
                <w:lang w:val="en-GB" w:eastAsia="en-GB"/>
              </w:rPr>
              <w:t>28/39</w:t>
            </w:r>
          </w:p>
        </w:tc>
        <w:tc>
          <w:tcPr>
            <w:tcW w:w="1173" w:type="pct"/>
            <w:gridSpan w:val="2"/>
            <w:tcBorders>
              <w:top w:val="single" w:sz="4" w:space="0" w:color="auto"/>
              <w:left w:val="single" w:sz="4" w:space="0" w:color="auto"/>
              <w:right w:val="single" w:sz="4" w:space="0" w:color="auto"/>
            </w:tcBorders>
            <w:shd w:val="clear" w:color="auto" w:fill="auto"/>
            <w:noWrap/>
            <w:vAlign w:val="center"/>
          </w:tcPr>
          <w:p w14:paraId="30C26D1D" w14:textId="77777777" w:rsidR="000A68D7" w:rsidRPr="007D0AA8" w:rsidRDefault="000A68D7" w:rsidP="005606D4">
            <w:pPr>
              <w:keepNext/>
              <w:spacing w:after="0" w:line="240" w:lineRule="auto"/>
              <w:jc w:val="right"/>
              <w:rPr>
                <w:rFonts w:ascii="Arial Narrow" w:hAnsi="Arial Narrow" w:cs="Arial"/>
                <w:bCs/>
                <w:sz w:val="20"/>
                <w:szCs w:val="20"/>
                <w:lang w:val="en-GB" w:eastAsia="en-GB"/>
              </w:rPr>
            </w:pPr>
            <w:r w:rsidRPr="007D0AA8">
              <w:rPr>
                <w:rFonts w:ascii="Arial Narrow" w:hAnsi="Arial Narrow" w:cs="Arial"/>
                <w:bCs/>
                <w:sz w:val="20"/>
                <w:szCs w:val="20"/>
                <w:lang w:val="en-GB" w:eastAsia="en-GB"/>
              </w:rPr>
              <w:t>37/39</w:t>
            </w:r>
          </w:p>
        </w:tc>
        <w:tc>
          <w:tcPr>
            <w:tcW w:w="619" w:type="pct"/>
            <w:gridSpan w:val="2"/>
            <w:tcBorders>
              <w:top w:val="single" w:sz="4" w:space="0" w:color="auto"/>
              <w:left w:val="single" w:sz="4" w:space="0" w:color="auto"/>
              <w:right w:val="single" w:sz="4" w:space="0" w:color="auto"/>
            </w:tcBorders>
          </w:tcPr>
          <w:p w14:paraId="2DE0B9C4" w14:textId="77777777" w:rsidR="000A68D7" w:rsidRPr="007D0AA8" w:rsidRDefault="000A68D7" w:rsidP="005606D4">
            <w:pPr>
              <w:keepNext/>
              <w:spacing w:after="0" w:line="240" w:lineRule="auto"/>
              <w:jc w:val="right"/>
              <w:rPr>
                <w:rFonts w:ascii="Arial Narrow" w:hAnsi="Arial Narrow"/>
                <w:sz w:val="20"/>
                <w:szCs w:val="20"/>
              </w:rPr>
            </w:pPr>
          </w:p>
        </w:tc>
      </w:tr>
      <w:tr w:rsidR="000A68D7" w:rsidRPr="007D0AA8" w14:paraId="24BFBF5B" w14:textId="77777777" w:rsidTr="00B52A4F">
        <w:trPr>
          <w:jc w:val="center"/>
        </w:trPr>
        <w:tc>
          <w:tcPr>
            <w:tcW w:w="783" w:type="pct"/>
            <w:tcBorders>
              <w:left w:val="single" w:sz="4" w:space="0" w:color="auto"/>
              <w:right w:val="single" w:sz="4" w:space="0" w:color="auto"/>
            </w:tcBorders>
          </w:tcPr>
          <w:p w14:paraId="3376E6F2"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left w:val="single" w:sz="4" w:space="0" w:color="auto"/>
              <w:right w:val="single" w:sz="4" w:space="0" w:color="auto"/>
            </w:tcBorders>
            <w:shd w:val="clear" w:color="auto" w:fill="auto"/>
            <w:vAlign w:val="center"/>
          </w:tcPr>
          <w:p w14:paraId="738694D2" w14:textId="77777777" w:rsidR="000A68D7" w:rsidRPr="007D0AA8" w:rsidRDefault="000A68D7" w:rsidP="001A2B6F">
            <w:pPr>
              <w:spacing w:after="0" w:line="240" w:lineRule="auto"/>
              <w:rPr>
                <w:rFonts w:ascii="Arial Narrow" w:hAnsi="Arial Narrow"/>
                <w:sz w:val="20"/>
                <w:szCs w:val="20"/>
              </w:rPr>
            </w:pPr>
            <w:r w:rsidRPr="007D0AA8">
              <w:rPr>
                <w:rFonts w:ascii="Arial Narrow" w:hAnsi="Arial Narrow" w:cs="Arial"/>
                <w:sz w:val="20"/>
                <w:szCs w:val="20"/>
                <w:lang w:val="en-GB" w:eastAsia="en-GB"/>
              </w:rPr>
              <w:t>Serious infections</w:t>
            </w:r>
          </w:p>
        </w:tc>
        <w:tc>
          <w:tcPr>
            <w:tcW w:w="1093" w:type="pct"/>
            <w:gridSpan w:val="2"/>
            <w:tcBorders>
              <w:left w:val="single" w:sz="4" w:space="0" w:color="auto"/>
              <w:right w:val="single" w:sz="4" w:space="0" w:color="auto"/>
            </w:tcBorders>
            <w:shd w:val="clear" w:color="auto" w:fill="auto"/>
            <w:noWrap/>
            <w:vAlign w:val="center"/>
          </w:tcPr>
          <w:p w14:paraId="0D08445D" w14:textId="77777777" w:rsidR="000A68D7" w:rsidRPr="007D0AA8" w:rsidRDefault="000A68D7" w:rsidP="001A2B6F">
            <w:pPr>
              <w:spacing w:after="0" w:line="240" w:lineRule="auto"/>
              <w:jc w:val="right"/>
              <w:rPr>
                <w:rFonts w:ascii="Arial Narrow" w:hAnsi="Arial Narrow" w:cs="Arial"/>
                <w:bCs/>
                <w:sz w:val="20"/>
                <w:szCs w:val="20"/>
                <w:lang w:val="en-GB" w:eastAsia="en-GB"/>
              </w:rPr>
            </w:pPr>
            <w:r w:rsidRPr="007D0AA8">
              <w:rPr>
                <w:rFonts w:ascii="Arial Narrow" w:hAnsi="Arial Narrow" w:cs="Arial"/>
                <w:sz w:val="20"/>
                <w:szCs w:val="20"/>
                <w:lang w:val="en-GB" w:eastAsia="en-GB"/>
              </w:rPr>
              <w:t>25</w:t>
            </w:r>
          </w:p>
        </w:tc>
        <w:tc>
          <w:tcPr>
            <w:tcW w:w="1173" w:type="pct"/>
            <w:gridSpan w:val="2"/>
            <w:tcBorders>
              <w:left w:val="single" w:sz="4" w:space="0" w:color="auto"/>
              <w:right w:val="single" w:sz="4" w:space="0" w:color="auto"/>
            </w:tcBorders>
            <w:shd w:val="clear" w:color="auto" w:fill="auto"/>
            <w:noWrap/>
            <w:vAlign w:val="center"/>
          </w:tcPr>
          <w:p w14:paraId="113351DF" w14:textId="77777777" w:rsidR="000A68D7" w:rsidRPr="007D0AA8" w:rsidRDefault="000A68D7" w:rsidP="001A2B6F">
            <w:pPr>
              <w:spacing w:after="0" w:line="240" w:lineRule="auto"/>
              <w:jc w:val="right"/>
              <w:rPr>
                <w:rFonts w:ascii="Arial Narrow" w:hAnsi="Arial Narrow" w:cs="Arial"/>
                <w:bCs/>
                <w:sz w:val="20"/>
                <w:szCs w:val="20"/>
                <w:lang w:val="en-GB" w:eastAsia="en-GB"/>
              </w:rPr>
            </w:pPr>
            <w:r w:rsidRPr="007D0AA8">
              <w:rPr>
                <w:rFonts w:ascii="Arial Narrow" w:hAnsi="Arial Narrow" w:cs="Arial"/>
                <w:sz w:val="20"/>
                <w:szCs w:val="20"/>
                <w:lang w:val="en-GB" w:eastAsia="en-GB"/>
              </w:rPr>
              <w:t>7</w:t>
            </w:r>
          </w:p>
        </w:tc>
        <w:tc>
          <w:tcPr>
            <w:tcW w:w="619" w:type="pct"/>
            <w:gridSpan w:val="2"/>
            <w:tcBorders>
              <w:left w:val="single" w:sz="4" w:space="0" w:color="auto"/>
              <w:right w:val="single" w:sz="4" w:space="0" w:color="auto"/>
            </w:tcBorders>
          </w:tcPr>
          <w:p w14:paraId="78D88052" w14:textId="77777777" w:rsidR="000A68D7" w:rsidRPr="007D0AA8" w:rsidRDefault="000A68D7" w:rsidP="001A2B6F">
            <w:pPr>
              <w:spacing w:after="0" w:line="240" w:lineRule="auto"/>
              <w:jc w:val="right"/>
              <w:rPr>
                <w:rFonts w:ascii="Arial Narrow" w:hAnsi="Arial Narrow"/>
                <w:sz w:val="20"/>
                <w:szCs w:val="20"/>
              </w:rPr>
            </w:pPr>
            <w:r w:rsidRPr="007D0AA8">
              <w:rPr>
                <w:rFonts w:ascii="Arial Narrow" w:hAnsi="Arial Narrow"/>
                <w:sz w:val="20"/>
                <w:szCs w:val="20"/>
              </w:rPr>
              <w:t>p=0.0058</w:t>
            </w:r>
          </w:p>
        </w:tc>
      </w:tr>
      <w:tr w:rsidR="000A68D7" w:rsidRPr="007D0AA8" w14:paraId="7285CF05" w14:textId="77777777" w:rsidTr="00B52A4F">
        <w:trPr>
          <w:jc w:val="center"/>
        </w:trPr>
        <w:tc>
          <w:tcPr>
            <w:tcW w:w="783" w:type="pct"/>
            <w:tcBorders>
              <w:left w:val="single" w:sz="4" w:space="0" w:color="auto"/>
              <w:bottom w:val="nil"/>
              <w:right w:val="single" w:sz="4" w:space="0" w:color="auto"/>
            </w:tcBorders>
          </w:tcPr>
          <w:p w14:paraId="6B1CB962" w14:textId="77777777" w:rsidR="000A68D7" w:rsidRPr="007D0AA8" w:rsidRDefault="000A68D7" w:rsidP="001A2B6F">
            <w:pPr>
              <w:spacing w:after="0" w:line="240" w:lineRule="auto"/>
              <w:ind w:right="-151"/>
              <w:rPr>
                <w:rFonts w:ascii="Arial Narrow" w:hAnsi="Arial Narrow" w:cs="Calibri"/>
                <w:color w:val="000000"/>
                <w:sz w:val="20"/>
                <w:szCs w:val="20"/>
              </w:rPr>
            </w:pPr>
          </w:p>
        </w:tc>
        <w:tc>
          <w:tcPr>
            <w:tcW w:w="1332" w:type="pct"/>
            <w:tcBorders>
              <w:left w:val="single" w:sz="4" w:space="0" w:color="auto"/>
              <w:right w:val="single" w:sz="4" w:space="0" w:color="auto"/>
            </w:tcBorders>
            <w:shd w:val="clear" w:color="auto" w:fill="auto"/>
            <w:vAlign w:val="center"/>
          </w:tcPr>
          <w:p w14:paraId="4800CEB3" w14:textId="77777777" w:rsidR="000A68D7" w:rsidRPr="007D0AA8" w:rsidRDefault="000A68D7" w:rsidP="001A2B6F">
            <w:pPr>
              <w:spacing w:after="0" w:line="240" w:lineRule="auto"/>
              <w:rPr>
                <w:rFonts w:ascii="Arial Narrow" w:hAnsi="Arial Narrow"/>
                <w:sz w:val="20"/>
                <w:szCs w:val="20"/>
              </w:rPr>
            </w:pPr>
            <w:r w:rsidRPr="007D0AA8">
              <w:rPr>
                <w:rFonts w:ascii="Arial Narrow" w:hAnsi="Arial Narrow" w:cs="Arial"/>
                <w:i/>
                <w:sz w:val="20"/>
                <w:szCs w:val="20"/>
                <w:lang w:val="en-GB" w:eastAsia="en-GB"/>
              </w:rPr>
              <w:t>Serious infections in haem. malignancy patients, n=15</w:t>
            </w:r>
          </w:p>
        </w:tc>
        <w:tc>
          <w:tcPr>
            <w:tcW w:w="1093" w:type="pct"/>
            <w:gridSpan w:val="2"/>
            <w:tcBorders>
              <w:left w:val="single" w:sz="4" w:space="0" w:color="auto"/>
              <w:right w:val="single" w:sz="4" w:space="0" w:color="auto"/>
            </w:tcBorders>
            <w:shd w:val="clear" w:color="auto" w:fill="auto"/>
            <w:noWrap/>
            <w:vAlign w:val="center"/>
          </w:tcPr>
          <w:p w14:paraId="62068AA8" w14:textId="77777777" w:rsidR="000A68D7" w:rsidRPr="007D0AA8" w:rsidRDefault="000A68D7" w:rsidP="001A2B6F">
            <w:pPr>
              <w:spacing w:after="0" w:line="240" w:lineRule="auto"/>
              <w:jc w:val="right"/>
              <w:rPr>
                <w:rFonts w:ascii="Arial Narrow" w:hAnsi="Arial Narrow"/>
                <w:i/>
                <w:sz w:val="20"/>
                <w:szCs w:val="20"/>
                <w:highlight w:val="yellow"/>
              </w:rPr>
            </w:pPr>
            <w:r w:rsidRPr="007D0AA8">
              <w:rPr>
                <w:rFonts w:ascii="Arial Narrow" w:hAnsi="Arial Narrow"/>
                <w:i/>
                <w:sz w:val="20"/>
                <w:szCs w:val="20"/>
              </w:rPr>
              <w:t>11</w:t>
            </w:r>
            <w:r w:rsidRPr="007D0AA8">
              <w:rPr>
                <w:rFonts w:ascii="Arial Narrow" w:hAnsi="Arial Narrow"/>
                <w:i/>
                <w:sz w:val="20"/>
                <w:szCs w:val="20"/>
              </w:rPr>
              <w:br/>
              <w:t>(in 6 of 15 patients)</w:t>
            </w:r>
          </w:p>
        </w:tc>
        <w:tc>
          <w:tcPr>
            <w:tcW w:w="1173" w:type="pct"/>
            <w:gridSpan w:val="2"/>
            <w:tcBorders>
              <w:left w:val="single" w:sz="4" w:space="0" w:color="auto"/>
              <w:right w:val="single" w:sz="4" w:space="0" w:color="auto"/>
            </w:tcBorders>
            <w:shd w:val="clear" w:color="auto" w:fill="auto"/>
            <w:noWrap/>
            <w:vAlign w:val="center"/>
          </w:tcPr>
          <w:p w14:paraId="300242DF" w14:textId="77777777" w:rsidR="000A68D7" w:rsidRPr="007D0AA8" w:rsidRDefault="000A68D7" w:rsidP="001A2B6F">
            <w:pPr>
              <w:spacing w:after="0" w:line="240" w:lineRule="auto"/>
              <w:jc w:val="right"/>
              <w:rPr>
                <w:rFonts w:ascii="Arial Narrow" w:hAnsi="Arial Narrow"/>
                <w:i/>
                <w:sz w:val="20"/>
                <w:szCs w:val="20"/>
                <w:highlight w:val="yellow"/>
              </w:rPr>
            </w:pPr>
            <w:r w:rsidRPr="007D0AA8">
              <w:rPr>
                <w:rFonts w:ascii="Arial Narrow" w:hAnsi="Arial Narrow" w:cs="Arial"/>
                <w:i/>
                <w:sz w:val="20"/>
                <w:szCs w:val="20"/>
                <w:lang w:val="en-GB" w:eastAsia="en-GB"/>
              </w:rPr>
              <w:t>3</w:t>
            </w:r>
            <w:r w:rsidRPr="007D0AA8">
              <w:rPr>
                <w:rFonts w:ascii="Arial Narrow" w:hAnsi="Arial Narrow" w:cs="Arial"/>
                <w:i/>
                <w:sz w:val="20"/>
                <w:szCs w:val="20"/>
                <w:lang w:val="en-GB" w:eastAsia="en-GB"/>
              </w:rPr>
              <w:br/>
              <w:t>(in 2 of 15 patients)</w:t>
            </w:r>
          </w:p>
        </w:tc>
        <w:tc>
          <w:tcPr>
            <w:tcW w:w="619" w:type="pct"/>
            <w:gridSpan w:val="2"/>
            <w:tcBorders>
              <w:left w:val="single" w:sz="4" w:space="0" w:color="auto"/>
              <w:bottom w:val="nil"/>
              <w:right w:val="single" w:sz="4" w:space="0" w:color="auto"/>
            </w:tcBorders>
          </w:tcPr>
          <w:p w14:paraId="61CC37CE" w14:textId="77777777" w:rsidR="000A68D7" w:rsidRPr="007D0AA8" w:rsidRDefault="000A68D7" w:rsidP="001A2B6F">
            <w:pPr>
              <w:spacing w:after="0" w:line="240" w:lineRule="auto"/>
              <w:jc w:val="right"/>
              <w:rPr>
                <w:rFonts w:ascii="Arial Narrow" w:hAnsi="Arial Narrow"/>
                <w:sz w:val="20"/>
                <w:szCs w:val="20"/>
              </w:rPr>
            </w:pPr>
          </w:p>
        </w:tc>
      </w:tr>
      <w:tr w:rsidR="000A68D7" w:rsidRPr="007D0AA8" w14:paraId="34F8D3C2" w14:textId="77777777" w:rsidTr="00B52A4F">
        <w:trPr>
          <w:jc w:val="center"/>
        </w:trPr>
        <w:tc>
          <w:tcPr>
            <w:tcW w:w="783" w:type="pct"/>
            <w:tcBorders>
              <w:left w:val="single" w:sz="4" w:space="0" w:color="auto"/>
              <w:bottom w:val="nil"/>
              <w:right w:val="single" w:sz="4" w:space="0" w:color="auto"/>
            </w:tcBorders>
          </w:tcPr>
          <w:p w14:paraId="1263F652" w14:textId="77777777" w:rsidR="000A68D7" w:rsidRPr="007D0AA8" w:rsidRDefault="000A68D7" w:rsidP="001A2B6F">
            <w:pPr>
              <w:spacing w:after="0" w:line="240" w:lineRule="auto"/>
              <w:rPr>
                <w:rFonts w:ascii="Arial Narrow" w:hAnsi="Arial Narrow" w:cs="Calibri"/>
                <w:i/>
                <w:color w:val="000000"/>
                <w:sz w:val="20"/>
                <w:szCs w:val="20"/>
              </w:rPr>
            </w:pPr>
          </w:p>
        </w:tc>
        <w:tc>
          <w:tcPr>
            <w:tcW w:w="1332" w:type="pct"/>
            <w:tcBorders>
              <w:left w:val="single" w:sz="4" w:space="0" w:color="auto"/>
              <w:right w:val="single" w:sz="4" w:space="0" w:color="auto"/>
            </w:tcBorders>
            <w:shd w:val="clear" w:color="auto" w:fill="auto"/>
            <w:vAlign w:val="center"/>
          </w:tcPr>
          <w:p w14:paraId="1FED52E0" w14:textId="77777777" w:rsidR="000A68D7" w:rsidRPr="007D0AA8" w:rsidRDefault="000A68D7" w:rsidP="001A2B6F">
            <w:pPr>
              <w:spacing w:after="0" w:line="240" w:lineRule="auto"/>
              <w:rPr>
                <w:rFonts w:ascii="Arial Narrow" w:hAnsi="Arial Narrow" w:cs="Arial"/>
                <w:i/>
                <w:sz w:val="20"/>
                <w:szCs w:val="20"/>
                <w:lang w:val="en-GB" w:eastAsia="en-GB"/>
              </w:rPr>
            </w:pPr>
            <w:r w:rsidRPr="007D0AA8">
              <w:rPr>
                <w:rFonts w:ascii="Arial Narrow" w:hAnsi="Arial Narrow" w:cs="Arial"/>
                <w:i/>
                <w:sz w:val="20"/>
                <w:szCs w:val="20"/>
                <w:lang w:val="en-GB" w:eastAsia="en-GB"/>
              </w:rPr>
              <w:t>Serious infections per /patient /month in HM subset</w:t>
            </w:r>
          </w:p>
        </w:tc>
        <w:tc>
          <w:tcPr>
            <w:tcW w:w="1093" w:type="pct"/>
            <w:gridSpan w:val="2"/>
            <w:tcBorders>
              <w:left w:val="single" w:sz="4" w:space="0" w:color="auto"/>
              <w:right w:val="single" w:sz="4" w:space="0" w:color="auto"/>
            </w:tcBorders>
            <w:shd w:val="clear" w:color="auto" w:fill="auto"/>
            <w:noWrap/>
            <w:vAlign w:val="center"/>
          </w:tcPr>
          <w:p w14:paraId="6E911FDB" w14:textId="77777777" w:rsidR="000A68D7" w:rsidRPr="007D0AA8" w:rsidRDefault="000A68D7" w:rsidP="001A2B6F">
            <w:pPr>
              <w:spacing w:after="0" w:line="240" w:lineRule="auto"/>
              <w:jc w:val="right"/>
              <w:rPr>
                <w:rFonts w:ascii="Arial Narrow" w:hAnsi="Arial Narrow" w:cs="Arial"/>
                <w:i/>
                <w:sz w:val="20"/>
                <w:szCs w:val="20"/>
                <w:lang w:val="en-GB" w:eastAsia="en-GB"/>
              </w:rPr>
            </w:pPr>
            <w:r w:rsidRPr="007D0AA8">
              <w:rPr>
                <w:rFonts w:ascii="Arial Narrow" w:hAnsi="Arial Narrow" w:cs="Arial"/>
                <w:i/>
                <w:sz w:val="20"/>
                <w:szCs w:val="20"/>
                <w:lang w:val="en-GB" w:eastAsia="en-GB"/>
              </w:rPr>
              <w:t>11 infections in 15 patients: 0.061</w:t>
            </w:r>
          </w:p>
        </w:tc>
        <w:tc>
          <w:tcPr>
            <w:tcW w:w="1173" w:type="pct"/>
            <w:gridSpan w:val="2"/>
            <w:tcBorders>
              <w:left w:val="single" w:sz="4" w:space="0" w:color="auto"/>
              <w:right w:val="single" w:sz="4" w:space="0" w:color="auto"/>
            </w:tcBorders>
            <w:shd w:val="clear" w:color="auto" w:fill="auto"/>
            <w:noWrap/>
            <w:vAlign w:val="center"/>
          </w:tcPr>
          <w:p w14:paraId="50801582" w14:textId="77777777" w:rsidR="000A68D7" w:rsidRPr="007D0AA8" w:rsidRDefault="000A68D7" w:rsidP="001A2B6F">
            <w:pPr>
              <w:spacing w:after="0" w:line="240" w:lineRule="auto"/>
              <w:jc w:val="right"/>
              <w:rPr>
                <w:rFonts w:ascii="Arial Narrow" w:hAnsi="Arial Narrow" w:cs="Arial"/>
                <w:i/>
                <w:sz w:val="20"/>
                <w:szCs w:val="20"/>
                <w:lang w:val="en-GB" w:eastAsia="en-GB"/>
              </w:rPr>
            </w:pPr>
            <w:r w:rsidRPr="007D0AA8">
              <w:rPr>
                <w:rFonts w:ascii="Arial Narrow" w:hAnsi="Arial Narrow" w:cs="Arial"/>
                <w:i/>
                <w:sz w:val="20"/>
                <w:szCs w:val="20"/>
                <w:lang w:val="en-GB" w:eastAsia="en-GB"/>
              </w:rPr>
              <w:t>3 infections in 15 patients: 0.017</w:t>
            </w:r>
          </w:p>
        </w:tc>
        <w:tc>
          <w:tcPr>
            <w:tcW w:w="619" w:type="pct"/>
            <w:gridSpan w:val="2"/>
            <w:tcBorders>
              <w:left w:val="single" w:sz="4" w:space="0" w:color="auto"/>
              <w:bottom w:val="nil"/>
              <w:right w:val="single" w:sz="4" w:space="0" w:color="auto"/>
            </w:tcBorders>
          </w:tcPr>
          <w:p w14:paraId="5CC60D4B" w14:textId="77777777" w:rsidR="000A68D7" w:rsidRPr="007D0AA8" w:rsidRDefault="000A68D7" w:rsidP="001A2B6F">
            <w:pPr>
              <w:spacing w:after="0" w:line="240" w:lineRule="auto"/>
              <w:jc w:val="right"/>
              <w:rPr>
                <w:rFonts w:ascii="Arial Narrow" w:hAnsi="Arial Narrow"/>
                <w:i/>
                <w:sz w:val="20"/>
                <w:szCs w:val="20"/>
              </w:rPr>
            </w:pPr>
          </w:p>
        </w:tc>
      </w:tr>
      <w:tr w:rsidR="000A68D7" w:rsidRPr="007D0AA8" w14:paraId="339801F7" w14:textId="77777777" w:rsidTr="00B52A4F">
        <w:trPr>
          <w:jc w:val="center"/>
        </w:trPr>
        <w:tc>
          <w:tcPr>
            <w:tcW w:w="783" w:type="pct"/>
            <w:tcBorders>
              <w:top w:val="nil"/>
              <w:left w:val="single" w:sz="4" w:space="0" w:color="auto"/>
              <w:bottom w:val="nil"/>
              <w:right w:val="single" w:sz="4" w:space="0" w:color="auto"/>
            </w:tcBorders>
          </w:tcPr>
          <w:p w14:paraId="48E08754"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left w:val="single" w:sz="4" w:space="0" w:color="auto"/>
              <w:right w:val="single" w:sz="4" w:space="0" w:color="auto"/>
            </w:tcBorders>
            <w:shd w:val="clear" w:color="auto" w:fill="auto"/>
            <w:vAlign w:val="center"/>
          </w:tcPr>
          <w:p w14:paraId="68B470CA" w14:textId="77777777" w:rsidR="000A68D7" w:rsidRPr="007D0AA8" w:rsidRDefault="000A68D7" w:rsidP="00331FB9">
            <w:pPr>
              <w:pStyle w:val="ListParagraph"/>
              <w:numPr>
                <w:ilvl w:val="0"/>
                <w:numId w:val="15"/>
              </w:numPr>
              <w:spacing w:after="0" w:line="240" w:lineRule="auto"/>
              <w:ind w:left="175" w:hanging="142"/>
              <w:rPr>
                <w:rFonts w:ascii="Arial Narrow" w:hAnsi="Arial Narrow"/>
                <w:sz w:val="20"/>
                <w:szCs w:val="20"/>
              </w:rPr>
            </w:pPr>
            <w:r w:rsidRPr="007D0AA8">
              <w:rPr>
                <w:rFonts w:ascii="Arial Narrow" w:hAnsi="Arial Narrow" w:cs="Arial"/>
                <w:sz w:val="20"/>
                <w:szCs w:val="20"/>
                <w:lang w:val="en-GB" w:eastAsia="en-GB"/>
              </w:rPr>
              <w:t>Pneumonia</w:t>
            </w:r>
          </w:p>
        </w:tc>
        <w:tc>
          <w:tcPr>
            <w:tcW w:w="1093" w:type="pct"/>
            <w:gridSpan w:val="2"/>
            <w:tcBorders>
              <w:left w:val="single" w:sz="4" w:space="0" w:color="auto"/>
              <w:right w:val="single" w:sz="4" w:space="0" w:color="auto"/>
            </w:tcBorders>
            <w:shd w:val="clear" w:color="auto" w:fill="auto"/>
            <w:noWrap/>
            <w:vAlign w:val="center"/>
          </w:tcPr>
          <w:p w14:paraId="6D57D5F7"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20"/>
                <w:lang w:val="en-GB" w:eastAsia="en-GB"/>
              </w:rPr>
              <w:t>13 (52.0%)</w:t>
            </w:r>
          </w:p>
        </w:tc>
        <w:tc>
          <w:tcPr>
            <w:tcW w:w="1173" w:type="pct"/>
            <w:gridSpan w:val="2"/>
            <w:tcBorders>
              <w:left w:val="single" w:sz="4" w:space="0" w:color="auto"/>
              <w:right w:val="single" w:sz="4" w:space="0" w:color="auto"/>
            </w:tcBorders>
            <w:shd w:val="clear" w:color="auto" w:fill="auto"/>
            <w:noWrap/>
            <w:vAlign w:val="center"/>
          </w:tcPr>
          <w:p w14:paraId="5DB843BD"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20"/>
                <w:lang w:val="en-GB" w:eastAsia="en-GB"/>
              </w:rPr>
              <w:t>0 (0.0%)</w:t>
            </w:r>
          </w:p>
        </w:tc>
        <w:tc>
          <w:tcPr>
            <w:tcW w:w="619" w:type="pct"/>
            <w:gridSpan w:val="2"/>
            <w:tcBorders>
              <w:top w:val="nil"/>
              <w:left w:val="single" w:sz="4" w:space="0" w:color="auto"/>
              <w:bottom w:val="nil"/>
              <w:right w:val="single" w:sz="4" w:space="0" w:color="auto"/>
            </w:tcBorders>
          </w:tcPr>
          <w:p w14:paraId="010B8FCB" w14:textId="77777777" w:rsidR="000A68D7" w:rsidRPr="007D0AA8" w:rsidRDefault="000A68D7" w:rsidP="001A2B6F">
            <w:pPr>
              <w:spacing w:after="0" w:line="240" w:lineRule="auto"/>
              <w:jc w:val="right"/>
              <w:rPr>
                <w:rFonts w:ascii="Arial Narrow" w:hAnsi="Arial Narrow"/>
                <w:sz w:val="20"/>
                <w:szCs w:val="20"/>
              </w:rPr>
            </w:pPr>
          </w:p>
        </w:tc>
      </w:tr>
      <w:tr w:rsidR="000A68D7" w:rsidRPr="007D0AA8" w14:paraId="0B4C3956" w14:textId="77777777" w:rsidTr="00B52A4F">
        <w:trPr>
          <w:jc w:val="center"/>
        </w:trPr>
        <w:tc>
          <w:tcPr>
            <w:tcW w:w="783" w:type="pct"/>
            <w:tcBorders>
              <w:top w:val="nil"/>
              <w:left w:val="single" w:sz="4" w:space="0" w:color="auto"/>
              <w:bottom w:val="nil"/>
              <w:right w:val="single" w:sz="4" w:space="0" w:color="auto"/>
            </w:tcBorders>
          </w:tcPr>
          <w:p w14:paraId="69902271"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left w:val="single" w:sz="4" w:space="0" w:color="auto"/>
              <w:right w:val="single" w:sz="4" w:space="0" w:color="auto"/>
            </w:tcBorders>
            <w:shd w:val="clear" w:color="auto" w:fill="auto"/>
            <w:vAlign w:val="center"/>
          </w:tcPr>
          <w:p w14:paraId="598639DB" w14:textId="77777777" w:rsidR="000A68D7" w:rsidRPr="007D0AA8" w:rsidRDefault="000A68D7" w:rsidP="00331FB9">
            <w:pPr>
              <w:pStyle w:val="ListParagraph"/>
              <w:numPr>
                <w:ilvl w:val="0"/>
                <w:numId w:val="15"/>
              </w:numPr>
              <w:spacing w:after="0" w:line="240" w:lineRule="auto"/>
              <w:ind w:left="175" w:hanging="142"/>
              <w:rPr>
                <w:rFonts w:ascii="Arial Narrow" w:hAnsi="Arial Narrow"/>
                <w:sz w:val="20"/>
                <w:szCs w:val="20"/>
              </w:rPr>
            </w:pPr>
            <w:r w:rsidRPr="007D0AA8">
              <w:rPr>
                <w:rFonts w:ascii="Arial Narrow" w:hAnsi="Arial Narrow" w:cs="Arial"/>
                <w:sz w:val="20"/>
                <w:szCs w:val="20"/>
                <w:lang w:val="en-GB" w:eastAsia="en-GB"/>
              </w:rPr>
              <w:t>Sepsis</w:t>
            </w:r>
          </w:p>
        </w:tc>
        <w:tc>
          <w:tcPr>
            <w:tcW w:w="1093" w:type="pct"/>
            <w:gridSpan w:val="2"/>
            <w:tcBorders>
              <w:left w:val="single" w:sz="4" w:space="0" w:color="auto"/>
              <w:right w:val="single" w:sz="4" w:space="0" w:color="auto"/>
            </w:tcBorders>
            <w:shd w:val="clear" w:color="auto" w:fill="auto"/>
            <w:noWrap/>
            <w:vAlign w:val="center"/>
          </w:tcPr>
          <w:p w14:paraId="0D665ED4"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20"/>
                <w:lang w:val="en-GB" w:eastAsia="en-GB"/>
              </w:rPr>
              <w:t>8 (32.0%)</w:t>
            </w:r>
          </w:p>
        </w:tc>
        <w:tc>
          <w:tcPr>
            <w:tcW w:w="1173" w:type="pct"/>
            <w:gridSpan w:val="2"/>
            <w:tcBorders>
              <w:left w:val="single" w:sz="4" w:space="0" w:color="auto"/>
              <w:right w:val="single" w:sz="4" w:space="0" w:color="auto"/>
            </w:tcBorders>
            <w:shd w:val="clear" w:color="auto" w:fill="auto"/>
            <w:noWrap/>
            <w:vAlign w:val="center"/>
          </w:tcPr>
          <w:p w14:paraId="2B509D72"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20"/>
                <w:lang w:val="en-GB" w:eastAsia="en-GB"/>
              </w:rPr>
              <w:t>3 (42.9 %)</w:t>
            </w:r>
          </w:p>
        </w:tc>
        <w:tc>
          <w:tcPr>
            <w:tcW w:w="619" w:type="pct"/>
            <w:gridSpan w:val="2"/>
            <w:tcBorders>
              <w:top w:val="nil"/>
              <w:left w:val="single" w:sz="4" w:space="0" w:color="auto"/>
              <w:bottom w:val="nil"/>
              <w:right w:val="single" w:sz="4" w:space="0" w:color="auto"/>
            </w:tcBorders>
          </w:tcPr>
          <w:p w14:paraId="4EB4DB41" w14:textId="77777777" w:rsidR="000A68D7" w:rsidRPr="007D0AA8" w:rsidRDefault="000A68D7" w:rsidP="001A2B6F">
            <w:pPr>
              <w:spacing w:after="0" w:line="240" w:lineRule="auto"/>
              <w:jc w:val="right"/>
              <w:rPr>
                <w:rFonts w:ascii="Arial Narrow" w:hAnsi="Arial Narrow"/>
                <w:sz w:val="20"/>
                <w:szCs w:val="20"/>
              </w:rPr>
            </w:pPr>
          </w:p>
        </w:tc>
      </w:tr>
      <w:tr w:rsidR="000A68D7" w:rsidRPr="007D0AA8" w14:paraId="38351071" w14:textId="77777777" w:rsidTr="00B52A4F">
        <w:trPr>
          <w:jc w:val="center"/>
        </w:trPr>
        <w:tc>
          <w:tcPr>
            <w:tcW w:w="783" w:type="pct"/>
            <w:tcBorders>
              <w:top w:val="nil"/>
              <w:left w:val="single" w:sz="4" w:space="0" w:color="auto"/>
              <w:bottom w:val="nil"/>
              <w:right w:val="single" w:sz="4" w:space="0" w:color="auto"/>
            </w:tcBorders>
          </w:tcPr>
          <w:p w14:paraId="0640613A"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left w:val="single" w:sz="4" w:space="0" w:color="auto"/>
              <w:right w:val="single" w:sz="4" w:space="0" w:color="auto"/>
            </w:tcBorders>
            <w:shd w:val="clear" w:color="auto" w:fill="auto"/>
            <w:vAlign w:val="center"/>
          </w:tcPr>
          <w:p w14:paraId="6EDE9E66" w14:textId="77777777" w:rsidR="000A68D7" w:rsidRPr="007D0AA8" w:rsidRDefault="000A68D7" w:rsidP="00331FB9">
            <w:pPr>
              <w:pStyle w:val="ListParagraph"/>
              <w:numPr>
                <w:ilvl w:val="0"/>
                <w:numId w:val="15"/>
              </w:numPr>
              <w:spacing w:after="0" w:line="240" w:lineRule="auto"/>
              <w:ind w:left="175" w:hanging="142"/>
              <w:rPr>
                <w:rFonts w:ascii="Arial Narrow" w:hAnsi="Arial Narrow"/>
                <w:sz w:val="20"/>
                <w:szCs w:val="20"/>
              </w:rPr>
            </w:pPr>
            <w:r w:rsidRPr="007D0AA8">
              <w:rPr>
                <w:rFonts w:ascii="Arial Narrow" w:hAnsi="Arial Narrow" w:cs="Arial"/>
                <w:sz w:val="20"/>
                <w:szCs w:val="20"/>
                <w:lang w:val="en-GB" w:eastAsia="en-GB"/>
              </w:rPr>
              <w:t>Meningitis</w:t>
            </w:r>
          </w:p>
        </w:tc>
        <w:tc>
          <w:tcPr>
            <w:tcW w:w="1093" w:type="pct"/>
            <w:gridSpan w:val="2"/>
            <w:tcBorders>
              <w:left w:val="single" w:sz="4" w:space="0" w:color="auto"/>
              <w:right w:val="single" w:sz="4" w:space="0" w:color="auto"/>
            </w:tcBorders>
            <w:shd w:val="clear" w:color="auto" w:fill="auto"/>
            <w:noWrap/>
            <w:vAlign w:val="center"/>
          </w:tcPr>
          <w:p w14:paraId="6D6F8EF6"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20"/>
                <w:lang w:val="en-GB" w:eastAsia="en-GB"/>
              </w:rPr>
              <w:t>0 (0.0%)</w:t>
            </w:r>
          </w:p>
        </w:tc>
        <w:tc>
          <w:tcPr>
            <w:tcW w:w="1173" w:type="pct"/>
            <w:gridSpan w:val="2"/>
            <w:tcBorders>
              <w:left w:val="single" w:sz="4" w:space="0" w:color="auto"/>
              <w:right w:val="single" w:sz="4" w:space="0" w:color="auto"/>
            </w:tcBorders>
            <w:shd w:val="clear" w:color="auto" w:fill="auto"/>
            <w:noWrap/>
            <w:vAlign w:val="center"/>
          </w:tcPr>
          <w:p w14:paraId="6BCC6063"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20"/>
                <w:lang w:val="en-GB" w:eastAsia="en-GB"/>
              </w:rPr>
              <w:t>0 (0.0%)</w:t>
            </w:r>
          </w:p>
        </w:tc>
        <w:tc>
          <w:tcPr>
            <w:tcW w:w="619" w:type="pct"/>
            <w:gridSpan w:val="2"/>
            <w:tcBorders>
              <w:top w:val="nil"/>
              <w:left w:val="single" w:sz="4" w:space="0" w:color="auto"/>
              <w:bottom w:val="nil"/>
              <w:right w:val="single" w:sz="4" w:space="0" w:color="auto"/>
            </w:tcBorders>
          </w:tcPr>
          <w:p w14:paraId="1A9A9AE5" w14:textId="77777777" w:rsidR="000A68D7" w:rsidRPr="007D0AA8" w:rsidRDefault="000A68D7" w:rsidP="001A2B6F">
            <w:pPr>
              <w:spacing w:after="0" w:line="240" w:lineRule="auto"/>
              <w:jc w:val="right"/>
              <w:rPr>
                <w:rFonts w:ascii="Arial Narrow" w:hAnsi="Arial Narrow"/>
                <w:sz w:val="20"/>
                <w:szCs w:val="20"/>
              </w:rPr>
            </w:pPr>
          </w:p>
        </w:tc>
      </w:tr>
      <w:tr w:rsidR="000A68D7" w:rsidRPr="007D0AA8" w14:paraId="0023443B" w14:textId="77777777" w:rsidTr="00B52A4F">
        <w:trPr>
          <w:jc w:val="center"/>
        </w:trPr>
        <w:tc>
          <w:tcPr>
            <w:tcW w:w="783" w:type="pct"/>
            <w:tcBorders>
              <w:top w:val="nil"/>
              <w:left w:val="single" w:sz="4" w:space="0" w:color="auto"/>
              <w:bottom w:val="nil"/>
              <w:right w:val="single" w:sz="4" w:space="0" w:color="auto"/>
            </w:tcBorders>
          </w:tcPr>
          <w:p w14:paraId="66C4A34E"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left w:val="single" w:sz="4" w:space="0" w:color="auto"/>
              <w:right w:val="single" w:sz="4" w:space="0" w:color="auto"/>
            </w:tcBorders>
            <w:shd w:val="clear" w:color="auto" w:fill="auto"/>
            <w:vAlign w:val="center"/>
          </w:tcPr>
          <w:p w14:paraId="20B9C287" w14:textId="77777777" w:rsidR="000A68D7" w:rsidRPr="007D0AA8" w:rsidRDefault="000A68D7" w:rsidP="00331FB9">
            <w:pPr>
              <w:pStyle w:val="ListParagraph"/>
              <w:numPr>
                <w:ilvl w:val="0"/>
                <w:numId w:val="15"/>
              </w:numPr>
              <w:spacing w:after="0" w:line="240" w:lineRule="auto"/>
              <w:ind w:left="175" w:hanging="142"/>
              <w:rPr>
                <w:rFonts w:ascii="Arial Narrow" w:hAnsi="Arial Narrow"/>
                <w:sz w:val="20"/>
                <w:szCs w:val="20"/>
              </w:rPr>
            </w:pPr>
            <w:r w:rsidRPr="007D0AA8">
              <w:rPr>
                <w:rFonts w:ascii="Arial Narrow" w:hAnsi="Arial Narrow" w:cs="Arial"/>
                <w:sz w:val="20"/>
                <w:szCs w:val="20"/>
                <w:lang w:val="en-GB" w:eastAsia="en-GB"/>
              </w:rPr>
              <w:t>Infective exacerbation, asthma or COPD</w:t>
            </w:r>
          </w:p>
        </w:tc>
        <w:tc>
          <w:tcPr>
            <w:tcW w:w="1093" w:type="pct"/>
            <w:gridSpan w:val="2"/>
            <w:tcBorders>
              <w:left w:val="single" w:sz="4" w:space="0" w:color="auto"/>
              <w:right w:val="single" w:sz="4" w:space="0" w:color="auto"/>
            </w:tcBorders>
            <w:shd w:val="clear" w:color="auto" w:fill="auto"/>
            <w:noWrap/>
            <w:vAlign w:val="center"/>
          </w:tcPr>
          <w:p w14:paraId="11686AB2"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20"/>
                <w:lang w:val="en-GB" w:eastAsia="en-GB"/>
              </w:rPr>
              <w:t>1 (4.0%)</w:t>
            </w:r>
          </w:p>
        </w:tc>
        <w:tc>
          <w:tcPr>
            <w:tcW w:w="1173" w:type="pct"/>
            <w:gridSpan w:val="2"/>
            <w:tcBorders>
              <w:left w:val="single" w:sz="4" w:space="0" w:color="auto"/>
              <w:right w:val="single" w:sz="4" w:space="0" w:color="auto"/>
            </w:tcBorders>
            <w:shd w:val="clear" w:color="auto" w:fill="auto"/>
            <w:noWrap/>
            <w:vAlign w:val="center"/>
          </w:tcPr>
          <w:p w14:paraId="6DD1E43C"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20"/>
                <w:lang w:val="en-GB" w:eastAsia="en-GB"/>
              </w:rPr>
              <w:t>2 (28.6%)</w:t>
            </w:r>
          </w:p>
        </w:tc>
        <w:tc>
          <w:tcPr>
            <w:tcW w:w="619" w:type="pct"/>
            <w:gridSpan w:val="2"/>
            <w:tcBorders>
              <w:top w:val="nil"/>
              <w:left w:val="single" w:sz="4" w:space="0" w:color="auto"/>
              <w:bottom w:val="nil"/>
              <w:right w:val="single" w:sz="4" w:space="0" w:color="auto"/>
            </w:tcBorders>
          </w:tcPr>
          <w:p w14:paraId="282DCD21" w14:textId="77777777" w:rsidR="000A68D7" w:rsidRPr="007D0AA8" w:rsidRDefault="000A68D7" w:rsidP="001A2B6F">
            <w:pPr>
              <w:spacing w:after="0" w:line="240" w:lineRule="auto"/>
              <w:jc w:val="right"/>
              <w:rPr>
                <w:rFonts w:ascii="Arial Narrow" w:hAnsi="Arial Narrow"/>
                <w:sz w:val="20"/>
                <w:szCs w:val="20"/>
              </w:rPr>
            </w:pPr>
          </w:p>
        </w:tc>
      </w:tr>
      <w:tr w:rsidR="000A68D7" w:rsidRPr="007D0AA8" w14:paraId="29EE0684" w14:textId="77777777" w:rsidTr="00B52A4F">
        <w:trPr>
          <w:jc w:val="center"/>
        </w:trPr>
        <w:tc>
          <w:tcPr>
            <w:tcW w:w="783" w:type="pct"/>
            <w:tcBorders>
              <w:top w:val="nil"/>
              <w:left w:val="single" w:sz="4" w:space="0" w:color="auto"/>
              <w:bottom w:val="nil"/>
              <w:right w:val="single" w:sz="4" w:space="0" w:color="auto"/>
            </w:tcBorders>
          </w:tcPr>
          <w:p w14:paraId="63FD4BB8"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top w:val="nil"/>
              <w:left w:val="single" w:sz="4" w:space="0" w:color="auto"/>
              <w:bottom w:val="single" w:sz="4" w:space="0" w:color="auto"/>
              <w:right w:val="single" w:sz="4" w:space="0" w:color="auto"/>
            </w:tcBorders>
            <w:vAlign w:val="center"/>
          </w:tcPr>
          <w:p w14:paraId="074ECC35" w14:textId="77777777" w:rsidR="000A68D7" w:rsidRPr="007D0AA8" w:rsidRDefault="000A68D7" w:rsidP="00331FB9">
            <w:pPr>
              <w:pStyle w:val="ListParagraph"/>
              <w:numPr>
                <w:ilvl w:val="0"/>
                <w:numId w:val="15"/>
              </w:numPr>
              <w:spacing w:after="0" w:line="240" w:lineRule="auto"/>
              <w:ind w:left="175" w:hanging="142"/>
              <w:rPr>
                <w:rFonts w:ascii="Arial Narrow" w:hAnsi="Arial Narrow"/>
                <w:sz w:val="20"/>
                <w:szCs w:val="20"/>
              </w:rPr>
            </w:pPr>
            <w:r w:rsidRPr="007D0AA8">
              <w:rPr>
                <w:rFonts w:ascii="Arial Narrow" w:hAnsi="Arial Narrow" w:cs="Arial"/>
                <w:sz w:val="20"/>
                <w:szCs w:val="20"/>
                <w:lang w:val="en-GB" w:eastAsia="en-GB"/>
              </w:rPr>
              <w:t>Other</w:t>
            </w:r>
          </w:p>
        </w:tc>
        <w:tc>
          <w:tcPr>
            <w:tcW w:w="1093" w:type="pct"/>
            <w:gridSpan w:val="2"/>
            <w:tcBorders>
              <w:left w:val="single" w:sz="4" w:space="0" w:color="auto"/>
              <w:bottom w:val="single" w:sz="4" w:space="0" w:color="auto"/>
              <w:right w:val="single" w:sz="4" w:space="0" w:color="auto"/>
            </w:tcBorders>
            <w:shd w:val="clear" w:color="auto" w:fill="auto"/>
            <w:noWrap/>
            <w:vAlign w:val="center"/>
          </w:tcPr>
          <w:p w14:paraId="74FCC081"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20"/>
                <w:lang w:val="en-GB" w:eastAsia="en-GB"/>
              </w:rPr>
              <w:t>3 (12%)</w:t>
            </w:r>
          </w:p>
        </w:tc>
        <w:tc>
          <w:tcPr>
            <w:tcW w:w="1173" w:type="pct"/>
            <w:gridSpan w:val="2"/>
            <w:tcBorders>
              <w:left w:val="single" w:sz="4" w:space="0" w:color="auto"/>
              <w:bottom w:val="single" w:sz="4" w:space="0" w:color="auto"/>
              <w:right w:val="single" w:sz="4" w:space="0" w:color="auto"/>
            </w:tcBorders>
            <w:shd w:val="clear" w:color="auto" w:fill="auto"/>
            <w:noWrap/>
            <w:vAlign w:val="center"/>
          </w:tcPr>
          <w:p w14:paraId="1F71F7FF"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20"/>
                <w:lang w:val="en-GB" w:eastAsia="en-GB"/>
              </w:rPr>
              <w:t>2 (28.6%)</w:t>
            </w:r>
          </w:p>
        </w:tc>
        <w:tc>
          <w:tcPr>
            <w:tcW w:w="619" w:type="pct"/>
            <w:gridSpan w:val="2"/>
            <w:tcBorders>
              <w:top w:val="nil"/>
              <w:left w:val="single" w:sz="4" w:space="0" w:color="auto"/>
              <w:bottom w:val="single" w:sz="4" w:space="0" w:color="auto"/>
              <w:right w:val="single" w:sz="4" w:space="0" w:color="auto"/>
            </w:tcBorders>
          </w:tcPr>
          <w:p w14:paraId="7243B119" w14:textId="77777777" w:rsidR="000A68D7" w:rsidRPr="007D0AA8" w:rsidRDefault="000A68D7" w:rsidP="001A2B6F">
            <w:pPr>
              <w:spacing w:after="0" w:line="240" w:lineRule="auto"/>
              <w:jc w:val="right"/>
              <w:rPr>
                <w:rFonts w:ascii="Arial Narrow" w:hAnsi="Arial Narrow"/>
                <w:sz w:val="20"/>
                <w:szCs w:val="20"/>
              </w:rPr>
            </w:pPr>
          </w:p>
        </w:tc>
      </w:tr>
      <w:tr w:rsidR="000A68D7" w:rsidRPr="007D0AA8" w14:paraId="2D8C3A4B" w14:textId="77777777" w:rsidTr="00B52A4F">
        <w:trPr>
          <w:jc w:val="center"/>
        </w:trPr>
        <w:tc>
          <w:tcPr>
            <w:tcW w:w="783" w:type="pct"/>
            <w:tcBorders>
              <w:top w:val="nil"/>
              <w:left w:val="single" w:sz="4" w:space="0" w:color="auto"/>
              <w:bottom w:val="nil"/>
              <w:right w:val="single" w:sz="4" w:space="0" w:color="auto"/>
            </w:tcBorders>
          </w:tcPr>
          <w:p w14:paraId="2B7CC84D"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top w:val="single" w:sz="4" w:space="0" w:color="auto"/>
              <w:left w:val="single" w:sz="4" w:space="0" w:color="auto"/>
              <w:right w:val="single" w:sz="4" w:space="0" w:color="auto"/>
            </w:tcBorders>
            <w:shd w:val="clear" w:color="auto" w:fill="auto"/>
          </w:tcPr>
          <w:p w14:paraId="6D1CFD59" w14:textId="77777777" w:rsidR="000A68D7" w:rsidRPr="007D0AA8" w:rsidRDefault="000A68D7" w:rsidP="001A2B6F">
            <w:pPr>
              <w:spacing w:after="0" w:line="240" w:lineRule="auto"/>
              <w:rPr>
                <w:rFonts w:ascii="Arial Narrow" w:hAnsi="Arial Narrow" w:cs="Arial"/>
                <w:sz w:val="20"/>
                <w:szCs w:val="20"/>
                <w:lang w:val="en-GB" w:eastAsia="en-GB"/>
              </w:rPr>
            </w:pPr>
            <w:r w:rsidRPr="007D0AA8">
              <w:rPr>
                <w:rFonts w:ascii="Arial Narrow" w:hAnsi="Arial Narrow" w:cs="Arial"/>
                <w:sz w:val="20"/>
                <w:szCs w:val="20"/>
                <w:lang w:val="en-GB" w:eastAsia="en-GB"/>
              </w:rPr>
              <w:t>Non-serious infections</w:t>
            </w:r>
          </w:p>
          <w:p w14:paraId="0C303533" w14:textId="77777777" w:rsidR="000A68D7" w:rsidRPr="007D0AA8" w:rsidRDefault="000A68D7" w:rsidP="001A2B6F">
            <w:pPr>
              <w:spacing w:after="0" w:line="240" w:lineRule="auto"/>
              <w:rPr>
                <w:rFonts w:ascii="Arial Narrow" w:hAnsi="Arial Narrow"/>
                <w:sz w:val="20"/>
                <w:szCs w:val="20"/>
              </w:rPr>
            </w:pPr>
            <w:r w:rsidRPr="007D0AA8">
              <w:rPr>
                <w:rFonts w:ascii="Arial Narrow" w:hAnsi="Arial Narrow" w:cs="Arial"/>
                <w:i/>
                <w:sz w:val="20"/>
                <w:szCs w:val="20"/>
                <w:lang w:val="en-GB" w:eastAsia="en-GB"/>
              </w:rPr>
              <w:t>(Haem. malignancy patients n/N=15/39)</w:t>
            </w:r>
          </w:p>
        </w:tc>
        <w:tc>
          <w:tcPr>
            <w:tcW w:w="1093" w:type="pct"/>
            <w:gridSpan w:val="2"/>
            <w:tcBorders>
              <w:top w:val="single" w:sz="4" w:space="0" w:color="auto"/>
              <w:left w:val="single" w:sz="4" w:space="0" w:color="auto"/>
              <w:right w:val="single" w:sz="4" w:space="0" w:color="auto"/>
            </w:tcBorders>
            <w:shd w:val="clear" w:color="auto" w:fill="auto"/>
            <w:noWrap/>
          </w:tcPr>
          <w:p w14:paraId="30758E5D" w14:textId="77777777" w:rsidR="000A68D7" w:rsidRPr="007D0AA8" w:rsidRDefault="000A68D7" w:rsidP="001A2B6F">
            <w:pPr>
              <w:spacing w:after="0" w:line="240" w:lineRule="auto"/>
              <w:jc w:val="right"/>
              <w:rPr>
                <w:rFonts w:ascii="Arial Narrow" w:hAnsi="Arial Narrow" w:cs="Arial"/>
                <w:sz w:val="20"/>
                <w:szCs w:val="18"/>
                <w:lang w:val="en-GB" w:eastAsia="en-GB"/>
              </w:rPr>
            </w:pPr>
            <w:r w:rsidRPr="007D0AA8">
              <w:rPr>
                <w:rFonts w:ascii="Arial Narrow" w:hAnsi="Arial Narrow" w:cs="Arial"/>
                <w:sz w:val="20"/>
                <w:szCs w:val="18"/>
                <w:lang w:val="en-GB" w:eastAsia="en-GB"/>
              </w:rPr>
              <w:t>122</w:t>
            </w:r>
          </w:p>
          <w:p w14:paraId="28E35F67" w14:textId="77777777" w:rsidR="000A68D7" w:rsidRPr="007D0AA8" w:rsidRDefault="000A68D7" w:rsidP="001A2B6F">
            <w:pPr>
              <w:spacing w:after="0" w:line="240" w:lineRule="auto"/>
              <w:jc w:val="right"/>
              <w:rPr>
                <w:rFonts w:ascii="Arial Narrow" w:hAnsi="Arial Narrow"/>
                <w:i/>
                <w:sz w:val="20"/>
                <w:szCs w:val="20"/>
                <w:highlight w:val="yellow"/>
              </w:rPr>
            </w:pPr>
            <w:r w:rsidRPr="007D0AA8">
              <w:rPr>
                <w:rFonts w:ascii="Arial Narrow" w:hAnsi="Arial Narrow" w:cs="Arial"/>
                <w:i/>
                <w:sz w:val="20"/>
                <w:szCs w:val="18"/>
                <w:lang w:val="en-GB" w:eastAsia="en-GB"/>
              </w:rPr>
              <w:t>(37)</w:t>
            </w:r>
          </w:p>
        </w:tc>
        <w:tc>
          <w:tcPr>
            <w:tcW w:w="1173" w:type="pct"/>
            <w:gridSpan w:val="2"/>
            <w:tcBorders>
              <w:top w:val="single" w:sz="4" w:space="0" w:color="auto"/>
              <w:left w:val="single" w:sz="4" w:space="0" w:color="auto"/>
              <w:right w:val="single" w:sz="4" w:space="0" w:color="auto"/>
            </w:tcBorders>
            <w:shd w:val="clear" w:color="auto" w:fill="auto"/>
            <w:noWrap/>
          </w:tcPr>
          <w:p w14:paraId="35CFAF30" w14:textId="77777777" w:rsidR="000A68D7" w:rsidRPr="007D0AA8" w:rsidRDefault="000A68D7" w:rsidP="001A2B6F">
            <w:pPr>
              <w:spacing w:after="0" w:line="240" w:lineRule="auto"/>
              <w:jc w:val="right"/>
              <w:rPr>
                <w:rFonts w:ascii="Arial Narrow" w:hAnsi="Arial Narrow" w:cs="Arial"/>
                <w:sz w:val="20"/>
                <w:szCs w:val="18"/>
                <w:lang w:val="en-GB" w:eastAsia="en-GB"/>
              </w:rPr>
            </w:pPr>
            <w:r w:rsidRPr="007D0AA8">
              <w:rPr>
                <w:rFonts w:ascii="Arial Narrow" w:hAnsi="Arial Narrow" w:cs="Arial"/>
                <w:sz w:val="20"/>
                <w:szCs w:val="18"/>
                <w:lang w:val="en-GB" w:eastAsia="en-GB"/>
              </w:rPr>
              <w:t>56</w:t>
            </w:r>
          </w:p>
          <w:p w14:paraId="7B8083D3" w14:textId="77777777" w:rsidR="000A68D7" w:rsidRPr="007D0AA8" w:rsidRDefault="000A68D7" w:rsidP="001A2B6F">
            <w:pPr>
              <w:spacing w:after="0" w:line="240" w:lineRule="auto"/>
              <w:jc w:val="right"/>
              <w:rPr>
                <w:rFonts w:ascii="Arial Narrow" w:hAnsi="Arial Narrow"/>
                <w:i/>
                <w:sz w:val="20"/>
                <w:szCs w:val="20"/>
                <w:highlight w:val="yellow"/>
              </w:rPr>
            </w:pPr>
            <w:r w:rsidRPr="007D0AA8">
              <w:rPr>
                <w:rFonts w:ascii="Arial Narrow" w:hAnsi="Arial Narrow" w:cs="Arial"/>
                <w:i/>
                <w:sz w:val="20"/>
                <w:szCs w:val="18"/>
                <w:lang w:val="en-GB" w:eastAsia="en-GB"/>
              </w:rPr>
              <w:t>(21)</w:t>
            </w:r>
          </w:p>
        </w:tc>
        <w:tc>
          <w:tcPr>
            <w:tcW w:w="619" w:type="pct"/>
            <w:gridSpan w:val="2"/>
            <w:tcBorders>
              <w:top w:val="single" w:sz="4" w:space="0" w:color="auto"/>
              <w:left w:val="single" w:sz="4" w:space="0" w:color="auto"/>
              <w:bottom w:val="nil"/>
              <w:right w:val="single" w:sz="4" w:space="0" w:color="auto"/>
            </w:tcBorders>
          </w:tcPr>
          <w:p w14:paraId="0C4E291F" w14:textId="77777777" w:rsidR="000A68D7" w:rsidRPr="007D0AA8" w:rsidRDefault="000A68D7" w:rsidP="001A2B6F">
            <w:pPr>
              <w:tabs>
                <w:tab w:val="right" w:pos="1204"/>
              </w:tabs>
              <w:spacing w:after="0" w:line="240" w:lineRule="auto"/>
              <w:jc w:val="right"/>
              <w:rPr>
                <w:rFonts w:ascii="Arial Narrow" w:hAnsi="Arial Narrow"/>
                <w:sz w:val="20"/>
                <w:szCs w:val="20"/>
              </w:rPr>
            </w:pPr>
            <w:r w:rsidRPr="007D0AA8">
              <w:rPr>
                <w:rFonts w:ascii="Arial Narrow" w:hAnsi="Arial Narrow"/>
                <w:sz w:val="20"/>
                <w:szCs w:val="20"/>
              </w:rPr>
              <w:t>p=0.0023</w:t>
            </w:r>
          </w:p>
        </w:tc>
      </w:tr>
      <w:tr w:rsidR="000A68D7" w:rsidRPr="007D0AA8" w14:paraId="2577288B" w14:textId="77777777" w:rsidTr="00B52A4F">
        <w:trPr>
          <w:jc w:val="center"/>
        </w:trPr>
        <w:tc>
          <w:tcPr>
            <w:tcW w:w="783" w:type="pct"/>
            <w:tcBorders>
              <w:top w:val="nil"/>
              <w:left w:val="single" w:sz="4" w:space="0" w:color="auto"/>
              <w:bottom w:val="nil"/>
              <w:right w:val="single" w:sz="4" w:space="0" w:color="auto"/>
            </w:tcBorders>
          </w:tcPr>
          <w:p w14:paraId="77A51347" w14:textId="77777777" w:rsidR="000A68D7" w:rsidRPr="007D0AA8" w:rsidRDefault="000A68D7" w:rsidP="001A2B6F">
            <w:pPr>
              <w:spacing w:after="0" w:line="240" w:lineRule="auto"/>
              <w:rPr>
                <w:rFonts w:ascii="Arial Narrow" w:hAnsi="Arial Narrow" w:cs="Calibri"/>
                <w:i/>
                <w:color w:val="000000"/>
                <w:sz w:val="20"/>
                <w:szCs w:val="20"/>
              </w:rPr>
            </w:pPr>
          </w:p>
        </w:tc>
        <w:tc>
          <w:tcPr>
            <w:tcW w:w="1332" w:type="pct"/>
            <w:tcBorders>
              <w:left w:val="single" w:sz="4" w:space="0" w:color="auto"/>
              <w:right w:val="single" w:sz="4" w:space="0" w:color="auto"/>
            </w:tcBorders>
            <w:shd w:val="clear" w:color="auto" w:fill="auto"/>
            <w:vAlign w:val="center"/>
          </w:tcPr>
          <w:p w14:paraId="12E1884D" w14:textId="77777777" w:rsidR="000A68D7" w:rsidRPr="007D0AA8" w:rsidRDefault="000A68D7" w:rsidP="001A2B6F">
            <w:pPr>
              <w:spacing w:after="0" w:line="240" w:lineRule="auto"/>
              <w:rPr>
                <w:rFonts w:ascii="Arial Narrow" w:hAnsi="Arial Narrow" w:cs="Arial"/>
                <w:i/>
                <w:sz w:val="20"/>
                <w:szCs w:val="20"/>
                <w:lang w:val="en-GB" w:eastAsia="en-GB"/>
              </w:rPr>
            </w:pPr>
            <w:r w:rsidRPr="007D0AA8">
              <w:rPr>
                <w:rFonts w:ascii="Arial Narrow" w:hAnsi="Arial Narrow" w:cs="Arial"/>
                <w:i/>
                <w:sz w:val="20"/>
                <w:szCs w:val="20"/>
                <w:lang w:val="en-GB" w:eastAsia="en-GB"/>
              </w:rPr>
              <w:t>Non-serious infections per /patient /month in HM subset</w:t>
            </w:r>
          </w:p>
        </w:tc>
        <w:tc>
          <w:tcPr>
            <w:tcW w:w="1093" w:type="pct"/>
            <w:gridSpan w:val="2"/>
            <w:tcBorders>
              <w:left w:val="single" w:sz="4" w:space="0" w:color="auto"/>
              <w:right w:val="single" w:sz="4" w:space="0" w:color="auto"/>
            </w:tcBorders>
            <w:shd w:val="clear" w:color="auto" w:fill="auto"/>
            <w:noWrap/>
            <w:vAlign w:val="center"/>
          </w:tcPr>
          <w:p w14:paraId="7136AF09" w14:textId="77777777" w:rsidR="000A68D7" w:rsidRPr="007D0AA8" w:rsidRDefault="000A68D7" w:rsidP="001A2B6F">
            <w:pPr>
              <w:spacing w:after="0" w:line="240" w:lineRule="auto"/>
              <w:jc w:val="right"/>
              <w:rPr>
                <w:rFonts w:ascii="Arial Narrow" w:hAnsi="Arial Narrow" w:cs="Arial"/>
                <w:i/>
                <w:sz w:val="20"/>
                <w:szCs w:val="18"/>
                <w:lang w:val="en-GB" w:eastAsia="en-GB"/>
              </w:rPr>
            </w:pPr>
            <w:r w:rsidRPr="007D0AA8">
              <w:rPr>
                <w:rFonts w:ascii="Arial Narrow" w:hAnsi="Arial Narrow" w:cs="Arial"/>
                <w:i/>
                <w:sz w:val="20"/>
                <w:szCs w:val="18"/>
                <w:lang w:val="en-GB" w:eastAsia="en-GB"/>
              </w:rPr>
              <w:t>37 infections in 15 patients: 0.206</w:t>
            </w:r>
          </w:p>
        </w:tc>
        <w:tc>
          <w:tcPr>
            <w:tcW w:w="1173" w:type="pct"/>
            <w:gridSpan w:val="2"/>
            <w:tcBorders>
              <w:left w:val="single" w:sz="4" w:space="0" w:color="auto"/>
              <w:right w:val="single" w:sz="4" w:space="0" w:color="auto"/>
            </w:tcBorders>
            <w:shd w:val="clear" w:color="auto" w:fill="auto"/>
            <w:noWrap/>
            <w:vAlign w:val="center"/>
          </w:tcPr>
          <w:p w14:paraId="59E5EDE5" w14:textId="77777777" w:rsidR="000A68D7" w:rsidRPr="007D0AA8" w:rsidRDefault="000A68D7" w:rsidP="001A2B6F">
            <w:pPr>
              <w:spacing w:after="0" w:line="240" w:lineRule="auto"/>
              <w:jc w:val="right"/>
              <w:rPr>
                <w:rFonts w:ascii="Arial Narrow" w:hAnsi="Arial Narrow" w:cs="Arial"/>
                <w:i/>
                <w:sz w:val="20"/>
                <w:szCs w:val="18"/>
                <w:lang w:val="en-GB" w:eastAsia="en-GB"/>
              </w:rPr>
            </w:pPr>
            <w:r w:rsidRPr="007D0AA8">
              <w:rPr>
                <w:rFonts w:ascii="Arial Narrow" w:hAnsi="Arial Narrow" w:cs="Arial"/>
                <w:i/>
                <w:sz w:val="20"/>
                <w:szCs w:val="18"/>
                <w:lang w:val="en-GB" w:eastAsia="en-GB"/>
              </w:rPr>
              <w:t>21 infections in 15 patients: 0.117</w:t>
            </w:r>
          </w:p>
        </w:tc>
        <w:tc>
          <w:tcPr>
            <w:tcW w:w="619" w:type="pct"/>
            <w:gridSpan w:val="2"/>
            <w:tcBorders>
              <w:top w:val="nil"/>
              <w:left w:val="single" w:sz="4" w:space="0" w:color="auto"/>
              <w:bottom w:val="nil"/>
              <w:right w:val="single" w:sz="4" w:space="0" w:color="auto"/>
            </w:tcBorders>
          </w:tcPr>
          <w:p w14:paraId="64E44D52" w14:textId="77777777" w:rsidR="000A68D7" w:rsidRPr="007D0AA8" w:rsidRDefault="000A68D7" w:rsidP="001A2B6F">
            <w:pPr>
              <w:spacing w:after="0" w:line="240" w:lineRule="auto"/>
              <w:jc w:val="right"/>
              <w:rPr>
                <w:rFonts w:ascii="Arial Narrow" w:hAnsi="Arial Narrow"/>
                <w:i/>
                <w:sz w:val="20"/>
                <w:szCs w:val="20"/>
              </w:rPr>
            </w:pPr>
          </w:p>
        </w:tc>
      </w:tr>
      <w:tr w:rsidR="000A68D7" w:rsidRPr="007D0AA8" w14:paraId="393FFC87" w14:textId="77777777" w:rsidTr="00B52A4F">
        <w:trPr>
          <w:jc w:val="center"/>
        </w:trPr>
        <w:tc>
          <w:tcPr>
            <w:tcW w:w="783" w:type="pct"/>
            <w:tcBorders>
              <w:top w:val="nil"/>
              <w:left w:val="single" w:sz="4" w:space="0" w:color="auto"/>
              <w:bottom w:val="nil"/>
              <w:right w:val="single" w:sz="4" w:space="0" w:color="auto"/>
            </w:tcBorders>
          </w:tcPr>
          <w:p w14:paraId="675B2998"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left w:val="single" w:sz="4" w:space="0" w:color="auto"/>
              <w:right w:val="single" w:sz="4" w:space="0" w:color="auto"/>
            </w:tcBorders>
            <w:shd w:val="clear" w:color="auto" w:fill="auto"/>
            <w:vAlign w:val="center"/>
          </w:tcPr>
          <w:p w14:paraId="2F57A8E7" w14:textId="77777777" w:rsidR="000A68D7" w:rsidRPr="007D0AA8" w:rsidRDefault="000A68D7" w:rsidP="00331FB9">
            <w:pPr>
              <w:pStyle w:val="ListParagraph"/>
              <w:numPr>
                <w:ilvl w:val="0"/>
                <w:numId w:val="15"/>
              </w:numPr>
              <w:spacing w:after="0" w:line="240" w:lineRule="auto"/>
              <w:ind w:left="175" w:hanging="175"/>
              <w:rPr>
                <w:rFonts w:ascii="Arial Narrow" w:hAnsi="Arial Narrow"/>
                <w:sz w:val="20"/>
                <w:szCs w:val="20"/>
              </w:rPr>
            </w:pPr>
            <w:r w:rsidRPr="007D0AA8">
              <w:rPr>
                <w:rFonts w:ascii="Arial Narrow" w:hAnsi="Arial Narrow" w:cs="Arial"/>
                <w:sz w:val="20"/>
                <w:szCs w:val="20"/>
                <w:lang w:val="en-GB" w:eastAsia="en-GB"/>
              </w:rPr>
              <w:t>Respiratory</w:t>
            </w:r>
          </w:p>
        </w:tc>
        <w:tc>
          <w:tcPr>
            <w:tcW w:w="1093" w:type="pct"/>
            <w:gridSpan w:val="2"/>
            <w:tcBorders>
              <w:left w:val="single" w:sz="4" w:space="0" w:color="auto"/>
              <w:right w:val="single" w:sz="4" w:space="0" w:color="auto"/>
            </w:tcBorders>
            <w:shd w:val="clear" w:color="auto" w:fill="auto"/>
            <w:noWrap/>
            <w:vAlign w:val="center"/>
          </w:tcPr>
          <w:p w14:paraId="50F762FC"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18"/>
                <w:lang w:val="en-GB" w:eastAsia="en-GB"/>
              </w:rPr>
              <w:t>95 (77.9%)</w:t>
            </w:r>
          </w:p>
        </w:tc>
        <w:tc>
          <w:tcPr>
            <w:tcW w:w="1173" w:type="pct"/>
            <w:gridSpan w:val="2"/>
            <w:tcBorders>
              <w:left w:val="single" w:sz="4" w:space="0" w:color="auto"/>
              <w:right w:val="single" w:sz="4" w:space="0" w:color="auto"/>
            </w:tcBorders>
            <w:shd w:val="clear" w:color="auto" w:fill="auto"/>
            <w:noWrap/>
            <w:vAlign w:val="center"/>
          </w:tcPr>
          <w:p w14:paraId="3D9D38CF"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18"/>
                <w:lang w:val="en-GB" w:eastAsia="en-GB"/>
              </w:rPr>
              <w:t>44 (75.9%)</w:t>
            </w:r>
          </w:p>
        </w:tc>
        <w:tc>
          <w:tcPr>
            <w:tcW w:w="619" w:type="pct"/>
            <w:gridSpan w:val="2"/>
            <w:tcBorders>
              <w:top w:val="nil"/>
              <w:left w:val="single" w:sz="4" w:space="0" w:color="auto"/>
              <w:bottom w:val="nil"/>
              <w:right w:val="single" w:sz="4" w:space="0" w:color="auto"/>
            </w:tcBorders>
          </w:tcPr>
          <w:p w14:paraId="5399402E" w14:textId="77777777" w:rsidR="000A68D7" w:rsidRPr="007D0AA8" w:rsidRDefault="000A68D7" w:rsidP="001A2B6F">
            <w:pPr>
              <w:spacing w:after="0" w:line="240" w:lineRule="auto"/>
              <w:jc w:val="right"/>
              <w:rPr>
                <w:rFonts w:ascii="Arial Narrow" w:hAnsi="Arial Narrow"/>
                <w:sz w:val="20"/>
                <w:szCs w:val="20"/>
              </w:rPr>
            </w:pPr>
          </w:p>
        </w:tc>
      </w:tr>
      <w:tr w:rsidR="000A68D7" w:rsidRPr="007D0AA8" w14:paraId="61F62FD8" w14:textId="77777777" w:rsidTr="00B52A4F">
        <w:trPr>
          <w:jc w:val="center"/>
        </w:trPr>
        <w:tc>
          <w:tcPr>
            <w:tcW w:w="783" w:type="pct"/>
            <w:tcBorders>
              <w:top w:val="nil"/>
              <w:left w:val="single" w:sz="4" w:space="0" w:color="auto"/>
              <w:bottom w:val="nil"/>
              <w:right w:val="single" w:sz="4" w:space="0" w:color="auto"/>
            </w:tcBorders>
          </w:tcPr>
          <w:p w14:paraId="66C79C62"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left w:val="single" w:sz="4" w:space="0" w:color="auto"/>
              <w:right w:val="single" w:sz="4" w:space="0" w:color="auto"/>
            </w:tcBorders>
            <w:shd w:val="clear" w:color="auto" w:fill="auto"/>
            <w:vAlign w:val="center"/>
          </w:tcPr>
          <w:p w14:paraId="12C75789" w14:textId="77777777" w:rsidR="000A68D7" w:rsidRPr="007D0AA8" w:rsidRDefault="000A68D7" w:rsidP="00331FB9">
            <w:pPr>
              <w:pStyle w:val="ListParagraph"/>
              <w:numPr>
                <w:ilvl w:val="0"/>
                <w:numId w:val="15"/>
              </w:numPr>
              <w:spacing w:after="0" w:line="240" w:lineRule="auto"/>
              <w:ind w:left="175" w:hanging="175"/>
              <w:rPr>
                <w:rFonts w:ascii="Arial Narrow" w:hAnsi="Arial Narrow"/>
                <w:sz w:val="20"/>
                <w:szCs w:val="20"/>
              </w:rPr>
            </w:pPr>
            <w:r w:rsidRPr="007D0AA8">
              <w:rPr>
                <w:rFonts w:ascii="Arial Narrow" w:hAnsi="Arial Narrow" w:cs="Arial"/>
                <w:sz w:val="20"/>
                <w:szCs w:val="20"/>
                <w:lang w:val="en-GB" w:eastAsia="en-GB"/>
              </w:rPr>
              <w:t>UTI</w:t>
            </w:r>
          </w:p>
        </w:tc>
        <w:tc>
          <w:tcPr>
            <w:tcW w:w="1093" w:type="pct"/>
            <w:gridSpan w:val="2"/>
            <w:tcBorders>
              <w:left w:val="single" w:sz="4" w:space="0" w:color="auto"/>
              <w:right w:val="single" w:sz="4" w:space="0" w:color="auto"/>
            </w:tcBorders>
            <w:shd w:val="clear" w:color="auto" w:fill="auto"/>
            <w:noWrap/>
            <w:vAlign w:val="center"/>
          </w:tcPr>
          <w:p w14:paraId="0475E6E2"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18"/>
                <w:lang w:val="en-GB" w:eastAsia="en-GB"/>
              </w:rPr>
              <w:t>3 (2.5%)</w:t>
            </w:r>
          </w:p>
        </w:tc>
        <w:tc>
          <w:tcPr>
            <w:tcW w:w="1173" w:type="pct"/>
            <w:gridSpan w:val="2"/>
            <w:tcBorders>
              <w:left w:val="single" w:sz="4" w:space="0" w:color="auto"/>
              <w:right w:val="single" w:sz="4" w:space="0" w:color="auto"/>
            </w:tcBorders>
            <w:shd w:val="clear" w:color="auto" w:fill="auto"/>
            <w:noWrap/>
            <w:vAlign w:val="center"/>
          </w:tcPr>
          <w:p w14:paraId="3A2723D9"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18"/>
                <w:lang w:val="en-GB" w:eastAsia="en-GB"/>
              </w:rPr>
              <w:t>4 (6.9%)</w:t>
            </w:r>
          </w:p>
        </w:tc>
        <w:tc>
          <w:tcPr>
            <w:tcW w:w="619" w:type="pct"/>
            <w:gridSpan w:val="2"/>
            <w:tcBorders>
              <w:top w:val="nil"/>
              <w:left w:val="single" w:sz="4" w:space="0" w:color="auto"/>
              <w:bottom w:val="nil"/>
              <w:right w:val="single" w:sz="4" w:space="0" w:color="auto"/>
            </w:tcBorders>
          </w:tcPr>
          <w:p w14:paraId="0A971B12" w14:textId="77777777" w:rsidR="000A68D7" w:rsidRPr="007D0AA8" w:rsidRDefault="000A68D7" w:rsidP="001A2B6F">
            <w:pPr>
              <w:spacing w:after="0" w:line="240" w:lineRule="auto"/>
              <w:jc w:val="right"/>
              <w:rPr>
                <w:rFonts w:ascii="Arial Narrow" w:hAnsi="Arial Narrow"/>
                <w:sz w:val="20"/>
                <w:szCs w:val="20"/>
              </w:rPr>
            </w:pPr>
          </w:p>
        </w:tc>
      </w:tr>
      <w:tr w:rsidR="000A68D7" w:rsidRPr="007D0AA8" w14:paraId="44B414DF" w14:textId="77777777" w:rsidTr="00B52A4F">
        <w:trPr>
          <w:jc w:val="center"/>
        </w:trPr>
        <w:tc>
          <w:tcPr>
            <w:tcW w:w="783" w:type="pct"/>
            <w:tcBorders>
              <w:top w:val="nil"/>
              <w:left w:val="single" w:sz="4" w:space="0" w:color="auto"/>
              <w:bottom w:val="nil"/>
              <w:right w:val="single" w:sz="4" w:space="0" w:color="auto"/>
            </w:tcBorders>
          </w:tcPr>
          <w:p w14:paraId="3C96550D"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left w:val="single" w:sz="4" w:space="0" w:color="auto"/>
              <w:right w:val="single" w:sz="4" w:space="0" w:color="auto"/>
            </w:tcBorders>
            <w:shd w:val="clear" w:color="auto" w:fill="auto"/>
            <w:vAlign w:val="center"/>
          </w:tcPr>
          <w:p w14:paraId="6E49968E" w14:textId="77777777" w:rsidR="000A68D7" w:rsidRPr="007D0AA8" w:rsidRDefault="000A68D7" w:rsidP="00331FB9">
            <w:pPr>
              <w:pStyle w:val="ListParagraph"/>
              <w:numPr>
                <w:ilvl w:val="0"/>
                <w:numId w:val="15"/>
              </w:numPr>
              <w:spacing w:after="0" w:line="240" w:lineRule="auto"/>
              <w:ind w:left="175" w:hanging="175"/>
              <w:rPr>
                <w:rFonts w:ascii="Arial Narrow" w:hAnsi="Arial Narrow"/>
                <w:sz w:val="20"/>
                <w:szCs w:val="20"/>
              </w:rPr>
            </w:pPr>
            <w:r w:rsidRPr="007D0AA8">
              <w:rPr>
                <w:rFonts w:ascii="Arial Narrow" w:hAnsi="Arial Narrow" w:cs="Arial"/>
                <w:sz w:val="20"/>
                <w:szCs w:val="20"/>
                <w:lang w:val="en-GB" w:eastAsia="en-GB"/>
              </w:rPr>
              <w:t>Diarrhoea</w:t>
            </w:r>
          </w:p>
        </w:tc>
        <w:tc>
          <w:tcPr>
            <w:tcW w:w="1093" w:type="pct"/>
            <w:gridSpan w:val="2"/>
            <w:tcBorders>
              <w:left w:val="single" w:sz="4" w:space="0" w:color="auto"/>
              <w:right w:val="single" w:sz="4" w:space="0" w:color="auto"/>
            </w:tcBorders>
            <w:shd w:val="clear" w:color="auto" w:fill="auto"/>
            <w:noWrap/>
            <w:vAlign w:val="center"/>
          </w:tcPr>
          <w:p w14:paraId="1821C6B1"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18"/>
                <w:lang w:val="en-GB" w:eastAsia="en-GB"/>
              </w:rPr>
              <w:t>6 (4.9%)</w:t>
            </w:r>
          </w:p>
        </w:tc>
        <w:tc>
          <w:tcPr>
            <w:tcW w:w="1173" w:type="pct"/>
            <w:gridSpan w:val="2"/>
            <w:tcBorders>
              <w:left w:val="single" w:sz="4" w:space="0" w:color="auto"/>
              <w:right w:val="single" w:sz="4" w:space="0" w:color="auto"/>
            </w:tcBorders>
            <w:shd w:val="clear" w:color="auto" w:fill="auto"/>
            <w:noWrap/>
            <w:vAlign w:val="center"/>
          </w:tcPr>
          <w:p w14:paraId="62D02693"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18"/>
                <w:lang w:val="en-GB" w:eastAsia="en-GB"/>
              </w:rPr>
              <w:t>2 (3.4%)</w:t>
            </w:r>
          </w:p>
        </w:tc>
        <w:tc>
          <w:tcPr>
            <w:tcW w:w="619" w:type="pct"/>
            <w:gridSpan w:val="2"/>
            <w:tcBorders>
              <w:top w:val="nil"/>
              <w:left w:val="single" w:sz="4" w:space="0" w:color="auto"/>
              <w:bottom w:val="nil"/>
              <w:right w:val="single" w:sz="4" w:space="0" w:color="auto"/>
            </w:tcBorders>
          </w:tcPr>
          <w:p w14:paraId="6664D108" w14:textId="77777777" w:rsidR="000A68D7" w:rsidRPr="007D0AA8" w:rsidRDefault="000A68D7" w:rsidP="001A2B6F">
            <w:pPr>
              <w:spacing w:after="0" w:line="240" w:lineRule="auto"/>
              <w:jc w:val="right"/>
              <w:rPr>
                <w:rFonts w:ascii="Arial Narrow" w:hAnsi="Arial Narrow"/>
                <w:sz w:val="20"/>
                <w:szCs w:val="20"/>
              </w:rPr>
            </w:pPr>
          </w:p>
        </w:tc>
      </w:tr>
      <w:tr w:rsidR="000A68D7" w:rsidRPr="007D0AA8" w14:paraId="1BE453D0" w14:textId="77777777" w:rsidTr="00B52A4F">
        <w:trPr>
          <w:jc w:val="center"/>
        </w:trPr>
        <w:tc>
          <w:tcPr>
            <w:tcW w:w="783" w:type="pct"/>
            <w:tcBorders>
              <w:top w:val="nil"/>
              <w:left w:val="single" w:sz="4" w:space="0" w:color="auto"/>
              <w:bottom w:val="nil"/>
              <w:right w:val="single" w:sz="4" w:space="0" w:color="auto"/>
            </w:tcBorders>
          </w:tcPr>
          <w:p w14:paraId="4B91773E"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left w:val="single" w:sz="4" w:space="0" w:color="auto"/>
              <w:right w:val="single" w:sz="4" w:space="0" w:color="auto"/>
            </w:tcBorders>
            <w:shd w:val="clear" w:color="auto" w:fill="auto"/>
            <w:vAlign w:val="center"/>
          </w:tcPr>
          <w:p w14:paraId="26986343" w14:textId="77777777" w:rsidR="000A68D7" w:rsidRPr="007D0AA8" w:rsidRDefault="000A68D7" w:rsidP="00331FB9">
            <w:pPr>
              <w:pStyle w:val="ListParagraph"/>
              <w:numPr>
                <w:ilvl w:val="0"/>
                <w:numId w:val="15"/>
              </w:numPr>
              <w:spacing w:after="0" w:line="240" w:lineRule="auto"/>
              <w:ind w:left="175" w:hanging="175"/>
              <w:rPr>
                <w:rFonts w:ascii="Arial Narrow" w:hAnsi="Arial Narrow"/>
                <w:sz w:val="20"/>
                <w:szCs w:val="20"/>
              </w:rPr>
            </w:pPr>
            <w:r w:rsidRPr="007D0AA8">
              <w:rPr>
                <w:rFonts w:ascii="Arial Narrow" w:hAnsi="Arial Narrow" w:cs="Arial"/>
                <w:sz w:val="20"/>
                <w:szCs w:val="20"/>
                <w:lang w:val="en-GB" w:eastAsia="en-GB"/>
              </w:rPr>
              <w:t>Skin</w:t>
            </w:r>
          </w:p>
        </w:tc>
        <w:tc>
          <w:tcPr>
            <w:tcW w:w="1093" w:type="pct"/>
            <w:gridSpan w:val="2"/>
            <w:tcBorders>
              <w:left w:val="single" w:sz="4" w:space="0" w:color="auto"/>
              <w:right w:val="single" w:sz="4" w:space="0" w:color="auto"/>
            </w:tcBorders>
            <w:shd w:val="clear" w:color="auto" w:fill="auto"/>
            <w:noWrap/>
            <w:vAlign w:val="center"/>
          </w:tcPr>
          <w:p w14:paraId="3F24BDBC"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18"/>
                <w:lang w:val="en-GB" w:eastAsia="en-GB"/>
              </w:rPr>
              <w:t>2 (1.6%)</w:t>
            </w:r>
          </w:p>
        </w:tc>
        <w:tc>
          <w:tcPr>
            <w:tcW w:w="1173" w:type="pct"/>
            <w:gridSpan w:val="2"/>
            <w:tcBorders>
              <w:left w:val="single" w:sz="4" w:space="0" w:color="auto"/>
              <w:right w:val="single" w:sz="4" w:space="0" w:color="auto"/>
            </w:tcBorders>
            <w:shd w:val="clear" w:color="auto" w:fill="auto"/>
            <w:noWrap/>
            <w:vAlign w:val="center"/>
          </w:tcPr>
          <w:p w14:paraId="7F8F9834"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18"/>
                <w:lang w:val="en-GB" w:eastAsia="en-GB"/>
              </w:rPr>
              <w:t>1 (1.7%)</w:t>
            </w:r>
          </w:p>
        </w:tc>
        <w:tc>
          <w:tcPr>
            <w:tcW w:w="619" w:type="pct"/>
            <w:gridSpan w:val="2"/>
            <w:tcBorders>
              <w:top w:val="nil"/>
              <w:left w:val="single" w:sz="4" w:space="0" w:color="auto"/>
              <w:bottom w:val="nil"/>
              <w:right w:val="single" w:sz="4" w:space="0" w:color="auto"/>
            </w:tcBorders>
          </w:tcPr>
          <w:p w14:paraId="42CF0AF6" w14:textId="77777777" w:rsidR="000A68D7" w:rsidRPr="007D0AA8" w:rsidRDefault="000A68D7" w:rsidP="001A2B6F">
            <w:pPr>
              <w:spacing w:after="0" w:line="240" w:lineRule="auto"/>
              <w:jc w:val="right"/>
              <w:rPr>
                <w:rFonts w:ascii="Arial Narrow" w:hAnsi="Arial Narrow"/>
                <w:sz w:val="20"/>
                <w:szCs w:val="20"/>
              </w:rPr>
            </w:pPr>
          </w:p>
        </w:tc>
      </w:tr>
      <w:tr w:rsidR="000A68D7" w:rsidRPr="007D0AA8" w14:paraId="644DC34C" w14:textId="77777777" w:rsidTr="00B52A4F">
        <w:trPr>
          <w:jc w:val="center"/>
        </w:trPr>
        <w:tc>
          <w:tcPr>
            <w:tcW w:w="783" w:type="pct"/>
            <w:tcBorders>
              <w:top w:val="nil"/>
              <w:left w:val="single" w:sz="4" w:space="0" w:color="auto"/>
              <w:bottom w:val="nil"/>
              <w:right w:val="single" w:sz="4" w:space="0" w:color="auto"/>
            </w:tcBorders>
          </w:tcPr>
          <w:p w14:paraId="2170213D"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left w:val="single" w:sz="4" w:space="0" w:color="auto"/>
              <w:right w:val="single" w:sz="4" w:space="0" w:color="auto"/>
            </w:tcBorders>
            <w:shd w:val="clear" w:color="auto" w:fill="auto"/>
            <w:vAlign w:val="center"/>
          </w:tcPr>
          <w:p w14:paraId="65B7F05B" w14:textId="77777777" w:rsidR="000A68D7" w:rsidRPr="007D0AA8" w:rsidRDefault="000A68D7" w:rsidP="00331FB9">
            <w:pPr>
              <w:pStyle w:val="ListParagraph"/>
              <w:numPr>
                <w:ilvl w:val="0"/>
                <w:numId w:val="15"/>
              </w:numPr>
              <w:spacing w:after="0" w:line="240" w:lineRule="auto"/>
              <w:ind w:left="175" w:hanging="175"/>
              <w:rPr>
                <w:rFonts w:ascii="Arial Narrow" w:hAnsi="Arial Narrow"/>
                <w:sz w:val="20"/>
                <w:szCs w:val="20"/>
              </w:rPr>
            </w:pPr>
            <w:r w:rsidRPr="007D0AA8">
              <w:rPr>
                <w:rFonts w:ascii="Arial Narrow" w:hAnsi="Arial Narrow" w:cs="Arial"/>
                <w:sz w:val="20"/>
                <w:szCs w:val="20"/>
                <w:lang w:val="en-GB" w:eastAsia="en-GB"/>
              </w:rPr>
              <w:t>Sinusitis</w:t>
            </w:r>
          </w:p>
        </w:tc>
        <w:tc>
          <w:tcPr>
            <w:tcW w:w="1093" w:type="pct"/>
            <w:gridSpan w:val="2"/>
            <w:tcBorders>
              <w:left w:val="single" w:sz="4" w:space="0" w:color="auto"/>
              <w:right w:val="single" w:sz="4" w:space="0" w:color="auto"/>
            </w:tcBorders>
            <w:shd w:val="clear" w:color="auto" w:fill="auto"/>
            <w:noWrap/>
            <w:vAlign w:val="center"/>
          </w:tcPr>
          <w:p w14:paraId="5C8CD309"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18"/>
                <w:lang w:val="en-GB" w:eastAsia="en-GB"/>
              </w:rPr>
              <w:t>7 (5.7%)</w:t>
            </w:r>
          </w:p>
        </w:tc>
        <w:tc>
          <w:tcPr>
            <w:tcW w:w="1173" w:type="pct"/>
            <w:gridSpan w:val="2"/>
            <w:tcBorders>
              <w:left w:val="single" w:sz="4" w:space="0" w:color="auto"/>
              <w:right w:val="single" w:sz="4" w:space="0" w:color="auto"/>
            </w:tcBorders>
            <w:shd w:val="clear" w:color="auto" w:fill="auto"/>
            <w:noWrap/>
            <w:vAlign w:val="center"/>
          </w:tcPr>
          <w:p w14:paraId="2188E367"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18"/>
                <w:lang w:val="en-GB" w:eastAsia="en-GB"/>
              </w:rPr>
              <w:t>3 (5.2%)</w:t>
            </w:r>
          </w:p>
        </w:tc>
        <w:tc>
          <w:tcPr>
            <w:tcW w:w="619" w:type="pct"/>
            <w:gridSpan w:val="2"/>
            <w:tcBorders>
              <w:top w:val="nil"/>
              <w:left w:val="single" w:sz="4" w:space="0" w:color="auto"/>
              <w:bottom w:val="nil"/>
              <w:right w:val="single" w:sz="4" w:space="0" w:color="auto"/>
            </w:tcBorders>
          </w:tcPr>
          <w:p w14:paraId="1B88A5CF" w14:textId="77777777" w:rsidR="000A68D7" w:rsidRPr="007D0AA8" w:rsidRDefault="000A68D7" w:rsidP="001A2B6F">
            <w:pPr>
              <w:spacing w:after="0" w:line="240" w:lineRule="auto"/>
              <w:jc w:val="right"/>
              <w:rPr>
                <w:rFonts w:ascii="Arial Narrow" w:hAnsi="Arial Narrow"/>
                <w:sz w:val="20"/>
                <w:szCs w:val="20"/>
              </w:rPr>
            </w:pPr>
          </w:p>
        </w:tc>
      </w:tr>
      <w:tr w:rsidR="000A68D7" w:rsidRPr="007D0AA8" w14:paraId="01DEDEF8" w14:textId="77777777" w:rsidTr="00B52A4F">
        <w:trPr>
          <w:jc w:val="center"/>
        </w:trPr>
        <w:tc>
          <w:tcPr>
            <w:tcW w:w="783" w:type="pct"/>
            <w:tcBorders>
              <w:top w:val="nil"/>
              <w:left w:val="single" w:sz="4" w:space="0" w:color="auto"/>
              <w:bottom w:val="nil"/>
              <w:right w:val="single" w:sz="4" w:space="0" w:color="auto"/>
            </w:tcBorders>
          </w:tcPr>
          <w:p w14:paraId="164A374B"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left w:val="single" w:sz="4" w:space="0" w:color="auto"/>
              <w:right w:val="single" w:sz="4" w:space="0" w:color="auto"/>
            </w:tcBorders>
            <w:shd w:val="clear" w:color="auto" w:fill="auto"/>
            <w:vAlign w:val="center"/>
          </w:tcPr>
          <w:p w14:paraId="3837F550" w14:textId="77777777" w:rsidR="000A68D7" w:rsidRPr="007D0AA8" w:rsidRDefault="000A68D7" w:rsidP="00331FB9">
            <w:pPr>
              <w:pStyle w:val="ListParagraph"/>
              <w:numPr>
                <w:ilvl w:val="0"/>
                <w:numId w:val="15"/>
              </w:numPr>
              <w:spacing w:after="0" w:line="240" w:lineRule="auto"/>
              <w:ind w:left="175" w:hanging="175"/>
              <w:rPr>
                <w:rFonts w:ascii="Arial Narrow" w:hAnsi="Arial Narrow"/>
                <w:sz w:val="20"/>
                <w:szCs w:val="20"/>
              </w:rPr>
            </w:pPr>
            <w:r w:rsidRPr="007D0AA8">
              <w:rPr>
                <w:rFonts w:ascii="Arial Narrow" w:hAnsi="Arial Narrow" w:cs="Arial"/>
                <w:sz w:val="20"/>
                <w:szCs w:val="20"/>
                <w:lang w:val="en-GB" w:eastAsia="en-GB"/>
              </w:rPr>
              <w:t>Otitis</w:t>
            </w:r>
          </w:p>
        </w:tc>
        <w:tc>
          <w:tcPr>
            <w:tcW w:w="1093" w:type="pct"/>
            <w:gridSpan w:val="2"/>
            <w:tcBorders>
              <w:left w:val="single" w:sz="4" w:space="0" w:color="auto"/>
              <w:right w:val="single" w:sz="4" w:space="0" w:color="auto"/>
            </w:tcBorders>
            <w:shd w:val="clear" w:color="auto" w:fill="auto"/>
            <w:noWrap/>
            <w:vAlign w:val="center"/>
          </w:tcPr>
          <w:p w14:paraId="55CAD953"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18"/>
                <w:lang w:val="en-GB" w:eastAsia="en-GB"/>
              </w:rPr>
              <w:t>6 (4.9%)</w:t>
            </w:r>
          </w:p>
        </w:tc>
        <w:tc>
          <w:tcPr>
            <w:tcW w:w="1173" w:type="pct"/>
            <w:gridSpan w:val="2"/>
            <w:tcBorders>
              <w:left w:val="single" w:sz="4" w:space="0" w:color="auto"/>
              <w:right w:val="single" w:sz="4" w:space="0" w:color="auto"/>
            </w:tcBorders>
            <w:shd w:val="clear" w:color="auto" w:fill="auto"/>
            <w:noWrap/>
            <w:vAlign w:val="center"/>
          </w:tcPr>
          <w:p w14:paraId="62002822"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18"/>
                <w:lang w:val="en-GB" w:eastAsia="en-GB"/>
              </w:rPr>
              <w:t>0 (0.0%)</w:t>
            </w:r>
          </w:p>
        </w:tc>
        <w:tc>
          <w:tcPr>
            <w:tcW w:w="619" w:type="pct"/>
            <w:gridSpan w:val="2"/>
            <w:tcBorders>
              <w:top w:val="nil"/>
              <w:left w:val="single" w:sz="4" w:space="0" w:color="auto"/>
              <w:bottom w:val="nil"/>
              <w:right w:val="single" w:sz="4" w:space="0" w:color="auto"/>
            </w:tcBorders>
          </w:tcPr>
          <w:p w14:paraId="3B10782B" w14:textId="77777777" w:rsidR="000A68D7" w:rsidRPr="007D0AA8" w:rsidRDefault="000A68D7" w:rsidP="001A2B6F">
            <w:pPr>
              <w:spacing w:after="0" w:line="240" w:lineRule="auto"/>
              <w:jc w:val="right"/>
              <w:rPr>
                <w:rFonts w:ascii="Arial Narrow" w:hAnsi="Arial Narrow"/>
                <w:sz w:val="20"/>
                <w:szCs w:val="20"/>
              </w:rPr>
            </w:pPr>
          </w:p>
        </w:tc>
      </w:tr>
      <w:tr w:rsidR="000A68D7" w:rsidRPr="007D0AA8" w14:paraId="435C43C0" w14:textId="77777777" w:rsidTr="00B52A4F">
        <w:trPr>
          <w:jc w:val="center"/>
        </w:trPr>
        <w:tc>
          <w:tcPr>
            <w:tcW w:w="783" w:type="pct"/>
            <w:tcBorders>
              <w:top w:val="nil"/>
              <w:left w:val="single" w:sz="4" w:space="0" w:color="auto"/>
              <w:bottom w:val="nil"/>
              <w:right w:val="single" w:sz="4" w:space="0" w:color="auto"/>
            </w:tcBorders>
          </w:tcPr>
          <w:p w14:paraId="5E1C7F4C"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left w:val="single" w:sz="4" w:space="0" w:color="auto"/>
              <w:right w:val="single" w:sz="4" w:space="0" w:color="auto"/>
            </w:tcBorders>
            <w:shd w:val="clear" w:color="auto" w:fill="auto"/>
            <w:vAlign w:val="center"/>
          </w:tcPr>
          <w:p w14:paraId="064C7117" w14:textId="77777777" w:rsidR="000A68D7" w:rsidRPr="007D0AA8" w:rsidRDefault="000A68D7" w:rsidP="00331FB9">
            <w:pPr>
              <w:pStyle w:val="ListParagraph"/>
              <w:numPr>
                <w:ilvl w:val="0"/>
                <w:numId w:val="15"/>
              </w:numPr>
              <w:spacing w:after="0" w:line="240" w:lineRule="auto"/>
              <w:ind w:left="175" w:hanging="175"/>
              <w:rPr>
                <w:rFonts w:ascii="Arial Narrow" w:hAnsi="Arial Narrow"/>
                <w:sz w:val="20"/>
                <w:szCs w:val="20"/>
              </w:rPr>
            </w:pPr>
            <w:r w:rsidRPr="007D0AA8">
              <w:rPr>
                <w:rFonts w:ascii="Arial Narrow" w:hAnsi="Arial Narrow" w:cs="Arial"/>
                <w:sz w:val="20"/>
                <w:szCs w:val="20"/>
                <w:lang w:val="en-GB" w:eastAsia="en-GB"/>
              </w:rPr>
              <w:t>Conjunctivitis</w:t>
            </w:r>
          </w:p>
        </w:tc>
        <w:tc>
          <w:tcPr>
            <w:tcW w:w="1093" w:type="pct"/>
            <w:gridSpan w:val="2"/>
            <w:tcBorders>
              <w:left w:val="single" w:sz="4" w:space="0" w:color="auto"/>
              <w:right w:val="single" w:sz="4" w:space="0" w:color="auto"/>
            </w:tcBorders>
            <w:shd w:val="clear" w:color="auto" w:fill="auto"/>
            <w:noWrap/>
            <w:vAlign w:val="center"/>
          </w:tcPr>
          <w:p w14:paraId="3D9B27BE"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18"/>
                <w:lang w:val="en-GB" w:eastAsia="en-GB"/>
              </w:rPr>
              <w:t>1 (0.8%)</w:t>
            </w:r>
          </w:p>
        </w:tc>
        <w:tc>
          <w:tcPr>
            <w:tcW w:w="1173" w:type="pct"/>
            <w:gridSpan w:val="2"/>
            <w:tcBorders>
              <w:left w:val="single" w:sz="4" w:space="0" w:color="auto"/>
              <w:right w:val="single" w:sz="4" w:space="0" w:color="auto"/>
            </w:tcBorders>
            <w:shd w:val="clear" w:color="auto" w:fill="auto"/>
            <w:noWrap/>
            <w:vAlign w:val="center"/>
          </w:tcPr>
          <w:p w14:paraId="04507A32"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18"/>
                <w:lang w:val="en-GB" w:eastAsia="en-GB"/>
              </w:rPr>
              <w:t>1 (1.7%)</w:t>
            </w:r>
          </w:p>
        </w:tc>
        <w:tc>
          <w:tcPr>
            <w:tcW w:w="619" w:type="pct"/>
            <w:gridSpan w:val="2"/>
            <w:tcBorders>
              <w:top w:val="nil"/>
              <w:left w:val="single" w:sz="4" w:space="0" w:color="auto"/>
              <w:bottom w:val="nil"/>
              <w:right w:val="single" w:sz="4" w:space="0" w:color="auto"/>
            </w:tcBorders>
          </w:tcPr>
          <w:p w14:paraId="1E6C7F4C" w14:textId="77777777" w:rsidR="000A68D7" w:rsidRPr="007D0AA8" w:rsidRDefault="000A68D7" w:rsidP="001A2B6F">
            <w:pPr>
              <w:spacing w:after="0" w:line="240" w:lineRule="auto"/>
              <w:jc w:val="right"/>
              <w:rPr>
                <w:rFonts w:ascii="Arial Narrow" w:hAnsi="Arial Narrow"/>
                <w:sz w:val="20"/>
                <w:szCs w:val="20"/>
              </w:rPr>
            </w:pPr>
          </w:p>
        </w:tc>
      </w:tr>
      <w:tr w:rsidR="000A68D7" w:rsidRPr="007D0AA8" w14:paraId="69E96864" w14:textId="77777777" w:rsidTr="00B52A4F">
        <w:trPr>
          <w:jc w:val="center"/>
        </w:trPr>
        <w:tc>
          <w:tcPr>
            <w:tcW w:w="783" w:type="pct"/>
            <w:tcBorders>
              <w:top w:val="nil"/>
              <w:left w:val="single" w:sz="4" w:space="0" w:color="auto"/>
              <w:bottom w:val="nil"/>
              <w:right w:val="single" w:sz="4" w:space="0" w:color="auto"/>
            </w:tcBorders>
          </w:tcPr>
          <w:p w14:paraId="459FFEFB"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left w:val="single" w:sz="4" w:space="0" w:color="auto"/>
              <w:right w:val="single" w:sz="4" w:space="0" w:color="auto"/>
            </w:tcBorders>
            <w:shd w:val="clear" w:color="auto" w:fill="auto"/>
            <w:vAlign w:val="center"/>
          </w:tcPr>
          <w:p w14:paraId="2605C20B" w14:textId="77777777" w:rsidR="000A68D7" w:rsidRPr="007D0AA8" w:rsidRDefault="000A68D7" w:rsidP="00331FB9">
            <w:pPr>
              <w:pStyle w:val="ListParagraph"/>
              <w:numPr>
                <w:ilvl w:val="0"/>
                <w:numId w:val="15"/>
              </w:numPr>
              <w:spacing w:after="0" w:line="240" w:lineRule="auto"/>
              <w:ind w:left="175" w:hanging="175"/>
              <w:rPr>
                <w:rFonts w:ascii="Arial Narrow" w:hAnsi="Arial Narrow"/>
                <w:sz w:val="20"/>
                <w:szCs w:val="20"/>
              </w:rPr>
            </w:pPr>
            <w:r w:rsidRPr="007D0AA8">
              <w:rPr>
                <w:rFonts w:ascii="Arial Narrow" w:hAnsi="Arial Narrow" w:cs="Arial"/>
                <w:sz w:val="20"/>
                <w:szCs w:val="20"/>
                <w:lang w:val="en-GB" w:eastAsia="en-GB"/>
              </w:rPr>
              <w:t>HSV</w:t>
            </w:r>
          </w:p>
        </w:tc>
        <w:tc>
          <w:tcPr>
            <w:tcW w:w="1093" w:type="pct"/>
            <w:gridSpan w:val="2"/>
            <w:tcBorders>
              <w:left w:val="single" w:sz="4" w:space="0" w:color="auto"/>
              <w:right w:val="single" w:sz="4" w:space="0" w:color="auto"/>
            </w:tcBorders>
            <w:shd w:val="clear" w:color="auto" w:fill="auto"/>
            <w:noWrap/>
            <w:vAlign w:val="center"/>
          </w:tcPr>
          <w:p w14:paraId="45F1F830"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18"/>
                <w:lang w:val="en-GB" w:eastAsia="en-GB"/>
              </w:rPr>
              <w:t>1 (0.8%)</w:t>
            </w:r>
          </w:p>
        </w:tc>
        <w:tc>
          <w:tcPr>
            <w:tcW w:w="1173" w:type="pct"/>
            <w:gridSpan w:val="2"/>
            <w:tcBorders>
              <w:left w:val="single" w:sz="4" w:space="0" w:color="auto"/>
              <w:right w:val="single" w:sz="4" w:space="0" w:color="auto"/>
            </w:tcBorders>
            <w:shd w:val="clear" w:color="auto" w:fill="auto"/>
            <w:noWrap/>
            <w:vAlign w:val="center"/>
          </w:tcPr>
          <w:p w14:paraId="6ECB1B42"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18"/>
                <w:lang w:val="en-GB" w:eastAsia="en-GB"/>
              </w:rPr>
              <w:t>1 (1.7%)</w:t>
            </w:r>
          </w:p>
        </w:tc>
        <w:tc>
          <w:tcPr>
            <w:tcW w:w="619" w:type="pct"/>
            <w:gridSpan w:val="2"/>
            <w:tcBorders>
              <w:top w:val="nil"/>
              <w:left w:val="single" w:sz="4" w:space="0" w:color="auto"/>
              <w:bottom w:val="nil"/>
              <w:right w:val="single" w:sz="4" w:space="0" w:color="auto"/>
            </w:tcBorders>
          </w:tcPr>
          <w:p w14:paraId="00E19A4F" w14:textId="77777777" w:rsidR="000A68D7" w:rsidRPr="007D0AA8" w:rsidRDefault="000A68D7" w:rsidP="001A2B6F">
            <w:pPr>
              <w:spacing w:after="0" w:line="240" w:lineRule="auto"/>
              <w:jc w:val="right"/>
              <w:rPr>
                <w:rFonts w:ascii="Arial Narrow" w:hAnsi="Arial Narrow"/>
                <w:sz w:val="20"/>
                <w:szCs w:val="20"/>
              </w:rPr>
            </w:pPr>
          </w:p>
        </w:tc>
      </w:tr>
      <w:tr w:rsidR="000A68D7" w:rsidRPr="007D0AA8" w14:paraId="20A04766" w14:textId="77777777" w:rsidTr="00B52A4F">
        <w:trPr>
          <w:jc w:val="center"/>
        </w:trPr>
        <w:tc>
          <w:tcPr>
            <w:tcW w:w="783" w:type="pct"/>
            <w:tcBorders>
              <w:top w:val="nil"/>
              <w:left w:val="single" w:sz="4" w:space="0" w:color="auto"/>
              <w:bottom w:val="nil"/>
              <w:right w:val="single" w:sz="4" w:space="0" w:color="auto"/>
            </w:tcBorders>
          </w:tcPr>
          <w:p w14:paraId="3A56BE2A"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left w:val="single" w:sz="4" w:space="0" w:color="auto"/>
              <w:bottom w:val="single" w:sz="4" w:space="0" w:color="auto"/>
              <w:right w:val="single" w:sz="4" w:space="0" w:color="auto"/>
            </w:tcBorders>
            <w:shd w:val="clear" w:color="auto" w:fill="auto"/>
            <w:vAlign w:val="center"/>
          </w:tcPr>
          <w:p w14:paraId="2CCA1D89" w14:textId="77777777" w:rsidR="000A68D7" w:rsidRPr="007D0AA8" w:rsidRDefault="000A68D7" w:rsidP="00331FB9">
            <w:pPr>
              <w:pStyle w:val="ListParagraph"/>
              <w:numPr>
                <w:ilvl w:val="0"/>
                <w:numId w:val="15"/>
              </w:numPr>
              <w:spacing w:after="0" w:line="240" w:lineRule="auto"/>
              <w:ind w:left="175" w:hanging="175"/>
              <w:rPr>
                <w:rFonts w:ascii="Arial Narrow" w:hAnsi="Arial Narrow"/>
                <w:sz w:val="20"/>
                <w:szCs w:val="20"/>
              </w:rPr>
            </w:pPr>
            <w:r w:rsidRPr="007D0AA8">
              <w:rPr>
                <w:rFonts w:ascii="Arial Narrow" w:hAnsi="Arial Narrow" w:cs="Arial"/>
                <w:sz w:val="20"/>
                <w:szCs w:val="20"/>
                <w:lang w:val="en-GB" w:eastAsia="en-GB"/>
              </w:rPr>
              <w:t>Other</w:t>
            </w:r>
          </w:p>
        </w:tc>
        <w:tc>
          <w:tcPr>
            <w:tcW w:w="1093" w:type="pct"/>
            <w:gridSpan w:val="2"/>
            <w:tcBorders>
              <w:left w:val="single" w:sz="4" w:space="0" w:color="auto"/>
              <w:bottom w:val="single" w:sz="4" w:space="0" w:color="auto"/>
              <w:right w:val="single" w:sz="4" w:space="0" w:color="auto"/>
            </w:tcBorders>
            <w:shd w:val="clear" w:color="auto" w:fill="auto"/>
            <w:noWrap/>
            <w:vAlign w:val="center"/>
          </w:tcPr>
          <w:p w14:paraId="60DBE729"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18"/>
                <w:lang w:val="en-GB" w:eastAsia="en-GB"/>
              </w:rPr>
              <w:t>1 (0.8%)</w:t>
            </w:r>
          </w:p>
        </w:tc>
        <w:tc>
          <w:tcPr>
            <w:tcW w:w="1173" w:type="pct"/>
            <w:gridSpan w:val="2"/>
            <w:tcBorders>
              <w:left w:val="single" w:sz="4" w:space="0" w:color="auto"/>
              <w:bottom w:val="single" w:sz="4" w:space="0" w:color="auto"/>
              <w:right w:val="single" w:sz="4" w:space="0" w:color="auto"/>
            </w:tcBorders>
            <w:shd w:val="clear" w:color="auto" w:fill="auto"/>
            <w:noWrap/>
            <w:vAlign w:val="center"/>
          </w:tcPr>
          <w:p w14:paraId="6F3FFA4A"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sz w:val="20"/>
                <w:szCs w:val="18"/>
                <w:lang w:val="en-GB" w:eastAsia="en-GB"/>
              </w:rPr>
              <w:t>0 (0.0%)</w:t>
            </w:r>
          </w:p>
        </w:tc>
        <w:tc>
          <w:tcPr>
            <w:tcW w:w="619" w:type="pct"/>
            <w:gridSpan w:val="2"/>
            <w:tcBorders>
              <w:top w:val="nil"/>
              <w:left w:val="single" w:sz="4" w:space="0" w:color="auto"/>
              <w:bottom w:val="single" w:sz="4" w:space="0" w:color="auto"/>
              <w:right w:val="single" w:sz="4" w:space="0" w:color="auto"/>
            </w:tcBorders>
          </w:tcPr>
          <w:p w14:paraId="0471E664" w14:textId="77777777" w:rsidR="000A68D7" w:rsidRPr="007D0AA8" w:rsidRDefault="000A68D7" w:rsidP="001A2B6F">
            <w:pPr>
              <w:spacing w:after="0" w:line="240" w:lineRule="auto"/>
              <w:jc w:val="right"/>
              <w:rPr>
                <w:rFonts w:ascii="Arial Narrow" w:hAnsi="Arial Narrow"/>
                <w:sz w:val="20"/>
                <w:szCs w:val="20"/>
              </w:rPr>
            </w:pPr>
          </w:p>
        </w:tc>
      </w:tr>
      <w:tr w:rsidR="000A68D7" w:rsidRPr="007D0AA8" w14:paraId="5C168548" w14:textId="77777777" w:rsidTr="00B52A4F">
        <w:trPr>
          <w:jc w:val="center"/>
        </w:trPr>
        <w:tc>
          <w:tcPr>
            <w:tcW w:w="783" w:type="pct"/>
            <w:tcBorders>
              <w:top w:val="nil"/>
              <w:left w:val="single" w:sz="4" w:space="0" w:color="auto"/>
              <w:bottom w:val="single" w:sz="4" w:space="0" w:color="auto"/>
              <w:right w:val="single" w:sz="4" w:space="0" w:color="auto"/>
            </w:tcBorders>
          </w:tcPr>
          <w:p w14:paraId="3FDFC8F4"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top w:val="single" w:sz="4" w:space="0" w:color="auto"/>
              <w:left w:val="single" w:sz="4" w:space="0" w:color="auto"/>
              <w:bottom w:val="single" w:sz="4" w:space="0" w:color="auto"/>
              <w:right w:val="single" w:sz="4" w:space="0" w:color="auto"/>
            </w:tcBorders>
            <w:shd w:val="clear" w:color="auto" w:fill="auto"/>
            <w:vAlign w:val="center"/>
          </w:tcPr>
          <w:p w14:paraId="072D1BA0" w14:textId="77777777" w:rsidR="000A68D7" w:rsidRPr="007D0AA8" w:rsidRDefault="000A68D7" w:rsidP="001A2B6F">
            <w:pPr>
              <w:spacing w:after="0" w:line="240" w:lineRule="auto"/>
              <w:rPr>
                <w:rFonts w:ascii="Arial Narrow" w:hAnsi="Arial Narrow"/>
                <w:sz w:val="20"/>
                <w:szCs w:val="20"/>
              </w:rPr>
            </w:pPr>
            <w:r w:rsidRPr="007D0AA8">
              <w:rPr>
                <w:rFonts w:ascii="Arial Narrow" w:hAnsi="Arial Narrow" w:cs="Arial"/>
                <w:sz w:val="20"/>
                <w:szCs w:val="20"/>
                <w:lang w:val="en-GB" w:eastAsia="en-GB"/>
              </w:rPr>
              <w:t>Infection-free subjects</w:t>
            </w:r>
          </w:p>
        </w:tc>
        <w:tc>
          <w:tcPr>
            <w:tcW w:w="10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8897A93"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bCs/>
                <w:sz w:val="20"/>
                <w:szCs w:val="18"/>
                <w:lang w:val="en-GB" w:eastAsia="en-GB"/>
              </w:rPr>
              <w:t>1 (2.6%)</w:t>
            </w:r>
          </w:p>
        </w:tc>
        <w:tc>
          <w:tcPr>
            <w:tcW w:w="117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D30551B" w14:textId="77777777" w:rsidR="000A68D7" w:rsidRPr="007D0AA8" w:rsidRDefault="000A68D7" w:rsidP="001A2B6F">
            <w:pPr>
              <w:spacing w:after="0" w:line="240" w:lineRule="auto"/>
              <w:jc w:val="right"/>
              <w:rPr>
                <w:rFonts w:ascii="Arial Narrow" w:hAnsi="Arial Narrow"/>
                <w:sz w:val="20"/>
                <w:szCs w:val="20"/>
                <w:highlight w:val="yellow"/>
              </w:rPr>
            </w:pPr>
            <w:r w:rsidRPr="007D0AA8">
              <w:rPr>
                <w:rFonts w:ascii="Arial Narrow" w:hAnsi="Arial Narrow" w:cs="Arial"/>
                <w:bCs/>
                <w:sz w:val="20"/>
                <w:szCs w:val="18"/>
                <w:lang w:val="en-GB" w:eastAsia="en-GB"/>
              </w:rPr>
              <w:t>9 (23.1%)</w:t>
            </w:r>
          </w:p>
        </w:tc>
        <w:tc>
          <w:tcPr>
            <w:tcW w:w="619" w:type="pct"/>
            <w:gridSpan w:val="2"/>
            <w:tcBorders>
              <w:top w:val="single" w:sz="4" w:space="0" w:color="auto"/>
              <w:left w:val="single" w:sz="4" w:space="0" w:color="auto"/>
              <w:bottom w:val="single" w:sz="4" w:space="0" w:color="auto"/>
              <w:right w:val="single" w:sz="4" w:space="0" w:color="auto"/>
            </w:tcBorders>
          </w:tcPr>
          <w:p w14:paraId="423DE8BD" w14:textId="77777777" w:rsidR="000A68D7" w:rsidRPr="007D0AA8" w:rsidRDefault="000A68D7" w:rsidP="001A2B6F">
            <w:pPr>
              <w:spacing w:after="0" w:line="240" w:lineRule="auto"/>
              <w:jc w:val="right"/>
              <w:rPr>
                <w:rFonts w:ascii="Arial Narrow" w:hAnsi="Arial Narrow"/>
                <w:sz w:val="20"/>
                <w:szCs w:val="20"/>
              </w:rPr>
            </w:pPr>
          </w:p>
        </w:tc>
      </w:tr>
      <w:tr w:rsidR="000A68D7" w:rsidRPr="00386411" w14:paraId="7EB4A9C2" w14:textId="77777777" w:rsidTr="00B52A4F">
        <w:tblPrEx>
          <w:jc w:val="left"/>
        </w:tblPrEx>
        <w:tc>
          <w:tcPr>
            <w:tcW w:w="78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784A6C" w14:textId="77777777" w:rsidR="000A68D7" w:rsidRPr="00386411" w:rsidRDefault="000A68D7" w:rsidP="001A2B6F">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Reiser et al., 2017</w:t>
            </w:r>
          </w:p>
        </w:tc>
        <w:tc>
          <w:tcPr>
            <w:tcW w:w="13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CBEF6B" w14:textId="77777777" w:rsidR="000A68D7" w:rsidRPr="00386411" w:rsidRDefault="000A68D7" w:rsidP="001A2B6F">
            <w:pPr>
              <w:spacing w:after="0" w:line="240" w:lineRule="auto"/>
              <w:rPr>
                <w:rFonts w:ascii="Arial Narrow" w:hAnsi="Arial Narrow"/>
                <w:b/>
                <w:snapToGrid w:val="0"/>
                <w:sz w:val="20"/>
                <w:szCs w:val="20"/>
                <w:lang w:eastAsia="en-US"/>
              </w:rPr>
            </w:pPr>
            <w:r w:rsidRPr="00386411">
              <w:rPr>
                <w:rFonts w:ascii="Arial Narrow" w:hAnsi="Arial Narrow"/>
                <w:b/>
                <w:snapToGrid w:val="0"/>
                <w:sz w:val="20"/>
                <w:szCs w:val="20"/>
                <w:lang w:eastAsia="en-US"/>
              </w:rPr>
              <w:t>Infections (N=307; IVIg=287; SCIg=20)</w:t>
            </w:r>
          </w:p>
        </w:tc>
        <w:tc>
          <w:tcPr>
            <w:tcW w:w="109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2ACC213" w14:textId="77777777" w:rsidR="000A68D7" w:rsidRPr="00386411" w:rsidRDefault="000A68D7" w:rsidP="001A2B6F">
            <w:pPr>
              <w:spacing w:after="0" w:line="240" w:lineRule="auto"/>
              <w:jc w:val="center"/>
              <w:rPr>
                <w:rFonts w:ascii="Arial Narrow" w:hAnsi="Arial Narrow"/>
                <w:b/>
                <w:i/>
                <w:snapToGrid w:val="0"/>
                <w:sz w:val="20"/>
                <w:szCs w:val="20"/>
                <w:highlight w:val="green"/>
                <w:lang w:eastAsia="en-US"/>
              </w:rPr>
            </w:pPr>
            <w:r w:rsidRPr="00386411">
              <w:rPr>
                <w:rFonts w:ascii="Arial Narrow" w:hAnsi="Arial Narrow" w:cs="Arial"/>
                <w:b/>
                <w:bCs/>
                <w:sz w:val="20"/>
                <w:szCs w:val="18"/>
                <w:lang w:val="en-GB" w:eastAsia="en-GB"/>
              </w:rPr>
              <w:t>Infections in 12mo before study</w:t>
            </w:r>
          </w:p>
        </w:tc>
        <w:tc>
          <w:tcPr>
            <w:tcW w:w="1496"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89E2372" w14:textId="77777777" w:rsidR="000A68D7" w:rsidRPr="00386411" w:rsidRDefault="000A68D7" w:rsidP="001A2B6F">
            <w:pPr>
              <w:spacing w:after="0" w:line="240" w:lineRule="auto"/>
              <w:jc w:val="center"/>
              <w:rPr>
                <w:rFonts w:ascii="Arial Narrow" w:hAnsi="Arial Narrow"/>
                <w:b/>
                <w:i/>
                <w:snapToGrid w:val="0"/>
                <w:sz w:val="20"/>
                <w:szCs w:val="20"/>
                <w:highlight w:val="green"/>
                <w:lang w:eastAsia="en-US"/>
              </w:rPr>
            </w:pPr>
            <w:r w:rsidRPr="00386411">
              <w:rPr>
                <w:rFonts w:ascii="Arial Narrow" w:hAnsi="Arial Narrow" w:cs="Arial"/>
                <w:b/>
                <w:bCs/>
                <w:sz w:val="20"/>
                <w:szCs w:val="18"/>
                <w:lang w:val="en-GB" w:eastAsia="en-GB"/>
              </w:rPr>
              <w:t>Infections on study</w:t>
            </w:r>
          </w:p>
        </w:tc>
        <w:tc>
          <w:tcPr>
            <w:tcW w:w="2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C2D6BB" w14:textId="77777777" w:rsidR="000A68D7" w:rsidRPr="00386411" w:rsidRDefault="000A68D7" w:rsidP="001A2B6F">
            <w:pPr>
              <w:spacing w:after="0" w:line="240" w:lineRule="auto"/>
              <w:jc w:val="right"/>
              <w:rPr>
                <w:rFonts w:ascii="Arial Narrow" w:hAnsi="Arial Narrow"/>
                <w:b/>
                <w:snapToGrid w:val="0"/>
                <w:sz w:val="20"/>
                <w:szCs w:val="20"/>
                <w:lang w:eastAsia="en-US"/>
              </w:rPr>
            </w:pPr>
          </w:p>
        </w:tc>
      </w:tr>
      <w:tr w:rsidR="000A68D7" w:rsidRPr="007D0AA8" w14:paraId="7692D46B" w14:textId="77777777" w:rsidTr="00B52A4F">
        <w:tblPrEx>
          <w:jc w:val="left"/>
        </w:tblPrEx>
        <w:tc>
          <w:tcPr>
            <w:tcW w:w="783" w:type="pct"/>
            <w:tcBorders>
              <w:top w:val="single" w:sz="4" w:space="0" w:color="auto"/>
              <w:left w:val="single" w:sz="4" w:space="0" w:color="auto"/>
              <w:right w:val="single" w:sz="4" w:space="0" w:color="auto"/>
            </w:tcBorders>
          </w:tcPr>
          <w:p w14:paraId="73E171E8" w14:textId="77777777" w:rsidR="000A68D7" w:rsidRPr="007D0AA8" w:rsidRDefault="000A68D7" w:rsidP="001A2B6F">
            <w:pPr>
              <w:spacing w:after="0" w:line="240" w:lineRule="auto"/>
              <w:ind w:right="-107"/>
              <w:rPr>
                <w:rFonts w:ascii="Arial Narrow" w:hAnsi="Arial Narrow" w:cs="Calibri"/>
                <w:color w:val="000000"/>
                <w:sz w:val="20"/>
                <w:szCs w:val="20"/>
              </w:rPr>
            </w:pPr>
            <w:r w:rsidRPr="007D0AA8">
              <w:rPr>
                <w:rFonts w:ascii="Arial Narrow" w:hAnsi="Arial Narrow"/>
                <w:sz w:val="20"/>
                <w:szCs w:val="18"/>
              </w:rPr>
              <w:t>CLL(130); NHL (99); MM(43); other(35)</w:t>
            </w:r>
          </w:p>
        </w:tc>
        <w:tc>
          <w:tcPr>
            <w:tcW w:w="1332" w:type="pct"/>
            <w:tcBorders>
              <w:top w:val="single" w:sz="4" w:space="0" w:color="auto"/>
              <w:left w:val="single" w:sz="4" w:space="0" w:color="auto"/>
              <w:bottom w:val="single" w:sz="4" w:space="0" w:color="auto"/>
              <w:right w:val="single" w:sz="4" w:space="0" w:color="auto"/>
            </w:tcBorders>
          </w:tcPr>
          <w:p w14:paraId="2ADBC9FE" w14:textId="77777777" w:rsidR="000A68D7" w:rsidRPr="007D0AA8" w:rsidRDefault="000A68D7" w:rsidP="001A2B6F">
            <w:pPr>
              <w:spacing w:after="0" w:line="240" w:lineRule="auto"/>
              <w:jc w:val="right"/>
              <w:rPr>
                <w:rFonts w:ascii="Arial Narrow" w:hAnsi="Arial Narrow"/>
                <w:snapToGrid w:val="0"/>
                <w:sz w:val="20"/>
                <w:szCs w:val="20"/>
                <w:lang w:eastAsia="en-US"/>
              </w:rPr>
            </w:pPr>
            <w:r w:rsidRPr="007D0AA8">
              <w:rPr>
                <w:rFonts w:ascii="Arial Narrow" w:hAnsi="Arial Narrow"/>
                <w:snapToGrid w:val="0"/>
                <w:sz w:val="20"/>
                <w:szCs w:val="20"/>
                <w:lang w:eastAsia="en-US"/>
              </w:rPr>
              <w:t>Groups:</w:t>
            </w:r>
          </w:p>
        </w:tc>
        <w:tc>
          <w:tcPr>
            <w:tcW w:w="546" w:type="pct"/>
            <w:tcBorders>
              <w:top w:val="single" w:sz="4" w:space="0" w:color="auto"/>
              <w:left w:val="single" w:sz="4" w:space="0" w:color="auto"/>
              <w:bottom w:val="single" w:sz="4" w:space="0" w:color="auto"/>
              <w:right w:val="single" w:sz="4" w:space="0" w:color="auto"/>
            </w:tcBorders>
            <w:noWrap/>
          </w:tcPr>
          <w:p w14:paraId="4CE0E0BA" w14:textId="77777777" w:rsidR="000A68D7" w:rsidRPr="007D0AA8" w:rsidRDefault="000A68D7" w:rsidP="001A2B6F">
            <w:pPr>
              <w:spacing w:after="0" w:line="240" w:lineRule="auto"/>
              <w:jc w:val="right"/>
              <w:rPr>
                <w:rFonts w:ascii="Arial Narrow" w:hAnsi="Arial Narrow" w:cs="Calibri"/>
                <w:sz w:val="20"/>
              </w:rPr>
            </w:pPr>
            <w:r w:rsidRPr="007D0AA8">
              <w:rPr>
                <w:rFonts w:ascii="Arial Narrow" w:hAnsi="Arial Narrow" w:cs="Calibri"/>
                <w:sz w:val="20"/>
              </w:rPr>
              <w:t>IgG new starters</w:t>
            </w:r>
          </w:p>
          <w:p w14:paraId="6A1A1609" w14:textId="77777777" w:rsidR="000A68D7" w:rsidRPr="007D0AA8" w:rsidRDefault="000A68D7" w:rsidP="001A2B6F">
            <w:pPr>
              <w:spacing w:after="0" w:line="240" w:lineRule="auto"/>
              <w:jc w:val="right"/>
              <w:rPr>
                <w:rFonts w:ascii="Arial Narrow" w:hAnsi="Arial Narrow"/>
                <w:i/>
                <w:snapToGrid w:val="0"/>
                <w:sz w:val="20"/>
                <w:szCs w:val="20"/>
                <w:highlight w:val="green"/>
                <w:lang w:eastAsia="en-US"/>
              </w:rPr>
            </w:pPr>
            <w:r w:rsidRPr="007D0AA8">
              <w:rPr>
                <w:rFonts w:ascii="Arial Narrow" w:hAnsi="Arial Narrow" w:cs="Calibri"/>
                <w:i/>
                <w:sz w:val="20"/>
              </w:rPr>
              <w:t>(n=96)</w:t>
            </w:r>
          </w:p>
        </w:tc>
        <w:tc>
          <w:tcPr>
            <w:tcW w:w="547" w:type="pct"/>
            <w:tcBorders>
              <w:top w:val="single" w:sz="4" w:space="0" w:color="auto"/>
              <w:left w:val="single" w:sz="4" w:space="0" w:color="auto"/>
              <w:bottom w:val="single" w:sz="4" w:space="0" w:color="auto"/>
              <w:right w:val="single" w:sz="4" w:space="0" w:color="auto"/>
            </w:tcBorders>
          </w:tcPr>
          <w:p w14:paraId="05CC48A4" w14:textId="77777777" w:rsidR="000A68D7" w:rsidRPr="007D0AA8" w:rsidRDefault="000A68D7" w:rsidP="001A2B6F">
            <w:pPr>
              <w:spacing w:after="0" w:line="240" w:lineRule="auto"/>
              <w:jc w:val="right"/>
              <w:rPr>
                <w:rFonts w:ascii="Arial Narrow" w:hAnsi="Arial Narrow"/>
                <w:i/>
                <w:snapToGrid w:val="0"/>
                <w:sz w:val="20"/>
                <w:szCs w:val="20"/>
                <w:highlight w:val="green"/>
                <w:lang w:eastAsia="en-US"/>
              </w:rPr>
            </w:pPr>
            <w:r w:rsidRPr="007D0AA8">
              <w:rPr>
                <w:rFonts w:ascii="Arial Narrow" w:hAnsi="Arial Narrow" w:cs="Calibri"/>
                <w:sz w:val="20"/>
              </w:rPr>
              <w:t>IgG ongoing</w:t>
            </w:r>
            <w:r w:rsidRPr="007D0AA8">
              <w:rPr>
                <w:rFonts w:ascii="Arial Narrow" w:hAnsi="Arial Narrow" w:cs="Calibri"/>
                <w:sz w:val="20"/>
              </w:rPr>
              <w:br/>
            </w:r>
            <w:r w:rsidRPr="007D0AA8">
              <w:rPr>
                <w:rFonts w:ascii="Arial Narrow" w:hAnsi="Arial Narrow" w:cs="Calibri"/>
                <w:i/>
                <w:sz w:val="20"/>
              </w:rPr>
              <w:t>(n=211)</w:t>
            </w:r>
          </w:p>
        </w:tc>
        <w:tc>
          <w:tcPr>
            <w:tcW w:w="736" w:type="pct"/>
            <w:tcBorders>
              <w:top w:val="single" w:sz="4" w:space="0" w:color="auto"/>
              <w:left w:val="single" w:sz="4" w:space="0" w:color="auto"/>
              <w:bottom w:val="single" w:sz="4" w:space="0" w:color="auto"/>
              <w:right w:val="single" w:sz="4" w:space="0" w:color="auto"/>
            </w:tcBorders>
            <w:noWrap/>
          </w:tcPr>
          <w:p w14:paraId="090B683D" w14:textId="77777777" w:rsidR="000A68D7" w:rsidRPr="007D0AA8" w:rsidRDefault="000A68D7" w:rsidP="001A2B6F">
            <w:pPr>
              <w:spacing w:after="0" w:line="240" w:lineRule="auto"/>
              <w:jc w:val="right"/>
              <w:rPr>
                <w:rFonts w:ascii="Arial Narrow" w:hAnsi="Arial Narrow"/>
                <w:i/>
                <w:snapToGrid w:val="0"/>
                <w:sz w:val="20"/>
                <w:szCs w:val="20"/>
                <w:lang w:eastAsia="en-US"/>
              </w:rPr>
            </w:pPr>
            <w:r w:rsidRPr="007D0AA8">
              <w:rPr>
                <w:rFonts w:ascii="Arial Narrow" w:hAnsi="Arial Narrow" w:cs="Calibri"/>
                <w:sz w:val="20"/>
              </w:rPr>
              <w:t>IgG new starters</w:t>
            </w:r>
            <w:r w:rsidRPr="007D0AA8">
              <w:rPr>
                <w:rFonts w:ascii="Arial Narrow" w:hAnsi="Arial Narrow" w:cs="Calibri"/>
                <w:sz w:val="20"/>
              </w:rPr>
              <w:br/>
              <w:t>(n=96)</w:t>
            </w:r>
          </w:p>
        </w:tc>
        <w:tc>
          <w:tcPr>
            <w:tcW w:w="760" w:type="pct"/>
            <w:gridSpan w:val="2"/>
            <w:tcBorders>
              <w:top w:val="single" w:sz="4" w:space="0" w:color="auto"/>
              <w:left w:val="single" w:sz="4" w:space="0" w:color="auto"/>
              <w:bottom w:val="single" w:sz="4" w:space="0" w:color="auto"/>
              <w:right w:val="single" w:sz="4" w:space="0" w:color="auto"/>
            </w:tcBorders>
          </w:tcPr>
          <w:p w14:paraId="15AAA988" w14:textId="77777777" w:rsidR="000A68D7" w:rsidRPr="007D0AA8" w:rsidRDefault="000A68D7" w:rsidP="001A2B6F">
            <w:pPr>
              <w:spacing w:after="0" w:line="240" w:lineRule="auto"/>
              <w:jc w:val="right"/>
              <w:rPr>
                <w:rFonts w:ascii="Arial Narrow" w:hAnsi="Arial Narrow"/>
                <w:i/>
                <w:snapToGrid w:val="0"/>
                <w:sz w:val="20"/>
                <w:szCs w:val="20"/>
                <w:lang w:eastAsia="en-US"/>
              </w:rPr>
            </w:pPr>
            <w:r w:rsidRPr="007D0AA8">
              <w:rPr>
                <w:rFonts w:ascii="Arial Narrow" w:hAnsi="Arial Narrow" w:cs="Calibri"/>
                <w:sz w:val="20"/>
              </w:rPr>
              <w:t>IgG ongoing</w:t>
            </w:r>
            <w:r w:rsidRPr="007D0AA8">
              <w:rPr>
                <w:rFonts w:ascii="Arial Narrow" w:hAnsi="Arial Narrow" w:cs="Calibri"/>
                <w:sz w:val="20"/>
              </w:rPr>
              <w:br/>
              <w:t>(n=211)</w:t>
            </w:r>
          </w:p>
        </w:tc>
        <w:tc>
          <w:tcPr>
            <w:tcW w:w="296" w:type="pct"/>
            <w:tcBorders>
              <w:top w:val="single" w:sz="4" w:space="0" w:color="auto"/>
              <w:left w:val="single" w:sz="4" w:space="0" w:color="auto"/>
              <w:bottom w:val="single" w:sz="4" w:space="0" w:color="auto"/>
              <w:right w:val="single" w:sz="4" w:space="0" w:color="auto"/>
            </w:tcBorders>
          </w:tcPr>
          <w:p w14:paraId="4F3670D1" w14:textId="77777777" w:rsidR="000A68D7" w:rsidRPr="007D0AA8" w:rsidRDefault="000A68D7" w:rsidP="001A2B6F">
            <w:pPr>
              <w:spacing w:after="0" w:line="240" w:lineRule="auto"/>
              <w:jc w:val="right"/>
              <w:rPr>
                <w:rFonts w:ascii="Arial Narrow" w:hAnsi="Arial Narrow"/>
                <w:snapToGrid w:val="0"/>
                <w:sz w:val="20"/>
                <w:szCs w:val="20"/>
                <w:lang w:eastAsia="en-US"/>
              </w:rPr>
            </w:pPr>
          </w:p>
        </w:tc>
      </w:tr>
      <w:tr w:rsidR="000A68D7" w:rsidRPr="007D0AA8" w14:paraId="14061C53" w14:textId="77777777" w:rsidTr="00B52A4F">
        <w:tblPrEx>
          <w:jc w:val="left"/>
        </w:tblPrEx>
        <w:tc>
          <w:tcPr>
            <w:tcW w:w="783" w:type="pct"/>
            <w:tcBorders>
              <w:left w:val="single" w:sz="4" w:space="0" w:color="auto"/>
              <w:right w:val="single" w:sz="4" w:space="0" w:color="auto"/>
            </w:tcBorders>
            <w:vAlign w:val="bottom"/>
          </w:tcPr>
          <w:p w14:paraId="79EC0C8C"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top w:val="single" w:sz="4" w:space="0" w:color="auto"/>
              <w:left w:val="single" w:sz="4" w:space="0" w:color="auto"/>
              <w:bottom w:val="single" w:sz="4" w:space="0" w:color="auto"/>
              <w:right w:val="single" w:sz="4" w:space="0" w:color="auto"/>
            </w:tcBorders>
          </w:tcPr>
          <w:p w14:paraId="6FAA447A" w14:textId="77777777" w:rsidR="000A68D7" w:rsidRPr="007D0AA8" w:rsidRDefault="000A68D7" w:rsidP="001A2B6F">
            <w:pPr>
              <w:spacing w:after="0" w:line="240" w:lineRule="auto"/>
              <w:rPr>
                <w:rFonts w:ascii="Arial Narrow" w:hAnsi="Arial Narrow"/>
                <w:i/>
                <w:snapToGrid w:val="0"/>
                <w:sz w:val="20"/>
                <w:szCs w:val="20"/>
                <w:lang w:eastAsia="en-US"/>
              </w:rPr>
            </w:pPr>
            <w:r w:rsidRPr="007D0AA8">
              <w:rPr>
                <w:rFonts w:ascii="Arial Narrow" w:hAnsi="Arial Narrow"/>
                <w:sz w:val="20"/>
              </w:rPr>
              <w:t>Patients with any infection</w:t>
            </w:r>
          </w:p>
        </w:tc>
        <w:tc>
          <w:tcPr>
            <w:tcW w:w="546" w:type="pct"/>
            <w:tcBorders>
              <w:top w:val="single" w:sz="4" w:space="0" w:color="auto"/>
              <w:left w:val="single" w:sz="4" w:space="0" w:color="auto"/>
              <w:bottom w:val="single" w:sz="4" w:space="0" w:color="auto"/>
              <w:right w:val="single" w:sz="4" w:space="0" w:color="auto"/>
            </w:tcBorders>
            <w:noWrap/>
          </w:tcPr>
          <w:p w14:paraId="7211F2A1" w14:textId="77777777" w:rsidR="000A68D7" w:rsidRPr="007D0AA8" w:rsidRDefault="000A68D7" w:rsidP="001A2B6F">
            <w:pPr>
              <w:spacing w:after="0" w:line="240" w:lineRule="auto"/>
              <w:jc w:val="right"/>
              <w:rPr>
                <w:rFonts w:ascii="Arial Narrow" w:hAnsi="Arial Narrow"/>
                <w:snapToGrid w:val="0"/>
                <w:sz w:val="20"/>
                <w:szCs w:val="20"/>
                <w:highlight w:val="green"/>
                <w:lang w:eastAsia="en-US"/>
              </w:rPr>
            </w:pPr>
            <w:r w:rsidRPr="007D0AA8">
              <w:rPr>
                <w:rFonts w:ascii="Arial Narrow" w:hAnsi="Arial Narrow" w:cs="Calibri"/>
                <w:sz w:val="20"/>
              </w:rPr>
              <w:t>79/96 (82%)</w:t>
            </w:r>
          </w:p>
        </w:tc>
        <w:tc>
          <w:tcPr>
            <w:tcW w:w="547" w:type="pct"/>
            <w:tcBorders>
              <w:top w:val="single" w:sz="4" w:space="0" w:color="auto"/>
              <w:left w:val="single" w:sz="4" w:space="0" w:color="auto"/>
              <w:bottom w:val="single" w:sz="4" w:space="0" w:color="auto"/>
              <w:right w:val="single" w:sz="4" w:space="0" w:color="auto"/>
            </w:tcBorders>
          </w:tcPr>
          <w:p w14:paraId="35960380" w14:textId="77777777" w:rsidR="000A68D7" w:rsidRPr="007D0AA8" w:rsidRDefault="000A68D7" w:rsidP="001A2B6F">
            <w:pPr>
              <w:spacing w:after="0" w:line="240" w:lineRule="auto"/>
              <w:jc w:val="right"/>
              <w:rPr>
                <w:rFonts w:ascii="Arial Narrow" w:hAnsi="Arial Narrow"/>
                <w:snapToGrid w:val="0"/>
                <w:sz w:val="20"/>
                <w:szCs w:val="20"/>
                <w:highlight w:val="green"/>
                <w:lang w:eastAsia="en-US"/>
              </w:rPr>
            </w:pPr>
            <w:r w:rsidRPr="007D0AA8">
              <w:rPr>
                <w:rFonts w:ascii="Arial Narrow" w:hAnsi="Arial Narrow" w:cs="Calibri"/>
                <w:sz w:val="20"/>
              </w:rPr>
              <w:t>137/211 (65%)</w:t>
            </w:r>
          </w:p>
        </w:tc>
        <w:tc>
          <w:tcPr>
            <w:tcW w:w="736" w:type="pct"/>
            <w:tcBorders>
              <w:top w:val="single" w:sz="4" w:space="0" w:color="auto"/>
              <w:left w:val="single" w:sz="4" w:space="0" w:color="auto"/>
              <w:bottom w:val="single" w:sz="4" w:space="0" w:color="auto"/>
              <w:right w:val="single" w:sz="4" w:space="0" w:color="auto"/>
            </w:tcBorders>
            <w:noWrap/>
          </w:tcPr>
          <w:p w14:paraId="57110676" w14:textId="77777777" w:rsidR="000A68D7" w:rsidRPr="007D0AA8" w:rsidRDefault="000A68D7" w:rsidP="001A2B6F">
            <w:pPr>
              <w:spacing w:after="0" w:line="240" w:lineRule="auto"/>
              <w:jc w:val="right"/>
              <w:rPr>
                <w:rFonts w:ascii="Arial Narrow" w:hAnsi="Arial Narrow"/>
                <w:sz w:val="19"/>
                <w:szCs w:val="19"/>
              </w:rPr>
            </w:pPr>
            <w:r w:rsidRPr="007D0AA8">
              <w:rPr>
                <w:rFonts w:ascii="Arial Narrow" w:hAnsi="Arial Narrow"/>
                <w:sz w:val="19"/>
                <w:szCs w:val="19"/>
              </w:rPr>
              <w:t>6mo: 35%</w:t>
            </w:r>
          </w:p>
          <w:p w14:paraId="4331C937" w14:textId="77777777" w:rsidR="000A68D7" w:rsidRPr="007D0AA8" w:rsidRDefault="000A68D7" w:rsidP="001A2B6F">
            <w:pPr>
              <w:spacing w:after="0" w:line="240" w:lineRule="auto"/>
              <w:jc w:val="right"/>
              <w:rPr>
                <w:rFonts w:ascii="Arial Narrow" w:hAnsi="Arial Narrow"/>
                <w:sz w:val="19"/>
                <w:szCs w:val="19"/>
              </w:rPr>
            </w:pPr>
            <w:r w:rsidRPr="007D0AA8">
              <w:rPr>
                <w:rFonts w:ascii="Arial Narrow" w:hAnsi="Arial Narrow"/>
                <w:sz w:val="19"/>
                <w:szCs w:val="19"/>
              </w:rPr>
              <w:t>12mo: 21%</w:t>
            </w:r>
          </w:p>
          <w:p w14:paraId="68010F7B" w14:textId="77777777" w:rsidR="000A68D7" w:rsidRPr="007D0AA8" w:rsidRDefault="000A68D7" w:rsidP="001A2B6F">
            <w:pPr>
              <w:spacing w:after="0" w:line="240" w:lineRule="auto"/>
              <w:jc w:val="right"/>
              <w:rPr>
                <w:rFonts w:ascii="Arial Narrow" w:hAnsi="Arial Narrow"/>
                <w:sz w:val="19"/>
                <w:szCs w:val="19"/>
              </w:rPr>
            </w:pPr>
            <w:r w:rsidRPr="007D0AA8">
              <w:rPr>
                <w:rFonts w:ascii="Arial Narrow" w:hAnsi="Arial Narrow"/>
                <w:sz w:val="19"/>
                <w:szCs w:val="19"/>
              </w:rPr>
              <w:t>18mo: 29%</w:t>
            </w:r>
          </w:p>
          <w:p w14:paraId="0BBBCCFC" w14:textId="77777777" w:rsidR="000A68D7" w:rsidRPr="007D0AA8" w:rsidRDefault="000A68D7" w:rsidP="001A2B6F">
            <w:pPr>
              <w:spacing w:after="0" w:line="240" w:lineRule="auto"/>
              <w:jc w:val="right"/>
              <w:rPr>
                <w:rFonts w:ascii="Arial Narrow" w:hAnsi="Arial Narrow"/>
                <w:i/>
                <w:snapToGrid w:val="0"/>
                <w:sz w:val="19"/>
                <w:szCs w:val="19"/>
                <w:highlight w:val="green"/>
                <w:lang w:eastAsia="en-US"/>
              </w:rPr>
            </w:pPr>
            <w:r w:rsidRPr="007D0AA8">
              <w:rPr>
                <w:rFonts w:ascii="Arial Narrow" w:hAnsi="Arial Narrow"/>
                <w:sz w:val="19"/>
                <w:szCs w:val="19"/>
              </w:rPr>
              <w:t>24mo: 42%</w:t>
            </w:r>
          </w:p>
        </w:tc>
        <w:tc>
          <w:tcPr>
            <w:tcW w:w="760" w:type="pct"/>
            <w:gridSpan w:val="2"/>
            <w:tcBorders>
              <w:top w:val="single" w:sz="4" w:space="0" w:color="auto"/>
              <w:left w:val="single" w:sz="4" w:space="0" w:color="auto"/>
              <w:bottom w:val="single" w:sz="4" w:space="0" w:color="auto"/>
              <w:right w:val="single" w:sz="4" w:space="0" w:color="auto"/>
            </w:tcBorders>
          </w:tcPr>
          <w:p w14:paraId="3EB39738" w14:textId="77777777" w:rsidR="000A68D7" w:rsidRPr="007D0AA8" w:rsidRDefault="000A68D7" w:rsidP="001A2B6F">
            <w:pPr>
              <w:spacing w:after="0" w:line="240" w:lineRule="auto"/>
              <w:jc w:val="right"/>
              <w:rPr>
                <w:rFonts w:ascii="Arial Narrow" w:hAnsi="Arial Narrow"/>
                <w:sz w:val="19"/>
                <w:szCs w:val="19"/>
              </w:rPr>
            </w:pPr>
            <w:r w:rsidRPr="007D0AA8">
              <w:rPr>
                <w:rFonts w:ascii="Arial Narrow" w:hAnsi="Arial Narrow"/>
                <w:sz w:val="19"/>
                <w:szCs w:val="19"/>
              </w:rPr>
              <w:t>6mo: 39%</w:t>
            </w:r>
          </w:p>
          <w:p w14:paraId="0ABD179D" w14:textId="77777777" w:rsidR="000A68D7" w:rsidRPr="007D0AA8" w:rsidRDefault="000A68D7" w:rsidP="001A2B6F">
            <w:pPr>
              <w:spacing w:after="0" w:line="240" w:lineRule="auto"/>
              <w:jc w:val="right"/>
              <w:rPr>
                <w:rFonts w:ascii="Arial Narrow" w:hAnsi="Arial Narrow"/>
                <w:sz w:val="19"/>
                <w:szCs w:val="19"/>
              </w:rPr>
            </w:pPr>
            <w:r w:rsidRPr="007D0AA8">
              <w:rPr>
                <w:rFonts w:ascii="Arial Narrow" w:hAnsi="Arial Narrow"/>
                <w:sz w:val="19"/>
                <w:szCs w:val="19"/>
              </w:rPr>
              <w:t>12mo: 41%</w:t>
            </w:r>
          </w:p>
          <w:p w14:paraId="133F9477" w14:textId="77777777" w:rsidR="000A68D7" w:rsidRPr="007D0AA8" w:rsidRDefault="000A68D7" w:rsidP="001A2B6F">
            <w:pPr>
              <w:spacing w:after="0" w:line="240" w:lineRule="auto"/>
              <w:jc w:val="right"/>
              <w:rPr>
                <w:rFonts w:ascii="Arial Narrow" w:hAnsi="Arial Narrow"/>
                <w:sz w:val="19"/>
                <w:szCs w:val="19"/>
              </w:rPr>
            </w:pPr>
            <w:r w:rsidRPr="007D0AA8">
              <w:rPr>
                <w:rFonts w:ascii="Arial Narrow" w:hAnsi="Arial Narrow"/>
                <w:sz w:val="19"/>
                <w:szCs w:val="19"/>
              </w:rPr>
              <w:t>18mo: 43%</w:t>
            </w:r>
          </w:p>
          <w:p w14:paraId="092F5613" w14:textId="77777777" w:rsidR="000A68D7" w:rsidRPr="007D0AA8" w:rsidRDefault="000A68D7" w:rsidP="001A2B6F">
            <w:pPr>
              <w:spacing w:after="0" w:line="240" w:lineRule="auto"/>
              <w:jc w:val="right"/>
              <w:rPr>
                <w:rFonts w:ascii="Arial Narrow" w:hAnsi="Arial Narrow"/>
                <w:i/>
                <w:snapToGrid w:val="0"/>
                <w:sz w:val="19"/>
                <w:szCs w:val="19"/>
                <w:highlight w:val="green"/>
                <w:lang w:eastAsia="en-US"/>
              </w:rPr>
            </w:pPr>
            <w:r w:rsidRPr="007D0AA8">
              <w:rPr>
                <w:rFonts w:ascii="Arial Narrow" w:hAnsi="Arial Narrow"/>
                <w:sz w:val="19"/>
                <w:szCs w:val="19"/>
              </w:rPr>
              <w:t>24mo: 44%</w:t>
            </w:r>
          </w:p>
        </w:tc>
        <w:tc>
          <w:tcPr>
            <w:tcW w:w="296" w:type="pct"/>
            <w:tcBorders>
              <w:top w:val="single" w:sz="4" w:space="0" w:color="auto"/>
              <w:left w:val="single" w:sz="4" w:space="0" w:color="auto"/>
              <w:bottom w:val="single" w:sz="4" w:space="0" w:color="auto"/>
              <w:right w:val="single" w:sz="4" w:space="0" w:color="auto"/>
            </w:tcBorders>
          </w:tcPr>
          <w:p w14:paraId="7805DD42" w14:textId="77777777" w:rsidR="000A68D7" w:rsidRPr="007D0AA8" w:rsidRDefault="000A68D7" w:rsidP="001A2B6F">
            <w:pPr>
              <w:spacing w:after="0" w:line="240" w:lineRule="auto"/>
              <w:jc w:val="right"/>
              <w:rPr>
                <w:rFonts w:ascii="Arial Narrow" w:hAnsi="Arial Narrow"/>
                <w:snapToGrid w:val="0"/>
                <w:sz w:val="20"/>
                <w:szCs w:val="20"/>
                <w:lang w:eastAsia="en-US"/>
              </w:rPr>
            </w:pPr>
          </w:p>
        </w:tc>
      </w:tr>
      <w:tr w:rsidR="000A68D7" w:rsidRPr="007D0AA8" w14:paraId="05911829" w14:textId="77777777" w:rsidTr="00B52A4F">
        <w:tblPrEx>
          <w:jc w:val="left"/>
        </w:tblPrEx>
        <w:tc>
          <w:tcPr>
            <w:tcW w:w="783" w:type="pct"/>
            <w:tcBorders>
              <w:left w:val="single" w:sz="4" w:space="0" w:color="auto"/>
              <w:right w:val="single" w:sz="4" w:space="0" w:color="auto"/>
            </w:tcBorders>
            <w:vAlign w:val="bottom"/>
          </w:tcPr>
          <w:p w14:paraId="49794CA1"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top w:val="single" w:sz="4" w:space="0" w:color="auto"/>
              <w:left w:val="single" w:sz="4" w:space="0" w:color="auto"/>
              <w:right w:val="single" w:sz="4" w:space="0" w:color="auto"/>
            </w:tcBorders>
          </w:tcPr>
          <w:p w14:paraId="4D7DAA55" w14:textId="77777777" w:rsidR="000A68D7" w:rsidRPr="007D0AA8" w:rsidRDefault="000A68D7" w:rsidP="001A2B6F">
            <w:pPr>
              <w:spacing w:after="0" w:line="240" w:lineRule="auto"/>
              <w:rPr>
                <w:rFonts w:ascii="Arial Narrow" w:hAnsi="Arial Narrow"/>
                <w:i/>
                <w:snapToGrid w:val="0"/>
                <w:sz w:val="20"/>
                <w:szCs w:val="20"/>
                <w:lang w:eastAsia="en-US"/>
              </w:rPr>
            </w:pPr>
            <w:r w:rsidRPr="007D0AA8">
              <w:rPr>
                <w:rFonts w:ascii="Arial Narrow" w:hAnsi="Arial Narrow"/>
                <w:sz w:val="20"/>
              </w:rPr>
              <w:t xml:space="preserve">Patients with serious bacterial infections </w:t>
            </w:r>
          </w:p>
        </w:tc>
        <w:tc>
          <w:tcPr>
            <w:tcW w:w="546" w:type="pct"/>
            <w:tcBorders>
              <w:top w:val="single" w:sz="4" w:space="0" w:color="auto"/>
              <w:left w:val="single" w:sz="4" w:space="0" w:color="auto"/>
              <w:bottom w:val="single" w:sz="4" w:space="0" w:color="auto"/>
              <w:right w:val="single" w:sz="4" w:space="0" w:color="auto"/>
            </w:tcBorders>
            <w:noWrap/>
          </w:tcPr>
          <w:p w14:paraId="68FC63A8" w14:textId="77777777" w:rsidR="000A68D7" w:rsidRPr="007D0AA8" w:rsidRDefault="000A68D7" w:rsidP="001A2B6F">
            <w:pPr>
              <w:spacing w:after="0" w:line="240" w:lineRule="auto"/>
              <w:jc w:val="right"/>
              <w:rPr>
                <w:rFonts w:ascii="Arial Narrow" w:hAnsi="Arial Narrow"/>
                <w:snapToGrid w:val="0"/>
                <w:sz w:val="20"/>
                <w:szCs w:val="20"/>
                <w:highlight w:val="green"/>
                <w:lang w:eastAsia="en-US"/>
              </w:rPr>
            </w:pPr>
            <w:r w:rsidRPr="007D0AA8">
              <w:rPr>
                <w:rFonts w:ascii="Arial Narrow" w:hAnsi="Arial Narrow" w:cs="Calibri"/>
                <w:sz w:val="20"/>
              </w:rPr>
              <w:t>6/96 (6.3%)</w:t>
            </w:r>
          </w:p>
        </w:tc>
        <w:tc>
          <w:tcPr>
            <w:tcW w:w="547" w:type="pct"/>
            <w:tcBorders>
              <w:top w:val="single" w:sz="4" w:space="0" w:color="auto"/>
              <w:left w:val="single" w:sz="4" w:space="0" w:color="auto"/>
              <w:bottom w:val="single" w:sz="4" w:space="0" w:color="auto"/>
              <w:right w:val="single" w:sz="4" w:space="0" w:color="auto"/>
            </w:tcBorders>
          </w:tcPr>
          <w:p w14:paraId="358809A3" w14:textId="77777777" w:rsidR="000A68D7" w:rsidRPr="007D0AA8" w:rsidRDefault="000A68D7" w:rsidP="001A2B6F">
            <w:pPr>
              <w:spacing w:after="0" w:line="240" w:lineRule="auto"/>
              <w:jc w:val="right"/>
              <w:rPr>
                <w:rFonts w:ascii="Arial Narrow" w:hAnsi="Arial Narrow"/>
                <w:snapToGrid w:val="0"/>
                <w:sz w:val="20"/>
                <w:szCs w:val="20"/>
                <w:highlight w:val="green"/>
                <w:lang w:eastAsia="en-US"/>
              </w:rPr>
            </w:pPr>
            <w:r w:rsidRPr="007D0AA8">
              <w:rPr>
                <w:rFonts w:ascii="Arial Narrow" w:hAnsi="Arial Narrow" w:cs="Calibri"/>
                <w:sz w:val="20"/>
              </w:rPr>
              <w:t>6/211 (2.9%)</w:t>
            </w:r>
          </w:p>
        </w:tc>
        <w:tc>
          <w:tcPr>
            <w:tcW w:w="736" w:type="pct"/>
            <w:tcBorders>
              <w:top w:val="single" w:sz="4" w:space="0" w:color="auto"/>
              <w:left w:val="single" w:sz="4" w:space="0" w:color="auto"/>
              <w:bottom w:val="single" w:sz="4" w:space="0" w:color="auto"/>
              <w:right w:val="single" w:sz="4" w:space="0" w:color="auto"/>
            </w:tcBorders>
            <w:noWrap/>
          </w:tcPr>
          <w:p w14:paraId="3EE67161" w14:textId="77777777" w:rsidR="000A68D7" w:rsidRPr="007D0AA8" w:rsidRDefault="000A68D7" w:rsidP="001A2B6F">
            <w:pPr>
              <w:spacing w:after="0" w:line="240" w:lineRule="auto"/>
              <w:jc w:val="right"/>
              <w:rPr>
                <w:rFonts w:ascii="Arial Narrow" w:hAnsi="Arial Narrow"/>
                <w:sz w:val="19"/>
                <w:szCs w:val="19"/>
              </w:rPr>
            </w:pPr>
            <w:r w:rsidRPr="007D0AA8">
              <w:rPr>
                <w:rFonts w:ascii="Arial Narrow" w:hAnsi="Arial Narrow"/>
                <w:sz w:val="19"/>
                <w:szCs w:val="19"/>
              </w:rPr>
              <w:t>6mo: 2.4%</w:t>
            </w:r>
          </w:p>
          <w:p w14:paraId="299874CD" w14:textId="77777777" w:rsidR="000A68D7" w:rsidRPr="007D0AA8" w:rsidRDefault="000A68D7" w:rsidP="001A2B6F">
            <w:pPr>
              <w:spacing w:after="0" w:line="240" w:lineRule="auto"/>
              <w:jc w:val="right"/>
              <w:rPr>
                <w:rFonts w:ascii="Arial Narrow" w:hAnsi="Arial Narrow"/>
                <w:sz w:val="19"/>
                <w:szCs w:val="19"/>
              </w:rPr>
            </w:pPr>
            <w:r w:rsidRPr="007D0AA8">
              <w:rPr>
                <w:rFonts w:ascii="Arial Narrow" w:hAnsi="Arial Narrow"/>
                <w:sz w:val="19"/>
                <w:szCs w:val="19"/>
              </w:rPr>
              <w:t>12mo: 1.5%</w:t>
            </w:r>
          </w:p>
          <w:p w14:paraId="58C598CA" w14:textId="5C0B5456" w:rsidR="000A68D7" w:rsidRPr="007D0AA8" w:rsidRDefault="000A68D7" w:rsidP="001A2B6F">
            <w:pPr>
              <w:spacing w:after="0" w:line="240" w:lineRule="auto"/>
              <w:jc w:val="right"/>
              <w:rPr>
                <w:rFonts w:ascii="Arial Narrow" w:hAnsi="Arial Narrow"/>
                <w:sz w:val="19"/>
                <w:szCs w:val="19"/>
              </w:rPr>
            </w:pPr>
            <w:r w:rsidRPr="007D0AA8">
              <w:rPr>
                <w:rFonts w:ascii="Arial Narrow" w:hAnsi="Arial Narrow"/>
                <w:sz w:val="19"/>
                <w:szCs w:val="19"/>
              </w:rPr>
              <w:t>18mo: 0%</w:t>
            </w:r>
          </w:p>
          <w:p w14:paraId="2F835FB1" w14:textId="77777777" w:rsidR="000A68D7" w:rsidRPr="007D0AA8" w:rsidRDefault="000A68D7" w:rsidP="001A2B6F">
            <w:pPr>
              <w:spacing w:after="0" w:line="240" w:lineRule="auto"/>
              <w:jc w:val="right"/>
              <w:rPr>
                <w:rFonts w:ascii="Arial Narrow" w:hAnsi="Arial Narrow"/>
                <w:i/>
                <w:snapToGrid w:val="0"/>
                <w:sz w:val="19"/>
                <w:szCs w:val="19"/>
                <w:highlight w:val="green"/>
                <w:lang w:eastAsia="en-US"/>
              </w:rPr>
            </w:pPr>
            <w:r w:rsidRPr="007D0AA8">
              <w:rPr>
                <w:rFonts w:ascii="Arial Narrow" w:hAnsi="Arial Narrow"/>
                <w:sz w:val="19"/>
                <w:szCs w:val="19"/>
              </w:rPr>
              <w:t>24mo: 3.8%</w:t>
            </w:r>
          </w:p>
        </w:tc>
        <w:tc>
          <w:tcPr>
            <w:tcW w:w="760" w:type="pct"/>
            <w:gridSpan w:val="2"/>
            <w:tcBorders>
              <w:top w:val="single" w:sz="4" w:space="0" w:color="auto"/>
              <w:left w:val="single" w:sz="4" w:space="0" w:color="auto"/>
              <w:bottom w:val="single" w:sz="4" w:space="0" w:color="auto"/>
              <w:right w:val="single" w:sz="4" w:space="0" w:color="auto"/>
            </w:tcBorders>
          </w:tcPr>
          <w:p w14:paraId="5DFAC8C3" w14:textId="77777777" w:rsidR="000A68D7" w:rsidRPr="007D0AA8" w:rsidRDefault="000A68D7" w:rsidP="001A2B6F">
            <w:pPr>
              <w:spacing w:after="0" w:line="240" w:lineRule="auto"/>
              <w:jc w:val="right"/>
              <w:rPr>
                <w:rFonts w:ascii="Arial Narrow" w:hAnsi="Arial Narrow"/>
                <w:sz w:val="19"/>
                <w:szCs w:val="19"/>
              </w:rPr>
            </w:pPr>
            <w:r w:rsidRPr="007D0AA8">
              <w:rPr>
                <w:rFonts w:ascii="Arial Narrow" w:hAnsi="Arial Narrow"/>
                <w:sz w:val="19"/>
                <w:szCs w:val="19"/>
              </w:rPr>
              <w:t>6mo: 0.5%</w:t>
            </w:r>
          </w:p>
          <w:p w14:paraId="78F4DB45" w14:textId="77777777" w:rsidR="000A68D7" w:rsidRPr="007D0AA8" w:rsidRDefault="000A68D7" w:rsidP="001A2B6F">
            <w:pPr>
              <w:spacing w:after="0" w:line="240" w:lineRule="auto"/>
              <w:jc w:val="right"/>
              <w:rPr>
                <w:rFonts w:ascii="Arial Narrow" w:hAnsi="Arial Narrow"/>
                <w:sz w:val="19"/>
                <w:szCs w:val="19"/>
              </w:rPr>
            </w:pPr>
            <w:r w:rsidRPr="007D0AA8">
              <w:rPr>
                <w:rFonts w:ascii="Arial Narrow" w:hAnsi="Arial Narrow"/>
                <w:sz w:val="19"/>
                <w:szCs w:val="19"/>
              </w:rPr>
              <w:t>12mo: 1.2%</w:t>
            </w:r>
          </w:p>
          <w:p w14:paraId="648CDEA0" w14:textId="77777777" w:rsidR="000A68D7" w:rsidRPr="007D0AA8" w:rsidRDefault="000A68D7" w:rsidP="001A2B6F">
            <w:pPr>
              <w:spacing w:after="0" w:line="240" w:lineRule="auto"/>
              <w:jc w:val="right"/>
              <w:rPr>
                <w:rFonts w:ascii="Arial Narrow" w:hAnsi="Arial Narrow"/>
                <w:sz w:val="19"/>
                <w:szCs w:val="19"/>
              </w:rPr>
            </w:pPr>
            <w:r w:rsidRPr="007D0AA8">
              <w:rPr>
                <w:rFonts w:ascii="Arial Narrow" w:hAnsi="Arial Narrow"/>
                <w:sz w:val="19"/>
                <w:szCs w:val="19"/>
              </w:rPr>
              <w:t>18mo: 1.9%</w:t>
            </w:r>
          </w:p>
          <w:p w14:paraId="0B458402" w14:textId="77777777" w:rsidR="000A68D7" w:rsidRPr="007D0AA8" w:rsidRDefault="000A68D7" w:rsidP="001A2B6F">
            <w:pPr>
              <w:spacing w:after="0" w:line="240" w:lineRule="auto"/>
              <w:jc w:val="right"/>
              <w:rPr>
                <w:rFonts w:ascii="Arial Narrow" w:hAnsi="Arial Narrow"/>
                <w:i/>
                <w:snapToGrid w:val="0"/>
                <w:sz w:val="19"/>
                <w:szCs w:val="19"/>
                <w:highlight w:val="green"/>
                <w:lang w:eastAsia="en-US"/>
              </w:rPr>
            </w:pPr>
            <w:r w:rsidRPr="007D0AA8">
              <w:rPr>
                <w:rFonts w:ascii="Arial Narrow" w:hAnsi="Arial Narrow"/>
                <w:sz w:val="19"/>
                <w:szCs w:val="19"/>
              </w:rPr>
              <w:t>24mo: 0.7%</w:t>
            </w:r>
          </w:p>
        </w:tc>
        <w:tc>
          <w:tcPr>
            <w:tcW w:w="296" w:type="pct"/>
            <w:tcBorders>
              <w:top w:val="single" w:sz="4" w:space="0" w:color="auto"/>
              <w:left w:val="single" w:sz="4" w:space="0" w:color="auto"/>
              <w:right w:val="single" w:sz="4" w:space="0" w:color="auto"/>
            </w:tcBorders>
          </w:tcPr>
          <w:p w14:paraId="04E5F914" w14:textId="77777777" w:rsidR="000A68D7" w:rsidRPr="007D0AA8" w:rsidRDefault="000A68D7" w:rsidP="001A2B6F">
            <w:pPr>
              <w:spacing w:after="0" w:line="240" w:lineRule="auto"/>
              <w:jc w:val="right"/>
              <w:rPr>
                <w:rFonts w:ascii="Arial Narrow" w:hAnsi="Arial Narrow"/>
                <w:snapToGrid w:val="0"/>
                <w:sz w:val="20"/>
                <w:szCs w:val="20"/>
                <w:lang w:eastAsia="en-US"/>
              </w:rPr>
            </w:pPr>
          </w:p>
        </w:tc>
      </w:tr>
      <w:tr w:rsidR="000A68D7" w:rsidRPr="007D0AA8" w14:paraId="799264BC" w14:textId="77777777" w:rsidTr="00B52A4F">
        <w:tblPrEx>
          <w:jc w:val="left"/>
        </w:tblPrEx>
        <w:tc>
          <w:tcPr>
            <w:tcW w:w="783" w:type="pct"/>
            <w:tcBorders>
              <w:left w:val="single" w:sz="4" w:space="0" w:color="auto"/>
              <w:right w:val="single" w:sz="4" w:space="0" w:color="auto"/>
            </w:tcBorders>
            <w:vAlign w:val="bottom"/>
          </w:tcPr>
          <w:p w14:paraId="2A589099"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top w:val="single" w:sz="4" w:space="0" w:color="auto"/>
              <w:left w:val="single" w:sz="4" w:space="0" w:color="auto"/>
              <w:bottom w:val="single" w:sz="4" w:space="0" w:color="auto"/>
              <w:right w:val="single" w:sz="4" w:space="0" w:color="auto"/>
            </w:tcBorders>
          </w:tcPr>
          <w:p w14:paraId="22AFFDCC" w14:textId="77777777" w:rsidR="000A68D7" w:rsidRPr="007D0AA8" w:rsidRDefault="000A68D7" w:rsidP="001A2B6F">
            <w:pPr>
              <w:spacing w:after="0" w:line="240" w:lineRule="auto"/>
              <w:rPr>
                <w:rFonts w:ascii="Arial Narrow" w:hAnsi="Arial Narrow"/>
                <w:i/>
                <w:snapToGrid w:val="0"/>
                <w:sz w:val="20"/>
                <w:szCs w:val="20"/>
                <w:lang w:eastAsia="en-US"/>
              </w:rPr>
            </w:pPr>
            <w:r w:rsidRPr="007D0AA8">
              <w:rPr>
                <w:rFonts w:ascii="Arial Narrow" w:hAnsi="Arial Narrow"/>
                <w:sz w:val="20"/>
              </w:rPr>
              <w:t xml:space="preserve">Patients with other serious infections </w:t>
            </w:r>
          </w:p>
        </w:tc>
        <w:tc>
          <w:tcPr>
            <w:tcW w:w="546" w:type="pct"/>
            <w:tcBorders>
              <w:top w:val="single" w:sz="4" w:space="0" w:color="auto"/>
              <w:left w:val="single" w:sz="4" w:space="0" w:color="auto"/>
              <w:bottom w:val="single" w:sz="4" w:space="0" w:color="auto"/>
              <w:right w:val="single" w:sz="4" w:space="0" w:color="auto"/>
            </w:tcBorders>
            <w:noWrap/>
          </w:tcPr>
          <w:p w14:paraId="54A84822" w14:textId="77777777" w:rsidR="000A68D7" w:rsidRPr="007D0AA8" w:rsidRDefault="000A68D7" w:rsidP="001A2B6F">
            <w:pPr>
              <w:spacing w:after="0" w:line="240" w:lineRule="auto"/>
              <w:jc w:val="right"/>
              <w:rPr>
                <w:rFonts w:ascii="Arial Narrow" w:hAnsi="Arial Narrow"/>
                <w:snapToGrid w:val="0"/>
                <w:sz w:val="20"/>
                <w:szCs w:val="20"/>
                <w:highlight w:val="green"/>
                <w:lang w:eastAsia="en-US"/>
              </w:rPr>
            </w:pPr>
            <w:r w:rsidRPr="007D0AA8">
              <w:rPr>
                <w:rFonts w:ascii="Arial Narrow" w:hAnsi="Arial Narrow" w:cs="Calibri"/>
                <w:sz w:val="20"/>
              </w:rPr>
              <w:t xml:space="preserve">9/96 (9.4%) </w:t>
            </w:r>
            <w:r w:rsidRPr="007D0AA8">
              <w:rPr>
                <w:rFonts w:ascii="Arial Narrow" w:hAnsi="Arial Narrow" w:cs="Calibri"/>
                <w:sz w:val="20"/>
              </w:rPr>
              <w:br/>
              <w:t>17 events</w:t>
            </w:r>
          </w:p>
        </w:tc>
        <w:tc>
          <w:tcPr>
            <w:tcW w:w="547" w:type="pct"/>
            <w:tcBorders>
              <w:top w:val="single" w:sz="4" w:space="0" w:color="auto"/>
              <w:left w:val="single" w:sz="4" w:space="0" w:color="auto"/>
              <w:bottom w:val="single" w:sz="4" w:space="0" w:color="auto"/>
              <w:right w:val="single" w:sz="4" w:space="0" w:color="auto"/>
            </w:tcBorders>
          </w:tcPr>
          <w:p w14:paraId="56E43610" w14:textId="77777777" w:rsidR="000A68D7" w:rsidRPr="007D0AA8" w:rsidRDefault="000A68D7" w:rsidP="001A2B6F">
            <w:pPr>
              <w:spacing w:after="0" w:line="240" w:lineRule="auto"/>
              <w:jc w:val="right"/>
              <w:rPr>
                <w:rFonts w:ascii="Arial Narrow" w:hAnsi="Arial Narrow"/>
                <w:snapToGrid w:val="0"/>
                <w:sz w:val="20"/>
                <w:szCs w:val="20"/>
                <w:highlight w:val="green"/>
                <w:lang w:eastAsia="en-US"/>
              </w:rPr>
            </w:pPr>
            <w:r w:rsidRPr="007D0AA8">
              <w:rPr>
                <w:rFonts w:ascii="Arial Narrow" w:hAnsi="Arial Narrow" w:cs="Calibri"/>
                <w:sz w:val="20"/>
              </w:rPr>
              <w:t>5/211 (2.4%)</w:t>
            </w:r>
          </w:p>
        </w:tc>
        <w:tc>
          <w:tcPr>
            <w:tcW w:w="736" w:type="pct"/>
            <w:tcBorders>
              <w:top w:val="single" w:sz="4" w:space="0" w:color="auto"/>
              <w:left w:val="single" w:sz="4" w:space="0" w:color="auto"/>
              <w:bottom w:val="single" w:sz="4" w:space="0" w:color="auto"/>
              <w:right w:val="single" w:sz="4" w:space="0" w:color="auto"/>
            </w:tcBorders>
            <w:noWrap/>
          </w:tcPr>
          <w:p w14:paraId="0BFAEB5E" w14:textId="77777777" w:rsidR="000A68D7" w:rsidRPr="007D0AA8" w:rsidRDefault="000A68D7" w:rsidP="001A2B6F">
            <w:pPr>
              <w:spacing w:after="0" w:line="240" w:lineRule="auto"/>
              <w:jc w:val="right"/>
              <w:rPr>
                <w:rFonts w:ascii="Arial Narrow" w:hAnsi="Arial Narrow"/>
                <w:sz w:val="19"/>
                <w:szCs w:val="19"/>
              </w:rPr>
            </w:pPr>
            <w:r w:rsidRPr="007D0AA8">
              <w:rPr>
                <w:rFonts w:ascii="Arial Narrow" w:hAnsi="Arial Narrow"/>
                <w:sz w:val="19"/>
                <w:szCs w:val="19"/>
              </w:rPr>
              <w:t>6mo: 2.4%</w:t>
            </w:r>
          </w:p>
          <w:p w14:paraId="342429AD" w14:textId="77777777" w:rsidR="000A68D7" w:rsidRPr="007D0AA8" w:rsidRDefault="000A68D7" w:rsidP="001A2B6F">
            <w:pPr>
              <w:spacing w:after="0" w:line="240" w:lineRule="auto"/>
              <w:jc w:val="right"/>
              <w:rPr>
                <w:rFonts w:ascii="Arial Narrow" w:hAnsi="Arial Narrow"/>
                <w:sz w:val="19"/>
                <w:szCs w:val="19"/>
              </w:rPr>
            </w:pPr>
            <w:r w:rsidRPr="007D0AA8">
              <w:rPr>
                <w:rFonts w:ascii="Arial Narrow" w:hAnsi="Arial Narrow"/>
                <w:sz w:val="19"/>
                <w:szCs w:val="19"/>
              </w:rPr>
              <w:t>12mo: 3.0%</w:t>
            </w:r>
          </w:p>
          <w:p w14:paraId="6A5F91FC" w14:textId="77777777" w:rsidR="000A68D7" w:rsidRPr="007D0AA8" w:rsidRDefault="000A68D7" w:rsidP="001A2B6F">
            <w:pPr>
              <w:spacing w:after="0" w:line="240" w:lineRule="auto"/>
              <w:jc w:val="right"/>
              <w:rPr>
                <w:rFonts w:ascii="Arial Narrow" w:hAnsi="Arial Narrow"/>
                <w:sz w:val="19"/>
                <w:szCs w:val="19"/>
              </w:rPr>
            </w:pPr>
            <w:r w:rsidRPr="007D0AA8">
              <w:rPr>
                <w:rFonts w:ascii="Arial Narrow" w:hAnsi="Arial Narrow"/>
                <w:sz w:val="19"/>
                <w:szCs w:val="19"/>
              </w:rPr>
              <w:t>18mo: 8.6%</w:t>
            </w:r>
          </w:p>
          <w:p w14:paraId="6F705CF7" w14:textId="77777777" w:rsidR="000A68D7" w:rsidRPr="007D0AA8" w:rsidRDefault="000A68D7" w:rsidP="001A2B6F">
            <w:pPr>
              <w:spacing w:after="0" w:line="240" w:lineRule="auto"/>
              <w:jc w:val="right"/>
              <w:rPr>
                <w:rFonts w:ascii="Arial Narrow" w:hAnsi="Arial Narrow"/>
                <w:i/>
                <w:snapToGrid w:val="0"/>
                <w:sz w:val="19"/>
                <w:szCs w:val="19"/>
                <w:highlight w:val="green"/>
                <w:lang w:eastAsia="en-US"/>
              </w:rPr>
            </w:pPr>
            <w:r w:rsidRPr="007D0AA8">
              <w:rPr>
                <w:rFonts w:ascii="Arial Narrow" w:hAnsi="Arial Narrow"/>
                <w:sz w:val="19"/>
                <w:szCs w:val="19"/>
              </w:rPr>
              <w:t>24mo:   0%</w:t>
            </w:r>
          </w:p>
        </w:tc>
        <w:tc>
          <w:tcPr>
            <w:tcW w:w="760" w:type="pct"/>
            <w:gridSpan w:val="2"/>
            <w:tcBorders>
              <w:top w:val="single" w:sz="4" w:space="0" w:color="auto"/>
              <w:left w:val="single" w:sz="4" w:space="0" w:color="auto"/>
              <w:bottom w:val="single" w:sz="4" w:space="0" w:color="auto"/>
              <w:right w:val="single" w:sz="4" w:space="0" w:color="auto"/>
            </w:tcBorders>
          </w:tcPr>
          <w:p w14:paraId="44AB6990" w14:textId="77777777" w:rsidR="000A68D7" w:rsidRPr="007D0AA8" w:rsidRDefault="000A68D7" w:rsidP="001A2B6F">
            <w:pPr>
              <w:spacing w:after="0" w:line="240" w:lineRule="auto"/>
              <w:jc w:val="right"/>
              <w:rPr>
                <w:rFonts w:ascii="Arial Narrow" w:hAnsi="Arial Narrow"/>
                <w:sz w:val="19"/>
                <w:szCs w:val="19"/>
              </w:rPr>
            </w:pPr>
            <w:r w:rsidRPr="007D0AA8">
              <w:rPr>
                <w:rFonts w:ascii="Arial Narrow" w:hAnsi="Arial Narrow"/>
                <w:sz w:val="19"/>
                <w:szCs w:val="19"/>
              </w:rPr>
              <w:t>6mo: 2.6%</w:t>
            </w:r>
          </w:p>
          <w:p w14:paraId="7EFDA0A3" w14:textId="77777777" w:rsidR="000A68D7" w:rsidRPr="007D0AA8" w:rsidRDefault="000A68D7" w:rsidP="001A2B6F">
            <w:pPr>
              <w:spacing w:after="0" w:line="240" w:lineRule="auto"/>
              <w:jc w:val="right"/>
              <w:rPr>
                <w:rFonts w:ascii="Arial Narrow" w:hAnsi="Arial Narrow"/>
                <w:sz w:val="19"/>
                <w:szCs w:val="19"/>
              </w:rPr>
            </w:pPr>
            <w:r w:rsidRPr="007D0AA8">
              <w:rPr>
                <w:rFonts w:ascii="Arial Narrow" w:hAnsi="Arial Narrow"/>
                <w:sz w:val="19"/>
                <w:szCs w:val="19"/>
              </w:rPr>
              <w:t>12mo: 1.2%</w:t>
            </w:r>
          </w:p>
          <w:p w14:paraId="6308798F" w14:textId="77777777" w:rsidR="000A68D7" w:rsidRPr="007D0AA8" w:rsidRDefault="000A68D7" w:rsidP="001A2B6F">
            <w:pPr>
              <w:spacing w:after="0" w:line="240" w:lineRule="auto"/>
              <w:jc w:val="right"/>
              <w:rPr>
                <w:rFonts w:ascii="Arial Narrow" w:hAnsi="Arial Narrow"/>
                <w:sz w:val="19"/>
                <w:szCs w:val="19"/>
              </w:rPr>
            </w:pPr>
            <w:r w:rsidRPr="007D0AA8">
              <w:rPr>
                <w:rFonts w:ascii="Arial Narrow" w:hAnsi="Arial Narrow"/>
                <w:sz w:val="19"/>
                <w:szCs w:val="19"/>
              </w:rPr>
              <w:t>18mo: 3.2%</w:t>
            </w:r>
          </w:p>
          <w:p w14:paraId="572C55F7" w14:textId="77777777" w:rsidR="000A68D7" w:rsidRPr="007D0AA8" w:rsidRDefault="000A68D7" w:rsidP="001A2B6F">
            <w:pPr>
              <w:spacing w:after="0" w:line="240" w:lineRule="auto"/>
              <w:jc w:val="right"/>
              <w:rPr>
                <w:rFonts w:ascii="Arial Narrow" w:hAnsi="Arial Narrow"/>
                <w:i/>
                <w:snapToGrid w:val="0"/>
                <w:sz w:val="19"/>
                <w:szCs w:val="19"/>
                <w:highlight w:val="green"/>
                <w:lang w:eastAsia="en-US"/>
              </w:rPr>
            </w:pPr>
            <w:r w:rsidRPr="007D0AA8">
              <w:rPr>
                <w:rFonts w:ascii="Arial Narrow" w:hAnsi="Arial Narrow"/>
                <w:sz w:val="19"/>
                <w:szCs w:val="19"/>
              </w:rPr>
              <w:t>24mo: 1.4%</w:t>
            </w:r>
          </w:p>
        </w:tc>
        <w:tc>
          <w:tcPr>
            <w:tcW w:w="296" w:type="pct"/>
            <w:tcBorders>
              <w:left w:val="single" w:sz="4" w:space="0" w:color="auto"/>
              <w:right w:val="single" w:sz="4" w:space="0" w:color="auto"/>
            </w:tcBorders>
          </w:tcPr>
          <w:p w14:paraId="5AEAB79A" w14:textId="77777777" w:rsidR="000A68D7" w:rsidRPr="007D0AA8" w:rsidRDefault="000A68D7" w:rsidP="001A2B6F">
            <w:pPr>
              <w:spacing w:after="0" w:line="240" w:lineRule="auto"/>
              <w:jc w:val="right"/>
              <w:rPr>
                <w:rFonts w:ascii="Arial Narrow" w:hAnsi="Arial Narrow"/>
                <w:snapToGrid w:val="0"/>
                <w:sz w:val="20"/>
                <w:szCs w:val="20"/>
                <w:lang w:eastAsia="en-US"/>
              </w:rPr>
            </w:pPr>
          </w:p>
        </w:tc>
      </w:tr>
      <w:tr w:rsidR="000A68D7" w:rsidRPr="007D0AA8" w14:paraId="664D290A" w14:textId="77777777" w:rsidTr="00B52A4F">
        <w:tblPrEx>
          <w:jc w:val="left"/>
        </w:tblPrEx>
        <w:tc>
          <w:tcPr>
            <w:tcW w:w="783" w:type="pct"/>
            <w:tcBorders>
              <w:left w:val="single" w:sz="4" w:space="0" w:color="auto"/>
              <w:right w:val="single" w:sz="4" w:space="0" w:color="auto"/>
            </w:tcBorders>
            <w:vAlign w:val="bottom"/>
          </w:tcPr>
          <w:p w14:paraId="002F7FAE"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top w:val="single" w:sz="4" w:space="0" w:color="auto"/>
              <w:left w:val="single" w:sz="4" w:space="0" w:color="auto"/>
              <w:bottom w:val="single" w:sz="4" w:space="0" w:color="auto"/>
              <w:right w:val="single" w:sz="4" w:space="0" w:color="auto"/>
            </w:tcBorders>
          </w:tcPr>
          <w:p w14:paraId="3941E198" w14:textId="77777777" w:rsidR="000A68D7" w:rsidRPr="007D0AA8" w:rsidRDefault="000A68D7" w:rsidP="001A2B6F">
            <w:pPr>
              <w:spacing w:after="0" w:line="240" w:lineRule="auto"/>
              <w:rPr>
                <w:rFonts w:ascii="Arial Narrow" w:hAnsi="Arial Narrow"/>
                <w:sz w:val="20"/>
              </w:rPr>
            </w:pPr>
            <w:r w:rsidRPr="007D0AA8">
              <w:rPr>
                <w:rFonts w:ascii="Arial Narrow" w:hAnsi="Arial Narrow"/>
                <w:sz w:val="20"/>
              </w:rPr>
              <w:t>Patients with ‘general infections’ (non-serious)</w:t>
            </w:r>
          </w:p>
        </w:tc>
        <w:tc>
          <w:tcPr>
            <w:tcW w:w="546" w:type="pct"/>
            <w:tcBorders>
              <w:top w:val="single" w:sz="4" w:space="0" w:color="auto"/>
              <w:left w:val="single" w:sz="4" w:space="0" w:color="auto"/>
              <w:bottom w:val="single" w:sz="4" w:space="0" w:color="auto"/>
              <w:right w:val="single" w:sz="4" w:space="0" w:color="auto"/>
            </w:tcBorders>
            <w:noWrap/>
          </w:tcPr>
          <w:p w14:paraId="2F786494" w14:textId="77777777" w:rsidR="000A68D7" w:rsidRPr="007D0AA8" w:rsidRDefault="000A68D7" w:rsidP="001A2B6F">
            <w:pPr>
              <w:spacing w:after="0" w:line="240" w:lineRule="auto"/>
              <w:jc w:val="right"/>
              <w:rPr>
                <w:rFonts w:ascii="Arial Narrow" w:hAnsi="Arial Narrow" w:cs="Calibri"/>
                <w:sz w:val="20"/>
              </w:rPr>
            </w:pPr>
            <w:r w:rsidRPr="007D0AA8">
              <w:rPr>
                <w:rFonts w:ascii="Arial Narrow" w:hAnsi="Arial Narrow" w:cs="Calibri"/>
                <w:sz w:val="20"/>
              </w:rPr>
              <w:t>73/96</w:t>
            </w:r>
            <w:r w:rsidRPr="007D0AA8">
              <w:rPr>
                <w:rFonts w:ascii="Arial Narrow" w:hAnsi="Arial Narrow" w:cs="Calibri"/>
                <w:sz w:val="20"/>
              </w:rPr>
              <w:br/>
              <w:t>(76%)</w:t>
            </w:r>
          </w:p>
        </w:tc>
        <w:tc>
          <w:tcPr>
            <w:tcW w:w="547" w:type="pct"/>
            <w:tcBorders>
              <w:top w:val="single" w:sz="4" w:space="0" w:color="auto"/>
              <w:left w:val="single" w:sz="4" w:space="0" w:color="auto"/>
              <w:bottom w:val="single" w:sz="4" w:space="0" w:color="auto"/>
              <w:right w:val="single" w:sz="4" w:space="0" w:color="auto"/>
            </w:tcBorders>
          </w:tcPr>
          <w:p w14:paraId="38B75A42" w14:textId="77777777" w:rsidR="000A68D7" w:rsidRPr="007D0AA8" w:rsidRDefault="000A68D7" w:rsidP="001A2B6F">
            <w:pPr>
              <w:spacing w:after="0" w:line="240" w:lineRule="auto"/>
              <w:jc w:val="right"/>
              <w:rPr>
                <w:rFonts w:ascii="Arial Narrow" w:hAnsi="Arial Narrow" w:cs="Calibri"/>
                <w:sz w:val="20"/>
              </w:rPr>
            </w:pPr>
            <w:r w:rsidRPr="007D0AA8">
              <w:rPr>
                <w:rFonts w:ascii="Arial Narrow" w:hAnsi="Arial Narrow" w:cs="Calibri"/>
                <w:sz w:val="20"/>
              </w:rPr>
              <w:t>131/211</w:t>
            </w:r>
            <w:r w:rsidRPr="007D0AA8">
              <w:rPr>
                <w:rFonts w:ascii="Arial Narrow" w:hAnsi="Arial Narrow" w:cs="Calibri"/>
                <w:sz w:val="20"/>
              </w:rPr>
              <w:br/>
              <w:t>(62%)</w:t>
            </w:r>
          </w:p>
        </w:tc>
        <w:tc>
          <w:tcPr>
            <w:tcW w:w="736" w:type="pct"/>
            <w:tcBorders>
              <w:top w:val="single" w:sz="4" w:space="0" w:color="auto"/>
              <w:left w:val="single" w:sz="4" w:space="0" w:color="auto"/>
              <w:bottom w:val="single" w:sz="4" w:space="0" w:color="auto"/>
              <w:right w:val="single" w:sz="4" w:space="0" w:color="auto"/>
            </w:tcBorders>
            <w:noWrap/>
          </w:tcPr>
          <w:p w14:paraId="6D0E5D4E" w14:textId="77777777" w:rsidR="000A68D7" w:rsidRPr="007D0AA8" w:rsidRDefault="000A68D7" w:rsidP="001A2B6F">
            <w:pPr>
              <w:spacing w:after="0" w:line="240" w:lineRule="auto"/>
              <w:jc w:val="right"/>
              <w:rPr>
                <w:rFonts w:ascii="Arial Narrow" w:hAnsi="Arial Narrow"/>
                <w:sz w:val="19"/>
                <w:szCs w:val="19"/>
              </w:rPr>
            </w:pPr>
            <w:r w:rsidRPr="007D0AA8">
              <w:rPr>
                <w:rFonts w:ascii="Arial Narrow" w:hAnsi="Arial Narrow"/>
                <w:sz w:val="19"/>
                <w:szCs w:val="19"/>
              </w:rPr>
              <w:t>6mo: 30%</w:t>
            </w:r>
          </w:p>
          <w:p w14:paraId="5B1E768A" w14:textId="77777777" w:rsidR="000A68D7" w:rsidRPr="007D0AA8" w:rsidRDefault="000A68D7" w:rsidP="001A2B6F">
            <w:pPr>
              <w:spacing w:after="0" w:line="240" w:lineRule="auto"/>
              <w:jc w:val="right"/>
              <w:rPr>
                <w:rFonts w:ascii="Arial Narrow" w:hAnsi="Arial Narrow"/>
                <w:sz w:val="19"/>
                <w:szCs w:val="19"/>
              </w:rPr>
            </w:pPr>
            <w:r w:rsidRPr="007D0AA8">
              <w:rPr>
                <w:rFonts w:ascii="Arial Narrow" w:hAnsi="Arial Narrow"/>
                <w:sz w:val="19"/>
                <w:szCs w:val="19"/>
              </w:rPr>
              <w:t>12mo: 16%</w:t>
            </w:r>
          </w:p>
          <w:p w14:paraId="3AB67A0E" w14:textId="77777777" w:rsidR="000A68D7" w:rsidRPr="007D0AA8" w:rsidRDefault="000A68D7" w:rsidP="001A2B6F">
            <w:pPr>
              <w:spacing w:after="0" w:line="240" w:lineRule="auto"/>
              <w:jc w:val="right"/>
              <w:rPr>
                <w:rFonts w:ascii="Arial Narrow" w:hAnsi="Arial Narrow"/>
                <w:sz w:val="19"/>
                <w:szCs w:val="19"/>
              </w:rPr>
            </w:pPr>
            <w:r w:rsidRPr="007D0AA8">
              <w:rPr>
                <w:rFonts w:ascii="Arial Narrow" w:hAnsi="Arial Narrow"/>
                <w:sz w:val="19"/>
                <w:szCs w:val="19"/>
              </w:rPr>
              <w:t>18mo: 21%</w:t>
            </w:r>
          </w:p>
          <w:p w14:paraId="05753079" w14:textId="77777777" w:rsidR="000A68D7" w:rsidRPr="007D0AA8" w:rsidRDefault="000A68D7" w:rsidP="001A2B6F">
            <w:pPr>
              <w:spacing w:after="0" w:line="240" w:lineRule="auto"/>
              <w:jc w:val="right"/>
              <w:rPr>
                <w:rFonts w:ascii="Arial Narrow" w:hAnsi="Arial Narrow"/>
                <w:sz w:val="19"/>
                <w:szCs w:val="19"/>
              </w:rPr>
            </w:pPr>
            <w:r w:rsidRPr="007D0AA8">
              <w:rPr>
                <w:rFonts w:ascii="Arial Narrow" w:hAnsi="Arial Narrow"/>
                <w:sz w:val="19"/>
                <w:szCs w:val="19"/>
              </w:rPr>
              <w:t>24mo:   38%</w:t>
            </w:r>
          </w:p>
        </w:tc>
        <w:tc>
          <w:tcPr>
            <w:tcW w:w="760" w:type="pct"/>
            <w:gridSpan w:val="2"/>
            <w:tcBorders>
              <w:top w:val="single" w:sz="4" w:space="0" w:color="auto"/>
              <w:left w:val="single" w:sz="4" w:space="0" w:color="auto"/>
              <w:bottom w:val="single" w:sz="4" w:space="0" w:color="auto"/>
              <w:right w:val="single" w:sz="4" w:space="0" w:color="auto"/>
            </w:tcBorders>
          </w:tcPr>
          <w:p w14:paraId="7BD14D12" w14:textId="77777777" w:rsidR="000A68D7" w:rsidRPr="007D0AA8" w:rsidRDefault="000A68D7" w:rsidP="001A2B6F">
            <w:pPr>
              <w:spacing w:after="0" w:line="240" w:lineRule="auto"/>
              <w:jc w:val="right"/>
              <w:rPr>
                <w:rFonts w:ascii="Arial Narrow" w:hAnsi="Arial Narrow"/>
                <w:sz w:val="19"/>
                <w:szCs w:val="19"/>
              </w:rPr>
            </w:pPr>
            <w:r w:rsidRPr="007D0AA8">
              <w:rPr>
                <w:rFonts w:ascii="Arial Narrow" w:hAnsi="Arial Narrow"/>
                <w:sz w:val="19"/>
                <w:szCs w:val="19"/>
              </w:rPr>
              <w:t>6mo: 38%</w:t>
            </w:r>
          </w:p>
          <w:p w14:paraId="2786B7CE" w14:textId="77777777" w:rsidR="000A68D7" w:rsidRPr="007D0AA8" w:rsidRDefault="000A68D7" w:rsidP="001A2B6F">
            <w:pPr>
              <w:spacing w:after="0" w:line="240" w:lineRule="auto"/>
              <w:jc w:val="right"/>
              <w:rPr>
                <w:rFonts w:ascii="Arial Narrow" w:hAnsi="Arial Narrow"/>
                <w:sz w:val="19"/>
                <w:szCs w:val="19"/>
              </w:rPr>
            </w:pPr>
            <w:r w:rsidRPr="007D0AA8">
              <w:rPr>
                <w:rFonts w:ascii="Arial Narrow" w:hAnsi="Arial Narrow"/>
                <w:sz w:val="19"/>
                <w:szCs w:val="19"/>
              </w:rPr>
              <w:t>12mo: 39%</w:t>
            </w:r>
          </w:p>
          <w:p w14:paraId="764634DF" w14:textId="77777777" w:rsidR="000A68D7" w:rsidRPr="007D0AA8" w:rsidRDefault="000A68D7" w:rsidP="001A2B6F">
            <w:pPr>
              <w:spacing w:after="0" w:line="240" w:lineRule="auto"/>
              <w:jc w:val="right"/>
              <w:rPr>
                <w:rFonts w:ascii="Arial Narrow" w:hAnsi="Arial Narrow"/>
                <w:sz w:val="19"/>
                <w:szCs w:val="19"/>
              </w:rPr>
            </w:pPr>
            <w:r w:rsidRPr="007D0AA8">
              <w:rPr>
                <w:rFonts w:ascii="Arial Narrow" w:hAnsi="Arial Narrow"/>
                <w:sz w:val="19"/>
                <w:szCs w:val="19"/>
              </w:rPr>
              <w:t>18mo: 39%</w:t>
            </w:r>
          </w:p>
          <w:p w14:paraId="7E674372" w14:textId="77777777" w:rsidR="000A68D7" w:rsidRPr="007D0AA8" w:rsidRDefault="000A68D7" w:rsidP="001A2B6F">
            <w:pPr>
              <w:spacing w:after="0" w:line="240" w:lineRule="auto"/>
              <w:jc w:val="right"/>
              <w:rPr>
                <w:rFonts w:ascii="Arial Narrow" w:hAnsi="Arial Narrow"/>
                <w:sz w:val="19"/>
                <w:szCs w:val="19"/>
              </w:rPr>
            </w:pPr>
            <w:r w:rsidRPr="007D0AA8">
              <w:rPr>
                <w:rFonts w:ascii="Arial Narrow" w:hAnsi="Arial Narrow"/>
                <w:sz w:val="19"/>
                <w:szCs w:val="19"/>
              </w:rPr>
              <w:t>24mo:  42%</w:t>
            </w:r>
          </w:p>
        </w:tc>
        <w:tc>
          <w:tcPr>
            <w:tcW w:w="296" w:type="pct"/>
            <w:tcBorders>
              <w:left w:val="single" w:sz="4" w:space="0" w:color="auto"/>
              <w:right w:val="single" w:sz="4" w:space="0" w:color="auto"/>
            </w:tcBorders>
          </w:tcPr>
          <w:p w14:paraId="5A93771B" w14:textId="77777777" w:rsidR="000A68D7" w:rsidRPr="007D0AA8" w:rsidRDefault="000A68D7" w:rsidP="001A2B6F">
            <w:pPr>
              <w:spacing w:after="0" w:line="240" w:lineRule="auto"/>
              <w:jc w:val="right"/>
              <w:rPr>
                <w:rFonts w:ascii="Arial Narrow" w:hAnsi="Arial Narrow"/>
                <w:snapToGrid w:val="0"/>
                <w:sz w:val="20"/>
                <w:szCs w:val="20"/>
                <w:lang w:eastAsia="en-US"/>
              </w:rPr>
            </w:pPr>
          </w:p>
        </w:tc>
      </w:tr>
      <w:tr w:rsidR="000A68D7" w:rsidRPr="007D0AA8" w14:paraId="7472E62D" w14:textId="77777777" w:rsidTr="00B52A4F">
        <w:tblPrEx>
          <w:jc w:val="left"/>
        </w:tblPrEx>
        <w:tc>
          <w:tcPr>
            <w:tcW w:w="783" w:type="pct"/>
            <w:tcBorders>
              <w:left w:val="single" w:sz="4" w:space="0" w:color="auto"/>
              <w:right w:val="single" w:sz="4" w:space="0" w:color="auto"/>
            </w:tcBorders>
            <w:vAlign w:val="bottom"/>
          </w:tcPr>
          <w:p w14:paraId="392C437E"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left w:val="single" w:sz="4" w:space="0" w:color="auto"/>
              <w:right w:val="single" w:sz="4" w:space="0" w:color="auto"/>
            </w:tcBorders>
          </w:tcPr>
          <w:p w14:paraId="722610F6" w14:textId="77777777" w:rsidR="000A68D7" w:rsidRPr="007D0AA8" w:rsidRDefault="000A68D7" w:rsidP="001A2B6F">
            <w:pPr>
              <w:spacing w:after="0" w:line="240" w:lineRule="auto"/>
              <w:rPr>
                <w:rFonts w:ascii="Arial Narrow" w:hAnsi="Arial Narrow"/>
                <w:i/>
                <w:snapToGrid w:val="0"/>
                <w:sz w:val="20"/>
                <w:szCs w:val="20"/>
                <w:lang w:eastAsia="en-US"/>
              </w:rPr>
            </w:pPr>
            <w:r w:rsidRPr="007D0AA8">
              <w:rPr>
                <w:rFonts w:ascii="Arial Narrow" w:hAnsi="Arial Narrow"/>
                <w:sz w:val="20"/>
              </w:rPr>
              <w:t>*3 or more serious infections</w:t>
            </w:r>
          </w:p>
        </w:tc>
        <w:tc>
          <w:tcPr>
            <w:tcW w:w="546" w:type="pct"/>
            <w:tcBorders>
              <w:top w:val="single" w:sz="4" w:space="0" w:color="auto"/>
              <w:left w:val="single" w:sz="4" w:space="0" w:color="auto"/>
              <w:bottom w:val="single" w:sz="4" w:space="0" w:color="auto"/>
              <w:right w:val="single" w:sz="4" w:space="0" w:color="auto"/>
            </w:tcBorders>
            <w:noWrap/>
          </w:tcPr>
          <w:p w14:paraId="3965A58E" w14:textId="77777777" w:rsidR="000A68D7" w:rsidRPr="007D0AA8" w:rsidRDefault="000A68D7" w:rsidP="001A2B6F">
            <w:pPr>
              <w:spacing w:after="0" w:line="240" w:lineRule="auto"/>
              <w:jc w:val="right"/>
              <w:rPr>
                <w:rFonts w:ascii="Arial Narrow" w:hAnsi="Arial Narrow"/>
                <w:i/>
                <w:snapToGrid w:val="0"/>
                <w:sz w:val="20"/>
                <w:szCs w:val="20"/>
                <w:highlight w:val="green"/>
                <w:lang w:eastAsia="en-US"/>
              </w:rPr>
            </w:pPr>
            <w:r w:rsidRPr="007D0AA8">
              <w:rPr>
                <w:rFonts w:ascii="Arial Narrow" w:hAnsi="Arial Narrow" w:cs="Calibri"/>
                <w:sz w:val="20"/>
              </w:rPr>
              <w:t>2/</w:t>
            </w:r>
            <w:r w:rsidRPr="007D0AA8">
              <w:rPr>
                <w:rFonts w:ascii="Arial Narrow" w:hAnsi="Arial Narrow" w:cs="Calibri"/>
                <w:i/>
                <w:sz w:val="20"/>
              </w:rPr>
              <w:t>96</w:t>
            </w:r>
            <w:r w:rsidRPr="007D0AA8">
              <w:rPr>
                <w:rFonts w:ascii="Arial Narrow" w:hAnsi="Arial Narrow" w:cs="Calibri"/>
                <w:sz w:val="20"/>
              </w:rPr>
              <w:t xml:space="preserve"> (2.1%)</w:t>
            </w:r>
          </w:p>
        </w:tc>
        <w:tc>
          <w:tcPr>
            <w:tcW w:w="547" w:type="pct"/>
            <w:tcBorders>
              <w:top w:val="single" w:sz="4" w:space="0" w:color="auto"/>
              <w:left w:val="single" w:sz="4" w:space="0" w:color="auto"/>
              <w:bottom w:val="single" w:sz="4" w:space="0" w:color="auto"/>
              <w:right w:val="single" w:sz="4" w:space="0" w:color="auto"/>
            </w:tcBorders>
          </w:tcPr>
          <w:p w14:paraId="0B8CF98D" w14:textId="77777777" w:rsidR="000A68D7" w:rsidRPr="007D0AA8" w:rsidRDefault="000A68D7" w:rsidP="001A2B6F">
            <w:pPr>
              <w:spacing w:after="0" w:line="240" w:lineRule="auto"/>
              <w:jc w:val="right"/>
              <w:rPr>
                <w:rFonts w:ascii="Arial Narrow" w:hAnsi="Arial Narrow"/>
                <w:i/>
                <w:snapToGrid w:val="0"/>
                <w:sz w:val="20"/>
                <w:szCs w:val="20"/>
                <w:highlight w:val="green"/>
                <w:lang w:eastAsia="en-US"/>
              </w:rPr>
            </w:pPr>
            <w:r w:rsidRPr="007D0AA8">
              <w:rPr>
                <w:rFonts w:ascii="Arial Narrow" w:hAnsi="Arial Narrow" w:cs="Calibri"/>
                <w:sz w:val="20"/>
              </w:rPr>
              <w:t>n.r.</w:t>
            </w:r>
          </w:p>
        </w:tc>
        <w:tc>
          <w:tcPr>
            <w:tcW w:w="736" w:type="pct"/>
            <w:tcBorders>
              <w:top w:val="single" w:sz="4" w:space="0" w:color="auto"/>
              <w:left w:val="single" w:sz="4" w:space="0" w:color="auto"/>
              <w:bottom w:val="single" w:sz="4" w:space="0" w:color="auto"/>
              <w:right w:val="single" w:sz="4" w:space="0" w:color="auto"/>
            </w:tcBorders>
            <w:noWrap/>
          </w:tcPr>
          <w:p w14:paraId="3A4E5C35" w14:textId="77777777" w:rsidR="000A68D7" w:rsidRPr="007D0AA8" w:rsidRDefault="000A68D7" w:rsidP="001A2B6F">
            <w:pPr>
              <w:spacing w:after="0" w:line="240" w:lineRule="auto"/>
              <w:jc w:val="right"/>
              <w:rPr>
                <w:rFonts w:ascii="Arial Narrow" w:hAnsi="Arial Narrow"/>
                <w:i/>
                <w:snapToGrid w:val="0"/>
                <w:sz w:val="20"/>
                <w:szCs w:val="20"/>
                <w:highlight w:val="green"/>
                <w:lang w:eastAsia="en-US"/>
              </w:rPr>
            </w:pPr>
            <w:r w:rsidRPr="007D0AA8">
              <w:rPr>
                <w:rFonts w:ascii="Arial Narrow" w:hAnsi="Arial Narrow" w:cs="Calibri"/>
                <w:sz w:val="20"/>
              </w:rPr>
              <w:t>n.r.</w:t>
            </w:r>
          </w:p>
        </w:tc>
        <w:tc>
          <w:tcPr>
            <w:tcW w:w="760" w:type="pct"/>
            <w:gridSpan w:val="2"/>
            <w:tcBorders>
              <w:top w:val="single" w:sz="4" w:space="0" w:color="auto"/>
              <w:left w:val="single" w:sz="4" w:space="0" w:color="auto"/>
              <w:bottom w:val="single" w:sz="4" w:space="0" w:color="auto"/>
              <w:right w:val="single" w:sz="4" w:space="0" w:color="auto"/>
            </w:tcBorders>
          </w:tcPr>
          <w:p w14:paraId="6B3429C1" w14:textId="77777777" w:rsidR="000A68D7" w:rsidRPr="007D0AA8" w:rsidRDefault="000A68D7" w:rsidP="001A2B6F">
            <w:pPr>
              <w:spacing w:after="0" w:line="240" w:lineRule="auto"/>
              <w:jc w:val="right"/>
              <w:rPr>
                <w:rFonts w:ascii="Arial Narrow" w:hAnsi="Arial Narrow"/>
                <w:i/>
                <w:snapToGrid w:val="0"/>
                <w:sz w:val="20"/>
                <w:szCs w:val="20"/>
                <w:highlight w:val="green"/>
                <w:lang w:eastAsia="en-US"/>
              </w:rPr>
            </w:pPr>
            <w:r w:rsidRPr="007D0AA8">
              <w:rPr>
                <w:rFonts w:ascii="Arial Narrow" w:hAnsi="Arial Narrow" w:cs="Calibri"/>
                <w:sz w:val="20"/>
              </w:rPr>
              <w:t>n.r.</w:t>
            </w:r>
          </w:p>
        </w:tc>
        <w:tc>
          <w:tcPr>
            <w:tcW w:w="296" w:type="pct"/>
            <w:tcBorders>
              <w:left w:val="single" w:sz="4" w:space="0" w:color="auto"/>
              <w:right w:val="single" w:sz="4" w:space="0" w:color="auto"/>
            </w:tcBorders>
          </w:tcPr>
          <w:p w14:paraId="4B32BC69" w14:textId="77777777" w:rsidR="000A68D7" w:rsidRPr="007D0AA8" w:rsidRDefault="000A68D7" w:rsidP="001A2B6F">
            <w:pPr>
              <w:spacing w:after="0" w:line="240" w:lineRule="auto"/>
              <w:jc w:val="right"/>
              <w:rPr>
                <w:rFonts w:ascii="Arial Narrow" w:hAnsi="Arial Narrow"/>
                <w:snapToGrid w:val="0"/>
                <w:sz w:val="20"/>
                <w:szCs w:val="20"/>
                <w:lang w:eastAsia="en-US"/>
              </w:rPr>
            </w:pPr>
          </w:p>
        </w:tc>
      </w:tr>
      <w:tr w:rsidR="000A68D7" w:rsidRPr="007D0AA8" w14:paraId="17ABE173" w14:textId="77777777" w:rsidTr="00B52A4F">
        <w:tblPrEx>
          <w:jc w:val="left"/>
        </w:tblPrEx>
        <w:tc>
          <w:tcPr>
            <w:tcW w:w="783" w:type="pct"/>
            <w:tcBorders>
              <w:left w:val="single" w:sz="4" w:space="0" w:color="auto"/>
              <w:right w:val="single" w:sz="4" w:space="0" w:color="auto"/>
            </w:tcBorders>
            <w:vAlign w:val="bottom"/>
          </w:tcPr>
          <w:p w14:paraId="76F54AF9"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left w:val="single" w:sz="4" w:space="0" w:color="auto"/>
              <w:right w:val="single" w:sz="4" w:space="0" w:color="auto"/>
            </w:tcBorders>
          </w:tcPr>
          <w:p w14:paraId="3B4A31C3" w14:textId="77777777" w:rsidR="000A68D7" w:rsidRPr="007D0AA8" w:rsidRDefault="000A68D7" w:rsidP="001A2B6F">
            <w:pPr>
              <w:spacing w:after="0" w:line="240" w:lineRule="auto"/>
              <w:rPr>
                <w:rFonts w:ascii="Arial Narrow" w:hAnsi="Arial Narrow"/>
                <w:i/>
                <w:snapToGrid w:val="0"/>
                <w:sz w:val="20"/>
                <w:szCs w:val="20"/>
                <w:lang w:eastAsia="en-US"/>
              </w:rPr>
            </w:pPr>
            <w:r w:rsidRPr="007D0AA8">
              <w:rPr>
                <w:rFonts w:ascii="Arial Narrow" w:hAnsi="Arial Narrow" w:cs="Calibri"/>
                <w:color w:val="000000"/>
                <w:sz w:val="20"/>
                <w:szCs w:val="20"/>
              </w:rPr>
              <w:t>Serious bacterial infection rate (/patient-yr)</w:t>
            </w:r>
          </w:p>
        </w:tc>
        <w:tc>
          <w:tcPr>
            <w:tcW w:w="1093" w:type="pct"/>
            <w:gridSpan w:val="2"/>
            <w:tcBorders>
              <w:top w:val="single" w:sz="4" w:space="0" w:color="auto"/>
              <w:left w:val="single" w:sz="4" w:space="0" w:color="auto"/>
            </w:tcBorders>
            <w:noWrap/>
          </w:tcPr>
          <w:p w14:paraId="2863D0B2" w14:textId="77777777" w:rsidR="000A68D7" w:rsidRPr="007D0AA8" w:rsidRDefault="000A68D7" w:rsidP="001A2B6F">
            <w:pPr>
              <w:spacing w:after="0" w:line="240" w:lineRule="auto"/>
              <w:jc w:val="right"/>
              <w:rPr>
                <w:rFonts w:ascii="Arial Narrow" w:hAnsi="Arial Narrow" w:cs="Calibri"/>
                <w:sz w:val="20"/>
              </w:rPr>
            </w:pPr>
            <w:r w:rsidRPr="007D0AA8">
              <w:rPr>
                <w:rFonts w:ascii="Arial Narrow" w:hAnsi="Arial Narrow" w:cs="Calibri"/>
                <w:sz w:val="20"/>
              </w:rPr>
              <w:t>0.250</w:t>
            </w:r>
            <w:r w:rsidRPr="007D0AA8">
              <w:rPr>
                <w:rFonts w:ascii="Arial Narrow" w:hAnsi="Arial Narrow" w:cs="Calibri"/>
                <w:sz w:val="20"/>
              </w:rPr>
              <w:br/>
            </w:r>
            <w:r w:rsidRPr="007D0AA8">
              <w:rPr>
                <w:rFonts w:ascii="Arial Narrow" w:hAnsi="Arial Narrow" w:cs="Calibri"/>
                <w:i/>
                <w:sz w:val="20"/>
              </w:rPr>
              <w:t>(equals 77 events)</w:t>
            </w:r>
          </w:p>
        </w:tc>
        <w:tc>
          <w:tcPr>
            <w:tcW w:w="1496" w:type="pct"/>
            <w:gridSpan w:val="3"/>
            <w:tcBorders>
              <w:top w:val="single" w:sz="4" w:space="0" w:color="auto"/>
            </w:tcBorders>
            <w:noWrap/>
          </w:tcPr>
          <w:p w14:paraId="184A01C0" w14:textId="77777777" w:rsidR="000A68D7" w:rsidRPr="007D0AA8" w:rsidRDefault="000A68D7" w:rsidP="001A2B6F">
            <w:pPr>
              <w:spacing w:after="0" w:line="240" w:lineRule="auto"/>
              <w:jc w:val="right"/>
              <w:rPr>
                <w:rFonts w:ascii="Arial Narrow" w:hAnsi="Arial Narrow"/>
                <w:i/>
                <w:snapToGrid w:val="0"/>
                <w:sz w:val="20"/>
                <w:szCs w:val="20"/>
                <w:highlight w:val="green"/>
                <w:lang w:eastAsia="en-US"/>
              </w:rPr>
            </w:pPr>
            <w:r w:rsidRPr="007D0AA8">
              <w:rPr>
                <w:rFonts w:ascii="Arial Narrow" w:hAnsi="Arial Narrow"/>
                <w:sz w:val="20"/>
              </w:rPr>
              <w:t>0.036</w:t>
            </w:r>
            <w:r w:rsidRPr="007D0AA8">
              <w:rPr>
                <w:rFonts w:ascii="Arial Narrow" w:hAnsi="Arial Narrow"/>
                <w:sz w:val="20"/>
              </w:rPr>
              <w:br/>
            </w:r>
            <w:r w:rsidRPr="007D0AA8">
              <w:rPr>
                <w:rFonts w:ascii="Arial Narrow" w:hAnsi="Arial Narrow"/>
                <w:i/>
                <w:sz w:val="20"/>
              </w:rPr>
              <w:t>(equals 11 events)</w:t>
            </w:r>
          </w:p>
        </w:tc>
        <w:tc>
          <w:tcPr>
            <w:tcW w:w="296" w:type="pct"/>
            <w:tcBorders>
              <w:right w:val="single" w:sz="4" w:space="0" w:color="auto"/>
            </w:tcBorders>
          </w:tcPr>
          <w:p w14:paraId="6A31E85B" w14:textId="77777777" w:rsidR="000A68D7" w:rsidRPr="007D0AA8" w:rsidRDefault="000A68D7" w:rsidP="001A2B6F">
            <w:pPr>
              <w:spacing w:after="0" w:line="240" w:lineRule="auto"/>
              <w:jc w:val="right"/>
              <w:rPr>
                <w:rFonts w:ascii="Arial Narrow" w:hAnsi="Arial Narrow"/>
                <w:snapToGrid w:val="0"/>
                <w:sz w:val="20"/>
                <w:szCs w:val="20"/>
                <w:lang w:eastAsia="en-US"/>
              </w:rPr>
            </w:pPr>
          </w:p>
        </w:tc>
      </w:tr>
      <w:tr w:rsidR="000A68D7" w:rsidRPr="007D0AA8" w14:paraId="4CF41D8E" w14:textId="77777777" w:rsidTr="00B52A4F">
        <w:tblPrEx>
          <w:jc w:val="left"/>
        </w:tblPrEx>
        <w:tc>
          <w:tcPr>
            <w:tcW w:w="783" w:type="pct"/>
            <w:tcBorders>
              <w:left w:val="single" w:sz="4" w:space="0" w:color="auto"/>
              <w:right w:val="single" w:sz="4" w:space="0" w:color="auto"/>
            </w:tcBorders>
            <w:vAlign w:val="bottom"/>
          </w:tcPr>
          <w:p w14:paraId="37F4ABF4"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left w:val="single" w:sz="4" w:space="0" w:color="auto"/>
              <w:bottom w:val="single" w:sz="4" w:space="0" w:color="auto"/>
              <w:right w:val="single" w:sz="4" w:space="0" w:color="auto"/>
            </w:tcBorders>
          </w:tcPr>
          <w:p w14:paraId="40758BCD" w14:textId="77777777" w:rsidR="000A68D7" w:rsidRPr="007D0AA8" w:rsidRDefault="000A68D7" w:rsidP="001A2B6F">
            <w:pPr>
              <w:spacing w:after="0" w:line="240" w:lineRule="auto"/>
              <w:rPr>
                <w:rFonts w:ascii="Arial Narrow" w:hAnsi="Arial Narrow"/>
                <w:i/>
                <w:snapToGrid w:val="0"/>
                <w:sz w:val="20"/>
                <w:szCs w:val="20"/>
                <w:lang w:eastAsia="en-US"/>
              </w:rPr>
            </w:pPr>
            <w:r w:rsidRPr="007D0AA8">
              <w:rPr>
                <w:rFonts w:ascii="Arial Narrow" w:hAnsi="Arial Narrow" w:cs="Calibri"/>
                <w:i/>
                <w:color w:val="000000"/>
                <w:sz w:val="20"/>
                <w:szCs w:val="20"/>
              </w:rPr>
              <w:t>Serious bacterial infection rate (/patient-month)</w:t>
            </w:r>
          </w:p>
        </w:tc>
        <w:tc>
          <w:tcPr>
            <w:tcW w:w="1093" w:type="pct"/>
            <w:gridSpan w:val="2"/>
            <w:tcBorders>
              <w:left w:val="single" w:sz="4" w:space="0" w:color="auto"/>
              <w:bottom w:val="single" w:sz="4" w:space="0" w:color="auto"/>
            </w:tcBorders>
            <w:noWrap/>
          </w:tcPr>
          <w:p w14:paraId="78812158" w14:textId="77777777" w:rsidR="000A68D7" w:rsidRPr="007D0AA8" w:rsidRDefault="000A68D7" w:rsidP="001A2B6F">
            <w:pPr>
              <w:spacing w:after="0" w:line="240" w:lineRule="auto"/>
              <w:jc w:val="right"/>
              <w:rPr>
                <w:rFonts w:ascii="Arial Narrow" w:hAnsi="Arial Narrow"/>
                <w:i/>
                <w:snapToGrid w:val="0"/>
                <w:sz w:val="20"/>
                <w:szCs w:val="20"/>
                <w:lang w:eastAsia="en-US"/>
              </w:rPr>
            </w:pPr>
            <w:r w:rsidRPr="007D0AA8">
              <w:rPr>
                <w:rFonts w:ascii="Arial Narrow" w:hAnsi="Arial Narrow" w:cs="Calibri"/>
                <w:i/>
                <w:sz w:val="20"/>
              </w:rPr>
              <w:t>0.021</w:t>
            </w:r>
          </w:p>
        </w:tc>
        <w:tc>
          <w:tcPr>
            <w:tcW w:w="1496" w:type="pct"/>
            <w:gridSpan w:val="3"/>
            <w:tcBorders>
              <w:bottom w:val="single" w:sz="4" w:space="0" w:color="auto"/>
            </w:tcBorders>
            <w:noWrap/>
          </w:tcPr>
          <w:p w14:paraId="0CE92010" w14:textId="77777777" w:rsidR="000A68D7" w:rsidRPr="007D0AA8" w:rsidRDefault="000A68D7" w:rsidP="001A2B6F">
            <w:pPr>
              <w:spacing w:after="0" w:line="240" w:lineRule="auto"/>
              <w:jc w:val="right"/>
              <w:rPr>
                <w:rFonts w:ascii="Arial Narrow" w:hAnsi="Arial Narrow"/>
                <w:i/>
                <w:snapToGrid w:val="0"/>
                <w:sz w:val="20"/>
                <w:szCs w:val="20"/>
                <w:lang w:eastAsia="en-US"/>
              </w:rPr>
            </w:pPr>
            <w:r w:rsidRPr="007D0AA8">
              <w:rPr>
                <w:rFonts w:ascii="Arial Narrow" w:hAnsi="Arial Narrow"/>
                <w:i/>
                <w:sz w:val="20"/>
              </w:rPr>
              <w:t>0.003</w:t>
            </w:r>
          </w:p>
        </w:tc>
        <w:tc>
          <w:tcPr>
            <w:tcW w:w="296" w:type="pct"/>
            <w:tcBorders>
              <w:right w:val="single" w:sz="4" w:space="0" w:color="auto"/>
            </w:tcBorders>
          </w:tcPr>
          <w:p w14:paraId="667FB949" w14:textId="77777777" w:rsidR="000A68D7" w:rsidRPr="007D0AA8" w:rsidRDefault="000A68D7" w:rsidP="001A2B6F">
            <w:pPr>
              <w:spacing w:after="0" w:line="240" w:lineRule="auto"/>
              <w:jc w:val="right"/>
              <w:rPr>
                <w:rFonts w:ascii="Arial Narrow" w:hAnsi="Arial Narrow"/>
                <w:snapToGrid w:val="0"/>
                <w:sz w:val="20"/>
                <w:szCs w:val="20"/>
                <w:lang w:eastAsia="en-US"/>
              </w:rPr>
            </w:pPr>
          </w:p>
        </w:tc>
      </w:tr>
      <w:tr w:rsidR="000A68D7" w:rsidRPr="007D0AA8" w14:paraId="2B9DF638" w14:textId="77777777" w:rsidTr="00B52A4F">
        <w:tblPrEx>
          <w:jc w:val="left"/>
        </w:tblPrEx>
        <w:tc>
          <w:tcPr>
            <w:tcW w:w="783" w:type="pct"/>
            <w:tcBorders>
              <w:left w:val="single" w:sz="4" w:space="0" w:color="auto"/>
              <w:right w:val="single" w:sz="4" w:space="0" w:color="auto"/>
            </w:tcBorders>
            <w:vAlign w:val="bottom"/>
          </w:tcPr>
          <w:p w14:paraId="4C1EA9FA"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top w:val="single" w:sz="4" w:space="0" w:color="auto"/>
              <w:left w:val="single" w:sz="4" w:space="0" w:color="auto"/>
              <w:right w:val="single" w:sz="4" w:space="0" w:color="auto"/>
            </w:tcBorders>
          </w:tcPr>
          <w:p w14:paraId="4F6BAA0B" w14:textId="77777777" w:rsidR="000A68D7" w:rsidRPr="007D0AA8" w:rsidRDefault="000A68D7" w:rsidP="001A2B6F">
            <w:pPr>
              <w:spacing w:after="0" w:line="240" w:lineRule="auto"/>
              <w:rPr>
                <w:rFonts w:ascii="Arial Narrow" w:hAnsi="Arial Narrow"/>
                <w:i/>
                <w:snapToGrid w:val="0"/>
                <w:sz w:val="20"/>
                <w:szCs w:val="20"/>
                <w:lang w:eastAsia="en-US"/>
              </w:rPr>
            </w:pPr>
            <w:r w:rsidRPr="007D0AA8">
              <w:rPr>
                <w:rFonts w:ascii="Arial Narrow" w:hAnsi="Arial Narrow" w:cs="Calibri"/>
                <w:color w:val="000000"/>
                <w:sz w:val="20"/>
                <w:szCs w:val="20"/>
              </w:rPr>
              <w:t>All serious infections rate (bacterial+other)(/patient/yr)</w:t>
            </w:r>
          </w:p>
        </w:tc>
        <w:tc>
          <w:tcPr>
            <w:tcW w:w="1093" w:type="pct"/>
            <w:gridSpan w:val="2"/>
            <w:tcBorders>
              <w:top w:val="single" w:sz="4" w:space="0" w:color="auto"/>
              <w:left w:val="single" w:sz="4" w:space="0" w:color="auto"/>
            </w:tcBorders>
            <w:noWrap/>
          </w:tcPr>
          <w:p w14:paraId="70675A1C" w14:textId="77777777" w:rsidR="000A68D7" w:rsidRPr="007D0AA8" w:rsidRDefault="000A68D7" w:rsidP="001A2B6F">
            <w:pPr>
              <w:spacing w:after="0" w:line="240" w:lineRule="auto"/>
              <w:jc w:val="right"/>
              <w:rPr>
                <w:rFonts w:ascii="Arial Narrow" w:hAnsi="Arial Narrow"/>
                <w:i/>
                <w:snapToGrid w:val="0"/>
                <w:sz w:val="20"/>
                <w:szCs w:val="20"/>
                <w:highlight w:val="green"/>
                <w:lang w:eastAsia="en-US"/>
              </w:rPr>
            </w:pPr>
            <w:r w:rsidRPr="007D0AA8">
              <w:rPr>
                <w:rFonts w:ascii="Arial Narrow" w:hAnsi="Arial Narrow" w:cs="Calibri"/>
                <w:sz w:val="20"/>
              </w:rPr>
              <w:t>n.r.</w:t>
            </w:r>
          </w:p>
        </w:tc>
        <w:tc>
          <w:tcPr>
            <w:tcW w:w="1496" w:type="pct"/>
            <w:gridSpan w:val="3"/>
            <w:tcBorders>
              <w:top w:val="single" w:sz="4" w:space="0" w:color="auto"/>
            </w:tcBorders>
            <w:noWrap/>
          </w:tcPr>
          <w:p w14:paraId="47F8D683" w14:textId="77777777" w:rsidR="000A68D7" w:rsidRPr="007D0AA8" w:rsidRDefault="000A68D7" w:rsidP="001A2B6F">
            <w:pPr>
              <w:spacing w:after="0" w:line="240" w:lineRule="auto"/>
              <w:jc w:val="right"/>
              <w:rPr>
                <w:rFonts w:ascii="Arial Narrow" w:hAnsi="Arial Narrow"/>
                <w:i/>
                <w:snapToGrid w:val="0"/>
                <w:sz w:val="20"/>
                <w:szCs w:val="20"/>
                <w:highlight w:val="green"/>
                <w:lang w:eastAsia="en-US"/>
              </w:rPr>
            </w:pPr>
            <w:r w:rsidRPr="007D0AA8">
              <w:rPr>
                <w:rFonts w:ascii="Arial Narrow" w:hAnsi="Arial Narrow"/>
                <w:sz w:val="20"/>
              </w:rPr>
              <w:t>0.122</w:t>
            </w:r>
            <w:r w:rsidRPr="007D0AA8">
              <w:rPr>
                <w:rFonts w:ascii="Arial Narrow" w:hAnsi="Arial Narrow"/>
                <w:sz w:val="20"/>
              </w:rPr>
              <w:br/>
            </w:r>
            <w:r w:rsidRPr="007D0AA8">
              <w:rPr>
                <w:rFonts w:ascii="Arial Narrow" w:hAnsi="Arial Narrow"/>
                <w:i/>
                <w:sz w:val="20"/>
              </w:rPr>
              <w:t>(equals 37 events)</w:t>
            </w:r>
          </w:p>
        </w:tc>
        <w:tc>
          <w:tcPr>
            <w:tcW w:w="296" w:type="pct"/>
            <w:tcBorders>
              <w:right w:val="single" w:sz="4" w:space="0" w:color="auto"/>
            </w:tcBorders>
          </w:tcPr>
          <w:p w14:paraId="304A40A0" w14:textId="77777777" w:rsidR="000A68D7" w:rsidRPr="007D0AA8" w:rsidRDefault="000A68D7" w:rsidP="001A2B6F">
            <w:pPr>
              <w:spacing w:after="0" w:line="240" w:lineRule="auto"/>
              <w:jc w:val="right"/>
              <w:rPr>
                <w:rFonts w:ascii="Arial Narrow" w:hAnsi="Arial Narrow"/>
                <w:snapToGrid w:val="0"/>
                <w:sz w:val="20"/>
                <w:szCs w:val="20"/>
                <w:lang w:eastAsia="en-US"/>
              </w:rPr>
            </w:pPr>
          </w:p>
        </w:tc>
      </w:tr>
      <w:tr w:rsidR="000A68D7" w:rsidRPr="007D0AA8" w14:paraId="20E717F1" w14:textId="77777777" w:rsidTr="00B52A4F">
        <w:tblPrEx>
          <w:jc w:val="left"/>
        </w:tblPrEx>
        <w:tc>
          <w:tcPr>
            <w:tcW w:w="783" w:type="pct"/>
            <w:tcBorders>
              <w:left w:val="single" w:sz="4" w:space="0" w:color="auto"/>
              <w:bottom w:val="single" w:sz="4" w:space="0" w:color="auto"/>
              <w:right w:val="single" w:sz="4" w:space="0" w:color="auto"/>
            </w:tcBorders>
            <w:vAlign w:val="bottom"/>
          </w:tcPr>
          <w:p w14:paraId="65FB8FBE" w14:textId="77777777" w:rsidR="000A68D7" w:rsidRPr="007D0AA8" w:rsidRDefault="000A68D7" w:rsidP="001A2B6F">
            <w:pPr>
              <w:spacing w:after="0" w:line="240" w:lineRule="auto"/>
              <w:rPr>
                <w:rFonts w:ascii="Arial Narrow" w:hAnsi="Arial Narrow" w:cs="Calibri"/>
                <w:color w:val="000000"/>
                <w:sz w:val="20"/>
                <w:szCs w:val="20"/>
              </w:rPr>
            </w:pPr>
          </w:p>
        </w:tc>
        <w:tc>
          <w:tcPr>
            <w:tcW w:w="1332" w:type="pct"/>
            <w:tcBorders>
              <w:left w:val="single" w:sz="4" w:space="0" w:color="auto"/>
              <w:bottom w:val="single" w:sz="4" w:space="0" w:color="auto"/>
              <w:right w:val="single" w:sz="4" w:space="0" w:color="auto"/>
            </w:tcBorders>
          </w:tcPr>
          <w:p w14:paraId="7EC65E36" w14:textId="77777777" w:rsidR="000A68D7" w:rsidRPr="007D0AA8" w:rsidRDefault="000A68D7" w:rsidP="001A2B6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All serious infections rate (bacterial+other)(/patient/mo)</w:t>
            </w:r>
          </w:p>
        </w:tc>
        <w:tc>
          <w:tcPr>
            <w:tcW w:w="1093" w:type="pct"/>
            <w:gridSpan w:val="2"/>
            <w:tcBorders>
              <w:left w:val="single" w:sz="4" w:space="0" w:color="auto"/>
              <w:bottom w:val="single" w:sz="4" w:space="0" w:color="auto"/>
            </w:tcBorders>
            <w:noWrap/>
          </w:tcPr>
          <w:p w14:paraId="1B1936EE" w14:textId="77777777" w:rsidR="000A68D7" w:rsidRPr="007D0AA8" w:rsidRDefault="000A68D7" w:rsidP="001A2B6F">
            <w:pPr>
              <w:spacing w:after="0" w:line="240" w:lineRule="auto"/>
              <w:jc w:val="right"/>
              <w:rPr>
                <w:rFonts w:ascii="Arial Narrow" w:hAnsi="Arial Narrow" w:cs="Calibri"/>
                <w:sz w:val="20"/>
              </w:rPr>
            </w:pPr>
            <w:r w:rsidRPr="007D0AA8">
              <w:rPr>
                <w:rFonts w:ascii="Arial Narrow" w:hAnsi="Arial Narrow"/>
                <w:sz w:val="20"/>
              </w:rPr>
              <w:t>―</w:t>
            </w:r>
          </w:p>
        </w:tc>
        <w:tc>
          <w:tcPr>
            <w:tcW w:w="1496" w:type="pct"/>
            <w:gridSpan w:val="3"/>
            <w:tcBorders>
              <w:bottom w:val="single" w:sz="4" w:space="0" w:color="auto"/>
            </w:tcBorders>
            <w:noWrap/>
          </w:tcPr>
          <w:p w14:paraId="315CFEEF" w14:textId="77777777" w:rsidR="000A68D7" w:rsidRPr="007D0AA8" w:rsidRDefault="000A68D7" w:rsidP="001A2B6F">
            <w:pPr>
              <w:spacing w:after="0" w:line="240" w:lineRule="auto"/>
              <w:jc w:val="right"/>
              <w:rPr>
                <w:rFonts w:ascii="Arial Narrow" w:hAnsi="Arial Narrow"/>
                <w:i/>
                <w:sz w:val="20"/>
              </w:rPr>
            </w:pPr>
            <w:r w:rsidRPr="007D0AA8">
              <w:rPr>
                <w:rFonts w:ascii="Arial Narrow" w:hAnsi="Arial Narrow"/>
                <w:i/>
                <w:sz w:val="20"/>
              </w:rPr>
              <w:t>0.010</w:t>
            </w:r>
            <w:r w:rsidRPr="007D0AA8">
              <w:rPr>
                <w:rFonts w:ascii="Arial Narrow" w:hAnsi="Arial Narrow"/>
                <w:i/>
                <w:sz w:val="20"/>
              </w:rPr>
              <w:br/>
              <w:t>(equals 3 events)</w:t>
            </w:r>
          </w:p>
        </w:tc>
        <w:tc>
          <w:tcPr>
            <w:tcW w:w="296" w:type="pct"/>
            <w:tcBorders>
              <w:bottom w:val="single" w:sz="4" w:space="0" w:color="auto"/>
              <w:right w:val="single" w:sz="4" w:space="0" w:color="auto"/>
            </w:tcBorders>
          </w:tcPr>
          <w:p w14:paraId="57ACF2AF" w14:textId="77777777" w:rsidR="000A68D7" w:rsidRPr="007D0AA8" w:rsidRDefault="000A68D7" w:rsidP="001A2B6F">
            <w:pPr>
              <w:spacing w:after="0" w:line="240" w:lineRule="auto"/>
              <w:jc w:val="right"/>
              <w:rPr>
                <w:rFonts w:ascii="Arial Narrow" w:hAnsi="Arial Narrow"/>
                <w:snapToGrid w:val="0"/>
                <w:sz w:val="20"/>
                <w:szCs w:val="20"/>
                <w:lang w:eastAsia="en-US"/>
              </w:rPr>
            </w:pPr>
          </w:p>
        </w:tc>
      </w:tr>
    </w:tbl>
    <w:p w14:paraId="4FC3CBE1" w14:textId="00D7932B" w:rsidR="000A68D7" w:rsidRPr="00876F28" w:rsidRDefault="000A68D7" w:rsidP="000A68D7">
      <w:pPr>
        <w:spacing w:after="0" w:line="240" w:lineRule="auto"/>
        <w:rPr>
          <w:rFonts w:ascii="Arial Narrow" w:hAnsi="Arial Narrow"/>
          <w:sz w:val="20"/>
          <w:szCs w:val="20"/>
        </w:rPr>
      </w:pPr>
      <w:r w:rsidRPr="00876F28">
        <w:rPr>
          <w:rFonts w:ascii="Arial Narrow" w:hAnsi="Arial Narrow"/>
          <w:sz w:val="20"/>
          <w:szCs w:val="20"/>
        </w:rPr>
        <w:t xml:space="preserve">Notes: </w:t>
      </w:r>
      <w:r w:rsidRPr="00876F28">
        <w:rPr>
          <w:rFonts w:ascii="Arial Narrow" w:hAnsi="Arial Narrow"/>
          <w:sz w:val="20"/>
          <w:szCs w:val="20"/>
          <w:u w:val="single"/>
        </w:rPr>
        <w:t>Benbrahim et al., 2019</w:t>
      </w:r>
      <w:r w:rsidRPr="00876F28">
        <w:rPr>
          <w:rFonts w:ascii="Arial Narrow" w:hAnsi="Arial Narrow"/>
          <w:sz w:val="20"/>
          <w:szCs w:val="20"/>
        </w:rPr>
        <w:t xml:space="preserve"> – study did not report total infections per patient or for the cohort</w:t>
      </w:r>
      <w:r w:rsidR="00FB19D5" w:rsidRPr="00876F28">
        <w:rPr>
          <w:rFonts w:ascii="Arial Narrow" w:hAnsi="Arial Narrow"/>
          <w:sz w:val="20"/>
          <w:szCs w:val="20"/>
        </w:rPr>
        <w:t>;</w:t>
      </w:r>
      <w:r w:rsidR="00261F0E">
        <w:rPr>
          <w:rFonts w:ascii="Arial Narrow" w:hAnsi="Arial Narrow"/>
          <w:sz w:val="20"/>
          <w:szCs w:val="20"/>
        </w:rPr>
        <w:t xml:space="preserve"> although the study reported rates per patient year, figures equivalent to 24 months prior/26 months during IgG treatment </w:t>
      </w:r>
      <w:r w:rsidR="00FA20FD">
        <w:rPr>
          <w:rFonts w:ascii="Arial Narrow" w:hAnsi="Arial Narrow"/>
          <w:sz w:val="20"/>
          <w:szCs w:val="20"/>
        </w:rPr>
        <w:t>were used for the forest plots</w:t>
      </w:r>
      <w:r w:rsidRPr="00876F28">
        <w:rPr>
          <w:rFonts w:ascii="Arial Narrow" w:hAnsi="Arial Narrow"/>
          <w:sz w:val="20"/>
          <w:szCs w:val="20"/>
        </w:rPr>
        <w:t>;</w:t>
      </w:r>
      <w:r w:rsidR="00876F28" w:rsidRPr="00876F28">
        <w:rPr>
          <w:rFonts w:ascii="Arial Narrow" w:hAnsi="Arial Narrow"/>
          <w:sz w:val="20"/>
          <w:szCs w:val="20"/>
        </w:rPr>
        <w:t xml:space="preserve"> Sepsis is a serious subset of septicaemia involving potential organ damage or organ failure </w:t>
      </w:r>
      <w:r w:rsidR="00896BE2">
        <w:rPr>
          <w:rFonts w:ascii="Arial Narrow" w:hAnsi="Arial Narrow"/>
          <w:sz w:val="20"/>
          <w:szCs w:val="20"/>
        </w:rPr>
        <w:fldChar w:fldCharType="begin">
          <w:fldData xml:space="preserve">PEVuZE5vdGU+PENpdGU+PEF1dGhvcj5TaW5nZXI8L0F1dGhvcj48WWVhcj4yMDE2PC9ZZWFyPjxS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</w:fldData>
        </w:fldChar>
      </w:r>
      <w:r w:rsidR="00896BE2">
        <w:rPr>
          <w:rFonts w:ascii="Arial Narrow" w:hAnsi="Arial Narrow"/>
          <w:sz w:val="20"/>
          <w:szCs w:val="20"/>
        </w:rPr>
        <w:instrText xml:space="preserve"> ADDIN EN.CITE </w:instrText>
      </w:r>
      <w:r w:rsidR="00896BE2">
        <w:rPr>
          <w:rFonts w:ascii="Arial Narrow" w:hAnsi="Arial Narrow"/>
          <w:sz w:val="20"/>
          <w:szCs w:val="20"/>
        </w:rPr>
        <w:fldChar w:fldCharType="begin">
          <w:fldData xml:space="preserve">PEVuZE5vdGU+PENpdGU+PEF1dGhvcj5TaW5nZXI8L0F1dGhvcj48WWVhcj4yMDE2PC9ZZWFyPjxS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</w:fldData>
        </w:fldChar>
      </w:r>
      <w:r w:rsidR="00896BE2">
        <w:rPr>
          <w:rFonts w:ascii="Arial Narrow" w:hAnsi="Arial Narrow"/>
          <w:sz w:val="20"/>
          <w:szCs w:val="20"/>
        </w:rPr>
        <w:instrText xml:space="preserve"> ADDIN EN.CITE.DATA </w:instrText>
      </w:r>
      <w:r w:rsidR="00896BE2">
        <w:rPr>
          <w:rFonts w:ascii="Arial Narrow" w:hAnsi="Arial Narrow"/>
          <w:sz w:val="20"/>
          <w:szCs w:val="20"/>
        </w:rPr>
      </w:r>
      <w:r w:rsidR="00896BE2">
        <w:rPr>
          <w:rFonts w:ascii="Arial Narrow" w:hAnsi="Arial Narrow"/>
          <w:sz w:val="20"/>
          <w:szCs w:val="20"/>
        </w:rPr>
        <w:fldChar w:fldCharType="end"/>
      </w:r>
      <w:r w:rsidR="00896BE2">
        <w:rPr>
          <w:rFonts w:ascii="Arial Narrow" w:hAnsi="Arial Narrow"/>
          <w:sz w:val="20"/>
          <w:szCs w:val="20"/>
        </w:rPr>
      </w:r>
      <w:r w:rsidR="00896BE2">
        <w:rPr>
          <w:rFonts w:ascii="Arial Narrow" w:hAnsi="Arial Narrow"/>
          <w:sz w:val="20"/>
          <w:szCs w:val="20"/>
        </w:rPr>
        <w:fldChar w:fldCharType="separate"/>
      </w:r>
      <w:r w:rsidR="00896BE2">
        <w:rPr>
          <w:rFonts w:ascii="Arial Narrow" w:hAnsi="Arial Narrow"/>
          <w:noProof/>
          <w:sz w:val="20"/>
          <w:szCs w:val="20"/>
        </w:rPr>
        <w:t>(</w:t>
      </w:r>
      <w:hyperlink w:anchor="_ENREF_46" w:tooltip="Singer, 2016 #102" w:history="1">
        <w:r w:rsidR="00BB0145">
          <w:rPr>
            <w:rFonts w:ascii="Arial Narrow" w:hAnsi="Arial Narrow"/>
            <w:noProof/>
            <w:sz w:val="20"/>
            <w:szCs w:val="20"/>
          </w:rPr>
          <w:t>Singer et al. 2016</w:t>
        </w:r>
      </w:hyperlink>
      <w:r w:rsidR="00896BE2">
        <w:rPr>
          <w:rFonts w:ascii="Arial Narrow" w:hAnsi="Arial Narrow"/>
          <w:noProof/>
          <w:sz w:val="20"/>
          <w:szCs w:val="20"/>
        </w:rPr>
        <w:t>)</w:t>
      </w:r>
      <w:r w:rsidR="00896BE2">
        <w:rPr>
          <w:rFonts w:ascii="Arial Narrow" w:hAnsi="Arial Narrow"/>
          <w:sz w:val="20"/>
          <w:szCs w:val="20"/>
        </w:rPr>
        <w:fldChar w:fldCharType="end"/>
      </w:r>
      <w:r w:rsidR="00876F28" w:rsidRPr="00876F28">
        <w:rPr>
          <w:rFonts w:ascii="Arial Narrow" w:hAnsi="Arial Narrow"/>
          <w:sz w:val="20"/>
          <w:szCs w:val="20"/>
        </w:rPr>
        <w:t xml:space="preserve">. Sepsis numbers were higher than total infections requiring antibiotics and five times higher than those requiring IV antibiotics. Based on event numbers, this would be more consistent with a diagnosis of ‘fever’ or ‘clinical signs of infection’ instead of sepsis. The authors did not define sepsis. </w:t>
      </w:r>
      <w:r w:rsidRPr="00876F28">
        <w:rPr>
          <w:rFonts w:ascii="Arial Narrow" w:hAnsi="Arial Narrow"/>
          <w:sz w:val="20"/>
          <w:szCs w:val="20"/>
        </w:rPr>
        <w:t xml:space="preserve"> </w:t>
      </w:r>
      <w:r w:rsidRPr="00876F28">
        <w:rPr>
          <w:rFonts w:ascii="Arial Narrow" w:hAnsi="Arial Narrow"/>
          <w:sz w:val="20"/>
          <w:szCs w:val="20"/>
          <w:u w:val="single"/>
        </w:rPr>
        <w:t>Duraisingham et al., 2014</w:t>
      </w:r>
      <w:r w:rsidRPr="00876F28">
        <w:rPr>
          <w:rFonts w:ascii="Arial Narrow" w:hAnsi="Arial Narrow"/>
          <w:sz w:val="20"/>
          <w:szCs w:val="20"/>
        </w:rPr>
        <w:t xml:space="preserve"> – only data from n=39 SID patients presented; p-values are from Figure 3 (E &amp; F) of the publication; figures for n=15 haematological malignancy subset in italics extracted from raw data in supplementary</w:t>
      </w:r>
      <w:r w:rsidR="00402B1A">
        <w:rPr>
          <w:rFonts w:ascii="Arial Narrow" w:hAnsi="Arial Narrow"/>
          <w:sz w:val="20"/>
          <w:szCs w:val="20"/>
        </w:rPr>
        <w:t xml:space="preserve"> spreadsheet, note this included</w:t>
      </w:r>
      <w:r w:rsidRPr="00876F28">
        <w:rPr>
          <w:rFonts w:ascii="Arial Narrow" w:hAnsi="Arial Narrow"/>
          <w:sz w:val="20"/>
          <w:szCs w:val="20"/>
        </w:rPr>
        <w:t xml:space="preserve"> on</w:t>
      </w:r>
      <w:r w:rsidR="00402B1A">
        <w:rPr>
          <w:rFonts w:ascii="Arial Narrow" w:hAnsi="Arial Narrow"/>
          <w:sz w:val="20"/>
          <w:szCs w:val="20"/>
        </w:rPr>
        <w:t>e patient with MGUS and excluded</w:t>
      </w:r>
      <w:r w:rsidRPr="00876F28">
        <w:rPr>
          <w:rFonts w:ascii="Arial Narrow" w:hAnsi="Arial Narrow"/>
          <w:sz w:val="20"/>
          <w:szCs w:val="20"/>
        </w:rPr>
        <w:t xml:space="preserve"> another with WM. </w:t>
      </w:r>
    </w:p>
    <w:p w14:paraId="25715886" w14:textId="73771901" w:rsidR="000A68D7" w:rsidRPr="00876F28" w:rsidRDefault="000A68D7" w:rsidP="000A68D7">
      <w:pPr>
        <w:spacing w:after="0" w:line="240" w:lineRule="auto"/>
        <w:rPr>
          <w:rFonts w:ascii="Arial Narrow" w:hAnsi="Arial Narrow"/>
          <w:sz w:val="20"/>
          <w:szCs w:val="20"/>
        </w:rPr>
      </w:pPr>
      <w:r w:rsidRPr="00876F28">
        <w:rPr>
          <w:rFonts w:ascii="Arial Narrow" w:hAnsi="Arial Narrow"/>
          <w:sz w:val="20"/>
          <w:szCs w:val="20"/>
        </w:rPr>
        <w:t>CLL=chronic lymphocytic leukaemia; COPD=chronic obstructive pulmonary disease; HL=Hodgkin lymphoma; HM=haematological malignancy; HSV=herpes simplex virus; hypo-GG=hypogammaglobulinaemia; IgG=gamma immunoglobulin; IVIg=intravenous immunoglobulin; MDS=myelodysplastic syndrome; MGUS=monoclonal gammopathy of undetermined significance;</w:t>
      </w:r>
      <w:r w:rsidR="00402B1A">
        <w:rPr>
          <w:rFonts w:ascii="Arial Narrow" w:hAnsi="Arial Narrow"/>
          <w:sz w:val="20"/>
          <w:szCs w:val="20"/>
        </w:rPr>
        <w:t xml:space="preserve"> MM=multiple myeloma; mo=month;</w:t>
      </w:r>
      <w:r w:rsidRPr="00876F28">
        <w:rPr>
          <w:rFonts w:ascii="Arial Narrow" w:hAnsi="Arial Narrow"/>
          <w:sz w:val="20"/>
          <w:szCs w:val="20"/>
        </w:rPr>
        <w:t xml:space="preserve"> NHL=non-Hodgkin lymphoma; n.r.=not reported; SCIg=subcutaneous immunoglobulin; UTI=urinary tract infection; WHO=World Health Organization; WM=Waldenström macroglobulinaemia; yr=year.</w:t>
      </w:r>
    </w:p>
    <w:p w14:paraId="085DC1BC" w14:textId="77777777" w:rsidR="000A68D7" w:rsidRDefault="000A68D7" w:rsidP="000A68D7">
      <w:pPr>
        <w:spacing w:after="0" w:line="240" w:lineRule="auto"/>
        <w:rPr>
          <w:rFonts w:ascii="Arial Narrow" w:hAnsi="Arial Narrow"/>
          <w:sz w:val="18"/>
        </w:rPr>
      </w:pPr>
    </w:p>
    <w:p w14:paraId="0ABF176B" w14:textId="77777777" w:rsidR="00876F28" w:rsidRPr="007D0AA8" w:rsidRDefault="00876F28" w:rsidP="000A68D7">
      <w:pPr>
        <w:spacing w:after="0" w:line="240" w:lineRule="auto"/>
        <w:rPr>
          <w:rFonts w:ascii="Arial Narrow" w:hAnsi="Arial Narrow"/>
          <w:sz w:val="18"/>
        </w:rPr>
      </w:pPr>
    </w:p>
    <w:p w14:paraId="2BD246B4" w14:textId="24A42A33" w:rsidR="000A68D7" w:rsidRPr="00386411" w:rsidRDefault="000A68D7" w:rsidP="000A68D7">
      <w:pPr>
        <w:pStyle w:val="Caption"/>
        <w:keepNext/>
        <w:rPr>
          <w:rFonts w:cs="Arial"/>
          <w:snapToGrid w:val="0"/>
          <w:szCs w:val="16"/>
          <w:lang w:eastAsia="en-US"/>
        </w:rPr>
      </w:pPr>
      <w:bookmarkStart w:id="788" w:name="_Toc14429632"/>
      <w:bookmarkStart w:id="789" w:name="_Toc16671690"/>
      <w:r w:rsidRPr="00386411">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92</w:t>
      </w:r>
      <w:r w:rsidRPr="00386411">
        <w:rPr>
          <w:noProof/>
        </w:rPr>
        <w:fldChar w:fldCharType="end"/>
      </w:r>
      <w:r w:rsidRPr="00386411">
        <w:tab/>
      </w:r>
      <w:r w:rsidRPr="00386411">
        <w:rPr>
          <w:rFonts w:cs="Arial"/>
          <w:snapToGrid w:val="0"/>
          <w:szCs w:val="16"/>
          <w:lang w:eastAsia="en-US"/>
        </w:rPr>
        <w:t>Studies comparing infections outcomes between routes of administration – IVIg vs SCIg</w:t>
      </w:r>
      <w:bookmarkEnd w:id="788"/>
      <w:bookmarkEnd w:id="789"/>
      <w:r w:rsidRPr="00386411">
        <w:rPr>
          <w:rFonts w:cs="Arial"/>
          <w:snapToGrid w:val="0"/>
          <w:szCs w:val="16"/>
          <w:lang w:eastAsia="en-US"/>
        </w:rPr>
        <w:t xml:space="preserve"> </w:t>
      </w:r>
    </w:p>
    <w:tbl>
      <w:tblPr>
        <w:tblW w:w="5000" w:type="pct"/>
        <w:jc w:val="center"/>
        <w:tblLayout w:type="fixed"/>
        <w:tblLook w:val="04A0" w:firstRow="1" w:lastRow="0" w:firstColumn="1" w:lastColumn="0" w:noHBand="0" w:noVBand="1"/>
      </w:tblPr>
      <w:tblGrid>
        <w:gridCol w:w="1244"/>
        <w:gridCol w:w="3401"/>
        <w:gridCol w:w="1601"/>
        <w:gridCol w:w="2031"/>
        <w:gridCol w:w="965"/>
      </w:tblGrid>
      <w:tr w:rsidR="000A68D7" w:rsidRPr="00386411" w14:paraId="4F99131C" w14:textId="77777777" w:rsidTr="00B52A4F">
        <w:trPr>
          <w:jc w:val="center"/>
        </w:trPr>
        <w:tc>
          <w:tcPr>
            <w:tcW w:w="6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EF2E6C" w14:textId="77777777" w:rsidR="000A68D7" w:rsidRPr="00386411" w:rsidRDefault="000A68D7" w:rsidP="001A2B6F">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Study, Indication</w:t>
            </w:r>
          </w:p>
        </w:tc>
        <w:tc>
          <w:tcPr>
            <w:tcW w:w="18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D4C691" w14:textId="77777777" w:rsidR="000A68D7" w:rsidRPr="00386411" w:rsidRDefault="000A68D7" w:rsidP="001A2B6F">
            <w:pPr>
              <w:spacing w:after="0" w:line="240" w:lineRule="auto"/>
              <w:rPr>
                <w:rFonts w:ascii="Arial Narrow" w:hAnsi="Arial Narrow" w:cs="Arial"/>
                <w:b/>
                <w:sz w:val="20"/>
                <w:szCs w:val="20"/>
                <w:lang w:val="en-GB" w:eastAsia="en-GB"/>
              </w:rPr>
            </w:pPr>
            <w:r w:rsidRPr="00386411">
              <w:rPr>
                <w:rFonts w:ascii="Arial Narrow" w:hAnsi="Arial Narrow" w:cs="Arial"/>
                <w:b/>
                <w:sz w:val="20"/>
                <w:szCs w:val="20"/>
                <w:lang w:val="en-GB" w:eastAsia="en-GB"/>
              </w:rPr>
              <w:t>Outcome</w:t>
            </w: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3D280A5" w14:textId="77777777" w:rsidR="000A68D7" w:rsidRPr="00386411" w:rsidRDefault="000A68D7" w:rsidP="001A2B6F">
            <w:pPr>
              <w:spacing w:after="0" w:line="240" w:lineRule="auto"/>
              <w:rPr>
                <w:rFonts w:ascii="Arial Narrow" w:hAnsi="Arial Narrow" w:cs="Arial"/>
                <w:b/>
                <w:bCs/>
                <w:sz w:val="20"/>
                <w:szCs w:val="20"/>
                <w:lang w:val="en-GB" w:eastAsia="en-GB"/>
              </w:rPr>
            </w:pPr>
            <w:r w:rsidRPr="00386411">
              <w:rPr>
                <w:rFonts w:ascii="Arial Narrow" w:hAnsi="Arial Narrow" w:cs="Arial"/>
                <w:b/>
                <w:bCs/>
                <w:sz w:val="20"/>
                <w:szCs w:val="20"/>
                <w:lang w:val="en-GB" w:eastAsia="en-GB"/>
              </w:rPr>
              <w:t>Intervention 1</w:t>
            </w:r>
          </w:p>
        </w:tc>
        <w:tc>
          <w:tcPr>
            <w:tcW w:w="109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D9DF6DC" w14:textId="77777777" w:rsidR="000A68D7" w:rsidRPr="00386411" w:rsidRDefault="000A68D7" w:rsidP="001A2B6F">
            <w:pPr>
              <w:spacing w:after="0" w:line="240" w:lineRule="auto"/>
              <w:rPr>
                <w:rFonts w:ascii="Arial Narrow" w:hAnsi="Arial Narrow" w:cs="Arial"/>
                <w:b/>
                <w:bCs/>
                <w:sz w:val="20"/>
                <w:szCs w:val="20"/>
                <w:lang w:val="en-GB" w:eastAsia="en-GB"/>
              </w:rPr>
            </w:pPr>
            <w:r w:rsidRPr="00386411">
              <w:rPr>
                <w:rFonts w:ascii="Arial Narrow" w:hAnsi="Arial Narrow" w:cs="Arial"/>
                <w:b/>
                <w:bCs/>
                <w:sz w:val="20"/>
                <w:szCs w:val="20"/>
                <w:lang w:val="en-GB" w:eastAsia="en-GB"/>
              </w:rPr>
              <w:t>Intervention 2</w:t>
            </w:r>
          </w:p>
        </w:tc>
        <w:tc>
          <w:tcPr>
            <w:tcW w:w="5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14233F" w14:textId="3B0736D9" w:rsidR="000A68D7" w:rsidRPr="00386411" w:rsidRDefault="000A68D7" w:rsidP="001A2B6F">
            <w:pPr>
              <w:spacing w:after="0" w:line="240" w:lineRule="auto"/>
              <w:jc w:val="center"/>
              <w:rPr>
                <w:rFonts w:ascii="Arial Narrow" w:hAnsi="Arial Narrow"/>
                <w:b/>
                <w:sz w:val="20"/>
                <w:szCs w:val="20"/>
              </w:rPr>
            </w:pPr>
            <w:r w:rsidRPr="00386411">
              <w:rPr>
                <w:rFonts w:ascii="Arial Narrow" w:hAnsi="Arial Narrow"/>
                <w:b/>
                <w:sz w:val="20"/>
                <w:szCs w:val="20"/>
              </w:rPr>
              <w:t>Comp</w:t>
            </w:r>
            <w:r w:rsidR="00402B1A">
              <w:rPr>
                <w:rFonts w:ascii="Arial Narrow" w:hAnsi="Arial Narrow"/>
                <w:b/>
                <w:sz w:val="20"/>
                <w:szCs w:val="20"/>
              </w:rPr>
              <w:t>-</w:t>
            </w:r>
            <w:r w:rsidRPr="00386411">
              <w:rPr>
                <w:rFonts w:ascii="Arial Narrow" w:hAnsi="Arial Narrow"/>
                <w:b/>
                <w:sz w:val="20"/>
                <w:szCs w:val="20"/>
              </w:rPr>
              <w:t>arison</w:t>
            </w:r>
          </w:p>
        </w:tc>
      </w:tr>
      <w:tr w:rsidR="000A68D7" w:rsidRPr="00386411" w14:paraId="3401BA27" w14:textId="77777777" w:rsidTr="00B52A4F">
        <w:trPr>
          <w:jc w:val="center"/>
        </w:trPr>
        <w:tc>
          <w:tcPr>
            <w:tcW w:w="6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7EF050" w14:textId="77777777" w:rsidR="000A68D7" w:rsidRPr="00386411" w:rsidRDefault="000A68D7" w:rsidP="001A2B6F">
            <w:pPr>
              <w:spacing w:after="0" w:line="240" w:lineRule="auto"/>
              <w:rPr>
                <w:rFonts w:ascii="Arial Narrow" w:hAnsi="Arial Narrow" w:cs="Calibri"/>
                <w:b/>
                <w:color w:val="000000"/>
                <w:sz w:val="20"/>
                <w:szCs w:val="20"/>
              </w:rPr>
            </w:pPr>
            <w:bookmarkStart w:id="790" w:name="OLE_LINK1"/>
            <w:r w:rsidRPr="00386411">
              <w:rPr>
                <w:rFonts w:ascii="Arial Narrow" w:hAnsi="Arial Narrow" w:cs="Calibri"/>
                <w:b/>
                <w:color w:val="000000"/>
                <w:sz w:val="20"/>
                <w:szCs w:val="20"/>
              </w:rPr>
              <w:t xml:space="preserve">Sundin et al., </w:t>
            </w:r>
            <w:r w:rsidRPr="00386411">
              <w:rPr>
                <w:rFonts w:ascii="Arial Narrow" w:hAnsi="Arial Narrow" w:cs="Calibri"/>
                <w:b/>
                <w:color w:val="000000"/>
                <w:sz w:val="20"/>
                <w:szCs w:val="20"/>
              </w:rPr>
              <w:lastRenderedPageBreak/>
              <w:t>2012</w:t>
            </w:r>
            <w:bookmarkEnd w:id="790"/>
          </w:p>
        </w:tc>
        <w:tc>
          <w:tcPr>
            <w:tcW w:w="18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D6106B" w14:textId="77777777" w:rsidR="000A68D7" w:rsidRPr="00386411" w:rsidRDefault="000A68D7" w:rsidP="001A2B6F">
            <w:pPr>
              <w:spacing w:after="0" w:line="240" w:lineRule="auto"/>
              <w:rPr>
                <w:rFonts w:ascii="Arial Narrow" w:hAnsi="Arial Narrow" w:cs="Arial"/>
                <w:b/>
                <w:sz w:val="20"/>
                <w:szCs w:val="20"/>
                <w:lang w:val="en-GB" w:eastAsia="en-GB"/>
              </w:rPr>
            </w:pPr>
            <w:r w:rsidRPr="00386411">
              <w:rPr>
                <w:rFonts w:ascii="Arial Narrow" w:hAnsi="Arial Narrow" w:cs="Arial"/>
                <w:b/>
                <w:sz w:val="20"/>
                <w:szCs w:val="20"/>
                <w:lang w:val="en-GB" w:eastAsia="en-GB"/>
              </w:rPr>
              <w:lastRenderedPageBreak/>
              <w:t xml:space="preserve">IgG replacement </w:t>
            </w:r>
          </w:p>
        </w:tc>
        <w:tc>
          <w:tcPr>
            <w:tcW w:w="866" w:type="pct"/>
            <w:tcBorders>
              <w:top w:val="single" w:sz="4" w:space="0" w:color="auto"/>
              <w:left w:val="single" w:sz="4" w:space="0" w:color="auto"/>
              <w:bottom w:val="single" w:sz="4" w:space="0" w:color="auto"/>
            </w:tcBorders>
            <w:shd w:val="clear" w:color="auto" w:fill="D9D9D9" w:themeFill="background1" w:themeFillShade="D9"/>
            <w:noWrap/>
          </w:tcPr>
          <w:p w14:paraId="7D40AD29" w14:textId="77777777" w:rsidR="000A68D7" w:rsidRPr="00386411" w:rsidRDefault="000A68D7" w:rsidP="001A2B6F">
            <w:pPr>
              <w:spacing w:after="0" w:line="240" w:lineRule="auto"/>
              <w:rPr>
                <w:rFonts w:ascii="Arial Narrow" w:hAnsi="Arial Narrow" w:cs="Arial"/>
                <w:b/>
                <w:bCs/>
                <w:sz w:val="20"/>
                <w:szCs w:val="20"/>
                <w:lang w:val="en-GB" w:eastAsia="en-GB"/>
              </w:rPr>
            </w:pPr>
            <w:r w:rsidRPr="00386411">
              <w:rPr>
                <w:rFonts w:ascii="Arial Narrow" w:hAnsi="Arial Narrow" w:cs="Arial"/>
                <w:b/>
                <w:bCs/>
                <w:sz w:val="20"/>
                <w:szCs w:val="20"/>
                <w:lang w:val="en-GB" w:eastAsia="en-GB"/>
              </w:rPr>
              <w:t>IVIg (N=46)</w:t>
            </w:r>
            <w:r w:rsidRPr="00386411">
              <w:rPr>
                <w:rFonts w:ascii="Arial Narrow" w:hAnsi="Arial Narrow" w:cs="Arial"/>
                <w:b/>
                <w:bCs/>
                <w:sz w:val="20"/>
                <w:szCs w:val="20"/>
                <w:lang w:val="en-GB" w:eastAsia="en-GB"/>
              </w:rPr>
              <w:br/>
            </w:r>
            <w:r w:rsidRPr="00386411">
              <w:rPr>
                <w:rFonts w:ascii="Arial Narrow" w:hAnsi="Arial Narrow" w:cs="Arial"/>
                <w:b/>
                <w:bCs/>
                <w:sz w:val="20"/>
                <w:szCs w:val="20"/>
                <w:lang w:val="en-GB" w:eastAsia="en-GB"/>
              </w:rPr>
              <w:lastRenderedPageBreak/>
              <w:t xml:space="preserve">n=24 haem. malignancy </w:t>
            </w:r>
          </w:p>
        </w:tc>
        <w:tc>
          <w:tcPr>
            <w:tcW w:w="1099" w:type="pct"/>
            <w:tcBorders>
              <w:top w:val="single" w:sz="4" w:space="0" w:color="auto"/>
              <w:bottom w:val="single" w:sz="4" w:space="0" w:color="auto"/>
            </w:tcBorders>
            <w:shd w:val="clear" w:color="auto" w:fill="D9D9D9" w:themeFill="background1" w:themeFillShade="D9"/>
            <w:noWrap/>
          </w:tcPr>
          <w:p w14:paraId="35400B5C" w14:textId="77777777" w:rsidR="000A68D7" w:rsidRPr="00386411" w:rsidRDefault="000A68D7" w:rsidP="001A2B6F">
            <w:pPr>
              <w:spacing w:after="0" w:line="240" w:lineRule="auto"/>
              <w:rPr>
                <w:rFonts w:ascii="Arial Narrow" w:hAnsi="Arial Narrow" w:cs="Arial"/>
                <w:b/>
                <w:bCs/>
                <w:sz w:val="20"/>
                <w:szCs w:val="20"/>
                <w:lang w:val="en-GB" w:eastAsia="en-GB"/>
              </w:rPr>
            </w:pPr>
            <w:r w:rsidRPr="00386411">
              <w:rPr>
                <w:rFonts w:ascii="Arial Narrow" w:hAnsi="Arial Narrow" w:cs="Arial"/>
                <w:b/>
                <w:bCs/>
                <w:sz w:val="20"/>
                <w:szCs w:val="20"/>
                <w:lang w:val="en-GB" w:eastAsia="en-GB"/>
              </w:rPr>
              <w:lastRenderedPageBreak/>
              <w:t>SCIg (N=12)</w:t>
            </w:r>
            <w:r w:rsidRPr="00386411">
              <w:rPr>
                <w:rFonts w:ascii="Arial Narrow" w:hAnsi="Arial Narrow" w:cs="Arial"/>
                <w:b/>
                <w:bCs/>
                <w:sz w:val="20"/>
                <w:szCs w:val="20"/>
                <w:lang w:val="en-GB" w:eastAsia="en-GB"/>
              </w:rPr>
              <w:br/>
            </w:r>
            <w:r w:rsidRPr="00386411">
              <w:rPr>
                <w:rFonts w:ascii="Arial Narrow" w:hAnsi="Arial Narrow" w:cs="Arial"/>
                <w:b/>
                <w:bCs/>
                <w:sz w:val="20"/>
                <w:szCs w:val="20"/>
                <w:lang w:val="en-GB" w:eastAsia="en-GB"/>
              </w:rPr>
              <w:lastRenderedPageBreak/>
              <w:t xml:space="preserve">n=2 haem. malignancy </w:t>
            </w:r>
          </w:p>
        </w:tc>
        <w:tc>
          <w:tcPr>
            <w:tcW w:w="522" w:type="pct"/>
            <w:tcBorders>
              <w:top w:val="single" w:sz="4" w:space="0" w:color="auto"/>
              <w:left w:val="nil"/>
              <w:bottom w:val="single" w:sz="4" w:space="0" w:color="auto"/>
              <w:right w:val="single" w:sz="4" w:space="0" w:color="auto"/>
            </w:tcBorders>
            <w:shd w:val="clear" w:color="auto" w:fill="D9D9D9" w:themeFill="background1" w:themeFillShade="D9"/>
          </w:tcPr>
          <w:p w14:paraId="75009FDC" w14:textId="77777777" w:rsidR="000A68D7" w:rsidRPr="00386411" w:rsidRDefault="000A68D7" w:rsidP="001A2B6F">
            <w:pPr>
              <w:spacing w:after="0" w:line="240" w:lineRule="auto"/>
              <w:jc w:val="center"/>
              <w:rPr>
                <w:rFonts w:ascii="Arial Narrow" w:hAnsi="Arial Narrow"/>
                <w:b/>
                <w:sz w:val="20"/>
                <w:szCs w:val="20"/>
              </w:rPr>
            </w:pPr>
            <w:r w:rsidRPr="00386411">
              <w:rPr>
                <w:rFonts w:ascii="Arial Narrow" w:hAnsi="Arial Narrow"/>
                <w:b/>
                <w:sz w:val="20"/>
                <w:szCs w:val="20"/>
              </w:rPr>
              <w:lastRenderedPageBreak/>
              <w:t>p-value</w:t>
            </w:r>
          </w:p>
        </w:tc>
      </w:tr>
      <w:tr w:rsidR="000A68D7" w:rsidRPr="007D0AA8" w14:paraId="30671240" w14:textId="77777777" w:rsidTr="001A2B6F">
        <w:trPr>
          <w:jc w:val="center"/>
        </w:trPr>
        <w:tc>
          <w:tcPr>
            <w:tcW w:w="673" w:type="pct"/>
            <w:tcBorders>
              <w:top w:val="single" w:sz="4" w:space="0" w:color="auto"/>
              <w:left w:val="single" w:sz="4" w:space="0" w:color="auto"/>
              <w:bottom w:val="nil"/>
              <w:right w:val="single" w:sz="4" w:space="0" w:color="auto"/>
            </w:tcBorders>
          </w:tcPr>
          <w:p w14:paraId="414F2E21" w14:textId="77777777" w:rsidR="000A68D7" w:rsidRPr="007D0AA8" w:rsidRDefault="000A68D7" w:rsidP="001A2B6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lastRenderedPageBreak/>
              <w:t>HSCT</w:t>
            </w:r>
          </w:p>
        </w:tc>
        <w:tc>
          <w:tcPr>
            <w:tcW w:w="1840" w:type="pct"/>
            <w:tcBorders>
              <w:top w:val="single" w:sz="4" w:space="0" w:color="auto"/>
              <w:left w:val="single" w:sz="4" w:space="0" w:color="auto"/>
              <w:right w:val="single" w:sz="4" w:space="0" w:color="auto"/>
            </w:tcBorders>
            <w:shd w:val="clear" w:color="auto" w:fill="auto"/>
            <w:vAlign w:val="center"/>
          </w:tcPr>
          <w:p w14:paraId="15A9782A" w14:textId="77777777" w:rsidR="000A68D7" w:rsidRPr="007D0AA8" w:rsidRDefault="000A68D7" w:rsidP="001A2B6F">
            <w:pPr>
              <w:spacing w:after="0" w:line="240" w:lineRule="auto"/>
              <w:rPr>
                <w:rFonts w:ascii="Arial Narrow" w:hAnsi="Arial Narrow"/>
                <w:sz w:val="20"/>
                <w:lang w:val="en-GB"/>
              </w:rPr>
            </w:pPr>
            <w:r w:rsidRPr="007D0AA8">
              <w:rPr>
                <w:rFonts w:ascii="Arial Narrow" w:hAnsi="Arial Narrow"/>
                <w:sz w:val="20"/>
                <w:lang w:val="en-GB"/>
              </w:rPr>
              <w:t xml:space="preserve">Initiation post-HSCT, at median months (range) </w:t>
            </w:r>
          </w:p>
        </w:tc>
        <w:tc>
          <w:tcPr>
            <w:tcW w:w="866" w:type="pct"/>
            <w:tcBorders>
              <w:top w:val="single" w:sz="4" w:space="0" w:color="auto"/>
              <w:left w:val="single" w:sz="4" w:space="0" w:color="auto"/>
            </w:tcBorders>
            <w:shd w:val="clear" w:color="auto" w:fill="auto"/>
            <w:noWrap/>
            <w:vAlign w:val="center"/>
          </w:tcPr>
          <w:p w14:paraId="2173A45F" w14:textId="77777777" w:rsidR="000A68D7" w:rsidRPr="007D0AA8" w:rsidRDefault="000A68D7" w:rsidP="001A2B6F">
            <w:pPr>
              <w:spacing w:after="0" w:line="240" w:lineRule="auto"/>
              <w:jc w:val="right"/>
              <w:rPr>
                <w:rFonts w:ascii="Arial Narrow" w:hAnsi="Arial Narrow"/>
                <w:sz w:val="20"/>
                <w:lang w:val="en-GB"/>
              </w:rPr>
            </w:pPr>
            <w:r w:rsidRPr="007D0AA8">
              <w:rPr>
                <w:rFonts w:ascii="Arial Narrow" w:hAnsi="Arial Narrow"/>
                <w:sz w:val="20"/>
                <w:lang w:val="en-GB"/>
              </w:rPr>
              <w:t>3 (0–8)</w:t>
            </w:r>
          </w:p>
        </w:tc>
        <w:tc>
          <w:tcPr>
            <w:tcW w:w="1099" w:type="pct"/>
            <w:tcBorders>
              <w:top w:val="single" w:sz="4" w:space="0" w:color="auto"/>
            </w:tcBorders>
            <w:shd w:val="clear" w:color="auto" w:fill="auto"/>
            <w:noWrap/>
            <w:vAlign w:val="center"/>
          </w:tcPr>
          <w:p w14:paraId="6C75A46E" w14:textId="77777777" w:rsidR="000A68D7" w:rsidRPr="007D0AA8" w:rsidRDefault="000A68D7" w:rsidP="001A2B6F">
            <w:pPr>
              <w:spacing w:after="0" w:line="240" w:lineRule="auto"/>
              <w:jc w:val="right"/>
              <w:rPr>
                <w:rFonts w:ascii="Arial Narrow" w:hAnsi="Arial Narrow"/>
                <w:sz w:val="20"/>
                <w:lang w:val="en-GB"/>
              </w:rPr>
            </w:pPr>
            <w:r w:rsidRPr="007D0AA8">
              <w:rPr>
                <w:rFonts w:ascii="Arial Narrow" w:hAnsi="Arial Narrow"/>
                <w:sz w:val="20"/>
                <w:lang w:val="en-GB"/>
              </w:rPr>
              <w:t xml:space="preserve">3 (1–8) </w:t>
            </w:r>
          </w:p>
        </w:tc>
        <w:tc>
          <w:tcPr>
            <w:tcW w:w="522" w:type="pct"/>
            <w:tcBorders>
              <w:top w:val="single" w:sz="4" w:space="0" w:color="auto"/>
              <w:left w:val="nil"/>
              <w:bottom w:val="nil"/>
              <w:right w:val="single" w:sz="4" w:space="0" w:color="auto"/>
            </w:tcBorders>
            <w:vAlign w:val="center"/>
          </w:tcPr>
          <w:p w14:paraId="7831FA95" w14:textId="77777777" w:rsidR="000A68D7" w:rsidRPr="007D0AA8" w:rsidRDefault="000A68D7" w:rsidP="001A2B6F">
            <w:pPr>
              <w:spacing w:after="0" w:line="240" w:lineRule="auto"/>
              <w:jc w:val="right"/>
              <w:rPr>
                <w:rFonts w:ascii="Arial Narrow" w:hAnsi="Arial Narrow"/>
                <w:sz w:val="20"/>
              </w:rPr>
            </w:pPr>
          </w:p>
        </w:tc>
      </w:tr>
      <w:tr w:rsidR="000A68D7" w:rsidRPr="007D0AA8" w14:paraId="507F5034" w14:textId="77777777" w:rsidTr="001A2B6F">
        <w:trPr>
          <w:jc w:val="center"/>
        </w:trPr>
        <w:tc>
          <w:tcPr>
            <w:tcW w:w="673" w:type="pct"/>
            <w:tcBorders>
              <w:top w:val="nil"/>
              <w:left w:val="single" w:sz="4" w:space="0" w:color="auto"/>
              <w:bottom w:val="nil"/>
              <w:right w:val="single" w:sz="4" w:space="0" w:color="auto"/>
            </w:tcBorders>
          </w:tcPr>
          <w:p w14:paraId="7D33FF48" w14:textId="77777777" w:rsidR="000A68D7" w:rsidRPr="007D0AA8" w:rsidRDefault="000A68D7" w:rsidP="001A2B6F">
            <w:pPr>
              <w:spacing w:after="0" w:line="240" w:lineRule="auto"/>
              <w:rPr>
                <w:rFonts w:ascii="Arial Narrow" w:hAnsi="Arial Narrow" w:cs="Calibri"/>
                <w:color w:val="000000"/>
                <w:sz w:val="20"/>
                <w:szCs w:val="20"/>
              </w:rPr>
            </w:pPr>
          </w:p>
        </w:tc>
        <w:tc>
          <w:tcPr>
            <w:tcW w:w="1840" w:type="pct"/>
            <w:tcBorders>
              <w:left w:val="single" w:sz="4" w:space="0" w:color="auto"/>
              <w:right w:val="single" w:sz="4" w:space="0" w:color="auto"/>
            </w:tcBorders>
            <w:shd w:val="clear" w:color="auto" w:fill="auto"/>
            <w:vAlign w:val="center"/>
          </w:tcPr>
          <w:p w14:paraId="4ED56BC9" w14:textId="77777777" w:rsidR="000A68D7" w:rsidRPr="007D0AA8" w:rsidRDefault="000A68D7" w:rsidP="001A2B6F">
            <w:pPr>
              <w:spacing w:after="0" w:line="240" w:lineRule="auto"/>
              <w:rPr>
                <w:rFonts w:ascii="Arial Narrow" w:hAnsi="Arial Narrow"/>
                <w:sz w:val="20"/>
                <w:lang w:val="en-GB"/>
              </w:rPr>
            </w:pPr>
            <w:r w:rsidRPr="007D0AA8">
              <w:rPr>
                <w:rFonts w:ascii="Arial Narrow" w:hAnsi="Arial Narrow"/>
                <w:sz w:val="20"/>
                <w:lang w:val="en-GB"/>
              </w:rPr>
              <w:t>Duration, median months from initiation (range)</w:t>
            </w:r>
          </w:p>
        </w:tc>
        <w:tc>
          <w:tcPr>
            <w:tcW w:w="866" w:type="pct"/>
            <w:tcBorders>
              <w:left w:val="single" w:sz="4" w:space="0" w:color="auto"/>
            </w:tcBorders>
            <w:shd w:val="clear" w:color="auto" w:fill="auto"/>
            <w:noWrap/>
            <w:vAlign w:val="center"/>
          </w:tcPr>
          <w:p w14:paraId="6C94D6F5" w14:textId="77777777" w:rsidR="000A68D7" w:rsidRPr="007D0AA8" w:rsidRDefault="000A68D7" w:rsidP="001A2B6F">
            <w:pPr>
              <w:spacing w:after="0" w:line="240" w:lineRule="auto"/>
              <w:jc w:val="right"/>
              <w:rPr>
                <w:rFonts w:ascii="Arial Narrow" w:hAnsi="Arial Narrow"/>
                <w:sz w:val="20"/>
                <w:lang w:val="en-GB"/>
              </w:rPr>
            </w:pPr>
            <w:r w:rsidRPr="007D0AA8">
              <w:rPr>
                <w:rFonts w:ascii="Arial Narrow" w:hAnsi="Arial Narrow"/>
                <w:sz w:val="20"/>
                <w:lang w:val="en-GB"/>
              </w:rPr>
              <w:t>9 (6–20)</w:t>
            </w:r>
          </w:p>
        </w:tc>
        <w:tc>
          <w:tcPr>
            <w:tcW w:w="1099" w:type="pct"/>
            <w:shd w:val="clear" w:color="auto" w:fill="auto"/>
            <w:noWrap/>
            <w:vAlign w:val="center"/>
          </w:tcPr>
          <w:p w14:paraId="25076626" w14:textId="77777777" w:rsidR="000A68D7" w:rsidRPr="007D0AA8" w:rsidRDefault="000A68D7" w:rsidP="001A2B6F">
            <w:pPr>
              <w:spacing w:after="0" w:line="240" w:lineRule="auto"/>
              <w:jc w:val="right"/>
              <w:rPr>
                <w:rFonts w:ascii="Arial Narrow" w:hAnsi="Arial Narrow"/>
                <w:sz w:val="20"/>
                <w:lang w:val="en-GB"/>
              </w:rPr>
            </w:pPr>
            <w:r w:rsidRPr="007D0AA8">
              <w:rPr>
                <w:rFonts w:ascii="Arial Narrow" w:hAnsi="Arial Narrow"/>
                <w:sz w:val="20"/>
                <w:lang w:val="en-GB"/>
              </w:rPr>
              <w:t xml:space="preserve">5 (3–47) </w:t>
            </w:r>
          </w:p>
        </w:tc>
        <w:tc>
          <w:tcPr>
            <w:tcW w:w="522" w:type="pct"/>
            <w:tcBorders>
              <w:top w:val="nil"/>
              <w:left w:val="nil"/>
              <w:bottom w:val="nil"/>
              <w:right w:val="single" w:sz="4" w:space="0" w:color="auto"/>
            </w:tcBorders>
            <w:vAlign w:val="center"/>
          </w:tcPr>
          <w:p w14:paraId="27E67E12" w14:textId="77777777" w:rsidR="000A68D7" w:rsidRPr="007D0AA8" w:rsidRDefault="000A68D7" w:rsidP="001A2B6F">
            <w:pPr>
              <w:spacing w:after="0" w:line="240" w:lineRule="auto"/>
              <w:jc w:val="right"/>
              <w:rPr>
                <w:rFonts w:ascii="Arial Narrow" w:hAnsi="Arial Narrow"/>
                <w:sz w:val="20"/>
              </w:rPr>
            </w:pPr>
          </w:p>
        </w:tc>
      </w:tr>
      <w:tr w:rsidR="000A68D7" w:rsidRPr="007D0AA8" w14:paraId="2241DEFC" w14:textId="77777777" w:rsidTr="001A2B6F">
        <w:trPr>
          <w:jc w:val="center"/>
        </w:trPr>
        <w:tc>
          <w:tcPr>
            <w:tcW w:w="673" w:type="pct"/>
            <w:tcBorders>
              <w:top w:val="nil"/>
              <w:left w:val="single" w:sz="4" w:space="0" w:color="auto"/>
              <w:bottom w:val="nil"/>
              <w:right w:val="single" w:sz="4" w:space="0" w:color="auto"/>
            </w:tcBorders>
          </w:tcPr>
          <w:p w14:paraId="3F34C8A9" w14:textId="77777777" w:rsidR="000A68D7" w:rsidRPr="007D0AA8" w:rsidRDefault="000A68D7" w:rsidP="001A2B6F">
            <w:pPr>
              <w:spacing w:after="0" w:line="240" w:lineRule="auto"/>
              <w:rPr>
                <w:rFonts w:ascii="Arial Narrow" w:hAnsi="Arial Narrow" w:cs="Calibri"/>
                <w:color w:val="000000"/>
                <w:sz w:val="20"/>
                <w:szCs w:val="20"/>
              </w:rPr>
            </w:pPr>
          </w:p>
        </w:tc>
        <w:tc>
          <w:tcPr>
            <w:tcW w:w="1840" w:type="pct"/>
            <w:tcBorders>
              <w:left w:val="single" w:sz="4" w:space="0" w:color="auto"/>
              <w:bottom w:val="single" w:sz="4" w:space="0" w:color="auto"/>
              <w:right w:val="single" w:sz="4" w:space="0" w:color="auto"/>
            </w:tcBorders>
            <w:shd w:val="clear" w:color="auto" w:fill="auto"/>
            <w:vAlign w:val="center"/>
          </w:tcPr>
          <w:p w14:paraId="6702D934" w14:textId="77777777" w:rsidR="000A68D7" w:rsidRPr="007D0AA8" w:rsidRDefault="000A68D7" w:rsidP="001A2B6F">
            <w:pPr>
              <w:spacing w:after="0" w:line="240" w:lineRule="auto"/>
              <w:rPr>
                <w:rFonts w:ascii="Arial Narrow" w:hAnsi="Arial Narrow"/>
                <w:sz w:val="20"/>
                <w:lang w:val="en-GB"/>
              </w:rPr>
            </w:pPr>
            <w:r w:rsidRPr="007D0AA8">
              <w:rPr>
                <w:rFonts w:ascii="Arial Narrow" w:hAnsi="Arial Narrow"/>
                <w:sz w:val="20"/>
                <w:lang w:val="en-GB"/>
              </w:rPr>
              <w:t>Number of patients (%) with chronic need for IgG-RT</w:t>
            </w:r>
          </w:p>
        </w:tc>
        <w:tc>
          <w:tcPr>
            <w:tcW w:w="866" w:type="pct"/>
            <w:tcBorders>
              <w:left w:val="single" w:sz="4" w:space="0" w:color="auto"/>
              <w:bottom w:val="single" w:sz="4" w:space="0" w:color="auto"/>
            </w:tcBorders>
            <w:shd w:val="clear" w:color="auto" w:fill="auto"/>
            <w:noWrap/>
            <w:vAlign w:val="center"/>
          </w:tcPr>
          <w:p w14:paraId="7353899D" w14:textId="77777777" w:rsidR="000A68D7" w:rsidRPr="007D0AA8" w:rsidRDefault="000A68D7" w:rsidP="001A2B6F">
            <w:pPr>
              <w:spacing w:after="0" w:line="240" w:lineRule="auto"/>
              <w:jc w:val="right"/>
              <w:rPr>
                <w:rFonts w:ascii="Arial Narrow" w:hAnsi="Arial Narrow"/>
                <w:sz w:val="20"/>
                <w:lang w:val="en-GB"/>
              </w:rPr>
            </w:pPr>
            <w:r w:rsidRPr="007D0AA8">
              <w:rPr>
                <w:rFonts w:ascii="Arial Narrow" w:hAnsi="Arial Narrow"/>
                <w:sz w:val="20"/>
              </w:rPr>
              <w:t>4 (8.7%)</w:t>
            </w:r>
          </w:p>
        </w:tc>
        <w:tc>
          <w:tcPr>
            <w:tcW w:w="1099" w:type="pct"/>
            <w:tcBorders>
              <w:bottom w:val="single" w:sz="4" w:space="0" w:color="auto"/>
            </w:tcBorders>
            <w:shd w:val="clear" w:color="auto" w:fill="auto"/>
            <w:noWrap/>
            <w:vAlign w:val="center"/>
          </w:tcPr>
          <w:p w14:paraId="66D33130" w14:textId="77777777" w:rsidR="000A68D7" w:rsidRPr="007D0AA8" w:rsidRDefault="000A68D7" w:rsidP="001A2B6F">
            <w:pPr>
              <w:spacing w:after="0" w:line="240" w:lineRule="auto"/>
              <w:jc w:val="right"/>
              <w:rPr>
                <w:rFonts w:ascii="Arial Narrow" w:hAnsi="Arial Narrow"/>
                <w:sz w:val="20"/>
                <w:lang w:val="en-GB"/>
              </w:rPr>
            </w:pPr>
            <w:r w:rsidRPr="007D0AA8">
              <w:rPr>
                <w:rFonts w:ascii="Arial Narrow" w:hAnsi="Arial Narrow"/>
                <w:sz w:val="20"/>
              </w:rPr>
              <w:t xml:space="preserve">5 (41.7%) </w:t>
            </w:r>
          </w:p>
        </w:tc>
        <w:tc>
          <w:tcPr>
            <w:tcW w:w="522" w:type="pct"/>
            <w:tcBorders>
              <w:top w:val="nil"/>
              <w:left w:val="nil"/>
              <w:bottom w:val="single" w:sz="4" w:space="0" w:color="auto"/>
              <w:right w:val="single" w:sz="4" w:space="0" w:color="auto"/>
            </w:tcBorders>
            <w:vAlign w:val="center"/>
          </w:tcPr>
          <w:p w14:paraId="4F12E0AB" w14:textId="77777777" w:rsidR="000A68D7" w:rsidRPr="007D0AA8" w:rsidRDefault="000A68D7" w:rsidP="001A2B6F">
            <w:pPr>
              <w:spacing w:after="0" w:line="240" w:lineRule="auto"/>
              <w:jc w:val="center"/>
              <w:rPr>
                <w:rFonts w:ascii="Arial Narrow" w:hAnsi="Arial Narrow"/>
                <w:sz w:val="20"/>
              </w:rPr>
            </w:pPr>
            <w:r w:rsidRPr="007D0AA8">
              <w:rPr>
                <w:rFonts w:ascii="Arial Narrow" w:hAnsi="Arial Narrow"/>
                <w:sz w:val="20"/>
              </w:rPr>
              <w:t>p=0.01</w:t>
            </w:r>
          </w:p>
        </w:tc>
      </w:tr>
      <w:tr w:rsidR="000A68D7" w:rsidRPr="007D0AA8" w14:paraId="009B3B5D" w14:textId="77777777" w:rsidTr="001A2B6F">
        <w:trPr>
          <w:jc w:val="center"/>
        </w:trPr>
        <w:tc>
          <w:tcPr>
            <w:tcW w:w="673" w:type="pct"/>
            <w:tcBorders>
              <w:top w:val="nil"/>
              <w:left w:val="single" w:sz="4" w:space="0" w:color="auto"/>
              <w:bottom w:val="nil"/>
              <w:right w:val="single" w:sz="4" w:space="0" w:color="auto"/>
            </w:tcBorders>
          </w:tcPr>
          <w:p w14:paraId="54141B60" w14:textId="77777777" w:rsidR="000A68D7" w:rsidRPr="007D0AA8" w:rsidRDefault="000A68D7" w:rsidP="001A2B6F">
            <w:pPr>
              <w:spacing w:after="0" w:line="240" w:lineRule="auto"/>
              <w:rPr>
                <w:rFonts w:ascii="Arial Narrow" w:hAnsi="Arial Narrow" w:cs="Calibri"/>
                <w:color w:val="000000"/>
                <w:sz w:val="20"/>
                <w:szCs w:val="20"/>
              </w:rPr>
            </w:pPr>
          </w:p>
        </w:tc>
        <w:tc>
          <w:tcPr>
            <w:tcW w:w="1840" w:type="pct"/>
            <w:tcBorders>
              <w:top w:val="single" w:sz="4" w:space="0" w:color="auto"/>
              <w:left w:val="single" w:sz="4" w:space="0" w:color="auto"/>
              <w:right w:val="single" w:sz="4" w:space="0" w:color="auto"/>
            </w:tcBorders>
            <w:shd w:val="clear" w:color="auto" w:fill="auto"/>
            <w:vAlign w:val="center"/>
          </w:tcPr>
          <w:p w14:paraId="226B03B3" w14:textId="77777777" w:rsidR="000A68D7" w:rsidRPr="007D0AA8" w:rsidRDefault="000A68D7" w:rsidP="001A2B6F">
            <w:pPr>
              <w:spacing w:after="0" w:line="240" w:lineRule="auto"/>
              <w:rPr>
                <w:rFonts w:ascii="Arial Narrow" w:hAnsi="Arial Narrow" w:cs="Arial"/>
                <w:sz w:val="20"/>
                <w:szCs w:val="20"/>
                <w:lang w:val="en-GB" w:eastAsia="en-GB"/>
              </w:rPr>
            </w:pPr>
            <w:r w:rsidRPr="007D0AA8">
              <w:rPr>
                <w:rFonts w:ascii="Arial Narrow" w:hAnsi="Arial Narrow" w:cs="Arial"/>
                <w:sz w:val="20"/>
                <w:szCs w:val="20"/>
                <w:lang w:val="en-GB" w:eastAsia="en-GB"/>
              </w:rPr>
              <w:t>Number of clinical infections</w:t>
            </w:r>
          </w:p>
        </w:tc>
        <w:tc>
          <w:tcPr>
            <w:tcW w:w="866" w:type="pct"/>
            <w:tcBorders>
              <w:top w:val="single" w:sz="4" w:space="0" w:color="auto"/>
              <w:left w:val="single" w:sz="4" w:space="0" w:color="auto"/>
            </w:tcBorders>
            <w:shd w:val="clear" w:color="auto" w:fill="auto"/>
            <w:noWrap/>
            <w:vAlign w:val="center"/>
          </w:tcPr>
          <w:p w14:paraId="7E79AAFD" w14:textId="77777777" w:rsidR="000A68D7" w:rsidRPr="007D0AA8" w:rsidRDefault="000A68D7" w:rsidP="001A2B6F">
            <w:pPr>
              <w:spacing w:after="0" w:line="240" w:lineRule="auto"/>
              <w:jc w:val="right"/>
              <w:rPr>
                <w:rFonts w:ascii="Arial Narrow" w:hAnsi="Arial Narrow" w:cs="Arial"/>
                <w:bCs/>
                <w:sz w:val="20"/>
                <w:szCs w:val="20"/>
                <w:lang w:val="en-GB" w:eastAsia="en-GB"/>
              </w:rPr>
            </w:pPr>
            <w:r w:rsidRPr="007D0AA8">
              <w:rPr>
                <w:rFonts w:ascii="Arial Narrow" w:hAnsi="Arial Narrow" w:cs="Arial"/>
                <w:sz w:val="20"/>
                <w:szCs w:val="20"/>
                <w:lang w:val="en-GB" w:eastAsia="en-GB"/>
              </w:rPr>
              <w:t>mean (range)</w:t>
            </w:r>
          </w:p>
        </w:tc>
        <w:tc>
          <w:tcPr>
            <w:tcW w:w="1099" w:type="pct"/>
            <w:tcBorders>
              <w:top w:val="single" w:sz="4" w:space="0" w:color="auto"/>
            </w:tcBorders>
            <w:shd w:val="clear" w:color="auto" w:fill="auto"/>
            <w:noWrap/>
            <w:vAlign w:val="center"/>
          </w:tcPr>
          <w:p w14:paraId="1CA19842" w14:textId="77777777" w:rsidR="000A68D7" w:rsidRPr="007D0AA8" w:rsidRDefault="000A68D7" w:rsidP="001A2B6F">
            <w:pPr>
              <w:spacing w:after="0" w:line="240" w:lineRule="auto"/>
              <w:jc w:val="right"/>
              <w:rPr>
                <w:rFonts w:ascii="Arial Narrow" w:hAnsi="Arial Narrow" w:cs="Arial"/>
                <w:bCs/>
                <w:sz w:val="20"/>
                <w:szCs w:val="20"/>
                <w:lang w:val="en-GB" w:eastAsia="en-GB"/>
              </w:rPr>
            </w:pPr>
            <w:r w:rsidRPr="007D0AA8">
              <w:rPr>
                <w:rFonts w:ascii="Arial Narrow" w:hAnsi="Arial Narrow" w:cs="Arial"/>
                <w:sz w:val="20"/>
                <w:szCs w:val="20"/>
                <w:lang w:val="en-GB" w:eastAsia="en-GB"/>
              </w:rPr>
              <w:t>mean (range)</w:t>
            </w:r>
          </w:p>
        </w:tc>
        <w:tc>
          <w:tcPr>
            <w:tcW w:w="522" w:type="pct"/>
            <w:tcBorders>
              <w:top w:val="single" w:sz="4" w:space="0" w:color="auto"/>
              <w:left w:val="nil"/>
              <w:bottom w:val="nil"/>
              <w:right w:val="single" w:sz="4" w:space="0" w:color="auto"/>
            </w:tcBorders>
            <w:vAlign w:val="center"/>
          </w:tcPr>
          <w:p w14:paraId="7E5AE8A0" w14:textId="77777777" w:rsidR="000A68D7" w:rsidRPr="007D0AA8" w:rsidRDefault="000A68D7" w:rsidP="001A2B6F">
            <w:pPr>
              <w:spacing w:after="0" w:line="240" w:lineRule="auto"/>
              <w:jc w:val="right"/>
              <w:rPr>
                <w:rFonts w:ascii="Arial Narrow" w:hAnsi="Arial Narrow"/>
                <w:sz w:val="20"/>
                <w:szCs w:val="20"/>
              </w:rPr>
            </w:pPr>
          </w:p>
        </w:tc>
      </w:tr>
      <w:tr w:rsidR="000A68D7" w:rsidRPr="007D0AA8" w14:paraId="1B1B3523" w14:textId="77777777" w:rsidTr="001A2B6F">
        <w:trPr>
          <w:jc w:val="center"/>
        </w:trPr>
        <w:tc>
          <w:tcPr>
            <w:tcW w:w="673" w:type="pct"/>
            <w:tcBorders>
              <w:top w:val="nil"/>
              <w:left w:val="single" w:sz="4" w:space="0" w:color="auto"/>
              <w:bottom w:val="nil"/>
              <w:right w:val="single" w:sz="4" w:space="0" w:color="auto"/>
            </w:tcBorders>
          </w:tcPr>
          <w:p w14:paraId="5E410E5D" w14:textId="77777777" w:rsidR="000A68D7" w:rsidRPr="007D0AA8" w:rsidRDefault="000A68D7" w:rsidP="001A2B6F">
            <w:pPr>
              <w:spacing w:after="0" w:line="240" w:lineRule="auto"/>
              <w:rPr>
                <w:rFonts w:ascii="Arial Narrow" w:hAnsi="Arial Narrow" w:cs="Calibri"/>
                <w:color w:val="000000"/>
                <w:sz w:val="20"/>
                <w:szCs w:val="20"/>
              </w:rPr>
            </w:pPr>
          </w:p>
        </w:tc>
        <w:tc>
          <w:tcPr>
            <w:tcW w:w="1840" w:type="pct"/>
            <w:tcBorders>
              <w:left w:val="single" w:sz="4" w:space="0" w:color="auto"/>
              <w:right w:val="single" w:sz="4" w:space="0" w:color="auto"/>
            </w:tcBorders>
            <w:shd w:val="clear" w:color="auto" w:fill="auto"/>
            <w:vAlign w:val="center"/>
          </w:tcPr>
          <w:p w14:paraId="00D0ECBE" w14:textId="77777777" w:rsidR="000A68D7" w:rsidRPr="007D0AA8" w:rsidRDefault="000A68D7" w:rsidP="00331FB9">
            <w:pPr>
              <w:pStyle w:val="ListParagraph"/>
              <w:numPr>
                <w:ilvl w:val="0"/>
                <w:numId w:val="15"/>
              </w:numPr>
              <w:spacing w:after="0" w:line="240" w:lineRule="auto"/>
              <w:ind w:left="175" w:hanging="120"/>
              <w:rPr>
                <w:rFonts w:ascii="Arial Narrow" w:hAnsi="Arial Narrow" w:cs="Arial"/>
                <w:sz w:val="20"/>
                <w:szCs w:val="20"/>
                <w:lang w:val="en-GB" w:eastAsia="en-GB"/>
              </w:rPr>
            </w:pPr>
            <w:r w:rsidRPr="007D0AA8">
              <w:rPr>
                <w:rFonts w:ascii="Arial Narrow" w:hAnsi="Arial Narrow" w:cs="Arial"/>
                <w:sz w:val="20"/>
                <w:szCs w:val="20"/>
                <w:lang w:val="en-GB" w:eastAsia="en-GB"/>
              </w:rPr>
              <w:t>Bacterial</w:t>
            </w:r>
          </w:p>
        </w:tc>
        <w:tc>
          <w:tcPr>
            <w:tcW w:w="866" w:type="pct"/>
            <w:tcBorders>
              <w:left w:val="single" w:sz="4" w:space="0" w:color="auto"/>
            </w:tcBorders>
            <w:shd w:val="clear" w:color="auto" w:fill="auto"/>
            <w:noWrap/>
            <w:vAlign w:val="center"/>
          </w:tcPr>
          <w:p w14:paraId="6A16E3A0" w14:textId="77777777" w:rsidR="000A68D7" w:rsidRPr="007D0AA8" w:rsidRDefault="000A68D7" w:rsidP="001A2B6F">
            <w:pPr>
              <w:spacing w:after="0" w:line="240" w:lineRule="auto"/>
              <w:jc w:val="right"/>
              <w:rPr>
                <w:rFonts w:ascii="Arial Narrow" w:hAnsi="Arial Narrow" w:cs="Arial"/>
                <w:bCs/>
                <w:sz w:val="20"/>
                <w:szCs w:val="20"/>
                <w:lang w:val="en-GB" w:eastAsia="en-GB"/>
              </w:rPr>
            </w:pPr>
            <w:r w:rsidRPr="007D0AA8">
              <w:rPr>
                <w:rFonts w:ascii="Arial Narrow" w:hAnsi="Arial Narrow" w:cs="Arial"/>
                <w:bCs/>
                <w:sz w:val="20"/>
                <w:szCs w:val="20"/>
                <w:lang w:val="en-GB" w:eastAsia="en-GB"/>
              </w:rPr>
              <w:t>1.5 (0–8</w:t>
            </w:r>
          </w:p>
        </w:tc>
        <w:tc>
          <w:tcPr>
            <w:tcW w:w="1099" w:type="pct"/>
            <w:shd w:val="clear" w:color="auto" w:fill="auto"/>
            <w:noWrap/>
            <w:vAlign w:val="center"/>
          </w:tcPr>
          <w:p w14:paraId="0B277095" w14:textId="77777777" w:rsidR="000A68D7" w:rsidRPr="007D0AA8" w:rsidRDefault="000A68D7" w:rsidP="001A2B6F">
            <w:pPr>
              <w:spacing w:after="0" w:line="240" w:lineRule="auto"/>
              <w:jc w:val="right"/>
              <w:rPr>
                <w:rFonts w:ascii="Arial Narrow" w:hAnsi="Arial Narrow" w:cs="Arial"/>
                <w:bCs/>
                <w:sz w:val="20"/>
                <w:szCs w:val="20"/>
                <w:lang w:val="en-GB" w:eastAsia="en-GB"/>
              </w:rPr>
            </w:pPr>
            <w:r w:rsidRPr="007D0AA8">
              <w:rPr>
                <w:rFonts w:ascii="Arial Narrow" w:hAnsi="Arial Narrow" w:cs="Arial"/>
                <w:bCs/>
                <w:sz w:val="20"/>
                <w:szCs w:val="20"/>
                <w:lang w:val="en-GB" w:eastAsia="en-GB"/>
              </w:rPr>
              <w:t>1.8 (0–5) )</w:t>
            </w:r>
          </w:p>
        </w:tc>
        <w:tc>
          <w:tcPr>
            <w:tcW w:w="522" w:type="pct"/>
            <w:tcBorders>
              <w:top w:val="nil"/>
              <w:left w:val="nil"/>
              <w:bottom w:val="nil"/>
              <w:right w:val="single" w:sz="4" w:space="0" w:color="auto"/>
            </w:tcBorders>
            <w:vAlign w:val="center"/>
          </w:tcPr>
          <w:p w14:paraId="0316C1F3" w14:textId="77777777" w:rsidR="000A68D7" w:rsidRPr="007D0AA8" w:rsidRDefault="000A68D7" w:rsidP="001A2B6F">
            <w:pPr>
              <w:spacing w:after="0" w:line="240" w:lineRule="auto"/>
              <w:jc w:val="right"/>
              <w:rPr>
                <w:rFonts w:ascii="Arial Narrow" w:hAnsi="Arial Narrow"/>
                <w:sz w:val="20"/>
                <w:szCs w:val="20"/>
              </w:rPr>
            </w:pPr>
          </w:p>
        </w:tc>
      </w:tr>
      <w:tr w:rsidR="000A68D7" w:rsidRPr="007D0AA8" w14:paraId="2A97DFFF" w14:textId="77777777" w:rsidTr="001A2B6F">
        <w:trPr>
          <w:jc w:val="center"/>
        </w:trPr>
        <w:tc>
          <w:tcPr>
            <w:tcW w:w="673" w:type="pct"/>
            <w:tcBorders>
              <w:top w:val="nil"/>
              <w:left w:val="single" w:sz="4" w:space="0" w:color="auto"/>
              <w:bottom w:val="nil"/>
              <w:right w:val="single" w:sz="4" w:space="0" w:color="auto"/>
            </w:tcBorders>
          </w:tcPr>
          <w:p w14:paraId="7DD2397C" w14:textId="77777777" w:rsidR="000A68D7" w:rsidRPr="007D0AA8" w:rsidRDefault="000A68D7" w:rsidP="001A2B6F">
            <w:pPr>
              <w:spacing w:after="0" w:line="240" w:lineRule="auto"/>
              <w:rPr>
                <w:rFonts w:ascii="Arial Narrow" w:hAnsi="Arial Narrow" w:cs="Calibri"/>
                <w:color w:val="000000"/>
                <w:sz w:val="20"/>
                <w:szCs w:val="20"/>
              </w:rPr>
            </w:pPr>
          </w:p>
        </w:tc>
        <w:tc>
          <w:tcPr>
            <w:tcW w:w="1840" w:type="pct"/>
            <w:tcBorders>
              <w:left w:val="single" w:sz="4" w:space="0" w:color="auto"/>
              <w:right w:val="single" w:sz="4" w:space="0" w:color="auto"/>
            </w:tcBorders>
            <w:shd w:val="clear" w:color="auto" w:fill="auto"/>
            <w:vAlign w:val="center"/>
          </w:tcPr>
          <w:p w14:paraId="04F43C9E" w14:textId="77777777" w:rsidR="000A68D7" w:rsidRPr="007D0AA8" w:rsidRDefault="000A68D7" w:rsidP="00331FB9">
            <w:pPr>
              <w:pStyle w:val="ListParagraph"/>
              <w:numPr>
                <w:ilvl w:val="0"/>
                <w:numId w:val="15"/>
              </w:numPr>
              <w:spacing w:after="0" w:line="240" w:lineRule="auto"/>
              <w:ind w:left="175" w:hanging="120"/>
              <w:rPr>
                <w:rFonts w:ascii="Arial Narrow" w:hAnsi="Arial Narrow" w:cs="Arial"/>
                <w:sz w:val="20"/>
                <w:szCs w:val="20"/>
                <w:lang w:val="en-GB" w:eastAsia="en-GB"/>
              </w:rPr>
            </w:pPr>
            <w:r w:rsidRPr="007D0AA8">
              <w:rPr>
                <w:rFonts w:ascii="Arial Narrow" w:hAnsi="Arial Narrow" w:cs="Arial"/>
                <w:sz w:val="20"/>
                <w:szCs w:val="20"/>
                <w:lang w:val="en-GB" w:eastAsia="en-GB"/>
              </w:rPr>
              <w:t>Viral</w:t>
            </w:r>
          </w:p>
        </w:tc>
        <w:tc>
          <w:tcPr>
            <w:tcW w:w="866" w:type="pct"/>
            <w:tcBorders>
              <w:left w:val="single" w:sz="4" w:space="0" w:color="auto"/>
            </w:tcBorders>
            <w:shd w:val="clear" w:color="auto" w:fill="auto"/>
            <w:noWrap/>
            <w:vAlign w:val="center"/>
          </w:tcPr>
          <w:p w14:paraId="28C62289" w14:textId="77777777" w:rsidR="000A68D7" w:rsidRPr="007D0AA8" w:rsidRDefault="000A68D7" w:rsidP="001A2B6F">
            <w:pPr>
              <w:spacing w:after="0" w:line="240" w:lineRule="auto"/>
              <w:jc w:val="right"/>
              <w:rPr>
                <w:rFonts w:ascii="Arial Narrow" w:hAnsi="Arial Narrow" w:cs="Arial"/>
                <w:bCs/>
                <w:sz w:val="20"/>
                <w:szCs w:val="20"/>
                <w:lang w:val="en-GB" w:eastAsia="en-GB"/>
              </w:rPr>
            </w:pPr>
            <w:r w:rsidRPr="007D0AA8">
              <w:rPr>
                <w:rFonts w:ascii="Arial Narrow" w:hAnsi="Arial Narrow" w:cs="Arial"/>
                <w:bCs/>
                <w:sz w:val="20"/>
                <w:szCs w:val="20"/>
                <w:lang w:val="en-GB" w:eastAsia="en-GB"/>
              </w:rPr>
              <w:t>2.1 (0–9)</w:t>
            </w:r>
          </w:p>
        </w:tc>
        <w:tc>
          <w:tcPr>
            <w:tcW w:w="1099" w:type="pct"/>
            <w:shd w:val="clear" w:color="auto" w:fill="auto"/>
            <w:noWrap/>
            <w:vAlign w:val="center"/>
          </w:tcPr>
          <w:p w14:paraId="5427B0E5" w14:textId="77777777" w:rsidR="000A68D7" w:rsidRPr="007D0AA8" w:rsidRDefault="000A68D7" w:rsidP="001A2B6F">
            <w:pPr>
              <w:spacing w:after="0" w:line="240" w:lineRule="auto"/>
              <w:jc w:val="right"/>
              <w:rPr>
                <w:rFonts w:ascii="Arial Narrow" w:hAnsi="Arial Narrow" w:cs="Arial"/>
                <w:bCs/>
                <w:sz w:val="20"/>
                <w:szCs w:val="20"/>
                <w:lang w:val="en-GB" w:eastAsia="en-GB"/>
              </w:rPr>
            </w:pPr>
            <w:r w:rsidRPr="007D0AA8">
              <w:rPr>
                <w:rFonts w:ascii="Arial Narrow" w:hAnsi="Arial Narrow" w:cs="Arial"/>
                <w:bCs/>
                <w:sz w:val="20"/>
                <w:szCs w:val="20"/>
                <w:lang w:val="en-GB" w:eastAsia="en-GB"/>
              </w:rPr>
              <w:t xml:space="preserve">2.1 (1–4) </w:t>
            </w:r>
          </w:p>
        </w:tc>
        <w:tc>
          <w:tcPr>
            <w:tcW w:w="522" w:type="pct"/>
            <w:tcBorders>
              <w:top w:val="nil"/>
              <w:left w:val="nil"/>
              <w:bottom w:val="nil"/>
              <w:right w:val="single" w:sz="4" w:space="0" w:color="auto"/>
            </w:tcBorders>
            <w:vAlign w:val="center"/>
          </w:tcPr>
          <w:p w14:paraId="11BA13D7" w14:textId="77777777" w:rsidR="000A68D7" w:rsidRPr="007D0AA8" w:rsidRDefault="000A68D7" w:rsidP="001A2B6F">
            <w:pPr>
              <w:spacing w:after="0" w:line="240" w:lineRule="auto"/>
              <w:jc w:val="right"/>
              <w:rPr>
                <w:rFonts w:ascii="Arial Narrow" w:hAnsi="Arial Narrow"/>
                <w:sz w:val="20"/>
                <w:szCs w:val="20"/>
              </w:rPr>
            </w:pPr>
          </w:p>
        </w:tc>
      </w:tr>
      <w:tr w:rsidR="000A68D7" w:rsidRPr="007D0AA8" w14:paraId="50F16E56" w14:textId="77777777" w:rsidTr="001A2B6F">
        <w:trPr>
          <w:jc w:val="center"/>
        </w:trPr>
        <w:tc>
          <w:tcPr>
            <w:tcW w:w="673" w:type="pct"/>
            <w:tcBorders>
              <w:top w:val="nil"/>
              <w:left w:val="single" w:sz="4" w:space="0" w:color="auto"/>
              <w:bottom w:val="nil"/>
              <w:right w:val="single" w:sz="4" w:space="0" w:color="auto"/>
            </w:tcBorders>
          </w:tcPr>
          <w:p w14:paraId="1F78F8A7" w14:textId="77777777" w:rsidR="000A68D7" w:rsidRPr="007D0AA8" w:rsidRDefault="000A68D7" w:rsidP="001A2B6F">
            <w:pPr>
              <w:spacing w:after="0" w:line="240" w:lineRule="auto"/>
              <w:rPr>
                <w:rFonts w:ascii="Arial Narrow" w:hAnsi="Arial Narrow" w:cs="Calibri"/>
                <w:color w:val="000000"/>
                <w:sz w:val="20"/>
                <w:szCs w:val="20"/>
              </w:rPr>
            </w:pPr>
          </w:p>
        </w:tc>
        <w:tc>
          <w:tcPr>
            <w:tcW w:w="1840" w:type="pct"/>
            <w:tcBorders>
              <w:left w:val="single" w:sz="4" w:space="0" w:color="auto"/>
              <w:right w:val="single" w:sz="4" w:space="0" w:color="auto"/>
            </w:tcBorders>
            <w:shd w:val="clear" w:color="auto" w:fill="auto"/>
            <w:vAlign w:val="center"/>
          </w:tcPr>
          <w:p w14:paraId="7EE7EF4A" w14:textId="77777777" w:rsidR="000A68D7" w:rsidRPr="007D0AA8" w:rsidRDefault="000A68D7" w:rsidP="00331FB9">
            <w:pPr>
              <w:pStyle w:val="ListParagraph"/>
              <w:numPr>
                <w:ilvl w:val="0"/>
                <w:numId w:val="15"/>
              </w:numPr>
              <w:spacing w:after="0" w:line="240" w:lineRule="auto"/>
              <w:ind w:left="175" w:hanging="120"/>
              <w:rPr>
                <w:rFonts w:ascii="Arial Narrow" w:hAnsi="Arial Narrow" w:cs="Arial"/>
                <w:sz w:val="20"/>
                <w:szCs w:val="20"/>
                <w:lang w:val="en-GB" w:eastAsia="en-GB"/>
              </w:rPr>
            </w:pPr>
            <w:r w:rsidRPr="007D0AA8">
              <w:rPr>
                <w:rFonts w:ascii="Arial Narrow" w:hAnsi="Arial Narrow" w:cs="Arial"/>
                <w:sz w:val="20"/>
                <w:szCs w:val="20"/>
                <w:lang w:val="en-GB" w:eastAsia="en-GB"/>
              </w:rPr>
              <w:t>Fungal</w:t>
            </w:r>
          </w:p>
        </w:tc>
        <w:tc>
          <w:tcPr>
            <w:tcW w:w="866" w:type="pct"/>
            <w:tcBorders>
              <w:left w:val="single" w:sz="4" w:space="0" w:color="auto"/>
            </w:tcBorders>
            <w:shd w:val="clear" w:color="auto" w:fill="auto"/>
            <w:noWrap/>
            <w:vAlign w:val="center"/>
          </w:tcPr>
          <w:p w14:paraId="22D3D4CF" w14:textId="77777777" w:rsidR="000A68D7" w:rsidRPr="007D0AA8" w:rsidRDefault="000A68D7" w:rsidP="001A2B6F">
            <w:pPr>
              <w:spacing w:after="0" w:line="240" w:lineRule="auto"/>
              <w:jc w:val="right"/>
              <w:rPr>
                <w:rFonts w:ascii="Arial Narrow" w:hAnsi="Arial Narrow" w:cs="Arial"/>
                <w:bCs/>
                <w:sz w:val="20"/>
                <w:szCs w:val="20"/>
                <w:lang w:val="en-GB" w:eastAsia="en-GB"/>
              </w:rPr>
            </w:pPr>
            <w:r w:rsidRPr="007D0AA8">
              <w:rPr>
                <w:rFonts w:ascii="Arial Narrow" w:hAnsi="Arial Narrow" w:cs="Arial"/>
                <w:bCs/>
                <w:sz w:val="20"/>
                <w:szCs w:val="20"/>
                <w:lang w:val="en-GB" w:eastAsia="en-GB"/>
              </w:rPr>
              <w:t>0.5 (0–5)</w:t>
            </w:r>
          </w:p>
        </w:tc>
        <w:tc>
          <w:tcPr>
            <w:tcW w:w="1099" w:type="pct"/>
            <w:shd w:val="clear" w:color="auto" w:fill="auto"/>
            <w:noWrap/>
            <w:vAlign w:val="center"/>
          </w:tcPr>
          <w:p w14:paraId="3397C478" w14:textId="77777777" w:rsidR="000A68D7" w:rsidRPr="007D0AA8" w:rsidRDefault="000A68D7" w:rsidP="001A2B6F">
            <w:pPr>
              <w:spacing w:after="0" w:line="240" w:lineRule="auto"/>
              <w:jc w:val="right"/>
              <w:rPr>
                <w:rFonts w:ascii="Arial Narrow" w:hAnsi="Arial Narrow" w:cs="Arial"/>
                <w:bCs/>
                <w:sz w:val="20"/>
                <w:szCs w:val="20"/>
                <w:lang w:val="en-GB" w:eastAsia="en-GB"/>
              </w:rPr>
            </w:pPr>
            <w:r w:rsidRPr="007D0AA8">
              <w:rPr>
                <w:rFonts w:ascii="Arial Narrow" w:hAnsi="Arial Narrow" w:cs="Arial"/>
                <w:bCs/>
                <w:sz w:val="20"/>
                <w:szCs w:val="20"/>
                <w:lang w:val="en-GB" w:eastAsia="en-GB"/>
              </w:rPr>
              <w:t xml:space="preserve">0.1 (0–1) </w:t>
            </w:r>
          </w:p>
        </w:tc>
        <w:tc>
          <w:tcPr>
            <w:tcW w:w="522" w:type="pct"/>
            <w:tcBorders>
              <w:top w:val="nil"/>
              <w:left w:val="nil"/>
              <w:bottom w:val="nil"/>
              <w:right w:val="single" w:sz="4" w:space="0" w:color="auto"/>
            </w:tcBorders>
            <w:vAlign w:val="center"/>
          </w:tcPr>
          <w:p w14:paraId="6058FD11" w14:textId="77777777" w:rsidR="000A68D7" w:rsidRPr="007D0AA8" w:rsidRDefault="000A68D7" w:rsidP="001A2B6F">
            <w:pPr>
              <w:spacing w:after="0" w:line="240" w:lineRule="auto"/>
              <w:jc w:val="right"/>
              <w:rPr>
                <w:rFonts w:ascii="Arial Narrow" w:hAnsi="Arial Narrow"/>
                <w:sz w:val="20"/>
                <w:szCs w:val="20"/>
              </w:rPr>
            </w:pPr>
          </w:p>
        </w:tc>
      </w:tr>
      <w:tr w:rsidR="000A68D7" w:rsidRPr="007D0AA8" w14:paraId="588CC033" w14:textId="77777777" w:rsidTr="001A2B6F">
        <w:trPr>
          <w:jc w:val="center"/>
        </w:trPr>
        <w:tc>
          <w:tcPr>
            <w:tcW w:w="673" w:type="pct"/>
            <w:tcBorders>
              <w:top w:val="nil"/>
              <w:left w:val="single" w:sz="4" w:space="0" w:color="auto"/>
              <w:bottom w:val="nil"/>
              <w:right w:val="single" w:sz="4" w:space="0" w:color="auto"/>
            </w:tcBorders>
          </w:tcPr>
          <w:p w14:paraId="5922A811" w14:textId="77777777" w:rsidR="000A68D7" w:rsidRPr="007D0AA8" w:rsidRDefault="000A68D7" w:rsidP="001A2B6F">
            <w:pPr>
              <w:spacing w:after="0" w:line="240" w:lineRule="auto"/>
              <w:rPr>
                <w:rFonts w:ascii="Arial Narrow" w:hAnsi="Arial Narrow" w:cs="Calibri"/>
                <w:color w:val="000000"/>
                <w:sz w:val="20"/>
                <w:szCs w:val="20"/>
              </w:rPr>
            </w:pPr>
          </w:p>
        </w:tc>
        <w:tc>
          <w:tcPr>
            <w:tcW w:w="1840" w:type="pct"/>
            <w:tcBorders>
              <w:left w:val="single" w:sz="4" w:space="0" w:color="auto"/>
              <w:right w:val="single" w:sz="4" w:space="0" w:color="auto"/>
            </w:tcBorders>
            <w:shd w:val="clear" w:color="auto" w:fill="auto"/>
            <w:vAlign w:val="center"/>
          </w:tcPr>
          <w:p w14:paraId="21967150" w14:textId="77777777" w:rsidR="000A68D7" w:rsidRPr="007D0AA8" w:rsidRDefault="000A68D7" w:rsidP="00331FB9">
            <w:pPr>
              <w:pStyle w:val="ListParagraph"/>
              <w:numPr>
                <w:ilvl w:val="0"/>
                <w:numId w:val="15"/>
              </w:numPr>
              <w:spacing w:after="0" w:line="240" w:lineRule="auto"/>
              <w:ind w:left="175" w:hanging="120"/>
              <w:rPr>
                <w:rFonts w:ascii="Arial Narrow" w:hAnsi="Arial Narrow" w:cs="Arial"/>
                <w:sz w:val="20"/>
                <w:szCs w:val="20"/>
                <w:lang w:val="en-GB" w:eastAsia="en-GB"/>
              </w:rPr>
            </w:pPr>
            <w:r w:rsidRPr="007D0AA8">
              <w:rPr>
                <w:rFonts w:ascii="Arial Narrow" w:hAnsi="Arial Narrow" w:cs="Arial"/>
                <w:sz w:val="20"/>
                <w:szCs w:val="20"/>
                <w:lang w:val="en-GB" w:eastAsia="en-GB"/>
              </w:rPr>
              <w:t>Unidentified</w:t>
            </w:r>
          </w:p>
        </w:tc>
        <w:tc>
          <w:tcPr>
            <w:tcW w:w="866" w:type="pct"/>
            <w:tcBorders>
              <w:left w:val="single" w:sz="4" w:space="0" w:color="auto"/>
            </w:tcBorders>
            <w:shd w:val="clear" w:color="auto" w:fill="auto"/>
            <w:noWrap/>
            <w:vAlign w:val="center"/>
          </w:tcPr>
          <w:p w14:paraId="2385DB70" w14:textId="77777777" w:rsidR="000A68D7" w:rsidRPr="007D0AA8" w:rsidRDefault="000A68D7" w:rsidP="001A2B6F">
            <w:pPr>
              <w:spacing w:after="0" w:line="240" w:lineRule="auto"/>
              <w:jc w:val="right"/>
              <w:rPr>
                <w:rFonts w:ascii="Arial Narrow" w:hAnsi="Arial Narrow" w:cs="Arial"/>
                <w:bCs/>
                <w:sz w:val="20"/>
                <w:szCs w:val="20"/>
                <w:lang w:val="en-GB" w:eastAsia="en-GB"/>
              </w:rPr>
            </w:pPr>
            <w:r w:rsidRPr="007D0AA8">
              <w:rPr>
                <w:rFonts w:ascii="Arial Narrow" w:hAnsi="Arial Narrow" w:cs="Arial"/>
                <w:bCs/>
                <w:sz w:val="20"/>
                <w:szCs w:val="20"/>
                <w:lang w:val="en-GB" w:eastAsia="en-GB"/>
              </w:rPr>
              <w:t>2 (0–10)</w:t>
            </w:r>
          </w:p>
        </w:tc>
        <w:tc>
          <w:tcPr>
            <w:tcW w:w="1099" w:type="pct"/>
            <w:shd w:val="clear" w:color="auto" w:fill="auto"/>
            <w:noWrap/>
            <w:vAlign w:val="center"/>
          </w:tcPr>
          <w:p w14:paraId="61401534" w14:textId="77777777" w:rsidR="000A68D7" w:rsidRPr="007D0AA8" w:rsidRDefault="000A68D7" w:rsidP="001A2B6F">
            <w:pPr>
              <w:spacing w:after="0" w:line="240" w:lineRule="auto"/>
              <w:jc w:val="right"/>
              <w:rPr>
                <w:rFonts w:ascii="Arial Narrow" w:hAnsi="Arial Narrow" w:cs="Arial"/>
                <w:bCs/>
                <w:sz w:val="20"/>
                <w:szCs w:val="20"/>
                <w:lang w:val="en-GB" w:eastAsia="en-GB"/>
              </w:rPr>
            </w:pPr>
            <w:r w:rsidRPr="007D0AA8">
              <w:rPr>
                <w:rFonts w:ascii="Arial Narrow" w:hAnsi="Arial Narrow" w:cs="Arial"/>
                <w:bCs/>
                <w:sz w:val="20"/>
                <w:szCs w:val="20"/>
                <w:lang w:val="en-GB" w:eastAsia="en-GB"/>
              </w:rPr>
              <w:t xml:space="preserve">2.5 (0–4) </w:t>
            </w:r>
          </w:p>
        </w:tc>
        <w:tc>
          <w:tcPr>
            <w:tcW w:w="522" w:type="pct"/>
            <w:tcBorders>
              <w:top w:val="nil"/>
              <w:left w:val="nil"/>
              <w:bottom w:val="nil"/>
              <w:right w:val="single" w:sz="4" w:space="0" w:color="auto"/>
            </w:tcBorders>
            <w:vAlign w:val="center"/>
          </w:tcPr>
          <w:p w14:paraId="727A4A99" w14:textId="77777777" w:rsidR="000A68D7" w:rsidRPr="007D0AA8" w:rsidRDefault="000A68D7" w:rsidP="001A2B6F">
            <w:pPr>
              <w:spacing w:after="0" w:line="240" w:lineRule="auto"/>
              <w:jc w:val="right"/>
              <w:rPr>
                <w:rFonts w:ascii="Arial Narrow" w:hAnsi="Arial Narrow"/>
                <w:sz w:val="20"/>
                <w:szCs w:val="20"/>
              </w:rPr>
            </w:pPr>
          </w:p>
        </w:tc>
      </w:tr>
      <w:tr w:rsidR="000A68D7" w:rsidRPr="007D0AA8" w14:paraId="215DDCA9" w14:textId="77777777" w:rsidTr="007D3D74">
        <w:trPr>
          <w:jc w:val="center"/>
        </w:trPr>
        <w:tc>
          <w:tcPr>
            <w:tcW w:w="673" w:type="pct"/>
            <w:tcBorders>
              <w:top w:val="nil"/>
              <w:left w:val="single" w:sz="4" w:space="0" w:color="auto"/>
              <w:bottom w:val="single" w:sz="4" w:space="0" w:color="auto"/>
              <w:right w:val="single" w:sz="4" w:space="0" w:color="auto"/>
            </w:tcBorders>
          </w:tcPr>
          <w:p w14:paraId="2AB63EAB" w14:textId="77777777" w:rsidR="000A68D7" w:rsidRPr="007D0AA8" w:rsidRDefault="000A68D7" w:rsidP="001A2B6F">
            <w:pPr>
              <w:spacing w:after="0" w:line="240" w:lineRule="auto"/>
              <w:rPr>
                <w:rFonts w:ascii="Arial Narrow" w:hAnsi="Arial Narrow" w:cs="Calibri"/>
                <w:color w:val="000000"/>
                <w:sz w:val="20"/>
                <w:szCs w:val="20"/>
              </w:rPr>
            </w:pPr>
          </w:p>
        </w:tc>
        <w:tc>
          <w:tcPr>
            <w:tcW w:w="1840" w:type="pct"/>
            <w:tcBorders>
              <w:left w:val="single" w:sz="4" w:space="0" w:color="auto"/>
              <w:bottom w:val="single" w:sz="4" w:space="0" w:color="auto"/>
              <w:right w:val="single" w:sz="4" w:space="0" w:color="auto"/>
            </w:tcBorders>
            <w:shd w:val="clear" w:color="auto" w:fill="auto"/>
            <w:vAlign w:val="center"/>
          </w:tcPr>
          <w:p w14:paraId="2C8EED4E" w14:textId="77777777" w:rsidR="000A68D7" w:rsidRPr="007D0AA8" w:rsidRDefault="000A68D7" w:rsidP="001A2B6F">
            <w:pPr>
              <w:spacing w:after="0" w:line="240" w:lineRule="auto"/>
              <w:rPr>
                <w:rFonts w:ascii="Arial Narrow" w:hAnsi="Arial Narrow" w:cs="Arial"/>
                <w:sz w:val="20"/>
                <w:szCs w:val="20"/>
                <w:lang w:val="en-GB" w:eastAsia="en-GB"/>
              </w:rPr>
            </w:pPr>
            <w:r w:rsidRPr="007D0AA8">
              <w:rPr>
                <w:rFonts w:ascii="Arial Narrow" w:hAnsi="Arial Narrow" w:cs="Arial"/>
                <w:sz w:val="20"/>
                <w:szCs w:val="20"/>
                <w:lang w:val="en-GB" w:eastAsia="en-GB"/>
              </w:rPr>
              <w:t>Total clinical infections per patient</w:t>
            </w:r>
          </w:p>
        </w:tc>
        <w:tc>
          <w:tcPr>
            <w:tcW w:w="866" w:type="pct"/>
            <w:tcBorders>
              <w:left w:val="single" w:sz="4" w:space="0" w:color="auto"/>
              <w:bottom w:val="single" w:sz="4" w:space="0" w:color="auto"/>
            </w:tcBorders>
            <w:shd w:val="clear" w:color="auto" w:fill="auto"/>
            <w:noWrap/>
            <w:vAlign w:val="center"/>
          </w:tcPr>
          <w:p w14:paraId="0232923F" w14:textId="77777777" w:rsidR="000A68D7" w:rsidRPr="007D0AA8" w:rsidRDefault="000A68D7" w:rsidP="001A2B6F">
            <w:pPr>
              <w:spacing w:after="0" w:line="240" w:lineRule="auto"/>
              <w:jc w:val="right"/>
              <w:rPr>
                <w:rFonts w:ascii="Arial Narrow" w:hAnsi="Arial Narrow" w:cs="Arial"/>
                <w:bCs/>
                <w:sz w:val="20"/>
                <w:szCs w:val="20"/>
                <w:lang w:val="en-GB" w:eastAsia="en-GB"/>
              </w:rPr>
            </w:pPr>
            <w:r w:rsidRPr="007D0AA8">
              <w:rPr>
                <w:rFonts w:ascii="Arial Narrow" w:hAnsi="Arial Narrow" w:cs="Arial"/>
                <w:bCs/>
                <w:sz w:val="20"/>
                <w:szCs w:val="20"/>
                <w:lang w:val="en-GB" w:eastAsia="en-GB"/>
              </w:rPr>
              <w:t>5.5 (0–23)</w:t>
            </w:r>
          </w:p>
        </w:tc>
        <w:tc>
          <w:tcPr>
            <w:tcW w:w="1099" w:type="pct"/>
            <w:tcBorders>
              <w:bottom w:val="single" w:sz="4" w:space="0" w:color="auto"/>
            </w:tcBorders>
            <w:shd w:val="clear" w:color="auto" w:fill="auto"/>
            <w:noWrap/>
            <w:vAlign w:val="center"/>
          </w:tcPr>
          <w:p w14:paraId="6921243F" w14:textId="77777777" w:rsidR="000A68D7" w:rsidRPr="007D0AA8" w:rsidRDefault="000A68D7" w:rsidP="001A2B6F">
            <w:pPr>
              <w:spacing w:after="0" w:line="240" w:lineRule="auto"/>
              <w:jc w:val="right"/>
              <w:rPr>
                <w:rFonts w:ascii="Arial Narrow" w:hAnsi="Arial Narrow" w:cs="Arial"/>
                <w:bCs/>
                <w:sz w:val="20"/>
                <w:szCs w:val="20"/>
                <w:lang w:val="en-GB" w:eastAsia="en-GB"/>
              </w:rPr>
            </w:pPr>
            <w:r w:rsidRPr="007D0AA8">
              <w:rPr>
                <w:rFonts w:ascii="Arial Narrow" w:hAnsi="Arial Narrow" w:cs="Arial"/>
                <w:bCs/>
                <w:sz w:val="20"/>
                <w:szCs w:val="20"/>
                <w:lang w:val="en-GB" w:eastAsia="en-GB"/>
              </w:rPr>
              <w:t xml:space="preserve">6.4 (3–13) </w:t>
            </w:r>
          </w:p>
        </w:tc>
        <w:tc>
          <w:tcPr>
            <w:tcW w:w="522" w:type="pct"/>
            <w:tcBorders>
              <w:top w:val="nil"/>
              <w:left w:val="nil"/>
              <w:bottom w:val="single" w:sz="4" w:space="0" w:color="auto"/>
              <w:right w:val="single" w:sz="4" w:space="0" w:color="auto"/>
            </w:tcBorders>
            <w:vAlign w:val="center"/>
          </w:tcPr>
          <w:p w14:paraId="377868EB" w14:textId="77777777" w:rsidR="000A68D7" w:rsidRPr="007D0AA8" w:rsidRDefault="000A68D7" w:rsidP="001A2B6F">
            <w:pPr>
              <w:spacing w:after="0" w:line="240" w:lineRule="auto"/>
              <w:jc w:val="right"/>
              <w:rPr>
                <w:rFonts w:ascii="Arial Narrow" w:hAnsi="Arial Narrow"/>
                <w:sz w:val="20"/>
                <w:szCs w:val="20"/>
                <w:highlight w:val="yellow"/>
              </w:rPr>
            </w:pPr>
          </w:p>
        </w:tc>
      </w:tr>
      <w:tr w:rsidR="000A68D7" w:rsidRPr="00386411" w14:paraId="03553811" w14:textId="77777777" w:rsidTr="00B52A4F">
        <w:trPr>
          <w:jc w:val="center"/>
        </w:trPr>
        <w:tc>
          <w:tcPr>
            <w:tcW w:w="6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C22531" w14:textId="77777777" w:rsidR="000A68D7" w:rsidRPr="00386411" w:rsidRDefault="000A68D7" w:rsidP="001A2B6F">
            <w:pPr>
              <w:spacing w:after="0" w:line="240" w:lineRule="auto"/>
              <w:rPr>
                <w:rFonts w:ascii="Arial Narrow" w:hAnsi="Arial Narrow" w:cs="Calibri"/>
                <w:b/>
                <w:color w:val="000000"/>
                <w:sz w:val="20"/>
                <w:szCs w:val="20"/>
              </w:rPr>
            </w:pPr>
            <w:r w:rsidRPr="00386411">
              <w:rPr>
                <w:rFonts w:ascii="Arial Narrow" w:hAnsi="Arial Narrow" w:cs="Calibri"/>
                <w:b/>
                <w:color w:val="000000"/>
                <w:sz w:val="20"/>
                <w:szCs w:val="20"/>
              </w:rPr>
              <w:t>Windegger et al. (2019)</w:t>
            </w:r>
          </w:p>
        </w:tc>
        <w:tc>
          <w:tcPr>
            <w:tcW w:w="18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198A4B" w14:textId="77777777" w:rsidR="000A68D7" w:rsidRPr="00386411" w:rsidRDefault="000A68D7" w:rsidP="001A2B6F">
            <w:pPr>
              <w:spacing w:after="0" w:line="240" w:lineRule="auto"/>
              <w:rPr>
                <w:rFonts w:ascii="Arial Narrow" w:hAnsi="Arial Narrow" w:cs="Arial"/>
                <w:b/>
                <w:sz w:val="20"/>
                <w:szCs w:val="20"/>
                <w:lang w:val="en-GB" w:eastAsia="en-GB"/>
              </w:rPr>
            </w:pPr>
            <w:r w:rsidRPr="00386411">
              <w:rPr>
                <w:rFonts w:ascii="Arial Narrow" w:hAnsi="Arial Narrow"/>
                <w:b/>
                <w:snapToGrid w:val="0"/>
                <w:sz w:val="20"/>
                <w:szCs w:val="20"/>
              </w:rPr>
              <w:t>Infections requiring hospitalisation/total annual (N=13)</w:t>
            </w:r>
          </w:p>
        </w:tc>
        <w:tc>
          <w:tcPr>
            <w:tcW w:w="866" w:type="pct"/>
            <w:tcBorders>
              <w:top w:val="single" w:sz="4" w:space="0" w:color="auto"/>
              <w:left w:val="single" w:sz="4" w:space="0" w:color="auto"/>
              <w:bottom w:val="single" w:sz="4" w:space="0" w:color="auto"/>
            </w:tcBorders>
            <w:shd w:val="clear" w:color="auto" w:fill="D9D9D9" w:themeFill="background1" w:themeFillShade="D9"/>
            <w:noWrap/>
          </w:tcPr>
          <w:p w14:paraId="6DDB0947" w14:textId="77777777" w:rsidR="000A68D7" w:rsidRPr="00386411" w:rsidRDefault="000A68D7" w:rsidP="001A2B6F">
            <w:pPr>
              <w:pStyle w:val="TableHeading"/>
              <w:spacing w:before="0" w:after="0"/>
              <w:ind w:left="111" w:right="117"/>
              <w:jc w:val="center"/>
              <w:rPr>
                <w:snapToGrid w:val="0"/>
                <w:lang w:eastAsia="en-US"/>
              </w:rPr>
            </w:pPr>
            <w:r w:rsidRPr="00386411">
              <w:rPr>
                <w:snapToGrid w:val="0"/>
                <w:lang w:eastAsia="en-US"/>
              </w:rPr>
              <w:t>Initial 12 mo IVIg</w:t>
            </w:r>
          </w:p>
          <w:p w14:paraId="06FFE52E" w14:textId="77777777" w:rsidR="000A68D7" w:rsidRPr="00386411" w:rsidRDefault="000A68D7" w:rsidP="001A2B6F">
            <w:pPr>
              <w:spacing w:after="0" w:line="240" w:lineRule="auto"/>
              <w:jc w:val="center"/>
              <w:rPr>
                <w:rFonts w:ascii="Arial Narrow" w:hAnsi="Arial Narrow" w:cs="Arial"/>
                <w:b/>
                <w:bCs/>
                <w:sz w:val="20"/>
                <w:szCs w:val="20"/>
                <w:lang w:val="en-GB" w:eastAsia="en-GB"/>
              </w:rPr>
            </w:pPr>
            <w:r w:rsidRPr="00386411">
              <w:rPr>
                <w:rFonts w:ascii="Arial Narrow" w:hAnsi="Arial Narrow"/>
                <w:b/>
                <w:snapToGrid w:val="0"/>
                <w:sz w:val="20"/>
                <w:szCs w:val="20"/>
                <w:lang w:eastAsia="en-US"/>
              </w:rPr>
              <w:t>Mean per patient</w:t>
            </w:r>
          </w:p>
        </w:tc>
        <w:tc>
          <w:tcPr>
            <w:tcW w:w="1099" w:type="pct"/>
            <w:tcBorders>
              <w:top w:val="single" w:sz="4" w:space="0" w:color="auto"/>
              <w:bottom w:val="single" w:sz="4" w:space="0" w:color="auto"/>
            </w:tcBorders>
            <w:shd w:val="clear" w:color="auto" w:fill="D9D9D9" w:themeFill="background1" w:themeFillShade="D9"/>
            <w:noWrap/>
          </w:tcPr>
          <w:p w14:paraId="2207B6E8" w14:textId="77777777" w:rsidR="000A68D7" w:rsidRPr="00386411" w:rsidRDefault="000A68D7" w:rsidP="001A2B6F">
            <w:pPr>
              <w:pStyle w:val="TableHeading"/>
              <w:spacing w:before="0" w:after="0"/>
              <w:ind w:left="77" w:right="117"/>
              <w:jc w:val="center"/>
              <w:rPr>
                <w:snapToGrid w:val="0"/>
                <w:lang w:eastAsia="en-US"/>
              </w:rPr>
            </w:pPr>
            <w:r w:rsidRPr="00386411">
              <w:rPr>
                <w:snapToGrid w:val="0"/>
                <w:lang w:eastAsia="en-US"/>
              </w:rPr>
              <w:t>Subsequent 12 mo SCIg</w:t>
            </w:r>
          </w:p>
          <w:p w14:paraId="1D00A7AB" w14:textId="77777777" w:rsidR="000A68D7" w:rsidRPr="00386411" w:rsidRDefault="000A68D7" w:rsidP="001A2B6F">
            <w:pPr>
              <w:spacing w:after="0" w:line="240" w:lineRule="auto"/>
              <w:jc w:val="center"/>
              <w:rPr>
                <w:rFonts w:ascii="Arial Narrow" w:hAnsi="Arial Narrow" w:cs="Arial"/>
                <w:b/>
                <w:bCs/>
                <w:sz w:val="20"/>
                <w:szCs w:val="20"/>
                <w:lang w:val="en-GB" w:eastAsia="en-GB"/>
              </w:rPr>
            </w:pPr>
            <w:r w:rsidRPr="00386411">
              <w:rPr>
                <w:rFonts w:ascii="Arial Narrow" w:hAnsi="Arial Narrow"/>
                <w:b/>
                <w:snapToGrid w:val="0"/>
                <w:sz w:val="20"/>
                <w:szCs w:val="20"/>
                <w:lang w:eastAsia="en-US"/>
              </w:rPr>
              <w:t>Mean per patient</w:t>
            </w:r>
          </w:p>
        </w:tc>
        <w:tc>
          <w:tcPr>
            <w:tcW w:w="522" w:type="pct"/>
            <w:tcBorders>
              <w:top w:val="single" w:sz="4" w:space="0" w:color="auto"/>
              <w:left w:val="nil"/>
              <w:bottom w:val="single" w:sz="4" w:space="0" w:color="auto"/>
              <w:right w:val="single" w:sz="4" w:space="0" w:color="auto"/>
            </w:tcBorders>
            <w:shd w:val="clear" w:color="auto" w:fill="D9D9D9" w:themeFill="background1" w:themeFillShade="D9"/>
          </w:tcPr>
          <w:p w14:paraId="3D2D063D" w14:textId="77777777" w:rsidR="000A68D7" w:rsidRPr="00386411" w:rsidRDefault="000A68D7" w:rsidP="001A2B6F">
            <w:pPr>
              <w:spacing w:after="0" w:line="240" w:lineRule="auto"/>
              <w:jc w:val="right"/>
              <w:rPr>
                <w:rFonts w:ascii="Arial Narrow" w:hAnsi="Arial Narrow"/>
                <w:b/>
                <w:sz w:val="20"/>
                <w:szCs w:val="20"/>
              </w:rPr>
            </w:pPr>
          </w:p>
        </w:tc>
      </w:tr>
      <w:tr w:rsidR="000A68D7" w:rsidRPr="007D0AA8" w14:paraId="6EC1AB90" w14:textId="77777777" w:rsidTr="001A2B6F">
        <w:trPr>
          <w:jc w:val="center"/>
        </w:trPr>
        <w:tc>
          <w:tcPr>
            <w:tcW w:w="673" w:type="pct"/>
            <w:tcBorders>
              <w:top w:val="single" w:sz="4" w:space="0" w:color="auto"/>
              <w:left w:val="single" w:sz="4" w:space="0" w:color="auto"/>
              <w:right w:val="single" w:sz="4" w:space="0" w:color="auto"/>
            </w:tcBorders>
          </w:tcPr>
          <w:p w14:paraId="775498D9" w14:textId="77777777" w:rsidR="000A68D7" w:rsidRPr="007D0AA8" w:rsidRDefault="000A68D7" w:rsidP="001A2B6F">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(undefined)</w:t>
            </w:r>
          </w:p>
        </w:tc>
        <w:tc>
          <w:tcPr>
            <w:tcW w:w="1840" w:type="pct"/>
            <w:tcBorders>
              <w:top w:val="single" w:sz="4" w:space="0" w:color="auto"/>
              <w:left w:val="single" w:sz="4" w:space="0" w:color="auto"/>
              <w:right w:val="single" w:sz="4" w:space="0" w:color="auto"/>
            </w:tcBorders>
          </w:tcPr>
          <w:p w14:paraId="0378B147" w14:textId="77777777" w:rsidR="000A68D7" w:rsidRPr="007D0AA8" w:rsidRDefault="000A68D7" w:rsidP="001A2B6F">
            <w:pPr>
              <w:spacing w:after="0" w:line="240" w:lineRule="auto"/>
              <w:rPr>
                <w:rFonts w:ascii="Arial Narrow" w:hAnsi="Arial Narrow" w:cs="Arial"/>
                <w:sz w:val="20"/>
                <w:szCs w:val="20"/>
                <w:lang w:val="en-GB" w:eastAsia="en-GB"/>
              </w:rPr>
            </w:pPr>
            <w:r w:rsidRPr="007D0AA8">
              <w:rPr>
                <w:rFonts w:ascii="Arial Narrow" w:hAnsi="Arial Narrow" w:cs="Arial"/>
                <w:sz w:val="20"/>
                <w:szCs w:val="20"/>
                <w:lang w:val="en-GB" w:eastAsia="en-GB"/>
              </w:rPr>
              <w:t>Mean annual no. infections</w:t>
            </w:r>
          </w:p>
        </w:tc>
        <w:tc>
          <w:tcPr>
            <w:tcW w:w="866" w:type="pct"/>
            <w:tcBorders>
              <w:top w:val="single" w:sz="4" w:space="0" w:color="auto"/>
              <w:left w:val="single" w:sz="4" w:space="0" w:color="auto"/>
            </w:tcBorders>
            <w:shd w:val="clear" w:color="auto" w:fill="auto"/>
            <w:noWrap/>
          </w:tcPr>
          <w:p w14:paraId="48359F53" w14:textId="77777777" w:rsidR="000A68D7" w:rsidRPr="007D0AA8" w:rsidRDefault="000A68D7" w:rsidP="001A2B6F">
            <w:pPr>
              <w:spacing w:after="0" w:line="240" w:lineRule="auto"/>
              <w:jc w:val="right"/>
              <w:rPr>
                <w:rFonts w:ascii="Arial Narrow" w:hAnsi="Arial Narrow" w:cs="Arial"/>
                <w:bCs/>
                <w:sz w:val="20"/>
                <w:szCs w:val="20"/>
                <w:lang w:val="en-GB" w:eastAsia="en-GB"/>
              </w:rPr>
            </w:pPr>
            <w:r w:rsidRPr="007D0AA8">
              <w:rPr>
                <w:rFonts w:ascii="Arial Narrow" w:hAnsi="Arial Narrow" w:cs="Arial"/>
                <w:sz w:val="20"/>
                <w:szCs w:val="20"/>
                <w:lang w:val="en-GB" w:eastAsia="en-GB"/>
              </w:rPr>
              <w:t>1.85</w:t>
            </w:r>
          </w:p>
        </w:tc>
        <w:tc>
          <w:tcPr>
            <w:tcW w:w="1099" w:type="pct"/>
            <w:tcBorders>
              <w:top w:val="single" w:sz="4" w:space="0" w:color="auto"/>
            </w:tcBorders>
            <w:shd w:val="clear" w:color="auto" w:fill="auto"/>
            <w:noWrap/>
          </w:tcPr>
          <w:p w14:paraId="4C2E0546" w14:textId="77777777" w:rsidR="000A68D7" w:rsidRPr="007D0AA8" w:rsidRDefault="000A68D7" w:rsidP="001A2B6F">
            <w:pPr>
              <w:spacing w:after="0" w:line="240" w:lineRule="auto"/>
              <w:jc w:val="right"/>
              <w:rPr>
                <w:rFonts w:ascii="Arial Narrow" w:hAnsi="Arial Narrow" w:cs="Arial"/>
                <w:bCs/>
                <w:sz w:val="20"/>
                <w:szCs w:val="20"/>
                <w:lang w:val="en-GB" w:eastAsia="en-GB"/>
              </w:rPr>
            </w:pPr>
            <w:r w:rsidRPr="007D0AA8">
              <w:rPr>
                <w:rFonts w:ascii="Arial Narrow" w:hAnsi="Arial Narrow" w:cs="Arial"/>
                <w:sz w:val="20"/>
                <w:szCs w:val="20"/>
                <w:lang w:val="en-GB" w:eastAsia="en-GB"/>
              </w:rPr>
              <w:t>2.31</w:t>
            </w:r>
          </w:p>
        </w:tc>
        <w:tc>
          <w:tcPr>
            <w:tcW w:w="522" w:type="pct"/>
            <w:tcBorders>
              <w:top w:val="single" w:sz="4" w:space="0" w:color="auto"/>
              <w:left w:val="nil"/>
              <w:right w:val="single" w:sz="4" w:space="0" w:color="auto"/>
            </w:tcBorders>
          </w:tcPr>
          <w:p w14:paraId="1C8D2B45" w14:textId="77777777" w:rsidR="000A68D7" w:rsidRPr="007D0AA8" w:rsidRDefault="000A68D7" w:rsidP="001A2B6F">
            <w:pPr>
              <w:spacing w:after="0" w:line="240" w:lineRule="auto"/>
              <w:jc w:val="right"/>
              <w:rPr>
                <w:rFonts w:ascii="Arial Narrow" w:hAnsi="Arial Narrow"/>
                <w:sz w:val="20"/>
                <w:szCs w:val="20"/>
              </w:rPr>
            </w:pPr>
            <w:r w:rsidRPr="007D0AA8">
              <w:rPr>
                <w:rFonts w:ascii="Arial Narrow" w:hAnsi="Arial Narrow"/>
                <w:sz w:val="20"/>
                <w:szCs w:val="20"/>
              </w:rPr>
              <w:t>n.s.</w:t>
            </w:r>
          </w:p>
        </w:tc>
      </w:tr>
      <w:tr w:rsidR="000A68D7" w:rsidRPr="007D0AA8" w14:paraId="3185A25C" w14:textId="77777777" w:rsidTr="001A2B6F">
        <w:trPr>
          <w:jc w:val="center"/>
        </w:trPr>
        <w:tc>
          <w:tcPr>
            <w:tcW w:w="673" w:type="pct"/>
            <w:tcBorders>
              <w:top w:val="nil"/>
              <w:left w:val="single" w:sz="4" w:space="0" w:color="auto"/>
              <w:bottom w:val="single" w:sz="4" w:space="0" w:color="auto"/>
              <w:right w:val="single" w:sz="4" w:space="0" w:color="auto"/>
            </w:tcBorders>
          </w:tcPr>
          <w:p w14:paraId="16DFA7AE" w14:textId="77777777" w:rsidR="000A68D7" w:rsidRPr="007D0AA8" w:rsidRDefault="000A68D7" w:rsidP="001A2B6F">
            <w:pPr>
              <w:spacing w:after="0" w:line="240" w:lineRule="auto"/>
              <w:rPr>
                <w:rFonts w:ascii="Arial Narrow" w:hAnsi="Arial Narrow" w:cs="Calibri"/>
                <w:color w:val="000000"/>
                <w:sz w:val="20"/>
                <w:szCs w:val="20"/>
              </w:rPr>
            </w:pPr>
          </w:p>
        </w:tc>
        <w:tc>
          <w:tcPr>
            <w:tcW w:w="1840" w:type="pct"/>
            <w:tcBorders>
              <w:left w:val="single" w:sz="4" w:space="0" w:color="auto"/>
              <w:bottom w:val="single" w:sz="4" w:space="0" w:color="auto"/>
              <w:right w:val="single" w:sz="4" w:space="0" w:color="auto"/>
            </w:tcBorders>
            <w:shd w:val="clear" w:color="auto" w:fill="auto"/>
            <w:vAlign w:val="center"/>
          </w:tcPr>
          <w:p w14:paraId="1D307523" w14:textId="77777777" w:rsidR="000A68D7" w:rsidRPr="007D0AA8" w:rsidRDefault="000A68D7" w:rsidP="001A2B6F">
            <w:pPr>
              <w:spacing w:after="0" w:line="240" w:lineRule="auto"/>
              <w:rPr>
                <w:rFonts w:ascii="Arial Narrow" w:hAnsi="Arial Narrow" w:cs="Arial"/>
                <w:sz w:val="20"/>
                <w:szCs w:val="20"/>
                <w:lang w:val="en-GB" w:eastAsia="en-GB"/>
              </w:rPr>
            </w:pPr>
            <w:r w:rsidRPr="007D0AA8">
              <w:rPr>
                <w:rFonts w:ascii="Arial Narrow" w:hAnsi="Arial Narrow" w:cs="Arial"/>
                <w:sz w:val="20"/>
                <w:szCs w:val="20"/>
                <w:lang w:val="en-GB" w:eastAsia="en-GB"/>
              </w:rPr>
              <w:t>Rate, infections/patient/mo</w:t>
            </w:r>
          </w:p>
        </w:tc>
        <w:tc>
          <w:tcPr>
            <w:tcW w:w="866" w:type="pct"/>
            <w:tcBorders>
              <w:left w:val="single" w:sz="4" w:space="0" w:color="auto"/>
              <w:bottom w:val="single" w:sz="4" w:space="0" w:color="auto"/>
            </w:tcBorders>
            <w:shd w:val="clear" w:color="auto" w:fill="auto"/>
            <w:noWrap/>
            <w:vAlign w:val="center"/>
          </w:tcPr>
          <w:p w14:paraId="670A78A9" w14:textId="77777777" w:rsidR="000A68D7" w:rsidRPr="007D0AA8" w:rsidRDefault="000A68D7" w:rsidP="001A2B6F">
            <w:pPr>
              <w:spacing w:after="0" w:line="240" w:lineRule="auto"/>
              <w:jc w:val="right"/>
              <w:rPr>
                <w:rFonts w:ascii="Arial Narrow" w:hAnsi="Arial Narrow" w:cs="Arial"/>
                <w:i/>
                <w:sz w:val="20"/>
                <w:szCs w:val="20"/>
                <w:lang w:val="en-GB" w:eastAsia="en-GB"/>
              </w:rPr>
            </w:pPr>
            <w:r w:rsidRPr="007D0AA8">
              <w:rPr>
                <w:rFonts w:ascii="Arial Narrow" w:hAnsi="Arial Narrow" w:cs="Arial"/>
                <w:i/>
                <w:sz w:val="20"/>
                <w:szCs w:val="20"/>
                <w:lang w:val="en-GB" w:eastAsia="en-GB"/>
              </w:rPr>
              <w:t>0.15</w:t>
            </w:r>
          </w:p>
        </w:tc>
        <w:tc>
          <w:tcPr>
            <w:tcW w:w="1099" w:type="pct"/>
            <w:tcBorders>
              <w:bottom w:val="single" w:sz="4" w:space="0" w:color="auto"/>
            </w:tcBorders>
            <w:shd w:val="clear" w:color="auto" w:fill="auto"/>
            <w:noWrap/>
            <w:vAlign w:val="center"/>
          </w:tcPr>
          <w:p w14:paraId="17C3C709" w14:textId="77777777" w:rsidR="000A68D7" w:rsidRPr="007D0AA8" w:rsidRDefault="000A68D7" w:rsidP="001A2B6F">
            <w:pPr>
              <w:spacing w:after="0" w:line="240" w:lineRule="auto"/>
              <w:jc w:val="right"/>
              <w:rPr>
                <w:rFonts w:ascii="Arial Narrow" w:hAnsi="Arial Narrow" w:cs="Arial"/>
                <w:i/>
                <w:sz w:val="20"/>
                <w:szCs w:val="20"/>
                <w:lang w:val="en-GB" w:eastAsia="en-GB"/>
              </w:rPr>
            </w:pPr>
            <w:r w:rsidRPr="007D0AA8">
              <w:rPr>
                <w:rFonts w:ascii="Arial Narrow" w:hAnsi="Arial Narrow" w:cs="Arial"/>
                <w:i/>
                <w:sz w:val="20"/>
                <w:szCs w:val="20"/>
                <w:lang w:val="en-GB" w:eastAsia="en-GB"/>
              </w:rPr>
              <w:t>0.19</w:t>
            </w:r>
          </w:p>
        </w:tc>
        <w:tc>
          <w:tcPr>
            <w:tcW w:w="522" w:type="pct"/>
            <w:tcBorders>
              <w:top w:val="nil"/>
              <w:left w:val="nil"/>
              <w:bottom w:val="single" w:sz="4" w:space="0" w:color="auto"/>
              <w:right w:val="single" w:sz="4" w:space="0" w:color="auto"/>
            </w:tcBorders>
          </w:tcPr>
          <w:p w14:paraId="4CB75D5D" w14:textId="77777777" w:rsidR="000A68D7" w:rsidRPr="007D0AA8" w:rsidRDefault="000A68D7" w:rsidP="001A2B6F">
            <w:pPr>
              <w:spacing w:after="0" w:line="240" w:lineRule="auto"/>
              <w:jc w:val="right"/>
              <w:rPr>
                <w:rFonts w:ascii="Arial Narrow" w:hAnsi="Arial Narrow"/>
                <w:sz w:val="20"/>
                <w:szCs w:val="20"/>
              </w:rPr>
            </w:pPr>
          </w:p>
        </w:tc>
      </w:tr>
    </w:tbl>
    <w:p w14:paraId="2BA145C1" w14:textId="3DC2C5A8" w:rsidR="000A68D7" w:rsidRPr="00876F28" w:rsidRDefault="000A68D7" w:rsidP="000A68D7">
      <w:pPr>
        <w:spacing w:after="0" w:line="240" w:lineRule="auto"/>
        <w:rPr>
          <w:rFonts w:ascii="Arial Narrow" w:hAnsi="Arial Narrow" w:cstheme="minorHAnsi"/>
          <w:sz w:val="20"/>
        </w:rPr>
      </w:pPr>
      <w:r w:rsidRPr="00876F28">
        <w:rPr>
          <w:rFonts w:ascii="Arial Narrow" w:hAnsi="Arial Narrow" w:cstheme="minorHAnsi"/>
          <w:sz w:val="20"/>
        </w:rPr>
        <w:t xml:space="preserve">Notes: </w:t>
      </w:r>
      <w:r w:rsidRPr="00876F28">
        <w:rPr>
          <w:rFonts w:ascii="Arial Narrow" w:hAnsi="Arial Narrow" w:cstheme="minorHAnsi"/>
          <w:sz w:val="20"/>
          <w:u w:val="single"/>
        </w:rPr>
        <w:t>Sundin et al., 2012</w:t>
      </w:r>
      <w:r w:rsidRPr="00876F28">
        <w:rPr>
          <w:rFonts w:ascii="Arial Narrow" w:hAnsi="Arial Narrow" w:cstheme="minorHAnsi"/>
          <w:sz w:val="20"/>
        </w:rPr>
        <w:t xml:space="preserve"> – no observation period for events reported thus infection rate per patient month not derived.</w:t>
      </w:r>
      <w:r w:rsidRPr="00876F28">
        <w:rPr>
          <w:rFonts w:ascii="Arial Narrow" w:hAnsi="Arial Narrow" w:cstheme="minorHAnsi"/>
          <w:sz w:val="20"/>
        </w:rPr>
        <w:br/>
        <w:t>GP=general practitioner; IgG-RT=immunoglobulin gamma replacement therapy; LoS = length of hospital stay; n.s.=not statistically significant</w:t>
      </w:r>
    </w:p>
    <w:p w14:paraId="75A868CA" w14:textId="77777777" w:rsidR="000A68D7" w:rsidRPr="007D0AA8" w:rsidRDefault="000A68D7" w:rsidP="000A68D7"/>
    <w:p w14:paraId="58C8FEAC" w14:textId="48F3BF78" w:rsidR="000A68D7" w:rsidRPr="00386411" w:rsidRDefault="000A68D7" w:rsidP="00B52A4F">
      <w:pPr>
        <w:pStyle w:val="Caption"/>
        <w:keepNext/>
        <w:keepLines/>
        <w:rPr>
          <w:rFonts w:cs="Arial"/>
          <w:snapToGrid w:val="0"/>
          <w:szCs w:val="16"/>
          <w:lang w:eastAsia="en-US"/>
        </w:rPr>
      </w:pPr>
      <w:bookmarkStart w:id="791" w:name="_Toc14429633"/>
      <w:bookmarkStart w:id="792" w:name="_Toc16671691"/>
      <w:r w:rsidRPr="00386411">
        <w:t xml:space="preserve">Table </w:t>
      </w:r>
      <w:r w:rsidRPr="00386411">
        <w:rPr>
          <w:noProof/>
        </w:rPr>
        <w:fldChar w:fldCharType="begin"/>
      </w:r>
      <w:r w:rsidRPr="00386411">
        <w:rPr>
          <w:noProof/>
        </w:rPr>
        <w:instrText xml:space="preserve"> SEQ Table \* ARABIC </w:instrText>
      </w:r>
      <w:r w:rsidRPr="00386411">
        <w:rPr>
          <w:noProof/>
        </w:rPr>
        <w:fldChar w:fldCharType="separate"/>
      </w:r>
      <w:r w:rsidR="00A7463B">
        <w:rPr>
          <w:noProof/>
        </w:rPr>
        <w:t>93</w:t>
      </w:r>
      <w:r w:rsidRPr="00386411">
        <w:rPr>
          <w:noProof/>
        </w:rPr>
        <w:fldChar w:fldCharType="end"/>
      </w:r>
      <w:r w:rsidRPr="00386411">
        <w:tab/>
      </w:r>
      <w:r w:rsidRPr="00386411">
        <w:rPr>
          <w:rFonts w:cs="Arial"/>
          <w:snapToGrid w:val="0"/>
          <w:szCs w:val="16"/>
          <w:lang w:eastAsia="en-US"/>
        </w:rPr>
        <w:t>S</w:t>
      </w:r>
      <w:r>
        <w:rPr>
          <w:rFonts w:cs="Arial"/>
          <w:snapToGrid w:val="0"/>
          <w:szCs w:val="16"/>
          <w:lang w:eastAsia="en-US"/>
        </w:rPr>
        <w:t>upportive s</w:t>
      </w:r>
      <w:r w:rsidRPr="00386411">
        <w:rPr>
          <w:rFonts w:cs="Arial"/>
          <w:snapToGrid w:val="0"/>
          <w:szCs w:val="16"/>
          <w:lang w:eastAsia="en-US"/>
        </w:rPr>
        <w:t>tudies comparing infections outcomes between dose levels</w:t>
      </w:r>
      <w:bookmarkEnd w:id="791"/>
      <w:bookmarkEnd w:id="792"/>
    </w:p>
    <w:tbl>
      <w:tblPr>
        <w:tblW w:w="5000" w:type="pct"/>
        <w:jc w:val="center"/>
        <w:tblLook w:val="04A0" w:firstRow="1" w:lastRow="0" w:firstColumn="1" w:lastColumn="0" w:noHBand="0" w:noVBand="1"/>
      </w:tblPr>
      <w:tblGrid>
        <w:gridCol w:w="1223"/>
        <w:gridCol w:w="2615"/>
        <w:gridCol w:w="1937"/>
        <w:gridCol w:w="2081"/>
        <w:gridCol w:w="1386"/>
      </w:tblGrid>
      <w:tr w:rsidR="00402B1A" w:rsidRPr="00386411" w14:paraId="704AE5E9" w14:textId="77777777" w:rsidTr="00B52A4F">
        <w:trPr>
          <w:jc w:val="center"/>
        </w:trPr>
        <w:tc>
          <w:tcPr>
            <w:tcW w:w="6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551B4A" w14:textId="2362917E" w:rsidR="00402B1A" w:rsidRPr="00386411" w:rsidRDefault="00402B1A" w:rsidP="00B52A4F">
            <w:pPr>
              <w:keepNext/>
              <w:keepLines/>
              <w:spacing w:after="0" w:line="240" w:lineRule="auto"/>
              <w:rPr>
                <w:rFonts w:ascii="Arial Narrow" w:hAnsi="Arial Narrow"/>
                <w:b/>
                <w:snapToGrid w:val="0"/>
                <w:sz w:val="20"/>
              </w:rPr>
            </w:pPr>
            <w:r w:rsidRPr="00386411">
              <w:rPr>
                <w:rFonts w:ascii="Arial Narrow" w:hAnsi="Arial Narrow" w:cs="Calibri"/>
                <w:b/>
                <w:color w:val="000000"/>
                <w:sz w:val="20"/>
                <w:szCs w:val="20"/>
              </w:rPr>
              <w:t>Study, Indication</w:t>
            </w:r>
          </w:p>
        </w:tc>
        <w:tc>
          <w:tcPr>
            <w:tcW w:w="14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04B5FC" w14:textId="17744CD1" w:rsidR="00402B1A" w:rsidRPr="00386411" w:rsidRDefault="00402B1A" w:rsidP="00B52A4F">
            <w:pPr>
              <w:keepNext/>
              <w:keepLines/>
              <w:spacing w:after="0" w:line="240" w:lineRule="auto"/>
              <w:rPr>
                <w:rFonts w:ascii="Arial Narrow" w:hAnsi="Arial Narrow"/>
                <w:b/>
                <w:sz w:val="20"/>
              </w:rPr>
            </w:pPr>
            <w:r w:rsidRPr="00386411">
              <w:rPr>
                <w:rFonts w:ascii="Arial Narrow" w:hAnsi="Arial Narrow" w:cs="Arial"/>
                <w:b/>
                <w:sz w:val="20"/>
                <w:szCs w:val="20"/>
                <w:lang w:val="en-GB" w:eastAsia="en-GB"/>
              </w:rPr>
              <w:t>Outcome</w:t>
            </w:r>
          </w:p>
        </w:tc>
        <w:tc>
          <w:tcPr>
            <w:tcW w:w="1048" w:type="pct"/>
            <w:tcBorders>
              <w:top w:val="single" w:sz="4" w:space="0" w:color="auto"/>
              <w:left w:val="single" w:sz="4" w:space="0" w:color="auto"/>
              <w:bottom w:val="single" w:sz="4" w:space="0" w:color="auto"/>
              <w:right w:val="nil"/>
            </w:tcBorders>
            <w:shd w:val="clear" w:color="auto" w:fill="D9D9D9" w:themeFill="background1" w:themeFillShade="D9"/>
            <w:noWrap/>
            <w:vAlign w:val="center"/>
          </w:tcPr>
          <w:p w14:paraId="20C63EB2" w14:textId="63B3B0AF" w:rsidR="00402B1A" w:rsidRPr="00386411" w:rsidRDefault="00402B1A" w:rsidP="00B52A4F">
            <w:pPr>
              <w:keepNext/>
              <w:keepLines/>
              <w:spacing w:after="0" w:line="240" w:lineRule="auto"/>
              <w:jc w:val="center"/>
              <w:rPr>
                <w:rFonts w:ascii="Arial Narrow" w:hAnsi="Arial Narrow"/>
                <w:b/>
                <w:sz w:val="20"/>
              </w:rPr>
            </w:pPr>
            <w:r w:rsidRPr="00386411">
              <w:rPr>
                <w:rFonts w:ascii="Arial Narrow" w:hAnsi="Arial Narrow" w:cs="Arial"/>
                <w:b/>
                <w:bCs/>
                <w:sz w:val="20"/>
                <w:szCs w:val="20"/>
                <w:lang w:val="en-GB" w:eastAsia="en-GB"/>
              </w:rPr>
              <w:t>Intervention 1</w:t>
            </w:r>
          </w:p>
        </w:tc>
        <w:tc>
          <w:tcPr>
            <w:tcW w:w="1126" w:type="pct"/>
            <w:tcBorders>
              <w:top w:val="single" w:sz="4" w:space="0" w:color="auto"/>
              <w:left w:val="nil"/>
              <w:bottom w:val="single" w:sz="4" w:space="0" w:color="auto"/>
              <w:right w:val="nil"/>
            </w:tcBorders>
            <w:shd w:val="clear" w:color="auto" w:fill="D9D9D9" w:themeFill="background1" w:themeFillShade="D9"/>
            <w:noWrap/>
            <w:vAlign w:val="center"/>
          </w:tcPr>
          <w:p w14:paraId="705FE457" w14:textId="7F8E23B4" w:rsidR="00402B1A" w:rsidRPr="00386411" w:rsidRDefault="00402B1A" w:rsidP="00B52A4F">
            <w:pPr>
              <w:keepNext/>
              <w:keepLines/>
              <w:spacing w:after="0" w:line="240" w:lineRule="auto"/>
              <w:jc w:val="center"/>
              <w:rPr>
                <w:rFonts w:ascii="Arial Narrow" w:hAnsi="Arial Narrow"/>
                <w:b/>
                <w:sz w:val="20"/>
              </w:rPr>
            </w:pPr>
            <w:r w:rsidRPr="00386411">
              <w:rPr>
                <w:rFonts w:ascii="Arial Narrow" w:hAnsi="Arial Narrow" w:cs="Arial"/>
                <w:b/>
                <w:bCs/>
                <w:sz w:val="20"/>
                <w:szCs w:val="20"/>
                <w:lang w:val="en-GB" w:eastAsia="en-GB"/>
              </w:rPr>
              <w:t>Intervention 2</w:t>
            </w:r>
          </w:p>
        </w:tc>
        <w:tc>
          <w:tcPr>
            <w:tcW w:w="750"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9C7C7DB" w14:textId="0FF5C02B" w:rsidR="00402B1A" w:rsidRPr="00386411" w:rsidRDefault="00402B1A" w:rsidP="00B52A4F">
            <w:pPr>
              <w:keepNext/>
              <w:keepLines/>
              <w:spacing w:after="0" w:line="240" w:lineRule="auto"/>
              <w:jc w:val="right"/>
              <w:rPr>
                <w:rFonts w:ascii="Arial Narrow" w:hAnsi="Arial Narrow"/>
                <w:b/>
                <w:sz w:val="20"/>
              </w:rPr>
            </w:pPr>
            <w:r w:rsidRPr="00386411">
              <w:rPr>
                <w:rFonts w:ascii="Arial Narrow" w:hAnsi="Arial Narrow"/>
                <w:b/>
                <w:sz w:val="20"/>
                <w:szCs w:val="20"/>
              </w:rPr>
              <w:t>Comparison</w:t>
            </w:r>
          </w:p>
        </w:tc>
      </w:tr>
      <w:tr w:rsidR="00402B1A" w:rsidRPr="00386411" w14:paraId="1C4BDD29" w14:textId="77777777" w:rsidTr="00B52A4F">
        <w:trPr>
          <w:jc w:val="center"/>
        </w:trPr>
        <w:tc>
          <w:tcPr>
            <w:tcW w:w="6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DEFEE7" w14:textId="77777777" w:rsidR="00402B1A" w:rsidRPr="00386411" w:rsidRDefault="00402B1A" w:rsidP="00B52A4F">
            <w:pPr>
              <w:keepNext/>
              <w:keepLines/>
              <w:spacing w:after="0" w:line="240" w:lineRule="auto"/>
              <w:rPr>
                <w:rFonts w:ascii="Arial Narrow" w:hAnsi="Arial Narrow" w:cs="Calibri"/>
                <w:b/>
                <w:color w:val="000000"/>
                <w:sz w:val="20"/>
                <w:szCs w:val="20"/>
              </w:rPr>
            </w:pPr>
            <w:r w:rsidRPr="00386411">
              <w:rPr>
                <w:rFonts w:ascii="Arial Narrow" w:hAnsi="Arial Narrow"/>
                <w:b/>
                <w:snapToGrid w:val="0"/>
                <w:sz w:val="20"/>
              </w:rPr>
              <w:t>Chapel, Dicato et al (1994)</w:t>
            </w:r>
          </w:p>
        </w:tc>
        <w:tc>
          <w:tcPr>
            <w:tcW w:w="141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E5A568" w14:textId="77777777" w:rsidR="00402B1A" w:rsidRPr="00386411" w:rsidRDefault="00402B1A" w:rsidP="00B52A4F">
            <w:pPr>
              <w:keepNext/>
              <w:keepLines/>
              <w:spacing w:after="0" w:line="240" w:lineRule="auto"/>
              <w:rPr>
                <w:rFonts w:ascii="Arial Narrow" w:hAnsi="Arial Narrow"/>
                <w:b/>
                <w:sz w:val="20"/>
              </w:rPr>
            </w:pPr>
            <w:r w:rsidRPr="00386411">
              <w:rPr>
                <w:rFonts w:ascii="Arial Narrow" w:hAnsi="Arial Narrow"/>
                <w:b/>
                <w:sz w:val="20"/>
              </w:rPr>
              <w:t>Infections overall</w:t>
            </w:r>
          </w:p>
        </w:tc>
        <w:tc>
          <w:tcPr>
            <w:tcW w:w="1048" w:type="pct"/>
            <w:tcBorders>
              <w:top w:val="single" w:sz="4" w:space="0" w:color="auto"/>
              <w:left w:val="single" w:sz="4" w:space="0" w:color="auto"/>
              <w:bottom w:val="single" w:sz="4" w:space="0" w:color="auto"/>
              <w:right w:val="nil"/>
            </w:tcBorders>
            <w:shd w:val="clear" w:color="auto" w:fill="D9D9D9" w:themeFill="background1" w:themeFillShade="D9"/>
            <w:noWrap/>
          </w:tcPr>
          <w:p w14:paraId="4F07572E" w14:textId="77777777" w:rsidR="00402B1A" w:rsidRPr="00386411" w:rsidRDefault="00402B1A" w:rsidP="00B52A4F">
            <w:pPr>
              <w:keepNext/>
              <w:keepLines/>
              <w:spacing w:after="0" w:line="240" w:lineRule="auto"/>
              <w:jc w:val="center"/>
              <w:rPr>
                <w:rFonts w:ascii="Arial Narrow" w:hAnsi="Arial Narrow"/>
                <w:b/>
                <w:sz w:val="20"/>
              </w:rPr>
            </w:pPr>
            <w:r w:rsidRPr="00386411">
              <w:rPr>
                <w:rFonts w:ascii="Arial Narrow" w:hAnsi="Arial Narrow"/>
                <w:b/>
                <w:sz w:val="20"/>
              </w:rPr>
              <w:t>High dose</w:t>
            </w:r>
            <w:r w:rsidRPr="00386411">
              <w:rPr>
                <w:rFonts w:ascii="Arial Narrow" w:hAnsi="Arial Narrow"/>
                <w:b/>
                <w:sz w:val="20"/>
              </w:rPr>
              <w:br/>
              <w:t>IVIg 500mg/kg</w:t>
            </w:r>
            <w:r w:rsidRPr="00386411">
              <w:rPr>
                <w:rFonts w:ascii="Arial Narrow" w:hAnsi="Arial Narrow"/>
                <w:b/>
                <w:sz w:val="20"/>
              </w:rPr>
              <w:br/>
              <w:t>(n=16)</w:t>
            </w:r>
          </w:p>
        </w:tc>
        <w:tc>
          <w:tcPr>
            <w:tcW w:w="1126" w:type="pct"/>
            <w:tcBorders>
              <w:top w:val="single" w:sz="4" w:space="0" w:color="auto"/>
              <w:left w:val="nil"/>
              <w:bottom w:val="single" w:sz="4" w:space="0" w:color="auto"/>
              <w:right w:val="nil"/>
            </w:tcBorders>
            <w:shd w:val="clear" w:color="auto" w:fill="D9D9D9" w:themeFill="background1" w:themeFillShade="D9"/>
            <w:noWrap/>
          </w:tcPr>
          <w:p w14:paraId="67A855BA" w14:textId="77777777" w:rsidR="00402B1A" w:rsidRPr="00386411" w:rsidRDefault="00402B1A" w:rsidP="00B52A4F">
            <w:pPr>
              <w:keepNext/>
              <w:keepLines/>
              <w:spacing w:after="0" w:line="240" w:lineRule="auto"/>
              <w:jc w:val="center"/>
              <w:rPr>
                <w:rFonts w:ascii="Arial Narrow" w:hAnsi="Arial Narrow"/>
                <w:b/>
                <w:sz w:val="20"/>
              </w:rPr>
            </w:pPr>
            <w:r w:rsidRPr="00386411">
              <w:rPr>
                <w:rFonts w:ascii="Arial Narrow" w:hAnsi="Arial Narrow"/>
                <w:b/>
                <w:sz w:val="20"/>
              </w:rPr>
              <w:t>Low dose</w:t>
            </w:r>
            <w:r w:rsidRPr="00386411">
              <w:rPr>
                <w:rFonts w:ascii="Arial Narrow" w:hAnsi="Arial Narrow"/>
                <w:b/>
                <w:sz w:val="20"/>
              </w:rPr>
              <w:br/>
              <w:t>IVIg 250 mg/kg</w:t>
            </w:r>
            <w:r w:rsidRPr="00386411">
              <w:rPr>
                <w:rFonts w:ascii="Arial Narrow" w:hAnsi="Arial Narrow"/>
                <w:b/>
                <w:sz w:val="20"/>
              </w:rPr>
              <w:br/>
              <w:t>(n=18)</w:t>
            </w:r>
          </w:p>
        </w:tc>
        <w:tc>
          <w:tcPr>
            <w:tcW w:w="750" w:type="pct"/>
            <w:tcBorders>
              <w:top w:val="single" w:sz="4" w:space="0" w:color="auto"/>
              <w:left w:val="nil"/>
              <w:bottom w:val="single" w:sz="4" w:space="0" w:color="auto"/>
              <w:right w:val="single" w:sz="4" w:space="0" w:color="auto"/>
            </w:tcBorders>
            <w:shd w:val="clear" w:color="auto" w:fill="D9D9D9" w:themeFill="background1" w:themeFillShade="D9"/>
          </w:tcPr>
          <w:p w14:paraId="3FEDAE7E" w14:textId="1C7A03F0" w:rsidR="00402B1A" w:rsidRPr="00386411" w:rsidRDefault="00402B1A" w:rsidP="00B52A4F">
            <w:pPr>
              <w:keepNext/>
              <w:keepLines/>
              <w:spacing w:after="0" w:line="240" w:lineRule="auto"/>
              <w:jc w:val="right"/>
              <w:rPr>
                <w:rFonts w:ascii="Arial Narrow" w:hAnsi="Arial Narrow"/>
                <w:b/>
                <w:sz w:val="20"/>
              </w:rPr>
            </w:pPr>
            <w:r>
              <w:rPr>
                <w:rFonts w:ascii="Arial Narrow" w:hAnsi="Arial Narrow"/>
                <w:b/>
                <w:sz w:val="20"/>
              </w:rPr>
              <w:t>p-value</w:t>
            </w:r>
          </w:p>
        </w:tc>
      </w:tr>
      <w:tr w:rsidR="00402B1A" w:rsidRPr="007D0AA8" w14:paraId="04FD467D" w14:textId="77777777" w:rsidTr="00B52A4F">
        <w:trPr>
          <w:jc w:val="center"/>
        </w:trPr>
        <w:tc>
          <w:tcPr>
            <w:tcW w:w="661" w:type="pct"/>
            <w:tcBorders>
              <w:top w:val="single" w:sz="4" w:space="0" w:color="auto"/>
              <w:left w:val="single" w:sz="4" w:space="0" w:color="auto"/>
              <w:bottom w:val="nil"/>
              <w:right w:val="single" w:sz="4" w:space="0" w:color="auto"/>
            </w:tcBorders>
          </w:tcPr>
          <w:p w14:paraId="25702904" w14:textId="77777777" w:rsidR="00402B1A" w:rsidRPr="007D0AA8" w:rsidRDefault="00402B1A" w:rsidP="00B52A4F">
            <w:pPr>
              <w:keepNext/>
              <w:keepLines/>
              <w:spacing w:after="0" w:line="240" w:lineRule="auto"/>
              <w:rPr>
                <w:rFonts w:ascii="Arial Narrow" w:hAnsi="Arial Narrow"/>
                <w:snapToGrid w:val="0"/>
                <w:sz w:val="20"/>
              </w:rPr>
            </w:pPr>
            <w:r w:rsidRPr="007D0AA8">
              <w:rPr>
                <w:rFonts w:ascii="Arial Narrow" w:hAnsi="Arial Narrow"/>
                <w:snapToGrid w:val="0"/>
                <w:sz w:val="20"/>
              </w:rPr>
              <w:t>CLL (N=34)</w:t>
            </w:r>
          </w:p>
        </w:tc>
        <w:tc>
          <w:tcPr>
            <w:tcW w:w="1415" w:type="pct"/>
            <w:tcBorders>
              <w:top w:val="single" w:sz="4" w:space="0" w:color="auto"/>
              <w:left w:val="single" w:sz="4" w:space="0" w:color="auto"/>
              <w:bottom w:val="nil"/>
              <w:right w:val="single" w:sz="4" w:space="0" w:color="auto"/>
            </w:tcBorders>
            <w:shd w:val="clear" w:color="auto" w:fill="auto"/>
          </w:tcPr>
          <w:p w14:paraId="5AE23DFE" w14:textId="77777777" w:rsidR="00402B1A" w:rsidRPr="007D0AA8" w:rsidRDefault="00402B1A" w:rsidP="00B52A4F">
            <w:pPr>
              <w:keepNext/>
              <w:keepLines/>
              <w:spacing w:after="0" w:line="240" w:lineRule="auto"/>
              <w:rPr>
                <w:rFonts w:ascii="Arial Narrow" w:hAnsi="Arial Narrow"/>
                <w:sz w:val="20"/>
              </w:rPr>
            </w:pPr>
            <w:r w:rsidRPr="007D0AA8">
              <w:rPr>
                <w:rFonts w:ascii="Arial Narrow" w:hAnsi="Arial Narrow"/>
                <w:sz w:val="20"/>
              </w:rPr>
              <w:t>Patient months</w:t>
            </w:r>
            <w:r w:rsidRPr="007D0AA8">
              <w:rPr>
                <w:rFonts w:ascii="Arial Narrow" w:hAnsi="Arial Narrow"/>
                <w:sz w:val="20"/>
              </w:rPr>
              <w:br/>
            </w:r>
            <w:r w:rsidRPr="007D0AA8">
              <w:rPr>
                <w:rFonts w:ascii="Arial Narrow" w:hAnsi="Arial Narrow"/>
                <w:i/>
                <w:sz w:val="20"/>
              </w:rPr>
              <w:t>patient years</w:t>
            </w:r>
          </w:p>
        </w:tc>
        <w:tc>
          <w:tcPr>
            <w:tcW w:w="1048" w:type="pct"/>
            <w:tcBorders>
              <w:top w:val="single" w:sz="4" w:space="0" w:color="auto"/>
              <w:left w:val="single" w:sz="4" w:space="0" w:color="auto"/>
              <w:bottom w:val="nil"/>
              <w:right w:val="nil"/>
            </w:tcBorders>
            <w:shd w:val="clear" w:color="auto" w:fill="auto"/>
            <w:noWrap/>
          </w:tcPr>
          <w:p w14:paraId="34711450" w14:textId="77777777" w:rsidR="00402B1A" w:rsidRPr="007D0AA8" w:rsidRDefault="00402B1A" w:rsidP="00B52A4F">
            <w:pPr>
              <w:keepNext/>
              <w:keepLines/>
              <w:spacing w:after="0" w:line="240" w:lineRule="auto"/>
              <w:jc w:val="right"/>
              <w:rPr>
                <w:rFonts w:ascii="Arial Narrow" w:hAnsi="Arial Narrow"/>
                <w:sz w:val="20"/>
              </w:rPr>
            </w:pPr>
            <w:r w:rsidRPr="007D0AA8">
              <w:rPr>
                <w:rFonts w:ascii="Arial Narrow" w:hAnsi="Arial Narrow"/>
                <w:sz w:val="20"/>
              </w:rPr>
              <w:t>180</w:t>
            </w:r>
            <w:r w:rsidRPr="007D0AA8">
              <w:rPr>
                <w:rFonts w:ascii="Arial Narrow" w:hAnsi="Arial Narrow"/>
                <w:sz w:val="20"/>
              </w:rPr>
              <w:br/>
            </w:r>
            <w:r w:rsidRPr="007D0AA8">
              <w:rPr>
                <w:rFonts w:ascii="Arial Narrow" w:hAnsi="Arial Narrow"/>
                <w:i/>
                <w:sz w:val="20"/>
              </w:rPr>
              <w:t>15</w:t>
            </w:r>
          </w:p>
        </w:tc>
        <w:tc>
          <w:tcPr>
            <w:tcW w:w="1126" w:type="pct"/>
            <w:tcBorders>
              <w:top w:val="single" w:sz="4" w:space="0" w:color="auto"/>
              <w:left w:val="nil"/>
              <w:bottom w:val="nil"/>
              <w:right w:val="nil"/>
            </w:tcBorders>
            <w:shd w:val="clear" w:color="auto" w:fill="auto"/>
            <w:noWrap/>
          </w:tcPr>
          <w:p w14:paraId="71250F23" w14:textId="77777777" w:rsidR="00402B1A" w:rsidRPr="007D0AA8" w:rsidRDefault="00402B1A" w:rsidP="00B52A4F">
            <w:pPr>
              <w:keepNext/>
              <w:keepLines/>
              <w:spacing w:after="0" w:line="240" w:lineRule="auto"/>
              <w:jc w:val="right"/>
              <w:rPr>
                <w:rFonts w:ascii="Arial Narrow" w:hAnsi="Arial Narrow"/>
                <w:sz w:val="20"/>
              </w:rPr>
            </w:pPr>
            <w:r w:rsidRPr="007D0AA8">
              <w:rPr>
                <w:rFonts w:ascii="Arial Narrow" w:hAnsi="Arial Narrow"/>
                <w:sz w:val="20"/>
              </w:rPr>
              <w:t>198</w:t>
            </w:r>
            <w:r w:rsidRPr="007D0AA8">
              <w:rPr>
                <w:rFonts w:ascii="Arial Narrow" w:hAnsi="Arial Narrow"/>
                <w:sz w:val="20"/>
              </w:rPr>
              <w:br/>
            </w:r>
            <w:r w:rsidRPr="007D0AA8">
              <w:rPr>
                <w:rFonts w:ascii="Arial Narrow" w:hAnsi="Arial Narrow"/>
                <w:i/>
                <w:sz w:val="20"/>
              </w:rPr>
              <w:t>16.5</w:t>
            </w:r>
          </w:p>
        </w:tc>
        <w:tc>
          <w:tcPr>
            <w:tcW w:w="750" w:type="pct"/>
            <w:tcBorders>
              <w:top w:val="single" w:sz="4" w:space="0" w:color="auto"/>
              <w:left w:val="nil"/>
              <w:bottom w:val="nil"/>
              <w:right w:val="single" w:sz="4" w:space="0" w:color="auto"/>
            </w:tcBorders>
          </w:tcPr>
          <w:p w14:paraId="35C295E5" w14:textId="77777777" w:rsidR="00402B1A" w:rsidRPr="007D0AA8" w:rsidRDefault="00402B1A" w:rsidP="00B52A4F">
            <w:pPr>
              <w:keepNext/>
              <w:keepLines/>
              <w:spacing w:after="0" w:line="240" w:lineRule="auto"/>
              <w:jc w:val="right"/>
              <w:rPr>
                <w:rFonts w:ascii="Arial Narrow" w:hAnsi="Arial Narrow"/>
                <w:sz w:val="20"/>
              </w:rPr>
            </w:pPr>
          </w:p>
        </w:tc>
      </w:tr>
      <w:tr w:rsidR="00402B1A" w:rsidRPr="007D0AA8" w14:paraId="427E6999" w14:textId="77777777" w:rsidTr="00B52A4F">
        <w:trPr>
          <w:jc w:val="center"/>
        </w:trPr>
        <w:tc>
          <w:tcPr>
            <w:tcW w:w="661" w:type="pct"/>
            <w:tcBorders>
              <w:top w:val="nil"/>
              <w:left w:val="single" w:sz="4" w:space="0" w:color="auto"/>
              <w:bottom w:val="nil"/>
              <w:right w:val="single" w:sz="4" w:space="0" w:color="auto"/>
            </w:tcBorders>
          </w:tcPr>
          <w:p w14:paraId="0385EA27" w14:textId="77777777" w:rsidR="00402B1A" w:rsidRPr="007D0AA8" w:rsidRDefault="00402B1A" w:rsidP="00402B1A">
            <w:pPr>
              <w:spacing w:after="0" w:line="240" w:lineRule="auto"/>
              <w:rPr>
                <w:rFonts w:ascii="Arial Narrow" w:hAnsi="Arial Narrow"/>
                <w:snapToGrid w:val="0"/>
                <w:sz w:val="20"/>
              </w:rPr>
            </w:pPr>
          </w:p>
        </w:tc>
        <w:tc>
          <w:tcPr>
            <w:tcW w:w="1415" w:type="pct"/>
            <w:tcBorders>
              <w:top w:val="nil"/>
              <w:left w:val="single" w:sz="4" w:space="0" w:color="auto"/>
              <w:bottom w:val="nil"/>
              <w:right w:val="single" w:sz="4" w:space="0" w:color="auto"/>
            </w:tcBorders>
            <w:shd w:val="clear" w:color="auto" w:fill="auto"/>
          </w:tcPr>
          <w:p w14:paraId="43748B3F" w14:textId="77777777" w:rsidR="00402B1A" w:rsidRPr="007D0AA8" w:rsidRDefault="00402B1A" w:rsidP="00402B1A">
            <w:pPr>
              <w:spacing w:after="0" w:line="240" w:lineRule="auto"/>
              <w:rPr>
                <w:rFonts w:ascii="Arial Narrow" w:hAnsi="Arial Narrow"/>
                <w:sz w:val="20"/>
              </w:rPr>
            </w:pPr>
            <w:r w:rsidRPr="007D0AA8">
              <w:rPr>
                <w:rFonts w:ascii="Arial Narrow" w:hAnsi="Arial Narrow"/>
                <w:sz w:val="20"/>
              </w:rPr>
              <w:t>Total infections</w:t>
            </w:r>
          </w:p>
        </w:tc>
        <w:tc>
          <w:tcPr>
            <w:tcW w:w="1048" w:type="pct"/>
            <w:tcBorders>
              <w:top w:val="nil"/>
              <w:left w:val="single" w:sz="4" w:space="0" w:color="auto"/>
              <w:bottom w:val="nil"/>
              <w:right w:val="nil"/>
            </w:tcBorders>
            <w:shd w:val="clear" w:color="auto" w:fill="auto"/>
            <w:noWrap/>
          </w:tcPr>
          <w:p w14:paraId="690EC8C0" w14:textId="77777777" w:rsidR="00402B1A" w:rsidRPr="007D0AA8" w:rsidRDefault="00402B1A" w:rsidP="00402B1A">
            <w:pPr>
              <w:spacing w:after="0" w:line="240" w:lineRule="auto"/>
              <w:jc w:val="right"/>
              <w:rPr>
                <w:rFonts w:ascii="Arial Narrow" w:hAnsi="Arial Narrow"/>
                <w:sz w:val="20"/>
              </w:rPr>
            </w:pPr>
            <w:r w:rsidRPr="007D0AA8">
              <w:rPr>
                <w:rFonts w:ascii="Arial Narrow" w:hAnsi="Arial Narrow"/>
                <w:sz w:val="20"/>
              </w:rPr>
              <w:t>23 episodes</w:t>
            </w:r>
          </w:p>
        </w:tc>
        <w:tc>
          <w:tcPr>
            <w:tcW w:w="1126" w:type="pct"/>
            <w:tcBorders>
              <w:top w:val="nil"/>
              <w:left w:val="nil"/>
              <w:bottom w:val="nil"/>
              <w:right w:val="nil"/>
            </w:tcBorders>
            <w:shd w:val="clear" w:color="auto" w:fill="auto"/>
            <w:noWrap/>
          </w:tcPr>
          <w:p w14:paraId="773857EC" w14:textId="77777777" w:rsidR="00402B1A" w:rsidRPr="007D0AA8" w:rsidRDefault="00402B1A" w:rsidP="00402B1A">
            <w:pPr>
              <w:spacing w:after="0" w:line="240" w:lineRule="auto"/>
              <w:jc w:val="right"/>
              <w:rPr>
                <w:rFonts w:ascii="Arial Narrow" w:hAnsi="Arial Narrow"/>
                <w:sz w:val="20"/>
              </w:rPr>
            </w:pPr>
            <w:r w:rsidRPr="007D0AA8">
              <w:rPr>
                <w:rFonts w:ascii="Arial Narrow" w:hAnsi="Arial Narrow"/>
                <w:sz w:val="20"/>
              </w:rPr>
              <w:t>22 episodes</w:t>
            </w:r>
          </w:p>
        </w:tc>
        <w:tc>
          <w:tcPr>
            <w:tcW w:w="750" w:type="pct"/>
            <w:tcBorders>
              <w:top w:val="nil"/>
              <w:left w:val="nil"/>
              <w:bottom w:val="nil"/>
              <w:right w:val="single" w:sz="4" w:space="0" w:color="auto"/>
            </w:tcBorders>
          </w:tcPr>
          <w:p w14:paraId="4791E156" w14:textId="77777777" w:rsidR="00402B1A" w:rsidRPr="007D0AA8" w:rsidRDefault="00402B1A" w:rsidP="00402B1A">
            <w:pPr>
              <w:spacing w:after="0" w:line="240" w:lineRule="auto"/>
              <w:jc w:val="right"/>
              <w:rPr>
                <w:rFonts w:ascii="Arial Narrow" w:hAnsi="Arial Narrow"/>
                <w:sz w:val="20"/>
              </w:rPr>
            </w:pPr>
            <w:r w:rsidRPr="007D0AA8">
              <w:rPr>
                <w:rFonts w:ascii="Arial Narrow" w:hAnsi="Arial Narrow"/>
                <w:sz w:val="20"/>
              </w:rPr>
              <w:t>p=0.64</w:t>
            </w:r>
          </w:p>
        </w:tc>
      </w:tr>
      <w:tr w:rsidR="00402B1A" w:rsidRPr="007D0AA8" w14:paraId="5071E251" w14:textId="77777777" w:rsidTr="00B52A4F">
        <w:trPr>
          <w:jc w:val="center"/>
        </w:trPr>
        <w:tc>
          <w:tcPr>
            <w:tcW w:w="661" w:type="pct"/>
            <w:tcBorders>
              <w:top w:val="nil"/>
              <w:left w:val="single" w:sz="4" w:space="0" w:color="auto"/>
              <w:bottom w:val="nil"/>
              <w:right w:val="single" w:sz="4" w:space="0" w:color="auto"/>
            </w:tcBorders>
          </w:tcPr>
          <w:p w14:paraId="06A5E5C2" w14:textId="77777777" w:rsidR="00402B1A" w:rsidRPr="007D0AA8" w:rsidRDefault="00402B1A" w:rsidP="00402B1A">
            <w:pPr>
              <w:spacing w:after="0" w:line="240" w:lineRule="auto"/>
              <w:rPr>
                <w:rFonts w:ascii="Arial Narrow" w:hAnsi="Arial Narrow"/>
                <w:snapToGrid w:val="0"/>
                <w:sz w:val="20"/>
              </w:rPr>
            </w:pPr>
          </w:p>
        </w:tc>
        <w:tc>
          <w:tcPr>
            <w:tcW w:w="1415" w:type="pct"/>
            <w:tcBorders>
              <w:top w:val="nil"/>
              <w:left w:val="single" w:sz="4" w:space="0" w:color="auto"/>
              <w:bottom w:val="nil"/>
              <w:right w:val="single" w:sz="4" w:space="0" w:color="auto"/>
            </w:tcBorders>
            <w:shd w:val="clear" w:color="auto" w:fill="auto"/>
          </w:tcPr>
          <w:p w14:paraId="256BE86B" w14:textId="77777777" w:rsidR="00402B1A" w:rsidRPr="007D0AA8" w:rsidRDefault="00402B1A" w:rsidP="00402B1A">
            <w:pPr>
              <w:spacing w:after="0" w:line="240" w:lineRule="auto"/>
              <w:rPr>
                <w:rFonts w:ascii="Arial Narrow" w:hAnsi="Arial Narrow"/>
                <w:sz w:val="20"/>
              </w:rPr>
            </w:pPr>
            <w:r w:rsidRPr="007D0AA8">
              <w:rPr>
                <w:rFonts w:ascii="Arial Narrow" w:hAnsi="Arial Narrow"/>
                <w:sz w:val="20"/>
              </w:rPr>
              <w:t>Serious infections</w:t>
            </w:r>
          </w:p>
        </w:tc>
        <w:tc>
          <w:tcPr>
            <w:tcW w:w="1048" w:type="pct"/>
            <w:tcBorders>
              <w:top w:val="nil"/>
              <w:left w:val="single" w:sz="4" w:space="0" w:color="auto"/>
              <w:bottom w:val="nil"/>
              <w:right w:val="nil"/>
            </w:tcBorders>
            <w:shd w:val="clear" w:color="auto" w:fill="auto"/>
            <w:noWrap/>
          </w:tcPr>
          <w:p w14:paraId="37C01967" w14:textId="77777777" w:rsidR="00402B1A" w:rsidRPr="007D0AA8" w:rsidRDefault="00402B1A" w:rsidP="00402B1A">
            <w:pPr>
              <w:spacing w:after="0" w:line="240" w:lineRule="auto"/>
              <w:jc w:val="right"/>
              <w:rPr>
                <w:rFonts w:ascii="Arial Narrow" w:hAnsi="Arial Narrow"/>
                <w:sz w:val="20"/>
              </w:rPr>
            </w:pPr>
          </w:p>
        </w:tc>
        <w:tc>
          <w:tcPr>
            <w:tcW w:w="1126" w:type="pct"/>
            <w:tcBorders>
              <w:top w:val="nil"/>
              <w:left w:val="nil"/>
              <w:bottom w:val="nil"/>
              <w:right w:val="nil"/>
            </w:tcBorders>
            <w:shd w:val="clear" w:color="auto" w:fill="auto"/>
            <w:noWrap/>
          </w:tcPr>
          <w:p w14:paraId="5F9B57A9" w14:textId="77777777" w:rsidR="00402B1A" w:rsidRPr="007D0AA8" w:rsidRDefault="00402B1A" w:rsidP="00402B1A">
            <w:pPr>
              <w:spacing w:after="0" w:line="240" w:lineRule="auto"/>
              <w:jc w:val="right"/>
              <w:rPr>
                <w:rFonts w:ascii="Arial Narrow" w:hAnsi="Arial Narrow"/>
                <w:sz w:val="20"/>
              </w:rPr>
            </w:pPr>
          </w:p>
        </w:tc>
        <w:tc>
          <w:tcPr>
            <w:tcW w:w="750" w:type="pct"/>
            <w:tcBorders>
              <w:top w:val="nil"/>
              <w:left w:val="nil"/>
              <w:bottom w:val="nil"/>
              <w:right w:val="single" w:sz="4" w:space="0" w:color="auto"/>
            </w:tcBorders>
          </w:tcPr>
          <w:p w14:paraId="657EE707" w14:textId="77777777" w:rsidR="00402B1A" w:rsidRPr="007D0AA8" w:rsidRDefault="00402B1A" w:rsidP="00402B1A">
            <w:pPr>
              <w:spacing w:after="0" w:line="240" w:lineRule="auto"/>
              <w:jc w:val="right"/>
              <w:rPr>
                <w:rFonts w:ascii="Arial Narrow" w:hAnsi="Arial Narrow"/>
                <w:sz w:val="20"/>
              </w:rPr>
            </w:pPr>
          </w:p>
        </w:tc>
      </w:tr>
      <w:tr w:rsidR="00402B1A" w:rsidRPr="007D0AA8" w14:paraId="0CBE3619" w14:textId="77777777" w:rsidTr="00B52A4F">
        <w:trPr>
          <w:jc w:val="center"/>
        </w:trPr>
        <w:tc>
          <w:tcPr>
            <w:tcW w:w="661" w:type="pct"/>
            <w:tcBorders>
              <w:top w:val="nil"/>
              <w:left w:val="single" w:sz="4" w:space="0" w:color="auto"/>
              <w:bottom w:val="nil"/>
              <w:right w:val="single" w:sz="4" w:space="0" w:color="auto"/>
            </w:tcBorders>
          </w:tcPr>
          <w:p w14:paraId="3C04110C" w14:textId="77777777" w:rsidR="00402B1A" w:rsidRPr="007D0AA8" w:rsidRDefault="00402B1A" w:rsidP="00402B1A">
            <w:pPr>
              <w:spacing w:after="0" w:line="240" w:lineRule="auto"/>
              <w:rPr>
                <w:rFonts w:ascii="Arial Narrow" w:hAnsi="Arial Narrow"/>
                <w:snapToGrid w:val="0"/>
                <w:sz w:val="20"/>
              </w:rPr>
            </w:pPr>
          </w:p>
        </w:tc>
        <w:tc>
          <w:tcPr>
            <w:tcW w:w="1415" w:type="pct"/>
            <w:tcBorders>
              <w:top w:val="nil"/>
              <w:left w:val="single" w:sz="4" w:space="0" w:color="auto"/>
              <w:bottom w:val="nil"/>
              <w:right w:val="single" w:sz="4" w:space="0" w:color="auto"/>
            </w:tcBorders>
            <w:shd w:val="clear" w:color="auto" w:fill="auto"/>
          </w:tcPr>
          <w:p w14:paraId="030EC81D" w14:textId="77777777" w:rsidR="00402B1A" w:rsidRPr="007D0AA8" w:rsidRDefault="00402B1A" w:rsidP="00331FB9">
            <w:pPr>
              <w:pStyle w:val="ListParagraph"/>
              <w:numPr>
                <w:ilvl w:val="0"/>
                <w:numId w:val="15"/>
              </w:numPr>
              <w:spacing w:after="0" w:line="240" w:lineRule="auto"/>
              <w:ind w:left="174" w:hanging="121"/>
              <w:rPr>
                <w:rFonts w:ascii="Arial Narrow" w:hAnsi="Arial Narrow"/>
                <w:sz w:val="20"/>
              </w:rPr>
            </w:pPr>
            <w:r w:rsidRPr="007D0AA8">
              <w:rPr>
                <w:rFonts w:ascii="Arial Narrow" w:hAnsi="Arial Narrow"/>
                <w:sz w:val="20"/>
              </w:rPr>
              <w:t>Bacterial</w:t>
            </w:r>
          </w:p>
        </w:tc>
        <w:tc>
          <w:tcPr>
            <w:tcW w:w="1048" w:type="pct"/>
            <w:tcBorders>
              <w:top w:val="nil"/>
              <w:left w:val="single" w:sz="4" w:space="0" w:color="auto"/>
              <w:bottom w:val="nil"/>
              <w:right w:val="nil"/>
            </w:tcBorders>
            <w:shd w:val="clear" w:color="auto" w:fill="auto"/>
            <w:noWrap/>
          </w:tcPr>
          <w:p w14:paraId="691FB056" w14:textId="77777777" w:rsidR="00402B1A" w:rsidRPr="007D0AA8" w:rsidRDefault="00402B1A" w:rsidP="00402B1A">
            <w:pPr>
              <w:spacing w:after="0" w:line="240" w:lineRule="auto"/>
              <w:jc w:val="right"/>
              <w:rPr>
                <w:rFonts w:ascii="Arial Narrow" w:hAnsi="Arial Narrow"/>
                <w:sz w:val="20"/>
              </w:rPr>
            </w:pPr>
            <w:r w:rsidRPr="007D0AA8">
              <w:rPr>
                <w:rFonts w:ascii="Arial Narrow" w:hAnsi="Arial Narrow"/>
                <w:sz w:val="20"/>
              </w:rPr>
              <w:t>5</w:t>
            </w:r>
          </w:p>
        </w:tc>
        <w:tc>
          <w:tcPr>
            <w:tcW w:w="1126" w:type="pct"/>
            <w:tcBorders>
              <w:top w:val="nil"/>
              <w:left w:val="nil"/>
              <w:bottom w:val="nil"/>
              <w:right w:val="nil"/>
            </w:tcBorders>
            <w:shd w:val="clear" w:color="auto" w:fill="auto"/>
            <w:noWrap/>
          </w:tcPr>
          <w:p w14:paraId="7FBCCF19" w14:textId="77777777" w:rsidR="00402B1A" w:rsidRPr="007D0AA8" w:rsidRDefault="00402B1A" w:rsidP="00402B1A">
            <w:pPr>
              <w:spacing w:after="0" w:line="240" w:lineRule="auto"/>
              <w:jc w:val="right"/>
              <w:rPr>
                <w:rFonts w:ascii="Arial Narrow" w:hAnsi="Arial Narrow"/>
                <w:sz w:val="20"/>
              </w:rPr>
            </w:pPr>
            <w:r w:rsidRPr="007D0AA8">
              <w:rPr>
                <w:rFonts w:ascii="Arial Narrow" w:hAnsi="Arial Narrow"/>
                <w:sz w:val="20"/>
              </w:rPr>
              <w:t>7</w:t>
            </w:r>
          </w:p>
        </w:tc>
        <w:tc>
          <w:tcPr>
            <w:tcW w:w="750" w:type="pct"/>
            <w:tcBorders>
              <w:top w:val="nil"/>
              <w:left w:val="nil"/>
              <w:bottom w:val="nil"/>
              <w:right w:val="single" w:sz="4" w:space="0" w:color="auto"/>
            </w:tcBorders>
          </w:tcPr>
          <w:p w14:paraId="0961EC98" w14:textId="77777777" w:rsidR="00402B1A" w:rsidRPr="007D0AA8" w:rsidRDefault="00402B1A" w:rsidP="00402B1A">
            <w:pPr>
              <w:spacing w:after="0" w:line="240" w:lineRule="auto"/>
              <w:jc w:val="right"/>
              <w:rPr>
                <w:rFonts w:ascii="Arial Narrow" w:hAnsi="Arial Narrow"/>
                <w:sz w:val="20"/>
              </w:rPr>
            </w:pPr>
          </w:p>
        </w:tc>
      </w:tr>
      <w:tr w:rsidR="00402B1A" w:rsidRPr="007D0AA8" w14:paraId="63F76599" w14:textId="77777777" w:rsidTr="00B52A4F">
        <w:trPr>
          <w:jc w:val="center"/>
        </w:trPr>
        <w:tc>
          <w:tcPr>
            <w:tcW w:w="661" w:type="pct"/>
            <w:tcBorders>
              <w:top w:val="nil"/>
              <w:left w:val="single" w:sz="4" w:space="0" w:color="auto"/>
              <w:bottom w:val="nil"/>
              <w:right w:val="single" w:sz="4" w:space="0" w:color="auto"/>
            </w:tcBorders>
          </w:tcPr>
          <w:p w14:paraId="782E1D5E" w14:textId="77777777" w:rsidR="00402B1A" w:rsidRPr="007D0AA8" w:rsidRDefault="00402B1A" w:rsidP="00402B1A">
            <w:pPr>
              <w:spacing w:after="0" w:line="240" w:lineRule="auto"/>
              <w:rPr>
                <w:rFonts w:ascii="Arial Narrow" w:hAnsi="Arial Narrow" w:cs="Calibri"/>
                <w:color w:val="000000"/>
                <w:sz w:val="20"/>
                <w:szCs w:val="20"/>
              </w:rPr>
            </w:pPr>
          </w:p>
        </w:tc>
        <w:tc>
          <w:tcPr>
            <w:tcW w:w="1415" w:type="pct"/>
            <w:tcBorders>
              <w:top w:val="nil"/>
              <w:left w:val="single" w:sz="4" w:space="0" w:color="auto"/>
              <w:bottom w:val="nil"/>
              <w:right w:val="single" w:sz="4" w:space="0" w:color="auto"/>
            </w:tcBorders>
            <w:shd w:val="clear" w:color="auto" w:fill="auto"/>
          </w:tcPr>
          <w:p w14:paraId="1C299982" w14:textId="77777777" w:rsidR="00402B1A" w:rsidRPr="007D0AA8" w:rsidRDefault="00402B1A" w:rsidP="00402B1A">
            <w:pPr>
              <w:spacing w:after="0" w:line="240" w:lineRule="auto"/>
              <w:rPr>
                <w:rFonts w:ascii="Arial Narrow" w:hAnsi="Arial Narrow"/>
                <w:sz w:val="20"/>
              </w:rPr>
            </w:pPr>
            <w:r w:rsidRPr="007D0AA8">
              <w:rPr>
                <w:rFonts w:ascii="Arial Narrow" w:hAnsi="Arial Narrow"/>
                <w:sz w:val="20"/>
              </w:rPr>
              <w:t>Serious bacterial infections (/patient year)</w:t>
            </w:r>
          </w:p>
        </w:tc>
        <w:tc>
          <w:tcPr>
            <w:tcW w:w="1048" w:type="pct"/>
            <w:tcBorders>
              <w:top w:val="nil"/>
              <w:left w:val="single" w:sz="4" w:space="0" w:color="auto"/>
              <w:bottom w:val="nil"/>
              <w:right w:val="nil"/>
            </w:tcBorders>
            <w:shd w:val="clear" w:color="auto" w:fill="auto"/>
            <w:noWrap/>
          </w:tcPr>
          <w:p w14:paraId="02F2DB89" w14:textId="77777777" w:rsidR="00402B1A" w:rsidRPr="007D0AA8" w:rsidRDefault="00402B1A" w:rsidP="00402B1A">
            <w:pPr>
              <w:spacing w:after="0" w:line="240" w:lineRule="auto"/>
              <w:jc w:val="right"/>
              <w:rPr>
                <w:rFonts w:ascii="Arial Narrow" w:hAnsi="Arial Narrow"/>
                <w:sz w:val="20"/>
              </w:rPr>
            </w:pPr>
            <w:r w:rsidRPr="007D0AA8">
              <w:rPr>
                <w:rFonts w:ascii="Arial Narrow" w:hAnsi="Arial Narrow"/>
                <w:sz w:val="20"/>
              </w:rPr>
              <w:t xml:space="preserve">0.33 </w:t>
            </w:r>
          </w:p>
        </w:tc>
        <w:tc>
          <w:tcPr>
            <w:tcW w:w="1126" w:type="pct"/>
            <w:tcBorders>
              <w:top w:val="nil"/>
              <w:left w:val="nil"/>
              <w:bottom w:val="nil"/>
              <w:right w:val="nil"/>
            </w:tcBorders>
            <w:shd w:val="clear" w:color="auto" w:fill="auto"/>
            <w:noWrap/>
          </w:tcPr>
          <w:p w14:paraId="39DCB8F0" w14:textId="77777777" w:rsidR="00402B1A" w:rsidRPr="007D0AA8" w:rsidRDefault="00402B1A" w:rsidP="00402B1A">
            <w:pPr>
              <w:spacing w:after="0" w:line="240" w:lineRule="auto"/>
              <w:jc w:val="right"/>
              <w:rPr>
                <w:rFonts w:ascii="Arial Narrow" w:hAnsi="Arial Narrow"/>
                <w:sz w:val="20"/>
              </w:rPr>
            </w:pPr>
            <w:r w:rsidRPr="007D0AA8">
              <w:rPr>
                <w:rFonts w:ascii="Arial Narrow" w:hAnsi="Arial Narrow"/>
                <w:sz w:val="20"/>
              </w:rPr>
              <w:t>0.42</w:t>
            </w:r>
          </w:p>
        </w:tc>
        <w:tc>
          <w:tcPr>
            <w:tcW w:w="750" w:type="pct"/>
            <w:tcBorders>
              <w:top w:val="nil"/>
              <w:left w:val="nil"/>
              <w:bottom w:val="nil"/>
              <w:right w:val="single" w:sz="4" w:space="0" w:color="auto"/>
            </w:tcBorders>
          </w:tcPr>
          <w:p w14:paraId="63AFA26F" w14:textId="77777777" w:rsidR="00402B1A" w:rsidRPr="007D0AA8" w:rsidRDefault="00402B1A" w:rsidP="00402B1A">
            <w:pPr>
              <w:spacing w:after="0" w:line="240" w:lineRule="auto"/>
              <w:jc w:val="right"/>
              <w:rPr>
                <w:rFonts w:ascii="Arial Narrow" w:hAnsi="Arial Narrow"/>
                <w:sz w:val="20"/>
              </w:rPr>
            </w:pPr>
            <w:r w:rsidRPr="007D0AA8">
              <w:rPr>
                <w:rFonts w:ascii="Arial Narrow" w:hAnsi="Arial Narrow"/>
                <w:sz w:val="20"/>
              </w:rPr>
              <w:t>p=0.68</w:t>
            </w:r>
          </w:p>
        </w:tc>
      </w:tr>
      <w:tr w:rsidR="00402B1A" w:rsidRPr="007D0AA8" w14:paraId="2B81322B" w14:textId="77777777" w:rsidTr="00B52A4F">
        <w:trPr>
          <w:jc w:val="center"/>
        </w:trPr>
        <w:tc>
          <w:tcPr>
            <w:tcW w:w="661" w:type="pct"/>
            <w:tcBorders>
              <w:top w:val="nil"/>
              <w:left w:val="single" w:sz="4" w:space="0" w:color="auto"/>
              <w:bottom w:val="nil"/>
              <w:right w:val="single" w:sz="4" w:space="0" w:color="auto"/>
            </w:tcBorders>
          </w:tcPr>
          <w:p w14:paraId="2501804A" w14:textId="77777777" w:rsidR="00402B1A" w:rsidRPr="007D0AA8" w:rsidRDefault="00402B1A" w:rsidP="00402B1A">
            <w:pPr>
              <w:spacing w:after="0" w:line="240" w:lineRule="auto"/>
              <w:rPr>
                <w:rFonts w:ascii="Arial Narrow" w:hAnsi="Arial Narrow" w:cs="Calibri"/>
                <w:i/>
                <w:color w:val="000000"/>
                <w:sz w:val="20"/>
                <w:szCs w:val="20"/>
              </w:rPr>
            </w:pPr>
          </w:p>
        </w:tc>
        <w:tc>
          <w:tcPr>
            <w:tcW w:w="1415" w:type="pct"/>
            <w:tcBorders>
              <w:top w:val="nil"/>
              <w:left w:val="single" w:sz="4" w:space="0" w:color="auto"/>
              <w:bottom w:val="nil"/>
              <w:right w:val="single" w:sz="4" w:space="0" w:color="auto"/>
            </w:tcBorders>
            <w:shd w:val="clear" w:color="auto" w:fill="auto"/>
          </w:tcPr>
          <w:p w14:paraId="45A36B54" w14:textId="77777777" w:rsidR="00402B1A" w:rsidRPr="007D0AA8" w:rsidRDefault="00402B1A" w:rsidP="00402B1A">
            <w:pPr>
              <w:spacing w:after="0" w:line="240" w:lineRule="auto"/>
              <w:rPr>
                <w:rFonts w:ascii="Arial Narrow" w:hAnsi="Arial Narrow"/>
                <w:i/>
                <w:sz w:val="20"/>
              </w:rPr>
            </w:pPr>
            <w:r w:rsidRPr="007D0AA8">
              <w:rPr>
                <w:rFonts w:ascii="Arial Narrow" w:hAnsi="Arial Narrow"/>
                <w:i/>
                <w:sz w:val="20"/>
              </w:rPr>
              <w:t>Rate infection (/patient/mo)</w:t>
            </w:r>
          </w:p>
        </w:tc>
        <w:tc>
          <w:tcPr>
            <w:tcW w:w="1048" w:type="pct"/>
            <w:tcBorders>
              <w:top w:val="nil"/>
              <w:left w:val="single" w:sz="4" w:space="0" w:color="auto"/>
              <w:bottom w:val="nil"/>
              <w:right w:val="nil"/>
            </w:tcBorders>
            <w:shd w:val="clear" w:color="auto" w:fill="auto"/>
            <w:noWrap/>
          </w:tcPr>
          <w:p w14:paraId="29594431" w14:textId="77777777" w:rsidR="00402B1A" w:rsidRPr="007D0AA8" w:rsidRDefault="00402B1A" w:rsidP="00402B1A">
            <w:pPr>
              <w:spacing w:after="0" w:line="240" w:lineRule="auto"/>
              <w:jc w:val="right"/>
              <w:rPr>
                <w:rFonts w:ascii="Arial Narrow" w:hAnsi="Arial Narrow"/>
                <w:i/>
                <w:sz w:val="20"/>
              </w:rPr>
            </w:pPr>
            <w:r w:rsidRPr="007D0AA8">
              <w:rPr>
                <w:rFonts w:ascii="Arial Narrow" w:hAnsi="Arial Narrow"/>
                <w:i/>
                <w:sz w:val="20"/>
              </w:rPr>
              <w:t>0.028</w:t>
            </w:r>
          </w:p>
        </w:tc>
        <w:tc>
          <w:tcPr>
            <w:tcW w:w="1126" w:type="pct"/>
            <w:tcBorders>
              <w:top w:val="nil"/>
              <w:left w:val="nil"/>
              <w:bottom w:val="nil"/>
              <w:right w:val="nil"/>
            </w:tcBorders>
            <w:shd w:val="clear" w:color="auto" w:fill="auto"/>
            <w:noWrap/>
          </w:tcPr>
          <w:p w14:paraId="6099DB00" w14:textId="77777777" w:rsidR="00402B1A" w:rsidRPr="007D0AA8" w:rsidRDefault="00402B1A" w:rsidP="00402B1A">
            <w:pPr>
              <w:spacing w:after="0" w:line="240" w:lineRule="auto"/>
              <w:jc w:val="right"/>
              <w:rPr>
                <w:rFonts w:ascii="Arial Narrow" w:hAnsi="Arial Narrow"/>
                <w:i/>
                <w:sz w:val="20"/>
              </w:rPr>
            </w:pPr>
            <w:r w:rsidRPr="007D0AA8">
              <w:rPr>
                <w:rFonts w:ascii="Arial Narrow" w:hAnsi="Arial Narrow"/>
                <w:i/>
                <w:sz w:val="20"/>
              </w:rPr>
              <w:t>0.035</w:t>
            </w:r>
          </w:p>
        </w:tc>
        <w:tc>
          <w:tcPr>
            <w:tcW w:w="750" w:type="pct"/>
            <w:tcBorders>
              <w:top w:val="nil"/>
              <w:left w:val="nil"/>
              <w:bottom w:val="nil"/>
              <w:right w:val="single" w:sz="4" w:space="0" w:color="auto"/>
            </w:tcBorders>
          </w:tcPr>
          <w:p w14:paraId="0973689E" w14:textId="77777777" w:rsidR="00402B1A" w:rsidRPr="007D0AA8" w:rsidRDefault="00402B1A" w:rsidP="00402B1A">
            <w:pPr>
              <w:spacing w:after="0" w:line="240" w:lineRule="auto"/>
              <w:jc w:val="right"/>
              <w:rPr>
                <w:rFonts w:ascii="Arial Narrow" w:hAnsi="Arial Narrow"/>
                <w:i/>
                <w:sz w:val="20"/>
              </w:rPr>
            </w:pPr>
          </w:p>
        </w:tc>
      </w:tr>
      <w:tr w:rsidR="00402B1A" w:rsidRPr="007D0AA8" w14:paraId="37131946" w14:textId="77777777" w:rsidTr="00B52A4F">
        <w:trPr>
          <w:jc w:val="center"/>
        </w:trPr>
        <w:tc>
          <w:tcPr>
            <w:tcW w:w="661" w:type="pct"/>
            <w:tcBorders>
              <w:top w:val="nil"/>
              <w:left w:val="single" w:sz="4" w:space="0" w:color="auto"/>
              <w:bottom w:val="nil"/>
              <w:right w:val="single" w:sz="4" w:space="0" w:color="auto"/>
            </w:tcBorders>
          </w:tcPr>
          <w:p w14:paraId="166E5B03" w14:textId="77777777" w:rsidR="00402B1A" w:rsidRPr="007D0AA8" w:rsidRDefault="00402B1A" w:rsidP="00402B1A">
            <w:pPr>
              <w:spacing w:after="0" w:line="240" w:lineRule="auto"/>
              <w:rPr>
                <w:rFonts w:ascii="Arial Narrow" w:hAnsi="Arial Narrow" w:cs="Calibri"/>
                <w:color w:val="000000"/>
                <w:sz w:val="20"/>
                <w:szCs w:val="20"/>
              </w:rPr>
            </w:pPr>
          </w:p>
        </w:tc>
        <w:tc>
          <w:tcPr>
            <w:tcW w:w="1415" w:type="pct"/>
            <w:tcBorders>
              <w:top w:val="nil"/>
              <w:left w:val="single" w:sz="4" w:space="0" w:color="auto"/>
              <w:bottom w:val="nil"/>
              <w:right w:val="single" w:sz="4" w:space="0" w:color="auto"/>
            </w:tcBorders>
            <w:shd w:val="clear" w:color="auto" w:fill="auto"/>
          </w:tcPr>
          <w:p w14:paraId="22A64F31" w14:textId="77777777" w:rsidR="00402B1A" w:rsidRPr="007D0AA8" w:rsidRDefault="00402B1A" w:rsidP="00331FB9">
            <w:pPr>
              <w:pStyle w:val="ListParagraph"/>
              <w:numPr>
                <w:ilvl w:val="0"/>
                <w:numId w:val="15"/>
              </w:numPr>
              <w:spacing w:after="0" w:line="240" w:lineRule="auto"/>
              <w:ind w:left="174" w:hanging="121"/>
              <w:rPr>
                <w:rFonts w:ascii="Arial Narrow" w:hAnsi="Arial Narrow"/>
                <w:sz w:val="20"/>
              </w:rPr>
            </w:pPr>
            <w:r w:rsidRPr="007D0AA8">
              <w:rPr>
                <w:rFonts w:ascii="Arial Narrow" w:hAnsi="Arial Narrow"/>
                <w:sz w:val="20"/>
              </w:rPr>
              <w:t>Viral</w:t>
            </w:r>
          </w:p>
        </w:tc>
        <w:tc>
          <w:tcPr>
            <w:tcW w:w="1048" w:type="pct"/>
            <w:tcBorders>
              <w:top w:val="nil"/>
              <w:left w:val="single" w:sz="4" w:space="0" w:color="auto"/>
              <w:bottom w:val="nil"/>
              <w:right w:val="nil"/>
            </w:tcBorders>
            <w:shd w:val="clear" w:color="auto" w:fill="auto"/>
            <w:noWrap/>
          </w:tcPr>
          <w:p w14:paraId="6138E11E" w14:textId="77777777" w:rsidR="00402B1A" w:rsidRPr="007D0AA8" w:rsidRDefault="00402B1A" w:rsidP="00402B1A">
            <w:pPr>
              <w:spacing w:after="0" w:line="240" w:lineRule="auto"/>
              <w:jc w:val="right"/>
              <w:rPr>
                <w:rFonts w:ascii="Arial Narrow" w:hAnsi="Arial Narrow"/>
                <w:sz w:val="20"/>
              </w:rPr>
            </w:pPr>
            <w:r w:rsidRPr="007D0AA8">
              <w:rPr>
                <w:rFonts w:ascii="Arial Narrow" w:hAnsi="Arial Narrow"/>
                <w:sz w:val="20"/>
              </w:rPr>
              <w:t>0</w:t>
            </w:r>
          </w:p>
        </w:tc>
        <w:tc>
          <w:tcPr>
            <w:tcW w:w="1126" w:type="pct"/>
            <w:tcBorders>
              <w:top w:val="nil"/>
              <w:left w:val="nil"/>
              <w:bottom w:val="nil"/>
              <w:right w:val="nil"/>
            </w:tcBorders>
            <w:shd w:val="clear" w:color="auto" w:fill="auto"/>
            <w:noWrap/>
          </w:tcPr>
          <w:p w14:paraId="5E211F54" w14:textId="77777777" w:rsidR="00402B1A" w:rsidRPr="007D0AA8" w:rsidRDefault="00402B1A" w:rsidP="00402B1A">
            <w:pPr>
              <w:spacing w:after="0" w:line="240" w:lineRule="auto"/>
              <w:jc w:val="right"/>
              <w:rPr>
                <w:rFonts w:ascii="Arial Narrow" w:hAnsi="Arial Narrow"/>
                <w:sz w:val="20"/>
              </w:rPr>
            </w:pPr>
            <w:r w:rsidRPr="007D0AA8">
              <w:rPr>
                <w:rFonts w:ascii="Arial Narrow" w:hAnsi="Arial Narrow"/>
                <w:sz w:val="20"/>
              </w:rPr>
              <w:t>2</w:t>
            </w:r>
          </w:p>
        </w:tc>
        <w:tc>
          <w:tcPr>
            <w:tcW w:w="750" w:type="pct"/>
            <w:tcBorders>
              <w:top w:val="nil"/>
              <w:left w:val="nil"/>
              <w:bottom w:val="nil"/>
              <w:right w:val="single" w:sz="4" w:space="0" w:color="auto"/>
            </w:tcBorders>
          </w:tcPr>
          <w:p w14:paraId="37BBB4C7" w14:textId="77777777" w:rsidR="00402B1A" w:rsidRPr="007D0AA8" w:rsidRDefault="00402B1A" w:rsidP="00402B1A">
            <w:pPr>
              <w:spacing w:after="0" w:line="240" w:lineRule="auto"/>
              <w:jc w:val="right"/>
              <w:rPr>
                <w:rFonts w:ascii="Arial Narrow" w:hAnsi="Arial Narrow"/>
                <w:sz w:val="20"/>
              </w:rPr>
            </w:pPr>
          </w:p>
        </w:tc>
      </w:tr>
      <w:tr w:rsidR="00402B1A" w:rsidRPr="007D0AA8" w14:paraId="2EA51E9D" w14:textId="77777777" w:rsidTr="00B52A4F">
        <w:trPr>
          <w:jc w:val="center"/>
        </w:trPr>
        <w:tc>
          <w:tcPr>
            <w:tcW w:w="661" w:type="pct"/>
            <w:tcBorders>
              <w:top w:val="nil"/>
              <w:left w:val="single" w:sz="4" w:space="0" w:color="auto"/>
              <w:bottom w:val="nil"/>
              <w:right w:val="single" w:sz="4" w:space="0" w:color="auto"/>
            </w:tcBorders>
          </w:tcPr>
          <w:p w14:paraId="72BD6A3E" w14:textId="77777777" w:rsidR="00402B1A" w:rsidRPr="007D0AA8" w:rsidRDefault="00402B1A" w:rsidP="00402B1A">
            <w:pPr>
              <w:spacing w:after="0" w:line="240" w:lineRule="auto"/>
              <w:rPr>
                <w:rFonts w:ascii="Arial Narrow" w:hAnsi="Arial Narrow" w:cs="Calibri"/>
                <w:color w:val="000000"/>
                <w:sz w:val="20"/>
                <w:szCs w:val="20"/>
              </w:rPr>
            </w:pPr>
          </w:p>
        </w:tc>
        <w:tc>
          <w:tcPr>
            <w:tcW w:w="1415" w:type="pct"/>
            <w:tcBorders>
              <w:top w:val="nil"/>
              <w:left w:val="single" w:sz="4" w:space="0" w:color="auto"/>
              <w:bottom w:val="nil"/>
              <w:right w:val="single" w:sz="4" w:space="0" w:color="auto"/>
            </w:tcBorders>
            <w:shd w:val="clear" w:color="auto" w:fill="auto"/>
          </w:tcPr>
          <w:p w14:paraId="67A1C83A" w14:textId="77777777" w:rsidR="00402B1A" w:rsidRPr="007D0AA8" w:rsidRDefault="00402B1A" w:rsidP="00331FB9">
            <w:pPr>
              <w:pStyle w:val="ListParagraph"/>
              <w:numPr>
                <w:ilvl w:val="0"/>
                <w:numId w:val="15"/>
              </w:numPr>
              <w:spacing w:after="0" w:line="240" w:lineRule="auto"/>
              <w:ind w:left="174" w:hanging="121"/>
              <w:rPr>
                <w:rFonts w:ascii="Arial Narrow" w:hAnsi="Arial Narrow"/>
                <w:sz w:val="20"/>
              </w:rPr>
            </w:pPr>
            <w:r w:rsidRPr="007D0AA8">
              <w:rPr>
                <w:rFonts w:ascii="Arial Narrow" w:hAnsi="Arial Narrow"/>
                <w:sz w:val="20"/>
              </w:rPr>
              <w:t>Fungal</w:t>
            </w:r>
          </w:p>
        </w:tc>
        <w:tc>
          <w:tcPr>
            <w:tcW w:w="1048" w:type="pct"/>
            <w:tcBorders>
              <w:top w:val="nil"/>
              <w:left w:val="single" w:sz="4" w:space="0" w:color="auto"/>
              <w:bottom w:val="nil"/>
              <w:right w:val="nil"/>
            </w:tcBorders>
            <w:shd w:val="clear" w:color="auto" w:fill="auto"/>
            <w:noWrap/>
          </w:tcPr>
          <w:p w14:paraId="448B5514" w14:textId="77777777" w:rsidR="00402B1A" w:rsidRPr="007D0AA8" w:rsidRDefault="00402B1A" w:rsidP="00402B1A">
            <w:pPr>
              <w:spacing w:after="0" w:line="240" w:lineRule="auto"/>
              <w:jc w:val="right"/>
              <w:rPr>
                <w:rFonts w:ascii="Arial Narrow" w:hAnsi="Arial Narrow"/>
                <w:sz w:val="20"/>
              </w:rPr>
            </w:pPr>
            <w:r w:rsidRPr="007D0AA8">
              <w:rPr>
                <w:rFonts w:ascii="Arial Narrow" w:hAnsi="Arial Narrow"/>
                <w:sz w:val="20"/>
              </w:rPr>
              <w:t>0</w:t>
            </w:r>
          </w:p>
        </w:tc>
        <w:tc>
          <w:tcPr>
            <w:tcW w:w="1126" w:type="pct"/>
            <w:tcBorders>
              <w:top w:val="nil"/>
              <w:left w:val="nil"/>
              <w:bottom w:val="nil"/>
              <w:right w:val="nil"/>
            </w:tcBorders>
            <w:shd w:val="clear" w:color="auto" w:fill="auto"/>
            <w:noWrap/>
          </w:tcPr>
          <w:p w14:paraId="304BAB58" w14:textId="77777777" w:rsidR="00402B1A" w:rsidRPr="007D0AA8" w:rsidRDefault="00402B1A" w:rsidP="00402B1A">
            <w:pPr>
              <w:spacing w:after="0" w:line="240" w:lineRule="auto"/>
              <w:jc w:val="right"/>
              <w:rPr>
                <w:rFonts w:ascii="Arial Narrow" w:hAnsi="Arial Narrow"/>
                <w:sz w:val="20"/>
              </w:rPr>
            </w:pPr>
            <w:r w:rsidRPr="007D0AA8">
              <w:rPr>
                <w:rFonts w:ascii="Arial Narrow" w:hAnsi="Arial Narrow"/>
                <w:sz w:val="20"/>
              </w:rPr>
              <w:t>0</w:t>
            </w:r>
          </w:p>
        </w:tc>
        <w:tc>
          <w:tcPr>
            <w:tcW w:w="750" w:type="pct"/>
            <w:tcBorders>
              <w:top w:val="nil"/>
              <w:left w:val="nil"/>
              <w:bottom w:val="nil"/>
              <w:right w:val="single" w:sz="4" w:space="0" w:color="auto"/>
            </w:tcBorders>
          </w:tcPr>
          <w:p w14:paraId="61F928F5" w14:textId="77777777" w:rsidR="00402B1A" w:rsidRPr="007D0AA8" w:rsidRDefault="00402B1A" w:rsidP="00402B1A">
            <w:pPr>
              <w:spacing w:after="0" w:line="240" w:lineRule="auto"/>
              <w:jc w:val="right"/>
              <w:rPr>
                <w:rFonts w:ascii="Arial Narrow" w:hAnsi="Arial Narrow"/>
                <w:sz w:val="20"/>
              </w:rPr>
            </w:pPr>
          </w:p>
        </w:tc>
      </w:tr>
      <w:tr w:rsidR="00402B1A" w:rsidRPr="007D0AA8" w14:paraId="6B97C13B" w14:textId="77777777" w:rsidTr="00B52A4F">
        <w:trPr>
          <w:jc w:val="center"/>
        </w:trPr>
        <w:tc>
          <w:tcPr>
            <w:tcW w:w="661" w:type="pct"/>
            <w:tcBorders>
              <w:top w:val="nil"/>
              <w:left w:val="single" w:sz="4" w:space="0" w:color="auto"/>
              <w:bottom w:val="nil"/>
              <w:right w:val="single" w:sz="4" w:space="0" w:color="auto"/>
            </w:tcBorders>
          </w:tcPr>
          <w:p w14:paraId="0F943E30" w14:textId="77777777" w:rsidR="00402B1A" w:rsidRPr="007D0AA8" w:rsidRDefault="00402B1A" w:rsidP="00402B1A">
            <w:pPr>
              <w:spacing w:after="0" w:line="240" w:lineRule="auto"/>
              <w:rPr>
                <w:rFonts w:ascii="Arial Narrow" w:hAnsi="Arial Narrow" w:cs="Calibri"/>
                <w:color w:val="000000"/>
                <w:sz w:val="20"/>
                <w:szCs w:val="20"/>
              </w:rPr>
            </w:pPr>
          </w:p>
        </w:tc>
        <w:tc>
          <w:tcPr>
            <w:tcW w:w="1415" w:type="pct"/>
            <w:tcBorders>
              <w:top w:val="nil"/>
              <w:left w:val="single" w:sz="4" w:space="0" w:color="auto"/>
              <w:bottom w:val="nil"/>
              <w:right w:val="single" w:sz="4" w:space="0" w:color="auto"/>
            </w:tcBorders>
            <w:shd w:val="clear" w:color="auto" w:fill="auto"/>
          </w:tcPr>
          <w:p w14:paraId="4522600C" w14:textId="77777777" w:rsidR="00402B1A" w:rsidRPr="007D0AA8" w:rsidRDefault="00402B1A" w:rsidP="00331FB9">
            <w:pPr>
              <w:pStyle w:val="ListParagraph"/>
              <w:numPr>
                <w:ilvl w:val="0"/>
                <w:numId w:val="15"/>
              </w:numPr>
              <w:spacing w:after="0" w:line="240" w:lineRule="auto"/>
              <w:ind w:left="174" w:hanging="121"/>
              <w:rPr>
                <w:rFonts w:ascii="Arial Narrow" w:hAnsi="Arial Narrow"/>
                <w:sz w:val="20"/>
              </w:rPr>
            </w:pPr>
            <w:r w:rsidRPr="007D0AA8">
              <w:rPr>
                <w:rFonts w:ascii="Arial Narrow" w:hAnsi="Arial Narrow"/>
                <w:sz w:val="20"/>
              </w:rPr>
              <w:t>Unknown</w:t>
            </w:r>
          </w:p>
        </w:tc>
        <w:tc>
          <w:tcPr>
            <w:tcW w:w="1048" w:type="pct"/>
            <w:tcBorders>
              <w:top w:val="nil"/>
              <w:left w:val="single" w:sz="4" w:space="0" w:color="auto"/>
              <w:bottom w:val="nil"/>
              <w:right w:val="nil"/>
            </w:tcBorders>
            <w:shd w:val="clear" w:color="auto" w:fill="auto"/>
            <w:noWrap/>
          </w:tcPr>
          <w:p w14:paraId="52CB976E" w14:textId="77777777" w:rsidR="00402B1A" w:rsidRPr="007D0AA8" w:rsidRDefault="00402B1A" w:rsidP="00402B1A">
            <w:pPr>
              <w:spacing w:after="0" w:line="240" w:lineRule="auto"/>
              <w:jc w:val="right"/>
              <w:rPr>
                <w:rFonts w:ascii="Arial Narrow" w:hAnsi="Arial Narrow"/>
                <w:sz w:val="20"/>
              </w:rPr>
            </w:pPr>
            <w:r w:rsidRPr="007D0AA8">
              <w:rPr>
                <w:rFonts w:ascii="Arial Narrow" w:hAnsi="Arial Narrow"/>
                <w:sz w:val="20"/>
              </w:rPr>
              <w:t>1</w:t>
            </w:r>
          </w:p>
        </w:tc>
        <w:tc>
          <w:tcPr>
            <w:tcW w:w="1126" w:type="pct"/>
            <w:tcBorders>
              <w:top w:val="nil"/>
              <w:left w:val="nil"/>
              <w:bottom w:val="nil"/>
              <w:right w:val="nil"/>
            </w:tcBorders>
            <w:shd w:val="clear" w:color="auto" w:fill="auto"/>
            <w:noWrap/>
          </w:tcPr>
          <w:p w14:paraId="677D4674" w14:textId="77777777" w:rsidR="00402B1A" w:rsidRPr="007D0AA8" w:rsidRDefault="00402B1A" w:rsidP="00402B1A">
            <w:pPr>
              <w:spacing w:after="0" w:line="240" w:lineRule="auto"/>
              <w:jc w:val="right"/>
              <w:rPr>
                <w:rFonts w:ascii="Arial Narrow" w:hAnsi="Arial Narrow"/>
                <w:sz w:val="20"/>
              </w:rPr>
            </w:pPr>
            <w:r w:rsidRPr="007D0AA8">
              <w:rPr>
                <w:rFonts w:ascii="Arial Narrow" w:hAnsi="Arial Narrow"/>
                <w:sz w:val="20"/>
              </w:rPr>
              <w:t>2</w:t>
            </w:r>
          </w:p>
        </w:tc>
        <w:tc>
          <w:tcPr>
            <w:tcW w:w="750" w:type="pct"/>
            <w:tcBorders>
              <w:top w:val="nil"/>
              <w:left w:val="nil"/>
              <w:bottom w:val="nil"/>
              <w:right w:val="single" w:sz="4" w:space="0" w:color="auto"/>
            </w:tcBorders>
          </w:tcPr>
          <w:p w14:paraId="4C04B4C5" w14:textId="77777777" w:rsidR="00402B1A" w:rsidRPr="007D0AA8" w:rsidRDefault="00402B1A" w:rsidP="00402B1A">
            <w:pPr>
              <w:spacing w:after="0" w:line="240" w:lineRule="auto"/>
              <w:jc w:val="right"/>
              <w:rPr>
                <w:rFonts w:ascii="Arial Narrow" w:hAnsi="Arial Narrow"/>
                <w:sz w:val="20"/>
              </w:rPr>
            </w:pPr>
          </w:p>
        </w:tc>
      </w:tr>
      <w:tr w:rsidR="00402B1A" w:rsidRPr="007D0AA8" w14:paraId="76B8B04A" w14:textId="77777777" w:rsidTr="00B52A4F">
        <w:trPr>
          <w:jc w:val="center"/>
        </w:trPr>
        <w:tc>
          <w:tcPr>
            <w:tcW w:w="661" w:type="pct"/>
            <w:tcBorders>
              <w:top w:val="nil"/>
              <w:left w:val="single" w:sz="4" w:space="0" w:color="auto"/>
              <w:bottom w:val="nil"/>
              <w:right w:val="single" w:sz="4" w:space="0" w:color="auto"/>
            </w:tcBorders>
          </w:tcPr>
          <w:p w14:paraId="37DCE234" w14:textId="77777777" w:rsidR="00402B1A" w:rsidRPr="007D0AA8" w:rsidRDefault="00402B1A" w:rsidP="00402B1A">
            <w:pPr>
              <w:spacing w:after="0" w:line="240" w:lineRule="auto"/>
              <w:rPr>
                <w:rFonts w:ascii="Arial Narrow" w:hAnsi="Arial Narrow" w:cs="Calibri"/>
                <w:color w:val="000000"/>
                <w:sz w:val="20"/>
                <w:szCs w:val="20"/>
              </w:rPr>
            </w:pPr>
          </w:p>
        </w:tc>
        <w:tc>
          <w:tcPr>
            <w:tcW w:w="1415" w:type="pct"/>
            <w:tcBorders>
              <w:top w:val="nil"/>
              <w:left w:val="single" w:sz="4" w:space="0" w:color="auto"/>
              <w:bottom w:val="nil"/>
              <w:right w:val="single" w:sz="4" w:space="0" w:color="auto"/>
            </w:tcBorders>
            <w:shd w:val="clear" w:color="auto" w:fill="auto"/>
          </w:tcPr>
          <w:p w14:paraId="2FDEC2C7" w14:textId="77777777" w:rsidR="00402B1A" w:rsidRPr="007D0AA8" w:rsidRDefault="00402B1A" w:rsidP="00402B1A">
            <w:pPr>
              <w:spacing w:after="0" w:line="240" w:lineRule="auto"/>
              <w:rPr>
                <w:rFonts w:ascii="Arial Narrow" w:hAnsi="Arial Narrow"/>
                <w:sz w:val="20"/>
              </w:rPr>
            </w:pPr>
            <w:r w:rsidRPr="007D0AA8">
              <w:rPr>
                <w:rFonts w:ascii="Arial Narrow" w:hAnsi="Arial Narrow"/>
                <w:sz w:val="20"/>
              </w:rPr>
              <w:t>Minor infections</w:t>
            </w:r>
          </w:p>
        </w:tc>
        <w:tc>
          <w:tcPr>
            <w:tcW w:w="1048" w:type="pct"/>
            <w:tcBorders>
              <w:top w:val="nil"/>
              <w:left w:val="single" w:sz="4" w:space="0" w:color="auto"/>
              <w:bottom w:val="nil"/>
              <w:right w:val="nil"/>
            </w:tcBorders>
            <w:shd w:val="clear" w:color="auto" w:fill="auto"/>
            <w:noWrap/>
          </w:tcPr>
          <w:p w14:paraId="0FE316A0" w14:textId="77777777" w:rsidR="00402B1A" w:rsidRPr="007D0AA8" w:rsidRDefault="00402B1A" w:rsidP="00402B1A">
            <w:pPr>
              <w:spacing w:after="0" w:line="240" w:lineRule="auto"/>
              <w:jc w:val="right"/>
              <w:rPr>
                <w:rFonts w:ascii="Arial Narrow" w:hAnsi="Arial Narrow"/>
                <w:sz w:val="20"/>
              </w:rPr>
            </w:pPr>
          </w:p>
        </w:tc>
        <w:tc>
          <w:tcPr>
            <w:tcW w:w="1126" w:type="pct"/>
            <w:tcBorders>
              <w:top w:val="nil"/>
              <w:left w:val="nil"/>
              <w:bottom w:val="nil"/>
              <w:right w:val="nil"/>
            </w:tcBorders>
            <w:shd w:val="clear" w:color="auto" w:fill="auto"/>
            <w:noWrap/>
          </w:tcPr>
          <w:p w14:paraId="15E7B2CC" w14:textId="77777777" w:rsidR="00402B1A" w:rsidRPr="007D0AA8" w:rsidRDefault="00402B1A" w:rsidP="00402B1A">
            <w:pPr>
              <w:spacing w:after="0" w:line="240" w:lineRule="auto"/>
              <w:jc w:val="right"/>
              <w:rPr>
                <w:rFonts w:ascii="Arial Narrow" w:hAnsi="Arial Narrow"/>
                <w:sz w:val="20"/>
              </w:rPr>
            </w:pPr>
          </w:p>
        </w:tc>
        <w:tc>
          <w:tcPr>
            <w:tcW w:w="750" w:type="pct"/>
            <w:tcBorders>
              <w:top w:val="nil"/>
              <w:left w:val="nil"/>
              <w:bottom w:val="nil"/>
              <w:right w:val="single" w:sz="4" w:space="0" w:color="auto"/>
            </w:tcBorders>
          </w:tcPr>
          <w:p w14:paraId="74C2F833" w14:textId="77777777" w:rsidR="00402B1A" w:rsidRPr="007D0AA8" w:rsidRDefault="00402B1A" w:rsidP="00402B1A">
            <w:pPr>
              <w:spacing w:after="0" w:line="240" w:lineRule="auto"/>
              <w:jc w:val="right"/>
              <w:rPr>
                <w:rFonts w:ascii="Arial Narrow" w:hAnsi="Arial Narrow"/>
                <w:sz w:val="20"/>
              </w:rPr>
            </w:pPr>
          </w:p>
        </w:tc>
      </w:tr>
      <w:tr w:rsidR="00402B1A" w:rsidRPr="007D0AA8" w14:paraId="6DEEE725" w14:textId="77777777" w:rsidTr="00B52A4F">
        <w:trPr>
          <w:jc w:val="center"/>
        </w:trPr>
        <w:tc>
          <w:tcPr>
            <w:tcW w:w="661" w:type="pct"/>
            <w:tcBorders>
              <w:top w:val="nil"/>
              <w:left w:val="single" w:sz="4" w:space="0" w:color="auto"/>
              <w:bottom w:val="nil"/>
              <w:right w:val="single" w:sz="4" w:space="0" w:color="auto"/>
            </w:tcBorders>
          </w:tcPr>
          <w:p w14:paraId="264FF926" w14:textId="77777777" w:rsidR="00402B1A" w:rsidRPr="007D0AA8" w:rsidRDefault="00402B1A" w:rsidP="00402B1A">
            <w:pPr>
              <w:spacing w:after="0" w:line="240" w:lineRule="auto"/>
              <w:rPr>
                <w:rFonts w:ascii="Arial Narrow" w:hAnsi="Arial Narrow" w:cs="Calibri"/>
                <w:color w:val="000000"/>
                <w:sz w:val="20"/>
                <w:szCs w:val="20"/>
              </w:rPr>
            </w:pPr>
          </w:p>
        </w:tc>
        <w:tc>
          <w:tcPr>
            <w:tcW w:w="1415" w:type="pct"/>
            <w:tcBorders>
              <w:top w:val="nil"/>
              <w:left w:val="single" w:sz="4" w:space="0" w:color="auto"/>
              <w:bottom w:val="nil"/>
              <w:right w:val="single" w:sz="4" w:space="0" w:color="auto"/>
            </w:tcBorders>
            <w:shd w:val="clear" w:color="auto" w:fill="auto"/>
          </w:tcPr>
          <w:p w14:paraId="651600CB" w14:textId="77777777" w:rsidR="00402B1A" w:rsidRPr="007D0AA8" w:rsidRDefault="00402B1A" w:rsidP="00331FB9">
            <w:pPr>
              <w:pStyle w:val="ListParagraph"/>
              <w:numPr>
                <w:ilvl w:val="0"/>
                <w:numId w:val="15"/>
              </w:numPr>
              <w:spacing w:after="0" w:line="240" w:lineRule="auto"/>
              <w:ind w:left="174" w:hanging="121"/>
              <w:rPr>
                <w:rFonts w:ascii="Arial Narrow" w:hAnsi="Arial Narrow"/>
                <w:sz w:val="20"/>
              </w:rPr>
            </w:pPr>
            <w:r w:rsidRPr="007D0AA8">
              <w:rPr>
                <w:rFonts w:ascii="Arial Narrow" w:hAnsi="Arial Narrow"/>
                <w:sz w:val="20"/>
              </w:rPr>
              <w:t>Bacterial</w:t>
            </w:r>
          </w:p>
        </w:tc>
        <w:tc>
          <w:tcPr>
            <w:tcW w:w="1048" w:type="pct"/>
            <w:tcBorders>
              <w:top w:val="nil"/>
              <w:left w:val="single" w:sz="4" w:space="0" w:color="auto"/>
              <w:bottom w:val="nil"/>
              <w:right w:val="nil"/>
            </w:tcBorders>
            <w:shd w:val="clear" w:color="auto" w:fill="auto"/>
            <w:noWrap/>
          </w:tcPr>
          <w:p w14:paraId="18294B5B" w14:textId="77777777" w:rsidR="00402B1A" w:rsidRPr="007D0AA8" w:rsidRDefault="00402B1A" w:rsidP="00402B1A">
            <w:pPr>
              <w:spacing w:after="0" w:line="240" w:lineRule="auto"/>
              <w:jc w:val="right"/>
              <w:rPr>
                <w:rFonts w:ascii="Arial Narrow" w:hAnsi="Arial Narrow"/>
                <w:sz w:val="20"/>
              </w:rPr>
            </w:pPr>
            <w:r w:rsidRPr="007D0AA8">
              <w:rPr>
                <w:rFonts w:ascii="Arial Narrow" w:hAnsi="Arial Narrow"/>
                <w:sz w:val="20"/>
              </w:rPr>
              <w:t>2</w:t>
            </w:r>
          </w:p>
        </w:tc>
        <w:tc>
          <w:tcPr>
            <w:tcW w:w="1126" w:type="pct"/>
            <w:tcBorders>
              <w:top w:val="nil"/>
              <w:left w:val="nil"/>
              <w:bottom w:val="nil"/>
              <w:right w:val="nil"/>
            </w:tcBorders>
            <w:shd w:val="clear" w:color="auto" w:fill="auto"/>
            <w:noWrap/>
          </w:tcPr>
          <w:p w14:paraId="033CB336" w14:textId="77777777" w:rsidR="00402B1A" w:rsidRPr="007D0AA8" w:rsidRDefault="00402B1A" w:rsidP="00402B1A">
            <w:pPr>
              <w:spacing w:after="0" w:line="240" w:lineRule="auto"/>
              <w:jc w:val="right"/>
              <w:rPr>
                <w:rFonts w:ascii="Arial Narrow" w:hAnsi="Arial Narrow"/>
                <w:sz w:val="20"/>
              </w:rPr>
            </w:pPr>
            <w:r w:rsidRPr="007D0AA8">
              <w:rPr>
                <w:rFonts w:ascii="Arial Narrow" w:hAnsi="Arial Narrow"/>
                <w:sz w:val="20"/>
              </w:rPr>
              <w:t>2</w:t>
            </w:r>
          </w:p>
        </w:tc>
        <w:tc>
          <w:tcPr>
            <w:tcW w:w="750" w:type="pct"/>
            <w:tcBorders>
              <w:top w:val="nil"/>
              <w:left w:val="nil"/>
              <w:bottom w:val="nil"/>
              <w:right w:val="single" w:sz="4" w:space="0" w:color="auto"/>
            </w:tcBorders>
          </w:tcPr>
          <w:p w14:paraId="4AB3C73A" w14:textId="77777777" w:rsidR="00402B1A" w:rsidRPr="007D0AA8" w:rsidRDefault="00402B1A" w:rsidP="00402B1A">
            <w:pPr>
              <w:spacing w:after="0" w:line="240" w:lineRule="auto"/>
              <w:jc w:val="right"/>
              <w:rPr>
                <w:rFonts w:ascii="Arial Narrow" w:hAnsi="Arial Narrow"/>
                <w:sz w:val="20"/>
              </w:rPr>
            </w:pPr>
          </w:p>
        </w:tc>
      </w:tr>
      <w:tr w:rsidR="00402B1A" w:rsidRPr="007D0AA8" w14:paraId="19FD5373" w14:textId="77777777" w:rsidTr="00B52A4F">
        <w:trPr>
          <w:jc w:val="center"/>
        </w:trPr>
        <w:tc>
          <w:tcPr>
            <w:tcW w:w="661" w:type="pct"/>
            <w:tcBorders>
              <w:top w:val="nil"/>
              <w:left w:val="single" w:sz="4" w:space="0" w:color="auto"/>
              <w:bottom w:val="nil"/>
              <w:right w:val="single" w:sz="4" w:space="0" w:color="auto"/>
            </w:tcBorders>
          </w:tcPr>
          <w:p w14:paraId="01265694" w14:textId="77777777" w:rsidR="00402B1A" w:rsidRPr="007D0AA8" w:rsidRDefault="00402B1A" w:rsidP="00402B1A">
            <w:pPr>
              <w:spacing w:after="0" w:line="240" w:lineRule="auto"/>
              <w:rPr>
                <w:rFonts w:ascii="Arial Narrow" w:hAnsi="Arial Narrow" w:cs="Calibri"/>
                <w:color w:val="000000"/>
                <w:sz w:val="20"/>
                <w:szCs w:val="20"/>
              </w:rPr>
            </w:pPr>
          </w:p>
        </w:tc>
        <w:tc>
          <w:tcPr>
            <w:tcW w:w="1415" w:type="pct"/>
            <w:tcBorders>
              <w:top w:val="nil"/>
              <w:left w:val="single" w:sz="4" w:space="0" w:color="auto"/>
              <w:bottom w:val="nil"/>
              <w:right w:val="single" w:sz="4" w:space="0" w:color="auto"/>
            </w:tcBorders>
            <w:shd w:val="clear" w:color="auto" w:fill="auto"/>
          </w:tcPr>
          <w:p w14:paraId="36D4210A" w14:textId="77777777" w:rsidR="00402B1A" w:rsidRPr="007D0AA8" w:rsidRDefault="00402B1A" w:rsidP="00331FB9">
            <w:pPr>
              <w:pStyle w:val="ListParagraph"/>
              <w:numPr>
                <w:ilvl w:val="0"/>
                <w:numId w:val="15"/>
              </w:numPr>
              <w:spacing w:after="0" w:line="240" w:lineRule="auto"/>
              <w:ind w:left="174" w:hanging="121"/>
              <w:rPr>
                <w:rFonts w:ascii="Arial Narrow" w:hAnsi="Arial Narrow"/>
                <w:sz w:val="20"/>
              </w:rPr>
            </w:pPr>
            <w:r w:rsidRPr="007D0AA8">
              <w:rPr>
                <w:rFonts w:ascii="Arial Narrow" w:hAnsi="Arial Narrow"/>
                <w:sz w:val="20"/>
              </w:rPr>
              <w:t xml:space="preserve">Viral </w:t>
            </w:r>
          </w:p>
        </w:tc>
        <w:tc>
          <w:tcPr>
            <w:tcW w:w="1048" w:type="pct"/>
            <w:tcBorders>
              <w:top w:val="nil"/>
              <w:left w:val="single" w:sz="4" w:space="0" w:color="auto"/>
              <w:bottom w:val="nil"/>
              <w:right w:val="nil"/>
            </w:tcBorders>
            <w:shd w:val="clear" w:color="auto" w:fill="auto"/>
            <w:noWrap/>
          </w:tcPr>
          <w:p w14:paraId="03045C19" w14:textId="77777777" w:rsidR="00402B1A" w:rsidRPr="007D0AA8" w:rsidRDefault="00402B1A" w:rsidP="00402B1A">
            <w:pPr>
              <w:spacing w:after="0" w:line="240" w:lineRule="auto"/>
              <w:jc w:val="right"/>
              <w:rPr>
                <w:rFonts w:ascii="Arial Narrow" w:hAnsi="Arial Narrow"/>
                <w:sz w:val="20"/>
              </w:rPr>
            </w:pPr>
            <w:r w:rsidRPr="007D0AA8">
              <w:rPr>
                <w:rFonts w:ascii="Arial Narrow" w:hAnsi="Arial Narrow"/>
                <w:sz w:val="20"/>
              </w:rPr>
              <w:t>5</w:t>
            </w:r>
          </w:p>
        </w:tc>
        <w:tc>
          <w:tcPr>
            <w:tcW w:w="1126" w:type="pct"/>
            <w:tcBorders>
              <w:top w:val="nil"/>
              <w:left w:val="nil"/>
              <w:bottom w:val="nil"/>
              <w:right w:val="nil"/>
            </w:tcBorders>
            <w:shd w:val="clear" w:color="auto" w:fill="auto"/>
            <w:noWrap/>
          </w:tcPr>
          <w:p w14:paraId="594DD364" w14:textId="77777777" w:rsidR="00402B1A" w:rsidRPr="007D0AA8" w:rsidRDefault="00402B1A" w:rsidP="00402B1A">
            <w:pPr>
              <w:spacing w:after="0" w:line="240" w:lineRule="auto"/>
              <w:jc w:val="right"/>
              <w:rPr>
                <w:rFonts w:ascii="Arial Narrow" w:hAnsi="Arial Narrow"/>
                <w:sz w:val="20"/>
              </w:rPr>
            </w:pPr>
            <w:r w:rsidRPr="007D0AA8">
              <w:rPr>
                <w:rFonts w:ascii="Arial Narrow" w:hAnsi="Arial Narrow"/>
                <w:sz w:val="20"/>
              </w:rPr>
              <w:t>7</w:t>
            </w:r>
          </w:p>
        </w:tc>
        <w:tc>
          <w:tcPr>
            <w:tcW w:w="750" w:type="pct"/>
            <w:tcBorders>
              <w:top w:val="nil"/>
              <w:left w:val="nil"/>
              <w:bottom w:val="nil"/>
              <w:right w:val="single" w:sz="4" w:space="0" w:color="auto"/>
            </w:tcBorders>
          </w:tcPr>
          <w:p w14:paraId="19B398E5" w14:textId="77777777" w:rsidR="00402B1A" w:rsidRPr="007D0AA8" w:rsidRDefault="00402B1A" w:rsidP="00402B1A">
            <w:pPr>
              <w:spacing w:after="0" w:line="240" w:lineRule="auto"/>
              <w:jc w:val="right"/>
              <w:rPr>
                <w:rFonts w:ascii="Arial Narrow" w:hAnsi="Arial Narrow"/>
                <w:sz w:val="20"/>
              </w:rPr>
            </w:pPr>
          </w:p>
        </w:tc>
      </w:tr>
      <w:tr w:rsidR="00402B1A" w:rsidRPr="007D0AA8" w14:paraId="685413E6" w14:textId="77777777" w:rsidTr="00B52A4F">
        <w:trPr>
          <w:jc w:val="center"/>
        </w:trPr>
        <w:tc>
          <w:tcPr>
            <w:tcW w:w="661" w:type="pct"/>
            <w:tcBorders>
              <w:top w:val="nil"/>
              <w:left w:val="single" w:sz="4" w:space="0" w:color="auto"/>
              <w:bottom w:val="nil"/>
              <w:right w:val="single" w:sz="4" w:space="0" w:color="auto"/>
            </w:tcBorders>
          </w:tcPr>
          <w:p w14:paraId="2677167B" w14:textId="77777777" w:rsidR="00402B1A" w:rsidRPr="007D0AA8" w:rsidRDefault="00402B1A" w:rsidP="00402B1A">
            <w:pPr>
              <w:spacing w:after="0" w:line="240" w:lineRule="auto"/>
              <w:rPr>
                <w:rFonts w:ascii="Arial Narrow" w:hAnsi="Arial Narrow" w:cs="Calibri"/>
                <w:color w:val="000000"/>
                <w:sz w:val="20"/>
                <w:szCs w:val="20"/>
              </w:rPr>
            </w:pPr>
          </w:p>
        </w:tc>
        <w:tc>
          <w:tcPr>
            <w:tcW w:w="1415" w:type="pct"/>
            <w:tcBorders>
              <w:top w:val="nil"/>
              <w:left w:val="single" w:sz="4" w:space="0" w:color="auto"/>
              <w:bottom w:val="nil"/>
              <w:right w:val="single" w:sz="4" w:space="0" w:color="auto"/>
            </w:tcBorders>
            <w:shd w:val="clear" w:color="auto" w:fill="auto"/>
          </w:tcPr>
          <w:p w14:paraId="41A62CE6" w14:textId="77777777" w:rsidR="00402B1A" w:rsidRPr="007D0AA8" w:rsidRDefault="00402B1A" w:rsidP="00331FB9">
            <w:pPr>
              <w:pStyle w:val="ListParagraph"/>
              <w:numPr>
                <w:ilvl w:val="0"/>
                <w:numId w:val="15"/>
              </w:numPr>
              <w:spacing w:after="0" w:line="240" w:lineRule="auto"/>
              <w:ind w:left="174" w:hanging="121"/>
              <w:rPr>
                <w:rFonts w:ascii="Arial Narrow" w:hAnsi="Arial Narrow"/>
                <w:sz w:val="20"/>
              </w:rPr>
            </w:pPr>
            <w:r w:rsidRPr="007D0AA8">
              <w:rPr>
                <w:rFonts w:ascii="Arial Narrow" w:hAnsi="Arial Narrow"/>
                <w:sz w:val="20"/>
              </w:rPr>
              <w:t>Fungal</w:t>
            </w:r>
          </w:p>
        </w:tc>
        <w:tc>
          <w:tcPr>
            <w:tcW w:w="1048" w:type="pct"/>
            <w:tcBorders>
              <w:top w:val="nil"/>
              <w:left w:val="single" w:sz="4" w:space="0" w:color="auto"/>
              <w:bottom w:val="nil"/>
              <w:right w:val="nil"/>
            </w:tcBorders>
            <w:shd w:val="clear" w:color="auto" w:fill="auto"/>
            <w:noWrap/>
          </w:tcPr>
          <w:p w14:paraId="1F154095" w14:textId="77777777" w:rsidR="00402B1A" w:rsidRPr="007D0AA8" w:rsidRDefault="00402B1A" w:rsidP="00402B1A">
            <w:pPr>
              <w:spacing w:after="0" w:line="240" w:lineRule="auto"/>
              <w:jc w:val="right"/>
              <w:rPr>
                <w:rFonts w:ascii="Arial Narrow" w:hAnsi="Arial Narrow"/>
                <w:sz w:val="20"/>
              </w:rPr>
            </w:pPr>
            <w:r w:rsidRPr="007D0AA8">
              <w:rPr>
                <w:rFonts w:ascii="Arial Narrow" w:hAnsi="Arial Narrow"/>
                <w:sz w:val="20"/>
              </w:rPr>
              <w:t>1</w:t>
            </w:r>
          </w:p>
        </w:tc>
        <w:tc>
          <w:tcPr>
            <w:tcW w:w="1126" w:type="pct"/>
            <w:tcBorders>
              <w:top w:val="nil"/>
              <w:left w:val="nil"/>
              <w:bottom w:val="nil"/>
              <w:right w:val="nil"/>
            </w:tcBorders>
            <w:shd w:val="clear" w:color="auto" w:fill="auto"/>
            <w:noWrap/>
          </w:tcPr>
          <w:p w14:paraId="0D5B637B" w14:textId="77777777" w:rsidR="00402B1A" w:rsidRPr="007D0AA8" w:rsidRDefault="00402B1A" w:rsidP="00402B1A">
            <w:pPr>
              <w:spacing w:after="0" w:line="240" w:lineRule="auto"/>
              <w:jc w:val="right"/>
              <w:rPr>
                <w:rFonts w:ascii="Arial Narrow" w:hAnsi="Arial Narrow"/>
                <w:sz w:val="20"/>
              </w:rPr>
            </w:pPr>
            <w:r w:rsidRPr="007D0AA8">
              <w:rPr>
                <w:rFonts w:ascii="Arial Narrow" w:hAnsi="Arial Narrow"/>
                <w:sz w:val="20"/>
              </w:rPr>
              <w:t>1</w:t>
            </w:r>
          </w:p>
        </w:tc>
        <w:tc>
          <w:tcPr>
            <w:tcW w:w="750" w:type="pct"/>
            <w:tcBorders>
              <w:top w:val="nil"/>
              <w:left w:val="nil"/>
              <w:bottom w:val="nil"/>
              <w:right w:val="single" w:sz="4" w:space="0" w:color="auto"/>
            </w:tcBorders>
          </w:tcPr>
          <w:p w14:paraId="060426E0" w14:textId="77777777" w:rsidR="00402B1A" w:rsidRPr="007D0AA8" w:rsidRDefault="00402B1A" w:rsidP="00402B1A">
            <w:pPr>
              <w:spacing w:after="0" w:line="240" w:lineRule="auto"/>
              <w:jc w:val="right"/>
              <w:rPr>
                <w:rFonts w:ascii="Arial Narrow" w:hAnsi="Arial Narrow"/>
                <w:sz w:val="20"/>
              </w:rPr>
            </w:pPr>
          </w:p>
        </w:tc>
      </w:tr>
      <w:tr w:rsidR="00402B1A" w:rsidRPr="007D0AA8" w14:paraId="6D1091A4" w14:textId="77777777" w:rsidTr="00B52A4F">
        <w:trPr>
          <w:jc w:val="center"/>
        </w:trPr>
        <w:tc>
          <w:tcPr>
            <w:tcW w:w="661" w:type="pct"/>
            <w:tcBorders>
              <w:top w:val="nil"/>
              <w:left w:val="single" w:sz="4" w:space="0" w:color="auto"/>
              <w:bottom w:val="single" w:sz="4" w:space="0" w:color="auto"/>
              <w:right w:val="single" w:sz="4" w:space="0" w:color="auto"/>
            </w:tcBorders>
          </w:tcPr>
          <w:p w14:paraId="7C8C450E" w14:textId="77777777" w:rsidR="00402B1A" w:rsidRPr="007D0AA8" w:rsidRDefault="00402B1A" w:rsidP="00402B1A">
            <w:pPr>
              <w:spacing w:after="0" w:line="240" w:lineRule="auto"/>
              <w:rPr>
                <w:rFonts w:ascii="Arial Narrow" w:hAnsi="Arial Narrow" w:cs="Calibri"/>
                <w:color w:val="000000"/>
                <w:sz w:val="20"/>
                <w:szCs w:val="20"/>
              </w:rPr>
            </w:pPr>
          </w:p>
        </w:tc>
        <w:tc>
          <w:tcPr>
            <w:tcW w:w="1415" w:type="pct"/>
            <w:tcBorders>
              <w:top w:val="nil"/>
              <w:left w:val="single" w:sz="4" w:space="0" w:color="auto"/>
              <w:bottom w:val="single" w:sz="4" w:space="0" w:color="auto"/>
              <w:right w:val="single" w:sz="4" w:space="0" w:color="auto"/>
            </w:tcBorders>
            <w:shd w:val="clear" w:color="auto" w:fill="auto"/>
          </w:tcPr>
          <w:p w14:paraId="2C421682" w14:textId="77777777" w:rsidR="00402B1A" w:rsidRPr="007D0AA8" w:rsidRDefault="00402B1A" w:rsidP="00331FB9">
            <w:pPr>
              <w:pStyle w:val="ListParagraph"/>
              <w:numPr>
                <w:ilvl w:val="0"/>
                <w:numId w:val="15"/>
              </w:numPr>
              <w:spacing w:after="0" w:line="240" w:lineRule="auto"/>
              <w:ind w:left="174" w:hanging="121"/>
              <w:rPr>
                <w:rFonts w:ascii="Arial Narrow" w:hAnsi="Arial Narrow"/>
                <w:sz w:val="20"/>
              </w:rPr>
            </w:pPr>
            <w:r w:rsidRPr="007D0AA8">
              <w:rPr>
                <w:rFonts w:ascii="Arial Narrow" w:hAnsi="Arial Narrow"/>
                <w:sz w:val="20"/>
              </w:rPr>
              <w:t xml:space="preserve">Unknown </w:t>
            </w:r>
          </w:p>
        </w:tc>
        <w:tc>
          <w:tcPr>
            <w:tcW w:w="1048" w:type="pct"/>
            <w:tcBorders>
              <w:top w:val="nil"/>
              <w:left w:val="single" w:sz="4" w:space="0" w:color="auto"/>
              <w:bottom w:val="single" w:sz="4" w:space="0" w:color="auto"/>
              <w:right w:val="nil"/>
            </w:tcBorders>
            <w:shd w:val="clear" w:color="auto" w:fill="auto"/>
            <w:noWrap/>
          </w:tcPr>
          <w:p w14:paraId="7E664CC5" w14:textId="77777777" w:rsidR="00402B1A" w:rsidRPr="007D0AA8" w:rsidRDefault="00402B1A" w:rsidP="00402B1A">
            <w:pPr>
              <w:spacing w:after="0" w:line="240" w:lineRule="auto"/>
              <w:jc w:val="right"/>
              <w:rPr>
                <w:rFonts w:ascii="Arial Narrow" w:hAnsi="Arial Narrow"/>
                <w:sz w:val="20"/>
              </w:rPr>
            </w:pPr>
            <w:r w:rsidRPr="007D0AA8">
              <w:rPr>
                <w:rFonts w:ascii="Arial Narrow" w:hAnsi="Arial Narrow"/>
                <w:sz w:val="20"/>
              </w:rPr>
              <w:t>9</w:t>
            </w:r>
          </w:p>
        </w:tc>
        <w:tc>
          <w:tcPr>
            <w:tcW w:w="1126" w:type="pct"/>
            <w:tcBorders>
              <w:top w:val="nil"/>
              <w:left w:val="nil"/>
              <w:bottom w:val="single" w:sz="4" w:space="0" w:color="auto"/>
              <w:right w:val="nil"/>
            </w:tcBorders>
            <w:shd w:val="clear" w:color="auto" w:fill="auto"/>
            <w:noWrap/>
          </w:tcPr>
          <w:p w14:paraId="359C0FB6" w14:textId="77777777" w:rsidR="00402B1A" w:rsidRPr="007D0AA8" w:rsidRDefault="00402B1A" w:rsidP="00402B1A">
            <w:pPr>
              <w:spacing w:after="0" w:line="240" w:lineRule="auto"/>
              <w:jc w:val="right"/>
              <w:rPr>
                <w:rFonts w:ascii="Arial Narrow" w:hAnsi="Arial Narrow"/>
                <w:sz w:val="20"/>
              </w:rPr>
            </w:pPr>
            <w:r w:rsidRPr="007D0AA8">
              <w:rPr>
                <w:rFonts w:ascii="Arial Narrow" w:hAnsi="Arial Narrow"/>
                <w:sz w:val="20"/>
              </w:rPr>
              <w:t>1</w:t>
            </w:r>
          </w:p>
        </w:tc>
        <w:tc>
          <w:tcPr>
            <w:tcW w:w="750" w:type="pct"/>
            <w:tcBorders>
              <w:top w:val="nil"/>
              <w:left w:val="nil"/>
              <w:bottom w:val="single" w:sz="4" w:space="0" w:color="auto"/>
              <w:right w:val="single" w:sz="4" w:space="0" w:color="auto"/>
            </w:tcBorders>
          </w:tcPr>
          <w:p w14:paraId="3F13938E" w14:textId="77777777" w:rsidR="00402B1A" w:rsidRPr="007D0AA8" w:rsidRDefault="00402B1A" w:rsidP="00402B1A">
            <w:pPr>
              <w:spacing w:after="0" w:line="240" w:lineRule="auto"/>
              <w:jc w:val="right"/>
              <w:rPr>
                <w:rFonts w:ascii="Arial Narrow" w:hAnsi="Arial Narrow"/>
                <w:sz w:val="20"/>
              </w:rPr>
            </w:pPr>
          </w:p>
        </w:tc>
      </w:tr>
      <w:tr w:rsidR="00402B1A" w:rsidRPr="00386411" w14:paraId="066C8647" w14:textId="77777777" w:rsidTr="00B52A4F">
        <w:trPr>
          <w:jc w:val="center"/>
        </w:trPr>
        <w:tc>
          <w:tcPr>
            <w:tcW w:w="6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D91989" w14:textId="77777777" w:rsidR="00402B1A" w:rsidRPr="00386411" w:rsidRDefault="00402B1A" w:rsidP="00402B1A">
            <w:pPr>
              <w:spacing w:after="0" w:line="240" w:lineRule="auto"/>
              <w:rPr>
                <w:rFonts w:ascii="Arial Narrow" w:hAnsi="Arial Narrow"/>
                <w:b/>
                <w:sz w:val="20"/>
                <w:szCs w:val="20"/>
              </w:rPr>
            </w:pPr>
            <w:r w:rsidRPr="00386411">
              <w:rPr>
                <w:rFonts w:ascii="Arial Narrow" w:hAnsi="Arial Narrow"/>
                <w:b/>
                <w:sz w:val="20"/>
                <w:szCs w:val="20"/>
              </w:rPr>
              <w:t>Stump et al., 2017</w:t>
            </w:r>
          </w:p>
        </w:tc>
        <w:tc>
          <w:tcPr>
            <w:tcW w:w="141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B5860C" w14:textId="77777777" w:rsidR="00402B1A" w:rsidRPr="00386411" w:rsidRDefault="00402B1A" w:rsidP="00402B1A">
            <w:pPr>
              <w:spacing w:after="0" w:line="240" w:lineRule="auto"/>
              <w:rPr>
                <w:rFonts w:ascii="Arial Narrow" w:hAnsi="Arial Narrow"/>
                <w:b/>
                <w:sz w:val="20"/>
              </w:rPr>
            </w:pPr>
            <w:r w:rsidRPr="00386411">
              <w:rPr>
                <w:rFonts w:ascii="Arial Narrow" w:hAnsi="Arial Narrow"/>
                <w:b/>
                <w:sz w:val="20"/>
              </w:rPr>
              <w:t>Infections post-infusion episode (n/N (%) episodes)</w:t>
            </w:r>
          </w:p>
        </w:tc>
        <w:tc>
          <w:tcPr>
            <w:tcW w:w="1048" w:type="pct"/>
            <w:tcBorders>
              <w:top w:val="single" w:sz="4" w:space="0" w:color="auto"/>
              <w:left w:val="single" w:sz="4" w:space="0" w:color="auto"/>
              <w:bottom w:val="single" w:sz="4" w:space="0" w:color="auto"/>
              <w:right w:val="nil"/>
            </w:tcBorders>
            <w:shd w:val="clear" w:color="auto" w:fill="D9D9D9" w:themeFill="background1" w:themeFillShade="D9"/>
            <w:noWrap/>
          </w:tcPr>
          <w:p w14:paraId="3FE435C7" w14:textId="77777777" w:rsidR="00402B1A" w:rsidRPr="00386411" w:rsidRDefault="00402B1A" w:rsidP="00402B1A">
            <w:pPr>
              <w:spacing w:after="0" w:line="240" w:lineRule="auto"/>
              <w:jc w:val="right"/>
              <w:rPr>
                <w:rFonts w:ascii="Arial Narrow" w:hAnsi="Arial Narrow" w:cs="Calibri"/>
                <w:b/>
                <w:sz w:val="20"/>
              </w:rPr>
            </w:pPr>
            <w:r w:rsidRPr="00386411">
              <w:rPr>
                <w:rFonts w:ascii="Arial Narrow" w:hAnsi="Arial Narrow"/>
                <w:b/>
                <w:sz w:val="20"/>
              </w:rPr>
              <w:t>IgG-ABW</w:t>
            </w:r>
          </w:p>
        </w:tc>
        <w:tc>
          <w:tcPr>
            <w:tcW w:w="1126" w:type="pct"/>
            <w:tcBorders>
              <w:top w:val="single" w:sz="4" w:space="0" w:color="auto"/>
              <w:left w:val="nil"/>
              <w:bottom w:val="single" w:sz="4" w:space="0" w:color="auto"/>
              <w:right w:val="nil"/>
            </w:tcBorders>
            <w:shd w:val="clear" w:color="auto" w:fill="D9D9D9" w:themeFill="background1" w:themeFillShade="D9"/>
            <w:noWrap/>
          </w:tcPr>
          <w:p w14:paraId="30EFEEB5" w14:textId="77777777" w:rsidR="00402B1A" w:rsidRPr="00386411" w:rsidRDefault="00402B1A" w:rsidP="00402B1A">
            <w:pPr>
              <w:spacing w:after="0" w:line="240" w:lineRule="auto"/>
              <w:jc w:val="right"/>
              <w:rPr>
                <w:rFonts w:ascii="Arial Narrow" w:hAnsi="Arial Narrow"/>
                <w:b/>
                <w:sz w:val="20"/>
              </w:rPr>
            </w:pPr>
            <w:r w:rsidRPr="00386411">
              <w:rPr>
                <w:rFonts w:ascii="Arial Narrow" w:hAnsi="Arial Narrow"/>
                <w:b/>
                <w:sz w:val="20"/>
              </w:rPr>
              <w:t>IgG-IBW</w:t>
            </w:r>
          </w:p>
        </w:tc>
        <w:tc>
          <w:tcPr>
            <w:tcW w:w="750" w:type="pct"/>
            <w:tcBorders>
              <w:top w:val="single" w:sz="4" w:space="0" w:color="auto"/>
              <w:left w:val="nil"/>
              <w:bottom w:val="single" w:sz="4" w:space="0" w:color="auto"/>
              <w:right w:val="single" w:sz="4" w:space="0" w:color="auto"/>
            </w:tcBorders>
            <w:shd w:val="clear" w:color="auto" w:fill="D9D9D9" w:themeFill="background1" w:themeFillShade="D9"/>
          </w:tcPr>
          <w:p w14:paraId="7FA5604E" w14:textId="77777777" w:rsidR="00402B1A" w:rsidRPr="00386411" w:rsidRDefault="00402B1A" w:rsidP="00402B1A">
            <w:pPr>
              <w:spacing w:after="0" w:line="240" w:lineRule="auto"/>
              <w:jc w:val="right"/>
              <w:rPr>
                <w:rFonts w:ascii="Arial Narrow" w:hAnsi="Arial Narrow"/>
                <w:b/>
                <w:sz w:val="20"/>
                <w:szCs w:val="20"/>
              </w:rPr>
            </w:pPr>
            <w:r w:rsidRPr="00386411">
              <w:rPr>
                <w:rFonts w:ascii="Arial Narrow" w:hAnsi="Arial Narrow"/>
                <w:b/>
                <w:sz w:val="20"/>
              </w:rPr>
              <w:t>p-value</w:t>
            </w:r>
          </w:p>
        </w:tc>
      </w:tr>
      <w:tr w:rsidR="00402B1A" w:rsidRPr="007D0AA8" w14:paraId="4440F660" w14:textId="77777777" w:rsidTr="00B52A4F">
        <w:trPr>
          <w:jc w:val="center"/>
        </w:trPr>
        <w:tc>
          <w:tcPr>
            <w:tcW w:w="661" w:type="pct"/>
            <w:tcBorders>
              <w:top w:val="single" w:sz="4" w:space="0" w:color="auto"/>
              <w:left w:val="single" w:sz="4" w:space="0" w:color="auto"/>
              <w:right w:val="single" w:sz="4" w:space="0" w:color="auto"/>
            </w:tcBorders>
          </w:tcPr>
          <w:p w14:paraId="0C6801AD" w14:textId="77777777" w:rsidR="00402B1A" w:rsidRPr="007D0AA8" w:rsidRDefault="00402B1A" w:rsidP="00402B1A">
            <w:pPr>
              <w:spacing w:after="0" w:line="240" w:lineRule="auto"/>
              <w:rPr>
                <w:rFonts w:ascii="Arial Narrow" w:hAnsi="Arial Narrow" w:cs="Calibri"/>
                <w:color w:val="000000"/>
                <w:sz w:val="20"/>
                <w:szCs w:val="20"/>
              </w:rPr>
            </w:pPr>
            <w:r w:rsidRPr="007D0AA8">
              <w:rPr>
                <w:rFonts w:ascii="Arial Narrow" w:hAnsi="Arial Narrow" w:cs="Calibri"/>
                <w:color w:val="000000"/>
                <w:sz w:val="20"/>
                <w:szCs w:val="20"/>
              </w:rPr>
              <w:t>*Various</w:t>
            </w:r>
          </w:p>
        </w:tc>
        <w:tc>
          <w:tcPr>
            <w:tcW w:w="1415" w:type="pct"/>
            <w:tcBorders>
              <w:top w:val="single" w:sz="4" w:space="0" w:color="auto"/>
              <w:left w:val="single" w:sz="4" w:space="0" w:color="auto"/>
              <w:bottom w:val="nil"/>
              <w:right w:val="single" w:sz="4" w:space="0" w:color="auto"/>
            </w:tcBorders>
            <w:shd w:val="clear" w:color="auto" w:fill="auto"/>
          </w:tcPr>
          <w:p w14:paraId="0D14FFF3" w14:textId="77777777" w:rsidR="00402B1A" w:rsidRPr="007D0AA8" w:rsidRDefault="00402B1A" w:rsidP="00402B1A">
            <w:pPr>
              <w:spacing w:after="0" w:line="240" w:lineRule="auto"/>
              <w:rPr>
                <w:rFonts w:ascii="Arial Narrow" w:hAnsi="Arial Narrow"/>
                <w:sz w:val="20"/>
              </w:rPr>
            </w:pPr>
            <w:r w:rsidRPr="007D0AA8">
              <w:rPr>
                <w:rFonts w:ascii="Arial Narrow" w:hAnsi="Arial Narrow"/>
                <w:sz w:val="20"/>
              </w:rPr>
              <w:t>Within 30 days</w:t>
            </w:r>
          </w:p>
        </w:tc>
        <w:tc>
          <w:tcPr>
            <w:tcW w:w="1048" w:type="pct"/>
            <w:tcBorders>
              <w:top w:val="single" w:sz="4" w:space="0" w:color="auto"/>
              <w:left w:val="single" w:sz="4" w:space="0" w:color="auto"/>
              <w:bottom w:val="nil"/>
              <w:right w:val="nil"/>
            </w:tcBorders>
            <w:shd w:val="clear" w:color="auto" w:fill="auto"/>
            <w:noWrap/>
          </w:tcPr>
          <w:p w14:paraId="79ABC64B" w14:textId="77777777" w:rsidR="00402B1A" w:rsidRPr="007D0AA8" w:rsidRDefault="00402B1A" w:rsidP="00402B1A">
            <w:pPr>
              <w:spacing w:after="0" w:line="240" w:lineRule="auto"/>
              <w:jc w:val="right"/>
              <w:rPr>
                <w:rFonts w:ascii="Arial Narrow" w:hAnsi="Arial Narrow" w:cs="Calibri"/>
                <w:sz w:val="20"/>
              </w:rPr>
            </w:pPr>
            <w:r w:rsidRPr="007D0AA8">
              <w:rPr>
                <w:rFonts w:ascii="Arial Narrow" w:hAnsi="Arial Narrow"/>
                <w:sz w:val="20"/>
              </w:rPr>
              <w:t xml:space="preserve">20/125 (16%) </w:t>
            </w:r>
          </w:p>
        </w:tc>
        <w:tc>
          <w:tcPr>
            <w:tcW w:w="1126" w:type="pct"/>
            <w:tcBorders>
              <w:top w:val="single" w:sz="4" w:space="0" w:color="auto"/>
              <w:left w:val="nil"/>
              <w:bottom w:val="nil"/>
              <w:right w:val="nil"/>
            </w:tcBorders>
            <w:shd w:val="clear" w:color="auto" w:fill="auto"/>
            <w:noWrap/>
          </w:tcPr>
          <w:p w14:paraId="4DE33437" w14:textId="77777777" w:rsidR="00402B1A" w:rsidRPr="007D0AA8" w:rsidRDefault="00402B1A" w:rsidP="00402B1A">
            <w:pPr>
              <w:spacing w:after="0" w:line="240" w:lineRule="auto"/>
              <w:jc w:val="right"/>
              <w:rPr>
                <w:rFonts w:ascii="Arial Narrow" w:hAnsi="Arial Narrow"/>
                <w:sz w:val="20"/>
              </w:rPr>
            </w:pPr>
            <w:r w:rsidRPr="007D0AA8">
              <w:rPr>
                <w:rFonts w:ascii="Arial Narrow" w:hAnsi="Arial Narrow"/>
                <w:sz w:val="20"/>
              </w:rPr>
              <w:t xml:space="preserve">13/84 (15.5%) </w:t>
            </w:r>
          </w:p>
        </w:tc>
        <w:tc>
          <w:tcPr>
            <w:tcW w:w="750" w:type="pct"/>
            <w:tcBorders>
              <w:top w:val="single" w:sz="4" w:space="0" w:color="auto"/>
              <w:left w:val="nil"/>
              <w:bottom w:val="nil"/>
              <w:right w:val="single" w:sz="4" w:space="0" w:color="auto"/>
            </w:tcBorders>
          </w:tcPr>
          <w:p w14:paraId="2056FD52" w14:textId="77777777" w:rsidR="00402B1A" w:rsidRPr="007D0AA8" w:rsidRDefault="00402B1A" w:rsidP="00402B1A">
            <w:pPr>
              <w:spacing w:after="0" w:line="240" w:lineRule="auto"/>
              <w:jc w:val="right"/>
              <w:rPr>
                <w:rFonts w:ascii="Arial Narrow" w:hAnsi="Arial Narrow"/>
                <w:sz w:val="20"/>
                <w:szCs w:val="20"/>
              </w:rPr>
            </w:pPr>
            <w:r w:rsidRPr="007D0AA8">
              <w:rPr>
                <w:rFonts w:ascii="Arial Narrow" w:hAnsi="Arial Narrow"/>
                <w:sz w:val="20"/>
              </w:rPr>
              <w:t>0.823</w:t>
            </w:r>
          </w:p>
        </w:tc>
      </w:tr>
      <w:tr w:rsidR="00402B1A" w:rsidRPr="007D0AA8" w14:paraId="41022618" w14:textId="77777777" w:rsidTr="00B52A4F">
        <w:trPr>
          <w:jc w:val="center"/>
        </w:trPr>
        <w:tc>
          <w:tcPr>
            <w:tcW w:w="661" w:type="pct"/>
            <w:tcBorders>
              <w:top w:val="nil"/>
              <w:left w:val="single" w:sz="4" w:space="0" w:color="auto"/>
              <w:bottom w:val="single" w:sz="4" w:space="0" w:color="auto"/>
              <w:right w:val="single" w:sz="4" w:space="0" w:color="auto"/>
            </w:tcBorders>
          </w:tcPr>
          <w:p w14:paraId="0B389493" w14:textId="77777777" w:rsidR="00402B1A" w:rsidRPr="007D0AA8" w:rsidRDefault="00402B1A" w:rsidP="00402B1A">
            <w:pPr>
              <w:spacing w:after="0" w:line="240" w:lineRule="auto"/>
              <w:rPr>
                <w:rFonts w:ascii="Arial Narrow" w:hAnsi="Arial Narrow" w:cs="Calibri"/>
                <w:color w:val="000000"/>
                <w:sz w:val="20"/>
                <w:szCs w:val="20"/>
              </w:rPr>
            </w:pPr>
          </w:p>
        </w:tc>
        <w:tc>
          <w:tcPr>
            <w:tcW w:w="1415" w:type="pct"/>
            <w:tcBorders>
              <w:top w:val="nil"/>
              <w:left w:val="single" w:sz="4" w:space="0" w:color="auto"/>
              <w:bottom w:val="single" w:sz="4" w:space="0" w:color="auto"/>
              <w:right w:val="single" w:sz="4" w:space="0" w:color="auto"/>
            </w:tcBorders>
            <w:shd w:val="clear" w:color="auto" w:fill="auto"/>
          </w:tcPr>
          <w:p w14:paraId="14A87AC3" w14:textId="77777777" w:rsidR="00402B1A" w:rsidRPr="007D0AA8" w:rsidRDefault="00402B1A" w:rsidP="00402B1A">
            <w:pPr>
              <w:spacing w:after="0" w:line="240" w:lineRule="auto"/>
              <w:rPr>
                <w:rFonts w:ascii="Arial Narrow" w:hAnsi="Arial Narrow"/>
                <w:sz w:val="20"/>
              </w:rPr>
            </w:pPr>
            <w:r w:rsidRPr="007D0AA8">
              <w:rPr>
                <w:rFonts w:ascii="Arial Narrow" w:hAnsi="Arial Narrow"/>
                <w:sz w:val="20"/>
              </w:rPr>
              <w:t>Within 60 days</w:t>
            </w:r>
          </w:p>
        </w:tc>
        <w:tc>
          <w:tcPr>
            <w:tcW w:w="1048" w:type="pct"/>
            <w:tcBorders>
              <w:top w:val="nil"/>
              <w:left w:val="single" w:sz="4" w:space="0" w:color="auto"/>
              <w:bottom w:val="single" w:sz="4" w:space="0" w:color="auto"/>
              <w:right w:val="nil"/>
            </w:tcBorders>
            <w:shd w:val="clear" w:color="auto" w:fill="auto"/>
            <w:noWrap/>
          </w:tcPr>
          <w:p w14:paraId="1E7A3687" w14:textId="77777777" w:rsidR="00402B1A" w:rsidRPr="007D0AA8" w:rsidRDefault="00402B1A" w:rsidP="00402B1A">
            <w:pPr>
              <w:spacing w:after="0" w:line="240" w:lineRule="auto"/>
              <w:jc w:val="right"/>
              <w:rPr>
                <w:rFonts w:ascii="Arial Narrow" w:hAnsi="Arial Narrow" w:cs="Calibri"/>
                <w:sz w:val="20"/>
              </w:rPr>
            </w:pPr>
            <w:r w:rsidRPr="007D0AA8">
              <w:rPr>
                <w:rFonts w:ascii="Arial Narrow" w:hAnsi="Arial Narrow"/>
                <w:sz w:val="20"/>
              </w:rPr>
              <w:t xml:space="preserve">24/121 (19.8%) </w:t>
            </w:r>
          </w:p>
        </w:tc>
        <w:tc>
          <w:tcPr>
            <w:tcW w:w="1126" w:type="pct"/>
            <w:tcBorders>
              <w:top w:val="nil"/>
              <w:left w:val="nil"/>
              <w:bottom w:val="single" w:sz="4" w:space="0" w:color="auto"/>
              <w:right w:val="nil"/>
            </w:tcBorders>
            <w:shd w:val="clear" w:color="auto" w:fill="auto"/>
            <w:noWrap/>
          </w:tcPr>
          <w:p w14:paraId="518A888C" w14:textId="77777777" w:rsidR="00402B1A" w:rsidRPr="007D0AA8" w:rsidRDefault="00402B1A" w:rsidP="00402B1A">
            <w:pPr>
              <w:spacing w:after="0" w:line="240" w:lineRule="auto"/>
              <w:jc w:val="right"/>
              <w:rPr>
                <w:rFonts w:ascii="Arial Narrow" w:hAnsi="Arial Narrow"/>
                <w:sz w:val="20"/>
              </w:rPr>
            </w:pPr>
            <w:r w:rsidRPr="007D0AA8">
              <w:rPr>
                <w:rFonts w:ascii="Arial Narrow" w:hAnsi="Arial Narrow"/>
                <w:sz w:val="20"/>
              </w:rPr>
              <w:t xml:space="preserve">19/82 (23.2%) </w:t>
            </w:r>
          </w:p>
        </w:tc>
        <w:tc>
          <w:tcPr>
            <w:tcW w:w="750" w:type="pct"/>
            <w:tcBorders>
              <w:top w:val="nil"/>
              <w:left w:val="nil"/>
              <w:bottom w:val="single" w:sz="4" w:space="0" w:color="auto"/>
              <w:right w:val="single" w:sz="4" w:space="0" w:color="auto"/>
            </w:tcBorders>
          </w:tcPr>
          <w:p w14:paraId="4AA542D8" w14:textId="77777777" w:rsidR="00402B1A" w:rsidRPr="007D0AA8" w:rsidRDefault="00402B1A" w:rsidP="00402B1A">
            <w:pPr>
              <w:spacing w:after="0" w:line="240" w:lineRule="auto"/>
              <w:jc w:val="right"/>
              <w:rPr>
                <w:rFonts w:ascii="Arial Narrow" w:hAnsi="Arial Narrow"/>
                <w:sz w:val="20"/>
                <w:szCs w:val="20"/>
              </w:rPr>
            </w:pPr>
            <w:r w:rsidRPr="007D0AA8">
              <w:rPr>
                <w:rFonts w:ascii="Arial Narrow" w:hAnsi="Arial Narrow"/>
                <w:sz w:val="20"/>
              </w:rPr>
              <w:t>0.568</w:t>
            </w:r>
          </w:p>
        </w:tc>
      </w:tr>
    </w:tbl>
    <w:p w14:paraId="6029946B" w14:textId="058470F2" w:rsidR="000A68D7" w:rsidRPr="00876F28" w:rsidRDefault="000A68D7" w:rsidP="000A68D7">
      <w:pPr>
        <w:spacing w:after="0" w:line="240" w:lineRule="auto"/>
        <w:rPr>
          <w:rFonts w:ascii="Arial Narrow" w:hAnsi="Arial Narrow"/>
          <w:sz w:val="20"/>
        </w:rPr>
      </w:pPr>
      <w:r w:rsidRPr="00876F28">
        <w:rPr>
          <w:rFonts w:ascii="Arial Narrow" w:hAnsi="Arial Narrow"/>
          <w:sz w:val="20"/>
        </w:rPr>
        <w:t xml:space="preserve">*Notes: </w:t>
      </w:r>
      <w:r w:rsidRPr="00876F28">
        <w:rPr>
          <w:rFonts w:ascii="Arial Narrow" w:hAnsi="Arial Narrow"/>
          <w:sz w:val="20"/>
          <w:u w:val="single"/>
        </w:rPr>
        <w:t>Stump et al., 2017</w:t>
      </w:r>
      <w:r w:rsidRPr="00876F28">
        <w:rPr>
          <w:rFonts w:ascii="Arial Narrow" w:hAnsi="Arial Narrow"/>
          <w:sz w:val="20"/>
        </w:rPr>
        <w:t xml:space="preserve"> – patients who died within 30 / 60 days of receiving IVIG were not included in the respective totals. ‘Various’ = CLL(74); AL(65); MM(26); NHL(32); </w:t>
      </w:r>
      <w:r w:rsidRPr="00876F28">
        <w:rPr>
          <w:rFonts w:ascii="Arial Narrow" w:hAnsi="Arial Narrow"/>
          <w:sz w:val="20"/>
          <w:szCs w:val="20"/>
        </w:rPr>
        <w:t>HL(7); CML(5)</w:t>
      </w:r>
      <w:r w:rsidRPr="00876F28">
        <w:rPr>
          <w:rFonts w:ascii="Arial Narrow" w:hAnsi="Arial Narrow"/>
          <w:sz w:val="20"/>
        </w:rPr>
        <w:t xml:space="preserve">; numbers represent patient encounters (i.e. infusions); patient numbers were not reported in the publication however the authors advised that the median IVIg dose per patient during the study period (30mo or 2.5yr) was 1 (range 1-18) or a mean of 2.6 doses and a total of 79 patients (S Stump, pers. </w:t>
      </w:r>
      <w:r w:rsidR="00D7461D">
        <w:rPr>
          <w:rFonts w:ascii="Arial Narrow" w:hAnsi="Arial Narrow"/>
          <w:sz w:val="20"/>
        </w:rPr>
        <w:t>comm. May 2019)</w:t>
      </w:r>
      <w:r w:rsidRPr="00876F28">
        <w:rPr>
          <w:rFonts w:ascii="Arial Narrow" w:hAnsi="Arial Narrow"/>
          <w:sz w:val="20"/>
        </w:rPr>
        <w:t>.</w:t>
      </w:r>
      <w:r w:rsidRPr="00876F28">
        <w:rPr>
          <w:rFonts w:ascii="Arial Narrow" w:hAnsi="Arial Narrow"/>
          <w:sz w:val="20"/>
        </w:rPr>
        <w:tab/>
      </w:r>
      <w:r w:rsidRPr="00876F28">
        <w:rPr>
          <w:rFonts w:ascii="Arial Narrow" w:hAnsi="Arial Narrow"/>
          <w:sz w:val="20"/>
        </w:rPr>
        <w:br/>
        <w:t>ABW=actual body weight dosing; AL=acute leukaemia; CLL=chronic lymphocytic leukaemia; IBW=ideal (lean) body weight dosing; IgG=immunoglobulin gamma; IVIg=intravenous immunoglobulin; MM=multiple myeloma; mo=month; NHL=Non-Hodgkin lymphoma; HL=Hodgkin lymphoma; CML=chronic myeloid leukaemia</w:t>
      </w:r>
    </w:p>
    <w:p w14:paraId="362FBF10" w14:textId="77777777" w:rsidR="000A68D7" w:rsidRPr="007D0AA8" w:rsidRDefault="000A68D7" w:rsidP="000A68D7"/>
    <w:p w14:paraId="4D9E3DB9" w14:textId="77777777" w:rsidR="00911F85" w:rsidRPr="00183E4D" w:rsidRDefault="00911F85" w:rsidP="00911F85">
      <w:pPr>
        <w:pStyle w:val="Heading1"/>
      </w:pPr>
      <w:bookmarkStart w:id="793" w:name="_Ref13644183"/>
      <w:bookmarkStart w:id="794" w:name="_Toc14431190"/>
      <w:bookmarkStart w:id="795" w:name="_Toc16856365"/>
      <w:r w:rsidRPr="00183E4D">
        <w:lastRenderedPageBreak/>
        <w:t xml:space="preserve">Appendix </w:t>
      </w:r>
      <w:r>
        <w:rPr>
          <w:noProof/>
        </w:rPr>
        <w:fldChar w:fldCharType="begin"/>
      </w:r>
      <w:r>
        <w:rPr>
          <w:noProof/>
        </w:rPr>
        <w:instrText xml:space="preserve"> SEQ Appendix \* ALPHABETIC </w:instrText>
      </w:r>
      <w:r>
        <w:rPr>
          <w:noProof/>
        </w:rPr>
        <w:fldChar w:fldCharType="separate"/>
      </w:r>
      <w:r w:rsidR="00A7463B">
        <w:rPr>
          <w:noProof/>
        </w:rPr>
        <w:t>G</w:t>
      </w:r>
      <w:r>
        <w:rPr>
          <w:noProof/>
        </w:rPr>
        <w:fldChar w:fldCharType="end"/>
      </w:r>
      <w:bookmarkEnd w:id="793"/>
      <w:r w:rsidRPr="00183E4D">
        <w:tab/>
      </w:r>
      <w:r>
        <w:t>Economic analysis appendices</w:t>
      </w:r>
      <w:bookmarkEnd w:id="794"/>
      <w:bookmarkEnd w:id="795"/>
    </w:p>
    <w:p w14:paraId="4AB2BE25" w14:textId="77777777" w:rsidR="00911F85" w:rsidRPr="00183E4D" w:rsidRDefault="00911F85" w:rsidP="00911F85">
      <w:pPr>
        <w:pStyle w:val="Heading2"/>
      </w:pPr>
      <w:bookmarkStart w:id="796" w:name="_Toc14431191"/>
      <w:bookmarkStart w:id="797" w:name="_Toc16856366"/>
      <w:r w:rsidRPr="00183E4D">
        <w:t>Overview</w:t>
      </w:r>
      <w:bookmarkEnd w:id="796"/>
      <w:bookmarkEnd w:id="797"/>
    </w:p>
    <w:p w14:paraId="46356669" w14:textId="4A05295F" w:rsidR="00911F85" w:rsidRDefault="00911F85" w:rsidP="00911F85">
      <w:pPr>
        <w:pStyle w:val="Caption"/>
        <w:keepNext/>
        <w:ind w:left="1134" w:hanging="1134"/>
      </w:pPr>
      <w:bookmarkStart w:id="798" w:name="_Ref13559199"/>
      <w:bookmarkStart w:id="799" w:name="_Toc444869033"/>
      <w:bookmarkStart w:id="800" w:name="_Toc14348921"/>
      <w:bookmarkStart w:id="801" w:name="_Toc14429634"/>
      <w:bookmarkStart w:id="802" w:name="_Toc16671692"/>
      <w:r w:rsidRPr="004D32EA">
        <w:t xml:space="preserve">Table </w:t>
      </w:r>
      <w:r>
        <w:rPr>
          <w:noProof/>
        </w:rPr>
        <w:fldChar w:fldCharType="begin"/>
      </w:r>
      <w:r>
        <w:rPr>
          <w:noProof/>
        </w:rPr>
        <w:instrText xml:space="preserve"> SEQ Table \* ARABIC </w:instrText>
      </w:r>
      <w:r>
        <w:rPr>
          <w:noProof/>
        </w:rPr>
        <w:fldChar w:fldCharType="separate"/>
      </w:r>
      <w:r w:rsidR="00A7463B">
        <w:rPr>
          <w:noProof/>
        </w:rPr>
        <w:t>94</w:t>
      </w:r>
      <w:r>
        <w:rPr>
          <w:noProof/>
        </w:rPr>
        <w:fldChar w:fldCharType="end"/>
      </w:r>
      <w:bookmarkEnd w:id="798"/>
      <w:r>
        <w:tab/>
      </w:r>
      <w:bookmarkEnd w:id="799"/>
      <w:r w:rsidRPr="006E7D67">
        <w:t>Decision algorithm for undertaking an economic evaluation in the setting of the Ig Review</w:t>
      </w:r>
      <w:bookmarkEnd w:id="800"/>
      <w:bookmarkEnd w:id="801"/>
      <w:bookmarkEnd w:id="802"/>
    </w:p>
    <w:tbl>
      <w:tblPr>
        <w:tblStyle w:val="TableGrid"/>
        <w:tblW w:w="5000" w:type="pct"/>
        <w:tblLook w:val="04A0" w:firstRow="1" w:lastRow="0" w:firstColumn="1" w:lastColumn="0" w:noHBand="0" w:noVBand="1"/>
        <w:tblCaption w:val="Decision algorithm for undertaking an economic evaluation in the setting of the Ig Review"/>
      </w:tblPr>
      <w:tblGrid>
        <w:gridCol w:w="2058"/>
        <w:gridCol w:w="1436"/>
        <w:gridCol w:w="1438"/>
        <w:gridCol w:w="1438"/>
        <w:gridCol w:w="1438"/>
        <w:gridCol w:w="1434"/>
      </w:tblGrid>
      <w:tr w:rsidR="00911F85" w:rsidRPr="00B27BF8" w14:paraId="670036D3" w14:textId="77777777" w:rsidTr="008742A1">
        <w:trPr>
          <w:cantSplit/>
          <w:tblHeader/>
        </w:trPr>
        <w:tc>
          <w:tcPr>
            <w:tcW w:w="1113" w:type="pct"/>
            <w:vMerge w:val="restart"/>
            <w:shd w:val="clear" w:color="auto" w:fill="auto"/>
            <w:vAlign w:val="center"/>
          </w:tcPr>
          <w:p w14:paraId="09A6A33D" w14:textId="77777777" w:rsidR="00911F85" w:rsidRPr="00B27BF8" w:rsidRDefault="00911F85" w:rsidP="008742A1">
            <w:pPr>
              <w:pStyle w:val="TableHeading"/>
              <w:jc w:val="left"/>
            </w:pPr>
            <w:r w:rsidRPr="00B27BF8">
              <w:t>Comparative safety of Ig</w:t>
            </w:r>
          </w:p>
        </w:tc>
        <w:tc>
          <w:tcPr>
            <w:tcW w:w="3887" w:type="pct"/>
            <w:gridSpan w:val="5"/>
            <w:shd w:val="clear" w:color="auto" w:fill="auto"/>
          </w:tcPr>
          <w:p w14:paraId="58D10D83" w14:textId="77777777" w:rsidR="00911F85" w:rsidRPr="00B27BF8" w:rsidRDefault="00911F85" w:rsidP="008742A1">
            <w:pPr>
              <w:pStyle w:val="TableHeading"/>
              <w:jc w:val="center"/>
            </w:pPr>
            <w:r w:rsidRPr="00B27BF8">
              <w:t>Comparative effectiveness of Ig</w:t>
            </w:r>
          </w:p>
        </w:tc>
      </w:tr>
      <w:tr w:rsidR="00911F85" w:rsidRPr="00B27BF8" w14:paraId="2D2F8BEF" w14:textId="77777777" w:rsidTr="008742A1">
        <w:trPr>
          <w:cantSplit/>
          <w:tblHeader/>
        </w:trPr>
        <w:tc>
          <w:tcPr>
            <w:tcW w:w="1113" w:type="pct"/>
            <w:vMerge/>
            <w:shd w:val="clear" w:color="auto" w:fill="auto"/>
          </w:tcPr>
          <w:p w14:paraId="0E442D7F" w14:textId="77777777" w:rsidR="00911F85" w:rsidRPr="00B27BF8" w:rsidRDefault="00911F85" w:rsidP="008742A1">
            <w:pPr>
              <w:pStyle w:val="TableHeading"/>
            </w:pPr>
          </w:p>
        </w:tc>
        <w:tc>
          <w:tcPr>
            <w:tcW w:w="1555" w:type="pct"/>
            <w:gridSpan w:val="2"/>
            <w:shd w:val="clear" w:color="auto" w:fill="auto"/>
            <w:vAlign w:val="center"/>
          </w:tcPr>
          <w:p w14:paraId="689229BD" w14:textId="77777777" w:rsidR="00911F85" w:rsidRPr="00B27BF8" w:rsidRDefault="00911F85" w:rsidP="008742A1">
            <w:pPr>
              <w:pStyle w:val="TableHeading"/>
              <w:jc w:val="center"/>
            </w:pPr>
            <w:r w:rsidRPr="00B27BF8">
              <w:t>Inferior</w:t>
            </w:r>
          </w:p>
        </w:tc>
        <w:tc>
          <w:tcPr>
            <w:tcW w:w="778" w:type="pct"/>
            <w:tcBorders>
              <w:bottom w:val="nil"/>
            </w:tcBorders>
            <w:shd w:val="clear" w:color="auto" w:fill="auto"/>
          </w:tcPr>
          <w:p w14:paraId="4A58383D" w14:textId="77777777" w:rsidR="00911F85" w:rsidRPr="00B27BF8" w:rsidRDefault="00911F85" w:rsidP="008742A1">
            <w:pPr>
              <w:pStyle w:val="TableHeading"/>
              <w:jc w:val="center"/>
            </w:pPr>
            <w:r w:rsidRPr="00B27BF8">
              <w:t>Uncertain</w:t>
            </w:r>
          </w:p>
        </w:tc>
        <w:tc>
          <w:tcPr>
            <w:tcW w:w="778" w:type="pct"/>
            <w:tcBorders>
              <w:bottom w:val="nil"/>
            </w:tcBorders>
            <w:shd w:val="clear" w:color="auto" w:fill="auto"/>
          </w:tcPr>
          <w:p w14:paraId="35724A50" w14:textId="77777777" w:rsidR="00911F85" w:rsidRPr="00B27BF8" w:rsidRDefault="00911F85" w:rsidP="008742A1">
            <w:pPr>
              <w:pStyle w:val="TableHeading"/>
              <w:jc w:val="center"/>
            </w:pPr>
            <w:r w:rsidRPr="00B27BF8">
              <w:t>Non-inferior</w:t>
            </w:r>
          </w:p>
        </w:tc>
        <w:tc>
          <w:tcPr>
            <w:tcW w:w="776" w:type="pct"/>
            <w:tcBorders>
              <w:bottom w:val="nil"/>
            </w:tcBorders>
            <w:shd w:val="clear" w:color="auto" w:fill="auto"/>
          </w:tcPr>
          <w:p w14:paraId="7C99A3D8" w14:textId="77777777" w:rsidR="00911F85" w:rsidRPr="00B27BF8" w:rsidRDefault="00911F85" w:rsidP="008742A1">
            <w:pPr>
              <w:pStyle w:val="TableHeading"/>
              <w:jc w:val="center"/>
            </w:pPr>
            <w:r w:rsidRPr="00B27BF8">
              <w:t>Superior</w:t>
            </w:r>
          </w:p>
        </w:tc>
      </w:tr>
      <w:tr w:rsidR="00911F85" w:rsidRPr="00B27BF8" w14:paraId="0078889D" w14:textId="77777777" w:rsidTr="008742A1">
        <w:trPr>
          <w:cantSplit/>
          <w:tblHeader/>
        </w:trPr>
        <w:tc>
          <w:tcPr>
            <w:tcW w:w="1113" w:type="pct"/>
            <w:vMerge/>
            <w:shd w:val="clear" w:color="auto" w:fill="auto"/>
          </w:tcPr>
          <w:p w14:paraId="14180A0C" w14:textId="77777777" w:rsidR="00911F85" w:rsidRPr="00B27BF8" w:rsidRDefault="00911F85" w:rsidP="008742A1">
            <w:pPr>
              <w:pStyle w:val="TableHeading"/>
            </w:pPr>
          </w:p>
        </w:tc>
        <w:tc>
          <w:tcPr>
            <w:tcW w:w="777" w:type="pct"/>
            <w:shd w:val="clear" w:color="auto" w:fill="auto"/>
          </w:tcPr>
          <w:p w14:paraId="79462701" w14:textId="77777777" w:rsidR="00911F85" w:rsidRPr="00B27BF8" w:rsidRDefault="00911F85" w:rsidP="008742A1">
            <w:pPr>
              <w:pStyle w:val="TableHeading"/>
              <w:jc w:val="center"/>
            </w:pPr>
            <w:r w:rsidRPr="00B27BF8">
              <w:t>No active comparator</w:t>
            </w:r>
          </w:p>
        </w:tc>
        <w:tc>
          <w:tcPr>
            <w:tcW w:w="778" w:type="pct"/>
            <w:shd w:val="clear" w:color="auto" w:fill="auto"/>
          </w:tcPr>
          <w:p w14:paraId="1353377E" w14:textId="77777777" w:rsidR="00911F85" w:rsidRPr="00B27BF8" w:rsidRDefault="00911F85" w:rsidP="008742A1">
            <w:pPr>
              <w:pStyle w:val="TableHeading"/>
              <w:jc w:val="center"/>
            </w:pPr>
            <w:r w:rsidRPr="00B27BF8">
              <w:t>Active comparator</w:t>
            </w:r>
          </w:p>
        </w:tc>
        <w:tc>
          <w:tcPr>
            <w:tcW w:w="778" w:type="pct"/>
            <w:tcBorders>
              <w:top w:val="nil"/>
            </w:tcBorders>
            <w:shd w:val="clear" w:color="auto" w:fill="auto"/>
          </w:tcPr>
          <w:p w14:paraId="7A84A66D" w14:textId="77777777" w:rsidR="00911F85" w:rsidRPr="00B27BF8" w:rsidRDefault="00911F85" w:rsidP="008742A1">
            <w:pPr>
              <w:pStyle w:val="TableHeading"/>
            </w:pPr>
          </w:p>
        </w:tc>
        <w:tc>
          <w:tcPr>
            <w:tcW w:w="778" w:type="pct"/>
            <w:tcBorders>
              <w:top w:val="nil"/>
            </w:tcBorders>
            <w:shd w:val="clear" w:color="auto" w:fill="auto"/>
          </w:tcPr>
          <w:p w14:paraId="4DF192A4" w14:textId="77777777" w:rsidR="00911F85" w:rsidRPr="00B27BF8" w:rsidRDefault="00911F85" w:rsidP="008742A1">
            <w:pPr>
              <w:pStyle w:val="TableHeading"/>
            </w:pPr>
          </w:p>
        </w:tc>
        <w:tc>
          <w:tcPr>
            <w:tcW w:w="776" w:type="pct"/>
            <w:tcBorders>
              <w:top w:val="nil"/>
            </w:tcBorders>
            <w:shd w:val="clear" w:color="auto" w:fill="auto"/>
          </w:tcPr>
          <w:p w14:paraId="47937EE9" w14:textId="77777777" w:rsidR="00911F85" w:rsidRPr="00B27BF8" w:rsidRDefault="00911F85" w:rsidP="008742A1">
            <w:pPr>
              <w:pStyle w:val="TableHeading"/>
            </w:pPr>
          </w:p>
        </w:tc>
      </w:tr>
      <w:tr w:rsidR="00911F85" w:rsidRPr="00B27BF8" w14:paraId="55790DAD" w14:textId="77777777" w:rsidTr="008742A1">
        <w:trPr>
          <w:cantSplit/>
        </w:trPr>
        <w:tc>
          <w:tcPr>
            <w:tcW w:w="1113" w:type="pct"/>
            <w:shd w:val="clear" w:color="auto" w:fill="auto"/>
          </w:tcPr>
          <w:p w14:paraId="2B1DABF4" w14:textId="77777777" w:rsidR="00911F85" w:rsidRPr="00025872" w:rsidRDefault="00911F85" w:rsidP="008742A1">
            <w:pPr>
              <w:pStyle w:val="Tabletext1"/>
              <w:rPr>
                <w:b/>
              </w:rPr>
            </w:pPr>
            <w:r w:rsidRPr="00025872">
              <w:rPr>
                <w:b/>
              </w:rPr>
              <w:t>Inferior</w:t>
            </w:r>
          </w:p>
        </w:tc>
        <w:tc>
          <w:tcPr>
            <w:tcW w:w="777" w:type="pct"/>
            <w:shd w:val="clear" w:color="auto" w:fill="auto"/>
            <w:vAlign w:val="center"/>
          </w:tcPr>
          <w:p w14:paraId="2C5A7CF8" w14:textId="77777777" w:rsidR="00911F85" w:rsidRPr="00025872" w:rsidRDefault="00911F85" w:rsidP="008742A1">
            <w:pPr>
              <w:pStyle w:val="Tabletext1"/>
              <w:jc w:val="center"/>
            </w:pPr>
            <w:r w:rsidRPr="00025872">
              <w:t>x</w:t>
            </w:r>
          </w:p>
        </w:tc>
        <w:tc>
          <w:tcPr>
            <w:tcW w:w="778" w:type="pct"/>
            <w:shd w:val="clear" w:color="auto" w:fill="auto"/>
            <w:vAlign w:val="center"/>
          </w:tcPr>
          <w:p w14:paraId="26790675" w14:textId="77777777" w:rsidR="00911F85" w:rsidRPr="00025872" w:rsidRDefault="00911F85" w:rsidP="008742A1">
            <w:pPr>
              <w:pStyle w:val="Tabletext1"/>
              <w:jc w:val="center"/>
            </w:pPr>
            <w:r w:rsidRPr="00025872">
              <w:t>F</w:t>
            </w:r>
          </w:p>
        </w:tc>
        <w:tc>
          <w:tcPr>
            <w:tcW w:w="778" w:type="pct"/>
            <w:shd w:val="clear" w:color="auto" w:fill="auto"/>
            <w:vAlign w:val="center"/>
          </w:tcPr>
          <w:p w14:paraId="0BF975DC" w14:textId="77777777" w:rsidR="00911F85" w:rsidRPr="00025872" w:rsidRDefault="00911F85" w:rsidP="008742A1">
            <w:pPr>
              <w:pStyle w:val="Tabletext1"/>
              <w:jc w:val="center"/>
            </w:pPr>
            <w:r w:rsidRPr="00025872">
              <w:t>?</w:t>
            </w:r>
          </w:p>
        </w:tc>
        <w:tc>
          <w:tcPr>
            <w:tcW w:w="778" w:type="pct"/>
            <w:shd w:val="clear" w:color="auto" w:fill="auto"/>
            <w:vAlign w:val="center"/>
          </w:tcPr>
          <w:p w14:paraId="7C2B2F5B" w14:textId="77777777" w:rsidR="00911F85" w:rsidRPr="00025872" w:rsidRDefault="00911F85" w:rsidP="008742A1">
            <w:pPr>
              <w:pStyle w:val="Tabletext1"/>
              <w:jc w:val="center"/>
            </w:pPr>
            <w:r w:rsidRPr="00025872">
              <w:t>F</w:t>
            </w:r>
            <w:r w:rsidRPr="00025872">
              <w:rPr>
                <w:vertAlign w:val="superscript"/>
              </w:rPr>
              <w:t>b</w:t>
            </w:r>
          </w:p>
        </w:tc>
        <w:tc>
          <w:tcPr>
            <w:tcW w:w="776" w:type="pct"/>
            <w:shd w:val="clear" w:color="auto" w:fill="auto"/>
            <w:vAlign w:val="center"/>
          </w:tcPr>
          <w:p w14:paraId="1FC4A19F" w14:textId="77777777" w:rsidR="00911F85" w:rsidRPr="00025872" w:rsidRDefault="00911F85" w:rsidP="008742A1">
            <w:pPr>
              <w:pStyle w:val="Tabletext1"/>
              <w:jc w:val="center"/>
            </w:pPr>
            <w:r w:rsidRPr="00025872">
              <w:t>F</w:t>
            </w:r>
            <w:r w:rsidRPr="00025872">
              <w:rPr>
                <w:vertAlign w:val="superscript"/>
              </w:rPr>
              <w:t>a</w:t>
            </w:r>
          </w:p>
        </w:tc>
      </w:tr>
      <w:tr w:rsidR="00911F85" w:rsidRPr="00B27BF8" w14:paraId="10FC1621" w14:textId="77777777" w:rsidTr="008742A1">
        <w:trPr>
          <w:cantSplit/>
        </w:trPr>
        <w:tc>
          <w:tcPr>
            <w:tcW w:w="1113" w:type="pct"/>
            <w:shd w:val="clear" w:color="auto" w:fill="auto"/>
          </w:tcPr>
          <w:p w14:paraId="200E998A" w14:textId="77777777" w:rsidR="00911F85" w:rsidRPr="00025872" w:rsidRDefault="00911F85" w:rsidP="008742A1">
            <w:pPr>
              <w:pStyle w:val="Tabletext1"/>
              <w:rPr>
                <w:b/>
              </w:rPr>
            </w:pPr>
            <w:r w:rsidRPr="00025872">
              <w:rPr>
                <w:b/>
              </w:rPr>
              <w:t>Uncertain</w:t>
            </w:r>
          </w:p>
        </w:tc>
        <w:tc>
          <w:tcPr>
            <w:tcW w:w="777" w:type="pct"/>
            <w:shd w:val="clear" w:color="auto" w:fill="auto"/>
            <w:vAlign w:val="center"/>
          </w:tcPr>
          <w:p w14:paraId="6B2507FD" w14:textId="77777777" w:rsidR="00911F85" w:rsidRPr="00025872" w:rsidRDefault="00911F85" w:rsidP="008742A1">
            <w:pPr>
              <w:pStyle w:val="Tabletext1"/>
              <w:jc w:val="center"/>
            </w:pPr>
            <w:r w:rsidRPr="00025872">
              <w:t>x</w:t>
            </w:r>
          </w:p>
        </w:tc>
        <w:tc>
          <w:tcPr>
            <w:tcW w:w="778" w:type="pct"/>
            <w:shd w:val="clear" w:color="auto" w:fill="auto"/>
            <w:vAlign w:val="center"/>
          </w:tcPr>
          <w:p w14:paraId="06B07258" w14:textId="77777777" w:rsidR="00911F85" w:rsidRPr="00025872" w:rsidRDefault="00911F85" w:rsidP="008742A1">
            <w:pPr>
              <w:pStyle w:val="Tabletext1"/>
              <w:jc w:val="center"/>
            </w:pPr>
            <w:r w:rsidRPr="00025872">
              <w:t>F</w:t>
            </w:r>
            <w:r w:rsidRPr="00025872">
              <w:rPr>
                <w:vertAlign w:val="superscript"/>
              </w:rPr>
              <w:t>a</w:t>
            </w:r>
          </w:p>
        </w:tc>
        <w:tc>
          <w:tcPr>
            <w:tcW w:w="778" w:type="pct"/>
            <w:shd w:val="clear" w:color="auto" w:fill="auto"/>
            <w:vAlign w:val="center"/>
          </w:tcPr>
          <w:p w14:paraId="3A1F5025" w14:textId="77777777" w:rsidR="00911F85" w:rsidRPr="00025872" w:rsidRDefault="00911F85" w:rsidP="008742A1">
            <w:pPr>
              <w:pStyle w:val="Tabletext1"/>
              <w:jc w:val="center"/>
            </w:pPr>
            <w:r w:rsidRPr="00025872">
              <w:t>?</w:t>
            </w:r>
          </w:p>
        </w:tc>
        <w:tc>
          <w:tcPr>
            <w:tcW w:w="778" w:type="pct"/>
            <w:shd w:val="clear" w:color="auto" w:fill="auto"/>
            <w:vAlign w:val="center"/>
          </w:tcPr>
          <w:p w14:paraId="5E525B6E" w14:textId="77777777" w:rsidR="00911F85" w:rsidRPr="00025872" w:rsidRDefault="00911F85" w:rsidP="008742A1">
            <w:pPr>
              <w:pStyle w:val="Tabletext1"/>
              <w:jc w:val="center"/>
            </w:pPr>
            <w:r w:rsidRPr="00025872">
              <w:t>?</w:t>
            </w:r>
          </w:p>
        </w:tc>
        <w:tc>
          <w:tcPr>
            <w:tcW w:w="776" w:type="pct"/>
            <w:shd w:val="clear" w:color="auto" w:fill="auto"/>
            <w:vAlign w:val="center"/>
          </w:tcPr>
          <w:p w14:paraId="188A6973" w14:textId="77777777" w:rsidR="00911F85" w:rsidRPr="00025872" w:rsidRDefault="00911F85" w:rsidP="008742A1">
            <w:pPr>
              <w:pStyle w:val="Tabletext1"/>
              <w:jc w:val="center"/>
            </w:pPr>
            <w:r w:rsidRPr="00025872">
              <w:t>F</w:t>
            </w:r>
            <w:r w:rsidRPr="00025872">
              <w:rPr>
                <w:vertAlign w:val="superscript"/>
              </w:rPr>
              <w:t>a</w:t>
            </w:r>
          </w:p>
        </w:tc>
      </w:tr>
      <w:tr w:rsidR="00911F85" w:rsidRPr="00B27BF8" w14:paraId="6A321904" w14:textId="77777777" w:rsidTr="008742A1">
        <w:trPr>
          <w:cantSplit/>
        </w:trPr>
        <w:tc>
          <w:tcPr>
            <w:tcW w:w="1113" w:type="pct"/>
            <w:shd w:val="clear" w:color="auto" w:fill="auto"/>
          </w:tcPr>
          <w:p w14:paraId="31E9B00E" w14:textId="77777777" w:rsidR="00911F85" w:rsidRPr="00025872" w:rsidRDefault="00911F85" w:rsidP="008742A1">
            <w:pPr>
              <w:pStyle w:val="Tabletext1"/>
              <w:rPr>
                <w:b/>
              </w:rPr>
            </w:pPr>
            <w:r w:rsidRPr="00025872">
              <w:rPr>
                <w:b/>
              </w:rPr>
              <w:t>Non-inferior</w:t>
            </w:r>
          </w:p>
        </w:tc>
        <w:tc>
          <w:tcPr>
            <w:tcW w:w="777" w:type="pct"/>
            <w:shd w:val="clear" w:color="auto" w:fill="auto"/>
            <w:vAlign w:val="center"/>
          </w:tcPr>
          <w:p w14:paraId="6D13C82C" w14:textId="77777777" w:rsidR="00911F85" w:rsidRPr="00025872" w:rsidRDefault="00911F85" w:rsidP="008742A1">
            <w:pPr>
              <w:pStyle w:val="Tabletext1"/>
              <w:jc w:val="center"/>
            </w:pPr>
            <w:r w:rsidRPr="00025872">
              <w:t>x</w:t>
            </w:r>
            <w:r w:rsidRPr="00025872">
              <w:rPr>
                <w:vertAlign w:val="superscript"/>
              </w:rPr>
              <w:t>c</w:t>
            </w:r>
          </w:p>
        </w:tc>
        <w:tc>
          <w:tcPr>
            <w:tcW w:w="778" w:type="pct"/>
            <w:shd w:val="clear" w:color="auto" w:fill="auto"/>
            <w:vAlign w:val="center"/>
          </w:tcPr>
          <w:p w14:paraId="2AF33DF1" w14:textId="77777777" w:rsidR="00911F85" w:rsidRPr="00025872" w:rsidRDefault="00911F85" w:rsidP="008742A1">
            <w:pPr>
              <w:pStyle w:val="Tabletext1"/>
              <w:jc w:val="center"/>
            </w:pPr>
            <w:r w:rsidRPr="00025872">
              <w:t>F</w:t>
            </w:r>
          </w:p>
        </w:tc>
        <w:tc>
          <w:tcPr>
            <w:tcW w:w="778" w:type="pct"/>
            <w:shd w:val="clear" w:color="auto" w:fill="auto"/>
            <w:vAlign w:val="center"/>
          </w:tcPr>
          <w:p w14:paraId="509C0710" w14:textId="77777777" w:rsidR="00911F85" w:rsidRPr="00025872" w:rsidRDefault="00911F85" w:rsidP="008742A1">
            <w:pPr>
              <w:pStyle w:val="Tabletext1"/>
              <w:jc w:val="center"/>
            </w:pPr>
            <w:r w:rsidRPr="00025872">
              <w:t>?</w:t>
            </w:r>
          </w:p>
        </w:tc>
        <w:tc>
          <w:tcPr>
            <w:tcW w:w="778" w:type="pct"/>
            <w:shd w:val="clear" w:color="auto" w:fill="auto"/>
            <w:vAlign w:val="center"/>
          </w:tcPr>
          <w:p w14:paraId="0CC7D9B7" w14:textId="77777777" w:rsidR="00911F85" w:rsidRPr="00025872" w:rsidRDefault="00911F85" w:rsidP="008742A1">
            <w:pPr>
              <w:pStyle w:val="Tabletext1"/>
              <w:jc w:val="center"/>
            </w:pPr>
            <w:r w:rsidRPr="00025872">
              <w:t>$</w:t>
            </w:r>
          </w:p>
        </w:tc>
        <w:tc>
          <w:tcPr>
            <w:tcW w:w="776" w:type="pct"/>
            <w:shd w:val="clear" w:color="auto" w:fill="auto"/>
            <w:vAlign w:val="center"/>
          </w:tcPr>
          <w:p w14:paraId="69F80058" w14:textId="77777777" w:rsidR="00911F85" w:rsidRPr="00025872" w:rsidRDefault="00911F85" w:rsidP="008742A1">
            <w:pPr>
              <w:pStyle w:val="Tabletext1"/>
              <w:jc w:val="center"/>
            </w:pPr>
            <w:r w:rsidRPr="00025872">
              <w:t>F</w:t>
            </w:r>
          </w:p>
        </w:tc>
      </w:tr>
      <w:tr w:rsidR="00911F85" w:rsidRPr="00B27BF8" w14:paraId="184C4BFB" w14:textId="77777777" w:rsidTr="008742A1">
        <w:trPr>
          <w:cantSplit/>
        </w:trPr>
        <w:tc>
          <w:tcPr>
            <w:tcW w:w="1113" w:type="pct"/>
            <w:shd w:val="clear" w:color="auto" w:fill="auto"/>
          </w:tcPr>
          <w:p w14:paraId="1EF6A19F" w14:textId="77777777" w:rsidR="00911F85" w:rsidRPr="00025872" w:rsidRDefault="00911F85" w:rsidP="008742A1">
            <w:pPr>
              <w:pStyle w:val="Tabletext1"/>
              <w:rPr>
                <w:b/>
              </w:rPr>
            </w:pPr>
            <w:r w:rsidRPr="00025872">
              <w:rPr>
                <w:b/>
              </w:rPr>
              <w:t>Superior</w:t>
            </w:r>
          </w:p>
        </w:tc>
        <w:tc>
          <w:tcPr>
            <w:tcW w:w="777" w:type="pct"/>
            <w:shd w:val="clear" w:color="auto" w:fill="auto"/>
            <w:vAlign w:val="center"/>
          </w:tcPr>
          <w:p w14:paraId="76A30B34" w14:textId="77777777" w:rsidR="00911F85" w:rsidRPr="00025872" w:rsidRDefault="00911F85" w:rsidP="008742A1">
            <w:pPr>
              <w:pStyle w:val="Tabletext1"/>
              <w:jc w:val="center"/>
            </w:pPr>
            <w:r w:rsidRPr="00025872">
              <w:t>x</w:t>
            </w:r>
            <w:r w:rsidRPr="00025872">
              <w:rPr>
                <w:vertAlign w:val="superscript"/>
              </w:rPr>
              <w:t>c</w:t>
            </w:r>
          </w:p>
        </w:tc>
        <w:tc>
          <w:tcPr>
            <w:tcW w:w="778" w:type="pct"/>
            <w:shd w:val="clear" w:color="auto" w:fill="auto"/>
            <w:vAlign w:val="center"/>
          </w:tcPr>
          <w:p w14:paraId="67F1BDCD" w14:textId="77777777" w:rsidR="00911F85" w:rsidRPr="00025872" w:rsidRDefault="00911F85" w:rsidP="008742A1">
            <w:pPr>
              <w:pStyle w:val="Tabletext1"/>
              <w:jc w:val="center"/>
            </w:pPr>
            <w:r w:rsidRPr="00025872">
              <w:t>F</w:t>
            </w:r>
            <w:r w:rsidRPr="00025872">
              <w:rPr>
                <w:vertAlign w:val="superscript"/>
              </w:rPr>
              <w:t>a</w:t>
            </w:r>
          </w:p>
        </w:tc>
        <w:tc>
          <w:tcPr>
            <w:tcW w:w="778" w:type="pct"/>
            <w:shd w:val="clear" w:color="auto" w:fill="auto"/>
            <w:vAlign w:val="center"/>
          </w:tcPr>
          <w:p w14:paraId="400B61AD" w14:textId="77777777" w:rsidR="00911F85" w:rsidRPr="00025872" w:rsidRDefault="00911F85" w:rsidP="008742A1">
            <w:pPr>
              <w:pStyle w:val="Tabletext1"/>
              <w:jc w:val="center"/>
            </w:pPr>
            <w:r w:rsidRPr="00025872">
              <w:t>?</w:t>
            </w:r>
          </w:p>
        </w:tc>
        <w:tc>
          <w:tcPr>
            <w:tcW w:w="778" w:type="pct"/>
            <w:shd w:val="clear" w:color="auto" w:fill="auto"/>
            <w:vAlign w:val="center"/>
          </w:tcPr>
          <w:p w14:paraId="0FAEFB86" w14:textId="77777777" w:rsidR="00911F85" w:rsidRPr="00025872" w:rsidRDefault="00911F85" w:rsidP="008742A1">
            <w:pPr>
              <w:pStyle w:val="Tabletext1"/>
              <w:jc w:val="center"/>
            </w:pPr>
            <w:r w:rsidRPr="00025872">
              <w:t>F</w:t>
            </w:r>
            <w:r w:rsidRPr="00025872">
              <w:rPr>
                <w:vertAlign w:val="superscript"/>
              </w:rPr>
              <w:t>b</w:t>
            </w:r>
          </w:p>
        </w:tc>
        <w:tc>
          <w:tcPr>
            <w:tcW w:w="776" w:type="pct"/>
            <w:shd w:val="clear" w:color="auto" w:fill="auto"/>
            <w:vAlign w:val="center"/>
          </w:tcPr>
          <w:p w14:paraId="46F3F6B5" w14:textId="77777777" w:rsidR="00911F85" w:rsidRPr="00025872" w:rsidRDefault="00911F85" w:rsidP="008742A1">
            <w:pPr>
              <w:pStyle w:val="Tabletext1"/>
              <w:jc w:val="center"/>
            </w:pPr>
            <w:r w:rsidRPr="00025872">
              <w:t>F</w:t>
            </w:r>
          </w:p>
        </w:tc>
      </w:tr>
    </w:tbl>
    <w:p w14:paraId="420BA7F0" w14:textId="77777777" w:rsidR="00911F85" w:rsidRPr="00D03089" w:rsidRDefault="00911F85" w:rsidP="00911F85">
      <w:pPr>
        <w:pStyle w:val="Tablenotes1"/>
      </w:pPr>
      <w:r>
        <w:t>Ig = immunoglobulin</w:t>
      </w:r>
    </w:p>
    <w:p w14:paraId="54366E2A" w14:textId="77777777" w:rsidR="00911F85" w:rsidRPr="00B27BF8" w:rsidRDefault="00911F85" w:rsidP="00911F85">
      <w:pPr>
        <w:pStyle w:val="Tablenotes1"/>
      </w:pPr>
      <w:r w:rsidRPr="00B27BF8">
        <w:rPr>
          <w:i/>
          <w:sz w:val="24"/>
          <w:szCs w:val="24"/>
        </w:rPr>
        <w:t>x</w:t>
      </w:r>
      <w:r w:rsidRPr="00B27BF8">
        <w:t xml:space="preserve"> = health forgone (at cost). An economic evaluation is not warranted and continued use of Ig should not occur in this circumstance unless there are other supportive factors.</w:t>
      </w:r>
    </w:p>
    <w:p w14:paraId="472D2224" w14:textId="77777777" w:rsidR="00911F85" w:rsidRPr="00B27BF8" w:rsidRDefault="00911F85" w:rsidP="00911F85">
      <w:pPr>
        <w:pStyle w:val="Tablenotes1"/>
      </w:pPr>
      <w:r w:rsidRPr="00B27BF8">
        <w:t xml:space="preserve">F = undertake a full economic evaluation. These may take the form of cost-utility analyses (preferred if adequate data are available) or cost effectiveness analyses in terms of clinically relevant outcome(s). </w:t>
      </w:r>
    </w:p>
    <w:p w14:paraId="29839399" w14:textId="77777777" w:rsidR="00911F85" w:rsidRPr="00B27BF8" w:rsidRDefault="00911F85" w:rsidP="00911F85">
      <w:pPr>
        <w:pStyle w:val="Tablenotes1"/>
      </w:pPr>
      <w:r w:rsidRPr="00B27BF8">
        <w:t>? = high levels of uncertainty will occur in an economic evaluation (if it is feasible to construct one). A cost analysis (partial economic evaluation) could be performed.</w:t>
      </w:r>
    </w:p>
    <w:p w14:paraId="37C22A3A" w14:textId="77777777" w:rsidR="00911F85" w:rsidRPr="00B27BF8" w:rsidRDefault="00911F85" w:rsidP="00911F85">
      <w:pPr>
        <w:pStyle w:val="Tablenotes1"/>
      </w:pPr>
      <w:r w:rsidRPr="00B27BF8">
        <w:t xml:space="preserve">$ = cost minimisation analysis (partial economic evaluation that explicitly assumes no significant differences in health outcomes, associated with either effectiveness or safety, and analyses cost-differences only). </w:t>
      </w:r>
    </w:p>
    <w:p w14:paraId="2EDABE26" w14:textId="77777777" w:rsidR="00911F85" w:rsidRPr="00B27BF8" w:rsidRDefault="00911F85" w:rsidP="00911F85">
      <w:pPr>
        <w:pStyle w:val="Tablenotes1"/>
      </w:pPr>
      <w:r w:rsidRPr="00B27BF8">
        <w:rPr>
          <w:vertAlign w:val="superscript"/>
        </w:rPr>
        <w:t>a</w:t>
      </w:r>
      <w:r w:rsidRPr="00B27BF8">
        <w:t xml:space="preserve"> where the conclusions with respect to effectiveness and safety are not congruent, then analyses identifying all relevant health consequences (i.e. effectiveness and safety outcomes in opposing directions of benefit) need to be presented. If a CUA is presented, this should capture effectiveness and safety collectively. If a CUA is not possible, then a single CEA may not capture all health consequences adequately and so a CCA is likely to be required. Where possible, the CCA should be quantitative, but in the absence of adequate data, a minimum qualitative identification of consequences should be presented.</w:t>
      </w:r>
    </w:p>
    <w:p w14:paraId="18BD91CC" w14:textId="77777777" w:rsidR="00911F85" w:rsidRPr="00B27BF8" w:rsidRDefault="00911F85" w:rsidP="00911F85">
      <w:pPr>
        <w:pStyle w:val="Tablenotes1"/>
      </w:pPr>
      <w:r w:rsidRPr="00B27BF8">
        <w:rPr>
          <w:vertAlign w:val="superscript"/>
        </w:rPr>
        <w:t>b</w:t>
      </w:r>
      <w:r w:rsidRPr="00B27BF8">
        <w:t xml:space="preserve"> where effectiveness is assessed as non-inferior but safety differences exist, and in the absence of a CUA being possible, the outcomes component of the analysis should include a clinically relevant outcome which reflects the safety differences between Ig and the comparator.</w:t>
      </w:r>
    </w:p>
    <w:p w14:paraId="3B8EF85B" w14:textId="77777777" w:rsidR="00911F85" w:rsidRDefault="00911F85" w:rsidP="00911F85">
      <w:pPr>
        <w:pStyle w:val="Tablenotes1"/>
      </w:pPr>
      <w:r w:rsidRPr="00B27BF8">
        <w:rPr>
          <w:szCs w:val="18"/>
          <w:vertAlign w:val="superscript"/>
        </w:rPr>
        <w:t>c</w:t>
      </w:r>
      <w:r w:rsidRPr="00B27BF8">
        <w:rPr>
          <w:szCs w:val="18"/>
        </w:rPr>
        <w:t xml:space="preserve"> </w:t>
      </w:r>
      <w:r w:rsidRPr="00B27BF8">
        <w:t>The small but unavoidable potential risks associated with administering a blood product means that a conclusion of non-inferior or superior Ig safety relative to no active comparator, should never arise.</w:t>
      </w:r>
    </w:p>
    <w:p w14:paraId="39419C3B" w14:textId="77777777" w:rsidR="00911F85" w:rsidRDefault="00911F85" w:rsidP="00911F85">
      <w:pPr>
        <w:pStyle w:val="Heading2"/>
      </w:pPr>
      <w:bookmarkStart w:id="803" w:name="_Toc14431192"/>
      <w:bookmarkStart w:id="804" w:name="_Toc16856367"/>
      <w:r w:rsidRPr="00183E4D">
        <w:t>Structure and rationale of the economic evaluation</w:t>
      </w:r>
      <w:bookmarkEnd w:id="803"/>
      <w:bookmarkEnd w:id="804"/>
    </w:p>
    <w:p w14:paraId="2513484B" w14:textId="431105FE" w:rsidR="00911F85" w:rsidRDefault="00911F85" w:rsidP="00911F85">
      <w:pPr>
        <w:pStyle w:val="Caption"/>
        <w:tabs>
          <w:tab w:val="left" w:pos="1134"/>
        </w:tabs>
        <w:ind w:left="1134" w:hanging="1134"/>
      </w:pPr>
      <w:bookmarkStart w:id="805" w:name="_Ref13559212"/>
      <w:bookmarkStart w:id="806" w:name="_Toc14348922"/>
      <w:bookmarkStart w:id="807" w:name="_Toc14429635"/>
      <w:bookmarkStart w:id="808" w:name="_Toc16671693"/>
      <w:r w:rsidRPr="00E9672D">
        <w:t xml:space="preserve">Table </w:t>
      </w:r>
      <w:r>
        <w:rPr>
          <w:noProof/>
        </w:rPr>
        <w:fldChar w:fldCharType="begin"/>
      </w:r>
      <w:r>
        <w:rPr>
          <w:noProof/>
        </w:rPr>
        <w:instrText xml:space="preserve"> SEQ Table \* ARABIC </w:instrText>
      </w:r>
      <w:r>
        <w:rPr>
          <w:noProof/>
        </w:rPr>
        <w:fldChar w:fldCharType="separate"/>
      </w:r>
      <w:r w:rsidR="00A7463B">
        <w:rPr>
          <w:noProof/>
        </w:rPr>
        <w:t>95</w:t>
      </w:r>
      <w:r>
        <w:rPr>
          <w:noProof/>
        </w:rPr>
        <w:fldChar w:fldCharType="end"/>
      </w:r>
      <w:bookmarkEnd w:id="805"/>
      <w:r w:rsidRPr="00E9672D">
        <w:tab/>
      </w:r>
      <w:r>
        <w:t>Economic literature search terms</w:t>
      </w:r>
      <w:bookmarkEnd w:id="806"/>
      <w:bookmarkEnd w:id="807"/>
      <w:bookmarkEnd w:id="808"/>
    </w:p>
    <w:tbl>
      <w:tblPr>
        <w:tblStyle w:val="TableGrid"/>
        <w:tblW w:w="5000" w:type="pct"/>
        <w:tblLook w:val="04A0" w:firstRow="1" w:lastRow="0" w:firstColumn="1" w:lastColumn="0" w:noHBand="0" w:noVBand="1"/>
        <w:tblCaption w:val="Economic literature search terms"/>
      </w:tblPr>
      <w:tblGrid>
        <w:gridCol w:w="1013"/>
        <w:gridCol w:w="7142"/>
        <w:gridCol w:w="1087"/>
      </w:tblGrid>
      <w:tr w:rsidR="00911F85" w:rsidRPr="00C200CB" w14:paraId="4B81EF66" w14:textId="77777777" w:rsidTr="008742A1">
        <w:trPr>
          <w:cantSplit/>
          <w:tblHeader/>
        </w:trPr>
        <w:tc>
          <w:tcPr>
            <w:tcW w:w="548" w:type="pct"/>
            <w:hideMark/>
          </w:tcPr>
          <w:p w14:paraId="6FC93C4F" w14:textId="77777777" w:rsidR="00911F85" w:rsidRPr="00C200CB" w:rsidRDefault="00911F85" w:rsidP="008742A1">
            <w:pPr>
              <w:pStyle w:val="Tabletext1"/>
              <w:rPr>
                <w:b/>
              </w:rPr>
            </w:pPr>
            <w:r w:rsidRPr="00C200CB">
              <w:rPr>
                <w:b/>
              </w:rPr>
              <w:t>Search</w:t>
            </w:r>
          </w:p>
        </w:tc>
        <w:tc>
          <w:tcPr>
            <w:tcW w:w="3864" w:type="pct"/>
            <w:hideMark/>
          </w:tcPr>
          <w:p w14:paraId="161BA574" w14:textId="77777777" w:rsidR="00911F85" w:rsidRPr="00C200CB" w:rsidRDefault="00911F85" w:rsidP="008742A1">
            <w:pPr>
              <w:pStyle w:val="Tabletext1"/>
              <w:rPr>
                <w:b/>
              </w:rPr>
            </w:pPr>
            <w:r w:rsidRPr="00C200CB">
              <w:rPr>
                <w:b/>
              </w:rPr>
              <w:t>Query</w:t>
            </w:r>
          </w:p>
        </w:tc>
        <w:tc>
          <w:tcPr>
            <w:tcW w:w="588" w:type="pct"/>
            <w:hideMark/>
          </w:tcPr>
          <w:p w14:paraId="3DA70545" w14:textId="77777777" w:rsidR="00911F85" w:rsidRPr="00C200CB" w:rsidRDefault="00911F85" w:rsidP="008742A1">
            <w:pPr>
              <w:pStyle w:val="Tabletext1"/>
              <w:rPr>
                <w:b/>
              </w:rPr>
            </w:pPr>
            <w:r w:rsidRPr="00C200CB">
              <w:rPr>
                <w:b/>
              </w:rPr>
              <w:t>Items found</w:t>
            </w:r>
          </w:p>
        </w:tc>
      </w:tr>
      <w:tr w:rsidR="00911F85" w:rsidRPr="008E3AA4" w14:paraId="200C68F7" w14:textId="77777777" w:rsidTr="008742A1">
        <w:tc>
          <w:tcPr>
            <w:tcW w:w="548" w:type="pct"/>
            <w:tcBorders>
              <w:right w:val="nil"/>
            </w:tcBorders>
          </w:tcPr>
          <w:p w14:paraId="52C9F2E5" w14:textId="77777777" w:rsidR="00911F85" w:rsidRPr="008E3AA4" w:rsidRDefault="00911F85" w:rsidP="008742A1">
            <w:pPr>
              <w:pStyle w:val="Tabletext1"/>
            </w:pPr>
            <w:r>
              <w:t>Pubmed</w:t>
            </w:r>
          </w:p>
        </w:tc>
        <w:tc>
          <w:tcPr>
            <w:tcW w:w="3864" w:type="pct"/>
            <w:tcBorders>
              <w:left w:val="nil"/>
              <w:right w:val="nil"/>
            </w:tcBorders>
          </w:tcPr>
          <w:p w14:paraId="2878290A" w14:textId="77777777" w:rsidR="00911F85" w:rsidRPr="008E3AA4" w:rsidRDefault="00911F85" w:rsidP="008742A1">
            <w:pPr>
              <w:pStyle w:val="Tabletext1"/>
            </w:pPr>
            <w:r w:rsidRPr="008E3AA4">
              <w:rPr>
                <w:color w:val="FFFFFF" w:themeColor="background1"/>
              </w:rPr>
              <w:t>-</w:t>
            </w:r>
          </w:p>
        </w:tc>
        <w:tc>
          <w:tcPr>
            <w:tcW w:w="588" w:type="pct"/>
            <w:tcBorders>
              <w:left w:val="nil"/>
            </w:tcBorders>
          </w:tcPr>
          <w:p w14:paraId="24CB230D" w14:textId="77777777" w:rsidR="00911F85" w:rsidRPr="008E3AA4" w:rsidRDefault="00911F85" w:rsidP="008742A1">
            <w:pPr>
              <w:pStyle w:val="Tabletext1"/>
            </w:pPr>
            <w:r w:rsidRPr="008E3AA4">
              <w:rPr>
                <w:color w:val="FFFFFF" w:themeColor="background1"/>
              </w:rPr>
              <w:t>-</w:t>
            </w:r>
          </w:p>
        </w:tc>
      </w:tr>
      <w:tr w:rsidR="00911F85" w:rsidRPr="00C200CB" w14:paraId="5C6FFF44" w14:textId="77777777" w:rsidTr="008742A1">
        <w:trPr>
          <w:cantSplit/>
        </w:trPr>
        <w:tc>
          <w:tcPr>
            <w:tcW w:w="548" w:type="pct"/>
            <w:hideMark/>
          </w:tcPr>
          <w:p w14:paraId="17238AE6" w14:textId="7F1FAB00" w:rsidR="00911F85" w:rsidRPr="00135F49" w:rsidRDefault="009F6E2C" w:rsidP="008742A1">
            <w:pPr>
              <w:pStyle w:val="Tabletext1"/>
              <w:rPr>
                <w:rStyle w:val="emb-button-text"/>
              </w:rPr>
            </w:pPr>
            <w:hyperlink r:id="rId60" w:tooltip="Perform actions on search" w:history="1">
              <w:r w:rsidR="00911F85" w:rsidRPr="00135F49">
                <w:rPr>
                  <w:rStyle w:val="emb-button-text"/>
                </w:rPr>
                <w:t>#1</w:t>
              </w:r>
            </w:hyperlink>
          </w:p>
        </w:tc>
        <w:tc>
          <w:tcPr>
            <w:tcW w:w="3864" w:type="pct"/>
            <w:hideMark/>
          </w:tcPr>
          <w:p w14:paraId="499451C0" w14:textId="77777777" w:rsidR="00911F85" w:rsidRPr="00135F49" w:rsidRDefault="00911F85" w:rsidP="008742A1">
            <w:pPr>
              <w:pStyle w:val="Tabletext1"/>
              <w:rPr>
                <w:rStyle w:val="emb-button-text"/>
              </w:rPr>
            </w:pPr>
            <w:r w:rsidRPr="00135F49">
              <w:rPr>
                <w:rStyle w:val="emb-button-text"/>
              </w:rPr>
              <w:t>Hypogammaglobulinemia OR Hypogammaglobulinaemia OR hypogamma* OR “low immunoglobulin” OR “immunoglobulin deficiency”[mh] OR "low Ig" OR "low IgG" OR "immunoglobulin deficiency" OR "immunoglobulin deficient" OR "Ig deficiency" OR "IgG deficiency" OR immuno</w:t>
            </w:r>
            <w:r>
              <w:rPr>
                <w:rStyle w:val="emb-button-text"/>
              </w:rPr>
              <w:t>paresis OR immunodeficiency</w:t>
            </w:r>
          </w:p>
        </w:tc>
        <w:tc>
          <w:tcPr>
            <w:tcW w:w="588" w:type="pct"/>
            <w:hideMark/>
          </w:tcPr>
          <w:p w14:paraId="5A11156E" w14:textId="5EAEAEE2" w:rsidR="00911F85" w:rsidRPr="00135F49" w:rsidRDefault="009F6E2C" w:rsidP="008742A1">
            <w:pPr>
              <w:pStyle w:val="Tabletext1"/>
              <w:jc w:val="right"/>
              <w:rPr>
                <w:rStyle w:val="emb-button-text"/>
              </w:rPr>
            </w:pPr>
            <w:hyperlink r:id="rId61" w:tooltip="Show search results" w:history="1">
              <w:r w:rsidR="00911F85" w:rsidRPr="00135F49">
                <w:rPr>
                  <w:rStyle w:val="emb-button-text"/>
                </w:rPr>
                <w:t>374</w:t>
              </w:r>
              <w:r w:rsidR="00911F85">
                <w:rPr>
                  <w:rStyle w:val="emb-button-text"/>
                </w:rPr>
                <w:t>,</w:t>
              </w:r>
              <w:r w:rsidR="00911F85" w:rsidRPr="00135F49">
                <w:rPr>
                  <w:rStyle w:val="emb-button-text"/>
                </w:rPr>
                <w:t>761</w:t>
              </w:r>
            </w:hyperlink>
          </w:p>
        </w:tc>
      </w:tr>
      <w:tr w:rsidR="00911F85" w:rsidRPr="00C200CB" w14:paraId="092857C3" w14:textId="77777777" w:rsidTr="008742A1">
        <w:trPr>
          <w:cantSplit/>
        </w:trPr>
        <w:tc>
          <w:tcPr>
            <w:tcW w:w="548" w:type="pct"/>
            <w:hideMark/>
          </w:tcPr>
          <w:p w14:paraId="4FA0B988" w14:textId="24B41D3A" w:rsidR="00911F85" w:rsidRPr="00135F49" w:rsidRDefault="009F6E2C" w:rsidP="008742A1">
            <w:pPr>
              <w:pStyle w:val="Tabletext1"/>
              <w:rPr>
                <w:rStyle w:val="emb-button-text"/>
              </w:rPr>
            </w:pPr>
            <w:hyperlink r:id="rId62" w:tooltip="Perform actions on search" w:history="1">
              <w:r w:rsidR="00911F85" w:rsidRPr="00135F49">
                <w:rPr>
                  <w:rStyle w:val="emb-button-text"/>
                </w:rPr>
                <w:t>#2</w:t>
              </w:r>
            </w:hyperlink>
          </w:p>
        </w:tc>
        <w:tc>
          <w:tcPr>
            <w:tcW w:w="3864" w:type="pct"/>
            <w:hideMark/>
          </w:tcPr>
          <w:p w14:paraId="63FA6A79" w14:textId="77777777" w:rsidR="00911F85" w:rsidRPr="00135F49" w:rsidRDefault="00911F85" w:rsidP="008742A1">
            <w:pPr>
              <w:pStyle w:val="Tabletext1"/>
              <w:rPr>
                <w:rStyle w:val="emb-button-text"/>
              </w:rPr>
            </w:pPr>
            <w:r w:rsidRPr="00135F49">
              <w:rPr>
                <w:rStyle w:val="emb-button-text"/>
              </w:rPr>
              <w:t xml:space="preserve"> “secondary immunodeficiency” OR leukaemia* OR leukemia* OR “Leukemia, Lymphoid”[mh] OR “Leukemia, Mast-Cell”[mh] OR “Leukemia, Myeloid”[mh] OR “Leukemia, plasma cell”[mh] OR “Leukemia, Radiation-Induced”[mh] OR “Multiple myeloma”[mh] OR “multiple myeloma” OR “Lymphoma”[mh] OR lymphoma OR lymphoproliferative OR “non-hodgkin” OR nonhodgkin OR (("B-cell" OR haematological OR hematological) AND (malignancy OR malignancies OR neoplasm[mh])) OR “Hematologic Neoplasms”[mh] OR “Hematopoietic Stem Cell Transplantation”[mh] OR HSCT OR ((“stem cell” OR “progenitor cell”) AND (transplantation</w:t>
            </w:r>
            <w:r>
              <w:rPr>
                <w:rStyle w:val="emb-button-text"/>
              </w:rPr>
              <w:t xml:space="preserve"> OR transplant OR transplants))</w:t>
            </w:r>
          </w:p>
        </w:tc>
        <w:tc>
          <w:tcPr>
            <w:tcW w:w="588" w:type="pct"/>
            <w:hideMark/>
          </w:tcPr>
          <w:p w14:paraId="18D39C85" w14:textId="678910C0" w:rsidR="00911F85" w:rsidRPr="00135F49" w:rsidRDefault="009F6E2C" w:rsidP="008742A1">
            <w:pPr>
              <w:pStyle w:val="Tabletext1"/>
              <w:jc w:val="right"/>
              <w:rPr>
                <w:rStyle w:val="emb-button-text"/>
              </w:rPr>
            </w:pPr>
            <w:hyperlink r:id="rId63" w:tooltip="Show search results" w:history="1">
              <w:r w:rsidR="00911F85" w:rsidRPr="00135F49">
                <w:rPr>
                  <w:rStyle w:val="emb-button-text"/>
                </w:rPr>
                <w:t>650</w:t>
              </w:r>
              <w:r w:rsidR="00911F85">
                <w:rPr>
                  <w:rStyle w:val="emb-button-text"/>
                </w:rPr>
                <w:t>,</w:t>
              </w:r>
              <w:r w:rsidR="00911F85" w:rsidRPr="00135F49">
                <w:rPr>
                  <w:rStyle w:val="emb-button-text"/>
                </w:rPr>
                <w:t>396</w:t>
              </w:r>
            </w:hyperlink>
          </w:p>
        </w:tc>
      </w:tr>
      <w:tr w:rsidR="00911F85" w:rsidRPr="00C200CB" w14:paraId="69FE223E" w14:textId="77777777" w:rsidTr="008742A1">
        <w:trPr>
          <w:cantSplit/>
        </w:trPr>
        <w:tc>
          <w:tcPr>
            <w:tcW w:w="548" w:type="pct"/>
          </w:tcPr>
          <w:p w14:paraId="6BBB8537" w14:textId="5AF5A333" w:rsidR="00911F85" w:rsidRPr="00135F49" w:rsidRDefault="009F6E2C" w:rsidP="008742A1">
            <w:pPr>
              <w:pStyle w:val="Tabletext1"/>
              <w:rPr>
                <w:rStyle w:val="emb-button-text"/>
              </w:rPr>
            </w:pPr>
            <w:hyperlink r:id="rId64" w:tooltip="Perform actions on search" w:history="1">
              <w:r w:rsidR="00911F85" w:rsidRPr="00135F49">
                <w:rPr>
                  <w:rStyle w:val="emb-button-text"/>
                </w:rPr>
                <w:t>#3</w:t>
              </w:r>
            </w:hyperlink>
          </w:p>
        </w:tc>
        <w:tc>
          <w:tcPr>
            <w:tcW w:w="3864" w:type="pct"/>
          </w:tcPr>
          <w:p w14:paraId="13F283B9" w14:textId="77777777" w:rsidR="00911F85" w:rsidRPr="00135F49" w:rsidRDefault="00911F85" w:rsidP="008742A1">
            <w:pPr>
              <w:pStyle w:val="Tabletext1"/>
              <w:rPr>
                <w:rStyle w:val="emb-button-text"/>
              </w:rPr>
            </w:pPr>
            <w:r w:rsidRPr="00135F49">
              <w:rPr>
                <w:rStyle w:val="emb-button-text"/>
              </w:rPr>
              <w:t xml:space="preserve">”Immunoglobulin G”[mh] OR immunoglob* OR “immune globulin” OR immunoglobulin OR “gamma globulin” OR gammaglobulin OR IVIg OR SCIg OR IgG OR Ig OR Intragam OR Privigen OR Hizentra OR Gamunex OR Flebogamma OR Intragam OR Evogam OR Panzyga OR Hyqvia OR Intratect OR Octagam OR Kiovig OR Gammanorm OR Cuvitru OR GammaSTAN OR BayGam OR Polygam OR GAMMAGARD OR Sandoglobulin OR Panglobulin OR Carimune OR GAMMAKED OR Iveegam OR Bivigam OR Gammaplex OR Intratect OR IQYMUNE OR SUBCUVIA OR Subgam OR Vigam OR CUTAQUIG OR GAMASTAN OR GAMIMUNE OR IGIVNEX OR RESPIGAM OR VIVAGLOBIN OR GammaQuin OR Nanogam OR CLAIRYG OR ENDOBULINE OR SANDOGLOBULINE OR TECTASIM OR </w:t>
            </w:r>
            <w:r>
              <w:rPr>
                <w:rStyle w:val="emb-button-text"/>
              </w:rPr>
              <w:t>TEGELINE OR “Kenketu Glovenin”)</w:t>
            </w:r>
          </w:p>
        </w:tc>
        <w:tc>
          <w:tcPr>
            <w:tcW w:w="588" w:type="pct"/>
          </w:tcPr>
          <w:p w14:paraId="59B403AE" w14:textId="51831E98" w:rsidR="00911F85" w:rsidRPr="00135F49" w:rsidRDefault="009F6E2C" w:rsidP="008742A1">
            <w:pPr>
              <w:pStyle w:val="Tabletext1"/>
              <w:jc w:val="right"/>
              <w:rPr>
                <w:rStyle w:val="emb-button-text"/>
              </w:rPr>
            </w:pPr>
            <w:hyperlink r:id="rId65" w:tooltip="Show search results" w:history="1">
              <w:r w:rsidR="00911F85" w:rsidRPr="00135F49">
                <w:rPr>
                  <w:rStyle w:val="emb-button-text"/>
                </w:rPr>
                <w:t>957</w:t>
              </w:r>
              <w:r w:rsidR="00911F85">
                <w:rPr>
                  <w:rStyle w:val="emb-button-text"/>
                </w:rPr>
                <w:t>,</w:t>
              </w:r>
              <w:r w:rsidR="00911F85" w:rsidRPr="00135F49">
                <w:rPr>
                  <w:rStyle w:val="emb-button-text"/>
                </w:rPr>
                <w:t>682</w:t>
              </w:r>
            </w:hyperlink>
          </w:p>
        </w:tc>
      </w:tr>
      <w:tr w:rsidR="00911F85" w:rsidRPr="00C200CB" w14:paraId="0BA9E218" w14:textId="77777777" w:rsidTr="008742A1">
        <w:trPr>
          <w:cantSplit/>
        </w:trPr>
        <w:tc>
          <w:tcPr>
            <w:tcW w:w="548" w:type="pct"/>
            <w:tcBorders>
              <w:bottom w:val="single" w:sz="4" w:space="0" w:color="auto"/>
            </w:tcBorders>
            <w:hideMark/>
          </w:tcPr>
          <w:p w14:paraId="5574A446" w14:textId="6683BB19" w:rsidR="00911F85" w:rsidRPr="00135F49" w:rsidRDefault="009F6E2C" w:rsidP="008742A1">
            <w:pPr>
              <w:pStyle w:val="Tabletext1"/>
              <w:rPr>
                <w:rStyle w:val="emb-button-text"/>
              </w:rPr>
            </w:pPr>
            <w:hyperlink r:id="rId66" w:tooltip="Perform actions on search" w:history="1">
              <w:r w:rsidR="00911F85" w:rsidRPr="00135F49">
                <w:rPr>
                  <w:rStyle w:val="emb-button-text"/>
                </w:rPr>
                <w:t>#4</w:t>
              </w:r>
            </w:hyperlink>
          </w:p>
        </w:tc>
        <w:tc>
          <w:tcPr>
            <w:tcW w:w="3864" w:type="pct"/>
            <w:tcBorders>
              <w:bottom w:val="single" w:sz="4" w:space="0" w:color="auto"/>
            </w:tcBorders>
            <w:hideMark/>
          </w:tcPr>
          <w:p w14:paraId="76CF0604" w14:textId="77777777" w:rsidR="00911F85" w:rsidRPr="00135F49" w:rsidRDefault="00911F85" w:rsidP="008742A1">
            <w:pPr>
              <w:pStyle w:val="Tabletext1"/>
              <w:rPr>
                <w:rStyle w:val="emb-button-text"/>
              </w:rPr>
            </w:pPr>
            <w:r w:rsidRPr="00135F49">
              <w:rPr>
                <w:rStyle w:val="emb-button-text"/>
              </w:rPr>
              <w:t>"economics"[MeSH Terms] OR “costs and cost analysis”[MeSH Terms] OR “cost allocation”[MeSH Terms] OR “cost benefit analysis”[MeSH Terms] OR “cost control”[MeSH Terms] OR “cost savings”[MeSH Terms] OR “cost of illness”[MeSH Terms] OR “health care costs”[MeSH Terms] OR “drug costs”[MeSH Terms] OR “health expenditures”[MeSH Terms] OR “economics, medical”[MeSH Terms] OR “economics, pharmaceutical”[ MeSH Terms] OR “fees and charges”[MeSH Terms] OR “budgets”[MeSH Terms] OR “cost”[All fields] OR “high cost”[All Fields] OR “low cost”[All Fields] OR “cost utility”[All Fields] OR “cost-utility”[All Fields] OR “economics”[All Fields] OR “financial”[All Fields] OR “finance”[All Fields] OR “healthcare cost”[All Fields] OR “health care cost”[All Fields] OR “cost estimate”[All Fields] OR “unit cost”[All Fields] OR “economics, pharmaceutical”[MeSH Terms] OR (“economics”[All Fields] AND “pharmaceutical”[All Fields]) OR “pharmaceutical economics”[All Fields] OR “pharmacoeconomic”[All Fields] OR “commerce”[MeSH Terms] OR “commerce”[ All Fields] OR “price”[All Fields] OR ((“costs”[All Fields] OR “cost”[All Fields]) AND “analysis”[All Fields]) OR “costs and cost analysis”[All Fields] OR “pricing”[All Fields] OR “cost-effectiveness”[All Fields] OR "cost effectiveness”[All Fields] OR “e</w:t>
            </w:r>
            <w:r>
              <w:rPr>
                <w:rStyle w:val="emb-button-text"/>
              </w:rPr>
              <w:t>conomic evaluation”[All Fields]</w:t>
            </w:r>
          </w:p>
        </w:tc>
        <w:tc>
          <w:tcPr>
            <w:tcW w:w="588" w:type="pct"/>
            <w:tcBorders>
              <w:bottom w:val="single" w:sz="4" w:space="0" w:color="auto"/>
            </w:tcBorders>
            <w:hideMark/>
          </w:tcPr>
          <w:p w14:paraId="7F26B991" w14:textId="47F170FA" w:rsidR="00911F85" w:rsidRPr="00135F49" w:rsidRDefault="009F6E2C" w:rsidP="008742A1">
            <w:pPr>
              <w:pStyle w:val="Tabletext1"/>
              <w:jc w:val="right"/>
              <w:rPr>
                <w:rStyle w:val="emb-button-text"/>
              </w:rPr>
            </w:pPr>
            <w:hyperlink r:id="rId67" w:tooltip="Show search results" w:history="1">
              <w:r w:rsidR="00911F85" w:rsidRPr="00135F49">
                <w:rPr>
                  <w:rStyle w:val="emb-button-text"/>
                </w:rPr>
                <w:t>1</w:t>
              </w:r>
              <w:r w:rsidR="00911F85">
                <w:rPr>
                  <w:rStyle w:val="emb-button-text"/>
                </w:rPr>
                <w:t>,</w:t>
              </w:r>
              <w:r w:rsidR="00911F85" w:rsidRPr="00135F49">
                <w:rPr>
                  <w:rStyle w:val="emb-button-text"/>
                </w:rPr>
                <w:t>148</w:t>
              </w:r>
              <w:r w:rsidR="00911F85">
                <w:rPr>
                  <w:rStyle w:val="emb-button-text"/>
                </w:rPr>
                <w:t>,</w:t>
              </w:r>
              <w:r w:rsidR="00911F85" w:rsidRPr="00135F49">
                <w:rPr>
                  <w:rStyle w:val="emb-button-text"/>
                </w:rPr>
                <w:t>753</w:t>
              </w:r>
            </w:hyperlink>
          </w:p>
        </w:tc>
      </w:tr>
      <w:tr w:rsidR="00911F85" w:rsidRPr="00C200CB" w14:paraId="49E630B2" w14:textId="77777777" w:rsidTr="008742A1">
        <w:trPr>
          <w:cantSplit/>
        </w:trPr>
        <w:tc>
          <w:tcPr>
            <w:tcW w:w="548" w:type="pct"/>
            <w:tcBorders>
              <w:bottom w:val="double" w:sz="4" w:space="0" w:color="auto"/>
            </w:tcBorders>
            <w:hideMark/>
          </w:tcPr>
          <w:p w14:paraId="0F537449" w14:textId="407004B5" w:rsidR="00911F85" w:rsidRPr="00135F49" w:rsidRDefault="009F6E2C" w:rsidP="008742A1">
            <w:pPr>
              <w:pStyle w:val="Tabletext1"/>
              <w:rPr>
                <w:rStyle w:val="emb-button-text"/>
              </w:rPr>
            </w:pPr>
            <w:hyperlink r:id="rId68" w:tooltip="Perform actions on search" w:history="1">
              <w:r w:rsidR="00911F85" w:rsidRPr="00135F49">
                <w:rPr>
                  <w:rStyle w:val="emb-button-text"/>
                </w:rPr>
                <w:t>#5</w:t>
              </w:r>
            </w:hyperlink>
          </w:p>
        </w:tc>
        <w:tc>
          <w:tcPr>
            <w:tcW w:w="3864" w:type="pct"/>
            <w:tcBorders>
              <w:bottom w:val="double" w:sz="4" w:space="0" w:color="auto"/>
            </w:tcBorders>
            <w:hideMark/>
          </w:tcPr>
          <w:p w14:paraId="0FA0C587" w14:textId="77777777" w:rsidR="00911F85" w:rsidRPr="00135F49" w:rsidRDefault="00911F85" w:rsidP="008742A1">
            <w:pPr>
              <w:pStyle w:val="Tabletext1"/>
              <w:rPr>
                <w:rStyle w:val="emb-button-text"/>
              </w:rPr>
            </w:pPr>
            <w:r>
              <w:rPr>
                <w:rStyle w:val="emb-button-text"/>
              </w:rPr>
              <w:t>#1 AND #2 AND #3 AND #4</w:t>
            </w:r>
          </w:p>
        </w:tc>
        <w:tc>
          <w:tcPr>
            <w:tcW w:w="588" w:type="pct"/>
            <w:tcBorders>
              <w:bottom w:val="double" w:sz="4" w:space="0" w:color="auto"/>
            </w:tcBorders>
            <w:hideMark/>
          </w:tcPr>
          <w:p w14:paraId="25C67794" w14:textId="62423A3A" w:rsidR="00911F85" w:rsidRPr="00135F49" w:rsidRDefault="009F6E2C" w:rsidP="008742A1">
            <w:pPr>
              <w:pStyle w:val="Tabletext1"/>
              <w:jc w:val="right"/>
              <w:rPr>
                <w:rStyle w:val="emb-button-text"/>
              </w:rPr>
            </w:pPr>
            <w:hyperlink r:id="rId69" w:tooltip="Show search results" w:history="1">
              <w:r w:rsidR="00911F85" w:rsidRPr="00135F49">
                <w:rPr>
                  <w:rStyle w:val="emb-button-text"/>
                </w:rPr>
                <w:t>67</w:t>
              </w:r>
            </w:hyperlink>
          </w:p>
        </w:tc>
      </w:tr>
      <w:tr w:rsidR="00911F85" w:rsidRPr="008E3AA4" w14:paraId="12D3FB0E" w14:textId="77777777" w:rsidTr="008742A1">
        <w:trPr>
          <w:cantSplit/>
        </w:trPr>
        <w:tc>
          <w:tcPr>
            <w:tcW w:w="548" w:type="pct"/>
            <w:tcBorders>
              <w:top w:val="double" w:sz="4" w:space="0" w:color="auto"/>
              <w:right w:val="nil"/>
            </w:tcBorders>
          </w:tcPr>
          <w:p w14:paraId="1EE704E4" w14:textId="77777777" w:rsidR="00911F85" w:rsidRPr="008E3AA4" w:rsidRDefault="00911F85" w:rsidP="008742A1">
            <w:pPr>
              <w:pStyle w:val="Tabletext1"/>
            </w:pPr>
            <w:r w:rsidRPr="008E3AA4">
              <w:t>Embase</w:t>
            </w:r>
          </w:p>
        </w:tc>
        <w:tc>
          <w:tcPr>
            <w:tcW w:w="3864" w:type="pct"/>
            <w:tcBorders>
              <w:top w:val="double" w:sz="4" w:space="0" w:color="auto"/>
              <w:left w:val="nil"/>
              <w:right w:val="nil"/>
            </w:tcBorders>
          </w:tcPr>
          <w:p w14:paraId="1FB36BB5" w14:textId="77777777" w:rsidR="00911F85" w:rsidRPr="008E3AA4" w:rsidRDefault="00911F85" w:rsidP="008742A1">
            <w:pPr>
              <w:pStyle w:val="Tabletext1"/>
            </w:pPr>
            <w:r w:rsidRPr="008E3AA4">
              <w:rPr>
                <w:color w:val="FFFFFF" w:themeColor="background1"/>
              </w:rPr>
              <w:t>-</w:t>
            </w:r>
          </w:p>
        </w:tc>
        <w:tc>
          <w:tcPr>
            <w:tcW w:w="588" w:type="pct"/>
            <w:tcBorders>
              <w:top w:val="double" w:sz="4" w:space="0" w:color="auto"/>
              <w:left w:val="nil"/>
            </w:tcBorders>
          </w:tcPr>
          <w:p w14:paraId="4137C02B" w14:textId="77777777" w:rsidR="00911F85" w:rsidRPr="008E3AA4" w:rsidRDefault="00911F85" w:rsidP="008742A1">
            <w:pPr>
              <w:pStyle w:val="Tabletext1"/>
              <w:jc w:val="right"/>
            </w:pPr>
            <w:r w:rsidRPr="008E3AA4">
              <w:rPr>
                <w:color w:val="FFFFFF" w:themeColor="background1"/>
              </w:rPr>
              <w:t>-</w:t>
            </w:r>
          </w:p>
        </w:tc>
      </w:tr>
      <w:tr w:rsidR="00911F85" w:rsidRPr="00C200CB" w14:paraId="5E35E639" w14:textId="77777777" w:rsidTr="008742A1">
        <w:trPr>
          <w:cantSplit/>
        </w:trPr>
        <w:tc>
          <w:tcPr>
            <w:tcW w:w="548" w:type="pct"/>
            <w:hideMark/>
          </w:tcPr>
          <w:p w14:paraId="6952FBDC" w14:textId="516FA254" w:rsidR="00911F85" w:rsidRPr="00C200CB" w:rsidRDefault="009F6E2C" w:rsidP="008742A1">
            <w:pPr>
              <w:pStyle w:val="Tabletext1"/>
              <w:rPr>
                <w:rStyle w:val="emb-button-text"/>
              </w:rPr>
            </w:pPr>
            <w:hyperlink r:id="rId70" w:tooltip="Perform actions on search" w:history="1">
              <w:r w:rsidR="00911F85" w:rsidRPr="00C200CB">
                <w:rPr>
                  <w:rStyle w:val="emb-button-text"/>
                </w:rPr>
                <w:t>#1</w:t>
              </w:r>
            </w:hyperlink>
          </w:p>
        </w:tc>
        <w:tc>
          <w:tcPr>
            <w:tcW w:w="3864" w:type="pct"/>
            <w:hideMark/>
          </w:tcPr>
          <w:p w14:paraId="2F951478" w14:textId="77777777" w:rsidR="00911F85" w:rsidRPr="006A4943" w:rsidRDefault="00911F85" w:rsidP="008742A1">
            <w:pPr>
              <w:pStyle w:val="Tabletext1"/>
              <w:rPr>
                <w:rStyle w:val="emb-button-text"/>
              </w:rPr>
            </w:pPr>
            <w:r w:rsidRPr="00135F49">
              <w:rPr>
                <w:rStyle w:val="emb-button-text"/>
              </w:rPr>
              <w:t>'immunoglobulin deficiency'/exp OR 'immunoglobulin deficiency' OR 'immunoparesis'/exp OR immunoparesis OR 'hypogammaglobulinaemia'/exp OR hypogammaglobulinaemia OR 'hypogammaglobulinemia'/exp OR hypogammaglobulinemia OR 'low immunoglobulin' OR 'low ig' OR 'low igg' OR 'immunoglobulin deficient' OR 'ig deficiency' OR 'igg deficiency'/exp OR 'igg deficiency' OR 'immunodeficiency'/exp OR immunodeficiency</w:t>
            </w:r>
          </w:p>
        </w:tc>
        <w:tc>
          <w:tcPr>
            <w:tcW w:w="588" w:type="pct"/>
            <w:hideMark/>
          </w:tcPr>
          <w:p w14:paraId="053F0881" w14:textId="77777777" w:rsidR="00911F85" w:rsidRPr="006A4943" w:rsidRDefault="00911F85" w:rsidP="008742A1">
            <w:pPr>
              <w:pStyle w:val="Tabletext1"/>
              <w:jc w:val="right"/>
              <w:rPr>
                <w:rStyle w:val="emb-button-text"/>
              </w:rPr>
            </w:pPr>
            <w:r w:rsidRPr="00135F49">
              <w:rPr>
                <w:rStyle w:val="emb-button-text"/>
              </w:rPr>
              <w:t>634,524</w:t>
            </w:r>
          </w:p>
        </w:tc>
      </w:tr>
      <w:tr w:rsidR="00911F85" w:rsidRPr="00C200CB" w14:paraId="1D9EF3FD" w14:textId="77777777" w:rsidTr="008742A1">
        <w:trPr>
          <w:cantSplit/>
        </w:trPr>
        <w:tc>
          <w:tcPr>
            <w:tcW w:w="548" w:type="pct"/>
            <w:hideMark/>
          </w:tcPr>
          <w:p w14:paraId="54CDFCBC" w14:textId="77B08C0E" w:rsidR="00911F85" w:rsidRPr="00C200CB" w:rsidRDefault="009F6E2C" w:rsidP="008742A1">
            <w:pPr>
              <w:pStyle w:val="Tabletext1"/>
              <w:rPr>
                <w:rStyle w:val="emb-button-text"/>
              </w:rPr>
            </w:pPr>
            <w:hyperlink r:id="rId71" w:tooltip="Perform actions on search" w:history="1">
              <w:r w:rsidR="00911F85" w:rsidRPr="00C200CB">
                <w:rPr>
                  <w:rStyle w:val="emb-button-text"/>
                </w:rPr>
                <w:t>#2</w:t>
              </w:r>
            </w:hyperlink>
          </w:p>
        </w:tc>
        <w:tc>
          <w:tcPr>
            <w:tcW w:w="3864" w:type="pct"/>
            <w:hideMark/>
          </w:tcPr>
          <w:p w14:paraId="7D65A4F1" w14:textId="77777777" w:rsidR="00911F85" w:rsidRPr="006A4943" w:rsidRDefault="00911F85" w:rsidP="008742A1">
            <w:pPr>
              <w:pStyle w:val="Tabletext1"/>
              <w:rPr>
                <w:rStyle w:val="emb-button-text"/>
              </w:rPr>
            </w:pPr>
            <w:r w:rsidRPr="00135F49">
              <w:rPr>
                <w:rStyle w:val="emb-button-text"/>
              </w:rPr>
              <w:t>'secondary immunodeficiency' OR leukemia OR leukaemia OR 'acute leukemia' OR 'myeloid leukemia' OR 'multiple myeloma' OR lymphoma OR 'nonhodgkin lymphoma' OR 'acute lymphoblastic leukemia' OR 'chronic lymphatic leukemia' OR 'chronic lymphocytic leukemia' OR 'small lymphocytic lymphoma' OR 'b cell malignancy' OR 'haematological malignancy' OR 'hematopoietic stem cell transplantation' OR 'progenitor cell transplant'</w:t>
            </w:r>
          </w:p>
        </w:tc>
        <w:tc>
          <w:tcPr>
            <w:tcW w:w="588" w:type="pct"/>
            <w:hideMark/>
          </w:tcPr>
          <w:p w14:paraId="3F7599ED" w14:textId="77777777" w:rsidR="00911F85" w:rsidRPr="006A4943" w:rsidRDefault="00911F85" w:rsidP="008742A1">
            <w:pPr>
              <w:pStyle w:val="Tabletext1"/>
              <w:jc w:val="right"/>
              <w:rPr>
                <w:rStyle w:val="emb-button-text"/>
              </w:rPr>
            </w:pPr>
            <w:r w:rsidRPr="00135F49">
              <w:rPr>
                <w:rStyle w:val="emb-button-text"/>
              </w:rPr>
              <w:t>788,651</w:t>
            </w:r>
          </w:p>
        </w:tc>
      </w:tr>
      <w:tr w:rsidR="00911F85" w:rsidRPr="00C200CB" w14:paraId="75A5DBAB" w14:textId="77777777" w:rsidTr="008742A1">
        <w:trPr>
          <w:cantSplit/>
        </w:trPr>
        <w:tc>
          <w:tcPr>
            <w:tcW w:w="548" w:type="pct"/>
          </w:tcPr>
          <w:p w14:paraId="7602F10C" w14:textId="77777777" w:rsidR="00911F85" w:rsidRDefault="00911F85" w:rsidP="008742A1">
            <w:pPr>
              <w:pStyle w:val="Tabletext1"/>
              <w:rPr>
                <w:rStyle w:val="emb-button-text"/>
              </w:rPr>
            </w:pPr>
            <w:r>
              <w:rPr>
                <w:rStyle w:val="emb-button-text"/>
              </w:rPr>
              <w:t>#3</w:t>
            </w:r>
          </w:p>
        </w:tc>
        <w:tc>
          <w:tcPr>
            <w:tcW w:w="3864" w:type="pct"/>
          </w:tcPr>
          <w:p w14:paraId="69E645C7" w14:textId="77777777" w:rsidR="00911F85" w:rsidRPr="006A4943" w:rsidRDefault="00911F85" w:rsidP="008742A1">
            <w:pPr>
              <w:pStyle w:val="Tabletext1"/>
              <w:rPr>
                <w:rStyle w:val="emb-button-text"/>
              </w:rPr>
            </w:pPr>
            <w:r w:rsidRPr="00135F49">
              <w:rPr>
                <w:rStyle w:val="emb-button-text"/>
              </w:rPr>
              <w:t>'immunoglobulin' OR 'immune globulin' OR immunoglobulin OR 'gamma globulin' OR gammaglobulin OR ivig OR scig OR igg OR ig OR privigen OR hizentra OR gamunex OR flebogamma OR intragam OR evogam OR panzyga OR hyqvia OR octagam OR kiovig OR gammanorm OR cuvitru OR gammastan OR baygam OR polygam OR gammagard OR sandoglobulin OR panglobulin OR carimune OR gammaked OR iveegam OR bivigam OR gammaplex OR intratect OR iqymune OR subcuvia OR subgam OR vigam OR cutaquig OR gamastan OR gamimune OR igivnex OR respigam OR vivaglobin OR gammaquin OR nanogam OR clairyg OR endobuline OR sandoglobuline OR tectasim OR tegeline OR 'kenketu glovenin'</w:t>
            </w:r>
          </w:p>
        </w:tc>
        <w:tc>
          <w:tcPr>
            <w:tcW w:w="588" w:type="pct"/>
          </w:tcPr>
          <w:p w14:paraId="420FDD34" w14:textId="77777777" w:rsidR="00911F85" w:rsidRPr="006A4943" w:rsidRDefault="00911F85" w:rsidP="008742A1">
            <w:pPr>
              <w:pStyle w:val="Tabletext1"/>
              <w:jc w:val="right"/>
              <w:rPr>
                <w:rStyle w:val="emb-button-text"/>
              </w:rPr>
            </w:pPr>
            <w:r w:rsidRPr="00135F49">
              <w:rPr>
                <w:rStyle w:val="emb-button-text"/>
              </w:rPr>
              <w:t>742,290</w:t>
            </w:r>
          </w:p>
        </w:tc>
      </w:tr>
      <w:tr w:rsidR="00911F85" w:rsidRPr="00C200CB" w14:paraId="3D302B46" w14:textId="77777777" w:rsidTr="008742A1">
        <w:trPr>
          <w:cantSplit/>
        </w:trPr>
        <w:tc>
          <w:tcPr>
            <w:tcW w:w="548" w:type="pct"/>
            <w:hideMark/>
          </w:tcPr>
          <w:p w14:paraId="76E92FC5" w14:textId="4556971F" w:rsidR="00911F85" w:rsidRPr="00C200CB" w:rsidRDefault="009F6E2C" w:rsidP="008742A1">
            <w:pPr>
              <w:pStyle w:val="Tabletext1"/>
              <w:rPr>
                <w:rStyle w:val="emb-button-text"/>
              </w:rPr>
            </w:pPr>
            <w:hyperlink r:id="rId72" w:tooltip="Perform actions on search" w:history="1">
              <w:r w:rsidR="00911F85" w:rsidRPr="00C200CB">
                <w:rPr>
                  <w:rStyle w:val="emb-button-text"/>
                </w:rPr>
                <w:t>#</w:t>
              </w:r>
            </w:hyperlink>
            <w:r w:rsidR="00911F85">
              <w:rPr>
                <w:rStyle w:val="emb-button-text"/>
              </w:rPr>
              <w:t>4</w:t>
            </w:r>
          </w:p>
        </w:tc>
        <w:tc>
          <w:tcPr>
            <w:tcW w:w="3864" w:type="pct"/>
            <w:hideMark/>
          </w:tcPr>
          <w:p w14:paraId="6ADA941F" w14:textId="77777777" w:rsidR="00911F85" w:rsidRPr="006A4943" w:rsidRDefault="00911F85" w:rsidP="008742A1">
            <w:pPr>
              <w:pStyle w:val="Tabletext1"/>
              <w:rPr>
                <w:rStyle w:val="emb-button-text"/>
              </w:rPr>
            </w:pPr>
            <w:r w:rsidRPr="00135F49">
              <w:rPr>
                <w:rStyle w:val="emb-button-text"/>
              </w:rPr>
              <w:t>'health economics'/exp OR 'cost'/exp OR 'cost effectiveness analysis'/exp OR 'health care cost'/exp OR 'drug cost'/exp OR 'pharmacoeconomics'/exp OR 'budget'/exp OR 'cost utility analysis'/exp OR 'cost' OR 'cost effectiveness analysis' OR 'cost utility analysis' OR 'health economics'</w:t>
            </w:r>
          </w:p>
        </w:tc>
        <w:tc>
          <w:tcPr>
            <w:tcW w:w="588" w:type="pct"/>
            <w:hideMark/>
          </w:tcPr>
          <w:p w14:paraId="5E715754" w14:textId="77777777" w:rsidR="00911F85" w:rsidRPr="006A4943" w:rsidRDefault="00911F85" w:rsidP="008742A1">
            <w:pPr>
              <w:pStyle w:val="Tabletext1"/>
              <w:jc w:val="right"/>
              <w:rPr>
                <w:rStyle w:val="emb-button-text"/>
              </w:rPr>
            </w:pPr>
            <w:r w:rsidRPr="00135F49">
              <w:rPr>
                <w:rStyle w:val="emb-button-text"/>
              </w:rPr>
              <w:t>1,157,537</w:t>
            </w:r>
          </w:p>
        </w:tc>
      </w:tr>
      <w:tr w:rsidR="00911F85" w:rsidRPr="00C200CB" w14:paraId="11A8740F" w14:textId="77777777" w:rsidTr="008742A1">
        <w:trPr>
          <w:cantSplit/>
        </w:trPr>
        <w:tc>
          <w:tcPr>
            <w:tcW w:w="548" w:type="pct"/>
            <w:hideMark/>
          </w:tcPr>
          <w:p w14:paraId="7BF8FCA2" w14:textId="63856F2E" w:rsidR="00911F85" w:rsidRPr="00C200CB" w:rsidRDefault="009F6E2C" w:rsidP="008742A1">
            <w:pPr>
              <w:pStyle w:val="Tabletext1"/>
              <w:rPr>
                <w:rStyle w:val="emb-button-text"/>
              </w:rPr>
            </w:pPr>
            <w:hyperlink r:id="rId73" w:tooltip="Perform actions on search" w:history="1">
              <w:r w:rsidR="00911F85" w:rsidRPr="00C200CB">
                <w:rPr>
                  <w:rStyle w:val="emb-button-text"/>
                </w:rPr>
                <w:t>#</w:t>
              </w:r>
            </w:hyperlink>
            <w:r w:rsidR="00911F85">
              <w:rPr>
                <w:rStyle w:val="emb-button-text"/>
              </w:rPr>
              <w:t>5</w:t>
            </w:r>
          </w:p>
        </w:tc>
        <w:tc>
          <w:tcPr>
            <w:tcW w:w="3864" w:type="pct"/>
            <w:hideMark/>
          </w:tcPr>
          <w:p w14:paraId="1A00DBC0" w14:textId="77777777" w:rsidR="00911F85" w:rsidRPr="00C200CB" w:rsidRDefault="00911F85" w:rsidP="008742A1">
            <w:pPr>
              <w:pStyle w:val="Tabletext1"/>
              <w:rPr>
                <w:rStyle w:val="emb-button-text"/>
              </w:rPr>
            </w:pPr>
            <w:r w:rsidRPr="00135F49">
              <w:rPr>
                <w:rStyle w:val="emb-button-text"/>
              </w:rPr>
              <w:t>#1 AND #2 AND #3 AND #4</w:t>
            </w:r>
          </w:p>
        </w:tc>
        <w:tc>
          <w:tcPr>
            <w:tcW w:w="588" w:type="pct"/>
            <w:hideMark/>
          </w:tcPr>
          <w:p w14:paraId="2DFB02D5" w14:textId="77777777" w:rsidR="00911F85" w:rsidRPr="00C200CB" w:rsidRDefault="00911F85" w:rsidP="008742A1">
            <w:pPr>
              <w:pStyle w:val="Tabletext1"/>
              <w:jc w:val="right"/>
              <w:rPr>
                <w:rStyle w:val="emb-button-text"/>
              </w:rPr>
            </w:pPr>
            <w:r w:rsidRPr="00135F49">
              <w:rPr>
                <w:rStyle w:val="emb-button-text"/>
              </w:rPr>
              <w:t>253</w:t>
            </w:r>
          </w:p>
        </w:tc>
      </w:tr>
      <w:tr w:rsidR="00911F85" w:rsidRPr="00C639E7" w14:paraId="3D765983" w14:textId="77777777" w:rsidTr="008742A1">
        <w:trPr>
          <w:cantSplit/>
        </w:trPr>
        <w:tc>
          <w:tcPr>
            <w:tcW w:w="548" w:type="pct"/>
            <w:tcBorders>
              <w:top w:val="double" w:sz="4" w:space="0" w:color="auto"/>
            </w:tcBorders>
          </w:tcPr>
          <w:p w14:paraId="06790C4A" w14:textId="77777777" w:rsidR="00911F85" w:rsidRPr="000E465C" w:rsidRDefault="00911F85" w:rsidP="008742A1">
            <w:pPr>
              <w:pStyle w:val="Tabletext1"/>
            </w:pPr>
            <w:r w:rsidRPr="00F74CC3">
              <w:rPr>
                <w:color w:val="FFFFFF" w:themeColor="background1"/>
              </w:rPr>
              <w:t>-</w:t>
            </w:r>
          </w:p>
        </w:tc>
        <w:tc>
          <w:tcPr>
            <w:tcW w:w="3864" w:type="pct"/>
            <w:tcBorders>
              <w:top w:val="double" w:sz="4" w:space="0" w:color="auto"/>
            </w:tcBorders>
          </w:tcPr>
          <w:p w14:paraId="6CD92622" w14:textId="77777777" w:rsidR="00911F85" w:rsidRPr="000E465C" w:rsidRDefault="00911F85" w:rsidP="008742A1">
            <w:pPr>
              <w:pStyle w:val="Tabletext1"/>
              <w:rPr>
                <w:bCs/>
              </w:rPr>
            </w:pPr>
            <w:r>
              <w:rPr>
                <w:bCs/>
              </w:rPr>
              <w:t>Total, after duplicates were excluded</w:t>
            </w:r>
          </w:p>
        </w:tc>
        <w:tc>
          <w:tcPr>
            <w:tcW w:w="588" w:type="pct"/>
            <w:tcBorders>
              <w:top w:val="double" w:sz="4" w:space="0" w:color="auto"/>
            </w:tcBorders>
          </w:tcPr>
          <w:p w14:paraId="6198C97B" w14:textId="77777777" w:rsidR="00911F85" w:rsidRPr="00C639E7" w:rsidRDefault="00911F85" w:rsidP="008742A1">
            <w:pPr>
              <w:pStyle w:val="Tabletext1"/>
              <w:jc w:val="right"/>
              <w:rPr>
                <w:spacing w:val="2"/>
              </w:rPr>
            </w:pPr>
            <w:r>
              <w:rPr>
                <w:spacing w:val="2"/>
              </w:rPr>
              <w:t>292</w:t>
            </w:r>
          </w:p>
        </w:tc>
      </w:tr>
      <w:tr w:rsidR="00911F85" w:rsidRPr="00C639E7" w14:paraId="0F612C86" w14:textId="77777777" w:rsidTr="008742A1">
        <w:trPr>
          <w:cantSplit/>
        </w:trPr>
        <w:tc>
          <w:tcPr>
            <w:tcW w:w="548" w:type="pct"/>
          </w:tcPr>
          <w:p w14:paraId="0054CAAA" w14:textId="77777777" w:rsidR="00911F85" w:rsidRPr="000E465C" w:rsidRDefault="00911F85" w:rsidP="008742A1">
            <w:pPr>
              <w:pStyle w:val="Tabletext1"/>
            </w:pPr>
            <w:r w:rsidRPr="00F74CC3">
              <w:rPr>
                <w:color w:val="FFFFFF" w:themeColor="background1"/>
              </w:rPr>
              <w:t>-</w:t>
            </w:r>
          </w:p>
        </w:tc>
        <w:tc>
          <w:tcPr>
            <w:tcW w:w="3864" w:type="pct"/>
          </w:tcPr>
          <w:p w14:paraId="4FEF8797" w14:textId="77777777" w:rsidR="00911F85" w:rsidRPr="000E465C" w:rsidRDefault="00911F85" w:rsidP="008742A1">
            <w:pPr>
              <w:pStyle w:val="Tabletext1"/>
              <w:rPr>
                <w:bCs/>
              </w:rPr>
            </w:pPr>
            <w:r>
              <w:rPr>
                <w:bCs/>
              </w:rPr>
              <w:t>Studies identified from pearling</w:t>
            </w:r>
          </w:p>
        </w:tc>
        <w:tc>
          <w:tcPr>
            <w:tcW w:w="588" w:type="pct"/>
          </w:tcPr>
          <w:p w14:paraId="33318FAA" w14:textId="77777777" w:rsidR="00911F85" w:rsidRPr="00C639E7" w:rsidRDefault="00911F85" w:rsidP="008742A1">
            <w:pPr>
              <w:pStyle w:val="Tabletext1"/>
              <w:jc w:val="right"/>
              <w:rPr>
                <w:spacing w:val="2"/>
              </w:rPr>
            </w:pPr>
            <w:r>
              <w:rPr>
                <w:spacing w:val="2"/>
              </w:rPr>
              <w:t>0</w:t>
            </w:r>
          </w:p>
        </w:tc>
      </w:tr>
      <w:tr w:rsidR="00911F85" w:rsidRPr="00C639E7" w14:paraId="4721BC33" w14:textId="77777777" w:rsidTr="008742A1">
        <w:trPr>
          <w:cantSplit/>
        </w:trPr>
        <w:tc>
          <w:tcPr>
            <w:tcW w:w="548" w:type="pct"/>
          </w:tcPr>
          <w:p w14:paraId="1DF5DA43" w14:textId="77777777" w:rsidR="00911F85" w:rsidRPr="00F74CC3" w:rsidRDefault="00911F85" w:rsidP="008742A1">
            <w:pPr>
              <w:pStyle w:val="Tabletext1"/>
              <w:rPr>
                <w:color w:val="FFFFFF" w:themeColor="background1"/>
              </w:rPr>
            </w:pPr>
          </w:p>
        </w:tc>
        <w:tc>
          <w:tcPr>
            <w:tcW w:w="3864" w:type="pct"/>
          </w:tcPr>
          <w:p w14:paraId="7BC2FE0C" w14:textId="77777777" w:rsidR="00911F85" w:rsidRDefault="00911F85" w:rsidP="008742A1">
            <w:pPr>
              <w:pStyle w:val="Tabletext1"/>
              <w:rPr>
                <w:bCs/>
              </w:rPr>
            </w:pPr>
            <w:r>
              <w:rPr>
                <w:bCs/>
              </w:rPr>
              <w:t>Total studies included</w:t>
            </w:r>
          </w:p>
        </w:tc>
        <w:tc>
          <w:tcPr>
            <w:tcW w:w="588" w:type="pct"/>
          </w:tcPr>
          <w:p w14:paraId="02991E08" w14:textId="77777777" w:rsidR="00911F85" w:rsidRPr="00C639E7" w:rsidRDefault="00911F85" w:rsidP="008742A1">
            <w:pPr>
              <w:pStyle w:val="Tabletext1"/>
              <w:jc w:val="right"/>
              <w:rPr>
                <w:spacing w:val="2"/>
              </w:rPr>
            </w:pPr>
            <w:r>
              <w:rPr>
                <w:spacing w:val="2"/>
              </w:rPr>
              <w:t>1</w:t>
            </w:r>
          </w:p>
        </w:tc>
      </w:tr>
    </w:tbl>
    <w:p w14:paraId="743DB935" w14:textId="77777777" w:rsidR="00911F85" w:rsidRDefault="00911F85" w:rsidP="00911F85">
      <w:pPr>
        <w:pStyle w:val="Tablenotes1"/>
      </w:pPr>
      <w:r>
        <w:t>Note: Searches were conducted on 3/4/19</w:t>
      </w:r>
    </w:p>
    <w:p w14:paraId="69579603" w14:textId="77777777" w:rsidR="00911F85" w:rsidRDefault="00911F85" w:rsidP="00911F85">
      <w:pPr>
        <w:pStyle w:val="Heading2"/>
      </w:pPr>
      <w:bookmarkStart w:id="809" w:name="_Toc14431193"/>
      <w:bookmarkStart w:id="810" w:name="_Toc16856368"/>
      <w:r>
        <w:t>Inputs to</w:t>
      </w:r>
      <w:r w:rsidRPr="00183E4D">
        <w:t xml:space="preserve"> the economic evaluation</w:t>
      </w:r>
      <w:bookmarkEnd w:id="809"/>
      <w:bookmarkEnd w:id="810"/>
    </w:p>
    <w:p w14:paraId="6022DD82" w14:textId="77777777" w:rsidR="00911F85" w:rsidRDefault="00911F85" w:rsidP="00911F85">
      <w:pPr>
        <w:pStyle w:val="Heading3"/>
      </w:pPr>
      <w:bookmarkStart w:id="811" w:name="_Toc14431194"/>
      <w:bookmarkStart w:id="812" w:name="_Toc16856369"/>
      <w:r>
        <w:t>Resource use</w:t>
      </w:r>
      <w:bookmarkEnd w:id="811"/>
      <w:bookmarkEnd w:id="812"/>
    </w:p>
    <w:p w14:paraId="3498BE10" w14:textId="02F4FF13" w:rsidR="00911F85" w:rsidRDefault="00911F85" w:rsidP="00911F85">
      <w:pPr>
        <w:pStyle w:val="Caption"/>
        <w:keepNext/>
      </w:pPr>
      <w:bookmarkStart w:id="813" w:name="_Ref13214532"/>
      <w:bookmarkStart w:id="814" w:name="_Toc14348923"/>
      <w:bookmarkStart w:id="815" w:name="_Toc14429636"/>
      <w:bookmarkStart w:id="816" w:name="_Toc16671694"/>
      <w:r>
        <w:t xml:space="preserve">Table </w:t>
      </w:r>
      <w:r>
        <w:rPr>
          <w:noProof/>
        </w:rPr>
        <w:fldChar w:fldCharType="begin"/>
      </w:r>
      <w:r>
        <w:rPr>
          <w:noProof/>
        </w:rPr>
        <w:instrText xml:space="preserve"> SEQ Table \* ARABIC </w:instrText>
      </w:r>
      <w:r>
        <w:rPr>
          <w:noProof/>
        </w:rPr>
        <w:fldChar w:fldCharType="separate"/>
      </w:r>
      <w:r w:rsidR="00A7463B">
        <w:rPr>
          <w:noProof/>
        </w:rPr>
        <w:t>96</w:t>
      </w:r>
      <w:r>
        <w:rPr>
          <w:noProof/>
        </w:rPr>
        <w:fldChar w:fldCharType="end"/>
      </w:r>
      <w:bookmarkEnd w:id="813"/>
      <w:r>
        <w:tab/>
        <w:t>Estimation of Ig costs</w:t>
      </w:r>
      <w:bookmarkEnd w:id="814"/>
      <w:bookmarkEnd w:id="815"/>
      <w:bookmarkEnd w:id="816"/>
    </w:p>
    <w:tbl>
      <w:tblPr>
        <w:tblW w:w="5000" w:type="pct"/>
        <w:tblLayout w:type="fixed"/>
        <w:tblLook w:val="04A0" w:firstRow="1" w:lastRow="0" w:firstColumn="1" w:lastColumn="0" w:noHBand="0" w:noVBand="1"/>
      </w:tblPr>
      <w:tblGrid>
        <w:gridCol w:w="2489"/>
        <w:gridCol w:w="1204"/>
        <w:gridCol w:w="1204"/>
        <w:gridCol w:w="1203"/>
        <w:gridCol w:w="3142"/>
      </w:tblGrid>
      <w:tr w:rsidR="00911F85" w:rsidRPr="00FD181A" w14:paraId="571BC01E" w14:textId="77777777" w:rsidTr="008742A1">
        <w:trPr>
          <w:cantSplit/>
          <w:trHeight w:val="315"/>
          <w:tblHeader/>
        </w:trPr>
        <w:tc>
          <w:tcPr>
            <w:tcW w:w="134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C02CA0" w14:textId="77777777" w:rsidR="00911F85" w:rsidRPr="00FD181A" w:rsidRDefault="00911F85" w:rsidP="008742A1">
            <w:pPr>
              <w:pStyle w:val="TableHeading"/>
            </w:pPr>
            <w:r w:rsidRPr="00FD181A">
              <w:t>2017/18 Ig Report</w:t>
            </w:r>
          </w:p>
        </w:tc>
        <w:tc>
          <w:tcPr>
            <w:tcW w:w="651" w:type="pct"/>
            <w:tcBorders>
              <w:top w:val="single" w:sz="8" w:space="0" w:color="auto"/>
              <w:left w:val="nil"/>
              <w:bottom w:val="single" w:sz="8" w:space="0" w:color="auto"/>
              <w:right w:val="single" w:sz="8" w:space="0" w:color="auto"/>
            </w:tcBorders>
            <w:shd w:val="clear" w:color="auto" w:fill="auto"/>
            <w:noWrap/>
            <w:vAlign w:val="center"/>
            <w:hideMark/>
          </w:tcPr>
          <w:p w14:paraId="017CD48A" w14:textId="77777777" w:rsidR="00911F85" w:rsidRPr="00FD181A" w:rsidRDefault="00911F85" w:rsidP="008742A1">
            <w:pPr>
              <w:pStyle w:val="TableHeading"/>
            </w:pPr>
            <w:r w:rsidRPr="00FD181A">
              <w:t>Price in $(m)</w:t>
            </w:r>
          </w:p>
        </w:tc>
        <w:tc>
          <w:tcPr>
            <w:tcW w:w="651" w:type="pct"/>
            <w:tcBorders>
              <w:top w:val="single" w:sz="8" w:space="0" w:color="auto"/>
              <w:left w:val="nil"/>
              <w:bottom w:val="single" w:sz="8" w:space="0" w:color="auto"/>
              <w:right w:val="single" w:sz="8" w:space="0" w:color="auto"/>
            </w:tcBorders>
            <w:shd w:val="clear" w:color="auto" w:fill="auto"/>
            <w:noWrap/>
            <w:vAlign w:val="center"/>
            <w:hideMark/>
          </w:tcPr>
          <w:p w14:paraId="2CF26084" w14:textId="77777777" w:rsidR="00911F85" w:rsidRDefault="00911F85" w:rsidP="008742A1">
            <w:pPr>
              <w:pStyle w:val="TableHeading"/>
            </w:pPr>
            <w:r w:rsidRPr="00FD181A">
              <w:t>Grams</w:t>
            </w:r>
          </w:p>
          <w:p w14:paraId="696D6C23" w14:textId="77777777" w:rsidR="00911F85" w:rsidRPr="00FD181A" w:rsidRDefault="00911F85" w:rsidP="008742A1">
            <w:pPr>
              <w:pStyle w:val="TableHeading"/>
            </w:pPr>
            <w:r>
              <w:t>(weight,%)</w:t>
            </w:r>
          </w:p>
        </w:tc>
        <w:tc>
          <w:tcPr>
            <w:tcW w:w="651" w:type="pct"/>
            <w:tcBorders>
              <w:top w:val="single" w:sz="8" w:space="0" w:color="auto"/>
              <w:left w:val="nil"/>
              <w:bottom w:val="single" w:sz="8" w:space="0" w:color="auto"/>
              <w:right w:val="single" w:sz="8" w:space="0" w:color="auto"/>
            </w:tcBorders>
            <w:shd w:val="clear" w:color="auto" w:fill="auto"/>
            <w:noWrap/>
            <w:vAlign w:val="center"/>
            <w:hideMark/>
          </w:tcPr>
          <w:p w14:paraId="25DA6B4C" w14:textId="77777777" w:rsidR="00911F85" w:rsidRPr="00FD181A" w:rsidRDefault="00911F85" w:rsidP="008742A1">
            <w:pPr>
              <w:pStyle w:val="TableHeading"/>
            </w:pPr>
            <w:r w:rsidRPr="00FD181A">
              <w:t>Price/gram in $</w:t>
            </w:r>
          </w:p>
        </w:tc>
        <w:tc>
          <w:tcPr>
            <w:tcW w:w="1700" w:type="pct"/>
            <w:tcBorders>
              <w:top w:val="single" w:sz="8" w:space="0" w:color="auto"/>
              <w:left w:val="nil"/>
              <w:bottom w:val="single" w:sz="8" w:space="0" w:color="auto"/>
              <w:right w:val="single" w:sz="8" w:space="0" w:color="auto"/>
            </w:tcBorders>
            <w:shd w:val="clear" w:color="auto" w:fill="auto"/>
            <w:noWrap/>
            <w:vAlign w:val="center"/>
            <w:hideMark/>
          </w:tcPr>
          <w:p w14:paraId="4753060B" w14:textId="77777777" w:rsidR="00911F85" w:rsidRPr="00FD181A" w:rsidRDefault="00911F85" w:rsidP="008742A1">
            <w:pPr>
              <w:pStyle w:val="TableHeading"/>
            </w:pPr>
            <w:r w:rsidRPr="00FD181A">
              <w:t>Reference to Ig report section</w:t>
            </w:r>
          </w:p>
        </w:tc>
      </w:tr>
      <w:tr w:rsidR="00911F85" w:rsidRPr="00FD181A" w14:paraId="6B008F1B" w14:textId="77777777" w:rsidTr="008742A1">
        <w:trPr>
          <w:cantSplit/>
          <w:trHeight w:val="300"/>
        </w:trPr>
        <w:tc>
          <w:tcPr>
            <w:tcW w:w="1346" w:type="pct"/>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5EA61CDB" w14:textId="77777777" w:rsidR="00911F85" w:rsidRPr="00FD181A" w:rsidRDefault="00911F85" w:rsidP="008742A1">
            <w:pPr>
              <w:pStyle w:val="Tabletext1"/>
            </w:pPr>
            <w:r w:rsidRPr="00FD181A">
              <w:t>Domestic IVIg including plasma fractionation (excluding hyperimmune plasma)</w:t>
            </w:r>
          </w:p>
          <w:p w14:paraId="25ADF539" w14:textId="77777777" w:rsidR="00911F85" w:rsidRPr="00FD181A" w:rsidRDefault="00911F85" w:rsidP="008742A1">
            <w:pPr>
              <w:pStyle w:val="Tabletext1"/>
            </w:pPr>
            <w:r w:rsidRPr="00FD181A">
              <w:t xml:space="preserve">Intragam P* </w:t>
            </w:r>
          </w:p>
          <w:p w14:paraId="1DA54242" w14:textId="77777777" w:rsidR="00911F85" w:rsidRPr="00FD181A" w:rsidRDefault="00911F85" w:rsidP="008742A1">
            <w:pPr>
              <w:pStyle w:val="Tabletext1"/>
            </w:pPr>
            <w:r w:rsidRPr="00FD181A">
              <w:t>Intragam 10</w:t>
            </w:r>
          </w:p>
        </w:tc>
        <w:tc>
          <w:tcPr>
            <w:tcW w:w="65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7EB9A71" w14:textId="77777777" w:rsidR="00911F85" w:rsidRPr="00FD181A" w:rsidRDefault="00911F85" w:rsidP="008742A1">
            <w:pPr>
              <w:pStyle w:val="Tabletext1"/>
              <w:jc w:val="right"/>
            </w:pPr>
            <w:r w:rsidRPr="00FD181A">
              <w:t>443.2</w:t>
            </w:r>
          </w:p>
        </w:tc>
        <w:tc>
          <w:tcPr>
            <w:tcW w:w="65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490D14B" w14:textId="77777777" w:rsidR="00911F85" w:rsidRPr="00FD181A" w:rsidRDefault="00911F85" w:rsidP="008742A1">
            <w:pPr>
              <w:pStyle w:val="Tabletext1"/>
              <w:jc w:val="right"/>
            </w:pPr>
            <w:r w:rsidRPr="00FD181A">
              <w:t>3,161,673</w:t>
            </w:r>
          </w:p>
          <w:p w14:paraId="52BA07D5" w14:textId="77777777" w:rsidR="00911F85" w:rsidRPr="00FD181A" w:rsidRDefault="00911F85" w:rsidP="008742A1">
            <w:pPr>
              <w:pStyle w:val="Tabletext1"/>
              <w:jc w:val="right"/>
            </w:pPr>
            <w:r w:rsidRPr="00FD181A">
              <w:t>(51.6%)</w:t>
            </w:r>
          </w:p>
        </w:tc>
        <w:tc>
          <w:tcPr>
            <w:tcW w:w="65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5CB4B33" w14:textId="77777777" w:rsidR="00911F85" w:rsidRPr="00FD181A" w:rsidRDefault="00911F85" w:rsidP="008742A1">
            <w:pPr>
              <w:pStyle w:val="Tabletext1"/>
              <w:jc w:val="right"/>
            </w:pPr>
            <w:r w:rsidRPr="00FD181A">
              <w:t>140.18</w:t>
            </w:r>
          </w:p>
        </w:tc>
        <w:tc>
          <w:tcPr>
            <w:tcW w:w="1700" w:type="pct"/>
            <w:tcBorders>
              <w:top w:val="single" w:sz="8" w:space="0" w:color="auto"/>
              <w:left w:val="nil"/>
              <w:bottom w:val="single" w:sz="4" w:space="0" w:color="auto"/>
              <w:right w:val="single" w:sz="8" w:space="0" w:color="auto"/>
            </w:tcBorders>
            <w:shd w:val="clear" w:color="000000" w:fill="FFFFFF"/>
            <w:noWrap/>
            <w:vAlign w:val="center"/>
            <w:hideMark/>
          </w:tcPr>
          <w:p w14:paraId="2310AEAF" w14:textId="77777777" w:rsidR="00911F85" w:rsidRPr="00FD181A" w:rsidRDefault="00911F85" w:rsidP="008742A1">
            <w:pPr>
              <w:pStyle w:val="Tabletext1"/>
            </w:pPr>
            <w:r w:rsidRPr="00FD181A">
              <w:t xml:space="preserve">Calculation required for cost: Plasma fractionation costs of $252.2M (expenditure section) + total domestic product cost of $195M (Table 6) – Evogam product cost of $4M (Table 6) = $443.2M </w:t>
            </w:r>
          </w:p>
          <w:p w14:paraId="520A2A2B" w14:textId="77777777" w:rsidR="00911F85" w:rsidRPr="00FD181A" w:rsidRDefault="00911F85" w:rsidP="008742A1">
            <w:pPr>
              <w:pStyle w:val="Tabletext1"/>
            </w:pPr>
            <w:r w:rsidRPr="00FD181A">
              <w:t>Calculation for grams: Total domestic grams 3,225,722 (Table 6) – Evogam grams 64,049 = 3,161,673</w:t>
            </w:r>
          </w:p>
        </w:tc>
      </w:tr>
      <w:tr w:rsidR="00911F85" w:rsidRPr="00FD181A" w14:paraId="534E2462" w14:textId="77777777" w:rsidTr="008742A1">
        <w:trPr>
          <w:cantSplit/>
          <w:trHeight w:val="300"/>
        </w:trPr>
        <w:tc>
          <w:tcPr>
            <w:tcW w:w="1346" w:type="pct"/>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0F7EF6B2" w14:textId="77777777" w:rsidR="00911F85" w:rsidRPr="00FD181A" w:rsidRDefault="00911F85" w:rsidP="008742A1">
            <w:pPr>
              <w:pStyle w:val="Tabletext1"/>
            </w:pPr>
            <w:r w:rsidRPr="00FD181A">
              <w:t xml:space="preserve">Domestic IVIg excluding plasma fractionation </w:t>
            </w:r>
          </w:p>
          <w:p w14:paraId="14CAD61F" w14:textId="77777777" w:rsidR="00911F85" w:rsidRPr="00FD181A" w:rsidRDefault="00911F85" w:rsidP="008742A1">
            <w:pPr>
              <w:pStyle w:val="Tabletext1"/>
            </w:pPr>
            <w:r w:rsidRPr="00FD181A">
              <w:t xml:space="preserve">Intragam P* </w:t>
            </w:r>
          </w:p>
          <w:p w14:paraId="4485135E" w14:textId="77777777" w:rsidR="00911F85" w:rsidRPr="00FD181A" w:rsidRDefault="00911F85" w:rsidP="008742A1">
            <w:pPr>
              <w:pStyle w:val="Tabletext1"/>
            </w:pPr>
            <w:r w:rsidRPr="00FD181A">
              <w:t>Intragam 10</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044C827" w14:textId="77777777" w:rsidR="00911F85" w:rsidRPr="00FD181A" w:rsidRDefault="00911F85" w:rsidP="008742A1">
            <w:pPr>
              <w:pStyle w:val="Tabletext1"/>
              <w:jc w:val="right"/>
            </w:pPr>
            <w:r w:rsidRPr="00FD181A">
              <w:t>191</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9BF5331" w14:textId="77777777" w:rsidR="00911F85" w:rsidRPr="00FD181A" w:rsidRDefault="00911F85" w:rsidP="008742A1">
            <w:pPr>
              <w:pStyle w:val="Tabletext1"/>
              <w:jc w:val="right"/>
            </w:pPr>
            <w:r w:rsidRPr="00FD181A">
              <w:t>3,161,673</w:t>
            </w:r>
          </w:p>
          <w:p w14:paraId="2BE73C2B" w14:textId="77777777" w:rsidR="00911F85" w:rsidRPr="00FD181A" w:rsidRDefault="00911F85" w:rsidP="008742A1">
            <w:pPr>
              <w:pStyle w:val="Tabletext1"/>
              <w:jc w:val="right"/>
            </w:pPr>
            <w:r w:rsidRPr="00FD181A">
              <w:t>(51.6%)</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0FC0E64" w14:textId="77777777" w:rsidR="00911F85" w:rsidRPr="00FD181A" w:rsidRDefault="00911F85" w:rsidP="008742A1">
            <w:pPr>
              <w:pStyle w:val="Tabletext1"/>
              <w:jc w:val="right"/>
            </w:pPr>
            <w:r w:rsidRPr="00FD181A">
              <w:t>60.41</w:t>
            </w:r>
          </w:p>
        </w:tc>
        <w:tc>
          <w:tcPr>
            <w:tcW w:w="1700" w:type="pct"/>
            <w:tcBorders>
              <w:top w:val="single" w:sz="4" w:space="0" w:color="auto"/>
              <w:left w:val="nil"/>
              <w:bottom w:val="single" w:sz="4" w:space="0" w:color="auto"/>
              <w:right w:val="single" w:sz="8" w:space="0" w:color="auto"/>
            </w:tcBorders>
            <w:shd w:val="clear" w:color="000000" w:fill="FFFFFF"/>
            <w:noWrap/>
            <w:vAlign w:val="center"/>
            <w:hideMark/>
          </w:tcPr>
          <w:p w14:paraId="40C10B30" w14:textId="77777777" w:rsidR="00911F85" w:rsidRPr="00FD181A" w:rsidRDefault="00911F85" w:rsidP="008742A1">
            <w:pPr>
              <w:pStyle w:val="Tabletext1"/>
            </w:pPr>
            <w:r w:rsidRPr="00FD181A">
              <w:t xml:space="preserve">Table 6: </w:t>
            </w:r>
          </w:p>
          <w:p w14:paraId="48D709C0" w14:textId="77777777" w:rsidR="00911F85" w:rsidRPr="00FD181A" w:rsidRDefault="00911F85" w:rsidP="008742A1">
            <w:pPr>
              <w:pStyle w:val="Tabletext1"/>
            </w:pPr>
            <w:r w:rsidRPr="00FD181A">
              <w:t xml:space="preserve">Calculation for price: Total domestic price – Evogam price </w:t>
            </w:r>
          </w:p>
          <w:p w14:paraId="7C9DF85E" w14:textId="77777777" w:rsidR="00911F85" w:rsidRPr="00FD181A" w:rsidRDefault="00911F85" w:rsidP="008742A1">
            <w:pPr>
              <w:pStyle w:val="Tabletext1"/>
            </w:pPr>
            <w:r w:rsidRPr="00FD181A">
              <w:t>Calculation for grams: Total domestic grams – Evogam grams</w:t>
            </w:r>
          </w:p>
        </w:tc>
      </w:tr>
      <w:tr w:rsidR="00911F85" w:rsidRPr="00FD181A" w14:paraId="64CD0230" w14:textId="77777777" w:rsidTr="008742A1">
        <w:trPr>
          <w:cantSplit/>
          <w:trHeight w:val="300"/>
        </w:trPr>
        <w:tc>
          <w:tcPr>
            <w:tcW w:w="1346" w:type="pct"/>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77D6B5B7" w14:textId="77777777" w:rsidR="00911F85" w:rsidRPr="00FD181A" w:rsidRDefault="00911F85" w:rsidP="008742A1">
            <w:pPr>
              <w:pStyle w:val="Tabletext1"/>
            </w:pPr>
            <w:r w:rsidRPr="00FD181A">
              <w:t xml:space="preserve">Imported IVIg </w:t>
            </w:r>
          </w:p>
          <w:p w14:paraId="03061FD3" w14:textId="77777777" w:rsidR="00911F85" w:rsidRPr="00FD181A" w:rsidRDefault="00911F85" w:rsidP="008742A1">
            <w:pPr>
              <w:pStyle w:val="Tabletext1"/>
            </w:pPr>
            <w:r w:rsidRPr="00FD181A">
              <w:t xml:space="preserve">Flebogamma </w:t>
            </w:r>
          </w:p>
          <w:p w14:paraId="1CFF9C53" w14:textId="77777777" w:rsidR="00911F85" w:rsidRPr="00FD181A" w:rsidRDefault="00911F85" w:rsidP="008742A1">
            <w:pPr>
              <w:pStyle w:val="Tabletext1"/>
            </w:pPr>
            <w:r w:rsidRPr="00FD181A">
              <w:t>Privigen</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51CD840" w14:textId="77777777" w:rsidR="00911F85" w:rsidRPr="00FD181A" w:rsidRDefault="00911F85" w:rsidP="008742A1">
            <w:pPr>
              <w:pStyle w:val="Tabletext1"/>
              <w:jc w:val="right"/>
            </w:pPr>
            <w:r w:rsidRPr="00FD181A">
              <w:t>124</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EA0CD4B" w14:textId="77777777" w:rsidR="00911F85" w:rsidRPr="00FD181A" w:rsidRDefault="00911F85" w:rsidP="008742A1">
            <w:pPr>
              <w:pStyle w:val="Tabletext1"/>
              <w:jc w:val="right"/>
            </w:pPr>
            <w:r w:rsidRPr="00FD181A">
              <w:t>2,759,266</w:t>
            </w:r>
          </w:p>
          <w:p w14:paraId="49F07902" w14:textId="77777777" w:rsidR="00911F85" w:rsidRPr="00FD181A" w:rsidRDefault="00911F85" w:rsidP="008742A1">
            <w:pPr>
              <w:pStyle w:val="Tabletext1"/>
              <w:jc w:val="right"/>
            </w:pPr>
            <w:r w:rsidRPr="00FD181A">
              <w:t>(45.0%)</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95F1580" w14:textId="77777777" w:rsidR="00911F85" w:rsidRPr="00FD181A" w:rsidRDefault="00911F85" w:rsidP="008742A1">
            <w:pPr>
              <w:pStyle w:val="Tabletext1"/>
              <w:jc w:val="right"/>
            </w:pPr>
            <w:r w:rsidRPr="00FD181A">
              <w:t>44.94</w:t>
            </w:r>
          </w:p>
        </w:tc>
        <w:tc>
          <w:tcPr>
            <w:tcW w:w="1700" w:type="pct"/>
            <w:tcBorders>
              <w:top w:val="single" w:sz="4" w:space="0" w:color="auto"/>
              <w:left w:val="nil"/>
              <w:bottom w:val="single" w:sz="4" w:space="0" w:color="auto"/>
              <w:right w:val="single" w:sz="8" w:space="0" w:color="auto"/>
            </w:tcBorders>
            <w:shd w:val="clear" w:color="000000" w:fill="FFFFFF"/>
            <w:noWrap/>
            <w:vAlign w:val="center"/>
            <w:hideMark/>
          </w:tcPr>
          <w:p w14:paraId="3FC885D3" w14:textId="77777777" w:rsidR="00911F85" w:rsidRPr="00FD181A" w:rsidRDefault="00911F85" w:rsidP="008742A1">
            <w:pPr>
              <w:pStyle w:val="Tabletext1"/>
            </w:pPr>
            <w:r w:rsidRPr="00FD181A">
              <w:t xml:space="preserve">Table 6: </w:t>
            </w:r>
          </w:p>
          <w:p w14:paraId="0AC2BD95" w14:textId="77777777" w:rsidR="00911F85" w:rsidRPr="00FD181A" w:rsidRDefault="00911F85" w:rsidP="008742A1">
            <w:pPr>
              <w:pStyle w:val="Tabletext1"/>
            </w:pPr>
            <w:r w:rsidRPr="00FD181A">
              <w:t xml:space="preserve">Calculation for price: Total imported price – Hizentra price </w:t>
            </w:r>
          </w:p>
          <w:p w14:paraId="6BEFAD01" w14:textId="77777777" w:rsidR="00911F85" w:rsidRPr="00FD181A" w:rsidRDefault="00911F85" w:rsidP="008742A1">
            <w:pPr>
              <w:pStyle w:val="Tabletext1"/>
            </w:pPr>
            <w:r w:rsidRPr="00FD181A">
              <w:t>Calculation for grams: Total imported grams – Hizentra grams</w:t>
            </w:r>
          </w:p>
        </w:tc>
      </w:tr>
      <w:tr w:rsidR="00911F85" w:rsidRPr="00FD181A" w14:paraId="1DD59B63" w14:textId="77777777" w:rsidTr="008742A1">
        <w:trPr>
          <w:cantSplit/>
          <w:trHeight w:val="300"/>
        </w:trPr>
        <w:tc>
          <w:tcPr>
            <w:tcW w:w="1346" w:type="pct"/>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27D9CAF9" w14:textId="77777777" w:rsidR="00911F85" w:rsidRPr="00FD181A" w:rsidRDefault="00911F85" w:rsidP="008742A1">
            <w:pPr>
              <w:pStyle w:val="Tabletext1"/>
            </w:pPr>
            <w:r w:rsidRPr="00FD181A">
              <w:t xml:space="preserve">SCIg domestic </w:t>
            </w:r>
          </w:p>
          <w:p w14:paraId="694C7CA2" w14:textId="77777777" w:rsidR="00911F85" w:rsidRPr="00FD181A" w:rsidRDefault="00911F85" w:rsidP="008742A1">
            <w:pPr>
              <w:pStyle w:val="Tabletext1"/>
            </w:pPr>
            <w:r w:rsidRPr="00FD181A">
              <w:t>Evogam</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6564C50" w14:textId="77777777" w:rsidR="00911F85" w:rsidRPr="00FD181A" w:rsidRDefault="00911F85" w:rsidP="008742A1">
            <w:pPr>
              <w:pStyle w:val="Tabletext1"/>
              <w:jc w:val="right"/>
            </w:pPr>
            <w:r w:rsidRPr="00FD181A">
              <w:t>4</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7BA5D66" w14:textId="77777777" w:rsidR="00911F85" w:rsidRPr="00FD181A" w:rsidRDefault="00911F85" w:rsidP="008742A1">
            <w:pPr>
              <w:pStyle w:val="Tabletext1"/>
              <w:jc w:val="right"/>
            </w:pPr>
            <w:r w:rsidRPr="00FD181A">
              <w:t>64,049</w:t>
            </w:r>
          </w:p>
          <w:p w14:paraId="339DDEB5" w14:textId="77777777" w:rsidR="00911F85" w:rsidRPr="00FD181A" w:rsidRDefault="00911F85" w:rsidP="008742A1">
            <w:pPr>
              <w:pStyle w:val="Tabletext1"/>
              <w:jc w:val="right"/>
            </w:pPr>
            <w:r w:rsidRPr="00FD181A">
              <w:t>(1.0%)</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A7598A0" w14:textId="77777777" w:rsidR="00911F85" w:rsidRPr="00FD181A" w:rsidRDefault="00911F85" w:rsidP="008742A1">
            <w:pPr>
              <w:pStyle w:val="Tabletext1"/>
              <w:jc w:val="right"/>
            </w:pPr>
            <w:r w:rsidRPr="00FD181A">
              <w:t>62.45</w:t>
            </w:r>
          </w:p>
        </w:tc>
        <w:tc>
          <w:tcPr>
            <w:tcW w:w="1700"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C6D07EC" w14:textId="77777777" w:rsidR="00911F85" w:rsidRPr="00FD181A" w:rsidRDefault="00911F85" w:rsidP="008742A1">
            <w:pPr>
              <w:pStyle w:val="Tabletext1"/>
            </w:pPr>
            <w:r w:rsidRPr="00FD181A">
              <w:t>Table 6</w:t>
            </w:r>
          </w:p>
        </w:tc>
      </w:tr>
      <w:tr w:rsidR="00911F85" w:rsidRPr="00FD181A" w14:paraId="39F7B29C" w14:textId="77777777" w:rsidTr="008742A1">
        <w:trPr>
          <w:cantSplit/>
          <w:trHeight w:val="300"/>
        </w:trPr>
        <w:tc>
          <w:tcPr>
            <w:tcW w:w="1346" w:type="pct"/>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26B6F6B7" w14:textId="77777777" w:rsidR="00911F85" w:rsidRPr="00FD181A" w:rsidRDefault="00911F85" w:rsidP="008742A1">
            <w:pPr>
              <w:pStyle w:val="Tabletext1"/>
            </w:pPr>
            <w:r w:rsidRPr="00FD181A">
              <w:t xml:space="preserve">SCIg imported </w:t>
            </w:r>
          </w:p>
          <w:p w14:paraId="54238479" w14:textId="77777777" w:rsidR="00911F85" w:rsidRPr="00FD181A" w:rsidRDefault="00911F85" w:rsidP="008742A1">
            <w:pPr>
              <w:pStyle w:val="Tabletext1"/>
            </w:pPr>
            <w:r w:rsidRPr="00FD181A">
              <w:t>Hizentra</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19E066C" w14:textId="77777777" w:rsidR="00911F85" w:rsidRPr="00FD181A" w:rsidRDefault="00911F85" w:rsidP="008742A1">
            <w:pPr>
              <w:pStyle w:val="Tabletext1"/>
              <w:jc w:val="right"/>
            </w:pPr>
            <w:r w:rsidRPr="00FD181A">
              <w:t>8</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6694FB9" w14:textId="77777777" w:rsidR="00911F85" w:rsidRPr="00FD181A" w:rsidRDefault="00911F85" w:rsidP="008742A1">
            <w:pPr>
              <w:pStyle w:val="Tabletext1"/>
              <w:jc w:val="right"/>
            </w:pPr>
            <w:r w:rsidRPr="00FD181A">
              <w:t>143,729</w:t>
            </w:r>
          </w:p>
          <w:p w14:paraId="21245B07" w14:textId="77777777" w:rsidR="00911F85" w:rsidRPr="00FD181A" w:rsidRDefault="00911F85" w:rsidP="008742A1">
            <w:pPr>
              <w:pStyle w:val="Tabletext1"/>
              <w:jc w:val="right"/>
            </w:pPr>
            <w:r w:rsidRPr="00FD181A">
              <w:t>(2.3%)</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AC4E7D3" w14:textId="77777777" w:rsidR="00911F85" w:rsidRPr="00FD181A" w:rsidRDefault="00911F85" w:rsidP="008742A1">
            <w:pPr>
              <w:pStyle w:val="Tabletext1"/>
              <w:jc w:val="right"/>
            </w:pPr>
            <w:r w:rsidRPr="00FD181A">
              <w:t>55.66</w:t>
            </w:r>
          </w:p>
        </w:tc>
        <w:tc>
          <w:tcPr>
            <w:tcW w:w="1700"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EFE39AF" w14:textId="77777777" w:rsidR="00911F85" w:rsidRPr="00FD181A" w:rsidRDefault="00911F85" w:rsidP="008742A1">
            <w:pPr>
              <w:pStyle w:val="Tabletext1"/>
            </w:pPr>
            <w:r w:rsidRPr="00FD181A">
              <w:t>Table 6</w:t>
            </w:r>
          </w:p>
        </w:tc>
      </w:tr>
      <w:tr w:rsidR="00911F85" w:rsidRPr="00FD181A" w14:paraId="5CF5ADCC" w14:textId="77777777" w:rsidTr="008742A1">
        <w:trPr>
          <w:cantSplit/>
          <w:trHeight w:val="315"/>
        </w:trPr>
        <w:tc>
          <w:tcPr>
            <w:tcW w:w="1346" w:type="pct"/>
            <w:tcBorders>
              <w:top w:val="nil"/>
              <w:left w:val="single" w:sz="8" w:space="0" w:color="auto"/>
              <w:bottom w:val="single" w:sz="8" w:space="0" w:color="auto"/>
              <w:right w:val="single" w:sz="8" w:space="0" w:color="auto"/>
            </w:tcBorders>
            <w:shd w:val="clear" w:color="auto" w:fill="auto"/>
            <w:noWrap/>
            <w:vAlign w:val="center"/>
            <w:hideMark/>
          </w:tcPr>
          <w:p w14:paraId="6E8BE1D0" w14:textId="77777777" w:rsidR="00911F85" w:rsidRPr="00FD181A" w:rsidRDefault="00911F85" w:rsidP="008742A1">
            <w:pPr>
              <w:pStyle w:val="Tabletext1"/>
            </w:pPr>
            <w:r w:rsidRPr="00FD181A">
              <w:t>Total domestic Ig grams</w:t>
            </w:r>
          </w:p>
        </w:tc>
        <w:tc>
          <w:tcPr>
            <w:tcW w:w="651" w:type="pct"/>
            <w:tcBorders>
              <w:top w:val="nil"/>
              <w:left w:val="nil"/>
              <w:bottom w:val="single" w:sz="8" w:space="0" w:color="auto"/>
              <w:right w:val="single" w:sz="8" w:space="0" w:color="auto"/>
            </w:tcBorders>
            <w:shd w:val="clear" w:color="auto" w:fill="auto"/>
            <w:noWrap/>
            <w:vAlign w:val="center"/>
            <w:hideMark/>
          </w:tcPr>
          <w:p w14:paraId="0762CBEC" w14:textId="77777777" w:rsidR="00911F85" w:rsidRPr="00FD181A" w:rsidRDefault="00911F85" w:rsidP="008742A1">
            <w:pPr>
              <w:pStyle w:val="Tabletext1"/>
              <w:jc w:val="right"/>
            </w:pPr>
            <w:r w:rsidRPr="00FD181A">
              <w:t> </w:t>
            </w:r>
          </w:p>
        </w:tc>
        <w:tc>
          <w:tcPr>
            <w:tcW w:w="651" w:type="pct"/>
            <w:tcBorders>
              <w:top w:val="nil"/>
              <w:left w:val="nil"/>
              <w:bottom w:val="single" w:sz="8" w:space="0" w:color="auto"/>
              <w:right w:val="single" w:sz="8" w:space="0" w:color="auto"/>
            </w:tcBorders>
            <w:shd w:val="clear" w:color="auto" w:fill="auto"/>
            <w:noWrap/>
            <w:vAlign w:val="center"/>
            <w:hideMark/>
          </w:tcPr>
          <w:p w14:paraId="7435CAD0" w14:textId="77777777" w:rsidR="00911F85" w:rsidRPr="00FD181A" w:rsidRDefault="00911F85" w:rsidP="008742A1">
            <w:pPr>
              <w:pStyle w:val="Tabletext1"/>
              <w:jc w:val="right"/>
            </w:pPr>
            <w:r w:rsidRPr="00FD181A">
              <w:t>3,225,722</w:t>
            </w:r>
          </w:p>
        </w:tc>
        <w:tc>
          <w:tcPr>
            <w:tcW w:w="651" w:type="pct"/>
            <w:tcBorders>
              <w:top w:val="nil"/>
              <w:left w:val="nil"/>
              <w:bottom w:val="single" w:sz="8" w:space="0" w:color="auto"/>
              <w:right w:val="single" w:sz="8" w:space="0" w:color="auto"/>
            </w:tcBorders>
            <w:shd w:val="clear" w:color="auto" w:fill="auto"/>
            <w:noWrap/>
            <w:vAlign w:val="center"/>
            <w:hideMark/>
          </w:tcPr>
          <w:p w14:paraId="4EB2829A" w14:textId="77777777" w:rsidR="00911F85" w:rsidRPr="00FD181A" w:rsidRDefault="00911F85" w:rsidP="008742A1">
            <w:pPr>
              <w:pStyle w:val="Tabletext1"/>
              <w:jc w:val="right"/>
            </w:pPr>
            <w:r w:rsidRPr="00FD181A">
              <w:t> </w:t>
            </w:r>
          </w:p>
        </w:tc>
        <w:tc>
          <w:tcPr>
            <w:tcW w:w="1700" w:type="pct"/>
            <w:tcBorders>
              <w:top w:val="nil"/>
              <w:left w:val="nil"/>
              <w:bottom w:val="single" w:sz="8" w:space="0" w:color="auto"/>
              <w:right w:val="single" w:sz="8" w:space="0" w:color="auto"/>
            </w:tcBorders>
            <w:shd w:val="clear" w:color="auto" w:fill="auto"/>
            <w:noWrap/>
            <w:vAlign w:val="center"/>
            <w:hideMark/>
          </w:tcPr>
          <w:p w14:paraId="31491D4C" w14:textId="77777777" w:rsidR="00911F85" w:rsidRPr="00FD181A" w:rsidRDefault="00911F85" w:rsidP="008742A1">
            <w:pPr>
              <w:pStyle w:val="Tabletext1"/>
            </w:pPr>
            <w:r w:rsidRPr="00FD181A">
              <w:t>Expenditure</w:t>
            </w:r>
          </w:p>
        </w:tc>
      </w:tr>
      <w:tr w:rsidR="00911F85" w:rsidRPr="00FD181A" w14:paraId="0124E6AA" w14:textId="77777777" w:rsidTr="008742A1">
        <w:trPr>
          <w:cantSplit/>
          <w:trHeight w:val="315"/>
        </w:trPr>
        <w:tc>
          <w:tcPr>
            <w:tcW w:w="1346" w:type="pct"/>
            <w:tcBorders>
              <w:top w:val="nil"/>
              <w:left w:val="single" w:sz="8" w:space="0" w:color="auto"/>
              <w:bottom w:val="single" w:sz="8" w:space="0" w:color="auto"/>
              <w:right w:val="single" w:sz="8" w:space="0" w:color="auto"/>
            </w:tcBorders>
            <w:shd w:val="clear" w:color="auto" w:fill="auto"/>
            <w:noWrap/>
            <w:vAlign w:val="center"/>
            <w:hideMark/>
          </w:tcPr>
          <w:p w14:paraId="581945FF" w14:textId="77777777" w:rsidR="00911F85" w:rsidRPr="00FD181A" w:rsidRDefault="00911F85" w:rsidP="008742A1">
            <w:pPr>
              <w:pStyle w:val="Tabletext1"/>
            </w:pPr>
            <w:r w:rsidRPr="00FD181A">
              <w:t>Total imported Ig grams</w:t>
            </w:r>
          </w:p>
        </w:tc>
        <w:tc>
          <w:tcPr>
            <w:tcW w:w="651" w:type="pct"/>
            <w:tcBorders>
              <w:top w:val="nil"/>
              <w:left w:val="nil"/>
              <w:bottom w:val="single" w:sz="8" w:space="0" w:color="auto"/>
              <w:right w:val="single" w:sz="8" w:space="0" w:color="auto"/>
            </w:tcBorders>
            <w:shd w:val="clear" w:color="auto" w:fill="auto"/>
            <w:noWrap/>
            <w:vAlign w:val="center"/>
            <w:hideMark/>
          </w:tcPr>
          <w:p w14:paraId="5C9F2E23" w14:textId="77777777" w:rsidR="00911F85" w:rsidRPr="00FD181A" w:rsidRDefault="00911F85" w:rsidP="008742A1">
            <w:pPr>
              <w:pStyle w:val="Tabletext1"/>
              <w:jc w:val="right"/>
            </w:pPr>
            <w:r w:rsidRPr="00FD181A">
              <w:t> </w:t>
            </w:r>
          </w:p>
        </w:tc>
        <w:tc>
          <w:tcPr>
            <w:tcW w:w="651" w:type="pct"/>
            <w:tcBorders>
              <w:top w:val="nil"/>
              <w:left w:val="nil"/>
              <w:bottom w:val="single" w:sz="8" w:space="0" w:color="auto"/>
              <w:right w:val="single" w:sz="8" w:space="0" w:color="auto"/>
            </w:tcBorders>
            <w:shd w:val="clear" w:color="auto" w:fill="auto"/>
            <w:noWrap/>
            <w:vAlign w:val="center"/>
            <w:hideMark/>
          </w:tcPr>
          <w:p w14:paraId="61B9E122" w14:textId="77777777" w:rsidR="00911F85" w:rsidRPr="00FD181A" w:rsidRDefault="00911F85" w:rsidP="008742A1">
            <w:pPr>
              <w:pStyle w:val="Tabletext1"/>
              <w:jc w:val="right"/>
            </w:pPr>
            <w:r w:rsidRPr="00FD181A">
              <w:t>2,902,995</w:t>
            </w:r>
          </w:p>
        </w:tc>
        <w:tc>
          <w:tcPr>
            <w:tcW w:w="651" w:type="pct"/>
            <w:tcBorders>
              <w:top w:val="nil"/>
              <w:left w:val="nil"/>
              <w:bottom w:val="single" w:sz="8" w:space="0" w:color="auto"/>
              <w:right w:val="single" w:sz="8" w:space="0" w:color="auto"/>
            </w:tcBorders>
            <w:shd w:val="clear" w:color="auto" w:fill="auto"/>
            <w:noWrap/>
            <w:vAlign w:val="center"/>
            <w:hideMark/>
          </w:tcPr>
          <w:p w14:paraId="32FECF30" w14:textId="77777777" w:rsidR="00911F85" w:rsidRPr="00FD181A" w:rsidRDefault="00911F85" w:rsidP="008742A1">
            <w:pPr>
              <w:pStyle w:val="Tabletext1"/>
              <w:jc w:val="right"/>
            </w:pPr>
            <w:r w:rsidRPr="00FD181A">
              <w:t> </w:t>
            </w:r>
          </w:p>
        </w:tc>
        <w:tc>
          <w:tcPr>
            <w:tcW w:w="1700" w:type="pct"/>
            <w:tcBorders>
              <w:top w:val="nil"/>
              <w:left w:val="nil"/>
              <w:bottom w:val="single" w:sz="8" w:space="0" w:color="auto"/>
              <w:right w:val="single" w:sz="8" w:space="0" w:color="auto"/>
            </w:tcBorders>
            <w:shd w:val="clear" w:color="auto" w:fill="auto"/>
            <w:noWrap/>
            <w:vAlign w:val="center"/>
            <w:hideMark/>
          </w:tcPr>
          <w:p w14:paraId="745F253F" w14:textId="77777777" w:rsidR="00911F85" w:rsidRPr="00FD181A" w:rsidRDefault="00911F85" w:rsidP="008742A1">
            <w:pPr>
              <w:pStyle w:val="Tabletext1"/>
            </w:pPr>
            <w:r w:rsidRPr="00FD181A">
              <w:t>Expenditure</w:t>
            </w:r>
          </w:p>
        </w:tc>
      </w:tr>
    </w:tbl>
    <w:p w14:paraId="7FB1B623" w14:textId="77777777" w:rsidR="00911F85" w:rsidRDefault="00911F85" w:rsidP="00911F85">
      <w:pPr>
        <w:pStyle w:val="Tablenotes1"/>
      </w:pPr>
      <w:r>
        <w:t>Ig = immunoglobulin; IVIg = intravenous immunoglobulin; SCIg = subcutaneous immunoglobulin.</w:t>
      </w:r>
    </w:p>
    <w:p w14:paraId="5FA54743" w14:textId="61E63194" w:rsidR="00911F85" w:rsidRDefault="00911F85" w:rsidP="00911F85">
      <w:pPr>
        <w:pStyle w:val="Tablenotes1"/>
      </w:pPr>
      <w:r>
        <w:t xml:space="preserve">Source: NBA </w:t>
      </w:r>
      <w:r>
        <w:fldChar w:fldCharType="begin"/>
      </w:r>
      <w:r>
        <w:instrText xml:space="preserve"> ADDIN EN.CITE &lt;EndNote&gt;&lt;Cite ExcludeAuth="1"&gt;&lt;Author&gt;National Blood Authority [NBA]&lt;/Author&gt;&lt;Year&gt;2019&lt;/Year&gt;&lt;RecNum&gt;109&lt;/RecNum&gt;&lt;DisplayText&gt;(2019b)&lt;/DisplayText&gt;&lt;record&gt;&lt;rec-number&gt;109&lt;/rec-number&gt;&lt;foreign-keys&gt;&lt;key app="EN" db-id="z0vwsepdwpt20pewwts5z9eup9e2r2pd2tad" timestamp="1563421468"&gt;109&lt;/key&gt;&lt;/foreign-keys&gt;&lt;ref-type name="Report"&gt;27&lt;/ref-type&gt;&lt;contributors&gt;&lt;authors&gt;&lt;author&gt;National Blood Authority [NBA],&lt;/author&gt;&lt;/authors&gt;&lt;/contributors&gt;&lt;titles&gt;&lt;title&gt;National Report on the Issue and Use of Immunoglobulin (Ig) Annual Report 2017-18&lt;/title&gt;&lt;/titles&gt;&lt;dates&gt;&lt;year&gt;2019&lt;/year&gt;&lt;/dates&gt;&lt;pub-location&gt;Canberra&lt;/pub-location&gt;&lt;publisher&gt;National Blood Authority &lt;/publisher&gt;&lt;urls&gt;&lt;related-urls&gt;&lt;url&gt;https://www.blood.gov.au/data-analysis-reporting&lt;/url&gt;&lt;/related-urls&gt;&lt;/urls&gt;&lt;/record&gt;&lt;/Cite&gt;&lt;/EndNote&gt;</w:instrText>
      </w:r>
      <w:r>
        <w:fldChar w:fldCharType="separate"/>
      </w:r>
      <w:r>
        <w:rPr>
          <w:noProof/>
        </w:rPr>
        <w:t>(</w:t>
      </w:r>
      <w:hyperlink w:anchor="_ENREF_35" w:tooltip="National Blood Authority [NBA], 2019 #109" w:history="1">
        <w:r w:rsidR="00BB0145">
          <w:rPr>
            <w:noProof/>
          </w:rPr>
          <w:t>2019b</w:t>
        </w:r>
      </w:hyperlink>
      <w:r>
        <w:rPr>
          <w:noProof/>
        </w:rPr>
        <w:t>)</w:t>
      </w:r>
      <w:r>
        <w:fldChar w:fldCharType="end"/>
      </w:r>
    </w:p>
    <w:p w14:paraId="22BFF9AD" w14:textId="6DB370EE" w:rsidR="004A34AC" w:rsidRDefault="004A34AC">
      <w:pPr>
        <w:spacing w:after="0" w:line="240" w:lineRule="auto"/>
        <w:jc w:val="left"/>
      </w:pPr>
    </w:p>
    <w:p w14:paraId="72D62211" w14:textId="77777777" w:rsidR="00911F85" w:rsidRDefault="00911F85" w:rsidP="00911F85">
      <w:pPr>
        <w:pStyle w:val="Heading2"/>
      </w:pPr>
      <w:bookmarkStart w:id="817" w:name="_Toc16856370"/>
      <w:bookmarkStart w:id="818" w:name="_Toc14429637"/>
      <w:r>
        <w:lastRenderedPageBreak/>
        <w:t>Sensitivity analyses</w:t>
      </w:r>
      <w:bookmarkEnd w:id="817"/>
    </w:p>
    <w:p w14:paraId="1BE5CCC1" w14:textId="68B53E16" w:rsidR="00911F85" w:rsidRDefault="00911F85" w:rsidP="00911F85">
      <w:pPr>
        <w:pStyle w:val="Caption"/>
        <w:keepNext/>
      </w:pPr>
      <w:bookmarkStart w:id="819" w:name="_Ref13241082"/>
      <w:bookmarkStart w:id="820" w:name="_Toc14348924"/>
      <w:bookmarkStart w:id="821" w:name="_Toc16671695"/>
      <w:r>
        <w:t xml:space="preserve">Table </w:t>
      </w:r>
      <w:r>
        <w:rPr>
          <w:noProof/>
        </w:rPr>
        <w:fldChar w:fldCharType="begin"/>
      </w:r>
      <w:r>
        <w:rPr>
          <w:noProof/>
        </w:rPr>
        <w:instrText xml:space="preserve"> SEQ Table \* ARABIC </w:instrText>
      </w:r>
      <w:r>
        <w:rPr>
          <w:noProof/>
        </w:rPr>
        <w:fldChar w:fldCharType="separate"/>
      </w:r>
      <w:r w:rsidR="00A7463B">
        <w:rPr>
          <w:noProof/>
        </w:rPr>
        <w:t>97</w:t>
      </w:r>
      <w:r>
        <w:rPr>
          <w:noProof/>
        </w:rPr>
        <w:fldChar w:fldCharType="end"/>
      </w:r>
      <w:bookmarkEnd w:id="819"/>
      <w:r>
        <w:tab/>
      </w:r>
      <w:bookmarkStart w:id="822" w:name="OLE_LINK4"/>
      <w:bookmarkStart w:id="823" w:name="OLE_LINK13"/>
      <w:r>
        <w:t>Sensitivity analyses</w:t>
      </w:r>
      <w:bookmarkEnd w:id="818"/>
      <w:bookmarkEnd w:id="820"/>
      <w:bookmarkEnd w:id="822"/>
      <w:bookmarkEnd w:id="823"/>
      <w:bookmarkEnd w:id="821"/>
    </w:p>
    <w:tbl>
      <w:tblPr>
        <w:tblStyle w:val="TableGrid1"/>
        <w:tblW w:w="5000" w:type="pct"/>
        <w:tblLayout w:type="fixed"/>
        <w:tblLook w:val="04A0" w:firstRow="1" w:lastRow="0" w:firstColumn="1" w:lastColumn="0" w:noHBand="0" w:noVBand="1"/>
        <w:tblCaption w:val="Sensitivity analyses"/>
      </w:tblPr>
      <w:tblGrid>
        <w:gridCol w:w="4934"/>
        <w:gridCol w:w="1163"/>
        <w:gridCol w:w="1163"/>
        <w:gridCol w:w="1163"/>
        <w:gridCol w:w="819"/>
      </w:tblGrid>
      <w:tr w:rsidR="00911F85" w:rsidRPr="008B0DF4" w14:paraId="75D12F8F" w14:textId="77777777" w:rsidTr="008742A1">
        <w:trPr>
          <w:cnfStyle w:val="100000000000" w:firstRow="1" w:lastRow="0" w:firstColumn="0" w:lastColumn="0" w:oddVBand="0" w:evenVBand="0" w:oddHBand="0" w:evenHBand="0" w:firstRowFirstColumn="0" w:firstRowLastColumn="0" w:lastRowFirstColumn="0" w:lastRowLastColumn="0"/>
          <w:trHeight w:val="300"/>
          <w:tblHeader/>
        </w:trPr>
        <w:tc>
          <w:tcPr>
            <w:tcW w:w="2670" w:type="pct"/>
            <w:noWrap/>
          </w:tcPr>
          <w:p w14:paraId="59ECD537" w14:textId="77777777" w:rsidR="00911F85" w:rsidRPr="008B0DF4" w:rsidRDefault="00911F85" w:rsidP="008742A1">
            <w:pPr>
              <w:pStyle w:val="TableHeading"/>
            </w:pPr>
          </w:p>
        </w:tc>
        <w:tc>
          <w:tcPr>
            <w:tcW w:w="629" w:type="pct"/>
            <w:noWrap/>
          </w:tcPr>
          <w:p w14:paraId="6DBC754C" w14:textId="77777777" w:rsidR="00911F85" w:rsidRPr="008B0DF4" w:rsidRDefault="00911F85" w:rsidP="008742A1">
            <w:pPr>
              <w:pStyle w:val="TableHeading"/>
              <w:jc w:val="center"/>
            </w:pPr>
            <w:r w:rsidRPr="00FA1F59">
              <w:t>Inc. cost</w:t>
            </w:r>
          </w:p>
        </w:tc>
        <w:tc>
          <w:tcPr>
            <w:tcW w:w="629" w:type="pct"/>
            <w:noWrap/>
          </w:tcPr>
          <w:p w14:paraId="71ECC809" w14:textId="77777777" w:rsidR="00911F85" w:rsidRPr="008B0DF4" w:rsidRDefault="00911F85" w:rsidP="008742A1">
            <w:pPr>
              <w:pStyle w:val="TableHeading"/>
              <w:jc w:val="center"/>
            </w:pPr>
            <w:r w:rsidRPr="00FA1F59">
              <w:t>Inc. QALYs</w:t>
            </w:r>
          </w:p>
        </w:tc>
        <w:tc>
          <w:tcPr>
            <w:tcW w:w="629" w:type="pct"/>
            <w:noWrap/>
          </w:tcPr>
          <w:p w14:paraId="23C302F9" w14:textId="77777777" w:rsidR="00911F85" w:rsidRPr="008B0DF4" w:rsidRDefault="00911F85" w:rsidP="008742A1">
            <w:pPr>
              <w:pStyle w:val="TableHeading"/>
              <w:jc w:val="center"/>
            </w:pPr>
            <w:r w:rsidRPr="00FA1F59">
              <w:t>ICER</w:t>
            </w:r>
          </w:p>
        </w:tc>
        <w:tc>
          <w:tcPr>
            <w:tcW w:w="443" w:type="pct"/>
            <w:noWrap/>
          </w:tcPr>
          <w:p w14:paraId="0B55CE1F" w14:textId="77777777" w:rsidR="00911F85" w:rsidRPr="008B0DF4" w:rsidRDefault="00911F85" w:rsidP="008742A1">
            <w:pPr>
              <w:pStyle w:val="TableHeading"/>
              <w:jc w:val="center"/>
            </w:pPr>
            <w:r>
              <w:t>% change</w:t>
            </w:r>
          </w:p>
        </w:tc>
      </w:tr>
      <w:tr w:rsidR="00E9385F" w:rsidRPr="008B0DF4" w14:paraId="5B3C91F9" w14:textId="77777777" w:rsidTr="008742A1">
        <w:trPr>
          <w:cnfStyle w:val="100000000000" w:firstRow="1" w:lastRow="0" w:firstColumn="0" w:lastColumn="0" w:oddVBand="0" w:evenVBand="0" w:oddHBand="0" w:evenHBand="0" w:firstRowFirstColumn="0" w:firstRowLastColumn="0" w:lastRowFirstColumn="0" w:lastRowLastColumn="0"/>
          <w:trHeight w:val="300"/>
          <w:tblHeader/>
        </w:trPr>
        <w:tc>
          <w:tcPr>
            <w:tcW w:w="2670" w:type="pct"/>
            <w:tcBorders>
              <w:bottom w:val="single" w:sz="4" w:space="0" w:color="auto"/>
            </w:tcBorders>
            <w:noWrap/>
            <w:hideMark/>
          </w:tcPr>
          <w:p w14:paraId="751A78E8" w14:textId="77777777" w:rsidR="00E9385F" w:rsidRPr="008B0DF4" w:rsidRDefault="00E9385F" w:rsidP="00E9385F">
            <w:pPr>
              <w:pStyle w:val="TableHeading"/>
            </w:pPr>
            <w:r w:rsidRPr="008B0DF4">
              <w:t>Base case analysis</w:t>
            </w:r>
          </w:p>
        </w:tc>
        <w:tc>
          <w:tcPr>
            <w:tcW w:w="629" w:type="pct"/>
            <w:tcBorders>
              <w:bottom w:val="single" w:sz="4" w:space="0" w:color="auto"/>
            </w:tcBorders>
            <w:noWrap/>
            <w:hideMark/>
          </w:tcPr>
          <w:p w14:paraId="139D5525" w14:textId="6E7519CB" w:rsidR="00E9385F" w:rsidRPr="008B0DF4" w:rsidRDefault="00E9385F" w:rsidP="00E9385F">
            <w:pPr>
              <w:pStyle w:val="TableHeading"/>
              <w:jc w:val="right"/>
            </w:pPr>
            <w:r w:rsidRPr="00D6502A">
              <w:t>$41,011</w:t>
            </w:r>
          </w:p>
        </w:tc>
        <w:tc>
          <w:tcPr>
            <w:tcW w:w="629" w:type="pct"/>
            <w:tcBorders>
              <w:bottom w:val="single" w:sz="4" w:space="0" w:color="auto"/>
            </w:tcBorders>
            <w:noWrap/>
            <w:hideMark/>
          </w:tcPr>
          <w:p w14:paraId="15D81F78" w14:textId="7E73DD07" w:rsidR="00E9385F" w:rsidRPr="008B0DF4" w:rsidRDefault="00E9385F" w:rsidP="00E9385F">
            <w:pPr>
              <w:pStyle w:val="TableHeading"/>
              <w:jc w:val="right"/>
            </w:pPr>
            <w:r w:rsidRPr="00D6502A">
              <w:t>0.4109</w:t>
            </w:r>
          </w:p>
        </w:tc>
        <w:tc>
          <w:tcPr>
            <w:tcW w:w="629" w:type="pct"/>
            <w:tcBorders>
              <w:bottom w:val="single" w:sz="4" w:space="0" w:color="auto"/>
            </w:tcBorders>
            <w:noWrap/>
            <w:hideMark/>
          </w:tcPr>
          <w:p w14:paraId="1F3C0CD2" w14:textId="1D6B6BBF" w:rsidR="00E9385F" w:rsidRPr="008B0DF4" w:rsidRDefault="00E9385F" w:rsidP="00E9385F">
            <w:pPr>
              <w:pStyle w:val="TableHeading"/>
              <w:jc w:val="right"/>
            </w:pPr>
            <w:r w:rsidRPr="00D6502A">
              <w:t>$99,803</w:t>
            </w:r>
          </w:p>
        </w:tc>
        <w:tc>
          <w:tcPr>
            <w:tcW w:w="443" w:type="pct"/>
            <w:tcBorders>
              <w:bottom w:val="single" w:sz="4" w:space="0" w:color="auto"/>
            </w:tcBorders>
            <w:noWrap/>
            <w:hideMark/>
          </w:tcPr>
          <w:p w14:paraId="5DC4A00A" w14:textId="3D732FB9" w:rsidR="00E9385F" w:rsidRPr="008B0DF4" w:rsidRDefault="00E9385F" w:rsidP="00E9385F">
            <w:pPr>
              <w:pStyle w:val="TableHeading"/>
              <w:jc w:val="right"/>
            </w:pPr>
            <w:r w:rsidRPr="00D6502A">
              <w:t>-</w:t>
            </w:r>
          </w:p>
        </w:tc>
      </w:tr>
      <w:tr w:rsidR="00E9385F" w:rsidRPr="00E86C72" w14:paraId="65121175" w14:textId="77777777" w:rsidTr="008742A1">
        <w:trPr>
          <w:trHeight w:val="300"/>
        </w:trPr>
        <w:tc>
          <w:tcPr>
            <w:tcW w:w="2670" w:type="pct"/>
            <w:tcBorders>
              <w:bottom w:val="single" w:sz="4" w:space="0" w:color="auto"/>
              <w:right w:val="nil"/>
            </w:tcBorders>
            <w:noWrap/>
            <w:hideMark/>
          </w:tcPr>
          <w:p w14:paraId="3DB8DE57" w14:textId="69CA8F5F" w:rsidR="00E9385F" w:rsidRPr="00E86C72" w:rsidRDefault="00E9385F" w:rsidP="00E9385F">
            <w:pPr>
              <w:pStyle w:val="Tabletext1"/>
            </w:pPr>
            <w:r w:rsidRPr="004666A8">
              <w:t xml:space="preserve">Baseline </w:t>
            </w:r>
            <w:r w:rsidR="00AD3B7D">
              <w:t xml:space="preserve">annual </w:t>
            </w:r>
            <w:r w:rsidRPr="004666A8">
              <w:t>infection rates (base case: Paxton, Hawkins &amp; Crispin 2016, serious 0.43, non-serious 1.05)</w:t>
            </w:r>
          </w:p>
        </w:tc>
        <w:tc>
          <w:tcPr>
            <w:tcW w:w="629" w:type="pct"/>
            <w:tcBorders>
              <w:left w:val="nil"/>
              <w:bottom w:val="single" w:sz="4" w:space="0" w:color="auto"/>
              <w:right w:val="nil"/>
            </w:tcBorders>
            <w:noWrap/>
            <w:hideMark/>
          </w:tcPr>
          <w:p w14:paraId="7836841F" w14:textId="77777777" w:rsidR="00E9385F" w:rsidRPr="00E86C72" w:rsidRDefault="00E9385F" w:rsidP="00E9385F">
            <w:pPr>
              <w:pStyle w:val="Tabletext1"/>
              <w:jc w:val="right"/>
            </w:pPr>
          </w:p>
        </w:tc>
        <w:tc>
          <w:tcPr>
            <w:tcW w:w="629" w:type="pct"/>
            <w:tcBorders>
              <w:left w:val="nil"/>
              <w:bottom w:val="single" w:sz="4" w:space="0" w:color="auto"/>
              <w:right w:val="nil"/>
            </w:tcBorders>
            <w:noWrap/>
            <w:hideMark/>
          </w:tcPr>
          <w:p w14:paraId="5E779544" w14:textId="77777777" w:rsidR="00E9385F" w:rsidRPr="00E86C72" w:rsidRDefault="00E9385F" w:rsidP="00E9385F">
            <w:pPr>
              <w:pStyle w:val="Tabletext1"/>
              <w:jc w:val="right"/>
            </w:pPr>
          </w:p>
        </w:tc>
        <w:tc>
          <w:tcPr>
            <w:tcW w:w="629" w:type="pct"/>
            <w:tcBorders>
              <w:left w:val="nil"/>
              <w:bottom w:val="single" w:sz="4" w:space="0" w:color="auto"/>
              <w:right w:val="nil"/>
            </w:tcBorders>
            <w:noWrap/>
            <w:hideMark/>
          </w:tcPr>
          <w:p w14:paraId="2CA64339" w14:textId="77777777" w:rsidR="00E9385F" w:rsidRPr="00E86C72" w:rsidRDefault="00E9385F" w:rsidP="00E9385F">
            <w:pPr>
              <w:pStyle w:val="Tabletext1"/>
              <w:jc w:val="right"/>
            </w:pPr>
          </w:p>
        </w:tc>
        <w:tc>
          <w:tcPr>
            <w:tcW w:w="443" w:type="pct"/>
            <w:tcBorders>
              <w:left w:val="nil"/>
              <w:bottom w:val="single" w:sz="4" w:space="0" w:color="auto"/>
            </w:tcBorders>
            <w:noWrap/>
            <w:hideMark/>
          </w:tcPr>
          <w:p w14:paraId="016D9C4E" w14:textId="77777777" w:rsidR="00E9385F" w:rsidRPr="00E86C72" w:rsidRDefault="00E9385F" w:rsidP="00E9385F">
            <w:pPr>
              <w:pStyle w:val="Tabletext1"/>
              <w:jc w:val="right"/>
            </w:pPr>
          </w:p>
        </w:tc>
      </w:tr>
      <w:tr w:rsidR="00E9385F" w:rsidRPr="00E86C72" w14:paraId="2080F78F" w14:textId="77777777" w:rsidTr="008742A1">
        <w:trPr>
          <w:trHeight w:val="300"/>
        </w:trPr>
        <w:tc>
          <w:tcPr>
            <w:tcW w:w="2670" w:type="pct"/>
            <w:tcBorders>
              <w:bottom w:val="nil"/>
            </w:tcBorders>
            <w:noWrap/>
            <w:hideMark/>
          </w:tcPr>
          <w:p w14:paraId="0134AD65" w14:textId="77777777" w:rsidR="00E9385F" w:rsidRPr="00E86C72" w:rsidRDefault="00E9385F" w:rsidP="00E9385F">
            <w:pPr>
              <w:pStyle w:val="Tabletext1"/>
            </w:pPr>
            <w:r w:rsidRPr="004666A8">
              <w:t>Chapel et al. (1991): serious 1.07, non-serious 3.75</w:t>
            </w:r>
          </w:p>
        </w:tc>
        <w:tc>
          <w:tcPr>
            <w:tcW w:w="629" w:type="pct"/>
            <w:tcBorders>
              <w:bottom w:val="nil"/>
            </w:tcBorders>
            <w:noWrap/>
            <w:hideMark/>
          </w:tcPr>
          <w:p w14:paraId="5CECAC3E" w14:textId="3D11408D" w:rsidR="00E9385F" w:rsidRPr="00E86C72" w:rsidRDefault="00E9385F" w:rsidP="00E9385F">
            <w:pPr>
              <w:pStyle w:val="Tabletext1"/>
              <w:jc w:val="right"/>
            </w:pPr>
            <w:r w:rsidRPr="00D6502A">
              <w:t>$53,054</w:t>
            </w:r>
          </w:p>
        </w:tc>
        <w:tc>
          <w:tcPr>
            <w:tcW w:w="629" w:type="pct"/>
            <w:tcBorders>
              <w:bottom w:val="nil"/>
            </w:tcBorders>
            <w:noWrap/>
            <w:hideMark/>
          </w:tcPr>
          <w:p w14:paraId="7E98BB56" w14:textId="1BAD204F" w:rsidR="00E9385F" w:rsidRPr="00E86C72" w:rsidRDefault="00E9385F" w:rsidP="00E9385F">
            <w:pPr>
              <w:pStyle w:val="Tabletext1"/>
              <w:jc w:val="right"/>
            </w:pPr>
            <w:r w:rsidRPr="00D6502A">
              <w:t>0.6163</w:t>
            </w:r>
          </w:p>
        </w:tc>
        <w:tc>
          <w:tcPr>
            <w:tcW w:w="629" w:type="pct"/>
            <w:tcBorders>
              <w:bottom w:val="nil"/>
            </w:tcBorders>
            <w:noWrap/>
            <w:hideMark/>
          </w:tcPr>
          <w:p w14:paraId="4457BE5D" w14:textId="59E6239C" w:rsidR="00E9385F" w:rsidRPr="00E86C72" w:rsidRDefault="00E9385F" w:rsidP="00E9385F">
            <w:pPr>
              <w:pStyle w:val="Tabletext1"/>
              <w:jc w:val="right"/>
            </w:pPr>
            <w:r w:rsidRPr="00D6502A">
              <w:t>$86,079</w:t>
            </w:r>
          </w:p>
        </w:tc>
        <w:tc>
          <w:tcPr>
            <w:tcW w:w="443" w:type="pct"/>
            <w:tcBorders>
              <w:bottom w:val="nil"/>
            </w:tcBorders>
            <w:noWrap/>
            <w:hideMark/>
          </w:tcPr>
          <w:p w14:paraId="752ED3D1" w14:textId="6CF0EEF6" w:rsidR="00E9385F" w:rsidRPr="00E86C72" w:rsidRDefault="00E9385F" w:rsidP="00E9385F">
            <w:pPr>
              <w:pStyle w:val="Tabletext1"/>
              <w:jc w:val="right"/>
            </w:pPr>
            <w:r w:rsidRPr="00D6502A">
              <w:t>–14%</w:t>
            </w:r>
          </w:p>
        </w:tc>
      </w:tr>
      <w:tr w:rsidR="00E9385F" w:rsidRPr="00E86C72" w14:paraId="5513EF09" w14:textId="77777777" w:rsidTr="008742A1">
        <w:trPr>
          <w:trHeight w:val="300"/>
        </w:trPr>
        <w:tc>
          <w:tcPr>
            <w:tcW w:w="2670" w:type="pct"/>
            <w:tcBorders>
              <w:top w:val="nil"/>
              <w:bottom w:val="nil"/>
            </w:tcBorders>
            <w:noWrap/>
            <w:hideMark/>
          </w:tcPr>
          <w:p w14:paraId="0EA5DB87" w14:textId="77777777" w:rsidR="00E9385F" w:rsidRPr="00E86C72" w:rsidRDefault="00E9385F" w:rsidP="00E9385F">
            <w:pPr>
              <w:pStyle w:val="Tabletext1"/>
            </w:pPr>
            <w:r w:rsidRPr="004666A8">
              <w:t>Molica et al. (1996): serious 0.29, non-serious 1.73</w:t>
            </w:r>
          </w:p>
        </w:tc>
        <w:tc>
          <w:tcPr>
            <w:tcW w:w="629" w:type="pct"/>
            <w:tcBorders>
              <w:top w:val="nil"/>
              <w:bottom w:val="nil"/>
            </w:tcBorders>
            <w:noWrap/>
            <w:hideMark/>
          </w:tcPr>
          <w:p w14:paraId="0BE394D3" w14:textId="720C44A8" w:rsidR="00E9385F" w:rsidRPr="00E86C72" w:rsidRDefault="00E9385F" w:rsidP="00E9385F">
            <w:pPr>
              <w:pStyle w:val="Tabletext1"/>
              <w:jc w:val="right"/>
            </w:pPr>
            <w:r w:rsidRPr="00D6502A">
              <w:t>$50,160</w:t>
            </w:r>
          </w:p>
        </w:tc>
        <w:tc>
          <w:tcPr>
            <w:tcW w:w="629" w:type="pct"/>
            <w:tcBorders>
              <w:top w:val="nil"/>
              <w:bottom w:val="nil"/>
            </w:tcBorders>
            <w:noWrap/>
            <w:hideMark/>
          </w:tcPr>
          <w:p w14:paraId="34D120C5" w14:textId="041BF852" w:rsidR="00E9385F" w:rsidRPr="00E86C72" w:rsidRDefault="00E9385F" w:rsidP="00E9385F">
            <w:pPr>
              <w:pStyle w:val="Tabletext1"/>
              <w:jc w:val="right"/>
            </w:pPr>
            <w:r w:rsidRPr="00D6502A">
              <w:t>0.3819</w:t>
            </w:r>
          </w:p>
        </w:tc>
        <w:tc>
          <w:tcPr>
            <w:tcW w:w="629" w:type="pct"/>
            <w:tcBorders>
              <w:top w:val="nil"/>
              <w:bottom w:val="nil"/>
            </w:tcBorders>
            <w:noWrap/>
            <w:hideMark/>
          </w:tcPr>
          <w:p w14:paraId="55E2EF4B" w14:textId="5BB2D372" w:rsidR="00E9385F" w:rsidRPr="00E86C72" w:rsidRDefault="00E9385F" w:rsidP="00E9385F">
            <w:pPr>
              <w:pStyle w:val="Tabletext1"/>
              <w:jc w:val="right"/>
            </w:pPr>
            <w:r w:rsidRPr="00D6502A">
              <w:t>$131,328</w:t>
            </w:r>
          </w:p>
        </w:tc>
        <w:tc>
          <w:tcPr>
            <w:tcW w:w="443" w:type="pct"/>
            <w:tcBorders>
              <w:top w:val="nil"/>
              <w:bottom w:val="nil"/>
            </w:tcBorders>
            <w:noWrap/>
            <w:hideMark/>
          </w:tcPr>
          <w:p w14:paraId="7E030641" w14:textId="7666A456" w:rsidR="00E9385F" w:rsidRPr="00E86C72" w:rsidRDefault="00E9385F" w:rsidP="00E9385F">
            <w:pPr>
              <w:pStyle w:val="Tabletext1"/>
              <w:jc w:val="right"/>
            </w:pPr>
            <w:r w:rsidRPr="00D6502A">
              <w:t>32%</w:t>
            </w:r>
          </w:p>
        </w:tc>
      </w:tr>
      <w:tr w:rsidR="00E9385F" w:rsidRPr="00E86C72" w14:paraId="7DD54C83" w14:textId="77777777" w:rsidTr="008742A1">
        <w:trPr>
          <w:trHeight w:val="300"/>
        </w:trPr>
        <w:tc>
          <w:tcPr>
            <w:tcW w:w="2670" w:type="pct"/>
            <w:tcBorders>
              <w:top w:val="nil"/>
              <w:bottom w:val="nil"/>
            </w:tcBorders>
            <w:noWrap/>
            <w:hideMark/>
          </w:tcPr>
          <w:p w14:paraId="78C61D2F" w14:textId="77777777" w:rsidR="00E9385F" w:rsidRPr="00E86C72" w:rsidRDefault="00E9385F" w:rsidP="00E9385F">
            <w:pPr>
              <w:pStyle w:val="Tabletext1"/>
            </w:pPr>
            <w:r w:rsidRPr="004666A8">
              <w:t>Chapel et al. (1994): serious 0.26, non-serious 1.75</w:t>
            </w:r>
          </w:p>
        </w:tc>
        <w:tc>
          <w:tcPr>
            <w:tcW w:w="629" w:type="pct"/>
            <w:tcBorders>
              <w:top w:val="nil"/>
              <w:bottom w:val="nil"/>
            </w:tcBorders>
            <w:noWrap/>
            <w:hideMark/>
          </w:tcPr>
          <w:p w14:paraId="635A8A02" w14:textId="5ABB74F8" w:rsidR="00E9385F" w:rsidRPr="00E86C72" w:rsidRDefault="00E9385F" w:rsidP="00E9385F">
            <w:pPr>
              <w:pStyle w:val="Tabletext1"/>
              <w:jc w:val="right"/>
            </w:pPr>
            <w:r w:rsidRPr="00D6502A">
              <w:t>$51,346</w:t>
            </w:r>
          </w:p>
        </w:tc>
        <w:tc>
          <w:tcPr>
            <w:tcW w:w="629" w:type="pct"/>
            <w:tcBorders>
              <w:top w:val="nil"/>
              <w:bottom w:val="nil"/>
            </w:tcBorders>
            <w:noWrap/>
            <w:hideMark/>
          </w:tcPr>
          <w:p w14:paraId="236D6B56" w14:textId="09BD344C" w:rsidR="00E9385F" w:rsidRPr="00E86C72" w:rsidRDefault="00E9385F" w:rsidP="00E9385F">
            <w:pPr>
              <w:pStyle w:val="Tabletext1"/>
              <w:jc w:val="right"/>
            </w:pPr>
            <w:r w:rsidRPr="00D6502A">
              <w:t>0.3653</w:t>
            </w:r>
          </w:p>
        </w:tc>
        <w:tc>
          <w:tcPr>
            <w:tcW w:w="629" w:type="pct"/>
            <w:tcBorders>
              <w:top w:val="nil"/>
              <w:bottom w:val="nil"/>
            </w:tcBorders>
            <w:noWrap/>
            <w:hideMark/>
          </w:tcPr>
          <w:p w14:paraId="37BB7857" w14:textId="64834680" w:rsidR="00E9385F" w:rsidRPr="00E86C72" w:rsidRDefault="00E9385F" w:rsidP="00E9385F">
            <w:pPr>
              <w:pStyle w:val="Tabletext1"/>
              <w:jc w:val="right"/>
            </w:pPr>
            <w:r w:rsidRPr="00D6502A">
              <w:t>$140,555</w:t>
            </w:r>
          </w:p>
        </w:tc>
        <w:tc>
          <w:tcPr>
            <w:tcW w:w="443" w:type="pct"/>
            <w:tcBorders>
              <w:top w:val="nil"/>
              <w:bottom w:val="nil"/>
            </w:tcBorders>
            <w:noWrap/>
            <w:hideMark/>
          </w:tcPr>
          <w:p w14:paraId="2E0480FE" w14:textId="1B3498BC" w:rsidR="00E9385F" w:rsidRPr="00E86C72" w:rsidRDefault="00E9385F" w:rsidP="00E9385F">
            <w:pPr>
              <w:pStyle w:val="Tabletext1"/>
              <w:jc w:val="right"/>
            </w:pPr>
            <w:r w:rsidRPr="00D6502A">
              <w:t>41%</w:t>
            </w:r>
          </w:p>
        </w:tc>
      </w:tr>
      <w:tr w:rsidR="00E9385F" w:rsidRPr="00E86C72" w14:paraId="39DB9FB7" w14:textId="77777777" w:rsidTr="008742A1">
        <w:trPr>
          <w:trHeight w:val="300"/>
        </w:trPr>
        <w:tc>
          <w:tcPr>
            <w:tcW w:w="2670" w:type="pct"/>
            <w:tcBorders>
              <w:top w:val="nil"/>
              <w:bottom w:val="nil"/>
            </w:tcBorders>
            <w:noWrap/>
            <w:hideMark/>
          </w:tcPr>
          <w:p w14:paraId="7AE53F4A" w14:textId="77777777" w:rsidR="00E9385F" w:rsidRPr="00E86C72" w:rsidRDefault="00E9385F" w:rsidP="00E9385F">
            <w:pPr>
              <w:pStyle w:val="Tabletext1"/>
            </w:pPr>
            <w:r w:rsidRPr="004666A8">
              <w:t xml:space="preserve">Musto, Brugiatelli &amp; Carotenuto </w:t>
            </w:r>
            <w:r>
              <w:t>(</w:t>
            </w:r>
            <w:r w:rsidRPr="004666A8">
              <w:t>1995</w:t>
            </w:r>
            <w:r>
              <w:t>): serious: 0.43, non-serious 2.30</w:t>
            </w:r>
          </w:p>
        </w:tc>
        <w:tc>
          <w:tcPr>
            <w:tcW w:w="629" w:type="pct"/>
            <w:tcBorders>
              <w:top w:val="nil"/>
              <w:bottom w:val="nil"/>
            </w:tcBorders>
            <w:noWrap/>
            <w:hideMark/>
          </w:tcPr>
          <w:p w14:paraId="47B9E3E8" w14:textId="4BD41DEB" w:rsidR="00E9385F" w:rsidRPr="00E86C72" w:rsidRDefault="00E9385F" w:rsidP="00E9385F">
            <w:pPr>
              <w:pStyle w:val="Tabletext1"/>
              <w:jc w:val="right"/>
            </w:pPr>
            <w:r w:rsidRPr="00D6502A">
              <w:t>$51,163</w:t>
            </w:r>
          </w:p>
        </w:tc>
        <w:tc>
          <w:tcPr>
            <w:tcW w:w="629" w:type="pct"/>
            <w:tcBorders>
              <w:top w:val="nil"/>
              <w:bottom w:val="nil"/>
            </w:tcBorders>
            <w:noWrap/>
            <w:hideMark/>
          </w:tcPr>
          <w:p w14:paraId="41691605" w14:textId="4B6492BE" w:rsidR="00E9385F" w:rsidRPr="00E86C72" w:rsidRDefault="00E9385F" w:rsidP="00E9385F">
            <w:pPr>
              <w:pStyle w:val="Tabletext1"/>
              <w:jc w:val="right"/>
            </w:pPr>
            <w:r w:rsidRPr="00D6502A">
              <w:t>0.4612</w:t>
            </w:r>
          </w:p>
        </w:tc>
        <w:tc>
          <w:tcPr>
            <w:tcW w:w="629" w:type="pct"/>
            <w:tcBorders>
              <w:top w:val="nil"/>
              <w:bottom w:val="nil"/>
            </w:tcBorders>
            <w:noWrap/>
            <w:hideMark/>
          </w:tcPr>
          <w:p w14:paraId="777E9661" w14:textId="238C8E00" w:rsidR="00E9385F" w:rsidRPr="00E86C72" w:rsidRDefault="00E9385F" w:rsidP="00E9385F">
            <w:pPr>
              <w:pStyle w:val="Tabletext1"/>
              <w:jc w:val="right"/>
            </w:pPr>
            <w:r w:rsidRPr="00D6502A">
              <w:t>$110,936</w:t>
            </w:r>
          </w:p>
        </w:tc>
        <w:tc>
          <w:tcPr>
            <w:tcW w:w="443" w:type="pct"/>
            <w:tcBorders>
              <w:top w:val="nil"/>
              <w:bottom w:val="nil"/>
            </w:tcBorders>
            <w:noWrap/>
            <w:hideMark/>
          </w:tcPr>
          <w:p w14:paraId="4E5BFBE7" w14:textId="6230505E" w:rsidR="00E9385F" w:rsidRPr="00E86C72" w:rsidRDefault="00E9385F" w:rsidP="00E9385F">
            <w:pPr>
              <w:pStyle w:val="Tabletext1"/>
              <w:jc w:val="right"/>
            </w:pPr>
            <w:r w:rsidRPr="00D6502A">
              <w:t>11%</w:t>
            </w:r>
          </w:p>
        </w:tc>
      </w:tr>
      <w:tr w:rsidR="00E9385F" w:rsidRPr="00E86C72" w14:paraId="52EF62AC" w14:textId="77777777" w:rsidTr="008742A1">
        <w:trPr>
          <w:trHeight w:val="300"/>
        </w:trPr>
        <w:tc>
          <w:tcPr>
            <w:tcW w:w="2670" w:type="pct"/>
            <w:tcBorders>
              <w:top w:val="nil"/>
              <w:bottom w:val="nil"/>
            </w:tcBorders>
            <w:noWrap/>
            <w:hideMark/>
          </w:tcPr>
          <w:p w14:paraId="398AFE4E" w14:textId="77777777" w:rsidR="00E9385F" w:rsidRPr="00E86C72" w:rsidRDefault="00E9385F" w:rsidP="00E9385F">
            <w:pPr>
              <w:pStyle w:val="Tabletext1"/>
            </w:pPr>
            <w:r w:rsidRPr="004666A8">
              <w:t xml:space="preserve">Vacca </w:t>
            </w:r>
            <w:r>
              <w:t>et al. (</w:t>
            </w:r>
            <w:r w:rsidRPr="004666A8">
              <w:t>2018</w:t>
            </w:r>
            <w:r>
              <w:t>): serious 8.64, non-serious 6.50</w:t>
            </w:r>
          </w:p>
        </w:tc>
        <w:tc>
          <w:tcPr>
            <w:tcW w:w="629" w:type="pct"/>
            <w:tcBorders>
              <w:top w:val="nil"/>
              <w:bottom w:val="nil"/>
            </w:tcBorders>
            <w:noWrap/>
            <w:hideMark/>
          </w:tcPr>
          <w:p w14:paraId="244AD379" w14:textId="72881317" w:rsidR="00E9385F" w:rsidRPr="00E86C72" w:rsidRDefault="00E9385F" w:rsidP="00E9385F">
            <w:pPr>
              <w:pStyle w:val="Tabletext1"/>
              <w:jc w:val="right"/>
            </w:pPr>
            <w:r w:rsidRPr="00D6502A">
              <w:t>$69,310</w:t>
            </w:r>
          </w:p>
        </w:tc>
        <w:tc>
          <w:tcPr>
            <w:tcW w:w="629" w:type="pct"/>
            <w:tcBorders>
              <w:top w:val="nil"/>
              <w:bottom w:val="nil"/>
            </w:tcBorders>
            <w:noWrap/>
            <w:hideMark/>
          </w:tcPr>
          <w:p w14:paraId="659F9A54" w14:textId="40748F94" w:rsidR="00E9385F" w:rsidRPr="00E86C72" w:rsidRDefault="00E9385F" w:rsidP="00E9385F">
            <w:pPr>
              <w:pStyle w:val="Tabletext1"/>
              <w:jc w:val="right"/>
            </w:pPr>
            <w:r w:rsidRPr="00D6502A">
              <w:t>0.6529</w:t>
            </w:r>
          </w:p>
        </w:tc>
        <w:tc>
          <w:tcPr>
            <w:tcW w:w="629" w:type="pct"/>
            <w:tcBorders>
              <w:top w:val="nil"/>
              <w:bottom w:val="nil"/>
            </w:tcBorders>
            <w:noWrap/>
            <w:hideMark/>
          </w:tcPr>
          <w:p w14:paraId="36F06C65" w14:textId="69515D9A" w:rsidR="00E9385F" w:rsidRPr="00E86C72" w:rsidRDefault="00E9385F" w:rsidP="00E9385F">
            <w:pPr>
              <w:pStyle w:val="Tabletext1"/>
              <w:jc w:val="right"/>
            </w:pPr>
            <w:r w:rsidRPr="00D6502A">
              <w:t>$106,160</w:t>
            </w:r>
          </w:p>
        </w:tc>
        <w:tc>
          <w:tcPr>
            <w:tcW w:w="443" w:type="pct"/>
            <w:tcBorders>
              <w:top w:val="nil"/>
              <w:bottom w:val="nil"/>
            </w:tcBorders>
            <w:noWrap/>
            <w:hideMark/>
          </w:tcPr>
          <w:p w14:paraId="407B3D67" w14:textId="7180CDB6" w:rsidR="00E9385F" w:rsidRPr="00E86C72" w:rsidRDefault="00E9385F" w:rsidP="00E9385F">
            <w:pPr>
              <w:pStyle w:val="Tabletext1"/>
              <w:jc w:val="right"/>
            </w:pPr>
            <w:r w:rsidRPr="00D6502A">
              <w:t>6%</w:t>
            </w:r>
          </w:p>
        </w:tc>
      </w:tr>
      <w:tr w:rsidR="00E9385F" w:rsidRPr="00E86C72" w14:paraId="4578B090" w14:textId="77777777" w:rsidTr="008742A1">
        <w:trPr>
          <w:trHeight w:val="300"/>
        </w:trPr>
        <w:tc>
          <w:tcPr>
            <w:tcW w:w="2670" w:type="pct"/>
            <w:tcBorders>
              <w:top w:val="nil"/>
              <w:bottom w:val="nil"/>
            </w:tcBorders>
            <w:noWrap/>
            <w:hideMark/>
          </w:tcPr>
          <w:p w14:paraId="44A93A8C" w14:textId="77777777" w:rsidR="00E9385F" w:rsidRPr="00E86C72" w:rsidRDefault="00E9385F" w:rsidP="00E9385F">
            <w:pPr>
              <w:pStyle w:val="Tabletext1"/>
            </w:pPr>
            <w:r w:rsidRPr="004666A8">
              <w:t>Sullivan et al. (1990): serious 1.79, non-serious 3.79</w:t>
            </w:r>
          </w:p>
        </w:tc>
        <w:tc>
          <w:tcPr>
            <w:tcW w:w="629" w:type="pct"/>
            <w:tcBorders>
              <w:top w:val="nil"/>
              <w:bottom w:val="nil"/>
            </w:tcBorders>
            <w:noWrap/>
            <w:hideMark/>
          </w:tcPr>
          <w:p w14:paraId="2B37F370" w14:textId="7560A71D" w:rsidR="00E9385F" w:rsidRPr="00E86C72" w:rsidRDefault="00E9385F" w:rsidP="00E9385F">
            <w:pPr>
              <w:pStyle w:val="Tabletext1"/>
              <w:jc w:val="right"/>
            </w:pPr>
            <w:r w:rsidRPr="00D6502A">
              <w:t>$48,062</w:t>
            </w:r>
          </w:p>
        </w:tc>
        <w:tc>
          <w:tcPr>
            <w:tcW w:w="629" w:type="pct"/>
            <w:tcBorders>
              <w:top w:val="nil"/>
              <w:bottom w:val="nil"/>
            </w:tcBorders>
            <w:noWrap/>
            <w:hideMark/>
          </w:tcPr>
          <w:p w14:paraId="1C82DCB7" w14:textId="1EF2556F" w:rsidR="00E9385F" w:rsidRPr="00E86C72" w:rsidRDefault="00E9385F" w:rsidP="00E9385F">
            <w:pPr>
              <w:pStyle w:val="Tabletext1"/>
              <w:jc w:val="right"/>
            </w:pPr>
            <w:r w:rsidRPr="00D6502A">
              <w:t>0.7121</w:t>
            </w:r>
          </w:p>
        </w:tc>
        <w:tc>
          <w:tcPr>
            <w:tcW w:w="629" w:type="pct"/>
            <w:tcBorders>
              <w:top w:val="nil"/>
              <w:bottom w:val="nil"/>
            </w:tcBorders>
            <w:noWrap/>
            <w:hideMark/>
          </w:tcPr>
          <w:p w14:paraId="635A27D4" w14:textId="17F8083C" w:rsidR="00E9385F" w:rsidRPr="00E86C72" w:rsidRDefault="00E9385F" w:rsidP="00E9385F">
            <w:pPr>
              <w:pStyle w:val="Tabletext1"/>
              <w:jc w:val="right"/>
            </w:pPr>
            <w:r w:rsidRPr="00D6502A">
              <w:t>$67,493</w:t>
            </w:r>
          </w:p>
        </w:tc>
        <w:tc>
          <w:tcPr>
            <w:tcW w:w="443" w:type="pct"/>
            <w:tcBorders>
              <w:top w:val="nil"/>
              <w:bottom w:val="nil"/>
            </w:tcBorders>
            <w:noWrap/>
            <w:hideMark/>
          </w:tcPr>
          <w:p w14:paraId="14B6D792" w14:textId="2160B3A6" w:rsidR="00E9385F" w:rsidRPr="00E86C72" w:rsidRDefault="00E9385F" w:rsidP="00E9385F">
            <w:pPr>
              <w:pStyle w:val="Tabletext1"/>
              <w:jc w:val="right"/>
            </w:pPr>
            <w:r w:rsidRPr="00D6502A">
              <w:t>–32%</w:t>
            </w:r>
          </w:p>
        </w:tc>
      </w:tr>
      <w:tr w:rsidR="00E9385F" w:rsidRPr="00E86C72" w14:paraId="1DEE054E" w14:textId="77777777" w:rsidTr="008742A1">
        <w:trPr>
          <w:trHeight w:val="300"/>
        </w:trPr>
        <w:tc>
          <w:tcPr>
            <w:tcW w:w="2670" w:type="pct"/>
            <w:tcBorders>
              <w:top w:val="nil"/>
              <w:bottom w:val="single" w:sz="4" w:space="0" w:color="auto"/>
            </w:tcBorders>
            <w:noWrap/>
            <w:hideMark/>
          </w:tcPr>
          <w:p w14:paraId="421A6AD1" w14:textId="77777777" w:rsidR="00E9385F" w:rsidRPr="00E86C72" w:rsidRDefault="00E9385F" w:rsidP="00E9385F">
            <w:pPr>
              <w:pStyle w:val="Tabletext1"/>
            </w:pPr>
            <w:r w:rsidRPr="004666A8">
              <w:t>Duraisingham et al. (2014): serious 0.73, non-serious 2.47</w:t>
            </w:r>
          </w:p>
        </w:tc>
        <w:tc>
          <w:tcPr>
            <w:tcW w:w="629" w:type="pct"/>
            <w:tcBorders>
              <w:top w:val="nil"/>
              <w:bottom w:val="single" w:sz="4" w:space="0" w:color="auto"/>
            </w:tcBorders>
            <w:noWrap/>
            <w:hideMark/>
          </w:tcPr>
          <w:p w14:paraId="0A8099FD" w14:textId="15D8B695" w:rsidR="00E9385F" w:rsidRPr="00E86C72" w:rsidRDefault="00E9385F" w:rsidP="00E9385F">
            <w:pPr>
              <w:pStyle w:val="Tabletext1"/>
              <w:jc w:val="right"/>
            </w:pPr>
            <w:r w:rsidRPr="00D6502A">
              <w:t>$46,868</w:t>
            </w:r>
          </w:p>
        </w:tc>
        <w:tc>
          <w:tcPr>
            <w:tcW w:w="629" w:type="pct"/>
            <w:tcBorders>
              <w:top w:val="nil"/>
              <w:bottom w:val="single" w:sz="4" w:space="0" w:color="auto"/>
            </w:tcBorders>
            <w:noWrap/>
            <w:hideMark/>
          </w:tcPr>
          <w:p w14:paraId="02A02C05" w14:textId="178508A9" w:rsidR="00E9385F" w:rsidRPr="00E86C72" w:rsidRDefault="00E9385F" w:rsidP="00E9385F">
            <w:pPr>
              <w:pStyle w:val="Tabletext1"/>
              <w:jc w:val="right"/>
            </w:pPr>
            <w:r w:rsidRPr="00D6502A">
              <w:t>0.5604</w:t>
            </w:r>
          </w:p>
        </w:tc>
        <w:tc>
          <w:tcPr>
            <w:tcW w:w="629" w:type="pct"/>
            <w:tcBorders>
              <w:top w:val="nil"/>
              <w:bottom w:val="single" w:sz="4" w:space="0" w:color="auto"/>
            </w:tcBorders>
            <w:noWrap/>
            <w:hideMark/>
          </w:tcPr>
          <w:p w14:paraId="55C57CA1" w14:textId="35E12C59" w:rsidR="00E9385F" w:rsidRPr="00E86C72" w:rsidRDefault="00E9385F" w:rsidP="00E9385F">
            <w:pPr>
              <w:pStyle w:val="Tabletext1"/>
              <w:jc w:val="right"/>
            </w:pPr>
            <w:r w:rsidRPr="00D6502A">
              <w:t>$83,627</w:t>
            </w:r>
          </w:p>
        </w:tc>
        <w:tc>
          <w:tcPr>
            <w:tcW w:w="443" w:type="pct"/>
            <w:tcBorders>
              <w:top w:val="nil"/>
              <w:bottom w:val="single" w:sz="4" w:space="0" w:color="auto"/>
            </w:tcBorders>
            <w:noWrap/>
            <w:hideMark/>
          </w:tcPr>
          <w:p w14:paraId="144B0AE7" w14:textId="42FFEA32" w:rsidR="00E9385F" w:rsidRPr="00E86C72" w:rsidRDefault="00E9385F" w:rsidP="00E9385F">
            <w:pPr>
              <w:pStyle w:val="Tabletext1"/>
              <w:jc w:val="right"/>
            </w:pPr>
            <w:r w:rsidRPr="00D6502A">
              <w:t>–16%</w:t>
            </w:r>
          </w:p>
        </w:tc>
      </w:tr>
      <w:tr w:rsidR="00E9385F" w:rsidRPr="00E86C72" w14:paraId="45AA4206" w14:textId="77777777" w:rsidTr="008742A1">
        <w:trPr>
          <w:trHeight w:val="300"/>
        </w:trPr>
        <w:tc>
          <w:tcPr>
            <w:tcW w:w="2670" w:type="pct"/>
            <w:tcBorders>
              <w:bottom w:val="single" w:sz="4" w:space="0" w:color="auto"/>
              <w:right w:val="nil"/>
            </w:tcBorders>
            <w:noWrap/>
            <w:hideMark/>
          </w:tcPr>
          <w:p w14:paraId="4F4E3C74" w14:textId="77777777" w:rsidR="00E9385F" w:rsidRPr="00E86C72" w:rsidRDefault="00E9385F" w:rsidP="00E9385F">
            <w:pPr>
              <w:pStyle w:val="Tabletext1"/>
            </w:pPr>
            <w:r>
              <w:t>I</w:t>
            </w:r>
            <w:r w:rsidRPr="00CC785D">
              <w:t>RR of Ig treatment effect (base case: serious, 0.15; non-serious 0.61)</w:t>
            </w:r>
          </w:p>
        </w:tc>
        <w:tc>
          <w:tcPr>
            <w:tcW w:w="629" w:type="pct"/>
            <w:tcBorders>
              <w:left w:val="nil"/>
              <w:bottom w:val="single" w:sz="4" w:space="0" w:color="auto"/>
              <w:right w:val="nil"/>
            </w:tcBorders>
            <w:noWrap/>
            <w:hideMark/>
          </w:tcPr>
          <w:p w14:paraId="0772140C" w14:textId="77777777" w:rsidR="00E9385F" w:rsidRPr="00E86C72" w:rsidRDefault="00E9385F" w:rsidP="00E9385F">
            <w:pPr>
              <w:pStyle w:val="Tabletext1"/>
              <w:jc w:val="right"/>
            </w:pPr>
          </w:p>
        </w:tc>
        <w:tc>
          <w:tcPr>
            <w:tcW w:w="629" w:type="pct"/>
            <w:tcBorders>
              <w:left w:val="nil"/>
              <w:bottom w:val="single" w:sz="4" w:space="0" w:color="auto"/>
              <w:right w:val="nil"/>
            </w:tcBorders>
            <w:noWrap/>
            <w:hideMark/>
          </w:tcPr>
          <w:p w14:paraId="3E77C509" w14:textId="77777777" w:rsidR="00E9385F" w:rsidRPr="00E86C72" w:rsidRDefault="00E9385F" w:rsidP="00E9385F">
            <w:pPr>
              <w:pStyle w:val="Tabletext1"/>
              <w:jc w:val="right"/>
            </w:pPr>
          </w:p>
        </w:tc>
        <w:tc>
          <w:tcPr>
            <w:tcW w:w="629" w:type="pct"/>
            <w:tcBorders>
              <w:left w:val="nil"/>
              <w:bottom w:val="single" w:sz="4" w:space="0" w:color="auto"/>
              <w:right w:val="nil"/>
            </w:tcBorders>
            <w:noWrap/>
            <w:hideMark/>
          </w:tcPr>
          <w:p w14:paraId="13CEB859" w14:textId="77777777" w:rsidR="00E9385F" w:rsidRPr="00E86C72" w:rsidRDefault="00E9385F" w:rsidP="00E9385F">
            <w:pPr>
              <w:pStyle w:val="Tabletext1"/>
              <w:jc w:val="right"/>
            </w:pPr>
          </w:p>
        </w:tc>
        <w:tc>
          <w:tcPr>
            <w:tcW w:w="443" w:type="pct"/>
            <w:tcBorders>
              <w:left w:val="nil"/>
              <w:bottom w:val="single" w:sz="4" w:space="0" w:color="auto"/>
            </w:tcBorders>
            <w:noWrap/>
            <w:hideMark/>
          </w:tcPr>
          <w:p w14:paraId="7C82EC25" w14:textId="77777777" w:rsidR="00E9385F" w:rsidRPr="00E86C72" w:rsidRDefault="00E9385F" w:rsidP="00E9385F">
            <w:pPr>
              <w:pStyle w:val="Tabletext1"/>
              <w:jc w:val="right"/>
            </w:pPr>
          </w:p>
        </w:tc>
      </w:tr>
      <w:tr w:rsidR="00E9385F" w:rsidRPr="00E86C72" w14:paraId="794ECBC5" w14:textId="77777777" w:rsidTr="008742A1">
        <w:trPr>
          <w:trHeight w:val="300"/>
        </w:trPr>
        <w:tc>
          <w:tcPr>
            <w:tcW w:w="2670" w:type="pct"/>
            <w:tcBorders>
              <w:bottom w:val="nil"/>
            </w:tcBorders>
            <w:noWrap/>
            <w:hideMark/>
          </w:tcPr>
          <w:p w14:paraId="2FB3C050" w14:textId="77777777" w:rsidR="00E9385F" w:rsidRPr="00E86C72" w:rsidRDefault="00E9385F" w:rsidP="00E9385F">
            <w:pPr>
              <w:pStyle w:val="Tabletext1"/>
            </w:pPr>
            <w:r w:rsidRPr="00CC785D">
              <w:t>Serious infections, 0.05</w:t>
            </w:r>
          </w:p>
        </w:tc>
        <w:tc>
          <w:tcPr>
            <w:tcW w:w="629" w:type="pct"/>
            <w:tcBorders>
              <w:bottom w:val="nil"/>
            </w:tcBorders>
            <w:noWrap/>
            <w:hideMark/>
          </w:tcPr>
          <w:p w14:paraId="1DE598A1" w14:textId="1A6F3158" w:rsidR="00E9385F" w:rsidRPr="00E86C72" w:rsidRDefault="00E9385F" w:rsidP="00E9385F">
            <w:pPr>
              <w:pStyle w:val="Tabletext1"/>
              <w:jc w:val="right"/>
            </w:pPr>
            <w:r w:rsidRPr="00D6502A">
              <w:t>$36,936</w:t>
            </w:r>
          </w:p>
        </w:tc>
        <w:tc>
          <w:tcPr>
            <w:tcW w:w="629" w:type="pct"/>
            <w:tcBorders>
              <w:bottom w:val="nil"/>
            </w:tcBorders>
            <w:noWrap/>
            <w:hideMark/>
          </w:tcPr>
          <w:p w14:paraId="0C1D0A9E" w14:textId="07235188" w:rsidR="00E9385F" w:rsidRPr="00E86C72" w:rsidRDefault="00E9385F" w:rsidP="00E9385F">
            <w:pPr>
              <w:pStyle w:val="Tabletext1"/>
              <w:jc w:val="right"/>
            </w:pPr>
            <w:r w:rsidRPr="00D6502A">
              <w:t>0.4450</w:t>
            </w:r>
          </w:p>
        </w:tc>
        <w:tc>
          <w:tcPr>
            <w:tcW w:w="629" w:type="pct"/>
            <w:tcBorders>
              <w:bottom w:val="nil"/>
            </w:tcBorders>
            <w:noWrap/>
            <w:hideMark/>
          </w:tcPr>
          <w:p w14:paraId="512D16BB" w14:textId="36C4BCBC" w:rsidR="00E9385F" w:rsidRPr="00E86C72" w:rsidRDefault="00E9385F" w:rsidP="00E9385F">
            <w:pPr>
              <w:pStyle w:val="Tabletext1"/>
              <w:jc w:val="right"/>
            </w:pPr>
            <w:r w:rsidRPr="00D6502A">
              <w:t>$82,992</w:t>
            </w:r>
          </w:p>
        </w:tc>
        <w:tc>
          <w:tcPr>
            <w:tcW w:w="443" w:type="pct"/>
            <w:tcBorders>
              <w:bottom w:val="nil"/>
            </w:tcBorders>
            <w:noWrap/>
            <w:hideMark/>
          </w:tcPr>
          <w:p w14:paraId="49CDDAC6" w14:textId="348941E1" w:rsidR="00E9385F" w:rsidRPr="00E86C72" w:rsidRDefault="00E9385F" w:rsidP="00E9385F">
            <w:pPr>
              <w:pStyle w:val="Tabletext1"/>
              <w:jc w:val="right"/>
            </w:pPr>
            <w:r w:rsidRPr="00D6502A">
              <w:t>–17%</w:t>
            </w:r>
          </w:p>
        </w:tc>
      </w:tr>
      <w:tr w:rsidR="00E9385F" w:rsidRPr="00E86C72" w14:paraId="54714B18" w14:textId="77777777" w:rsidTr="008742A1">
        <w:trPr>
          <w:trHeight w:val="300"/>
        </w:trPr>
        <w:tc>
          <w:tcPr>
            <w:tcW w:w="2670" w:type="pct"/>
            <w:tcBorders>
              <w:top w:val="nil"/>
              <w:bottom w:val="nil"/>
            </w:tcBorders>
            <w:noWrap/>
            <w:hideMark/>
          </w:tcPr>
          <w:p w14:paraId="5EEC4FB5" w14:textId="77777777" w:rsidR="00E9385F" w:rsidRPr="00E86C72" w:rsidRDefault="00E9385F" w:rsidP="00E9385F">
            <w:pPr>
              <w:pStyle w:val="Tabletext1"/>
            </w:pPr>
            <w:r w:rsidRPr="00CC785D">
              <w:t>Serious infections, 0.43</w:t>
            </w:r>
          </w:p>
        </w:tc>
        <w:tc>
          <w:tcPr>
            <w:tcW w:w="629" w:type="pct"/>
            <w:tcBorders>
              <w:top w:val="nil"/>
              <w:bottom w:val="nil"/>
            </w:tcBorders>
            <w:noWrap/>
            <w:hideMark/>
          </w:tcPr>
          <w:p w14:paraId="2ABAB86F" w14:textId="10B11674" w:rsidR="00E9385F" w:rsidRPr="00E86C72" w:rsidRDefault="00E9385F" w:rsidP="00E9385F">
            <w:pPr>
              <w:pStyle w:val="Tabletext1"/>
              <w:jc w:val="right"/>
            </w:pPr>
            <w:r w:rsidRPr="00D6502A">
              <w:t>$52,526</w:t>
            </w:r>
          </w:p>
        </w:tc>
        <w:tc>
          <w:tcPr>
            <w:tcW w:w="629" w:type="pct"/>
            <w:tcBorders>
              <w:top w:val="nil"/>
              <w:bottom w:val="nil"/>
            </w:tcBorders>
            <w:noWrap/>
            <w:hideMark/>
          </w:tcPr>
          <w:p w14:paraId="58424075" w14:textId="687657D9" w:rsidR="00E9385F" w:rsidRPr="00E86C72" w:rsidRDefault="00E9385F" w:rsidP="00E9385F">
            <w:pPr>
              <w:pStyle w:val="Tabletext1"/>
              <w:jc w:val="right"/>
            </w:pPr>
            <w:r w:rsidRPr="00D6502A">
              <w:t>0.3139</w:t>
            </w:r>
          </w:p>
        </w:tc>
        <w:tc>
          <w:tcPr>
            <w:tcW w:w="629" w:type="pct"/>
            <w:tcBorders>
              <w:top w:val="nil"/>
              <w:bottom w:val="nil"/>
            </w:tcBorders>
            <w:noWrap/>
            <w:hideMark/>
          </w:tcPr>
          <w:p w14:paraId="00AFA2F2" w14:textId="74B71F14" w:rsidR="00E9385F" w:rsidRPr="00E86C72" w:rsidRDefault="00E9385F" w:rsidP="00E9385F">
            <w:pPr>
              <w:pStyle w:val="Tabletext1"/>
              <w:jc w:val="right"/>
            </w:pPr>
            <w:r w:rsidRPr="00D6502A">
              <w:t>$167,315</w:t>
            </w:r>
          </w:p>
        </w:tc>
        <w:tc>
          <w:tcPr>
            <w:tcW w:w="443" w:type="pct"/>
            <w:tcBorders>
              <w:top w:val="nil"/>
              <w:bottom w:val="nil"/>
            </w:tcBorders>
            <w:noWrap/>
            <w:hideMark/>
          </w:tcPr>
          <w:p w14:paraId="6D0ADA9B" w14:textId="30303249" w:rsidR="00E9385F" w:rsidRPr="00E86C72" w:rsidRDefault="00E9385F" w:rsidP="00E9385F">
            <w:pPr>
              <w:pStyle w:val="Tabletext1"/>
              <w:jc w:val="right"/>
            </w:pPr>
            <w:r w:rsidRPr="00D6502A">
              <w:t>68%</w:t>
            </w:r>
          </w:p>
        </w:tc>
      </w:tr>
      <w:tr w:rsidR="00E9385F" w:rsidRPr="00E86C72" w14:paraId="3EE3CEA6" w14:textId="77777777" w:rsidTr="008742A1">
        <w:trPr>
          <w:trHeight w:val="300"/>
        </w:trPr>
        <w:tc>
          <w:tcPr>
            <w:tcW w:w="2670" w:type="pct"/>
            <w:tcBorders>
              <w:top w:val="nil"/>
              <w:bottom w:val="nil"/>
            </w:tcBorders>
            <w:noWrap/>
            <w:hideMark/>
          </w:tcPr>
          <w:p w14:paraId="195AB48F" w14:textId="77777777" w:rsidR="00E9385F" w:rsidRPr="00E86C72" w:rsidRDefault="00E9385F" w:rsidP="00E9385F">
            <w:pPr>
              <w:pStyle w:val="Tabletext1"/>
            </w:pPr>
            <w:r w:rsidRPr="00CC785D">
              <w:t>Non-serious infections, 0.51</w:t>
            </w:r>
          </w:p>
        </w:tc>
        <w:tc>
          <w:tcPr>
            <w:tcW w:w="629" w:type="pct"/>
            <w:tcBorders>
              <w:top w:val="nil"/>
              <w:bottom w:val="nil"/>
            </w:tcBorders>
            <w:noWrap/>
            <w:hideMark/>
          </w:tcPr>
          <w:p w14:paraId="47CD8773" w14:textId="4405E346" w:rsidR="00E9385F" w:rsidRPr="00E86C72" w:rsidRDefault="00E9385F" w:rsidP="00E9385F">
            <w:pPr>
              <w:pStyle w:val="Tabletext1"/>
              <w:jc w:val="right"/>
            </w:pPr>
            <w:r w:rsidRPr="00D6502A">
              <w:t>$35,828</w:t>
            </w:r>
          </w:p>
        </w:tc>
        <w:tc>
          <w:tcPr>
            <w:tcW w:w="629" w:type="pct"/>
            <w:tcBorders>
              <w:top w:val="nil"/>
              <w:bottom w:val="nil"/>
            </w:tcBorders>
            <w:noWrap/>
            <w:hideMark/>
          </w:tcPr>
          <w:p w14:paraId="32D214C7" w14:textId="2A911487" w:rsidR="00E9385F" w:rsidRPr="00E86C72" w:rsidRDefault="00E9385F" w:rsidP="00E9385F">
            <w:pPr>
              <w:pStyle w:val="Tabletext1"/>
              <w:jc w:val="right"/>
            </w:pPr>
            <w:r w:rsidRPr="00D6502A">
              <w:t>0.4694</w:t>
            </w:r>
          </w:p>
        </w:tc>
        <w:tc>
          <w:tcPr>
            <w:tcW w:w="629" w:type="pct"/>
            <w:tcBorders>
              <w:top w:val="nil"/>
              <w:bottom w:val="nil"/>
            </w:tcBorders>
            <w:noWrap/>
            <w:hideMark/>
          </w:tcPr>
          <w:p w14:paraId="4073F381" w14:textId="30ECDC95" w:rsidR="00E9385F" w:rsidRPr="00E86C72" w:rsidRDefault="00E9385F" w:rsidP="00E9385F">
            <w:pPr>
              <w:pStyle w:val="Tabletext1"/>
              <w:jc w:val="right"/>
            </w:pPr>
            <w:r w:rsidRPr="00D6502A">
              <w:t>$76,328</w:t>
            </w:r>
          </w:p>
        </w:tc>
        <w:tc>
          <w:tcPr>
            <w:tcW w:w="443" w:type="pct"/>
            <w:tcBorders>
              <w:top w:val="nil"/>
              <w:bottom w:val="nil"/>
            </w:tcBorders>
            <w:noWrap/>
            <w:hideMark/>
          </w:tcPr>
          <w:p w14:paraId="3B517434" w14:textId="09D7060A" w:rsidR="00E9385F" w:rsidRPr="00E86C72" w:rsidRDefault="00E9385F" w:rsidP="00E9385F">
            <w:pPr>
              <w:pStyle w:val="Tabletext1"/>
              <w:jc w:val="right"/>
            </w:pPr>
            <w:r w:rsidRPr="00D6502A">
              <w:t>–24%</w:t>
            </w:r>
          </w:p>
        </w:tc>
      </w:tr>
      <w:tr w:rsidR="00E9385F" w:rsidRPr="00E86C72" w14:paraId="2BB7DEB6" w14:textId="77777777" w:rsidTr="008742A1">
        <w:trPr>
          <w:trHeight w:val="300"/>
        </w:trPr>
        <w:tc>
          <w:tcPr>
            <w:tcW w:w="2670" w:type="pct"/>
            <w:tcBorders>
              <w:top w:val="nil"/>
              <w:bottom w:val="nil"/>
            </w:tcBorders>
            <w:noWrap/>
            <w:hideMark/>
          </w:tcPr>
          <w:p w14:paraId="447B9564" w14:textId="77777777" w:rsidR="00E9385F" w:rsidRPr="00E86C72" w:rsidRDefault="00E9385F" w:rsidP="00E9385F">
            <w:pPr>
              <w:pStyle w:val="Tabletext1"/>
            </w:pPr>
            <w:r w:rsidRPr="00CC785D">
              <w:t>Non-serious infections, 0.72</w:t>
            </w:r>
          </w:p>
        </w:tc>
        <w:tc>
          <w:tcPr>
            <w:tcW w:w="629" w:type="pct"/>
            <w:tcBorders>
              <w:top w:val="nil"/>
              <w:bottom w:val="nil"/>
            </w:tcBorders>
            <w:noWrap/>
            <w:hideMark/>
          </w:tcPr>
          <w:p w14:paraId="541EE40F" w14:textId="190F732B" w:rsidR="00E9385F" w:rsidRPr="00E86C72" w:rsidRDefault="00E9385F" w:rsidP="00E9385F">
            <w:pPr>
              <w:pStyle w:val="Tabletext1"/>
              <w:jc w:val="right"/>
            </w:pPr>
            <w:r w:rsidRPr="00D6502A">
              <w:t>$46,236</w:t>
            </w:r>
          </w:p>
        </w:tc>
        <w:tc>
          <w:tcPr>
            <w:tcW w:w="629" w:type="pct"/>
            <w:tcBorders>
              <w:top w:val="nil"/>
              <w:bottom w:val="nil"/>
            </w:tcBorders>
            <w:noWrap/>
            <w:hideMark/>
          </w:tcPr>
          <w:p w14:paraId="401FFF45" w14:textId="6EBB6DFA" w:rsidR="00E9385F" w:rsidRPr="00E86C72" w:rsidRDefault="00E9385F" w:rsidP="00E9385F">
            <w:pPr>
              <w:pStyle w:val="Tabletext1"/>
              <w:jc w:val="right"/>
            </w:pPr>
            <w:r w:rsidRPr="00D6502A">
              <w:t>0.3523</w:t>
            </w:r>
          </w:p>
        </w:tc>
        <w:tc>
          <w:tcPr>
            <w:tcW w:w="629" w:type="pct"/>
            <w:tcBorders>
              <w:top w:val="nil"/>
              <w:bottom w:val="nil"/>
            </w:tcBorders>
            <w:noWrap/>
            <w:hideMark/>
          </w:tcPr>
          <w:p w14:paraId="2690E285" w14:textId="00C201AE" w:rsidR="00E9385F" w:rsidRPr="00E86C72" w:rsidRDefault="00E9385F" w:rsidP="00E9385F">
            <w:pPr>
              <w:pStyle w:val="Tabletext1"/>
              <w:jc w:val="right"/>
            </w:pPr>
            <w:r w:rsidRPr="00D6502A">
              <w:t>$131,233</w:t>
            </w:r>
          </w:p>
        </w:tc>
        <w:tc>
          <w:tcPr>
            <w:tcW w:w="443" w:type="pct"/>
            <w:tcBorders>
              <w:top w:val="nil"/>
              <w:bottom w:val="nil"/>
            </w:tcBorders>
            <w:noWrap/>
            <w:hideMark/>
          </w:tcPr>
          <w:p w14:paraId="1F4EC3BD" w14:textId="175E19FD" w:rsidR="00E9385F" w:rsidRPr="00E86C72" w:rsidRDefault="00E9385F" w:rsidP="00E9385F">
            <w:pPr>
              <w:pStyle w:val="Tabletext1"/>
              <w:jc w:val="right"/>
            </w:pPr>
            <w:r w:rsidRPr="00D6502A">
              <w:t>31%</w:t>
            </w:r>
          </w:p>
        </w:tc>
      </w:tr>
      <w:tr w:rsidR="00E9385F" w:rsidRPr="00E86C72" w14:paraId="3456EAE9" w14:textId="77777777" w:rsidTr="008742A1">
        <w:trPr>
          <w:trHeight w:val="300"/>
        </w:trPr>
        <w:tc>
          <w:tcPr>
            <w:tcW w:w="2670" w:type="pct"/>
            <w:tcBorders>
              <w:top w:val="nil"/>
            </w:tcBorders>
            <w:noWrap/>
            <w:hideMark/>
          </w:tcPr>
          <w:p w14:paraId="47E7B6AC" w14:textId="77777777" w:rsidR="00E9385F" w:rsidRPr="00E86C72" w:rsidRDefault="00E9385F" w:rsidP="00E9385F">
            <w:pPr>
              <w:pStyle w:val="Tabletext1"/>
            </w:pPr>
            <w:r>
              <w:t>Non-randomised</w:t>
            </w:r>
            <w:r w:rsidRPr="00CC785D">
              <w:t xml:space="preserve"> </w:t>
            </w:r>
            <w:r>
              <w:t>I</w:t>
            </w:r>
            <w:r w:rsidRPr="00CC785D">
              <w:t>RRs, serious: 0.25, 0.</w:t>
            </w:r>
            <w:r>
              <w:t>46</w:t>
            </w:r>
          </w:p>
        </w:tc>
        <w:tc>
          <w:tcPr>
            <w:tcW w:w="629" w:type="pct"/>
            <w:tcBorders>
              <w:top w:val="nil"/>
            </w:tcBorders>
            <w:noWrap/>
            <w:hideMark/>
          </w:tcPr>
          <w:p w14:paraId="1F57B40F" w14:textId="2DC72782" w:rsidR="00E9385F" w:rsidRPr="00E86C72" w:rsidRDefault="00E9385F" w:rsidP="00E9385F">
            <w:pPr>
              <w:pStyle w:val="Tabletext1"/>
              <w:jc w:val="right"/>
            </w:pPr>
            <w:r w:rsidRPr="00D6502A">
              <w:t>$37,625</w:t>
            </w:r>
          </w:p>
        </w:tc>
        <w:tc>
          <w:tcPr>
            <w:tcW w:w="629" w:type="pct"/>
            <w:tcBorders>
              <w:top w:val="nil"/>
            </w:tcBorders>
            <w:noWrap/>
            <w:hideMark/>
          </w:tcPr>
          <w:p w14:paraId="02A3798C" w14:textId="057BE196" w:rsidR="00E9385F" w:rsidRPr="00E86C72" w:rsidRDefault="00E9385F" w:rsidP="00E9385F">
            <w:pPr>
              <w:pStyle w:val="Tabletext1"/>
              <w:jc w:val="right"/>
            </w:pPr>
            <w:r w:rsidRPr="00D6502A">
              <w:t>0.4620</w:t>
            </w:r>
          </w:p>
        </w:tc>
        <w:tc>
          <w:tcPr>
            <w:tcW w:w="629" w:type="pct"/>
            <w:tcBorders>
              <w:top w:val="nil"/>
            </w:tcBorders>
            <w:noWrap/>
            <w:hideMark/>
          </w:tcPr>
          <w:p w14:paraId="547A9805" w14:textId="4C438204" w:rsidR="00E9385F" w:rsidRPr="00E86C72" w:rsidRDefault="00E9385F" w:rsidP="00E9385F">
            <w:pPr>
              <w:pStyle w:val="Tabletext1"/>
              <w:jc w:val="right"/>
            </w:pPr>
            <w:r w:rsidRPr="00D6502A">
              <w:t>$81,436</w:t>
            </w:r>
          </w:p>
        </w:tc>
        <w:tc>
          <w:tcPr>
            <w:tcW w:w="443" w:type="pct"/>
            <w:tcBorders>
              <w:top w:val="nil"/>
            </w:tcBorders>
            <w:noWrap/>
            <w:hideMark/>
          </w:tcPr>
          <w:p w14:paraId="7E26DF71" w14:textId="54DFA5FC" w:rsidR="00E9385F" w:rsidRPr="00E86C72" w:rsidRDefault="00E9385F" w:rsidP="00E9385F">
            <w:pPr>
              <w:pStyle w:val="Tabletext1"/>
              <w:jc w:val="right"/>
            </w:pPr>
            <w:r w:rsidRPr="00D6502A">
              <w:t>–18%</w:t>
            </w:r>
          </w:p>
        </w:tc>
      </w:tr>
      <w:tr w:rsidR="00E9385F" w:rsidRPr="00E86C72" w14:paraId="2DA59E41" w14:textId="77777777" w:rsidTr="008742A1">
        <w:trPr>
          <w:trHeight w:val="300"/>
        </w:trPr>
        <w:tc>
          <w:tcPr>
            <w:tcW w:w="2670" w:type="pct"/>
            <w:tcBorders>
              <w:bottom w:val="single" w:sz="4" w:space="0" w:color="auto"/>
            </w:tcBorders>
            <w:noWrap/>
            <w:hideMark/>
          </w:tcPr>
          <w:p w14:paraId="057EC60A" w14:textId="77777777" w:rsidR="00E9385F" w:rsidRPr="00E86C72" w:rsidRDefault="00E9385F" w:rsidP="00E9385F">
            <w:pPr>
              <w:pStyle w:val="Tabletext1"/>
            </w:pPr>
            <w:r w:rsidRPr="00E86C72">
              <w:t>Dose of Ig (base case: 0.37 g/kg), 0.4 g/kg</w:t>
            </w:r>
          </w:p>
        </w:tc>
        <w:tc>
          <w:tcPr>
            <w:tcW w:w="629" w:type="pct"/>
            <w:tcBorders>
              <w:bottom w:val="single" w:sz="4" w:space="0" w:color="auto"/>
            </w:tcBorders>
            <w:noWrap/>
            <w:hideMark/>
          </w:tcPr>
          <w:p w14:paraId="6B80157E" w14:textId="22EFA47E" w:rsidR="00E9385F" w:rsidRPr="00E86C72" w:rsidRDefault="00E9385F" w:rsidP="00E9385F">
            <w:pPr>
              <w:pStyle w:val="Tabletext1"/>
              <w:jc w:val="right"/>
            </w:pPr>
            <w:r w:rsidRPr="00D6502A">
              <w:t>$45,885</w:t>
            </w:r>
          </w:p>
        </w:tc>
        <w:tc>
          <w:tcPr>
            <w:tcW w:w="629" w:type="pct"/>
            <w:tcBorders>
              <w:bottom w:val="single" w:sz="4" w:space="0" w:color="auto"/>
            </w:tcBorders>
            <w:noWrap/>
            <w:hideMark/>
          </w:tcPr>
          <w:p w14:paraId="2BC574E4" w14:textId="06B43F1B" w:rsidR="00E9385F" w:rsidRPr="00E86C72" w:rsidRDefault="00E9385F" w:rsidP="00E9385F">
            <w:pPr>
              <w:pStyle w:val="Tabletext1"/>
              <w:jc w:val="right"/>
            </w:pPr>
            <w:r w:rsidRPr="00D6502A">
              <w:t>0.4109</w:t>
            </w:r>
          </w:p>
        </w:tc>
        <w:tc>
          <w:tcPr>
            <w:tcW w:w="629" w:type="pct"/>
            <w:tcBorders>
              <w:bottom w:val="single" w:sz="4" w:space="0" w:color="auto"/>
            </w:tcBorders>
            <w:noWrap/>
            <w:hideMark/>
          </w:tcPr>
          <w:p w14:paraId="51221AE1" w14:textId="5E86377C" w:rsidR="00E9385F" w:rsidRPr="00E86C72" w:rsidRDefault="00E9385F" w:rsidP="00E9385F">
            <w:pPr>
              <w:pStyle w:val="Tabletext1"/>
              <w:jc w:val="right"/>
            </w:pPr>
            <w:r w:rsidRPr="00D6502A">
              <w:t>$111,666</w:t>
            </w:r>
          </w:p>
        </w:tc>
        <w:tc>
          <w:tcPr>
            <w:tcW w:w="443" w:type="pct"/>
            <w:tcBorders>
              <w:bottom w:val="single" w:sz="4" w:space="0" w:color="auto"/>
            </w:tcBorders>
            <w:noWrap/>
            <w:hideMark/>
          </w:tcPr>
          <w:p w14:paraId="246E1197" w14:textId="5E0B7559" w:rsidR="00E9385F" w:rsidRPr="00E86C72" w:rsidRDefault="00E9385F" w:rsidP="00E9385F">
            <w:pPr>
              <w:pStyle w:val="Tabletext1"/>
              <w:jc w:val="right"/>
            </w:pPr>
            <w:r w:rsidRPr="00D6502A">
              <w:t>12%</w:t>
            </w:r>
          </w:p>
        </w:tc>
      </w:tr>
      <w:tr w:rsidR="00E9385F" w:rsidRPr="00E86C72" w14:paraId="1C84752B" w14:textId="77777777" w:rsidTr="008742A1">
        <w:trPr>
          <w:trHeight w:val="300"/>
        </w:trPr>
        <w:tc>
          <w:tcPr>
            <w:tcW w:w="2670" w:type="pct"/>
            <w:tcBorders>
              <w:bottom w:val="single" w:sz="4" w:space="0" w:color="auto"/>
              <w:right w:val="nil"/>
            </w:tcBorders>
            <w:noWrap/>
            <w:hideMark/>
          </w:tcPr>
          <w:p w14:paraId="45B4F9A2" w14:textId="77777777" w:rsidR="00E9385F" w:rsidRPr="00E86C72" w:rsidRDefault="00E9385F" w:rsidP="00E9385F">
            <w:pPr>
              <w:pStyle w:val="Tabletext1"/>
            </w:pPr>
            <w:r w:rsidRPr="00E86C72">
              <w:t>Duration of Ig treatment (base case: 2.2 years)</w:t>
            </w:r>
          </w:p>
        </w:tc>
        <w:tc>
          <w:tcPr>
            <w:tcW w:w="629" w:type="pct"/>
            <w:tcBorders>
              <w:left w:val="nil"/>
              <w:bottom w:val="single" w:sz="4" w:space="0" w:color="auto"/>
              <w:right w:val="nil"/>
            </w:tcBorders>
            <w:noWrap/>
            <w:hideMark/>
          </w:tcPr>
          <w:p w14:paraId="4AD98368" w14:textId="77777777" w:rsidR="00E9385F" w:rsidRPr="00E86C72" w:rsidRDefault="00E9385F" w:rsidP="00E9385F">
            <w:pPr>
              <w:pStyle w:val="Tabletext1"/>
              <w:jc w:val="right"/>
            </w:pPr>
          </w:p>
        </w:tc>
        <w:tc>
          <w:tcPr>
            <w:tcW w:w="629" w:type="pct"/>
            <w:tcBorders>
              <w:left w:val="nil"/>
              <w:bottom w:val="single" w:sz="4" w:space="0" w:color="auto"/>
              <w:right w:val="nil"/>
            </w:tcBorders>
            <w:noWrap/>
            <w:hideMark/>
          </w:tcPr>
          <w:p w14:paraId="15931888" w14:textId="77777777" w:rsidR="00E9385F" w:rsidRPr="00E86C72" w:rsidRDefault="00E9385F" w:rsidP="00E9385F">
            <w:pPr>
              <w:pStyle w:val="Tabletext1"/>
              <w:jc w:val="right"/>
            </w:pPr>
          </w:p>
        </w:tc>
        <w:tc>
          <w:tcPr>
            <w:tcW w:w="629" w:type="pct"/>
            <w:tcBorders>
              <w:left w:val="nil"/>
              <w:bottom w:val="single" w:sz="4" w:space="0" w:color="auto"/>
              <w:right w:val="nil"/>
            </w:tcBorders>
            <w:noWrap/>
            <w:hideMark/>
          </w:tcPr>
          <w:p w14:paraId="4720D486" w14:textId="77777777" w:rsidR="00E9385F" w:rsidRPr="00E86C72" w:rsidRDefault="00E9385F" w:rsidP="00E9385F">
            <w:pPr>
              <w:pStyle w:val="Tabletext1"/>
              <w:jc w:val="right"/>
            </w:pPr>
          </w:p>
        </w:tc>
        <w:tc>
          <w:tcPr>
            <w:tcW w:w="443" w:type="pct"/>
            <w:tcBorders>
              <w:left w:val="nil"/>
              <w:bottom w:val="single" w:sz="4" w:space="0" w:color="auto"/>
            </w:tcBorders>
            <w:noWrap/>
            <w:hideMark/>
          </w:tcPr>
          <w:p w14:paraId="5185FE95" w14:textId="77777777" w:rsidR="00E9385F" w:rsidRPr="00E86C72" w:rsidRDefault="00E9385F" w:rsidP="00E9385F">
            <w:pPr>
              <w:pStyle w:val="Tabletext1"/>
              <w:jc w:val="right"/>
            </w:pPr>
          </w:p>
        </w:tc>
      </w:tr>
      <w:tr w:rsidR="00E9385F" w:rsidRPr="00E86C72" w14:paraId="241FDDF0" w14:textId="77777777" w:rsidTr="008742A1">
        <w:trPr>
          <w:trHeight w:val="300"/>
        </w:trPr>
        <w:tc>
          <w:tcPr>
            <w:tcW w:w="2670" w:type="pct"/>
            <w:tcBorders>
              <w:bottom w:val="nil"/>
            </w:tcBorders>
            <w:noWrap/>
            <w:hideMark/>
          </w:tcPr>
          <w:p w14:paraId="208FC0B3" w14:textId="77777777" w:rsidR="00E9385F" w:rsidRPr="00E86C72" w:rsidRDefault="00E9385F" w:rsidP="00E9385F">
            <w:pPr>
              <w:pStyle w:val="Tabletext1"/>
            </w:pPr>
            <w:r w:rsidRPr="00E86C72">
              <w:t>1 year</w:t>
            </w:r>
          </w:p>
        </w:tc>
        <w:tc>
          <w:tcPr>
            <w:tcW w:w="629" w:type="pct"/>
            <w:tcBorders>
              <w:bottom w:val="nil"/>
            </w:tcBorders>
            <w:noWrap/>
            <w:hideMark/>
          </w:tcPr>
          <w:p w14:paraId="45E050D8" w14:textId="78A1C759" w:rsidR="00E9385F" w:rsidRPr="00E86C72" w:rsidRDefault="00E9385F" w:rsidP="00E9385F">
            <w:pPr>
              <w:pStyle w:val="Tabletext1"/>
              <w:jc w:val="right"/>
            </w:pPr>
            <w:r w:rsidRPr="00D6502A">
              <w:t>$19,162</w:t>
            </w:r>
          </w:p>
        </w:tc>
        <w:tc>
          <w:tcPr>
            <w:tcW w:w="629" w:type="pct"/>
            <w:tcBorders>
              <w:bottom w:val="nil"/>
            </w:tcBorders>
            <w:noWrap/>
            <w:hideMark/>
          </w:tcPr>
          <w:p w14:paraId="498A42B0" w14:textId="2CF82A8E" w:rsidR="00E9385F" w:rsidRPr="00E86C72" w:rsidRDefault="00E9385F" w:rsidP="00E9385F">
            <w:pPr>
              <w:pStyle w:val="Tabletext1"/>
              <w:jc w:val="right"/>
            </w:pPr>
            <w:r w:rsidRPr="00D6502A">
              <w:t>0.2450</w:t>
            </w:r>
          </w:p>
        </w:tc>
        <w:tc>
          <w:tcPr>
            <w:tcW w:w="629" w:type="pct"/>
            <w:tcBorders>
              <w:bottom w:val="nil"/>
            </w:tcBorders>
            <w:noWrap/>
            <w:hideMark/>
          </w:tcPr>
          <w:p w14:paraId="582D3A12" w14:textId="71699060" w:rsidR="00E9385F" w:rsidRPr="00E86C72" w:rsidRDefault="00E9385F" w:rsidP="00E9385F">
            <w:pPr>
              <w:pStyle w:val="Tabletext1"/>
              <w:jc w:val="right"/>
            </w:pPr>
            <w:r w:rsidRPr="00D6502A">
              <w:t>$78,222</w:t>
            </w:r>
          </w:p>
        </w:tc>
        <w:tc>
          <w:tcPr>
            <w:tcW w:w="443" w:type="pct"/>
            <w:tcBorders>
              <w:bottom w:val="nil"/>
            </w:tcBorders>
            <w:noWrap/>
            <w:hideMark/>
          </w:tcPr>
          <w:p w14:paraId="5A19A01A" w14:textId="79D49434" w:rsidR="00E9385F" w:rsidRPr="00E86C72" w:rsidRDefault="00E9385F" w:rsidP="00E9385F">
            <w:pPr>
              <w:pStyle w:val="Tabletext1"/>
              <w:jc w:val="right"/>
            </w:pPr>
            <w:r w:rsidRPr="00D6502A">
              <w:t>–22%</w:t>
            </w:r>
          </w:p>
        </w:tc>
      </w:tr>
      <w:tr w:rsidR="00E9385F" w:rsidRPr="00E86C72" w14:paraId="0F655DB1" w14:textId="77777777" w:rsidTr="008742A1">
        <w:trPr>
          <w:trHeight w:val="300"/>
        </w:trPr>
        <w:tc>
          <w:tcPr>
            <w:tcW w:w="2670" w:type="pct"/>
            <w:tcBorders>
              <w:top w:val="nil"/>
              <w:bottom w:val="nil"/>
            </w:tcBorders>
            <w:noWrap/>
            <w:hideMark/>
          </w:tcPr>
          <w:p w14:paraId="75920784" w14:textId="77777777" w:rsidR="00E9385F" w:rsidRPr="00E86C72" w:rsidRDefault="00E9385F" w:rsidP="00E9385F">
            <w:pPr>
              <w:pStyle w:val="Tabletext1"/>
            </w:pPr>
            <w:r w:rsidRPr="00E86C72">
              <w:t>3 years</w:t>
            </w:r>
          </w:p>
        </w:tc>
        <w:tc>
          <w:tcPr>
            <w:tcW w:w="629" w:type="pct"/>
            <w:tcBorders>
              <w:top w:val="nil"/>
              <w:bottom w:val="nil"/>
            </w:tcBorders>
            <w:noWrap/>
            <w:hideMark/>
          </w:tcPr>
          <w:p w14:paraId="7E375028" w14:textId="6B468D4B" w:rsidR="00E9385F" w:rsidRPr="00E86C72" w:rsidRDefault="00E9385F" w:rsidP="00E9385F">
            <w:pPr>
              <w:pStyle w:val="Tabletext1"/>
              <w:jc w:val="right"/>
            </w:pPr>
            <w:r w:rsidRPr="00D6502A">
              <w:t>$55,209</w:t>
            </w:r>
          </w:p>
        </w:tc>
        <w:tc>
          <w:tcPr>
            <w:tcW w:w="629" w:type="pct"/>
            <w:tcBorders>
              <w:top w:val="nil"/>
              <w:bottom w:val="nil"/>
            </w:tcBorders>
            <w:noWrap/>
            <w:hideMark/>
          </w:tcPr>
          <w:p w14:paraId="2B0AFC74" w14:textId="34A7236C" w:rsidR="00E9385F" w:rsidRPr="00E86C72" w:rsidRDefault="00E9385F" w:rsidP="00E9385F">
            <w:pPr>
              <w:pStyle w:val="Tabletext1"/>
              <w:jc w:val="right"/>
            </w:pPr>
            <w:r w:rsidRPr="00D6502A">
              <w:t>0.4771</w:t>
            </w:r>
          </w:p>
        </w:tc>
        <w:tc>
          <w:tcPr>
            <w:tcW w:w="629" w:type="pct"/>
            <w:tcBorders>
              <w:top w:val="nil"/>
              <w:bottom w:val="nil"/>
            </w:tcBorders>
            <w:noWrap/>
            <w:hideMark/>
          </w:tcPr>
          <w:p w14:paraId="5F83B399" w14:textId="0CA76093" w:rsidR="00E9385F" w:rsidRPr="00E86C72" w:rsidRDefault="00E9385F" w:rsidP="00E9385F">
            <w:pPr>
              <w:pStyle w:val="Tabletext1"/>
              <w:jc w:val="right"/>
            </w:pPr>
            <w:r w:rsidRPr="00D6502A">
              <w:t>$115,716</w:t>
            </w:r>
          </w:p>
        </w:tc>
        <w:tc>
          <w:tcPr>
            <w:tcW w:w="443" w:type="pct"/>
            <w:tcBorders>
              <w:top w:val="nil"/>
              <w:bottom w:val="nil"/>
            </w:tcBorders>
            <w:noWrap/>
            <w:hideMark/>
          </w:tcPr>
          <w:p w14:paraId="5A8DDD08" w14:textId="0C30914A" w:rsidR="00E9385F" w:rsidRPr="00E86C72" w:rsidRDefault="00E9385F" w:rsidP="00E9385F">
            <w:pPr>
              <w:pStyle w:val="Tabletext1"/>
              <w:jc w:val="right"/>
            </w:pPr>
            <w:r w:rsidRPr="00D6502A">
              <w:t>16%</w:t>
            </w:r>
          </w:p>
        </w:tc>
      </w:tr>
      <w:tr w:rsidR="00E9385F" w:rsidRPr="00E86C72" w14:paraId="39362845" w14:textId="77777777" w:rsidTr="008742A1">
        <w:trPr>
          <w:trHeight w:val="300"/>
        </w:trPr>
        <w:tc>
          <w:tcPr>
            <w:tcW w:w="2670" w:type="pct"/>
            <w:tcBorders>
              <w:top w:val="nil"/>
              <w:bottom w:val="nil"/>
            </w:tcBorders>
            <w:noWrap/>
            <w:hideMark/>
          </w:tcPr>
          <w:p w14:paraId="3EC8045A" w14:textId="77777777" w:rsidR="00E9385F" w:rsidRPr="00E86C72" w:rsidRDefault="00E9385F" w:rsidP="00E9385F">
            <w:pPr>
              <w:pStyle w:val="Tabletext1"/>
            </w:pPr>
            <w:r w:rsidRPr="00E86C72">
              <w:t>5 years</w:t>
            </w:r>
          </w:p>
        </w:tc>
        <w:tc>
          <w:tcPr>
            <w:tcW w:w="629" w:type="pct"/>
            <w:tcBorders>
              <w:top w:val="nil"/>
              <w:bottom w:val="nil"/>
            </w:tcBorders>
            <w:noWrap/>
            <w:hideMark/>
          </w:tcPr>
          <w:p w14:paraId="1A5BBB40" w14:textId="3E428BF7" w:rsidR="00E9385F" w:rsidRPr="00E86C72" w:rsidRDefault="00E9385F" w:rsidP="00E9385F">
            <w:pPr>
              <w:pStyle w:val="Tabletext1"/>
              <w:jc w:val="right"/>
            </w:pPr>
            <w:r w:rsidRPr="00D6502A">
              <w:t>$84,261</w:t>
            </w:r>
          </w:p>
        </w:tc>
        <w:tc>
          <w:tcPr>
            <w:tcW w:w="629" w:type="pct"/>
            <w:tcBorders>
              <w:top w:val="nil"/>
              <w:bottom w:val="nil"/>
            </w:tcBorders>
            <w:noWrap/>
            <w:hideMark/>
          </w:tcPr>
          <w:p w14:paraId="4C2B55D3" w14:textId="6381E843" w:rsidR="00E9385F" w:rsidRPr="00E86C72" w:rsidRDefault="00E9385F" w:rsidP="00E9385F">
            <w:pPr>
              <w:pStyle w:val="Tabletext1"/>
              <w:jc w:val="right"/>
            </w:pPr>
            <w:r w:rsidRPr="00D6502A">
              <w:t>0.5430</w:t>
            </w:r>
          </w:p>
        </w:tc>
        <w:tc>
          <w:tcPr>
            <w:tcW w:w="629" w:type="pct"/>
            <w:tcBorders>
              <w:top w:val="nil"/>
              <w:bottom w:val="nil"/>
            </w:tcBorders>
            <w:noWrap/>
            <w:hideMark/>
          </w:tcPr>
          <w:p w14:paraId="358855BF" w14:textId="1A005288" w:rsidR="00E9385F" w:rsidRPr="00E86C72" w:rsidRDefault="00E9385F" w:rsidP="00E9385F">
            <w:pPr>
              <w:pStyle w:val="Tabletext1"/>
              <w:jc w:val="right"/>
            </w:pPr>
            <w:r w:rsidRPr="00D6502A">
              <w:t>$155,168</w:t>
            </w:r>
          </w:p>
        </w:tc>
        <w:tc>
          <w:tcPr>
            <w:tcW w:w="443" w:type="pct"/>
            <w:tcBorders>
              <w:top w:val="nil"/>
              <w:bottom w:val="nil"/>
            </w:tcBorders>
            <w:noWrap/>
            <w:hideMark/>
          </w:tcPr>
          <w:p w14:paraId="4A4E4EE9" w14:textId="196AF00B" w:rsidR="00E9385F" w:rsidRPr="00E86C72" w:rsidRDefault="00E9385F" w:rsidP="00E9385F">
            <w:pPr>
              <w:pStyle w:val="Tabletext1"/>
              <w:jc w:val="right"/>
            </w:pPr>
            <w:r w:rsidRPr="00D6502A">
              <w:t>55%</w:t>
            </w:r>
          </w:p>
        </w:tc>
      </w:tr>
      <w:tr w:rsidR="00E9385F" w:rsidRPr="00E86C72" w14:paraId="4442CAFA" w14:textId="77777777" w:rsidTr="008742A1">
        <w:trPr>
          <w:trHeight w:val="300"/>
        </w:trPr>
        <w:tc>
          <w:tcPr>
            <w:tcW w:w="2670" w:type="pct"/>
            <w:tcBorders>
              <w:top w:val="nil"/>
            </w:tcBorders>
            <w:noWrap/>
            <w:hideMark/>
          </w:tcPr>
          <w:p w14:paraId="6DB3C0EC" w14:textId="77777777" w:rsidR="00E9385F" w:rsidRPr="00E86C72" w:rsidRDefault="00E9385F" w:rsidP="00E9385F">
            <w:pPr>
              <w:pStyle w:val="Tabletext1"/>
            </w:pPr>
            <w:r w:rsidRPr="00E86C72">
              <w:t>10 years</w:t>
            </w:r>
          </w:p>
        </w:tc>
        <w:tc>
          <w:tcPr>
            <w:tcW w:w="629" w:type="pct"/>
            <w:tcBorders>
              <w:top w:val="nil"/>
            </w:tcBorders>
            <w:noWrap/>
            <w:hideMark/>
          </w:tcPr>
          <w:p w14:paraId="23FD001E" w14:textId="36879829" w:rsidR="00E9385F" w:rsidRPr="00E86C72" w:rsidRDefault="00E9385F" w:rsidP="00E9385F">
            <w:pPr>
              <w:pStyle w:val="Tabletext1"/>
              <w:jc w:val="right"/>
            </w:pPr>
            <w:r w:rsidRPr="00D6502A">
              <w:t>$125,097</w:t>
            </w:r>
          </w:p>
        </w:tc>
        <w:tc>
          <w:tcPr>
            <w:tcW w:w="629" w:type="pct"/>
            <w:tcBorders>
              <w:top w:val="nil"/>
            </w:tcBorders>
            <w:noWrap/>
            <w:hideMark/>
          </w:tcPr>
          <w:p w14:paraId="3BFA4568" w14:textId="2DABA587" w:rsidR="00E9385F" w:rsidRPr="00E86C72" w:rsidRDefault="00E9385F" w:rsidP="00E9385F">
            <w:pPr>
              <w:pStyle w:val="Tabletext1"/>
              <w:jc w:val="right"/>
            </w:pPr>
            <w:r w:rsidRPr="00D6502A">
              <w:t>0.5457</w:t>
            </w:r>
          </w:p>
        </w:tc>
        <w:tc>
          <w:tcPr>
            <w:tcW w:w="629" w:type="pct"/>
            <w:tcBorders>
              <w:top w:val="nil"/>
            </w:tcBorders>
            <w:noWrap/>
            <w:hideMark/>
          </w:tcPr>
          <w:p w14:paraId="0B457DB4" w14:textId="0AE51F49" w:rsidR="00E9385F" w:rsidRPr="00E86C72" w:rsidRDefault="00E9385F" w:rsidP="00E9385F">
            <w:pPr>
              <w:pStyle w:val="Tabletext1"/>
              <w:jc w:val="right"/>
            </w:pPr>
            <w:r w:rsidRPr="00D6502A">
              <w:t>$229,233</w:t>
            </w:r>
          </w:p>
        </w:tc>
        <w:tc>
          <w:tcPr>
            <w:tcW w:w="443" w:type="pct"/>
            <w:tcBorders>
              <w:top w:val="nil"/>
            </w:tcBorders>
            <w:noWrap/>
            <w:hideMark/>
          </w:tcPr>
          <w:p w14:paraId="03F40A7B" w14:textId="12EDE473" w:rsidR="00E9385F" w:rsidRPr="00E86C72" w:rsidRDefault="00E9385F" w:rsidP="00E9385F">
            <w:pPr>
              <w:pStyle w:val="Tabletext1"/>
              <w:jc w:val="right"/>
            </w:pPr>
            <w:r w:rsidRPr="00D6502A">
              <w:t>130%</w:t>
            </w:r>
          </w:p>
        </w:tc>
      </w:tr>
      <w:tr w:rsidR="00E9385F" w:rsidRPr="00E86C72" w14:paraId="6B66CE4E" w14:textId="77777777" w:rsidTr="008742A1">
        <w:trPr>
          <w:trHeight w:val="300"/>
        </w:trPr>
        <w:tc>
          <w:tcPr>
            <w:tcW w:w="2670" w:type="pct"/>
            <w:tcBorders>
              <w:bottom w:val="single" w:sz="4" w:space="0" w:color="auto"/>
            </w:tcBorders>
            <w:noWrap/>
            <w:hideMark/>
          </w:tcPr>
          <w:p w14:paraId="5171BECC" w14:textId="77777777" w:rsidR="00E9385F" w:rsidRPr="00E86C72" w:rsidRDefault="00E9385F" w:rsidP="00E9385F">
            <w:pPr>
              <w:pStyle w:val="Tabletext1"/>
            </w:pPr>
            <w:r w:rsidRPr="00E86C72">
              <w:t>Exclude development of bronchiectasis</w:t>
            </w:r>
          </w:p>
        </w:tc>
        <w:tc>
          <w:tcPr>
            <w:tcW w:w="629" w:type="pct"/>
            <w:tcBorders>
              <w:bottom w:val="single" w:sz="4" w:space="0" w:color="auto"/>
            </w:tcBorders>
            <w:noWrap/>
            <w:hideMark/>
          </w:tcPr>
          <w:p w14:paraId="13B17A1E" w14:textId="4B61DAB5" w:rsidR="00E9385F" w:rsidRPr="00E86C72" w:rsidRDefault="00E9385F" w:rsidP="00E9385F">
            <w:pPr>
              <w:pStyle w:val="Tabletext1"/>
              <w:jc w:val="right"/>
            </w:pPr>
            <w:r w:rsidRPr="00D6502A">
              <w:t>$41,213</w:t>
            </w:r>
          </w:p>
        </w:tc>
        <w:tc>
          <w:tcPr>
            <w:tcW w:w="629" w:type="pct"/>
            <w:tcBorders>
              <w:bottom w:val="single" w:sz="4" w:space="0" w:color="auto"/>
            </w:tcBorders>
            <w:noWrap/>
            <w:hideMark/>
          </w:tcPr>
          <w:p w14:paraId="1AA69ADB" w14:textId="75A18DB6" w:rsidR="00E9385F" w:rsidRPr="00E86C72" w:rsidRDefault="00E9385F" w:rsidP="00E9385F">
            <w:pPr>
              <w:pStyle w:val="Tabletext1"/>
              <w:jc w:val="right"/>
            </w:pPr>
            <w:r w:rsidRPr="00D6502A">
              <w:t>0.0141</w:t>
            </w:r>
          </w:p>
        </w:tc>
        <w:tc>
          <w:tcPr>
            <w:tcW w:w="629" w:type="pct"/>
            <w:tcBorders>
              <w:bottom w:val="single" w:sz="4" w:space="0" w:color="auto"/>
            </w:tcBorders>
            <w:noWrap/>
            <w:hideMark/>
          </w:tcPr>
          <w:p w14:paraId="048F81C1" w14:textId="04101DCF" w:rsidR="00E9385F" w:rsidRPr="00E86C72" w:rsidRDefault="00E9385F" w:rsidP="00E9385F">
            <w:pPr>
              <w:pStyle w:val="Tabletext1"/>
              <w:jc w:val="right"/>
            </w:pPr>
            <w:r w:rsidRPr="00D6502A">
              <w:t>$2,927,525</w:t>
            </w:r>
          </w:p>
        </w:tc>
        <w:tc>
          <w:tcPr>
            <w:tcW w:w="443" w:type="pct"/>
            <w:tcBorders>
              <w:bottom w:val="single" w:sz="4" w:space="0" w:color="auto"/>
            </w:tcBorders>
            <w:noWrap/>
            <w:hideMark/>
          </w:tcPr>
          <w:p w14:paraId="10717373" w14:textId="79544FAF" w:rsidR="00E9385F" w:rsidRPr="00E86C72" w:rsidRDefault="00E9385F" w:rsidP="00E9385F">
            <w:pPr>
              <w:pStyle w:val="Tabletext1"/>
              <w:jc w:val="right"/>
            </w:pPr>
            <w:r w:rsidRPr="00D6502A">
              <w:t>2833%</w:t>
            </w:r>
          </w:p>
        </w:tc>
      </w:tr>
      <w:tr w:rsidR="00E9385F" w:rsidRPr="00E86C72" w14:paraId="745A6D8A" w14:textId="77777777" w:rsidTr="008742A1">
        <w:trPr>
          <w:trHeight w:val="300"/>
        </w:trPr>
        <w:tc>
          <w:tcPr>
            <w:tcW w:w="2670" w:type="pct"/>
            <w:tcBorders>
              <w:bottom w:val="single" w:sz="4" w:space="0" w:color="auto"/>
              <w:right w:val="nil"/>
            </w:tcBorders>
            <w:noWrap/>
            <w:hideMark/>
          </w:tcPr>
          <w:p w14:paraId="620563C5" w14:textId="77777777" w:rsidR="00E9385F" w:rsidRPr="00E86C72" w:rsidRDefault="00E9385F" w:rsidP="00E9385F">
            <w:pPr>
              <w:pStyle w:val="Tabletext1"/>
            </w:pPr>
            <w:r w:rsidRPr="00E86C72">
              <w:t>Time horizon (base case: 10 years)</w:t>
            </w:r>
          </w:p>
        </w:tc>
        <w:tc>
          <w:tcPr>
            <w:tcW w:w="629" w:type="pct"/>
            <w:tcBorders>
              <w:left w:val="nil"/>
              <w:bottom w:val="single" w:sz="4" w:space="0" w:color="auto"/>
              <w:right w:val="nil"/>
            </w:tcBorders>
            <w:noWrap/>
            <w:hideMark/>
          </w:tcPr>
          <w:p w14:paraId="03D169E4" w14:textId="77777777" w:rsidR="00E9385F" w:rsidRPr="00E86C72" w:rsidRDefault="00E9385F" w:rsidP="00E9385F">
            <w:pPr>
              <w:pStyle w:val="Tabletext1"/>
              <w:jc w:val="right"/>
            </w:pPr>
          </w:p>
        </w:tc>
        <w:tc>
          <w:tcPr>
            <w:tcW w:w="629" w:type="pct"/>
            <w:tcBorders>
              <w:left w:val="nil"/>
              <w:bottom w:val="single" w:sz="4" w:space="0" w:color="auto"/>
              <w:right w:val="nil"/>
            </w:tcBorders>
            <w:noWrap/>
            <w:hideMark/>
          </w:tcPr>
          <w:p w14:paraId="13D803D5" w14:textId="77777777" w:rsidR="00E9385F" w:rsidRPr="00E86C72" w:rsidRDefault="00E9385F" w:rsidP="00E9385F">
            <w:pPr>
              <w:pStyle w:val="Tabletext1"/>
              <w:jc w:val="right"/>
            </w:pPr>
          </w:p>
        </w:tc>
        <w:tc>
          <w:tcPr>
            <w:tcW w:w="629" w:type="pct"/>
            <w:tcBorders>
              <w:left w:val="nil"/>
              <w:bottom w:val="single" w:sz="4" w:space="0" w:color="auto"/>
              <w:right w:val="nil"/>
            </w:tcBorders>
            <w:noWrap/>
            <w:hideMark/>
          </w:tcPr>
          <w:p w14:paraId="6117B81A" w14:textId="77777777" w:rsidR="00E9385F" w:rsidRPr="00E86C72" w:rsidRDefault="00E9385F" w:rsidP="00E9385F">
            <w:pPr>
              <w:pStyle w:val="Tabletext1"/>
              <w:jc w:val="right"/>
            </w:pPr>
          </w:p>
        </w:tc>
        <w:tc>
          <w:tcPr>
            <w:tcW w:w="443" w:type="pct"/>
            <w:tcBorders>
              <w:left w:val="nil"/>
              <w:bottom w:val="single" w:sz="4" w:space="0" w:color="auto"/>
            </w:tcBorders>
            <w:noWrap/>
            <w:hideMark/>
          </w:tcPr>
          <w:p w14:paraId="65FEA059" w14:textId="77777777" w:rsidR="00E9385F" w:rsidRPr="00E86C72" w:rsidRDefault="00E9385F" w:rsidP="00E9385F">
            <w:pPr>
              <w:pStyle w:val="Tabletext1"/>
              <w:jc w:val="right"/>
            </w:pPr>
          </w:p>
        </w:tc>
      </w:tr>
      <w:tr w:rsidR="00E9385F" w:rsidRPr="00E86C72" w14:paraId="25AC87D4" w14:textId="77777777" w:rsidTr="008742A1">
        <w:trPr>
          <w:trHeight w:val="315"/>
        </w:trPr>
        <w:tc>
          <w:tcPr>
            <w:tcW w:w="2670" w:type="pct"/>
            <w:tcBorders>
              <w:bottom w:val="nil"/>
            </w:tcBorders>
            <w:noWrap/>
            <w:hideMark/>
          </w:tcPr>
          <w:p w14:paraId="4C2946F6" w14:textId="77777777" w:rsidR="00E9385F" w:rsidRPr="00E86C72" w:rsidRDefault="00E9385F" w:rsidP="00E9385F">
            <w:pPr>
              <w:pStyle w:val="Tabletext1"/>
            </w:pPr>
            <w:r w:rsidRPr="00E86C72">
              <w:t>2.2 years (as per Ig treatment duration)</w:t>
            </w:r>
          </w:p>
        </w:tc>
        <w:tc>
          <w:tcPr>
            <w:tcW w:w="629" w:type="pct"/>
            <w:tcBorders>
              <w:bottom w:val="nil"/>
            </w:tcBorders>
            <w:noWrap/>
            <w:hideMark/>
          </w:tcPr>
          <w:p w14:paraId="669420B5" w14:textId="3281E356" w:rsidR="00E9385F" w:rsidRPr="00E86C72" w:rsidRDefault="00E9385F" w:rsidP="00E9385F">
            <w:pPr>
              <w:pStyle w:val="Tabletext1"/>
              <w:jc w:val="right"/>
            </w:pPr>
            <w:r w:rsidRPr="00D6502A">
              <w:t>$38,869</w:t>
            </w:r>
          </w:p>
        </w:tc>
        <w:tc>
          <w:tcPr>
            <w:tcW w:w="629" w:type="pct"/>
            <w:tcBorders>
              <w:bottom w:val="nil"/>
            </w:tcBorders>
            <w:noWrap/>
            <w:hideMark/>
          </w:tcPr>
          <w:p w14:paraId="5BB7BBAF" w14:textId="6C7DA785" w:rsidR="00E9385F" w:rsidRPr="00E86C72" w:rsidRDefault="00E9385F" w:rsidP="00E9385F">
            <w:pPr>
              <w:pStyle w:val="Tabletext1"/>
              <w:jc w:val="right"/>
            </w:pPr>
            <w:r w:rsidRPr="00D6502A">
              <w:t>0.0322</w:t>
            </w:r>
          </w:p>
        </w:tc>
        <w:tc>
          <w:tcPr>
            <w:tcW w:w="629" w:type="pct"/>
            <w:tcBorders>
              <w:bottom w:val="nil"/>
            </w:tcBorders>
            <w:noWrap/>
            <w:hideMark/>
          </w:tcPr>
          <w:p w14:paraId="32A8130C" w14:textId="3BFB3056" w:rsidR="00E9385F" w:rsidRPr="00E86C72" w:rsidRDefault="00E9385F" w:rsidP="00E9385F">
            <w:pPr>
              <w:pStyle w:val="Tabletext1"/>
              <w:jc w:val="right"/>
            </w:pPr>
            <w:r w:rsidRPr="00D6502A">
              <w:t>$1,208,343</w:t>
            </w:r>
          </w:p>
        </w:tc>
        <w:tc>
          <w:tcPr>
            <w:tcW w:w="443" w:type="pct"/>
            <w:tcBorders>
              <w:bottom w:val="nil"/>
            </w:tcBorders>
            <w:noWrap/>
            <w:hideMark/>
          </w:tcPr>
          <w:p w14:paraId="74EF9177" w14:textId="2E7A21C5" w:rsidR="00E9385F" w:rsidRPr="00E86C72" w:rsidRDefault="00E9385F" w:rsidP="00E9385F">
            <w:pPr>
              <w:pStyle w:val="Tabletext1"/>
              <w:jc w:val="right"/>
            </w:pPr>
            <w:r w:rsidRPr="00D6502A">
              <w:t>1111%</w:t>
            </w:r>
          </w:p>
        </w:tc>
      </w:tr>
      <w:tr w:rsidR="00E9385F" w:rsidRPr="00E86C72" w14:paraId="218D431D" w14:textId="77777777" w:rsidTr="008742A1">
        <w:trPr>
          <w:trHeight w:val="300"/>
        </w:trPr>
        <w:tc>
          <w:tcPr>
            <w:tcW w:w="2670" w:type="pct"/>
            <w:tcBorders>
              <w:top w:val="nil"/>
              <w:bottom w:val="single" w:sz="4" w:space="0" w:color="auto"/>
            </w:tcBorders>
            <w:noWrap/>
            <w:hideMark/>
          </w:tcPr>
          <w:p w14:paraId="66E3A4C2" w14:textId="77777777" w:rsidR="00E9385F" w:rsidRPr="00E86C72" w:rsidRDefault="00E9385F" w:rsidP="00E9385F">
            <w:pPr>
              <w:pStyle w:val="Tabletext1"/>
            </w:pPr>
            <w:r w:rsidRPr="00E86C72">
              <w:t>5 years</w:t>
            </w:r>
          </w:p>
        </w:tc>
        <w:tc>
          <w:tcPr>
            <w:tcW w:w="629" w:type="pct"/>
            <w:tcBorders>
              <w:top w:val="nil"/>
              <w:bottom w:val="single" w:sz="4" w:space="0" w:color="auto"/>
            </w:tcBorders>
            <w:noWrap/>
            <w:hideMark/>
          </w:tcPr>
          <w:p w14:paraId="46349106" w14:textId="1E6E43D5" w:rsidR="00E9385F" w:rsidRPr="00E86C72" w:rsidRDefault="00E9385F" w:rsidP="00E9385F">
            <w:pPr>
              <w:pStyle w:val="Tabletext1"/>
              <w:jc w:val="right"/>
            </w:pPr>
            <w:r w:rsidRPr="00D6502A">
              <w:t>$39,552</w:t>
            </w:r>
          </w:p>
        </w:tc>
        <w:tc>
          <w:tcPr>
            <w:tcW w:w="629" w:type="pct"/>
            <w:tcBorders>
              <w:top w:val="nil"/>
              <w:bottom w:val="single" w:sz="4" w:space="0" w:color="auto"/>
            </w:tcBorders>
            <w:noWrap/>
            <w:hideMark/>
          </w:tcPr>
          <w:p w14:paraId="69AC7841" w14:textId="2DEB3850" w:rsidR="00E9385F" w:rsidRPr="00E86C72" w:rsidRDefault="00E9385F" w:rsidP="00E9385F">
            <w:pPr>
              <w:pStyle w:val="Tabletext1"/>
              <w:jc w:val="right"/>
            </w:pPr>
            <w:r w:rsidRPr="00D6502A">
              <w:t>0.1509</w:t>
            </w:r>
          </w:p>
        </w:tc>
        <w:tc>
          <w:tcPr>
            <w:tcW w:w="629" w:type="pct"/>
            <w:tcBorders>
              <w:top w:val="nil"/>
              <w:bottom w:val="single" w:sz="4" w:space="0" w:color="auto"/>
            </w:tcBorders>
            <w:noWrap/>
            <w:hideMark/>
          </w:tcPr>
          <w:p w14:paraId="188E5718" w14:textId="072CFDE0" w:rsidR="00E9385F" w:rsidRPr="00E86C72" w:rsidRDefault="00E9385F" w:rsidP="00E9385F">
            <w:pPr>
              <w:pStyle w:val="Tabletext1"/>
              <w:jc w:val="right"/>
            </w:pPr>
            <w:r w:rsidRPr="00D6502A">
              <w:t>$262,086</w:t>
            </w:r>
          </w:p>
        </w:tc>
        <w:tc>
          <w:tcPr>
            <w:tcW w:w="443" w:type="pct"/>
            <w:tcBorders>
              <w:top w:val="nil"/>
              <w:bottom w:val="single" w:sz="4" w:space="0" w:color="auto"/>
            </w:tcBorders>
            <w:noWrap/>
            <w:hideMark/>
          </w:tcPr>
          <w:p w14:paraId="27AFE267" w14:textId="59E36634" w:rsidR="00E9385F" w:rsidRPr="00E86C72" w:rsidRDefault="00E9385F" w:rsidP="00E9385F">
            <w:pPr>
              <w:pStyle w:val="Tabletext1"/>
              <w:jc w:val="right"/>
            </w:pPr>
            <w:r w:rsidRPr="00D6502A">
              <w:t>163%</w:t>
            </w:r>
          </w:p>
        </w:tc>
      </w:tr>
      <w:tr w:rsidR="00E9385F" w:rsidRPr="00E86C72" w14:paraId="3ACB576E" w14:textId="77777777" w:rsidTr="008742A1">
        <w:trPr>
          <w:trHeight w:val="300"/>
        </w:trPr>
        <w:tc>
          <w:tcPr>
            <w:tcW w:w="2670" w:type="pct"/>
            <w:tcBorders>
              <w:bottom w:val="single" w:sz="4" w:space="0" w:color="auto"/>
              <w:right w:val="nil"/>
            </w:tcBorders>
            <w:noWrap/>
            <w:hideMark/>
          </w:tcPr>
          <w:p w14:paraId="43548421" w14:textId="77777777" w:rsidR="00E9385F" w:rsidRPr="00E86C72" w:rsidRDefault="00E9385F" w:rsidP="00E9385F">
            <w:pPr>
              <w:pStyle w:val="Tabletext1"/>
            </w:pPr>
            <w:r w:rsidRPr="00E86C72">
              <w:t>Discount rate (base case: 5%)</w:t>
            </w:r>
          </w:p>
        </w:tc>
        <w:tc>
          <w:tcPr>
            <w:tcW w:w="629" w:type="pct"/>
            <w:tcBorders>
              <w:left w:val="nil"/>
              <w:bottom w:val="single" w:sz="4" w:space="0" w:color="auto"/>
              <w:right w:val="nil"/>
            </w:tcBorders>
            <w:noWrap/>
            <w:hideMark/>
          </w:tcPr>
          <w:p w14:paraId="1C5DC29A" w14:textId="77777777" w:rsidR="00E9385F" w:rsidRPr="00E86C72" w:rsidRDefault="00E9385F" w:rsidP="00E9385F">
            <w:pPr>
              <w:pStyle w:val="Tabletext1"/>
              <w:jc w:val="right"/>
            </w:pPr>
          </w:p>
        </w:tc>
        <w:tc>
          <w:tcPr>
            <w:tcW w:w="629" w:type="pct"/>
            <w:tcBorders>
              <w:left w:val="nil"/>
              <w:bottom w:val="single" w:sz="4" w:space="0" w:color="auto"/>
              <w:right w:val="nil"/>
            </w:tcBorders>
            <w:noWrap/>
            <w:hideMark/>
          </w:tcPr>
          <w:p w14:paraId="53FF54E7" w14:textId="77777777" w:rsidR="00E9385F" w:rsidRPr="00E86C72" w:rsidRDefault="00E9385F" w:rsidP="00E9385F">
            <w:pPr>
              <w:pStyle w:val="Tabletext1"/>
              <w:jc w:val="right"/>
            </w:pPr>
          </w:p>
        </w:tc>
        <w:tc>
          <w:tcPr>
            <w:tcW w:w="629" w:type="pct"/>
            <w:tcBorders>
              <w:left w:val="nil"/>
              <w:bottom w:val="single" w:sz="4" w:space="0" w:color="auto"/>
              <w:right w:val="nil"/>
            </w:tcBorders>
            <w:noWrap/>
            <w:hideMark/>
          </w:tcPr>
          <w:p w14:paraId="0568FC49" w14:textId="77777777" w:rsidR="00E9385F" w:rsidRPr="00E86C72" w:rsidRDefault="00E9385F" w:rsidP="00E9385F">
            <w:pPr>
              <w:pStyle w:val="Tabletext1"/>
              <w:jc w:val="right"/>
            </w:pPr>
          </w:p>
        </w:tc>
        <w:tc>
          <w:tcPr>
            <w:tcW w:w="443" w:type="pct"/>
            <w:tcBorders>
              <w:left w:val="nil"/>
              <w:bottom w:val="single" w:sz="4" w:space="0" w:color="auto"/>
            </w:tcBorders>
            <w:noWrap/>
            <w:hideMark/>
          </w:tcPr>
          <w:p w14:paraId="27A3323F" w14:textId="77777777" w:rsidR="00E9385F" w:rsidRPr="00E86C72" w:rsidRDefault="00E9385F" w:rsidP="00E9385F">
            <w:pPr>
              <w:pStyle w:val="Tabletext1"/>
              <w:jc w:val="right"/>
            </w:pPr>
          </w:p>
        </w:tc>
      </w:tr>
      <w:tr w:rsidR="00E9385F" w:rsidRPr="00E86C72" w14:paraId="06BF7BE9" w14:textId="77777777" w:rsidTr="008742A1">
        <w:trPr>
          <w:trHeight w:val="300"/>
        </w:trPr>
        <w:tc>
          <w:tcPr>
            <w:tcW w:w="2670" w:type="pct"/>
            <w:tcBorders>
              <w:bottom w:val="nil"/>
            </w:tcBorders>
            <w:noWrap/>
            <w:hideMark/>
          </w:tcPr>
          <w:p w14:paraId="25E5E7CF" w14:textId="77777777" w:rsidR="00E9385F" w:rsidRPr="00E86C72" w:rsidRDefault="00E9385F" w:rsidP="00E9385F">
            <w:pPr>
              <w:pStyle w:val="Tabletext1"/>
            </w:pPr>
            <w:r w:rsidRPr="00E86C72">
              <w:t>0%</w:t>
            </w:r>
          </w:p>
        </w:tc>
        <w:tc>
          <w:tcPr>
            <w:tcW w:w="629" w:type="pct"/>
            <w:tcBorders>
              <w:bottom w:val="nil"/>
            </w:tcBorders>
            <w:noWrap/>
            <w:hideMark/>
          </w:tcPr>
          <w:p w14:paraId="7FFAC9A9" w14:textId="64143664" w:rsidR="00E9385F" w:rsidRPr="00E86C72" w:rsidRDefault="00E9385F" w:rsidP="00E9385F">
            <w:pPr>
              <w:pStyle w:val="Tabletext1"/>
              <w:jc w:val="right"/>
            </w:pPr>
            <w:r w:rsidRPr="00D6502A">
              <w:t>$43,815</w:t>
            </w:r>
          </w:p>
        </w:tc>
        <w:tc>
          <w:tcPr>
            <w:tcW w:w="629" w:type="pct"/>
            <w:tcBorders>
              <w:bottom w:val="nil"/>
            </w:tcBorders>
            <w:noWrap/>
            <w:hideMark/>
          </w:tcPr>
          <w:p w14:paraId="531753F3" w14:textId="1095F75B" w:rsidR="00E9385F" w:rsidRPr="00E86C72" w:rsidRDefault="00E9385F" w:rsidP="00E9385F">
            <w:pPr>
              <w:pStyle w:val="Tabletext1"/>
              <w:jc w:val="right"/>
            </w:pPr>
            <w:r w:rsidRPr="00D6502A">
              <w:t>0.5525</w:t>
            </w:r>
          </w:p>
        </w:tc>
        <w:tc>
          <w:tcPr>
            <w:tcW w:w="629" w:type="pct"/>
            <w:tcBorders>
              <w:bottom w:val="nil"/>
            </w:tcBorders>
            <w:noWrap/>
            <w:hideMark/>
          </w:tcPr>
          <w:p w14:paraId="40FC7F59" w14:textId="7677871F" w:rsidR="00E9385F" w:rsidRPr="00E86C72" w:rsidRDefault="00E9385F" w:rsidP="00E9385F">
            <w:pPr>
              <w:pStyle w:val="Tabletext1"/>
              <w:jc w:val="right"/>
            </w:pPr>
            <w:r w:rsidRPr="00D6502A">
              <w:t>$79,305</w:t>
            </w:r>
          </w:p>
        </w:tc>
        <w:tc>
          <w:tcPr>
            <w:tcW w:w="443" w:type="pct"/>
            <w:tcBorders>
              <w:bottom w:val="nil"/>
            </w:tcBorders>
            <w:noWrap/>
            <w:hideMark/>
          </w:tcPr>
          <w:p w14:paraId="31AE4CA7" w14:textId="13B72C5E" w:rsidR="00E9385F" w:rsidRPr="00E86C72" w:rsidRDefault="00E9385F" w:rsidP="00E9385F">
            <w:pPr>
              <w:pStyle w:val="Tabletext1"/>
              <w:jc w:val="right"/>
            </w:pPr>
            <w:r w:rsidRPr="00D6502A">
              <w:t>–21%</w:t>
            </w:r>
          </w:p>
        </w:tc>
      </w:tr>
      <w:tr w:rsidR="00E9385F" w:rsidRPr="00E86C72" w14:paraId="4A2689CC" w14:textId="77777777" w:rsidTr="008742A1">
        <w:trPr>
          <w:trHeight w:val="300"/>
        </w:trPr>
        <w:tc>
          <w:tcPr>
            <w:tcW w:w="2670" w:type="pct"/>
            <w:tcBorders>
              <w:top w:val="nil"/>
              <w:bottom w:val="single" w:sz="4" w:space="0" w:color="auto"/>
            </w:tcBorders>
            <w:noWrap/>
            <w:hideMark/>
          </w:tcPr>
          <w:p w14:paraId="7B0159EE" w14:textId="77777777" w:rsidR="00E9385F" w:rsidRPr="00E86C72" w:rsidRDefault="00E9385F" w:rsidP="00E9385F">
            <w:pPr>
              <w:pStyle w:val="Tabletext1"/>
            </w:pPr>
            <w:r w:rsidRPr="00E86C72">
              <w:t>3%</w:t>
            </w:r>
          </w:p>
        </w:tc>
        <w:tc>
          <w:tcPr>
            <w:tcW w:w="629" w:type="pct"/>
            <w:tcBorders>
              <w:top w:val="nil"/>
              <w:bottom w:val="single" w:sz="4" w:space="0" w:color="auto"/>
            </w:tcBorders>
            <w:noWrap/>
            <w:hideMark/>
          </w:tcPr>
          <w:p w14:paraId="7DE3F9D1" w14:textId="6287A692" w:rsidR="00E9385F" w:rsidRPr="00E86C72" w:rsidRDefault="00E9385F" w:rsidP="00E9385F">
            <w:pPr>
              <w:pStyle w:val="Tabletext1"/>
              <w:jc w:val="right"/>
            </w:pPr>
            <w:r w:rsidRPr="00D6502A">
              <w:t>$42,068</w:t>
            </w:r>
          </w:p>
        </w:tc>
        <w:tc>
          <w:tcPr>
            <w:tcW w:w="629" w:type="pct"/>
            <w:tcBorders>
              <w:top w:val="nil"/>
              <w:bottom w:val="single" w:sz="4" w:space="0" w:color="auto"/>
            </w:tcBorders>
            <w:noWrap/>
            <w:hideMark/>
          </w:tcPr>
          <w:p w14:paraId="2DF3B898" w14:textId="5DB098E8" w:rsidR="00E9385F" w:rsidRPr="00E86C72" w:rsidRDefault="00E9385F" w:rsidP="00E9385F">
            <w:pPr>
              <w:pStyle w:val="Tabletext1"/>
              <w:jc w:val="right"/>
            </w:pPr>
            <w:r w:rsidRPr="00D6502A">
              <w:t>0.4610</w:t>
            </w:r>
          </w:p>
        </w:tc>
        <w:tc>
          <w:tcPr>
            <w:tcW w:w="629" w:type="pct"/>
            <w:tcBorders>
              <w:top w:val="nil"/>
              <w:bottom w:val="single" w:sz="4" w:space="0" w:color="auto"/>
            </w:tcBorders>
            <w:noWrap/>
            <w:hideMark/>
          </w:tcPr>
          <w:p w14:paraId="79FD67D2" w14:textId="090E280D" w:rsidR="00E9385F" w:rsidRPr="00E86C72" w:rsidRDefault="00E9385F" w:rsidP="00E9385F">
            <w:pPr>
              <w:pStyle w:val="Tabletext1"/>
              <w:jc w:val="right"/>
            </w:pPr>
            <w:r w:rsidRPr="00D6502A">
              <w:t>$91,256</w:t>
            </w:r>
          </w:p>
        </w:tc>
        <w:tc>
          <w:tcPr>
            <w:tcW w:w="443" w:type="pct"/>
            <w:tcBorders>
              <w:top w:val="nil"/>
              <w:bottom w:val="single" w:sz="4" w:space="0" w:color="auto"/>
            </w:tcBorders>
            <w:noWrap/>
            <w:hideMark/>
          </w:tcPr>
          <w:p w14:paraId="0984E3DF" w14:textId="41E94845" w:rsidR="00E9385F" w:rsidRPr="00E86C72" w:rsidRDefault="00E9385F" w:rsidP="00E9385F">
            <w:pPr>
              <w:pStyle w:val="Tabletext1"/>
              <w:jc w:val="right"/>
            </w:pPr>
            <w:r w:rsidRPr="00D6502A">
              <w:t>–9%</w:t>
            </w:r>
          </w:p>
        </w:tc>
      </w:tr>
      <w:tr w:rsidR="00E9385F" w:rsidRPr="00E86C72" w14:paraId="085BF93B" w14:textId="77777777" w:rsidTr="008742A1">
        <w:trPr>
          <w:trHeight w:val="300"/>
        </w:trPr>
        <w:tc>
          <w:tcPr>
            <w:tcW w:w="2670" w:type="pct"/>
            <w:tcBorders>
              <w:bottom w:val="single" w:sz="4" w:space="0" w:color="auto"/>
              <w:right w:val="nil"/>
            </w:tcBorders>
            <w:noWrap/>
            <w:hideMark/>
          </w:tcPr>
          <w:p w14:paraId="43814242" w14:textId="77777777" w:rsidR="00E9385F" w:rsidRPr="00E86C72" w:rsidRDefault="00E9385F" w:rsidP="00E9385F">
            <w:pPr>
              <w:pStyle w:val="Tabletext1"/>
            </w:pPr>
            <w:r w:rsidRPr="00E86C72">
              <w:t>Ratio of non-serious to serious infections (base case: 2.45)</w:t>
            </w:r>
          </w:p>
        </w:tc>
        <w:tc>
          <w:tcPr>
            <w:tcW w:w="629" w:type="pct"/>
            <w:tcBorders>
              <w:left w:val="nil"/>
              <w:bottom w:val="single" w:sz="4" w:space="0" w:color="auto"/>
              <w:right w:val="nil"/>
            </w:tcBorders>
            <w:noWrap/>
            <w:hideMark/>
          </w:tcPr>
          <w:p w14:paraId="50D7AE13" w14:textId="77777777" w:rsidR="00E9385F" w:rsidRPr="00E86C72" w:rsidRDefault="00E9385F" w:rsidP="00E9385F">
            <w:pPr>
              <w:pStyle w:val="Tabletext1"/>
              <w:jc w:val="right"/>
            </w:pPr>
          </w:p>
        </w:tc>
        <w:tc>
          <w:tcPr>
            <w:tcW w:w="629" w:type="pct"/>
            <w:tcBorders>
              <w:left w:val="nil"/>
              <w:bottom w:val="single" w:sz="4" w:space="0" w:color="auto"/>
              <w:right w:val="nil"/>
            </w:tcBorders>
            <w:noWrap/>
            <w:hideMark/>
          </w:tcPr>
          <w:p w14:paraId="7D3DEF68" w14:textId="77777777" w:rsidR="00E9385F" w:rsidRPr="00E86C72" w:rsidRDefault="00E9385F" w:rsidP="00E9385F">
            <w:pPr>
              <w:pStyle w:val="Tabletext1"/>
              <w:jc w:val="right"/>
            </w:pPr>
          </w:p>
        </w:tc>
        <w:tc>
          <w:tcPr>
            <w:tcW w:w="629" w:type="pct"/>
            <w:tcBorders>
              <w:left w:val="nil"/>
              <w:bottom w:val="single" w:sz="4" w:space="0" w:color="auto"/>
              <w:right w:val="nil"/>
            </w:tcBorders>
            <w:noWrap/>
            <w:hideMark/>
          </w:tcPr>
          <w:p w14:paraId="4C16672F" w14:textId="77777777" w:rsidR="00E9385F" w:rsidRPr="00E86C72" w:rsidRDefault="00E9385F" w:rsidP="00E9385F">
            <w:pPr>
              <w:pStyle w:val="Tabletext1"/>
              <w:jc w:val="right"/>
            </w:pPr>
          </w:p>
        </w:tc>
        <w:tc>
          <w:tcPr>
            <w:tcW w:w="443" w:type="pct"/>
            <w:tcBorders>
              <w:left w:val="nil"/>
              <w:bottom w:val="single" w:sz="4" w:space="0" w:color="auto"/>
            </w:tcBorders>
            <w:noWrap/>
            <w:hideMark/>
          </w:tcPr>
          <w:p w14:paraId="12816067" w14:textId="77777777" w:rsidR="00E9385F" w:rsidRPr="00E86C72" w:rsidRDefault="00E9385F" w:rsidP="00E9385F">
            <w:pPr>
              <w:pStyle w:val="Tabletext1"/>
              <w:jc w:val="right"/>
            </w:pPr>
          </w:p>
        </w:tc>
      </w:tr>
      <w:tr w:rsidR="00E9385F" w:rsidRPr="00E86C72" w14:paraId="36AD8CAF" w14:textId="77777777" w:rsidTr="008742A1">
        <w:trPr>
          <w:trHeight w:val="315"/>
        </w:trPr>
        <w:tc>
          <w:tcPr>
            <w:tcW w:w="2670" w:type="pct"/>
            <w:tcBorders>
              <w:bottom w:val="nil"/>
            </w:tcBorders>
            <w:noWrap/>
            <w:hideMark/>
          </w:tcPr>
          <w:p w14:paraId="4B750D8C" w14:textId="77777777" w:rsidR="00E9385F" w:rsidRPr="00E86C72" w:rsidRDefault="00E9385F" w:rsidP="00E9385F">
            <w:pPr>
              <w:pStyle w:val="Tabletext1"/>
            </w:pPr>
            <w:r w:rsidRPr="00E86C72">
              <w:t>0.75</w:t>
            </w:r>
          </w:p>
        </w:tc>
        <w:tc>
          <w:tcPr>
            <w:tcW w:w="629" w:type="pct"/>
            <w:tcBorders>
              <w:bottom w:val="nil"/>
            </w:tcBorders>
            <w:noWrap/>
            <w:hideMark/>
          </w:tcPr>
          <w:p w14:paraId="649587C7" w14:textId="7F233B9B" w:rsidR="00E9385F" w:rsidRPr="00E86C72" w:rsidRDefault="00E9385F" w:rsidP="00E9385F">
            <w:pPr>
              <w:pStyle w:val="Tabletext1"/>
              <w:jc w:val="right"/>
            </w:pPr>
            <w:r w:rsidRPr="00D6502A">
              <w:t>$33,506</w:t>
            </w:r>
          </w:p>
        </w:tc>
        <w:tc>
          <w:tcPr>
            <w:tcW w:w="629" w:type="pct"/>
            <w:tcBorders>
              <w:bottom w:val="nil"/>
            </w:tcBorders>
            <w:noWrap/>
            <w:hideMark/>
          </w:tcPr>
          <w:p w14:paraId="5786C7EA" w14:textId="337335B8" w:rsidR="00E9385F" w:rsidRPr="00E86C72" w:rsidRDefault="00E9385F" w:rsidP="00E9385F">
            <w:pPr>
              <w:pStyle w:val="Tabletext1"/>
              <w:jc w:val="right"/>
            </w:pPr>
            <w:r w:rsidRPr="00D6502A">
              <w:t>0.3519</w:t>
            </w:r>
          </w:p>
        </w:tc>
        <w:tc>
          <w:tcPr>
            <w:tcW w:w="629" w:type="pct"/>
            <w:tcBorders>
              <w:bottom w:val="nil"/>
            </w:tcBorders>
            <w:noWrap/>
            <w:hideMark/>
          </w:tcPr>
          <w:p w14:paraId="68B0480D" w14:textId="05B2B50E" w:rsidR="00E9385F" w:rsidRPr="00E86C72" w:rsidRDefault="00E9385F" w:rsidP="00E9385F">
            <w:pPr>
              <w:pStyle w:val="Tabletext1"/>
              <w:jc w:val="right"/>
            </w:pPr>
            <w:r w:rsidRPr="00D6502A">
              <w:t>$95,202</w:t>
            </w:r>
          </w:p>
        </w:tc>
        <w:tc>
          <w:tcPr>
            <w:tcW w:w="443" w:type="pct"/>
            <w:tcBorders>
              <w:bottom w:val="nil"/>
            </w:tcBorders>
            <w:noWrap/>
            <w:hideMark/>
          </w:tcPr>
          <w:p w14:paraId="4DC91814" w14:textId="33D8846C" w:rsidR="00E9385F" w:rsidRPr="00E86C72" w:rsidRDefault="00E9385F" w:rsidP="00E9385F">
            <w:pPr>
              <w:pStyle w:val="Tabletext1"/>
              <w:jc w:val="right"/>
            </w:pPr>
            <w:r w:rsidRPr="00D6502A">
              <w:t>–5%</w:t>
            </w:r>
          </w:p>
        </w:tc>
      </w:tr>
      <w:tr w:rsidR="00E9385F" w:rsidRPr="00E86C72" w14:paraId="11EADAC6" w14:textId="77777777" w:rsidTr="008742A1">
        <w:trPr>
          <w:trHeight w:val="300"/>
        </w:trPr>
        <w:tc>
          <w:tcPr>
            <w:tcW w:w="2670" w:type="pct"/>
            <w:tcBorders>
              <w:top w:val="nil"/>
            </w:tcBorders>
            <w:noWrap/>
            <w:hideMark/>
          </w:tcPr>
          <w:p w14:paraId="3AFAF21C" w14:textId="77777777" w:rsidR="00E9385F" w:rsidRPr="00E86C72" w:rsidRDefault="00E9385F" w:rsidP="00E9385F">
            <w:pPr>
              <w:pStyle w:val="Tabletext1"/>
            </w:pPr>
            <w:r w:rsidRPr="00E86C72">
              <w:t>5.9</w:t>
            </w:r>
          </w:p>
        </w:tc>
        <w:tc>
          <w:tcPr>
            <w:tcW w:w="629" w:type="pct"/>
            <w:tcBorders>
              <w:top w:val="nil"/>
            </w:tcBorders>
            <w:noWrap/>
            <w:hideMark/>
          </w:tcPr>
          <w:p w14:paraId="48270286" w14:textId="145CEEC4" w:rsidR="00E9385F" w:rsidRPr="00E86C72" w:rsidRDefault="00E9385F" w:rsidP="00E9385F">
            <w:pPr>
              <w:pStyle w:val="Tabletext1"/>
              <w:jc w:val="right"/>
            </w:pPr>
            <w:r w:rsidRPr="00D6502A">
              <w:t>$52,953</w:t>
            </w:r>
          </w:p>
        </w:tc>
        <w:tc>
          <w:tcPr>
            <w:tcW w:w="629" w:type="pct"/>
            <w:tcBorders>
              <w:top w:val="nil"/>
            </w:tcBorders>
            <w:noWrap/>
            <w:hideMark/>
          </w:tcPr>
          <w:p w14:paraId="1B98AD2B" w14:textId="0B3A41B6" w:rsidR="00E9385F" w:rsidRPr="00E86C72" w:rsidRDefault="00E9385F" w:rsidP="00E9385F">
            <w:pPr>
              <w:pStyle w:val="Tabletext1"/>
              <w:jc w:val="right"/>
            </w:pPr>
            <w:r w:rsidRPr="00D6502A">
              <w:t>0.4660</w:t>
            </w:r>
          </w:p>
        </w:tc>
        <w:tc>
          <w:tcPr>
            <w:tcW w:w="629" w:type="pct"/>
            <w:tcBorders>
              <w:top w:val="nil"/>
            </w:tcBorders>
            <w:noWrap/>
            <w:hideMark/>
          </w:tcPr>
          <w:p w14:paraId="4B37FFF8" w14:textId="4C408C46" w:rsidR="00E9385F" w:rsidRPr="00E86C72" w:rsidRDefault="00E9385F" w:rsidP="00E9385F">
            <w:pPr>
              <w:pStyle w:val="Tabletext1"/>
              <w:jc w:val="right"/>
            </w:pPr>
            <w:r w:rsidRPr="00D6502A">
              <w:t>$113,643</w:t>
            </w:r>
          </w:p>
        </w:tc>
        <w:tc>
          <w:tcPr>
            <w:tcW w:w="443" w:type="pct"/>
            <w:tcBorders>
              <w:top w:val="nil"/>
            </w:tcBorders>
            <w:noWrap/>
            <w:hideMark/>
          </w:tcPr>
          <w:p w14:paraId="3E63B385" w14:textId="635246AC" w:rsidR="00E9385F" w:rsidRPr="00E86C72" w:rsidRDefault="00E9385F" w:rsidP="00E9385F">
            <w:pPr>
              <w:pStyle w:val="Tabletext1"/>
              <w:jc w:val="right"/>
            </w:pPr>
            <w:r w:rsidRPr="00D6502A">
              <w:t>14%</w:t>
            </w:r>
          </w:p>
        </w:tc>
      </w:tr>
      <w:tr w:rsidR="00E9385F" w:rsidRPr="00F70D40" w14:paraId="396A1B2B" w14:textId="77777777" w:rsidTr="008742A1">
        <w:trPr>
          <w:trHeight w:val="300"/>
        </w:trPr>
        <w:tc>
          <w:tcPr>
            <w:tcW w:w="2670" w:type="pct"/>
            <w:tcBorders>
              <w:top w:val="single" w:sz="4" w:space="0" w:color="auto"/>
              <w:bottom w:val="single" w:sz="4" w:space="0" w:color="auto"/>
              <w:right w:val="nil"/>
            </w:tcBorders>
            <w:noWrap/>
          </w:tcPr>
          <w:p w14:paraId="79D78F28" w14:textId="77777777" w:rsidR="00E9385F" w:rsidRPr="00F70D40" w:rsidRDefault="00E9385F" w:rsidP="00E9385F">
            <w:pPr>
              <w:pStyle w:val="Tabletext1"/>
            </w:pPr>
            <w:r>
              <w:t>Transition probabilities (base case: adjusted)</w:t>
            </w:r>
          </w:p>
        </w:tc>
        <w:tc>
          <w:tcPr>
            <w:tcW w:w="629" w:type="pct"/>
            <w:tcBorders>
              <w:top w:val="single" w:sz="4" w:space="0" w:color="auto"/>
              <w:left w:val="nil"/>
              <w:bottom w:val="single" w:sz="4" w:space="0" w:color="auto"/>
              <w:right w:val="nil"/>
            </w:tcBorders>
            <w:noWrap/>
          </w:tcPr>
          <w:p w14:paraId="5D9BD855" w14:textId="77777777" w:rsidR="00E9385F" w:rsidRPr="00F70D40" w:rsidRDefault="00E9385F" w:rsidP="00E9385F">
            <w:pPr>
              <w:pStyle w:val="Tabletext1"/>
              <w:jc w:val="right"/>
            </w:pPr>
          </w:p>
        </w:tc>
        <w:tc>
          <w:tcPr>
            <w:tcW w:w="629" w:type="pct"/>
            <w:tcBorders>
              <w:top w:val="single" w:sz="4" w:space="0" w:color="auto"/>
              <w:left w:val="nil"/>
              <w:bottom w:val="single" w:sz="4" w:space="0" w:color="auto"/>
              <w:right w:val="nil"/>
            </w:tcBorders>
            <w:noWrap/>
          </w:tcPr>
          <w:p w14:paraId="3EC716D0" w14:textId="77777777" w:rsidR="00E9385F" w:rsidRPr="00F70D40" w:rsidRDefault="00E9385F" w:rsidP="00E9385F">
            <w:pPr>
              <w:pStyle w:val="Tabletext1"/>
              <w:jc w:val="right"/>
            </w:pPr>
          </w:p>
        </w:tc>
        <w:tc>
          <w:tcPr>
            <w:tcW w:w="629" w:type="pct"/>
            <w:tcBorders>
              <w:top w:val="single" w:sz="4" w:space="0" w:color="auto"/>
              <w:left w:val="nil"/>
              <w:bottom w:val="single" w:sz="4" w:space="0" w:color="auto"/>
              <w:right w:val="nil"/>
            </w:tcBorders>
            <w:noWrap/>
          </w:tcPr>
          <w:p w14:paraId="76C2EC8C" w14:textId="77777777" w:rsidR="00E9385F" w:rsidRPr="00F70D40" w:rsidRDefault="00E9385F" w:rsidP="00E9385F">
            <w:pPr>
              <w:pStyle w:val="Tabletext1"/>
              <w:jc w:val="right"/>
            </w:pPr>
          </w:p>
        </w:tc>
        <w:tc>
          <w:tcPr>
            <w:tcW w:w="443" w:type="pct"/>
            <w:tcBorders>
              <w:top w:val="single" w:sz="4" w:space="0" w:color="auto"/>
              <w:left w:val="nil"/>
              <w:bottom w:val="single" w:sz="4" w:space="0" w:color="auto"/>
            </w:tcBorders>
            <w:noWrap/>
          </w:tcPr>
          <w:p w14:paraId="2EF99F89" w14:textId="77777777" w:rsidR="00E9385F" w:rsidRPr="00F70D40" w:rsidRDefault="00E9385F" w:rsidP="00E9385F">
            <w:pPr>
              <w:pStyle w:val="Tabletext1"/>
              <w:jc w:val="right"/>
            </w:pPr>
          </w:p>
        </w:tc>
      </w:tr>
      <w:tr w:rsidR="00E9385F" w:rsidRPr="00E86C72" w14:paraId="45C4C805" w14:textId="77777777" w:rsidTr="008742A1">
        <w:trPr>
          <w:trHeight w:val="300"/>
        </w:trPr>
        <w:tc>
          <w:tcPr>
            <w:tcW w:w="2670" w:type="pct"/>
            <w:tcBorders>
              <w:top w:val="nil"/>
              <w:bottom w:val="nil"/>
            </w:tcBorders>
            <w:noWrap/>
            <w:hideMark/>
          </w:tcPr>
          <w:p w14:paraId="36A116A4" w14:textId="77777777" w:rsidR="00E9385F" w:rsidRPr="00E86C72" w:rsidRDefault="00E9385F" w:rsidP="00E9385F">
            <w:pPr>
              <w:pStyle w:val="Tabletext1"/>
            </w:pPr>
            <w:r w:rsidRPr="00F70D40">
              <w:t>Transitions from infection health state, unadjusted</w:t>
            </w:r>
          </w:p>
        </w:tc>
        <w:tc>
          <w:tcPr>
            <w:tcW w:w="629" w:type="pct"/>
            <w:tcBorders>
              <w:top w:val="nil"/>
              <w:bottom w:val="nil"/>
            </w:tcBorders>
            <w:noWrap/>
            <w:hideMark/>
          </w:tcPr>
          <w:p w14:paraId="5CEE5922" w14:textId="666E2E3E" w:rsidR="00E9385F" w:rsidRPr="00E86C72" w:rsidRDefault="00E9385F" w:rsidP="00E9385F">
            <w:pPr>
              <w:pStyle w:val="Tabletext1"/>
              <w:jc w:val="right"/>
            </w:pPr>
            <w:r w:rsidRPr="00D6502A">
              <w:t>$45,309</w:t>
            </w:r>
          </w:p>
        </w:tc>
        <w:tc>
          <w:tcPr>
            <w:tcW w:w="629" w:type="pct"/>
            <w:tcBorders>
              <w:top w:val="nil"/>
              <w:bottom w:val="nil"/>
            </w:tcBorders>
            <w:noWrap/>
            <w:hideMark/>
          </w:tcPr>
          <w:p w14:paraId="3EDE5919" w14:textId="56BD79EA" w:rsidR="00E9385F" w:rsidRPr="00E86C72" w:rsidRDefault="00E9385F" w:rsidP="00E9385F">
            <w:pPr>
              <w:pStyle w:val="Tabletext1"/>
              <w:jc w:val="right"/>
            </w:pPr>
            <w:r w:rsidRPr="00D6502A">
              <w:t>0.3087</w:t>
            </w:r>
          </w:p>
        </w:tc>
        <w:tc>
          <w:tcPr>
            <w:tcW w:w="629" w:type="pct"/>
            <w:tcBorders>
              <w:top w:val="nil"/>
              <w:bottom w:val="nil"/>
            </w:tcBorders>
            <w:noWrap/>
            <w:hideMark/>
          </w:tcPr>
          <w:p w14:paraId="730CF590" w14:textId="2BF0E0BC" w:rsidR="00E9385F" w:rsidRPr="00E86C72" w:rsidRDefault="00E9385F" w:rsidP="00E9385F">
            <w:pPr>
              <w:pStyle w:val="Tabletext1"/>
              <w:jc w:val="right"/>
            </w:pPr>
            <w:r w:rsidRPr="00D6502A">
              <w:t>$146,792</w:t>
            </w:r>
          </w:p>
        </w:tc>
        <w:tc>
          <w:tcPr>
            <w:tcW w:w="443" w:type="pct"/>
            <w:tcBorders>
              <w:top w:val="nil"/>
              <w:bottom w:val="nil"/>
            </w:tcBorders>
            <w:noWrap/>
            <w:hideMark/>
          </w:tcPr>
          <w:p w14:paraId="53357B37" w14:textId="5C2CCC38" w:rsidR="00E9385F" w:rsidRPr="00E86C72" w:rsidRDefault="00E9385F" w:rsidP="00E9385F">
            <w:pPr>
              <w:pStyle w:val="Tabletext1"/>
              <w:jc w:val="right"/>
            </w:pPr>
            <w:r w:rsidRPr="00D6502A">
              <w:t>47%</w:t>
            </w:r>
          </w:p>
        </w:tc>
      </w:tr>
      <w:tr w:rsidR="00E9385F" w:rsidRPr="00E86C72" w14:paraId="0EFF6CBB" w14:textId="77777777" w:rsidTr="008742A1">
        <w:trPr>
          <w:trHeight w:val="300"/>
        </w:trPr>
        <w:tc>
          <w:tcPr>
            <w:tcW w:w="2670" w:type="pct"/>
            <w:tcBorders>
              <w:top w:val="nil"/>
              <w:bottom w:val="nil"/>
            </w:tcBorders>
            <w:noWrap/>
          </w:tcPr>
          <w:p w14:paraId="086A197B" w14:textId="77777777" w:rsidR="00E9385F" w:rsidRPr="00AD053E" w:rsidRDefault="00E9385F" w:rsidP="00E9385F">
            <w:pPr>
              <w:pStyle w:val="Tabletext1"/>
            </w:pPr>
            <w:r w:rsidRPr="00D321A3">
              <w:t>Transitions from bronchiectasis health state, unadjusted (exc. cost of Ig in bronchiectasis)</w:t>
            </w:r>
          </w:p>
        </w:tc>
        <w:tc>
          <w:tcPr>
            <w:tcW w:w="629" w:type="pct"/>
            <w:tcBorders>
              <w:top w:val="nil"/>
              <w:bottom w:val="nil"/>
            </w:tcBorders>
            <w:noWrap/>
          </w:tcPr>
          <w:p w14:paraId="69603B21" w14:textId="52EA4877" w:rsidR="00E9385F" w:rsidRPr="00E86C72" w:rsidRDefault="00E9385F" w:rsidP="00E9385F">
            <w:pPr>
              <w:pStyle w:val="Tabletext1"/>
              <w:jc w:val="right"/>
            </w:pPr>
            <w:r w:rsidRPr="00D6502A">
              <w:t>$27,245</w:t>
            </w:r>
          </w:p>
        </w:tc>
        <w:tc>
          <w:tcPr>
            <w:tcW w:w="629" w:type="pct"/>
            <w:tcBorders>
              <w:top w:val="nil"/>
              <w:bottom w:val="nil"/>
            </w:tcBorders>
            <w:noWrap/>
          </w:tcPr>
          <w:p w14:paraId="2BC94AB7" w14:textId="026CAA73" w:rsidR="00E9385F" w:rsidRPr="00E86C72" w:rsidRDefault="00E9385F" w:rsidP="00E9385F">
            <w:pPr>
              <w:pStyle w:val="Tabletext1"/>
              <w:jc w:val="right"/>
            </w:pPr>
            <w:r w:rsidRPr="00D6502A">
              <w:t>0.3237</w:t>
            </w:r>
          </w:p>
        </w:tc>
        <w:tc>
          <w:tcPr>
            <w:tcW w:w="629" w:type="pct"/>
            <w:tcBorders>
              <w:top w:val="nil"/>
              <w:bottom w:val="nil"/>
            </w:tcBorders>
            <w:noWrap/>
          </w:tcPr>
          <w:p w14:paraId="64440D45" w14:textId="00EAD19B" w:rsidR="00E9385F" w:rsidRPr="00E86C72" w:rsidRDefault="00E9385F" w:rsidP="00E9385F">
            <w:pPr>
              <w:pStyle w:val="Tabletext1"/>
              <w:jc w:val="right"/>
            </w:pPr>
            <w:r w:rsidRPr="00D6502A">
              <w:t>$84,176</w:t>
            </w:r>
          </w:p>
        </w:tc>
        <w:tc>
          <w:tcPr>
            <w:tcW w:w="443" w:type="pct"/>
            <w:tcBorders>
              <w:top w:val="nil"/>
              <w:bottom w:val="nil"/>
            </w:tcBorders>
            <w:noWrap/>
          </w:tcPr>
          <w:p w14:paraId="21BDF226" w14:textId="4B77C8A7" w:rsidR="00E9385F" w:rsidRPr="00944E02" w:rsidRDefault="00E9385F" w:rsidP="00E9385F">
            <w:pPr>
              <w:pStyle w:val="Tabletext1"/>
              <w:jc w:val="right"/>
            </w:pPr>
            <w:r w:rsidRPr="00D6502A">
              <w:t>–16%</w:t>
            </w:r>
          </w:p>
        </w:tc>
      </w:tr>
      <w:tr w:rsidR="00E9385F" w:rsidRPr="00E86C72" w14:paraId="0B4E4D47" w14:textId="77777777" w:rsidTr="008742A1">
        <w:trPr>
          <w:trHeight w:val="300"/>
        </w:trPr>
        <w:tc>
          <w:tcPr>
            <w:tcW w:w="2670" w:type="pct"/>
            <w:tcBorders>
              <w:top w:val="nil"/>
              <w:bottom w:val="single" w:sz="4" w:space="0" w:color="auto"/>
            </w:tcBorders>
            <w:noWrap/>
          </w:tcPr>
          <w:p w14:paraId="77FAFC00" w14:textId="77777777" w:rsidR="00E9385F" w:rsidRPr="00AD053E" w:rsidRDefault="00E9385F" w:rsidP="00E9385F">
            <w:pPr>
              <w:pStyle w:val="Tabletext1"/>
            </w:pPr>
            <w:r>
              <w:t>Transitions from infection and bronchiectasis, unadjusted</w:t>
            </w:r>
          </w:p>
        </w:tc>
        <w:tc>
          <w:tcPr>
            <w:tcW w:w="629" w:type="pct"/>
            <w:tcBorders>
              <w:top w:val="nil"/>
              <w:bottom w:val="single" w:sz="4" w:space="0" w:color="auto"/>
            </w:tcBorders>
            <w:noWrap/>
          </w:tcPr>
          <w:p w14:paraId="72A2836F" w14:textId="4D5981FD" w:rsidR="00E9385F" w:rsidRPr="00E86C72" w:rsidRDefault="00E9385F" w:rsidP="00E9385F">
            <w:pPr>
              <w:pStyle w:val="Tabletext1"/>
              <w:jc w:val="right"/>
            </w:pPr>
            <w:r w:rsidRPr="00D6502A">
              <w:t>$29,927</w:t>
            </w:r>
          </w:p>
        </w:tc>
        <w:tc>
          <w:tcPr>
            <w:tcW w:w="629" w:type="pct"/>
            <w:tcBorders>
              <w:top w:val="nil"/>
              <w:bottom w:val="single" w:sz="4" w:space="0" w:color="auto"/>
            </w:tcBorders>
            <w:noWrap/>
          </w:tcPr>
          <w:p w14:paraId="5F9927D8" w14:textId="1966CEB5" w:rsidR="00E9385F" w:rsidRPr="00E86C72" w:rsidRDefault="00E9385F" w:rsidP="00E9385F">
            <w:pPr>
              <w:pStyle w:val="Tabletext1"/>
              <w:jc w:val="right"/>
            </w:pPr>
            <w:r w:rsidRPr="00D6502A">
              <w:t>0.2335</w:t>
            </w:r>
          </w:p>
        </w:tc>
        <w:tc>
          <w:tcPr>
            <w:tcW w:w="629" w:type="pct"/>
            <w:tcBorders>
              <w:top w:val="nil"/>
              <w:bottom w:val="single" w:sz="4" w:space="0" w:color="auto"/>
            </w:tcBorders>
            <w:noWrap/>
          </w:tcPr>
          <w:p w14:paraId="119A6050" w14:textId="7DDCAB9C" w:rsidR="00E9385F" w:rsidRPr="00E86C72" w:rsidRDefault="00E9385F" w:rsidP="00E9385F">
            <w:pPr>
              <w:pStyle w:val="Tabletext1"/>
              <w:jc w:val="right"/>
            </w:pPr>
            <w:r w:rsidRPr="00D6502A">
              <w:t>$128,154</w:t>
            </w:r>
          </w:p>
        </w:tc>
        <w:tc>
          <w:tcPr>
            <w:tcW w:w="443" w:type="pct"/>
            <w:tcBorders>
              <w:top w:val="nil"/>
              <w:bottom w:val="single" w:sz="4" w:space="0" w:color="auto"/>
            </w:tcBorders>
            <w:noWrap/>
          </w:tcPr>
          <w:p w14:paraId="6A6DA48B" w14:textId="15B084AC" w:rsidR="00E9385F" w:rsidRPr="00944E02" w:rsidRDefault="00E9385F" w:rsidP="00E9385F">
            <w:pPr>
              <w:pStyle w:val="Tabletext1"/>
              <w:jc w:val="right"/>
            </w:pPr>
            <w:r w:rsidRPr="00D6502A">
              <w:t>28%</w:t>
            </w:r>
          </w:p>
        </w:tc>
      </w:tr>
      <w:tr w:rsidR="00E9385F" w:rsidRPr="00E86C72" w14:paraId="0CE0F933" w14:textId="77777777" w:rsidTr="008742A1">
        <w:trPr>
          <w:trHeight w:val="300"/>
        </w:trPr>
        <w:tc>
          <w:tcPr>
            <w:tcW w:w="2670" w:type="pct"/>
            <w:tcBorders>
              <w:bottom w:val="single" w:sz="4" w:space="0" w:color="auto"/>
              <w:right w:val="nil"/>
            </w:tcBorders>
            <w:noWrap/>
            <w:hideMark/>
          </w:tcPr>
          <w:p w14:paraId="55F75C08" w14:textId="77777777" w:rsidR="00E9385F" w:rsidRPr="00E86C72" w:rsidRDefault="00E9385F" w:rsidP="00E9385F">
            <w:pPr>
              <w:pStyle w:val="Tabletext1"/>
            </w:pPr>
            <w:r w:rsidRPr="00E86C72">
              <w:t>Mortality</w:t>
            </w:r>
          </w:p>
        </w:tc>
        <w:tc>
          <w:tcPr>
            <w:tcW w:w="629" w:type="pct"/>
            <w:tcBorders>
              <w:left w:val="nil"/>
              <w:bottom w:val="single" w:sz="4" w:space="0" w:color="auto"/>
              <w:right w:val="nil"/>
            </w:tcBorders>
            <w:noWrap/>
            <w:hideMark/>
          </w:tcPr>
          <w:p w14:paraId="0D928470" w14:textId="77777777" w:rsidR="00E9385F" w:rsidRPr="00E86C72" w:rsidRDefault="00E9385F" w:rsidP="00E9385F">
            <w:pPr>
              <w:pStyle w:val="Tabletext1"/>
              <w:jc w:val="right"/>
            </w:pPr>
          </w:p>
        </w:tc>
        <w:tc>
          <w:tcPr>
            <w:tcW w:w="629" w:type="pct"/>
            <w:tcBorders>
              <w:left w:val="nil"/>
              <w:bottom w:val="single" w:sz="4" w:space="0" w:color="auto"/>
              <w:right w:val="nil"/>
            </w:tcBorders>
            <w:noWrap/>
            <w:hideMark/>
          </w:tcPr>
          <w:p w14:paraId="48EF74E2" w14:textId="77777777" w:rsidR="00E9385F" w:rsidRPr="00E86C72" w:rsidRDefault="00E9385F" w:rsidP="00E9385F">
            <w:pPr>
              <w:pStyle w:val="Tabletext1"/>
              <w:jc w:val="right"/>
            </w:pPr>
          </w:p>
        </w:tc>
        <w:tc>
          <w:tcPr>
            <w:tcW w:w="629" w:type="pct"/>
            <w:tcBorders>
              <w:left w:val="nil"/>
              <w:bottom w:val="single" w:sz="4" w:space="0" w:color="auto"/>
              <w:right w:val="nil"/>
            </w:tcBorders>
            <w:noWrap/>
            <w:hideMark/>
          </w:tcPr>
          <w:p w14:paraId="2563E4C9" w14:textId="77777777" w:rsidR="00E9385F" w:rsidRPr="00E86C72" w:rsidRDefault="00E9385F" w:rsidP="00E9385F">
            <w:pPr>
              <w:pStyle w:val="Tabletext1"/>
              <w:jc w:val="right"/>
            </w:pPr>
          </w:p>
        </w:tc>
        <w:tc>
          <w:tcPr>
            <w:tcW w:w="443" w:type="pct"/>
            <w:tcBorders>
              <w:left w:val="nil"/>
              <w:bottom w:val="single" w:sz="4" w:space="0" w:color="auto"/>
            </w:tcBorders>
            <w:noWrap/>
            <w:hideMark/>
          </w:tcPr>
          <w:p w14:paraId="044CAEF7" w14:textId="77777777" w:rsidR="00E9385F" w:rsidRPr="00E86C72" w:rsidRDefault="00E9385F" w:rsidP="00E9385F">
            <w:pPr>
              <w:pStyle w:val="Tabletext1"/>
              <w:jc w:val="right"/>
            </w:pPr>
          </w:p>
        </w:tc>
      </w:tr>
      <w:tr w:rsidR="00E9385F" w:rsidRPr="00E86C72" w14:paraId="14065B23" w14:textId="77777777" w:rsidTr="008742A1">
        <w:trPr>
          <w:trHeight w:val="300"/>
        </w:trPr>
        <w:tc>
          <w:tcPr>
            <w:tcW w:w="2670" w:type="pct"/>
            <w:tcBorders>
              <w:bottom w:val="nil"/>
            </w:tcBorders>
            <w:noWrap/>
            <w:hideMark/>
          </w:tcPr>
          <w:p w14:paraId="2DC4C73C" w14:textId="77777777" w:rsidR="00E9385F" w:rsidRPr="00E86C72" w:rsidRDefault="00E9385F" w:rsidP="00E9385F">
            <w:pPr>
              <w:pStyle w:val="Tabletext1"/>
            </w:pPr>
            <w:r w:rsidRPr="00E86C72">
              <w:lastRenderedPageBreak/>
              <w:t>RR with haematological malignancy, lower limit 2.49 (base case: 2.55)</w:t>
            </w:r>
          </w:p>
        </w:tc>
        <w:tc>
          <w:tcPr>
            <w:tcW w:w="629" w:type="pct"/>
            <w:tcBorders>
              <w:bottom w:val="nil"/>
            </w:tcBorders>
            <w:noWrap/>
            <w:hideMark/>
          </w:tcPr>
          <w:p w14:paraId="711C1AFE" w14:textId="2FDE7DD9" w:rsidR="00E9385F" w:rsidRPr="00E86C72" w:rsidRDefault="00E9385F" w:rsidP="00E9385F">
            <w:pPr>
              <w:pStyle w:val="Tabletext1"/>
              <w:jc w:val="right"/>
            </w:pPr>
            <w:r w:rsidRPr="00D6502A">
              <w:t>$41,018</w:t>
            </w:r>
          </w:p>
        </w:tc>
        <w:tc>
          <w:tcPr>
            <w:tcW w:w="629" w:type="pct"/>
            <w:tcBorders>
              <w:bottom w:val="nil"/>
            </w:tcBorders>
            <w:noWrap/>
            <w:hideMark/>
          </w:tcPr>
          <w:p w14:paraId="5E446614" w14:textId="42E7EE17" w:rsidR="00E9385F" w:rsidRPr="00E86C72" w:rsidRDefault="00E9385F" w:rsidP="00E9385F">
            <w:pPr>
              <w:pStyle w:val="Tabletext1"/>
              <w:jc w:val="right"/>
            </w:pPr>
            <w:r w:rsidRPr="00D6502A">
              <w:t>0.4083</w:t>
            </w:r>
          </w:p>
        </w:tc>
        <w:tc>
          <w:tcPr>
            <w:tcW w:w="629" w:type="pct"/>
            <w:tcBorders>
              <w:bottom w:val="nil"/>
            </w:tcBorders>
            <w:noWrap/>
            <w:hideMark/>
          </w:tcPr>
          <w:p w14:paraId="010CE503" w14:textId="058EACA0" w:rsidR="00E9385F" w:rsidRPr="00E86C72" w:rsidRDefault="00E9385F" w:rsidP="00E9385F">
            <w:pPr>
              <w:pStyle w:val="Tabletext1"/>
              <w:jc w:val="right"/>
            </w:pPr>
            <w:r w:rsidRPr="00D6502A">
              <w:t>$100,455</w:t>
            </w:r>
          </w:p>
        </w:tc>
        <w:tc>
          <w:tcPr>
            <w:tcW w:w="443" w:type="pct"/>
            <w:tcBorders>
              <w:bottom w:val="nil"/>
            </w:tcBorders>
            <w:noWrap/>
            <w:hideMark/>
          </w:tcPr>
          <w:p w14:paraId="66BA4C19" w14:textId="50334582" w:rsidR="00E9385F" w:rsidRPr="00E86C72" w:rsidRDefault="00E9385F" w:rsidP="00E9385F">
            <w:pPr>
              <w:pStyle w:val="Tabletext1"/>
              <w:jc w:val="right"/>
            </w:pPr>
            <w:r w:rsidRPr="00D6502A">
              <w:t>1%</w:t>
            </w:r>
          </w:p>
        </w:tc>
      </w:tr>
      <w:tr w:rsidR="00E9385F" w:rsidRPr="00E86C72" w14:paraId="20C528A5" w14:textId="77777777" w:rsidTr="008742A1">
        <w:trPr>
          <w:trHeight w:val="300"/>
        </w:trPr>
        <w:tc>
          <w:tcPr>
            <w:tcW w:w="2670" w:type="pct"/>
            <w:tcBorders>
              <w:top w:val="nil"/>
              <w:bottom w:val="nil"/>
            </w:tcBorders>
            <w:noWrap/>
            <w:hideMark/>
          </w:tcPr>
          <w:p w14:paraId="52E31CEA" w14:textId="77777777" w:rsidR="00E9385F" w:rsidRPr="00E86C72" w:rsidRDefault="00E9385F" w:rsidP="00E9385F">
            <w:pPr>
              <w:pStyle w:val="Tabletext1"/>
            </w:pPr>
            <w:r w:rsidRPr="00E86C72">
              <w:t>RR with haematological malignancy, upper limit 2.60 (base case: 2.55)</w:t>
            </w:r>
          </w:p>
        </w:tc>
        <w:tc>
          <w:tcPr>
            <w:tcW w:w="629" w:type="pct"/>
            <w:tcBorders>
              <w:top w:val="nil"/>
              <w:bottom w:val="nil"/>
            </w:tcBorders>
            <w:noWrap/>
            <w:hideMark/>
          </w:tcPr>
          <w:p w14:paraId="6DD9169F" w14:textId="4D8131D8" w:rsidR="00E9385F" w:rsidRPr="00E86C72" w:rsidRDefault="00E9385F" w:rsidP="00E9385F">
            <w:pPr>
              <w:pStyle w:val="Tabletext1"/>
              <w:jc w:val="right"/>
            </w:pPr>
            <w:r w:rsidRPr="00D6502A">
              <w:t>$41,004</w:t>
            </w:r>
          </w:p>
        </w:tc>
        <w:tc>
          <w:tcPr>
            <w:tcW w:w="629" w:type="pct"/>
            <w:tcBorders>
              <w:top w:val="nil"/>
              <w:bottom w:val="nil"/>
            </w:tcBorders>
            <w:noWrap/>
            <w:hideMark/>
          </w:tcPr>
          <w:p w14:paraId="3C45B4E4" w14:textId="42A5121E" w:rsidR="00E9385F" w:rsidRPr="00E86C72" w:rsidRDefault="00E9385F" w:rsidP="00E9385F">
            <w:pPr>
              <w:pStyle w:val="Tabletext1"/>
              <w:jc w:val="right"/>
            </w:pPr>
            <w:r w:rsidRPr="00D6502A">
              <w:t>0.4130</w:t>
            </w:r>
          </w:p>
        </w:tc>
        <w:tc>
          <w:tcPr>
            <w:tcW w:w="629" w:type="pct"/>
            <w:tcBorders>
              <w:top w:val="nil"/>
              <w:bottom w:val="nil"/>
            </w:tcBorders>
            <w:noWrap/>
            <w:hideMark/>
          </w:tcPr>
          <w:p w14:paraId="593974A8" w14:textId="7061FC64" w:rsidR="00E9385F" w:rsidRPr="00E86C72" w:rsidRDefault="00E9385F" w:rsidP="00E9385F">
            <w:pPr>
              <w:pStyle w:val="Tabletext1"/>
              <w:jc w:val="right"/>
            </w:pPr>
            <w:r w:rsidRPr="00D6502A">
              <w:t>$99,279</w:t>
            </w:r>
          </w:p>
        </w:tc>
        <w:tc>
          <w:tcPr>
            <w:tcW w:w="443" w:type="pct"/>
            <w:tcBorders>
              <w:top w:val="nil"/>
              <w:bottom w:val="nil"/>
            </w:tcBorders>
            <w:noWrap/>
            <w:hideMark/>
          </w:tcPr>
          <w:p w14:paraId="0C3D251B" w14:textId="20071BCD" w:rsidR="00E9385F" w:rsidRPr="00E86C72" w:rsidRDefault="00E9385F" w:rsidP="00E9385F">
            <w:pPr>
              <w:pStyle w:val="Tabletext1"/>
              <w:jc w:val="right"/>
            </w:pPr>
            <w:r w:rsidRPr="00D6502A">
              <w:t>–1%</w:t>
            </w:r>
          </w:p>
        </w:tc>
      </w:tr>
      <w:tr w:rsidR="00E9385F" w:rsidRPr="00E86C72" w14:paraId="4DFB5F7D" w14:textId="77777777" w:rsidTr="008742A1">
        <w:trPr>
          <w:trHeight w:val="300"/>
        </w:trPr>
        <w:tc>
          <w:tcPr>
            <w:tcW w:w="2670" w:type="pct"/>
            <w:tcBorders>
              <w:top w:val="nil"/>
              <w:bottom w:val="nil"/>
            </w:tcBorders>
            <w:noWrap/>
            <w:hideMark/>
          </w:tcPr>
          <w:p w14:paraId="46B4FF62" w14:textId="77777777" w:rsidR="00E9385F" w:rsidRPr="00E86C72" w:rsidRDefault="00E9385F" w:rsidP="00E9385F">
            <w:pPr>
              <w:pStyle w:val="Tabletext1"/>
            </w:pPr>
            <w:r w:rsidRPr="00E86C72">
              <w:t>Increased mortality risk (2.34) with a history of infections above CLL (base case: none)</w:t>
            </w:r>
          </w:p>
        </w:tc>
        <w:tc>
          <w:tcPr>
            <w:tcW w:w="629" w:type="pct"/>
            <w:tcBorders>
              <w:top w:val="nil"/>
              <w:bottom w:val="nil"/>
            </w:tcBorders>
            <w:noWrap/>
            <w:hideMark/>
          </w:tcPr>
          <w:p w14:paraId="28B62A58" w14:textId="7A1C68C2" w:rsidR="00E9385F" w:rsidRPr="00E86C72" w:rsidRDefault="00E9385F" w:rsidP="00E9385F">
            <w:pPr>
              <w:pStyle w:val="Tabletext1"/>
              <w:jc w:val="right"/>
            </w:pPr>
            <w:r w:rsidRPr="00D6502A">
              <w:t>$39,963</w:t>
            </w:r>
          </w:p>
        </w:tc>
        <w:tc>
          <w:tcPr>
            <w:tcW w:w="629" w:type="pct"/>
            <w:tcBorders>
              <w:top w:val="nil"/>
              <w:bottom w:val="nil"/>
            </w:tcBorders>
            <w:noWrap/>
            <w:hideMark/>
          </w:tcPr>
          <w:p w14:paraId="6F834057" w14:textId="6EC18022" w:rsidR="00E9385F" w:rsidRPr="00E86C72" w:rsidRDefault="00E9385F" w:rsidP="00E9385F">
            <w:pPr>
              <w:pStyle w:val="Tabletext1"/>
              <w:jc w:val="right"/>
            </w:pPr>
            <w:r w:rsidRPr="00D6502A">
              <w:t>0.4686</w:t>
            </w:r>
          </w:p>
        </w:tc>
        <w:tc>
          <w:tcPr>
            <w:tcW w:w="629" w:type="pct"/>
            <w:tcBorders>
              <w:top w:val="nil"/>
              <w:bottom w:val="nil"/>
            </w:tcBorders>
            <w:noWrap/>
            <w:hideMark/>
          </w:tcPr>
          <w:p w14:paraId="194849A9" w14:textId="2EEBD1FD" w:rsidR="00E9385F" w:rsidRPr="00E86C72" w:rsidRDefault="00E9385F" w:rsidP="00E9385F">
            <w:pPr>
              <w:pStyle w:val="Tabletext1"/>
              <w:jc w:val="right"/>
            </w:pPr>
            <w:r w:rsidRPr="00D6502A">
              <w:t>$85,283</w:t>
            </w:r>
          </w:p>
        </w:tc>
        <w:tc>
          <w:tcPr>
            <w:tcW w:w="443" w:type="pct"/>
            <w:tcBorders>
              <w:top w:val="nil"/>
              <w:bottom w:val="nil"/>
            </w:tcBorders>
            <w:noWrap/>
            <w:hideMark/>
          </w:tcPr>
          <w:p w14:paraId="053E9C35" w14:textId="52214F56" w:rsidR="00E9385F" w:rsidRPr="00E86C72" w:rsidRDefault="00E9385F" w:rsidP="00E9385F">
            <w:pPr>
              <w:pStyle w:val="Tabletext1"/>
              <w:jc w:val="right"/>
            </w:pPr>
            <w:r w:rsidRPr="00D6502A">
              <w:t>–15%</w:t>
            </w:r>
          </w:p>
        </w:tc>
      </w:tr>
      <w:tr w:rsidR="00E9385F" w:rsidRPr="00E86C72" w14:paraId="2714B903" w14:textId="77777777" w:rsidTr="008742A1">
        <w:trPr>
          <w:trHeight w:val="300"/>
        </w:trPr>
        <w:tc>
          <w:tcPr>
            <w:tcW w:w="2670" w:type="pct"/>
            <w:tcBorders>
              <w:top w:val="nil"/>
              <w:bottom w:val="nil"/>
            </w:tcBorders>
            <w:noWrap/>
            <w:hideMark/>
          </w:tcPr>
          <w:p w14:paraId="3F8B2E21" w14:textId="77777777" w:rsidR="00E9385F" w:rsidRPr="00E86C72" w:rsidRDefault="00E9385F" w:rsidP="00E9385F">
            <w:pPr>
              <w:pStyle w:val="Tabletext1"/>
            </w:pPr>
            <w:r w:rsidRPr="00E86C72">
              <w:t>RR with infections, −50% to 2.09 (base case: 4.18)</w:t>
            </w:r>
          </w:p>
        </w:tc>
        <w:tc>
          <w:tcPr>
            <w:tcW w:w="629" w:type="pct"/>
            <w:tcBorders>
              <w:top w:val="nil"/>
              <w:bottom w:val="nil"/>
            </w:tcBorders>
            <w:noWrap/>
            <w:hideMark/>
          </w:tcPr>
          <w:p w14:paraId="59757B28" w14:textId="27E3A5F6" w:rsidR="00E9385F" w:rsidRPr="00E86C72" w:rsidRDefault="00E9385F" w:rsidP="00E9385F">
            <w:pPr>
              <w:pStyle w:val="Tabletext1"/>
              <w:jc w:val="right"/>
            </w:pPr>
            <w:r w:rsidRPr="00D6502A">
              <w:t>$40,322</w:t>
            </w:r>
          </w:p>
        </w:tc>
        <w:tc>
          <w:tcPr>
            <w:tcW w:w="629" w:type="pct"/>
            <w:tcBorders>
              <w:top w:val="nil"/>
              <w:bottom w:val="nil"/>
            </w:tcBorders>
            <w:noWrap/>
            <w:hideMark/>
          </w:tcPr>
          <w:p w14:paraId="0B029F33" w14:textId="1CF7DB55" w:rsidR="00E9385F" w:rsidRPr="00E86C72" w:rsidRDefault="00E9385F" w:rsidP="00E9385F">
            <w:pPr>
              <w:pStyle w:val="Tabletext1"/>
              <w:jc w:val="right"/>
            </w:pPr>
            <w:r w:rsidRPr="00D6502A">
              <w:t>0.3437</w:t>
            </w:r>
          </w:p>
        </w:tc>
        <w:tc>
          <w:tcPr>
            <w:tcW w:w="629" w:type="pct"/>
            <w:tcBorders>
              <w:top w:val="nil"/>
              <w:bottom w:val="nil"/>
            </w:tcBorders>
            <w:noWrap/>
            <w:hideMark/>
          </w:tcPr>
          <w:p w14:paraId="7EA2300E" w14:textId="63629A0B" w:rsidR="00E9385F" w:rsidRPr="00E86C72" w:rsidRDefault="00E9385F" w:rsidP="00E9385F">
            <w:pPr>
              <w:pStyle w:val="Tabletext1"/>
              <w:jc w:val="right"/>
            </w:pPr>
            <w:r w:rsidRPr="00D6502A">
              <w:t>$117,317</w:t>
            </w:r>
          </w:p>
        </w:tc>
        <w:tc>
          <w:tcPr>
            <w:tcW w:w="443" w:type="pct"/>
            <w:tcBorders>
              <w:top w:val="nil"/>
              <w:bottom w:val="nil"/>
            </w:tcBorders>
            <w:noWrap/>
            <w:hideMark/>
          </w:tcPr>
          <w:p w14:paraId="2F1A82B2" w14:textId="5C8E6828" w:rsidR="00E9385F" w:rsidRPr="00E86C72" w:rsidRDefault="00E9385F" w:rsidP="00E9385F">
            <w:pPr>
              <w:pStyle w:val="Tabletext1"/>
              <w:jc w:val="right"/>
            </w:pPr>
            <w:r w:rsidRPr="00D6502A">
              <w:t>18%</w:t>
            </w:r>
          </w:p>
        </w:tc>
      </w:tr>
      <w:tr w:rsidR="00E9385F" w:rsidRPr="00E86C72" w14:paraId="142C9567" w14:textId="77777777" w:rsidTr="008742A1">
        <w:trPr>
          <w:trHeight w:val="300"/>
        </w:trPr>
        <w:tc>
          <w:tcPr>
            <w:tcW w:w="2670" w:type="pct"/>
            <w:tcBorders>
              <w:top w:val="nil"/>
              <w:bottom w:val="nil"/>
            </w:tcBorders>
            <w:noWrap/>
            <w:hideMark/>
          </w:tcPr>
          <w:p w14:paraId="610A7377" w14:textId="77777777" w:rsidR="00E9385F" w:rsidRPr="00E86C72" w:rsidRDefault="00E9385F" w:rsidP="00E9385F">
            <w:pPr>
              <w:pStyle w:val="Tabletext1"/>
            </w:pPr>
            <w:r w:rsidRPr="00E86C72">
              <w:t>RR with infections, +50% to 6.27 (base case: 4.18)</w:t>
            </w:r>
          </w:p>
        </w:tc>
        <w:tc>
          <w:tcPr>
            <w:tcW w:w="629" w:type="pct"/>
            <w:tcBorders>
              <w:top w:val="nil"/>
              <w:bottom w:val="nil"/>
            </w:tcBorders>
            <w:noWrap/>
            <w:hideMark/>
          </w:tcPr>
          <w:p w14:paraId="68FC9217" w14:textId="58BC835E" w:rsidR="00E9385F" w:rsidRPr="00E86C72" w:rsidRDefault="00E9385F" w:rsidP="00E9385F">
            <w:pPr>
              <w:pStyle w:val="Tabletext1"/>
              <w:jc w:val="right"/>
            </w:pPr>
            <w:r w:rsidRPr="00D6502A">
              <w:t>$41,521</w:t>
            </w:r>
          </w:p>
        </w:tc>
        <w:tc>
          <w:tcPr>
            <w:tcW w:w="629" w:type="pct"/>
            <w:tcBorders>
              <w:top w:val="nil"/>
              <w:bottom w:val="nil"/>
            </w:tcBorders>
            <w:noWrap/>
            <w:hideMark/>
          </w:tcPr>
          <w:p w14:paraId="3C7D71D8" w14:textId="48BA190D" w:rsidR="00E9385F" w:rsidRPr="00E86C72" w:rsidRDefault="00E9385F" w:rsidP="00E9385F">
            <w:pPr>
              <w:pStyle w:val="Tabletext1"/>
              <w:jc w:val="right"/>
            </w:pPr>
            <w:r w:rsidRPr="00D6502A">
              <w:t>0.4668</w:t>
            </w:r>
          </w:p>
        </w:tc>
        <w:tc>
          <w:tcPr>
            <w:tcW w:w="629" w:type="pct"/>
            <w:tcBorders>
              <w:top w:val="nil"/>
              <w:bottom w:val="nil"/>
            </w:tcBorders>
            <w:noWrap/>
            <w:hideMark/>
          </w:tcPr>
          <w:p w14:paraId="33853E1E" w14:textId="53089227" w:rsidR="00E9385F" w:rsidRPr="00E86C72" w:rsidRDefault="00E9385F" w:rsidP="00E9385F">
            <w:pPr>
              <w:pStyle w:val="Tabletext1"/>
              <w:jc w:val="right"/>
            </w:pPr>
            <w:r w:rsidRPr="00D6502A">
              <w:t>$88,945</w:t>
            </w:r>
          </w:p>
        </w:tc>
        <w:tc>
          <w:tcPr>
            <w:tcW w:w="443" w:type="pct"/>
            <w:tcBorders>
              <w:top w:val="nil"/>
              <w:bottom w:val="nil"/>
            </w:tcBorders>
            <w:noWrap/>
            <w:hideMark/>
          </w:tcPr>
          <w:p w14:paraId="19ACC5CA" w14:textId="28C093FC" w:rsidR="00E9385F" w:rsidRPr="00E86C72" w:rsidRDefault="00E9385F" w:rsidP="00E9385F">
            <w:pPr>
              <w:pStyle w:val="Tabletext1"/>
              <w:jc w:val="right"/>
            </w:pPr>
            <w:r w:rsidRPr="00D6502A">
              <w:t>–11%</w:t>
            </w:r>
          </w:p>
        </w:tc>
      </w:tr>
      <w:tr w:rsidR="00E9385F" w:rsidRPr="00E86C72" w14:paraId="4DF9B663" w14:textId="77777777" w:rsidTr="008742A1">
        <w:trPr>
          <w:trHeight w:val="300"/>
        </w:trPr>
        <w:tc>
          <w:tcPr>
            <w:tcW w:w="2670" w:type="pct"/>
            <w:tcBorders>
              <w:top w:val="nil"/>
              <w:bottom w:val="nil"/>
            </w:tcBorders>
            <w:noWrap/>
            <w:hideMark/>
          </w:tcPr>
          <w:p w14:paraId="0D6C3AAE" w14:textId="77777777" w:rsidR="00E9385F" w:rsidRPr="00E86C72" w:rsidRDefault="00E9385F" w:rsidP="00E9385F">
            <w:pPr>
              <w:pStyle w:val="Tabletext1"/>
            </w:pPr>
            <w:r w:rsidRPr="00E86C72">
              <w:t>RR with bronchiectasis, 2.14 (base case: 2.20)</w:t>
            </w:r>
          </w:p>
        </w:tc>
        <w:tc>
          <w:tcPr>
            <w:tcW w:w="629" w:type="pct"/>
            <w:tcBorders>
              <w:top w:val="nil"/>
              <w:bottom w:val="nil"/>
            </w:tcBorders>
            <w:noWrap/>
            <w:hideMark/>
          </w:tcPr>
          <w:p w14:paraId="0C13E9C6" w14:textId="0ADBB651" w:rsidR="00E9385F" w:rsidRPr="00E86C72" w:rsidRDefault="00E9385F" w:rsidP="00E9385F">
            <w:pPr>
              <w:pStyle w:val="Tabletext1"/>
              <w:jc w:val="right"/>
            </w:pPr>
            <w:r w:rsidRPr="00D6502A">
              <w:t>$40,994</w:t>
            </w:r>
          </w:p>
        </w:tc>
        <w:tc>
          <w:tcPr>
            <w:tcW w:w="629" w:type="pct"/>
            <w:tcBorders>
              <w:top w:val="nil"/>
              <w:bottom w:val="nil"/>
            </w:tcBorders>
            <w:noWrap/>
            <w:hideMark/>
          </w:tcPr>
          <w:p w14:paraId="72FC0C1F" w14:textId="7BEE4B01" w:rsidR="00E9385F" w:rsidRPr="00E86C72" w:rsidRDefault="00E9385F" w:rsidP="00E9385F">
            <w:pPr>
              <w:pStyle w:val="Tabletext1"/>
              <w:jc w:val="right"/>
            </w:pPr>
            <w:r w:rsidRPr="00D6502A">
              <w:t>0.4047</w:t>
            </w:r>
          </w:p>
        </w:tc>
        <w:tc>
          <w:tcPr>
            <w:tcW w:w="629" w:type="pct"/>
            <w:tcBorders>
              <w:top w:val="nil"/>
              <w:bottom w:val="nil"/>
            </w:tcBorders>
            <w:noWrap/>
            <w:hideMark/>
          </w:tcPr>
          <w:p w14:paraId="4A69EE22" w14:textId="29EDF43B" w:rsidR="00E9385F" w:rsidRPr="00E86C72" w:rsidRDefault="00E9385F" w:rsidP="00E9385F">
            <w:pPr>
              <w:pStyle w:val="Tabletext1"/>
              <w:jc w:val="right"/>
            </w:pPr>
            <w:r w:rsidRPr="00D6502A">
              <w:t>$101,301</w:t>
            </w:r>
          </w:p>
        </w:tc>
        <w:tc>
          <w:tcPr>
            <w:tcW w:w="443" w:type="pct"/>
            <w:tcBorders>
              <w:top w:val="nil"/>
              <w:bottom w:val="nil"/>
            </w:tcBorders>
            <w:noWrap/>
            <w:hideMark/>
          </w:tcPr>
          <w:p w14:paraId="5CE16558" w14:textId="5DA3ADA7" w:rsidR="00E9385F" w:rsidRPr="00E86C72" w:rsidRDefault="00E9385F" w:rsidP="00E9385F">
            <w:pPr>
              <w:pStyle w:val="Tabletext1"/>
              <w:jc w:val="right"/>
            </w:pPr>
            <w:r w:rsidRPr="00D6502A">
              <w:t>2%</w:t>
            </w:r>
          </w:p>
        </w:tc>
      </w:tr>
      <w:tr w:rsidR="00E9385F" w:rsidRPr="00E86C72" w14:paraId="49A037A5" w14:textId="77777777" w:rsidTr="008742A1">
        <w:trPr>
          <w:trHeight w:val="300"/>
        </w:trPr>
        <w:tc>
          <w:tcPr>
            <w:tcW w:w="2670" w:type="pct"/>
            <w:tcBorders>
              <w:top w:val="nil"/>
              <w:bottom w:val="nil"/>
            </w:tcBorders>
            <w:noWrap/>
            <w:hideMark/>
          </w:tcPr>
          <w:p w14:paraId="7FD6D07F" w14:textId="77777777" w:rsidR="00E9385F" w:rsidRPr="00E86C72" w:rsidRDefault="00E9385F" w:rsidP="00E9385F">
            <w:pPr>
              <w:pStyle w:val="Tabletext1"/>
            </w:pPr>
            <w:r w:rsidRPr="00E86C72">
              <w:t>RR with bronchiectasis, 2.26 (base case: 2.20)</w:t>
            </w:r>
          </w:p>
        </w:tc>
        <w:tc>
          <w:tcPr>
            <w:tcW w:w="629" w:type="pct"/>
            <w:tcBorders>
              <w:top w:val="nil"/>
              <w:bottom w:val="nil"/>
            </w:tcBorders>
            <w:noWrap/>
            <w:hideMark/>
          </w:tcPr>
          <w:p w14:paraId="6F09A4D9" w14:textId="28BF34C1" w:rsidR="00E9385F" w:rsidRPr="00E86C72" w:rsidRDefault="00E9385F" w:rsidP="00E9385F">
            <w:pPr>
              <w:pStyle w:val="Tabletext1"/>
              <w:jc w:val="right"/>
            </w:pPr>
            <w:r w:rsidRPr="00D6502A">
              <w:t>$41,027</w:t>
            </w:r>
          </w:p>
        </w:tc>
        <w:tc>
          <w:tcPr>
            <w:tcW w:w="629" w:type="pct"/>
            <w:tcBorders>
              <w:top w:val="nil"/>
              <w:bottom w:val="nil"/>
            </w:tcBorders>
            <w:noWrap/>
            <w:hideMark/>
          </w:tcPr>
          <w:p w14:paraId="60061DD4" w14:textId="6C69E069" w:rsidR="00E9385F" w:rsidRPr="00E86C72" w:rsidRDefault="00E9385F" w:rsidP="00E9385F">
            <w:pPr>
              <w:pStyle w:val="Tabletext1"/>
              <w:jc w:val="right"/>
            </w:pPr>
            <w:r w:rsidRPr="00D6502A">
              <w:t>0.4170</w:t>
            </w:r>
          </w:p>
        </w:tc>
        <w:tc>
          <w:tcPr>
            <w:tcW w:w="629" w:type="pct"/>
            <w:tcBorders>
              <w:top w:val="nil"/>
              <w:bottom w:val="nil"/>
            </w:tcBorders>
            <w:noWrap/>
            <w:hideMark/>
          </w:tcPr>
          <w:p w14:paraId="65B337BD" w14:textId="1FDDAA4A" w:rsidR="00E9385F" w:rsidRPr="00E86C72" w:rsidRDefault="00E9385F" w:rsidP="00E9385F">
            <w:pPr>
              <w:pStyle w:val="Tabletext1"/>
              <w:jc w:val="right"/>
            </w:pPr>
            <w:r w:rsidRPr="00D6502A">
              <w:t>$98,375</w:t>
            </w:r>
          </w:p>
        </w:tc>
        <w:tc>
          <w:tcPr>
            <w:tcW w:w="443" w:type="pct"/>
            <w:tcBorders>
              <w:top w:val="nil"/>
              <w:bottom w:val="nil"/>
            </w:tcBorders>
            <w:noWrap/>
            <w:hideMark/>
          </w:tcPr>
          <w:p w14:paraId="276E32D1" w14:textId="6178C679" w:rsidR="00E9385F" w:rsidRPr="00E86C72" w:rsidRDefault="00E9385F" w:rsidP="00E9385F">
            <w:pPr>
              <w:pStyle w:val="Tabletext1"/>
              <w:jc w:val="right"/>
            </w:pPr>
            <w:r w:rsidRPr="00D6502A">
              <w:t>–1%</w:t>
            </w:r>
          </w:p>
        </w:tc>
      </w:tr>
      <w:tr w:rsidR="00E9385F" w:rsidRPr="00E86C72" w14:paraId="533C4180" w14:textId="77777777" w:rsidTr="008742A1">
        <w:trPr>
          <w:trHeight w:val="300"/>
        </w:trPr>
        <w:tc>
          <w:tcPr>
            <w:tcW w:w="2670" w:type="pct"/>
            <w:tcBorders>
              <w:top w:val="nil"/>
              <w:bottom w:val="nil"/>
            </w:tcBorders>
            <w:noWrap/>
            <w:hideMark/>
          </w:tcPr>
          <w:p w14:paraId="45F12765" w14:textId="77777777" w:rsidR="00E9385F" w:rsidRPr="00E86C72" w:rsidRDefault="00E9385F" w:rsidP="00E9385F">
            <w:pPr>
              <w:pStyle w:val="Tabletext1"/>
            </w:pPr>
            <w:r w:rsidRPr="00E86C72">
              <w:t xml:space="preserve">RR with </w:t>
            </w:r>
            <w:r w:rsidRPr="00906DAB">
              <w:rPr>
                <w:i/>
              </w:rPr>
              <w:t>P. aeruginosa</w:t>
            </w:r>
            <w:r w:rsidRPr="00E86C72">
              <w:t xml:space="preserve"> infections, 1.772 (base case: 2.391)</w:t>
            </w:r>
          </w:p>
        </w:tc>
        <w:tc>
          <w:tcPr>
            <w:tcW w:w="629" w:type="pct"/>
            <w:tcBorders>
              <w:top w:val="nil"/>
              <w:bottom w:val="nil"/>
            </w:tcBorders>
            <w:noWrap/>
            <w:hideMark/>
          </w:tcPr>
          <w:p w14:paraId="4F8139F6" w14:textId="15DA9DF8" w:rsidR="00E9385F" w:rsidRPr="00E86C72" w:rsidRDefault="00E9385F" w:rsidP="00E9385F">
            <w:pPr>
              <w:pStyle w:val="Tabletext1"/>
              <w:jc w:val="right"/>
            </w:pPr>
            <w:r w:rsidRPr="00D6502A">
              <w:t>$40,847</w:t>
            </w:r>
          </w:p>
        </w:tc>
        <w:tc>
          <w:tcPr>
            <w:tcW w:w="629" w:type="pct"/>
            <w:tcBorders>
              <w:top w:val="nil"/>
              <w:bottom w:val="nil"/>
            </w:tcBorders>
            <w:noWrap/>
            <w:hideMark/>
          </w:tcPr>
          <w:p w14:paraId="2B997E44" w14:textId="314F6E06" w:rsidR="00E9385F" w:rsidRPr="00E86C72" w:rsidRDefault="00E9385F" w:rsidP="00E9385F">
            <w:pPr>
              <w:pStyle w:val="Tabletext1"/>
              <w:jc w:val="right"/>
            </w:pPr>
            <w:r w:rsidRPr="00D6502A">
              <w:t>0.3977</w:t>
            </w:r>
          </w:p>
        </w:tc>
        <w:tc>
          <w:tcPr>
            <w:tcW w:w="629" w:type="pct"/>
            <w:tcBorders>
              <w:top w:val="nil"/>
              <w:bottom w:val="nil"/>
            </w:tcBorders>
            <w:noWrap/>
            <w:hideMark/>
          </w:tcPr>
          <w:p w14:paraId="3A8DBFC2" w14:textId="7EEAF8B3" w:rsidR="00E9385F" w:rsidRPr="00E86C72" w:rsidRDefault="00E9385F" w:rsidP="00E9385F">
            <w:pPr>
              <w:pStyle w:val="Tabletext1"/>
              <w:jc w:val="right"/>
            </w:pPr>
            <w:r w:rsidRPr="00D6502A">
              <w:t>$102,698</w:t>
            </w:r>
          </w:p>
        </w:tc>
        <w:tc>
          <w:tcPr>
            <w:tcW w:w="443" w:type="pct"/>
            <w:tcBorders>
              <w:top w:val="nil"/>
              <w:bottom w:val="nil"/>
            </w:tcBorders>
            <w:noWrap/>
            <w:hideMark/>
          </w:tcPr>
          <w:p w14:paraId="6B025322" w14:textId="2F1E13B5" w:rsidR="00E9385F" w:rsidRPr="00E86C72" w:rsidRDefault="00E9385F" w:rsidP="00E9385F">
            <w:pPr>
              <w:pStyle w:val="Tabletext1"/>
              <w:jc w:val="right"/>
            </w:pPr>
            <w:r w:rsidRPr="00D6502A">
              <w:t>3%</w:t>
            </w:r>
          </w:p>
        </w:tc>
      </w:tr>
      <w:tr w:rsidR="00E9385F" w:rsidRPr="00E86C72" w14:paraId="35A06409" w14:textId="77777777" w:rsidTr="008742A1">
        <w:trPr>
          <w:trHeight w:val="300"/>
        </w:trPr>
        <w:tc>
          <w:tcPr>
            <w:tcW w:w="2670" w:type="pct"/>
            <w:tcBorders>
              <w:top w:val="nil"/>
              <w:bottom w:val="single" w:sz="4" w:space="0" w:color="auto"/>
            </w:tcBorders>
            <w:noWrap/>
            <w:hideMark/>
          </w:tcPr>
          <w:p w14:paraId="49A9B8F8" w14:textId="77777777" w:rsidR="00E9385F" w:rsidRPr="00E86C72" w:rsidRDefault="00E9385F" w:rsidP="00E9385F">
            <w:pPr>
              <w:pStyle w:val="Tabletext1"/>
            </w:pPr>
            <w:r w:rsidRPr="00E86C72">
              <w:t xml:space="preserve">RR with </w:t>
            </w:r>
            <w:r w:rsidRPr="00906DAB">
              <w:rPr>
                <w:i/>
              </w:rPr>
              <w:t>P. aeruginosa</w:t>
            </w:r>
            <w:r w:rsidRPr="00E86C72">
              <w:t xml:space="preserve"> infections, 3.125 (base case: 2.391)</w:t>
            </w:r>
          </w:p>
        </w:tc>
        <w:tc>
          <w:tcPr>
            <w:tcW w:w="629" w:type="pct"/>
            <w:tcBorders>
              <w:top w:val="nil"/>
              <w:bottom w:val="single" w:sz="4" w:space="0" w:color="auto"/>
            </w:tcBorders>
            <w:noWrap/>
            <w:hideMark/>
          </w:tcPr>
          <w:p w14:paraId="0F29EA66" w14:textId="1753E16B" w:rsidR="00E9385F" w:rsidRPr="00E86C72" w:rsidRDefault="00E9385F" w:rsidP="00E9385F">
            <w:pPr>
              <w:pStyle w:val="Tabletext1"/>
              <w:jc w:val="right"/>
            </w:pPr>
            <w:r w:rsidRPr="00D6502A">
              <w:t>$41,192</w:t>
            </w:r>
          </w:p>
        </w:tc>
        <w:tc>
          <w:tcPr>
            <w:tcW w:w="629" w:type="pct"/>
            <w:tcBorders>
              <w:top w:val="nil"/>
              <w:bottom w:val="single" w:sz="4" w:space="0" w:color="auto"/>
            </w:tcBorders>
            <w:noWrap/>
            <w:hideMark/>
          </w:tcPr>
          <w:p w14:paraId="5611F889" w14:textId="2A5D0B20" w:rsidR="00E9385F" w:rsidRPr="00E86C72" w:rsidRDefault="00E9385F" w:rsidP="00E9385F">
            <w:pPr>
              <w:pStyle w:val="Tabletext1"/>
              <w:jc w:val="right"/>
            </w:pPr>
            <w:r w:rsidRPr="00D6502A">
              <w:t>0.4259</w:t>
            </w:r>
          </w:p>
        </w:tc>
        <w:tc>
          <w:tcPr>
            <w:tcW w:w="629" w:type="pct"/>
            <w:tcBorders>
              <w:top w:val="nil"/>
              <w:bottom w:val="single" w:sz="4" w:space="0" w:color="auto"/>
            </w:tcBorders>
            <w:noWrap/>
            <w:hideMark/>
          </w:tcPr>
          <w:p w14:paraId="0A78836E" w14:textId="07FB790D" w:rsidR="00E9385F" w:rsidRPr="00E86C72" w:rsidRDefault="00E9385F" w:rsidP="00E9385F">
            <w:pPr>
              <w:pStyle w:val="Tabletext1"/>
              <w:jc w:val="right"/>
            </w:pPr>
            <w:r w:rsidRPr="00D6502A">
              <w:t>$96,727</w:t>
            </w:r>
          </w:p>
        </w:tc>
        <w:tc>
          <w:tcPr>
            <w:tcW w:w="443" w:type="pct"/>
            <w:tcBorders>
              <w:top w:val="nil"/>
              <w:bottom w:val="single" w:sz="4" w:space="0" w:color="auto"/>
            </w:tcBorders>
            <w:noWrap/>
            <w:hideMark/>
          </w:tcPr>
          <w:p w14:paraId="4C56B667" w14:textId="2F25062F" w:rsidR="00E9385F" w:rsidRPr="00E86C72" w:rsidRDefault="00E9385F" w:rsidP="00E9385F">
            <w:pPr>
              <w:pStyle w:val="Tabletext1"/>
              <w:jc w:val="right"/>
            </w:pPr>
            <w:r w:rsidRPr="00D6502A">
              <w:t>–3%</w:t>
            </w:r>
          </w:p>
        </w:tc>
      </w:tr>
      <w:tr w:rsidR="00E9385F" w:rsidRPr="00E86C72" w14:paraId="4D30770C" w14:textId="77777777" w:rsidTr="008742A1">
        <w:trPr>
          <w:trHeight w:val="300"/>
        </w:trPr>
        <w:tc>
          <w:tcPr>
            <w:tcW w:w="2670" w:type="pct"/>
            <w:tcBorders>
              <w:bottom w:val="single" w:sz="4" w:space="0" w:color="auto"/>
              <w:right w:val="nil"/>
            </w:tcBorders>
            <w:noWrap/>
            <w:hideMark/>
          </w:tcPr>
          <w:p w14:paraId="652A8635" w14:textId="77777777" w:rsidR="00E9385F" w:rsidRPr="00E86C72" w:rsidRDefault="00E9385F" w:rsidP="00E9385F">
            <w:pPr>
              <w:pStyle w:val="Tabletext1"/>
            </w:pPr>
            <w:r w:rsidRPr="00E86C72">
              <w:t>Patient weight (base case: 75 kg)</w:t>
            </w:r>
          </w:p>
        </w:tc>
        <w:tc>
          <w:tcPr>
            <w:tcW w:w="629" w:type="pct"/>
            <w:tcBorders>
              <w:left w:val="nil"/>
              <w:bottom w:val="single" w:sz="4" w:space="0" w:color="auto"/>
              <w:right w:val="nil"/>
            </w:tcBorders>
            <w:noWrap/>
            <w:hideMark/>
          </w:tcPr>
          <w:p w14:paraId="2B6B9066" w14:textId="3A6B0175" w:rsidR="00E9385F" w:rsidRPr="00E86C72" w:rsidRDefault="00E9385F" w:rsidP="00E9385F">
            <w:pPr>
              <w:pStyle w:val="Tabletext1"/>
              <w:jc w:val="right"/>
            </w:pPr>
          </w:p>
        </w:tc>
        <w:tc>
          <w:tcPr>
            <w:tcW w:w="629" w:type="pct"/>
            <w:tcBorders>
              <w:left w:val="nil"/>
              <w:bottom w:val="single" w:sz="4" w:space="0" w:color="auto"/>
              <w:right w:val="nil"/>
            </w:tcBorders>
            <w:noWrap/>
            <w:hideMark/>
          </w:tcPr>
          <w:p w14:paraId="588F572B" w14:textId="3623AAD0" w:rsidR="00E9385F" w:rsidRPr="00E86C72" w:rsidRDefault="00E9385F" w:rsidP="00E9385F">
            <w:pPr>
              <w:pStyle w:val="Tabletext1"/>
              <w:jc w:val="right"/>
            </w:pPr>
          </w:p>
        </w:tc>
        <w:tc>
          <w:tcPr>
            <w:tcW w:w="629" w:type="pct"/>
            <w:tcBorders>
              <w:left w:val="nil"/>
              <w:bottom w:val="single" w:sz="4" w:space="0" w:color="auto"/>
              <w:right w:val="nil"/>
            </w:tcBorders>
            <w:noWrap/>
            <w:hideMark/>
          </w:tcPr>
          <w:p w14:paraId="0E0FFCB8" w14:textId="115CC814" w:rsidR="00E9385F" w:rsidRPr="00E86C72" w:rsidRDefault="00E9385F" w:rsidP="00E9385F">
            <w:pPr>
              <w:pStyle w:val="Tabletext1"/>
              <w:jc w:val="right"/>
            </w:pPr>
          </w:p>
        </w:tc>
        <w:tc>
          <w:tcPr>
            <w:tcW w:w="443" w:type="pct"/>
            <w:tcBorders>
              <w:left w:val="nil"/>
              <w:bottom w:val="single" w:sz="4" w:space="0" w:color="auto"/>
            </w:tcBorders>
            <w:noWrap/>
            <w:hideMark/>
          </w:tcPr>
          <w:p w14:paraId="165EC822" w14:textId="2F746AED" w:rsidR="00E9385F" w:rsidRPr="00E86C72" w:rsidRDefault="00E9385F" w:rsidP="00E9385F">
            <w:pPr>
              <w:pStyle w:val="Tabletext1"/>
              <w:jc w:val="right"/>
            </w:pPr>
          </w:p>
        </w:tc>
      </w:tr>
      <w:tr w:rsidR="00E9385F" w:rsidRPr="00E86C72" w14:paraId="5D4ADE97" w14:textId="77777777" w:rsidTr="008742A1">
        <w:trPr>
          <w:trHeight w:val="300"/>
        </w:trPr>
        <w:tc>
          <w:tcPr>
            <w:tcW w:w="2670" w:type="pct"/>
            <w:tcBorders>
              <w:bottom w:val="nil"/>
            </w:tcBorders>
            <w:noWrap/>
            <w:hideMark/>
          </w:tcPr>
          <w:p w14:paraId="5753F820" w14:textId="77777777" w:rsidR="00E9385F" w:rsidRPr="00E86C72" w:rsidRDefault="00E9385F" w:rsidP="00E9385F">
            <w:pPr>
              <w:pStyle w:val="Tabletext1"/>
            </w:pPr>
            <w:r w:rsidRPr="00E86C72">
              <w:t>70 kg</w:t>
            </w:r>
          </w:p>
        </w:tc>
        <w:tc>
          <w:tcPr>
            <w:tcW w:w="629" w:type="pct"/>
            <w:tcBorders>
              <w:bottom w:val="nil"/>
            </w:tcBorders>
            <w:noWrap/>
            <w:hideMark/>
          </w:tcPr>
          <w:p w14:paraId="4B62CBA0" w14:textId="555F9D85" w:rsidR="00E9385F" w:rsidRPr="00E86C72" w:rsidRDefault="00E9385F" w:rsidP="00E9385F">
            <w:pPr>
              <w:pStyle w:val="Tabletext1"/>
              <w:jc w:val="right"/>
            </w:pPr>
            <w:r w:rsidRPr="00D6502A">
              <w:t>$37,161</w:t>
            </w:r>
          </w:p>
        </w:tc>
        <w:tc>
          <w:tcPr>
            <w:tcW w:w="629" w:type="pct"/>
            <w:tcBorders>
              <w:bottom w:val="nil"/>
            </w:tcBorders>
            <w:noWrap/>
            <w:hideMark/>
          </w:tcPr>
          <w:p w14:paraId="282A9776" w14:textId="74596A6F" w:rsidR="00E9385F" w:rsidRPr="00E86C72" w:rsidRDefault="00E9385F" w:rsidP="00E9385F">
            <w:pPr>
              <w:pStyle w:val="Tabletext1"/>
              <w:jc w:val="right"/>
            </w:pPr>
            <w:r w:rsidRPr="00D6502A">
              <w:t>0.4109</w:t>
            </w:r>
          </w:p>
        </w:tc>
        <w:tc>
          <w:tcPr>
            <w:tcW w:w="629" w:type="pct"/>
            <w:tcBorders>
              <w:bottom w:val="nil"/>
            </w:tcBorders>
            <w:noWrap/>
            <w:hideMark/>
          </w:tcPr>
          <w:p w14:paraId="050157A6" w14:textId="502AE130" w:rsidR="00E9385F" w:rsidRPr="00E86C72" w:rsidRDefault="00E9385F" w:rsidP="00E9385F">
            <w:pPr>
              <w:pStyle w:val="Tabletext1"/>
              <w:jc w:val="right"/>
            </w:pPr>
            <w:r w:rsidRPr="00D6502A">
              <w:t>$90,434</w:t>
            </w:r>
          </w:p>
        </w:tc>
        <w:tc>
          <w:tcPr>
            <w:tcW w:w="443" w:type="pct"/>
            <w:tcBorders>
              <w:bottom w:val="nil"/>
            </w:tcBorders>
            <w:noWrap/>
            <w:hideMark/>
          </w:tcPr>
          <w:p w14:paraId="1F8C1D40" w14:textId="4D4A8D85" w:rsidR="00E9385F" w:rsidRPr="00E86C72" w:rsidRDefault="00E9385F" w:rsidP="00E9385F">
            <w:pPr>
              <w:pStyle w:val="Tabletext1"/>
              <w:jc w:val="right"/>
            </w:pPr>
            <w:r w:rsidRPr="00D6502A">
              <w:t>–9%</w:t>
            </w:r>
          </w:p>
        </w:tc>
      </w:tr>
      <w:tr w:rsidR="00E9385F" w:rsidRPr="00E86C72" w14:paraId="028BABE3" w14:textId="77777777" w:rsidTr="008742A1">
        <w:trPr>
          <w:trHeight w:val="300"/>
        </w:trPr>
        <w:tc>
          <w:tcPr>
            <w:tcW w:w="2670" w:type="pct"/>
            <w:tcBorders>
              <w:top w:val="nil"/>
              <w:bottom w:val="single" w:sz="4" w:space="0" w:color="auto"/>
            </w:tcBorders>
            <w:noWrap/>
            <w:hideMark/>
          </w:tcPr>
          <w:p w14:paraId="1C4A257E" w14:textId="77777777" w:rsidR="00E9385F" w:rsidRPr="00E86C72" w:rsidRDefault="00E9385F" w:rsidP="00E9385F">
            <w:pPr>
              <w:pStyle w:val="Tabletext1"/>
            </w:pPr>
            <w:r w:rsidRPr="00E86C72">
              <w:t>80 kg</w:t>
            </w:r>
          </w:p>
        </w:tc>
        <w:tc>
          <w:tcPr>
            <w:tcW w:w="629" w:type="pct"/>
            <w:tcBorders>
              <w:top w:val="nil"/>
              <w:bottom w:val="single" w:sz="4" w:space="0" w:color="auto"/>
            </w:tcBorders>
            <w:noWrap/>
            <w:hideMark/>
          </w:tcPr>
          <w:p w14:paraId="638D160F" w14:textId="180DE188" w:rsidR="00E9385F" w:rsidRPr="00E86C72" w:rsidRDefault="00E9385F" w:rsidP="00E9385F">
            <w:pPr>
              <w:pStyle w:val="Tabletext1"/>
              <w:jc w:val="right"/>
            </w:pPr>
            <w:r w:rsidRPr="00D6502A">
              <w:t>$44,868</w:t>
            </w:r>
          </w:p>
        </w:tc>
        <w:tc>
          <w:tcPr>
            <w:tcW w:w="629" w:type="pct"/>
            <w:tcBorders>
              <w:top w:val="nil"/>
              <w:bottom w:val="single" w:sz="4" w:space="0" w:color="auto"/>
            </w:tcBorders>
            <w:noWrap/>
            <w:hideMark/>
          </w:tcPr>
          <w:p w14:paraId="36941BA3" w14:textId="0F380A40" w:rsidR="00E9385F" w:rsidRPr="00E86C72" w:rsidRDefault="00E9385F" w:rsidP="00E9385F">
            <w:pPr>
              <w:pStyle w:val="Tabletext1"/>
              <w:jc w:val="right"/>
            </w:pPr>
            <w:r w:rsidRPr="00D6502A">
              <w:t>0.4109</w:t>
            </w:r>
          </w:p>
        </w:tc>
        <w:tc>
          <w:tcPr>
            <w:tcW w:w="629" w:type="pct"/>
            <w:tcBorders>
              <w:top w:val="nil"/>
              <w:bottom w:val="single" w:sz="4" w:space="0" w:color="auto"/>
            </w:tcBorders>
            <w:noWrap/>
            <w:hideMark/>
          </w:tcPr>
          <w:p w14:paraId="6AF4FC0D" w14:textId="6791D1E1" w:rsidR="00E9385F" w:rsidRPr="00E86C72" w:rsidRDefault="00E9385F" w:rsidP="00E9385F">
            <w:pPr>
              <w:pStyle w:val="Tabletext1"/>
              <w:jc w:val="right"/>
            </w:pPr>
            <w:r w:rsidRPr="00D6502A">
              <w:t>$109,190</w:t>
            </w:r>
          </w:p>
        </w:tc>
        <w:tc>
          <w:tcPr>
            <w:tcW w:w="443" w:type="pct"/>
            <w:tcBorders>
              <w:top w:val="nil"/>
              <w:bottom w:val="single" w:sz="4" w:space="0" w:color="auto"/>
            </w:tcBorders>
            <w:noWrap/>
            <w:hideMark/>
          </w:tcPr>
          <w:p w14:paraId="537675A2" w14:textId="1E711F67" w:rsidR="00E9385F" w:rsidRPr="00E86C72" w:rsidRDefault="00E9385F" w:rsidP="00E9385F">
            <w:pPr>
              <w:pStyle w:val="Tabletext1"/>
              <w:jc w:val="right"/>
            </w:pPr>
            <w:r w:rsidRPr="00D6502A">
              <w:t>9%</w:t>
            </w:r>
          </w:p>
        </w:tc>
      </w:tr>
      <w:tr w:rsidR="00E9385F" w:rsidRPr="00E86C72" w14:paraId="4354E5C9" w14:textId="77777777" w:rsidTr="008742A1">
        <w:trPr>
          <w:trHeight w:val="300"/>
        </w:trPr>
        <w:tc>
          <w:tcPr>
            <w:tcW w:w="2670" w:type="pct"/>
            <w:tcBorders>
              <w:top w:val="nil"/>
              <w:bottom w:val="single" w:sz="4" w:space="0" w:color="auto"/>
            </w:tcBorders>
            <w:noWrap/>
          </w:tcPr>
          <w:p w14:paraId="434DC362" w14:textId="77777777" w:rsidR="00E9385F" w:rsidRPr="00E86C72" w:rsidRDefault="00E9385F" w:rsidP="00E9385F">
            <w:pPr>
              <w:pStyle w:val="Tabletext1"/>
            </w:pPr>
            <w:r w:rsidRPr="00A10C65">
              <w:t>Cost of Ig per gram, $58.23 (base case: $60.41)</w:t>
            </w:r>
          </w:p>
        </w:tc>
        <w:tc>
          <w:tcPr>
            <w:tcW w:w="629" w:type="pct"/>
            <w:tcBorders>
              <w:top w:val="nil"/>
              <w:bottom w:val="single" w:sz="4" w:space="0" w:color="auto"/>
            </w:tcBorders>
            <w:noWrap/>
          </w:tcPr>
          <w:p w14:paraId="194D6EFB" w14:textId="602D9CC6" w:rsidR="00E9385F" w:rsidRPr="00E86C72" w:rsidRDefault="00E9385F" w:rsidP="00E9385F">
            <w:pPr>
              <w:pStyle w:val="Tabletext1"/>
              <w:jc w:val="right"/>
            </w:pPr>
            <w:r w:rsidRPr="00D6502A">
              <w:t>$38,925</w:t>
            </w:r>
          </w:p>
        </w:tc>
        <w:tc>
          <w:tcPr>
            <w:tcW w:w="629" w:type="pct"/>
            <w:tcBorders>
              <w:top w:val="nil"/>
              <w:bottom w:val="single" w:sz="4" w:space="0" w:color="auto"/>
            </w:tcBorders>
            <w:noWrap/>
          </w:tcPr>
          <w:p w14:paraId="4AA75EA3" w14:textId="33E3EA8C" w:rsidR="00E9385F" w:rsidRPr="00E86C72" w:rsidRDefault="00E9385F" w:rsidP="00E9385F">
            <w:pPr>
              <w:pStyle w:val="Tabletext1"/>
              <w:jc w:val="right"/>
            </w:pPr>
            <w:r w:rsidRPr="00D6502A">
              <w:t>0.4109</w:t>
            </w:r>
          </w:p>
        </w:tc>
        <w:tc>
          <w:tcPr>
            <w:tcW w:w="629" w:type="pct"/>
            <w:tcBorders>
              <w:top w:val="nil"/>
              <w:bottom w:val="single" w:sz="4" w:space="0" w:color="auto"/>
            </w:tcBorders>
            <w:noWrap/>
          </w:tcPr>
          <w:p w14:paraId="11E669AF" w14:textId="50E43152" w:rsidR="00E9385F" w:rsidRPr="00E86C72" w:rsidRDefault="00E9385F" w:rsidP="00E9385F">
            <w:pPr>
              <w:pStyle w:val="Tabletext1"/>
              <w:jc w:val="right"/>
            </w:pPr>
            <w:r w:rsidRPr="00D6502A">
              <w:t>$94,727</w:t>
            </w:r>
          </w:p>
        </w:tc>
        <w:tc>
          <w:tcPr>
            <w:tcW w:w="443" w:type="pct"/>
            <w:tcBorders>
              <w:top w:val="nil"/>
              <w:bottom w:val="single" w:sz="4" w:space="0" w:color="auto"/>
            </w:tcBorders>
            <w:noWrap/>
          </w:tcPr>
          <w:p w14:paraId="4F712994" w14:textId="638D2650" w:rsidR="00E9385F" w:rsidRPr="00944E02" w:rsidRDefault="00E9385F" w:rsidP="00E9385F">
            <w:pPr>
              <w:pStyle w:val="Tabletext1"/>
              <w:jc w:val="right"/>
            </w:pPr>
            <w:r w:rsidRPr="00D6502A">
              <w:t>–5%</w:t>
            </w:r>
          </w:p>
        </w:tc>
      </w:tr>
      <w:tr w:rsidR="00E9385F" w:rsidRPr="00E86C72" w14:paraId="6F82C553" w14:textId="77777777" w:rsidTr="008742A1">
        <w:trPr>
          <w:trHeight w:val="300"/>
        </w:trPr>
        <w:tc>
          <w:tcPr>
            <w:tcW w:w="2670" w:type="pct"/>
            <w:tcBorders>
              <w:bottom w:val="single" w:sz="4" w:space="0" w:color="auto"/>
              <w:right w:val="nil"/>
            </w:tcBorders>
            <w:noWrap/>
          </w:tcPr>
          <w:p w14:paraId="2B0033C0" w14:textId="77777777" w:rsidR="00E9385F" w:rsidRPr="008301F2" w:rsidRDefault="00E9385F" w:rsidP="00E9385F">
            <w:pPr>
              <w:pStyle w:val="Tabletext1"/>
            </w:pPr>
            <w:r w:rsidRPr="00090BE1">
              <w:t>Windegger et al. (2019) costs</w:t>
            </w:r>
          </w:p>
        </w:tc>
        <w:tc>
          <w:tcPr>
            <w:tcW w:w="629" w:type="pct"/>
            <w:tcBorders>
              <w:left w:val="nil"/>
              <w:bottom w:val="single" w:sz="4" w:space="0" w:color="auto"/>
              <w:right w:val="nil"/>
            </w:tcBorders>
            <w:noWrap/>
          </w:tcPr>
          <w:p w14:paraId="41CE1D86" w14:textId="3903A80D" w:rsidR="00E9385F" w:rsidRPr="00E86C72" w:rsidRDefault="00E9385F" w:rsidP="00E9385F">
            <w:pPr>
              <w:pStyle w:val="Tabletext1"/>
              <w:jc w:val="right"/>
            </w:pPr>
          </w:p>
        </w:tc>
        <w:tc>
          <w:tcPr>
            <w:tcW w:w="629" w:type="pct"/>
            <w:tcBorders>
              <w:left w:val="nil"/>
              <w:bottom w:val="single" w:sz="4" w:space="0" w:color="auto"/>
              <w:right w:val="nil"/>
            </w:tcBorders>
            <w:noWrap/>
          </w:tcPr>
          <w:p w14:paraId="1B4F702E" w14:textId="5C52BE28" w:rsidR="00E9385F" w:rsidRPr="00E86C72" w:rsidRDefault="00E9385F" w:rsidP="00E9385F">
            <w:pPr>
              <w:pStyle w:val="Tabletext1"/>
              <w:jc w:val="right"/>
            </w:pPr>
          </w:p>
        </w:tc>
        <w:tc>
          <w:tcPr>
            <w:tcW w:w="629" w:type="pct"/>
            <w:tcBorders>
              <w:left w:val="nil"/>
              <w:bottom w:val="single" w:sz="4" w:space="0" w:color="auto"/>
              <w:right w:val="nil"/>
            </w:tcBorders>
            <w:noWrap/>
          </w:tcPr>
          <w:p w14:paraId="518F47A9" w14:textId="6D55F0A6" w:rsidR="00E9385F" w:rsidRPr="00E86C72" w:rsidRDefault="00E9385F" w:rsidP="00E9385F">
            <w:pPr>
              <w:pStyle w:val="Tabletext1"/>
              <w:jc w:val="right"/>
            </w:pPr>
          </w:p>
        </w:tc>
        <w:tc>
          <w:tcPr>
            <w:tcW w:w="443" w:type="pct"/>
            <w:tcBorders>
              <w:left w:val="nil"/>
              <w:bottom w:val="single" w:sz="4" w:space="0" w:color="auto"/>
            </w:tcBorders>
            <w:noWrap/>
          </w:tcPr>
          <w:p w14:paraId="00BD0C05" w14:textId="14FE14A2" w:rsidR="00E9385F" w:rsidRPr="00E86C72" w:rsidRDefault="00E9385F" w:rsidP="00E9385F">
            <w:pPr>
              <w:pStyle w:val="Tabletext1"/>
              <w:jc w:val="right"/>
            </w:pPr>
          </w:p>
        </w:tc>
      </w:tr>
      <w:tr w:rsidR="00E9385F" w:rsidRPr="00E86C72" w14:paraId="5F97C838" w14:textId="77777777" w:rsidTr="008742A1">
        <w:trPr>
          <w:trHeight w:val="300"/>
        </w:trPr>
        <w:tc>
          <w:tcPr>
            <w:tcW w:w="2670" w:type="pct"/>
            <w:tcBorders>
              <w:bottom w:val="nil"/>
              <w:right w:val="single" w:sz="4" w:space="0" w:color="auto"/>
            </w:tcBorders>
            <w:noWrap/>
          </w:tcPr>
          <w:p w14:paraId="06D8F320" w14:textId="77777777" w:rsidR="00E9385F" w:rsidRPr="008301F2" w:rsidRDefault="00E9385F" w:rsidP="00E9385F">
            <w:pPr>
              <w:pStyle w:val="Tabletext1"/>
            </w:pPr>
            <w:r w:rsidRPr="00090BE1">
              <w:t>Cost of disease management (base case: MBS item costs)</w:t>
            </w:r>
          </w:p>
        </w:tc>
        <w:tc>
          <w:tcPr>
            <w:tcW w:w="629" w:type="pct"/>
            <w:tcBorders>
              <w:left w:val="single" w:sz="4" w:space="0" w:color="auto"/>
              <w:bottom w:val="nil"/>
              <w:right w:val="single" w:sz="4" w:space="0" w:color="auto"/>
            </w:tcBorders>
            <w:noWrap/>
          </w:tcPr>
          <w:p w14:paraId="4BF3B5EA" w14:textId="5D44E503" w:rsidR="00E9385F" w:rsidRPr="00E86C72" w:rsidRDefault="00E9385F" w:rsidP="00E9385F">
            <w:pPr>
              <w:pStyle w:val="Tabletext1"/>
              <w:jc w:val="right"/>
            </w:pPr>
            <w:r w:rsidRPr="00D6502A">
              <w:t>$40,779</w:t>
            </w:r>
          </w:p>
        </w:tc>
        <w:tc>
          <w:tcPr>
            <w:tcW w:w="629" w:type="pct"/>
            <w:tcBorders>
              <w:left w:val="single" w:sz="4" w:space="0" w:color="auto"/>
              <w:bottom w:val="nil"/>
              <w:right w:val="single" w:sz="4" w:space="0" w:color="auto"/>
            </w:tcBorders>
            <w:noWrap/>
          </w:tcPr>
          <w:p w14:paraId="5F96C10D" w14:textId="6FA3FCAB" w:rsidR="00E9385F" w:rsidRPr="00E86C72" w:rsidRDefault="00E9385F" w:rsidP="00E9385F">
            <w:pPr>
              <w:pStyle w:val="Tabletext1"/>
              <w:jc w:val="right"/>
            </w:pPr>
            <w:r w:rsidRPr="00D6502A">
              <w:t>0.4109</w:t>
            </w:r>
          </w:p>
        </w:tc>
        <w:tc>
          <w:tcPr>
            <w:tcW w:w="629" w:type="pct"/>
            <w:tcBorders>
              <w:left w:val="single" w:sz="4" w:space="0" w:color="auto"/>
              <w:bottom w:val="nil"/>
              <w:right w:val="single" w:sz="4" w:space="0" w:color="auto"/>
            </w:tcBorders>
            <w:noWrap/>
          </w:tcPr>
          <w:p w14:paraId="3578F0E8" w14:textId="37129635" w:rsidR="00E9385F" w:rsidRPr="00E86C72" w:rsidRDefault="00E9385F" w:rsidP="00E9385F">
            <w:pPr>
              <w:pStyle w:val="Tabletext1"/>
              <w:jc w:val="right"/>
            </w:pPr>
            <w:r w:rsidRPr="00D6502A">
              <w:t>$99,240</w:t>
            </w:r>
          </w:p>
        </w:tc>
        <w:tc>
          <w:tcPr>
            <w:tcW w:w="443" w:type="pct"/>
            <w:tcBorders>
              <w:left w:val="single" w:sz="4" w:space="0" w:color="auto"/>
              <w:bottom w:val="nil"/>
            </w:tcBorders>
            <w:noWrap/>
          </w:tcPr>
          <w:p w14:paraId="7BBEBE4F" w14:textId="70D0BC58" w:rsidR="00E9385F" w:rsidRPr="00E86C72" w:rsidRDefault="00E9385F" w:rsidP="00E9385F">
            <w:pPr>
              <w:pStyle w:val="Tabletext1"/>
              <w:jc w:val="right"/>
            </w:pPr>
            <w:r w:rsidRPr="00D6502A">
              <w:t>–1%</w:t>
            </w:r>
          </w:p>
        </w:tc>
      </w:tr>
      <w:tr w:rsidR="00E9385F" w:rsidRPr="00E86C72" w14:paraId="4173CCF9" w14:textId="77777777" w:rsidTr="008742A1">
        <w:trPr>
          <w:trHeight w:val="300"/>
        </w:trPr>
        <w:tc>
          <w:tcPr>
            <w:tcW w:w="2670" w:type="pct"/>
            <w:tcBorders>
              <w:top w:val="nil"/>
              <w:bottom w:val="nil"/>
              <w:right w:val="single" w:sz="4" w:space="0" w:color="auto"/>
            </w:tcBorders>
            <w:noWrap/>
          </w:tcPr>
          <w:p w14:paraId="5CE8FF5B" w14:textId="77777777" w:rsidR="00E9385F" w:rsidRPr="008301F2" w:rsidRDefault="00E9385F" w:rsidP="00E9385F">
            <w:pPr>
              <w:pStyle w:val="Tabletext1"/>
            </w:pPr>
            <w:r w:rsidRPr="00090BE1">
              <w:t>Cost of treating infections (base case: AR-DRG/MBS costs)</w:t>
            </w:r>
          </w:p>
        </w:tc>
        <w:tc>
          <w:tcPr>
            <w:tcW w:w="629" w:type="pct"/>
            <w:tcBorders>
              <w:top w:val="nil"/>
              <w:left w:val="single" w:sz="4" w:space="0" w:color="auto"/>
              <w:bottom w:val="nil"/>
              <w:right w:val="single" w:sz="4" w:space="0" w:color="auto"/>
            </w:tcBorders>
            <w:noWrap/>
          </w:tcPr>
          <w:p w14:paraId="71993F4A" w14:textId="48B72915" w:rsidR="00E9385F" w:rsidRPr="00E86C72" w:rsidRDefault="00E9385F" w:rsidP="00E9385F">
            <w:pPr>
              <w:pStyle w:val="Tabletext1"/>
              <w:jc w:val="right"/>
            </w:pPr>
            <w:r w:rsidRPr="00D6502A">
              <w:t>$44,097</w:t>
            </w:r>
          </w:p>
        </w:tc>
        <w:tc>
          <w:tcPr>
            <w:tcW w:w="629" w:type="pct"/>
            <w:tcBorders>
              <w:top w:val="nil"/>
              <w:left w:val="single" w:sz="4" w:space="0" w:color="auto"/>
              <w:bottom w:val="nil"/>
              <w:right w:val="single" w:sz="4" w:space="0" w:color="auto"/>
            </w:tcBorders>
            <w:noWrap/>
          </w:tcPr>
          <w:p w14:paraId="1F1DF60B" w14:textId="3AD09F41" w:rsidR="00E9385F" w:rsidRPr="00E86C72" w:rsidRDefault="00E9385F" w:rsidP="00E9385F">
            <w:pPr>
              <w:pStyle w:val="Tabletext1"/>
              <w:jc w:val="right"/>
            </w:pPr>
            <w:r w:rsidRPr="00D6502A">
              <w:t>0.4109</w:t>
            </w:r>
          </w:p>
        </w:tc>
        <w:tc>
          <w:tcPr>
            <w:tcW w:w="629" w:type="pct"/>
            <w:tcBorders>
              <w:top w:val="nil"/>
              <w:left w:val="single" w:sz="4" w:space="0" w:color="auto"/>
              <w:bottom w:val="nil"/>
              <w:right w:val="single" w:sz="4" w:space="0" w:color="auto"/>
            </w:tcBorders>
            <w:noWrap/>
          </w:tcPr>
          <w:p w14:paraId="5B74B6B9" w14:textId="1F68D746" w:rsidR="00E9385F" w:rsidRPr="00E86C72" w:rsidRDefault="00E9385F" w:rsidP="00E9385F">
            <w:pPr>
              <w:pStyle w:val="Tabletext1"/>
              <w:jc w:val="right"/>
            </w:pPr>
            <w:r w:rsidRPr="00D6502A">
              <w:t>$107,313</w:t>
            </w:r>
          </w:p>
        </w:tc>
        <w:tc>
          <w:tcPr>
            <w:tcW w:w="443" w:type="pct"/>
            <w:tcBorders>
              <w:top w:val="nil"/>
              <w:left w:val="single" w:sz="4" w:space="0" w:color="auto"/>
              <w:bottom w:val="nil"/>
            </w:tcBorders>
            <w:noWrap/>
          </w:tcPr>
          <w:p w14:paraId="2792AFED" w14:textId="5F193B3B" w:rsidR="00E9385F" w:rsidRPr="00E86C72" w:rsidRDefault="00E9385F" w:rsidP="00E9385F">
            <w:pPr>
              <w:pStyle w:val="Tabletext1"/>
              <w:jc w:val="right"/>
            </w:pPr>
            <w:r w:rsidRPr="00D6502A">
              <w:t>8%</w:t>
            </w:r>
          </w:p>
        </w:tc>
      </w:tr>
      <w:tr w:rsidR="00E9385F" w:rsidRPr="00E86C72" w14:paraId="6D22BDD7" w14:textId="77777777" w:rsidTr="008742A1">
        <w:trPr>
          <w:trHeight w:val="300"/>
        </w:trPr>
        <w:tc>
          <w:tcPr>
            <w:tcW w:w="2670" w:type="pct"/>
            <w:tcBorders>
              <w:top w:val="nil"/>
              <w:bottom w:val="single" w:sz="4" w:space="0" w:color="auto"/>
              <w:right w:val="single" w:sz="4" w:space="0" w:color="auto"/>
            </w:tcBorders>
            <w:noWrap/>
          </w:tcPr>
          <w:p w14:paraId="128B36F0" w14:textId="77777777" w:rsidR="00E9385F" w:rsidRPr="008301F2" w:rsidRDefault="00E9385F" w:rsidP="00E9385F">
            <w:pPr>
              <w:pStyle w:val="Tabletext1"/>
            </w:pPr>
            <w:r w:rsidRPr="00090BE1">
              <w:t>Cost of P. aeruginosa health state (base case: AR-DRG costs)</w:t>
            </w:r>
          </w:p>
        </w:tc>
        <w:tc>
          <w:tcPr>
            <w:tcW w:w="629" w:type="pct"/>
            <w:tcBorders>
              <w:top w:val="nil"/>
              <w:left w:val="single" w:sz="4" w:space="0" w:color="auto"/>
              <w:bottom w:val="single" w:sz="4" w:space="0" w:color="auto"/>
              <w:right w:val="single" w:sz="4" w:space="0" w:color="auto"/>
            </w:tcBorders>
            <w:noWrap/>
          </w:tcPr>
          <w:p w14:paraId="01C75DCC" w14:textId="66022750" w:rsidR="00E9385F" w:rsidRPr="00E86C72" w:rsidRDefault="00E9385F" w:rsidP="00E9385F">
            <w:pPr>
              <w:pStyle w:val="Tabletext1"/>
              <w:jc w:val="right"/>
            </w:pPr>
            <w:r w:rsidRPr="00D6502A">
              <w:t>$41,179</w:t>
            </w:r>
          </w:p>
        </w:tc>
        <w:tc>
          <w:tcPr>
            <w:tcW w:w="629" w:type="pct"/>
            <w:tcBorders>
              <w:top w:val="nil"/>
              <w:left w:val="single" w:sz="4" w:space="0" w:color="auto"/>
              <w:bottom w:val="single" w:sz="4" w:space="0" w:color="auto"/>
              <w:right w:val="single" w:sz="4" w:space="0" w:color="auto"/>
            </w:tcBorders>
            <w:noWrap/>
          </w:tcPr>
          <w:p w14:paraId="58660EF5" w14:textId="57057735" w:rsidR="00E9385F" w:rsidRPr="00E86C72" w:rsidRDefault="00E9385F" w:rsidP="00E9385F">
            <w:pPr>
              <w:pStyle w:val="Tabletext1"/>
              <w:jc w:val="right"/>
            </w:pPr>
            <w:r w:rsidRPr="00D6502A">
              <w:t>0.4109</w:t>
            </w:r>
          </w:p>
        </w:tc>
        <w:tc>
          <w:tcPr>
            <w:tcW w:w="629" w:type="pct"/>
            <w:tcBorders>
              <w:top w:val="nil"/>
              <w:left w:val="single" w:sz="4" w:space="0" w:color="auto"/>
              <w:bottom w:val="single" w:sz="4" w:space="0" w:color="auto"/>
              <w:right w:val="single" w:sz="4" w:space="0" w:color="auto"/>
            </w:tcBorders>
            <w:noWrap/>
          </w:tcPr>
          <w:p w14:paraId="5E58C185" w14:textId="7BAB22F1" w:rsidR="00E9385F" w:rsidRPr="00E86C72" w:rsidRDefault="00E9385F" w:rsidP="00E9385F">
            <w:pPr>
              <w:pStyle w:val="Tabletext1"/>
              <w:jc w:val="right"/>
            </w:pPr>
            <w:r w:rsidRPr="00D6502A">
              <w:t>$100,213</w:t>
            </w:r>
          </w:p>
        </w:tc>
        <w:tc>
          <w:tcPr>
            <w:tcW w:w="443" w:type="pct"/>
            <w:tcBorders>
              <w:top w:val="nil"/>
              <w:left w:val="single" w:sz="4" w:space="0" w:color="auto"/>
              <w:bottom w:val="single" w:sz="4" w:space="0" w:color="auto"/>
            </w:tcBorders>
            <w:noWrap/>
          </w:tcPr>
          <w:p w14:paraId="0E04E71B" w14:textId="6F68738E" w:rsidR="00E9385F" w:rsidRPr="00E86C72" w:rsidRDefault="00E9385F" w:rsidP="00E9385F">
            <w:pPr>
              <w:pStyle w:val="Tabletext1"/>
              <w:jc w:val="right"/>
            </w:pPr>
            <w:r w:rsidRPr="00D6502A">
              <w:t>0%</w:t>
            </w:r>
          </w:p>
        </w:tc>
      </w:tr>
      <w:tr w:rsidR="00E9385F" w:rsidRPr="00E86C72" w14:paraId="2546B90F" w14:textId="77777777" w:rsidTr="00E9385F">
        <w:trPr>
          <w:trHeight w:val="300"/>
        </w:trPr>
        <w:tc>
          <w:tcPr>
            <w:tcW w:w="2670" w:type="pct"/>
            <w:tcBorders>
              <w:bottom w:val="single" w:sz="4" w:space="0" w:color="auto"/>
              <w:right w:val="single" w:sz="4" w:space="0" w:color="auto"/>
            </w:tcBorders>
            <w:noWrap/>
            <w:hideMark/>
          </w:tcPr>
          <w:p w14:paraId="68D9C26F" w14:textId="167118C7" w:rsidR="00E9385F" w:rsidRPr="00E86C72" w:rsidRDefault="00E9385F" w:rsidP="00E9385F">
            <w:pPr>
              <w:pStyle w:val="Tabletext1"/>
            </w:pPr>
            <w:r w:rsidRPr="008301F2">
              <w:t xml:space="preserve">Cost of </w:t>
            </w:r>
            <w:r>
              <w:t>hospitalisation of</w:t>
            </w:r>
            <w:r w:rsidRPr="008301F2">
              <w:t xml:space="preserve"> serious infections (base case: $</w:t>
            </w:r>
            <w:r>
              <w:t>12,775</w:t>
            </w:r>
            <w:r w:rsidRPr="008301F2">
              <w:t>)</w:t>
            </w:r>
          </w:p>
        </w:tc>
        <w:tc>
          <w:tcPr>
            <w:tcW w:w="629" w:type="pct"/>
            <w:tcBorders>
              <w:left w:val="single" w:sz="4" w:space="0" w:color="auto"/>
              <w:bottom w:val="single" w:sz="4" w:space="0" w:color="auto"/>
              <w:right w:val="single" w:sz="4" w:space="0" w:color="auto"/>
            </w:tcBorders>
            <w:noWrap/>
            <w:hideMark/>
          </w:tcPr>
          <w:p w14:paraId="05051ABB" w14:textId="378A428B" w:rsidR="00E9385F" w:rsidRPr="00E86C72" w:rsidRDefault="00E9385F" w:rsidP="00E9385F">
            <w:pPr>
              <w:pStyle w:val="Tabletext1"/>
              <w:jc w:val="right"/>
            </w:pPr>
          </w:p>
        </w:tc>
        <w:tc>
          <w:tcPr>
            <w:tcW w:w="629" w:type="pct"/>
            <w:tcBorders>
              <w:left w:val="single" w:sz="4" w:space="0" w:color="auto"/>
              <w:bottom w:val="single" w:sz="4" w:space="0" w:color="auto"/>
              <w:right w:val="single" w:sz="4" w:space="0" w:color="auto"/>
            </w:tcBorders>
            <w:noWrap/>
            <w:hideMark/>
          </w:tcPr>
          <w:p w14:paraId="2FDF3BD2" w14:textId="4E278FE8" w:rsidR="00E9385F" w:rsidRPr="00E86C72" w:rsidRDefault="00E9385F" w:rsidP="00E9385F">
            <w:pPr>
              <w:pStyle w:val="Tabletext1"/>
              <w:jc w:val="right"/>
            </w:pPr>
          </w:p>
        </w:tc>
        <w:tc>
          <w:tcPr>
            <w:tcW w:w="629" w:type="pct"/>
            <w:tcBorders>
              <w:left w:val="single" w:sz="4" w:space="0" w:color="auto"/>
              <w:bottom w:val="single" w:sz="4" w:space="0" w:color="auto"/>
              <w:right w:val="single" w:sz="4" w:space="0" w:color="auto"/>
            </w:tcBorders>
            <w:noWrap/>
            <w:hideMark/>
          </w:tcPr>
          <w:p w14:paraId="2206B07F" w14:textId="5EC8A713" w:rsidR="00E9385F" w:rsidRPr="00E86C72" w:rsidRDefault="00E9385F" w:rsidP="00E9385F">
            <w:pPr>
              <w:pStyle w:val="Tabletext1"/>
              <w:jc w:val="right"/>
            </w:pPr>
          </w:p>
        </w:tc>
        <w:tc>
          <w:tcPr>
            <w:tcW w:w="443" w:type="pct"/>
            <w:tcBorders>
              <w:left w:val="single" w:sz="4" w:space="0" w:color="auto"/>
              <w:bottom w:val="single" w:sz="4" w:space="0" w:color="auto"/>
            </w:tcBorders>
            <w:noWrap/>
            <w:hideMark/>
          </w:tcPr>
          <w:p w14:paraId="75ADBD5E" w14:textId="52BE5E0A" w:rsidR="00E9385F" w:rsidRPr="00E86C72" w:rsidRDefault="00E9385F" w:rsidP="00E9385F">
            <w:pPr>
              <w:pStyle w:val="Tabletext1"/>
              <w:jc w:val="right"/>
            </w:pPr>
          </w:p>
        </w:tc>
      </w:tr>
      <w:tr w:rsidR="00E9385F" w:rsidRPr="00E86C72" w14:paraId="528E0DF7" w14:textId="77777777" w:rsidTr="00E9385F">
        <w:trPr>
          <w:trHeight w:val="300"/>
        </w:trPr>
        <w:tc>
          <w:tcPr>
            <w:tcW w:w="2670" w:type="pct"/>
            <w:tcBorders>
              <w:bottom w:val="nil"/>
            </w:tcBorders>
            <w:noWrap/>
            <w:hideMark/>
          </w:tcPr>
          <w:p w14:paraId="25363C4F" w14:textId="09FF1140" w:rsidR="00E9385F" w:rsidRPr="00E86C72" w:rsidRDefault="00E9385F" w:rsidP="00E9385F">
            <w:pPr>
              <w:pStyle w:val="Tabletext1"/>
            </w:pPr>
            <w:r w:rsidRPr="00263E7E">
              <w:t>$9,961, based on AR-DRG E62A</w:t>
            </w:r>
          </w:p>
        </w:tc>
        <w:tc>
          <w:tcPr>
            <w:tcW w:w="629" w:type="pct"/>
            <w:tcBorders>
              <w:bottom w:val="nil"/>
            </w:tcBorders>
            <w:noWrap/>
            <w:hideMark/>
          </w:tcPr>
          <w:p w14:paraId="2CB45D98" w14:textId="6C2A932D" w:rsidR="00E9385F" w:rsidRPr="00E86C72" w:rsidRDefault="00E9385F" w:rsidP="00E9385F">
            <w:pPr>
              <w:pStyle w:val="Tabletext1"/>
              <w:jc w:val="right"/>
            </w:pPr>
            <w:r w:rsidRPr="00D6502A">
              <w:t>$42,528</w:t>
            </w:r>
          </w:p>
        </w:tc>
        <w:tc>
          <w:tcPr>
            <w:tcW w:w="629" w:type="pct"/>
            <w:tcBorders>
              <w:bottom w:val="nil"/>
            </w:tcBorders>
            <w:noWrap/>
            <w:hideMark/>
          </w:tcPr>
          <w:p w14:paraId="1E776138" w14:textId="385D149E" w:rsidR="00E9385F" w:rsidRPr="00E86C72" w:rsidRDefault="00E9385F" w:rsidP="00E9385F">
            <w:pPr>
              <w:pStyle w:val="Tabletext1"/>
              <w:jc w:val="right"/>
            </w:pPr>
            <w:r w:rsidRPr="00D6502A">
              <w:t>0.4109</w:t>
            </w:r>
          </w:p>
        </w:tc>
        <w:tc>
          <w:tcPr>
            <w:tcW w:w="629" w:type="pct"/>
            <w:tcBorders>
              <w:bottom w:val="nil"/>
            </w:tcBorders>
            <w:noWrap/>
            <w:hideMark/>
          </w:tcPr>
          <w:p w14:paraId="64D96261" w14:textId="65ECC132" w:rsidR="00E9385F" w:rsidRPr="00E86C72" w:rsidRDefault="00E9385F" w:rsidP="00E9385F">
            <w:pPr>
              <w:pStyle w:val="Tabletext1"/>
              <w:jc w:val="right"/>
            </w:pPr>
            <w:r w:rsidRPr="00D6502A">
              <w:t>$103,495</w:t>
            </w:r>
          </w:p>
        </w:tc>
        <w:tc>
          <w:tcPr>
            <w:tcW w:w="443" w:type="pct"/>
            <w:tcBorders>
              <w:bottom w:val="nil"/>
            </w:tcBorders>
            <w:noWrap/>
            <w:hideMark/>
          </w:tcPr>
          <w:p w14:paraId="02A0168F" w14:textId="46BC8629" w:rsidR="00E9385F" w:rsidRPr="00E86C72" w:rsidRDefault="00E9385F" w:rsidP="00E9385F">
            <w:pPr>
              <w:pStyle w:val="Tabletext1"/>
              <w:jc w:val="right"/>
            </w:pPr>
            <w:r w:rsidRPr="00D6502A">
              <w:t>4%</w:t>
            </w:r>
          </w:p>
        </w:tc>
      </w:tr>
      <w:tr w:rsidR="00E9385F" w:rsidRPr="00E86C72" w14:paraId="0935C8E9" w14:textId="77777777" w:rsidTr="00CF7C90">
        <w:trPr>
          <w:trHeight w:val="300"/>
        </w:trPr>
        <w:tc>
          <w:tcPr>
            <w:tcW w:w="2670" w:type="pct"/>
            <w:tcBorders>
              <w:top w:val="nil"/>
              <w:bottom w:val="nil"/>
            </w:tcBorders>
            <w:noWrap/>
          </w:tcPr>
          <w:p w14:paraId="1A48B331" w14:textId="629C5F02" w:rsidR="00E9385F" w:rsidRPr="008301F2" w:rsidRDefault="00E9385F" w:rsidP="00E9385F">
            <w:pPr>
              <w:pStyle w:val="Tabletext1"/>
            </w:pPr>
            <w:r w:rsidRPr="00263E7E">
              <w:t>$15,261, based on AR-DRG I67A</w:t>
            </w:r>
          </w:p>
        </w:tc>
        <w:tc>
          <w:tcPr>
            <w:tcW w:w="629" w:type="pct"/>
            <w:tcBorders>
              <w:top w:val="nil"/>
              <w:bottom w:val="nil"/>
            </w:tcBorders>
            <w:noWrap/>
          </w:tcPr>
          <w:p w14:paraId="720F2B4D" w14:textId="23F5C3F1" w:rsidR="00E9385F" w:rsidRPr="00982495" w:rsidRDefault="00E9385F" w:rsidP="00E9385F">
            <w:pPr>
              <w:pStyle w:val="Tabletext1"/>
              <w:jc w:val="right"/>
            </w:pPr>
            <w:r w:rsidRPr="00D6502A">
              <w:t>$39,671</w:t>
            </w:r>
          </w:p>
        </w:tc>
        <w:tc>
          <w:tcPr>
            <w:tcW w:w="629" w:type="pct"/>
            <w:tcBorders>
              <w:top w:val="nil"/>
              <w:bottom w:val="nil"/>
            </w:tcBorders>
            <w:noWrap/>
          </w:tcPr>
          <w:p w14:paraId="4AFD1445" w14:textId="59C3E317" w:rsidR="00E9385F" w:rsidRPr="00982495" w:rsidRDefault="00E9385F" w:rsidP="00E9385F">
            <w:pPr>
              <w:pStyle w:val="Tabletext1"/>
              <w:jc w:val="right"/>
            </w:pPr>
            <w:r w:rsidRPr="00D6502A">
              <w:t>0.4109</w:t>
            </w:r>
          </w:p>
        </w:tc>
        <w:tc>
          <w:tcPr>
            <w:tcW w:w="629" w:type="pct"/>
            <w:tcBorders>
              <w:top w:val="nil"/>
              <w:bottom w:val="nil"/>
            </w:tcBorders>
            <w:noWrap/>
          </w:tcPr>
          <w:p w14:paraId="69FF7919" w14:textId="266AC3D4" w:rsidR="00E9385F" w:rsidRPr="00982495" w:rsidRDefault="00E9385F" w:rsidP="00E9385F">
            <w:pPr>
              <w:pStyle w:val="Tabletext1"/>
              <w:jc w:val="right"/>
            </w:pPr>
            <w:r w:rsidRPr="00D6502A">
              <w:t>$96,542</w:t>
            </w:r>
          </w:p>
        </w:tc>
        <w:tc>
          <w:tcPr>
            <w:tcW w:w="443" w:type="pct"/>
            <w:tcBorders>
              <w:top w:val="nil"/>
              <w:bottom w:val="nil"/>
            </w:tcBorders>
            <w:noWrap/>
          </w:tcPr>
          <w:p w14:paraId="08D5B2B7" w14:textId="68E7563C" w:rsidR="00E9385F" w:rsidRPr="00982495" w:rsidRDefault="00E9385F" w:rsidP="00E9385F">
            <w:pPr>
              <w:pStyle w:val="Tabletext1"/>
              <w:jc w:val="right"/>
            </w:pPr>
            <w:r w:rsidRPr="00D6502A">
              <w:t>–3%</w:t>
            </w:r>
          </w:p>
        </w:tc>
      </w:tr>
      <w:tr w:rsidR="00E9385F" w:rsidRPr="00E86C72" w14:paraId="1FAD3578" w14:textId="77777777" w:rsidTr="00CF7C90">
        <w:trPr>
          <w:trHeight w:val="300"/>
        </w:trPr>
        <w:tc>
          <w:tcPr>
            <w:tcW w:w="2670" w:type="pct"/>
            <w:tcBorders>
              <w:top w:val="nil"/>
              <w:bottom w:val="nil"/>
            </w:tcBorders>
            <w:noWrap/>
          </w:tcPr>
          <w:p w14:paraId="2B93A696" w14:textId="0DE41ACF" w:rsidR="00E9385F" w:rsidRPr="008301F2" w:rsidRDefault="00E9385F" w:rsidP="00E9385F">
            <w:pPr>
              <w:pStyle w:val="Tabletext1"/>
            </w:pPr>
            <w:r w:rsidRPr="00263E7E">
              <w:t>$18,269, based on AR-DRG I64A</w:t>
            </w:r>
          </w:p>
        </w:tc>
        <w:tc>
          <w:tcPr>
            <w:tcW w:w="629" w:type="pct"/>
            <w:tcBorders>
              <w:top w:val="nil"/>
              <w:bottom w:val="nil"/>
            </w:tcBorders>
            <w:noWrap/>
          </w:tcPr>
          <w:p w14:paraId="5A6A9C1C" w14:textId="02E536F8" w:rsidR="00E9385F" w:rsidRPr="00982495" w:rsidRDefault="00E9385F" w:rsidP="00E9385F">
            <w:pPr>
              <w:pStyle w:val="Tabletext1"/>
              <w:jc w:val="right"/>
            </w:pPr>
            <w:r w:rsidRPr="00D6502A">
              <w:t>$38,050</w:t>
            </w:r>
          </w:p>
        </w:tc>
        <w:tc>
          <w:tcPr>
            <w:tcW w:w="629" w:type="pct"/>
            <w:tcBorders>
              <w:top w:val="nil"/>
              <w:bottom w:val="nil"/>
            </w:tcBorders>
            <w:noWrap/>
          </w:tcPr>
          <w:p w14:paraId="46F3D349" w14:textId="2CF40674" w:rsidR="00E9385F" w:rsidRPr="00982495" w:rsidRDefault="00E9385F" w:rsidP="00E9385F">
            <w:pPr>
              <w:pStyle w:val="Tabletext1"/>
              <w:jc w:val="right"/>
            </w:pPr>
            <w:r w:rsidRPr="00D6502A">
              <w:t>0.4109</w:t>
            </w:r>
          </w:p>
        </w:tc>
        <w:tc>
          <w:tcPr>
            <w:tcW w:w="629" w:type="pct"/>
            <w:tcBorders>
              <w:top w:val="nil"/>
              <w:bottom w:val="nil"/>
            </w:tcBorders>
            <w:noWrap/>
          </w:tcPr>
          <w:p w14:paraId="12FD6DB1" w14:textId="2E7A6B50" w:rsidR="00E9385F" w:rsidRPr="00982495" w:rsidRDefault="00E9385F" w:rsidP="00E9385F">
            <w:pPr>
              <w:pStyle w:val="Tabletext1"/>
              <w:jc w:val="right"/>
            </w:pPr>
            <w:r w:rsidRPr="00D6502A">
              <w:t>$92,597</w:t>
            </w:r>
          </w:p>
        </w:tc>
        <w:tc>
          <w:tcPr>
            <w:tcW w:w="443" w:type="pct"/>
            <w:tcBorders>
              <w:top w:val="nil"/>
              <w:bottom w:val="nil"/>
            </w:tcBorders>
            <w:noWrap/>
          </w:tcPr>
          <w:p w14:paraId="1F65CE6F" w14:textId="29739DC7" w:rsidR="00E9385F" w:rsidRPr="00982495" w:rsidRDefault="00E9385F" w:rsidP="00E9385F">
            <w:pPr>
              <w:pStyle w:val="Tabletext1"/>
              <w:jc w:val="right"/>
            </w:pPr>
            <w:r w:rsidRPr="00D6502A">
              <w:t>–7%</w:t>
            </w:r>
          </w:p>
        </w:tc>
      </w:tr>
      <w:tr w:rsidR="00E9385F" w:rsidRPr="00E86C72" w14:paraId="681A81FB" w14:textId="77777777" w:rsidTr="00E9385F">
        <w:trPr>
          <w:trHeight w:val="300"/>
        </w:trPr>
        <w:tc>
          <w:tcPr>
            <w:tcW w:w="2670" w:type="pct"/>
            <w:tcBorders>
              <w:top w:val="nil"/>
              <w:bottom w:val="nil"/>
            </w:tcBorders>
            <w:noWrap/>
          </w:tcPr>
          <w:p w14:paraId="3C0AE33B" w14:textId="0D7A9689" w:rsidR="00E9385F" w:rsidRPr="008301F2" w:rsidRDefault="00E9385F" w:rsidP="00E9385F">
            <w:pPr>
              <w:pStyle w:val="Tabletext1"/>
            </w:pPr>
            <w:r w:rsidRPr="00263E7E">
              <w:t>$25,381, based on AR-DRG T60A</w:t>
            </w:r>
          </w:p>
        </w:tc>
        <w:tc>
          <w:tcPr>
            <w:tcW w:w="629" w:type="pct"/>
            <w:tcBorders>
              <w:top w:val="nil"/>
              <w:bottom w:val="nil"/>
            </w:tcBorders>
            <w:noWrap/>
          </w:tcPr>
          <w:p w14:paraId="08BC1EC3" w14:textId="45AF5E88" w:rsidR="00E9385F" w:rsidRPr="00982495" w:rsidRDefault="00E9385F" w:rsidP="00E9385F">
            <w:pPr>
              <w:pStyle w:val="Tabletext1"/>
              <w:jc w:val="right"/>
            </w:pPr>
            <w:r w:rsidRPr="00D6502A">
              <w:t>$34,216</w:t>
            </w:r>
          </w:p>
        </w:tc>
        <w:tc>
          <w:tcPr>
            <w:tcW w:w="629" w:type="pct"/>
            <w:tcBorders>
              <w:top w:val="nil"/>
              <w:bottom w:val="nil"/>
            </w:tcBorders>
            <w:noWrap/>
          </w:tcPr>
          <w:p w14:paraId="33F4C787" w14:textId="3591649A" w:rsidR="00E9385F" w:rsidRPr="00982495" w:rsidRDefault="00E9385F" w:rsidP="00E9385F">
            <w:pPr>
              <w:pStyle w:val="Tabletext1"/>
              <w:jc w:val="right"/>
            </w:pPr>
            <w:r w:rsidRPr="00D6502A">
              <w:t>0.4109</w:t>
            </w:r>
          </w:p>
        </w:tc>
        <w:tc>
          <w:tcPr>
            <w:tcW w:w="629" w:type="pct"/>
            <w:tcBorders>
              <w:top w:val="nil"/>
              <w:bottom w:val="nil"/>
            </w:tcBorders>
            <w:noWrap/>
          </w:tcPr>
          <w:p w14:paraId="509751B8" w14:textId="4F6A01CB" w:rsidR="00E9385F" w:rsidRPr="00982495" w:rsidRDefault="00E9385F" w:rsidP="00E9385F">
            <w:pPr>
              <w:pStyle w:val="Tabletext1"/>
              <w:jc w:val="right"/>
            </w:pPr>
            <w:r w:rsidRPr="00D6502A">
              <w:t>$83,268</w:t>
            </w:r>
          </w:p>
        </w:tc>
        <w:tc>
          <w:tcPr>
            <w:tcW w:w="443" w:type="pct"/>
            <w:tcBorders>
              <w:top w:val="nil"/>
              <w:bottom w:val="nil"/>
            </w:tcBorders>
            <w:noWrap/>
          </w:tcPr>
          <w:p w14:paraId="5826EB37" w14:textId="42AC5F2E" w:rsidR="00E9385F" w:rsidRPr="00982495" w:rsidRDefault="00E9385F" w:rsidP="00E9385F">
            <w:pPr>
              <w:pStyle w:val="Tabletext1"/>
              <w:jc w:val="right"/>
            </w:pPr>
            <w:r w:rsidRPr="00D6502A">
              <w:t>–17%</w:t>
            </w:r>
          </w:p>
        </w:tc>
      </w:tr>
      <w:tr w:rsidR="00E9385F" w:rsidRPr="00E86C72" w14:paraId="51DD17A6" w14:textId="77777777" w:rsidTr="008742A1">
        <w:trPr>
          <w:trHeight w:val="300"/>
        </w:trPr>
        <w:tc>
          <w:tcPr>
            <w:tcW w:w="2670" w:type="pct"/>
            <w:tcBorders>
              <w:top w:val="nil"/>
              <w:bottom w:val="single" w:sz="4" w:space="0" w:color="auto"/>
            </w:tcBorders>
            <w:noWrap/>
            <w:hideMark/>
          </w:tcPr>
          <w:p w14:paraId="2EBAA868" w14:textId="67C85673" w:rsidR="00E9385F" w:rsidRPr="00E86C72" w:rsidRDefault="00E9385F" w:rsidP="00E9385F">
            <w:pPr>
              <w:pStyle w:val="Tabletext1"/>
            </w:pPr>
            <w:r w:rsidRPr="00263E7E">
              <w:t>$52,961, based on AR-DRG R01A</w:t>
            </w:r>
          </w:p>
        </w:tc>
        <w:tc>
          <w:tcPr>
            <w:tcW w:w="629" w:type="pct"/>
            <w:tcBorders>
              <w:top w:val="nil"/>
              <w:bottom w:val="single" w:sz="4" w:space="0" w:color="auto"/>
            </w:tcBorders>
            <w:noWrap/>
            <w:hideMark/>
          </w:tcPr>
          <w:p w14:paraId="49DB68EF" w14:textId="5D0F837A" w:rsidR="00E9385F" w:rsidRPr="00E86C72" w:rsidRDefault="00E9385F" w:rsidP="00E9385F">
            <w:pPr>
              <w:pStyle w:val="Tabletext1"/>
              <w:jc w:val="right"/>
            </w:pPr>
            <w:r w:rsidRPr="00D6502A">
              <w:t>$19,349</w:t>
            </w:r>
          </w:p>
        </w:tc>
        <w:tc>
          <w:tcPr>
            <w:tcW w:w="629" w:type="pct"/>
            <w:tcBorders>
              <w:top w:val="nil"/>
              <w:bottom w:val="single" w:sz="4" w:space="0" w:color="auto"/>
            </w:tcBorders>
            <w:noWrap/>
            <w:hideMark/>
          </w:tcPr>
          <w:p w14:paraId="015579C9" w14:textId="5A35BED1" w:rsidR="00E9385F" w:rsidRPr="00E86C72" w:rsidRDefault="00E9385F" w:rsidP="00E9385F">
            <w:pPr>
              <w:pStyle w:val="Tabletext1"/>
              <w:jc w:val="right"/>
            </w:pPr>
            <w:r w:rsidRPr="00D6502A">
              <w:t>0.4109</w:t>
            </w:r>
          </w:p>
        </w:tc>
        <w:tc>
          <w:tcPr>
            <w:tcW w:w="629" w:type="pct"/>
            <w:tcBorders>
              <w:top w:val="nil"/>
              <w:bottom w:val="single" w:sz="4" w:space="0" w:color="auto"/>
            </w:tcBorders>
            <w:noWrap/>
            <w:hideMark/>
          </w:tcPr>
          <w:p w14:paraId="472DC925" w14:textId="50C7478F" w:rsidR="00E9385F" w:rsidRPr="00E86C72" w:rsidRDefault="00E9385F" w:rsidP="00E9385F">
            <w:pPr>
              <w:pStyle w:val="Tabletext1"/>
              <w:jc w:val="right"/>
            </w:pPr>
            <w:r w:rsidRPr="00D6502A">
              <w:t>$47,088</w:t>
            </w:r>
          </w:p>
        </w:tc>
        <w:tc>
          <w:tcPr>
            <w:tcW w:w="443" w:type="pct"/>
            <w:tcBorders>
              <w:top w:val="nil"/>
              <w:bottom w:val="single" w:sz="4" w:space="0" w:color="auto"/>
            </w:tcBorders>
            <w:noWrap/>
            <w:hideMark/>
          </w:tcPr>
          <w:p w14:paraId="428A61F7" w14:textId="114CE998" w:rsidR="00E9385F" w:rsidRPr="00E86C72" w:rsidRDefault="00E9385F" w:rsidP="00E9385F">
            <w:pPr>
              <w:pStyle w:val="Tabletext1"/>
              <w:jc w:val="right"/>
            </w:pPr>
            <w:r w:rsidRPr="00D6502A">
              <w:t>–53%</w:t>
            </w:r>
          </w:p>
        </w:tc>
      </w:tr>
      <w:tr w:rsidR="00E9385F" w:rsidRPr="00E86C72" w14:paraId="35B1FA7B" w14:textId="77777777" w:rsidTr="008742A1">
        <w:trPr>
          <w:trHeight w:val="300"/>
        </w:trPr>
        <w:tc>
          <w:tcPr>
            <w:tcW w:w="2670" w:type="pct"/>
            <w:tcBorders>
              <w:bottom w:val="single" w:sz="4" w:space="0" w:color="auto"/>
              <w:right w:val="nil"/>
            </w:tcBorders>
            <w:noWrap/>
            <w:hideMark/>
          </w:tcPr>
          <w:p w14:paraId="29E109C2" w14:textId="77777777" w:rsidR="00E9385F" w:rsidRPr="00E86C72" w:rsidRDefault="00E9385F" w:rsidP="00E9385F">
            <w:pPr>
              <w:pStyle w:val="Tabletext1"/>
            </w:pPr>
            <w:r w:rsidRPr="008301F2">
              <w:t>Cost of treating non-serious infections (base case: $184)</w:t>
            </w:r>
          </w:p>
        </w:tc>
        <w:tc>
          <w:tcPr>
            <w:tcW w:w="629" w:type="pct"/>
            <w:tcBorders>
              <w:left w:val="nil"/>
              <w:bottom w:val="single" w:sz="4" w:space="0" w:color="auto"/>
              <w:right w:val="nil"/>
            </w:tcBorders>
            <w:noWrap/>
            <w:hideMark/>
          </w:tcPr>
          <w:p w14:paraId="394011C6" w14:textId="4EAA22B1" w:rsidR="00E9385F" w:rsidRPr="00E86C72" w:rsidRDefault="00E9385F" w:rsidP="00E9385F">
            <w:pPr>
              <w:pStyle w:val="Tabletext1"/>
              <w:jc w:val="right"/>
            </w:pPr>
          </w:p>
        </w:tc>
        <w:tc>
          <w:tcPr>
            <w:tcW w:w="629" w:type="pct"/>
            <w:tcBorders>
              <w:left w:val="nil"/>
              <w:bottom w:val="single" w:sz="4" w:space="0" w:color="auto"/>
              <w:right w:val="nil"/>
            </w:tcBorders>
            <w:noWrap/>
            <w:hideMark/>
          </w:tcPr>
          <w:p w14:paraId="69F6988B" w14:textId="7001BC29" w:rsidR="00E9385F" w:rsidRPr="00E86C72" w:rsidRDefault="00E9385F" w:rsidP="00E9385F">
            <w:pPr>
              <w:pStyle w:val="Tabletext1"/>
              <w:jc w:val="right"/>
            </w:pPr>
          </w:p>
        </w:tc>
        <w:tc>
          <w:tcPr>
            <w:tcW w:w="629" w:type="pct"/>
            <w:tcBorders>
              <w:left w:val="nil"/>
              <w:bottom w:val="single" w:sz="4" w:space="0" w:color="auto"/>
              <w:right w:val="nil"/>
            </w:tcBorders>
            <w:noWrap/>
            <w:hideMark/>
          </w:tcPr>
          <w:p w14:paraId="3446EE81" w14:textId="0D9C6543" w:rsidR="00E9385F" w:rsidRPr="00E86C72" w:rsidRDefault="00E9385F" w:rsidP="00E9385F">
            <w:pPr>
              <w:pStyle w:val="Tabletext1"/>
              <w:jc w:val="right"/>
            </w:pPr>
          </w:p>
        </w:tc>
        <w:tc>
          <w:tcPr>
            <w:tcW w:w="443" w:type="pct"/>
            <w:tcBorders>
              <w:left w:val="nil"/>
              <w:bottom w:val="single" w:sz="4" w:space="0" w:color="auto"/>
            </w:tcBorders>
            <w:noWrap/>
            <w:hideMark/>
          </w:tcPr>
          <w:p w14:paraId="203894D2" w14:textId="43E57243" w:rsidR="00E9385F" w:rsidRPr="00E86C72" w:rsidRDefault="00E9385F" w:rsidP="00E9385F">
            <w:pPr>
              <w:pStyle w:val="Tabletext1"/>
              <w:jc w:val="right"/>
            </w:pPr>
          </w:p>
        </w:tc>
      </w:tr>
      <w:tr w:rsidR="00E9385F" w:rsidRPr="00E86C72" w14:paraId="7E6E088C" w14:textId="77777777" w:rsidTr="008742A1">
        <w:trPr>
          <w:trHeight w:val="300"/>
        </w:trPr>
        <w:tc>
          <w:tcPr>
            <w:tcW w:w="2670" w:type="pct"/>
            <w:tcBorders>
              <w:bottom w:val="nil"/>
            </w:tcBorders>
            <w:noWrap/>
            <w:hideMark/>
          </w:tcPr>
          <w:p w14:paraId="07E31163" w14:textId="77777777" w:rsidR="00E9385F" w:rsidRPr="00E86C72" w:rsidRDefault="00E9385F" w:rsidP="00E9385F">
            <w:pPr>
              <w:pStyle w:val="Tabletext1"/>
            </w:pPr>
            <w:r w:rsidRPr="008301F2">
              <w:t>$92 (i.e. −50%)</w:t>
            </w:r>
          </w:p>
        </w:tc>
        <w:tc>
          <w:tcPr>
            <w:tcW w:w="629" w:type="pct"/>
            <w:tcBorders>
              <w:bottom w:val="nil"/>
            </w:tcBorders>
            <w:noWrap/>
            <w:hideMark/>
          </w:tcPr>
          <w:p w14:paraId="2D1EA821" w14:textId="24D3D116" w:rsidR="00E9385F" w:rsidRPr="00E86C72" w:rsidRDefault="00E9385F" w:rsidP="00E9385F">
            <w:pPr>
              <w:pStyle w:val="Tabletext1"/>
              <w:jc w:val="right"/>
            </w:pPr>
            <w:r w:rsidRPr="00D6502A">
              <w:t>$41,334</w:t>
            </w:r>
          </w:p>
        </w:tc>
        <w:tc>
          <w:tcPr>
            <w:tcW w:w="629" w:type="pct"/>
            <w:tcBorders>
              <w:bottom w:val="nil"/>
            </w:tcBorders>
            <w:noWrap/>
            <w:hideMark/>
          </w:tcPr>
          <w:p w14:paraId="0C24D76D" w14:textId="1B5EE2F2" w:rsidR="00E9385F" w:rsidRPr="00E86C72" w:rsidRDefault="00E9385F" w:rsidP="00E9385F">
            <w:pPr>
              <w:pStyle w:val="Tabletext1"/>
              <w:jc w:val="right"/>
            </w:pPr>
            <w:r w:rsidRPr="00D6502A">
              <w:t>0.4109</w:t>
            </w:r>
          </w:p>
        </w:tc>
        <w:tc>
          <w:tcPr>
            <w:tcW w:w="629" w:type="pct"/>
            <w:tcBorders>
              <w:bottom w:val="nil"/>
            </w:tcBorders>
            <w:noWrap/>
            <w:hideMark/>
          </w:tcPr>
          <w:p w14:paraId="7C69377A" w14:textId="6D090185" w:rsidR="00E9385F" w:rsidRPr="00E86C72" w:rsidRDefault="00E9385F" w:rsidP="00E9385F">
            <w:pPr>
              <w:pStyle w:val="Tabletext1"/>
              <w:jc w:val="right"/>
            </w:pPr>
            <w:r w:rsidRPr="00D6502A">
              <w:t>$100,589</w:t>
            </w:r>
          </w:p>
        </w:tc>
        <w:tc>
          <w:tcPr>
            <w:tcW w:w="443" w:type="pct"/>
            <w:tcBorders>
              <w:bottom w:val="nil"/>
            </w:tcBorders>
            <w:noWrap/>
            <w:hideMark/>
          </w:tcPr>
          <w:p w14:paraId="6B823D14" w14:textId="69C0914C" w:rsidR="00E9385F" w:rsidRPr="00E86C72" w:rsidRDefault="00E9385F" w:rsidP="00E9385F">
            <w:pPr>
              <w:pStyle w:val="Tabletext1"/>
              <w:jc w:val="right"/>
            </w:pPr>
            <w:r w:rsidRPr="00D6502A">
              <w:t>1%</w:t>
            </w:r>
          </w:p>
        </w:tc>
      </w:tr>
      <w:tr w:rsidR="00E9385F" w:rsidRPr="00E86C72" w14:paraId="2A4DD471" w14:textId="77777777" w:rsidTr="008742A1">
        <w:trPr>
          <w:trHeight w:val="300"/>
        </w:trPr>
        <w:tc>
          <w:tcPr>
            <w:tcW w:w="2670" w:type="pct"/>
            <w:tcBorders>
              <w:top w:val="nil"/>
              <w:bottom w:val="single" w:sz="4" w:space="0" w:color="auto"/>
            </w:tcBorders>
            <w:noWrap/>
            <w:hideMark/>
          </w:tcPr>
          <w:p w14:paraId="5E4ACC6F" w14:textId="77777777" w:rsidR="00E9385F" w:rsidRPr="00E86C72" w:rsidRDefault="00E9385F" w:rsidP="00E9385F">
            <w:pPr>
              <w:pStyle w:val="Tabletext1"/>
            </w:pPr>
            <w:r w:rsidRPr="008301F2">
              <w:t>$276 (i.e. +50%)</w:t>
            </w:r>
          </w:p>
        </w:tc>
        <w:tc>
          <w:tcPr>
            <w:tcW w:w="629" w:type="pct"/>
            <w:tcBorders>
              <w:top w:val="nil"/>
              <w:bottom w:val="single" w:sz="4" w:space="0" w:color="auto"/>
            </w:tcBorders>
            <w:noWrap/>
            <w:hideMark/>
          </w:tcPr>
          <w:p w14:paraId="7691959D" w14:textId="0D8C44EE" w:rsidR="00E9385F" w:rsidRPr="00E86C72" w:rsidRDefault="00E9385F" w:rsidP="00E9385F">
            <w:pPr>
              <w:pStyle w:val="Tabletext1"/>
              <w:jc w:val="right"/>
            </w:pPr>
            <w:r w:rsidRPr="00D6502A">
              <w:t>$40,687</w:t>
            </w:r>
          </w:p>
        </w:tc>
        <w:tc>
          <w:tcPr>
            <w:tcW w:w="629" w:type="pct"/>
            <w:tcBorders>
              <w:top w:val="nil"/>
              <w:bottom w:val="single" w:sz="4" w:space="0" w:color="auto"/>
            </w:tcBorders>
            <w:noWrap/>
            <w:hideMark/>
          </w:tcPr>
          <w:p w14:paraId="4A259954" w14:textId="6D3018B7" w:rsidR="00E9385F" w:rsidRPr="00E86C72" w:rsidRDefault="00E9385F" w:rsidP="00E9385F">
            <w:pPr>
              <w:pStyle w:val="Tabletext1"/>
              <w:jc w:val="right"/>
            </w:pPr>
            <w:r w:rsidRPr="00D6502A">
              <w:t>0.4109</w:t>
            </w:r>
          </w:p>
        </w:tc>
        <w:tc>
          <w:tcPr>
            <w:tcW w:w="629" w:type="pct"/>
            <w:tcBorders>
              <w:top w:val="nil"/>
              <w:bottom w:val="single" w:sz="4" w:space="0" w:color="auto"/>
            </w:tcBorders>
            <w:noWrap/>
            <w:hideMark/>
          </w:tcPr>
          <w:p w14:paraId="1F77F792" w14:textId="593D0A71" w:rsidR="00E9385F" w:rsidRPr="00E86C72" w:rsidRDefault="00E9385F" w:rsidP="00E9385F">
            <w:pPr>
              <w:pStyle w:val="Tabletext1"/>
              <w:jc w:val="right"/>
            </w:pPr>
            <w:r w:rsidRPr="00D6502A">
              <w:t>$99,016</w:t>
            </w:r>
          </w:p>
        </w:tc>
        <w:tc>
          <w:tcPr>
            <w:tcW w:w="443" w:type="pct"/>
            <w:tcBorders>
              <w:top w:val="nil"/>
              <w:bottom w:val="single" w:sz="4" w:space="0" w:color="auto"/>
            </w:tcBorders>
            <w:noWrap/>
            <w:hideMark/>
          </w:tcPr>
          <w:p w14:paraId="58615D86" w14:textId="5DDA9CAD" w:rsidR="00E9385F" w:rsidRPr="00E86C72" w:rsidRDefault="00E9385F" w:rsidP="00E9385F">
            <w:pPr>
              <w:pStyle w:val="Tabletext1"/>
              <w:jc w:val="right"/>
            </w:pPr>
            <w:r w:rsidRPr="00D6502A">
              <w:t>–1%</w:t>
            </w:r>
          </w:p>
        </w:tc>
      </w:tr>
      <w:tr w:rsidR="00E9385F" w:rsidRPr="00E86C72" w14:paraId="5BE8BFDA" w14:textId="77777777" w:rsidTr="008742A1">
        <w:trPr>
          <w:trHeight w:val="300"/>
        </w:trPr>
        <w:tc>
          <w:tcPr>
            <w:tcW w:w="2670" w:type="pct"/>
            <w:tcBorders>
              <w:bottom w:val="single" w:sz="4" w:space="0" w:color="auto"/>
              <w:right w:val="nil"/>
            </w:tcBorders>
            <w:noWrap/>
            <w:hideMark/>
          </w:tcPr>
          <w:p w14:paraId="06DBC913" w14:textId="77777777" w:rsidR="00E9385F" w:rsidRPr="00E86C72" w:rsidRDefault="00E9385F" w:rsidP="00E9385F">
            <w:pPr>
              <w:pStyle w:val="Tabletext1"/>
            </w:pPr>
            <w:r w:rsidRPr="008301F2">
              <w:t>Cost of serious bronchiectasis infections (base case: $9,143)</w:t>
            </w:r>
          </w:p>
        </w:tc>
        <w:tc>
          <w:tcPr>
            <w:tcW w:w="629" w:type="pct"/>
            <w:tcBorders>
              <w:left w:val="nil"/>
              <w:bottom w:val="single" w:sz="4" w:space="0" w:color="auto"/>
              <w:right w:val="nil"/>
            </w:tcBorders>
            <w:noWrap/>
            <w:hideMark/>
          </w:tcPr>
          <w:p w14:paraId="38BD7F19" w14:textId="26B99288" w:rsidR="00E9385F" w:rsidRPr="00E86C72" w:rsidRDefault="00E9385F" w:rsidP="00E9385F">
            <w:pPr>
              <w:pStyle w:val="Tabletext1"/>
              <w:jc w:val="right"/>
            </w:pPr>
          </w:p>
        </w:tc>
        <w:tc>
          <w:tcPr>
            <w:tcW w:w="629" w:type="pct"/>
            <w:tcBorders>
              <w:left w:val="nil"/>
              <w:bottom w:val="single" w:sz="4" w:space="0" w:color="auto"/>
              <w:right w:val="nil"/>
            </w:tcBorders>
            <w:noWrap/>
            <w:hideMark/>
          </w:tcPr>
          <w:p w14:paraId="58C1A777" w14:textId="383744A6" w:rsidR="00E9385F" w:rsidRPr="00E86C72" w:rsidRDefault="00E9385F" w:rsidP="00E9385F">
            <w:pPr>
              <w:pStyle w:val="Tabletext1"/>
              <w:jc w:val="right"/>
            </w:pPr>
          </w:p>
        </w:tc>
        <w:tc>
          <w:tcPr>
            <w:tcW w:w="629" w:type="pct"/>
            <w:tcBorders>
              <w:left w:val="nil"/>
              <w:bottom w:val="single" w:sz="4" w:space="0" w:color="auto"/>
              <w:right w:val="nil"/>
            </w:tcBorders>
            <w:noWrap/>
            <w:hideMark/>
          </w:tcPr>
          <w:p w14:paraId="184261B7" w14:textId="3B515498" w:rsidR="00E9385F" w:rsidRPr="00E86C72" w:rsidRDefault="00E9385F" w:rsidP="00E9385F">
            <w:pPr>
              <w:pStyle w:val="Tabletext1"/>
              <w:jc w:val="right"/>
            </w:pPr>
          </w:p>
        </w:tc>
        <w:tc>
          <w:tcPr>
            <w:tcW w:w="443" w:type="pct"/>
            <w:tcBorders>
              <w:left w:val="nil"/>
              <w:bottom w:val="single" w:sz="4" w:space="0" w:color="auto"/>
            </w:tcBorders>
            <w:noWrap/>
            <w:hideMark/>
          </w:tcPr>
          <w:p w14:paraId="45AB6905" w14:textId="3A271F37" w:rsidR="00E9385F" w:rsidRPr="00E86C72" w:rsidRDefault="00E9385F" w:rsidP="00E9385F">
            <w:pPr>
              <w:pStyle w:val="Tabletext1"/>
              <w:jc w:val="right"/>
            </w:pPr>
          </w:p>
        </w:tc>
      </w:tr>
      <w:tr w:rsidR="00E9385F" w:rsidRPr="00E86C72" w14:paraId="5F0A291F" w14:textId="77777777" w:rsidTr="008742A1">
        <w:trPr>
          <w:trHeight w:val="300"/>
        </w:trPr>
        <w:tc>
          <w:tcPr>
            <w:tcW w:w="2670" w:type="pct"/>
            <w:tcBorders>
              <w:bottom w:val="nil"/>
            </w:tcBorders>
            <w:noWrap/>
            <w:hideMark/>
          </w:tcPr>
          <w:p w14:paraId="0B1502A3" w14:textId="77777777" w:rsidR="00E9385F" w:rsidRPr="00E86C72" w:rsidRDefault="00E9385F" w:rsidP="00E9385F">
            <w:pPr>
              <w:pStyle w:val="Tabletext1"/>
            </w:pPr>
            <w:r w:rsidRPr="008301F2">
              <w:t>$4,572 (i.e. −50%)</w:t>
            </w:r>
          </w:p>
        </w:tc>
        <w:tc>
          <w:tcPr>
            <w:tcW w:w="629" w:type="pct"/>
            <w:tcBorders>
              <w:bottom w:val="nil"/>
            </w:tcBorders>
            <w:noWrap/>
            <w:hideMark/>
          </w:tcPr>
          <w:p w14:paraId="4012E508" w14:textId="15C682CB" w:rsidR="00E9385F" w:rsidRPr="00E86C72" w:rsidRDefault="00E9385F" w:rsidP="00E9385F">
            <w:pPr>
              <w:pStyle w:val="Tabletext1"/>
              <w:jc w:val="right"/>
            </w:pPr>
            <w:r w:rsidRPr="00D6502A">
              <w:t>$43,017</w:t>
            </w:r>
          </w:p>
        </w:tc>
        <w:tc>
          <w:tcPr>
            <w:tcW w:w="629" w:type="pct"/>
            <w:tcBorders>
              <w:bottom w:val="nil"/>
            </w:tcBorders>
            <w:noWrap/>
            <w:hideMark/>
          </w:tcPr>
          <w:p w14:paraId="2FE93821" w14:textId="3CA9752E" w:rsidR="00E9385F" w:rsidRPr="00E86C72" w:rsidRDefault="00E9385F" w:rsidP="00E9385F">
            <w:pPr>
              <w:pStyle w:val="Tabletext1"/>
              <w:jc w:val="right"/>
            </w:pPr>
            <w:r w:rsidRPr="00D6502A">
              <w:t>0.4109</w:t>
            </w:r>
          </w:p>
        </w:tc>
        <w:tc>
          <w:tcPr>
            <w:tcW w:w="629" w:type="pct"/>
            <w:tcBorders>
              <w:bottom w:val="nil"/>
            </w:tcBorders>
            <w:noWrap/>
            <w:hideMark/>
          </w:tcPr>
          <w:p w14:paraId="211B03C3" w14:textId="7B94753E" w:rsidR="00E9385F" w:rsidRPr="00E86C72" w:rsidRDefault="00E9385F" w:rsidP="00E9385F">
            <w:pPr>
              <w:pStyle w:val="Tabletext1"/>
              <w:jc w:val="right"/>
            </w:pPr>
            <w:r w:rsidRPr="00D6502A">
              <w:t>$104,685</w:t>
            </w:r>
          </w:p>
        </w:tc>
        <w:tc>
          <w:tcPr>
            <w:tcW w:w="443" w:type="pct"/>
            <w:tcBorders>
              <w:bottom w:val="nil"/>
            </w:tcBorders>
            <w:noWrap/>
            <w:hideMark/>
          </w:tcPr>
          <w:p w14:paraId="246C050A" w14:textId="6690FA29" w:rsidR="00E9385F" w:rsidRPr="00E86C72" w:rsidRDefault="00E9385F" w:rsidP="00E9385F">
            <w:pPr>
              <w:pStyle w:val="Tabletext1"/>
              <w:jc w:val="right"/>
            </w:pPr>
            <w:r w:rsidRPr="00D6502A">
              <w:t>5%</w:t>
            </w:r>
          </w:p>
        </w:tc>
      </w:tr>
      <w:tr w:rsidR="00E9385F" w:rsidRPr="00E86C72" w14:paraId="0BBAFB49" w14:textId="77777777" w:rsidTr="008742A1">
        <w:trPr>
          <w:trHeight w:val="300"/>
        </w:trPr>
        <w:tc>
          <w:tcPr>
            <w:tcW w:w="2670" w:type="pct"/>
            <w:tcBorders>
              <w:top w:val="nil"/>
              <w:bottom w:val="single" w:sz="4" w:space="0" w:color="auto"/>
            </w:tcBorders>
            <w:noWrap/>
            <w:hideMark/>
          </w:tcPr>
          <w:p w14:paraId="23D877F5" w14:textId="77777777" w:rsidR="00E9385F" w:rsidRPr="00E86C72" w:rsidRDefault="00E9385F" w:rsidP="00E9385F">
            <w:pPr>
              <w:pStyle w:val="Tabletext1"/>
            </w:pPr>
            <w:r w:rsidRPr="008301F2">
              <w:t>$13,715 (i.e. +50%)</w:t>
            </w:r>
          </w:p>
        </w:tc>
        <w:tc>
          <w:tcPr>
            <w:tcW w:w="629" w:type="pct"/>
            <w:tcBorders>
              <w:top w:val="nil"/>
              <w:bottom w:val="single" w:sz="4" w:space="0" w:color="auto"/>
            </w:tcBorders>
            <w:noWrap/>
            <w:hideMark/>
          </w:tcPr>
          <w:p w14:paraId="427EC8D9" w14:textId="0962C104" w:rsidR="00E9385F" w:rsidRPr="00E86C72" w:rsidRDefault="00E9385F" w:rsidP="00E9385F">
            <w:pPr>
              <w:pStyle w:val="Tabletext1"/>
              <w:jc w:val="right"/>
            </w:pPr>
            <w:r w:rsidRPr="00D6502A">
              <w:t>$39,005</w:t>
            </w:r>
          </w:p>
        </w:tc>
        <w:tc>
          <w:tcPr>
            <w:tcW w:w="629" w:type="pct"/>
            <w:tcBorders>
              <w:top w:val="nil"/>
              <w:bottom w:val="single" w:sz="4" w:space="0" w:color="auto"/>
            </w:tcBorders>
            <w:noWrap/>
            <w:hideMark/>
          </w:tcPr>
          <w:p w14:paraId="14EBF451" w14:textId="4ED6B6A0" w:rsidR="00E9385F" w:rsidRPr="00E86C72" w:rsidRDefault="00E9385F" w:rsidP="00E9385F">
            <w:pPr>
              <w:pStyle w:val="Tabletext1"/>
              <w:jc w:val="right"/>
            </w:pPr>
            <w:r w:rsidRPr="00D6502A">
              <w:t>0.4109</w:t>
            </w:r>
          </w:p>
        </w:tc>
        <w:tc>
          <w:tcPr>
            <w:tcW w:w="629" w:type="pct"/>
            <w:tcBorders>
              <w:top w:val="nil"/>
              <w:bottom w:val="single" w:sz="4" w:space="0" w:color="auto"/>
            </w:tcBorders>
            <w:noWrap/>
            <w:hideMark/>
          </w:tcPr>
          <w:p w14:paraId="3B0885D7" w14:textId="2C9362BD" w:rsidR="00E9385F" w:rsidRPr="00E86C72" w:rsidRDefault="00E9385F" w:rsidP="00E9385F">
            <w:pPr>
              <w:pStyle w:val="Tabletext1"/>
              <w:jc w:val="right"/>
            </w:pPr>
            <w:r w:rsidRPr="00D6502A">
              <w:t>$94,921</w:t>
            </w:r>
          </w:p>
        </w:tc>
        <w:tc>
          <w:tcPr>
            <w:tcW w:w="443" w:type="pct"/>
            <w:tcBorders>
              <w:top w:val="nil"/>
              <w:bottom w:val="single" w:sz="4" w:space="0" w:color="auto"/>
            </w:tcBorders>
            <w:noWrap/>
            <w:hideMark/>
          </w:tcPr>
          <w:p w14:paraId="51036EB5" w14:textId="32EFB8D6" w:rsidR="00E9385F" w:rsidRPr="00E86C72" w:rsidRDefault="00E9385F" w:rsidP="00E9385F">
            <w:pPr>
              <w:pStyle w:val="Tabletext1"/>
              <w:jc w:val="right"/>
            </w:pPr>
            <w:r w:rsidRPr="00D6502A">
              <w:t>–5%</w:t>
            </w:r>
          </w:p>
        </w:tc>
      </w:tr>
      <w:tr w:rsidR="00E9385F" w:rsidRPr="00E86C72" w14:paraId="4E5D0655" w14:textId="77777777" w:rsidTr="008742A1">
        <w:trPr>
          <w:trHeight w:val="300"/>
        </w:trPr>
        <w:tc>
          <w:tcPr>
            <w:tcW w:w="2670" w:type="pct"/>
            <w:tcBorders>
              <w:bottom w:val="single" w:sz="4" w:space="0" w:color="auto"/>
              <w:right w:val="nil"/>
            </w:tcBorders>
            <w:noWrap/>
            <w:hideMark/>
          </w:tcPr>
          <w:p w14:paraId="1F46D7B8" w14:textId="77777777" w:rsidR="00E9385F" w:rsidRPr="00E86C72" w:rsidRDefault="00E9385F" w:rsidP="00E9385F">
            <w:pPr>
              <w:pStyle w:val="Tabletext1"/>
            </w:pPr>
            <w:r w:rsidRPr="00E86C72">
              <w:t xml:space="preserve">Cost per week in the </w:t>
            </w:r>
            <w:r w:rsidRPr="00906DAB">
              <w:rPr>
                <w:i/>
              </w:rPr>
              <w:t>P. aeruginosa</w:t>
            </w:r>
            <w:r w:rsidRPr="00E86C72">
              <w:t xml:space="preserve"> health state (base case: $1,322)</w:t>
            </w:r>
          </w:p>
        </w:tc>
        <w:tc>
          <w:tcPr>
            <w:tcW w:w="629" w:type="pct"/>
            <w:tcBorders>
              <w:left w:val="nil"/>
              <w:bottom w:val="single" w:sz="4" w:space="0" w:color="auto"/>
              <w:right w:val="nil"/>
            </w:tcBorders>
            <w:noWrap/>
            <w:hideMark/>
          </w:tcPr>
          <w:p w14:paraId="7BCE6A28" w14:textId="3192B978" w:rsidR="00E9385F" w:rsidRPr="00E86C72" w:rsidRDefault="00E9385F" w:rsidP="00E9385F">
            <w:pPr>
              <w:pStyle w:val="Tabletext1"/>
              <w:jc w:val="right"/>
            </w:pPr>
          </w:p>
        </w:tc>
        <w:tc>
          <w:tcPr>
            <w:tcW w:w="629" w:type="pct"/>
            <w:tcBorders>
              <w:left w:val="nil"/>
              <w:bottom w:val="single" w:sz="4" w:space="0" w:color="auto"/>
              <w:right w:val="nil"/>
            </w:tcBorders>
            <w:noWrap/>
            <w:hideMark/>
          </w:tcPr>
          <w:p w14:paraId="38CB8934" w14:textId="64E1EE42" w:rsidR="00E9385F" w:rsidRPr="00E86C72" w:rsidRDefault="00E9385F" w:rsidP="00E9385F">
            <w:pPr>
              <w:pStyle w:val="Tabletext1"/>
              <w:jc w:val="right"/>
            </w:pPr>
          </w:p>
        </w:tc>
        <w:tc>
          <w:tcPr>
            <w:tcW w:w="629" w:type="pct"/>
            <w:tcBorders>
              <w:left w:val="nil"/>
              <w:bottom w:val="single" w:sz="4" w:space="0" w:color="auto"/>
              <w:right w:val="nil"/>
            </w:tcBorders>
            <w:noWrap/>
            <w:hideMark/>
          </w:tcPr>
          <w:p w14:paraId="735B4F5A" w14:textId="4A7E469F" w:rsidR="00E9385F" w:rsidRPr="00E86C72" w:rsidRDefault="00E9385F" w:rsidP="00E9385F">
            <w:pPr>
              <w:pStyle w:val="Tabletext1"/>
              <w:jc w:val="right"/>
            </w:pPr>
          </w:p>
        </w:tc>
        <w:tc>
          <w:tcPr>
            <w:tcW w:w="443" w:type="pct"/>
            <w:tcBorders>
              <w:left w:val="nil"/>
              <w:bottom w:val="single" w:sz="4" w:space="0" w:color="auto"/>
            </w:tcBorders>
            <w:noWrap/>
            <w:hideMark/>
          </w:tcPr>
          <w:p w14:paraId="11002A22" w14:textId="69682A22" w:rsidR="00E9385F" w:rsidRPr="00E86C72" w:rsidRDefault="00E9385F" w:rsidP="00E9385F">
            <w:pPr>
              <w:pStyle w:val="Tabletext1"/>
              <w:jc w:val="right"/>
            </w:pPr>
          </w:p>
        </w:tc>
      </w:tr>
      <w:tr w:rsidR="00E9385F" w:rsidRPr="00E86C72" w14:paraId="792E92A6" w14:textId="77777777" w:rsidTr="008742A1">
        <w:trPr>
          <w:trHeight w:val="300"/>
        </w:trPr>
        <w:tc>
          <w:tcPr>
            <w:tcW w:w="2670" w:type="pct"/>
            <w:tcBorders>
              <w:bottom w:val="nil"/>
            </w:tcBorders>
            <w:noWrap/>
            <w:hideMark/>
          </w:tcPr>
          <w:p w14:paraId="61C8DC9E" w14:textId="77777777" w:rsidR="00E9385F" w:rsidRPr="00E86C72" w:rsidRDefault="00E9385F" w:rsidP="00E9385F">
            <w:pPr>
              <w:pStyle w:val="Tabletext1"/>
            </w:pPr>
            <w:r w:rsidRPr="00E86C72">
              <w:t>$661 (i.e. −50%)</w:t>
            </w:r>
          </w:p>
        </w:tc>
        <w:tc>
          <w:tcPr>
            <w:tcW w:w="629" w:type="pct"/>
            <w:tcBorders>
              <w:bottom w:val="nil"/>
            </w:tcBorders>
            <w:noWrap/>
            <w:hideMark/>
          </w:tcPr>
          <w:p w14:paraId="71C48F42" w14:textId="2D3FAD8D" w:rsidR="00E9385F" w:rsidRPr="00E86C72" w:rsidRDefault="00E9385F" w:rsidP="00E9385F">
            <w:pPr>
              <w:pStyle w:val="Tabletext1"/>
              <w:jc w:val="right"/>
            </w:pPr>
            <w:r w:rsidRPr="00D6502A">
              <w:t>$47,109</w:t>
            </w:r>
          </w:p>
        </w:tc>
        <w:tc>
          <w:tcPr>
            <w:tcW w:w="629" w:type="pct"/>
            <w:tcBorders>
              <w:bottom w:val="nil"/>
            </w:tcBorders>
            <w:noWrap/>
            <w:hideMark/>
          </w:tcPr>
          <w:p w14:paraId="1CB8CC77" w14:textId="20352994" w:rsidR="00E9385F" w:rsidRPr="00E86C72" w:rsidRDefault="00E9385F" w:rsidP="00E9385F">
            <w:pPr>
              <w:pStyle w:val="Tabletext1"/>
              <w:jc w:val="right"/>
            </w:pPr>
            <w:r w:rsidRPr="00D6502A">
              <w:t>0.4109</w:t>
            </w:r>
          </w:p>
        </w:tc>
        <w:tc>
          <w:tcPr>
            <w:tcW w:w="629" w:type="pct"/>
            <w:tcBorders>
              <w:bottom w:val="nil"/>
            </w:tcBorders>
            <w:noWrap/>
            <w:hideMark/>
          </w:tcPr>
          <w:p w14:paraId="7888C3E0" w14:textId="7EF1B93C" w:rsidR="00E9385F" w:rsidRPr="00E86C72" w:rsidRDefault="00E9385F" w:rsidP="00E9385F">
            <w:pPr>
              <w:pStyle w:val="Tabletext1"/>
              <w:jc w:val="right"/>
            </w:pPr>
            <w:r w:rsidRPr="00D6502A">
              <w:t>$114,644</w:t>
            </w:r>
          </w:p>
        </w:tc>
        <w:tc>
          <w:tcPr>
            <w:tcW w:w="443" w:type="pct"/>
            <w:tcBorders>
              <w:bottom w:val="nil"/>
            </w:tcBorders>
            <w:noWrap/>
            <w:hideMark/>
          </w:tcPr>
          <w:p w14:paraId="31CF4FA1" w14:textId="1A5C29C9" w:rsidR="00E9385F" w:rsidRPr="00E86C72" w:rsidRDefault="00E9385F" w:rsidP="00E9385F">
            <w:pPr>
              <w:pStyle w:val="Tabletext1"/>
              <w:jc w:val="right"/>
            </w:pPr>
            <w:r w:rsidRPr="00D6502A">
              <w:t>15%</w:t>
            </w:r>
          </w:p>
        </w:tc>
      </w:tr>
      <w:tr w:rsidR="00E9385F" w:rsidRPr="00E86C72" w14:paraId="4F40AD33" w14:textId="77777777" w:rsidTr="008742A1">
        <w:trPr>
          <w:trHeight w:val="300"/>
        </w:trPr>
        <w:tc>
          <w:tcPr>
            <w:tcW w:w="2670" w:type="pct"/>
            <w:tcBorders>
              <w:top w:val="nil"/>
              <w:bottom w:val="single" w:sz="4" w:space="0" w:color="auto"/>
            </w:tcBorders>
            <w:noWrap/>
            <w:hideMark/>
          </w:tcPr>
          <w:p w14:paraId="0ABCEF3B" w14:textId="77777777" w:rsidR="00E9385F" w:rsidRPr="00E86C72" w:rsidRDefault="00E9385F" w:rsidP="00E9385F">
            <w:pPr>
              <w:pStyle w:val="Tabletext1"/>
            </w:pPr>
            <w:r w:rsidRPr="00E86C72">
              <w:t>$1,983 (i.e. +50%)</w:t>
            </w:r>
          </w:p>
        </w:tc>
        <w:tc>
          <w:tcPr>
            <w:tcW w:w="629" w:type="pct"/>
            <w:tcBorders>
              <w:top w:val="nil"/>
              <w:bottom w:val="single" w:sz="4" w:space="0" w:color="auto"/>
            </w:tcBorders>
            <w:noWrap/>
            <w:hideMark/>
          </w:tcPr>
          <w:p w14:paraId="0D3266E7" w14:textId="5CBBC894" w:rsidR="00E9385F" w:rsidRPr="00E86C72" w:rsidRDefault="00E9385F" w:rsidP="00E9385F">
            <w:pPr>
              <w:pStyle w:val="Tabletext1"/>
              <w:jc w:val="right"/>
            </w:pPr>
            <w:r w:rsidRPr="00D6502A">
              <w:t>$34,912</w:t>
            </w:r>
          </w:p>
        </w:tc>
        <w:tc>
          <w:tcPr>
            <w:tcW w:w="629" w:type="pct"/>
            <w:tcBorders>
              <w:top w:val="nil"/>
              <w:bottom w:val="single" w:sz="4" w:space="0" w:color="auto"/>
            </w:tcBorders>
            <w:noWrap/>
            <w:hideMark/>
          </w:tcPr>
          <w:p w14:paraId="61A275CC" w14:textId="44BE350E" w:rsidR="00E9385F" w:rsidRPr="00E86C72" w:rsidRDefault="00E9385F" w:rsidP="00E9385F">
            <w:pPr>
              <w:pStyle w:val="Tabletext1"/>
              <w:jc w:val="right"/>
            </w:pPr>
            <w:r w:rsidRPr="00D6502A">
              <w:t>0.4109</w:t>
            </w:r>
          </w:p>
        </w:tc>
        <w:tc>
          <w:tcPr>
            <w:tcW w:w="629" w:type="pct"/>
            <w:tcBorders>
              <w:top w:val="nil"/>
              <w:bottom w:val="single" w:sz="4" w:space="0" w:color="auto"/>
            </w:tcBorders>
            <w:noWrap/>
            <w:hideMark/>
          </w:tcPr>
          <w:p w14:paraId="308DF0B2" w14:textId="2B0AB753" w:rsidR="00E9385F" w:rsidRPr="00E86C72" w:rsidRDefault="00E9385F" w:rsidP="00E9385F">
            <w:pPr>
              <w:pStyle w:val="Tabletext1"/>
              <w:jc w:val="right"/>
            </w:pPr>
            <w:r w:rsidRPr="00D6502A">
              <w:t>$84,962</w:t>
            </w:r>
          </w:p>
        </w:tc>
        <w:tc>
          <w:tcPr>
            <w:tcW w:w="443" w:type="pct"/>
            <w:tcBorders>
              <w:top w:val="nil"/>
              <w:bottom w:val="single" w:sz="4" w:space="0" w:color="auto"/>
            </w:tcBorders>
            <w:noWrap/>
            <w:hideMark/>
          </w:tcPr>
          <w:p w14:paraId="5057B17B" w14:textId="5527B1A9" w:rsidR="00E9385F" w:rsidRPr="00E86C72" w:rsidRDefault="00E9385F" w:rsidP="00E9385F">
            <w:pPr>
              <w:pStyle w:val="Tabletext1"/>
              <w:jc w:val="right"/>
            </w:pPr>
            <w:r w:rsidRPr="00D6502A">
              <w:t>–15%</w:t>
            </w:r>
          </w:p>
        </w:tc>
      </w:tr>
      <w:tr w:rsidR="00E9385F" w:rsidRPr="00E86C72" w14:paraId="4A260358" w14:textId="77777777" w:rsidTr="008742A1">
        <w:trPr>
          <w:trHeight w:val="300"/>
        </w:trPr>
        <w:tc>
          <w:tcPr>
            <w:tcW w:w="2670" w:type="pct"/>
            <w:tcBorders>
              <w:bottom w:val="single" w:sz="4" w:space="0" w:color="auto"/>
              <w:right w:val="nil"/>
            </w:tcBorders>
            <w:noWrap/>
            <w:hideMark/>
          </w:tcPr>
          <w:p w14:paraId="7F415E7B" w14:textId="77777777" w:rsidR="00E9385F" w:rsidRPr="00E86C72" w:rsidRDefault="00E9385F" w:rsidP="00E9385F">
            <w:pPr>
              <w:pStyle w:val="Tabletext1"/>
            </w:pPr>
            <w:r w:rsidRPr="00E86C72">
              <w:t>Utilities</w:t>
            </w:r>
          </w:p>
        </w:tc>
        <w:tc>
          <w:tcPr>
            <w:tcW w:w="629" w:type="pct"/>
            <w:tcBorders>
              <w:left w:val="nil"/>
              <w:bottom w:val="single" w:sz="4" w:space="0" w:color="auto"/>
              <w:right w:val="nil"/>
            </w:tcBorders>
            <w:noWrap/>
            <w:hideMark/>
          </w:tcPr>
          <w:p w14:paraId="09D2968A" w14:textId="5E20A47F" w:rsidR="00E9385F" w:rsidRPr="00E86C72" w:rsidRDefault="00E9385F" w:rsidP="00E9385F">
            <w:pPr>
              <w:pStyle w:val="Tabletext1"/>
              <w:jc w:val="right"/>
            </w:pPr>
          </w:p>
        </w:tc>
        <w:tc>
          <w:tcPr>
            <w:tcW w:w="629" w:type="pct"/>
            <w:tcBorders>
              <w:left w:val="nil"/>
              <w:bottom w:val="single" w:sz="4" w:space="0" w:color="auto"/>
              <w:right w:val="nil"/>
            </w:tcBorders>
            <w:noWrap/>
            <w:hideMark/>
          </w:tcPr>
          <w:p w14:paraId="6EE5D75D" w14:textId="2553765A" w:rsidR="00E9385F" w:rsidRPr="00E86C72" w:rsidRDefault="00E9385F" w:rsidP="00E9385F">
            <w:pPr>
              <w:pStyle w:val="Tabletext1"/>
              <w:jc w:val="right"/>
            </w:pPr>
          </w:p>
        </w:tc>
        <w:tc>
          <w:tcPr>
            <w:tcW w:w="629" w:type="pct"/>
            <w:tcBorders>
              <w:left w:val="nil"/>
              <w:bottom w:val="single" w:sz="4" w:space="0" w:color="auto"/>
              <w:right w:val="nil"/>
            </w:tcBorders>
            <w:noWrap/>
            <w:hideMark/>
          </w:tcPr>
          <w:p w14:paraId="02840393" w14:textId="0DF028D9" w:rsidR="00E9385F" w:rsidRPr="00E86C72" w:rsidRDefault="00E9385F" w:rsidP="00E9385F">
            <w:pPr>
              <w:pStyle w:val="Tabletext1"/>
              <w:jc w:val="right"/>
            </w:pPr>
          </w:p>
        </w:tc>
        <w:tc>
          <w:tcPr>
            <w:tcW w:w="443" w:type="pct"/>
            <w:tcBorders>
              <w:left w:val="nil"/>
              <w:bottom w:val="single" w:sz="4" w:space="0" w:color="auto"/>
            </w:tcBorders>
            <w:noWrap/>
            <w:hideMark/>
          </w:tcPr>
          <w:p w14:paraId="1D89CA63" w14:textId="515BD19E" w:rsidR="00E9385F" w:rsidRPr="00E86C72" w:rsidRDefault="00E9385F" w:rsidP="00E9385F">
            <w:pPr>
              <w:pStyle w:val="Tabletext1"/>
              <w:jc w:val="right"/>
            </w:pPr>
          </w:p>
        </w:tc>
      </w:tr>
      <w:tr w:rsidR="00E9385F" w:rsidRPr="00E86C72" w14:paraId="480583D4" w14:textId="77777777" w:rsidTr="008742A1">
        <w:trPr>
          <w:trHeight w:val="300"/>
        </w:trPr>
        <w:tc>
          <w:tcPr>
            <w:tcW w:w="2670" w:type="pct"/>
            <w:tcBorders>
              <w:bottom w:val="nil"/>
            </w:tcBorders>
            <w:noWrap/>
            <w:hideMark/>
          </w:tcPr>
          <w:p w14:paraId="2F5B2D79" w14:textId="77777777" w:rsidR="00E9385F" w:rsidRPr="00E86C72" w:rsidRDefault="00E9385F" w:rsidP="00E9385F">
            <w:pPr>
              <w:pStyle w:val="Tabletext1"/>
            </w:pPr>
            <w:r w:rsidRPr="00E86C72">
              <w:t>No disutility for IV infusion (base case: disutility per infusion included)</w:t>
            </w:r>
          </w:p>
        </w:tc>
        <w:tc>
          <w:tcPr>
            <w:tcW w:w="629" w:type="pct"/>
            <w:tcBorders>
              <w:bottom w:val="nil"/>
            </w:tcBorders>
            <w:noWrap/>
            <w:hideMark/>
          </w:tcPr>
          <w:p w14:paraId="57EC4104" w14:textId="6ED7774F" w:rsidR="00E9385F" w:rsidRPr="00E86C72" w:rsidRDefault="00E9385F" w:rsidP="00E9385F">
            <w:pPr>
              <w:pStyle w:val="Tabletext1"/>
              <w:jc w:val="right"/>
            </w:pPr>
            <w:r w:rsidRPr="00D6502A">
              <w:t>$41,011</w:t>
            </w:r>
          </w:p>
        </w:tc>
        <w:tc>
          <w:tcPr>
            <w:tcW w:w="629" w:type="pct"/>
            <w:tcBorders>
              <w:bottom w:val="nil"/>
            </w:tcBorders>
            <w:noWrap/>
            <w:hideMark/>
          </w:tcPr>
          <w:p w14:paraId="1D8709ED" w14:textId="7B536AA4" w:rsidR="00E9385F" w:rsidRPr="00E86C72" w:rsidRDefault="00E9385F" w:rsidP="00E9385F">
            <w:pPr>
              <w:pStyle w:val="Tabletext1"/>
              <w:jc w:val="right"/>
            </w:pPr>
            <w:r w:rsidRPr="00D6502A">
              <w:t>0.4146</w:t>
            </w:r>
          </w:p>
        </w:tc>
        <w:tc>
          <w:tcPr>
            <w:tcW w:w="629" w:type="pct"/>
            <w:tcBorders>
              <w:bottom w:val="nil"/>
            </w:tcBorders>
            <w:noWrap/>
            <w:hideMark/>
          </w:tcPr>
          <w:p w14:paraId="609489E9" w14:textId="5B090683" w:rsidR="00E9385F" w:rsidRPr="00E86C72" w:rsidRDefault="00E9385F" w:rsidP="00E9385F">
            <w:pPr>
              <w:pStyle w:val="Tabletext1"/>
              <w:jc w:val="right"/>
            </w:pPr>
            <w:r w:rsidRPr="00D6502A">
              <w:t>$98,916</w:t>
            </w:r>
          </w:p>
        </w:tc>
        <w:tc>
          <w:tcPr>
            <w:tcW w:w="443" w:type="pct"/>
            <w:tcBorders>
              <w:bottom w:val="nil"/>
            </w:tcBorders>
            <w:noWrap/>
            <w:hideMark/>
          </w:tcPr>
          <w:p w14:paraId="3D7B8E0E" w14:textId="0B1E6E83" w:rsidR="00E9385F" w:rsidRPr="00E86C72" w:rsidRDefault="00E9385F" w:rsidP="00E9385F">
            <w:pPr>
              <w:pStyle w:val="Tabletext1"/>
              <w:jc w:val="right"/>
            </w:pPr>
            <w:r w:rsidRPr="00D6502A">
              <w:t>–1%</w:t>
            </w:r>
          </w:p>
        </w:tc>
      </w:tr>
      <w:tr w:rsidR="00E9385F" w:rsidRPr="00E86C72" w14:paraId="013BECE4" w14:textId="77777777" w:rsidTr="008742A1">
        <w:trPr>
          <w:trHeight w:val="300"/>
        </w:trPr>
        <w:tc>
          <w:tcPr>
            <w:tcW w:w="2670" w:type="pct"/>
            <w:tcBorders>
              <w:top w:val="nil"/>
              <w:bottom w:val="nil"/>
            </w:tcBorders>
            <w:noWrap/>
            <w:hideMark/>
          </w:tcPr>
          <w:p w14:paraId="169F4691" w14:textId="77777777" w:rsidR="00E9385F" w:rsidRPr="00E86C72" w:rsidRDefault="00E9385F" w:rsidP="00E9385F">
            <w:pPr>
              <w:pStyle w:val="Tabletext1"/>
            </w:pPr>
            <w:r w:rsidRPr="00E86C72">
              <w:t>Utility decrement for serious infections, 0.205 (base case: 0.41)</w:t>
            </w:r>
          </w:p>
        </w:tc>
        <w:tc>
          <w:tcPr>
            <w:tcW w:w="629" w:type="pct"/>
            <w:tcBorders>
              <w:top w:val="nil"/>
              <w:bottom w:val="nil"/>
            </w:tcBorders>
            <w:noWrap/>
            <w:hideMark/>
          </w:tcPr>
          <w:p w14:paraId="7762E763" w14:textId="044BB054" w:rsidR="00E9385F" w:rsidRPr="00E86C72" w:rsidRDefault="00E9385F" w:rsidP="00E9385F">
            <w:pPr>
              <w:pStyle w:val="Tabletext1"/>
              <w:jc w:val="right"/>
            </w:pPr>
            <w:r w:rsidRPr="00D6502A">
              <w:t>$41,011</w:t>
            </w:r>
          </w:p>
        </w:tc>
        <w:tc>
          <w:tcPr>
            <w:tcW w:w="629" w:type="pct"/>
            <w:tcBorders>
              <w:top w:val="nil"/>
              <w:bottom w:val="nil"/>
            </w:tcBorders>
            <w:noWrap/>
            <w:hideMark/>
          </w:tcPr>
          <w:p w14:paraId="2853C271" w14:textId="71EC90C6" w:rsidR="00E9385F" w:rsidRPr="00E86C72" w:rsidRDefault="00E9385F" w:rsidP="00E9385F">
            <w:pPr>
              <w:pStyle w:val="Tabletext1"/>
              <w:jc w:val="right"/>
            </w:pPr>
            <w:r w:rsidRPr="00D6502A">
              <w:t>0.3966</w:t>
            </w:r>
          </w:p>
        </w:tc>
        <w:tc>
          <w:tcPr>
            <w:tcW w:w="629" w:type="pct"/>
            <w:tcBorders>
              <w:top w:val="nil"/>
              <w:bottom w:val="nil"/>
            </w:tcBorders>
            <w:noWrap/>
            <w:hideMark/>
          </w:tcPr>
          <w:p w14:paraId="30573E18" w14:textId="66B826BC" w:rsidR="00E9385F" w:rsidRPr="00E86C72" w:rsidRDefault="00E9385F" w:rsidP="00E9385F">
            <w:pPr>
              <w:pStyle w:val="Tabletext1"/>
              <w:jc w:val="right"/>
            </w:pPr>
            <w:r w:rsidRPr="00D6502A">
              <w:t>$103,398</w:t>
            </w:r>
          </w:p>
        </w:tc>
        <w:tc>
          <w:tcPr>
            <w:tcW w:w="443" w:type="pct"/>
            <w:tcBorders>
              <w:top w:val="nil"/>
              <w:bottom w:val="nil"/>
            </w:tcBorders>
            <w:noWrap/>
            <w:hideMark/>
          </w:tcPr>
          <w:p w14:paraId="1DF5FEC7" w14:textId="41F14580" w:rsidR="00E9385F" w:rsidRPr="00E86C72" w:rsidRDefault="00E9385F" w:rsidP="00E9385F">
            <w:pPr>
              <w:pStyle w:val="Tabletext1"/>
              <w:jc w:val="right"/>
            </w:pPr>
            <w:r w:rsidRPr="00D6502A">
              <w:t>4%</w:t>
            </w:r>
          </w:p>
        </w:tc>
      </w:tr>
      <w:tr w:rsidR="00E9385F" w:rsidRPr="00E86C72" w14:paraId="3A9B5242" w14:textId="77777777" w:rsidTr="008742A1">
        <w:trPr>
          <w:trHeight w:val="300"/>
        </w:trPr>
        <w:tc>
          <w:tcPr>
            <w:tcW w:w="2670" w:type="pct"/>
            <w:tcBorders>
              <w:top w:val="nil"/>
              <w:bottom w:val="nil"/>
            </w:tcBorders>
            <w:noWrap/>
            <w:hideMark/>
          </w:tcPr>
          <w:p w14:paraId="72FB9D13" w14:textId="77777777" w:rsidR="00E9385F" w:rsidRPr="00E86C72" w:rsidRDefault="00E9385F" w:rsidP="00E9385F">
            <w:pPr>
              <w:pStyle w:val="Tabletext1"/>
            </w:pPr>
            <w:r w:rsidRPr="00E86C72">
              <w:t>Utility decrement for non-serious infections, 0.01 (base case: 0.06)</w:t>
            </w:r>
          </w:p>
        </w:tc>
        <w:tc>
          <w:tcPr>
            <w:tcW w:w="629" w:type="pct"/>
            <w:tcBorders>
              <w:top w:val="nil"/>
              <w:bottom w:val="nil"/>
            </w:tcBorders>
            <w:noWrap/>
            <w:hideMark/>
          </w:tcPr>
          <w:p w14:paraId="39C5CF39" w14:textId="41B2D82F" w:rsidR="00E9385F" w:rsidRPr="00E86C72" w:rsidRDefault="00E9385F" w:rsidP="00E9385F">
            <w:pPr>
              <w:pStyle w:val="Tabletext1"/>
              <w:jc w:val="right"/>
            </w:pPr>
            <w:r w:rsidRPr="00D6502A">
              <w:t>$41,011</w:t>
            </w:r>
          </w:p>
        </w:tc>
        <w:tc>
          <w:tcPr>
            <w:tcW w:w="629" w:type="pct"/>
            <w:tcBorders>
              <w:top w:val="nil"/>
              <w:bottom w:val="nil"/>
            </w:tcBorders>
            <w:noWrap/>
            <w:hideMark/>
          </w:tcPr>
          <w:p w14:paraId="74ABA3AE" w14:textId="28862631" w:rsidR="00E9385F" w:rsidRPr="00E86C72" w:rsidRDefault="00E9385F" w:rsidP="00E9385F">
            <w:pPr>
              <w:pStyle w:val="Tabletext1"/>
              <w:jc w:val="right"/>
            </w:pPr>
            <w:r w:rsidRPr="00D6502A">
              <w:t>0.3914</w:t>
            </w:r>
          </w:p>
        </w:tc>
        <w:tc>
          <w:tcPr>
            <w:tcW w:w="629" w:type="pct"/>
            <w:tcBorders>
              <w:top w:val="nil"/>
              <w:bottom w:val="nil"/>
            </w:tcBorders>
            <w:noWrap/>
            <w:hideMark/>
          </w:tcPr>
          <w:p w14:paraId="77B35294" w14:textId="051C4D68" w:rsidR="00E9385F" w:rsidRPr="00E86C72" w:rsidRDefault="00E9385F" w:rsidP="00E9385F">
            <w:pPr>
              <w:pStyle w:val="Tabletext1"/>
              <w:jc w:val="right"/>
            </w:pPr>
            <w:r w:rsidRPr="00D6502A">
              <w:t>$104,769</w:t>
            </w:r>
          </w:p>
        </w:tc>
        <w:tc>
          <w:tcPr>
            <w:tcW w:w="443" w:type="pct"/>
            <w:tcBorders>
              <w:top w:val="nil"/>
              <w:bottom w:val="nil"/>
            </w:tcBorders>
            <w:noWrap/>
            <w:hideMark/>
          </w:tcPr>
          <w:p w14:paraId="3573E816" w14:textId="7E6EA9EE" w:rsidR="00E9385F" w:rsidRPr="00E86C72" w:rsidRDefault="00E9385F" w:rsidP="00E9385F">
            <w:pPr>
              <w:pStyle w:val="Tabletext1"/>
              <w:jc w:val="right"/>
            </w:pPr>
            <w:r w:rsidRPr="00D6502A">
              <w:t>5%</w:t>
            </w:r>
          </w:p>
        </w:tc>
      </w:tr>
      <w:tr w:rsidR="00E9385F" w:rsidRPr="00E86C72" w14:paraId="0F5EE96A" w14:textId="77777777" w:rsidTr="008742A1">
        <w:trPr>
          <w:trHeight w:val="300"/>
        </w:trPr>
        <w:tc>
          <w:tcPr>
            <w:tcW w:w="2670" w:type="pct"/>
            <w:tcBorders>
              <w:top w:val="nil"/>
              <w:bottom w:val="nil"/>
            </w:tcBorders>
            <w:noWrap/>
            <w:hideMark/>
          </w:tcPr>
          <w:p w14:paraId="73AF85A4" w14:textId="77777777" w:rsidR="00E9385F" w:rsidRPr="00E86C72" w:rsidRDefault="00E9385F" w:rsidP="00E9385F">
            <w:pPr>
              <w:pStyle w:val="Tabletext1"/>
            </w:pPr>
            <w:r w:rsidRPr="00E86C72">
              <w:t xml:space="preserve">Utility with infections with bronchiectasis, 0.6278 (base case: </w:t>
            </w:r>
            <w:r w:rsidRPr="00E86C72">
              <w:lastRenderedPageBreak/>
              <w:t>0.5355)</w:t>
            </w:r>
          </w:p>
        </w:tc>
        <w:tc>
          <w:tcPr>
            <w:tcW w:w="629" w:type="pct"/>
            <w:tcBorders>
              <w:top w:val="nil"/>
              <w:bottom w:val="nil"/>
            </w:tcBorders>
            <w:noWrap/>
            <w:hideMark/>
          </w:tcPr>
          <w:p w14:paraId="2FA6D259" w14:textId="29D24974" w:rsidR="00E9385F" w:rsidRPr="00E86C72" w:rsidRDefault="00E9385F" w:rsidP="00E9385F">
            <w:pPr>
              <w:pStyle w:val="Tabletext1"/>
              <w:jc w:val="right"/>
            </w:pPr>
            <w:r w:rsidRPr="00D6502A">
              <w:lastRenderedPageBreak/>
              <w:t>$41,011</w:t>
            </w:r>
          </w:p>
        </w:tc>
        <w:tc>
          <w:tcPr>
            <w:tcW w:w="629" w:type="pct"/>
            <w:tcBorders>
              <w:top w:val="nil"/>
              <w:bottom w:val="nil"/>
            </w:tcBorders>
            <w:noWrap/>
            <w:hideMark/>
          </w:tcPr>
          <w:p w14:paraId="2DE07E38" w14:textId="5BA3950B" w:rsidR="00E9385F" w:rsidRPr="00E86C72" w:rsidRDefault="00E9385F" w:rsidP="00E9385F">
            <w:pPr>
              <w:pStyle w:val="Tabletext1"/>
              <w:jc w:val="right"/>
            </w:pPr>
            <w:r w:rsidRPr="00D6502A">
              <w:t>0.3714</w:t>
            </w:r>
          </w:p>
        </w:tc>
        <w:tc>
          <w:tcPr>
            <w:tcW w:w="629" w:type="pct"/>
            <w:tcBorders>
              <w:top w:val="nil"/>
              <w:bottom w:val="nil"/>
            </w:tcBorders>
            <w:noWrap/>
            <w:hideMark/>
          </w:tcPr>
          <w:p w14:paraId="1856F4AD" w14:textId="0358A33D" w:rsidR="00E9385F" w:rsidRPr="00E86C72" w:rsidRDefault="00E9385F" w:rsidP="00E9385F">
            <w:pPr>
              <w:pStyle w:val="Tabletext1"/>
              <w:jc w:val="right"/>
            </w:pPr>
            <w:r w:rsidRPr="00D6502A">
              <w:t>$110,407</w:t>
            </w:r>
          </w:p>
        </w:tc>
        <w:tc>
          <w:tcPr>
            <w:tcW w:w="443" w:type="pct"/>
            <w:tcBorders>
              <w:top w:val="nil"/>
              <w:bottom w:val="nil"/>
            </w:tcBorders>
            <w:noWrap/>
            <w:hideMark/>
          </w:tcPr>
          <w:p w14:paraId="5AF54B84" w14:textId="1F2E932D" w:rsidR="00E9385F" w:rsidRPr="00E86C72" w:rsidRDefault="00E9385F" w:rsidP="00E9385F">
            <w:pPr>
              <w:pStyle w:val="Tabletext1"/>
              <w:jc w:val="right"/>
            </w:pPr>
            <w:r w:rsidRPr="00D6502A">
              <w:t>11%</w:t>
            </w:r>
          </w:p>
        </w:tc>
      </w:tr>
      <w:tr w:rsidR="00E9385F" w:rsidRPr="00E86C72" w14:paraId="1A853DD6" w14:textId="77777777" w:rsidTr="008742A1">
        <w:trPr>
          <w:trHeight w:val="300"/>
        </w:trPr>
        <w:tc>
          <w:tcPr>
            <w:tcW w:w="2670" w:type="pct"/>
            <w:tcBorders>
              <w:top w:val="nil"/>
            </w:tcBorders>
            <w:noWrap/>
            <w:hideMark/>
          </w:tcPr>
          <w:p w14:paraId="472D2E8C" w14:textId="77777777" w:rsidR="00E9385F" w:rsidRPr="00E86C72" w:rsidRDefault="00E9385F" w:rsidP="00E9385F">
            <w:pPr>
              <w:pStyle w:val="Tabletext1"/>
            </w:pPr>
            <w:r w:rsidRPr="00E86C72">
              <w:lastRenderedPageBreak/>
              <w:t>Utility with infection, 0.6956 (base case: 0.5805 with Ig, 0.5532 without Ig)</w:t>
            </w:r>
          </w:p>
        </w:tc>
        <w:tc>
          <w:tcPr>
            <w:tcW w:w="629" w:type="pct"/>
            <w:tcBorders>
              <w:top w:val="nil"/>
            </w:tcBorders>
            <w:noWrap/>
            <w:hideMark/>
          </w:tcPr>
          <w:p w14:paraId="2B5F7CB0" w14:textId="5C102A5A" w:rsidR="00E9385F" w:rsidRPr="00E86C72" w:rsidRDefault="00E9385F" w:rsidP="00E9385F">
            <w:pPr>
              <w:pStyle w:val="Tabletext1"/>
              <w:jc w:val="right"/>
            </w:pPr>
            <w:r w:rsidRPr="00D6502A">
              <w:t>$41,011</w:t>
            </w:r>
          </w:p>
        </w:tc>
        <w:tc>
          <w:tcPr>
            <w:tcW w:w="629" w:type="pct"/>
            <w:tcBorders>
              <w:top w:val="nil"/>
            </w:tcBorders>
            <w:noWrap/>
            <w:hideMark/>
          </w:tcPr>
          <w:p w14:paraId="093F3EE3" w14:textId="102182CE" w:rsidR="00E9385F" w:rsidRPr="00E86C72" w:rsidRDefault="00E9385F" w:rsidP="00E9385F">
            <w:pPr>
              <w:pStyle w:val="Tabletext1"/>
              <w:jc w:val="right"/>
            </w:pPr>
            <w:r w:rsidRPr="00D6502A">
              <w:t>0.4042</w:t>
            </w:r>
          </w:p>
        </w:tc>
        <w:tc>
          <w:tcPr>
            <w:tcW w:w="629" w:type="pct"/>
            <w:tcBorders>
              <w:top w:val="nil"/>
            </w:tcBorders>
            <w:noWrap/>
            <w:hideMark/>
          </w:tcPr>
          <w:p w14:paraId="5A5C40DD" w14:textId="7335B800" w:rsidR="00E9385F" w:rsidRPr="00E86C72" w:rsidRDefault="00E9385F" w:rsidP="00E9385F">
            <w:pPr>
              <w:pStyle w:val="Tabletext1"/>
              <w:jc w:val="right"/>
            </w:pPr>
            <w:r w:rsidRPr="00D6502A">
              <w:t>$101,466</w:t>
            </w:r>
          </w:p>
        </w:tc>
        <w:tc>
          <w:tcPr>
            <w:tcW w:w="443" w:type="pct"/>
            <w:tcBorders>
              <w:top w:val="nil"/>
            </w:tcBorders>
            <w:noWrap/>
            <w:hideMark/>
          </w:tcPr>
          <w:p w14:paraId="2031332E" w14:textId="0415CF49" w:rsidR="00E9385F" w:rsidRPr="00E86C72" w:rsidRDefault="00E9385F" w:rsidP="00E9385F">
            <w:pPr>
              <w:pStyle w:val="Tabletext1"/>
              <w:jc w:val="right"/>
            </w:pPr>
            <w:r w:rsidRPr="00D6502A">
              <w:t>2%</w:t>
            </w:r>
          </w:p>
        </w:tc>
      </w:tr>
    </w:tbl>
    <w:p w14:paraId="3BA8B084" w14:textId="5076267C" w:rsidR="008474CF" w:rsidRDefault="00911F85" w:rsidP="000C44D1">
      <w:pPr>
        <w:pStyle w:val="Tablenotes1"/>
      </w:pPr>
      <w:r>
        <w:t>CLL = chronic lymphocytic leukaemia; ICER = incremental cost-effectiveness ratio; Ig = immunoglobulin; IRR = incidence rate ratio; IV = intravenous; QALY = quality-adjusted life year.</w:t>
      </w:r>
    </w:p>
    <w:p w14:paraId="00987B8D" w14:textId="4EE105A5" w:rsidR="008474CF" w:rsidRPr="00183E4D" w:rsidRDefault="008474CF" w:rsidP="008474CF">
      <w:pPr>
        <w:pStyle w:val="Heading1"/>
      </w:pPr>
      <w:bookmarkStart w:id="824" w:name="_Toc16856371"/>
      <w:r w:rsidRPr="00183E4D">
        <w:lastRenderedPageBreak/>
        <w:t xml:space="preserve">Appendix </w:t>
      </w:r>
      <w:r>
        <w:rPr>
          <w:noProof/>
        </w:rPr>
        <w:fldChar w:fldCharType="begin"/>
      </w:r>
      <w:r>
        <w:rPr>
          <w:noProof/>
        </w:rPr>
        <w:instrText xml:space="preserve"> SEQ Appendix \* ALPHABETIC </w:instrText>
      </w:r>
      <w:r>
        <w:rPr>
          <w:noProof/>
        </w:rPr>
        <w:fldChar w:fldCharType="separate"/>
      </w:r>
      <w:r w:rsidR="00A7463B">
        <w:rPr>
          <w:noProof/>
        </w:rPr>
        <w:t>H</w:t>
      </w:r>
      <w:r>
        <w:rPr>
          <w:noProof/>
        </w:rPr>
        <w:fldChar w:fldCharType="end"/>
      </w:r>
      <w:r w:rsidRPr="00183E4D">
        <w:tab/>
      </w:r>
      <w:r>
        <w:t>Financial implications appendix</w:t>
      </w:r>
      <w:bookmarkEnd w:id="824"/>
    </w:p>
    <w:p w14:paraId="74C875AF" w14:textId="7322D3F3" w:rsidR="008474CF" w:rsidRDefault="008474CF" w:rsidP="008474CF">
      <w:pPr>
        <w:pStyle w:val="Heading2"/>
      </w:pPr>
      <w:bookmarkStart w:id="825" w:name="_Toc16856372"/>
      <w:r>
        <w:t>Identification, estimation and reduction of uncertainty</w:t>
      </w:r>
      <w:bookmarkEnd w:id="825"/>
    </w:p>
    <w:p w14:paraId="11A974DE" w14:textId="5AF843AD" w:rsidR="008474CF" w:rsidRPr="008474CF" w:rsidRDefault="008474CF" w:rsidP="008474CF">
      <w:pPr>
        <w:pStyle w:val="Caption"/>
      </w:pPr>
      <w:bookmarkStart w:id="826" w:name="_Ref16607859"/>
      <w:bookmarkStart w:id="827" w:name="_Toc16671696"/>
      <w:r w:rsidRPr="008474CF">
        <w:t xml:space="preserve">Table </w:t>
      </w:r>
      <w:r w:rsidR="002A7E30">
        <w:rPr>
          <w:noProof/>
        </w:rPr>
        <w:fldChar w:fldCharType="begin"/>
      </w:r>
      <w:r w:rsidR="002A7E30">
        <w:rPr>
          <w:noProof/>
        </w:rPr>
        <w:instrText xml:space="preserve"> SEQ Table \* ARABIC </w:instrText>
      </w:r>
      <w:r w:rsidR="002A7E30">
        <w:rPr>
          <w:noProof/>
        </w:rPr>
        <w:fldChar w:fldCharType="separate"/>
      </w:r>
      <w:r w:rsidR="00A7463B">
        <w:rPr>
          <w:noProof/>
        </w:rPr>
        <w:t>98</w:t>
      </w:r>
      <w:r w:rsidR="002A7E30">
        <w:rPr>
          <w:noProof/>
        </w:rPr>
        <w:fldChar w:fldCharType="end"/>
      </w:r>
      <w:bookmarkEnd w:id="826"/>
      <w:r w:rsidRPr="008474CF">
        <w:tab/>
        <w:t>Estimation of the average weighted cost per gram within the acquired hypogammaglobulinemia indictaion</w:t>
      </w:r>
      <w:bookmarkEnd w:id="827"/>
    </w:p>
    <w:tbl>
      <w:tblPr>
        <w:tblStyle w:val="TableGrid"/>
        <w:tblW w:w="5000" w:type="pct"/>
        <w:tblLook w:val="04A0" w:firstRow="1" w:lastRow="0" w:firstColumn="1" w:lastColumn="0" w:noHBand="0" w:noVBand="1"/>
        <w:tblCaption w:val="Estimation of the average weighted cost per gram within the acquired hypogammaglobulinemia indictaion"/>
      </w:tblPr>
      <w:tblGrid>
        <w:gridCol w:w="2311"/>
        <w:gridCol w:w="2311"/>
        <w:gridCol w:w="2311"/>
        <w:gridCol w:w="2309"/>
      </w:tblGrid>
      <w:tr w:rsidR="008474CF" w:rsidRPr="00A21EDA" w14:paraId="5069C989" w14:textId="77777777" w:rsidTr="009634B8">
        <w:trPr>
          <w:trHeight w:val="300"/>
          <w:tblHeader/>
        </w:trPr>
        <w:tc>
          <w:tcPr>
            <w:tcW w:w="1251" w:type="pct"/>
            <w:noWrap/>
            <w:hideMark/>
          </w:tcPr>
          <w:p w14:paraId="33B1E8C5" w14:textId="77777777" w:rsidR="008474CF" w:rsidRPr="00A21EDA" w:rsidRDefault="008474CF" w:rsidP="00801555">
            <w:pPr>
              <w:pStyle w:val="TableHeading"/>
            </w:pPr>
          </w:p>
        </w:tc>
        <w:tc>
          <w:tcPr>
            <w:tcW w:w="1250" w:type="pct"/>
            <w:noWrap/>
            <w:hideMark/>
          </w:tcPr>
          <w:p w14:paraId="4B3BA4C8" w14:textId="77777777" w:rsidR="008474CF" w:rsidRPr="00A21EDA" w:rsidRDefault="008474CF" w:rsidP="00801555">
            <w:pPr>
              <w:pStyle w:val="TableHeading"/>
              <w:jc w:val="center"/>
            </w:pPr>
            <w:r w:rsidRPr="00A21EDA">
              <w:t>Usage (grams)</w:t>
            </w:r>
          </w:p>
        </w:tc>
        <w:tc>
          <w:tcPr>
            <w:tcW w:w="1250" w:type="pct"/>
            <w:noWrap/>
            <w:hideMark/>
          </w:tcPr>
          <w:p w14:paraId="4A2D76FB" w14:textId="77777777" w:rsidR="008474CF" w:rsidRPr="00A21EDA" w:rsidRDefault="008474CF" w:rsidP="00801555">
            <w:pPr>
              <w:pStyle w:val="TableHeading"/>
              <w:jc w:val="center"/>
            </w:pPr>
            <w:r w:rsidRPr="00A21EDA">
              <w:t>Proportion of use</w:t>
            </w:r>
          </w:p>
        </w:tc>
        <w:tc>
          <w:tcPr>
            <w:tcW w:w="1249" w:type="pct"/>
          </w:tcPr>
          <w:p w14:paraId="4D3A4B5B" w14:textId="77777777" w:rsidR="008474CF" w:rsidRPr="00A21EDA" w:rsidRDefault="008474CF" w:rsidP="00801555">
            <w:pPr>
              <w:pStyle w:val="TableHeading"/>
              <w:jc w:val="center"/>
            </w:pPr>
            <w:r w:rsidRPr="00A21EDA">
              <w:t>Cost per gram</w:t>
            </w:r>
          </w:p>
        </w:tc>
      </w:tr>
      <w:tr w:rsidR="008474CF" w:rsidRPr="00A21EDA" w14:paraId="0A4361EA" w14:textId="77777777" w:rsidTr="00801555">
        <w:trPr>
          <w:trHeight w:val="300"/>
        </w:trPr>
        <w:tc>
          <w:tcPr>
            <w:tcW w:w="1251" w:type="pct"/>
            <w:noWrap/>
            <w:hideMark/>
          </w:tcPr>
          <w:p w14:paraId="056560B1" w14:textId="77777777" w:rsidR="008474CF" w:rsidRPr="00A21EDA" w:rsidRDefault="008474CF" w:rsidP="00801555">
            <w:pPr>
              <w:pStyle w:val="Tabletext1"/>
            </w:pPr>
            <w:r w:rsidRPr="00A21EDA">
              <w:t>Domestic IVIg</w:t>
            </w:r>
          </w:p>
        </w:tc>
        <w:tc>
          <w:tcPr>
            <w:tcW w:w="1250" w:type="pct"/>
            <w:noWrap/>
            <w:hideMark/>
          </w:tcPr>
          <w:p w14:paraId="1D3B2A90" w14:textId="77777777" w:rsidR="008474CF" w:rsidRPr="00A21EDA" w:rsidRDefault="008474CF" w:rsidP="00801555">
            <w:pPr>
              <w:pStyle w:val="Tabletext1"/>
              <w:jc w:val="center"/>
            </w:pPr>
            <w:r w:rsidRPr="00A21EDA">
              <w:t>1,242,051</w:t>
            </w:r>
          </w:p>
        </w:tc>
        <w:tc>
          <w:tcPr>
            <w:tcW w:w="1250" w:type="pct"/>
            <w:noWrap/>
            <w:hideMark/>
          </w:tcPr>
          <w:p w14:paraId="01DC9C00" w14:textId="77777777" w:rsidR="008474CF" w:rsidRPr="00A21EDA" w:rsidRDefault="008474CF" w:rsidP="00801555">
            <w:pPr>
              <w:pStyle w:val="Tabletext1"/>
              <w:jc w:val="center"/>
            </w:pPr>
            <w:r w:rsidRPr="00A21EDA">
              <w:t>88.6%</w:t>
            </w:r>
          </w:p>
        </w:tc>
        <w:tc>
          <w:tcPr>
            <w:tcW w:w="1249" w:type="pct"/>
          </w:tcPr>
          <w:p w14:paraId="07595CA2" w14:textId="77777777" w:rsidR="008474CF" w:rsidRPr="000C063B" w:rsidRDefault="008474CF" w:rsidP="00801555">
            <w:pPr>
              <w:pStyle w:val="Tabletext1"/>
              <w:jc w:val="center"/>
            </w:pPr>
            <w:r w:rsidRPr="000C063B">
              <w:t>$140.18</w:t>
            </w:r>
          </w:p>
        </w:tc>
      </w:tr>
      <w:tr w:rsidR="008474CF" w:rsidRPr="00A21EDA" w14:paraId="2E44EDE3" w14:textId="77777777" w:rsidTr="00801555">
        <w:trPr>
          <w:trHeight w:val="300"/>
        </w:trPr>
        <w:tc>
          <w:tcPr>
            <w:tcW w:w="1251" w:type="pct"/>
            <w:noWrap/>
            <w:hideMark/>
          </w:tcPr>
          <w:p w14:paraId="560FF4CF" w14:textId="77777777" w:rsidR="008474CF" w:rsidRPr="00A21EDA" w:rsidRDefault="008474CF" w:rsidP="00801555">
            <w:pPr>
              <w:pStyle w:val="Tabletext1"/>
            </w:pPr>
            <w:r w:rsidRPr="00A21EDA">
              <w:t>Imported IVIg</w:t>
            </w:r>
          </w:p>
        </w:tc>
        <w:tc>
          <w:tcPr>
            <w:tcW w:w="1250" w:type="pct"/>
            <w:noWrap/>
            <w:hideMark/>
          </w:tcPr>
          <w:p w14:paraId="3D2F9D97" w14:textId="77777777" w:rsidR="008474CF" w:rsidRPr="00A21EDA" w:rsidRDefault="008474CF" w:rsidP="00801555">
            <w:pPr>
              <w:pStyle w:val="Tabletext1"/>
              <w:jc w:val="center"/>
            </w:pPr>
            <w:r w:rsidRPr="00A21EDA">
              <w:t>117,863</w:t>
            </w:r>
          </w:p>
        </w:tc>
        <w:tc>
          <w:tcPr>
            <w:tcW w:w="1250" w:type="pct"/>
            <w:noWrap/>
            <w:hideMark/>
          </w:tcPr>
          <w:p w14:paraId="66BD8E7B" w14:textId="77777777" w:rsidR="008474CF" w:rsidRPr="00A21EDA" w:rsidRDefault="008474CF" w:rsidP="00801555">
            <w:pPr>
              <w:pStyle w:val="Tabletext1"/>
              <w:jc w:val="center"/>
            </w:pPr>
            <w:r w:rsidRPr="00A21EDA">
              <w:t>8.4%</w:t>
            </w:r>
          </w:p>
        </w:tc>
        <w:tc>
          <w:tcPr>
            <w:tcW w:w="1249" w:type="pct"/>
          </w:tcPr>
          <w:p w14:paraId="111002B7" w14:textId="77777777" w:rsidR="008474CF" w:rsidRPr="000C063B" w:rsidRDefault="008474CF" w:rsidP="00801555">
            <w:pPr>
              <w:pStyle w:val="Tabletext1"/>
              <w:jc w:val="center"/>
            </w:pPr>
            <w:r w:rsidRPr="000C063B">
              <w:t>$44.94</w:t>
            </w:r>
          </w:p>
        </w:tc>
      </w:tr>
      <w:tr w:rsidR="008474CF" w:rsidRPr="00A21EDA" w14:paraId="56F6EDAD" w14:textId="77777777" w:rsidTr="00801555">
        <w:trPr>
          <w:trHeight w:val="300"/>
        </w:trPr>
        <w:tc>
          <w:tcPr>
            <w:tcW w:w="1251" w:type="pct"/>
            <w:noWrap/>
            <w:hideMark/>
          </w:tcPr>
          <w:p w14:paraId="2566FB47" w14:textId="77777777" w:rsidR="008474CF" w:rsidRPr="00A21EDA" w:rsidRDefault="008474CF" w:rsidP="00801555">
            <w:pPr>
              <w:pStyle w:val="Tabletext1"/>
            </w:pPr>
            <w:r w:rsidRPr="00A21EDA">
              <w:t xml:space="preserve">Domestic SCIg </w:t>
            </w:r>
          </w:p>
        </w:tc>
        <w:tc>
          <w:tcPr>
            <w:tcW w:w="1250" w:type="pct"/>
            <w:noWrap/>
            <w:hideMark/>
          </w:tcPr>
          <w:p w14:paraId="7AC29626" w14:textId="77777777" w:rsidR="008474CF" w:rsidRPr="00A21EDA" w:rsidRDefault="008474CF" w:rsidP="00801555">
            <w:pPr>
              <w:pStyle w:val="Tabletext1"/>
              <w:jc w:val="center"/>
            </w:pPr>
            <w:r w:rsidRPr="00A21EDA">
              <w:t>5,345</w:t>
            </w:r>
          </w:p>
        </w:tc>
        <w:tc>
          <w:tcPr>
            <w:tcW w:w="1250" w:type="pct"/>
            <w:noWrap/>
            <w:hideMark/>
          </w:tcPr>
          <w:p w14:paraId="16073B53" w14:textId="77777777" w:rsidR="008474CF" w:rsidRPr="00A21EDA" w:rsidRDefault="008474CF" w:rsidP="00801555">
            <w:pPr>
              <w:pStyle w:val="Tabletext1"/>
              <w:jc w:val="center"/>
            </w:pPr>
            <w:r w:rsidRPr="00A21EDA">
              <w:t>0.4%</w:t>
            </w:r>
          </w:p>
        </w:tc>
        <w:tc>
          <w:tcPr>
            <w:tcW w:w="1249" w:type="pct"/>
          </w:tcPr>
          <w:p w14:paraId="2E7B9B05" w14:textId="77777777" w:rsidR="008474CF" w:rsidRPr="000C063B" w:rsidRDefault="008474CF" w:rsidP="00801555">
            <w:pPr>
              <w:pStyle w:val="Tabletext1"/>
              <w:jc w:val="center"/>
            </w:pPr>
            <w:r w:rsidRPr="000C063B">
              <w:t>$62.45</w:t>
            </w:r>
          </w:p>
        </w:tc>
      </w:tr>
      <w:tr w:rsidR="008474CF" w:rsidRPr="00A21EDA" w14:paraId="6FC03B6A" w14:textId="77777777" w:rsidTr="00801555">
        <w:trPr>
          <w:trHeight w:val="300"/>
        </w:trPr>
        <w:tc>
          <w:tcPr>
            <w:tcW w:w="1251" w:type="pct"/>
            <w:noWrap/>
            <w:hideMark/>
          </w:tcPr>
          <w:p w14:paraId="5A08DE09" w14:textId="77777777" w:rsidR="008474CF" w:rsidRPr="00A21EDA" w:rsidRDefault="008474CF" w:rsidP="00801555">
            <w:pPr>
              <w:pStyle w:val="Tabletext1"/>
            </w:pPr>
            <w:r w:rsidRPr="00A21EDA">
              <w:t>Imported SCIg</w:t>
            </w:r>
          </w:p>
        </w:tc>
        <w:tc>
          <w:tcPr>
            <w:tcW w:w="1250" w:type="pct"/>
            <w:noWrap/>
            <w:hideMark/>
          </w:tcPr>
          <w:p w14:paraId="213AF775" w14:textId="77777777" w:rsidR="008474CF" w:rsidRPr="00A21EDA" w:rsidRDefault="008474CF" w:rsidP="00801555">
            <w:pPr>
              <w:pStyle w:val="Tabletext1"/>
              <w:jc w:val="center"/>
            </w:pPr>
            <w:r w:rsidRPr="00A21EDA">
              <w:t>36,766</w:t>
            </w:r>
          </w:p>
        </w:tc>
        <w:tc>
          <w:tcPr>
            <w:tcW w:w="1250" w:type="pct"/>
            <w:noWrap/>
            <w:hideMark/>
          </w:tcPr>
          <w:p w14:paraId="6E340477" w14:textId="77777777" w:rsidR="008474CF" w:rsidRPr="00A21EDA" w:rsidRDefault="008474CF" w:rsidP="00801555">
            <w:pPr>
              <w:pStyle w:val="Tabletext1"/>
              <w:jc w:val="center"/>
            </w:pPr>
            <w:r w:rsidRPr="00A21EDA">
              <w:t>2.6%</w:t>
            </w:r>
          </w:p>
        </w:tc>
        <w:tc>
          <w:tcPr>
            <w:tcW w:w="1249" w:type="pct"/>
          </w:tcPr>
          <w:p w14:paraId="5C9C3593" w14:textId="77777777" w:rsidR="008474CF" w:rsidRPr="000C063B" w:rsidRDefault="008474CF" w:rsidP="00801555">
            <w:pPr>
              <w:pStyle w:val="Tabletext1"/>
              <w:jc w:val="center"/>
            </w:pPr>
            <w:r w:rsidRPr="000C063B">
              <w:t>$55.66</w:t>
            </w:r>
          </w:p>
        </w:tc>
      </w:tr>
      <w:tr w:rsidR="008A10E1" w:rsidRPr="00A21EDA" w14:paraId="7C5B611C" w14:textId="77777777" w:rsidTr="008A10E1">
        <w:trPr>
          <w:trHeight w:val="300"/>
        </w:trPr>
        <w:tc>
          <w:tcPr>
            <w:tcW w:w="3751" w:type="pct"/>
            <w:gridSpan w:val="3"/>
            <w:noWrap/>
            <w:hideMark/>
          </w:tcPr>
          <w:p w14:paraId="14F75AAF" w14:textId="31967034" w:rsidR="008A10E1" w:rsidRPr="00A21EDA" w:rsidRDefault="008A10E1" w:rsidP="00B52A4F">
            <w:pPr>
              <w:pStyle w:val="Tabletext1"/>
              <w:jc w:val="left"/>
              <w:rPr>
                <w:b/>
              </w:rPr>
            </w:pPr>
            <w:r w:rsidRPr="00A21EDA">
              <w:rPr>
                <w:b/>
              </w:rPr>
              <w:t>Weighted price</w:t>
            </w:r>
          </w:p>
        </w:tc>
        <w:tc>
          <w:tcPr>
            <w:tcW w:w="1249" w:type="pct"/>
          </w:tcPr>
          <w:p w14:paraId="705EB53A" w14:textId="77777777" w:rsidR="008A10E1" w:rsidRPr="00202274" w:rsidRDefault="008A10E1" w:rsidP="00801555">
            <w:pPr>
              <w:pStyle w:val="Tabletext1"/>
              <w:jc w:val="center"/>
              <w:rPr>
                <w:b/>
              </w:rPr>
            </w:pPr>
            <w:r w:rsidRPr="00202274">
              <w:rPr>
                <w:b/>
              </w:rPr>
              <w:t>$129.66</w:t>
            </w:r>
          </w:p>
        </w:tc>
      </w:tr>
    </w:tbl>
    <w:p w14:paraId="58A976DE" w14:textId="77777777" w:rsidR="008474CF" w:rsidRDefault="008474CF" w:rsidP="008474CF">
      <w:pPr>
        <w:pStyle w:val="Tablenotes1"/>
      </w:pPr>
      <w:r>
        <w:t>Ig = immunoglobulin; IVIg = intravenous immunoglobulin; SCIg = subcutaneous immunoglobulin.</w:t>
      </w:r>
    </w:p>
    <w:p w14:paraId="7841FAB0" w14:textId="3037BF44" w:rsidR="008474CF" w:rsidRDefault="008474CF" w:rsidP="008474CF">
      <w:pPr>
        <w:pStyle w:val="Tablenotes1"/>
      </w:pPr>
      <w:r>
        <w:t>Source:</w:t>
      </w:r>
      <w:r w:rsidRPr="00A21EDA">
        <w:t xml:space="preserve"> </w:t>
      </w:r>
      <w:r>
        <w:fldChar w:fldCharType="begin"/>
      </w:r>
      <w:r>
        <w:instrText xml:space="preserve"> REF _Ref13214532 \h </w:instrText>
      </w:r>
      <w:r>
        <w:fldChar w:fldCharType="separate"/>
      </w:r>
      <w:r w:rsidR="00A7463B">
        <w:t xml:space="preserve">Table </w:t>
      </w:r>
      <w:r w:rsidR="00A7463B">
        <w:rPr>
          <w:noProof/>
        </w:rPr>
        <w:t>96</w:t>
      </w:r>
      <w:r>
        <w:fldChar w:fldCharType="end"/>
      </w:r>
      <w:r>
        <w:t xml:space="preserve">, Appendix G </w:t>
      </w:r>
      <w:r w:rsidRPr="00A21EDA">
        <w:t>and the 'HTA Data April2019.xlsx' workbook</w:t>
      </w:r>
      <w:r>
        <w:t>.</w:t>
      </w:r>
    </w:p>
    <w:p w14:paraId="462C283B" w14:textId="77777777" w:rsidR="008474CF" w:rsidRPr="00911F85" w:rsidRDefault="008474CF" w:rsidP="008474CF"/>
    <w:p w14:paraId="3C47BB4E" w14:textId="77777777" w:rsidR="008409CE" w:rsidRPr="00386411" w:rsidRDefault="008409CE" w:rsidP="00DF343F">
      <w:pPr>
        <w:pStyle w:val="Heading1"/>
        <w:sectPr w:rsidR="008409CE" w:rsidRPr="00386411" w:rsidSect="0093269A">
          <w:pgSz w:w="11906" w:h="16838"/>
          <w:pgMar w:top="1440" w:right="1440" w:bottom="1440" w:left="1440" w:header="720" w:footer="720" w:gutter="0"/>
          <w:paperSrc w:first="7" w:other="7"/>
          <w:cols w:space="720"/>
          <w:docGrid w:linePitch="360"/>
        </w:sectPr>
      </w:pPr>
      <w:bookmarkStart w:id="828" w:name="_Toc379118117"/>
      <w:bookmarkStart w:id="829" w:name="_Toc381796514"/>
    </w:p>
    <w:p w14:paraId="261AEE59" w14:textId="112DDAAC" w:rsidR="0016008C" w:rsidRPr="00386411" w:rsidRDefault="0016008C" w:rsidP="0016008C">
      <w:pPr>
        <w:pStyle w:val="Heading1"/>
      </w:pPr>
      <w:bookmarkStart w:id="830" w:name="_Ref10282068"/>
      <w:bookmarkStart w:id="831" w:name="_Toc14431196"/>
      <w:bookmarkStart w:id="832" w:name="_Toc16856373"/>
      <w:r w:rsidRPr="00386411">
        <w:lastRenderedPageBreak/>
        <w:t>Attachment 1</w:t>
      </w:r>
      <w:bookmarkEnd w:id="830"/>
      <w:bookmarkEnd w:id="831"/>
      <w:bookmarkEnd w:id="832"/>
    </w:p>
    <w:p w14:paraId="7236A39F" w14:textId="2301D99A" w:rsidR="0016008C" w:rsidRPr="00386411" w:rsidRDefault="0016008C" w:rsidP="0016008C">
      <w:pPr>
        <w:spacing w:after="0"/>
        <w:rPr>
          <w:rFonts w:ascii="Arial Narrow" w:hAnsi="Arial Narrow"/>
          <w:b/>
          <w:sz w:val="24"/>
        </w:rPr>
      </w:pPr>
      <w:r w:rsidRPr="00386411">
        <w:rPr>
          <w:rFonts w:ascii="Arial Narrow" w:hAnsi="Arial Narrow"/>
          <w:b/>
          <w:sz w:val="24"/>
        </w:rPr>
        <w:t>IgG products TGA registered strengths and approved indications</w:t>
      </w:r>
      <w:r w:rsidR="00F67034">
        <w:rPr>
          <w:rFonts w:ascii="Arial Narrow" w:hAnsi="Arial Narrow"/>
          <w:b/>
          <w:sz w:val="24"/>
        </w:rPr>
        <w:t xml:space="preserve"> (search of January 2019 undertaken for PICO Confirmation)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1204"/>
        <w:gridCol w:w="808"/>
        <w:gridCol w:w="2462"/>
        <w:gridCol w:w="9070"/>
      </w:tblGrid>
      <w:tr w:rsidR="0016008C" w:rsidRPr="00386411" w14:paraId="46477D4A" w14:textId="77777777" w:rsidTr="0016008C">
        <w:trPr>
          <w:cantSplit/>
          <w:tblHeader/>
        </w:trPr>
        <w:tc>
          <w:tcPr>
            <w:tcW w:w="589" w:type="pct"/>
            <w:tcBorders>
              <w:top w:val="single" w:sz="4" w:space="0" w:color="auto"/>
              <w:left w:val="single" w:sz="4" w:space="0" w:color="auto"/>
              <w:bottom w:val="single" w:sz="4" w:space="0" w:color="auto"/>
              <w:right w:val="single" w:sz="4" w:space="0" w:color="auto"/>
            </w:tcBorders>
            <w:shd w:val="clear" w:color="auto" w:fill="auto"/>
            <w:hideMark/>
          </w:tcPr>
          <w:p w14:paraId="352FFC0E" w14:textId="77777777" w:rsidR="0016008C" w:rsidRPr="00386411" w:rsidRDefault="0016008C" w:rsidP="0016008C">
            <w:pPr>
              <w:spacing w:after="40" w:line="240" w:lineRule="auto"/>
              <w:ind w:left="-57" w:right="-57"/>
              <w:rPr>
                <w:rFonts w:ascii="Arial Narrow" w:hAnsi="Arial Narrow"/>
                <w:b/>
                <w:sz w:val="20"/>
              </w:rPr>
            </w:pPr>
            <w:r w:rsidRPr="00386411">
              <w:rPr>
                <w:rFonts w:ascii="Arial Narrow" w:hAnsi="Arial Narrow"/>
                <w:b/>
                <w:sz w:val="20"/>
              </w:rPr>
              <w:t>Product</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14:paraId="0CE57124" w14:textId="77777777" w:rsidR="0016008C" w:rsidRPr="00386411" w:rsidRDefault="0016008C" w:rsidP="0016008C">
            <w:pPr>
              <w:spacing w:after="40" w:line="240" w:lineRule="auto"/>
              <w:ind w:left="-57" w:right="-57"/>
              <w:rPr>
                <w:rFonts w:ascii="Arial Narrow" w:hAnsi="Arial Narrow"/>
                <w:b/>
                <w:sz w:val="20"/>
              </w:rPr>
            </w:pPr>
            <w:r w:rsidRPr="00386411">
              <w:rPr>
                <w:rFonts w:ascii="Arial Narrow" w:hAnsi="Arial Narrow"/>
                <w:b/>
                <w:sz w:val="20"/>
              </w:rPr>
              <w:t>Route</w:t>
            </w:r>
          </w:p>
        </w:tc>
        <w:tc>
          <w:tcPr>
            <w:tcW w:w="263" w:type="pct"/>
            <w:tcBorders>
              <w:top w:val="single" w:sz="4" w:space="0" w:color="auto"/>
              <w:left w:val="single" w:sz="4" w:space="0" w:color="auto"/>
              <w:bottom w:val="single" w:sz="4" w:space="0" w:color="auto"/>
              <w:right w:val="single" w:sz="4" w:space="0" w:color="auto"/>
            </w:tcBorders>
            <w:shd w:val="clear" w:color="auto" w:fill="auto"/>
            <w:hideMark/>
          </w:tcPr>
          <w:p w14:paraId="59323390" w14:textId="77777777" w:rsidR="0016008C" w:rsidRPr="00386411" w:rsidRDefault="0016008C" w:rsidP="0016008C">
            <w:pPr>
              <w:spacing w:after="40" w:line="240" w:lineRule="auto"/>
              <w:ind w:left="-57" w:right="-57"/>
              <w:rPr>
                <w:rFonts w:ascii="Arial Narrow" w:hAnsi="Arial Narrow"/>
                <w:b/>
                <w:sz w:val="20"/>
              </w:rPr>
            </w:pPr>
            <w:r w:rsidRPr="00386411">
              <w:rPr>
                <w:rFonts w:ascii="Arial Narrow" w:hAnsi="Arial Narrow"/>
                <w:b/>
                <w:sz w:val="20"/>
              </w:rPr>
              <w:t>ARTG#</w:t>
            </w:r>
          </w:p>
        </w:tc>
        <w:tc>
          <w:tcPr>
            <w:tcW w:w="802" w:type="pct"/>
            <w:tcBorders>
              <w:top w:val="single" w:sz="4" w:space="0" w:color="auto"/>
              <w:left w:val="single" w:sz="4" w:space="0" w:color="auto"/>
              <w:bottom w:val="single" w:sz="4" w:space="0" w:color="auto"/>
              <w:right w:val="single" w:sz="4" w:space="0" w:color="auto"/>
            </w:tcBorders>
            <w:shd w:val="clear" w:color="auto" w:fill="auto"/>
            <w:hideMark/>
          </w:tcPr>
          <w:p w14:paraId="75F11212" w14:textId="77777777" w:rsidR="0016008C" w:rsidRPr="00386411" w:rsidRDefault="0016008C" w:rsidP="0016008C">
            <w:pPr>
              <w:spacing w:after="40" w:line="240" w:lineRule="auto"/>
              <w:ind w:left="-57" w:right="-57"/>
              <w:rPr>
                <w:rFonts w:ascii="Arial Narrow" w:hAnsi="Arial Narrow"/>
                <w:b/>
                <w:sz w:val="20"/>
              </w:rPr>
            </w:pPr>
            <w:r w:rsidRPr="00386411">
              <w:rPr>
                <w:rFonts w:ascii="Arial Narrow" w:hAnsi="Arial Narrow"/>
                <w:b/>
                <w:sz w:val="20"/>
              </w:rPr>
              <w:t>Strength</w:t>
            </w:r>
          </w:p>
        </w:tc>
        <w:tc>
          <w:tcPr>
            <w:tcW w:w="2953" w:type="pct"/>
            <w:tcBorders>
              <w:top w:val="single" w:sz="4" w:space="0" w:color="auto"/>
              <w:left w:val="single" w:sz="4" w:space="0" w:color="auto"/>
              <w:bottom w:val="single" w:sz="4" w:space="0" w:color="auto"/>
              <w:right w:val="single" w:sz="4" w:space="0" w:color="auto"/>
            </w:tcBorders>
            <w:shd w:val="clear" w:color="auto" w:fill="auto"/>
            <w:hideMark/>
          </w:tcPr>
          <w:p w14:paraId="3C4F38EC" w14:textId="77777777" w:rsidR="0016008C" w:rsidRPr="00386411" w:rsidRDefault="0016008C" w:rsidP="0016008C">
            <w:pPr>
              <w:spacing w:after="40" w:line="240" w:lineRule="auto"/>
              <w:ind w:left="-57" w:right="-57"/>
              <w:rPr>
                <w:rFonts w:ascii="Arial Narrow" w:hAnsi="Arial Narrow"/>
                <w:b/>
                <w:sz w:val="20"/>
              </w:rPr>
            </w:pPr>
            <w:r w:rsidRPr="00386411">
              <w:rPr>
                <w:rFonts w:ascii="Arial Narrow" w:hAnsi="Arial Narrow"/>
                <w:b/>
                <w:sz w:val="20"/>
              </w:rPr>
              <w:t>TGA Approved Indications</w:t>
            </w:r>
          </w:p>
        </w:tc>
      </w:tr>
      <w:tr w:rsidR="0016008C" w:rsidRPr="003B4D22" w14:paraId="6A79E7DA" w14:textId="77777777" w:rsidTr="0016008C">
        <w:tc>
          <w:tcPr>
            <w:tcW w:w="589" w:type="pct"/>
            <w:tcBorders>
              <w:top w:val="single" w:sz="4" w:space="0" w:color="auto"/>
              <w:left w:val="single" w:sz="4" w:space="0" w:color="auto"/>
              <w:bottom w:val="single" w:sz="4" w:space="0" w:color="auto"/>
              <w:right w:val="single" w:sz="4" w:space="0" w:color="auto"/>
            </w:tcBorders>
            <w:shd w:val="clear" w:color="auto" w:fill="auto"/>
            <w:hideMark/>
          </w:tcPr>
          <w:p w14:paraId="3F9E6BA1"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Intragam 10</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14:paraId="3B93E0F8"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IV infusion</w:t>
            </w:r>
          </w:p>
        </w:tc>
        <w:tc>
          <w:tcPr>
            <w:tcW w:w="263" w:type="pct"/>
            <w:tcBorders>
              <w:top w:val="single" w:sz="4" w:space="0" w:color="auto"/>
              <w:left w:val="single" w:sz="4" w:space="0" w:color="auto"/>
              <w:bottom w:val="single" w:sz="4" w:space="0" w:color="auto"/>
              <w:right w:val="single" w:sz="4" w:space="0" w:color="auto"/>
            </w:tcBorders>
            <w:shd w:val="clear" w:color="auto" w:fill="auto"/>
            <w:hideMark/>
          </w:tcPr>
          <w:p w14:paraId="332A6FFF"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162489</w:t>
            </w:r>
          </w:p>
          <w:p w14:paraId="7E1764AC"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162488</w:t>
            </w:r>
          </w:p>
          <w:p w14:paraId="627E0EEC"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162487</w:t>
            </w:r>
          </w:p>
          <w:p w14:paraId="190F5811"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162486</w:t>
            </w:r>
          </w:p>
        </w:tc>
        <w:tc>
          <w:tcPr>
            <w:tcW w:w="802" w:type="pct"/>
            <w:tcBorders>
              <w:top w:val="single" w:sz="4" w:space="0" w:color="auto"/>
              <w:left w:val="single" w:sz="4" w:space="0" w:color="auto"/>
              <w:bottom w:val="single" w:sz="4" w:space="0" w:color="auto"/>
              <w:right w:val="single" w:sz="4" w:space="0" w:color="auto"/>
            </w:tcBorders>
            <w:shd w:val="clear" w:color="auto" w:fill="auto"/>
            <w:hideMark/>
          </w:tcPr>
          <w:p w14:paraId="7CB23FF7"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20g/200mL vial</w:t>
            </w:r>
          </w:p>
          <w:p w14:paraId="5D4CE4FC"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10g/100mL vial</w:t>
            </w:r>
          </w:p>
          <w:p w14:paraId="69F973EE"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5g/50mL vial</w:t>
            </w:r>
          </w:p>
          <w:p w14:paraId="21E1703E"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2.5g/25mL vial</w:t>
            </w:r>
          </w:p>
        </w:tc>
        <w:tc>
          <w:tcPr>
            <w:tcW w:w="2953" w:type="pct"/>
            <w:tcBorders>
              <w:top w:val="single" w:sz="4" w:space="0" w:color="auto"/>
              <w:left w:val="single" w:sz="4" w:space="0" w:color="auto"/>
              <w:bottom w:val="single" w:sz="4" w:space="0" w:color="auto"/>
              <w:right w:val="single" w:sz="4" w:space="0" w:color="auto"/>
            </w:tcBorders>
            <w:shd w:val="clear" w:color="auto" w:fill="auto"/>
            <w:hideMark/>
          </w:tcPr>
          <w:p w14:paraId="609BBAE3"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Thrombocytopenic Purpura, in adults or children at high risk of bleeding or prior to surgery to correct the platelet count</w:t>
            </w:r>
          </w:p>
          <w:p w14:paraId="515D716D"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Kawasaki disease</w:t>
            </w:r>
          </w:p>
          <w:p w14:paraId="08D55012"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Guillain-Barré Syndrome</w:t>
            </w:r>
          </w:p>
          <w:p w14:paraId="7A6D8479"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xml:space="preserve">• Chronic Inflammatory Demyelinating Polyneuropathy </w:t>
            </w:r>
          </w:p>
          <w:p w14:paraId="5680102A"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Multifocal Motor Neuropathy</w:t>
            </w:r>
          </w:p>
          <w:p w14:paraId="09F8FEFE"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Myasthenia Gravis (MG) in acute exacerbation (myasthenic crisis) or prior to surgery and/or thymectomy; as maintenance therapy for moderate to severe MG when other treatments have been ineffective or caused intolerable side effects</w:t>
            </w:r>
          </w:p>
          <w:p w14:paraId="305B00AF"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Short-term therapy for severely affected nonparaneoplastic Lambert-Eaton Myasthenic Syndrome patients</w:t>
            </w:r>
          </w:p>
          <w:p w14:paraId="2E360C12"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Treatment of significant functional impairment in patients who have a verified diagnosis of stiff person syndrome.</w:t>
            </w:r>
          </w:p>
        </w:tc>
      </w:tr>
      <w:tr w:rsidR="0016008C" w:rsidRPr="003B4D22" w14:paraId="703A6EA1" w14:textId="77777777" w:rsidTr="0016008C">
        <w:tc>
          <w:tcPr>
            <w:tcW w:w="589" w:type="pct"/>
            <w:tcBorders>
              <w:top w:val="single" w:sz="4" w:space="0" w:color="auto"/>
              <w:left w:val="single" w:sz="4" w:space="0" w:color="auto"/>
              <w:bottom w:val="single" w:sz="4" w:space="0" w:color="auto"/>
              <w:right w:val="single" w:sz="4" w:space="0" w:color="auto"/>
            </w:tcBorders>
            <w:shd w:val="clear" w:color="auto" w:fill="auto"/>
            <w:hideMark/>
          </w:tcPr>
          <w:p w14:paraId="61C083D0"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Privigen 10%</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14:paraId="318DB8CD"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IV infusion</w:t>
            </w:r>
          </w:p>
        </w:tc>
        <w:tc>
          <w:tcPr>
            <w:tcW w:w="263" w:type="pct"/>
            <w:tcBorders>
              <w:top w:val="single" w:sz="4" w:space="0" w:color="auto"/>
              <w:left w:val="single" w:sz="4" w:space="0" w:color="auto"/>
              <w:bottom w:val="single" w:sz="4" w:space="0" w:color="auto"/>
              <w:right w:val="single" w:sz="4" w:space="0" w:color="auto"/>
            </w:tcBorders>
            <w:shd w:val="clear" w:color="auto" w:fill="auto"/>
            <w:hideMark/>
          </w:tcPr>
          <w:p w14:paraId="24F75C14"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219160</w:t>
            </w:r>
          </w:p>
          <w:p w14:paraId="4094294E"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143368</w:t>
            </w:r>
          </w:p>
          <w:p w14:paraId="0F017E77"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143337</w:t>
            </w:r>
          </w:p>
          <w:p w14:paraId="475D48A3"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143273</w:t>
            </w:r>
          </w:p>
        </w:tc>
        <w:tc>
          <w:tcPr>
            <w:tcW w:w="802" w:type="pct"/>
            <w:tcBorders>
              <w:top w:val="single" w:sz="4" w:space="0" w:color="auto"/>
              <w:left w:val="single" w:sz="4" w:space="0" w:color="auto"/>
              <w:bottom w:val="single" w:sz="4" w:space="0" w:color="auto"/>
              <w:right w:val="single" w:sz="4" w:space="0" w:color="auto"/>
            </w:tcBorders>
            <w:shd w:val="clear" w:color="auto" w:fill="auto"/>
            <w:hideMark/>
          </w:tcPr>
          <w:p w14:paraId="60B871E6"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40g (100g/L, 10%) bottle</w:t>
            </w:r>
          </w:p>
          <w:p w14:paraId="1EF678D9"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20g (100g/L, 10%) bottle</w:t>
            </w:r>
          </w:p>
          <w:p w14:paraId="7086CCB5"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10g (100g/L, 10%) bottle</w:t>
            </w:r>
          </w:p>
          <w:p w14:paraId="7E683E93"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5g (100g/L, 10%) bottle</w:t>
            </w:r>
          </w:p>
        </w:tc>
        <w:tc>
          <w:tcPr>
            <w:tcW w:w="2953" w:type="pct"/>
            <w:tcBorders>
              <w:top w:val="single" w:sz="4" w:space="0" w:color="auto"/>
              <w:left w:val="single" w:sz="4" w:space="0" w:color="auto"/>
              <w:bottom w:val="single" w:sz="4" w:space="0" w:color="auto"/>
              <w:right w:val="single" w:sz="4" w:space="0" w:color="auto"/>
            </w:tcBorders>
            <w:shd w:val="clear" w:color="auto" w:fill="auto"/>
            <w:hideMark/>
          </w:tcPr>
          <w:p w14:paraId="0035934E" w14:textId="77777777" w:rsidR="0016008C" w:rsidRPr="003B4D22" w:rsidRDefault="0016008C" w:rsidP="0016008C">
            <w:pPr>
              <w:spacing w:after="40" w:line="240" w:lineRule="auto"/>
              <w:ind w:left="-57" w:right="-57"/>
              <w:rPr>
                <w:rFonts w:ascii="Arial Narrow" w:hAnsi="Arial Narrow"/>
                <w:sz w:val="20"/>
                <w:u w:val="single"/>
              </w:rPr>
            </w:pPr>
            <w:r w:rsidRPr="003B4D22">
              <w:rPr>
                <w:rFonts w:ascii="Arial Narrow" w:hAnsi="Arial Narrow"/>
                <w:sz w:val="20"/>
                <w:u w:val="single"/>
              </w:rPr>
              <w:t>Replacement therapy</w:t>
            </w:r>
          </w:p>
          <w:p w14:paraId="2260BB3B"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Primary Immunodeficiency Diseases (PID).</w:t>
            </w:r>
          </w:p>
          <w:p w14:paraId="73FB7A22"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Myeloma or chronic lymphocytic leukaemia with severe secondary hypogammaglobulinaemia and recurrent infections.</w:t>
            </w:r>
          </w:p>
          <w:p w14:paraId="11895F51"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Symptomatic hypogammaglobulinaemia secondary to underlying disease or treatment.</w:t>
            </w:r>
          </w:p>
          <w:p w14:paraId="5E1A6EBB" w14:textId="77777777" w:rsidR="0016008C" w:rsidRPr="003B4D22" w:rsidRDefault="0016008C" w:rsidP="0016008C">
            <w:pPr>
              <w:spacing w:after="40" w:line="240" w:lineRule="auto"/>
              <w:ind w:left="-57" w:right="-57"/>
              <w:rPr>
                <w:rFonts w:ascii="Arial Narrow" w:hAnsi="Arial Narrow"/>
                <w:sz w:val="20"/>
                <w:u w:val="single"/>
              </w:rPr>
            </w:pPr>
            <w:r w:rsidRPr="003B4D22">
              <w:rPr>
                <w:rFonts w:ascii="Arial Narrow" w:hAnsi="Arial Narrow"/>
                <w:sz w:val="20"/>
                <w:u w:val="single"/>
              </w:rPr>
              <w:t>Immunomodulatory therapy</w:t>
            </w:r>
          </w:p>
          <w:p w14:paraId="3716E0A3"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Idiopathic Thrombocytopenic Purpura (ITP) in patients at high risk of bleeding or prior to surgery to correct the platelet count.</w:t>
            </w:r>
          </w:p>
          <w:p w14:paraId="03B4ABDA"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Guillain-Barré Syndrome (GBS).</w:t>
            </w:r>
          </w:p>
          <w:p w14:paraId="45318D7B"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Kawasaki disease.</w:t>
            </w:r>
          </w:p>
          <w:p w14:paraId="190D85DF"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Chronic Inflammatory Demyelinating Polyneuropathy (CIDP).</w:t>
            </w:r>
          </w:p>
          <w:p w14:paraId="36D57BDA"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Multifocal Motor Neuropathy (MMN).</w:t>
            </w:r>
          </w:p>
          <w:p w14:paraId="36FD2ABE"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Myasthenia Gravis (MG) exacerbations.</w:t>
            </w:r>
          </w:p>
          <w:p w14:paraId="295D9EFB"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Lambert-Eaton Myasthenic Syndrome (LEMS).</w:t>
            </w:r>
          </w:p>
          <w:p w14:paraId="07A8C280"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Stiff Person Syndrome (SPS).</w:t>
            </w:r>
          </w:p>
        </w:tc>
      </w:tr>
      <w:tr w:rsidR="0016008C" w:rsidRPr="003B4D22" w14:paraId="432B804F" w14:textId="77777777" w:rsidTr="0016008C">
        <w:tc>
          <w:tcPr>
            <w:tcW w:w="589" w:type="pct"/>
            <w:tcBorders>
              <w:top w:val="single" w:sz="4" w:space="0" w:color="auto"/>
              <w:left w:val="single" w:sz="4" w:space="0" w:color="auto"/>
              <w:bottom w:val="single" w:sz="4" w:space="0" w:color="auto"/>
              <w:right w:val="single" w:sz="4" w:space="0" w:color="auto"/>
            </w:tcBorders>
            <w:shd w:val="clear" w:color="auto" w:fill="auto"/>
            <w:hideMark/>
          </w:tcPr>
          <w:p w14:paraId="0CB3174B"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xml:space="preserve">Hizentra </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14:paraId="4D915503"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SC infusion</w:t>
            </w:r>
          </w:p>
        </w:tc>
        <w:tc>
          <w:tcPr>
            <w:tcW w:w="263" w:type="pct"/>
            <w:tcBorders>
              <w:top w:val="single" w:sz="4" w:space="0" w:color="auto"/>
              <w:left w:val="single" w:sz="4" w:space="0" w:color="auto"/>
              <w:bottom w:val="single" w:sz="4" w:space="0" w:color="auto"/>
              <w:right w:val="single" w:sz="4" w:space="0" w:color="auto"/>
            </w:tcBorders>
            <w:shd w:val="clear" w:color="auto" w:fill="auto"/>
            <w:hideMark/>
          </w:tcPr>
          <w:p w14:paraId="5B7739D7"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285345</w:t>
            </w:r>
          </w:p>
          <w:p w14:paraId="07F2E093"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285344</w:t>
            </w:r>
          </w:p>
          <w:p w14:paraId="0B9E175C"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207386</w:t>
            </w:r>
          </w:p>
          <w:p w14:paraId="4AF2E17D"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207385</w:t>
            </w:r>
          </w:p>
          <w:p w14:paraId="62C153AC"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lastRenderedPageBreak/>
              <w:t>207384</w:t>
            </w:r>
          </w:p>
          <w:p w14:paraId="2DB3D077"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207383</w:t>
            </w:r>
          </w:p>
        </w:tc>
        <w:tc>
          <w:tcPr>
            <w:tcW w:w="802" w:type="pct"/>
            <w:tcBorders>
              <w:top w:val="single" w:sz="4" w:space="0" w:color="auto"/>
              <w:left w:val="single" w:sz="4" w:space="0" w:color="auto"/>
              <w:bottom w:val="single" w:sz="4" w:space="0" w:color="auto"/>
              <w:right w:val="single" w:sz="4" w:space="0" w:color="auto"/>
            </w:tcBorders>
            <w:shd w:val="clear" w:color="auto" w:fill="auto"/>
            <w:hideMark/>
          </w:tcPr>
          <w:p w14:paraId="66513D0B"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lastRenderedPageBreak/>
              <w:t>20% Solution 10 mL PFS</w:t>
            </w:r>
          </w:p>
          <w:p w14:paraId="559FCAB4"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20% Solution 5 mL PFS</w:t>
            </w:r>
          </w:p>
          <w:p w14:paraId="6E3030F5"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20% Solution 5 mL vial</w:t>
            </w:r>
          </w:p>
          <w:p w14:paraId="49D3117A"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20% Solution 10 mL vial</w:t>
            </w:r>
          </w:p>
          <w:p w14:paraId="41525381"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lastRenderedPageBreak/>
              <w:t>20% Solution 50 mL vial</w:t>
            </w:r>
          </w:p>
          <w:p w14:paraId="0E5A6212"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20% Solution 20 mL vial</w:t>
            </w:r>
          </w:p>
        </w:tc>
        <w:tc>
          <w:tcPr>
            <w:tcW w:w="2953" w:type="pct"/>
            <w:tcBorders>
              <w:top w:val="single" w:sz="4" w:space="0" w:color="auto"/>
              <w:left w:val="single" w:sz="4" w:space="0" w:color="auto"/>
              <w:bottom w:val="single" w:sz="4" w:space="0" w:color="auto"/>
              <w:right w:val="single" w:sz="4" w:space="0" w:color="auto"/>
            </w:tcBorders>
            <w:shd w:val="clear" w:color="auto" w:fill="auto"/>
            <w:hideMark/>
          </w:tcPr>
          <w:p w14:paraId="3C70F6B9" w14:textId="77777777" w:rsidR="0016008C" w:rsidRPr="003B4D22" w:rsidRDefault="0016008C" w:rsidP="0016008C">
            <w:pPr>
              <w:spacing w:after="40" w:line="240" w:lineRule="auto"/>
              <w:ind w:left="-57" w:right="-57"/>
              <w:rPr>
                <w:rFonts w:ascii="Arial Narrow" w:hAnsi="Arial Narrow"/>
                <w:sz w:val="20"/>
                <w:u w:val="single"/>
              </w:rPr>
            </w:pPr>
            <w:r w:rsidRPr="003B4D22">
              <w:rPr>
                <w:rFonts w:ascii="Arial Narrow" w:hAnsi="Arial Narrow"/>
                <w:sz w:val="20"/>
                <w:u w:val="single"/>
              </w:rPr>
              <w:lastRenderedPageBreak/>
              <w:t>Replacement therapy in adults and children in:</w:t>
            </w:r>
          </w:p>
          <w:p w14:paraId="54B5FB29"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Primary Immunodeficiency Disease (PID) and</w:t>
            </w:r>
          </w:p>
          <w:p w14:paraId="64713992"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Symptomatic hypogammaglobulinaemia secondary to underlying disease or treatment.</w:t>
            </w:r>
          </w:p>
          <w:p w14:paraId="66BA8288" w14:textId="77777777" w:rsidR="0016008C" w:rsidRPr="003B4D22" w:rsidRDefault="0016008C" w:rsidP="0016008C">
            <w:pPr>
              <w:spacing w:after="40" w:line="240" w:lineRule="auto"/>
              <w:ind w:left="-57" w:right="-57"/>
              <w:rPr>
                <w:rFonts w:ascii="Arial Narrow" w:hAnsi="Arial Narrow"/>
                <w:sz w:val="20"/>
                <w:u w:val="single"/>
              </w:rPr>
            </w:pPr>
            <w:r w:rsidRPr="003B4D22">
              <w:rPr>
                <w:rFonts w:ascii="Arial Narrow" w:hAnsi="Arial Narrow"/>
                <w:sz w:val="20"/>
                <w:u w:val="single"/>
              </w:rPr>
              <w:t>Immunomodulatory therapy in:</w:t>
            </w:r>
          </w:p>
          <w:p w14:paraId="1C2E9C36"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lastRenderedPageBreak/>
              <w:t>• Chronic Inflammatory Demyelinating Polyneuropathy (CIDP) as maintenance therapy after stabilisation with IVIg.</w:t>
            </w:r>
          </w:p>
        </w:tc>
      </w:tr>
      <w:tr w:rsidR="0016008C" w:rsidRPr="003B4D22" w14:paraId="7FD85938" w14:textId="77777777" w:rsidTr="0016008C">
        <w:tc>
          <w:tcPr>
            <w:tcW w:w="589" w:type="pct"/>
            <w:tcBorders>
              <w:top w:val="single" w:sz="4" w:space="0" w:color="auto"/>
              <w:left w:val="single" w:sz="4" w:space="0" w:color="auto"/>
              <w:bottom w:val="single" w:sz="4" w:space="0" w:color="auto"/>
              <w:right w:val="single" w:sz="4" w:space="0" w:color="auto"/>
            </w:tcBorders>
            <w:shd w:val="clear" w:color="auto" w:fill="auto"/>
            <w:hideMark/>
          </w:tcPr>
          <w:p w14:paraId="76E6357B"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lastRenderedPageBreak/>
              <w:t>Gamunex 10%</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14:paraId="789EA744"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IV infusion*</w:t>
            </w:r>
          </w:p>
        </w:tc>
        <w:tc>
          <w:tcPr>
            <w:tcW w:w="263" w:type="pct"/>
            <w:tcBorders>
              <w:top w:val="single" w:sz="4" w:space="0" w:color="auto"/>
              <w:left w:val="single" w:sz="4" w:space="0" w:color="auto"/>
              <w:bottom w:val="single" w:sz="4" w:space="0" w:color="auto"/>
              <w:right w:val="single" w:sz="4" w:space="0" w:color="auto"/>
            </w:tcBorders>
            <w:shd w:val="clear" w:color="auto" w:fill="auto"/>
            <w:hideMark/>
          </w:tcPr>
          <w:p w14:paraId="7983D802"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117240</w:t>
            </w:r>
          </w:p>
          <w:p w14:paraId="5202ABC1"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117239</w:t>
            </w:r>
          </w:p>
          <w:p w14:paraId="4B83DBA9"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117238</w:t>
            </w:r>
          </w:p>
          <w:p w14:paraId="1C8EC65A"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117237</w:t>
            </w:r>
          </w:p>
          <w:p w14:paraId="2C5C2A03"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116689</w:t>
            </w:r>
          </w:p>
        </w:tc>
        <w:tc>
          <w:tcPr>
            <w:tcW w:w="802" w:type="pct"/>
            <w:tcBorders>
              <w:top w:val="single" w:sz="4" w:space="0" w:color="auto"/>
              <w:left w:val="single" w:sz="4" w:space="0" w:color="auto"/>
              <w:bottom w:val="single" w:sz="4" w:space="0" w:color="auto"/>
              <w:right w:val="single" w:sz="4" w:space="0" w:color="auto"/>
            </w:tcBorders>
            <w:shd w:val="clear" w:color="auto" w:fill="auto"/>
            <w:hideMark/>
          </w:tcPr>
          <w:p w14:paraId="66C47B38"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20g/200mL vial</w:t>
            </w:r>
          </w:p>
          <w:p w14:paraId="1AB81426"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10g/100mL vial</w:t>
            </w:r>
          </w:p>
          <w:p w14:paraId="22E9B280"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5g/50mL vial</w:t>
            </w:r>
          </w:p>
          <w:p w14:paraId="7A7190EB"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2.5g/25mL vial</w:t>
            </w:r>
          </w:p>
          <w:p w14:paraId="71D17EF4"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1g/10mL vial</w:t>
            </w:r>
          </w:p>
        </w:tc>
        <w:tc>
          <w:tcPr>
            <w:tcW w:w="2953" w:type="pct"/>
            <w:tcBorders>
              <w:top w:val="single" w:sz="4" w:space="0" w:color="auto"/>
              <w:left w:val="single" w:sz="4" w:space="0" w:color="auto"/>
              <w:bottom w:val="single" w:sz="4" w:space="0" w:color="auto"/>
              <w:right w:val="single" w:sz="4" w:space="0" w:color="auto"/>
            </w:tcBorders>
            <w:shd w:val="clear" w:color="auto" w:fill="auto"/>
            <w:hideMark/>
          </w:tcPr>
          <w:p w14:paraId="0D0052F3" w14:textId="77777777" w:rsidR="0016008C" w:rsidRPr="003B4D22" w:rsidRDefault="0016008C" w:rsidP="0016008C">
            <w:pPr>
              <w:spacing w:after="40" w:line="240" w:lineRule="auto"/>
              <w:ind w:left="-57" w:right="-57"/>
              <w:rPr>
                <w:rFonts w:ascii="Arial Narrow" w:hAnsi="Arial Narrow"/>
                <w:sz w:val="20"/>
                <w:u w:val="single"/>
              </w:rPr>
            </w:pPr>
            <w:r w:rsidRPr="003B4D22">
              <w:rPr>
                <w:rFonts w:ascii="Arial Narrow" w:hAnsi="Arial Narrow"/>
                <w:sz w:val="20"/>
                <w:u w:val="single"/>
              </w:rPr>
              <w:t>Replacement therapy in:</w:t>
            </w:r>
          </w:p>
          <w:p w14:paraId="607AF4F0"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Primary Immunodeficiency (PI) Diseases.</w:t>
            </w:r>
          </w:p>
          <w:p w14:paraId="68139206"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Symptomatic Hypogammaglobulinaemia secondary to underlying disease or treatment.</w:t>
            </w:r>
          </w:p>
          <w:p w14:paraId="51D5CD2A" w14:textId="77777777" w:rsidR="0016008C" w:rsidRPr="003B4D22" w:rsidRDefault="0016008C" w:rsidP="0016008C">
            <w:pPr>
              <w:spacing w:after="40" w:line="240" w:lineRule="auto"/>
              <w:ind w:left="-57" w:right="-57"/>
              <w:rPr>
                <w:rFonts w:ascii="Arial Narrow" w:hAnsi="Arial Narrow"/>
                <w:sz w:val="20"/>
                <w:u w:val="single"/>
              </w:rPr>
            </w:pPr>
            <w:r w:rsidRPr="003B4D22">
              <w:rPr>
                <w:rFonts w:ascii="Arial Narrow" w:hAnsi="Arial Narrow"/>
                <w:sz w:val="20"/>
                <w:u w:val="single"/>
              </w:rPr>
              <w:t>Immunomodulation in:</w:t>
            </w:r>
          </w:p>
          <w:p w14:paraId="122CAE0F"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Idiopathic Thrombocytopaenic Purpura (ITP), in patients at high risk of bleeding or prior to</w:t>
            </w:r>
          </w:p>
          <w:p w14:paraId="571E3B35"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surgery to correct the platelet count.</w:t>
            </w:r>
          </w:p>
          <w:p w14:paraId="3DD23E37"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Guillain Barré Syndrome (GBS).</w:t>
            </w:r>
          </w:p>
          <w:p w14:paraId="45A99547"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Chronic Inflammatory Demyelinating Polyneuropathy (CIDP).</w:t>
            </w:r>
          </w:p>
          <w:p w14:paraId="15D0A1B5"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Kawasaki disease.</w:t>
            </w:r>
          </w:p>
        </w:tc>
      </w:tr>
      <w:tr w:rsidR="0016008C" w:rsidRPr="003B4D22" w14:paraId="18319BB1" w14:textId="77777777" w:rsidTr="0016008C">
        <w:tc>
          <w:tcPr>
            <w:tcW w:w="589" w:type="pct"/>
            <w:tcBorders>
              <w:top w:val="single" w:sz="4" w:space="0" w:color="auto"/>
              <w:left w:val="single" w:sz="4" w:space="0" w:color="auto"/>
              <w:bottom w:val="single" w:sz="4" w:space="0" w:color="auto"/>
              <w:right w:val="single" w:sz="4" w:space="0" w:color="auto"/>
            </w:tcBorders>
            <w:shd w:val="clear" w:color="auto" w:fill="auto"/>
            <w:hideMark/>
          </w:tcPr>
          <w:p w14:paraId="29E3A997"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Flebogamma 10%</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14:paraId="1DEDBD3B"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IV infusion</w:t>
            </w:r>
          </w:p>
        </w:tc>
        <w:tc>
          <w:tcPr>
            <w:tcW w:w="263" w:type="pct"/>
            <w:tcBorders>
              <w:top w:val="single" w:sz="4" w:space="0" w:color="auto"/>
              <w:left w:val="single" w:sz="4" w:space="0" w:color="auto"/>
              <w:bottom w:val="single" w:sz="4" w:space="0" w:color="auto"/>
              <w:right w:val="single" w:sz="4" w:space="0" w:color="auto"/>
            </w:tcBorders>
            <w:shd w:val="clear" w:color="auto" w:fill="auto"/>
            <w:hideMark/>
          </w:tcPr>
          <w:p w14:paraId="44813CD3"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184353</w:t>
            </w:r>
          </w:p>
          <w:p w14:paraId="2D0753EE"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182359</w:t>
            </w:r>
          </w:p>
          <w:p w14:paraId="0D2B8CCF"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182358</w:t>
            </w:r>
          </w:p>
        </w:tc>
        <w:tc>
          <w:tcPr>
            <w:tcW w:w="802" w:type="pct"/>
            <w:tcBorders>
              <w:top w:val="single" w:sz="4" w:space="0" w:color="auto"/>
              <w:left w:val="single" w:sz="4" w:space="0" w:color="auto"/>
              <w:bottom w:val="single" w:sz="4" w:space="0" w:color="auto"/>
              <w:right w:val="single" w:sz="4" w:space="0" w:color="auto"/>
            </w:tcBorders>
            <w:shd w:val="clear" w:color="auto" w:fill="auto"/>
            <w:hideMark/>
          </w:tcPr>
          <w:p w14:paraId="5AC58F47"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5g/50mL vial</w:t>
            </w:r>
          </w:p>
          <w:p w14:paraId="68168BD4"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20g/200mL vial</w:t>
            </w:r>
          </w:p>
          <w:p w14:paraId="43FF3994"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10g/100mL vial</w:t>
            </w:r>
          </w:p>
        </w:tc>
        <w:tc>
          <w:tcPr>
            <w:tcW w:w="2953" w:type="pct"/>
            <w:tcBorders>
              <w:top w:val="single" w:sz="4" w:space="0" w:color="auto"/>
              <w:left w:val="single" w:sz="4" w:space="0" w:color="auto"/>
              <w:bottom w:val="single" w:sz="4" w:space="0" w:color="auto"/>
              <w:right w:val="single" w:sz="4" w:space="0" w:color="auto"/>
            </w:tcBorders>
            <w:shd w:val="clear" w:color="auto" w:fill="auto"/>
            <w:hideMark/>
          </w:tcPr>
          <w:p w14:paraId="3150BC62" w14:textId="77777777" w:rsidR="0016008C" w:rsidRPr="003B4D22" w:rsidRDefault="0016008C" w:rsidP="0016008C">
            <w:pPr>
              <w:spacing w:after="40" w:line="240" w:lineRule="auto"/>
              <w:ind w:left="-57" w:right="-57"/>
              <w:rPr>
                <w:rFonts w:ascii="Arial Narrow" w:hAnsi="Arial Narrow"/>
                <w:sz w:val="20"/>
                <w:u w:val="single"/>
              </w:rPr>
            </w:pPr>
            <w:r w:rsidRPr="003B4D22">
              <w:rPr>
                <w:rFonts w:ascii="Arial Narrow" w:hAnsi="Arial Narrow"/>
                <w:sz w:val="20"/>
                <w:u w:val="single"/>
              </w:rPr>
              <w:t>Replacement therapy indications:</w:t>
            </w:r>
          </w:p>
          <w:p w14:paraId="0157B85F"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Primary Immunodeficiency (PI) Diseases</w:t>
            </w:r>
          </w:p>
          <w:p w14:paraId="1D48D3E7"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Symptomatic hypogammaglobulinaemia secondary to underlying disease or treatment.</w:t>
            </w:r>
          </w:p>
          <w:p w14:paraId="0DF61206" w14:textId="77777777" w:rsidR="0016008C" w:rsidRPr="003B4D22" w:rsidRDefault="0016008C" w:rsidP="0016008C">
            <w:pPr>
              <w:spacing w:after="40" w:line="240" w:lineRule="auto"/>
              <w:ind w:left="-57" w:right="-57"/>
              <w:rPr>
                <w:rFonts w:ascii="Arial Narrow" w:hAnsi="Arial Narrow"/>
                <w:sz w:val="20"/>
                <w:u w:val="single"/>
              </w:rPr>
            </w:pPr>
            <w:r w:rsidRPr="003B4D22">
              <w:rPr>
                <w:rFonts w:ascii="Arial Narrow" w:hAnsi="Arial Narrow"/>
                <w:sz w:val="20"/>
                <w:u w:val="single"/>
              </w:rPr>
              <w:t>Immunomodulation indications:</w:t>
            </w:r>
          </w:p>
          <w:p w14:paraId="341E2BA3"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Idiopathic Thrombocytopaenic Purpura (ITP), in patients at high risk of bleeding or</w:t>
            </w:r>
          </w:p>
          <w:p w14:paraId="047CD7EF"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prior to surgery to correct the platelet count.</w:t>
            </w:r>
          </w:p>
          <w:p w14:paraId="4474A123"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Guillain Barré syndrome.</w:t>
            </w:r>
          </w:p>
          <w:p w14:paraId="49568B7A"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Kawasaki disease.</w:t>
            </w:r>
          </w:p>
        </w:tc>
      </w:tr>
      <w:tr w:rsidR="0016008C" w:rsidRPr="003B4D22" w14:paraId="216DFA1A" w14:textId="77777777" w:rsidTr="0016008C">
        <w:tc>
          <w:tcPr>
            <w:tcW w:w="589" w:type="pct"/>
            <w:tcBorders>
              <w:top w:val="single" w:sz="4" w:space="0" w:color="auto"/>
              <w:left w:val="single" w:sz="4" w:space="0" w:color="auto"/>
              <w:bottom w:val="single" w:sz="4" w:space="0" w:color="auto"/>
              <w:right w:val="single" w:sz="4" w:space="0" w:color="auto"/>
            </w:tcBorders>
            <w:shd w:val="clear" w:color="auto" w:fill="auto"/>
            <w:hideMark/>
          </w:tcPr>
          <w:p w14:paraId="422E9D02"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Flebogamma 5%</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14:paraId="114A290D"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IV infusion</w:t>
            </w:r>
          </w:p>
        </w:tc>
        <w:tc>
          <w:tcPr>
            <w:tcW w:w="263" w:type="pct"/>
            <w:tcBorders>
              <w:top w:val="single" w:sz="4" w:space="0" w:color="auto"/>
              <w:left w:val="single" w:sz="4" w:space="0" w:color="auto"/>
              <w:bottom w:val="single" w:sz="4" w:space="0" w:color="auto"/>
              <w:right w:val="single" w:sz="4" w:space="0" w:color="auto"/>
            </w:tcBorders>
            <w:shd w:val="clear" w:color="auto" w:fill="auto"/>
            <w:hideMark/>
          </w:tcPr>
          <w:p w14:paraId="65158A99"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143803</w:t>
            </w:r>
          </w:p>
          <w:p w14:paraId="0672F63D"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143802</w:t>
            </w:r>
          </w:p>
          <w:p w14:paraId="035D2FCC"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143801</w:t>
            </w:r>
          </w:p>
          <w:p w14:paraId="28FF49FA"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143800</w:t>
            </w:r>
          </w:p>
          <w:p w14:paraId="64C5BD61"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140602</w:t>
            </w:r>
          </w:p>
        </w:tc>
        <w:tc>
          <w:tcPr>
            <w:tcW w:w="802" w:type="pct"/>
            <w:tcBorders>
              <w:top w:val="single" w:sz="4" w:space="0" w:color="auto"/>
              <w:left w:val="single" w:sz="4" w:space="0" w:color="auto"/>
              <w:bottom w:val="single" w:sz="4" w:space="0" w:color="auto"/>
              <w:right w:val="single" w:sz="4" w:space="0" w:color="auto"/>
            </w:tcBorders>
            <w:shd w:val="clear" w:color="auto" w:fill="auto"/>
            <w:hideMark/>
          </w:tcPr>
          <w:p w14:paraId="10FF2FF9"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20g/400mL vial</w:t>
            </w:r>
          </w:p>
          <w:p w14:paraId="28E00EFE"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10g/200mL vial</w:t>
            </w:r>
          </w:p>
          <w:p w14:paraId="36ABEE35"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5g/100mL vial</w:t>
            </w:r>
          </w:p>
          <w:p w14:paraId="7CDE291D"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2.5g/50mL vial</w:t>
            </w:r>
          </w:p>
          <w:p w14:paraId="71DC30C6"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0.5g/10mL vial</w:t>
            </w:r>
          </w:p>
        </w:tc>
        <w:tc>
          <w:tcPr>
            <w:tcW w:w="2953" w:type="pct"/>
            <w:tcBorders>
              <w:top w:val="single" w:sz="4" w:space="0" w:color="auto"/>
              <w:left w:val="single" w:sz="4" w:space="0" w:color="auto"/>
              <w:bottom w:val="single" w:sz="4" w:space="0" w:color="auto"/>
              <w:right w:val="single" w:sz="4" w:space="0" w:color="auto"/>
            </w:tcBorders>
            <w:shd w:val="clear" w:color="auto" w:fill="auto"/>
            <w:hideMark/>
          </w:tcPr>
          <w:p w14:paraId="274803DB" w14:textId="77777777" w:rsidR="0016008C" w:rsidRPr="003B4D22" w:rsidRDefault="0016008C" w:rsidP="0016008C">
            <w:pPr>
              <w:spacing w:after="40" w:line="240" w:lineRule="auto"/>
              <w:ind w:left="-57" w:right="-57"/>
              <w:rPr>
                <w:rFonts w:ascii="Arial Narrow" w:hAnsi="Arial Narrow"/>
                <w:sz w:val="20"/>
                <w:u w:val="single"/>
              </w:rPr>
            </w:pPr>
            <w:r w:rsidRPr="003B4D22">
              <w:rPr>
                <w:rFonts w:ascii="Arial Narrow" w:hAnsi="Arial Narrow"/>
                <w:sz w:val="20"/>
                <w:u w:val="single"/>
              </w:rPr>
              <w:t>Replacement therapy in:</w:t>
            </w:r>
          </w:p>
          <w:p w14:paraId="10C8C001"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Primary immunodeficiency syndromes such as:</w:t>
            </w:r>
          </w:p>
          <w:p w14:paraId="007A98DF"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congenital agammaglobulinaemia and hypogammaglobulinaemia</w:t>
            </w:r>
          </w:p>
          <w:p w14:paraId="7A474075"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common variable immunodeficiency</w:t>
            </w:r>
          </w:p>
          <w:p w14:paraId="1A80B11C"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severe combined immunodeficiency</w:t>
            </w:r>
          </w:p>
          <w:p w14:paraId="56172DB4"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Wiskott Aldrich syndrome</w:t>
            </w:r>
          </w:p>
          <w:p w14:paraId="52412483"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Myeloma or chronic lymphocytic leukaemia with severe secondary hypogammaglobulinaemia and recurrent infections.</w:t>
            </w:r>
          </w:p>
          <w:p w14:paraId="2822926E"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Children with congenital AIDS and recurrent infections.</w:t>
            </w:r>
          </w:p>
          <w:p w14:paraId="51583B76" w14:textId="77777777" w:rsidR="0016008C" w:rsidRPr="003B4D22" w:rsidRDefault="0016008C" w:rsidP="0016008C">
            <w:pPr>
              <w:spacing w:after="40" w:line="240" w:lineRule="auto"/>
              <w:ind w:left="-57" w:right="-57"/>
              <w:rPr>
                <w:rFonts w:ascii="Arial Narrow" w:hAnsi="Arial Narrow"/>
                <w:sz w:val="20"/>
                <w:u w:val="single"/>
              </w:rPr>
            </w:pPr>
            <w:r w:rsidRPr="003B4D22">
              <w:rPr>
                <w:rFonts w:ascii="Arial Narrow" w:hAnsi="Arial Narrow"/>
                <w:sz w:val="20"/>
                <w:u w:val="single"/>
              </w:rPr>
              <w:t>Immunomodulation</w:t>
            </w:r>
          </w:p>
          <w:p w14:paraId="40EDEBDE"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Idiopathic thrombocytopenic purpura (ITP), in children or adults at high risk of bleeding or prior to surgery to correct the platelet count.</w:t>
            </w:r>
          </w:p>
          <w:p w14:paraId="027E80DD"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Guillain Barré syndrome.</w:t>
            </w:r>
          </w:p>
          <w:p w14:paraId="4A225043" w14:textId="77777777" w:rsidR="0016008C" w:rsidRPr="003B4D22" w:rsidRDefault="0016008C" w:rsidP="0016008C">
            <w:pPr>
              <w:spacing w:after="40" w:line="240" w:lineRule="auto"/>
              <w:ind w:left="-57" w:right="-57"/>
              <w:rPr>
                <w:rFonts w:ascii="Arial Narrow" w:hAnsi="Arial Narrow"/>
                <w:sz w:val="20"/>
                <w:u w:val="single"/>
              </w:rPr>
            </w:pPr>
            <w:r w:rsidRPr="003B4D22">
              <w:rPr>
                <w:rFonts w:ascii="Arial Narrow" w:hAnsi="Arial Narrow"/>
                <w:sz w:val="20"/>
                <w:u w:val="single"/>
              </w:rPr>
              <w:t>Allogeneic bone marrow transplantation.</w:t>
            </w:r>
          </w:p>
        </w:tc>
      </w:tr>
      <w:tr w:rsidR="0016008C" w:rsidRPr="00386411" w14:paraId="74990736" w14:textId="77777777" w:rsidTr="0016008C">
        <w:tc>
          <w:tcPr>
            <w:tcW w:w="589" w:type="pct"/>
            <w:tcBorders>
              <w:top w:val="single" w:sz="4" w:space="0" w:color="auto"/>
              <w:left w:val="single" w:sz="4" w:space="0" w:color="auto"/>
              <w:bottom w:val="single" w:sz="4" w:space="0" w:color="auto"/>
              <w:right w:val="single" w:sz="4" w:space="0" w:color="auto"/>
            </w:tcBorders>
            <w:shd w:val="clear" w:color="auto" w:fill="auto"/>
            <w:hideMark/>
          </w:tcPr>
          <w:p w14:paraId="1320872C" w14:textId="77777777" w:rsidR="0016008C" w:rsidRPr="00386411" w:rsidRDefault="0016008C" w:rsidP="0016008C">
            <w:pPr>
              <w:spacing w:after="40" w:line="240" w:lineRule="auto"/>
              <w:ind w:left="-57" w:right="-57"/>
              <w:rPr>
                <w:rFonts w:ascii="Arial Narrow" w:hAnsi="Arial Narrow"/>
                <w:b/>
                <w:color w:val="BFBFBF"/>
                <w:sz w:val="20"/>
              </w:rPr>
            </w:pPr>
            <w:r w:rsidRPr="00386411">
              <w:rPr>
                <w:rFonts w:ascii="Arial Narrow" w:hAnsi="Arial Narrow"/>
                <w:b/>
                <w:color w:val="BFBFBF"/>
                <w:sz w:val="20"/>
              </w:rPr>
              <w:lastRenderedPageBreak/>
              <w:t>Intragam P</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14:paraId="61EE60A6" w14:textId="77777777" w:rsidR="0016008C" w:rsidRPr="00386411" w:rsidRDefault="0016008C" w:rsidP="0016008C">
            <w:pPr>
              <w:spacing w:after="40" w:line="240" w:lineRule="auto"/>
              <w:ind w:left="-57" w:right="-57"/>
              <w:rPr>
                <w:rFonts w:ascii="Arial Narrow" w:hAnsi="Arial Narrow"/>
                <w:b/>
                <w:color w:val="BFBFBF"/>
                <w:sz w:val="20"/>
              </w:rPr>
            </w:pPr>
            <w:r w:rsidRPr="00386411">
              <w:rPr>
                <w:rFonts w:ascii="Arial Narrow" w:hAnsi="Arial Narrow"/>
                <w:b/>
                <w:color w:val="BFBFBF"/>
                <w:sz w:val="20"/>
              </w:rPr>
              <w:t>IV infusion</w:t>
            </w:r>
          </w:p>
        </w:tc>
        <w:tc>
          <w:tcPr>
            <w:tcW w:w="263" w:type="pct"/>
            <w:tcBorders>
              <w:top w:val="single" w:sz="4" w:space="0" w:color="auto"/>
              <w:left w:val="single" w:sz="4" w:space="0" w:color="auto"/>
              <w:bottom w:val="single" w:sz="4" w:space="0" w:color="auto"/>
              <w:right w:val="single" w:sz="4" w:space="0" w:color="auto"/>
            </w:tcBorders>
            <w:shd w:val="clear" w:color="auto" w:fill="auto"/>
            <w:hideMark/>
          </w:tcPr>
          <w:p w14:paraId="10FEACF4" w14:textId="77777777" w:rsidR="0016008C" w:rsidRPr="00386411" w:rsidRDefault="0016008C" w:rsidP="0016008C">
            <w:pPr>
              <w:spacing w:after="40" w:line="240" w:lineRule="auto"/>
              <w:ind w:left="-57" w:right="-57"/>
              <w:rPr>
                <w:rFonts w:ascii="Arial Narrow" w:hAnsi="Arial Narrow"/>
                <w:b/>
                <w:color w:val="BFBFBF"/>
                <w:sz w:val="20"/>
              </w:rPr>
            </w:pPr>
            <w:r w:rsidRPr="00386411">
              <w:rPr>
                <w:rFonts w:ascii="Arial Narrow" w:hAnsi="Arial Narrow"/>
                <w:b/>
                <w:color w:val="BFBFBF"/>
                <w:sz w:val="20"/>
              </w:rPr>
              <w:t>68635</w:t>
            </w:r>
          </w:p>
          <w:p w14:paraId="153DCEA8" w14:textId="77777777" w:rsidR="0016008C" w:rsidRPr="00386411" w:rsidRDefault="0016008C" w:rsidP="0016008C">
            <w:pPr>
              <w:spacing w:after="40" w:line="240" w:lineRule="auto"/>
              <w:ind w:left="-57" w:right="-57"/>
              <w:rPr>
                <w:rFonts w:ascii="Arial Narrow" w:hAnsi="Arial Narrow"/>
                <w:b/>
                <w:color w:val="BFBFBF"/>
                <w:sz w:val="20"/>
              </w:rPr>
            </w:pPr>
            <w:r w:rsidRPr="00386411">
              <w:rPr>
                <w:rFonts w:ascii="Arial Narrow" w:hAnsi="Arial Narrow"/>
                <w:b/>
                <w:color w:val="BFBFBF"/>
                <w:sz w:val="20"/>
              </w:rPr>
              <w:t>68634</w:t>
            </w:r>
          </w:p>
          <w:p w14:paraId="7F2DB77A" w14:textId="77777777" w:rsidR="0016008C" w:rsidRPr="00386411" w:rsidRDefault="0016008C" w:rsidP="0016008C">
            <w:pPr>
              <w:spacing w:after="40" w:line="240" w:lineRule="auto"/>
              <w:ind w:left="-57" w:right="-57"/>
              <w:rPr>
                <w:rFonts w:ascii="Arial Narrow" w:hAnsi="Arial Narrow"/>
                <w:b/>
                <w:color w:val="BFBFBF"/>
                <w:sz w:val="20"/>
              </w:rPr>
            </w:pPr>
            <w:r w:rsidRPr="00386411">
              <w:rPr>
                <w:rFonts w:ascii="Arial Narrow" w:hAnsi="Arial Narrow"/>
                <w:b/>
                <w:color w:val="BFBFBF"/>
                <w:sz w:val="20"/>
              </w:rPr>
              <w:t>68633</w:t>
            </w:r>
          </w:p>
          <w:p w14:paraId="17E4C938" w14:textId="77777777" w:rsidR="0016008C" w:rsidRPr="00386411" w:rsidRDefault="0016008C" w:rsidP="0016008C">
            <w:pPr>
              <w:spacing w:after="40" w:line="240" w:lineRule="auto"/>
              <w:ind w:left="-57" w:right="-57"/>
              <w:rPr>
                <w:rFonts w:ascii="Arial Narrow" w:hAnsi="Arial Narrow"/>
                <w:b/>
                <w:color w:val="BFBFBF"/>
                <w:sz w:val="20"/>
              </w:rPr>
            </w:pPr>
            <w:r w:rsidRPr="00386411">
              <w:rPr>
                <w:rFonts w:ascii="Arial Narrow" w:hAnsi="Arial Narrow"/>
                <w:b/>
                <w:color w:val="BFBFBF"/>
                <w:sz w:val="20"/>
              </w:rPr>
              <w:t>68632</w:t>
            </w:r>
          </w:p>
        </w:tc>
        <w:tc>
          <w:tcPr>
            <w:tcW w:w="802" w:type="pct"/>
            <w:tcBorders>
              <w:top w:val="single" w:sz="4" w:space="0" w:color="auto"/>
              <w:left w:val="single" w:sz="4" w:space="0" w:color="auto"/>
              <w:bottom w:val="single" w:sz="4" w:space="0" w:color="auto"/>
              <w:right w:val="single" w:sz="4" w:space="0" w:color="auto"/>
            </w:tcBorders>
            <w:shd w:val="clear" w:color="auto" w:fill="auto"/>
            <w:hideMark/>
          </w:tcPr>
          <w:p w14:paraId="3F083399" w14:textId="77777777" w:rsidR="0016008C" w:rsidRPr="00386411" w:rsidRDefault="0016008C" w:rsidP="0016008C">
            <w:pPr>
              <w:spacing w:after="40" w:line="240" w:lineRule="auto"/>
              <w:ind w:left="-57" w:right="-57"/>
              <w:rPr>
                <w:rFonts w:ascii="Arial Narrow" w:hAnsi="Arial Narrow"/>
                <w:b/>
                <w:color w:val="BFBFBF"/>
                <w:sz w:val="20"/>
              </w:rPr>
            </w:pPr>
            <w:r w:rsidRPr="00386411">
              <w:rPr>
                <w:rFonts w:ascii="Arial Narrow" w:hAnsi="Arial Narrow"/>
                <w:b/>
                <w:color w:val="BFBFBF"/>
                <w:sz w:val="20"/>
              </w:rPr>
              <w:t>0.6g/10mL vial</w:t>
            </w:r>
          </w:p>
          <w:p w14:paraId="38B04EA6" w14:textId="77777777" w:rsidR="0016008C" w:rsidRPr="00386411" w:rsidRDefault="0016008C" w:rsidP="0016008C">
            <w:pPr>
              <w:spacing w:after="40" w:line="240" w:lineRule="auto"/>
              <w:ind w:left="-57" w:right="-57"/>
              <w:rPr>
                <w:rFonts w:ascii="Arial Narrow" w:hAnsi="Arial Narrow"/>
                <w:b/>
                <w:color w:val="BFBFBF"/>
                <w:sz w:val="20"/>
              </w:rPr>
            </w:pPr>
            <w:r w:rsidRPr="00386411">
              <w:rPr>
                <w:rFonts w:ascii="Arial Narrow" w:hAnsi="Arial Narrow"/>
                <w:b/>
                <w:color w:val="BFBFBF"/>
                <w:sz w:val="20"/>
              </w:rPr>
              <w:t>30g/500mL vial</w:t>
            </w:r>
          </w:p>
          <w:p w14:paraId="5EC5F684" w14:textId="77777777" w:rsidR="0016008C" w:rsidRPr="00386411" w:rsidRDefault="0016008C" w:rsidP="0016008C">
            <w:pPr>
              <w:spacing w:after="40" w:line="240" w:lineRule="auto"/>
              <w:ind w:left="-57" w:right="-57"/>
              <w:rPr>
                <w:rFonts w:ascii="Arial Narrow" w:hAnsi="Arial Narrow"/>
                <w:b/>
                <w:color w:val="BFBFBF"/>
                <w:sz w:val="20"/>
              </w:rPr>
            </w:pPr>
            <w:r w:rsidRPr="00386411">
              <w:rPr>
                <w:rFonts w:ascii="Arial Narrow" w:hAnsi="Arial Narrow"/>
                <w:b/>
                <w:color w:val="BFBFBF"/>
                <w:sz w:val="20"/>
              </w:rPr>
              <w:t xml:space="preserve">12g/200mL vial </w:t>
            </w:r>
          </w:p>
          <w:p w14:paraId="6B8F1957" w14:textId="77777777" w:rsidR="0016008C" w:rsidRPr="00386411" w:rsidRDefault="0016008C" w:rsidP="0016008C">
            <w:pPr>
              <w:spacing w:after="40" w:line="240" w:lineRule="auto"/>
              <w:ind w:left="-57" w:right="-57"/>
              <w:rPr>
                <w:rFonts w:ascii="Arial Narrow" w:hAnsi="Arial Narrow"/>
                <w:b/>
                <w:color w:val="BFBFBF"/>
                <w:sz w:val="20"/>
              </w:rPr>
            </w:pPr>
            <w:r w:rsidRPr="00386411">
              <w:rPr>
                <w:rFonts w:ascii="Arial Narrow" w:hAnsi="Arial Narrow"/>
                <w:b/>
                <w:color w:val="BFBFBF"/>
                <w:sz w:val="20"/>
              </w:rPr>
              <w:t>3g/50mL vial</w:t>
            </w:r>
          </w:p>
        </w:tc>
        <w:tc>
          <w:tcPr>
            <w:tcW w:w="2953" w:type="pct"/>
            <w:tcBorders>
              <w:top w:val="single" w:sz="4" w:space="0" w:color="auto"/>
              <w:left w:val="single" w:sz="4" w:space="0" w:color="auto"/>
              <w:bottom w:val="single" w:sz="4" w:space="0" w:color="auto"/>
              <w:right w:val="single" w:sz="4" w:space="0" w:color="auto"/>
            </w:tcBorders>
            <w:shd w:val="clear" w:color="auto" w:fill="auto"/>
            <w:hideMark/>
          </w:tcPr>
          <w:p w14:paraId="6BCC1451" w14:textId="77777777" w:rsidR="0016008C" w:rsidRPr="00386411" w:rsidRDefault="0016008C" w:rsidP="0016008C">
            <w:pPr>
              <w:spacing w:after="40" w:line="240" w:lineRule="auto"/>
              <w:ind w:left="-57" w:right="-57"/>
              <w:rPr>
                <w:rFonts w:ascii="Arial Narrow" w:hAnsi="Arial Narrow"/>
                <w:b/>
                <w:color w:val="BFBFBF"/>
                <w:sz w:val="20"/>
                <w:u w:val="single"/>
              </w:rPr>
            </w:pPr>
            <w:r w:rsidRPr="00386411">
              <w:rPr>
                <w:rFonts w:ascii="Arial Narrow" w:hAnsi="Arial Narrow"/>
                <w:b/>
                <w:color w:val="BFBFBF"/>
                <w:sz w:val="20"/>
                <w:u w:val="single"/>
              </w:rPr>
              <w:t>Intragam P is indicated for replacement IgG therapy in:</w:t>
            </w:r>
          </w:p>
          <w:p w14:paraId="0F344F0E" w14:textId="77777777" w:rsidR="0016008C" w:rsidRPr="00386411" w:rsidRDefault="0016008C" w:rsidP="0016008C">
            <w:pPr>
              <w:spacing w:after="40" w:line="240" w:lineRule="auto"/>
              <w:ind w:left="-57" w:right="-57"/>
              <w:rPr>
                <w:rFonts w:ascii="Arial Narrow" w:hAnsi="Arial Narrow"/>
                <w:b/>
                <w:color w:val="BFBFBF"/>
                <w:sz w:val="20"/>
              </w:rPr>
            </w:pPr>
            <w:r w:rsidRPr="00386411">
              <w:rPr>
                <w:rFonts w:ascii="Arial Narrow" w:hAnsi="Arial Narrow"/>
                <w:b/>
                <w:color w:val="BFBFBF"/>
                <w:sz w:val="20"/>
              </w:rPr>
              <w:t>• Primary Immunodeficiency Diseases</w:t>
            </w:r>
          </w:p>
          <w:p w14:paraId="64C987A7" w14:textId="77777777" w:rsidR="0016008C" w:rsidRPr="00386411" w:rsidRDefault="0016008C" w:rsidP="0016008C">
            <w:pPr>
              <w:spacing w:after="40" w:line="240" w:lineRule="auto"/>
              <w:ind w:left="-57" w:right="-57"/>
              <w:rPr>
                <w:rFonts w:ascii="Arial Narrow" w:hAnsi="Arial Narrow"/>
                <w:b/>
                <w:color w:val="BFBFBF"/>
                <w:sz w:val="20"/>
              </w:rPr>
            </w:pPr>
            <w:r w:rsidRPr="00386411">
              <w:rPr>
                <w:rFonts w:ascii="Arial Narrow" w:hAnsi="Arial Narrow"/>
                <w:b/>
                <w:color w:val="BFBFBF"/>
                <w:sz w:val="20"/>
              </w:rPr>
              <w:t>• Symptomatic hypogammaglobulinaemia secondary to underlying disease or treatment.</w:t>
            </w:r>
          </w:p>
          <w:p w14:paraId="2265FB05" w14:textId="77777777" w:rsidR="0016008C" w:rsidRPr="00386411" w:rsidRDefault="0016008C" w:rsidP="0016008C">
            <w:pPr>
              <w:spacing w:after="40" w:line="240" w:lineRule="auto"/>
              <w:ind w:left="-57" w:right="-57"/>
              <w:rPr>
                <w:rFonts w:ascii="Arial Narrow" w:hAnsi="Arial Narrow"/>
                <w:b/>
                <w:color w:val="BFBFBF"/>
                <w:sz w:val="20"/>
                <w:u w:val="single"/>
              </w:rPr>
            </w:pPr>
            <w:r w:rsidRPr="00386411">
              <w:rPr>
                <w:rFonts w:ascii="Arial Narrow" w:hAnsi="Arial Narrow"/>
                <w:b/>
                <w:color w:val="BFBFBF"/>
                <w:sz w:val="20"/>
                <w:u w:val="single"/>
              </w:rPr>
              <w:t>Intragam P is indicated for immunomodulatory therapy in:</w:t>
            </w:r>
          </w:p>
          <w:p w14:paraId="3D5BB121" w14:textId="77777777" w:rsidR="0016008C" w:rsidRPr="00386411" w:rsidRDefault="0016008C" w:rsidP="0016008C">
            <w:pPr>
              <w:spacing w:after="40" w:line="240" w:lineRule="auto"/>
              <w:ind w:left="-57" w:right="-57"/>
              <w:rPr>
                <w:rFonts w:ascii="Arial Narrow" w:hAnsi="Arial Narrow"/>
                <w:b/>
                <w:color w:val="BFBFBF"/>
                <w:sz w:val="20"/>
              </w:rPr>
            </w:pPr>
            <w:r w:rsidRPr="00386411">
              <w:rPr>
                <w:rFonts w:ascii="Arial Narrow" w:hAnsi="Arial Narrow"/>
                <w:b/>
                <w:color w:val="BFBFBF"/>
                <w:sz w:val="20"/>
              </w:rPr>
              <w:t>• Idiopathic Thrombocytopenic Purpura, in adults or children at high risk of bleeding or prior to surgery to correct the platelet count</w:t>
            </w:r>
          </w:p>
          <w:p w14:paraId="01A70F51" w14:textId="77777777" w:rsidR="0016008C" w:rsidRPr="00386411" w:rsidRDefault="0016008C" w:rsidP="0016008C">
            <w:pPr>
              <w:spacing w:after="40" w:line="240" w:lineRule="auto"/>
              <w:ind w:left="-57" w:right="-57"/>
              <w:rPr>
                <w:rFonts w:ascii="Arial Narrow" w:hAnsi="Arial Narrow"/>
                <w:b/>
                <w:color w:val="BFBFBF"/>
                <w:sz w:val="20"/>
              </w:rPr>
            </w:pPr>
            <w:r w:rsidRPr="00386411">
              <w:rPr>
                <w:rFonts w:ascii="Arial Narrow" w:hAnsi="Arial Narrow"/>
                <w:b/>
                <w:color w:val="BFBFBF"/>
                <w:sz w:val="20"/>
              </w:rPr>
              <w:t>• Kawasaki disease</w:t>
            </w:r>
          </w:p>
          <w:p w14:paraId="01033F1E" w14:textId="77777777" w:rsidR="0016008C" w:rsidRPr="00386411" w:rsidRDefault="0016008C" w:rsidP="0016008C">
            <w:pPr>
              <w:spacing w:after="40" w:line="240" w:lineRule="auto"/>
              <w:ind w:left="-57" w:right="-57"/>
              <w:rPr>
                <w:rFonts w:ascii="Arial Narrow" w:hAnsi="Arial Narrow"/>
                <w:b/>
                <w:color w:val="BFBFBF"/>
                <w:sz w:val="20"/>
              </w:rPr>
            </w:pPr>
            <w:r w:rsidRPr="00386411">
              <w:rPr>
                <w:rFonts w:ascii="Arial Narrow" w:hAnsi="Arial Narrow"/>
                <w:b/>
                <w:color w:val="BFBFBF"/>
                <w:sz w:val="20"/>
              </w:rPr>
              <w:t>• Guillain-Barré Syndrome.</w:t>
            </w:r>
          </w:p>
        </w:tc>
      </w:tr>
      <w:tr w:rsidR="0016008C" w:rsidRPr="003B4D22" w14:paraId="050EA9B1" w14:textId="77777777" w:rsidTr="0016008C">
        <w:tc>
          <w:tcPr>
            <w:tcW w:w="589" w:type="pct"/>
            <w:tcBorders>
              <w:top w:val="single" w:sz="4" w:space="0" w:color="auto"/>
              <w:left w:val="single" w:sz="4" w:space="0" w:color="auto"/>
              <w:bottom w:val="single" w:sz="4" w:space="0" w:color="auto"/>
              <w:right w:val="single" w:sz="4" w:space="0" w:color="auto"/>
            </w:tcBorders>
            <w:shd w:val="clear" w:color="auto" w:fill="auto"/>
            <w:hideMark/>
          </w:tcPr>
          <w:p w14:paraId="2DB6997D"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Evogam</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14:paraId="512B2D19"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SC infusion</w:t>
            </w:r>
          </w:p>
        </w:tc>
        <w:tc>
          <w:tcPr>
            <w:tcW w:w="263" w:type="pct"/>
            <w:tcBorders>
              <w:top w:val="single" w:sz="4" w:space="0" w:color="auto"/>
              <w:left w:val="single" w:sz="4" w:space="0" w:color="auto"/>
              <w:bottom w:val="single" w:sz="4" w:space="0" w:color="auto"/>
              <w:right w:val="single" w:sz="4" w:space="0" w:color="auto"/>
            </w:tcBorders>
            <w:shd w:val="clear" w:color="auto" w:fill="auto"/>
            <w:hideMark/>
          </w:tcPr>
          <w:p w14:paraId="006DE603"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173324</w:t>
            </w:r>
          </w:p>
          <w:p w14:paraId="131DB0F9"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173323</w:t>
            </w:r>
          </w:p>
          <w:p w14:paraId="751AF68E"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173315</w:t>
            </w:r>
          </w:p>
        </w:tc>
        <w:tc>
          <w:tcPr>
            <w:tcW w:w="802" w:type="pct"/>
            <w:tcBorders>
              <w:top w:val="single" w:sz="4" w:space="0" w:color="auto"/>
              <w:left w:val="single" w:sz="4" w:space="0" w:color="auto"/>
              <w:bottom w:val="single" w:sz="4" w:space="0" w:color="auto"/>
              <w:right w:val="single" w:sz="4" w:space="0" w:color="auto"/>
            </w:tcBorders>
            <w:shd w:val="clear" w:color="auto" w:fill="auto"/>
            <w:hideMark/>
          </w:tcPr>
          <w:p w14:paraId="26719079"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16% solution 3.2g/20mL vial</w:t>
            </w:r>
          </w:p>
          <w:p w14:paraId="6DC03CF5"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16% solution 1.6g/10mL vial</w:t>
            </w:r>
          </w:p>
          <w:p w14:paraId="02EF7C64"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16% solution 0.8g/5mL vial</w:t>
            </w:r>
          </w:p>
        </w:tc>
        <w:tc>
          <w:tcPr>
            <w:tcW w:w="2953" w:type="pct"/>
            <w:tcBorders>
              <w:top w:val="single" w:sz="4" w:space="0" w:color="auto"/>
              <w:left w:val="single" w:sz="4" w:space="0" w:color="auto"/>
              <w:bottom w:val="single" w:sz="4" w:space="0" w:color="auto"/>
              <w:right w:val="single" w:sz="4" w:space="0" w:color="auto"/>
            </w:tcBorders>
            <w:shd w:val="clear" w:color="auto" w:fill="auto"/>
            <w:hideMark/>
          </w:tcPr>
          <w:p w14:paraId="3883C5B2"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Evogam is indicated in adults and children for replacement therapy in:</w:t>
            </w:r>
          </w:p>
          <w:p w14:paraId="32440E71"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Primary Immunodeficiency Diseases (PID) and</w:t>
            </w:r>
          </w:p>
          <w:p w14:paraId="77EAC82F"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symptomatic hypogammaglobulinaemia secondary to underlying disease or treatment.</w:t>
            </w:r>
          </w:p>
        </w:tc>
      </w:tr>
      <w:tr w:rsidR="0016008C" w:rsidRPr="003B4D22" w14:paraId="2C5BB7A4" w14:textId="77777777" w:rsidTr="0016008C">
        <w:tc>
          <w:tcPr>
            <w:tcW w:w="589" w:type="pct"/>
            <w:tcBorders>
              <w:top w:val="single" w:sz="4" w:space="0" w:color="auto"/>
              <w:left w:val="single" w:sz="4" w:space="0" w:color="auto"/>
              <w:bottom w:val="single" w:sz="4" w:space="0" w:color="auto"/>
              <w:right w:val="single" w:sz="4" w:space="0" w:color="auto"/>
            </w:tcBorders>
            <w:shd w:val="clear" w:color="auto" w:fill="auto"/>
            <w:hideMark/>
          </w:tcPr>
          <w:p w14:paraId="1E908D19"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Panzyga</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14:paraId="2A81A87D"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IV infusion</w:t>
            </w:r>
          </w:p>
        </w:tc>
        <w:tc>
          <w:tcPr>
            <w:tcW w:w="263" w:type="pct"/>
            <w:tcBorders>
              <w:top w:val="single" w:sz="4" w:space="0" w:color="auto"/>
              <w:left w:val="single" w:sz="4" w:space="0" w:color="auto"/>
              <w:bottom w:val="single" w:sz="4" w:space="0" w:color="auto"/>
              <w:right w:val="single" w:sz="4" w:space="0" w:color="auto"/>
            </w:tcBorders>
            <w:shd w:val="clear" w:color="auto" w:fill="auto"/>
            <w:hideMark/>
          </w:tcPr>
          <w:p w14:paraId="4B2983EC"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291740</w:t>
            </w:r>
          </w:p>
          <w:p w14:paraId="12B6DDA3"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291645</w:t>
            </w:r>
          </w:p>
          <w:p w14:paraId="0C617515"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291648</w:t>
            </w:r>
          </w:p>
          <w:p w14:paraId="11D56951"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291647</w:t>
            </w:r>
          </w:p>
          <w:p w14:paraId="4336153A"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291646</w:t>
            </w:r>
          </w:p>
          <w:p w14:paraId="0CD932E2"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291644</w:t>
            </w:r>
          </w:p>
        </w:tc>
        <w:tc>
          <w:tcPr>
            <w:tcW w:w="802" w:type="pct"/>
            <w:tcBorders>
              <w:top w:val="single" w:sz="4" w:space="0" w:color="auto"/>
              <w:left w:val="single" w:sz="4" w:space="0" w:color="auto"/>
              <w:bottom w:val="single" w:sz="4" w:space="0" w:color="auto"/>
              <w:right w:val="single" w:sz="4" w:space="0" w:color="auto"/>
            </w:tcBorders>
            <w:shd w:val="clear" w:color="auto" w:fill="auto"/>
            <w:hideMark/>
          </w:tcPr>
          <w:p w14:paraId="0381AF4B"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1g/10mL vial</w:t>
            </w:r>
          </w:p>
          <w:p w14:paraId="212E83A6"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2.5g/25mL vial</w:t>
            </w:r>
          </w:p>
          <w:p w14:paraId="107D4203"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10g/100mL bottle</w:t>
            </w:r>
          </w:p>
          <w:p w14:paraId="305A243D"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5g/50mL bottle</w:t>
            </w:r>
          </w:p>
          <w:p w14:paraId="0D2D0604"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20g/200mL bottle</w:t>
            </w:r>
          </w:p>
          <w:p w14:paraId="134C705E"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30g/300mL bottle</w:t>
            </w:r>
          </w:p>
        </w:tc>
        <w:tc>
          <w:tcPr>
            <w:tcW w:w="2953" w:type="pct"/>
            <w:tcBorders>
              <w:top w:val="single" w:sz="4" w:space="0" w:color="auto"/>
              <w:left w:val="single" w:sz="4" w:space="0" w:color="auto"/>
              <w:bottom w:val="single" w:sz="4" w:space="0" w:color="auto"/>
              <w:right w:val="single" w:sz="4" w:space="0" w:color="auto"/>
            </w:tcBorders>
            <w:shd w:val="clear" w:color="auto" w:fill="auto"/>
          </w:tcPr>
          <w:p w14:paraId="767F805D" w14:textId="156012EF" w:rsidR="0016008C" w:rsidRPr="003B4D22" w:rsidRDefault="0016008C" w:rsidP="0016008C">
            <w:pPr>
              <w:spacing w:after="40" w:line="240" w:lineRule="auto"/>
              <w:ind w:left="-57" w:right="-57"/>
              <w:rPr>
                <w:rFonts w:ascii="Arial Narrow" w:hAnsi="Arial Narrow"/>
                <w:sz w:val="20"/>
                <w:u w:val="single"/>
              </w:rPr>
            </w:pPr>
            <w:r w:rsidRPr="003B4D22">
              <w:rPr>
                <w:rFonts w:ascii="Arial Narrow" w:hAnsi="Arial Narrow"/>
                <w:sz w:val="20"/>
                <w:u w:val="single"/>
              </w:rPr>
              <w:t>Replacement therapy in:</w:t>
            </w:r>
          </w:p>
          <w:p w14:paraId="76BA1618" w14:textId="718E8DC9" w:rsidR="00210D1F" w:rsidRDefault="0016008C">
            <w:pPr>
              <w:spacing w:after="40" w:line="240" w:lineRule="auto"/>
              <w:ind w:left="-57" w:right="-57"/>
              <w:rPr>
                <w:rFonts w:ascii="Arial Narrow" w:hAnsi="Arial Narrow"/>
                <w:sz w:val="20"/>
              </w:rPr>
            </w:pPr>
            <w:r w:rsidRPr="003B4D22">
              <w:rPr>
                <w:rFonts w:ascii="Arial Narrow" w:hAnsi="Arial Narrow"/>
                <w:sz w:val="20"/>
              </w:rPr>
              <w:t>Primary immunodeficiency diseases.</w:t>
            </w:r>
          </w:p>
          <w:p w14:paraId="2EBFB8E0" w14:textId="7668A22E" w:rsidR="00210D1F" w:rsidRDefault="0016008C">
            <w:pPr>
              <w:spacing w:after="40" w:line="240" w:lineRule="auto"/>
              <w:ind w:left="-57" w:right="-57"/>
              <w:rPr>
                <w:rFonts w:ascii="Arial Narrow" w:hAnsi="Arial Narrow"/>
                <w:sz w:val="20"/>
              </w:rPr>
            </w:pPr>
            <w:r w:rsidRPr="003B4D22">
              <w:rPr>
                <w:rFonts w:ascii="Arial Narrow" w:hAnsi="Arial Narrow"/>
                <w:sz w:val="20"/>
              </w:rPr>
              <w:t>Myeloma or chronic lymphatic leukaemia with severe secondary hypogammaglobulinaemia and recurrent bacterial infections.</w:t>
            </w:r>
          </w:p>
          <w:p w14:paraId="2563CDFA" w14:textId="76D2B911" w:rsidR="0016008C" w:rsidRPr="003B4D22" w:rsidRDefault="0016008C">
            <w:pPr>
              <w:spacing w:after="40" w:line="240" w:lineRule="auto"/>
              <w:ind w:left="-57" w:right="-57"/>
              <w:rPr>
                <w:rFonts w:ascii="Arial Narrow" w:hAnsi="Arial Narrow"/>
                <w:sz w:val="20"/>
              </w:rPr>
            </w:pPr>
            <w:r w:rsidRPr="003B4D22">
              <w:rPr>
                <w:rFonts w:ascii="Arial Narrow" w:hAnsi="Arial Narrow"/>
                <w:sz w:val="20"/>
              </w:rPr>
              <w:t>Symptomatic hypogammaglobulinaemia secondary to underlying disease or treatment.</w:t>
            </w:r>
          </w:p>
          <w:p w14:paraId="00E1B189" w14:textId="77777777" w:rsidR="0016008C" w:rsidRPr="003B4D22" w:rsidRDefault="0016008C" w:rsidP="0016008C">
            <w:pPr>
              <w:spacing w:after="40" w:line="240" w:lineRule="auto"/>
              <w:ind w:left="-57" w:right="-57"/>
              <w:rPr>
                <w:rFonts w:ascii="Arial Narrow" w:hAnsi="Arial Narrow"/>
                <w:sz w:val="20"/>
              </w:rPr>
            </w:pPr>
          </w:p>
          <w:p w14:paraId="4DF05A2F" w14:textId="0D12AB21" w:rsidR="00210D1F" w:rsidRPr="003B4D22" w:rsidRDefault="0016008C" w:rsidP="0016008C">
            <w:pPr>
              <w:spacing w:after="40" w:line="240" w:lineRule="auto"/>
              <w:ind w:left="-57" w:right="-57"/>
              <w:rPr>
                <w:rFonts w:ascii="Arial Narrow" w:hAnsi="Arial Narrow"/>
                <w:sz w:val="20"/>
                <w:u w:val="single"/>
              </w:rPr>
            </w:pPr>
            <w:r w:rsidRPr="003B4D22">
              <w:rPr>
                <w:rFonts w:ascii="Arial Narrow" w:hAnsi="Arial Narrow"/>
                <w:sz w:val="20"/>
                <w:u w:val="single"/>
              </w:rPr>
              <w:t>Immunomodulation in:</w:t>
            </w:r>
          </w:p>
          <w:p w14:paraId="468376C6" w14:textId="203BBE79"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Idiopathic thrombocytopenic purpura (ITP), in patients at high risk of bleedingor prior to surgery to correct the platelet count.</w:t>
            </w:r>
          </w:p>
          <w:p w14:paraId="3C705E39" w14:textId="2F06E540"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Guillain Barré syndrome.</w:t>
            </w:r>
          </w:p>
          <w:p w14:paraId="3DDB97CF" w14:textId="3695920E"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Kawasaki disease.</w:t>
            </w:r>
          </w:p>
        </w:tc>
      </w:tr>
      <w:tr w:rsidR="0016008C" w:rsidRPr="003B4D22" w14:paraId="10907B30" w14:textId="77777777" w:rsidTr="0016008C">
        <w:tc>
          <w:tcPr>
            <w:tcW w:w="589" w:type="pct"/>
            <w:tcBorders>
              <w:top w:val="single" w:sz="4" w:space="0" w:color="auto"/>
              <w:left w:val="single" w:sz="4" w:space="0" w:color="auto"/>
              <w:bottom w:val="single" w:sz="4" w:space="0" w:color="auto"/>
              <w:right w:val="single" w:sz="4" w:space="0" w:color="auto"/>
            </w:tcBorders>
            <w:shd w:val="clear" w:color="auto" w:fill="auto"/>
            <w:hideMark/>
          </w:tcPr>
          <w:p w14:paraId="55A0E771"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Hyqvia</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14:paraId="18DBC43A"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SC infusion</w:t>
            </w:r>
          </w:p>
        </w:tc>
        <w:tc>
          <w:tcPr>
            <w:tcW w:w="263" w:type="pct"/>
            <w:tcBorders>
              <w:top w:val="single" w:sz="4" w:space="0" w:color="auto"/>
              <w:left w:val="single" w:sz="4" w:space="0" w:color="auto"/>
              <w:bottom w:val="single" w:sz="4" w:space="0" w:color="auto"/>
              <w:right w:val="single" w:sz="4" w:space="0" w:color="auto"/>
            </w:tcBorders>
            <w:shd w:val="clear" w:color="auto" w:fill="auto"/>
            <w:hideMark/>
          </w:tcPr>
          <w:p w14:paraId="4203A74F"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235178</w:t>
            </w:r>
          </w:p>
        </w:tc>
        <w:tc>
          <w:tcPr>
            <w:tcW w:w="802" w:type="pct"/>
            <w:tcBorders>
              <w:top w:val="single" w:sz="4" w:space="0" w:color="auto"/>
              <w:left w:val="single" w:sz="4" w:space="0" w:color="auto"/>
              <w:bottom w:val="single" w:sz="4" w:space="0" w:color="auto"/>
              <w:right w:val="single" w:sz="4" w:space="0" w:color="auto"/>
            </w:tcBorders>
            <w:shd w:val="clear" w:color="auto" w:fill="auto"/>
            <w:hideMark/>
          </w:tcPr>
          <w:p w14:paraId="21364B0E"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xml:space="preserve">10% solution </w:t>
            </w:r>
          </w:p>
        </w:tc>
        <w:tc>
          <w:tcPr>
            <w:tcW w:w="2953" w:type="pct"/>
            <w:tcBorders>
              <w:top w:val="single" w:sz="4" w:space="0" w:color="auto"/>
              <w:left w:val="single" w:sz="4" w:space="0" w:color="auto"/>
              <w:bottom w:val="single" w:sz="4" w:space="0" w:color="auto"/>
              <w:right w:val="single" w:sz="4" w:space="0" w:color="auto"/>
            </w:tcBorders>
            <w:shd w:val="clear" w:color="auto" w:fill="auto"/>
            <w:hideMark/>
          </w:tcPr>
          <w:p w14:paraId="3AEA2B42"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HYQVIA is indicated for replacement therapy in adults in:</w:t>
            </w:r>
          </w:p>
          <w:p w14:paraId="448A4E48"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Primary Immunodeficiency Disease (PID) and</w:t>
            </w:r>
          </w:p>
          <w:p w14:paraId="08E9E8B1"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Symptomatic hypogammaglobulinaemia secondary to underlying disease or treatment</w:t>
            </w:r>
          </w:p>
        </w:tc>
      </w:tr>
      <w:tr w:rsidR="0016008C" w:rsidRPr="003B4D22" w14:paraId="14082913" w14:textId="77777777" w:rsidTr="0016008C">
        <w:tc>
          <w:tcPr>
            <w:tcW w:w="589" w:type="pct"/>
            <w:tcBorders>
              <w:top w:val="single" w:sz="4" w:space="0" w:color="auto"/>
              <w:left w:val="single" w:sz="4" w:space="0" w:color="auto"/>
              <w:bottom w:val="single" w:sz="4" w:space="0" w:color="auto"/>
              <w:right w:val="single" w:sz="4" w:space="0" w:color="auto"/>
            </w:tcBorders>
            <w:shd w:val="clear" w:color="auto" w:fill="auto"/>
            <w:hideMark/>
          </w:tcPr>
          <w:p w14:paraId="11D28C59"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xml:space="preserve">Intratect </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14:paraId="555EF6BE"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IV infusion</w:t>
            </w:r>
          </w:p>
        </w:tc>
        <w:tc>
          <w:tcPr>
            <w:tcW w:w="263" w:type="pct"/>
            <w:tcBorders>
              <w:top w:val="single" w:sz="4" w:space="0" w:color="auto"/>
              <w:left w:val="single" w:sz="4" w:space="0" w:color="auto"/>
              <w:bottom w:val="single" w:sz="4" w:space="0" w:color="auto"/>
              <w:right w:val="single" w:sz="4" w:space="0" w:color="auto"/>
            </w:tcBorders>
            <w:shd w:val="clear" w:color="auto" w:fill="auto"/>
            <w:hideMark/>
          </w:tcPr>
          <w:p w14:paraId="372CAAA5"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232085</w:t>
            </w:r>
          </w:p>
          <w:p w14:paraId="479B4AB1"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232084</w:t>
            </w:r>
          </w:p>
          <w:p w14:paraId="2B8D3E78"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232078</w:t>
            </w:r>
          </w:p>
          <w:p w14:paraId="64A25716"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232077</w:t>
            </w:r>
          </w:p>
          <w:p w14:paraId="42F3CA7F"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164551</w:t>
            </w:r>
          </w:p>
          <w:p w14:paraId="1DAC4C5F"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164550</w:t>
            </w:r>
          </w:p>
          <w:p w14:paraId="75FA9101"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164549</w:t>
            </w:r>
          </w:p>
          <w:p w14:paraId="2899D1EB"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164548</w:t>
            </w:r>
          </w:p>
        </w:tc>
        <w:tc>
          <w:tcPr>
            <w:tcW w:w="802" w:type="pct"/>
            <w:tcBorders>
              <w:top w:val="single" w:sz="4" w:space="0" w:color="auto"/>
              <w:left w:val="single" w:sz="4" w:space="0" w:color="auto"/>
              <w:bottom w:val="single" w:sz="4" w:space="0" w:color="auto"/>
              <w:right w:val="single" w:sz="4" w:space="0" w:color="auto"/>
            </w:tcBorders>
            <w:shd w:val="clear" w:color="auto" w:fill="auto"/>
            <w:hideMark/>
          </w:tcPr>
          <w:p w14:paraId="3016F645"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20g in 200 mL vial</w:t>
            </w:r>
          </w:p>
          <w:p w14:paraId="7BF27CFF"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10g in 100 mL vial</w:t>
            </w:r>
          </w:p>
          <w:p w14:paraId="20B22ADD"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5g in 50 mL vial</w:t>
            </w:r>
          </w:p>
          <w:p w14:paraId="6E232D3C"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1g in 10 mL vial</w:t>
            </w:r>
          </w:p>
          <w:p w14:paraId="568B458A"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5% 5g in 100mL vial</w:t>
            </w:r>
          </w:p>
          <w:p w14:paraId="37F7AAF5"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5% 1g in 20 mL vial</w:t>
            </w:r>
          </w:p>
          <w:p w14:paraId="33663B17"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5% 10g in 200 mL vial</w:t>
            </w:r>
          </w:p>
          <w:p w14:paraId="73F5C322"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5% 2.5g in 50mL vial</w:t>
            </w:r>
          </w:p>
        </w:tc>
        <w:tc>
          <w:tcPr>
            <w:tcW w:w="2953" w:type="pct"/>
            <w:tcBorders>
              <w:top w:val="single" w:sz="4" w:space="0" w:color="auto"/>
              <w:left w:val="single" w:sz="4" w:space="0" w:color="auto"/>
              <w:bottom w:val="single" w:sz="4" w:space="0" w:color="auto"/>
              <w:right w:val="single" w:sz="4" w:space="0" w:color="auto"/>
            </w:tcBorders>
            <w:shd w:val="clear" w:color="auto" w:fill="auto"/>
            <w:hideMark/>
          </w:tcPr>
          <w:p w14:paraId="364BF121"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u w:val="single"/>
              </w:rPr>
              <w:t>Replacement therapy in</w:t>
            </w:r>
            <w:r w:rsidRPr="003B4D22">
              <w:rPr>
                <w:rFonts w:ascii="Arial Narrow" w:hAnsi="Arial Narrow"/>
                <w:sz w:val="20"/>
              </w:rPr>
              <w:t>. * Primary Immunodeficiency Diseases. * Symptomatic hypogammaglobulinaemia secondary to underlying disease or treatment.</w:t>
            </w:r>
          </w:p>
          <w:p w14:paraId="1A6E498B"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u w:val="single"/>
              </w:rPr>
              <w:t>Immunomodulation.</w:t>
            </w:r>
            <w:r w:rsidRPr="003B4D22">
              <w:rPr>
                <w:rFonts w:ascii="Arial Narrow" w:hAnsi="Arial Narrow"/>
                <w:sz w:val="20"/>
              </w:rPr>
              <w:t xml:space="preserve"> * Idiopathic thrombocytopenic purpura, in adults or children at high risk of bleeding or prior to surgery to correct the platelet count.. *Guillain Barre syndrome. * Kawasaki disease.</w:t>
            </w:r>
          </w:p>
        </w:tc>
      </w:tr>
      <w:tr w:rsidR="0016008C" w:rsidRPr="003B4D22" w14:paraId="68479A3E" w14:textId="77777777" w:rsidTr="0016008C">
        <w:tc>
          <w:tcPr>
            <w:tcW w:w="589" w:type="pct"/>
            <w:tcBorders>
              <w:top w:val="single" w:sz="4" w:space="0" w:color="auto"/>
              <w:left w:val="single" w:sz="4" w:space="0" w:color="auto"/>
              <w:bottom w:val="single" w:sz="4" w:space="0" w:color="auto"/>
              <w:right w:val="single" w:sz="4" w:space="0" w:color="auto"/>
            </w:tcBorders>
            <w:shd w:val="clear" w:color="auto" w:fill="auto"/>
            <w:hideMark/>
          </w:tcPr>
          <w:p w14:paraId="181C6DA2"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lastRenderedPageBreak/>
              <w:t xml:space="preserve">Octagam </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14:paraId="15A6AE61"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IV infusion</w:t>
            </w:r>
          </w:p>
        </w:tc>
        <w:tc>
          <w:tcPr>
            <w:tcW w:w="263" w:type="pct"/>
            <w:tcBorders>
              <w:top w:val="single" w:sz="4" w:space="0" w:color="auto"/>
              <w:left w:val="single" w:sz="4" w:space="0" w:color="auto"/>
              <w:bottom w:val="single" w:sz="4" w:space="0" w:color="auto"/>
              <w:right w:val="single" w:sz="4" w:space="0" w:color="auto"/>
            </w:tcBorders>
            <w:shd w:val="clear" w:color="auto" w:fill="auto"/>
            <w:hideMark/>
          </w:tcPr>
          <w:p w14:paraId="367C8080"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155604</w:t>
            </w:r>
          </w:p>
          <w:p w14:paraId="615A905B"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155603</w:t>
            </w:r>
          </w:p>
          <w:p w14:paraId="6A60D570"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155602</w:t>
            </w:r>
          </w:p>
          <w:p w14:paraId="1FE9167C"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155601</w:t>
            </w:r>
          </w:p>
          <w:p w14:paraId="4C1062FF"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113928</w:t>
            </w:r>
          </w:p>
          <w:p w14:paraId="2BB2A336"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113927</w:t>
            </w:r>
          </w:p>
          <w:p w14:paraId="7F2C0889"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113926</w:t>
            </w:r>
          </w:p>
          <w:p w14:paraId="57505944"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113925</w:t>
            </w:r>
          </w:p>
        </w:tc>
        <w:tc>
          <w:tcPr>
            <w:tcW w:w="802" w:type="pct"/>
            <w:tcBorders>
              <w:top w:val="single" w:sz="4" w:space="0" w:color="auto"/>
              <w:left w:val="single" w:sz="4" w:space="0" w:color="auto"/>
              <w:bottom w:val="single" w:sz="4" w:space="0" w:color="auto"/>
              <w:right w:val="single" w:sz="4" w:space="0" w:color="auto"/>
            </w:tcBorders>
            <w:shd w:val="clear" w:color="auto" w:fill="auto"/>
            <w:hideMark/>
          </w:tcPr>
          <w:p w14:paraId="407D7C51"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20g/200mL [100 mg/mL]</w:t>
            </w:r>
          </w:p>
          <w:p w14:paraId="2916F782"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10g/100mL [100 mg/mL]</w:t>
            </w:r>
          </w:p>
          <w:p w14:paraId="71220606"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5g/50mL [100 mg/mL]</w:t>
            </w:r>
          </w:p>
          <w:p w14:paraId="414DFF2D"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xml:space="preserve">2g/20mL [100 mg/mL] </w:t>
            </w:r>
          </w:p>
          <w:p w14:paraId="684349DF"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10g/200mL bottle [50 mg/mL]</w:t>
            </w:r>
          </w:p>
          <w:p w14:paraId="7875D8C2"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5g/100mL bottle [50 mg/mL]</w:t>
            </w:r>
          </w:p>
          <w:p w14:paraId="5C098821"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xml:space="preserve">2.5g/50mL bottle [50 mg/mL] </w:t>
            </w:r>
          </w:p>
          <w:p w14:paraId="74B84B5A"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1g/20mL vial [50 mg/mL]</w:t>
            </w:r>
          </w:p>
        </w:tc>
        <w:tc>
          <w:tcPr>
            <w:tcW w:w="2953" w:type="pct"/>
            <w:tcBorders>
              <w:top w:val="single" w:sz="4" w:space="0" w:color="auto"/>
              <w:left w:val="single" w:sz="4" w:space="0" w:color="auto"/>
              <w:bottom w:val="single" w:sz="4" w:space="0" w:color="auto"/>
              <w:right w:val="single" w:sz="4" w:space="0" w:color="auto"/>
            </w:tcBorders>
            <w:shd w:val="clear" w:color="auto" w:fill="auto"/>
            <w:hideMark/>
          </w:tcPr>
          <w:p w14:paraId="5D2FB514" w14:textId="77777777" w:rsidR="0016008C" w:rsidRPr="003B4D22" w:rsidRDefault="0016008C" w:rsidP="0016008C">
            <w:pPr>
              <w:spacing w:after="40" w:line="240" w:lineRule="auto"/>
              <w:ind w:left="-57" w:right="-57"/>
              <w:rPr>
                <w:rFonts w:ascii="Arial Narrow" w:hAnsi="Arial Narrow"/>
                <w:sz w:val="20"/>
                <w:u w:val="single"/>
              </w:rPr>
            </w:pPr>
            <w:r w:rsidRPr="003B4D22">
              <w:rPr>
                <w:rFonts w:ascii="Arial Narrow" w:hAnsi="Arial Narrow"/>
                <w:sz w:val="20"/>
                <w:u w:val="single"/>
              </w:rPr>
              <w:t>Replacement therapy</w:t>
            </w:r>
          </w:p>
          <w:p w14:paraId="0A42A400"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sym w:font="Arial Narrow" w:char="F0B7"/>
            </w:r>
            <w:r w:rsidRPr="003B4D22">
              <w:rPr>
                <w:rFonts w:ascii="Arial Narrow" w:hAnsi="Arial Narrow"/>
                <w:sz w:val="20"/>
              </w:rPr>
              <w:t xml:space="preserve"> Primary immunodeficiency syndromes:</w:t>
            </w:r>
          </w:p>
          <w:p w14:paraId="399A3E69"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congenital agammaglobulinaemia and hypogammaglobulinaemia</w:t>
            </w:r>
          </w:p>
          <w:p w14:paraId="6D5914A3"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common variable immunodeficiency</w:t>
            </w:r>
          </w:p>
          <w:p w14:paraId="0D79B0E5"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severe combined immunodeficiencies</w:t>
            </w:r>
          </w:p>
          <w:p w14:paraId="10840874"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Wiskott Aldrich syndrome.</w:t>
            </w:r>
          </w:p>
          <w:p w14:paraId="3444F3A7"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sym w:font="Arial Narrow" w:char="F0B7"/>
            </w:r>
            <w:r w:rsidRPr="003B4D22">
              <w:rPr>
                <w:rFonts w:ascii="Arial Narrow" w:hAnsi="Arial Narrow"/>
                <w:sz w:val="20"/>
              </w:rPr>
              <w:t xml:space="preserve"> Myeloma or chronic lymphocytic leukaemia with severe secondary hypogammaglobulinaemia and recurrent infections.</w:t>
            </w:r>
          </w:p>
          <w:p w14:paraId="54441945"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sym w:font="Arial Narrow" w:char="F0B7"/>
            </w:r>
            <w:r w:rsidRPr="003B4D22">
              <w:rPr>
                <w:rFonts w:ascii="Arial Narrow" w:hAnsi="Arial Narrow"/>
                <w:sz w:val="20"/>
              </w:rPr>
              <w:t xml:space="preserve"> Children with congenital Acquired Immune Deficiency Syndrome (AIDS) who have repeated bacterial infections.</w:t>
            </w:r>
          </w:p>
          <w:p w14:paraId="538A5078" w14:textId="77777777" w:rsidR="0016008C" w:rsidRPr="003B4D22" w:rsidRDefault="0016008C" w:rsidP="0016008C">
            <w:pPr>
              <w:spacing w:after="40" w:line="240" w:lineRule="auto"/>
              <w:ind w:left="-57" w:right="-57"/>
              <w:rPr>
                <w:rFonts w:ascii="Arial Narrow" w:hAnsi="Arial Narrow"/>
                <w:sz w:val="20"/>
                <w:u w:val="single"/>
              </w:rPr>
            </w:pPr>
            <w:r w:rsidRPr="003B4D22">
              <w:rPr>
                <w:rFonts w:ascii="Arial Narrow" w:hAnsi="Arial Narrow"/>
                <w:sz w:val="20"/>
                <w:u w:val="single"/>
              </w:rPr>
              <w:t>Immunomodulatory effect</w:t>
            </w:r>
          </w:p>
          <w:p w14:paraId="7C3DF4B7"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sym w:font="Arial Narrow" w:char="F0B7"/>
            </w:r>
            <w:r w:rsidRPr="003B4D22">
              <w:rPr>
                <w:rFonts w:ascii="Arial Narrow" w:hAnsi="Arial Narrow"/>
                <w:sz w:val="20"/>
              </w:rPr>
              <w:t xml:space="preserve"> Idiopathic thrombocytopenic purpura, in adults or children with a high risk of bleeding or prior to surgery to correct the platelet count.</w:t>
            </w:r>
          </w:p>
          <w:p w14:paraId="6FE20A9C"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sym w:font="Arial Narrow" w:char="F0B7"/>
            </w:r>
            <w:r w:rsidRPr="003B4D22">
              <w:rPr>
                <w:rFonts w:ascii="Arial Narrow" w:hAnsi="Arial Narrow"/>
                <w:sz w:val="20"/>
              </w:rPr>
              <w:t xml:space="preserve"> Guillain Barré syndrome</w:t>
            </w:r>
          </w:p>
          <w:p w14:paraId="4DBE05DF"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sym w:font="Arial Narrow" w:char="F0B7"/>
            </w:r>
            <w:r w:rsidRPr="003B4D22">
              <w:rPr>
                <w:rFonts w:ascii="Arial Narrow" w:hAnsi="Arial Narrow"/>
                <w:sz w:val="20"/>
              </w:rPr>
              <w:t xml:space="preserve"> Kawasaki disease.</w:t>
            </w:r>
          </w:p>
          <w:p w14:paraId="0DF417F4" w14:textId="77777777" w:rsidR="0016008C" w:rsidRPr="003B4D22" w:rsidRDefault="0016008C" w:rsidP="0016008C">
            <w:pPr>
              <w:spacing w:after="40" w:line="240" w:lineRule="auto"/>
              <w:ind w:left="-57" w:right="-57"/>
              <w:rPr>
                <w:rFonts w:ascii="Arial Narrow" w:hAnsi="Arial Narrow"/>
                <w:sz w:val="20"/>
                <w:u w:val="single"/>
              </w:rPr>
            </w:pPr>
            <w:r w:rsidRPr="003B4D22">
              <w:rPr>
                <w:rFonts w:ascii="Arial Narrow" w:hAnsi="Arial Narrow"/>
                <w:sz w:val="20"/>
                <w:u w:val="single"/>
              </w:rPr>
              <w:t>Allogeneic bone marrow transplantation</w:t>
            </w:r>
          </w:p>
        </w:tc>
      </w:tr>
      <w:tr w:rsidR="0016008C" w:rsidRPr="003B4D22" w14:paraId="06802F33" w14:textId="77777777" w:rsidTr="0016008C">
        <w:tc>
          <w:tcPr>
            <w:tcW w:w="589" w:type="pct"/>
            <w:tcBorders>
              <w:top w:val="single" w:sz="4" w:space="0" w:color="auto"/>
              <w:left w:val="single" w:sz="4" w:space="0" w:color="auto"/>
              <w:bottom w:val="single" w:sz="4" w:space="0" w:color="auto"/>
              <w:right w:val="single" w:sz="4" w:space="0" w:color="auto"/>
            </w:tcBorders>
            <w:shd w:val="clear" w:color="auto" w:fill="auto"/>
            <w:hideMark/>
          </w:tcPr>
          <w:p w14:paraId="1DF53BFB"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xml:space="preserve">Kiovig </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14:paraId="640ABE89"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See indications</w:t>
            </w:r>
          </w:p>
        </w:tc>
        <w:tc>
          <w:tcPr>
            <w:tcW w:w="263" w:type="pct"/>
            <w:tcBorders>
              <w:top w:val="single" w:sz="4" w:space="0" w:color="auto"/>
              <w:left w:val="single" w:sz="4" w:space="0" w:color="auto"/>
              <w:bottom w:val="single" w:sz="4" w:space="0" w:color="auto"/>
              <w:right w:val="single" w:sz="4" w:space="0" w:color="auto"/>
            </w:tcBorders>
            <w:shd w:val="clear" w:color="auto" w:fill="auto"/>
            <w:hideMark/>
          </w:tcPr>
          <w:p w14:paraId="0B3C6A03"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198488</w:t>
            </w:r>
          </w:p>
          <w:p w14:paraId="27BB9935"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131973</w:t>
            </w:r>
          </w:p>
          <w:p w14:paraId="62F14EDC"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131969</w:t>
            </w:r>
          </w:p>
          <w:p w14:paraId="5E6B2822"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131968</w:t>
            </w:r>
          </w:p>
          <w:p w14:paraId="4FEF94DD"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131966</w:t>
            </w:r>
          </w:p>
          <w:p w14:paraId="352ECD6F"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131953</w:t>
            </w:r>
          </w:p>
        </w:tc>
        <w:tc>
          <w:tcPr>
            <w:tcW w:w="802" w:type="pct"/>
            <w:tcBorders>
              <w:top w:val="single" w:sz="4" w:space="0" w:color="auto"/>
              <w:left w:val="single" w:sz="4" w:space="0" w:color="auto"/>
              <w:bottom w:val="single" w:sz="4" w:space="0" w:color="auto"/>
              <w:right w:val="single" w:sz="4" w:space="0" w:color="auto"/>
            </w:tcBorders>
            <w:shd w:val="clear" w:color="auto" w:fill="auto"/>
            <w:hideMark/>
          </w:tcPr>
          <w:p w14:paraId="5F8BEB6C"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30g/300mL vial (100 mg/mL)</w:t>
            </w:r>
          </w:p>
          <w:p w14:paraId="15D36EBF"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20g/200mL vial (100 mg/mL)</w:t>
            </w:r>
          </w:p>
          <w:p w14:paraId="6B4C4710"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10g/100mL vial (100 mg/mL)</w:t>
            </w:r>
          </w:p>
          <w:p w14:paraId="684F1B0F"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5g/50mL vial (100 mg/mL)</w:t>
            </w:r>
          </w:p>
          <w:p w14:paraId="3DCDFE2B"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2.5g/25mL vial (100 mg/mL)</w:t>
            </w:r>
          </w:p>
          <w:p w14:paraId="229C8ACB"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1g/10mL vial (100 mg/mL)</w:t>
            </w:r>
          </w:p>
        </w:tc>
        <w:tc>
          <w:tcPr>
            <w:tcW w:w="2953" w:type="pct"/>
            <w:tcBorders>
              <w:top w:val="single" w:sz="4" w:space="0" w:color="auto"/>
              <w:left w:val="single" w:sz="4" w:space="0" w:color="auto"/>
              <w:bottom w:val="single" w:sz="4" w:space="0" w:color="auto"/>
              <w:right w:val="single" w:sz="4" w:space="0" w:color="auto"/>
            </w:tcBorders>
            <w:shd w:val="clear" w:color="auto" w:fill="auto"/>
          </w:tcPr>
          <w:p w14:paraId="6A85590C"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xml:space="preserve">KIOVIG administered </w:t>
            </w:r>
            <w:r w:rsidRPr="003B4D22">
              <w:rPr>
                <w:rFonts w:ascii="Arial Narrow" w:hAnsi="Arial Narrow"/>
                <w:sz w:val="20"/>
                <w:u w:val="single"/>
              </w:rPr>
              <w:t>intravenously</w:t>
            </w:r>
            <w:r w:rsidRPr="003B4D22">
              <w:rPr>
                <w:rFonts w:ascii="Arial Narrow" w:hAnsi="Arial Narrow"/>
                <w:sz w:val="20"/>
              </w:rPr>
              <w:t xml:space="preserve"> is indicated for:</w:t>
            </w:r>
          </w:p>
          <w:p w14:paraId="18B61042"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xml:space="preserve">(1) </w:t>
            </w:r>
            <w:r w:rsidRPr="003B4D22">
              <w:rPr>
                <w:rFonts w:ascii="Arial Narrow" w:hAnsi="Arial Narrow"/>
                <w:sz w:val="20"/>
                <w:u w:val="single"/>
              </w:rPr>
              <w:t>Replacement therapy indications</w:t>
            </w:r>
          </w:p>
          <w:p w14:paraId="1B9A60DC"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Primary immunodeficiency disorders (PID);</w:t>
            </w:r>
          </w:p>
          <w:p w14:paraId="0C82AA32"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Symptomatic hypogammaglobulinaemia secondary to underlying disease or treatment.</w:t>
            </w:r>
          </w:p>
          <w:p w14:paraId="0BC80494"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xml:space="preserve">(2) </w:t>
            </w:r>
            <w:r w:rsidRPr="003B4D22">
              <w:rPr>
                <w:rFonts w:ascii="Arial Narrow" w:hAnsi="Arial Narrow"/>
                <w:sz w:val="20"/>
                <w:u w:val="single"/>
              </w:rPr>
              <w:t>Immunomodulation indications</w:t>
            </w:r>
          </w:p>
          <w:p w14:paraId="13644F06"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Idiopathic thrombocytopenia purpura (ITP), in patients at high risk of bleeding or prior to surgery to correct the platelet count;</w:t>
            </w:r>
          </w:p>
          <w:p w14:paraId="0A3867EF"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Guillain Barré Syndrome;</w:t>
            </w:r>
          </w:p>
          <w:p w14:paraId="30F7EBA1"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Kawasaki Disease;</w:t>
            </w:r>
          </w:p>
          <w:p w14:paraId="321754FC"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Multifocal Motor Neuropathy (MMN).</w:t>
            </w:r>
          </w:p>
          <w:p w14:paraId="442404B0" w14:textId="77777777" w:rsidR="0016008C" w:rsidRPr="003B4D22" w:rsidRDefault="0016008C" w:rsidP="0016008C">
            <w:pPr>
              <w:spacing w:after="40" w:line="240" w:lineRule="auto"/>
              <w:ind w:left="-57" w:right="-57"/>
              <w:rPr>
                <w:rFonts w:ascii="Arial Narrow" w:hAnsi="Arial Narrow"/>
                <w:sz w:val="20"/>
              </w:rPr>
            </w:pPr>
          </w:p>
          <w:p w14:paraId="34D4B62B"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xml:space="preserve">KIOVIG administered </w:t>
            </w:r>
            <w:r w:rsidRPr="003B4D22">
              <w:rPr>
                <w:rFonts w:ascii="Arial Narrow" w:hAnsi="Arial Narrow"/>
                <w:sz w:val="20"/>
                <w:u w:val="single"/>
              </w:rPr>
              <w:t>subcutaneously</w:t>
            </w:r>
            <w:r w:rsidRPr="003B4D22">
              <w:rPr>
                <w:rFonts w:ascii="Arial Narrow" w:hAnsi="Arial Narrow"/>
                <w:sz w:val="20"/>
              </w:rPr>
              <w:t xml:space="preserve"> is indicated for:</w:t>
            </w:r>
          </w:p>
          <w:p w14:paraId="5F5D6E7B"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xml:space="preserve">(1) </w:t>
            </w:r>
            <w:r w:rsidRPr="003B4D22">
              <w:rPr>
                <w:rFonts w:ascii="Arial Narrow" w:hAnsi="Arial Narrow"/>
                <w:sz w:val="20"/>
                <w:u w:val="single"/>
              </w:rPr>
              <w:t>Replacement therapy indications</w:t>
            </w:r>
          </w:p>
          <w:p w14:paraId="1E643CE0"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Primary immunodeficiency disorders (PID).</w:t>
            </w:r>
          </w:p>
        </w:tc>
      </w:tr>
      <w:tr w:rsidR="0016008C" w:rsidRPr="003B4D22" w14:paraId="285FBF13" w14:textId="77777777" w:rsidTr="0016008C">
        <w:tc>
          <w:tcPr>
            <w:tcW w:w="589" w:type="pct"/>
            <w:tcBorders>
              <w:top w:val="single" w:sz="4" w:space="0" w:color="auto"/>
              <w:left w:val="single" w:sz="4" w:space="0" w:color="auto"/>
              <w:bottom w:val="single" w:sz="4" w:space="0" w:color="auto"/>
              <w:right w:val="single" w:sz="4" w:space="0" w:color="auto"/>
            </w:tcBorders>
            <w:shd w:val="clear" w:color="auto" w:fill="auto"/>
            <w:hideMark/>
          </w:tcPr>
          <w:p w14:paraId="7E9F787D"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Gammanorm</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14:paraId="46DE3FC2"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IM or SC infusion</w:t>
            </w:r>
          </w:p>
        </w:tc>
        <w:tc>
          <w:tcPr>
            <w:tcW w:w="263" w:type="pct"/>
            <w:tcBorders>
              <w:top w:val="single" w:sz="4" w:space="0" w:color="auto"/>
              <w:left w:val="single" w:sz="4" w:space="0" w:color="auto"/>
              <w:bottom w:val="single" w:sz="4" w:space="0" w:color="auto"/>
              <w:right w:val="single" w:sz="4" w:space="0" w:color="auto"/>
            </w:tcBorders>
            <w:shd w:val="clear" w:color="auto" w:fill="auto"/>
            <w:hideMark/>
          </w:tcPr>
          <w:p w14:paraId="5740C221"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128705</w:t>
            </w:r>
          </w:p>
          <w:p w14:paraId="6A643EDB"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128703</w:t>
            </w:r>
          </w:p>
        </w:tc>
        <w:tc>
          <w:tcPr>
            <w:tcW w:w="802" w:type="pct"/>
            <w:tcBorders>
              <w:top w:val="single" w:sz="4" w:space="0" w:color="auto"/>
              <w:left w:val="single" w:sz="4" w:space="0" w:color="auto"/>
              <w:bottom w:val="single" w:sz="4" w:space="0" w:color="auto"/>
              <w:right w:val="single" w:sz="4" w:space="0" w:color="auto"/>
            </w:tcBorders>
            <w:shd w:val="clear" w:color="auto" w:fill="auto"/>
            <w:hideMark/>
          </w:tcPr>
          <w:p w14:paraId="22CC53B8"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xml:space="preserve">3300mg/20mL vial </w:t>
            </w:r>
          </w:p>
          <w:p w14:paraId="13B46C80"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xml:space="preserve">1650mg/10mL vial </w:t>
            </w:r>
          </w:p>
        </w:tc>
        <w:tc>
          <w:tcPr>
            <w:tcW w:w="2953" w:type="pct"/>
            <w:tcBorders>
              <w:top w:val="single" w:sz="4" w:space="0" w:color="auto"/>
              <w:left w:val="single" w:sz="4" w:space="0" w:color="auto"/>
              <w:bottom w:val="single" w:sz="4" w:space="0" w:color="auto"/>
              <w:right w:val="single" w:sz="4" w:space="0" w:color="auto"/>
            </w:tcBorders>
            <w:shd w:val="clear" w:color="auto" w:fill="auto"/>
            <w:hideMark/>
          </w:tcPr>
          <w:p w14:paraId="0BB315E3"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sym w:font="Arial Narrow" w:char="F0B7"/>
            </w:r>
            <w:r w:rsidRPr="003B4D22">
              <w:rPr>
                <w:rFonts w:ascii="Arial Narrow" w:hAnsi="Arial Narrow"/>
                <w:sz w:val="20"/>
              </w:rPr>
              <w:t xml:space="preserve"> Replacement therapy in adults and children with primary immunodeficiency syndromes such as:</w:t>
            </w:r>
          </w:p>
          <w:p w14:paraId="705B5F75"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congenital agammaglobulinaemia and hypogammaglobulinaemia</w:t>
            </w:r>
          </w:p>
          <w:p w14:paraId="7C69FBF8"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common variable immunodeficiency</w:t>
            </w:r>
          </w:p>
          <w:p w14:paraId="08F44BAA"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 severe combined immunodeficiencies</w:t>
            </w:r>
          </w:p>
          <w:p w14:paraId="1F0761E5"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lastRenderedPageBreak/>
              <w:t>- IgG subclass deficiencies with recurrent infections</w:t>
            </w:r>
          </w:p>
          <w:p w14:paraId="79435D50"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sym w:font="Arial Narrow" w:char="F0B7"/>
            </w:r>
            <w:r w:rsidRPr="003B4D22">
              <w:rPr>
                <w:rFonts w:ascii="Arial Narrow" w:hAnsi="Arial Narrow"/>
                <w:sz w:val="20"/>
              </w:rPr>
              <w:t xml:space="preserve"> Replacement therapy in myeloma or chronic lymphatic leukaemia with severe secondary hypogammaglobulinaemia and recurrent infections.</w:t>
            </w:r>
          </w:p>
        </w:tc>
      </w:tr>
      <w:tr w:rsidR="0016008C" w:rsidRPr="003B4D22" w14:paraId="72804539" w14:textId="77777777" w:rsidTr="0016008C">
        <w:tc>
          <w:tcPr>
            <w:tcW w:w="589" w:type="pct"/>
            <w:tcBorders>
              <w:top w:val="single" w:sz="4" w:space="0" w:color="auto"/>
              <w:left w:val="single" w:sz="4" w:space="0" w:color="auto"/>
              <w:bottom w:val="single" w:sz="4" w:space="0" w:color="auto"/>
              <w:right w:val="single" w:sz="4" w:space="0" w:color="auto"/>
            </w:tcBorders>
            <w:shd w:val="clear" w:color="auto" w:fill="auto"/>
            <w:hideMark/>
          </w:tcPr>
          <w:p w14:paraId="7C31FCDD"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lastRenderedPageBreak/>
              <w:t>CSL NORMAL IMMUNOGLOBULIN VF</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14:paraId="24BE96A2"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IM injection</w:t>
            </w:r>
          </w:p>
        </w:tc>
        <w:tc>
          <w:tcPr>
            <w:tcW w:w="263" w:type="pct"/>
            <w:tcBorders>
              <w:top w:val="single" w:sz="4" w:space="0" w:color="auto"/>
              <w:left w:val="single" w:sz="4" w:space="0" w:color="auto"/>
              <w:bottom w:val="single" w:sz="4" w:space="0" w:color="auto"/>
              <w:right w:val="single" w:sz="4" w:space="0" w:color="auto"/>
            </w:tcBorders>
            <w:shd w:val="clear" w:color="auto" w:fill="auto"/>
            <w:hideMark/>
          </w:tcPr>
          <w:p w14:paraId="3EA59181"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61216</w:t>
            </w:r>
          </w:p>
          <w:p w14:paraId="70CBD4BB"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61215</w:t>
            </w:r>
          </w:p>
        </w:tc>
        <w:tc>
          <w:tcPr>
            <w:tcW w:w="802" w:type="pct"/>
            <w:tcBorders>
              <w:top w:val="single" w:sz="4" w:space="0" w:color="auto"/>
              <w:left w:val="single" w:sz="4" w:space="0" w:color="auto"/>
              <w:bottom w:val="single" w:sz="4" w:space="0" w:color="auto"/>
              <w:right w:val="single" w:sz="4" w:space="0" w:color="auto"/>
            </w:tcBorders>
            <w:shd w:val="clear" w:color="auto" w:fill="auto"/>
            <w:hideMark/>
          </w:tcPr>
          <w:p w14:paraId="56AD0617"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800mg/5mL vial</w:t>
            </w:r>
          </w:p>
          <w:p w14:paraId="46CF7972"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320mg/2mL vial</w:t>
            </w:r>
          </w:p>
        </w:tc>
        <w:tc>
          <w:tcPr>
            <w:tcW w:w="2953" w:type="pct"/>
            <w:tcBorders>
              <w:top w:val="single" w:sz="4" w:space="0" w:color="auto"/>
              <w:left w:val="single" w:sz="4" w:space="0" w:color="auto"/>
              <w:bottom w:val="single" w:sz="4" w:space="0" w:color="auto"/>
              <w:right w:val="single" w:sz="4" w:space="0" w:color="auto"/>
            </w:tcBorders>
            <w:shd w:val="clear" w:color="auto" w:fill="auto"/>
            <w:hideMark/>
          </w:tcPr>
          <w:p w14:paraId="2072E322"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Normal Immunoglobulin-VF is indicated in the management of congenital and acquired forms of primary hypogammaglobulinaemia. It may also be of value in treating secondary forms of this disorder as in leukaemia, nephrosis and acute protein-losing enteropathy, particularly when there is a tendency to recurrent infection.</w:t>
            </w:r>
          </w:p>
        </w:tc>
      </w:tr>
      <w:tr w:rsidR="0016008C" w:rsidRPr="003B4D22" w14:paraId="1291E598" w14:textId="77777777" w:rsidTr="0016008C">
        <w:tc>
          <w:tcPr>
            <w:tcW w:w="589" w:type="pct"/>
            <w:tcBorders>
              <w:top w:val="single" w:sz="4" w:space="0" w:color="auto"/>
              <w:left w:val="single" w:sz="4" w:space="0" w:color="auto"/>
              <w:bottom w:val="single" w:sz="4" w:space="0" w:color="auto"/>
              <w:right w:val="single" w:sz="4" w:space="0" w:color="auto"/>
            </w:tcBorders>
            <w:shd w:val="clear" w:color="auto" w:fill="auto"/>
            <w:hideMark/>
          </w:tcPr>
          <w:p w14:paraId="3DEC8C8D"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CUVITRU</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14:paraId="36D8C5FB"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SC infusion</w:t>
            </w:r>
          </w:p>
        </w:tc>
        <w:tc>
          <w:tcPr>
            <w:tcW w:w="263" w:type="pct"/>
            <w:tcBorders>
              <w:top w:val="single" w:sz="4" w:space="0" w:color="auto"/>
              <w:left w:val="single" w:sz="4" w:space="0" w:color="auto"/>
              <w:bottom w:val="single" w:sz="4" w:space="0" w:color="auto"/>
              <w:right w:val="single" w:sz="4" w:space="0" w:color="auto"/>
            </w:tcBorders>
            <w:shd w:val="clear" w:color="auto" w:fill="auto"/>
            <w:hideMark/>
          </w:tcPr>
          <w:p w14:paraId="352FEFF9"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282579</w:t>
            </w:r>
          </w:p>
        </w:tc>
        <w:tc>
          <w:tcPr>
            <w:tcW w:w="802" w:type="pct"/>
            <w:tcBorders>
              <w:top w:val="single" w:sz="4" w:space="0" w:color="auto"/>
              <w:left w:val="single" w:sz="4" w:space="0" w:color="auto"/>
              <w:bottom w:val="single" w:sz="4" w:space="0" w:color="auto"/>
              <w:right w:val="single" w:sz="4" w:space="0" w:color="auto"/>
            </w:tcBorders>
            <w:shd w:val="clear" w:color="auto" w:fill="auto"/>
            <w:hideMark/>
          </w:tcPr>
          <w:p w14:paraId="0B15E95E"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20% solution vial</w:t>
            </w:r>
          </w:p>
        </w:tc>
        <w:tc>
          <w:tcPr>
            <w:tcW w:w="2953" w:type="pct"/>
            <w:tcBorders>
              <w:top w:val="single" w:sz="4" w:space="0" w:color="auto"/>
              <w:left w:val="single" w:sz="4" w:space="0" w:color="auto"/>
              <w:bottom w:val="single" w:sz="4" w:space="0" w:color="auto"/>
              <w:right w:val="single" w:sz="4" w:space="0" w:color="auto"/>
            </w:tcBorders>
            <w:shd w:val="clear" w:color="auto" w:fill="auto"/>
            <w:hideMark/>
          </w:tcPr>
          <w:p w14:paraId="62A680AE"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t>CUVITRU is indicated as replacement therapy in adult and paediatric patients for</w:t>
            </w:r>
          </w:p>
          <w:p w14:paraId="28A382A2"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sym w:font="Arial Narrow" w:char="F0B7"/>
            </w:r>
            <w:r w:rsidRPr="003B4D22">
              <w:rPr>
                <w:rFonts w:ascii="Arial Narrow" w:hAnsi="Arial Narrow"/>
                <w:sz w:val="20"/>
              </w:rPr>
              <w:t xml:space="preserve"> Primary immunodeficiency diseases (PID) and</w:t>
            </w:r>
          </w:p>
          <w:p w14:paraId="23D73827" w14:textId="77777777" w:rsidR="0016008C" w:rsidRPr="003B4D22" w:rsidRDefault="0016008C" w:rsidP="0016008C">
            <w:pPr>
              <w:spacing w:after="40" w:line="240" w:lineRule="auto"/>
              <w:ind w:left="-57" w:right="-57"/>
              <w:rPr>
                <w:rFonts w:ascii="Arial Narrow" w:hAnsi="Arial Narrow"/>
                <w:sz w:val="20"/>
              </w:rPr>
            </w:pPr>
            <w:r w:rsidRPr="003B4D22">
              <w:rPr>
                <w:rFonts w:ascii="Arial Narrow" w:hAnsi="Arial Narrow"/>
                <w:sz w:val="20"/>
              </w:rPr>
              <w:sym w:font="Arial Narrow" w:char="F0B7"/>
            </w:r>
            <w:r w:rsidRPr="003B4D22">
              <w:rPr>
                <w:rFonts w:ascii="Arial Narrow" w:hAnsi="Arial Narrow"/>
                <w:sz w:val="20"/>
              </w:rPr>
              <w:t xml:space="preserve"> Symptomatic hypogammaglobulinaemia secondary to underlying disease or treatment.</w:t>
            </w:r>
          </w:p>
        </w:tc>
      </w:tr>
    </w:tbl>
    <w:p w14:paraId="0221BF41" w14:textId="77777777" w:rsidR="0016008C" w:rsidRPr="003B4D22" w:rsidRDefault="0016008C" w:rsidP="0016008C">
      <w:pPr>
        <w:spacing w:after="0"/>
        <w:rPr>
          <w:rFonts w:ascii="Arial Narrow" w:hAnsi="Arial Narrow"/>
          <w:sz w:val="20"/>
          <w:lang w:eastAsia="en-US"/>
        </w:rPr>
      </w:pPr>
      <w:r w:rsidRPr="003B4D22">
        <w:rPr>
          <w:rFonts w:ascii="Arial Narrow" w:hAnsi="Arial Narrow"/>
          <w:sz w:val="20"/>
        </w:rPr>
        <w:t>*SC infusion only recommended for replacement therapy in patients with primary immunodeficiency</w:t>
      </w:r>
    </w:p>
    <w:p w14:paraId="63B2DB94" w14:textId="77777777" w:rsidR="0016008C" w:rsidRPr="003B4D22" w:rsidRDefault="0016008C" w:rsidP="0016008C">
      <w:pPr>
        <w:spacing w:after="0"/>
        <w:rPr>
          <w:rFonts w:ascii="Arial Narrow" w:hAnsi="Arial Narrow"/>
          <w:sz w:val="20"/>
        </w:rPr>
      </w:pPr>
    </w:p>
    <w:p w14:paraId="5F9EBB18" w14:textId="77777777" w:rsidR="0016008C" w:rsidRPr="00386411" w:rsidRDefault="0016008C" w:rsidP="0016008C">
      <w:pPr>
        <w:spacing w:after="0"/>
        <w:rPr>
          <w:rFonts w:ascii="Arial Narrow" w:hAnsi="Arial Narrow"/>
          <w:b/>
          <w:sz w:val="20"/>
        </w:rPr>
      </w:pPr>
    </w:p>
    <w:p w14:paraId="677C8200" w14:textId="77777777" w:rsidR="0016008C" w:rsidRPr="00386411" w:rsidRDefault="0016008C" w:rsidP="0016008C">
      <w:pPr>
        <w:spacing w:after="0"/>
        <w:rPr>
          <w:rFonts w:ascii="Arial Narrow" w:hAnsi="Arial Narrow"/>
          <w:b/>
          <w:sz w:val="20"/>
        </w:rPr>
        <w:sectPr w:rsidR="0016008C" w:rsidRPr="00386411" w:rsidSect="00D3526F">
          <w:footerReference w:type="default" r:id="rId74"/>
          <w:pgSz w:w="16838" w:h="11906" w:orient="landscape"/>
          <w:pgMar w:top="1440" w:right="851" w:bottom="1440" w:left="851" w:header="720" w:footer="720" w:gutter="0"/>
          <w:paperSrc w:first="7" w:other="7"/>
          <w:cols w:space="720"/>
        </w:sectPr>
      </w:pPr>
    </w:p>
    <w:p w14:paraId="2E9014B1" w14:textId="64CC7A33" w:rsidR="006C0851" w:rsidRPr="00386411" w:rsidRDefault="008F59A8" w:rsidP="00DF343F">
      <w:pPr>
        <w:pStyle w:val="Heading1"/>
      </w:pPr>
      <w:bookmarkStart w:id="833" w:name="_Toc14431197"/>
      <w:bookmarkStart w:id="834" w:name="_Toc16856374"/>
      <w:r w:rsidRPr="00386411">
        <w:lastRenderedPageBreak/>
        <w:t>References</w:t>
      </w:r>
      <w:bookmarkEnd w:id="828"/>
      <w:bookmarkEnd w:id="829"/>
      <w:bookmarkEnd w:id="833"/>
      <w:bookmarkEnd w:id="834"/>
      <w:r w:rsidRPr="00386411">
        <w:t xml:space="preserve"> </w:t>
      </w:r>
      <w:r w:rsidR="00816960" w:rsidRPr="00386411">
        <w:tab/>
      </w:r>
    </w:p>
    <w:p w14:paraId="2D52F956" w14:textId="77777777" w:rsidR="00BB0145" w:rsidRPr="00BB0145" w:rsidRDefault="00FC7DD0" w:rsidP="00BB0145">
      <w:pPr>
        <w:pStyle w:val="EndNoteBibliography"/>
      </w:pPr>
      <w:r w:rsidRPr="00386411">
        <w:rPr>
          <w:rFonts w:ascii="Arial Narrow" w:hAnsi="Arial Narrow"/>
          <w:b/>
        </w:rPr>
        <w:fldChar w:fldCharType="begin"/>
      </w:r>
      <w:r w:rsidRPr="00386411">
        <w:rPr>
          <w:rFonts w:ascii="Arial Narrow" w:hAnsi="Arial Narrow"/>
          <w:b/>
        </w:rPr>
        <w:instrText xml:space="preserve"> ADDIN EN.REFLIST </w:instrText>
      </w:r>
      <w:r w:rsidRPr="00386411">
        <w:rPr>
          <w:rFonts w:ascii="Arial Narrow" w:hAnsi="Arial Narrow"/>
          <w:b/>
        </w:rPr>
        <w:fldChar w:fldCharType="separate"/>
      </w:r>
      <w:bookmarkStart w:id="835" w:name="_ENREF_1"/>
      <w:r w:rsidR="00BB0145" w:rsidRPr="00BB0145">
        <w:t xml:space="preserve">Ammann, EM, Jones, MP, Link, BK, Carnahan, RM, Winiecki, SK, Torner, JC, McDowell, BD, Fireman, BH &amp; Chrischilles, EA 2016, 'Intravenous immune globulin and thromboembolic adverse events in patients with hematologic malignancy', </w:t>
      </w:r>
      <w:r w:rsidR="00BB0145" w:rsidRPr="00BB0145">
        <w:rPr>
          <w:i/>
        </w:rPr>
        <w:t>Blood</w:t>
      </w:r>
      <w:r w:rsidR="00BB0145" w:rsidRPr="00BB0145">
        <w:t>, vol. 127, no. 2, Jan-14, pp. 200-207.</w:t>
      </w:r>
      <w:bookmarkEnd w:id="835"/>
    </w:p>
    <w:p w14:paraId="1927F54E" w14:textId="77777777" w:rsidR="00BB0145" w:rsidRPr="00BB0145" w:rsidRDefault="00BB0145" w:rsidP="00BB0145">
      <w:pPr>
        <w:pStyle w:val="EndNoteBibliography"/>
      </w:pPr>
      <w:bookmarkStart w:id="836" w:name="_ENREF_2"/>
      <w:r w:rsidRPr="00BB0145">
        <w:t xml:space="preserve">Benbrahim, O, Viallard, JF, Choquet, S, Royer, B, Bauduer, F, Decaux, O, Crave, JC, Fardini, Y, Clerson, P &amp; Levy, V 2018, 'A French observational study describing the use of human polyvalent immunoglobulins in hematological malignancy-associated secondary immunodeficiency', </w:t>
      </w:r>
      <w:r w:rsidRPr="00BB0145">
        <w:rPr>
          <w:i/>
        </w:rPr>
        <w:t>Eur J Haematol</w:t>
      </w:r>
      <w:r w:rsidRPr="00BB0145">
        <w:t>, vol. 101, no. 1, Jul, pp. 48-56.</w:t>
      </w:r>
      <w:bookmarkEnd w:id="836"/>
    </w:p>
    <w:p w14:paraId="53EB0FD3" w14:textId="77777777" w:rsidR="00BB0145" w:rsidRPr="00BB0145" w:rsidRDefault="00BB0145" w:rsidP="00BB0145">
      <w:pPr>
        <w:pStyle w:val="EndNoteBibliography"/>
      </w:pPr>
      <w:bookmarkStart w:id="837" w:name="_ENREF_3"/>
      <w:r w:rsidRPr="00BB0145">
        <w:t xml:space="preserve">Benbrahim, O, Viallard, JF, Choquet, S, Royer, B, Bauduer, F, Decaux, O, Crave, JC, Fardini, Y, Clerson, P &amp; Levy, V 2019, 'The use of octagam and gammanorm in immunodeficiency associated with hematological malignancies: a prospective study from 21 French hematology departments', </w:t>
      </w:r>
      <w:r w:rsidRPr="00BB0145">
        <w:rPr>
          <w:i/>
        </w:rPr>
        <w:t>Hematology</w:t>
      </w:r>
      <w:r w:rsidRPr="00BB0145">
        <w:t>, vol. 24, no. 1, Dec, pp. 173-182.</w:t>
      </w:r>
      <w:bookmarkEnd w:id="837"/>
    </w:p>
    <w:p w14:paraId="7A961DF8" w14:textId="77777777" w:rsidR="00BB0145" w:rsidRPr="00BB0145" w:rsidRDefault="00BB0145" w:rsidP="00BB0145">
      <w:pPr>
        <w:pStyle w:val="EndNoteBibliography"/>
      </w:pPr>
      <w:bookmarkStart w:id="838" w:name="_ENREF_4"/>
      <w:r w:rsidRPr="00BB0145">
        <w:t xml:space="preserve">Besa, EC 1992, 'Recent advances in the treatment of chronic lymphocytic leukemia: defining the role of intravenous immunoglobulin', </w:t>
      </w:r>
      <w:r w:rsidRPr="00BB0145">
        <w:rPr>
          <w:i/>
        </w:rPr>
        <w:t>Semin Hematol</w:t>
      </w:r>
      <w:r w:rsidRPr="00BB0145">
        <w:t>, vol. 29, no. 3, Jul, pp. 14-23.</w:t>
      </w:r>
      <w:bookmarkEnd w:id="838"/>
    </w:p>
    <w:p w14:paraId="4B77F416" w14:textId="77777777" w:rsidR="00BB0145" w:rsidRPr="00BB0145" w:rsidRDefault="00BB0145" w:rsidP="00BB0145">
      <w:pPr>
        <w:pStyle w:val="EndNoteBibliography"/>
      </w:pPr>
      <w:bookmarkStart w:id="839" w:name="_ENREF_5"/>
      <w:r w:rsidRPr="00BB0145">
        <w:t xml:space="preserve">Blanchette, CM, Noone, JM, Stone, G, Zacherle, E, Patel, RP, Howden, R &amp; Mapel, D 2017, 'Healthcare Cost and Utilization before and after Diagnosis of Pseudomonas aeruginosa among Patients with Non-Cystic Fibrosis Bronchiectasis in the U.S', </w:t>
      </w:r>
      <w:r w:rsidRPr="00BB0145">
        <w:rPr>
          <w:i/>
        </w:rPr>
        <w:t>Med Sci (Basel)</w:t>
      </w:r>
      <w:r w:rsidRPr="00BB0145">
        <w:t>, vol. 5, no. 4, Sep 23.</w:t>
      </w:r>
      <w:bookmarkEnd w:id="839"/>
    </w:p>
    <w:p w14:paraId="070C5099" w14:textId="77777777" w:rsidR="00BB0145" w:rsidRPr="00BB0145" w:rsidRDefault="00BB0145" w:rsidP="00BB0145">
      <w:pPr>
        <w:pStyle w:val="EndNoteBibliography"/>
      </w:pPr>
      <w:bookmarkStart w:id="840" w:name="_ENREF_6"/>
      <w:r w:rsidRPr="00BB0145">
        <w:t xml:space="preserve">Blombery, P, Prince, HM, Worth, LJ, Main, J, Yang, M, Wood, EM &amp; Westerman, DA 2011, 'Prophylactic intravenous immunoglobulin during autologous haemopoietic stem cell transplantation for multiple myeloma is not associated with reduced infectious complications', </w:t>
      </w:r>
      <w:r w:rsidRPr="00BB0145">
        <w:rPr>
          <w:i/>
        </w:rPr>
        <w:t>Ann Hematol</w:t>
      </w:r>
      <w:r w:rsidRPr="00BB0145">
        <w:t>, vol. 90, no. 10, Oct, pp. 1167-1172.</w:t>
      </w:r>
      <w:bookmarkEnd w:id="840"/>
    </w:p>
    <w:p w14:paraId="1373842F" w14:textId="77777777" w:rsidR="00BB0145" w:rsidRPr="00BB0145" w:rsidRDefault="00BB0145" w:rsidP="00BB0145">
      <w:pPr>
        <w:pStyle w:val="EndNoteBibliography"/>
      </w:pPr>
      <w:bookmarkStart w:id="841" w:name="_ENREF_7"/>
      <w:r w:rsidRPr="00BB0145">
        <w:t xml:space="preserve">Boughton, BJ, Jackson, N, Lim, S &amp; Smith, N 1995, 'Randomized trial of intravenous immunoglobulin prophylaxis for patients with chronic lymphocytic leukaemia and secondary hypogammaglobulinaemia', </w:t>
      </w:r>
      <w:r w:rsidRPr="00BB0145">
        <w:rPr>
          <w:i/>
        </w:rPr>
        <w:t>Clin Lab Haematol</w:t>
      </w:r>
      <w:r w:rsidRPr="00BB0145">
        <w:t>, vol. 17, no. 1, Mar, pp. 75-80.</w:t>
      </w:r>
      <w:bookmarkEnd w:id="841"/>
    </w:p>
    <w:p w14:paraId="33553E14" w14:textId="77777777" w:rsidR="00BB0145" w:rsidRPr="00BB0145" w:rsidRDefault="00BB0145" w:rsidP="00BB0145">
      <w:pPr>
        <w:pStyle w:val="EndNoteBibliography"/>
      </w:pPr>
      <w:bookmarkStart w:id="842" w:name="_ENREF_8"/>
      <w:r w:rsidRPr="00BB0145">
        <w:t xml:space="preserve">Brenner, B 1996, 'Clinical experience with Octagam, a solvent detergent (SD) virus inactivated intravenous gammaglobulin', </w:t>
      </w:r>
      <w:r w:rsidRPr="00BB0145">
        <w:rPr>
          <w:i/>
        </w:rPr>
        <w:t>Clinical and Experimental Rheumatology</w:t>
      </w:r>
      <w:r w:rsidRPr="00BB0145">
        <w:t>, vol. 14, 1996, pp. S115-S119.</w:t>
      </w:r>
      <w:bookmarkEnd w:id="842"/>
    </w:p>
    <w:p w14:paraId="7C63B86F" w14:textId="77777777" w:rsidR="00BB0145" w:rsidRPr="00BB0145" w:rsidRDefault="00BB0145" w:rsidP="00BB0145">
      <w:pPr>
        <w:pStyle w:val="EndNoteBibliography"/>
      </w:pPr>
      <w:bookmarkStart w:id="843" w:name="_ENREF_9"/>
      <w:r w:rsidRPr="00BB0145">
        <w:t xml:space="preserve">Brown, JS, Baxendale, H &amp; Floto, RA 2011, 'Immunodeficiencies associated with bronchiectasis', in RA Floto &amp; CS Haworth (eds), </w:t>
      </w:r>
      <w:r w:rsidRPr="00BB0145">
        <w:rPr>
          <w:i/>
        </w:rPr>
        <w:t>European Respiratory Society Monographs: Bronchiectasis</w:t>
      </w:r>
      <w:r w:rsidRPr="00BB0145">
        <w:t>, pp. 178-191.</w:t>
      </w:r>
      <w:bookmarkEnd w:id="843"/>
    </w:p>
    <w:p w14:paraId="6AF7CB84" w14:textId="77777777" w:rsidR="00BB0145" w:rsidRPr="00BB0145" w:rsidRDefault="00BB0145" w:rsidP="00BB0145">
      <w:pPr>
        <w:pStyle w:val="EndNoteBibliography"/>
      </w:pPr>
      <w:bookmarkStart w:id="844" w:name="_ENREF_10"/>
      <w:r w:rsidRPr="00BB0145">
        <w:t xml:space="preserve">Carlisle, PS, Gucalp, R &amp; Wiernik, PH 1993, 'Nosocomial infections in neutropenic cancer patients', </w:t>
      </w:r>
      <w:r w:rsidRPr="00BB0145">
        <w:rPr>
          <w:i/>
        </w:rPr>
        <w:t>Infect Control Hosp Epidemiol</w:t>
      </w:r>
      <w:r w:rsidRPr="00BB0145">
        <w:t>, vol. 14, no. 6, Jun, pp. 320-324.</w:t>
      </w:r>
      <w:bookmarkEnd w:id="844"/>
    </w:p>
    <w:p w14:paraId="4F8E1E1F" w14:textId="77777777" w:rsidR="00BB0145" w:rsidRPr="00BB0145" w:rsidRDefault="00BB0145" w:rsidP="00BB0145">
      <w:pPr>
        <w:pStyle w:val="EndNoteBibliography"/>
      </w:pPr>
      <w:bookmarkStart w:id="845" w:name="_ENREF_11"/>
      <w:r w:rsidRPr="00BB0145">
        <w:t xml:space="preserve">Chapel, HM, Dicato, M, Gamm, H, Brennan, V, Ries, F, Bunch, C &amp; Lee, M 1994a, 'Immunoglobulin replacement in patients with chronic lymphocytic leukaemia: a comparison of two dose regimes', </w:t>
      </w:r>
      <w:r w:rsidRPr="00BB0145">
        <w:rPr>
          <w:i/>
        </w:rPr>
        <w:t>Br J Haematol</w:t>
      </w:r>
      <w:r w:rsidRPr="00BB0145">
        <w:t>, vol. 88, no. 1, Sep, pp. 209-212.</w:t>
      </w:r>
      <w:bookmarkEnd w:id="845"/>
    </w:p>
    <w:p w14:paraId="772EB2D4" w14:textId="77777777" w:rsidR="00BB0145" w:rsidRPr="00BB0145" w:rsidRDefault="00BB0145" w:rsidP="00BB0145">
      <w:pPr>
        <w:pStyle w:val="EndNoteBibliography"/>
      </w:pPr>
      <w:bookmarkStart w:id="846" w:name="_ENREF_12"/>
      <w:r w:rsidRPr="00BB0145">
        <w:t xml:space="preserve">Chapel, HM, Griffiths, H, Brennan, V, Bunch, C, Lea, J &amp; Lee, M 1991, 'Hypogammaglobulinaemia in low grade B cell tumours; significance and therapy', </w:t>
      </w:r>
      <w:r w:rsidRPr="00BB0145">
        <w:rPr>
          <w:i/>
        </w:rPr>
        <w:t>Immunological investigations</w:t>
      </w:r>
      <w:r w:rsidRPr="00BB0145">
        <w:t>, vol. 20, no. 2, 1991, pp. 187‐191.</w:t>
      </w:r>
      <w:bookmarkEnd w:id="846"/>
    </w:p>
    <w:p w14:paraId="21145F30" w14:textId="77777777" w:rsidR="00BB0145" w:rsidRPr="00BB0145" w:rsidRDefault="00BB0145" w:rsidP="00BB0145">
      <w:pPr>
        <w:pStyle w:val="EndNoteBibliography"/>
      </w:pPr>
      <w:bookmarkStart w:id="847" w:name="_ENREF_13"/>
      <w:r w:rsidRPr="00BB0145">
        <w:t xml:space="preserve">Chapel, HM, Lee, M, Hargreaves, R, Pamphilon, DH &amp; Prentice, AG 1994b, 'Randomised trial of intravenous immunoglobulin as prophylaxis against infection in plateau-phase multiple myeloma. The UK Group for Immunoglobulin Replacement Therapy in Multiple Myeloma', </w:t>
      </w:r>
      <w:r w:rsidRPr="00BB0145">
        <w:rPr>
          <w:i/>
        </w:rPr>
        <w:t>Lancet</w:t>
      </w:r>
      <w:r w:rsidRPr="00BB0145">
        <w:t>, vol. 343, no. 8905, Apr 30, pp. 1059-1063.</w:t>
      </w:r>
      <w:bookmarkEnd w:id="847"/>
    </w:p>
    <w:p w14:paraId="1A617A6F" w14:textId="77777777" w:rsidR="00BB0145" w:rsidRPr="00BB0145" w:rsidRDefault="00BB0145" w:rsidP="00BB0145">
      <w:pPr>
        <w:pStyle w:val="EndNoteBibliography"/>
      </w:pPr>
      <w:bookmarkStart w:id="848" w:name="_ENREF_14"/>
      <w:r w:rsidRPr="00BB0145">
        <w:lastRenderedPageBreak/>
        <w:t xml:space="preserve">de Jong, PA, Dodd, JD, Coxson, HO, Storness-Bliss, C, Pare, PD, Mayo, JR &amp; Levy, RD 2006, 'Bronchiolitis obliterans following lung transplantation: early detection using computed tomographic scanning', </w:t>
      </w:r>
      <w:r w:rsidRPr="00BB0145">
        <w:rPr>
          <w:i/>
        </w:rPr>
        <w:t>Thorax</w:t>
      </w:r>
      <w:r w:rsidRPr="00BB0145">
        <w:t>, vol. 61, no. 9, Sep, pp. 799-804.</w:t>
      </w:r>
      <w:bookmarkEnd w:id="848"/>
    </w:p>
    <w:p w14:paraId="62409662" w14:textId="77777777" w:rsidR="00BB0145" w:rsidRPr="00BB0145" w:rsidRDefault="00BB0145" w:rsidP="00BB0145">
      <w:pPr>
        <w:pStyle w:val="EndNoteBibliography"/>
      </w:pPr>
      <w:bookmarkStart w:id="849" w:name="_ENREF_15"/>
      <w:r w:rsidRPr="00BB0145">
        <w:t xml:space="preserve">Dimou, M, Iliakis, T, Maltezas, D, Bitsani, A, Kalyva, S, Koudouna, A, Kotsanti, S, Petsa, P, Papaioannou, P, Kyrtsonis, MC &amp; Panayiotidis, P 2018, 'Efficacy-safety of Facilitated Subcutaneous Immunoglobulin in Immunodeficiency Due to Hematological Malignancies. A Single-Center Retrospective Analysis', </w:t>
      </w:r>
      <w:r w:rsidRPr="00BB0145">
        <w:rPr>
          <w:i/>
        </w:rPr>
        <w:t>Anticancer Res</w:t>
      </w:r>
      <w:r w:rsidRPr="00BB0145">
        <w:t>, vol. 38, no. 7, Jul, pp. 4187-4191.</w:t>
      </w:r>
      <w:bookmarkEnd w:id="849"/>
    </w:p>
    <w:p w14:paraId="33A7D06D" w14:textId="77777777" w:rsidR="00BB0145" w:rsidRPr="00BB0145" w:rsidRDefault="00BB0145" w:rsidP="00BB0145">
      <w:pPr>
        <w:pStyle w:val="EndNoteBibliography"/>
      </w:pPr>
      <w:bookmarkStart w:id="850" w:name="_ENREF_16"/>
      <w:r w:rsidRPr="00BB0145">
        <w:t xml:space="preserve">Duraisingham, SS, Buckl, , M, Dempster, J, Lorenzo, L, Grigoriadou, S &amp; Longhurst, HJ 2014, 'Primary vs. secondary antibody deficiency: clinical features and infection outcomes of immunoglobulin replacement', </w:t>
      </w:r>
      <w:r w:rsidRPr="00BB0145">
        <w:rPr>
          <w:i/>
        </w:rPr>
        <w:t>PLoS One</w:t>
      </w:r>
      <w:r w:rsidRPr="00BB0145">
        <w:t>, vol. 9, no. 6, 2014, p. e100324.</w:t>
      </w:r>
      <w:bookmarkEnd w:id="850"/>
    </w:p>
    <w:p w14:paraId="6CE73EA6" w14:textId="77777777" w:rsidR="00BB0145" w:rsidRPr="00BB0145" w:rsidRDefault="00BB0145" w:rsidP="00BB0145">
      <w:pPr>
        <w:pStyle w:val="EndNoteBibliography"/>
      </w:pPr>
      <w:bookmarkStart w:id="851" w:name="_ENREF_17"/>
      <w:r w:rsidRPr="00BB0145">
        <w:t xml:space="preserve">Eibl, MM 2008, 'History of immunoglobulin replacement', </w:t>
      </w:r>
      <w:r w:rsidRPr="00BB0145">
        <w:rPr>
          <w:i/>
        </w:rPr>
        <w:t>Immunol Allergy Clin North Am</w:t>
      </w:r>
      <w:r w:rsidRPr="00BB0145">
        <w:t>, vol. 28, no. 4, Nov, pp. 737-764, viii.</w:t>
      </w:r>
      <w:bookmarkEnd w:id="851"/>
    </w:p>
    <w:p w14:paraId="54141F64" w14:textId="77777777" w:rsidR="00BB0145" w:rsidRPr="00BB0145" w:rsidRDefault="00BB0145" w:rsidP="00BB0145">
      <w:pPr>
        <w:pStyle w:val="EndNoteBibliography"/>
      </w:pPr>
      <w:bookmarkStart w:id="852" w:name="_ENREF_18"/>
      <w:r w:rsidRPr="00BB0145">
        <w:t xml:space="preserve">Finch, S, McDonnell, MJ, Abo-Leyah, H, Aliberti, S &amp; Chalmers, JD 2015, 'A Comprehensive Analysis of the Impact of Pseudomonas aeruginosa Colonization on Prognosis in Adult Bronchiectasis', </w:t>
      </w:r>
      <w:r w:rsidRPr="00BB0145">
        <w:rPr>
          <w:i/>
        </w:rPr>
        <w:t>Ann Am Thorac Soc</w:t>
      </w:r>
      <w:r w:rsidRPr="00BB0145">
        <w:t>, vol. 12, no. 11, Nov, pp. 1602-1611.</w:t>
      </w:r>
      <w:bookmarkEnd w:id="852"/>
    </w:p>
    <w:p w14:paraId="3C52D7EF" w14:textId="77777777" w:rsidR="00BB0145" w:rsidRPr="00BB0145" w:rsidRDefault="00BB0145" w:rsidP="00BB0145">
      <w:pPr>
        <w:pStyle w:val="EndNoteBibliography"/>
      </w:pPr>
      <w:bookmarkStart w:id="853" w:name="_ENREF_19"/>
      <w:r w:rsidRPr="00BB0145">
        <w:t xml:space="preserve">Gale, RP, Chapel, HM, Bunch, C, Rai, KR, Foon, K, Courter, SG &amp; Tait, D 1988, 'Intravenous immunoglobulin for the prevention of infection in chronic lymphocytic leukemia. A randomized, controlled clinical trial', </w:t>
      </w:r>
      <w:r w:rsidRPr="00BB0145">
        <w:rPr>
          <w:i/>
        </w:rPr>
        <w:t>New England journal of medicine</w:t>
      </w:r>
      <w:r w:rsidRPr="00BB0145">
        <w:t>, vol. 319, no. 14, 1988, pp. 902‐907.</w:t>
      </w:r>
      <w:bookmarkEnd w:id="853"/>
    </w:p>
    <w:p w14:paraId="36F712CB" w14:textId="77777777" w:rsidR="00BB0145" w:rsidRPr="00BB0145" w:rsidRDefault="00BB0145" w:rsidP="00BB0145">
      <w:pPr>
        <w:pStyle w:val="EndNoteBibliography"/>
      </w:pPr>
      <w:bookmarkStart w:id="854" w:name="_ENREF_20"/>
      <w:r w:rsidRPr="00BB0145">
        <w:t xml:space="preserve">Gunn, ML, Godwin, JD, Kanne, JP, Flowers, ME &amp; Chien, JW 2008, 'High-resolution CT findings of bronchiolitis obliterans syndrome after hematopoietic stem cell transplantation', </w:t>
      </w:r>
      <w:r w:rsidRPr="00BB0145">
        <w:rPr>
          <w:i/>
        </w:rPr>
        <w:t>J Thorac Imaging</w:t>
      </w:r>
      <w:r w:rsidRPr="00BB0145">
        <w:t>, vol. 23, no. 4, Nov, pp. 244-250.</w:t>
      </w:r>
      <w:bookmarkEnd w:id="854"/>
    </w:p>
    <w:p w14:paraId="4E0979C6" w14:textId="77777777" w:rsidR="00BB0145" w:rsidRPr="00BB0145" w:rsidRDefault="00BB0145" w:rsidP="00BB0145">
      <w:pPr>
        <w:pStyle w:val="EndNoteBibliography"/>
      </w:pPr>
      <w:bookmarkStart w:id="855" w:name="_ENREF_21"/>
      <w:r w:rsidRPr="00BB0145">
        <w:t xml:space="preserve">Günther, G &amp; Dreger, B 2013, 'Post-marketing observational study on 5% intravenous immunoglobulin therapy in patients with secondary immunodeficiency and recurrent serious bacterial infections', </w:t>
      </w:r>
      <w:r w:rsidRPr="00BB0145">
        <w:rPr>
          <w:i/>
        </w:rPr>
        <w:t>Microbiol Immunol</w:t>
      </w:r>
      <w:r w:rsidRPr="00BB0145">
        <w:t>, vol. 57, no. 7, Jul, pp. 527-535.</w:t>
      </w:r>
      <w:bookmarkEnd w:id="855"/>
    </w:p>
    <w:p w14:paraId="7897B535" w14:textId="77777777" w:rsidR="00BB0145" w:rsidRPr="00BB0145" w:rsidRDefault="00BB0145" w:rsidP="00BB0145">
      <w:pPr>
        <w:pStyle w:val="EndNoteBibliography"/>
      </w:pPr>
      <w:bookmarkStart w:id="856" w:name="_ENREF_22"/>
      <w:r w:rsidRPr="00BB0145">
        <w:t xml:space="preserve">Guyatt, G, Oxman, AD, Sultan, S, Brozek, J, Glasziou, P, Alonso-Coello, P, Atkins, D, Kunz, R, Montori, V, Jaeschke, R, Rind, D, Dahm, P, Akl, EA, Meerpohl, J, Vist, G, Berliner, E, Norris, S, Falck-Ytter, Y &amp; Schunemann, HJ 2013, 'GRADE guidelines: 11. Making an overall rating of confidence in effect estimates for a single outcome and for all outcomes', </w:t>
      </w:r>
      <w:r w:rsidRPr="00BB0145">
        <w:rPr>
          <w:i/>
        </w:rPr>
        <w:t>J Clin Epidemiol</w:t>
      </w:r>
      <w:r w:rsidRPr="00BB0145">
        <w:t>, vol. 66, no. 2, Feb, pp. 151-157.</w:t>
      </w:r>
      <w:bookmarkEnd w:id="856"/>
    </w:p>
    <w:p w14:paraId="10D77E64" w14:textId="34E6FEEF" w:rsidR="00BB0145" w:rsidRPr="00BB0145" w:rsidRDefault="00BB0145" w:rsidP="00BB0145">
      <w:pPr>
        <w:pStyle w:val="EndNoteBibliography"/>
      </w:pPr>
      <w:bookmarkStart w:id="857" w:name="_ENREF_23"/>
      <w:r w:rsidRPr="00BB0145">
        <w:t xml:space="preserve">Independent Hospital Pricing Authority [IHPA] 2019, </w:t>
      </w:r>
      <w:r w:rsidRPr="00BB0145">
        <w:rPr>
          <w:i/>
        </w:rPr>
        <w:t>National Hospital Cost Data Collection Report, Public Sector, Round 21 (Financial year 2016-17)</w:t>
      </w:r>
      <w:r w:rsidRPr="00BB0145">
        <w:t>, Independent Hospital Pricing Authority,, viewed 5 July 2019, &lt;</w:t>
      </w:r>
      <w:hyperlink r:id="rId75" w:history="1">
        <w:r w:rsidRPr="00BB0145">
          <w:rPr>
            <w:rStyle w:val="Hyperlink"/>
          </w:rPr>
          <w:t>https://www.ihpa.gov.au/publications/national-hospital-cost-data-collection-report-public-sector-round-21-financial-year</w:t>
        </w:r>
      </w:hyperlink>
      <w:r w:rsidRPr="00BB0145">
        <w:t>&gt;.</w:t>
      </w:r>
      <w:bookmarkEnd w:id="857"/>
    </w:p>
    <w:p w14:paraId="22FCBA04" w14:textId="77777777" w:rsidR="00BB0145" w:rsidRPr="00BB0145" w:rsidRDefault="00BB0145" w:rsidP="00BB0145">
      <w:pPr>
        <w:pStyle w:val="EndNoteBibliography"/>
      </w:pPr>
      <w:bookmarkStart w:id="858" w:name="_ENREF_24"/>
      <w:r w:rsidRPr="00BB0145">
        <w:t xml:space="preserve">Jurlander, J, Geisler, CH &amp; Hansen, MM 1995, 'Treatment of hypogammaglobulinaemia in chronic lymphocytic leukaemia by low-dose intravenous gammaglobulin', </w:t>
      </w:r>
      <w:r w:rsidRPr="00BB0145">
        <w:rPr>
          <w:i/>
        </w:rPr>
        <w:t>Eur J Haematol</w:t>
      </w:r>
      <w:r w:rsidRPr="00BB0145">
        <w:t>, vol. 53, no. 2, Aug, pp. 114-118.</w:t>
      </w:r>
      <w:bookmarkEnd w:id="858"/>
    </w:p>
    <w:p w14:paraId="3D99D049" w14:textId="77777777" w:rsidR="00BB0145" w:rsidRPr="00BB0145" w:rsidRDefault="00BB0145" w:rsidP="00BB0145">
      <w:pPr>
        <w:pStyle w:val="EndNoteBibliography"/>
      </w:pPr>
      <w:bookmarkStart w:id="859" w:name="_ENREF_25"/>
      <w:r w:rsidRPr="00BB0145">
        <w:t xml:space="preserve">Kearney, PJ, Kershaw, CR &amp; Stevenson, PA 1977, 'Bronchiectasis in acute leukaemia', </w:t>
      </w:r>
      <w:r w:rsidRPr="00BB0145">
        <w:rPr>
          <w:i/>
        </w:rPr>
        <w:t>Br Med J</w:t>
      </w:r>
      <w:r w:rsidRPr="00BB0145">
        <w:t>, vol. 2, no. 6091, Oct 1, pp. 857-859.</w:t>
      </w:r>
      <w:bookmarkEnd w:id="859"/>
    </w:p>
    <w:p w14:paraId="702829EC" w14:textId="77777777" w:rsidR="00BB0145" w:rsidRPr="00BB0145" w:rsidRDefault="00BB0145" w:rsidP="00BB0145">
      <w:pPr>
        <w:pStyle w:val="EndNoteBibliography"/>
      </w:pPr>
      <w:bookmarkStart w:id="860" w:name="_ENREF_26"/>
      <w:r w:rsidRPr="00BB0145">
        <w:t xml:space="preserve">Knowles, GK, Stanhope, R &amp; Green, M 1980, 'Bronchiectasis complicating chronic lymphatic leukaemia with hypogammaglobulinaemia', </w:t>
      </w:r>
      <w:r w:rsidRPr="00BB0145">
        <w:rPr>
          <w:i/>
        </w:rPr>
        <w:t>Thorax</w:t>
      </w:r>
      <w:r w:rsidRPr="00BB0145">
        <w:t>, vol. 35, no. 3, Mar, pp. 217-218.</w:t>
      </w:r>
      <w:bookmarkEnd w:id="860"/>
    </w:p>
    <w:p w14:paraId="20192052" w14:textId="77777777" w:rsidR="00BB0145" w:rsidRPr="00BB0145" w:rsidRDefault="00BB0145" w:rsidP="00BB0145">
      <w:pPr>
        <w:pStyle w:val="EndNoteBibliography"/>
      </w:pPr>
      <w:bookmarkStart w:id="861" w:name="_ENREF_27"/>
      <w:r w:rsidRPr="00BB0145">
        <w:t xml:space="preserve">Kobayashi, R, Suzuki, D, Sano, H, Kishimoto, K, Yasuda, K &amp; Kobayashi, K 2014, 'Effect of meropenem with or without immunoglobulin as second-line therapy for pediatric febrile neutropenia', </w:t>
      </w:r>
      <w:r w:rsidRPr="00BB0145">
        <w:rPr>
          <w:i/>
        </w:rPr>
        <w:t>Pediatr Int</w:t>
      </w:r>
      <w:r w:rsidRPr="00BB0145">
        <w:t>, vol. 56, no. 4, Aug, pp. 526-529.</w:t>
      </w:r>
      <w:bookmarkEnd w:id="861"/>
    </w:p>
    <w:p w14:paraId="3B5D733C" w14:textId="77777777" w:rsidR="00BB0145" w:rsidRPr="00BB0145" w:rsidRDefault="00BB0145" w:rsidP="00BB0145">
      <w:pPr>
        <w:pStyle w:val="EndNoteBibliography"/>
      </w:pPr>
      <w:bookmarkStart w:id="862" w:name="_ENREF_28"/>
      <w:r w:rsidRPr="00BB0145">
        <w:t xml:space="preserve">Li, AM, Sonnappa, S, Lex, C, Wong, E, Zacharasiewicz, A, Bush, A &amp; Jaffe, A 2005, 'Non-CF bronchiectasis: does knowing the aetiology lead to changes in management?', </w:t>
      </w:r>
      <w:r w:rsidRPr="00BB0145">
        <w:rPr>
          <w:i/>
        </w:rPr>
        <w:t>Eur Respir J</w:t>
      </w:r>
      <w:r w:rsidRPr="00BB0145">
        <w:t>, vol. 26, no. 1, Jul, pp. 8-14.</w:t>
      </w:r>
      <w:bookmarkEnd w:id="862"/>
    </w:p>
    <w:p w14:paraId="43DFCB84" w14:textId="77777777" w:rsidR="00BB0145" w:rsidRPr="00BB0145" w:rsidRDefault="00BB0145" w:rsidP="00BB0145">
      <w:pPr>
        <w:pStyle w:val="EndNoteBibliography"/>
      </w:pPr>
      <w:bookmarkStart w:id="863" w:name="_ENREF_29"/>
      <w:r w:rsidRPr="00BB0145">
        <w:lastRenderedPageBreak/>
        <w:t xml:space="preserve">Liberati, A, Altman, DG, Tetzlaff, J, Mulrow, C, Gotzsche, PC, Ioannidis, JP, Clarke, M, Devereaux, PJ, Kleijnen, J &amp; Moher, D 2009, 'The PRISMA statement for reporting systematic reviews and meta-analyses of studies that evaluate health care interventions: explanation and elaboration', </w:t>
      </w:r>
      <w:r w:rsidRPr="00BB0145">
        <w:rPr>
          <w:i/>
        </w:rPr>
        <w:t>PLoS Med</w:t>
      </w:r>
      <w:r w:rsidRPr="00BB0145">
        <w:t>, vol. 6, no. 7, Jul 21, p. e1000100.</w:t>
      </w:r>
      <w:bookmarkEnd w:id="863"/>
    </w:p>
    <w:p w14:paraId="5A3A66BA" w14:textId="77777777" w:rsidR="00BB0145" w:rsidRPr="00BB0145" w:rsidRDefault="00BB0145" w:rsidP="00BB0145">
      <w:pPr>
        <w:pStyle w:val="EndNoteBibliography"/>
      </w:pPr>
      <w:bookmarkStart w:id="864" w:name="_ENREF_30"/>
      <w:r w:rsidRPr="00BB0145">
        <w:t xml:space="preserve">Moher, D, Liberati, A, Tetzlaff, J, Altman, DG &amp; Group, P 2009, 'Preferred reporting items for systematic reviews and meta-analyses: the PRISMA statement', </w:t>
      </w:r>
      <w:r w:rsidRPr="00BB0145">
        <w:rPr>
          <w:i/>
        </w:rPr>
        <w:t>PLoS Med</w:t>
      </w:r>
      <w:r w:rsidRPr="00BB0145">
        <w:t>, vol. 6, no. 7, Jul 21, p. e1000097.</w:t>
      </w:r>
      <w:bookmarkEnd w:id="864"/>
    </w:p>
    <w:p w14:paraId="3616967E" w14:textId="77777777" w:rsidR="00BB0145" w:rsidRPr="00BB0145" w:rsidRDefault="00BB0145" w:rsidP="00BB0145">
      <w:pPr>
        <w:pStyle w:val="EndNoteBibliography"/>
      </w:pPr>
      <w:bookmarkStart w:id="865" w:name="_ENREF_31"/>
      <w:r w:rsidRPr="00BB0145">
        <w:t xml:space="preserve">Molica, S, Musto, P, Chiurazzi, F, Specchia, G, Brugiatelli, M, Cicoira, L, Levato, D, Nobile, F, Carotenuto, M, Liso, V &amp; et al. 1996, 'Prophylaxis against infections with low-dose intravenous immunoglobulins (IVIG) in chronic lymphocytic leukemia. Results of a crossover study', </w:t>
      </w:r>
      <w:r w:rsidRPr="00BB0145">
        <w:rPr>
          <w:i/>
        </w:rPr>
        <w:t>Haematologica</w:t>
      </w:r>
      <w:r w:rsidRPr="00BB0145">
        <w:t>, vol. 81, no. 2, 1996, pp. 121‐126.</w:t>
      </w:r>
      <w:bookmarkEnd w:id="865"/>
    </w:p>
    <w:p w14:paraId="58B68CF3" w14:textId="77777777" w:rsidR="00BB0145" w:rsidRPr="00BB0145" w:rsidRDefault="00BB0145" w:rsidP="00BB0145">
      <w:pPr>
        <w:pStyle w:val="EndNoteBibliography"/>
      </w:pPr>
      <w:bookmarkStart w:id="866" w:name="_ENREF_32"/>
      <w:r w:rsidRPr="00BB0145">
        <w:t xml:space="preserve">Morehead, RS 1997, 'Bronchiectasis in bone marrow transplantation', </w:t>
      </w:r>
      <w:r w:rsidRPr="00BB0145">
        <w:rPr>
          <w:i/>
        </w:rPr>
        <w:t>Thorax</w:t>
      </w:r>
      <w:r w:rsidRPr="00BB0145">
        <w:t>, vol. 52, no. 4, Apr, pp. 392-393.</w:t>
      </w:r>
      <w:bookmarkEnd w:id="866"/>
    </w:p>
    <w:p w14:paraId="2CD8CF68" w14:textId="77777777" w:rsidR="00BB0145" w:rsidRPr="00BB0145" w:rsidRDefault="00BB0145" w:rsidP="00BB0145">
      <w:pPr>
        <w:pStyle w:val="EndNoteBibliography"/>
      </w:pPr>
      <w:bookmarkStart w:id="867" w:name="_ENREF_33"/>
      <w:r w:rsidRPr="00BB0145">
        <w:t xml:space="preserve">Musto, P, Brugiatelli, M &amp; Carotenuto, M 1995, 'Prophylaxis against infections with intravenous immunoglobulins in multiple myeloma', </w:t>
      </w:r>
      <w:r w:rsidRPr="00BB0145">
        <w:rPr>
          <w:i/>
        </w:rPr>
        <w:t>Br J Haematol</w:t>
      </w:r>
      <w:r w:rsidRPr="00BB0145">
        <w:t>.</w:t>
      </w:r>
      <w:bookmarkEnd w:id="867"/>
    </w:p>
    <w:p w14:paraId="0A729568" w14:textId="410CFD7E" w:rsidR="00BB0145" w:rsidRPr="00BB0145" w:rsidRDefault="00BB0145" w:rsidP="00BB0145">
      <w:pPr>
        <w:pStyle w:val="EndNoteBibliography"/>
      </w:pPr>
      <w:bookmarkStart w:id="868" w:name="_ENREF_34"/>
      <w:r w:rsidRPr="00BB0145">
        <w:t xml:space="preserve">National Blood Authority [NBA] 2019a, </w:t>
      </w:r>
      <w:r w:rsidRPr="00BB0145">
        <w:rPr>
          <w:i/>
        </w:rPr>
        <w:t>Data Analysis and Reporting</w:t>
      </w:r>
      <w:r w:rsidRPr="00BB0145">
        <w:t>, National Blood Authority Canberra, &lt;</w:t>
      </w:r>
      <w:hyperlink r:id="rId76" w:history="1">
        <w:r w:rsidRPr="00BB0145">
          <w:rPr>
            <w:rStyle w:val="Hyperlink"/>
          </w:rPr>
          <w:t>https://www.blood.gov.au/data-analysis-reporting</w:t>
        </w:r>
      </w:hyperlink>
      <w:r w:rsidRPr="00BB0145">
        <w:t>&gt;.</w:t>
      </w:r>
      <w:bookmarkEnd w:id="868"/>
    </w:p>
    <w:p w14:paraId="1D1A23F0" w14:textId="77777777" w:rsidR="00BB0145" w:rsidRPr="00BB0145" w:rsidRDefault="00BB0145" w:rsidP="00BB0145">
      <w:pPr>
        <w:pStyle w:val="EndNoteBibliography"/>
      </w:pPr>
      <w:bookmarkStart w:id="869" w:name="_ENREF_35"/>
      <w:r w:rsidRPr="00BB0145">
        <w:t xml:space="preserve">National Blood Authority [NBA] 2019b, </w:t>
      </w:r>
      <w:r w:rsidRPr="00BB0145">
        <w:rPr>
          <w:i/>
        </w:rPr>
        <w:t>National Report on the Issue and Use of Immunoglobulin (Ig) Annual Report 2017-18</w:t>
      </w:r>
      <w:r w:rsidRPr="00BB0145">
        <w:t>, National Blood Authority Canberra.</w:t>
      </w:r>
      <w:bookmarkEnd w:id="869"/>
    </w:p>
    <w:p w14:paraId="3EF5B087" w14:textId="77777777" w:rsidR="00BB0145" w:rsidRPr="00BB0145" w:rsidRDefault="00BB0145" w:rsidP="00BB0145">
      <w:pPr>
        <w:pStyle w:val="EndNoteBibliography"/>
      </w:pPr>
      <w:bookmarkStart w:id="870" w:name="_ENREF_36"/>
      <w:r w:rsidRPr="00BB0145">
        <w:t xml:space="preserve">Okada, F, Ando, Y, Kondo, Y, Matsumoto, S, Maeda, T &amp; Mori, H 2004, 'Thoracic CT findings of adult T-cell leukemia or lymphoma', </w:t>
      </w:r>
      <w:r w:rsidRPr="00BB0145">
        <w:rPr>
          <w:i/>
        </w:rPr>
        <w:t>AJR Am J Roentgenol</w:t>
      </w:r>
      <w:r w:rsidRPr="00BB0145">
        <w:t>, vol. 182, no. 3, Mar, pp. 761-767.</w:t>
      </w:r>
      <w:bookmarkEnd w:id="870"/>
    </w:p>
    <w:p w14:paraId="0D8DC0F5" w14:textId="77777777" w:rsidR="00BB0145" w:rsidRPr="00BB0145" w:rsidRDefault="00BB0145" w:rsidP="00BB0145">
      <w:pPr>
        <w:pStyle w:val="EndNoteBibliography"/>
      </w:pPr>
      <w:bookmarkStart w:id="871" w:name="_ENREF_37"/>
      <w:r w:rsidRPr="00BB0145">
        <w:t xml:space="preserve">Orange, JS, Hossny, EM, Weiler, CR, Ballow, M, Berger, M, Bonilla, FA, Buckley, R, Chinen, J, El-Gamal, Y, Mazer, BD, Nelson, RP, Jr., Patel, DD, Secord, E, Sorensen, RU, Wasserman, RL, Cunningham-Rundles, C, Primary Immunodeficiency Committee of the American Academy of Allergy, A &amp; Immunology 2006, 'Use of intravenous immunoglobulin in human disease: a review of evidence by members of the Primary Immunodeficiency Committee of the American Academy of Allergy, Asthma and Immunology', </w:t>
      </w:r>
      <w:r w:rsidRPr="00BB0145">
        <w:rPr>
          <w:i/>
        </w:rPr>
        <w:t>J Allergy Clin Immunol</w:t>
      </w:r>
      <w:r w:rsidRPr="00BB0145">
        <w:t>, vol. 117, no. 4 Suppl, Apr, pp. S525-553.</w:t>
      </w:r>
      <w:bookmarkEnd w:id="871"/>
    </w:p>
    <w:p w14:paraId="7E8406B0" w14:textId="77777777" w:rsidR="00BB0145" w:rsidRPr="00BB0145" w:rsidRDefault="00BB0145" w:rsidP="00BB0145">
      <w:pPr>
        <w:pStyle w:val="EndNoteBibliography"/>
      </w:pPr>
      <w:bookmarkStart w:id="872" w:name="_ENREF_38"/>
      <w:r w:rsidRPr="00BB0145">
        <w:t xml:space="preserve">Parkman, R 2008, 'Antigen-specific immunity following hematopoietic stem cell transplantation', </w:t>
      </w:r>
      <w:r w:rsidRPr="00BB0145">
        <w:rPr>
          <w:i/>
        </w:rPr>
        <w:t>Blood Cells Mol Dis</w:t>
      </w:r>
      <w:r w:rsidRPr="00BB0145">
        <w:t>, vol. 40, no. 1, Jan-Feb, pp. 91-93.</w:t>
      </w:r>
      <w:bookmarkEnd w:id="872"/>
    </w:p>
    <w:p w14:paraId="75407F20" w14:textId="77777777" w:rsidR="00BB0145" w:rsidRPr="00BB0145" w:rsidRDefault="00BB0145" w:rsidP="00BB0145">
      <w:pPr>
        <w:pStyle w:val="EndNoteBibliography"/>
      </w:pPr>
      <w:bookmarkStart w:id="873" w:name="_ENREF_39"/>
      <w:r w:rsidRPr="00BB0145">
        <w:t xml:space="preserve">Paxton, L, Hawkins, C &amp; Crispin, P 2016, 'Selecting haematological malignancy patients for intravenous immunoglobulin', </w:t>
      </w:r>
      <w:r w:rsidRPr="00BB0145">
        <w:rPr>
          <w:i/>
        </w:rPr>
        <w:t>Intern Med J</w:t>
      </w:r>
      <w:r w:rsidRPr="00BB0145">
        <w:t>, vol. 46, no. 10, Oct, pp. 1216-1218.</w:t>
      </w:r>
      <w:bookmarkEnd w:id="873"/>
    </w:p>
    <w:p w14:paraId="01FB5A7A" w14:textId="77777777" w:rsidR="00BB0145" w:rsidRPr="00BB0145" w:rsidRDefault="00BB0145" w:rsidP="00BB0145">
      <w:pPr>
        <w:pStyle w:val="EndNoteBibliography"/>
      </w:pPr>
      <w:bookmarkStart w:id="874" w:name="_ENREF_40"/>
      <w:r w:rsidRPr="00BB0145">
        <w:t xml:space="preserve">Pijnenburg, MW, Cransberg, K, Wolff, E, Bouquet, J &amp; Merkus, PJ 2004, 'Bronchiectasis in children after renal or liver transplantation: a report of five cases', </w:t>
      </w:r>
      <w:r w:rsidRPr="00BB0145">
        <w:rPr>
          <w:i/>
        </w:rPr>
        <w:t>Pediatr Transplant</w:t>
      </w:r>
      <w:r w:rsidRPr="00BB0145">
        <w:t>, vol. 8, no. 1, Feb, pp. 71-74.</w:t>
      </w:r>
      <w:bookmarkEnd w:id="874"/>
    </w:p>
    <w:p w14:paraId="280ACFDF" w14:textId="77777777" w:rsidR="00BB0145" w:rsidRPr="00BB0145" w:rsidRDefault="00BB0145" w:rsidP="00BB0145">
      <w:pPr>
        <w:pStyle w:val="EndNoteBibliography"/>
      </w:pPr>
      <w:bookmarkStart w:id="875" w:name="_ENREF_41"/>
      <w:r w:rsidRPr="00BB0145">
        <w:t xml:space="preserve">Quint, JK, Millett, ER, Joshi, M, Navaratnam, V, Thomas, SL, Hurst, JR, Smeeth, L &amp; Brown, JS 2016, 'Changes in the incidence, prevalence and mortality of bronchiectasis in the UK from 2004 to 2013: a population-based cohort study', </w:t>
      </w:r>
      <w:r w:rsidRPr="00BB0145">
        <w:rPr>
          <w:i/>
        </w:rPr>
        <w:t>Eur Respir J</w:t>
      </w:r>
      <w:r w:rsidRPr="00BB0145">
        <w:t>, vol. 47, no. 1, Jan, pp. 186-193.</w:t>
      </w:r>
      <w:bookmarkEnd w:id="875"/>
    </w:p>
    <w:p w14:paraId="694BA463" w14:textId="77777777" w:rsidR="00BB0145" w:rsidRPr="00BB0145" w:rsidRDefault="00BB0145" w:rsidP="00BB0145">
      <w:pPr>
        <w:pStyle w:val="EndNoteBibliography"/>
      </w:pPr>
      <w:bookmarkStart w:id="876" w:name="_ENREF_42"/>
      <w:r w:rsidRPr="00BB0145">
        <w:t xml:space="preserve">Reiser, M, Borte, M, Huscher, D, Baumann, U, Pittrow, D, Sommer, C, Stangel, M, Fasshauer, M, Gold, R &amp; Hensel, M 2017, 'Management of patients with malignancies and secondary immunodeficiencies treated with immunoglobulins in clinical practice: Long-term data of the SIGNS study', </w:t>
      </w:r>
      <w:r w:rsidRPr="00BB0145">
        <w:rPr>
          <w:i/>
        </w:rPr>
        <w:t>Eur J Haematol</w:t>
      </w:r>
      <w:r w:rsidRPr="00BB0145">
        <w:t>, vol. 99, no. 2, Aug, pp. 169-177.</w:t>
      </w:r>
      <w:bookmarkEnd w:id="876"/>
    </w:p>
    <w:p w14:paraId="7EBCDF32" w14:textId="77777777" w:rsidR="00BB0145" w:rsidRPr="00BB0145" w:rsidRDefault="00BB0145" w:rsidP="00BB0145">
      <w:pPr>
        <w:pStyle w:val="EndNoteBibliography"/>
      </w:pPr>
      <w:bookmarkStart w:id="877" w:name="_ENREF_43"/>
      <w:r w:rsidRPr="00BB0145">
        <w:t xml:space="preserve">Remberger, M, Ackefors, M, Berglund, S, Blennow, O, Dahllof, G, Dlugosz, A, Garming-Legert, K, Gertow, J, Gustafsson, B, Hassan, M, Hassan, Z, Hauzenberger, D, Hagglund, H, Karlsson, H, Klingspor, L, Kumlien, G, Le Blanc, K, Ljungman, P, Machaczka, M, Malmberg, KJ, Marschall, HU, Mattsson, J, Olsson, R, Omazic, B, Sairafi, D, Schaffer, M, Svahn, BM, Svenberg, P, Swartling, L, Szakos, A, Uhlin, M, Uzunel, M, Watz, E, Wernerson, A, Wikman, A, Wikstrom, AC, Winiarski, J &amp; Ringden, O 2011, 'Improved survival after allogeneic hematopoietic stem cell transplantation in recent years. A single-center study', </w:t>
      </w:r>
      <w:r w:rsidRPr="00BB0145">
        <w:rPr>
          <w:i/>
        </w:rPr>
        <w:t>Biol Blood Marrow Transplant</w:t>
      </w:r>
      <w:r w:rsidRPr="00BB0145">
        <w:t>, vol. 17, no. 11, Nov, pp. 1688-1697.</w:t>
      </w:r>
      <w:bookmarkEnd w:id="877"/>
    </w:p>
    <w:p w14:paraId="2FA7BE0B" w14:textId="77777777" w:rsidR="00BB0145" w:rsidRPr="00BB0145" w:rsidRDefault="00BB0145" w:rsidP="00BB0145">
      <w:pPr>
        <w:pStyle w:val="EndNoteBibliography"/>
      </w:pPr>
      <w:bookmarkStart w:id="878" w:name="_ENREF_44"/>
      <w:r w:rsidRPr="00BB0145">
        <w:lastRenderedPageBreak/>
        <w:t xml:space="preserve">Royle, JA, Baade, PD, Joske, D, Girschik, J &amp; Fritschi, L 2011, 'Second cancer incidence and cancer mortality among chronic lymphocytic leukaemia patients: a population-based study', </w:t>
      </w:r>
      <w:r w:rsidRPr="00BB0145">
        <w:rPr>
          <w:i/>
        </w:rPr>
        <w:t>Br J Cancer</w:t>
      </w:r>
      <w:r w:rsidRPr="00BB0145">
        <w:t>, vol. 105, no. 7, Sep 27, pp. 1076-1081.</w:t>
      </w:r>
      <w:bookmarkEnd w:id="878"/>
    </w:p>
    <w:p w14:paraId="1BCE0D5B" w14:textId="77777777" w:rsidR="00BB0145" w:rsidRPr="00BB0145" w:rsidRDefault="00BB0145" w:rsidP="00BB0145">
      <w:pPr>
        <w:pStyle w:val="EndNoteBibliography"/>
      </w:pPr>
      <w:bookmarkStart w:id="879" w:name="_ENREF_45"/>
      <w:r w:rsidRPr="00BB0145">
        <w:t xml:space="preserve">Sanchez-Ramon, S, Dhalla, F &amp; Chapel, H 2016, 'Challenges in the Role of Gammaglobulin Replacement Therapy and Vaccination Strategies for Hematological Malignancy', </w:t>
      </w:r>
      <w:r w:rsidRPr="00BB0145">
        <w:rPr>
          <w:i/>
        </w:rPr>
        <w:t>Front Immunol</w:t>
      </w:r>
      <w:r w:rsidRPr="00BB0145">
        <w:t>, vol. 7, 2016, p. 317.</w:t>
      </w:r>
      <w:bookmarkEnd w:id="879"/>
    </w:p>
    <w:p w14:paraId="17E04AE2" w14:textId="77777777" w:rsidR="00BB0145" w:rsidRPr="00BB0145" w:rsidRDefault="00BB0145" w:rsidP="00BB0145">
      <w:pPr>
        <w:pStyle w:val="EndNoteBibliography"/>
      </w:pPr>
      <w:bookmarkStart w:id="880" w:name="_ENREF_46"/>
      <w:r w:rsidRPr="00BB0145">
        <w:t xml:space="preserve">Singer, M, Deutschman, CS, Seymour, CW, Shankar-Hari, M, Annane, D, Bauer, M, Bellomo, R, Bernard, GR, Chiche, JD, Coopersmith, CM, Hotchkiss, RS, Levy, MM, Marshall, JC, Martin, GS, Opal, SM, Rubenfeld, GD, van der Poll, T, Vincent, JL &amp; Angus, DC 2016, 'The Third International Consensus Definitions for Sepsis and Septic Shock (Sepsis-3)', </w:t>
      </w:r>
      <w:r w:rsidRPr="00BB0145">
        <w:rPr>
          <w:i/>
        </w:rPr>
        <w:t>JAMA</w:t>
      </w:r>
      <w:r w:rsidRPr="00BB0145">
        <w:t>, vol. 315, no. 8, Feb 23, pp. 801-810.</w:t>
      </w:r>
      <w:bookmarkEnd w:id="880"/>
    </w:p>
    <w:p w14:paraId="3D3854B1" w14:textId="77777777" w:rsidR="00BB0145" w:rsidRPr="00BB0145" w:rsidRDefault="00BB0145" w:rsidP="00BB0145">
      <w:pPr>
        <w:pStyle w:val="EndNoteBibliography"/>
      </w:pPr>
      <w:bookmarkStart w:id="881" w:name="_ENREF_47"/>
      <w:r w:rsidRPr="00BB0145">
        <w:t xml:space="preserve">Stump, SE, Schepers, AJ, Jones, AR, Alex, er, MD &amp; Auten, JJ 2017, 'Comparison of Weight-Based Dosing Strategies for Intravenous Immunoglobulin in Patients with Hematologic Malignancies', </w:t>
      </w:r>
      <w:r w:rsidRPr="00BB0145">
        <w:rPr>
          <w:i/>
        </w:rPr>
        <w:t>Pharmacotherapy</w:t>
      </w:r>
      <w:r w:rsidRPr="00BB0145">
        <w:t>, vol. 37, no. 12, 2017, pp. 1530-1536.</w:t>
      </w:r>
      <w:bookmarkEnd w:id="881"/>
    </w:p>
    <w:p w14:paraId="3B843325" w14:textId="77777777" w:rsidR="00BB0145" w:rsidRPr="00BB0145" w:rsidRDefault="00BB0145" w:rsidP="00BB0145">
      <w:pPr>
        <w:pStyle w:val="EndNoteBibliography"/>
      </w:pPr>
      <w:bookmarkStart w:id="882" w:name="_ENREF_48"/>
      <w:r w:rsidRPr="00BB0145">
        <w:t xml:space="preserve">Sullivan, KM, Kopecky, KJ, Jocom, J, Fisher, L, Buckner, CD, Meyers, JD, Counts, GW, Bowden, RA, Peterson, FB, Witherspoon, RP &amp; et al. 1990, 'Immunomodulatory and antimicrobial efficacy of intravenous immunoglobulin in bone marrow transplantation', </w:t>
      </w:r>
      <w:r w:rsidRPr="00BB0145">
        <w:rPr>
          <w:i/>
        </w:rPr>
        <w:t>N Engl J Med</w:t>
      </w:r>
      <w:r w:rsidRPr="00BB0145">
        <w:t>, vol. 323, no. 11, Sep 13, pp. 705-712.</w:t>
      </w:r>
      <w:bookmarkEnd w:id="882"/>
    </w:p>
    <w:p w14:paraId="6567A388" w14:textId="77777777" w:rsidR="00BB0145" w:rsidRPr="00BB0145" w:rsidRDefault="00BB0145" w:rsidP="00BB0145">
      <w:pPr>
        <w:pStyle w:val="EndNoteBibliography"/>
      </w:pPr>
      <w:bookmarkStart w:id="883" w:name="_ENREF_49"/>
      <w:r w:rsidRPr="00BB0145">
        <w:t xml:space="preserve">Sullivan, KM, Storek, J, Kopecky, KJ, Jocom, J, Longton, G, Flowers, M, Siadak, M, Nims, J, Witherspoon, RP, Anasetti, C, Appelbaum, FR, Bowden, RA, Buckner, CD, Crawford, SW, Deeg, HJ, Hansen, JA, McDonald, GB, Sanders, JE &amp; Storb, R 1996, 'A controlled trial of long-term administration of intravenous immunoglobulin to prevent late infection and chronic graft-vs.-host disease after marrow transplantation: clinical outcome and effect on subsequent immune recovery', </w:t>
      </w:r>
      <w:r w:rsidRPr="00BB0145">
        <w:rPr>
          <w:i/>
        </w:rPr>
        <w:t>Biol Blood Marrow Transplant</w:t>
      </w:r>
      <w:r w:rsidRPr="00BB0145">
        <w:t>, vol. 2, no. 1, Feb, pp. 44-53.</w:t>
      </w:r>
      <w:bookmarkEnd w:id="883"/>
    </w:p>
    <w:p w14:paraId="61FCC0FF" w14:textId="77777777" w:rsidR="00BB0145" w:rsidRPr="00BB0145" w:rsidRDefault="00BB0145" w:rsidP="00BB0145">
      <w:pPr>
        <w:pStyle w:val="EndNoteBibliography"/>
      </w:pPr>
      <w:bookmarkStart w:id="884" w:name="_ENREF_50"/>
      <w:r w:rsidRPr="00BB0145">
        <w:t xml:space="preserve">Sundin, M, Nordin, K, Jostemyr, Y &amp; Winiarski, J 2012, 'Subcutaneous IgG replacement after pediatric SCT', </w:t>
      </w:r>
      <w:r w:rsidRPr="00BB0145">
        <w:rPr>
          <w:i/>
        </w:rPr>
        <w:t>Pediatric Transplantation</w:t>
      </w:r>
      <w:r w:rsidRPr="00BB0145">
        <w:t>, vol. 16, no. 8, 2012, pp. 866-871.</w:t>
      </w:r>
      <w:bookmarkEnd w:id="884"/>
    </w:p>
    <w:p w14:paraId="5BC2B888" w14:textId="77777777" w:rsidR="00BB0145" w:rsidRPr="00BB0145" w:rsidRDefault="00BB0145" w:rsidP="00BB0145">
      <w:pPr>
        <w:pStyle w:val="EndNoteBibliography"/>
      </w:pPr>
      <w:bookmarkStart w:id="885" w:name="_ENREF_51"/>
      <w:r w:rsidRPr="00BB0145">
        <w:t xml:space="preserve">Tanawuttiwat, T &amp; Harindhanavudhi, T 2009, 'Bronchiectasis: pulmonary manifestation in chronic graft versus host disease after bone marrow transplantation', </w:t>
      </w:r>
      <w:r w:rsidRPr="00BB0145">
        <w:rPr>
          <w:i/>
        </w:rPr>
        <w:t>Am J Med Sci</w:t>
      </w:r>
      <w:r w:rsidRPr="00BB0145">
        <w:t>, vol. 337, no. 4, Apr, p. 292.</w:t>
      </w:r>
      <w:bookmarkEnd w:id="885"/>
    </w:p>
    <w:p w14:paraId="6FB52B1C" w14:textId="77777777" w:rsidR="00BB0145" w:rsidRPr="00BB0145" w:rsidRDefault="00BB0145" w:rsidP="00BB0145">
      <w:pPr>
        <w:pStyle w:val="EndNoteBibliography"/>
      </w:pPr>
      <w:bookmarkStart w:id="886" w:name="_ENREF_52"/>
      <w:r w:rsidRPr="00BB0145">
        <w:t xml:space="preserve">Vacca, A, Melaccio, A, Sportelli, A, Solim, o, AG, Dammacco, F &amp; Ria, R 2018, 'Subcutaneous immunoglobulins in patients with multiple myeloma and secondary hypogammaglobulinemia: a randomized trial', </w:t>
      </w:r>
      <w:r w:rsidRPr="00BB0145">
        <w:rPr>
          <w:i/>
        </w:rPr>
        <w:t>Clinical Immunology</w:t>
      </w:r>
      <w:r w:rsidRPr="00BB0145">
        <w:t>, vol. 191, 2018, pp. 110-115.</w:t>
      </w:r>
      <w:bookmarkEnd w:id="886"/>
    </w:p>
    <w:p w14:paraId="17BF0A28" w14:textId="77777777" w:rsidR="00BB0145" w:rsidRPr="00BB0145" w:rsidRDefault="00BB0145" w:rsidP="00BB0145">
      <w:pPr>
        <w:pStyle w:val="EndNoteBibliography"/>
      </w:pPr>
      <w:bookmarkStart w:id="887" w:name="_ENREF_53"/>
      <w:r w:rsidRPr="00BB0145">
        <w:t xml:space="preserve">Van Winkle, P, Burchette, R, Kim, R, Raghunathan, R &amp; Qureshi, N 2018, 'Prevalence and Safety of Intravenous Immunoglobulin Administration During Maintenance Chemotherapy in Children with Acute Lymphoblastic Leukemia in First Complete Remission: A Health Maintenance Organization Perspective', </w:t>
      </w:r>
      <w:r w:rsidRPr="00BB0145">
        <w:rPr>
          <w:i/>
        </w:rPr>
        <w:t>Perm J</w:t>
      </w:r>
      <w:r w:rsidRPr="00BB0145">
        <w:t>, vol. 22, 2018, pp. 17-141.</w:t>
      </w:r>
      <w:bookmarkEnd w:id="887"/>
    </w:p>
    <w:p w14:paraId="0159C809" w14:textId="77777777" w:rsidR="00BB0145" w:rsidRPr="00BB0145" w:rsidRDefault="00BB0145" w:rsidP="00BB0145">
      <w:pPr>
        <w:pStyle w:val="EndNoteBibliography"/>
      </w:pPr>
      <w:bookmarkStart w:id="888" w:name="_ENREF_54"/>
      <w:r w:rsidRPr="00BB0145">
        <w:t xml:space="preserve">Visentin, A, Compagno, N, Cinetto, F, Imbergamo, S, Zambello, R, Piazza, F, Semenzato, G, Trentin, L &amp; Agostini, C 2015, 'Clinical profile associated with infections in patients with chronic lymphocytic leukemia. Protective role of immunoglobulin replacement therapy', </w:t>
      </w:r>
      <w:r w:rsidRPr="00BB0145">
        <w:rPr>
          <w:i/>
        </w:rPr>
        <w:t>Haematologica</w:t>
      </w:r>
      <w:r w:rsidRPr="00BB0145">
        <w:t>, vol. 100, no. 12, Dec, pp. e515-518.</w:t>
      </w:r>
      <w:bookmarkEnd w:id="888"/>
    </w:p>
    <w:p w14:paraId="137728FB" w14:textId="77777777" w:rsidR="00BB0145" w:rsidRPr="00BB0145" w:rsidRDefault="00BB0145" w:rsidP="00BB0145">
      <w:pPr>
        <w:pStyle w:val="EndNoteBibliography"/>
      </w:pPr>
      <w:bookmarkStart w:id="889" w:name="_ENREF_55"/>
      <w:r w:rsidRPr="00BB0145">
        <w:t xml:space="preserve">Wadhwa, PD &amp; Morrison, VA 2006, 'Infectious complications of chronic lymphocytic leukemia', </w:t>
      </w:r>
      <w:r w:rsidRPr="00BB0145">
        <w:rPr>
          <w:i/>
        </w:rPr>
        <w:t>Semin Oncol</w:t>
      </w:r>
      <w:r w:rsidRPr="00BB0145">
        <w:t>, vol. 33, no. 2, Apr, pp. 240-249.</w:t>
      </w:r>
      <w:bookmarkEnd w:id="889"/>
    </w:p>
    <w:p w14:paraId="35E5DBF8" w14:textId="77777777" w:rsidR="00BB0145" w:rsidRPr="00BB0145" w:rsidRDefault="00BB0145" w:rsidP="00BB0145">
      <w:pPr>
        <w:pStyle w:val="EndNoteBibliography"/>
      </w:pPr>
      <w:bookmarkStart w:id="890" w:name="_ENREF_56"/>
      <w:r w:rsidRPr="00BB0145">
        <w:t xml:space="preserve">Weeks, JC, Tierney, MR &amp; Weinstein, MC 1991, 'Cost effectiveness of prophylactic intravenous immune globulin in chronic lymphocytic leukemia', </w:t>
      </w:r>
      <w:r w:rsidRPr="00BB0145">
        <w:rPr>
          <w:i/>
        </w:rPr>
        <w:t>New England journal of medicine</w:t>
      </w:r>
      <w:r w:rsidRPr="00BB0145">
        <w:t>, vol. 325, no. 2, 1991, pp. 81‐86.</w:t>
      </w:r>
      <w:bookmarkEnd w:id="890"/>
    </w:p>
    <w:p w14:paraId="66D32B81" w14:textId="77777777" w:rsidR="00BB0145" w:rsidRPr="00BB0145" w:rsidRDefault="00BB0145" w:rsidP="00BB0145">
      <w:pPr>
        <w:pStyle w:val="EndNoteBibliography"/>
      </w:pPr>
      <w:bookmarkStart w:id="891" w:name="_ENREF_57"/>
      <w:r w:rsidRPr="00BB0145">
        <w:t xml:space="preserve">Windegger, TM, Nghiem, S, Nguyen, KH, Fung, YL &amp; Scuffham, PA 2019, 'Cost-utility analysis comparing hospital-based intravenous immunoglobulin with home-based subcutaneous immunoglobulin in patients with secondary immunodeficiency', </w:t>
      </w:r>
      <w:r w:rsidRPr="00BB0145">
        <w:rPr>
          <w:i/>
        </w:rPr>
        <w:t>Vox Sanguinis</w:t>
      </w:r>
      <w:r w:rsidRPr="00BB0145">
        <w:t>.</w:t>
      </w:r>
      <w:bookmarkEnd w:id="891"/>
    </w:p>
    <w:p w14:paraId="48386C19" w14:textId="77777777" w:rsidR="00BB0145" w:rsidRPr="00BB0145" w:rsidRDefault="00BB0145" w:rsidP="00BB0145">
      <w:pPr>
        <w:pStyle w:val="EndNoteBibliography"/>
      </w:pPr>
      <w:bookmarkStart w:id="892" w:name="_ENREF_58"/>
      <w:r w:rsidRPr="00BB0145">
        <w:lastRenderedPageBreak/>
        <w:t xml:space="preserve">Wong, J, Wood, EM, Crispin, P, Weinkove, R, McQuilten, ZK, Australasian, L &amp; Lymphoma Group Supportive Care, G 2019, 'Managing hypogammaglobulinaemia secondary to haematological malignancies in Australia and New Zealand: a clinician survey', </w:t>
      </w:r>
      <w:r w:rsidRPr="00BB0145">
        <w:rPr>
          <w:i/>
        </w:rPr>
        <w:t>Intern Med J</w:t>
      </w:r>
      <w:r w:rsidRPr="00BB0145">
        <w:t>, vol. 49, no. 3, Mar, pp. 358-363.</w:t>
      </w:r>
      <w:bookmarkEnd w:id="892"/>
    </w:p>
    <w:p w14:paraId="68768352" w14:textId="79E102E1" w:rsidR="0093426A" w:rsidRPr="00386411" w:rsidRDefault="00FC7DD0" w:rsidP="00236231">
      <w:pPr>
        <w:pStyle w:val="References"/>
        <w:ind w:left="709"/>
        <w:rPr>
          <w:b/>
        </w:rPr>
      </w:pPr>
      <w:r w:rsidRPr="00386411">
        <w:rPr>
          <w:rFonts w:ascii="Arial Narrow" w:hAnsi="Arial Narrow"/>
          <w:b/>
        </w:rPr>
        <w:fldChar w:fldCharType="end"/>
      </w:r>
    </w:p>
    <w:sectPr w:rsidR="0093426A" w:rsidRPr="00386411" w:rsidSect="0080059D">
      <w:pgSz w:w="11906" w:h="16838"/>
      <w:pgMar w:top="1440" w:right="1440" w:bottom="1440" w:left="1440" w:header="720" w:footer="720"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4BD42D" w14:textId="77777777" w:rsidR="0008579C" w:rsidRDefault="0008579C" w:rsidP="00A23645">
      <w:r>
        <w:separator/>
      </w:r>
    </w:p>
  </w:endnote>
  <w:endnote w:type="continuationSeparator" w:id="0">
    <w:p w14:paraId="6BEF222D" w14:textId="77777777" w:rsidR="0008579C" w:rsidRDefault="0008579C" w:rsidP="00A23645">
      <w:r>
        <w:continuationSeparator/>
      </w:r>
    </w:p>
  </w:endnote>
  <w:endnote w:type="continuationNotice" w:id="1">
    <w:p w14:paraId="040DDCA2" w14:textId="77777777" w:rsidR="0008579C" w:rsidRDefault="000857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umanist521BT-Roman">
    <w:panose1 w:val="00000000000000000000"/>
    <w:charset w:val="4D"/>
    <w:family w:val="roman"/>
    <w:notTrueType/>
    <w:pitch w:val="default"/>
    <w:sig w:usb0="00000003" w:usb1="00000000" w:usb2="00000000" w:usb3="00000000" w:csb0="00000001" w:csb1="00000000"/>
  </w:font>
  <w:font w:name="Humanist 77 7 BT">
    <w:altName w:val="Humanist 77 7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dvPS_UVCL">
    <w:panose1 w:val="00000000000000000000"/>
    <w:charset w:val="00"/>
    <w:family w:val="auto"/>
    <w:notTrueType/>
    <w:pitch w:val="default"/>
    <w:sig w:usb0="00000003" w:usb1="00000000" w:usb2="00000000" w:usb3="00000000" w:csb0="00000001" w:csb1="00000000"/>
  </w:font>
  <w:font w:name="Lat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F4BC2" w14:textId="77777777" w:rsidR="0008579C" w:rsidRPr="00C843FF" w:rsidRDefault="0008579C" w:rsidP="00A23645">
    <w:pPr>
      <w:pStyle w:val="Footer"/>
    </w:pPr>
    <w:r>
      <w:rPr>
        <w:rStyle w:val="PageNumber"/>
        <w:rFonts w:ascii="Arial" w:hAnsi="Arial" w:cs="Arial"/>
        <w:b/>
        <w:sz w:val="20"/>
      </w:rPr>
      <w:t xml:space="preserve"> 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Pr>
        <w:rStyle w:val="PageNumber"/>
        <w:rFonts w:ascii="Arial" w:hAnsi="Arial" w:cs="Arial"/>
        <w:b/>
        <w:noProof/>
        <w:sz w:val="20"/>
      </w:rPr>
      <w:t>iv</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Pr>
        <w:rStyle w:val="PageNumber"/>
        <w:rFonts w:ascii="Arial" w:hAnsi="Arial" w:cs="Arial"/>
        <w:b/>
        <w:noProof/>
        <w:sz w:val="20"/>
      </w:rPr>
      <w:t>1</w:t>
    </w:r>
    <w:r w:rsidRPr="00894FB1">
      <w:rPr>
        <w:rStyle w:val="PageNumber"/>
        <w:rFonts w:ascii="Arial" w:hAnsi="Arial" w:cs="Arial"/>
        <w:b/>
        <w:sz w:val="20"/>
      </w:rPr>
      <w:fldChar w:fldCharType="end"/>
    </w:r>
    <w:r>
      <w:rPr>
        <w:rStyle w:val="PageNumber"/>
        <w:rFonts w:ascii="Arial" w:hAnsi="Arial" w:cs="Arial"/>
        <w:b/>
        <w:sz w:val="20"/>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29440" w14:textId="2C7C4CD4" w:rsidR="0008579C" w:rsidRPr="00C843FF" w:rsidRDefault="0008579C" w:rsidP="002A3CA8">
    <w:pPr>
      <w:pStyle w:val="Footer"/>
      <w:tabs>
        <w:tab w:val="clear" w:pos="9000"/>
        <w:tab w:val="right" w:pos="13892"/>
      </w:tabs>
      <w:rPr>
        <w:rStyle w:val="PageNumber"/>
        <w:rFonts w:ascii="Arial" w:hAnsi="Arial" w:cs="Arial"/>
        <w:sz w:val="20"/>
      </w:rPr>
    </w:pPr>
    <w:r>
      <w:t>IgG for acquired hypogammaglobulinaemia – MSAC CA 1565</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9F6E2C">
      <w:rPr>
        <w:rStyle w:val="PageNumber"/>
        <w:rFonts w:ascii="Arial" w:hAnsi="Arial" w:cs="Arial"/>
        <w:noProof/>
        <w:sz w:val="20"/>
      </w:rPr>
      <w:t>154</w:t>
    </w:r>
    <w:r w:rsidRPr="00C843FF">
      <w:rPr>
        <w:rStyle w:val="PageNumber"/>
        <w:rFonts w:ascii="Arial" w:hAnsi="Arial" w:cs="Arial"/>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67FE6" w14:textId="77777777" w:rsidR="0008579C" w:rsidRDefault="0008579C">
    <w:pPr>
      <w:pStyle w:val="Footer"/>
      <w:tabs>
        <w:tab w:val="clear" w:pos="9000"/>
        <w:tab w:val="right" w:pos="8931"/>
        <w:tab w:val="right" w:pos="14742"/>
      </w:tabs>
      <w:ind w:right="98"/>
    </w:pPr>
    <w:r>
      <w:rPr>
        <w:rStyle w:val="PageNumber"/>
        <w:bCs/>
      </w:rPr>
      <w:fldChar w:fldCharType="begin"/>
    </w:r>
    <w:r>
      <w:rPr>
        <w:rStyle w:val="PageNumber"/>
        <w:bCs/>
      </w:rPr>
      <w:instrText xml:space="preserve"> PAGE </w:instrText>
    </w:r>
    <w:r>
      <w:rPr>
        <w:rStyle w:val="PageNumber"/>
        <w:bCs/>
      </w:rPr>
      <w:fldChar w:fldCharType="separate"/>
    </w:r>
    <w:r>
      <w:rPr>
        <w:rStyle w:val="PageNumber"/>
        <w:bCs/>
        <w:noProof/>
      </w:rPr>
      <w:t>42</w:t>
    </w:r>
    <w:r>
      <w:rPr>
        <w:rStyle w:val="PageNumber"/>
        <w:bCs/>
      </w:rPr>
      <w:fldChar w:fldCharType="end"/>
    </w:r>
    <w:r>
      <w:rPr>
        <w:rStyle w:val="PageNumber"/>
      </w:rPr>
      <w:tab/>
      <w:t>Vertebroplasty and kyphoplasty</w:t>
    </w:r>
    <w:r>
      <w:rPr>
        <w:vanish/>
        <w:color w:val="0000FF"/>
      </w:rPr>
      <w:t>&lt;Name of application&gt;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14F4D" w14:textId="387B6A0A" w:rsidR="0008579C" w:rsidRPr="00C843FF" w:rsidRDefault="0008579C" w:rsidP="002A3CA8">
    <w:pPr>
      <w:pStyle w:val="Footer"/>
      <w:tabs>
        <w:tab w:val="clear" w:pos="9000"/>
        <w:tab w:val="right" w:pos="13892"/>
      </w:tabs>
      <w:rPr>
        <w:rStyle w:val="PageNumber"/>
        <w:rFonts w:ascii="Arial" w:hAnsi="Arial" w:cs="Arial"/>
        <w:sz w:val="20"/>
      </w:rPr>
    </w:pPr>
    <w:r>
      <w:t>IgG for acquired hypogammaglobulinaemia – MSAC CA 1565</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9F6E2C">
      <w:rPr>
        <w:rStyle w:val="PageNumber"/>
        <w:rFonts w:ascii="Arial" w:hAnsi="Arial" w:cs="Arial"/>
        <w:noProof/>
        <w:sz w:val="20"/>
      </w:rPr>
      <w:t>176</w:t>
    </w:r>
    <w:r w:rsidRPr="00C843FF">
      <w:rPr>
        <w:rStyle w:val="PageNumber"/>
        <w:rFonts w:ascii="Arial" w:hAnsi="Arial" w:cs="Arial"/>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424A0" w14:textId="0F9FF017" w:rsidR="0008579C" w:rsidRPr="00C843FF" w:rsidRDefault="0008579C" w:rsidP="002A3CA8">
    <w:pPr>
      <w:pStyle w:val="Footer"/>
      <w:tabs>
        <w:tab w:val="clear" w:pos="9000"/>
        <w:tab w:val="right" w:pos="13892"/>
      </w:tabs>
      <w:rPr>
        <w:rStyle w:val="PageNumber"/>
        <w:rFonts w:ascii="Arial" w:hAnsi="Arial" w:cs="Arial"/>
        <w:sz w:val="20"/>
      </w:rPr>
    </w:pPr>
    <w:r>
      <w:t>IgG for acquired hypogammaglobulinaemia – MSAC CA 1565</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9F6E2C">
      <w:rPr>
        <w:rStyle w:val="PageNumber"/>
        <w:rFonts w:ascii="Arial" w:hAnsi="Arial" w:cs="Arial"/>
        <w:noProof/>
        <w:sz w:val="20"/>
      </w:rPr>
      <w:t>186</w:t>
    </w:r>
    <w:r w:rsidRPr="00C843FF">
      <w:rPr>
        <w:rStyle w:val="PageNumber"/>
        <w:rFonts w:ascii="Arial" w:hAnsi="Arial" w:cs="Arial"/>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6E929" w14:textId="0115747A" w:rsidR="0008579C" w:rsidRPr="00C843FF" w:rsidRDefault="0008579C" w:rsidP="00B426FF">
    <w:pPr>
      <w:pStyle w:val="Footer"/>
      <w:tabs>
        <w:tab w:val="clear" w:pos="9000"/>
        <w:tab w:val="right" w:pos="8931"/>
      </w:tabs>
      <w:rPr>
        <w:rStyle w:val="PageNumber"/>
        <w:rFonts w:ascii="Arial" w:hAnsi="Arial" w:cs="Arial"/>
        <w:sz w:val="20"/>
      </w:rPr>
    </w:pPr>
    <w:r>
      <w:t>IgG for acquired hypogammaglobulinaemia – MSAC CA 1565</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9F6E2C">
      <w:rPr>
        <w:rStyle w:val="PageNumber"/>
        <w:rFonts w:ascii="Arial" w:hAnsi="Arial" w:cs="Arial"/>
        <w:noProof/>
        <w:sz w:val="20"/>
      </w:rPr>
      <w:t>18</w:t>
    </w:r>
    <w:r w:rsidRPr="00C843FF">
      <w:rPr>
        <w:rStyle w:val="PageNumber"/>
        <w:rFonts w:ascii="Arial" w:hAnsi="Arial"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5028E" w14:textId="08930C15" w:rsidR="0008579C" w:rsidRPr="00C843FF" w:rsidRDefault="0008579C" w:rsidP="002A3CA8">
    <w:pPr>
      <w:pStyle w:val="Footer"/>
      <w:tabs>
        <w:tab w:val="clear" w:pos="9000"/>
        <w:tab w:val="right" w:pos="13892"/>
      </w:tabs>
      <w:rPr>
        <w:rStyle w:val="PageNumber"/>
        <w:rFonts w:ascii="Arial" w:hAnsi="Arial" w:cs="Arial"/>
        <w:sz w:val="20"/>
      </w:rPr>
    </w:pPr>
    <w:r>
      <w:t>IgG for acquired hypogammaglobulinaemia – MSAC CA 1565</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9F6E2C">
      <w:rPr>
        <w:rStyle w:val="PageNumber"/>
        <w:rFonts w:ascii="Arial" w:hAnsi="Arial" w:cs="Arial"/>
        <w:noProof/>
        <w:sz w:val="20"/>
      </w:rPr>
      <w:t>40</w:t>
    </w:r>
    <w:r w:rsidRPr="00C843FF">
      <w:rPr>
        <w:rStyle w:val="PageNumber"/>
        <w:rFonts w:ascii="Arial" w:hAnsi="Arial" w:cs="Arial"/>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581B4" w14:textId="77777777" w:rsidR="0008579C" w:rsidRPr="00F568FA" w:rsidRDefault="0008579C"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1</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2D2F1" w14:textId="207D32CA" w:rsidR="0008579C" w:rsidRPr="00C843FF" w:rsidRDefault="0008579C" w:rsidP="002A3CA8">
    <w:pPr>
      <w:pStyle w:val="Footer"/>
      <w:tabs>
        <w:tab w:val="clear" w:pos="9000"/>
        <w:tab w:val="right" w:pos="13892"/>
      </w:tabs>
      <w:rPr>
        <w:rStyle w:val="PageNumber"/>
        <w:rFonts w:ascii="Arial" w:hAnsi="Arial" w:cs="Arial"/>
        <w:sz w:val="20"/>
      </w:rPr>
    </w:pPr>
    <w:r>
      <w:t>IgG for acquired hypogammaglobulinaemia – MSAC CA 1565</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9F6E2C">
      <w:rPr>
        <w:rStyle w:val="PageNumber"/>
        <w:rFonts w:ascii="Arial" w:hAnsi="Arial" w:cs="Arial"/>
        <w:noProof/>
        <w:sz w:val="20"/>
      </w:rPr>
      <w:t>51</w:t>
    </w:r>
    <w:r w:rsidRPr="00C843FF">
      <w:rPr>
        <w:rStyle w:val="PageNumber"/>
        <w:rFonts w:ascii="Arial" w:hAnsi="Arial" w:cs="Arial"/>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EF84E" w14:textId="63326C32" w:rsidR="0008579C" w:rsidRPr="00C843FF" w:rsidRDefault="0008579C" w:rsidP="002A3CA8">
    <w:pPr>
      <w:pStyle w:val="Footer"/>
      <w:tabs>
        <w:tab w:val="clear" w:pos="9000"/>
        <w:tab w:val="right" w:pos="13892"/>
      </w:tabs>
      <w:rPr>
        <w:rStyle w:val="PageNumber"/>
        <w:rFonts w:ascii="Arial" w:hAnsi="Arial" w:cs="Arial"/>
        <w:sz w:val="20"/>
      </w:rPr>
    </w:pPr>
    <w:r>
      <w:t>IgG for acquired hypogammaglobulinaemia – MSAC CA 1565</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9F6E2C">
      <w:rPr>
        <w:rStyle w:val="PageNumber"/>
        <w:rFonts w:ascii="Arial" w:hAnsi="Arial" w:cs="Arial"/>
        <w:noProof/>
        <w:sz w:val="20"/>
      </w:rPr>
      <w:t>57</w:t>
    </w:r>
    <w:r w:rsidRPr="00C843FF">
      <w:rPr>
        <w:rStyle w:val="PageNumber"/>
        <w:rFonts w:ascii="Arial" w:hAnsi="Arial" w:cs="Arial"/>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47B05" w14:textId="031EFFD5" w:rsidR="0008579C" w:rsidRPr="00C843FF" w:rsidRDefault="0008579C" w:rsidP="002A3CA8">
    <w:pPr>
      <w:pStyle w:val="Footer"/>
      <w:tabs>
        <w:tab w:val="clear" w:pos="9000"/>
        <w:tab w:val="right" w:pos="13892"/>
      </w:tabs>
      <w:rPr>
        <w:rStyle w:val="PageNumber"/>
        <w:rFonts w:ascii="Arial" w:hAnsi="Arial" w:cs="Arial"/>
        <w:sz w:val="20"/>
      </w:rPr>
    </w:pPr>
    <w:r>
      <w:t>IgG for acquired hypogammaglobulinaemia – MSAC CA 1565</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9F6E2C">
      <w:rPr>
        <w:rStyle w:val="PageNumber"/>
        <w:rFonts w:ascii="Arial" w:hAnsi="Arial" w:cs="Arial"/>
        <w:noProof/>
        <w:sz w:val="20"/>
      </w:rPr>
      <w:t>79</w:t>
    </w:r>
    <w:r w:rsidRPr="00C843FF">
      <w:rPr>
        <w:rStyle w:val="PageNumber"/>
        <w:rFonts w:ascii="Arial" w:hAnsi="Arial" w:cs="Arial"/>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C1CD7" w14:textId="77777777" w:rsidR="0008579C" w:rsidRPr="00F568FA" w:rsidRDefault="0008579C"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1</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20ADC" w14:textId="466F9011" w:rsidR="0008579C" w:rsidRPr="00C843FF" w:rsidRDefault="0008579C" w:rsidP="002A3CA8">
    <w:pPr>
      <w:pStyle w:val="Footer"/>
      <w:tabs>
        <w:tab w:val="clear" w:pos="9000"/>
        <w:tab w:val="right" w:pos="13892"/>
      </w:tabs>
      <w:rPr>
        <w:rStyle w:val="PageNumber"/>
        <w:rFonts w:ascii="Arial" w:hAnsi="Arial" w:cs="Arial"/>
        <w:sz w:val="20"/>
      </w:rPr>
    </w:pPr>
    <w:r>
      <w:t>IgG for acquired hypogammaglobulinaemia – MSAC CA 1565</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9F6E2C">
      <w:rPr>
        <w:rStyle w:val="PageNumber"/>
        <w:rFonts w:ascii="Arial" w:hAnsi="Arial" w:cs="Arial"/>
        <w:noProof/>
        <w:sz w:val="20"/>
      </w:rPr>
      <w:t>139</w:t>
    </w:r>
    <w:r w:rsidRPr="00C843FF">
      <w:rPr>
        <w:rStyle w:val="PageNumber"/>
        <w:rFonts w:ascii="Arial" w:hAnsi="Arial" w:cs="Aria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92FFB8" w14:textId="77777777" w:rsidR="0008579C" w:rsidRDefault="0008579C" w:rsidP="00A23645">
      <w:r>
        <w:separator/>
      </w:r>
    </w:p>
  </w:footnote>
  <w:footnote w:type="continuationSeparator" w:id="0">
    <w:p w14:paraId="71B5EE43" w14:textId="77777777" w:rsidR="0008579C" w:rsidRDefault="0008579C" w:rsidP="00A23645">
      <w:r>
        <w:continuationSeparator/>
      </w:r>
    </w:p>
  </w:footnote>
  <w:footnote w:type="continuationNotice" w:id="1">
    <w:p w14:paraId="09507D40" w14:textId="77777777" w:rsidR="0008579C" w:rsidRDefault="0008579C">
      <w:pPr>
        <w:spacing w:after="0" w:line="240" w:lineRule="auto"/>
      </w:pPr>
    </w:p>
  </w:footnote>
  <w:footnote w:id="2">
    <w:p w14:paraId="0C011D19" w14:textId="38E552A8" w:rsidR="0008579C" w:rsidRDefault="0008579C" w:rsidP="0016008C">
      <w:pPr>
        <w:pStyle w:val="FootnoteText"/>
        <w:spacing w:after="120" w:line="240" w:lineRule="auto"/>
      </w:pPr>
      <w:r>
        <w:rPr>
          <w:rStyle w:val="FootnoteReference"/>
        </w:rPr>
        <w:footnoteRef/>
      </w:r>
      <w:r>
        <w:t xml:space="preserve"> </w:t>
      </w:r>
      <w:hyperlink r:id="rId1" w:history="1">
        <w:r w:rsidRPr="00B52A4F">
          <w:rPr>
            <w:rStyle w:val="Hyperlink"/>
          </w:rPr>
          <w:t>Criteria for Immunoglobulin Use in Australia</w:t>
        </w:r>
        <w:r w:rsidRPr="008F7E5D">
          <w:rPr>
            <w:rStyle w:val="Hyperlink"/>
          </w:rPr>
          <w:t xml:space="preserve"> version 3</w:t>
        </w:r>
      </w:hyperlink>
      <w:r>
        <w:t xml:space="preserve">, </w:t>
      </w:r>
      <w:r w:rsidRPr="00B52A4F">
        <w:t>National Blood Authority</w:t>
      </w:r>
      <w:r>
        <w:t>, 2018.</w:t>
      </w:r>
    </w:p>
  </w:footnote>
  <w:footnote w:id="3">
    <w:p w14:paraId="3026B532" w14:textId="77777777" w:rsidR="0008579C" w:rsidRDefault="0008579C" w:rsidP="0016008C">
      <w:pPr>
        <w:pStyle w:val="FootnoteText"/>
        <w:spacing w:after="120" w:line="240" w:lineRule="auto"/>
      </w:pPr>
      <w:r>
        <w:rPr>
          <w:rStyle w:val="FootnoteReference"/>
        </w:rPr>
        <w:footnoteRef/>
      </w:r>
      <w:r>
        <w:t xml:space="preserve"> Population, Intervention, Comparator, Outcomes</w:t>
      </w:r>
    </w:p>
  </w:footnote>
  <w:footnote w:id="4">
    <w:p w14:paraId="7AE3AD25" w14:textId="77777777" w:rsidR="0008579C" w:rsidRDefault="0008579C" w:rsidP="0016008C">
      <w:pPr>
        <w:pStyle w:val="FootnoteText"/>
        <w:spacing w:after="120" w:line="240" w:lineRule="auto"/>
      </w:pPr>
      <w:r>
        <w:rPr>
          <w:rStyle w:val="FootnoteReference"/>
        </w:rPr>
        <w:footnoteRef/>
      </w:r>
      <w:r>
        <w:t xml:space="preserve"> </w:t>
      </w:r>
      <w:r w:rsidRPr="00AD1E3F">
        <w:t>WHO Classification of Tumours of Haematopoietic and Lymphoid Tissues</w:t>
      </w:r>
      <w:r>
        <w:t>, IARC Revised 4</w:t>
      </w:r>
      <w:r w:rsidRPr="00AD1E3F">
        <w:rPr>
          <w:vertAlign w:val="superscript"/>
        </w:rPr>
        <w:t>th</w:t>
      </w:r>
      <w:r>
        <w:t xml:space="preserve"> Edition 2017</w:t>
      </w:r>
    </w:p>
  </w:footnote>
  <w:footnote w:id="5">
    <w:p w14:paraId="24E4323A" w14:textId="77777777" w:rsidR="0008579C" w:rsidRDefault="0008579C" w:rsidP="0016008C">
      <w:pPr>
        <w:pStyle w:val="FootnoteText"/>
        <w:spacing w:after="120" w:line="240" w:lineRule="auto"/>
      </w:pPr>
      <w:r>
        <w:rPr>
          <w:rStyle w:val="FootnoteReference"/>
        </w:rPr>
        <w:footnoteRef/>
      </w:r>
      <w:r>
        <w:t xml:space="preserve"> National Blood Authority, 2018. Available at </w:t>
      </w:r>
      <w:r w:rsidRPr="00A2368F">
        <w:t>https://www.blood.gov.au/igcriteria-version3</w:t>
      </w:r>
    </w:p>
  </w:footnote>
  <w:footnote w:id="6">
    <w:p w14:paraId="1725EC85" w14:textId="50A0DB82" w:rsidR="0008579C" w:rsidRDefault="0008579C" w:rsidP="0016008C">
      <w:pPr>
        <w:pStyle w:val="FootnoteText"/>
        <w:spacing w:after="120" w:line="240" w:lineRule="auto"/>
      </w:pPr>
      <w:r>
        <w:rPr>
          <w:rStyle w:val="FootnoteReference"/>
        </w:rPr>
        <w:footnoteRef/>
      </w:r>
      <w:r>
        <w:t xml:space="preserve"> </w:t>
      </w:r>
      <w:hyperlink r:id="rId2" w:history="1">
        <w:r w:rsidRPr="002664D2">
          <w:rPr>
            <w:rStyle w:val="Hyperlink"/>
          </w:rPr>
          <w:t>Access to Subcutaneous Immunoglobulin</w:t>
        </w:r>
      </w:hyperlink>
      <w:r>
        <w:t xml:space="preserve"> </w:t>
      </w:r>
    </w:p>
  </w:footnote>
  <w:footnote w:id="7">
    <w:p w14:paraId="31A80651" w14:textId="2D9B2FD7" w:rsidR="0008579C" w:rsidRDefault="0008579C" w:rsidP="0016008C">
      <w:pPr>
        <w:pStyle w:val="FootnoteText"/>
        <w:spacing w:after="120" w:line="240" w:lineRule="auto"/>
      </w:pPr>
      <w:r>
        <w:rPr>
          <w:rStyle w:val="FootnoteReference"/>
        </w:rPr>
        <w:footnoteRef/>
      </w:r>
      <w:r>
        <w:t xml:space="preserve"> Includes mainly acute lymphoblastic leukaemia (ALL)(ICD-10 C91.0) and acute myeloid leukaemia (AML)(</w:t>
      </w:r>
      <w:r w:rsidRPr="004E5AD4">
        <w:t>C92.0, C92.3–C92.6, C92.8, C93.0, C94.0, C94.2, C94.4–C94.5</w:t>
      </w:r>
      <w:r>
        <w:t xml:space="preserve">), also other acute leukaemias (various codes within C93, C94 and C95).  </w:t>
      </w:r>
    </w:p>
  </w:footnote>
  <w:footnote w:id="8">
    <w:p w14:paraId="45B785A1" w14:textId="79D9496F" w:rsidR="0008579C" w:rsidRDefault="0008579C" w:rsidP="0016008C">
      <w:pPr>
        <w:pStyle w:val="FootnoteText"/>
        <w:spacing w:after="120" w:line="240" w:lineRule="auto"/>
      </w:pPr>
      <w:r>
        <w:rPr>
          <w:rStyle w:val="FootnoteReference"/>
        </w:rPr>
        <w:footnoteRef/>
      </w:r>
      <w:r>
        <w:t xml:space="preserve"> Conditions classified as NHL are </w:t>
      </w:r>
      <w:r w:rsidRPr="00F64494">
        <w:t>ICD-10 codes C82–C86</w:t>
      </w:r>
      <w:r>
        <w:t xml:space="preserve">.  </w:t>
      </w:r>
    </w:p>
  </w:footnote>
  <w:footnote w:id="9">
    <w:p w14:paraId="4086A67A" w14:textId="30CABE83" w:rsidR="0008579C" w:rsidRDefault="0008579C" w:rsidP="0016008C">
      <w:pPr>
        <w:pStyle w:val="FootnoteText"/>
        <w:spacing w:after="120" w:line="240" w:lineRule="auto"/>
      </w:pPr>
      <w:r>
        <w:rPr>
          <w:rStyle w:val="FootnoteReference"/>
        </w:rPr>
        <w:footnoteRef/>
      </w:r>
      <w:r>
        <w:t xml:space="preserve"> ‘Other haematological malignancies’ are according to current AIHW reporting practices, including as follows (where not falling into CLL, MM and so on): ICD-10 codes C81–C96, and also ICD-10 codes </w:t>
      </w:r>
      <w:r w:rsidRPr="00F64494">
        <w:t>D45–D46, D47.1 and D47.3–D47.5, which cover most of the myelodysplastic and myeloproliferative cancers</w:t>
      </w:r>
      <w:r>
        <w:t xml:space="preserve"> but excludes the precursor condition monoclonal gammopathy of undetermined significance (MGUS).  </w:t>
      </w:r>
    </w:p>
  </w:footnote>
  <w:footnote w:id="10">
    <w:p w14:paraId="2C0C8472" w14:textId="7CA104BF" w:rsidR="0008579C" w:rsidRDefault="0008579C" w:rsidP="00387AB6">
      <w:pPr>
        <w:pStyle w:val="FootnoteText"/>
        <w:spacing w:after="120" w:line="240" w:lineRule="auto"/>
      </w:pPr>
      <w:r>
        <w:rPr>
          <w:rStyle w:val="FootnoteReference"/>
        </w:rPr>
        <w:footnoteRef/>
      </w:r>
      <w:r>
        <w:t xml:space="preserve"> </w:t>
      </w:r>
      <w:hyperlink r:id="rId3" w:history="1">
        <w:r w:rsidRPr="00DF5F99">
          <w:rPr>
            <w:rStyle w:val="Hyperlink"/>
          </w:rPr>
          <w:t>ACTRN12616001723471</w:t>
        </w:r>
      </w:hyperlink>
      <w:r>
        <w:t xml:space="preserve"> </w:t>
      </w:r>
    </w:p>
  </w:footnote>
  <w:footnote w:id="11">
    <w:p w14:paraId="2D391852" w14:textId="2AD55FA1" w:rsidR="0008579C" w:rsidRDefault="0008579C">
      <w:pPr>
        <w:pStyle w:val="FootnoteText"/>
      </w:pPr>
      <w:r>
        <w:rPr>
          <w:rStyle w:val="FootnoteReference"/>
        </w:rPr>
        <w:footnoteRef/>
      </w:r>
      <w:r>
        <w:t xml:space="preserve"> Bacteraemia is somewhat less serious than septicaemia, as it involves fewer or less pronounced clinical signs of infection associated with the microbiological finding, and bacteria recovered from blood would typically be fewer. </w:t>
      </w:r>
    </w:p>
  </w:footnote>
  <w:footnote w:id="12">
    <w:p w14:paraId="0E403B5D" w14:textId="77777777" w:rsidR="0008579C" w:rsidRDefault="0008579C" w:rsidP="00D538DE">
      <w:pPr>
        <w:pStyle w:val="FootnoteText"/>
        <w:spacing w:after="0" w:line="240" w:lineRule="auto"/>
      </w:pPr>
      <w:r>
        <w:rPr>
          <w:rStyle w:val="FootnoteReference"/>
        </w:rPr>
        <w:footnoteRef/>
      </w:r>
      <w:r>
        <w:t xml:space="preserve"> Lee ML, Couter SG, Chapel HM. Quality of life and cost effectiveness issues in chronic lymphocytic leukaemia: a reevaluation.</w:t>
      </w:r>
      <w:r w:rsidRPr="00581517">
        <w:rPr>
          <w:i/>
        </w:rPr>
        <w:t xml:space="preserve"> Symposium on drugs, drug companies and quality of life issues</w:t>
      </w:r>
      <w:r>
        <w:t>, New York, 1993.</w:t>
      </w:r>
    </w:p>
  </w:footnote>
  <w:footnote w:id="13">
    <w:p w14:paraId="6DDF5DA8" w14:textId="5AEC343E" w:rsidR="0008579C" w:rsidRPr="00261168" w:rsidRDefault="0008579C" w:rsidP="00D538DE">
      <w:pPr>
        <w:pStyle w:val="FootnoteText"/>
        <w:spacing w:after="0" w:line="240" w:lineRule="auto"/>
        <w:rPr>
          <w:sz w:val="18"/>
        </w:rPr>
      </w:pPr>
      <w:r>
        <w:rPr>
          <w:rStyle w:val="FootnoteReference"/>
        </w:rPr>
        <w:footnoteRef/>
      </w:r>
      <w:r>
        <w:t xml:space="preserve"> </w:t>
      </w:r>
      <w:hyperlink r:id="rId4" w:history="1">
        <w:r w:rsidRPr="00DF5F99">
          <w:rPr>
            <w:rStyle w:val="Hyperlink"/>
          </w:rPr>
          <w:t>Core summary of product characterisitcs for human normal immunoglobulin for intravenous administration</w:t>
        </w:r>
      </w:hyperlink>
      <w:r>
        <w:t xml:space="preserve"> </w:t>
      </w:r>
    </w:p>
  </w:footnote>
  <w:footnote w:id="14">
    <w:p w14:paraId="2D18DBB6" w14:textId="329D13D4" w:rsidR="0008579C" w:rsidRPr="00261168" w:rsidRDefault="0008579C" w:rsidP="00261168">
      <w:pPr>
        <w:pStyle w:val="FootnoteText"/>
        <w:spacing w:after="120" w:line="240" w:lineRule="auto"/>
        <w:rPr>
          <w:sz w:val="18"/>
        </w:rPr>
      </w:pPr>
      <w:r w:rsidRPr="00261168">
        <w:rPr>
          <w:rStyle w:val="FootnoteReference"/>
          <w:sz w:val="18"/>
        </w:rPr>
        <w:footnoteRef/>
      </w:r>
      <w:r w:rsidRPr="00261168">
        <w:rPr>
          <w:sz w:val="18"/>
        </w:rPr>
        <w:t xml:space="preserve"> </w:t>
      </w:r>
      <w:hyperlink r:id="rId5" w:history="1">
        <w:r w:rsidRPr="00DF5F99">
          <w:rPr>
            <w:rStyle w:val="Hyperlink"/>
            <w:sz w:val="18"/>
          </w:rPr>
          <w:t>European Medicines Agency: Octagam</w:t>
        </w:r>
      </w:hyperlink>
      <w:r>
        <w:t xml:space="preserve"> </w:t>
      </w:r>
      <w:r w:rsidRPr="00261168">
        <w:rPr>
          <w:sz w:val="18"/>
        </w:rPr>
        <w:t xml:space="preserve"> </w:t>
      </w:r>
    </w:p>
  </w:footnote>
  <w:footnote w:id="15">
    <w:p w14:paraId="2DB19B54" w14:textId="78C51029" w:rsidR="0008579C" w:rsidRPr="00261168" w:rsidRDefault="0008579C" w:rsidP="00261168">
      <w:pPr>
        <w:pStyle w:val="FootnoteText"/>
        <w:spacing w:after="120" w:line="240" w:lineRule="auto"/>
        <w:rPr>
          <w:sz w:val="18"/>
        </w:rPr>
      </w:pPr>
      <w:r w:rsidRPr="00261168">
        <w:rPr>
          <w:rStyle w:val="FootnoteReference"/>
          <w:sz w:val="18"/>
        </w:rPr>
        <w:footnoteRef/>
      </w:r>
      <w:r w:rsidRPr="00261168">
        <w:rPr>
          <w:sz w:val="18"/>
        </w:rPr>
        <w:t xml:space="preserve"> </w:t>
      </w:r>
      <w:hyperlink r:id="rId6" w:history="1">
        <w:r w:rsidRPr="00DF5F99">
          <w:rPr>
            <w:rStyle w:val="Hyperlink"/>
            <w:sz w:val="18"/>
          </w:rPr>
          <w:t>European Medicines Agency: Vivaglobin</w:t>
        </w:r>
      </w:hyperlink>
      <w:r>
        <w:rPr>
          <w:sz w:val="18"/>
        </w:rPr>
        <w:t xml:space="preserve"> </w:t>
      </w:r>
    </w:p>
  </w:footnote>
  <w:footnote w:id="16">
    <w:p w14:paraId="74B06630" w14:textId="77777777" w:rsidR="0008579C" w:rsidRDefault="0008579C" w:rsidP="00911F85">
      <w:pPr>
        <w:pStyle w:val="FootnoteText"/>
      </w:pPr>
      <w:r>
        <w:rPr>
          <w:rStyle w:val="FootnoteReference"/>
        </w:rPr>
        <w:footnoteRef/>
      </w:r>
      <w:r>
        <w:t xml:space="preserve"> 0.43 </w:t>
      </w:r>
      <w:r>
        <w:rPr>
          <w:rFonts w:cs="Calibri"/>
        </w:rPr>
        <w:t>×</w:t>
      </w:r>
      <w:r>
        <w:t xml:space="preserve"> 2.45</w:t>
      </w:r>
    </w:p>
  </w:footnote>
  <w:footnote w:id="17">
    <w:p w14:paraId="2E4D4616" w14:textId="77777777" w:rsidR="0008579C" w:rsidRDefault="0008579C" w:rsidP="00911F85">
      <w:pPr>
        <w:pStyle w:val="FootnoteText"/>
      </w:pPr>
      <w:r>
        <w:rPr>
          <w:rStyle w:val="FootnoteReference"/>
        </w:rPr>
        <w:footnoteRef/>
      </w:r>
      <w:r>
        <w:t xml:space="preserve"> 0.43 </w:t>
      </w:r>
      <w:r>
        <w:rPr>
          <w:rFonts w:cs="Calibri"/>
        </w:rPr>
        <w:t>×</w:t>
      </w:r>
      <w:r>
        <w:t xml:space="preserve"> 0.15</w:t>
      </w:r>
    </w:p>
  </w:footnote>
  <w:footnote w:id="18">
    <w:p w14:paraId="65867D33" w14:textId="77777777" w:rsidR="0008579C" w:rsidRDefault="0008579C" w:rsidP="00911F85">
      <w:pPr>
        <w:pStyle w:val="FootnoteText"/>
      </w:pPr>
      <w:r>
        <w:rPr>
          <w:rStyle w:val="FootnoteReference"/>
        </w:rPr>
        <w:footnoteRef/>
      </w:r>
      <w:r>
        <w:t xml:space="preserve"> 1.05 </w:t>
      </w:r>
      <w:r>
        <w:rPr>
          <w:rFonts w:cs="Calibri"/>
        </w:rPr>
        <w:t>×</w:t>
      </w:r>
      <w:r>
        <w:t xml:space="preserve"> 0.61</w:t>
      </w:r>
    </w:p>
  </w:footnote>
  <w:footnote w:id="19">
    <w:p w14:paraId="737E0B1B" w14:textId="77777777" w:rsidR="0008579C" w:rsidRDefault="0008579C" w:rsidP="00911F85">
      <w:pPr>
        <w:pStyle w:val="FootnoteText"/>
      </w:pPr>
      <w:r>
        <w:rPr>
          <w:rStyle w:val="FootnoteReference"/>
        </w:rPr>
        <w:footnoteRef/>
      </w:r>
      <w:r>
        <w:t xml:space="preserve"> </w:t>
      </w:r>
      <w:r w:rsidRPr="00E121A7">
        <w:t xml:space="preserve">This costing approach varies from the approach used in </w:t>
      </w:r>
      <w:r>
        <w:t xml:space="preserve">MSAC Application </w:t>
      </w:r>
      <w:r w:rsidRPr="00E121A7">
        <w:t>156</w:t>
      </w:r>
      <w:r>
        <w:t>6</w:t>
      </w:r>
      <w:r w:rsidRPr="00E121A7">
        <w:t>, where a</w:t>
      </w:r>
      <w:r>
        <w:t xml:space="preserve"> published Australian</w:t>
      </w:r>
      <w:r w:rsidRPr="00E121A7">
        <w:t xml:space="preserve"> source</w:t>
      </w:r>
      <w:r>
        <w:t xml:space="preserve"> could not be</w:t>
      </w:r>
      <w:r w:rsidRPr="00E121A7">
        <w:t xml:space="preserve"> identified for IVIg in the context of </w:t>
      </w:r>
      <w:r>
        <w:t>myasthenia gravis</w:t>
      </w:r>
      <w:r w:rsidRPr="00E121A7">
        <w:t xml:space="preserve">. Given the dose of IVIg used preoperatively and for maintenance in </w:t>
      </w:r>
      <w:r>
        <w:t>myasthenia gravis</w:t>
      </w:r>
      <w:r w:rsidRPr="00E121A7">
        <w:t xml:space="preserve"> is substantially higher </w:t>
      </w:r>
      <w:r>
        <w:t xml:space="preserve">than in acquired hypogammaglobulinaemia </w:t>
      </w:r>
      <w:r w:rsidRPr="00E121A7">
        <w:t>(up to 1</w:t>
      </w:r>
      <w:r>
        <w:t xml:space="preserve"> </w:t>
      </w:r>
      <w:r w:rsidRPr="00E121A7">
        <w:t>g/kg</w:t>
      </w:r>
      <w:r>
        <w:t xml:space="preserve"> compared to 0.4 g/kg</w:t>
      </w:r>
      <w:r w:rsidRPr="00E121A7">
        <w:t>), it is expected to incur significantly longer chai</w:t>
      </w:r>
      <w:r>
        <w:t>r and nursing supervision times and</w:t>
      </w:r>
      <w:r w:rsidRPr="00E121A7">
        <w:t xml:space="preserve"> therefore the estimated administration cost </w:t>
      </w:r>
      <w:r>
        <w:t>in that Application was</w:t>
      </w:r>
      <w:r w:rsidRPr="00E121A7">
        <w:t xml:space="preserve"> $461, based on Service 10.13 using the National Weighted Activity Unit calculator</w:t>
      </w:r>
      <w:r>
        <w:t>. Despite the different approach, administration costs appear</w:t>
      </w:r>
      <w:r w:rsidRPr="00E121A7">
        <w:t xml:space="preserve"> reasonably consistent</w:t>
      </w:r>
      <w:r>
        <w:t xml:space="preserve"> given expected differences with administration times</w:t>
      </w:r>
      <w:r w:rsidRPr="00E121A7">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49CF7" w14:textId="2E428301" w:rsidR="0008579C" w:rsidRDefault="0008579C" w:rsidP="00B426FF">
    <w:pPr>
      <w:pStyle w:val="Header"/>
      <w:tabs>
        <w:tab w:val="clear" w:pos="8306"/>
        <w:tab w:val="right" w:pos="8931"/>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692EA" w14:textId="0C5A9E7A" w:rsidR="0008579C" w:rsidRDefault="0008579C" w:rsidP="00B426FF">
    <w:pPr>
      <w:pStyle w:val="Header"/>
      <w:tabs>
        <w:tab w:val="clear" w:pos="8306"/>
        <w:tab w:val="right" w:pos="8931"/>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457AD" w14:textId="371237F5" w:rsidR="0008579C" w:rsidRDefault="0008579C" w:rsidP="00A2364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0048D" w14:textId="0C3B0C9C" w:rsidR="0008579C" w:rsidRDefault="0008579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137D7" w14:textId="505F78FD" w:rsidR="0008579C" w:rsidRDefault="0008579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2ED7A" w14:textId="0B7E6D7D" w:rsidR="0008579C" w:rsidRDefault="0008579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78629" w14:textId="094FF10A" w:rsidR="0008579C" w:rsidRDefault="0008579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B7925" w14:textId="5ADEBE62" w:rsidR="0008579C" w:rsidRDefault="0008579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5B1F6" w14:textId="5A444D22" w:rsidR="0008579C" w:rsidRDefault="0008579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BD4E2" w14:textId="1B1E8B60" w:rsidR="0008579C" w:rsidRDefault="0008579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C0088" w14:textId="7DD5A77B" w:rsidR="0008579C" w:rsidRDefault="0008579C" w:rsidP="000069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4184D" w14:textId="61BA6CAD" w:rsidR="0008579C" w:rsidRDefault="0008579C" w:rsidP="00B426FF">
    <w:pPr>
      <w:pStyle w:val="Header"/>
      <w:tabs>
        <w:tab w:val="clear" w:pos="8306"/>
        <w:tab w:val="right" w:pos="8931"/>
      </w:tabs>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DE9B1" w14:textId="2E3AA6D2" w:rsidR="0008579C" w:rsidRDefault="0008579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F085B" w14:textId="027928B6" w:rsidR="0008579C" w:rsidRDefault="0008579C" w:rsidP="00A2364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2ACC0" w14:textId="7D1B7A3F" w:rsidR="0008579C" w:rsidRDefault="0008579C" w:rsidP="00B426FF">
    <w:pPr>
      <w:pStyle w:val="Header"/>
      <w:tabs>
        <w:tab w:val="clear" w:pos="8306"/>
        <w:tab w:val="right" w:pos="8931"/>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25F93" w14:textId="48A87ABB" w:rsidR="0008579C" w:rsidRDefault="0008579C" w:rsidP="00A2364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8B9D3" w14:textId="508E1303" w:rsidR="0008579C" w:rsidRDefault="0008579C" w:rsidP="00A2364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8D3E4" w14:textId="757C27DD" w:rsidR="0008579C" w:rsidRDefault="0008579C" w:rsidP="00B426FF">
    <w:pPr>
      <w:pStyle w:val="Header"/>
      <w:tabs>
        <w:tab w:val="clear" w:pos="8306"/>
        <w:tab w:val="right" w:pos="8931"/>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A8137" w14:textId="222DC292" w:rsidR="0008579C" w:rsidRDefault="0008579C" w:rsidP="00A2364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C77FC" w14:textId="50F9706B" w:rsidR="0008579C" w:rsidRDefault="0008579C" w:rsidP="00A236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37EB"/>
    <w:multiLevelType w:val="hybridMultilevel"/>
    <w:tmpl w:val="07B894CA"/>
    <w:lvl w:ilvl="0" w:tplc="BE1490EC">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FD919C8"/>
    <w:multiLevelType w:val="hybridMultilevel"/>
    <w:tmpl w:val="DAAED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3">
    <w:nsid w:val="141C29DF"/>
    <w:multiLevelType w:val="hybridMultilevel"/>
    <w:tmpl w:val="1138D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46F2793"/>
    <w:multiLevelType w:val="hybridMultilevel"/>
    <w:tmpl w:val="4E5810F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20A07EC"/>
    <w:multiLevelType w:val="singleLevel"/>
    <w:tmpl w:val="FC24B238"/>
    <w:lvl w:ilvl="0">
      <w:start w:val="1"/>
      <w:numFmt w:val="decimal"/>
      <w:pStyle w:val="ESNumberedSectionHeading"/>
      <w:lvlText w:val="A.%1"/>
      <w:lvlJc w:val="left"/>
      <w:pPr>
        <w:ind w:left="644" w:hanging="360"/>
      </w:pPr>
      <w:rPr>
        <w:rFonts w:ascii="Calibri" w:hAnsi="Calibri" w:hint="default"/>
        <w:b/>
        <w:i w:val="0"/>
        <w:color w:val="auto"/>
        <w:sz w:val="24"/>
      </w:rPr>
    </w:lvl>
  </w:abstractNum>
  <w:abstractNum w:abstractNumId="6">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7">
    <w:nsid w:val="23BA5424"/>
    <w:multiLevelType w:val="hybridMultilevel"/>
    <w:tmpl w:val="71065A0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8">
    <w:nsid w:val="27162320"/>
    <w:multiLevelType w:val="hybridMultilevel"/>
    <w:tmpl w:val="3D4AB0E0"/>
    <w:lvl w:ilvl="0" w:tplc="F9A48B7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FEC3EA5"/>
    <w:multiLevelType w:val="hybridMultilevel"/>
    <w:tmpl w:val="DD3CCB36"/>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353E4C42"/>
    <w:multiLevelType w:val="hybridMultilevel"/>
    <w:tmpl w:val="6C380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C792CD4"/>
    <w:multiLevelType w:val="multilevel"/>
    <w:tmpl w:val="FEE071C8"/>
    <w:numStyleLink w:val="ESSectionheading-numbered"/>
  </w:abstractNum>
  <w:abstractNum w:abstractNumId="12">
    <w:nsid w:val="41564240"/>
    <w:multiLevelType w:val="hybridMultilevel"/>
    <w:tmpl w:val="B8A07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C02206D"/>
    <w:multiLevelType w:val="hybridMultilevel"/>
    <w:tmpl w:val="B05C4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EDA4293"/>
    <w:multiLevelType w:val="hybridMultilevel"/>
    <w:tmpl w:val="A80A0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27C15EA"/>
    <w:multiLevelType w:val="hybridMultilevel"/>
    <w:tmpl w:val="E13E9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6891D8A"/>
    <w:multiLevelType w:val="multilevel"/>
    <w:tmpl w:val="FEE071C8"/>
    <w:numStyleLink w:val="ESSectionheading-numbered"/>
  </w:abstractNum>
  <w:abstractNum w:abstractNumId="17">
    <w:nsid w:val="592B147B"/>
    <w:multiLevelType w:val="hybridMultilevel"/>
    <w:tmpl w:val="A8D0C0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95C5B70"/>
    <w:multiLevelType w:val="hybridMultilevel"/>
    <w:tmpl w:val="382C5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20">
    <w:nsid w:val="5F8E262E"/>
    <w:multiLevelType w:val="hybridMultilevel"/>
    <w:tmpl w:val="C40EC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1F11438"/>
    <w:multiLevelType w:val="multilevel"/>
    <w:tmpl w:val="A9964C2E"/>
    <w:lvl w:ilvl="0">
      <w:start w:val="1"/>
      <w:numFmt w:val="decimal"/>
      <w:lvlText w:val="C.1.%1."/>
      <w:lvlJc w:val="left"/>
      <w:pPr>
        <w:ind w:left="1134" w:hanging="1134"/>
      </w:pPr>
      <w:rPr>
        <w:rFonts w:hint="default"/>
        <w:b/>
        <w:i w:val="0"/>
        <w:color w:val="auto"/>
        <w:sz w:val="24"/>
      </w:rPr>
    </w:lvl>
    <w:lvl w:ilvl="1">
      <w:start w:val="3"/>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22">
    <w:nsid w:val="62482A2D"/>
    <w:multiLevelType w:val="hybridMultilevel"/>
    <w:tmpl w:val="84D8E5CE"/>
    <w:lvl w:ilvl="0" w:tplc="8FDA193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2A80556"/>
    <w:multiLevelType w:val="hybridMultilevel"/>
    <w:tmpl w:val="AF9C9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4BB32BE"/>
    <w:multiLevelType w:val="hybridMultilevel"/>
    <w:tmpl w:val="2788D6C6"/>
    <w:lvl w:ilvl="0" w:tplc="B0DA2C7E">
      <w:start w:val="1"/>
      <w:numFmt w:val="decimal"/>
      <w:pStyle w:val="MainBodySectionHeading-numbered"/>
      <w:lvlText w:val="A.%1"/>
      <w:lvlJc w:val="left"/>
      <w:pPr>
        <w:ind w:left="720" w:hanging="360"/>
      </w:pPr>
      <w:rPr>
        <w:rFonts w:ascii="Calibri" w:hAnsi="Calibri" w:hint="default"/>
        <w:b/>
        <w:i w:val="0"/>
        <w:color w:val="auto"/>
        <w:sz w:val="28"/>
      </w:rPr>
    </w:lvl>
    <w:lvl w:ilvl="1" w:tplc="3412F0B6" w:tentative="1">
      <w:start w:val="1"/>
      <w:numFmt w:val="lowerLetter"/>
      <w:lvlText w:val="%2."/>
      <w:lvlJc w:val="left"/>
      <w:pPr>
        <w:ind w:left="1440" w:hanging="360"/>
      </w:pPr>
    </w:lvl>
    <w:lvl w:ilvl="2" w:tplc="0A2C92E8" w:tentative="1">
      <w:start w:val="1"/>
      <w:numFmt w:val="lowerRoman"/>
      <w:lvlText w:val="%3."/>
      <w:lvlJc w:val="right"/>
      <w:pPr>
        <w:ind w:left="2160" w:hanging="180"/>
      </w:pPr>
    </w:lvl>
    <w:lvl w:ilvl="3" w:tplc="51E06328" w:tentative="1">
      <w:start w:val="1"/>
      <w:numFmt w:val="decimal"/>
      <w:lvlText w:val="%4."/>
      <w:lvlJc w:val="left"/>
      <w:pPr>
        <w:ind w:left="2880" w:hanging="360"/>
      </w:pPr>
    </w:lvl>
    <w:lvl w:ilvl="4" w:tplc="55121EB0" w:tentative="1">
      <w:start w:val="1"/>
      <w:numFmt w:val="lowerLetter"/>
      <w:lvlText w:val="%5."/>
      <w:lvlJc w:val="left"/>
      <w:pPr>
        <w:ind w:left="3600" w:hanging="360"/>
      </w:pPr>
    </w:lvl>
    <w:lvl w:ilvl="5" w:tplc="C0BC6618" w:tentative="1">
      <w:start w:val="1"/>
      <w:numFmt w:val="lowerRoman"/>
      <w:lvlText w:val="%6."/>
      <w:lvlJc w:val="right"/>
      <w:pPr>
        <w:ind w:left="4320" w:hanging="180"/>
      </w:pPr>
    </w:lvl>
    <w:lvl w:ilvl="6" w:tplc="2C762004" w:tentative="1">
      <w:start w:val="1"/>
      <w:numFmt w:val="decimal"/>
      <w:lvlText w:val="%7."/>
      <w:lvlJc w:val="left"/>
      <w:pPr>
        <w:ind w:left="5040" w:hanging="360"/>
      </w:pPr>
    </w:lvl>
    <w:lvl w:ilvl="7" w:tplc="AAE0D5E4" w:tentative="1">
      <w:start w:val="1"/>
      <w:numFmt w:val="lowerLetter"/>
      <w:lvlText w:val="%8."/>
      <w:lvlJc w:val="left"/>
      <w:pPr>
        <w:ind w:left="5760" w:hanging="360"/>
      </w:pPr>
    </w:lvl>
    <w:lvl w:ilvl="8" w:tplc="37CCD67A" w:tentative="1">
      <w:start w:val="1"/>
      <w:numFmt w:val="lowerRoman"/>
      <w:lvlText w:val="%9."/>
      <w:lvlJc w:val="right"/>
      <w:pPr>
        <w:ind w:left="6480" w:hanging="180"/>
      </w:pPr>
    </w:lvl>
  </w:abstractNum>
  <w:abstractNum w:abstractNumId="25">
    <w:nsid w:val="65024291"/>
    <w:multiLevelType w:val="hybridMultilevel"/>
    <w:tmpl w:val="ED92B8E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6C252901"/>
    <w:multiLevelType w:val="multilevel"/>
    <w:tmpl w:val="77D0E56C"/>
    <w:lvl w:ilvl="0">
      <w:start w:val="1"/>
      <w:numFmt w:val="decimal"/>
      <w:lvlText w:val="A.%1."/>
      <w:lvlJc w:val="left"/>
      <w:pPr>
        <w:ind w:left="1134" w:hanging="1134"/>
      </w:pPr>
      <w:rPr>
        <w:rFonts w:hint="default"/>
        <w:b/>
        <w:i w:val="0"/>
        <w:color w:val="auto"/>
        <w:sz w:val="24"/>
      </w:rPr>
    </w:lvl>
    <w:lvl w:ilvl="1">
      <w:start w:val="1"/>
      <w:numFmt w:val="decimal"/>
      <w:lvlText w:val="%2."/>
      <w:lvlJc w:val="left"/>
      <w:pPr>
        <w:ind w:left="1701" w:hanging="737"/>
      </w:pPr>
      <w:rPr>
        <w:rFonts w:ascii="Calibri" w:hAnsi="Calibri" w:hint="default"/>
        <w:b/>
        <w:i w:val="0"/>
        <w:sz w:val="24"/>
      </w:rPr>
    </w:lvl>
    <w:lvl w:ilvl="2">
      <w:start w:val="1"/>
      <w:numFmt w:val="decimal"/>
      <w:lvlText w:val="B.%3."/>
      <w:lvlJc w:val="left"/>
      <w:pPr>
        <w:ind w:left="1134" w:hanging="1134"/>
      </w:pPr>
      <w:rPr>
        <w:rFonts w:ascii="Calibri" w:hAnsi="Calibri" w:hint="default"/>
        <w:b/>
        <w:i w:val="0"/>
        <w:sz w:val="24"/>
      </w:rPr>
    </w:lvl>
    <w:lvl w:ilvl="3">
      <w:start w:val="1"/>
      <w:numFmt w:val="decimal"/>
      <w:lvlText w:val="%4."/>
      <w:lvlJc w:val="left"/>
      <w:pPr>
        <w:ind w:left="1134" w:hanging="170"/>
      </w:pPr>
      <w:rPr>
        <w:rFonts w:ascii="Calibri" w:hAnsi="Calibri" w:hint="default"/>
        <w:b/>
        <w:i w:val="0"/>
        <w:sz w:val="24"/>
      </w:rPr>
    </w:lvl>
    <w:lvl w:ilvl="4">
      <w:start w:val="1"/>
      <w:numFmt w:val="decimal"/>
      <w:lvlText w:val="C.%5."/>
      <w:lvlJc w:val="left"/>
      <w:pPr>
        <w:ind w:left="1134" w:hanging="1134"/>
      </w:pPr>
      <w:rPr>
        <w:rFonts w:ascii="Calibri" w:hAnsi="Calibri" w:hint="default"/>
        <w:b/>
        <w:i w:val="0"/>
        <w:sz w:val="24"/>
      </w:rPr>
    </w:lvl>
    <w:lvl w:ilvl="5">
      <w:start w:val="1"/>
      <w:numFmt w:val="decimal"/>
      <w:lvlText w:val="%6"/>
      <w:lvlJc w:val="left"/>
      <w:pPr>
        <w:ind w:left="1134" w:hanging="170"/>
      </w:pPr>
      <w:rPr>
        <w:rFonts w:ascii="Calibri" w:hAnsi="Calibri" w:hint="default"/>
        <w:b/>
        <w:i w:val="0"/>
        <w:color w:val="auto"/>
        <w:sz w:val="24"/>
      </w:rPr>
    </w:lvl>
    <w:lvl w:ilvl="6">
      <w:start w:val="1"/>
      <w:numFmt w:val="decimal"/>
      <w:lvlText w:val="D.%7"/>
      <w:lvlJc w:val="left"/>
      <w:pPr>
        <w:ind w:left="1134" w:hanging="1134"/>
      </w:pPr>
      <w:rPr>
        <w:rFonts w:ascii="Calibri" w:hAnsi="Calibri" w:hint="default"/>
        <w:b/>
        <w:i w:val="0"/>
        <w:color w:val="auto"/>
        <w:sz w:val="24"/>
      </w:rPr>
    </w:lvl>
    <w:lvl w:ilvl="7">
      <w:start w:val="1"/>
      <w:numFmt w:val="decimal"/>
      <w:lvlText w:val="%8"/>
      <w:lvlJc w:val="left"/>
      <w:pPr>
        <w:ind w:left="1134" w:hanging="170"/>
      </w:pPr>
      <w:rPr>
        <w:rFonts w:ascii="Calibri" w:hAnsi="Calibri" w:hint="default"/>
        <w:b/>
        <w:i w:val="0"/>
        <w:color w:val="auto"/>
        <w:sz w:val="24"/>
      </w:rPr>
    </w:lvl>
    <w:lvl w:ilvl="8">
      <w:start w:val="1"/>
      <w:numFmt w:val="decimal"/>
      <w:lvlText w:val="E.%9"/>
      <w:lvlJc w:val="left"/>
      <w:pPr>
        <w:ind w:left="1134" w:hanging="1134"/>
      </w:pPr>
      <w:rPr>
        <w:rFonts w:ascii="Calibri" w:hAnsi="Calibri" w:hint="default"/>
        <w:b/>
        <w:i w:val="0"/>
        <w:color w:val="auto"/>
        <w:sz w:val="24"/>
      </w:rPr>
    </w:lvl>
  </w:abstractNum>
  <w:abstractNum w:abstractNumId="27">
    <w:nsid w:val="72601446"/>
    <w:multiLevelType w:val="hybridMultilevel"/>
    <w:tmpl w:val="1AFEE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5354148"/>
    <w:multiLevelType w:val="hybridMultilevel"/>
    <w:tmpl w:val="4E5810F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88302C2"/>
    <w:multiLevelType w:val="hybridMultilevel"/>
    <w:tmpl w:val="1C0EA3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nsid w:val="79F44A71"/>
    <w:multiLevelType w:val="hybridMultilevel"/>
    <w:tmpl w:val="4E5810F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C8545CA"/>
    <w:multiLevelType w:val="hybridMultilevel"/>
    <w:tmpl w:val="129AF8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7D200C70"/>
    <w:multiLevelType w:val="multilevel"/>
    <w:tmpl w:val="37B0CA18"/>
    <w:lvl w:ilvl="0">
      <w:start w:val="1"/>
      <w:numFmt w:val="none"/>
      <w:pStyle w:val="ESSectionHeading-numbered0"/>
      <w:lvlText w:val="A.1"/>
      <w:lvlJc w:val="left"/>
      <w:pPr>
        <w:ind w:left="1134" w:hanging="1134"/>
      </w:pPr>
      <w:rPr>
        <w:rFonts w:ascii="Calibri" w:hAnsi="Calibri" w:hint="default"/>
        <w:b/>
        <w:i w:val="0"/>
        <w:color w:val="auto"/>
        <w:sz w:val="24"/>
      </w:rPr>
    </w:lvl>
    <w:lvl w:ilvl="1">
      <w:start w:val="2"/>
      <w:numFmt w:val="decimal"/>
      <w:lvlText w:val="B.%2"/>
      <w:lvlJc w:val="left"/>
      <w:pPr>
        <w:ind w:left="1134" w:hanging="1134"/>
      </w:pPr>
      <w:rPr>
        <w:rFonts w:ascii="Calibri" w:hAnsi="Calibri" w:hint="default"/>
        <w:b/>
        <w:i w:val="0"/>
        <w:color w:val="auto"/>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33">
    <w:nsid w:val="7E6A7CDA"/>
    <w:multiLevelType w:val="hybridMultilevel"/>
    <w:tmpl w:val="FC5C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abstractNum w:abstractNumId="35">
    <w:nsid w:val="7FD56D00"/>
    <w:multiLevelType w:val="hybridMultilevel"/>
    <w:tmpl w:val="917A8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34"/>
  </w:num>
  <w:num w:numId="4">
    <w:abstractNumId w:val="24"/>
  </w:num>
  <w:num w:numId="5">
    <w:abstractNumId w:val="6"/>
  </w:num>
  <w:num w:numId="6">
    <w:abstractNumId w:val="32"/>
  </w:num>
  <w:num w:numId="7">
    <w:abstractNumId w:val="5"/>
  </w:num>
  <w:num w:numId="8">
    <w:abstractNumId w:val="26"/>
  </w:num>
  <w:num w:numId="9">
    <w:abstractNumId w:val="11"/>
  </w:num>
  <w:num w:numId="10">
    <w:abstractNumId w:val="16"/>
  </w:num>
  <w:num w:numId="11">
    <w:abstractNumId w:val="21"/>
  </w:num>
  <w:num w:numId="12">
    <w:abstractNumId w:val="29"/>
  </w:num>
  <w:num w:numId="13">
    <w:abstractNumId w:val="13"/>
  </w:num>
  <w:num w:numId="14">
    <w:abstractNumId w:val="17"/>
  </w:num>
  <w:num w:numId="15">
    <w:abstractNumId w:val="1"/>
  </w:num>
  <w:num w:numId="16">
    <w:abstractNumId w:val="35"/>
  </w:num>
  <w:num w:numId="17">
    <w:abstractNumId w:val="27"/>
  </w:num>
  <w:num w:numId="18">
    <w:abstractNumId w:val="9"/>
  </w:num>
  <w:num w:numId="19">
    <w:abstractNumId w:val="10"/>
  </w:num>
  <w:num w:numId="20">
    <w:abstractNumId w:val="28"/>
  </w:num>
  <w:num w:numId="21">
    <w:abstractNumId w:val="0"/>
  </w:num>
  <w:num w:numId="22">
    <w:abstractNumId w:val="23"/>
  </w:num>
  <w:num w:numId="23">
    <w:abstractNumId w:val="31"/>
  </w:num>
  <w:num w:numId="24">
    <w:abstractNumId w:val="15"/>
  </w:num>
  <w:num w:numId="25">
    <w:abstractNumId w:val="8"/>
  </w:num>
  <w:num w:numId="26">
    <w:abstractNumId w:val="20"/>
  </w:num>
  <w:num w:numId="27">
    <w:abstractNumId w:val="18"/>
  </w:num>
  <w:num w:numId="28">
    <w:abstractNumId w:val="12"/>
  </w:num>
  <w:num w:numId="29">
    <w:abstractNumId w:val="3"/>
  </w:num>
  <w:num w:numId="30">
    <w:abstractNumId w:val="14"/>
  </w:num>
  <w:num w:numId="31">
    <w:abstractNumId w:val="25"/>
  </w:num>
  <w:num w:numId="32">
    <w:abstractNumId w:val="22"/>
  </w:num>
  <w:num w:numId="33">
    <w:abstractNumId w:val="30"/>
  </w:num>
  <w:num w:numId="34">
    <w:abstractNumId w:val="4"/>
  </w:num>
  <w:num w:numId="35">
    <w:abstractNumId w:val="7"/>
  </w:num>
  <w:num w:numId="36">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embedSystemFonts/>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UofA (Style Manual Australia 6th edn)&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z0vwsepdwpt20pewwts5z9eup9e2r2pd2tad&quot;&gt;Includes with no PDFs-AMW&lt;record-ids&gt;&lt;item&gt;1&lt;/item&gt;&lt;item&gt;4&lt;/item&gt;&lt;item&gt;11&lt;/item&gt;&lt;item&gt;15&lt;/item&gt;&lt;item&gt;20&lt;/item&gt;&lt;item&gt;21&lt;/item&gt;&lt;item&gt;24&lt;/item&gt;&lt;item&gt;26&lt;/item&gt;&lt;item&gt;28&lt;/item&gt;&lt;item&gt;30&lt;/item&gt;&lt;item&gt;32&lt;/item&gt;&lt;item&gt;33&lt;/item&gt;&lt;item&gt;34&lt;/item&gt;&lt;item&gt;35&lt;/item&gt;&lt;item&gt;40&lt;/item&gt;&lt;item&gt;43&lt;/item&gt;&lt;item&gt;45&lt;/item&gt;&lt;item&gt;47&lt;/item&gt;&lt;item&gt;54&lt;/item&gt;&lt;item&gt;55&lt;/item&gt;&lt;item&gt;56&lt;/item&gt;&lt;item&gt;60&lt;/item&gt;&lt;item&gt;66&lt;/item&gt;&lt;item&gt;67&lt;/item&gt;&lt;item&gt;79&lt;/item&gt;&lt;item&gt;84&lt;/item&gt;&lt;item&gt;86&lt;/item&gt;&lt;item&gt;88&lt;/item&gt;&lt;item&gt;89&lt;/item&gt;&lt;item&gt;91&lt;/item&gt;&lt;item&gt;93&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1&lt;/item&gt;&lt;item&gt;112&lt;/item&gt;&lt;item&gt;113&lt;/item&gt;&lt;item&gt;114&lt;/item&gt;&lt;item&gt;115&lt;/item&gt;&lt;item&gt;116&lt;/item&gt;&lt;item&gt;117&lt;/item&gt;&lt;item&gt;118&lt;/item&gt;&lt;item&gt;119&lt;/item&gt;&lt;item&gt;120&lt;/item&gt;&lt;item&gt;121&lt;/item&gt;&lt;/record-ids&gt;&lt;/item&gt;&lt;/Libraries&gt;"/>
  </w:docVars>
  <w:rsids>
    <w:rsidRoot w:val="00640EBD"/>
    <w:rsid w:val="000006B5"/>
    <w:rsid w:val="000009B4"/>
    <w:rsid w:val="00000B9C"/>
    <w:rsid w:val="00000BEB"/>
    <w:rsid w:val="00000C42"/>
    <w:rsid w:val="00000EAC"/>
    <w:rsid w:val="00000FA9"/>
    <w:rsid w:val="0000127D"/>
    <w:rsid w:val="000012BF"/>
    <w:rsid w:val="0000136D"/>
    <w:rsid w:val="00001462"/>
    <w:rsid w:val="0000190C"/>
    <w:rsid w:val="00001C3C"/>
    <w:rsid w:val="00001E31"/>
    <w:rsid w:val="00001F98"/>
    <w:rsid w:val="0000226A"/>
    <w:rsid w:val="0000228D"/>
    <w:rsid w:val="00002552"/>
    <w:rsid w:val="000029F2"/>
    <w:rsid w:val="00002A42"/>
    <w:rsid w:val="00003287"/>
    <w:rsid w:val="00003796"/>
    <w:rsid w:val="0000430A"/>
    <w:rsid w:val="00004696"/>
    <w:rsid w:val="00004D16"/>
    <w:rsid w:val="00005109"/>
    <w:rsid w:val="00005257"/>
    <w:rsid w:val="0000536A"/>
    <w:rsid w:val="000055D4"/>
    <w:rsid w:val="000056FA"/>
    <w:rsid w:val="00006518"/>
    <w:rsid w:val="00006627"/>
    <w:rsid w:val="00006641"/>
    <w:rsid w:val="00006961"/>
    <w:rsid w:val="000069A7"/>
    <w:rsid w:val="00006C74"/>
    <w:rsid w:val="000070F9"/>
    <w:rsid w:val="000078F6"/>
    <w:rsid w:val="00007948"/>
    <w:rsid w:val="00007A44"/>
    <w:rsid w:val="00007A4C"/>
    <w:rsid w:val="00007BE0"/>
    <w:rsid w:val="00007D1F"/>
    <w:rsid w:val="00007D81"/>
    <w:rsid w:val="00007DC0"/>
    <w:rsid w:val="000106F7"/>
    <w:rsid w:val="0001085B"/>
    <w:rsid w:val="0001088E"/>
    <w:rsid w:val="000108EE"/>
    <w:rsid w:val="000109F3"/>
    <w:rsid w:val="00010BF8"/>
    <w:rsid w:val="00010FB8"/>
    <w:rsid w:val="000111D2"/>
    <w:rsid w:val="0001135D"/>
    <w:rsid w:val="00011550"/>
    <w:rsid w:val="00011758"/>
    <w:rsid w:val="00011772"/>
    <w:rsid w:val="00012EA4"/>
    <w:rsid w:val="00012EA6"/>
    <w:rsid w:val="0001307B"/>
    <w:rsid w:val="000130D3"/>
    <w:rsid w:val="000133F9"/>
    <w:rsid w:val="000134C1"/>
    <w:rsid w:val="0001357B"/>
    <w:rsid w:val="00013791"/>
    <w:rsid w:val="0001388D"/>
    <w:rsid w:val="00013934"/>
    <w:rsid w:val="000139D1"/>
    <w:rsid w:val="000139EB"/>
    <w:rsid w:val="00013B46"/>
    <w:rsid w:val="00013FA1"/>
    <w:rsid w:val="00014736"/>
    <w:rsid w:val="00014917"/>
    <w:rsid w:val="000149C2"/>
    <w:rsid w:val="00014A66"/>
    <w:rsid w:val="00014D6D"/>
    <w:rsid w:val="00014EC1"/>
    <w:rsid w:val="00015282"/>
    <w:rsid w:val="000155E6"/>
    <w:rsid w:val="0001563F"/>
    <w:rsid w:val="000156F4"/>
    <w:rsid w:val="00015787"/>
    <w:rsid w:val="00015884"/>
    <w:rsid w:val="00015C26"/>
    <w:rsid w:val="00015E03"/>
    <w:rsid w:val="000160B3"/>
    <w:rsid w:val="00016253"/>
    <w:rsid w:val="00016333"/>
    <w:rsid w:val="0001667E"/>
    <w:rsid w:val="00016792"/>
    <w:rsid w:val="0001695D"/>
    <w:rsid w:val="00016FDF"/>
    <w:rsid w:val="000171FD"/>
    <w:rsid w:val="0001784C"/>
    <w:rsid w:val="00017B2B"/>
    <w:rsid w:val="00017D44"/>
    <w:rsid w:val="000201DA"/>
    <w:rsid w:val="000208A2"/>
    <w:rsid w:val="00020A61"/>
    <w:rsid w:val="00020C59"/>
    <w:rsid w:val="00020F15"/>
    <w:rsid w:val="00021072"/>
    <w:rsid w:val="00021FDC"/>
    <w:rsid w:val="0002230A"/>
    <w:rsid w:val="0002265C"/>
    <w:rsid w:val="00022FCD"/>
    <w:rsid w:val="000236CF"/>
    <w:rsid w:val="00023792"/>
    <w:rsid w:val="00023D32"/>
    <w:rsid w:val="0002446C"/>
    <w:rsid w:val="00024819"/>
    <w:rsid w:val="0002581D"/>
    <w:rsid w:val="00025D96"/>
    <w:rsid w:val="00025F1A"/>
    <w:rsid w:val="000266AD"/>
    <w:rsid w:val="0002695E"/>
    <w:rsid w:val="000269C1"/>
    <w:rsid w:val="00026D2F"/>
    <w:rsid w:val="00026D6A"/>
    <w:rsid w:val="00027055"/>
    <w:rsid w:val="0002707D"/>
    <w:rsid w:val="00027329"/>
    <w:rsid w:val="0002749F"/>
    <w:rsid w:val="00027611"/>
    <w:rsid w:val="00027B53"/>
    <w:rsid w:val="00027DDF"/>
    <w:rsid w:val="00027F1B"/>
    <w:rsid w:val="000303D8"/>
    <w:rsid w:val="00030C76"/>
    <w:rsid w:val="00030E6F"/>
    <w:rsid w:val="00030FB4"/>
    <w:rsid w:val="00031018"/>
    <w:rsid w:val="000311A8"/>
    <w:rsid w:val="00031330"/>
    <w:rsid w:val="0003136E"/>
    <w:rsid w:val="000313F3"/>
    <w:rsid w:val="000314E2"/>
    <w:rsid w:val="00031922"/>
    <w:rsid w:val="00031A2C"/>
    <w:rsid w:val="000321D9"/>
    <w:rsid w:val="0003260D"/>
    <w:rsid w:val="00032EAC"/>
    <w:rsid w:val="0003386F"/>
    <w:rsid w:val="00033E27"/>
    <w:rsid w:val="000340BA"/>
    <w:rsid w:val="00034AE9"/>
    <w:rsid w:val="00034CFE"/>
    <w:rsid w:val="0003587F"/>
    <w:rsid w:val="0003595E"/>
    <w:rsid w:val="00035FF2"/>
    <w:rsid w:val="00036221"/>
    <w:rsid w:val="0003639B"/>
    <w:rsid w:val="0003669F"/>
    <w:rsid w:val="00036778"/>
    <w:rsid w:val="000368B9"/>
    <w:rsid w:val="00036954"/>
    <w:rsid w:val="00036F0B"/>
    <w:rsid w:val="000373D6"/>
    <w:rsid w:val="000373E8"/>
    <w:rsid w:val="00037729"/>
    <w:rsid w:val="00037B2B"/>
    <w:rsid w:val="00040305"/>
    <w:rsid w:val="000406B4"/>
    <w:rsid w:val="00040D41"/>
    <w:rsid w:val="00040DD2"/>
    <w:rsid w:val="0004109F"/>
    <w:rsid w:val="0004131C"/>
    <w:rsid w:val="0004165A"/>
    <w:rsid w:val="00041867"/>
    <w:rsid w:val="00041ADB"/>
    <w:rsid w:val="00041B23"/>
    <w:rsid w:val="00041C6F"/>
    <w:rsid w:val="00041F2B"/>
    <w:rsid w:val="000424B4"/>
    <w:rsid w:val="000427F8"/>
    <w:rsid w:val="00043293"/>
    <w:rsid w:val="00043C04"/>
    <w:rsid w:val="0004468B"/>
    <w:rsid w:val="00044B7A"/>
    <w:rsid w:val="0004536B"/>
    <w:rsid w:val="00045C50"/>
    <w:rsid w:val="00045EDF"/>
    <w:rsid w:val="0004642F"/>
    <w:rsid w:val="000464C3"/>
    <w:rsid w:val="00046E1D"/>
    <w:rsid w:val="000473DD"/>
    <w:rsid w:val="00050356"/>
    <w:rsid w:val="000508A4"/>
    <w:rsid w:val="00050DAA"/>
    <w:rsid w:val="00051060"/>
    <w:rsid w:val="00051085"/>
    <w:rsid w:val="000512A0"/>
    <w:rsid w:val="0005156D"/>
    <w:rsid w:val="00051666"/>
    <w:rsid w:val="00051A96"/>
    <w:rsid w:val="0005208E"/>
    <w:rsid w:val="0005232D"/>
    <w:rsid w:val="00052434"/>
    <w:rsid w:val="0005272E"/>
    <w:rsid w:val="00052741"/>
    <w:rsid w:val="0005281F"/>
    <w:rsid w:val="0005287C"/>
    <w:rsid w:val="00052935"/>
    <w:rsid w:val="00052E3F"/>
    <w:rsid w:val="00052FBC"/>
    <w:rsid w:val="00053A89"/>
    <w:rsid w:val="00054BBC"/>
    <w:rsid w:val="00054C69"/>
    <w:rsid w:val="000554AA"/>
    <w:rsid w:val="00055E08"/>
    <w:rsid w:val="00056684"/>
    <w:rsid w:val="00056BE2"/>
    <w:rsid w:val="00056DC4"/>
    <w:rsid w:val="00056ED1"/>
    <w:rsid w:val="00057834"/>
    <w:rsid w:val="00057FD3"/>
    <w:rsid w:val="00060875"/>
    <w:rsid w:val="000608FD"/>
    <w:rsid w:val="000609A2"/>
    <w:rsid w:val="00060B82"/>
    <w:rsid w:val="00060E4F"/>
    <w:rsid w:val="00060E70"/>
    <w:rsid w:val="000613E7"/>
    <w:rsid w:val="00061A1C"/>
    <w:rsid w:val="00061AF5"/>
    <w:rsid w:val="00061DB6"/>
    <w:rsid w:val="00062064"/>
    <w:rsid w:val="000621AB"/>
    <w:rsid w:val="000625F7"/>
    <w:rsid w:val="00062F2F"/>
    <w:rsid w:val="0006306E"/>
    <w:rsid w:val="00063167"/>
    <w:rsid w:val="00063311"/>
    <w:rsid w:val="0006373A"/>
    <w:rsid w:val="0006384B"/>
    <w:rsid w:val="00063A3A"/>
    <w:rsid w:val="00063AC3"/>
    <w:rsid w:val="00063C88"/>
    <w:rsid w:val="00063CC4"/>
    <w:rsid w:val="00063F44"/>
    <w:rsid w:val="00063FE3"/>
    <w:rsid w:val="0006406E"/>
    <w:rsid w:val="0006420B"/>
    <w:rsid w:val="0006422B"/>
    <w:rsid w:val="000648C6"/>
    <w:rsid w:val="000650CB"/>
    <w:rsid w:val="0006531D"/>
    <w:rsid w:val="00065CD5"/>
    <w:rsid w:val="00065DD7"/>
    <w:rsid w:val="00066ADB"/>
    <w:rsid w:val="00066CD5"/>
    <w:rsid w:val="00066F5D"/>
    <w:rsid w:val="0006722A"/>
    <w:rsid w:val="00067BF6"/>
    <w:rsid w:val="00067DAF"/>
    <w:rsid w:val="00067DB3"/>
    <w:rsid w:val="0007001A"/>
    <w:rsid w:val="00070B84"/>
    <w:rsid w:val="000715CB"/>
    <w:rsid w:val="00071963"/>
    <w:rsid w:val="00071B67"/>
    <w:rsid w:val="00071BA0"/>
    <w:rsid w:val="00072199"/>
    <w:rsid w:val="00072426"/>
    <w:rsid w:val="0007284B"/>
    <w:rsid w:val="00072A22"/>
    <w:rsid w:val="00072DC0"/>
    <w:rsid w:val="00072E7D"/>
    <w:rsid w:val="00073235"/>
    <w:rsid w:val="00073267"/>
    <w:rsid w:val="00073339"/>
    <w:rsid w:val="00073376"/>
    <w:rsid w:val="00073636"/>
    <w:rsid w:val="0007379A"/>
    <w:rsid w:val="00073882"/>
    <w:rsid w:val="000739E5"/>
    <w:rsid w:val="00073A58"/>
    <w:rsid w:val="00073A8D"/>
    <w:rsid w:val="00073EC5"/>
    <w:rsid w:val="00074ABF"/>
    <w:rsid w:val="00074F92"/>
    <w:rsid w:val="0007516A"/>
    <w:rsid w:val="00075A7C"/>
    <w:rsid w:val="00075C24"/>
    <w:rsid w:val="00076029"/>
    <w:rsid w:val="00076607"/>
    <w:rsid w:val="0007662C"/>
    <w:rsid w:val="000768BB"/>
    <w:rsid w:val="00076A45"/>
    <w:rsid w:val="00076A70"/>
    <w:rsid w:val="00076F32"/>
    <w:rsid w:val="00077247"/>
    <w:rsid w:val="000774DB"/>
    <w:rsid w:val="00077880"/>
    <w:rsid w:val="0008033F"/>
    <w:rsid w:val="00080706"/>
    <w:rsid w:val="00080986"/>
    <w:rsid w:val="000809D5"/>
    <w:rsid w:val="0008168D"/>
    <w:rsid w:val="000821BD"/>
    <w:rsid w:val="000822AF"/>
    <w:rsid w:val="000822EA"/>
    <w:rsid w:val="0008260B"/>
    <w:rsid w:val="0008261B"/>
    <w:rsid w:val="00082712"/>
    <w:rsid w:val="00082977"/>
    <w:rsid w:val="00082C5A"/>
    <w:rsid w:val="00082CDD"/>
    <w:rsid w:val="00082E66"/>
    <w:rsid w:val="00082EC5"/>
    <w:rsid w:val="00083498"/>
    <w:rsid w:val="0008367E"/>
    <w:rsid w:val="000838C2"/>
    <w:rsid w:val="0008437A"/>
    <w:rsid w:val="00084CE9"/>
    <w:rsid w:val="00084F83"/>
    <w:rsid w:val="00085282"/>
    <w:rsid w:val="00085400"/>
    <w:rsid w:val="0008579C"/>
    <w:rsid w:val="00085883"/>
    <w:rsid w:val="00085981"/>
    <w:rsid w:val="00085C31"/>
    <w:rsid w:val="0008612D"/>
    <w:rsid w:val="000861FA"/>
    <w:rsid w:val="00086491"/>
    <w:rsid w:val="000868BD"/>
    <w:rsid w:val="000869F6"/>
    <w:rsid w:val="00086D44"/>
    <w:rsid w:val="00086DB8"/>
    <w:rsid w:val="00087F4E"/>
    <w:rsid w:val="00090330"/>
    <w:rsid w:val="000903F9"/>
    <w:rsid w:val="000905F4"/>
    <w:rsid w:val="00090904"/>
    <w:rsid w:val="00090A25"/>
    <w:rsid w:val="00090AA3"/>
    <w:rsid w:val="00090BD2"/>
    <w:rsid w:val="00090DDE"/>
    <w:rsid w:val="00090EF8"/>
    <w:rsid w:val="00091296"/>
    <w:rsid w:val="00091667"/>
    <w:rsid w:val="000917C7"/>
    <w:rsid w:val="00091989"/>
    <w:rsid w:val="00091A2F"/>
    <w:rsid w:val="00091BA3"/>
    <w:rsid w:val="00092116"/>
    <w:rsid w:val="00092A35"/>
    <w:rsid w:val="00092CFA"/>
    <w:rsid w:val="000933E6"/>
    <w:rsid w:val="000937B3"/>
    <w:rsid w:val="0009386C"/>
    <w:rsid w:val="000939B9"/>
    <w:rsid w:val="00093C9A"/>
    <w:rsid w:val="00093CE9"/>
    <w:rsid w:val="00093DC4"/>
    <w:rsid w:val="00093EE9"/>
    <w:rsid w:val="00094977"/>
    <w:rsid w:val="00094DBD"/>
    <w:rsid w:val="00095345"/>
    <w:rsid w:val="00096AAE"/>
    <w:rsid w:val="00096B92"/>
    <w:rsid w:val="00096BD5"/>
    <w:rsid w:val="00096EBE"/>
    <w:rsid w:val="00097820"/>
    <w:rsid w:val="00097AAC"/>
    <w:rsid w:val="000A0146"/>
    <w:rsid w:val="000A051D"/>
    <w:rsid w:val="000A0790"/>
    <w:rsid w:val="000A07CB"/>
    <w:rsid w:val="000A0C9C"/>
    <w:rsid w:val="000A0D18"/>
    <w:rsid w:val="000A0F87"/>
    <w:rsid w:val="000A1298"/>
    <w:rsid w:val="000A13F7"/>
    <w:rsid w:val="000A1508"/>
    <w:rsid w:val="000A1599"/>
    <w:rsid w:val="000A1D85"/>
    <w:rsid w:val="000A2278"/>
    <w:rsid w:val="000A2445"/>
    <w:rsid w:val="000A272A"/>
    <w:rsid w:val="000A290B"/>
    <w:rsid w:val="000A2C9E"/>
    <w:rsid w:val="000A375A"/>
    <w:rsid w:val="000A39F4"/>
    <w:rsid w:val="000A3AAF"/>
    <w:rsid w:val="000A3E60"/>
    <w:rsid w:val="000A3F8D"/>
    <w:rsid w:val="000A4002"/>
    <w:rsid w:val="000A4DF3"/>
    <w:rsid w:val="000A4F21"/>
    <w:rsid w:val="000A52DB"/>
    <w:rsid w:val="000A546E"/>
    <w:rsid w:val="000A54AD"/>
    <w:rsid w:val="000A54F1"/>
    <w:rsid w:val="000A55B4"/>
    <w:rsid w:val="000A5622"/>
    <w:rsid w:val="000A576A"/>
    <w:rsid w:val="000A5CE8"/>
    <w:rsid w:val="000A5DB5"/>
    <w:rsid w:val="000A612B"/>
    <w:rsid w:val="000A68D7"/>
    <w:rsid w:val="000A6A87"/>
    <w:rsid w:val="000A6C01"/>
    <w:rsid w:val="000A7356"/>
    <w:rsid w:val="000A7398"/>
    <w:rsid w:val="000A77C8"/>
    <w:rsid w:val="000A7943"/>
    <w:rsid w:val="000A7D0A"/>
    <w:rsid w:val="000A7EB8"/>
    <w:rsid w:val="000B0364"/>
    <w:rsid w:val="000B06C4"/>
    <w:rsid w:val="000B0993"/>
    <w:rsid w:val="000B0F0F"/>
    <w:rsid w:val="000B1434"/>
    <w:rsid w:val="000B164F"/>
    <w:rsid w:val="000B18E3"/>
    <w:rsid w:val="000B1F56"/>
    <w:rsid w:val="000B21CB"/>
    <w:rsid w:val="000B23EA"/>
    <w:rsid w:val="000B2675"/>
    <w:rsid w:val="000B274D"/>
    <w:rsid w:val="000B2DCA"/>
    <w:rsid w:val="000B2E4B"/>
    <w:rsid w:val="000B30A2"/>
    <w:rsid w:val="000B3610"/>
    <w:rsid w:val="000B3CA5"/>
    <w:rsid w:val="000B4253"/>
    <w:rsid w:val="000B4A87"/>
    <w:rsid w:val="000B4BDC"/>
    <w:rsid w:val="000B4CAD"/>
    <w:rsid w:val="000B508C"/>
    <w:rsid w:val="000B525C"/>
    <w:rsid w:val="000B5C7B"/>
    <w:rsid w:val="000B5D81"/>
    <w:rsid w:val="000B63E1"/>
    <w:rsid w:val="000B688F"/>
    <w:rsid w:val="000B7A2F"/>
    <w:rsid w:val="000B7B78"/>
    <w:rsid w:val="000B7DFE"/>
    <w:rsid w:val="000B7EE2"/>
    <w:rsid w:val="000B7EE7"/>
    <w:rsid w:val="000B7F5D"/>
    <w:rsid w:val="000C0364"/>
    <w:rsid w:val="000C0493"/>
    <w:rsid w:val="000C04C1"/>
    <w:rsid w:val="000C0684"/>
    <w:rsid w:val="000C10BA"/>
    <w:rsid w:val="000C14EF"/>
    <w:rsid w:val="000C1599"/>
    <w:rsid w:val="000C1714"/>
    <w:rsid w:val="000C1747"/>
    <w:rsid w:val="000C1AFE"/>
    <w:rsid w:val="000C226B"/>
    <w:rsid w:val="000C32A4"/>
    <w:rsid w:val="000C33A5"/>
    <w:rsid w:val="000C3CDE"/>
    <w:rsid w:val="000C4137"/>
    <w:rsid w:val="000C4404"/>
    <w:rsid w:val="000C44CA"/>
    <w:rsid w:val="000C44D1"/>
    <w:rsid w:val="000C482B"/>
    <w:rsid w:val="000C53B8"/>
    <w:rsid w:val="000C5752"/>
    <w:rsid w:val="000C5A70"/>
    <w:rsid w:val="000C5D0A"/>
    <w:rsid w:val="000C5F36"/>
    <w:rsid w:val="000C61C5"/>
    <w:rsid w:val="000C651F"/>
    <w:rsid w:val="000C6D10"/>
    <w:rsid w:val="000C769F"/>
    <w:rsid w:val="000C7C44"/>
    <w:rsid w:val="000C7F6A"/>
    <w:rsid w:val="000D0128"/>
    <w:rsid w:val="000D04F4"/>
    <w:rsid w:val="000D0784"/>
    <w:rsid w:val="000D1300"/>
    <w:rsid w:val="000D13CD"/>
    <w:rsid w:val="000D180A"/>
    <w:rsid w:val="000D186C"/>
    <w:rsid w:val="000D18A2"/>
    <w:rsid w:val="000D1C4C"/>
    <w:rsid w:val="000D2D78"/>
    <w:rsid w:val="000D2D89"/>
    <w:rsid w:val="000D2E96"/>
    <w:rsid w:val="000D2EB6"/>
    <w:rsid w:val="000D301B"/>
    <w:rsid w:val="000D3024"/>
    <w:rsid w:val="000D328F"/>
    <w:rsid w:val="000D3317"/>
    <w:rsid w:val="000D33CE"/>
    <w:rsid w:val="000D34EB"/>
    <w:rsid w:val="000D3AD0"/>
    <w:rsid w:val="000D3B89"/>
    <w:rsid w:val="000D3E93"/>
    <w:rsid w:val="000D4203"/>
    <w:rsid w:val="000D4324"/>
    <w:rsid w:val="000D4515"/>
    <w:rsid w:val="000D4AB6"/>
    <w:rsid w:val="000D4D6A"/>
    <w:rsid w:val="000D4DFE"/>
    <w:rsid w:val="000D4F8C"/>
    <w:rsid w:val="000D4FCE"/>
    <w:rsid w:val="000D50CD"/>
    <w:rsid w:val="000D5A53"/>
    <w:rsid w:val="000D5AF8"/>
    <w:rsid w:val="000D60AA"/>
    <w:rsid w:val="000D63E0"/>
    <w:rsid w:val="000D6684"/>
    <w:rsid w:val="000D6840"/>
    <w:rsid w:val="000D708E"/>
    <w:rsid w:val="000E02D8"/>
    <w:rsid w:val="000E073C"/>
    <w:rsid w:val="000E09A4"/>
    <w:rsid w:val="000E0B6A"/>
    <w:rsid w:val="000E0D09"/>
    <w:rsid w:val="000E125E"/>
    <w:rsid w:val="000E1439"/>
    <w:rsid w:val="000E145B"/>
    <w:rsid w:val="000E1520"/>
    <w:rsid w:val="000E160C"/>
    <w:rsid w:val="000E1C9D"/>
    <w:rsid w:val="000E1D12"/>
    <w:rsid w:val="000E21A2"/>
    <w:rsid w:val="000E2864"/>
    <w:rsid w:val="000E2B85"/>
    <w:rsid w:val="000E2DF0"/>
    <w:rsid w:val="000E362B"/>
    <w:rsid w:val="000E398C"/>
    <w:rsid w:val="000E3D82"/>
    <w:rsid w:val="000E455E"/>
    <w:rsid w:val="000E4D70"/>
    <w:rsid w:val="000E50DC"/>
    <w:rsid w:val="000E551B"/>
    <w:rsid w:val="000E573D"/>
    <w:rsid w:val="000E5E5C"/>
    <w:rsid w:val="000E5EAC"/>
    <w:rsid w:val="000E6179"/>
    <w:rsid w:val="000E63DD"/>
    <w:rsid w:val="000E6413"/>
    <w:rsid w:val="000E65CE"/>
    <w:rsid w:val="000E6784"/>
    <w:rsid w:val="000E6891"/>
    <w:rsid w:val="000E6A1B"/>
    <w:rsid w:val="000E6C55"/>
    <w:rsid w:val="000E7851"/>
    <w:rsid w:val="000E7969"/>
    <w:rsid w:val="000E7A82"/>
    <w:rsid w:val="000E7AC3"/>
    <w:rsid w:val="000E7B84"/>
    <w:rsid w:val="000E7E95"/>
    <w:rsid w:val="000E7EE5"/>
    <w:rsid w:val="000F0975"/>
    <w:rsid w:val="000F0C54"/>
    <w:rsid w:val="000F0D08"/>
    <w:rsid w:val="000F1422"/>
    <w:rsid w:val="000F1FA8"/>
    <w:rsid w:val="000F204E"/>
    <w:rsid w:val="000F219E"/>
    <w:rsid w:val="000F236B"/>
    <w:rsid w:val="000F285B"/>
    <w:rsid w:val="000F2D47"/>
    <w:rsid w:val="000F3B50"/>
    <w:rsid w:val="000F4711"/>
    <w:rsid w:val="000F4CB0"/>
    <w:rsid w:val="000F508A"/>
    <w:rsid w:val="000F50C5"/>
    <w:rsid w:val="000F59CF"/>
    <w:rsid w:val="000F5FC9"/>
    <w:rsid w:val="000F6210"/>
    <w:rsid w:val="000F640C"/>
    <w:rsid w:val="000F66F8"/>
    <w:rsid w:val="000F6918"/>
    <w:rsid w:val="000F6D1C"/>
    <w:rsid w:val="000F7361"/>
    <w:rsid w:val="000F7530"/>
    <w:rsid w:val="000F76EF"/>
    <w:rsid w:val="000F7A58"/>
    <w:rsid w:val="000F7C32"/>
    <w:rsid w:val="000F7FD2"/>
    <w:rsid w:val="00100186"/>
    <w:rsid w:val="001001F0"/>
    <w:rsid w:val="00100281"/>
    <w:rsid w:val="00100570"/>
    <w:rsid w:val="001005AA"/>
    <w:rsid w:val="0010071F"/>
    <w:rsid w:val="00100FAA"/>
    <w:rsid w:val="0010116D"/>
    <w:rsid w:val="00101196"/>
    <w:rsid w:val="00101405"/>
    <w:rsid w:val="001014DC"/>
    <w:rsid w:val="00101616"/>
    <w:rsid w:val="001019F6"/>
    <w:rsid w:val="00101DAF"/>
    <w:rsid w:val="00101EA6"/>
    <w:rsid w:val="001024C0"/>
    <w:rsid w:val="001024FE"/>
    <w:rsid w:val="0010271E"/>
    <w:rsid w:val="00102752"/>
    <w:rsid w:val="00102ACE"/>
    <w:rsid w:val="00102C26"/>
    <w:rsid w:val="00103282"/>
    <w:rsid w:val="00103470"/>
    <w:rsid w:val="0010377A"/>
    <w:rsid w:val="00103FE2"/>
    <w:rsid w:val="0010407C"/>
    <w:rsid w:val="001042DB"/>
    <w:rsid w:val="001047AE"/>
    <w:rsid w:val="001053AD"/>
    <w:rsid w:val="00105414"/>
    <w:rsid w:val="001059C5"/>
    <w:rsid w:val="0010618E"/>
    <w:rsid w:val="0010646E"/>
    <w:rsid w:val="001064DF"/>
    <w:rsid w:val="001064E2"/>
    <w:rsid w:val="00106705"/>
    <w:rsid w:val="001069D1"/>
    <w:rsid w:val="00106CAC"/>
    <w:rsid w:val="00106D47"/>
    <w:rsid w:val="00106D5A"/>
    <w:rsid w:val="00107317"/>
    <w:rsid w:val="00107E45"/>
    <w:rsid w:val="00107FB6"/>
    <w:rsid w:val="001106E0"/>
    <w:rsid w:val="00110763"/>
    <w:rsid w:val="0011097F"/>
    <w:rsid w:val="00110A0A"/>
    <w:rsid w:val="00110A66"/>
    <w:rsid w:val="0011120F"/>
    <w:rsid w:val="00111444"/>
    <w:rsid w:val="00111A9D"/>
    <w:rsid w:val="00111FD8"/>
    <w:rsid w:val="001131C7"/>
    <w:rsid w:val="001134B2"/>
    <w:rsid w:val="001140D8"/>
    <w:rsid w:val="00114341"/>
    <w:rsid w:val="00114624"/>
    <w:rsid w:val="00114A80"/>
    <w:rsid w:val="00114A88"/>
    <w:rsid w:val="001152C7"/>
    <w:rsid w:val="0011532F"/>
    <w:rsid w:val="001158F0"/>
    <w:rsid w:val="00115AFF"/>
    <w:rsid w:val="00116F9A"/>
    <w:rsid w:val="00116FF7"/>
    <w:rsid w:val="00117291"/>
    <w:rsid w:val="00117514"/>
    <w:rsid w:val="001176B4"/>
    <w:rsid w:val="001176E9"/>
    <w:rsid w:val="001178D8"/>
    <w:rsid w:val="00117C27"/>
    <w:rsid w:val="00117D72"/>
    <w:rsid w:val="001203AE"/>
    <w:rsid w:val="0012055D"/>
    <w:rsid w:val="00120EA6"/>
    <w:rsid w:val="00120F23"/>
    <w:rsid w:val="001214B2"/>
    <w:rsid w:val="001214FB"/>
    <w:rsid w:val="001217CB"/>
    <w:rsid w:val="00121E37"/>
    <w:rsid w:val="00122253"/>
    <w:rsid w:val="00122BFE"/>
    <w:rsid w:val="0012306C"/>
    <w:rsid w:val="00123707"/>
    <w:rsid w:val="00123994"/>
    <w:rsid w:val="00124269"/>
    <w:rsid w:val="001246F3"/>
    <w:rsid w:val="00124B78"/>
    <w:rsid w:val="00124D5D"/>
    <w:rsid w:val="00124EA4"/>
    <w:rsid w:val="00125441"/>
    <w:rsid w:val="00125879"/>
    <w:rsid w:val="00125C85"/>
    <w:rsid w:val="00125D53"/>
    <w:rsid w:val="00125FE7"/>
    <w:rsid w:val="0012607A"/>
    <w:rsid w:val="00126943"/>
    <w:rsid w:val="00126DE3"/>
    <w:rsid w:val="00126EFA"/>
    <w:rsid w:val="00127363"/>
    <w:rsid w:val="001273C4"/>
    <w:rsid w:val="001274D7"/>
    <w:rsid w:val="00127CA9"/>
    <w:rsid w:val="001302CC"/>
    <w:rsid w:val="0013042C"/>
    <w:rsid w:val="00130648"/>
    <w:rsid w:val="00130AD5"/>
    <w:rsid w:val="00130D24"/>
    <w:rsid w:val="0013111A"/>
    <w:rsid w:val="00131140"/>
    <w:rsid w:val="00131895"/>
    <w:rsid w:val="001320D4"/>
    <w:rsid w:val="001324EC"/>
    <w:rsid w:val="00133128"/>
    <w:rsid w:val="001333E5"/>
    <w:rsid w:val="00133825"/>
    <w:rsid w:val="00133A8D"/>
    <w:rsid w:val="00133EA3"/>
    <w:rsid w:val="0013413A"/>
    <w:rsid w:val="001341F5"/>
    <w:rsid w:val="0013468D"/>
    <w:rsid w:val="001346B4"/>
    <w:rsid w:val="001349E0"/>
    <w:rsid w:val="001353E6"/>
    <w:rsid w:val="00135585"/>
    <w:rsid w:val="001358F1"/>
    <w:rsid w:val="00135E02"/>
    <w:rsid w:val="0013708B"/>
    <w:rsid w:val="001372D7"/>
    <w:rsid w:val="00137928"/>
    <w:rsid w:val="00137B1B"/>
    <w:rsid w:val="00137CA8"/>
    <w:rsid w:val="00137F23"/>
    <w:rsid w:val="00140185"/>
    <w:rsid w:val="00140203"/>
    <w:rsid w:val="00140573"/>
    <w:rsid w:val="00140654"/>
    <w:rsid w:val="00140C12"/>
    <w:rsid w:val="00140D15"/>
    <w:rsid w:val="00140E14"/>
    <w:rsid w:val="00140EEE"/>
    <w:rsid w:val="00140F50"/>
    <w:rsid w:val="00141210"/>
    <w:rsid w:val="001412E5"/>
    <w:rsid w:val="001415B8"/>
    <w:rsid w:val="0014188E"/>
    <w:rsid w:val="00141982"/>
    <w:rsid w:val="00141D60"/>
    <w:rsid w:val="0014200D"/>
    <w:rsid w:val="00142285"/>
    <w:rsid w:val="0014254D"/>
    <w:rsid w:val="001428F3"/>
    <w:rsid w:val="001429FA"/>
    <w:rsid w:val="00142B9D"/>
    <w:rsid w:val="00142BE7"/>
    <w:rsid w:val="00142FAB"/>
    <w:rsid w:val="00143063"/>
    <w:rsid w:val="001431A4"/>
    <w:rsid w:val="001433BE"/>
    <w:rsid w:val="00143A51"/>
    <w:rsid w:val="00143A58"/>
    <w:rsid w:val="00143DB1"/>
    <w:rsid w:val="00143DDC"/>
    <w:rsid w:val="001442F1"/>
    <w:rsid w:val="0014499A"/>
    <w:rsid w:val="00144A0B"/>
    <w:rsid w:val="00144A3F"/>
    <w:rsid w:val="00144D58"/>
    <w:rsid w:val="0014524F"/>
    <w:rsid w:val="00145259"/>
    <w:rsid w:val="00145798"/>
    <w:rsid w:val="001458BC"/>
    <w:rsid w:val="00145A91"/>
    <w:rsid w:val="00145AE0"/>
    <w:rsid w:val="00145D7B"/>
    <w:rsid w:val="001465EA"/>
    <w:rsid w:val="00146708"/>
    <w:rsid w:val="00146BFB"/>
    <w:rsid w:val="00146C81"/>
    <w:rsid w:val="00146CD6"/>
    <w:rsid w:val="0014710C"/>
    <w:rsid w:val="0014750D"/>
    <w:rsid w:val="001479B1"/>
    <w:rsid w:val="00147BE1"/>
    <w:rsid w:val="00147BFF"/>
    <w:rsid w:val="00147FB2"/>
    <w:rsid w:val="00150300"/>
    <w:rsid w:val="0015033A"/>
    <w:rsid w:val="001503B1"/>
    <w:rsid w:val="00150648"/>
    <w:rsid w:val="00150675"/>
    <w:rsid w:val="001513D6"/>
    <w:rsid w:val="00151ABF"/>
    <w:rsid w:val="00151D89"/>
    <w:rsid w:val="00152100"/>
    <w:rsid w:val="001525DB"/>
    <w:rsid w:val="001530D6"/>
    <w:rsid w:val="001534D0"/>
    <w:rsid w:val="00153514"/>
    <w:rsid w:val="00153BBF"/>
    <w:rsid w:val="00153C4D"/>
    <w:rsid w:val="00153CAC"/>
    <w:rsid w:val="00153FD2"/>
    <w:rsid w:val="001544FF"/>
    <w:rsid w:val="00154913"/>
    <w:rsid w:val="00154B49"/>
    <w:rsid w:val="00154ECF"/>
    <w:rsid w:val="001550E8"/>
    <w:rsid w:val="00155135"/>
    <w:rsid w:val="001555D6"/>
    <w:rsid w:val="00155C9E"/>
    <w:rsid w:val="00156859"/>
    <w:rsid w:val="0015692D"/>
    <w:rsid w:val="00156D16"/>
    <w:rsid w:val="0015712D"/>
    <w:rsid w:val="00157A14"/>
    <w:rsid w:val="00157B14"/>
    <w:rsid w:val="00157BEF"/>
    <w:rsid w:val="00157DCC"/>
    <w:rsid w:val="0016008C"/>
    <w:rsid w:val="001603FF"/>
    <w:rsid w:val="00160452"/>
    <w:rsid w:val="00160761"/>
    <w:rsid w:val="00160B6E"/>
    <w:rsid w:val="00160D13"/>
    <w:rsid w:val="00160E43"/>
    <w:rsid w:val="00161324"/>
    <w:rsid w:val="00161B4A"/>
    <w:rsid w:val="00161B8B"/>
    <w:rsid w:val="00162196"/>
    <w:rsid w:val="0016230E"/>
    <w:rsid w:val="0016247E"/>
    <w:rsid w:val="001624A7"/>
    <w:rsid w:val="00162928"/>
    <w:rsid w:val="00162B88"/>
    <w:rsid w:val="0016314A"/>
    <w:rsid w:val="001635CD"/>
    <w:rsid w:val="00163F13"/>
    <w:rsid w:val="001641E7"/>
    <w:rsid w:val="001645B3"/>
    <w:rsid w:val="001647C1"/>
    <w:rsid w:val="00164EDF"/>
    <w:rsid w:val="00165002"/>
    <w:rsid w:val="001650B3"/>
    <w:rsid w:val="001654F6"/>
    <w:rsid w:val="00165813"/>
    <w:rsid w:val="00165BF1"/>
    <w:rsid w:val="0016686F"/>
    <w:rsid w:val="00166B64"/>
    <w:rsid w:val="00166EC0"/>
    <w:rsid w:val="001671CA"/>
    <w:rsid w:val="00167B2A"/>
    <w:rsid w:val="00167E78"/>
    <w:rsid w:val="001702C4"/>
    <w:rsid w:val="001705B7"/>
    <w:rsid w:val="00170811"/>
    <w:rsid w:val="0017093A"/>
    <w:rsid w:val="00170A32"/>
    <w:rsid w:val="00170CD1"/>
    <w:rsid w:val="00170CEB"/>
    <w:rsid w:val="00171806"/>
    <w:rsid w:val="001719B3"/>
    <w:rsid w:val="00171A53"/>
    <w:rsid w:val="00171B8C"/>
    <w:rsid w:val="00171CFA"/>
    <w:rsid w:val="00171FC7"/>
    <w:rsid w:val="001728A5"/>
    <w:rsid w:val="00172D3B"/>
    <w:rsid w:val="00172FA1"/>
    <w:rsid w:val="00173048"/>
    <w:rsid w:val="0017367D"/>
    <w:rsid w:val="00174536"/>
    <w:rsid w:val="00174A82"/>
    <w:rsid w:val="00174C1E"/>
    <w:rsid w:val="00174CBB"/>
    <w:rsid w:val="00174F88"/>
    <w:rsid w:val="00175429"/>
    <w:rsid w:val="001755CA"/>
    <w:rsid w:val="00175691"/>
    <w:rsid w:val="00175AFF"/>
    <w:rsid w:val="00176377"/>
    <w:rsid w:val="00176716"/>
    <w:rsid w:val="0017680D"/>
    <w:rsid w:val="001769AB"/>
    <w:rsid w:val="00176BA6"/>
    <w:rsid w:val="00176C84"/>
    <w:rsid w:val="00177987"/>
    <w:rsid w:val="00177A89"/>
    <w:rsid w:val="00177BE4"/>
    <w:rsid w:val="00177F02"/>
    <w:rsid w:val="00177FF7"/>
    <w:rsid w:val="00180295"/>
    <w:rsid w:val="00180A95"/>
    <w:rsid w:val="001810C7"/>
    <w:rsid w:val="001814EC"/>
    <w:rsid w:val="00181942"/>
    <w:rsid w:val="00181AB2"/>
    <w:rsid w:val="00181ADE"/>
    <w:rsid w:val="00181B0D"/>
    <w:rsid w:val="00181B39"/>
    <w:rsid w:val="001822C4"/>
    <w:rsid w:val="0018236D"/>
    <w:rsid w:val="00182C18"/>
    <w:rsid w:val="00182D1F"/>
    <w:rsid w:val="00182ED0"/>
    <w:rsid w:val="00182F26"/>
    <w:rsid w:val="0018308E"/>
    <w:rsid w:val="0018337A"/>
    <w:rsid w:val="00183A45"/>
    <w:rsid w:val="00183B2F"/>
    <w:rsid w:val="00183E4D"/>
    <w:rsid w:val="00183FF4"/>
    <w:rsid w:val="00184148"/>
    <w:rsid w:val="0018480C"/>
    <w:rsid w:val="001850C0"/>
    <w:rsid w:val="00185497"/>
    <w:rsid w:val="001855A6"/>
    <w:rsid w:val="00185A14"/>
    <w:rsid w:val="00185AAE"/>
    <w:rsid w:val="00185DC1"/>
    <w:rsid w:val="00185E19"/>
    <w:rsid w:val="00186246"/>
    <w:rsid w:val="001866BF"/>
    <w:rsid w:val="00186A92"/>
    <w:rsid w:val="00186AA4"/>
    <w:rsid w:val="00186C9F"/>
    <w:rsid w:val="00187020"/>
    <w:rsid w:val="001870D1"/>
    <w:rsid w:val="00187CF5"/>
    <w:rsid w:val="00190B86"/>
    <w:rsid w:val="00190D6F"/>
    <w:rsid w:val="00190E47"/>
    <w:rsid w:val="00190E57"/>
    <w:rsid w:val="00191577"/>
    <w:rsid w:val="00192243"/>
    <w:rsid w:val="001926D6"/>
    <w:rsid w:val="00192AA4"/>
    <w:rsid w:val="00192B76"/>
    <w:rsid w:val="00192F46"/>
    <w:rsid w:val="001930AF"/>
    <w:rsid w:val="001932BF"/>
    <w:rsid w:val="001932D9"/>
    <w:rsid w:val="001937F6"/>
    <w:rsid w:val="00193AB1"/>
    <w:rsid w:val="00193B87"/>
    <w:rsid w:val="00193DE2"/>
    <w:rsid w:val="00193E3B"/>
    <w:rsid w:val="00193EC8"/>
    <w:rsid w:val="00194025"/>
    <w:rsid w:val="001941FC"/>
    <w:rsid w:val="0019554C"/>
    <w:rsid w:val="00195BF9"/>
    <w:rsid w:val="00196EED"/>
    <w:rsid w:val="00196F63"/>
    <w:rsid w:val="00196FD6"/>
    <w:rsid w:val="001A0148"/>
    <w:rsid w:val="001A0A87"/>
    <w:rsid w:val="001A10AC"/>
    <w:rsid w:val="001A12A4"/>
    <w:rsid w:val="001A1623"/>
    <w:rsid w:val="001A1860"/>
    <w:rsid w:val="001A1C91"/>
    <w:rsid w:val="001A1E0A"/>
    <w:rsid w:val="001A2B6F"/>
    <w:rsid w:val="001A2CC1"/>
    <w:rsid w:val="001A3113"/>
    <w:rsid w:val="001A31BB"/>
    <w:rsid w:val="001A3319"/>
    <w:rsid w:val="001A3499"/>
    <w:rsid w:val="001A361C"/>
    <w:rsid w:val="001A41E3"/>
    <w:rsid w:val="001A43AC"/>
    <w:rsid w:val="001A4BD8"/>
    <w:rsid w:val="001A4FAC"/>
    <w:rsid w:val="001A5058"/>
    <w:rsid w:val="001A55A1"/>
    <w:rsid w:val="001A57FC"/>
    <w:rsid w:val="001A589C"/>
    <w:rsid w:val="001A5972"/>
    <w:rsid w:val="001A5C3F"/>
    <w:rsid w:val="001A5EF8"/>
    <w:rsid w:val="001A652C"/>
    <w:rsid w:val="001A6B50"/>
    <w:rsid w:val="001A6B5E"/>
    <w:rsid w:val="001A6B84"/>
    <w:rsid w:val="001A73C9"/>
    <w:rsid w:val="001B0D83"/>
    <w:rsid w:val="001B0E18"/>
    <w:rsid w:val="001B2057"/>
    <w:rsid w:val="001B25F4"/>
    <w:rsid w:val="001B279B"/>
    <w:rsid w:val="001B2A0B"/>
    <w:rsid w:val="001B2A7E"/>
    <w:rsid w:val="001B33AE"/>
    <w:rsid w:val="001B35B1"/>
    <w:rsid w:val="001B37A5"/>
    <w:rsid w:val="001B3A2C"/>
    <w:rsid w:val="001B3A9D"/>
    <w:rsid w:val="001B45BF"/>
    <w:rsid w:val="001B49CC"/>
    <w:rsid w:val="001B4B63"/>
    <w:rsid w:val="001B4CC7"/>
    <w:rsid w:val="001B4DDE"/>
    <w:rsid w:val="001B4E96"/>
    <w:rsid w:val="001B4ED6"/>
    <w:rsid w:val="001B51C9"/>
    <w:rsid w:val="001B5672"/>
    <w:rsid w:val="001B5EDE"/>
    <w:rsid w:val="001B600A"/>
    <w:rsid w:val="001B601D"/>
    <w:rsid w:val="001B65BF"/>
    <w:rsid w:val="001B6A91"/>
    <w:rsid w:val="001B6D1F"/>
    <w:rsid w:val="001B7309"/>
    <w:rsid w:val="001B7522"/>
    <w:rsid w:val="001B7BE5"/>
    <w:rsid w:val="001C011D"/>
    <w:rsid w:val="001C0441"/>
    <w:rsid w:val="001C0511"/>
    <w:rsid w:val="001C0761"/>
    <w:rsid w:val="001C0ACB"/>
    <w:rsid w:val="001C0CEF"/>
    <w:rsid w:val="001C0F86"/>
    <w:rsid w:val="001C197E"/>
    <w:rsid w:val="001C1A17"/>
    <w:rsid w:val="001C2D9A"/>
    <w:rsid w:val="001C2E1E"/>
    <w:rsid w:val="001C3A68"/>
    <w:rsid w:val="001C3C5F"/>
    <w:rsid w:val="001C3E29"/>
    <w:rsid w:val="001C46CA"/>
    <w:rsid w:val="001C4872"/>
    <w:rsid w:val="001C4A9A"/>
    <w:rsid w:val="001C538F"/>
    <w:rsid w:val="001C58AF"/>
    <w:rsid w:val="001C62B6"/>
    <w:rsid w:val="001C69A9"/>
    <w:rsid w:val="001C69AC"/>
    <w:rsid w:val="001C6A22"/>
    <w:rsid w:val="001C6B1F"/>
    <w:rsid w:val="001C6D80"/>
    <w:rsid w:val="001C75A6"/>
    <w:rsid w:val="001C7B87"/>
    <w:rsid w:val="001D0548"/>
    <w:rsid w:val="001D08EE"/>
    <w:rsid w:val="001D0E71"/>
    <w:rsid w:val="001D102B"/>
    <w:rsid w:val="001D152F"/>
    <w:rsid w:val="001D1546"/>
    <w:rsid w:val="001D169C"/>
    <w:rsid w:val="001D1AD6"/>
    <w:rsid w:val="001D1BF1"/>
    <w:rsid w:val="001D1CC7"/>
    <w:rsid w:val="001D1DDF"/>
    <w:rsid w:val="001D22EB"/>
    <w:rsid w:val="001D269C"/>
    <w:rsid w:val="001D3018"/>
    <w:rsid w:val="001D34DC"/>
    <w:rsid w:val="001D396E"/>
    <w:rsid w:val="001D3A9B"/>
    <w:rsid w:val="001D3AA3"/>
    <w:rsid w:val="001D48F3"/>
    <w:rsid w:val="001D5263"/>
    <w:rsid w:val="001D5380"/>
    <w:rsid w:val="001D53A0"/>
    <w:rsid w:val="001D565B"/>
    <w:rsid w:val="001D5676"/>
    <w:rsid w:val="001D62B4"/>
    <w:rsid w:val="001D62F0"/>
    <w:rsid w:val="001D6423"/>
    <w:rsid w:val="001D646C"/>
    <w:rsid w:val="001D6BA0"/>
    <w:rsid w:val="001D6BAA"/>
    <w:rsid w:val="001D6C21"/>
    <w:rsid w:val="001D7A0B"/>
    <w:rsid w:val="001D7B2F"/>
    <w:rsid w:val="001D7CCE"/>
    <w:rsid w:val="001D7D4A"/>
    <w:rsid w:val="001E009C"/>
    <w:rsid w:val="001E00B5"/>
    <w:rsid w:val="001E025C"/>
    <w:rsid w:val="001E0C2D"/>
    <w:rsid w:val="001E0CF0"/>
    <w:rsid w:val="001E0EA2"/>
    <w:rsid w:val="001E0EBE"/>
    <w:rsid w:val="001E170A"/>
    <w:rsid w:val="001E17C1"/>
    <w:rsid w:val="001E1B6F"/>
    <w:rsid w:val="001E1F48"/>
    <w:rsid w:val="001E253C"/>
    <w:rsid w:val="001E25DF"/>
    <w:rsid w:val="001E287C"/>
    <w:rsid w:val="001E28D2"/>
    <w:rsid w:val="001E2DFB"/>
    <w:rsid w:val="001E31F3"/>
    <w:rsid w:val="001E32B9"/>
    <w:rsid w:val="001E3578"/>
    <w:rsid w:val="001E3645"/>
    <w:rsid w:val="001E384A"/>
    <w:rsid w:val="001E3946"/>
    <w:rsid w:val="001E3963"/>
    <w:rsid w:val="001E3AA0"/>
    <w:rsid w:val="001E4217"/>
    <w:rsid w:val="001E4BD6"/>
    <w:rsid w:val="001E4F09"/>
    <w:rsid w:val="001E5397"/>
    <w:rsid w:val="001E54C8"/>
    <w:rsid w:val="001E556A"/>
    <w:rsid w:val="001E55CD"/>
    <w:rsid w:val="001E5915"/>
    <w:rsid w:val="001E5BBE"/>
    <w:rsid w:val="001E5BED"/>
    <w:rsid w:val="001E5BF0"/>
    <w:rsid w:val="001E65D9"/>
    <w:rsid w:val="001E66FC"/>
    <w:rsid w:val="001E705F"/>
    <w:rsid w:val="001E709D"/>
    <w:rsid w:val="001E71F5"/>
    <w:rsid w:val="001E7F65"/>
    <w:rsid w:val="001F029C"/>
    <w:rsid w:val="001F0369"/>
    <w:rsid w:val="001F069E"/>
    <w:rsid w:val="001F0799"/>
    <w:rsid w:val="001F0FDD"/>
    <w:rsid w:val="001F11EB"/>
    <w:rsid w:val="001F160B"/>
    <w:rsid w:val="001F199A"/>
    <w:rsid w:val="001F1C68"/>
    <w:rsid w:val="001F1C78"/>
    <w:rsid w:val="001F2743"/>
    <w:rsid w:val="001F2819"/>
    <w:rsid w:val="001F289A"/>
    <w:rsid w:val="001F2F6E"/>
    <w:rsid w:val="001F301C"/>
    <w:rsid w:val="001F3ECF"/>
    <w:rsid w:val="001F44A0"/>
    <w:rsid w:val="001F5116"/>
    <w:rsid w:val="001F5198"/>
    <w:rsid w:val="001F53FB"/>
    <w:rsid w:val="001F579B"/>
    <w:rsid w:val="001F5924"/>
    <w:rsid w:val="001F5B74"/>
    <w:rsid w:val="001F61E5"/>
    <w:rsid w:val="001F622B"/>
    <w:rsid w:val="001F63EA"/>
    <w:rsid w:val="001F686A"/>
    <w:rsid w:val="001F6CF7"/>
    <w:rsid w:val="001F6E99"/>
    <w:rsid w:val="001F7690"/>
    <w:rsid w:val="0020001C"/>
    <w:rsid w:val="0020018B"/>
    <w:rsid w:val="002002F1"/>
    <w:rsid w:val="00200315"/>
    <w:rsid w:val="002003A2"/>
    <w:rsid w:val="0020044D"/>
    <w:rsid w:val="00200DE0"/>
    <w:rsid w:val="00201054"/>
    <w:rsid w:val="0020138F"/>
    <w:rsid w:val="002016B4"/>
    <w:rsid w:val="00201A06"/>
    <w:rsid w:val="00201EC1"/>
    <w:rsid w:val="0020228D"/>
    <w:rsid w:val="002023A3"/>
    <w:rsid w:val="00202B51"/>
    <w:rsid w:val="00203947"/>
    <w:rsid w:val="00203DD7"/>
    <w:rsid w:val="00204E20"/>
    <w:rsid w:val="00205356"/>
    <w:rsid w:val="002054AC"/>
    <w:rsid w:val="00205A91"/>
    <w:rsid w:val="00205E54"/>
    <w:rsid w:val="00206886"/>
    <w:rsid w:val="002068C1"/>
    <w:rsid w:val="00206C27"/>
    <w:rsid w:val="00207278"/>
    <w:rsid w:val="00207AAF"/>
    <w:rsid w:val="00207B1E"/>
    <w:rsid w:val="00207B7F"/>
    <w:rsid w:val="00207C1C"/>
    <w:rsid w:val="00210407"/>
    <w:rsid w:val="002106B9"/>
    <w:rsid w:val="00210C5E"/>
    <w:rsid w:val="00210D1F"/>
    <w:rsid w:val="00211DCE"/>
    <w:rsid w:val="002120D8"/>
    <w:rsid w:val="00212330"/>
    <w:rsid w:val="0021273B"/>
    <w:rsid w:val="0021294E"/>
    <w:rsid w:val="00212D8E"/>
    <w:rsid w:val="00212E6A"/>
    <w:rsid w:val="00212EE0"/>
    <w:rsid w:val="00212EFC"/>
    <w:rsid w:val="0021311F"/>
    <w:rsid w:val="00213374"/>
    <w:rsid w:val="002133C9"/>
    <w:rsid w:val="0021352C"/>
    <w:rsid w:val="0021376A"/>
    <w:rsid w:val="0021388F"/>
    <w:rsid w:val="00213B43"/>
    <w:rsid w:val="00213CA2"/>
    <w:rsid w:val="00213EA5"/>
    <w:rsid w:val="00213ECD"/>
    <w:rsid w:val="00213EED"/>
    <w:rsid w:val="002142D6"/>
    <w:rsid w:val="00214C6A"/>
    <w:rsid w:val="00214F43"/>
    <w:rsid w:val="00214F7B"/>
    <w:rsid w:val="00215C6B"/>
    <w:rsid w:val="002161EB"/>
    <w:rsid w:val="0021639E"/>
    <w:rsid w:val="002165BB"/>
    <w:rsid w:val="00216A34"/>
    <w:rsid w:val="00216D21"/>
    <w:rsid w:val="002172E4"/>
    <w:rsid w:val="00217A8E"/>
    <w:rsid w:val="00220029"/>
    <w:rsid w:val="0022035F"/>
    <w:rsid w:val="0022057B"/>
    <w:rsid w:val="00220A74"/>
    <w:rsid w:val="00220CBB"/>
    <w:rsid w:val="002210FD"/>
    <w:rsid w:val="0022114B"/>
    <w:rsid w:val="002217FB"/>
    <w:rsid w:val="002219B8"/>
    <w:rsid w:val="00221C5E"/>
    <w:rsid w:val="002221F6"/>
    <w:rsid w:val="00222419"/>
    <w:rsid w:val="0022247B"/>
    <w:rsid w:val="00222570"/>
    <w:rsid w:val="002226F6"/>
    <w:rsid w:val="00222A28"/>
    <w:rsid w:val="0022318A"/>
    <w:rsid w:val="00223476"/>
    <w:rsid w:val="0022359D"/>
    <w:rsid w:val="002245F8"/>
    <w:rsid w:val="00224E39"/>
    <w:rsid w:val="0022525A"/>
    <w:rsid w:val="00225B70"/>
    <w:rsid w:val="00225FEC"/>
    <w:rsid w:val="00226063"/>
    <w:rsid w:val="002264CB"/>
    <w:rsid w:val="002265DA"/>
    <w:rsid w:val="00226CF6"/>
    <w:rsid w:val="00226E03"/>
    <w:rsid w:val="0022719F"/>
    <w:rsid w:val="0022768B"/>
    <w:rsid w:val="00227788"/>
    <w:rsid w:val="00227CE6"/>
    <w:rsid w:val="00227DC8"/>
    <w:rsid w:val="0023007B"/>
    <w:rsid w:val="0023020D"/>
    <w:rsid w:val="0023050C"/>
    <w:rsid w:val="002305E3"/>
    <w:rsid w:val="00230718"/>
    <w:rsid w:val="00230999"/>
    <w:rsid w:val="0023168C"/>
    <w:rsid w:val="002318C8"/>
    <w:rsid w:val="00231B9E"/>
    <w:rsid w:val="0023205F"/>
    <w:rsid w:val="0023225E"/>
    <w:rsid w:val="00232320"/>
    <w:rsid w:val="00232568"/>
    <w:rsid w:val="00232586"/>
    <w:rsid w:val="00232730"/>
    <w:rsid w:val="0023297A"/>
    <w:rsid w:val="00232C74"/>
    <w:rsid w:val="00233065"/>
    <w:rsid w:val="00233921"/>
    <w:rsid w:val="002339E3"/>
    <w:rsid w:val="00233ADB"/>
    <w:rsid w:val="002349F9"/>
    <w:rsid w:val="00234D1D"/>
    <w:rsid w:val="00235ECB"/>
    <w:rsid w:val="00236231"/>
    <w:rsid w:val="0023643C"/>
    <w:rsid w:val="002368EB"/>
    <w:rsid w:val="00236A7B"/>
    <w:rsid w:val="00236D26"/>
    <w:rsid w:val="002371C0"/>
    <w:rsid w:val="00237C7A"/>
    <w:rsid w:val="00240168"/>
    <w:rsid w:val="0024027B"/>
    <w:rsid w:val="002407F1"/>
    <w:rsid w:val="00240D9D"/>
    <w:rsid w:val="00240E92"/>
    <w:rsid w:val="00241625"/>
    <w:rsid w:val="00241D1B"/>
    <w:rsid w:val="00241E85"/>
    <w:rsid w:val="002422FA"/>
    <w:rsid w:val="00242504"/>
    <w:rsid w:val="002425EC"/>
    <w:rsid w:val="00242920"/>
    <w:rsid w:val="00242BED"/>
    <w:rsid w:val="00242D36"/>
    <w:rsid w:val="00242FE6"/>
    <w:rsid w:val="00243503"/>
    <w:rsid w:val="00243530"/>
    <w:rsid w:val="002436E9"/>
    <w:rsid w:val="0024380D"/>
    <w:rsid w:val="00243AC8"/>
    <w:rsid w:val="002440A5"/>
    <w:rsid w:val="00244189"/>
    <w:rsid w:val="00244533"/>
    <w:rsid w:val="00244875"/>
    <w:rsid w:val="00245CC6"/>
    <w:rsid w:val="002461B6"/>
    <w:rsid w:val="002465C9"/>
    <w:rsid w:val="00246647"/>
    <w:rsid w:val="00246BCE"/>
    <w:rsid w:val="00246C44"/>
    <w:rsid w:val="00247672"/>
    <w:rsid w:val="00247F76"/>
    <w:rsid w:val="002509F3"/>
    <w:rsid w:val="00250AD3"/>
    <w:rsid w:val="00250E0F"/>
    <w:rsid w:val="00251081"/>
    <w:rsid w:val="0025138F"/>
    <w:rsid w:val="00251E8F"/>
    <w:rsid w:val="0025242F"/>
    <w:rsid w:val="002528E9"/>
    <w:rsid w:val="00252BAA"/>
    <w:rsid w:val="00252D88"/>
    <w:rsid w:val="00252E96"/>
    <w:rsid w:val="002530FF"/>
    <w:rsid w:val="0025353D"/>
    <w:rsid w:val="002536E5"/>
    <w:rsid w:val="00253941"/>
    <w:rsid w:val="002540E4"/>
    <w:rsid w:val="00254906"/>
    <w:rsid w:val="00254D43"/>
    <w:rsid w:val="00255B28"/>
    <w:rsid w:val="00255C7C"/>
    <w:rsid w:val="00255F4E"/>
    <w:rsid w:val="0025605B"/>
    <w:rsid w:val="002560AB"/>
    <w:rsid w:val="00256C93"/>
    <w:rsid w:val="0025726D"/>
    <w:rsid w:val="00257377"/>
    <w:rsid w:val="002579B5"/>
    <w:rsid w:val="00257A4F"/>
    <w:rsid w:val="00257B8F"/>
    <w:rsid w:val="002604D1"/>
    <w:rsid w:val="00260983"/>
    <w:rsid w:val="00261168"/>
    <w:rsid w:val="002611B2"/>
    <w:rsid w:val="002615A7"/>
    <w:rsid w:val="00261CCC"/>
    <w:rsid w:val="00261E92"/>
    <w:rsid w:val="00261F0E"/>
    <w:rsid w:val="00262DBC"/>
    <w:rsid w:val="00262FC1"/>
    <w:rsid w:val="0026308E"/>
    <w:rsid w:val="0026326C"/>
    <w:rsid w:val="002643DB"/>
    <w:rsid w:val="002644DF"/>
    <w:rsid w:val="002646F0"/>
    <w:rsid w:val="002648F6"/>
    <w:rsid w:val="00264CC5"/>
    <w:rsid w:val="00264E3C"/>
    <w:rsid w:val="002655A7"/>
    <w:rsid w:val="00265C20"/>
    <w:rsid w:val="002661F4"/>
    <w:rsid w:val="002662FD"/>
    <w:rsid w:val="002664D2"/>
    <w:rsid w:val="0026653C"/>
    <w:rsid w:val="00266665"/>
    <w:rsid w:val="002666EA"/>
    <w:rsid w:val="00266B0C"/>
    <w:rsid w:val="00266CDF"/>
    <w:rsid w:val="0026730F"/>
    <w:rsid w:val="002679CF"/>
    <w:rsid w:val="002707B7"/>
    <w:rsid w:val="00270836"/>
    <w:rsid w:val="002711DC"/>
    <w:rsid w:val="00271390"/>
    <w:rsid w:val="002718FF"/>
    <w:rsid w:val="00271AD3"/>
    <w:rsid w:val="00271AF4"/>
    <w:rsid w:val="00271E8A"/>
    <w:rsid w:val="002720B6"/>
    <w:rsid w:val="00272585"/>
    <w:rsid w:val="00272DF6"/>
    <w:rsid w:val="00272E24"/>
    <w:rsid w:val="00272F6C"/>
    <w:rsid w:val="00273148"/>
    <w:rsid w:val="00273362"/>
    <w:rsid w:val="002735E7"/>
    <w:rsid w:val="00273978"/>
    <w:rsid w:val="00273AE5"/>
    <w:rsid w:val="00273B16"/>
    <w:rsid w:val="00273B9D"/>
    <w:rsid w:val="00273D00"/>
    <w:rsid w:val="00274085"/>
    <w:rsid w:val="002740F9"/>
    <w:rsid w:val="00274733"/>
    <w:rsid w:val="00274872"/>
    <w:rsid w:val="00274895"/>
    <w:rsid w:val="00274CAF"/>
    <w:rsid w:val="00274F96"/>
    <w:rsid w:val="00275321"/>
    <w:rsid w:val="00275719"/>
    <w:rsid w:val="00275DD6"/>
    <w:rsid w:val="0027625C"/>
    <w:rsid w:val="0027645A"/>
    <w:rsid w:val="002767F8"/>
    <w:rsid w:val="00276CC7"/>
    <w:rsid w:val="00276D3C"/>
    <w:rsid w:val="00277981"/>
    <w:rsid w:val="00277AF6"/>
    <w:rsid w:val="00277D37"/>
    <w:rsid w:val="00277DD8"/>
    <w:rsid w:val="0028011E"/>
    <w:rsid w:val="002806AF"/>
    <w:rsid w:val="00280826"/>
    <w:rsid w:val="00280A78"/>
    <w:rsid w:val="00280A91"/>
    <w:rsid w:val="00280CDB"/>
    <w:rsid w:val="00280E58"/>
    <w:rsid w:val="00281055"/>
    <w:rsid w:val="00281742"/>
    <w:rsid w:val="00281909"/>
    <w:rsid w:val="00281F58"/>
    <w:rsid w:val="002822F9"/>
    <w:rsid w:val="002826E9"/>
    <w:rsid w:val="0028281C"/>
    <w:rsid w:val="00282D87"/>
    <w:rsid w:val="00283046"/>
    <w:rsid w:val="002832EB"/>
    <w:rsid w:val="002845AC"/>
    <w:rsid w:val="002845D9"/>
    <w:rsid w:val="00284C1E"/>
    <w:rsid w:val="00284FDB"/>
    <w:rsid w:val="0028571D"/>
    <w:rsid w:val="00285BAA"/>
    <w:rsid w:val="0028613C"/>
    <w:rsid w:val="0028652F"/>
    <w:rsid w:val="0028655C"/>
    <w:rsid w:val="00286D2F"/>
    <w:rsid w:val="002874D8"/>
    <w:rsid w:val="00287626"/>
    <w:rsid w:val="00287657"/>
    <w:rsid w:val="002902F6"/>
    <w:rsid w:val="00290ADF"/>
    <w:rsid w:val="00290ECA"/>
    <w:rsid w:val="00291322"/>
    <w:rsid w:val="002915CD"/>
    <w:rsid w:val="002915EA"/>
    <w:rsid w:val="00292039"/>
    <w:rsid w:val="0029235B"/>
    <w:rsid w:val="00292470"/>
    <w:rsid w:val="002925AF"/>
    <w:rsid w:val="00292832"/>
    <w:rsid w:val="002929B8"/>
    <w:rsid w:val="00292C21"/>
    <w:rsid w:val="00293364"/>
    <w:rsid w:val="002939E7"/>
    <w:rsid w:val="00293DC0"/>
    <w:rsid w:val="00293E3F"/>
    <w:rsid w:val="00293FDA"/>
    <w:rsid w:val="00294042"/>
    <w:rsid w:val="0029507C"/>
    <w:rsid w:val="002950E0"/>
    <w:rsid w:val="00295460"/>
    <w:rsid w:val="00295795"/>
    <w:rsid w:val="00295A7F"/>
    <w:rsid w:val="00295D83"/>
    <w:rsid w:val="002960E5"/>
    <w:rsid w:val="002964E2"/>
    <w:rsid w:val="002968E0"/>
    <w:rsid w:val="00296C9F"/>
    <w:rsid w:val="00296CD6"/>
    <w:rsid w:val="002976AF"/>
    <w:rsid w:val="002977F8"/>
    <w:rsid w:val="00297E4B"/>
    <w:rsid w:val="00297E60"/>
    <w:rsid w:val="00297EB7"/>
    <w:rsid w:val="002A01F3"/>
    <w:rsid w:val="002A0439"/>
    <w:rsid w:val="002A0700"/>
    <w:rsid w:val="002A0A46"/>
    <w:rsid w:val="002A0AEB"/>
    <w:rsid w:val="002A0C34"/>
    <w:rsid w:val="002A106A"/>
    <w:rsid w:val="002A1CFA"/>
    <w:rsid w:val="002A215C"/>
    <w:rsid w:val="002A2B94"/>
    <w:rsid w:val="002A2D19"/>
    <w:rsid w:val="002A3293"/>
    <w:rsid w:val="002A34E6"/>
    <w:rsid w:val="002A38D0"/>
    <w:rsid w:val="002A3C59"/>
    <w:rsid w:val="002A3CA8"/>
    <w:rsid w:val="002A4415"/>
    <w:rsid w:val="002A5593"/>
    <w:rsid w:val="002A57F9"/>
    <w:rsid w:val="002A5F93"/>
    <w:rsid w:val="002A613A"/>
    <w:rsid w:val="002A63EB"/>
    <w:rsid w:val="002A69BC"/>
    <w:rsid w:val="002A6B8E"/>
    <w:rsid w:val="002A6D11"/>
    <w:rsid w:val="002A7385"/>
    <w:rsid w:val="002A745F"/>
    <w:rsid w:val="002A75B6"/>
    <w:rsid w:val="002A77AD"/>
    <w:rsid w:val="002A7917"/>
    <w:rsid w:val="002A7B09"/>
    <w:rsid w:val="002A7E30"/>
    <w:rsid w:val="002B01FE"/>
    <w:rsid w:val="002B0221"/>
    <w:rsid w:val="002B076C"/>
    <w:rsid w:val="002B0853"/>
    <w:rsid w:val="002B0AFB"/>
    <w:rsid w:val="002B0BD1"/>
    <w:rsid w:val="002B0EBA"/>
    <w:rsid w:val="002B0EF3"/>
    <w:rsid w:val="002B0F0C"/>
    <w:rsid w:val="002B15E2"/>
    <w:rsid w:val="002B16AE"/>
    <w:rsid w:val="002B1BF1"/>
    <w:rsid w:val="002B1FD7"/>
    <w:rsid w:val="002B28C0"/>
    <w:rsid w:val="002B2C5A"/>
    <w:rsid w:val="002B2CF4"/>
    <w:rsid w:val="002B2EF6"/>
    <w:rsid w:val="002B2FEE"/>
    <w:rsid w:val="002B3676"/>
    <w:rsid w:val="002B3A81"/>
    <w:rsid w:val="002B3C11"/>
    <w:rsid w:val="002B45D0"/>
    <w:rsid w:val="002B476D"/>
    <w:rsid w:val="002B481D"/>
    <w:rsid w:val="002B5288"/>
    <w:rsid w:val="002B54BA"/>
    <w:rsid w:val="002B56F7"/>
    <w:rsid w:val="002B5C8F"/>
    <w:rsid w:val="002B6198"/>
    <w:rsid w:val="002B63F5"/>
    <w:rsid w:val="002B6500"/>
    <w:rsid w:val="002B6D8D"/>
    <w:rsid w:val="002B6EC6"/>
    <w:rsid w:val="002B7008"/>
    <w:rsid w:val="002B71BC"/>
    <w:rsid w:val="002B7219"/>
    <w:rsid w:val="002B78B3"/>
    <w:rsid w:val="002B791F"/>
    <w:rsid w:val="002C0307"/>
    <w:rsid w:val="002C04D4"/>
    <w:rsid w:val="002C04E2"/>
    <w:rsid w:val="002C0564"/>
    <w:rsid w:val="002C0825"/>
    <w:rsid w:val="002C086E"/>
    <w:rsid w:val="002C0A64"/>
    <w:rsid w:val="002C148E"/>
    <w:rsid w:val="002C14E9"/>
    <w:rsid w:val="002C179B"/>
    <w:rsid w:val="002C1AC2"/>
    <w:rsid w:val="002C2175"/>
    <w:rsid w:val="002C21ED"/>
    <w:rsid w:val="002C222A"/>
    <w:rsid w:val="002C2716"/>
    <w:rsid w:val="002C2CC5"/>
    <w:rsid w:val="002C2CCE"/>
    <w:rsid w:val="002C2FFB"/>
    <w:rsid w:val="002C31D6"/>
    <w:rsid w:val="002C378A"/>
    <w:rsid w:val="002C40F8"/>
    <w:rsid w:val="002C4198"/>
    <w:rsid w:val="002C42C9"/>
    <w:rsid w:val="002C42E8"/>
    <w:rsid w:val="002C4AAA"/>
    <w:rsid w:val="002C5B95"/>
    <w:rsid w:val="002C5DD4"/>
    <w:rsid w:val="002C5FD8"/>
    <w:rsid w:val="002C659B"/>
    <w:rsid w:val="002C65A2"/>
    <w:rsid w:val="002C6936"/>
    <w:rsid w:val="002C6AAC"/>
    <w:rsid w:val="002C6AEC"/>
    <w:rsid w:val="002C6E73"/>
    <w:rsid w:val="002C706C"/>
    <w:rsid w:val="002C741B"/>
    <w:rsid w:val="002C774A"/>
    <w:rsid w:val="002D0203"/>
    <w:rsid w:val="002D0490"/>
    <w:rsid w:val="002D0575"/>
    <w:rsid w:val="002D0ABC"/>
    <w:rsid w:val="002D0DA8"/>
    <w:rsid w:val="002D180F"/>
    <w:rsid w:val="002D1B59"/>
    <w:rsid w:val="002D207C"/>
    <w:rsid w:val="002D2081"/>
    <w:rsid w:val="002D2319"/>
    <w:rsid w:val="002D271D"/>
    <w:rsid w:val="002D2760"/>
    <w:rsid w:val="002D2CF7"/>
    <w:rsid w:val="002D395E"/>
    <w:rsid w:val="002D3EFB"/>
    <w:rsid w:val="002D4230"/>
    <w:rsid w:val="002D44DB"/>
    <w:rsid w:val="002D4DBB"/>
    <w:rsid w:val="002D557B"/>
    <w:rsid w:val="002D5C43"/>
    <w:rsid w:val="002D5C5E"/>
    <w:rsid w:val="002D5DD6"/>
    <w:rsid w:val="002D654D"/>
    <w:rsid w:val="002D6DF1"/>
    <w:rsid w:val="002D7722"/>
    <w:rsid w:val="002D7924"/>
    <w:rsid w:val="002D7A50"/>
    <w:rsid w:val="002E0526"/>
    <w:rsid w:val="002E0763"/>
    <w:rsid w:val="002E0C15"/>
    <w:rsid w:val="002E1E25"/>
    <w:rsid w:val="002E253F"/>
    <w:rsid w:val="002E255D"/>
    <w:rsid w:val="002E266A"/>
    <w:rsid w:val="002E2D57"/>
    <w:rsid w:val="002E2E09"/>
    <w:rsid w:val="002E3709"/>
    <w:rsid w:val="002E3A74"/>
    <w:rsid w:val="002E3B0C"/>
    <w:rsid w:val="002E3E7C"/>
    <w:rsid w:val="002E3F3C"/>
    <w:rsid w:val="002E3FAD"/>
    <w:rsid w:val="002E4562"/>
    <w:rsid w:val="002E4C40"/>
    <w:rsid w:val="002E4D55"/>
    <w:rsid w:val="002E50C5"/>
    <w:rsid w:val="002E5149"/>
    <w:rsid w:val="002E5632"/>
    <w:rsid w:val="002E56E1"/>
    <w:rsid w:val="002E595C"/>
    <w:rsid w:val="002E5B22"/>
    <w:rsid w:val="002E5D5F"/>
    <w:rsid w:val="002E5F0C"/>
    <w:rsid w:val="002E612A"/>
    <w:rsid w:val="002E6399"/>
    <w:rsid w:val="002E646C"/>
    <w:rsid w:val="002E64A2"/>
    <w:rsid w:val="002E6B7F"/>
    <w:rsid w:val="002E6D72"/>
    <w:rsid w:val="002E72B0"/>
    <w:rsid w:val="002E74E2"/>
    <w:rsid w:val="002E7842"/>
    <w:rsid w:val="002F0D11"/>
    <w:rsid w:val="002F10F0"/>
    <w:rsid w:val="002F143D"/>
    <w:rsid w:val="002F1956"/>
    <w:rsid w:val="002F1C32"/>
    <w:rsid w:val="002F1C4F"/>
    <w:rsid w:val="002F2314"/>
    <w:rsid w:val="002F27A6"/>
    <w:rsid w:val="002F2838"/>
    <w:rsid w:val="002F3211"/>
    <w:rsid w:val="002F334F"/>
    <w:rsid w:val="002F353C"/>
    <w:rsid w:val="002F3930"/>
    <w:rsid w:val="002F3D8D"/>
    <w:rsid w:val="002F3D91"/>
    <w:rsid w:val="002F440B"/>
    <w:rsid w:val="002F44D3"/>
    <w:rsid w:val="002F47BB"/>
    <w:rsid w:val="002F4A37"/>
    <w:rsid w:val="002F5782"/>
    <w:rsid w:val="002F5B62"/>
    <w:rsid w:val="002F5CAF"/>
    <w:rsid w:val="002F5F9B"/>
    <w:rsid w:val="002F64D0"/>
    <w:rsid w:val="002F6679"/>
    <w:rsid w:val="002F6788"/>
    <w:rsid w:val="002F68E5"/>
    <w:rsid w:val="002F69D7"/>
    <w:rsid w:val="002F7A15"/>
    <w:rsid w:val="002F7AEA"/>
    <w:rsid w:val="002F7BCB"/>
    <w:rsid w:val="002F7C87"/>
    <w:rsid w:val="003004ED"/>
    <w:rsid w:val="00300593"/>
    <w:rsid w:val="003006F8"/>
    <w:rsid w:val="00300C8E"/>
    <w:rsid w:val="00301230"/>
    <w:rsid w:val="00301265"/>
    <w:rsid w:val="00301419"/>
    <w:rsid w:val="00302AEA"/>
    <w:rsid w:val="00302E30"/>
    <w:rsid w:val="003030AB"/>
    <w:rsid w:val="00303D54"/>
    <w:rsid w:val="0030469D"/>
    <w:rsid w:val="003049B3"/>
    <w:rsid w:val="003053AF"/>
    <w:rsid w:val="00305473"/>
    <w:rsid w:val="003057C8"/>
    <w:rsid w:val="003059A7"/>
    <w:rsid w:val="003059BD"/>
    <w:rsid w:val="003059CE"/>
    <w:rsid w:val="00305AD3"/>
    <w:rsid w:val="003060DC"/>
    <w:rsid w:val="0030624A"/>
    <w:rsid w:val="0030651C"/>
    <w:rsid w:val="003069A5"/>
    <w:rsid w:val="003069DD"/>
    <w:rsid w:val="00306C3C"/>
    <w:rsid w:val="00306CF3"/>
    <w:rsid w:val="00306F6C"/>
    <w:rsid w:val="003072EF"/>
    <w:rsid w:val="0030790E"/>
    <w:rsid w:val="003079EF"/>
    <w:rsid w:val="00307FB9"/>
    <w:rsid w:val="00310008"/>
    <w:rsid w:val="0031044B"/>
    <w:rsid w:val="003104A6"/>
    <w:rsid w:val="0031058D"/>
    <w:rsid w:val="00310F06"/>
    <w:rsid w:val="003112FE"/>
    <w:rsid w:val="003115A5"/>
    <w:rsid w:val="00312133"/>
    <w:rsid w:val="0031216A"/>
    <w:rsid w:val="003122EE"/>
    <w:rsid w:val="003122F3"/>
    <w:rsid w:val="00312327"/>
    <w:rsid w:val="00312614"/>
    <w:rsid w:val="00312A22"/>
    <w:rsid w:val="00312B95"/>
    <w:rsid w:val="00312C9B"/>
    <w:rsid w:val="0031303D"/>
    <w:rsid w:val="00313404"/>
    <w:rsid w:val="00313426"/>
    <w:rsid w:val="00313480"/>
    <w:rsid w:val="00313AAB"/>
    <w:rsid w:val="00313E18"/>
    <w:rsid w:val="00314C45"/>
    <w:rsid w:val="00314C87"/>
    <w:rsid w:val="00314CC3"/>
    <w:rsid w:val="00314E9E"/>
    <w:rsid w:val="00315100"/>
    <w:rsid w:val="003155E0"/>
    <w:rsid w:val="00315700"/>
    <w:rsid w:val="00315C77"/>
    <w:rsid w:val="00315ED4"/>
    <w:rsid w:val="00315EEC"/>
    <w:rsid w:val="00315F37"/>
    <w:rsid w:val="00316596"/>
    <w:rsid w:val="0031687B"/>
    <w:rsid w:val="00316F4B"/>
    <w:rsid w:val="003174D9"/>
    <w:rsid w:val="00317898"/>
    <w:rsid w:val="00317C36"/>
    <w:rsid w:val="00317D07"/>
    <w:rsid w:val="00320025"/>
    <w:rsid w:val="00320CBA"/>
    <w:rsid w:val="00320F9A"/>
    <w:rsid w:val="0032145A"/>
    <w:rsid w:val="003215BC"/>
    <w:rsid w:val="003219E1"/>
    <w:rsid w:val="0032213E"/>
    <w:rsid w:val="00322151"/>
    <w:rsid w:val="00322661"/>
    <w:rsid w:val="00322A9D"/>
    <w:rsid w:val="00323033"/>
    <w:rsid w:val="00323096"/>
    <w:rsid w:val="0032374D"/>
    <w:rsid w:val="00323901"/>
    <w:rsid w:val="00323AEB"/>
    <w:rsid w:val="00323B58"/>
    <w:rsid w:val="00323BFA"/>
    <w:rsid w:val="00323D1A"/>
    <w:rsid w:val="00323D36"/>
    <w:rsid w:val="00324172"/>
    <w:rsid w:val="00324524"/>
    <w:rsid w:val="0032483C"/>
    <w:rsid w:val="00324D3A"/>
    <w:rsid w:val="00324EEC"/>
    <w:rsid w:val="0032604F"/>
    <w:rsid w:val="00326AD1"/>
    <w:rsid w:val="00326AFF"/>
    <w:rsid w:val="00326FC7"/>
    <w:rsid w:val="00327223"/>
    <w:rsid w:val="00327817"/>
    <w:rsid w:val="00327A7D"/>
    <w:rsid w:val="00327ABF"/>
    <w:rsid w:val="00327F60"/>
    <w:rsid w:val="00330069"/>
    <w:rsid w:val="003301D5"/>
    <w:rsid w:val="00330C5F"/>
    <w:rsid w:val="00330EB8"/>
    <w:rsid w:val="003313E3"/>
    <w:rsid w:val="0033180A"/>
    <w:rsid w:val="00331DC5"/>
    <w:rsid w:val="00331FB9"/>
    <w:rsid w:val="00332049"/>
    <w:rsid w:val="0033352A"/>
    <w:rsid w:val="00333F0E"/>
    <w:rsid w:val="00334216"/>
    <w:rsid w:val="003346E0"/>
    <w:rsid w:val="003349E9"/>
    <w:rsid w:val="00334F6B"/>
    <w:rsid w:val="0033520B"/>
    <w:rsid w:val="003352DB"/>
    <w:rsid w:val="0033648B"/>
    <w:rsid w:val="003367BC"/>
    <w:rsid w:val="003369C1"/>
    <w:rsid w:val="00336A6A"/>
    <w:rsid w:val="00336B1A"/>
    <w:rsid w:val="00336BBD"/>
    <w:rsid w:val="00336F02"/>
    <w:rsid w:val="00336FDA"/>
    <w:rsid w:val="0033707D"/>
    <w:rsid w:val="00337118"/>
    <w:rsid w:val="00337205"/>
    <w:rsid w:val="0033775F"/>
    <w:rsid w:val="0033799C"/>
    <w:rsid w:val="00337A85"/>
    <w:rsid w:val="00337F75"/>
    <w:rsid w:val="003408F6"/>
    <w:rsid w:val="00340C6F"/>
    <w:rsid w:val="00341093"/>
    <w:rsid w:val="00341142"/>
    <w:rsid w:val="0034140E"/>
    <w:rsid w:val="00341568"/>
    <w:rsid w:val="0034179F"/>
    <w:rsid w:val="00341A6A"/>
    <w:rsid w:val="00341D5F"/>
    <w:rsid w:val="0034225B"/>
    <w:rsid w:val="00342D5D"/>
    <w:rsid w:val="003430E6"/>
    <w:rsid w:val="003431DA"/>
    <w:rsid w:val="00343780"/>
    <w:rsid w:val="00343F86"/>
    <w:rsid w:val="003445A0"/>
    <w:rsid w:val="00344A3B"/>
    <w:rsid w:val="00344B62"/>
    <w:rsid w:val="00344F04"/>
    <w:rsid w:val="00345746"/>
    <w:rsid w:val="0034667F"/>
    <w:rsid w:val="003467A2"/>
    <w:rsid w:val="00346ADC"/>
    <w:rsid w:val="00347D27"/>
    <w:rsid w:val="00347EC2"/>
    <w:rsid w:val="003503D2"/>
    <w:rsid w:val="00350586"/>
    <w:rsid w:val="00350763"/>
    <w:rsid w:val="00350D63"/>
    <w:rsid w:val="00350E2D"/>
    <w:rsid w:val="00350F4E"/>
    <w:rsid w:val="00351191"/>
    <w:rsid w:val="003519E4"/>
    <w:rsid w:val="00351CD8"/>
    <w:rsid w:val="00351FE9"/>
    <w:rsid w:val="00352213"/>
    <w:rsid w:val="003529C5"/>
    <w:rsid w:val="00352A30"/>
    <w:rsid w:val="00352F69"/>
    <w:rsid w:val="0035318D"/>
    <w:rsid w:val="0035329D"/>
    <w:rsid w:val="0035375B"/>
    <w:rsid w:val="003540C2"/>
    <w:rsid w:val="003544BF"/>
    <w:rsid w:val="003546C7"/>
    <w:rsid w:val="00354FD0"/>
    <w:rsid w:val="003558F2"/>
    <w:rsid w:val="00355D95"/>
    <w:rsid w:val="003565A5"/>
    <w:rsid w:val="003569DE"/>
    <w:rsid w:val="00356C10"/>
    <w:rsid w:val="00357444"/>
    <w:rsid w:val="003576A4"/>
    <w:rsid w:val="00357DAB"/>
    <w:rsid w:val="0036040E"/>
    <w:rsid w:val="0036069C"/>
    <w:rsid w:val="0036073D"/>
    <w:rsid w:val="00360A50"/>
    <w:rsid w:val="00360AD5"/>
    <w:rsid w:val="00360D87"/>
    <w:rsid w:val="00361825"/>
    <w:rsid w:val="00362100"/>
    <w:rsid w:val="0036281D"/>
    <w:rsid w:val="0036290B"/>
    <w:rsid w:val="00362C3E"/>
    <w:rsid w:val="00363100"/>
    <w:rsid w:val="00363487"/>
    <w:rsid w:val="00363589"/>
    <w:rsid w:val="00363B21"/>
    <w:rsid w:val="00363BDF"/>
    <w:rsid w:val="00363E87"/>
    <w:rsid w:val="00364233"/>
    <w:rsid w:val="00364640"/>
    <w:rsid w:val="003651E2"/>
    <w:rsid w:val="00365279"/>
    <w:rsid w:val="003652EB"/>
    <w:rsid w:val="00365B41"/>
    <w:rsid w:val="00365CA3"/>
    <w:rsid w:val="00365D8D"/>
    <w:rsid w:val="00365D9B"/>
    <w:rsid w:val="00366514"/>
    <w:rsid w:val="003666B9"/>
    <w:rsid w:val="00366796"/>
    <w:rsid w:val="00366ACF"/>
    <w:rsid w:val="00366BD2"/>
    <w:rsid w:val="00366CE1"/>
    <w:rsid w:val="003674B8"/>
    <w:rsid w:val="003675F2"/>
    <w:rsid w:val="00367879"/>
    <w:rsid w:val="00367A98"/>
    <w:rsid w:val="00367C92"/>
    <w:rsid w:val="00367CBD"/>
    <w:rsid w:val="00367F95"/>
    <w:rsid w:val="00370871"/>
    <w:rsid w:val="00370C30"/>
    <w:rsid w:val="00370EDC"/>
    <w:rsid w:val="00370FF5"/>
    <w:rsid w:val="003711D3"/>
    <w:rsid w:val="003712E5"/>
    <w:rsid w:val="00371460"/>
    <w:rsid w:val="00371A84"/>
    <w:rsid w:val="00371CD5"/>
    <w:rsid w:val="00371E64"/>
    <w:rsid w:val="00372898"/>
    <w:rsid w:val="00372D7E"/>
    <w:rsid w:val="00373051"/>
    <w:rsid w:val="00373408"/>
    <w:rsid w:val="003735E3"/>
    <w:rsid w:val="00373C1F"/>
    <w:rsid w:val="00373DBC"/>
    <w:rsid w:val="00373E8E"/>
    <w:rsid w:val="00373F93"/>
    <w:rsid w:val="00374541"/>
    <w:rsid w:val="003747D4"/>
    <w:rsid w:val="003748B3"/>
    <w:rsid w:val="00374982"/>
    <w:rsid w:val="00374BB8"/>
    <w:rsid w:val="003756EE"/>
    <w:rsid w:val="00375869"/>
    <w:rsid w:val="00375AAB"/>
    <w:rsid w:val="00375EF7"/>
    <w:rsid w:val="00376648"/>
    <w:rsid w:val="0037666E"/>
    <w:rsid w:val="0037672B"/>
    <w:rsid w:val="00376B3C"/>
    <w:rsid w:val="00376BF1"/>
    <w:rsid w:val="00376C4C"/>
    <w:rsid w:val="00377334"/>
    <w:rsid w:val="0037738A"/>
    <w:rsid w:val="00377778"/>
    <w:rsid w:val="003778C9"/>
    <w:rsid w:val="00377CC2"/>
    <w:rsid w:val="00377E7C"/>
    <w:rsid w:val="00377EC5"/>
    <w:rsid w:val="00380473"/>
    <w:rsid w:val="003805A2"/>
    <w:rsid w:val="003806EF"/>
    <w:rsid w:val="00380733"/>
    <w:rsid w:val="00380B96"/>
    <w:rsid w:val="00380F1A"/>
    <w:rsid w:val="0038179A"/>
    <w:rsid w:val="00381BA6"/>
    <w:rsid w:val="00381BDD"/>
    <w:rsid w:val="00381C3F"/>
    <w:rsid w:val="00382187"/>
    <w:rsid w:val="0038272D"/>
    <w:rsid w:val="00382A2B"/>
    <w:rsid w:val="00382BF8"/>
    <w:rsid w:val="003831B4"/>
    <w:rsid w:val="00383BE4"/>
    <w:rsid w:val="003841A1"/>
    <w:rsid w:val="0038436D"/>
    <w:rsid w:val="00384427"/>
    <w:rsid w:val="0038469C"/>
    <w:rsid w:val="0038498E"/>
    <w:rsid w:val="00384F51"/>
    <w:rsid w:val="00384F92"/>
    <w:rsid w:val="003854DB"/>
    <w:rsid w:val="00385558"/>
    <w:rsid w:val="0038576A"/>
    <w:rsid w:val="00385AB7"/>
    <w:rsid w:val="00386129"/>
    <w:rsid w:val="00386411"/>
    <w:rsid w:val="00386989"/>
    <w:rsid w:val="00386F36"/>
    <w:rsid w:val="0038700D"/>
    <w:rsid w:val="00387391"/>
    <w:rsid w:val="003874FD"/>
    <w:rsid w:val="003876B0"/>
    <w:rsid w:val="003876FD"/>
    <w:rsid w:val="00387AB6"/>
    <w:rsid w:val="00387BC1"/>
    <w:rsid w:val="00390077"/>
    <w:rsid w:val="0039021F"/>
    <w:rsid w:val="00390528"/>
    <w:rsid w:val="00390555"/>
    <w:rsid w:val="0039081B"/>
    <w:rsid w:val="003908C4"/>
    <w:rsid w:val="00390CA7"/>
    <w:rsid w:val="00390E49"/>
    <w:rsid w:val="00391C36"/>
    <w:rsid w:val="00391D4F"/>
    <w:rsid w:val="00391EA8"/>
    <w:rsid w:val="00392060"/>
    <w:rsid w:val="00392140"/>
    <w:rsid w:val="0039322D"/>
    <w:rsid w:val="00393367"/>
    <w:rsid w:val="00393371"/>
    <w:rsid w:val="003938BD"/>
    <w:rsid w:val="00393943"/>
    <w:rsid w:val="00393B17"/>
    <w:rsid w:val="003948F3"/>
    <w:rsid w:val="00394D13"/>
    <w:rsid w:val="00396366"/>
    <w:rsid w:val="003964BE"/>
    <w:rsid w:val="00396624"/>
    <w:rsid w:val="003967AC"/>
    <w:rsid w:val="003968D1"/>
    <w:rsid w:val="00396972"/>
    <w:rsid w:val="00396B7F"/>
    <w:rsid w:val="0039725D"/>
    <w:rsid w:val="00397636"/>
    <w:rsid w:val="00397669"/>
    <w:rsid w:val="003A00F3"/>
    <w:rsid w:val="003A033C"/>
    <w:rsid w:val="003A052A"/>
    <w:rsid w:val="003A062E"/>
    <w:rsid w:val="003A0F28"/>
    <w:rsid w:val="003A1538"/>
    <w:rsid w:val="003A17F1"/>
    <w:rsid w:val="003A22ED"/>
    <w:rsid w:val="003A2370"/>
    <w:rsid w:val="003A24E8"/>
    <w:rsid w:val="003A26F7"/>
    <w:rsid w:val="003A2B36"/>
    <w:rsid w:val="003A315E"/>
    <w:rsid w:val="003A3288"/>
    <w:rsid w:val="003A3704"/>
    <w:rsid w:val="003A38AB"/>
    <w:rsid w:val="003A3AA9"/>
    <w:rsid w:val="003A3D98"/>
    <w:rsid w:val="003A3E89"/>
    <w:rsid w:val="003A445A"/>
    <w:rsid w:val="003A4B01"/>
    <w:rsid w:val="003A4EF1"/>
    <w:rsid w:val="003A53F4"/>
    <w:rsid w:val="003A54B0"/>
    <w:rsid w:val="003A5603"/>
    <w:rsid w:val="003A5820"/>
    <w:rsid w:val="003A5868"/>
    <w:rsid w:val="003A5DDD"/>
    <w:rsid w:val="003A5FFD"/>
    <w:rsid w:val="003A62CB"/>
    <w:rsid w:val="003A63CF"/>
    <w:rsid w:val="003A6692"/>
    <w:rsid w:val="003A6F23"/>
    <w:rsid w:val="003A74EA"/>
    <w:rsid w:val="003A7673"/>
    <w:rsid w:val="003A7C22"/>
    <w:rsid w:val="003A7C8F"/>
    <w:rsid w:val="003A7E35"/>
    <w:rsid w:val="003B0625"/>
    <w:rsid w:val="003B1858"/>
    <w:rsid w:val="003B20DA"/>
    <w:rsid w:val="003B236F"/>
    <w:rsid w:val="003B29A8"/>
    <w:rsid w:val="003B3003"/>
    <w:rsid w:val="003B3267"/>
    <w:rsid w:val="003B3DE8"/>
    <w:rsid w:val="003B40C2"/>
    <w:rsid w:val="003B4101"/>
    <w:rsid w:val="003B4146"/>
    <w:rsid w:val="003B428E"/>
    <w:rsid w:val="003B458D"/>
    <w:rsid w:val="003B4A5B"/>
    <w:rsid w:val="003B4B50"/>
    <w:rsid w:val="003B4B69"/>
    <w:rsid w:val="003B4D22"/>
    <w:rsid w:val="003B4D3F"/>
    <w:rsid w:val="003B5131"/>
    <w:rsid w:val="003B559E"/>
    <w:rsid w:val="003B5731"/>
    <w:rsid w:val="003B599D"/>
    <w:rsid w:val="003B5ABD"/>
    <w:rsid w:val="003B5AD6"/>
    <w:rsid w:val="003B5F3E"/>
    <w:rsid w:val="003B5FA9"/>
    <w:rsid w:val="003B6124"/>
    <w:rsid w:val="003B6667"/>
    <w:rsid w:val="003B67E3"/>
    <w:rsid w:val="003B714A"/>
    <w:rsid w:val="003B7CD6"/>
    <w:rsid w:val="003B7FCC"/>
    <w:rsid w:val="003C0114"/>
    <w:rsid w:val="003C0C38"/>
    <w:rsid w:val="003C0CB9"/>
    <w:rsid w:val="003C0E23"/>
    <w:rsid w:val="003C1038"/>
    <w:rsid w:val="003C11EE"/>
    <w:rsid w:val="003C12E2"/>
    <w:rsid w:val="003C143C"/>
    <w:rsid w:val="003C188E"/>
    <w:rsid w:val="003C208D"/>
    <w:rsid w:val="003C27F9"/>
    <w:rsid w:val="003C31E6"/>
    <w:rsid w:val="003C36F6"/>
    <w:rsid w:val="003C3A6B"/>
    <w:rsid w:val="003C431B"/>
    <w:rsid w:val="003C4B2C"/>
    <w:rsid w:val="003C4E43"/>
    <w:rsid w:val="003C4F76"/>
    <w:rsid w:val="003C5130"/>
    <w:rsid w:val="003C5158"/>
    <w:rsid w:val="003C5960"/>
    <w:rsid w:val="003C5A3C"/>
    <w:rsid w:val="003C5B0D"/>
    <w:rsid w:val="003C61BF"/>
    <w:rsid w:val="003C61C3"/>
    <w:rsid w:val="003C6276"/>
    <w:rsid w:val="003C6937"/>
    <w:rsid w:val="003C7340"/>
    <w:rsid w:val="003C7350"/>
    <w:rsid w:val="003C7731"/>
    <w:rsid w:val="003C78E2"/>
    <w:rsid w:val="003C79ED"/>
    <w:rsid w:val="003C7A14"/>
    <w:rsid w:val="003C7A70"/>
    <w:rsid w:val="003C7B1D"/>
    <w:rsid w:val="003C7EF3"/>
    <w:rsid w:val="003D02AA"/>
    <w:rsid w:val="003D0724"/>
    <w:rsid w:val="003D07C2"/>
    <w:rsid w:val="003D0969"/>
    <w:rsid w:val="003D0DF5"/>
    <w:rsid w:val="003D0F14"/>
    <w:rsid w:val="003D0F5C"/>
    <w:rsid w:val="003D1B55"/>
    <w:rsid w:val="003D20FC"/>
    <w:rsid w:val="003D2ABD"/>
    <w:rsid w:val="003D2B34"/>
    <w:rsid w:val="003D2DA1"/>
    <w:rsid w:val="003D3331"/>
    <w:rsid w:val="003D34FC"/>
    <w:rsid w:val="003D3562"/>
    <w:rsid w:val="003D3BB9"/>
    <w:rsid w:val="003D42F3"/>
    <w:rsid w:val="003D42FB"/>
    <w:rsid w:val="003D435A"/>
    <w:rsid w:val="003D436A"/>
    <w:rsid w:val="003D46D9"/>
    <w:rsid w:val="003D47E3"/>
    <w:rsid w:val="003D4930"/>
    <w:rsid w:val="003D5146"/>
    <w:rsid w:val="003D54CE"/>
    <w:rsid w:val="003D562E"/>
    <w:rsid w:val="003D5B24"/>
    <w:rsid w:val="003D6180"/>
    <w:rsid w:val="003D648C"/>
    <w:rsid w:val="003D745D"/>
    <w:rsid w:val="003D781D"/>
    <w:rsid w:val="003D795B"/>
    <w:rsid w:val="003D7EF3"/>
    <w:rsid w:val="003D7F5B"/>
    <w:rsid w:val="003E0125"/>
    <w:rsid w:val="003E03F7"/>
    <w:rsid w:val="003E0648"/>
    <w:rsid w:val="003E0D55"/>
    <w:rsid w:val="003E0D7C"/>
    <w:rsid w:val="003E0EE1"/>
    <w:rsid w:val="003E11FF"/>
    <w:rsid w:val="003E13DC"/>
    <w:rsid w:val="003E14C6"/>
    <w:rsid w:val="003E1557"/>
    <w:rsid w:val="003E1827"/>
    <w:rsid w:val="003E1A47"/>
    <w:rsid w:val="003E1B16"/>
    <w:rsid w:val="003E1C24"/>
    <w:rsid w:val="003E2D79"/>
    <w:rsid w:val="003E2E57"/>
    <w:rsid w:val="003E31F7"/>
    <w:rsid w:val="003E3736"/>
    <w:rsid w:val="003E3748"/>
    <w:rsid w:val="003E391A"/>
    <w:rsid w:val="003E3C77"/>
    <w:rsid w:val="003E3F0F"/>
    <w:rsid w:val="003E4265"/>
    <w:rsid w:val="003E44CB"/>
    <w:rsid w:val="003E49FC"/>
    <w:rsid w:val="003E5452"/>
    <w:rsid w:val="003E55C9"/>
    <w:rsid w:val="003E626D"/>
    <w:rsid w:val="003E6272"/>
    <w:rsid w:val="003E6476"/>
    <w:rsid w:val="003E6698"/>
    <w:rsid w:val="003E686C"/>
    <w:rsid w:val="003E68BE"/>
    <w:rsid w:val="003E7374"/>
    <w:rsid w:val="003E7652"/>
    <w:rsid w:val="003E7C79"/>
    <w:rsid w:val="003E7D3E"/>
    <w:rsid w:val="003E7F7D"/>
    <w:rsid w:val="003F0004"/>
    <w:rsid w:val="003F0BC4"/>
    <w:rsid w:val="003F0FE3"/>
    <w:rsid w:val="003F169D"/>
    <w:rsid w:val="003F1732"/>
    <w:rsid w:val="003F1767"/>
    <w:rsid w:val="003F1839"/>
    <w:rsid w:val="003F1C21"/>
    <w:rsid w:val="003F1CAD"/>
    <w:rsid w:val="003F1CE5"/>
    <w:rsid w:val="003F27A5"/>
    <w:rsid w:val="003F2811"/>
    <w:rsid w:val="003F2B77"/>
    <w:rsid w:val="003F2C1C"/>
    <w:rsid w:val="003F2E17"/>
    <w:rsid w:val="003F30D0"/>
    <w:rsid w:val="003F3676"/>
    <w:rsid w:val="003F3FCA"/>
    <w:rsid w:val="003F44A7"/>
    <w:rsid w:val="003F45FD"/>
    <w:rsid w:val="003F4D0B"/>
    <w:rsid w:val="003F5101"/>
    <w:rsid w:val="003F51D6"/>
    <w:rsid w:val="003F5AE6"/>
    <w:rsid w:val="003F5C1D"/>
    <w:rsid w:val="003F5C8F"/>
    <w:rsid w:val="003F5D56"/>
    <w:rsid w:val="003F60C2"/>
    <w:rsid w:val="003F693C"/>
    <w:rsid w:val="003F6D36"/>
    <w:rsid w:val="003F6F94"/>
    <w:rsid w:val="003F75B8"/>
    <w:rsid w:val="003F75E2"/>
    <w:rsid w:val="003F7658"/>
    <w:rsid w:val="003F7692"/>
    <w:rsid w:val="003F7727"/>
    <w:rsid w:val="003F7786"/>
    <w:rsid w:val="003F7946"/>
    <w:rsid w:val="003F7B2F"/>
    <w:rsid w:val="003F7E35"/>
    <w:rsid w:val="003F7F2D"/>
    <w:rsid w:val="004000E4"/>
    <w:rsid w:val="004002DE"/>
    <w:rsid w:val="004007FC"/>
    <w:rsid w:val="004009F5"/>
    <w:rsid w:val="004010FE"/>
    <w:rsid w:val="004012BA"/>
    <w:rsid w:val="004015BF"/>
    <w:rsid w:val="004019EA"/>
    <w:rsid w:val="00401BFB"/>
    <w:rsid w:val="00401EEF"/>
    <w:rsid w:val="00401F9E"/>
    <w:rsid w:val="00402028"/>
    <w:rsid w:val="00402140"/>
    <w:rsid w:val="004023B8"/>
    <w:rsid w:val="00402B1A"/>
    <w:rsid w:val="00402B7A"/>
    <w:rsid w:val="00402CE8"/>
    <w:rsid w:val="00402DD9"/>
    <w:rsid w:val="00402FBA"/>
    <w:rsid w:val="0040306F"/>
    <w:rsid w:val="00403204"/>
    <w:rsid w:val="0040389F"/>
    <w:rsid w:val="00403926"/>
    <w:rsid w:val="00403C41"/>
    <w:rsid w:val="00403E59"/>
    <w:rsid w:val="00404037"/>
    <w:rsid w:val="00404277"/>
    <w:rsid w:val="0040440A"/>
    <w:rsid w:val="00404428"/>
    <w:rsid w:val="00404BE7"/>
    <w:rsid w:val="00404C3F"/>
    <w:rsid w:val="00404D13"/>
    <w:rsid w:val="00404D77"/>
    <w:rsid w:val="00404E68"/>
    <w:rsid w:val="00405079"/>
    <w:rsid w:val="00405386"/>
    <w:rsid w:val="00406972"/>
    <w:rsid w:val="00406DB2"/>
    <w:rsid w:val="00406ED0"/>
    <w:rsid w:val="00407068"/>
    <w:rsid w:val="0040770C"/>
    <w:rsid w:val="00410ED7"/>
    <w:rsid w:val="00411746"/>
    <w:rsid w:val="00411C52"/>
    <w:rsid w:val="00411CA1"/>
    <w:rsid w:val="00412036"/>
    <w:rsid w:val="00412BEB"/>
    <w:rsid w:val="00412D83"/>
    <w:rsid w:val="0041313B"/>
    <w:rsid w:val="004135BF"/>
    <w:rsid w:val="0041388D"/>
    <w:rsid w:val="00413A22"/>
    <w:rsid w:val="00413C7F"/>
    <w:rsid w:val="00413E59"/>
    <w:rsid w:val="00414134"/>
    <w:rsid w:val="00414215"/>
    <w:rsid w:val="004144C3"/>
    <w:rsid w:val="004149B5"/>
    <w:rsid w:val="00414AAC"/>
    <w:rsid w:val="00414E37"/>
    <w:rsid w:val="00414E86"/>
    <w:rsid w:val="00414FD7"/>
    <w:rsid w:val="00415ABC"/>
    <w:rsid w:val="00415CF2"/>
    <w:rsid w:val="0041656C"/>
    <w:rsid w:val="004166D2"/>
    <w:rsid w:val="00416A1E"/>
    <w:rsid w:val="00416A79"/>
    <w:rsid w:val="00416C2B"/>
    <w:rsid w:val="00416DF4"/>
    <w:rsid w:val="0041715E"/>
    <w:rsid w:val="00417696"/>
    <w:rsid w:val="0042014A"/>
    <w:rsid w:val="0042103B"/>
    <w:rsid w:val="00421094"/>
    <w:rsid w:val="00421129"/>
    <w:rsid w:val="0042127A"/>
    <w:rsid w:val="00421694"/>
    <w:rsid w:val="004218D9"/>
    <w:rsid w:val="00421DCA"/>
    <w:rsid w:val="004223C6"/>
    <w:rsid w:val="004225F6"/>
    <w:rsid w:val="004229DE"/>
    <w:rsid w:val="0042356F"/>
    <w:rsid w:val="00423821"/>
    <w:rsid w:val="004239FE"/>
    <w:rsid w:val="00423F03"/>
    <w:rsid w:val="0042406B"/>
    <w:rsid w:val="00424E90"/>
    <w:rsid w:val="0042535D"/>
    <w:rsid w:val="00425A4D"/>
    <w:rsid w:val="00425DA5"/>
    <w:rsid w:val="00426279"/>
    <w:rsid w:val="0042636F"/>
    <w:rsid w:val="0042651B"/>
    <w:rsid w:val="00426F73"/>
    <w:rsid w:val="00427321"/>
    <w:rsid w:val="00427AC6"/>
    <w:rsid w:val="00430005"/>
    <w:rsid w:val="004300C6"/>
    <w:rsid w:val="004308BC"/>
    <w:rsid w:val="00430CE3"/>
    <w:rsid w:val="00430D0C"/>
    <w:rsid w:val="004313CF"/>
    <w:rsid w:val="00432B0C"/>
    <w:rsid w:val="00432BF4"/>
    <w:rsid w:val="00432C4C"/>
    <w:rsid w:val="00433336"/>
    <w:rsid w:val="00433AB3"/>
    <w:rsid w:val="00433D24"/>
    <w:rsid w:val="00433D8E"/>
    <w:rsid w:val="00434342"/>
    <w:rsid w:val="004343A9"/>
    <w:rsid w:val="00434DF9"/>
    <w:rsid w:val="00434F7E"/>
    <w:rsid w:val="00435408"/>
    <w:rsid w:val="00435B56"/>
    <w:rsid w:val="00435EF3"/>
    <w:rsid w:val="004360A8"/>
    <w:rsid w:val="004362EC"/>
    <w:rsid w:val="00436DEC"/>
    <w:rsid w:val="00437147"/>
    <w:rsid w:val="004376D0"/>
    <w:rsid w:val="00437741"/>
    <w:rsid w:val="00437915"/>
    <w:rsid w:val="00437B2F"/>
    <w:rsid w:val="00437B60"/>
    <w:rsid w:val="00437DE4"/>
    <w:rsid w:val="00440114"/>
    <w:rsid w:val="00440136"/>
    <w:rsid w:val="0044045C"/>
    <w:rsid w:val="004404A9"/>
    <w:rsid w:val="004404CD"/>
    <w:rsid w:val="00440739"/>
    <w:rsid w:val="004413BA"/>
    <w:rsid w:val="0044183A"/>
    <w:rsid w:val="00441845"/>
    <w:rsid w:val="004419E5"/>
    <w:rsid w:val="00441D63"/>
    <w:rsid w:val="00441FEA"/>
    <w:rsid w:val="00442150"/>
    <w:rsid w:val="00442151"/>
    <w:rsid w:val="004422F6"/>
    <w:rsid w:val="0044279A"/>
    <w:rsid w:val="00442E18"/>
    <w:rsid w:val="00442FF4"/>
    <w:rsid w:val="00443463"/>
    <w:rsid w:val="00443886"/>
    <w:rsid w:val="00443ADB"/>
    <w:rsid w:val="00443C40"/>
    <w:rsid w:val="00443ECD"/>
    <w:rsid w:val="00444187"/>
    <w:rsid w:val="00444444"/>
    <w:rsid w:val="004446C5"/>
    <w:rsid w:val="004449C4"/>
    <w:rsid w:val="004450D5"/>
    <w:rsid w:val="00445A94"/>
    <w:rsid w:val="004466FC"/>
    <w:rsid w:val="00446856"/>
    <w:rsid w:val="00446CC7"/>
    <w:rsid w:val="00446E3B"/>
    <w:rsid w:val="00447016"/>
    <w:rsid w:val="00447850"/>
    <w:rsid w:val="00450506"/>
    <w:rsid w:val="00450967"/>
    <w:rsid w:val="00450B91"/>
    <w:rsid w:val="00450CB7"/>
    <w:rsid w:val="004512F6"/>
    <w:rsid w:val="004514A1"/>
    <w:rsid w:val="00451B2B"/>
    <w:rsid w:val="00451FDB"/>
    <w:rsid w:val="00451FE7"/>
    <w:rsid w:val="00452169"/>
    <w:rsid w:val="004521EA"/>
    <w:rsid w:val="00452746"/>
    <w:rsid w:val="004527D8"/>
    <w:rsid w:val="004528CF"/>
    <w:rsid w:val="00452AC9"/>
    <w:rsid w:val="00452F32"/>
    <w:rsid w:val="00452FDE"/>
    <w:rsid w:val="004534F3"/>
    <w:rsid w:val="00453971"/>
    <w:rsid w:val="00453A9C"/>
    <w:rsid w:val="00453EE4"/>
    <w:rsid w:val="00454166"/>
    <w:rsid w:val="004543CC"/>
    <w:rsid w:val="004553C6"/>
    <w:rsid w:val="004553F8"/>
    <w:rsid w:val="00455636"/>
    <w:rsid w:val="00455B40"/>
    <w:rsid w:val="00455D88"/>
    <w:rsid w:val="00455DF3"/>
    <w:rsid w:val="00456C56"/>
    <w:rsid w:val="00456EB7"/>
    <w:rsid w:val="00457516"/>
    <w:rsid w:val="004603ED"/>
    <w:rsid w:val="00460891"/>
    <w:rsid w:val="00460A55"/>
    <w:rsid w:val="00460E43"/>
    <w:rsid w:val="00461747"/>
    <w:rsid w:val="00461B43"/>
    <w:rsid w:val="00461BA6"/>
    <w:rsid w:val="00461FA0"/>
    <w:rsid w:val="00462004"/>
    <w:rsid w:val="004626DA"/>
    <w:rsid w:val="00462725"/>
    <w:rsid w:val="00462965"/>
    <w:rsid w:val="00462C64"/>
    <w:rsid w:val="00462D78"/>
    <w:rsid w:val="00462EBA"/>
    <w:rsid w:val="004630DA"/>
    <w:rsid w:val="004631A5"/>
    <w:rsid w:val="00463312"/>
    <w:rsid w:val="0046335C"/>
    <w:rsid w:val="00463536"/>
    <w:rsid w:val="00463863"/>
    <w:rsid w:val="004639A8"/>
    <w:rsid w:val="004639BC"/>
    <w:rsid w:val="00463B7F"/>
    <w:rsid w:val="00463C24"/>
    <w:rsid w:val="004640D7"/>
    <w:rsid w:val="00464A01"/>
    <w:rsid w:val="00464F65"/>
    <w:rsid w:val="00464FCB"/>
    <w:rsid w:val="00465442"/>
    <w:rsid w:val="00465460"/>
    <w:rsid w:val="0046657C"/>
    <w:rsid w:val="0046676A"/>
    <w:rsid w:val="00466804"/>
    <w:rsid w:val="00466B37"/>
    <w:rsid w:val="00466DC2"/>
    <w:rsid w:val="00467094"/>
    <w:rsid w:val="004672CC"/>
    <w:rsid w:val="00467586"/>
    <w:rsid w:val="004679F5"/>
    <w:rsid w:val="00467B9D"/>
    <w:rsid w:val="00467CB8"/>
    <w:rsid w:val="004705ED"/>
    <w:rsid w:val="00471016"/>
    <w:rsid w:val="0047105E"/>
    <w:rsid w:val="00471675"/>
    <w:rsid w:val="004718CA"/>
    <w:rsid w:val="00471C1D"/>
    <w:rsid w:val="00471E82"/>
    <w:rsid w:val="00471EC9"/>
    <w:rsid w:val="0047239E"/>
    <w:rsid w:val="00472770"/>
    <w:rsid w:val="00472BA1"/>
    <w:rsid w:val="00472EA0"/>
    <w:rsid w:val="0047367C"/>
    <w:rsid w:val="004738ED"/>
    <w:rsid w:val="004739C7"/>
    <w:rsid w:val="00473E00"/>
    <w:rsid w:val="00474303"/>
    <w:rsid w:val="00474515"/>
    <w:rsid w:val="00474639"/>
    <w:rsid w:val="0047474A"/>
    <w:rsid w:val="004753DE"/>
    <w:rsid w:val="004757AC"/>
    <w:rsid w:val="00475845"/>
    <w:rsid w:val="0047662D"/>
    <w:rsid w:val="00476B3A"/>
    <w:rsid w:val="00476C6D"/>
    <w:rsid w:val="00476D74"/>
    <w:rsid w:val="00476E96"/>
    <w:rsid w:val="00476EE9"/>
    <w:rsid w:val="00477CC0"/>
    <w:rsid w:val="00477D37"/>
    <w:rsid w:val="00477F62"/>
    <w:rsid w:val="004800A1"/>
    <w:rsid w:val="004800B2"/>
    <w:rsid w:val="00480618"/>
    <w:rsid w:val="004810F0"/>
    <w:rsid w:val="00481526"/>
    <w:rsid w:val="0048157D"/>
    <w:rsid w:val="00482144"/>
    <w:rsid w:val="0048226E"/>
    <w:rsid w:val="0048227C"/>
    <w:rsid w:val="004825DC"/>
    <w:rsid w:val="00482802"/>
    <w:rsid w:val="00482D5C"/>
    <w:rsid w:val="00482E9A"/>
    <w:rsid w:val="0048320A"/>
    <w:rsid w:val="00483381"/>
    <w:rsid w:val="00483A86"/>
    <w:rsid w:val="00483B9F"/>
    <w:rsid w:val="00483DD9"/>
    <w:rsid w:val="00483E41"/>
    <w:rsid w:val="00483FA8"/>
    <w:rsid w:val="00484142"/>
    <w:rsid w:val="004841B6"/>
    <w:rsid w:val="00484381"/>
    <w:rsid w:val="004844C1"/>
    <w:rsid w:val="00484F13"/>
    <w:rsid w:val="00485AC4"/>
    <w:rsid w:val="00485B21"/>
    <w:rsid w:val="00486375"/>
    <w:rsid w:val="004863E9"/>
    <w:rsid w:val="004864B6"/>
    <w:rsid w:val="004864D4"/>
    <w:rsid w:val="004866E7"/>
    <w:rsid w:val="00486A64"/>
    <w:rsid w:val="00486C36"/>
    <w:rsid w:val="00486D61"/>
    <w:rsid w:val="00486D89"/>
    <w:rsid w:val="00486E0B"/>
    <w:rsid w:val="00487411"/>
    <w:rsid w:val="00487B53"/>
    <w:rsid w:val="004900F4"/>
    <w:rsid w:val="0049030D"/>
    <w:rsid w:val="004914B6"/>
    <w:rsid w:val="00491532"/>
    <w:rsid w:val="0049156F"/>
    <w:rsid w:val="00491AB0"/>
    <w:rsid w:val="00491ADB"/>
    <w:rsid w:val="0049206E"/>
    <w:rsid w:val="00492234"/>
    <w:rsid w:val="00492AF5"/>
    <w:rsid w:val="00492BEF"/>
    <w:rsid w:val="00492C76"/>
    <w:rsid w:val="00492F6D"/>
    <w:rsid w:val="00492FD5"/>
    <w:rsid w:val="00493145"/>
    <w:rsid w:val="00493C60"/>
    <w:rsid w:val="004941DB"/>
    <w:rsid w:val="004941FF"/>
    <w:rsid w:val="004950AE"/>
    <w:rsid w:val="00495274"/>
    <w:rsid w:val="00495430"/>
    <w:rsid w:val="00495829"/>
    <w:rsid w:val="0049596E"/>
    <w:rsid w:val="00495AB5"/>
    <w:rsid w:val="00495B32"/>
    <w:rsid w:val="00495D86"/>
    <w:rsid w:val="004964E8"/>
    <w:rsid w:val="00496BCA"/>
    <w:rsid w:val="00496D1B"/>
    <w:rsid w:val="00497147"/>
    <w:rsid w:val="0049722F"/>
    <w:rsid w:val="00497726"/>
    <w:rsid w:val="004A0100"/>
    <w:rsid w:val="004A03DA"/>
    <w:rsid w:val="004A05DA"/>
    <w:rsid w:val="004A0682"/>
    <w:rsid w:val="004A14A5"/>
    <w:rsid w:val="004A221A"/>
    <w:rsid w:val="004A2325"/>
    <w:rsid w:val="004A2D8B"/>
    <w:rsid w:val="004A31A3"/>
    <w:rsid w:val="004A34AC"/>
    <w:rsid w:val="004A378E"/>
    <w:rsid w:val="004A3DFE"/>
    <w:rsid w:val="004A3FD8"/>
    <w:rsid w:val="004A4130"/>
    <w:rsid w:val="004A4259"/>
    <w:rsid w:val="004A4454"/>
    <w:rsid w:val="004A4471"/>
    <w:rsid w:val="004A5023"/>
    <w:rsid w:val="004A5770"/>
    <w:rsid w:val="004A5927"/>
    <w:rsid w:val="004A59AC"/>
    <w:rsid w:val="004A5A00"/>
    <w:rsid w:val="004A66AF"/>
    <w:rsid w:val="004A66EE"/>
    <w:rsid w:val="004A6D4F"/>
    <w:rsid w:val="004A6F55"/>
    <w:rsid w:val="004A7F00"/>
    <w:rsid w:val="004B0295"/>
    <w:rsid w:val="004B0C08"/>
    <w:rsid w:val="004B0D63"/>
    <w:rsid w:val="004B1699"/>
    <w:rsid w:val="004B1735"/>
    <w:rsid w:val="004B1DB2"/>
    <w:rsid w:val="004B2036"/>
    <w:rsid w:val="004B26BB"/>
    <w:rsid w:val="004B2863"/>
    <w:rsid w:val="004B29B9"/>
    <w:rsid w:val="004B2C5D"/>
    <w:rsid w:val="004B3AD1"/>
    <w:rsid w:val="004B3C53"/>
    <w:rsid w:val="004B3C89"/>
    <w:rsid w:val="004B41D8"/>
    <w:rsid w:val="004B46F9"/>
    <w:rsid w:val="004B5157"/>
    <w:rsid w:val="004B5508"/>
    <w:rsid w:val="004B5806"/>
    <w:rsid w:val="004B591F"/>
    <w:rsid w:val="004B5992"/>
    <w:rsid w:val="004B5AE2"/>
    <w:rsid w:val="004B5B32"/>
    <w:rsid w:val="004B5D5B"/>
    <w:rsid w:val="004B67C6"/>
    <w:rsid w:val="004B6876"/>
    <w:rsid w:val="004B69FC"/>
    <w:rsid w:val="004B6AB7"/>
    <w:rsid w:val="004B6B40"/>
    <w:rsid w:val="004B6DAC"/>
    <w:rsid w:val="004B744D"/>
    <w:rsid w:val="004B79B1"/>
    <w:rsid w:val="004B7A12"/>
    <w:rsid w:val="004B7CCA"/>
    <w:rsid w:val="004C0747"/>
    <w:rsid w:val="004C1804"/>
    <w:rsid w:val="004C1BF8"/>
    <w:rsid w:val="004C215E"/>
    <w:rsid w:val="004C2A04"/>
    <w:rsid w:val="004C2E66"/>
    <w:rsid w:val="004C3060"/>
    <w:rsid w:val="004C3219"/>
    <w:rsid w:val="004C39CD"/>
    <w:rsid w:val="004C3A82"/>
    <w:rsid w:val="004C3E23"/>
    <w:rsid w:val="004C4115"/>
    <w:rsid w:val="004C454A"/>
    <w:rsid w:val="004C4B96"/>
    <w:rsid w:val="004C4CC8"/>
    <w:rsid w:val="004C4DF1"/>
    <w:rsid w:val="004C4EE6"/>
    <w:rsid w:val="004C4F45"/>
    <w:rsid w:val="004C527E"/>
    <w:rsid w:val="004C5869"/>
    <w:rsid w:val="004C5A84"/>
    <w:rsid w:val="004C5E79"/>
    <w:rsid w:val="004C5E9D"/>
    <w:rsid w:val="004C5F58"/>
    <w:rsid w:val="004C609C"/>
    <w:rsid w:val="004C617B"/>
    <w:rsid w:val="004C65BB"/>
    <w:rsid w:val="004C6788"/>
    <w:rsid w:val="004C6B15"/>
    <w:rsid w:val="004C6CA6"/>
    <w:rsid w:val="004C746A"/>
    <w:rsid w:val="004C7B75"/>
    <w:rsid w:val="004D005A"/>
    <w:rsid w:val="004D01B8"/>
    <w:rsid w:val="004D05C5"/>
    <w:rsid w:val="004D09BD"/>
    <w:rsid w:val="004D0C04"/>
    <w:rsid w:val="004D10A9"/>
    <w:rsid w:val="004D123A"/>
    <w:rsid w:val="004D12B5"/>
    <w:rsid w:val="004D15AF"/>
    <w:rsid w:val="004D17A5"/>
    <w:rsid w:val="004D19C8"/>
    <w:rsid w:val="004D1C40"/>
    <w:rsid w:val="004D2074"/>
    <w:rsid w:val="004D26D2"/>
    <w:rsid w:val="004D2C2F"/>
    <w:rsid w:val="004D2C77"/>
    <w:rsid w:val="004D2EC0"/>
    <w:rsid w:val="004D314C"/>
    <w:rsid w:val="004D3A0B"/>
    <w:rsid w:val="004D41D4"/>
    <w:rsid w:val="004D43FA"/>
    <w:rsid w:val="004D53A0"/>
    <w:rsid w:val="004D5C14"/>
    <w:rsid w:val="004D6133"/>
    <w:rsid w:val="004D61C1"/>
    <w:rsid w:val="004D6276"/>
    <w:rsid w:val="004D64BC"/>
    <w:rsid w:val="004D64E0"/>
    <w:rsid w:val="004D6547"/>
    <w:rsid w:val="004D6B89"/>
    <w:rsid w:val="004D6C03"/>
    <w:rsid w:val="004D727B"/>
    <w:rsid w:val="004D731E"/>
    <w:rsid w:val="004D76E6"/>
    <w:rsid w:val="004D77B1"/>
    <w:rsid w:val="004D7A16"/>
    <w:rsid w:val="004D7C52"/>
    <w:rsid w:val="004E050F"/>
    <w:rsid w:val="004E15CD"/>
    <w:rsid w:val="004E162C"/>
    <w:rsid w:val="004E1D3A"/>
    <w:rsid w:val="004E2005"/>
    <w:rsid w:val="004E25AE"/>
    <w:rsid w:val="004E2FE2"/>
    <w:rsid w:val="004E3411"/>
    <w:rsid w:val="004E3503"/>
    <w:rsid w:val="004E3835"/>
    <w:rsid w:val="004E389B"/>
    <w:rsid w:val="004E39FE"/>
    <w:rsid w:val="004E4553"/>
    <w:rsid w:val="004E45C4"/>
    <w:rsid w:val="004E5198"/>
    <w:rsid w:val="004E5363"/>
    <w:rsid w:val="004E53CF"/>
    <w:rsid w:val="004E54B6"/>
    <w:rsid w:val="004E579C"/>
    <w:rsid w:val="004E5856"/>
    <w:rsid w:val="004E596C"/>
    <w:rsid w:val="004E598D"/>
    <w:rsid w:val="004E5A45"/>
    <w:rsid w:val="004E5AD4"/>
    <w:rsid w:val="004E6824"/>
    <w:rsid w:val="004E7433"/>
    <w:rsid w:val="004E75C8"/>
    <w:rsid w:val="004E7766"/>
    <w:rsid w:val="004E78A0"/>
    <w:rsid w:val="004E7F71"/>
    <w:rsid w:val="004F0317"/>
    <w:rsid w:val="004F07BA"/>
    <w:rsid w:val="004F07C2"/>
    <w:rsid w:val="004F0E86"/>
    <w:rsid w:val="004F1C5F"/>
    <w:rsid w:val="004F249F"/>
    <w:rsid w:val="004F25F8"/>
    <w:rsid w:val="004F3637"/>
    <w:rsid w:val="004F36F1"/>
    <w:rsid w:val="004F3970"/>
    <w:rsid w:val="004F3A7D"/>
    <w:rsid w:val="004F3EFC"/>
    <w:rsid w:val="004F4859"/>
    <w:rsid w:val="004F537D"/>
    <w:rsid w:val="004F58AF"/>
    <w:rsid w:val="004F5B8A"/>
    <w:rsid w:val="004F6159"/>
    <w:rsid w:val="004F61B0"/>
    <w:rsid w:val="004F61DA"/>
    <w:rsid w:val="004F628E"/>
    <w:rsid w:val="004F6685"/>
    <w:rsid w:val="004F66DF"/>
    <w:rsid w:val="004F6AD0"/>
    <w:rsid w:val="004F7598"/>
    <w:rsid w:val="004F7712"/>
    <w:rsid w:val="004F7813"/>
    <w:rsid w:val="004F7897"/>
    <w:rsid w:val="004F7BEA"/>
    <w:rsid w:val="004F7BF4"/>
    <w:rsid w:val="004F7E75"/>
    <w:rsid w:val="0050071E"/>
    <w:rsid w:val="00500FE1"/>
    <w:rsid w:val="00501472"/>
    <w:rsid w:val="005014FD"/>
    <w:rsid w:val="00501AB2"/>
    <w:rsid w:val="00501B2A"/>
    <w:rsid w:val="00501B61"/>
    <w:rsid w:val="00501D0C"/>
    <w:rsid w:val="00501FFC"/>
    <w:rsid w:val="0050217B"/>
    <w:rsid w:val="005021EC"/>
    <w:rsid w:val="0050232B"/>
    <w:rsid w:val="005026B5"/>
    <w:rsid w:val="00502F65"/>
    <w:rsid w:val="0050324A"/>
    <w:rsid w:val="005035C6"/>
    <w:rsid w:val="00503677"/>
    <w:rsid w:val="00503735"/>
    <w:rsid w:val="00503C5B"/>
    <w:rsid w:val="00503E46"/>
    <w:rsid w:val="00503F66"/>
    <w:rsid w:val="005044A8"/>
    <w:rsid w:val="005046EE"/>
    <w:rsid w:val="005049F5"/>
    <w:rsid w:val="00505027"/>
    <w:rsid w:val="00505086"/>
    <w:rsid w:val="00505124"/>
    <w:rsid w:val="00505641"/>
    <w:rsid w:val="00505FCE"/>
    <w:rsid w:val="005062EA"/>
    <w:rsid w:val="005067ED"/>
    <w:rsid w:val="0050680D"/>
    <w:rsid w:val="00506878"/>
    <w:rsid w:val="005068F5"/>
    <w:rsid w:val="0050694B"/>
    <w:rsid w:val="00506D81"/>
    <w:rsid w:val="005071FD"/>
    <w:rsid w:val="005072E1"/>
    <w:rsid w:val="005073E6"/>
    <w:rsid w:val="00507419"/>
    <w:rsid w:val="005076DD"/>
    <w:rsid w:val="00507ABE"/>
    <w:rsid w:val="00507D2C"/>
    <w:rsid w:val="005104D8"/>
    <w:rsid w:val="0051096D"/>
    <w:rsid w:val="00510C3E"/>
    <w:rsid w:val="00510EF4"/>
    <w:rsid w:val="00510F2A"/>
    <w:rsid w:val="00511292"/>
    <w:rsid w:val="005112E5"/>
    <w:rsid w:val="0051168A"/>
    <w:rsid w:val="005116F2"/>
    <w:rsid w:val="00511D3C"/>
    <w:rsid w:val="0051205F"/>
    <w:rsid w:val="00512694"/>
    <w:rsid w:val="005139BC"/>
    <w:rsid w:val="00513C4E"/>
    <w:rsid w:val="0051452F"/>
    <w:rsid w:val="00514694"/>
    <w:rsid w:val="00514BDE"/>
    <w:rsid w:val="00514F71"/>
    <w:rsid w:val="00515330"/>
    <w:rsid w:val="005155D3"/>
    <w:rsid w:val="005158DD"/>
    <w:rsid w:val="00515930"/>
    <w:rsid w:val="00515BC6"/>
    <w:rsid w:val="00515D3B"/>
    <w:rsid w:val="00516041"/>
    <w:rsid w:val="00516182"/>
    <w:rsid w:val="00516396"/>
    <w:rsid w:val="005164DE"/>
    <w:rsid w:val="00517CD1"/>
    <w:rsid w:val="00517D8C"/>
    <w:rsid w:val="00520095"/>
    <w:rsid w:val="005200E2"/>
    <w:rsid w:val="005204AA"/>
    <w:rsid w:val="005208D7"/>
    <w:rsid w:val="0052165C"/>
    <w:rsid w:val="00521FAD"/>
    <w:rsid w:val="0052200F"/>
    <w:rsid w:val="0052247F"/>
    <w:rsid w:val="0052270C"/>
    <w:rsid w:val="00522A4C"/>
    <w:rsid w:val="00523152"/>
    <w:rsid w:val="00523C5D"/>
    <w:rsid w:val="00523C99"/>
    <w:rsid w:val="00524AEB"/>
    <w:rsid w:val="00524C71"/>
    <w:rsid w:val="00524E33"/>
    <w:rsid w:val="00525934"/>
    <w:rsid w:val="00525A80"/>
    <w:rsid w:val="00525F1A"/>
    <w:rsid w:val="005262A5"/>
    <w:rsid w:val="005265C4"/>
    <w:rsid w:val="005269A0"/>
    <w:rsid w:val="00526F13"/>
    <w:rsid w:val="00526F9A"/>
    <w:rsid w:val="0052731A"/>
    <w:rsid w:val="00527860"/>
    <w:rsid w:val="005278E7"/>
    <w:rsid w:val="00527959"/>
    <w:rsid w:val="00527D00"/>
    <w:rsid w:val="00527E51"/>
    <w:rsid w:val="005303A4"/>
    <w:rsid w:val="00530614"/>
    <w:rsid w:val="00530D38"/>
    <w:rsid w:val="00530FDA"/>
    <w:rsid w:val="0053290B"/>
    <w:rsid w:val="005336CD"/>
    <w:rsid w:val="00533732"/>
    <w:rsid w:val="00533830"/>
    <w:rsid w:val="00533E16"/>
    <w:rsid w:val="00534492"/>
    <w:rsid w:val="0053459C"/>
    <w:rsid w:val="005345E0"/>
    <w:rsid w:val="00534EF8"/>
    <w:rsid w:val="00534F13"/>
    <w:rsid w:val="00535065"/>
    <w:rsid w:val="005350B7"/>
    <w:rsid w:val="00535262"/>
    <w:rsid w:val="005354F8"/>
    <w:rsid w:val="0053589D"/>
    <w:rsid w:val="005358D5"/>
    <w:rsid w:val="00535B3F"/>
    <w:rsid w:val="00535FCB"/>
    <w:rsid w:val="0053625B"/>
    <w:rsid w:val="00536D4A"/>
    <w:rsid w:val="00536D8F"/>
    <w:rsid w:val="00536F3E"/>
    <w:rsid w:val="005370FC"/>
    <w:rsid w:val="00537E9D"/>
    <w:rsid w:val="00537EE1"/>
    <w:rsid w:val="0054004F"/>
    <w:rsid w:val="0054025E"/>
    <w:rsid w:val="00540C86"/>
    <w:rsid w:val="00540F5E"/>
    <w:rsid w:val="005417EB"/>
    <w:rsid w:val="005420BF"/>
    <w:rsid w:val="00542174"/>
    <w:rsid w:val="00542244"/>
    <w:rsid w:val="0054250E"/>
    <w:rsid w:val="00542570"/>
    <w:rsid w:val="00542595"/>
    <w:rsid w:val="00542C3E"/>
    <w:rsid w:val="00542CA4"/>
    <w:rsid w:val="00542E81"/>
    <w:rsid w:val="005431DA"/>
    <w:rsid w:val="005434C0"/>
    <w:rsid w:val="005440E8"/>
    <w:rsid w:val="0054422C"/>
    <w:rsid w:val="005444B1"/>
    <w:rsid w:val="00544764"/>
    <w:rsid w:val="005448DA"/>
    <w:rsid w:val="005449BC"/>
    <w:rsid w:val="0054554A"/>
    <w:rsid w:val="0054574A"/>
    <w:rsid w:val="00545BAA"/>
    <w:rsid w:val="00545C12"/>
    <w:rsid w:val="00546293"/>
    <w:rsid w:val="005463CB"/>
    <w:rsid w:val="005467E9"/>
    <w:rsid w:val="005468A1"/>
    <w:rsid w:val="00546F58"/>
    <w:rsid w:val="0054745E"/>
    <w:rsid w:val="005475BB"/>
    <w:rsid w:val="0054778B"/>
    <w:rsid w:val="00547BFA"/>
    <w:rsid w:val="00547F35"/>
    <w:rsid w:val="0055069F"/>
    <w:rsid w:val="00550AB6"/>
    <w:rsid w:val="00551C6A"/>
    <w:rsid w:val="00551FEA"/>
    <w:rsid w:val="005524D4"/>
    <w:rsid w:val="00552DEC"/>
    <w:rsid w:val="00552F12"/>
    <w:rsid w:val="00552F6F"/>
    <w:rsid w:val="00553006"/>
    <w:rsid w:val="00553167"/>
    <w:rsid w:val="0055323C"/>
    <w:rsid w:val="00553518"/>
    <w:rsid w:val="005538C9"/>
    <w:rsid w:val="005548C0"/>
    <w:rsid w:val="00554EF5"/>
    <w:rsid w:val="0055525A"/>
    <w:rsid w:val="00555630"/>
    <w:rsid w:val="00555DAC"/>
    <w:rsid w:val="00555EDF"/>
    <w:rsid w:val="00555F07"/>
    <w:rsid w:val="00556235"/>
    <w:rsid w:val="00556319"/>
    <w:rsid w:val="00556472"/>
    <w:rsid w:val="005569EA"/>
    <w:rsid w:val="00556C2A"/>
    <w:rsid w:val="00556D54"/>
    <w:rsid w:val="0055709F"/>
    <w:rsid w:val="005570A6"/>
    <w:rsid w:val="005570ED"/>
    <w:rsid w:val="00557133"/>
    <w:rsid w:val="00557167"/>
    <w:rsid w:val="005572A7"/>
    <w:rsid w:val="005576B5"/>
    <w:rsid w:val="00557B92"/>
    <w:rsid w:val="005601D2"/>
    <w:rsid w:val="005602D3"/>
    <w:rsid w:val="00560575"/>
    <w:rsid w:val="005606A5"/>
    <w:rsid w:val="005606D4"/>
    <w:rsid w:val="005609CB"/>
    <w:rsid w:val="00560D53"/>
    <w:rsid w:val="00560E52"/>
    <w:rsid w:val="00560F26"/>
    <w:rsid w:val="005613FD"/>
    <w:rsid w:val="0056151E"/>
    <w:rsid w:val="005615E7"/>
    <w:rsid w:val="00561D7A"/>
    <w:rsid w:val="00561DBB"/>
    <w:rsid w:val="00561EA8"/>
    <w:rsid w:val="005620E2"/>
    <w:rsid w:val="0056225F"/>
    <w:rsid w:val="00562436"/>
    <w:rsid w:val="005625A4"/>
    <w:rsid w:val="00562D04"/>
    <w:rsid w:val="00562FFA"/>
    <w:rsid w:val="00563043"/>
    <w:rsid w:val="005631A9"/>
    <w:rsid w:val="00563335"/>
    <w:rsid w:val="00563502"/>
    <w:rsid w:val="005636B6"/>
    <w:rsid w:val="00563D45"/>
    <w:rsid w:val="00564592"/>
    <w:rsid w:val="0056466E"/>
    <w:rsid w:val="005646B8"/>
    <w:rsid w:val="00565EDD"/>
    <w:rsid w:val="00566331"/>
    <w:rsid w:val="00566715"/>
    <w:rsid w:val="00567517"/>
    <w:rsid w:val="00567821"/>
    <w:rsid w:val="00567A5A"/>
    <w:rsid w:val="00567AFD"/>
    <w:rsid w:val="00567C20"/>
    <w:rsid w:val="00567CC7"/>
    <w:rsid w:val="00567E1B"/>
    <w:rsid w:val="00570445"/>
    <w:rsid w:val="00570573"/>
    <w:rsid w:val="00570640"/>
    <w:rsid w:val="00571163"/>
    <w:rsid w:val="00571267"/>
    <w:rsid w:val="0057194A"/>
    <w:rsid w:val="00571C57"/>
    <w:rsid w:val="005724E8"/>
    <w:rsid w:val="005735DE"/>
    <w:rsid w:val="005743A7"/>
    <w:rsid w:val="0057443A"/>
    <w:rsid w:val="005744F6"/>
    <w:rsid w:val="005745B8"/>
    <w:rsid w:val="00574605"/>
    <w:rsid w:val="005746D0"/>
    <w:rsid w:val="00574A57"/>
    <w:rsid w:val="00574ADC"/>
    <w:rsid w:val="00574BF8"/>
    <w:rsid w:val="005754D8"/>
    <w:rsid w:val="00575CAE"/>
    <w:rsid w:val="00575EC9"/>
    <w:rsid w:val="00575EFE"/>
    <w:rsid w:val="00576C2E"/>
    <w:rsid w:val="00576C8F"/>
    <w:rsid w:val="00576D65"/>
    <w:rsid w:val="00577570"/>
    <w:rsid w:val="0058046C"/>
    <w:rsid w:val="005804C2"/>
    <w:rsid w:val="005804D8"/>
    <w:rsid w:val="00580726"/>
    <w:rsid w:val="00581159"/>
    <w:rsid w:val="005811EC"/>
    <w:rsid w:val="005811F0"/>
    <w:rsid w:val="00581291"/>
    <w:rsid w:val="005814B7"/>
    <w:rsid w:val="00581514"/>
    <w:rsid w:val="00581517"/>
    <w:rsid w:val="005819DD"/>
    <w:rsid w:val="00581A83"/>
    <w:rsid w:val="00581B24"/>
    <w:rsid w:val="00581D41"/>
    <w:rsid w:val="00581FCA"/>
    <w:rsid w:val="00582613"/>
    <w:rsid w:val="0058272D"/>
    <w:rsid w:val="0058290E"/>
    <w:rsid w:val="0058294C"/>
    <w:rsid w:val="00582FD0"/>
    <w:rsid w:val="005833DB"/>
    <w:rsid w:val="005834AA"/>
    <w:rsid w:val="00583965"/>
    <w:rsid w:val="00583DE0"/>
    <w:rsid w:val="00584196"/>
    <w:rsid w:val="00584479"/>
    <w:rsid w:val="00584679"/>
    <w:rsid w:val="0058480B"/>
    <w:rsid w:val="0058637B"/>
    <w:rsid w:val="0058640F"/>
    <w:rsid w:val="00586D5D"/>
    <w:rsid w:val="00586E4A"/>
    <w:rsid w:val="0058726E"/>
    <w:rsid w:val="00587FC6"/>
    <w:rsid w:val="005901D1"/>
    <w:rsid w:val="00590662"/>
    <w:rsid w:val="00590688"/>
    <w:rsid w:val="00590933"/>
    <w:rsid w:val="00590FE7"/>
    <w:rsid w:val="00591206"/>
    <w:rsid w:val="005913CD"/>
    <w:rsid w:val="005917C5"/>
    <w:rsid w:val="0059199C"/>
    <w:rsid w:val="00591A6D"/>
    <w:rsid w:val="00591DEF"/>
    <w:rsid w:val="0059219E"/>
    <w:rsid w:val="005929F3"/>
    <w:rsid w:val="00592D90"/>
    <w:rsid w:val="00592FEF"/>
    <w:rsid w:val="0059316B"/>
    <w:rsid w:val="005932AF"/>
    <w:rsid w:val="00593423"/>
    <w:rsid w:val="0059381D"/>
    <w:rsid w:val="00594A22"/>
    <w:rsid w:val="00594BC6"/>
    <w:rsid w:val="00594F35"/>
    <w:rsid w:val="00595003"/>
    <w:rsid w:val="005953B5"/>
    <w:rsid w:val="00595555"/>
    <w:rsid w:val="0059576F"/>
    <w:rsid w:val="00595CD5"/>
    <w:rsid w:val="00596058"/>
    <w:rsid w:val="00596368"/>
    <w:rsid w:val="0059665E"/>
    <w:rsid w:val="00596ADE"/>
    <w:rsid w:val="00596AEA"/>
    <w:rsid w:val="005972B0"/>
    <w:rsid w:val="0059751A"/>
    <w:rsid w:val="00597AFD"/>
    <w:rsid w:val="00597DFA"/>
    <w:rsid w:val="005A0180"/>
    <w:rsid w:val="005A0630"/>
    <w:rsid w:val="005A064F"/>
    <w:rsid w:val="005A1230"/>
    <w:rsid w:val="005A125C"/>
    <w:rsid w:val="005A158B"/>
    <w:rsid w:val="005A1874"/>
    <w:rsid w:val="005A1A73"/>
    <w:rsid w:val="005A20E0"/>
    <w:rsid w:val="005A21FB"/>
    <w:rsid w:val="005A23F5"/>
    <w:rsid w:val="005A2494"/>
    <w:rsid w:val="005A2610"/>
    <w:rsid w:val="005A2B76"/>
    <w:rsid w:val="005A2D16"/>
    <w:rsid w:val="005A2E15"/>
    <w:rsid w:val="005A30B5"/>
    <w:rsid w:val="005A4149"/>
    <w:rsid w:val="005A41F5"/>
    <w:rsid w:val="005A480A"/>
    <w:rsid w:val="005A4CA3"/>
    <w:rsid w:val="005A5594"/>
    <w:rsid w:val="005A5831"/>
    <w:rsid w:val="005A5EC8"/>
    <w:rsid w:val="005A60F5"/>
    <w:rsid w:val="005A6118"/>
    <w:rsid w:val="005A6353"/>
    <w:rsid w:val="005A72AE"/>
    <w:rsid w:val="005A77EA"/>
    <w:rsid w:val="005A7B83"/>
    <w:rsid w:val="005A7C0E"/>
    <w:rsid w:val="005A7F8F"/>
    <w:rsid w:val="005B0162"/>
    <w:rsid w:val="005B04AE"/>
    <w:rsid w:val="005B07E0"/>
    <w:rsid w:val="005B0CA0"/>
    <w:rsid w:val="005B154C"/>
    <w:rsid w:val="005B1899"/>
    <w:rsid w:val="005B18AB"/>
    <w:rsid w:val="005B1DC1"/>
    <w:rsid w:val="005B20D8"/>
    <w:rsid w:val="005B298D"/>
    <w:rsid w:val="005B2A33"/>
    <w:rsid w:val="005B3045"/>
    <w:rsid w:val="005B3496"/>
    <w:rsid w:val="005B35CA"/>
    <w:rsid w:val="005B3646"/>
    <w:rsid w:val="005B3957"/>
    <w:rsid w:val="005B39DA"/>
    <w:rsid w:val="005B43AD"/>
    <w:rsid w:val="005B4507"/>
    <w:rsid w:val="005B45C7"/>
    <w:rsid w:val="005B475B"/>
    <w:rsid w:val="005B4B03"/>
    <w:rsid w:val="005B5346"/>
    <w:rsid w:val="005B591C"/>
    <w:rsid w:val="005B5B40"/>
    <w:rsid w:val="005B6270"/>
    <w:rsid w:val="005B673A"/>
    <w:rsid w:val="005B6A6B"/>
    <w:rsid w:val="005B7A48"/>
    <w:rsid w:val="005B7AA4"/>
    <w:rsid w:val="005B7C71"/>
    <w:rsid w:val="005C03B3"/>
    <w:rsid w:val="005C061E"/>
    <w:rsid w:val="005C0874"/>
    <w:rsid w:val="005C0949"/>
    <w:rsid w:val="005C099D"/>
    <w:rsid w:val="005C0C30"/>
    <w:rsid w:val="005C0D82"/>
    <w:rsid w:val="005C19AE"/>
    <w:rsid w:val="005C20A8"/>
    <w:rsid w:val="005C25AA"/>
    <w:rsid w:val="005C2FB0"/>
    <w:rsid w:val="005C3E17"/>
    <w:rsid w:val="005C40F3"/>
    <w:rsid w:val="005C4181"/>
    <w:rsid w:val="005C44A6"/>
    <w:rsid w:val="005C4640"/>
    <w:rsid w:val="005C4ED5"/>
    <w:rsid w:val="005C512F"/>
    <w:rsid w:val="005C5316"/>
    <w:rsid w:val="005C5428"/>
    <w:rsid w:val="005C5790"/>
    <w:rsid w:val="005C6209"/>
    <w:rsid w:val="005C7342"/>
    <w:rsid w:val="005C7403"/>
    <w:rsid w:val="005C7913"/>
    <w:rsid w:val="005C7FEF"/>
    <w:rsid w:val="005D00A2"/>
    <w:rsid w:val="005D0247"/>
    <w:rsid w:val="005D0372"/>
    <w:rsid w:val="005D0795"/>
    <w:rsid w:val="005D08D2"/>
    <w:rsid w:val="005D0A84"/>
    <w:rsid w:val="005D0B1E"/>
    <w:rsid w:val="005D1493"/>
    <w:rsid w:val="005D191A"/>
    <w:rsid w:val="005D1BEC"/>
    <w:rsid w:val="005D1DC2"/>
    <w:rsid w:val="005D1DF1"/>
    <w:rsid w:val="005D1E74"/>
    <w:rsid w:val="005D22B4"/>
    <w:rsid w:val="005D2375"/>
    <w:rsid w:val="005D28B5"/>
    <w:rsid w:val="005D29DE"/>
    <w:rsid w:val="005D2B8A"/>
    <w:rsid w:val="005D300A"/>
    <w:rsid w:val="005D3738"/>
    <w:rsid w:val="005D3F74"/>
    <w:rsid w:val="005D4209"/>
    <w:rsid w:val="005D42C9"/>
    <w:rsid w:val="005D4640"/>
    <w:rsid w:val="005D475E"/>
    <w:rsid w:val="005D4C0A"/>
    <w:rsid w:val="005D54D2"/>
    <w:rsid w:val="005D5830"/>
    <w:rsid w:val="005D5AB7"/>
    <w:rsid w:val="005D5C54"/>
    <w:rsid w:val="005D5DED"/>
    <w:rsid w:val="005D5E96"/>
    <w:rsid w:val="005D5E9E"/>
    <w:rsid w:val="005D65DC"/>
    <w:rsid w:val="005D6696"/>
    <w:rsid w:val="005D7636"/>
    <w:rsid w:val="005D772D"/>
    <w:rsid w:val="005D7835"/>
    <w:rsid w:val="005D7C36"/>
    <w:rsid w:val="005D7E75"/>
    <w:rsid w:val="005E070F"/>
    <w:rsid w:val="005E07E6"/>
    <w:rsid w:val="005E094B"/>
    <w:rsid w:val="005E0A21"/>
    <w:rsid w:val="005E0A30"/>
    <w:rsid w:val="005E1360"/>
    <w:rsid w:val="005E198E"/>
    <w:rsid w:val="005E1DA2"/>
    <w:rsid w:val="005E1F83"/>
    <w:rsid w:val="005E20FE"/>
    <w:rsid w:val="005E2C0A"/>
    <w:rsid w:val="005E2C47"/>
    <w:rsid w:val="005E38DA"/>
    <w:rsid w:val="005E3C35"/>
    <w:rsid w:val="005E3CC8"/>
    <w:rsid w:val="005E3CEE"/>
    <w:rsid w:val="005E3F0C"/>
    <w:rsid w:val="005E4190"/>
    <w:rsid w:val="005E4862"/>
    <w:rsid w:val="005E48E4"/>
    <w:rsid w:val="005E5245"/>
    <w:rsid w:val="005E5A62"/>
    <w:rsid w:val="005E5FCF"/>
    <w:rsid w:val="005E60E7"/>
    <w:rsid w:val="005E74B6"/>
    <w:rsid w:val="005E75DD"/>
    <w:rsid w:val="005E78A5"/>
    <w:rsid w:val="005E7A41"/>
    <w:rsid w:val="005E7A52"/>
    <w:rsid w:val="005F03E3"/>
    <w:rsid w:val="005F08CE"/>
    <w:rsid w:val="005F0A12"/>
    <w:rsid w:val="005F14D4"/>
    <w:rsid w:val="005F1676"/>
    <w:rsid w:val="005F167A"/>
    <w:rsid w:val="005F21E7"/>
    <w:rsid w:val="005F2368"/>
    <w:rsid w:val="005F26F8"/>
    <w:rsid w:val="005F29BD"/>
    <w:rsid w:val="005F2A29"/>
    <w:rsid w:val="005F2A85"/>
    <w:rsid w:val="005F2B37"/>
    <w:rsid w:val="005F2C64"/>
    <w:rsid w:val="005F3012"/>
    <w:rsid w:val="005F30C2"/>
    <w:rsid w:val="005F35E7"/>
    <w:rsid w:val="005F4029"/>
    <w:rsid w:val="005F4198"/>
    <w:rsid w:val="005F48FA"/>
    <w:rsid w:val="005F4A40"/>
    <w:rsid w:val="005F4AE6"/>
    <w:rsid w:val="005F4CC5"/>
    <w:rsid w:val="005F53FF"/>
    <w:rsid w:val="005F5418"/>
    <w:rsid w:val="005F543E"/>
    <w:rsid w:val="005F5963"/>
    <w:rsid w:val="005F603D"/>
    <w:rsid w:val="005F624D"/>
    <w:rsid w:val="005F6753"/>
    <w:rsid w:val="005F6999"/>
    <w:rsid w:val="005F6AE2"/>
    <w:rsid w:val="005F6B89"/>
    <w:rsid w:val="005F6C75"/>
    <w:rsid w:val="005F715D"/>
    <w:rsid w:val="005F71F6"/>
    <w:rsid w:val="005F77C1"/>
    <w:rsid w:val="005F7A6D"/>
    <w:rsid w:val="0060006A"/>
    <w:rsid w:val="006000EE"/>
    <w:rsid w:val="0060025E"/>
    <w:rsid w:val="006002D6"/>
    <w:rsid w:val="00600F8C"/>
    <w:rsid w:val="006013CB"/>
    <w:rsid w:val="00601B38"/>
    <w:rsid w:val="006022EE"/>
    <w:rsid w:val="00603EF9"/>
    <w:rsid w:val="00604026"/>
    <w:rsid w:val="006040D2"/>
    <w:rsid w:val="006041B0"/>
    <w:rsid w:val="006048CF"/>
    <w:rsid w:val="00604AA8"/>
    <w:rsid w:val="00605330"/>
    <w:rsid w:val="00605A2E"/>
    <w:rsid w:val="00605ECD"/>
    <w:rsid w:val="00606927"/>
    <w:rsid w:val="00606ADE"/>
    <w:rsid w:val="00606B23"/>
    <w:rsid w:val="00607623"/>
    <w:rsid w:val="00607808"/>
    <w:rsid w:val="00607821"/>
    <w:rsid w:val="00607947"/>
    <w:rsid w:val="00607CF5"/>
    <w:rsid w:val="00607D01"/>
    <w:rsid w:val="00610286"/>
    <w:rsid w:val="00610D9C"/>
    <w:rsid w:val="00611235"/>
    <w:rsid w:val="0061169D"/>
    <w:rsid w:val="00611A48"/>
    <w:rsid w:val="0061234A"/>
    <w:rsid w:val="0061237F"/>
    <w:rsid w:val="006123B4"/>
    <w:rsid w:val="00612760"/>
    <w:rsid w:val="0061282A"/>
    <w:rsid w:val="00613152"/>
    <w:rsid w:val="006131C3"/>
    <w:rsid w:val="006134AF"/>
    <w:rsid w:val="00613CDB"/>
    <w:rsid w:val="00613FDD"/>
    <w:rsid w:val="006145F1"/>
    <w:rsid w:val="0061485E"/>
    <w:rsid w:val="0061499D"/>
    <w:rsid w:val="00614B96"/>
    <w:rsid w:val="006151D6"/>
    <w:rsid w:val="0061538B"/>
    <w:rsid w:val="006156BA"/>
    <w:rsid w:val="00615B91"/>
    <w:rsid w:val="00615C8C"/>
    <w:rsid w:val="00615CBB"/>
    <w:rsid w:val="00616545"/>
    <w:rsid w:val="00616E9B"/>
    <w:rsid w:val="00617212"/>
    <w:rsid w:val="00617399"/>
    <w:rsid w:val="00617EA4"/>
    <w:rsid w:val="00620316"/>
    <w:rsid w:val="00620518"/>
    <w:rsid w:val="00620AF2"/>
    <w:rsid w:val="00620E19"/>
    <w:rsid w:val="00620FF3"/>
    <w:rsid w:val="00621047"/>
    <w:rsid w:val="00621094"/>
    <w:rsid w:val="00621262"/>
    <w:rsid w:val="00621472"/>
    <w:rsid w:val="006214A4"/>
    <w:rsid w:val="00621761"/>
    <w:rsid w:val="006217EA"/>
    <w:rsid w:val="00621855"/>
    <w:rsid w:val="0062200C"/>
    <w:rsid w:val="006221DA"/>
    <w:rsid w:val="006225D8"/>
    <w:rsid w:val="00622770"/>
    <w:rsid w:val="00622CDA"/>
    <w:rsid w:val="00622CE3"/>
    <w:rsid w:val="006233F7"/>
    <w:rsid w:val="00623E28"/>
    <w:rsid w:val="0062408A"/>
    <w:rsid w:val="006240C6"/>
    <w:rsid w:val="0062448A"/>
    <w:rsid w:val="0062461F"/>
    <w:rsid w:val="0062465B"/>
    <w:rsid w:val="00624871"/>
    <w:rsid w:val="00624893"/>
    <w:rsid w:val="00624E2E"/>
    <w:rsid w:val="00624F89"/>
    <w:rsid w:val="006252C4"/>
    <w:rsid w:val="00625830"/>
    <w:rsid w:val="00625B4D"/>
    <w:rsid w:val="00625D6C"/>
    <w:rsid w:val="00625FF5"/>
    <w:rsid w:val="00626315"/>
    <w:rsid w:val="00626397"/>
    <w:rsid w:val="00626478"/>
    <w:rsid w:val="006267D5"/>
    <w:rsid w:val="006276EB"/>
    <w:rsid w:val="00627723"/>
    <w:rsid w:val="006279BA"/>
    <w:rsid w:val="00627B1D"/>
    <w:rsid w:val="00630828"/>
    <w:rsid w:val="00630910"/>
    <w:rsid w:val="00630A98"/>
    <w:rsid w:val="006313BF"/>
    <w:rsid w:val="00631635"/>
    <w:rsid w:val="006317FF"/>
    <w:rsid w:val="00631CAC"/>
    <w:rsid w:val="006328D5"/>
    <w:rsid w:val="00633145"/>
    <w:rsid w:val="006337E9"/>
    <w:rsid w:val="00633AF5"/>
    <w:rsid w:val="00633B81"/>
    <w:rsid w:val="00633CA5"/>
    <w:rsid w:val="0063445C"/>
    <w:rsid w:val="00634807"/>
    <w:rsid w:val="00634C1D"/>
    <w:rsid w:val="00635EEE"/>
    <w:rsid w:val="006362C6"/>
    <w:rsid w:val="006364CE"/>
    <w:rsid w:val="00636957"/>
    <w:rsid w:val="006369DE"/>
    <w:rsid w:val="00636ACB"/>
    <w:rsid w:val="00636CBE"/>
    <w:rsid w:val="00636CE6"/>
    <w:rsid w:val="00636FF4"/>
    <w:rsid w:val="00637704"/>
    <w:rsid w:val="00637742"/>
    <w:rsid w:val="0063777D"/>
    <w:rsid w:val="00637886"/>
    <w:rsid w:val="006378AE"/>
    <w:rsid w:val="00637A18"/>
    <w:rsid w:val="00637F01"/>
    <w:rsid w:val="00637FA7"/>
    <w:rsid w:val="00637FDD"/>
    <w:rsid w:val="006406F9"/>
    <w:rsid w:val="00640C27"/>
    <w:rsid w:val="00640EBD"/>
    <w:rsid w:val="00640EF1"/>
    <w:rsid w:val="006412F2"/>
    <w:rsid w:val="0064162F"/>
    <w:rsid w:val="006416EA"/>
    <w:rsid w:val="00641A7B"/>
    <w:rsid w:val="00641BEC"/>
    <w:rsid w:val="00641D34"/>
    <w:rsid w:val="00641F14"/>
    <w:rsid w:val="006424E8"/>
    <w:rsid w:val="0064262C"/>
    <w:rsid w:val="00642641"/>
    <w:rsid w:val="006429E1"/>
    <w:rsid w:val="00642AFB"/>
    <w:rsid w:val="00643301"/>
    <w:rsid w:val="00643DB4"/>
    <w:rsid w:val="00643F0E"/>
    <w:rsid w:val="00644032"/>
    <w:rsid w:val="00644099"/>
    <w:rsid w:val="0064449D"/>
    <w:rsid w:val="0064476C"/>
    <w:rsid w:val="0064486F"/>
    <w:rsid w:val="00644A81"/>
    <w:rsid w:val="00644B62"/>
    <w:rsid w:val="00645479"/>
    <w:rsid w:val="006458F9"/>
    <w:rsid w:val="00645D51"/>
    <w:rsid w:val="00645E86"/>
    <w:rsid w:val="00646110"/>
    <w:rsid w:val="006463B9"/>
    <w:rsid w:val="00646ED9"/>
    <w:rsid w:val="00646F34"/>
    <w:rsid w:val="0064722C"/>
    <w:rsid w:val="0064724E"/>
    <w:rsid w:val="006473EB"/>
    <w:rsid w:val="00647A0E"/>
    <w:rsid w:val="00647B95"/>
    <w:rsid w:val="00647D38"/>
    <w:rsid w:val="00647E3C"/>
    <w:rsid w:val="00647EB8"/>
    <w:rsid w:val="00647F16"/>
    <w:rsid w:val="006506EA"/>
    <w:rsid w:val="00650BDA"/>
    <w:rsid w:val="00650D18"/>
    <w:rsid w:val="006511AC"/>
    <w:rsid w:val="00651618"/>
    <w:rsid w:val="006516C3"/>
    <w:rsid w:val="006518EE"/>
    <w:rsid w:val="00651CBF"/>
    <w:rsid w:val="00651CEE"/>
    <w:rsid w:val="006520BA"/>
    <w:rsid w:val="00652551"/>
    <w:rsid w:val="00652566"/>
    <w:rsid w:val="00652E9C"/>
    <w:rsid w:val="00653573"/>
    <w:rsid w:val="00653E00"/>
    <w:rsid w:val="00653FA8"/>
    <w:rsid w:val="00654175"/>
    <w:rsid w:val="0065424F"/>
    <w:rsid w:val="00654AAE"/>
    <w:rsid w:val="00654B30"/>
    <w:rsid w:val="00654C78"/>
    <w:rsid w:val="006551C4"/>
    <w:rsid w:val="0065532A"/>
    <w:rsid w:val="006553AD"/>
    <w:rsid w:val="006553E2"/>
    <w:rsid w:val="006557C2"/>
    <w:rsid w:val="00655C2E"/>
    <w:rsid w:val="00655CC9"/>
    <w:rsid w:val="00655D0C"/>
    <w:rsid w:val="00656561"/>
    <w:rsid w:val="00656C5F"/>
    <w:rsid w:val="00657B36"/>
    <w:rsid w:val="00657DB6"/>
    <w:rsid w:val="00660454"/>
    <w:rsid w:val="006606AA"/>
    <w:rsid w:val="00660727"/>
    <w:rsid w:val="006608B8"/>
    <w:rsid w:val="006608CF"/>
    <w:rsid w:val="00660AF9"/>
    <w:rsid w:val="00661261"/>
    <w:rsid w:val="0066133F"/>
    <w:rsid w:val="00661579"/>
    <w:rsid w:val="0066168F"/>
    <w:rsid w:val="006619FD"/>
    <w:rsid w:val="00661D1C"/>
    <w:rsid w:val="00661DE7"/>
    <w:rsid w:val="00661E80"/>
    <w:rsid w:val="0066203D"/>
    <w:rsid w:val="0066214B"/>
    <w:rsid w:val="00662166"/>
    <w:rsid w:val="0066227F"/>
    <w:rsid w:val="006626E4"/>
    <w:rsid w:val="00662A3B"/>
    <w:rsid w:val="00662A53"/>
    <w:rsid w:val="00662BB8"/>
    <w:rsid w:val="00663116"/>
    <w:rsid w:val="00663477"/>
    <w:rsid w:val="0066407A"/>
    <w:rsid w:val="0066486F"/>
    <w:rsid w:val="00664948"/>
    <w:rsid w:val="00664A0C"/>
    <w:rsid w:val="00664FD1"/>
    <w:rsid w:val="006650A6"/>
    <w:rsid w:val="00665179"/>
    <w:rsid w:val="006657A0"/>
    <w:rsid w:val="00665AD0"/>
    <w:rsid w:val="00665C2A"/>
    <w:rsid w:val="00666286"/>
    <w:rsid w:val="00666777"/>
    <w:rsid w:val="00666EB5"/>
    <w:rsid w:val="00666F9E"/>
    <w:rsid w:val="0066706A"/>
    <w:rsid w:val="00667482"/>
    <w:rsid w:val="006677FE"/>
    <w:rsid w:val="0067002D"/>
    <w:rsid w:val="006705BD"/>
    <w:rsid w:val="00671824"/>
    <w:rsid w:val="00671A4F"/>
    <w:rsid w:val="00672186"/>
    <w:rsid w:val="006722B0"/>
    <w:rsid w:val="00672447"/>
    <w:rsid w:val="00672A82"/>
    <w:rsid w:val="00672D16"/>
    <w:rsid w:val="00672E04"/>
    <w:rsid w:val="00673001"/>
    <w:rsid w:val="006732C6"/>
    <w:rsid w:val="006734CD"/>
    <w:rsid w:val="0067378A"/>
    <w:rsid w:val="00673A1C"/>
    <w:rsid w:val="00673CA8"/>
    <w:rsid w:val="0067412B"/>
    <w:rsid w:val="006743F5"/>
    <w:rsid w:val="006744CC"/>
    <w:rsid w:val="00674A5A"/>
    <w:rsid w:val="00674C10"/>
    <w:rsid w:val="006755E5"/>
    <w:rsid w:val="0067565F"/>
    <w:rsid w:val="00675F14"/>
    <w:rsid w:val="006760BC"/>
    <w:rsid w:val="0067660A"/>
    <w:rsid w:val="00676774"/>
    <w:rsid w:val="00676860"/>
    <w:rsid w:val="00676901"/>
    <w:rsid w:val="00676B3F"/>
    <w:rsid w:val="006773E1"/>
    <w:rsid w:val="0067745C"/>
    <w:rsid w:val="0067766E"/>
    <w:rsid w:val="00677E78"/>
    <w:rsid w:val="0068028A"/>
    <w:rsid w:val="00680782"/>
    <w:rsid w:val="00680974"/>
    <w:rsid w:val="006810ED"/>
    <w:rsid w:val="00681579"/>
    <w:rsid w:val="006817AE"/>
    <w:rsid w:val="00681B29"/>
    <w:rsid w:val="00681E2D"/>
    <w:rsid w:val="00681EB5"/>
    <w:rsid w:val="00682A5A"/>
    <w:rsid w:val="006830F3"/>
    <w:rsid w:val="00683359"/>
    <w:rsid w:val="0068350A"/>
    <w:rsid w:val="00683AB9"/>
    <w:rsid w:val="00683CE2"/>
    <w:rsid w:val="00684137"/>
    <w:rsid w:val="006844BB"/>
    <w:rsid w:val="0068461F"/>
    <w:rsid w:val="00684EF5"/>
    <w:rsid w:val="006856DC"/>
    <w:rsid w:val="00685D8D"/>
    <w:rsid w:val="00686302"/>
    <w:rsid w:val="006863C5"/>
    <w:rsid w:val="00687106"/>
    <w:rsid w:val="006873F6"/>
    <w:rsid w:val="006876E2"/>
    <w:rsid w:val="006876E4"/>
    <w:rsid w:val="00687C72"/>
    <w:rsid w:val="0069040E"/>
    <w:rsid w:val="0069066E"/>
    <w:rsid w:val="006907D5"/>
    <w:rsid w:val="00690FEE"/>
    <w:rsid w:val="0069111F"/>
    <w:rsid w:val="006914F3"/>
    <w:rsid w:val="006918F1"/>
    <w:rsid w:val="0069265B"/>
    <w:rsid w:val="00692C39"/>
    <w:rsid w:val="00693109"/>
    <w:rsid w:val="006937BC"/>
    <w:rsid w:val="00693CA3"/>
    <w:rsid w:val="00693EB9"/>
    <w:rsid w:val="00694D77"/>
    <w:rsid w:val="0069531E"/>
    <w:rsid w:val="006956D4"/>
    <w:rsid w:val="006956E1"/>
    <w:rsid w:val="00695731"/>
    <w:rsid w:val="00695928"/>
    <w:rsid w:val="00695BAF"/>
    <w:rsid w:val="00695BF5"/>
    <w:rsid w:val="00695DDE"/>
    <w:rsid w:val="00695EE2"/>
    <w:rsid w:val="00695FAA"/>
    <w:rsid w:val="00696330"/>
    <w:rsid w:val="006963D0"/>
    <w:rsid w:val="00696594"/>
    <w:rsid w:val="00696C06"/>
    <w:rsid w:val="0069723C"/>
    <w:rsid w:val="00697255"/>
    <w:rsid w:val="006972D3"/>
    <w:rsid w:val="0069761E"/>
    <w:rsid w:val="00697819"/>
    <w:rsid w:val="00697AEE"/>
    <w:rsid w:val="00697B92"/>
    <w:rsid w:val="00697D1A"/>
    <w:rsid w:val="00697D5F"/>
    <w:rsid w:val="00697F8E"/>
    <w:rsid w:val="006A03A4"/>
    <w:rsid w:val="006A03A9"/>
    <w:rsid w:val="006A03AC"/>
    <w:rsid w:val="006A064A"/>
    <w:rsid w:val="006A0875"/>
    <w:rsid w:val="006A1323"/>
    <w:rsid w:val="006A13EB"/>
    <w:rsid w:val="006A14C1"/>
    <w:rsid w:val="006A1828"/>
    <w:rsid w:val="006A1A69"/>
    <w:rsid w:val="006A1EA6"/>
    <w:rsid w:val="006A1FF0"/>
    <w:rsid w:val="006A28F3"/>
    <w:rsid w:val="006A2D78"/>
    <w:rsid w:val="006A433F"/>
    <w:rsid w:val="006A5313"/>
    <w:rsid w:val="006A55B2"/>
    <w:rsid w:val="006A5814"/>
    <w:rsid w:val="006A5D71"/>
    <w:rsid w:val="006A5F72"/>
    <w:rsid w:val="006A61BE"/>
    <w:rsid w:val="006A66E5"/>
    <w:rsid w:val="006A6907"/>
    <w:rsid w:val="006A6B9A"/>
    <w:rsid w:val="006A6D61"/>
    <w:rsid w:val="006A6FE4"/>
    <w:rsid w:val="006A717D"/>
    <w:rsid w:val="006A788D"/>
    <w:rsid w:val="006A7BD7"/>
    <w:rsid w:val="006B0074"/>
    <w:rsid w:val="006B0450"/>
    <w:rsid w:val="006B0A4F"/>
    <w:rsid w:val="006B0D16"/>
    <w:rsid w:val="006B0DFF"/>
    <w:rsid w:val="006B13EB"/>
    <w:rsid w:val="006B1915"/>
    <w:rsid w:val="006B20D9"/>
    <w:rsid w:val="006B262D"/>
    <w:rsid w:val="006B27C9"/>
    <w:rsid w:val="006B2D6C"/>
    <w:rsid w:val="006B2FAD"/>
    <w:rsid w:val="006B37A0"/>
    <w:rsid w:val="006B3C28"/>
    <w:rsid w:val="006B3FC9"/>
    <w:rsid w:val="006B40C1"/>
    <w:rsid w:val="006B4155"/>
    <w:rsid w:val="006B469C"/>
    <w:rsid w:val="006B476E"/>
    <w:rsid w:val="006B4C5F"/>
    <w:rsid w:val="006B519B"/>
    <w:rsid w:val="006B52E7"/>
    <w:rsid w:val="006B5611"/>
    <w:rsid w:val="006B590A"/>
    <w:rsid w:val="006B5E0B"/>
    <w:rsid w:val="006B5ECD"/>
    <w:rsid w:val="006B696D"/>
    <w:rsid w:val="006B6B82"/>
    <w:rsid w:val="006B6B9E"/>
    <w:rsid w:val="006B6BC7"/>
    <w:rsid w:val="006B7A7B"/>
    <w:rsid w:val="006B7AAE"/>
    <w:rsid w:val="006B7C8A"/>
    <w:rsid w:val="006C0016"/>
    <w:rsid w:val="006C0024"/>
    <w:rsid w:val="006C002A"/>
    <w:rsid w:val="006C0851"/>
    <w:rsid w:val="006C0BD6"/>
    <w:rsid w:val="006C0DE1"/>
    <w:rsid w:val="006C135F"/>
    <w:rsid w:val="006C148F"/>
    <w:rsid w:val="006C2265"/>
    <w:rsid w:val="006C26E1"/>
    <w:rsid w:val="006C2A5F"/>
    <w:rsid w:val="006C3878"/>
    <w:rsid w:val="006C3890"/>
    <w:rsid w:val="006C3D19"/>
    <w:rsid w:val="006C4623"/>
    <w:rsid w:val="006C4764"/>
    <w:rsid w:val="006C4FF1"/>
    <w:rsid w:val="006C549F"/>
    <w:rsid w:val="006C587D"/>
    <w:rsid w:val="006C5B34"/>
    <w:rsid w:val="006C5D73"/>
    <w:rsid w:val="006C5EEC"/>
    <w:rsid w:val="006C63B0"/>
    <w:rsid w:val="006C64DA"/>
    <w:rsid w:val="006C7914"/>
    <w:rsid w:val="006C7C55"/>
    <w:rsid w:val="006D0012"/>
    <w:rsid w:val="006D06DB"/>
    <w:rsid w:val="006D16C9"/>
    <w:rsid w:val="006D23F0"/>
    <w:rsid w:val="006D2819"/>
    <w:rsid w:val="006D2F8E"/>
    <w:rsid w:val="006D359B"/>
    <w:rsid w:val="006D360A"/>
    <w:rsid w:val="006D377C"/>
    <w:rsid w:val="006D38E5"/>
    <w:rsid w:val="006D3E62"/>
    <w:rsid w:val="006D4387"/>
    <w:rsid w:val="006D455A"/>
    <w:rsid w:val="006D5323"/>
    <w:rsid w:val="006D55A5"/>
    <w:rsid w:val="006D574D"/>
    <w:rsid w:val="006D6067"/>
    <w:rsid w:val="006D659B"/>
    <w:rsid w:val="006D65D0"/>
    <w:rsid w:val="006D669C"/>
    <w:rsid w:val="006D6992"/>
    <w:rsid w:val="006D6D4C"/>
    <w:rsid w:val="006D6FE2"/>
    <w:rsid w:val="006D7A60"/>
    <w:rsid w:val="006D7C45"/>
    <w:rsid w:val="006D7FDD"/>
    <w:rsid w:val="006E021D"/>
    <w:rsid w:val="006E023D"/>
    <w:rsid w:val="006E04A8"/>
    <w:rsid w:val="006E04C1"/>
    <w:rsid w:val="006E0BCF"/>
    <w:rsid w:val="006E0CB9"/>
    <w:rsid w:val="006E0D78"/>
    <w:rsid w:val="006E0EB6"/>
    <w:rsid w:val="006E101A"/>
    <w:rsid w:val="006E1047"/>
    <w:rsid w:val="006E1210"/>
    <w:rsid w:val="006E152C"/>
    <w:rsid w:val="006E15AC"/>
    <w:rsid w:val="006E163F"/>
    <w:rsid w:val="006E16FF"/>
    <w:rsid w:val="006E188E"/>
    <w:rsid w:val="006E1B95"/>
    <w:rsid w:val="006E1F21"/>
    <w:rsid w:val="006E2311"/>
    <w:rsid w:val="006E2496"/>
    <w:rsid w:val="006E277E"/>
    <w:rsid w:val="006E2D55"/>
    <w:rsid w:val="006E2EA3"/>
    <w:rsid w:val="006E328F"/>
    <w:rsid w:val="006E34C0"/>
    <w:rsid w:val="006E3562"/>
    <w:rsid w:val="006E3820"/>
    <w:rsid w:val="006E40A2"/>
    <w:rsid w:val="006E4178"/>
    <w:rsid w:val="006E429A"/>
    <w:rsid w:val="006E4401"/>
    <w:rsid w:val="006E4617"/>
    <w:rsid w:val="006E4825"/>
    <w:rsid w:val="006E49C8"/>
    <w:rsid w:val="006E4D5F"/>
    <w:rsid w:val="006E505D"/>
    <w:rsid w:val="006E50E6"/>
    <w:rsid w:val="006E54C5"/>
    <w:rsid w:val="006E5AF0"/>
    <w:rsid w:val="006E5EA8"/>
    <w:rsid w:val="006E5ED1"/>
    <w:rsid w:val="006E60B9"/>
    <w:rsid w:val="006E60D0"/>
    <w:rsid w:val="006E6397"/>
    <w:rsid w:val="006E67C4"/>
    <w:rsid w:val="006E6A0B"/>
    <w:rsid w:val="006E6B4B"/>
    <w:rsid w:val="006E6E33"/>
    <w:rsid w:val="006E700F"/>
    <w:rsid w:val="006E7140"/>
    <w:rsid w:val="006E77E8"/>
    <w:rsid w:val="006E78B9"/>
    <w:rsid w:val="006E79F0"/>
    <w:rsid w:val="006E7CCB"/>
    <w:rsid w:val="006E7E2E"/>
    <w:rsid w:val="006F01B1"/>
    <w:rsid w:val="006F04C3"/>
    <w:rsid w:val="006F065C"/>
    <w:rsid w:val="006F08DA"/>
    <w:rsid w:val="006F1283"/>
    <w:rsid w:val="006F138C"/>
    <w:rsid w:val="006F1929"/>
    <w:rsid w:val="006F1A58"/>
    <w:rsid w:val="006F1C26"/>
    <w:rsid w:val="006F24FD"/>
    <w:rsid w:val="006F258C"/>
    <w:rsid w:val="006F2687"/>
    <w:rsid w:val="006F2CF7"/>
    <w:rsid w:val="006F2E70"/>
    <w:rsid w:val="006F2F03"/>
    <w:rsid w:val="006F305F"/>
    <w:rsid w:val="006F36A0"/>
    <w:rsid w:val="006F3B9A"/>
    <w:rsid w:val="006F3C47"/>
    <w:rsid w:val="006F4227"/>
    <w:rsid w:val="006F4365"/>
    <w:rsid w:val="006F459D"/>
    <w:rsid w:val="006F4686"/>
    <w:rsid w:val="006F4E75"/>
    <w:rsid w:val="006F5623"/>
    <w:rsid w:val="006F5683"/>
    <w:rsid w:val="006F5805"/>
    <w:rsid w:val="006F5B5F"/>
    <w:rsid w:val="006F5E63"/>
    <w:rsid w:val="006F6384"/>
    <w:rsid w:val="006F669F"/>
    <w:rsid w:val="006F6931"/>
    <w:rsid w:val="006F6A37"/>
    <w:rsid w:val="006F7156"/>
    <w:rsid w:val="006F729A"/>
    <w:rsid w:val="006F7CB7"/>
    <w:rsid w:val="006F7F1B"/>
    <w:rsid w:val="00700393"/>
    <w:rsid w:val="00700394"/>
    <w:rsid w:val="00700446"/>
    <w:rsid w:val="007005FE"/>
    <w:rsid w:val="00700A27"/>
    <w:rsid w:val="00700BCE"/>
    <w:rsid w:val="007018D7"/>
    <w:rsid w:val="00701DA9"/>
    <w:rsid w:val="00702535"/>
    <w:rsid w:val="00702542"/>
    <w:rsid w:val="007034F4"/>
    <w:rsid w:val="00703668"/>
    <w:rsid w:val="00703AB2"/>
    <w:rsid w:val="0070413A"/>
    <w:rsid w:val="007041C8"/>
    <w:rsid w:val="0070423B"/>
    <w:rsid w:val="0070435D"/>
    <w:rsid w:val="00704447"/>
    <w:rsid w:val="007046A6"/>
    <w:rsid w:val="00704B0B"/>
    <w:rsid w:val="00704B5C"/>
    <w:rsid w:val="00704BEF"/>
    <w:rsid w:val="00704CEC"/>
    <w:rsid w:val="0070513A"/>
    <w:rsid w:val="00705415"/>
    <w:rsid w:val="00705447"/>
    <w:rsid w:val="007057A3"/>
    <w:rsid w:val="00706A35"/>
    <w:rsid w:val="00706BAD"/>
    <w:rsid w:val="00707184"/>
    <w:rsid w:val="007071FC"/>
    <w:rsid w:val="00707294"/>
    <w:rsid w:val="00707344"/>
    <w:rsid w:val="007077E0"/>
    <w:rsid w:val="007079EF"/>
    <w:rsid w:val="00707B0B"/>
    <w:rsid w:val="00707C25"/>
    <w:rsid w:val="00707FC9"/>
    <w:rsid w:val="0071000F"/>
    <w:rsid w:val="007100E2"/>
    <w:rsid w:val="00710832"/>
    <w:rsid w:val="00710844"/>
    <w:rsid w:val="007108D1"/>
    <w:rsid w:val="00710D77"/>
    <w:rsid w:val="00711197"/>
    <w:rsid w:val="00711470"/>
    <w:rsid w:val="00711689"/>
    <w:rsid w:val="007118C1"/>
    <w:rsid w:val="007119D8"/>
    <w:rsid w:val="00711A18"/>
    <w:rsid w:val="00711B4D"/>
    <w:rsid w:val="0071213B"/>
    <w:rsid w:val="007122D0"/>
    <w:rsid w:val="00712431"/>
    <w:rsid w:val="00712E0D"/>
    <w:rsid w:val="007136B7"/>
    <w:rsid w:val="0071395E"/>
    <w:rsid w:val="00713C52"/>
    <w:rsid w:val="00713EF0"/>
    <w:rsid w:val="00714078"/>
    <w:rsid w:val="007140CB"/>
    <w:rsid w:val="007143E4"/>
    <w:rsid w:val="00714551"/>
    <w:rsid w:val="00715135"/>
    <w:rsid w:val="00715379"/>
    <w:rsid w:val="00715384"/>
    <w:rsid w:val="00716216"/>
    <w:rsid w:val="00716257"/>
    <w:rsid w:val="0071637F"/>
    <w:rsid w:val="007165A0"/>
    <w:rsid w:val="00716A6F"/>
    <w:rsid w:val="00716B51"/>
    <w:rsid w:val="00716EBD"/>
    <w:rsid w:val="007172B4"/>
    <w:rsid w:val="007176B3"/>
    <w:rsid w:val="007177C2"/>
    <w:rsid w:val="00720159"/>
    <w:rsid w:val="007201B1"/>
    <w:rsid w:val="00720277"/>
    <w:rsid w:val="00720876"/>
    <w:rsid w:val="00720C09"/>
    <w:rsid w:val="00720DB7"/>
    <w:rsid w:val="007212BE"/>
    <w:rsid w:val="00721CDA"/>
    <w:rsid w:val="00722B87"/>
    <w:rsid w:val="00723350"/>
    <w:rsid w:val="007236AE"/>
    <w:rsid w:val="00723EB3"/>
    <w:rsid w:val="007242CA"/>
    <w:rsid w:val="0072464B"/>
    <w:rsid w:val="00724779"/>
    <w:rsid w:val="00724983"/>
    <w:rsid w:val="00725F55"/>
    <w:rsid w:val="00726515"/>
    <w:rsid w:val="00726CA1"/>
    <w:rsid w:val="00726DDC"/>
    <w:rsid w:val="00727607"/>
    <w:rsid w:val="0072772F"/>
    <w:rsid w:val="00727764"/>
    <w:rsid w:val="00727D38"/>
    <w:rsid w:val="00727D8E"/>
    <w:rsid w:val="007301DF"/>
    <w:rsid w:val="00730894"/>
    <w:rsid w:val="00730911"/>
    <w:rsid w:val="00730B34"/>
    <w:rsid w:val="00730C7A"/>
    <w:rsid w:val="00730FA6"/>
    <w:rsid w:val="0073118F"/>
    <w:rsid w:val="00731674"/>
    <w:rsid w:val="00731C5A"/>
    <w:rsid w:val="00731C7F"/>
    <w:rsid w:val="00731F25"/>
    <w:rsid w:val="00731FFE"/>
    <w:rsid w:val="00732351"/>
    <w:rsid w:val="0073354A"/>
    <w:rsid w:val="00733941"/>
    <w:rsid w:val="00733ADD"/>
    <w:rsid w:val="00733F01"/>
    <w:rsid w:val="00734011"/>
    <w:rsid w:val="0073443C"/>
    <w:rsid w:val="00734573"/>
    <w:rsid w:val="00734D04"/>
    <w:rsid w:val="00734EB2"/>
    <w:rsid w:val="007356AA"/>
    <w:rsid w:val="0073591D"/>
    <w:rsid w:val="00735BA6"/>
    <w:rsid w:val="00735E3B"/>
    <w:rsid w:val="0073651F"/>
    <w:rsid w:val="00737362"/>
    <w:rsid w:val="0073743B"/>
    <w:rsid w:val="00737543"/>
    <w:rsid w:val="00737D4E"/>
    <w:rsid w:val="007400F6"/>
    <w:rsid w:val="00740369"/>
    <w:rsid w:val="0074042B"/>
    <w:rsid w:val="007405FD"/>
    <w:rsid w:val="00740640"/>
    <w:rsid w:val="00740914"/>
    <w:rsid w:val="00740F40"/>
    <w:rsid w:val="00740F4B"/>
    <w:rsid w:val="00740FCD"/>
    <w:rsid w:val="00741176"/>
    <w:rsid w:val="00741354"/>
    <w:rsid w:val="007415D5"/>
    <w:rsid w:val="007416A8"/>
    <w:rsid w:val="0074170A"/>
    <w:rsid w:val="007418FE"/>
    <w:rsid w:val="00742565"/>
    <w:rsid w:val="007427A1"/>
    <w:rsid w:val="007428AF"/>
    <w:rsid w:val="00742E41"/>
    <w:rsid w:val="00742FAB"/>
    <w:rsid w:val="00743864"/>
    <w:rsid w:val="00743EC4"/>
    <w:rsid w:val="00744493"/>
    <w:rsid w:val="00744555"/>
    <w:rsid w:val="0074468B"/>
    <w:rsid w:val="007449D9"/>
    <w:rsid w:val="00744C31"/>
    <w:rsid w:val="00744E75"/>
    <w:rsid w:val="00745565"/>
    <w:rsid w:val="00745843"/>
    <w:rsid w:val="00745A51"/>
    <w:rsid w:val="00745E07"/>
    <w:rsid w:val="0074609E"/>
    <w:rsid w:val="0074615F"/>
    <w:rsid w:val="0074685C"/>
    <w:rsid w:val="00746974"/>
    <w:rsid w:val="00746978"/>
    <w:rsid w:val="00746FEA"/>
    <w:rsid w:val="0074751E"/>
    <w:rsid w:val="00747962"/>
    <w:rsid w:val="00747C9D"/>
    <w:rsid w:val="0075008B"/>
    <w:rsid w:val="00750445"/>
    <w:rsid w:val="00750999"/>
    <w:rsid w:val="007513FC"/>
    <w:rsid w:val="007514CB"/>
    <w:rsid w:val="0075151D"/>
    <w:rsid w:val="00751A06"/>
    <w:rsid w:val="00751D2F"/>
    <w:rsid w:val="00751FAB"/>
    <w:rsid w:val="00752019"/>
    <w:rsid w:val="00752C99"/>
    <w:rsid w:val="00753141"/>
    <w:rsid w:val="007531F1"/>
    <w:rsid w:val="00753B09"/>
    <w:rsid w:val="00753F70"/>
    <w:rsid w:val="0075405E"/>
    <w:rsid w:val="00754531"/>
    <w:rsid w:val="0075460A"/>
    <w:rsid w:val="0075467B"/>
    <w:rsid w:val="00754990"/>
    <w:rsid w:val="00754E01"/>
    <w:rsid w:val="00754F1D"/>
    <w:rsid w:val="00755916"/>
    <w:rsid w:val="00755C3E"/>
    <w:rsid w:val="00755D76"/>
    <w:rsid w:val="00756166"/>
    <w:rsid w:val="0075630F"/>
    <w:rsid w:val="007563A4"/>
    <w:rsid w:val="0075658B"/>
    <w:rsid w:val="007566AA"/>
    <w:rsid w:val="007567BF"/>
    <w:rsid w:val="00756824"/>
    <w:rsid w:val="007569E5"/>
    <w:rsid w:val="00756E1F"/>
    <w:rsid w:val="00756FBE"/>
    <w:rsid w:val="007570E2"/>
    <w:rsid w:val="0075747D"/>
    <w:rsid w:val="007574B0"/>
    <w:rsid w:val="00757CCC"/>
    <w:rsid w:val="00761CAB"/>
    <w:rsid w:val="00761D8C"/>
    <w:rsid w:val="007623B8"/>
    <w:rsid w:val="007627F5"/>
    <w:rsid w:val="0076284E"/>
    <w:rsid w:val="007628F4"/>
    <w:rsid w:val="00762DA2"/>
    <w:rsid w:val="00762E16"/>
    <w:rsid w:val="0076369D"/>
    <w:rsid w:val="007638C3"/>
    <w:rsid w:val="007639CA"/>
    <w:rsid w:val="007639DF"/>
    <w:rsid w:val="00763F47"/>
    <w:rsid w:val="00764329"/>
    <w:rsid w:val="007646D2"/>
    <w:rsid w:val="007648E9"/>
    <w:rsid w:val="00764BF3"/>
    <w:rsid w:val="00764CE9"/>
    <w:rsid w:val="00764E55"/>
    <w:rsid w:val="00765660"/>
    <w:rsid w:val="00765D44"/>
    <w:rsid w:val="00765D55"/>
    <w:rsid w:val="00765F50"/>
    <w:rsid w:val="00766014"/>
    <w:rsid w:val="0076601B"/>
    <w:rsid w:val="00766606"/>
    <w:rsid w:val="007667B3"/>
    <w:rsid w:val="00766CCB"/>
    <w:rsid w:val="00766FAB"/>
    <w:rsid w:val="0076720F"/>
    <w:rsid w:val="0076778B"/>
    <w:rsid w:val="00767A52"/>
    <w:rsid w:val="00767B5B"/>
    <w:rsid w:val="00767BEA"/>
    <w:rsid w:val="00767E2D"/>
    <w:rsid w:val="00767F87"/>
    <w:rsid w:val="00770F71"/>
    <w:rsid w:val="00770FD1"/>
    <w:rsid w:val="0077111E"/>
    <w:rsid w:val="00771454"/>
    <w:rsid w:val="007716BF"/>
    <w:rsid w:val="00771756"/>
    <w:rsid w:val="007717EA"/>
    <w:rsid w:val="007724DF"/>
    <w:rsid w:val="00772B77"/>
    <w:rsid w:val="00772E67"/>
    <w:rsid w:val="00773123"/>
    <w:rsid w:val="007733A7"/>
    <w:rsid w:val="0077352B"/>
    <w:rsid w:val="00773E87"/>
    <w:rsid w:val="00773F7B"/>
    <w:rsid w:val="0077418B"/>
    <w:rsid w:val="007743DB"/>
    <w:rsid w:val="00774581"/>
    <w:rsid w:val="0077481C"/>
    <w:rsid w:val="007748EC"/>
    <w:rsid w:val="00775A26"/>
    <w:rsid w:val="00776092"/>
    <w:rsid w:val="007761EB"/>
    <w:rsid w:val="00776201"/>
    <w:rsid w:val="00776237"/>
    <w:rsid w:val="0077655F"/>
    <w:rsid w:val="00776777"/>
    <w:rsid w:val="0077738B"/>
    <w:rsid w:val="007774C4"/>
    <w:rsid w:val="007777E1"/>
    <w:rsid w:val="00777842"/>
    <w:rsid w:val="00777D5A"/>
    <w:rsid w:val="00780685"/>
    <w:rsid w:val="00780A9C"/>
    <w:rsid w:val="00780BDD"/>
    <w:rsid w:val="00780DEE"/>
    <w:rsid w:val="00780FD4"/>
    <w:rsid w:val="00781691"/>
    <w:rsid w:val="00781B83"/>
    <w:rsid w:val="00781CDC"/>
    <w:rsid w:val="00781E39"/>
    <w:rsid w:val="0078204B"/>
    <w:rsid w:val="007822AD"/>
    <w:rsid w:val="007822D6"/>
    <w:rsid w:val="00782FFB"/>
    <w:rsid w:val="00783178"/>
    <w:rsid w:val="00783273"/>
    <w:rsid w:val="0078331F"/>
    <w:rsid w:val="0078351D"/>
    <w:rsid w:val="007835FD"/>
    <w:rsid w:val="00783607"/>
    <w:rsid w:val="00783896"/>
    <w:rsid w:val="007839F9"/>
    <w:rsid w:val="00783C0F"/>
    <w:rsid w:val="00783C3E"/>
    <w:rsid w:val="00783DF7"/>
    <w:rsid w:val="007840E2"/>
    <w:rsid w:val="007844B9"/>
    <w:rsid w:val="00784773"/>
    <w:rsid w:val="00784A69"/>
    <w:rsid w:val="00784E8E"/>
    <w:rsid w:val="0078502D"/>
    <w:rsid w:val="0078510A"/>
    <w:rsid w:val="0078518F"/>
    <w:rsid w:val="00785230"/>
    <w:rsid w:val="0078589C"/>
    <w:rsid w:val="00785A42"/>
    <w:rsid w:val="00785A74"/>
    <w:rsid w:val="007864A3"/>
    <w:rsid w:val="00786B89"/>
    <w:rsid w:val="00786D70"/>
    <w:rsid w:val="00786E58"/>
    <w:rsid w:val="00787189"/>
    <w:rsid w:val="007877DE"/>
    <w:rsid w:val="00787A5D"/>
    <w:rsid w:val="00787B32"/>
    <w:rsid w:val="0079023C"/>
    <w:rsid w:val="0079057F"/>
    <w:rsid w:val="00790F71"/>
    <w:rsid w:val="00791280"/>
    <w:rsid w:val="007912C1"/>
    <w:rsid w:val="007913A7"/>
    <w:rsid w:val="007914F7"/>
    <w:rsid w:val="00791EED"/>
    <w:rsid w:val="0079295F"/>
    <w:rsid w:val="00792AC3"/>
    <w:rsid w:val="0079374D"/>
    <w:rsid w:val="00793AC3"/>
    <w:rsid w:val="00794001"/>
    <w:rsid w:val="007947E1"/>
    <w:rsid w:val="00794BA2"/>
    <w:rsid w:val="00794D12"/>
    <w:rsid w:val="00794FDB"/>
    <w:rsid w:val="007955E2"/>
    <w:rsid w:val="00795AB3"/>
    <w:rsid w:val="00795AEA"/>
    <w:rsid w:val="00795B32"/>
    <w:rsid w:val="00795BB2"/>
    <w:rsid w:val="00795D88"/>
    <w:rsid w:val="00796207"/>
    <w:rsid w:val="0079670B"/>
    <w:rsid w:val="00797213"/>
    <w:rsid w:val="0079772E"/>
    <w:rsid w:val="00797789"/>
    <w:rsid w:val="00797CDE"/>
    <w:rsid w:val="007A0085"/>
    <w:rsid w:val="007A0392"/>
    <w:rsid w:val="007A04F4"/>
    <w:rsid w:val="007A0B02"/>
    <w:rsid w:val="007A0FF0"/>
    <w:rsid w:val="007A1C6E"/>
    <w:rsid w:val="007A1DE6"/>
    <w:rsid w:val="007A20BD"/>
    <w:rsid w:val="007A21E3"/>
    <w:rsid w:val="007A22D9"/>
    <w:rsid w:val="007A2341"/>
    <w:rsid w:val="007A2B96"/>
    <w:rsid w:val="007A315D"/>
    <w:rsid w:val="007A34D4"/>
    <w:rsid w:val="007A3C14"/>
    <w:rsid w:val="007A3C29"/>
    <w:rsid w:val="007A40FA"/>
    <w:rsid w:val="007A47A2"/>
    <w:rsid w:val="007A4A4E"/>
    <w:rsid w:val="007A4C24"/>
    <w:rsid w:val="007A4DD5"/>
    <w:rsid w:val="007A50B8"/>
    <w:rsid w:val="007A5114"/>
    <w:rsid w:val="007A5173"/>
    <w:rsid w:val="007A6124"/>
    <w:rsid w:val="007A615D"/>
    <w:rsid w:val="007A61A1"/>
    <w:rsid w:val="007A66F4"/>
    <w:rsid w:val="007A6D11"/>
    <w:rsid w:val="007A6EF7"/>
    <w:rsid w:val="007A71CD"/>
    <w:rsid w:val="007A73DC"/>
    <w:rsid w:val="007A7436"/>
    <w:rsid w:val="007A782D"/>
    <w:rsid w:val="007A7960"/>
    <w:rsid w:val="007A7D4F"/>
    <w:rsid w:val="007A7DD8"/>
    <w:rsid w:val="007A7ED6"/>
    <w:rsid w:val="007B008E"/>
    <w:rsid w:val="007B0448"/>
    <w:rsid w:val="007B0482"/>
    <w:rsid w:val="007B0527"/>
    <w:rsid w:val="007B094F"/>
    <w:rsid w:val="007B135A"/>
    <w:rsid w:val="007B139D"/>
    <w:rsid w:val="007B13AF"/>
    <w:rsid w:val="007B162D"/>
    <w:rsid w:val="007B16A5"/>
    <w:rsid w:val="007B1A8F"/>
    <w:rsid w:val="007B1DC8"/>
    <w:rsid w:val="007B25A2"/>
    <w:rsid w:val="007B2812"/>
    <w:rsid w:val="007B2BF6"/>
    <w:rsid w:val="007B2C4F"/>
    <w:rsid w:val="007B2FEE"/>
    <w:rsid w:val="007B32E8"/>
    <w:rsid w:val="007B3571"/>
    <w:rsid w:val="007B378B"/>
    <w:rsid w:val="007B3B3C"/>
    <w:rsid w:val="007B3F87"/>
    <w:rsid w:val="007B41F6"/>
    <w:rsid w:val="007B425C"/>
    <w:rsid w:val="007B4370"/>
    <w:rsid w:val="007B4B4F"/>
    <w:rsid w:val="007B4C08"/>
    <w:rsid w:val="007B5518"/>
    <w:rsid w:val="007B5729"/>
    <w:rsid w:val="007B592B"/>
    <w:rsid w:val="007B5C5E"/>
    <w:rsid w:val="007B631E"/>
    <w:rsid w:val="007B67D6"/>
    <w:rsid w:val="007B6A3B"/>
    <w:rsid w:val="007B6D02"/>
    <w:rsid w:val="007B6E94"/>
    <w:rsid w:val="007B7366"/>
    <w:rsid w:val="007B743B"/>
    <w:rsid w:val="007B74BB"/>
    <w:rsid w:val="007B74E0"/>
    <w:rsid w:val="007B7B13"/>
    <w:rsid w:val="007B7BCB"/>
    <w:rsid w:val="007B7EDF"/>
    <w:rsid w:val="007C0437"/>
    <w:rsid w:val="007C0E29"/>
    <w:rsid w:val="007C0F1E"/>
    <w:rsid w:val="007C1130"/>
    <w:rsid w:val="007C1643"/>
    <w:rsid w:val="007C1751"/>
    <w:rsid w:val="007C1B18"/>
    <w:rsid w:val="007C1DE7"/>
    <w:rsid w:val="007C28FD"/>
    <w:rsid w:val="007C2CDD"/>
    <w:rsid w:val="007C2DBB"/>
    <w:rsid w:val="007C2ED7"/>
    <w:rsid w:val="007C33AB"/>
    <w:rsid w:val="007C354F"/>
    <w:rsid w:val="007C3682"/>
    <w:rsid w:val="007C36B2"/>
    <w:rsid w:val="007C3716"/>
    <w:rsid w:val="007C37CF"/>
    <w:rsid w:val="007C3A98"/>
    <w:rsid w:val="007C4243"/>
    <w:rsid w:val="007C435B"/>
    <w:rsid w:val="007C4652"/>
    <w:rsid w:val="007C4938"/>
    <w:rsid w:val="007C49AB"/>
    <w:rsid w:val="007C4BBB"/>
    <w:rsid w:val="007C4F0E"/>
    <w:rsid w:val="007C5163"/>
    <w:rsid w:val="007C56B1"/>
    <w:rsid w:val="007C5F86"/>
    <w:rsid w:val="007C6003"/>
    <w:rsid w:val="007C6B7C"/>
    <w:rsid w:val="007C6DDD"/>
    <w:rsid w:val="007C75DB"/>
    <w:rsid w:val="007C76DA"/>
    <w:rsid w:val="007C7922"/>
    <w:rsid w:val="007C7978"/>
    <w:rsid w:val="007C79DF"/>
    <w:rsid w:val="007C7B63"/>
    <w:rsid w:val="007D01C4"/>
    <w:rsid w:val="007D0235"/>
    <w:rsid w:val="007D02A1"/>
    <w:rsid w:val="007D0AA8"/>
    <w:rsid w:val="007D0B01"/>
    <w:rsid w:val="007D0BE2"/>
    <w:rsid w:val="007D0DE3"/>
    <w:rsid w:val="007D0EE3"/>
    <w:rsid w:val="007D127C"/>
    <w:rsid w:val="007D139F"/>
    <w:rsid w:val="007D22E1"/>
    <w:rsid w:val="007D24A5"/>
    <w:rsid w:val="007D2548"/>
    <w:rsid w:val="007D255B"/>
    <w:rsid w:val="007D2B25"/>
    <w:rsid w:val="007D2D76"/>
    <w:rsid w:val="007D31C6"/>
    <w:rsid w:val="007D388F"/>
    <w:rsid w:val="007D3AD9"/>
    <w:rsid w:val="007D3D74"/>
    <w:rsid w:val="007D4CD2"/>
    <w:rsid w:val="007D524D"/>
    <w:rsid w:val="007D5317"/>
    <w:rsid w:val="007D568C"/>
    <w:rsid w:val="007D61D3"/>
    <w:rsid w:val="007D661A"/>
    <w:rsid w:val="007D68B5"/>
    <w:rsid w:val="007D6FFC"/>
    <w:rsid w:val="007D71D8"/>
    <w:rsid w:val="007D746C"/>
    <w:rsid w:val="007D763E"/>
    <w:rsid w:val="007D7A19"/>
    <w:rsid w:val="007E012C"/>
    <w:rsid w:val="007E0648"/>
    <w:rsid w:val="007E0BDC"/>
    <w:rsid w:val="007E0E0D"/>
    <w:rsid w:val="007E0F24"/>
    <w:rsid w:val="007E104E"/>
    <w:rsid w:val="007E1130"/>
    <w:rsid w:val="007E1292"/>
    <w:rsid w:val="007E153C"/>
    <w:rsid w:val="007E2268"/>
    <w:rsid w:val="007E23BB"/>
    <w:rsid w:val="007E25E5"/>
    <w:rsid w:val="007E2709"/>
    <w:rsid w:val="007E28C5"/>
    <w:rsid w:val="007E28D9"/>
    <w:rsid w:val="007E2951"/>
    <w:rsid w:val="007E2E38"/>
    <w:rsid w:val="007E2E46"/>
    <w:rsid w:val="007E3168"/>
    <w:rsid w:val="007E3688"/>
    <w:rsid w:val="007E3D35"/>
    <w:rsid w:val="007E41E7"/>
    <w:rsid w:val="007E44F7"/>
    <w:rsid w:val="007E475F"/>
    <w:rsid w:val="007E4A02"/>
    <w:rsid w:val="007E4CAD"/>
    <w:rsid w:val="007E510D"/>
    <w:rsid w:val="007E5398"/>
    <w:rsid w:val="007E55E7"/>
    <w:rsid w:val="007E5B5C"/>
    <w:rsid w:val="007E5F88"/>
    <w:rsid w:val="007E6554"/>
    <w:rsid w:val="007E6768"/>
    <w:rsid w:val="007E6878"/>
    <w:rsid w:val="007E745E"/>
    <w:rsid w:val="007E7679"/>
    <w:rsid w:val="007E78A7"/>
    <w:rsid w:val="007F0650"/>
    <w:rsid w:val="007F06E4"/>
    <w:rsid w:val="007F074A"/>
    <w:rsid w:val="007F08A3"/>
    <w:rsid w:val="007F0F8E"/>
    <w:rsid w:val="007F1416"/>
    <w:rsid w:val="007F1445"/>
    <w:rsid w:val="007F1524"/>
    <w:rsid w:val="007F1890"/>
    <w:rsid w:val="007F1DB1"/>
    <w:rsid w:val="007F1E89"/>
    <w:rsid w:val="007F2221"/>
    <w:rsid w:val="007F26F8"/>
    <w:rsid w:val="007F27D7"/>
    <w:rsid w:val="007F28F0"/>
    <w:rsid w:val="007F2F50"/>
    <w:rsid w:val="007F33F1"/>
    <w:rsid w:val="007F361A"/>
    <w:rsid w:val="007F3B52"/>
    <w:rsid w:val="007F3B75"/>
    <w:rsid w:val="007F452A"/>
    <w:rsid w:val="007F471E"/>
    <w:rsid w:val="007F51C5"/>
    <w:rsid w:val="007F5411"/>
    <w:rsid w:val="007F5901"/>
    <w:rsid w:val="007F5DFD"/>
    <w:rsid w:val="007F63B1"/>
    <w:rsid w:val="007F6DD2"/>
    <w:rsid w:val="007F6E1D"/>
    <w:rsid w:val="007F6EF6"/>
    <w:rsid w:val="007F7181"/>
    <w:rsid w:val="007F739E"/>
    <w:rsid w:val="007F740E"/>
    <w:rsid w:val="007F7930"/>
    <w:rsid w:val="007F7B4C"/>
    <w:rsid w:val="007F7BEC"/>
    <w:rsid w:val="007F7DCE"/>
    <w:rsid w:val="008001D1"/>
    <w:rsid w:val="0080036D"/>
    <w:rsid w:val="0080059D"/>
    <w:rsid w:val="008006A6"/>
    <w:rsid w:val="008007A7"/>
    <w:rsid w:val="00800950"/>
    <w:rsid w:val="00800BFA"/>
    <w:rsid w:val="0080147A"/>
    <w:rsid w:val="0080150F"/>
    <w:rsid w:val="00801555"/>
    <w:rsid w:val="00801B4E"/>
    <w:rsid w:val="00801C9E"/>
    <w:rsid w:val="00801EAC"/>
    <w:rsid w:val="00802162"/>
    <w:rsid w:val="00802348"/>
    <w:rsid w:val="008026DB"/>
    <w:rsid w:val="00802AC3"/>
    <w:rsid w:val="00802B1C"/>
    <w:rsid w:val="00802BE7"/>
    <w:rsid w:val="00802CD8"/>
    <w:rsid w:val="0080378E"/>
    <w:rsid w:val="00803BA9"/>
    <w:rsid w:val="008044F8"/>
    <w:rsid w:val="008046E2"/>
    <w:rsid w:val="00804836"/>
    <w:rsid w:val="00804E16"/>
    <w:rsid w:val="00805170"/>
    <w:rsid w:val="00805277"/>
    <w:rsid w:val="0080543C"/>
    <w:rsid w:val="008054FC"/>
    <w:rsid w:val="00805DDF"/>
    <w:rsid w:val="00805F35"/>
    <w:rsid w:val="0080609E"/>
    <w:rsid w:val="00806305"/>
    <w:rsid w:val="0080679A"/>
    <w:rsid w:val="008069B7"/>
    <w:rsid w:val="00806A36"/>
    <w:rsid w:val="00806D42"/>
    <w:rsid w:val="00806E21"/>
    <w:rsid w:val="008070B3"/>
    <w:rsid w:val="008070F0"/>
    <w:rsid w:val="0080720A"/>
    <w:rsid w:val="00807246"/>
    <w:rsid w:val="00807665"/>
    <w:rsid w:val="00807C50"/>
    <w:rsid w:val="0081021B"/>
    <w:rsid w:val="0081074A"/>
    <w:rsid w:val="00810ECD"/>
    <w:rsid w:val="0081135A"/>
    <w:rsid w:val="008120C8"/>
    <w:rsid w:val="00812226"/>
    <w:rsid w:val="00812603"/>
    <w:rsid w:val="00812C60"/>
    <w:rsid w:val="00812F17"/>
    <w:rsid w:val="00813420"/>
    <w:rsid w:val="00813608"/>
    <w:rsid w:val="0081386F"/>
    <w:rsid w:val="00813CFD"/>
    <w:rsid w:val="00813DA4"/>
    <w:rsid w:val="008144C7"/>
    <w:rsid w:val="00814536"/>
    <w:rsid w:val="00815579"/>
    <w:rsid w:val="0081586A"/>
    <w:rsid w:val="008159B0"/>
    <w:rsid w:val="00816291"/>
    <w:rsid w:val="00816893"/>
    <w:rsid w:val="00816960"/>
    <w:rsid w:val="00816A21"/>
    <w:rsid w:val="008170B6"/>
    <w:rsid w:val="0081717A"/>
    <w:rsid w:val="00817790"/>
    <w:rsid w:val="0082005C"/>
    <w:rsid w:val="008201FA"/>
    <w:rsid w:val="00820710"/>
    <w:rsid w:val="008209D1"/>
    <w:rsid w:val="00820C28"/>
    <w:rsid w:val="00821574"/>
    <w:rsid w:val="008216D5"/>
    <w:rsid w:val="0082190D"/>
    <w:rsid w:val="00821BBC"/>
    <w:rsid w:val="008220B1"/>
    <w:rsid w:val="008226EB"/>
    <w:rsid w:val="00822AA7"/>
    <w:rsid w:val="00822D95"/>
    <w:rsid w:val="00823195"/>
    <w:rsid w:val="0082361C"/>
    <w:rsid w:val="00823922"/>
    <w:rsid w:val="00823C17"/>
    <w:rsid w:val="00823D71"/>
    <w:rsid w:val="00823F8E"/>
    <w:rsid w:val="008242BA"/>
    <w:rsid w:val="00824451"/>
    <w:rsid w:val="008245C2"/>
    <w:rsid w:val="008245E5"/>
    <w:rsid w:val="00824DBA"/>
    <w:rsid w:val="00825028"/>
    <w:rsid w:val="008250B0"/>
    <w:rsid w:val="008256AC"/>
    <w:rsid w:val="00826020"/>
    <w:rsid w:val="00826259"/>
    <w:rsid w:val="00826CFF"/>
    <w:rsid w:val="0082741F"/>
    <w:rsid w:val="008275A1"/>
    <w:rsid w:val="008275B4"/>
    <w:rsid w:val="008275E9"/>
    <w:rsid w:val="00830F13"/>
    <w:rsid w:val="00830F16"/>
    <w:rsid w:val="008317EB"/>
    <w:rsid w:val="008318A2"/>
    <w:rsid w:val="008318C0"/>
    <w:rsid w:val="00831DE1"/>
    <w:rsid w:val="00832450"/>
    <w:rsid w:val="00832BC9"/>
    <w:rsid w:val="00832C0F"/>
    <w:rsid w:val="0083328D"/>
    <w:rsid w:val="00833627"/>
    <w:rsid w:val="00833C6B"/>
    <w:rsid w:val="008340E9"/>
    <w:rsid w:val="008344DE"/>
    <w:rsid w:val="008344F3"/>
    <w:rsid w:val="0083477B"/>
    <w:rsid w:val="00834837"/>
    <w:rsid w:val="00834D75"/>
    <w:rsid w:val="00835007"/>
    <w:rsid w:val="0083503C"/>
    <w:rsid w:val="0083564D"/>
    <w:rsid w:val="00835CE6"/>
    <w:rsid w:val="008361AE"/>
    <w:rsid w:val="0083667E"/>
    <w:rsid w:val="00837530"/>
    <w:rsid w:val="00837532"/>
    <w:rsid w:val="00837E1C"/>
    <w:rsid w:val="008401DC"/>
    <w:rsid w:val="008402B3"/>
    <w:rsid w:val="00840347"/>
    <w:rsid w:val="008405D8"/>
    <w:rsid w:val="00840905"/>
    <w:rsid w:val="008409CE"/>
    <w:rsid w:val="00840D7E"/>
    <w:rsid w:val="00840E66"/>
    <w:rsid w:val="0084117C"/>
    <w:rsid w:val="00841746"/>
    <w:rsid w:val="00841BEA"/>
    <w:rsid w:val="00841D0C"/>
    <w:rsid w:val="00841D97"/>
    <w:rsid w:val="00841E38"/>
    <w:rsid w:val="00841F0D"/>
    <w:rsid w:val="00842430"/>
    <w:rsid w:val="008425FC"/>
    <w:rsid w:val="00842655"/>
    <w:rsid w:val="008428ED"/>
    <w:rsid w:val="00842971"/>
    <w:rsid w:val="00842989"/>
    <w:rsid w:val="00842BF3"/>
    <w:rsid w:val="00842C07"/>
    <w:rsid w:val="008431E2"/>
    <w:rsid w:val="008435C1"/>
    <w:rsid w:val="00843713"/>
    <w:rsid w:val="008437D6"/>
    <w:rsid w:val="0084383F"/>
    <w:rsid w:val="008438D3"/>
    <w:rsid w:val="00844046"/>
    <w:rsid w:val="008448A2"/>
    <w:rsid w:val="008449BD"/>
    <w:rsid w:val="00844B7C"/>
    <w:rsid w:val="00844E8D"/>
    <w:rsid w:val="0084518B"/>
    <w:rsid w:val="00845418"/>
    <w:rsid w:val="00845ACA"/>
    <w:rsid w:val="00845E2D"/>
    <w:rsid w:val="008463F5"/>
    <w:rsid w:val="0084645E"/>
    <w:rsid w:val="008467FE"/>
    <w:rsid w:val="00847142"/>
    <w:rsid w:val="008474CF"/>
    <w:rsid w:val="008476FA"/>
    <w:rsid w:val="00847E30"/>
    <w:rsid w:val="008501C0"/>
    <w:rsid w:val="008501CC"/>
    <w:rsid w:val="00850C6C"/>
    <w:rsid w:val="00850E3A"/>
    <w:rsid w:val="00851159"/>
    <w:rsid w:val="008514C1"/>
    <w:rsid w:val="00851862"/>
    <w:rsid w:val="0085225A"/>
    <w:rsid w:val="008524A6"/>
    <w:rsid w:val="0085259E"/>
    <w:rsid w:val="008525A8"/>
    <w:rsid w:val="008525F7"/>
    <w:rsid w:val="00852FF0"/>
    <w:rsid w:val="00853716"/>
    <w:rsid w:val="0085373B"/>
    <w:rsid w:val="00853D47"/>
    <w:rsid w:val="00854165"/>
    <w:rsid w:val="0085444E"/>
    <w:rsid w:val="008547B2"/>
    <w:rsid w:val="00854E2C"/>
    <w:rsid w:val="00854E8A"/>
    <w:rsid w:val="00854F62"/>
    <w:rsid w:val="00855414"/>
    <w:rsid w:val="0085564D"/>
    <w:rsid w:val="008557E7"/>
    <w:rsid w:val="00855ADC"/>
    <w:rsid w:val="00855E6A"/>
    <w:rsid w:val="00855E6E"/>
    <w:rsid w:val="00855F2D"/>
    <w:rsid w:val="00855FAC"/>
    <w:rsid w:val="00856279"/>
    <w:rsid w:val="00856764"/>
    <w:rsid w:val="008568DF"/>
    <w:rsid w:val="00856C1F"/>
    <w:rsid w:val="00856F56"/>
    <w:rsid w:val="008571EC"/>
    <w:rsid w:val="008572FD"/>
    <w:rsid w:val="008575D7"/>
    <w:rsid w:val="008576AE"/>
    <w:rsid w:val="00857AC1"/>
    <w:rsid w:val="008602E9"/>
    <w:rsid w:val="00860321"/>
    <w:rsid w:val="008604FF"/>
    <w:rsid w:val="00860666"/>
    <w:rsid w:val="00860E40"/>
    <w:rsid w:val="00860F04"/>
    <w:rsid w:val="008614CF"/>
    <w:rsid w:val="008618E3"/>
    <w:rsid w:val="008619AC"/>
    <w:rsid w:val="00861C76"/>
    <w:rsid w:val="00861F7C"/>
    <w:rsid w:val="00862425"/>
    <w:rsid w:val="008624F3"/>
    <w:rsid w:val="008627FB"/>
    <w:rsid w:val="00862A16"/>
    <w:rsid w:val="00863427"/>
    <w:rsid w:val="00863AD3"/>
    <w:rsid w:val="0086413E"/>
    <w:rsid w:val="00864659"/>
    <w:rsid w:val="0086498D"/>
    <w:rsid w:val="008649D5"/>
    <w:rsid w:val="00864B08"/>
    <w:rsid w:val="00865118"/>
    <w:rsid w:val="0086593E"/>
    <w:rsid w:val="008660C7"/>
    <w:rsid w:val="008663C0"/>
    <w:rsid w:val="0086663B"/>
    <w:rsid w:val="00866677"/>
    <w:rsid w:val="00866FFE"/>
    <w:rsid w:val="00867543"/>
    <w:rsid w:val="00867B01"/>
    <w:rsid w:val="00867F7A"/>
    <w:rsid w:val="0087034F"/>
    <w:rsid w:val="00870390"/>
    <w:rsid w:val="00870D03"/>
    <w:rsid w:val="00870E07"/>
    <w:rsid w:val="008712E3"/>
    <w:rsid w:val="008713DF"/>
    <w:rsid w:val="00871674"/>
    <w:rsid w:val="008716A6"/>
    <w:rsid w:val="008716BD"/>
    <w:rsid w:val="00871988"/>
    <w:rsid w:val="00871AB1"/>
    <w:rsid w:val="00871D20"/>
    <w:rsid w:val="00871E5E"/>
    <w:rsid w:val="00871F1D"/>
    <w:rsid w:val="00871F61"/>
    <w:rsid w:val="00872345"/>
    <w:rsid w:val="008728FC"/>
    <w:rsid w:val="008730B1"/>
    <w:rsid w:val="00873267"/>
    <w:rsid w:val="00873463"/>
    <w:rsid w:val="0087347E"/>
    <w:rsid w:val="00873AFA"/>
    <w:rsid w:val="00873C70"/>
    <w:rsid w:val="00873DE9"/>
    <w:rsid w:val="008740DD"/>
    <w:rsid w:val="008742A1"/>
    <w:rsid w:val="008746FF"/>
    <w:rsid w:val="00874CED"/>
    <w:rsid w:val="0087517A"/>
    <w:rsid w:val="00875770"/>
    <w:rsid w:val="008757DF"/>
    <w:rsid w:val="00875D09"/>
    <w:rsid w:val="00876E57"/>
    <w:rsid w:val="00876F28"/>
    <w:rsid w:val="00877700"/>
    <w:rsid w:val="00877A5C"/>
    <w:rsid w:val="00877B9E"/>
    <w:rsid w:val="008806FF"/>
    <w:rsid w:val="00880A12"/>
    <w:rsid w:val="00881344"/>
    <w:rsid w:val="00881472"/>
    <w:rsid w:val="008816E0"/>
    <w:rsid w:val="00881DFB"/>
    <w:rsid w:val="00882446"/>
    <w:rsid w:val="008825AA"/>
    <w:rsid w:val="00883066"/>
    <w:rsid w:val="00883330"/>
    <w:rsid w:val="00884621"/>
    <w:rsid w:val="00884A02"/>
    <w:rsid w:val="00884C4C"/>
    <w:rsid w:val="00884CE3"/>
    <w:rsid w:val="00884EA1"/>
    <w:rsid w:val="0088588A"/>
    <w:rsid w:val="00885907"/>
    <w:rsid w:val="00885C63"/>
    <w:rsid w:val="00885D1A"/>
    <w:rsid w:val="0088661A"/>
    <w:rsid w:val="008866BC"/>
    <w:rsid w:val="008866C4"/>
    <w:rsid w:val="00886935"/>
    <w:rsid w:val="0088698C"/>
    <w:rsid w:val="008869C6"/>
    <w:rsid w:val="00886EBB"/>
    <w:rsid w:val="0088742A"/>
    <w:rsid w:val="00887D37"/>
    <w:rsid w:val="00887DB9"/>
    <w:rsid w:val="00887F9B"/>
    <w:rsid w:val="00890725"/>
    <w:rsid w:val="00890B35"/>
    <w:rsid w:val="00890D2F"/>
    <w:rsid w:val="00890D64"/>
    <w:rsid w:val="00890ED2"/>
    <w:rsid w:val="00890EDC"/>
    <w:rsid w:val="008911D3"/>
    <w:rsid w:val="008916E3"/>
    <w:rsid w:val="008918AA"/>
    <w:rsid w:val="00891BF9"/>
    <w:rsid w:val="00891CBD"/>
    <w:rsid w:val="008924B1"/>
    <w:rsid w:val="00892934"/>
    <w:rsid w:val="00892EA7"/>
    <w:rsid w:val="0089337B"/>
    <w:rsid w:val="00893ED8"/>
    <w:rsid w:val="00893F9B"/>
    <w:rsid w:val="008945D1"/>
    <w:rsid w:val="00894612"/>
    <w:rsid w:val="00894A7B"/>
    <w:rsid w:val="00894AE4"/>
    <w:rsid w:val="00894C0A"/>
    <w:rsid w:val="00894D2B"/>
    <w:rsid w:val="00894E83"/>
    <w:rsid w:val="00894F8D"/>
    <w:rsid w:val="00894FB1"/>
    <w:rsid w:val="00894FE6"/>
    <w:rsid w:val="0089502D"/>
    <w:rsid w:val="0089594B"/>
    <w:rsid w:val="0089638A"/>
    <w:rsid w:val="00896BE2"/>
    <w:rsid w:val="00896D37"/>
    <w:rsid w:val="00896D5F"/>
    <w:rsid w:val="00896D68"/>
    <w:rsid w:val="00896FB5"/>
    <w:rsid w:val="00897698"/>
    <w:rsid w:val="00897729"/>
    <w:rsid w:val="00897DD9"/>
    <w:rsid w:val="008A0043"/>
    <w:rsid w:val="008A0448"/>
    <w:rsid w:val="008A0C03"/>
    <w:rsid w:val="008A0DAE"/>
    <w:rsid w:val="008A0DFB"/>
    <w:rsid w:val="008A10E1"/>
    <w:rsid w:val="008A2042"/>
    <w:rsid w:val="008A2675"/>
    <w:rsid w:val="008A2BC9"/>
    <w:rsid w:val="008A2F20"/>
    <w:rsid w:val="008A31CB"/>
    <w:rsid w:val="008A369C"/>
    <w:rsid w:val="008A387C"/>
    <w:rsid w:val="008A3C61"/>
    <w:rsid w:val="008A3FCE"/>
    <w:rsid w:val="008A4272"/>
    <w:rsid w:val="008A42D3"/>
    <w:rsid w:val="008A46A4"/>
    <w:rsid w:val="008A4C08"/>
    <w:rsid w:val="008A4EC7"/>
    <w:rsid w:val="008A6055"/>
    <w:rsid w:val="008A6152"/>
    <w:rsid w:val="008A63B6"/>
    <w:rsid w:val="008A675E"/>
    <w:rsid w:val="008A689B"/>
    <w:rsid w:val="008A6CB6"/>
    <w:rsid w:val="008A6D0E"/>
    <w:rsid w:val="008A6D18"/>
    <w:rsid w:val="008A7177"/>
    <w:rsid w:val="008A74FD"/>
    <w:rsid w:val="008A782B"/>
    <w:rsid w:val="008A7AFB"/>
    <w:rsid w:val="008A7CB3"/>
    <w:rsid w:val="008B034D"/>
    <w:rsid w:val="008B064D"/>
    <w:rsid w:val="008B128C"/>
    <w:rsid w:val="008B1441"/>
    <w:rsid w:val="008B19B9"/>
    <w:rsid w:val="008B1C31"/>
    <w:rsid w:val="008B1E69"/>
    <w:rsid w:val="008B27F3"/>
    <w:rsid w:val="008B2875"/>
    <w:rsid w:val="008B2F9C"/>
    <w:rsid w:val="008B35DC"/>
    <w:rsid w:val="008B3C83"/>
    <w:rsid w:val="008B3D53"/>
    <w:rsid w:val="008B4586"/>
    <w:rsid w:val="008B4725"/>
    <w:rsid w:val="008B4F56"/>
    <w:rsid w:val="008B5BEE"/>
    <w:rsid w:val="008B5C5B"/>
    <w:rsid w:val="008B6116"/>
    <w:rsid w:val="008B6700"/>
    <w:rsid w:val="008B6A1D"/>
    <w:rsid w:val="008B6A65"/>
    <w:rsid w:val="008B6E35"/>
    <w:rsid w:val="008B6EBE"/>
    <w:rsid w:val="008B74F2"/>
    <w:rsid w:val="008B7D36"/>
    <w:rsid w:val="008B7D94"/>
    <w:rsid w:val="008C02A9"/>
    <w:rsid w:val="008C08B5"/>
    <w:rsid w:val="008C0B48"/>
    <w:rsid w:val="008C0D07"/>
    <w:rsid w:val="008C1957"/>
    <w:rsid w:val="008C1D3A"/>
    <w:rsid w:val="008C2178"/>
    <w:rsid w:val="008C22D5"/>
    <w:rsid w:val="008C28FC"/>
    <w:rsid w:val="008C29E6"/>
    <w:rsid w:val="008C2CCD"/>
    <w:rsid w:val="008C3211"/>
    <w:rsid w:val="008C39B8"/>
    <w:rsid w:val="008C3A28"/>
    <w:rsid w:val="008C3EB2"/>
    <w:rsid w:val="008C4120"/>
    <w:rsid w:val="008C4345"/>
    <w:rsid w:val="008C44F5"/>
    <w:rsid w:val="008C486F"/>
    <w:rsid w:val="008C4B70"/>
    <w:rsid w:val="008C4B97"/>
    <w:rsid w:val="008C4CC5"/>
    <w:rsid w:val="008C4DFA"/>
    <w:rsid w:val="008C5204"/>
    <w:rsid w:val="008C5B06"/>
    <w:rsid w:val="008C67ED"/>
    <w:rsid w:val="008C7152"/>
    <w:rsid w:val="008C7346"/>
    <w:rsid w:val="008C73BD"/>
    <w:rsid w:val="008C7695"/>
    <w:rsid w:val="008C76A6"/>
    <w:rsid w:val="008C796F"/>
    <w:rsid w:val="008C7C39"/>
    <w:rsid w:val="008C7F58"/>
    <w:rsid w:val="008D0055"/>
    <w:rsid w:val="008D075D"/>
    <w:rsid w:val="008D0D22"/>
    <w:rsid w:val="008D0D70"/>
    <w:rsid w:val="008D0D7B"/>
    <w:rsid w:val="008D0F60"/>
    <w:rsid w:val="008D17F0"/>
    <w:rsid w:val="008D18E7"/>
    <w:rsid w:val="008D1C8F"/>
    <w:rsid w:val="008D2CF5"/>
    <w:rsid w:val="008D37C8"/>
    <w:rsid w:val="008D3C50"/>
    <w:rsid w:val="008D3ED9"/>
    <w:rsid w:val="008D403E"/>
    <w:rsid w:val="008D4376"/>
    <w:rsid w:val="008D47E9"/>
    <w:rsid w:val="008D48BE"/>
    <w:rsid w:val="008D4D6E"/>
    <w:rsid w:val="008D5FF0"/>
    <w:rsid w:val="008D619E"/>
    <w:rsid w:val="008D6551"/>
    <w:rsid w:val="008D6611"/>
    <w:rsid w:val="008D66D1"/>
    <w:rsid w:val="008D77C9"/>
    <w:rsid w:val="008D78EB"/>
    <w:rsid w:val="008D7C3B"/>
    <w:rsid w:val="008E01BA"/>
    <w:rsid w:val="008E027F"/>
    <w:rsid w:val="008E051E"/>
    <w:rsid w:val="008E0528"/>
    <w:rsid w:val="008E0588"/>
    <w:rsid w:val="008E188F"/>
    <w:rsid w:val="008E20FB"/>
    <w:rsid w:val="008E22DE"/>
    <w:rsid w:val="008E25C6"/>
    <w:rsid w:val="008E2631"/>
    <w:rsid w:val="008E28F4"/>
    <w:rsid w:val="008E2C95"/>
    <w:rsid w:val="008E2E85"/>
    <w:rsid w:val="008E357B"/>
    <w:rsid w:val="008E3634"/>
    <w:rsid w:val="008E39A1"/>
    <w:rsid w:val="008E3C93"/>
    <w:rsid w:val="008E3D7E"/>
    <w:rsid w:val="008E3EEA"/>
    <w:rsid w:val="008E4EB1"/>
    <w:rsid w:val="008E57DD"/>
    <w:rsid w:val="008E5884"/>
    <w:rsid w:val="008E5D4D"/>
    <w:rsid w:val="008E634E"/>
    <w:rsid w:val="008E6941"/>
    <w:rsid w:val="008E6D91"/>
    <w:rsid w:val="008E6DA4"/>
    <w:rsid w:val="008E6EA3"/>
    <w:rsid w:val="008E7822"/>
    <w:rsid w:val="008E7A21"/>
    <w:rsid w:val="008E7D93"/>
    <w:rsid w:val="008E7DD1"/>
    <w:rsid w:val="008F0170"/>
    <w:rsid w:val="008F0582"/>
    <w:rsid w:val="008F0739"/>
    <w:rsid w:val="008F087B"/>
    <w:rsid w:val="008F08D8"/>
    <w:rsid w:val="008F1171"/>
    <w:rsid w:val="008F183A"/>
    <w:rsid w:val="008F1D1C"/>
    <w:rsid w:val="008F1F82"/>
    <w:rsid w:val="008F1FFC"/>
    <w:rsid w:val="008F23B2"/>
    <w:rsid w:val="008F2BF2"/>
    <w:rsid w:val="008F3030"/>
    <w:rsid w:val="008F34BA"/>
    <w:rsid w:val="008F3819"/>
    <w:rsid w:val="008F38D3"/>
    <w:rsid w:val="008F3A8A"/>
    <w:rsid w:val="008F3D0C"/>
    <w:rsid w:val="008F4DDD"/>
    <w:rsid w:val="008F53B5"/>
    <w:rsid w:val="008F59A8"/>
    <w:rsid w:val="008F5DC3"/>
    <w:rsid w:val="008F6137"/>
    <w:rsid w:val="008F63DB"/>
    <w:rsid w:val="008F64F5"/>
    <w:rsid w:val="008F6732"/>
    <w:rsid w:val="008F6840"/>
    <w:rsid w:val="008F7067"/>
    <w:rsid w:val="008F72B5"/>
    <w:rsid w:val="008F734B"/>
    <w:rsid w:val="008F76B2"/>
    <w:rsid w:val="008F7C28"/>
    <w:rsid w:val="008F7E5D"/>
    <w:rsid w:val="0090004B"/>
    <w:rsid w:val="00900077"/>
    <w:rsid w:val="009001D6"/>
    <w:rsid w:val="00900432"/>
    <w:rsid w:val="00900479"/>
    <w:rsid w:val="0090047B"/>
    <w:rsid w:val="0090064D"/>
    <w:rsid w:val="00900ED8"/>
    <w:rsid w:val="0090153B"/>
    <w:rsid w:val="009021E0"/>
    <w:rsid w:val="009026BC"/>
    <w:rsid w:val="009026DB"/>
    <w:rsid w:val="00902CE0"/>
    <w:rsid w:val="00902EAE"/>
    <w:rsid w:val="00902FE5"/>
    <w:rsid w:val="009030D8"/>
    <w:rsid w:val="00903492"/>
    <w:rsid w:val="00903645"/>
    <w:rsid w:val="009039EC"/>
    <w:rsid w:val="00903A7D"/>
    <w:rsid w:val="009044CC"/>
    <w:rsid w:val="00904757"/>
    <w:rsid w:val="009047DF"/>
    <w:rsid w:val="009057F7"/>
    <w:rsid w:val="0090597B"/>
    <w:rsid w:val="009059F8"/>
    <w:rsid w:val="00905BBB"/>
    <w:rsid w:val="00905D0F"/>
    <w:rsid w:val="009065D7"/>
    <w:rsid w:val="00906770"/>
    <w:rsid w:val="009068E0"/>
    <w:rsid w:val="00906B04"/>
    <w:rsid w:val="00907B2B"/>
    <w:rsid w:val="00907C6E"/>
    <w:rsid w:val="00907D32"/>
    <w:rsid w:val="00907D7A"/>
    <w:rsid w:val="00907E5B"/>
    <w:rsid w:val="00907E6F"/>
    <w:rsid w:val="00910172"/>
    <w:rsid w:val="0091036E"/>
    <w:rsid w:val="009107AD"/>
    <w:rsid w:val="00911A6B"/>
    <w:rsid w:val="00911D4E"/>
    <w:rsid w:val="00911F85"/>
    <w:rsid w:val="009125F6"/>
    <w:rsid w:val="00912A72"/>
    <w:rsid w:val="00912B91"/>
    <w:rsid w:val="00913620"/>
    <w:rsid w:val="00913827"/>
    <w:rsid w:val="00914060"/>
    <w:rsid w:val="00914720"/>
    <w:rsid w:val="009149B2"/>
    <w:rsid w:val="00914C6D"/>
    <w:rsid w:val="00914D0F"/>
    <w:rsid w:val="00914EE5"/>
    <w:rsid w:val="00915102"/>
    <w:rsid w:val="009155B0"/>
    <w:rsid w:val="009156A4"/>
    <w:rsid w:val="00915890"/>
    <w:rsid w:val="00915AE1"/>
    <w:rsid w:val="00916007"/>
    <w:rsid w:val="009165F1"/>
    <w:rsid w:val="009166F0"/>
    <w:rsid w:val="00916AF5"/>
    <w:rsid w:val="0091728B"/>
    <w:rsid w:val="00917C28"/>
    <w:rsid w:val="00920452"/>
    <w:rsid w:val="0092049F"/>
    <w:rsid w:val="0092050E"/>
    <w:rsid w:val="00920974"/>
    <w:rsid w:val="00920FC9"/>
    <w:rsid w:val="00921632"/>
    <w:rsid w:val="009217F8"/>
    <w:rsid w:val="00922326"/>
    <w:rsid w:val="009223B4"/>
    <w:rsid w:val="009224E1"/>
    <w:rsid w:val="009224FC"/>
    <w:rsid w:val="00922B1B"/>
    <w:rsid w:val="00923234"/>
    <w:rsid w:val="0092378F"/>
    <w:rsid w:val="009237BA"/>
    <w:rsid w:val="00923847"/>
    <w:rsid w:val="009239FE"/>
    <w:rsid w:val="00924076"/>
    <w:rsid w:val="0092410F"/>
    <w:rsid w:val="00924562"/>
    <w:rsid w:val="00924808"/>
    <w:rsid w:val="00924BAE"/>
    <w:rsid w:val="00924D47"/>
    <w:rsid w:val="0092555D"/>
    <w:rsid w:val="009255EC"/>
    <w:rsid w:val="00925928"/>
    <w:rsid w:val="0092595C"/>
    <w:rsid w:val="009259DB"/>
    <w:rsid w:val="00925B5F"/>
    <w:rsid w:val="00925C4B"/>
    <w:rsid w:val="009260E1"/>
    <w:rsid w:val="00926418"/>
    <w:rsid w:val="0092648A"/>
    <w:rsid w:val="00926DAC"/>
    <w:rsid w:val="00926E88"/>
    <w:rsid w:val="00926E97"/>
    <w:rsid w:val="00926EAB"/>
    <w:rsid w:val="00927166"/>
    <w:rsid w:val="009279A3"/>
    <w:rsid w:val="00927B5B"/>
    <w:rsid w:val="00927D8B"/>
    <w:rsid w:val="00927EBA"/>
    <w:rsid w:val="009303B3"/>
    <w:rsid w:val="0093078D"/>
    <w:rsid w:val="009309BB"/>
    <w:rsid w:val="00930A95"/>
    <w:rsid w:val="00930B6E"/>
    <w:rsid w:val="00931165"/>
    <w:rsid w:val="0093135D"/>
    <w:rsid w:val="00931929"/>
    <w:rsid w:val="009319BE"/>
    <w:rsid w:val="00931A98"/>
    <w:rsid w:val="00931FBD"/>
    <w:rsid w:val="00932174"/>
    <w:rsid w:val="009323AF"/>
    <w:rsid w:val="00932536"/>
    <w:rsid w:val="0093269A"/>
    <w:rsid w:val="009326E5"/>
    <w:rsid w:val="0093291D"/>
    <w:rsid w:val="009329AA"/>
    <w:rsid w:val="00932D37"/>
    <w:rsid w:val="00932D67"/>
    <w:rsid w:val="00933170"/>
    <w:rsid w:val="0093324D"/>
    <w:rsid w:val="00933649"/>
    <w:rsid w:val="0093381F"/>
    <w:rsid w:val="00933B1E"/>
    <w:rsid w:val="00933C1E"/>
    <w:rsid w:val="0093407D"/>
    <w:rsid w:val="0093426A"/>
    <w:rsid w:val="00934419"/>
    <w:rsid w:val="009344FF"/>
    <w:rsid w:val="009345CE"/>
    <w:rsid w:val="00934E3A"/>
    <w:rsid w:val="009355AB"/>
    <w:rsid w:val="00935624"/>
    <w:rsid w:val="00935729"/>
    <w:rsid w:val="00935857"/>
    <w:rsid w:val="00935A20"/>
    <w:rsid w:val="00935B3B"/>
    <w:rsid w:val="00935B41"/>
    <w:rsid w:val="00935C4A"/>
    <w:rsid w:val="00935CEF"/>
    <w:rsid w:val="00935D43"/>
    <w:rsid w:val="009360A2"/>
    <w:rsid w:val="00936513"/>
    <w:rsid w:val="00936C20"/>
    <w:rsid w:val="00936DF0"/>
    <w:rsid w:val="00937034"/>
    <w:rsid w:val="009375FC"/>
    <w:rsid w:val="00937640"/>
    <w:rsid w:val="009377F7"/>
    <w:rsid w:val="00937DFF"/>
    <w:rsid w:val="009404AD"/>
    <w:rsid w:val="0094055E"/>
    <w:rsid w:val="00940751"/>
    <w:rsid w:val="009407D0"/>
    <w:rsid w:val="00940C9E"/>
    <w:rsid w:val="00940CD6"/>
    <w:rsid w:val="00940EDE"/>
    <w:rsid w:val="0094126F"/>
    <w:rsid w:val="00941750"/>
    <w:rsid w:val="00941BA9"/>
    <w:rsid w:val="00941D18"/>
    <w:rsid w:val="00941F81"/>
    <w:rsid w:val="009425EF"/>
    <w:rsid w:val="00942C7B"/>
    <w:rsid w:val="00942F31"/>
    <w:rsid w:val="0094318D"/>
    <w:rsid w:val="009433DA"/>
    <w:rsid w:val="009433DC"/>
    <w:rsid w:val="009435DC"/>
    <w:rsid w:val="00943B6C"/>
    <w:rsid w:val="00943C39"/>
    <w:rsid w:val="00943D76"/>
    <w:rsid w:val="00943E45"/>
    <w:rsid w:val="00943FD8"/>
    <w:rsid w:val="009448D7"/>
    <w:rsid w:val="00944E6D"/>
    <w:rsid w:val="00944EED"/>
    <w:rsid w:val="00945004"/>
    <w:rsid w:val="009455E7"/>
    <w:rsid w:val="0094572E"/>
    <w:rsid w:val="00945D2D"/>
    <w:rsid w:val="00945F53"/>
    <w:rsid w:val="00945FA3"/>
    <w:rsid w:val="00946212"/>
    <w:rsid w:val="0094657B"/>
    <w:rsid w:val="00946871"/>
    <w:rsid w:val="0094715E"/>
    <w:rsid w:val="009471CF"/>
    <w:rsid w:val="0094756B"/>
    <w:rsid w:val="0094758F"/>
    <w:rsid w:val="0094782E"/>
    <w:rsid w:val="0095003D"/>
    <w:rsid w:val="009500E4"/>
    <w:rsid w:val="00950556"/>
    <w:rsid w:val="009507A5"/>
    <w:rsid w:val="00950828"/>
    <w:rsid w:val="00950A07"/>
    <w:rsid w:val="009510E8"/>
    <w:rsid w:val="00951458"/>
    <w:rsid w:val="009517A5"/>
    <w:rsid w:val="0095189F"/>
    <w:rsid w:val="00951A10"/>
    <w:rsid w:val="00951DC0"/>
    <w:rsid w:val="00951FC7"/>
    <w:rsid w:val="0095258C"/>
    <w:rsid w:val="009526E8"/>
    <w:rsid w:val="00952C44"/>
    <w:rsid w:val="00952F14"/>
    <w:rsid w:val="0095400C"/>
    <w:rsid w:val="0095412E"/>
    <w:rsid w:val="00954383"/>
    <w:rsid w:val="009545FC"/>
    <w:rsid w:val="00954627"/>
    <w:rsid w:val="00954702"/>
    <w:rsid w:val="00954A4C"/>
    <w:rsid w:val="00954D79"/>
    <w:rsid w:val="00954F27"/>
    <w:rsid w:val="00955021"/>
    <w:rsid w:val="00956A6B"/>
    <w:rsid w:val="00956C1B"/>
    <w:rsid w:val="00956D42"/>
    <w:rsid w:val="00956E2D"/>
    <w:rsid w:val="0095719C"/>
    <w:rsid w:val="009573F8"/>
    <w:rsid w:val="00957422"/>
    <w:rsid w:val="00957782"/>
    <w:rsid w:val="00957817"/>
    <w:rsid w:val="00957A48"/>
    <w:rsid w:val="00957F85"/>
    <w:rsid w:val="00957FC8"/>
    <w:rsid w:val="0096095E"/>
    <w:rsid w:val="0096097E"/>
    <w:rsid w:val="00960CE1"/>
    <w:rsid w:val="009613B1"/>
    <w:rsid w:val="00961D54"/>
    <w:rsid w:val="00962174"/>
    <w:rsid w:val="009626ED"/>
    <w:rsid w:val="00962983"/>
    <w:rsid w:val="00962BD7"/>
    <w:rsid w:val="00962D04"/>
    <w:rsid w:val="00962D77"/>
    <w:rsid w:val="00963467"/>
    <w:rsid w:val="009634B8"/>
    <w:rsid w:val="009639EA"/>
    <w:rsid w:val="00963A34"/>
    <w:rsid w:val="00963B2D"/>
    <w:rsid w:val="00963BFB"/>
    <w:rsid w:val="00964328"/>
    <w:rsid w:val="009644F6"/>
    <w:rsid w:val="009648F3"/>
    <w:rsid w:val="00964D7C"/>
    <w:rsid w:val="009655B6"/>
    <w:rsid w:val="00965B8C"/>
    <w:rsid w:val="009674C5"/>
    <w:rsid w:val="00967B22"/>
    <w:rsid w:val="00967B4C"/>
    <w:rsid w:val="00970750"/>
    <w:rsid w:val="00970E86"/>
    <w:rsid w:val="00971036"/>
    <w:rsid w:val="00971156"/>
    <w:rsid w:val="00971288"/>
    <w:rsid w:val="00971F45"/>
    <w:rsid w:val="00971FD6"/>
    <w:rsid w:val="00972E99"/>
    <w:rsid w:val="00973172"/>
    <w:rsid w:val="009731CC"/>
    <w:rsid w:val="0097324D"/>
    <w:rsid w:val="009735B1"/>
    <w:rsid w:val="009737B1"/>
    <w:rsid w:val="0097408F"/>
    <w:rsid w:val="0097461F"/>
    <w:rsid w:val="009746A5"/>
    <w:rsid w:val="009747A1"/>
    <w:rsid w:val="00974DDE"/>
    <w:rsid w:val="00975056"/>
    <w:rsid w:val="009752F1"/>
    <w:rsid w:val="0097600A"/>
    <w:rsid w:val="009761A3"/>
    <w:rsid w:val="0097693B"/>
    <w:rsid w:val="00976D2D"/>
    <w:rsid w:val="0097711C"/>
    <w:rsid w:val="0097721B"/>
    <w:rsid w:val="0097763E"/>
    <w:rsid w:val="009776DC"/>
    <w:rsid w:val="009778BD"/>
    <w:rsid w:val="00977A6D"/>
    <w:rsid w:val="009801FC"/>
    <w:rsid w:val="009805D7"/>
    <w:rsid w:val="009807C8"/>
    <w:rsid w:val="00980B59"/>
    <w:rsid w:val="00980F11"/>
    <w:rsid w:val="00980FCC"/>
    <w:rsid w:val="0098123D"/>
    <w:rsid w:val="00981790"/>
    <w:rsid w:val="00982602"/>
    <w:rsid w:val="00982F90"/>
    <w:rsid w:val="00983211"/>
    <w:rsid w:val="0098358A"/>
    <w:rsid w:val="0098394C"/>
    <w:rsid w:val="00983AEB"/>
    <w:rsid w:val="00984110"/>
    <w:rsid w:val="009842D6"/>
    <w:rsid w:val="00984380"/>
    <w:rsid w:val="00984575"/>
    <w:rsid w:val="009852B0"/>
    <w:rsid w:val="00985364"/>
    <w:rsid w:val="00985494"/>
    <w:rsid w:val="00985BB5"/>
    <w:rsid w:val="00985BFB"/>
    <w:rsid w:val="00985C23"/>
    <w:rsid w:val="00985EBB"/>
    <w:rsid w:val="00985F8E"/>
    <w:rsid w:val="00985F8F"/>
    <w:rsid w:val="00986010"/>
    <w:rsid w:val="0098603D"/>
    <w:rsid w:val="0098627B"/>
    <w:rsid w:val="00986342"/>
    <w:rsid w:val="00986B0D"/>
    <w:rsid w:val="00986B13"/>
    <w:rsid w:val="00986B15"/>
    <w:rsid w:val="00986DE6"/>
    <w:rsid w:val="00986E02"/>
    <w:rsid w:val="009872B5"/>
    <w:rsid w:val="00987BC6"/>
    <w:rsid w:val="00987F06"/>
    <w:rsid w:val="009900AC"/>
    <w:rsid w:val="009901BD"/>
    <w:rsid w:val="00990249"/>
    <w:rsid w:val="0099058F"/>
    <w:rsid w:val="00990904"/>
    <w:rsid w:val="00990DD4"/>
    <w:rsid w:val="0099140C"/>
    <w:rsid w:val="009914A7"/>
    <w:rsid w:val="00991A6E"/>
    <w:rsid w:val="00991AD5"/>
    <w:rsid w:val="00991EB1"/>
    <w:rsid w:val="00991ED7"/>
    <w:rsid w:val="009921BD"/>
    <w:rsid w:val="0099269E"/>
    <w:rsid w:val="009926BF"/>
    <w:rsid w:val="009929BE"/>
    <w:rsid w:val="009929E8"/>
    <w:rsid w:val="00993347"/>
    <w:rsid w:val="009934D2"/>
    <w:rsid w:val="009938C4"/>
    <w:rsid w:val="00993D42"/>
    <w:rsid w:val="0099413B"/>
    <w:rsid w:val="00994296"/>
    <w:rsid w:val="00994562"/>
    <w:rsid w:val="00995028"/>
    <w:rsid w:val="0099560B"/>
    <w:rsid w:val="0099566C"/>
    <w:rsid w:val="009961D3"/>
    <w:rsid w:val="00996503"/>
    <w:rsid w:val="009967DE"/>
    <w:rsid w:val="009970BF"/>
    <w:rsid w:val="009979D1"/>
    <w:rsid w:val="009A05BD"/>
    <w:rsid w:val="009A05C1"/>
    <w:rsid w:val="009A0C00"/>
    <w:rsid w:val="009A12FE"/>
    <w:rsid w:val="009A166D"/>
    <w:rsid w:val="009A177D"/>
    <w:rsid w:val="009A19DA"/>
    <w:rsid w:val="009A1DA6"/>
    <w:rsid w:val="009A2506"/>
    <w:rsid w:val="009A2D65"/>
    <w:rsid w:val="009A3234"/>
    <w:rsid w:val="009A33C7"/>
    <w:rsid w:val="009A3655"/>
    <w:rsid w:val="009A3731"/>
    <w:rsid w:val="009A43F1"/>
    <w:rsid w:val="009A4845"/>
    <w:rsid w:val="009A4B59"/>
    <w:rsid w:val="009A4C72"/>
    <w:rsid w:val="009A4CB7"/>
    <w:rsid w:val="009A4FDD"/>
    <w:rsid w:val="009A50B1"/>
    <w:rsid w:val="009A5857"/>
    <w:rsid w:val="009A5B4F"/>
    <w:rsid w:val="009A5FA0"/>
    <w:rsid w:val="009A658C"/>
    <w:rsid w:val="009A6B8D"/>
    <w:rsid w:val="009A6D55"/>
    <w:rsid w:val="009A6E25"/>
    <w:rsid w:val="009A6F9B"/>
    <w:rsid w:val="009A7074"/>
    <w:rsid w:val="009A733C"/>
    <w:rsid w:val="009A76F8"/>
    <w:rsid w:val="009A7AA9"/>
    <w:rsid w:val="009B011B"/>
    <w:rsid w:val="009B0175"/>
    <w:rsid w:val="009B06D6"/>
    <w:rsid w:val="009B075E"/>
    <w:rsid w:val="009B0AAB"/>
    <w:rsid w:val="009B0CA6"/>
    <w:rsid w:val="009B1079"/>
    <w:rsid w:val="009B12F1"/>
    <w:rsid w:val="009B1313"/>
    <w:rsid w:val="009B19FF"/>
    <w:rsid w:val="009B1D08"/>
    <w:rsid w:val="009B1D79"/>
    <w:rsid w:val="009B1E8B"/>
    <w:rsid w:val="009B2072"/>
    <w:rsid w:val="009B2DF0"/>
    <w:rsid w:val="009B2F12"/>
    <w:rsid w:val="009B32A7"/>
    <w:rsid w:val="009B3435"/>
    <w:rsid w:val="009B36DD"/>
    <w:rsid w:val="009B3948"/>
    <w:rsid w:val="009B3A93"/>
    <w:rsid w:val="009B4E03"/>
    <w:rsid w:val="009B5175"/>
    <w:rsid w:val="009B52AF"/>
    <w:rsid w:val="009B52D6"/>
    <w:rsid w:val="009B558E"/>
    <w:rsid w:val="009B61C7"/>
    <w:rsid w:val="009B6306"/>
    <w:rsid w:val="009B6CBC"/>
    <w:rsid w:val="009B6D4A"/>
    <w:rsid w:val="009B70AD"/>
    <w:rsid w:val="009B73DC"/>
    <w:rsid w:val="009B7DCC"/>
    <w:rsid w:val="009B7F96"/>
    <w:rsid w:val="009C0122"/>
    <w:rsid w:val="009C0A89"/>
    <w:rsid w:val="009C0B3B"/>
    <w:rsid w:val="009C0CC8"/>
    <w:rsid w:val="009C1087"/>
    <w:rsid w:val="009C1793"/>
    <w:rsid w:val="009C18D2"/>
    <w:rsid w:val="009C2205"/>
    <w:rsid w:val="009C244C"/>
    <w:rsid w:val="009C2DAA"/>
    <w:rsid w:val="009C3433"/>
    <w:rsid w:val="009C3A15"/>
    <w:rsid w:val="009C3AA4"/>
    <w:rsid w:val="009C3DE2"/>
    <w:rsid w:val="009C3EBD"/>
    <w:rsid w:val="009C420B"/>
    <w:rsid w:val="009C48ED"/>
    <w:rsid w:val="009C4A78"/>
    <w:rsid w:val="009C4B21"/>
    <w:rsid w:val="009C5062"/>
    <w:rsid w:val="009C57E8"/>
    <w:rsid w:val="009C5B44"/>
    <w:rsid w:val="009C6134"/>
    <w:rsid w:val="009C652D"/>
    <w:rsid w:val="009C6701"/>
    <w:rsid w:val="009C683E"/>
    <w:rsid w:val="009C6856"/>
    <w:rsid w:val="009C6926"/>
    <w:rsid w:val="009C69CC"/>
    <w:rsid w:val="009C6A40"/>
    <w:rsid w:val="009C6C3E"/>
    <w:rsid w:val="009C73FC"/>
    <w:rsid w:val="009C750B"/>
    <w:rsid w:val="009C78B9"/>
    <w:rsid w:val="009D01BE"/>
    <w:rsid w:val="009D0A30"/>
    <w:rsid w:val="009D0E57"/>
    <w:rsid w:val="009D11F0"/>
    <w:rsid w:val="009D1E13"/>
    <w:rsid w:val="009D1FAC"/>
    <w:rsid w:val="009D2046"/>
    <w:rsid w:val="009D2399"/>
    <w:rsid w:val="009D31C7"/>
    <w:rsid w:val="009D3939"/>
    <w:rsid w:val="009D395A"/>
    <w:rsid w:val="009D3B7E"/>
    <w:rsid w:val="009D3CCB"/>
    <w:rsid w:val="009D3FA2"/>
    <w:rsid w:val="009D4044"/>
    <w:rsid w:val="009D44C6"/>
    <w:rsid w:val="009D44E4"/>
    <w:rsid w:val="009D4699"/>
    <w:rsid w:val="009D4A35"/>
    <w:rsid w:val="009D4C9D"/>
    <w:rsid w:val="009D4CBB"/>
    <w:rsid w:val="009D5706"/>
    <w:rsid w:val="009D57A2"/>
    <w:rsid w:val="009D5A61"/>
    <w:rsid w:val="009D5B97"/>
    <w:rsid w:val="009D5BE2"/>
    <w:rsid w:val="009D6349"/>
    <w:rsid w:val="009D6AD8"/>
    <w:rsid w:val="009D6C0B"/>
    <w:rsid w:val="009D6DDB"/>
    <w:rsid w:val="009D7065"/>
    <w:rsid w:val="009D7096"/>
    <w:rsid w:val="009D7874"/>
    <w:rsid w:val="009D7883"/>
    <w:rsid w:val="009D78B4"/>
    <w:rsid w:val="009D7B12"/>
    <w:rsid w:val="009E0218"/>
    <w:rsid w:val="009E0480"/>
    <w:rsid w:val="009E059F"/>
    <w:rsid w:val="009E08E4"/>
    <w:rsid w:val="009E132F"/>
    <w:rsid w:val="009E1773"/>
    <w:rsid w:val="009E199D"/>
    <w:rsid w:val="009E1A38"/>
    <w:rsid w:val="009E1AAB"/>
    <w:rsid w:val="009E1E1D"/>
    <w:rsid w:val="009E244F"/>
    <w:rsid w:val="009E2EDC"/>
    <w:rsid w:val="009E3214"/>
    <w:rsid w:val="009E35C3"/>
    <w:rsid w:val="009E36BD"/>
    <w:rsid w:val="009E3B9D"/>
    <w:rsid w:val="009E3D15"/>
    <w:rsid w:val="009E3D6E"/>
    <w:rsid w:val="009E4159"/>
    <w:rsid w:val="009E42E0"/>
    <w:rsid w:val="009E46A8"/>
    <w:rsid w:val="009E4B50"/>
    <w:rsid w:val="009E4C64"/>
    <w:rsid w:val="009E4D08"/>
    <w:rsid w:val="009E5227"/>
    <w:rsid w:val="009E5659"/>
    <w:rsid w:val="009E5C5B"/>
    <w:rsid w:val="009E677A"/>
    <w:rsid w:val="009E6851"/>
    <w:rsid w:val="009E6B15"/>
    <w:rsid w:val="009E6E63"/>
    <w:rsid w:val="009E7661"/>
    <w:rsid w:val="009E7E98"/>
    <w:rsid w:val="009F02F7"/>
    <w:rsid w:val="009F08F1"/>
    <w:rsid w:val="009F08F9"/>
    <w:rsid w:val="009F1156"/>
    <w:rsid w:val="009F115A"/>
    <w:rsid w:val="009F138D"/>
    <w:rsid w:val="009F176A"/>
    <w:rsid w:val="009F18BE"/>
    <w:rsid w:val="009F1CC3"/>
    <w:rsid w:val="009F21F6"/>
    <w:rsid w:val="009F2370"/>
    <w:rsid w:val="009F2D7A"/>
    <w:rsid w:val="009F2DEE"/>
    <w:rsid w:val="009F311E"/>
    <w:rsid w:val="009F34B1"/>
    <w:rsid w:val="009F370A"/>
    <w:rsid w:val="009F3992"/>
    <w:rsid w:val="009F3D3D"/>
    <w:rsid w:val="009F48B5"/>
    <w:rsid w:val="009F521F"/>
    <w:rsid w:val="009F5431"/>
    <w:rsid w:val="009F58F6"/>
    <w:rsid w:val="009F5D23"/>
    <w:rsid w:val="009F5F6F"/>
    <w:rsid w:val="009F62A7"/>
    <w:rsid w:val="009F6635"/>
    <w:rsid w:val="009F66D8"/>
    <w:rsid w:val="009F67A0"/>
    <w:rsid w:val="009F692D"/>
    <w:rsid w:val="009F6AB1"/>
    <w:rsid w:val="009F6C45"/>
    <w:rsid w:val="009F6E2C"/>
    <w:rsid w:val="009F7373"/>
    <w:rsid w:val="009F7411"/>
    <w:rsid w:val="009F7466"/>
    <w:rsid w:val="009F789B"/>
    <w:rsid w:val="009F795D"/>
    <w:rsid w:val="009F79F8"/>
    <w:rsid w:val="00A000B3"/>
    <w:rsid w:val="00A00492"/>
    <w:rsid w:val="00A007D0"/>
    <w:rsid w:val="00A00B1F"/>
    <w:rsid w:val="00A00E11"/>
    <w:rsid w:val="00A00FB5"/>
    <w:rsid w:val="00A01213"/>
    <w:rsid w:val="00A014B0"/>
    <w:rsid w:val="00A01F01"/>
    <w:rsid w:val="00A022FB"/>
    <w:rsid w:val="00A023FD"/>
    <w:rsid w:val="00A0246E"/>
    <w:rsid w:val="00A027AD"/>
    <w:rsid w:val="00A02E39"/>
    <w:rsid w:val="00A0302C"/>
    <w:rsid w:val="00A031F3"/>
    <w:rsid w:val="00A032E9"/>
    <w:rsid w:val="00A03EF1"/>
    <w:rsid w:val="00A049C5"/>
    <w:rsid w:val="00A04D8C"/>
    <w:rsid w:val="00A0555D"/>
    <w:rsid w:val="00A05A8D"/>
    <w:rsid w:val="00A05A9C"/>
    <w:rsid w:val="00A05ABF"/>
    <w:rsid w:val="00A06076"/>
    <w:rsid w:val="00A062F5"/>
    <w:rsid w:val="00A0649E"/>
    <w:rsid w:val="00A06A2C"/>
    <w:rsid w:val="00A06BAC"/>
    <w:rsid w:val="00A06BEC"/>
    <w:rsid w:val="00A070E8"/>
    <w:rsid w:val="00A07183"/>
    <w:rsid w:val="00A077E3"/>
    <w:rsid w:val="00A07B15"/>
    <w:rsid w:val="00A07D37"/>
    <w:rsid w:val="00A102E6"/>
    <w:rsid w:val="00A105E1"/>
    <w:rsid w:val="00A108F1"/>
    <w:rsid w:val="00A109E8"/>
    <w:rsid w:val="00A10A0F"/>
    <w:rsid w:val="00A10BEA"/>
    <w:rsid w:val="00A10D06"/>
    <w:rsid w:val="00A10E9F"/>
    <w:rsid w:val="00A10FDF"/>
    <w:rsid w:val="00A117EF"/>
    <w:rsid w:val="00A11A9B"/>
    <w:rsid w:val="00A11AD6"/>
    <w:rsid w:val="00A11E56"/>
    <w:rsid w:val="00A11ECD"/>
    <w:rsid w:val="00A121A5"/>
    <w:rsid w:val="00A122BB"/>
    <w:rsid w:val="00A12311"/>
    <w:rsid w:val="00A124D1"/>
    <w:rsid w:val="00A128A2"/>
    <w:rsid w:val="00A12A46"/>
    <w:rsid w:val="00A12D56"/>
    <w:rsid w:val="00A12E71"/>
    <w:rsid w:val="00A13197"/>
    <w:rsid w:val="00A134DA"/>
    <w:rsid w:val="00A135D9"/>
    <w:rsid w:val="00A1377D"/>
    <w:rsid w:val="00A13AE4"/>
    <w:rsid w:val="00A14007"/>
    <w:rsid w:val="00A148C4"/>
    <w:rsid w:val="00A149E5"/>
    <w:rsid w:val="00A14D65"/>
    <w:rsid w:val="00A14F24"/>
    <w:rsid w:val="00A1506F"/>
    <w:rsid w:val="00A154B3"/>
    <w:rsid w:val="00A158A7"/>
    <w:rsid w:val="00A15B24"/>
    <w:rsid w:val="00A15B43"/>
    <w:rsid w:val="00A15BAF"/>
    <w:rsid w:val="00A15C79"/>
    <w:rsid w:val="00A15FC1"/>
    <w:rsid w:val="00A16316"/>
    <w:rsid w:val="00A16851"/>
    <w:rsid w:val="00A1694E"/>
    <w:rsid w:val="00A16ABE"/>
    <w:rsid w:val="00A16CDA"/>
    <w:rsid w:val="00A17191"/>
    <w:rsid w:val="00A17662"/>
    <w:rsid w:val="00A177D3"/>
    <w:rsid w:val="00A17A30"/>
    <w:rsid w:val="00A17CB0"/>
    <w:rsid w:val="00A20790"/>
    <w:rsid w:val="00A20892"/>
    <w:rsid w:val="00A20992"/>
    <w:rsid w:val="00A20D15"/>
    <w:rsid w:val="00A20F9C"/>
    <w:rsid w:val="00A216C4"/>
    <w:rsid w:val="00A21826"/>
    <w:rsid w:val="00A21C19"/>
    <w:rsid w:val="00A225F8"/>
    <w:rsid w:val="00A23645"/>
    <w:rsid w:val="00A24000"/>
    <w:rsid w:val="00A24624"/>
    <w:rsid w:val="00A24750"/>
    <w:rsid w:val="00A24782"/>
    <w:rsid w:val="00A24790"/>
    <w:rsid w:val="00A24A9D"/>
    <w:rsid w:val="00A24CB6"/>
    <w:rsid w:val="00A2532C"/>
    <w:rsid w:val="00A25AB2"/>
    <w:rsid w:val="00A25F85"/>
    <w:rsid w:val="00A262AF"/>
    <w:rsid w:val="00A263EA"/>
    <w:rsid w:val="00A27383"/>
    <w:rsid w:val="00A277E4"/>
    <w:rsid w:val="00A27876"/>
    <w:rsid w:val="00A27881"/>
    <w:rsid w:val="00A27FE7"/>
    <w:rsid w:val="00A305AA"/>
    <w:rsid w:val="00A30707"/>
    <w:rsid w:val="00A30BA0"/>
    <w:rsid w:val="00A314EE"/>
    <w:rsid w:val="00A31511"/>
    <w:rsid w:val="00A316EA"/>
    <w:rsid w:val="00A318A7"/>
    <w:rsid w:val="00A31D1F"/>
    <w:rsid w:val="00A31E69"/>
    <w:rsid w:val="00A31E6F"/>
    <w:rsid w:val="00A31EEE"/>
    <w:rsid w:val="00A32593"/>
    <w:rsid w:val="00A329EC"/>
    <w:rsid w:val="00A32C4C"/>
    <w:rsid w:val="00A33FDC"/>
    <w:rsid w:val="00A34300"/>
    <w:rsid w:val="00A34684"/>
    <w:rsid w:val="00A34B92"/>
    <w:rsid w:val="00A34EF9"/>
    <w:rsid w:val="00A3532B"/>
    <w:rsid w:val="00A3568E"/>
    <w:rsid w:val="00A3587E"/>
    <w:rsid w:val="00A35E1C"/>
    <w:rsid w:val="00A35FED"/>
    <w:rsid w:val="00A36EB9"/>
    <w:rsid w:val="00A37083"/>
    <w:rsid w:val="00A375FE"/>
    <w:rsid w:val="00A37AFF"/>
    <w:rsid w:val="00A37C4B"/>
    <w:rsid w:val="00A37FFA"/>
    <w:rsid w:val="00A40011"/>
    <w:rsid w:val="00A40368"/>
    <w:rsid w:val="00A40A1B"/>
    <w:rsid w:val="00A40B96"/>
    <w:rsid w:val="00A40F4F"/>
    <w:rsid w:val="00A41B39"/>
    <w:rsid w:val="00A41DD2"/>
    <w:rsid w:val="00A41EA0"/>
    <w:rsid w:val="00A42013"/>
    <w:rsid w:val="00A4241F"/>
    <w:rsid w:val="00A4243A"/>
    <w:rsid w:val="00A42B64"/>
    <w:rsid w:val="00A42C0C"/>
    <w:rsid w:val="00A43630"/>
    <w:rsid w:val="00A442E7"/>
    <w:rsid w:val="00A443E2"/>
    <w:rsid w:val="00A447C1"/>
    <w:rsid w:val="00A447D3"/>
    <w:rsid w:val="00A45316"/>
    <w:rsid w:val="00A45CC1"/>
    <w:rsid w:val="00A45D02"/>
    <w:rsid w:val="00A4727A"/>
    <w:rsid w:val="00A47352"/>
    <w:rsid w:val="00A47497"/>
    <w:rsid w:val="00A4798B"/>
    <w:rsid w:val="00A50050"/>
    <w:rsid w:val="00A5054E"/>
    <w:rsid w:val="00A50DEE"/>
    <w:rsid w:val="00A510A1"/>
    <w:rsid w:val="00A517F7"/>
    <w:rsid w:val="00A51898"/>
    <w:rsid w:val="00A51B30"/>
    <w:rsid w:val="00A51D3A"/>
    <w:rsid w:val="00A525C1"/>
    <w:rsid w:val="00A527E5"/>
    <w:rsid w:val="00A52965"/>
    <w:rsid w:val="00A529B5"/>
    <w:rsid w:val="00A52DA6"/>
    <w:rsid w:val="00A530B5"/>
    <w:rsid w:val="00A53303"/>
    <w:rsid w:val="00A5373C"/>
    <w:rsid w:val="00A537E0"/>
    <w:rsid w:val="00A53839"/>
    <w:rsid w:val="00A5391C"/>
    <w:rsid w:val="00A53949"/>
    <w:rsid w:val="00A53AFE"/>
    <w:rsid w:val="00A53B78"/>
    <w:rsid w:val="00A53E7C"/>
    <w:rsid w:val="00A54185"/>
    <w:rsid w:val="00A54935"/>
    <w:rsid w:val="00A55BF9"/>
    <w:rsid w:val="00A56962"/>
    <w:rsid w:val="00A569D8"/>
    <w:rsid w:val="00A56A06"/>
    <w:rsid w:val="00A56D77"/>
    <w:rsid w:val="00A56EE2"/>
    <w:rsid w:val="00A57081"/>
    <w:rsid w:val="00A570FC"/>
    <w:rsid w:val="00A572AC"/>
    <w:rsid w:val="00A603CB"/>
    <w:rsid w:val="00A60C14"/>
    <w:rsid w:val="00A60DF4"/>
    <w:rsid w:val="00A613A4"/>
    <w:rsid w:val="00A6175E"/>
    <w:rsid w:val="00A617FD"/>
    <w:rsid w:val="00A61D6F"/>
    <w:rsid w:val="00A61E89"/>
    <w:rsid w:val="00A62E7B"/>
    <w:rsid w:val="00A63295"/>
    <w:rsid w:val="00A63548"/>
    <w:rsid w:val="00A63715"/>
    <w:rsid w:val="00A63948"/>
    <w:rsid w:val="00A639AA"/>
    <w:rsid w:val="00A63A56"/>
    <w:rsid w:val="00A63A5D"/>
    <w:rsid w:val="00A6400C"/>
    <w:rsid w:val="00A642C3"/>
    <w:rsid w:val="00A65152"/>
    <w:rsid w:val="00A651A1"/>
    <w:rsid w:val="00A6596E"/>
    <w:rsid w:val="00A65B80"/>
    <w:rsid w:val="00A65C00"/>
    <w:rsid w:val="00A65D65"/>
    <w:rsid w:val="00A65D8F"/>
    <w:rsid w:val="00A65E2E"/>
    <w:rsid w:val="00A65EF0"/>
    <w:rsid w:val="00A65F08"/>
    <w:rsid w:val="00A662A0"/>
    <w:rsid w:val="00A66594"/>
    <w:rsid w:val="00A66C8E"/>
    <w:rsid w:val="00A66E6B"/>
    <w:rsid w:val="00A67016"/>
    <w:rsid w:val="00A6709C"/>
    <w:rsid w:val="00A67204"/>
    <w:rsid w:val="00A672BA"/>
    <w:rsid w:val="00A676EA"/>
    <w:rsid w:val="00A6772A"/>
    <w:rsid w:val="00A67943"/>
    <w:rsid w:val="00A67C74"/>
    <w:rsid w:val="00A7018F"/>
    <w:rsid w:val="00A70327"/>
    <w:rsid w:val="00A703B0"/>
    <w:rsid w:val="00A70403"/>
    <w:rsid w:val="00A70555"/>
    <w:rsid w:val="00A71307"/>
    <w:rsid w:val="00A71CB8"/>
    <w:rsid w:val="00A71D67"/>
    <w:rsid w:val="00A720BC"/>
    <w:rsid w:val="00A721DB"/>
    <w:rsid w:val="00A7233E"/>
    <w:rsid w:val="00A723EF"/>
    <w:rsid w:val="00A726BF"/>
    <w:rsid w:val="00A72CBA"/>
    <w:rsid w:val="00A73057"/>
    <w:rsid w:val="00A73102"/>
    <w:rsid w:val="00A7319B"/>
    <w:rsid w:val="00A733C9"/>
    <w:rsid w:val="00A73401"/>
    <w:rsid w:val="00A7359A"/>
    <w:rsid w:val="00A73C3F"/>
    <w:rsid w:val="00A74304"/>
    <w:rsid w:val="00A74400"/>
    <w:rsid w:val="00A7463B"/>
    <w:rsid w:val="00A7463D"/>
    <w:rsid w:val="00A7488D"/>
    <w:rsid w:val="00A74EA8"/>
    <w:rsid w:val="00A75007"/>
    <w:rsid w:val="00A75133"/>
    <w:rsid w:val="00A752FB"/>
    <w:rsid w:val="00A756FC"/>
    <w:rsid w:val="00A757DD"/>
    <w:rsid w:val="00A76018"/>
    <w:rsid w:val="00A7623E"/>
    <w:rsid w:val="00A7633F"/>
    <w:rsid w:val="00A770E6"/>
    <w:rsid w:val="00A7720D"/>
    <w:rsid w:val="00A7746C"/>
    <w:rsid w:val="00A7755C"/>
    <w:rsid w:val="00A80247"/>
    <w:rsid w:val="00A808D7"/>
    <w:rsid w:val="00A80931"/>
    <w:rsid w:val="00A80AA9"/>
    <w:rsid w:val="00A81258"/>
    <w:rsid w:val="00A812D4"/>
    <w:rsid w:val="00A81317"/>
    <w:rsid w:val="00A81B2A"/>
    <w:rsid w:val="00A81C88"/>
    <w:rsid w:val="00A81CAE"/>
    <w:rsid w:val="00A81E0C"/>
    <w:rsid w:val="00A82613"/>
    <w:rsid w:val="00A82FB7"/>
    <w:rsid w:val="00A83032"/>
    <w:rsid w:val="00A83135"/>
    <w:rsid w:val="00A83472"/>
    <w:rsid w:val="00A8360A"/>
    <w:rsid w:val="00A83818"/>
    <w:rsid w:val="00A83BDD"/>
    <w:rsid w:val="00A83F87"/>
    <w:rsid w:val="00A83FA6"/>
    <w:rsid w:val="00A842C4"/>
    <w:rsid w:val="00A84685"/>
    <w:rsid w:val="00A84DE1"/>
    <w:rsid w:val="00A84E0F"/>
    <w:rsid w:val="00A84ED3"/>
    <w:rsid w:val="00A85576"/>
    <w:rsid w:val="00A855CF"/>
    <w:rsid w:val="00A858D1"/>
    <w:rsid w:val="00A85B45"/>
    <w:rsid w:val="00A85F12"/>
    <w:rsid w:val="00A85F6C"/>
    <w:rsid w:val="00A8604F"/>
    <w:rsid w:val="00A8608A"/>
    <w:rsid w:val="00A869E6"/>
    <w:rsid w:val="00A870E3"/>
    <w:rsid w:val="00A87209"/>
    <w:rsid w:val="00A8751F"/>
    <w:rsid w:val="00A877EF"/>
    <w:rsid w:val="00A87881"/>
    <w:rsid w:val="00A87A8D"/>
    <w:rsid w:val="00A87C93"/>
    <w:rsid w:val="00A9012C"/>
    <w:rsid w:val="00A904EF"/>
    <w:rsid w:val="00A907AA"/>
    <w:rsid w:val="00A90ADB"/>
    <w:rsid w:val="00A90B8D"/>
    <w:rsid w:val="00A912A9"/>
    <w:rsid w:val="00A91528"/>
    <w:rsid w:val="00A91B0E"/>
    <w:rsid w:val="00A91D8F"/>
    <w:rsid w:val="00A91D93"/>
    <w:rsid w:val="00A91DAD"/>
    <w:rsid w:val="00A92016"/>
    <w:rsid w:val="00A923D3"/>
    <w:rsid w:val="00A9264E"/>
    <w:rsid w:val="00A932D0"/>
    <w:rsid w:val="00A93355"/>
    <w:rsid w:val="00A9337A"/>
    <w:rsid w:val="00A93469"/>
    <w:rsid w:val="00A93800"/>
    <w:rsid w:val="00A93EB6"/>
    <w:rsid w:val="00A942D2"/>
    <w:rsid w:val="00A94582"/>
    <w:rsid w:val="00A94775"/>
    <w:rsid w:val="00A947D1"/>
    <w:rsid w:val="00A94883"/>
    <w:rsid w:val="00A94CD7"/>
    <w:rsid w:val="00A9502D"/>
    <w:rsid w:val="00A95AF8"/>
    <w:rsid w:val="00A96029"/>
    <w:rsid w:val="00A96099"/>
    <w:rsid w:val="00A96134"/>
    <w:rsid w:val="00A961E6"/>
    <w:rsid w:val="00A963E8"/>
    <w:rsid w:val="00A9651B"/>
    <w:rsid w:val="00A96E6C"/>
    <w:rsid w:val="00A96EA1"/>
    <w:rsid w:val="00A9759C"/>
    <w:rsid w:val="00A97908"/>
    <w:rsid w:val="00A979E5"/>
    <w:rsid w:val="00A97A93"/>
    <w:rsid w:val="00AA100F"/>
    <w:rsid w:val="00AA147B"/>
    <w:rsid w:val="00AA18C0"/>
    <w:rsid w:val="00AA19F2"/>
    <w:rsid w:val="00AA1A63"/>
    <w:rsid w:val="00AA29A0"/>
    <w:rsid w:val="00AA2C7A"/>
    <w:rsid w:val="00AA2E2F"/>
    <w:rsid w:val="00AA2E90"/>
    <w:rsid w:val="00AA3139"/>
    <w:rsid w:val="00AA3564"/>
    <w:rsid w:val="00AA3950"/>
    <w:rsid w:val="00AA3963"/>
    <w:rsid w:val="00AA3A3B"/>
    <w:rsid w:val="00AA3BD6"/>
    <w:rsid w:val="00AA42BE"/>
    <w:rsid w:val="00AA46D0"/>
    <w:rsid w:val="00AA59F5"/>
    <w:rsid w:val="00AA5BEF"/>
    <w:rsid w:val="00AA5D21"/>
    <w:rsid w:val="00AA5E2C"/>
    <w:rsid w:val="00AA6647"/>
    <w:rsid w:val="00AA69E5"/>
    <w:rsid w:val="00AA6AD9"/>
    <w:rsid w:val="00AA6B60"/>
    <w:rsid w:val="00AA6E48"/>
    <w:rsid w:val="00AA708D"/>
    <w:rsid w:val="00AB04A6"/>
    <w:rsid w:val="00AB06E2"/>
    <w:rsid w:val="00AB08E9"/>
    <w:rsid w:val="00AB0D12"/>
    <w:rsid w:val="00AB11A7"/>
    <w:rsid w:val="00AB13D9"/>
    <w:rsid w:val="00AB1406"/>
    <w:rsid w:val="00AB1771"/>
    <w:rsid w:val="00AB1CF4"/>
    <w:rsid w:val="00AB1E67"/>
    <w:rsid w:val="00AB21EE"/>
    <w:rsid w:val="00AB2401"/>
    <w:rsid w:val="00AB2696"/>
    <w:rsid w:val="00AB27D8"/>
    <w:rsid w:val="00AB2A91"/>
    <w:rsid w:val="00AB2E0B"/>
    <w:rsid w:val="00AB2F38"/>
    <w:rsid w:val="00AB308F"/>
    <w:rsid w:val="00AB3315"/>
    <w:rsid w:val="00AB3795"/>
    <w:rsid w:val="00AB3803"/>
    <w:rsid w:val="00AB3883"/>
    <w:rsid w:val="00AB39CB"/>
    <w:rsid w:val="00AB3CB2"/>
    <w:rsid w:val="00AB3F6C"/>
    <w:rsid w:val="00AB3F76"/>
    <w:rsid w:val="00AB3F83"/>
    <w:rsid w:val="00AB40C6"/>
    <w:rsid w:val="00AB4900"/>
    <w:rsid w:val="00AB4B86"/>
    <w:rsid w:val="00AB4D16"/>
    <w:rsid w:val="00AB5797"/>
    <w:rsid w:val="00AB6716"/>
    <w:rsid w:val="00AB68D3"/>
    <w:rsid w:val="00AB6B67"/>
    <w:rsid w:val="00AB74D8"/>
    <w:rsid w:val="00AB760F"/>
    <w:rsid w:val="00AB7CFF"/>
    <w:rsid w:val="00AC05EA"/>
    <w:rsid w:val="00AC06A8"/>
    <w:rsid w:val="00AC0B8C"/>
    <w:rsid w:val="00AC0D6A"/>
    <w:rsid w:val="00AC0E85"/>
    <w:rsid w:val="00AC0FC2"/>
    <w:rsid w:val="00AC0FD0"/>
    <w:rsid w:val="00AC1300"/>
    <w:rsid w:val="00AC17F3"/>
    <w:rsid w:val="00AC1A19"/>
    <w:rsid w:val="00AC2179"/>
    <w:rsid w:val="00AC23A1"/>
    <w:rsid w:val="00AC26DE"/>
    <w:rsid w:val="00AC2842"/>
    <w:rsid w:val="00AC2D4B"/>
    <w:rsid w:val="00AC3933"/>
    <w:rsid w:val="00AC3B99"/>
    <w:rsid w:val="00AC3BA7"/>
    <w:rsid w:val="00AC3BF3"/>
    <w:rsid w:val="00AC3F54"/>
    <w:rsid w:val="00AC4408"/>
    <w:rsid w:val="00AC4410"/>
    <w:rsid w:val="00AC448A"/>
    <w:rsid w:val="00AC4581"/>
    <w:rsid w:val="00AC4811"/>
    <w:rsid w:val="00AC4CDC"/>
    <w:rsid w:val="00AC519E"/>
    <w:rsid w:val="00AC5759"/>
    <w:rsid w:val="00AC5ACE"/>
    <w:rsid w:val="00AC5F58"/>
    <w:rsid w:val="00AC5FBA"/>
    <w:rsid w:val="00AC5FE4"/>
    <w:rsid w:val="00AC6012"/>
    <w:rsid w:val="00AC61C7"/>
    <w:rsid w:val="00AC632B"/>
    <w:rsid w:val="00AC6678"/>
    <w:rsid w:val="00AC6B31"/>
    <w:rsid w:val="00AC6C1A"/>
    <w:rsid w:val="00AC6DAE"/>
    <w:rsid w:val="00AC6EB9"/>
    <w:rsid w:val="00AC7210"/>
    <w:rsid w:val="00AC73FB"/>
    <w:rsid w:val="00AC7659"/>
    <w:rsid w:val="00AC7915"/>
    <w:rsid w:val="00AC7947"/>
    <w:rsid w:val="00AD01FA"/>
    <w:rsid w:val="00AD06B1"/>
    <w:rsid w:val="00AD0895"/>
    <w:rsid w:val="00AD0B11"/>
    <w:rsid w:val="00AD0C01"/>
    <w:rsid w:val="00AD0F4D"/>
    <w:rsid w:val="00AD1654"/>
    <w:rsid w:val="00AD1BCF"/>
    <w:rsid w:val="00AD1E81"/>
    <w:rsid w:val="00AD210A"/>
    <w:rsid w:val="00AD265C"/>
    <w:rsid w:val="00AD287A"/>
    <w:rsid w:val="00AD2A88"/>
    <w:rsid w:val="00AD2DB5"/>
    <w:rsid w:val="00AD2FDD"/>
    <w:rsid w:val="00AD309D"/>
    <w:rsid w:val="00AD3232"/>
    <w:rsid w:val="00AD38A5"/>
    <w:rsid w:val="00AD3B7D"/>
    <w:rsid w:val="00AD3C72"/>
    <w:rsid w:val="00AD4244"/>
    <w:rsid w:val="00AD467C"/>
    <w:rsid w:val="00AD4771"/>
    <w:rsid w:val="00AD4805"/>
    <w:rsid w:val="00AD4D44"/>
    <w:rsid w:val="00AD57B8"/>
    <w:rsid w:val="00AD5B03"/>
    <w:rsid w:val="00AD5CC0"/>
    <w:rsid w:val="00AD5DC1"/>
    <w:rsid w:val="00AD5E01"/>
    <w:rsid w:val="00AD602F"/>
    <w:rsid w:val="00AD7052"/>
    <w:rsid w:val="00AD7494"/>
    <w:rsid w:val="00AD75CC"/>
    <w:rsid w:val="00AD7CC0"/>
    <w:rsid w:val="00AE077E"/>
    <w:rsid w:val="00AE0A8A"/>
    <w:rsid w:val="00AE0D26"/>
    <w:rsid w:val="00AE0FEC"/>
    <w:rsid w:val="00AE10FF"/>
    <w:rsid w:val="00AE1371"/>
    <w:rsid w:val="00AE1CBE"/>
    <w:rsid w:val="00AE2A59"/>
    <w:rsid w:val="00AE2F26"/>
    <w:rsid w:val="00AE32DD"/>
    <w:rsid w:val="00AE387A"/>
    <w:rsid w:val="00AE3B48"/>
    <w:rsid w:val="00AE3BD0"/>
    <w:rsid w:val="00AE3EBC"/>
    <w:rsid w:val="00AE3F7D"/>
    <w:rsid w:val="00AE40EE"/>
    <w:rsid w:val="00AE4291"/>
    <w:rsid w:val="00AE4408"/>
    <w:rsid w:val="00AE46B1"/>
    <w:rsid w:val="00AE4873"/>
    <w:rsid w:val="00AE5075"/>
    <w:rsid w:val="00AE559D"/>
    <w:rsid w:val="00AE5AB5"/>
    <w:rsid w:val="00AE5AF0"/>
    <w:rsid w:val="00AE5BD5"/>
    <w:rsid w:val="00AE5E64"/>
    <w:rsid w:val="00AE67DF"/>
    <w:rsid w:val="00AE6F2F"/>
    <w:rsid w:val="00AE6FD9"/>
    <w:rsid w:val="00AE70F9"/>
    <w:rsid w:val="00AE7127"/>
    <w:rsid w:val="00AE718E"/>
    <w:rsid w:val="00AE7190"/>
    <w:rsid w:val="00AE7587"/>
    <w:rsid w:val="00AE77EA"/>
    <w:rsid w:val="00AE7A7D"/>
    <w:rsid w:val="00AE7A83"/>
    <w:rsid w:val="00AF054C"/>
    <w:rsid w:val="00AF05D2"/>
    <w:rsid w:val="00AF068B"/>
    <w:rsid w:val="00AF06B8"/>
    <w:rsid w:val="00AF0AC4"/>
    <w:rsid w:val="00AF1357"/>
    <w:rsid w:val="00AF13A7"/>
    <w:rsid w:val="00AF16F1"/>
    <w:rsid w:val="00AF176E"/>
    <w:rsid w:val="00AF2017"/>
    <w:rsid w:val="00AF22D4"/>
    <w:rsid w:val="00AF22DE"/>
    <w:rsid w:val="00AF310A"/>
    <w:rsid w:val="00AF32E4"/>
    <w:rsid w:val="00AF3CBA"/>
    <w:rsid w:val="00AF3DAB"/>
    <w:rsid w:val="00AF400B"/>
    <w:rsid w:val="00AF4198"/>
    <w:rsid w:val="00AF4631"/>
    <w:rsid w:val="00AF4695"/>
    <w:rsid w:val="00AF4949"/>
    <w:rsid w:val="00AF49C2"/>
    <w:rsid w:val="00AF4A07"/>
    <w:rsid w:val="00AF4F99"/>
    <w:rsid w:val="00AF5012"/>
    <w:rsid w:val="00AF53AA"/>
    <w:rsid w:val="00AF59E6"/>
    <w:rsid w:val="00AF5B46"/>
    <w:rsid w:val="00AF5F7B"/>
    <w:rsid w:val="00AF640D"/>
    <w:rsid w:val="00AF66AE"/>
    <w:rsid w:val="00AF676D"/>
    <w:rsid w:val="00AF6846"/>
    <w:rsid w:val="00AF68A6"/>
    <w:rsid w:val="00AF6ABE"/>
    <w:rsid w:val="00AF6B60"/>
    <w:rsid w:val="00AF6DAB"/>
    <w:rsid w:val="00AF6EA1"/>
    <w:rsid w:val="00AF6FAD"/>
    <w:rsid w:val="00AF70BD"/>
    <w:rsid w:val="00AF7468"/>
    <w:rsid w:val="00AF7A01"/>
    <w:rsid w:val="00AF7CAB"/>
    <w:rsid w:val="00AF7D8B"/>
    <w:rsid w:val="00B00454"/>
    <w:rsid w:val="00B00586"/>
    <w:rsid w:val="00B0080A"/>
    <w:rsid w:val="00B00844"/>
    <w:rsid w:val="00B009D1"/>
    <w:rsid w:val="00B00CFF"/>
    <w:rsid w:val="00B01390"/>
    <w:rsid w:val="00B0153B"/>
    <w:rsid w:val="00B01611"/>
    <w:rsid w:val="00B01A94"/>
    <w:rsid w:val="00B01B95"/>
    <w:rsid w:val="00B01C16"/>
    <w:rsid w:val="00B01E6F"/>
    <w:rsid w:val="00B023C3"/>
    <w:rsid w:val="00B02444"/>
    <w:rsid w:val="00B024BB"/>
    <w:rsid w:val="00B02575"/>
    <w:rsid w:val="00B02932"/>
    <w:rsid w:val="00B02AE1"/>
    <w:rsid w:val="00B02E0D"/>
    <w:rsid w:val="00B02F34"/>
    <w:rsid w:val="00B03096"/>
    <w:rsid w:val="00B039FA"/>
    <w:rsid w:val="00B0422C"/>
    <w:rsid w:val="00B057B6"/>
    <w:rsid w:val="00B05D1F"/>
    <w:rsid w:val="00B062FF"/>
    <w:rsid w:val="00B069E0"/>
    <w:rsid w:val="00B06A88"/>
    <w:rsid w:val="00B06CC8"/>
    <w:rsid w:val="00B070C5"/>
    <w:rsid w:val="00B07373"/>
    <w:rsid w:val="00B07F50"/>
    <w:rsid w:val="00B10251"/>
    <w:rsid w:val="00B10A9B"/>
    <w:rsid w:val="00B10B68"/>
    <w:rsid w:val="00B11F22"/>
    <w:rsid w:val="00B120E3"/>
    <w:rsid w:val="00B121E8"/>
    <w:rsid w:val="00B122A4"/>
    <w:rsid w:val="00B12FFF"/>
    <w:rsid w:val="00B130A6"/>
    <w:rsid w:val="00B13715"/>
    <w:rsid w:val="00B138D7"/>
    <w:rsid w:val="00B13970"/>
    <w:rsid w:val="00B1400F"/>
    <w:rsid w:val="00B141B8"/>
    <w:rsid w:val="00B141EB"/>
    <w:rsid w:val="00B14A23"/>
    <w:rsid w:val="00B14B46"/>
    <w:rsid w:val="00B14E6C"/>
    <w:rsid w:val="00B14FB3"/>
    <w:rsid w:val="00B150AE"/>
    <w:rsid w:val="00B15175"/>
    <w:rsid w:val="00B1562B"/>
    <w:rsid w:val="00B15653"/>
    <w:rsid w:val="00B15667"/>
    <w:rsid w:val="00B15B89"/>
    <w:rsid w:val="00B16221"/>
    <w:rsid w:val="00B17280"/>
    <w:rsid w:val="00B17A1D"/>
    <w:rsid w:val="00B17E43"/>
    <w:rsid w:val="00B20063"/>
    <w:rsid w:val="00B20301"/>
    <w:rsid w:val="00B2060C"/>
    <w:rsid w:val="00B2070A"/>
    <w:rsid w:val="00B207B8"/>
    <w:rsid w:val="00B209A3"/>
    <w:rsid w:val="00B20A93"/>
    <w:rsid w:val="00B20DCF"/>
    <w:rsid w:val="00B214CD"/>
    <w:rsid w:val="00B215D5"/>
    <w:rsid w:val="00B21CED"/>
    <w:rsid w:val="00B21FF7"/>
    <w:rsid w:val="00B225CC"/>
    <w:rsid w:val="00B22A3B"/>
    <w:rsid w:val="00B23312"/>
    <w:rsid w:val="00B234C8"/>
    <w:rsid w:val="00B23880"/>
    <w:rsid w:val="00B23883"/>
    <w:rsid w:val="00B23B63"/>
    <w:rsid w:val="00B246CF"/>
    <w:rsid w:val="00B246E5"/>
    <w:rsid w:val="00B25032"/>
    <w:rsid w:val="00B2508F"/>
    <w:rsid w:val="00B2520F"/>
    <w:rsid w:val="00B25C5E"/>
    <w:rsid w:val="00B2613F"/>
    <w:rsid w:val="00B263E3"/>
    <w:rsid w:val="00B26987"/>
    <w:rsid w:val="00B269DF"/>
    <w:rsid w:val="00B27674"/>
    <w:rsid w:val="00B27757"/>
    <w:rsid w:val="00B27B1A"/>
    <w:rsid w:val="00B27B7C"/>
    <w:rsid w:val="00B27C71"/>
    <w:rsid w:val="00B27DB2"/>
    <w:rsid w:val="00B27DDB"/>
    <w:rsid w:val="00B30B66"/>
    <w:rsid w:val="00B312E0"/>
    <w:rsid w:val="00B3131F"/>
    <w:rsid w:val="00B313E2"/>
    <w:rsid w:val="00B315BA"/>
    <w:rsid w:val="00B31B2B"/>
    <w:rsid w:val="00B31E21"/>
    <w:rsid w:val="00B31FEF"/>
    <w:rsid w:val="00B322B5"/>
    <w:rsid w:val="00B327D5"/>
    <w:rsid w:val="00B32846"/>
    <w:rsid w:val="00B328EB"/>
    <w:rsid w:val="00B3377F"/>
    <w:rsid w:val="00B337A6"/>
    <w:rsid w:val="00B337FA"/>
    <w:rsid w:val="00B33B17"/>
    <w:rsid w:val="00B34747"/>
    <w:rsid w:val="00B34B3A"/>
    <w:rsid w:val="00B34CC7"/>
    <w:rsid w:val="00B3532B"/>
    <w:rsid w:val="00B357E2"/>
    <w:rsid w:val="00B35D2D"/>
    <w:rsid w:val="00B35D30"/>
    <w:rsid w:val="00B35DE6"/>
    <w:rsid w:val="00B36493"/>
    <w:rsid w:val="00B36D39"/>
    <w:rsid w:val="00B36DA7"/>
    <w:rsid w:val="00B370C9"/>
    <w:rsid w:val="00B37247"/>
    <w:rsid w:val="00B372AC"/>
    <w:rsid w:val="00B3749A"/>
    <w:rsid w:val="00B379BD"/>
    <w:rsid w:val="00B37A75"/>
    <w:rsid w:val="00B37B25"/>
    <w:rsid w:val="00B37D42"/>
    <w:rsid w:val="00B40206"/>
    <w:rsid w:val="00B40233"/>
    <w:rsid w:val="00B4042E"/>
    <w:rsid w:val="00B40710"/>
    <w:rsid w:val="00B40879"/>
    <w:rsid w:val="00B4093F"/>
    <w:rsid w:val="00B40DF8"/>
    <w:rsid w:val="00B40EEE"/>
    <w:rsid w:val="00B41661"/>
    <w:rsid w:val="00B4181E"/>
    <w:rsid w:val="00B41DF8"/>
    <w:rsid w:val="00B41F07"/>
    <w:rsid w:val="00B42022"/>
    <w:rsid w:val="00B420D5"/>
    <w:rsid w:val="00B42238"/>
    <w:rsid w:val="00B42482"/>
    <w:rsid w:val="00B42638"/>
    <w:rsid w:val="00B426FF"/>
    <w:rsid w:val="00B429BA"/>
    <w:rsid w:val="00B42AF2"/>
    <w:rsid w:val="00B42C05"/>
    <w:rsid w:val="00B42D7C"/>
    <w:rsid w:val="00B431B0"/>
    <w:rsid w:val="00B4320A"/>
    <w:rsid w:val="00B435E9"/>
    <w:rsid w:val="00B4386D"/>
    <w:rsid w:val="00B439BC"/>
    <w:rsid w:val="00B43BD7"/>
    <w:rsid w:val="00B44491"/>
    <w:rsid w:val="00B445A7"/>
    <w:rsid w:val="00B447BF"/>
    <w:rsid w:val="00B45265"/>
    <w:rsid w:val="00B455F0"/>
    <w:rsid w:val="00B45C63"/>
    <w:rsid w:val="00B4624B"/>
    <w:rsid w:val="00B4672E"/>
    <w:rsid w:val="00B468D4"/>
    <w:rsid w:val="00B46BA7"/>
    <w:rsid w:val="00B46BD6"/>
    <w:rsid w:val="00B47107"/>
    <w:rsid w:val="00B476E6"/>
    <w:rsid w:val="00B479B0"/>
    <w:rsid w:val="00B500AA"/>
    <w:rsid w:val="00B506CA"/>
    <w:rsid w:val="00B50732"/>
    <w:rsid w:val="00B5097F"/>
    <w:rsid w:val="00B50A0E"/>
    <w:rsid w:val="00B5114E"/>
    <w:rsid w:val="00B514F1"/>
    <w:rsid w:val="00B518A1"/>
    <w:rsid w:val="00B51BBA"/>
    <w:rsid w:val="00B51F79"/>
    <w:rsid w:val="00B5230E"/>
    <w:rsid w:val="00B52997"/>
    <w:rsid w:val="00B52A4F"/>
    <w:rsid w:val="00B52DA8"/>
    <w:rsid w:val="00B534E0"/>
    <w:rsid w:val="00B535BB"/>
    <w:rsid w:val="00B536AA"/>
    <w:rsid w:val="00B538D3"/>
    <w:rsid w:val="00B53DD6"/>
    <w:rsid w:val="00B5410C"/>
    <w:rsid w:val="00B5411D"/>
    <w:rsid w:val="00B541E7"/>
    <w:rsid w:val="00B550B8"/>
    <w:rsid w:val="00B550ED"/>
    <w:rsid w:val="00B5564E"/>
    <w:rsid w:val="00B55BB8"/>
    <w:rsid w:val="00B55DBC"/>
    <w:rsid w:val="00B560D5"/>
    <w:rsid w:val="00B5610F"/>
    <w:rsid w:val="00B5630F"/>
    <w:rsid w:val="00B5645E"/>
    <w:rsid w:val="00B568B4"/>
    <w:rsid w:val="00B56B5D"/>
    <w:rsid w:val="00B573CB"/>
    <w:rsid w:val="00B57731"/>
    <w:rsid w:val="00B600D1"/>
    <w:rsid w:val="00B60116"/>
    <w:rsid w:val="00B605B1"/>
    <w:rsid w:val="00B610BD"/>
    <w:rsid w:val="00B6183B"/>
    <w:rsid w:val="00B618D9"/>
    <w:rsid w:val="00B6223C"/>
    <w:rsid w:val="00B6237C"/>
    <w:rsid w:val="00B62DFD"/>
    <w:rsid w:val="00B630C4"/>
    <w:rsid w:val="00B6320C"/>
    <w:rsid w:val="00B6329D"/>
    <w:rsid w:val="00B6355A"/>
    <w:rsid w:val="00B639BA"/>
    <w:rsid w:val="00B64501"/>
    <w:rsid w:val="00B64578"/>
    <w:rsid w:val="00B64880"/>
    <w:rsid w:val="00B6489A"/>
    <w:rsid w:val="00B64C00"/>
    <w:rsid w:val="00B64FDC"/>
    <w:rsid w:val="00B65818"/>
    <w:rsid w:val="00B65C55"/>
    <w:rsid w:val="00B661D5"/>
    <w:rsid w:val="00B66BAB"/>
    <w:rsid w:val="00B66DDE"/>
    <w:rsid w:val="00B670FC"/>
    <w:rsid w:val="00B671C2"/>
    <w:rsid w:val="00B67236"/>
    <w:rsid w:val="00B67349"/>
    <w:rsid w:val="00B6743B"/>
    <w:rsid w:val="00B676A2"/>
    <w:rsid w:val="00B67B46"/>
    <w:rsid w:val="00B67D34"/>
    <w:rsid w:val="00B67DA0"/>
    <w:rsid w:val="00B70158"/>
    <w:rsid w:val="00B7020A"/>
    <w:rsid w:val="00B707DF"/>
    <w:rsid w:val="00B71723"/>
    <w:rsid w:val="00B71A2C"/>
    <w:rsid w:val="00B71CEC"/>
    <w:rsid w:val="00B71E44"/>
    <w:rsid w:val="00B71F7E"/>
    <w:rsid w:val="00B71FE7"/>
    <w:rsid w:val="00B7206C"/>
    <w:rsid w:val="00B7256B"/>
    <w:rsid w:val="00B72722"/>
    <w:rsid w:val="00B72856"/>
    <w:rsid w:val="00B73437"/>
    <w:rsid w:val="00B73846"/>
    <w:rsid w:val="00B739B7"/>
    <w:rsid w:val="00B73C77"/>
    <w:rsid w:val="00B74666"/>
    <w:rsid w:val="00B748B7"/>
    <w:rsid w:val="00B750C1"/>
    <w:rsid w:val="00B751C7"/>
    <w:rsid w:val="00B7545D"/>
    <w:rsid w:val="00B755D7"/>
    <w:rsid w:val="00B75D55"/>
    <w:rsid w:val="00B7634F"/>
    <w:rsid w:val="00B7649C"/>
    <w:rsid w:val="00B767BE"/>
    <w:rsid w:val="00B768AD"/>
    <w:rsid w:val="00B76959"/>
    <w:rsid w:val="00B7748A"/>
    <w:rsid w:val="00B77931"/>
    <w:rsid w:val="00B7795C"/>
    <w:rsid w:val="00B77C85"/>
    <w:rsid w:val="00B77EC6"/>
    <w:rsid w:val="00B77F79"/>
    <w:rsid w:val="00B80256"/>
    <w:rsid w:val="00B8025C"/>
    <w:rsid w:val="00B80425"/>
    <w:rsid w:val="00B806B0"/>
    <w:rsid w:val="00B808CC"/>
    <w:rsid w:val="00B80B70"/>
    <w:rsid w:val="00B810C6"/>
    <w:rsid w:val="00B8151E"/>
    <w:rsid w:val="00B81C9D"/>
    <w:rsid w:val="00B8261B"/>
    <w:rsid w:val="00B82F4E"/>
    <w:rsid w:val="00B8355D"/>
    <w:rsid w:val="00B83957"/>
    <w:rsid w:val="00B83B0F"/>
    <w:rsid w:val="00B83E15"/>
    <w:rsid w:val="00B84260"/>
    <w:rsid w:val="00B84671"/>
    <w:rsid w:val="00B84788"/>
    <w:rsid w:val="00B84CA0"/>
    <w:rsid w:val="00B852CB"/>
    <w:rsid w:val="00B852EC"/>
    <w:rsid w:val="00B8534F"/>
    <w:rsid w:val="00B857A3"/>
    <w:rsid w:val="00B85ACF"/>
    <w:rsid w:val="00B85C88"/>
    <w:rsid w:val="00B85E53"/>
    <w:rsid w:val="00B86211"/>
    <w:rsid w:val="00B8623F"/>
    <w:rsid w:val="00B86553"/>
    <w:rsid w:val="00B86606"/>
    <w:rsid w:val="00B86B12"/>
    <w:rsid w:val="00B86E63"/>
    <w:rsid w:val="00B86EB6"/>
    <w:rsid w:val="00B86F66"/>
    <w:rsid w:val="00B873DF"/>
    <w:rsid w:val="00B874BC"/>
    <w:rsid w:val="00B876F1"/>
    <w:rsid w:val="00B876F7"/>
    <w:rsid w:val="00B87914"/>
    <w:rsid w:val="00B87B2B"/>
    <w:rsid w:val="00B901AB"/>
    <w:rsid w:val="00B90483"/>
    <w:rsid w:val="00B908D8"/>
    <w:rsid w:val="00B9102E"/>
    <w:rsid w:val="00B913FF"/>
    <w:rsid w:val="00B91507"/>
    <w:rsid w:val="00B91704"/>
    <w:rsid w:val="00B917FE"/>
    <w:rsid w:val="00B91C2F"/>
    <w:rsid w:val="00B91CA4"/>
    <w:rsid w:val="00B91E15"/>
    <w:rsid w:val="00B91FB1"/>
    <w:rsid w:val="00B92038"/>
    <w:rsid w:val="00B921E9"/>
    <w:rsid w:val="00B9227C"/>
    <w:rsid w:val="00B92548"/>
    <w:rsid w:val="00B92EE6"/>
    <w:rsid w:val="00B9311C"/>
    <w:rsid w:val="00B934A5"/>
    <w:rsid w:val="00B93674"/>
    <w:rsid w:val="00B93854"/>
    <w:rsid w:val="00B939F0"/>
    <w:rsid w:val="00B93B4D"/>
    <w:rsid w:val="00B947B6"/>
    <w:rsid w:val="00B94A12"/>
    <w:rsid w:val="00B94BCD"/>
    <w:rsid w:val="00B94BE3"/>
    <w:rsid w:val="00B94CBB"/>
    <w:rsid w:val="00B9506E"/>
    <w:rsid w:val="00B952CB"/>
    <w:rsid w:val="00B95602"/>
    <w:rsid w:val="00B95C68"/>
    <w:rsid w:val="00B96409"/>
    <w:rsid w:val="00B96C9E"/>
    <w:rsid w:val="00B96DB8"/>
    <w:rsid w:val="00B970BA"/>
    <w:rsid w:val="00B974D5"/>
    <w:rsid w:val="00B978FE"/>
    <w:rsid w:val="00B97CC7"/>
    <w:rsid w:val="00B97F1C"/>
    <w:rsid w:val="00B97FCB"/>
    <w:rsid w:val="00BA01BE"/>
    <w:rsid w:val="00BA0A30"/>
    <w:rsid w:val="00BA0CBC"/>
    <w:rsid w:val="00BA0FA6"/>
    <w:rsid w:val="00BA1271"/>
    <w:rsid w:val="00BA13FE"/>
    <w:rsid w:val="00BA14F6"/>
    <w:rsid w:val="00BA22B8"/>
    <w:rsid w:val="00BA262F"/>
    <w:rsid w:val="00BA26B7"/>
    <w:rsid w:val="00BA2758"/>
    <w:rsid w:val="00BA2BF4"/>
    <w:rsid w:val="00BA3BD9"/>
    <w:rsid w:val="00BA3D9B"/>
    <w:rsid w:val="00BA4863"/>
    <w:rsid w:val="00BA4971"/>
    <w:rsid w:val="00BA529E"/>
    <w:rsid w:val="00BA5F92"/>
    <w:rsid w:val="00BA6336"/>
    <w:rsid w:val="00BA63E8"/>
    <w:rsid w:val="00BA6AD8"/>
    <w:rsid w:val="00BA6CE7"/>
    <w:rsid w:val="00BA6F93"/>
    <w:rsid w:val="00BA6FCC"/>
    <w:rsid w:val="00BA75C4"/>
    <w:rsid w:val="00BA7A81"/>
    <w:rsid w:val="00BA7D0A"/>
    <w:rsid w:val="00BA7D2F"/>
    <w:rsid w:val="00BA7DFE"/>
    <w:rsid w:val="00BB0145"/>
    <w:rsid w:val="00BB09F4"/>
    <w:rsid w:val="00BB0C8C"/>
    <w:rsid w:val="00BB0DE8"/>
    <w:rsid w:val="00BB1496"/>
    <w:rsid w:val="00BB1779"/>
    <w:rsid w:val="00BB1DDB"/>
    <w:rsid w:val="00BB1E16"/>
    <w:rsid w:val="00BB2063"/>
    <w:rsid w:val="00BB2112"/>
    <w:rsid w:val="00BB2128"/>
    <w:rsid w:val="00BB22FE"/>
    <w:rsid w:val="00BB2818"/>
    <w:rsid w:val="00BB2BE2"/>
    <w:rsid w:val="00BB2F53"/>
    <w:rsid w:val="00BB33FF"/>
    <w:rsid w:val="00BB369B"/>
    <w:rsid w:val="00BB381C"/>
    <w:rsid w:val="00BB3A85"/>
    <w:rsid w:val="00BB3AAD"/>
    <w:rsid w:val="00BB45F0"/>
    <w:rsid w:val="00BB4630"/>
    <w:rsid w:val="00BB4859"/>
    <w:rsid w:val="00BB49DC"/>
    <w:rsid w:val="00BB4C0D"/>
    <w:rsid w:val="00BB51C2"/>
    <w:rsid w:val="00BB52D9"/>
    <w:rsid w:val="00BB5372"/>
    <w:rsid w:val="00BB557E"/>
    <w:rsid w:val="00BB55E4"/>
    <w:rsid w:val="00BB5AFF"/>
    <w:rsid w:val="00BB5C67"/>
    <w:rsid w:val="00BB5F8C"/>
    <w:rsid w:val="00BB6167"/>
    <w:rsid w:val="00BB6750"/>
    <w:rsid w:val="00BB6BDA"/>
    <w:rsid w:val="00BB6EAC"/>
    <w:rsid w:val="00BB71D2"/>
    <w:rsid w:val="00BB7375"/>
    <w:rsid w:val="00BB75F4"/>
    <w:rsid w:val="00BB76A2"/>
    <w:rsid w:val="00BB7928"/>
    <w:rsid w:val="00BB7A9C"/>
    <w:rsid w:val="00BB7CEB"/>
    <w:rsid w:val="00BC00A7"/>
    <w:rsid w:val="00BC023D"/>
    <w:rsid w:val="00BC0AA1"/>
    <w:rsid w:val="00BC0C0D"/>
    <w:rsid w:val="00BC1528"/>
    <w:rsid w:val="00BC1CF9"/>
    <w:rsid w:val="00BC229D"/>
    <w:rsid w:val="00BC2708"/>
    <w:rsid w:val="00BC29CA"/>
    <w:rsid w:val="00BC2E18"/>
    <w:rsid w:val="00BC2E95"/>
    <w:rsid w:val="00BC312C"/>
    <w:rsid w:val="00BC3166"/>
    <w:rsid w:val="00BC33AC"/>
    <w:rsid w:val="00BC3B55"/>
    <w:rsid w:val="00BC4418"/>
    <w:rsid w:val="00BC47ED"/>
    <w:rsid w:val="00BC48BD"/>
    <w:rsid w:val="00BC4AED"/>
    <w:rsid w:val="00BC5033"/>
    <w:rsid w:val="00BC51B0"/>
    <w:rsid w:val="00BC541D"/>
    <w:rsid w:val="00BC5802"/>
    <w:rsid w:val="00BC60FF"/>
    <w:rsid w:val="00BC6102"/>
    <w:rsid w:val="00BC61E6"/>
    <w:rsid w:val="00BC6257"/>
    <w:rsid w:val="00BC6E38"/>
    <w:rsid w:val="00BC6F33"/>
    <w:rsid w:val="00BC6F5B"/>
    <w:rsid w:val="00BC706A"/>
    <w:rsid w:val="00BC743A"/>
    <w:rsid w:val="00BC792C"/>
    <w:rsid w:val="00BD08A5"/>
    <w:rsid w:val="00BD1004"/>
    <w:rsid w:val="00BD1037"/>
    <w:rsid w:val="00BD144C"/>
    <w:rsid w:val="00BD1F6C"/>
    <w:rsid w:val="00BD203A"/>
    <w:rsid w:val="00BD2618"/>
    <w:rsid w:val="00BD2A14"/>
    <w:rsid w:val="00BD3F22"/>
    <w:rsid w:val="00BD480C"/>
    <w:rsid w:val="00BD486D"/>
    <w:rsid w:val="00BD489C"/>
    <w:rsid w:val="00BD49CE"/>
    <w:rsid w:val="00BD4F73"/>
    <w:rsid w:val="00BD50A8"/>
    <w:rsid w:val="00BD52CD"/>
    <w:rsid w:val="00BD58DD"/>
    <w:rsid w:val="00BD5BAD"/>
    <w:rsid w:val="00BD5BC6"/>
    <w:rsid w:val="00BD5E48"/>
    <w:rsid w:val="00BD63B2"/>
    <w:rsid w:val="00BD66B6"/>
    <w:rsid w:val="00BD676F"/>
    <w:rsid w:val="00BD6910"/>
    <w:rsid w:val="00BD6F74"/>
    <w:rsid w:val="00BD71B5"/>
    <w:rsid w:val="00BD7D42"/>
    <w:rsid w:val="00BD7D56"/>
    <w:rsid w:val="00BE043D"/>
    <w:rsid w:val="00BE1323"/>
    <w:rsid w:val="00BE2128"/>
    <w:rsid w:val="00BE2B99"/>
    <w:rsid w:val="00BE31B3"/>
    <w:rsid w:val="00BE416C"/>
    <w:rsid w:val="00BE4554"/>
    <w:rsid w:val="00BE4784"/>
    <w:rsid w:val="00BE4AB5"/>
    <w:rsid w:val="00BE4D5C"/>
    <w:rsid w:val="00BE4DA7"/>
    <w:rsid w:val="00BE4ECD"/>
    <w:rsid w:val="00BE4FC7"/>
    <w:rsid w:val="00BE5103"/>
    <w:rsid w:val="00BE5227"/>
    <w:rsid w:val="00BE5377"/>
    <w:rsid w:val="00BE5417"/>
    <w:rsid w:val="00BE54CE"/>
    <w:rsid w:val="00BE5AFC"/>
    <w:rsid w:val="00BE6008"/>
    <w:rsid w:val="00BE6AA9"/>
    <w:rsid w:val="00BE6F31"/>
    <w:rsid w:val="00BE732E"/>
    <w:rsid w:val="00BE74F1"/>
    <w:rsid w:val="00BE7541"/>
    <w:rsid w:val="00BE76EE"/>
    <w:rsid w:val="00BE77AD"/>
    <w:rsid w:val="00BE7977"/>
    <w:rsid w:val="00BE7CAA"/>
    <w:rsid w:val="00BE7E6B"/>
    <w:rsid w:val="00BF02AF"/>
    <w:rsid w:val="00BF05D1"/>
    <w:rsid w:val="00BF0967"/>
    <w:rsid w:val="00BF09E2"/>
    <w:rsid w:val="00BF0BF3"/>
    <w:rsid w:val="00BF1142"/>
    <w:rsid w:val="00BF1371"/>
    <w:rsid w:val="00BF1670"/>
    <w:rsid w:val="00BF1E9F"/>
    <w:rsid w:val="00BF260E"/>
    <w:rsid w:val="00BF26A8"/>
    <w:rsid w:val="00BF2C67"/>
    <w:rsid w:val="00BF319E"/>
    <w:rsid w:val="00BF3FD6"/>
    <w:rsid w:val="00BF40F9"/>
    <w:rsid w:val="00BF4583"/>
    <w:rsid w:val="00BF4B3F"/>
    <w:rsid w:val="00BF4BF9"/>
    <w:rsid w:val="00BF4D79"/>
    <w:rsid w:val="00BF5208"/>
    <w:rsid w:val="00BF53B4"/>
    <w:rsid w:val="00BF53D5"/>
    <w:rsid w:val="00BF56AA"/>
    <w:rsid w:val="00BF59F8"/>
    <w:rsid w:val="00BF5A18"/>
    <w:rsid w:val="00BF5C8B"/>
    <w:rsid w:val="00BF697F"/>
    <w:rsid w:val="00BF69CD"/>
    <w:rsid w:val="00BF6AB2"/>
    <w:rsid w:val="00BF6FBE"/>
    <w:rsid w:val="00BF7090"/>
    <w:rsid w:val="00BF7199"/>
    <w:rsid w:val="00BF798A"/>
    <w:rsid w:val="00BF79B2"/>
    <w:rsid w:val="00BF7C37"/>
    <w:rsid w:val="00C0014C"/>
    <w:rsid w:val="00C00B25"/>
    <w:rsid w:val="00C00B3C"/>
    <w:rsid w:val="00C00BF7"/>
    <w:rsid w:val="00C00DC4"/>
    <w:rsid w:val="00C011D6"/>
    <w:rsid w:val="00C01474"/>
    <w:rsid w:val="00C017CD"/>
    <w:rsid w:val="00C01AEB"/>
    <w:rsid w:val="00C01C8D"/>
    <w:rsid w:val="00C01DFC"/>
    <w:rsid w:val="00C02355"/>
    <w:rsid w:val="00C02538"/>
    <w:rsid w:val="00C02A6F"/>
    <w:rsid w:val="00C02A74"/>
    <w:rsid w:val="00C02E57"/>
    <w:rsid w:val="00C02F05"/>
    <w:rsid w:val="00C02FCA"/>
    <w:rsid w:val="00C030AD"/>
    <w:rsid w:val="00C03245"/>
    <w:rsid w:val="00C03997"/>
    <w:rsid w:val="00C03D57"/>
    <w:rsid w:val="00C04138"/>
    <w:rsid w:val="00C043AC"/>
    <w:rsid w:val="00C0491B"/>
    <w:rsid w:val="00C04D39"/>
    <w:rsid w:val="00C04E7A"/>
    <w:rsid w:val="00C04EB0"/>
    <w:rsid w:val="00C0506D"/>
    <w:rsid w:val="00C05345"/>
    <w:rsid w:val="00C06106"/>
    <w:rsid w:val="00C0679B"/>
    <w:rsid w:val="00C0689C"/>
    <w:rsid w:val="00C07220"/>
    <w:rsid w:val="00C0727B"/>
    <w:rsid w:val="00C07D12"/>
    <w:rsid w:val="00C1088D"/>
    <w:rsid w:val="00C108BE"/>
    <w:rsid w:val="00C10EE6"/>
    <w:rsid w:val="00C112A2"/>
    <w:rsid w:val="00C11BA3"/>
    <w:rsid w:val="00C11C44"/>
    <w:rsid w:val="00C11CD3"/>
    <w:rsid w:val="00C127F1"/>
    <w:rsid w:val="00C1287F"/>
    <w:rsid w:val="00C12C44"/>
    <w:rsid w:val="00C12CF0"/>
    <w:rsid w:val="00C12D03"/>
    <w:rsid w:val="00C12DE0"/>
    <w:rsid w:val="00C12FC0"/>
    <w:rsid w:val="00C13553"/>
    <w:rsid w:val="00C13FCF"/>
    <w:rsid w:val="00C14119"/>
    <w:rsid w:val="00C141CE"/>
    <w:rsid w:val="00C141DB"/>
    <w:rsid w:val="00C14672"/>
    <w:rsid w:val="00C14764"/>
    <w:rsid w:val="00C147CF"/>
    <w:rsid w:val="00C1505A"/>
    <w:rsid w:val="00C154DF"/>
    <w:rsid w:val="00C155B0"/>
    <w:rsid w:val="00C15A88"/>
    <w:rsid w:val="00C15B40"/>
    <w:rsid w:val="00C162F1"/>
    <w:rsid w:val="00C164B6"/>
    <w:rsid w:val="00C16890"/>
    <w:rsid w:val="00C16F27"/>
    <w:rsid w:val="00C17252"/>
    <w:rsid w:val="00C17970"/>
    <w:rsid w:val="00C17A56"/>
    <w:rsid w:val="00C17C0B"/>
    <w:rsid w:val="00C20BCA"/>
    <w:rsid w:val="00C20CA0"/>
    <w:rsid w:val="00C20FF8"/>
    <w:rsid w:val="00C225CC"/>
    <w:rsid w:val="00C22814"/>
    <w:rsid w:val="00C22863"/>
    <w:rsid w:val="00C2331E"/>
    <w:rsid w:val="00C23322"/>
    <w:rsid w:val="00C23795"/>
    <w:rsid w:val="00C23996"/>
    <w:rsid w:val="00C23A26"/>
    <w:rsid w:val="00C23AEE"/>
    <w:rsid w:val="00C23C98"/>
    <w:rsid w:val="00C23EBC"/>
    <w:rsid w:val="00C23F0D"/>
    <w:rsid w:val="00C2414A"/>
    <w:rsid w:val="00C241F6"/>
    <w:rsid w:val="00C24D62"/>
    <w:rsid w:val="00C25386"/>
    <w:rsid w:val="00C25542"/>
    <w:rsid w:val="00C255FA"/>
    <w:rsid w:val="00C25B5B"/>
    <w:rsid w:val="00C26773"/>
    <w:rsid w:val="00C26817"/>
    <w:rsid w:val="00C26E7C"/>
    <w:rsid w:val="00C26F7A"/>
    <w:rsid w:val="00C2752A"/>
    <w:rsid w:val="00C2799F"/>
    <w:rsid w:val="00C279A4"/>
    <w:rsid w:val="00C30594"/>
    <w:rsid w:val="00C307B7"/>
    <w:rsid w:val="00C30950"/>
    <w:rsid w:val="00C30D51"/>
    <w:rsid w:val="00C3169B"/>
    <w:rsid w:val="00C31751"/>
    <w:rsid w:val="00C3193F"/>
    <w:rsid w:val="00C31A0E"/>
    <w:rsid w:val="00C31CCB"/>
    <w:rsid w:val="00C31FBF"/>
    <w:rsid w:val="00C3233C"/>
    <w:rsid w:val="00C32461"/>
    <w:rsid w:val="00C324CD"/>
    <w:rsid w:val="00C32B18"/>
    <w:rsid w:val="00C330F2"/>
    <w:rsid w:val="00C33268"/>
    <w:rsid w:val="00C3360E"/>
    <w:rsid w:val="00C33C19"/>
    <w:rsid w:val="00C33C4C"/>
    <w:rsid w:val="00C33F2C"/>
    <w:rsid w:val="00C34015"/>
    <w:rsid w:val="00C343FA"/>
    <w:rsid w:val="00C34493"/>
    <w:rsid w:val="00C34740"/>
    <w:rsid w:val="00C34962"/>
    <w:rsid w:val="00C34B0A"/>
    <w:rsid w:val="00C34B5B"/>
    <w:rsid w:val="00C357A2"/>
    <w:rsid w:val="00C35809"/>
    <w:rsid w:val="00C35DF9"/>
    <w:rsid w:val="00C35E6F"/>
    <w:rsid w:val="00C367E4"/>
    <w:rsid w:val="00C36D63"/>
    <w:rsid w:val="00C36EC0"/>
    <w:rsid w:val="00C37F28"/>
    <w:rsid w:val="00C403E1"/>
    <w:rsid w:val="00C40577"/>
    <w:rsid w:val="00C40B33"/>
    <w:rsid w:val="00C40D42"/>
    <w:rsid w:val="00C4105D"/>
    <w:rsid w:val="00C41334"/>
    <w:rsid w:val="00C41575"/>
    <w:rsid w:val="00C41965"/>
    <w:rsid w:val="00C41B5B"/>
    <w:rsid w:val="00C42012"/>
    <w:rsid w:val="00C42217"/>
    <w:rsid w:val="00C424D7"/>
    <w:rsid w:val="00C4257E"/>
    <w:rsid w:val="00C43B20"/>
    <w:rsid w:val="00C43B99"/>
    <w:rsid w:val="00C43BFF"/>
    <w:rsid w:val="00C43CA5"/>
    <w:rsid w:val="00C43E78"/>
    <w:rsid w:val="00C43F67"/>
    <w:rsid w:val="00C440C8"/>
    <w:rsid w:val="00C44193"/>
    <w:rsid w:val="00C449C5"/>
    <w:rsid w:val="00C44C65"/>
    <w:rsid w:val="00C45675"/>
    <w:rsid w:val="00C45731"/>
    <w:rsid w:val="00C4595A"/>
    <w:rsid w:val="00C45F8C"/>
    <w:rsid w:val="00C4624A"/>
    <w:rsid w:val="00C4665C"/>
    <w:rsid w:val="00C47764"/>
    <w:rsid w:val="00C479BB"/>
    <w:rsid w:val="00C479EE"/>
    <w:rsid w:val="00C47A37"/>
    <w:rsid w:val="00C47B7F"/>
    <w:rsid w:val="00C5031F"/>
    <w:rsid w:val="00C503B7"/>
    <w:rsid w:val="00C5081C"/>
    <w:rsid w:val="00C50AA3"/>
    <w:rsid w:val="00C50AC9"/>
    <w:rsid w:val="00C50ECF"/>
    <w:rsid w:val="00C50F39"/>
    <w:rsid w:val="00C50FB1"/>
    <w:rsid w:val="00C5109A"/>
    <w:rsid w:val="00C513B8"/>
    <w:rsid w:val="00C516B5"/>
    <w:rsid w:val="00C521A0"/>
    <w:rsid w:val="00C52393"/>
    <w:rsid w:val="00C523B4"/>
    <w:rsid w:val="00C5260F"/>
    <w:rsid w:val="00C52ACC"/>
    <w:rsid w:val="00C535E4"/>
    <w:rsid w:val="00C53875"/>
    <w:rsid w:val="00C53B4B"/>
    <w:rsid w:val="00C53B7D"/>
    <w:rsid w:val="00C53E14"/>
    <w:rsid w:val="00C53F20"/>
    <w:rsid w:val="00C540C0"/>
    <w:rsid w:val="00C54716"/>
    <w:rsid w:val="00C547D2"/>
    <w:rsid w:val="00C54A0C"/>
    <w:rsid w:val="00C54CCE"/>
    <w:rsid w:val="00C54FED"/>
    <w:rsid w:val="00C550C1"/>
    <w:rsid w:val="00C55EDB"/>
    <w:rsid w:val="00C55EEC"/>
    <w:rsid w:val="00C561A9"/>
    <w:rsid w:val="00C56C35"/>
    <w:rsid w:val="00C56D1E"/>
    <w:rsid w:val="00C56E13"/>
    <w:rsid w:val="00C57589"/>
    <w:rsid w:val="00C576D5"/>
    <w:rsid w:val="00C57B37"/>
    <w:rsid w:val="00C57B4A"/>
    <w:rsid w:val="00C57D50"/>
    <w:rsid w:val="00C603E1"/>
    <w:rsid w:val="00C60657"/>
    <w:rsid w:val="00C60CCA"/>
    <w:rsid w:val="00C60D08"/>
    <w:rsid w:val="00C60D8D"/>
    <w:rsid w:val="00C60E02"/>
    <w:rsid w:val="00C60FE1"/>
    <w:rsid w:val="00C6108C"/>
    <w:rsid w:val="00C616D7"/>
    <w:rsid w:val="00C617B8"/>
    <w:rsid w:val="00C618E4"/>
    <w:rsid w:val="00C619CA"/>
    <w:rsid w:val="00C61A11"/>
    <w:rsid w:val="00C61FD6"/>
    <w:rsid w:val="00C62352"/>
    <w:rsid w:val="00C62F05"/>
    <w:rsid w:val="00C63172"/>
    <w:rsid w:val="00C63284"/>
    <w:rsid w:val="00C6358E"/>
    <w:rsid w:val="00C63A55"/>
    <w:rsid w:val="00C641BE"/>
    <w:rsid w:val="00C641CB"/>
    <w:rsid w:val="00C64BE2"/>
    <w:rsid w:val="00C64C1D"/>
    <w:rsid w:val="00C64D21"/>
    <w:rsid w:val="00C65090"/>
    <w:rsid w:val="00C658AD"/>
    <w:rsid w:val="00C659A3"/>
    <w:rsid w:val="00C66122"/>
    <w:rsid w:val="00C6613D"/>
    <w:rsid w:val="00C6675B"/>
    <w:rsid w:val="00C669E3"/>
    <w:rsid w:val="00C669E4"/>
    <w:rsid w:val="00C676D3"/>
    <w:rsid w:val="00C678B2"/>
    <w:rsid w:val="00C67AD4"/>
    <w:rsid w:val="00C67C08"/>
    <w:rsid w:val="00C67D30"/>
    <w:rsid w:val="00C67F97"/>
    <w:rsid w:val="00C70031"/>
    <w:rsid w:val="00C7006C"/>
    <w:rsid w:val="00C70167"/>
    <w:rsid w:val="00C702B6"/>
    <w:rsid w:val="00C70531"/>
    <w:rsid w:val="00C70756"/>
    <w:rsid w:val="00C707E1"/>
    <w:rsid w:val="00C70C3C"/>
    <w:rsid w:val="00C70DA2"/>
    <w:rsid w:val="00C70E65"/>
    <w:rsid w:val="00C71381"/>
    <w:rsid w:val="00C7139A"/>
    <w:rsid w:val="00C7167E"/>
    <w:rsid w:val="00C71919"/>
    <w:rsid w:val="00C71A00"/>
    <w:rsid w:val="00C71B07"/>
    <w:rsid w:val="00C7214E"/>
    <w:rsid w:val="00C7237C"/>
    <w:rsid w:val="00C724D8"/>
    <w:rsid w:val="00C72DA3"/>
    <w:rsid w:val="00C7338B"/>
    <w:rsid w:val="00C73C4D"/>
    <w:rsid w:val="00C73DAB"/>
    <w:rsid w:val="00C74304"/>
    <w:rsid w:val="00C7465C"/>
    <w:rsid w:val="00C747BA"/>
    <w:rsid w:val="00C74965"/>
    <w:rsid w:val="00C74C8C"/>
    <w:rsid w:val="00C74FFE"/>
    <w:rsid w:val="00C75183"/>
    <w:rsid w:val="00C7547B"/>
    <w:rsid w:val="00C75543"/>
    <w:rsid w:val="00C75600"/>
    <w:rsid w:val="00C765D0"/>
    <w:rsid w:val="00C7664B"/>
    <w:rsid w:val="00C766C6"/>
    <w:rsid w:val="00C76FB0"/>
    <w:rsid w:val="00C770B9"/>
    <w:rsid w:val="00C771BF"/>
    <w:rsid w:val="00C77665"/>
    <w:rsid w:val="00C77805"/>
    <w:rsid w:val="00C77A7B"/>
    <w:rsid w:val="00C77C50"/>
    <w:rsid w:val="00C77D20"/>
    <w:rsid w:val="00C77E7F"/>
    <w:rsid w:val="00C77E82"/>
    <w:rsid w:val="00C80C08"/>
    <w:rsid w:val="00C80C5B"/>
    <w:rsid w:val="00C80FE2"/>
    <w:rsid w:val="00C812CF"/>
    <w:rsid w:val="00C8152E"/>
    <w:rsid w:val="00C81758"/>
    <w:rsid w:val="00C8185E"/>
    <w:rsid w:val="00C819A5"/>
    <w:rsid w:val="00C81CE0"/>
    <w:rsid w:val="00C825C0"/>
    <w:rsid w:val="00C82DDD"/>
    <w:rsid w:val="00C83309"/>
    <w:rsid w:val="00C836B7"/>
    <w:rsid w:val="00C837A4"/>
    <w:rsid w:val="00C843FF"/>
    <w:rsid w:val="00C84690"/>
    <w:rsid w:val="00C846CE"/>
    <w:rsid w:val="00C8492C"/>
    <w:rsid w:val="00C84DEE"/>
    <w:rsid w:val="00C84E5F"/>
    <w:rsid w:val="00C84EEE"/>
    <w:rsid w:val="00C85227"/>
    <w:rsid w:val="00C85685"/>
    <w:rsid w:val="00C85A27"/>
    <w:rsid w:val="00C86D05"/>
    <w:rsid w:val="00C874BE"/>
    <w:rsid w:val="00C875D1"/>
    <w:rsid w:val="00C876A2"/>
    <w:rsid w:val="00C87A18"/>
    <w:rsid w:val="00C87F22"/>
    <w:rsid w:val="00C87F62"/>
    <w:rsid w:val="00C9014F"/>
    <w:rsid w:val="00C901EC"/>
    <w:rsid w:val="00C90309"/>
    <w:rsid w:val="00C905D0"/>
    <w:rsid w:val="00C91086"/>
    <w:rsid w:val="00C911CE"/>
    <w:rsid w:val="00C9136B"/>
    <w:rsid w:val="00C914F9"/>
    <w:rsid w:val="00C918E8"/>
    <w:rsid w:val="00C91D4D"/>
    <w:rsid w:val="00C91EA6"/>
    <w:rsid w:val="00C92015"/>
    <w:rsid w:val="00C9230F"/>
    <w:rsid w:val="00C925C4"/>
    <w:rsid w:val="00C92708"/>
    <w:rsid w:val="00C9298D"/>
    <w:rsid w:val="00C92BD0"/>
    <w:rsid w:val="00C92DD2"/>
    <w:rsid w:val="00C93003"/>
    <w:rsid w:val="00C9330D"/>
    <w:rsid w:val="00C936BB"/>
    <w:rsid w:val="00C93748"/>
    <w:rsid w:val="00C939B0"/>
    <w:rsid w:val="00C93D7C"/>
    <w:rsid w:val="00C93FED"/>
    <w:rsid w:val="00C9415D"/>
    <w:rsid w:val="00C9484A"/>
    <w:rsid w:val="00C94A64"/>
    <w:rsid w:val="00C94EAE"/>
    <w:rsid w:val="00C95538"/>
    <w:rsid w:val="00C955AA"/>
    <w:rsid w:val="00C95904"/>
    <w:rsid w:val="00C95DE0"/>
    <w:rsid w:val="00C9697B"/>
    <w:rsid w:val="00C96CD3"/>
    <w:rsid w:val="00C96D1D"/>
    <w:rsid w:val="00C96FE9"/>
    <w:rsid w:val="00C970A5"/>
    <w:rsid w:val="00C97169"/>
    <w:rsid w:val="00C972F2"/>
    <w:rsid w:val="00C97316"/>
    <w:rsid w:val="00C9746E"/>
    <w:rsid w:val="00C97C6A"/>
    <w:rsid w:val="00C97D78"/>
    <w:rsid w:val="00C97F18"/>
    <w:rsid w:val="00CA0CEF"/>
    <w:rsid w:val="00CA0E78"/>
    <w:rsid w:val="00CA166A"/>
    <w:rsid w:val="00CA1B5A"/>
    <w:rsid w:val="00CA1C94"/>
    <w:rsid w:val="00CA2115"/>
    <w:rsid w:val="00CA22CA"/>
    <w:rsid w:val="00CA288D"/>
    <w:rsid w:val="00CA29A4"/>
    <w:rsid w:val="00CA2A04"/>
    <w:rsid w:val="00CA2B4C"/>
    <w:rsid w:val="00CA2C56"/>
    <w:rsid w:val="00CA3A79"/>
    <w:rsid w:val="00CA3C41"/>
    <w:rsid w:val="00CA3C6B"/>
    <w:rsid w:val="00CA3E22"/>
    <w:rsid w:val="00CA3FC4"/>
    <w:rsid w:val="00CA4332"/>
    <w:rsid w:val="00CA48B7"/>
    <w:rsid w:val="00CA4C60"/>
    <w:rsid w:val="00CA57E3"/>
    <w:rsid w:val="00CA62C5"/>
    <w:rsid w:val="00CA6312"/>
    <w:rsid w:val="00CA72AC"/>
    <w:rsid w:val="00CA7376"/>
    <w:rsid w:val="00CA7424"/>
    <w:rsid w:val="00CB0199"/>
    <w:rsid w:val="00CB04F6"/>
    <w:rsid w:val="00CB0ACD"/>
    <w:rsid w:val="00CB0BAE"/>
    <w:rsid w:val="00CB0C32"/>
    <w:rsid w:val="00CB0E94"/>
    <w:rsid w:val="00CB0EBB"/>
    <w:rsid w:val="00CB16DF"/>
    <w:rsid w:val="00CB17AD"/>
    <w:rsid w:val="00CB19B7"/>
    <w:rsid w:val="00CB19EE"/>
    <w:rsid w:val="00CB20DE"/>
    <w:rsid w:val="00CB2500"/>
    <w:rsid w:val="00CB26AF"/>
    <w:rsid w:val="00CB2923"/>
    <w:rsid w:val="00CB2D9B"/>
    <w:rsid w:val="00CB2DDF"/>
    <w:rsid w:val="00CB2EE9"/>
    <w:rsid w:val="00CB3081"/>
    <w:rsid w:val="00CB390A"/>
    <w:rsid w:val="00CB3E59"/>
    <w:rsid w:val="00CB405D"/>
    <w:rsid w:val="00CB40CC"/>
    <w:rsid w:val="00CB432A"/>
    <w:rsid w:val="00CB4727"/>
    <w:rsid w:val="00CB4740"/>
    <w:rsid w:val="00CB4B60"/>
    <w:rsid w:val="00CB4C49"/>
    <w:rsid w:val="00CB4DB8"/>
    <w:rsid w:val="00CB4DF5"/>
    <w:rsid w:val="00CB5384"/>
    <w:rsid w:val="00CB5677"/>
    <w:rsid w:val="00CB58EB"/>
    <w:rsid w:val="00CB59AE"/>
    <w:rsid w:val="00CB5AFF"/>
    <w:rsid w:val="00CB5EEC"/>
    <w:rsid w:val="00CB613F"/>
    <w:rsid w:val="00CB6461"/>
    <w:rsid w:val="00CB6766"/>
    <w:rsid w:val="00CB686B"/>
    <w:rsid w:val="00CB6B51"/>
    <w:rsid w:val="00CB7410"/>
    <w:rsid w:val="00CC0223"/>
    <w:rsid w:val="00CC06E2"/>
    <w:rsid w:val="00CC0A59"/>
    <w:rsid w:val="00CC0C68"/>
    <w:rsid w:val="00CC1884"/>
    <w:rsid w:val="00CC197E"/>
    <w:rsid w:val="00CC1D82"/>
    <w:rsid w:val="00CC1EF7"/>
    <w:rsid w:val="00CC278A"/>
    <w:rsid w:val="00CC33F0"/>
    <w:rsid w:val="00CC3482"/>
    <w:rsid w:val="00CC362A"/>
    <w:rsid w:val="00CC3F33"/>
    <w:rsid w:val="00CC4009"/>
    <w:rsid w:val="00CC43B8"/>
    <w:rsid w:val="00CC4C0B"/>
    <w:rsid w:val="00CC5343"/>
    <w:rsid w:val="00CC558C"/>
    <w:rsid w:val="00CC57C1"/>
    <w:rsid w:val="00CC6D44"/>
    <w:rsid w:val="00CC745C"/>
    <w:rsid w:val="00CC75A4"/>
    <w:rsid w:val="00CD041A"/>
    <w:rsid w:val="00CD0680"/>
    <w:rsid w:val="00CD0CA5"/>
    <w:rsid w:val="00CD132E"/>
    <w:rsid w:val="00CD1833"/>
    <w:rsid w:val="00CD18CD"/>
    <w:rsid w:val="00CD1A35"/>
    <w:rsid w:val="00CD204F"/>
    <w:rsid w:val="00CD2119"/>
    <w:rsid w:val="00CD24D9"/>
    <w:rsid w:val="00CD2543"/>
    <w:rsid w:val="00CD25D9"/>
    <w:rsid w:val="00CD30A1"/>
    <w:rsid w:val="00CD3375"/>
    <w:rsid w:val="00CD399B"/>
    <w:rsid w:val="00CD3D34"/>
    <w:rsid w:val="00CD3E7A"/>
    <w:rsid w:val="00CD4344"/>
    <w:rsid w:val="00CD4803"/>
    <w:rsid w:val="00CD4BE7"/>
    <w:rsid w:val="00CD4C36"/>
    <w:rsid w:val="00CD4E94"/>
    <w:rsid w:val="00CD52C8"/>
    <w:rsid w:val="00CD5378"/>
    <w:rsid w:val="00CD56A0"/>
    <w:rsid w:val="00CD619A"/>
    <w:rsid w:val="00CD64D9"/>
    <w:rsid w:val="00CD7170"/>
    <w:rsid w:val="00CD7556"/>
    <w:rsid w:val="00CD75F9"/>
    <w:rsid w:val="00CD77B3"/>
    <w:rsid w:val="00CD781A"/>
    <w:rsid w:val="00CD7AA7"/>
    <w:rsid w:val="00CE0425"/>
    <w:rsid w:val="00CE042C"/>
    <w:rsid w:val="00CE052F"/>
    <w:rsid w:val="00CE09D9"/>
    <w:rsid w:val="00CE11C7"/>
    <w:rsid w:val="00CE154D"/>
    <w:rsid w:val="00CE1E9A"/>
    <w:rsid w:val="00CE215E"/>
    <w:rsid w:val="00CE2A67"/>
    <w:rsid w:val="00CE2B46"/>
    <w:rsid w:val="00CE2D72"/>
    <w:rsid w:val="00CE3A4D"/>
    <w:rsid w:val="00CE413D"/>
    <w:rsid w:val="00CE41CF"/>
    <w:rsid w:val="00CE4734"/>
    <w:rsid w:val="00CE4884"/>
    <w:rsid w:val="00CE500F"/>
    <w:rsid w:val="00CE560E"/>
    <w:rsid w:val="00CE566B"/>
    <w:rsid w:val="00CE5917"/>
    <w:rsid w:val="00CE5D9B"/>
    <w:rsid w:val="00CE68A4"/>
    <w:rsid w:val="00CE6D81"/>
    <w:rsid w:val="00CE760C"/>
    <w:rsid w:val="00CE784A"/>
    <w:rsid w:val="00CF03F3"/>
    <w:rsid w:val="00CF0AFE"/>
    <w:rsid w:val="00CF0B81"/>
    <w:rsid w:val="00CF100A"/>
    <w:rsid w:val="00CF1353"/>
    <w:rsid w:val="00CF1957"/>
    <w:rsid w:val="00CF27E7"/>
    <w:rsid w:val="00CF2BFA"/>
    <w:rsid w:val="00CF2C2C"/>
    <w:rsid w:val="00CF3002"/>
    <w:rsid w:val="00CF340F"/>
    <w:rsid w:val="00CF3BA7"/>
    <w:rsid w:val="00CF3C54"/>
    <w:rsid w:val="00CF3C94"/>
    <w:rsid w:val="00CF423E"/>
    <w:rsid w:val="00CF494C"/>
    <w:rsid w:val="00CF505A"/>
    <w:rsid w:val="00CF50E9"/>
    <w:rsid w:val="00CF531A"/>
    <w:rsid w:val="00CF6128"/>
    <w:rsid w:val="00CF643E"/>
    <w:rsid w:val="00CF6502"/>
    <w:rsid w:val="00CF654C"/>
    <w:rsid w:val="00CF716F"/>
    <w:rsid w:val="00CF724E"/>
    <w:rsid w:val="00CF73E2"/>
    <w:rsid w:val="00CF7406"/>
    <w:rsid w:val="00CF7C90"/>
    <w:rsid w:val="00CF7FD6"/>
    <w:rsid w:val="00D003DE"/>
    <w:rsid w:val="00D00653"/>
    <w:rsid w:val="00D007BD"/>
    <w:rsid w:val="00D008BD"/>
    <w:rsid w:val="00D00FCC"/>
    <w:rsid w:val="00D011BA"/>
    <w:rsid w:val="00D013F2"/>
    <w:rsid w:val="00D015C3"/>
    <w:rsid w:val="00D0198E"/>
    <w:rsid w:val="00D019F6"/>
    <w:rsid w:val="00D01B9F"/>
    <w:rsid w:val="00D01CDA"/>
    <w:rsid w:val="00D02214"/>
    <w:rsid w:val="00D02240"/>
    <w:rsid w:val="00D02313"/>
    <w:rsid w:val="00D0240B"/>
    <w:rsid w:val="00D0272B"/>
    <w:rsid w:val="00D02DE3"/>
    <w:rsid w:val="00D030A4"/>
    <w:rsid w:val="00D03196"/>
    <w:rsid w:val="00D035F8"/>
    <w:rsid w:val="00D03613"/>
    <w:rsid w:val="00D03E5D"/>
    <w:rsid w:val="00D047ED"/>
    <w:rsid w:val="00D049DE"/>
    <w:rsid w:val="00D04E34"/>
    <w:rsid w:val="00D04F6F"/>
    <w:rsid w:val="00D0501A"/>
    <w:rsid w:val="00D05847"/>
    <w:rsid w:val="00D05D18"/>
    <w:rsid w:val="00D05E9A"/>
    <w:rsid w:val="00D061FF"/>
    <w:rsid w:val="00D068C8"/>
    <w:rsid w:val="00D06D1D"/>
    <w:rsid w:val="00D07299"/>
    <w:rsid w:val="00D075BD"/>
    <w:rsid w:val="00D0791C"/>
    <w:rsid w:val="00D10237"/>
    <w:rsid w:val="00D1056F"/>
    <w:rsid w:val="00D10623"/>
    <w:rsid w:val="00D109DE"/>
    <w:rsid w:val="00D10DEA"/>
    <w:rsid w:val="00D11053"/>
    <w:rsid w:val="00D119DC"/>
    <w:rsid w:val="00D11BE3"/>
    <w:rsid w:val="00D11C49"/>
    <w:rsid w:val="00D12427"/>
    <w:rsid w:val="00D124EA"/>
    <w:rsid w:val="00D12967"/>
    <w:rsid w:val="00D12BE1"/>
    <w:rsid w:val="00D1316C"/>
    <w:rsid w:val="00D1350D"/>
    <w:rsid w:val="00D1354A"/>
    <w:rsid w:val="00D13778"/>
    <w:rsid w:val="00D13860"/>
    <w:rsid w:val="00D13A0F"/>
    <w:rsid w:val="00D13AB4"/>
    <w:rsid w:val="00D14210"/>
    <w:rsid w:val="00D14A9C"/>
    <w:rsid w:val="00D14D3E"/>
    <w:rsid w:val="00D14DD7"/>
    <w:rsid w:val="00D14F91"/>
    <w:rsid w:val="00D14FFF"/>
    <w:rsid w:val="00D15544"/>
    <w:rsid w:val="00D157BD"/>
    <w:rsid w:val="00D1586E"/>
    <w:rsid w:val="00D15B49"/>
    <w:rsid w:val="00D15D85"/>
    <w:rsid w:val="00D15E65"/>
    <w:rsid w:val="00D160E0"/>
    <w:rsid w:val="00D162CC"/>
    <w:rsid w:val="00D16524"/>
    <w:rsid w:val="00D166DB"/>
    <w:rsid w:val="00D166F5"/>
    <w:rsid w:val="00D170BC"/>
    <w:rsid w:val="00D17757"/>
    <w:rsid w:val="00D17909"/>
    <w:rsid w:val="00D179E6"/>
    <w:rsid w:val="00D179EC"/>
    <w:rsid w:val="00D17C34"/>
    <w:rsid w:val="00D17E6E"/>
    <w:rsid w:val="00D20377"/>
    <w:rsid w:val="00D2053F"/>
    <w:rsid w:val="00D20C4B"/>
    <w:rsid w:val="00D20ECD"/>
    <w:rsid w:val="00D2121D"/>
    <w:rsid w:val="00D21532"/>
    <w:rsid w:val="00D21671"/>
    <w:rsid w:val="00D21DCE"/>
    <w:rsid w:val="00D220F5"/>
    <w:rsid w:val="00D222A1"/>
    <w:rsid w:val="00D22468"/>
    <w:rsid w:val="00D2264F"/>
    <w:rsid w:val="00D229C7"/>
    <w:rsid w:val="00D22E65"/>
    <w:rsid w:val="00D23480"/>
    <w:rsid w:val="00D235C5"/>
    <w:rsid w:val="00D235D2"/>
    <w:rsid w:val="00D236A5"/>
    <w:rsid w:val="00D23746"/>
    <w:rsid w:val="00D23CB4"/>
    <w:rsid w:val="00D240B5"/>
    <w:rsid w:val="00D24407"/>
    <w:rsid w:val="00D24576"/>
    <w:rsid w:val="00D24844"/>
    <w:rsid w:val="00D248A1"/>
    <w:rsid w:val="00D2490F"/>
    <w:rsid w:val="00D24B67"/>
    <w:rsid w:val="00D24C77"/>
    <w:rsid w:val="00D260DC"/>
    <w:rsid w:val="00D26468"/>
    <w:rsid w:val="00D2748F"/>
    <w:rsid w:val="00D276D8"/>
    <w:rsid w:val="00D2798A"/>
    <w:rsid w:val="00D27AD7"/>
    <w:rsid w:val="00D27C67"/>
    <w:rsid w:val="00D27EC1"/>
    <w:rsid w:val="00D301DD"/>
    <w:rsid w:val="00D30234"/>
    <w:rsid w:val="00D30684"/>
    <w:rsid w:val="00D30D24"/>
    <w:rsid w:val="00D311A0"/>
    <w:rsid w:val="00D31381"/>
    <w:rsid w:val="00D31433"/>
    <w:rsid w:val="00D3185A"/>
    <w:rsid w:val="00D31CED"/>
    <w:rsid w:val="00D31ED8"/>
    <w:rsid w:val="00D3237D"/>
    <w:rsid w:val="00D32517"/>
    <w:rsid w:val="00D32C75"/>
    <w:rsid w:val="00D3332B"/>
    <w:rsid w:val="00D33429"/>
    <w:rsid w:val="00D334BA"/>
    <w:rsid w:val="00D33FEA"/>
    <w:rsid w:val="00D3402F"/>
    <w:rsid w:val="00D34A94"/>
    <w:rsid w:val="00D34BAF"/>
    <w:rsid w:val="00D34D38"/>
    <w:rsid w:val="00D34F98"/>
    <w:rsid w:val="00D35010"/>
    <w:rsid w:val="00D3526F"/>
    <w:rsid w:val="00D35270"/>
    <w:rsid w:val="00D3545E"/>
    <w:rsid w:val="00D35624"/>
    <w:rsid w:val="00D361D6"/>
    <w:rsid w:val="00D36238"/>
    <w:rsid w:val="00D364B7"/>
    <w:rsid w:val="00D364DE"/>
    <w:rsid w:val="00D36514"/>
    <w:rsid w:val="00D36E58"/>
    <w:rsid w:val="00D3753A"/>
    <w:rsid w:val="00D376C8"/>
    <w:rsid w:val="00D37744"/>
    <w:rsid w:val="00D3778F"/>
    <w:rsid w:val="00D37807"/>
    <w:rsid w:val="00D37A3B"/>
    <w:rsid w:val="00D37F5F"/>
    <w:rsid w:val="00D405D4"/>
    <w:rsid w:val="00D40B27"/>
    <w:rsid w:val="00D40D1A"/>
    <w:rsid w:val="00D412C5"/>
    <w:rsid w:val="00D4176E"/>
    <w:rsid w:val="00D41F71"/>
    <w:rsid w:val="00D42333"/>
    <w:rsid w:val="00D428C9"/>
    <w:rsid w:val="00D42914"/>
    <w:rsid w:val="00D42A66"/>
    <w:rsid w:val="00D42B68"/>
    <w:rsid w:val="00D42D26"/>
    <w:rsid w:val="00D43089"/>
    <w:rsid w:val="00D43335"/>
    <w:rsid w:val="00D43340"/>
    <w:rsid w:val="00D4374C"/>
    <w:rsid w:val="00D438EE"/>
    <w:rsid w:val="00D43DE6"/>
    <w:rsid w:val="00D43E79"/>
    <w:rsid w:val="00D4411A"/>
    <w:rsid w:val="00D441D7"/>
    <w:rsid w:val="00D448F8"/>
    <w:rsid w:val="00D44C1B"/>
    <w:rsid w:val="00D452E0"/>
    <w:rsid w:val="00D454A7"/>
    <w:rsid w:val="00D4554F"/>
    <w:rsid w:val="00D456C2"/>
    <w:rsid w:val="00D45AA1"/>
    <w:rsid w:val="00D45FBB"/>
    <w:rsid w:val="00D461C4"/>
    <w:rsid w:val="00D4640F"/>
    <w:rsid w:val="00D46C48"/>
    <w:rsid w:val="00D46DCA"/>
    <w:rsid w:val="00D4714F"/>
    <w:rsid w:val="00D4777C"/>
    <w:rsid w:val="00D477ED"/>
    <w:rsid w:val="00D47F9A"/>
    <w:rsid w:val="00D50123"/>
    <w:rsid w:val="00D505D6"/>
    <w:rsid w:val="00D50D7E"/>
    <w:rsid w:val="00D5109B"/>
    <w:rsid w:val="00D511F4"/>
    <w:rsid w:val="00D512CE"/>
    <w:rsid w:val="00D5149E"/>
    <w:rsid w:val="00D5158E"/>
    <w:rsid w:val="00D51A9F"/>
    <w:rsid w:val="00D51C3D"/>
    <w:rsid w:val="00D51EC6"/>
    <w:rsid w:val="00D51F34"/>
    <w:rsid w:val="00D52480"/>
    <w:rsid w:val="00D524FE"/>
    <w:rsid w:val="00D52A25"/>
    <w:rsid w:val="00D52CD6"/>
    <w:rsid w:val="00D52E74"/>
    <w:rsid w:val="00D534EF"/>
    <w:rsid w:val="00D53713"/>
    <w:rsid w:val="00D538DE"/>
    <w:rsid w:val="00D5429F"/>
    <w:rsid w:val="00D542E6"/>
    <w:rsid w:val="00D544ED"/>
    <w:rsid w:val="00D547EE"/>
    <w:rsid w:val="00D5489B"/>
    <w:rsid w:val="00D54E7D"/>
    <w:rsid w:val="00D54EEF"/>
    <w:rsid w:val="00D5503E"/>
    <w:rsid w:val="00D55174"/>
    <w:rsid w:val="00D55367"/>
    <w:rsid w:val="00D55444"/>
    <w:rsid w:val="00D5571D"/>
    <w:rsid w:val="00D55E49"/>
    <w:rsid w:val="00D5638A"/>
    <w:rsid w:val="00D56B1E"/>
    <w:rsid w:val="00D56DCA"/>
    <w:rsid w:val="00D56F07"/>
    <w:rsid w:val="00D570EB"/>
    <w:rsid w:val="00D5748A"/>
    <w:rsid w:val="00D5798C"/>
    <w:rsid w:val="00D57E2D"/>
    <w:rsid w:val="00D605F9"/>
    <w:rsid w:val="00D60FB7"/>
    <w:rsid w:val="00D61F13"/>
    <w:rsid w:val="00D61FFC"/>
    <w:rsid w:val="00D62020"/>
    <w:rsid w:val="00D620B7"/>
    <w:rsid w:val="00D6214F"/>
    <w:rsid w:val="00D6263A"/>
    <w:rsid w:val="00D62ADF"/>
    <w:rsid w:val="00D636AD"/>
    <w:rsid w:val="00D639C1"/>
    <w:rsid w:val="00D63E10"/>
    <w:rsid w:val="00D63E2B"/>
    <w:rsid w:val="00D6410B"/>
    <w:rsid w:val="00D6415E"/>
    <w:rsid w:val="00D64B93"/>
    <w:rsid w:val="00D65005"/>
    <w:rsid w:val="00D65134"/>
    <w:rsid w:val="00D656EE"/>
    <w:rsid w:val="00D66831"/>
    <w:rsid w:val="00D66E0F"/>
    <w:rsid w:val="00D66FDE"/>
    <w:rsid w:val="00D670D6"/>
    <w:rsid w:val="00D6742F"/>
    <w:rsid w:val="00D67436"/>
    <w:rsid w:val="00D679BB"/>
    <w:rsid w:val="00D67A6E"/>
    <w:rsid w:val="00D67B86"/>
    <w:rsid w:val="00D67BAC"/>
    <w:rsid w:val="00D67D60"/>
    <w:rsid w:val="00D67F1E"/>
    <w:rsid w:val="00D70292"/>
    <w:rsid w:val="00D70297"/>
    <w:rsid w:val="00D702B3"/>
    <w:rsid w:val="00D704AC"/>
    <w:rsid w:val="00D70CF5"/>
    <w:rsid w:val="00D71948"/>
    <w:rsid w:val="00D719B6"/>
    <w:rsid w:val="00D71E2E"/>
    <w:rsid w:val="00D71F97"/>
    <w:rsid w:val="00D7250C"/>
    <w:rsid w:val="00D727AD"/>
    <w:rsid w:val="00D72BFE"/>
    <w:rsid w:val="00D736EE"/>
    <w:rsid w:val="00D73991"/>
    <w:rsid w:val="00D73E04"/>
    <w:rsid w:val="00D74033"/>
    <w:rsid w:val="00D7423F"/>
    <w:rsid w:val="00D7461D"/>
    <w:rsid w:val="00D746FB"/>
    <w:rsid w:val="00D748E0"/>
    <w:rsid w:val="00D74963"/>
    <w:rsid w:val="00D74A09"/>
    <w:rsid w:val="00D74A70"/>
    <w:rsid w:val="00D74B04"/>
    <w:rsid w:val="00D74E9F"/>
    <w:rsid w:val="00D75628"/>
    <w:rsid w:val="00D75E28"/>
    <w:rsid w:val="00D760BB"/>
    <w:rsid w:val="00D7617B"/>
    <w:rsid w:val="00D76C4F"/>
    <w:rsid w:val="00D771A4"/>
    <w:rsid w:val="00D772CC"/>
    <w:rsid w:val="00D7742C"/>
    <w:rsid w:val="00D775E5"/>
    <w:rsid w:val="00D777A8"/>
    <w:rsid w:val="00D77ABC"/>
    <w:rsid w:val="00D77B05"/>
    <w:rsid w:val="00D77E15"/>
    <w:rsid w:val="00D80048"/>
    <w:rsid w:val="00D800F2"/>
    <w:rsid w:val="00D802EB"/>
    <w:rsid w:val="00D806E0"/>
    <w:rsid w:val="00D80903"/>
    <w:rsid w:val="00D81179"/>
    <w:rsid w:val="00D816C3"/>
    <w:rsid w:val="00D81C95"/>
    <w:rsid w:val="00D8263D"/>
    <w:rsid w:val="00D82ACD"/>
    <w:rsid w:val="00D82C40"/>
    <w:rsid w:val="00D82CB1"/>
    <w:rsid w:val="00D8323D"/>
    <w:rsid w:val="00D835E5"/>
    <w:rsid w:val="00D83A6F"/>
    <w:rsid w:val="00D83D5E"/>
    <w:rsid w:val="00D84FE0"/>
    <w:rsid w:val="00D850A5"/>
    <w:rsid w:val="00D8544F"/>
    <w:rsid w:val="00D85608"/>
    <w:rsid w:val="00D857D0"/>
    <w:rsid w:val="00D86636"/>
    <w:rsid w:val="00D867AB"/>
    <w:rsid w:val="00D867C4"/>
    <w:rsid w:val="00D86EAB"/>
    <w:rsid w:val="00D86FF8"/>
    <w:rsid w:val="00D87429"/>
    <w:rsid w:val="00D87D4F"/>
    <w:rsid w:val="00D9006A"/>
    <w:rsid w:val="00D90310"/>
    <w:rsid w:val="00D90371"/>
    <w:rsid w:val="00D90598"/>
    <w:rsid w:val="00D9076C"/>
    <w:rsid w:val="00D90A26"/>
    <w:rsid w:val="00D90BC4"/>
    <w:rsid w:val="00D912E7"/>
    <w:rsid w:val="00D918EC"/>
    <w:rsid w:val="00D91C66"/>
    <w:rsid w:val="00D91C97"/>
    <w:rsid w:val="00D920EB"/>
    <w:rsid w:val="00D922A8"/>
    <w:rsid w:val="00D92854"/>
    <w:rsid w:val="00D92F80"/>
    <w:rsid w:val="00D934B1"/>
    <w:rsid w:val="00D93657"/>
    <w:rsid w:val="00D936D9"/>
    <w:rsid w:val="00D93943"/>
    <w:rsid w:val="00D93961"/>
    <w:rsid w:val="00D940DB"/>
    <w:rsid w:val="00D94128"/>
    <w:rsid w:val="00D94462"/>
    <w:rsid w:val="00D9461C"/>
    <w:rsid w:val="00D94764"/>
    <w:rsid w:val="00D94C74"/>
    <w:rsid w:val="00D94FCE"/>
    <w:rsid w:val="00D952F7"/>
    <w:rsid w:val="00D95477"/>
    <w:rsid w:val="00D957AB"/>
    <w:rsid w:val="00D959C4"/>
    <w:rsid w:val="00D95AD0"/>
    <w:rsid w:val="00D95C9C"/>
    <w:rsid w:val="00D96E5D"/>
    <w:rsid w:val="00D96FD9"/>
    <w:rsid w:val="00D970D3"/>
    <w:rsid w:val="00D97117"/>
    <w:rsid w:val="00D9711F"/>
    <w:rsid w:val="00D97638"/>
    <w:rsid w:val="00D978C6"/>
    <w:rsid w:val="00D97DEF"/>
    <w:rsid w:val="00DA04E7"/>
    <w:rsid w:val="00DA087F"/>
    <w:rsid w:val="00DA1220"/>
    <w:rsid w:val="00DA1A21"/>
    <w:rsid w:val="00DA1CBC"/>
    <w:rsid w:val="00DA23D9"/>
    <w:rsid w:val="00DA24FF"/>
    <w:rsid w:val="00DA271F"/>
    <w:rsid w:val="00DA2AFE"/>
    <w:rsid w:val="00DA2BF5"/>
    <w:rsid w:val="00DA2EA3"/>
    <w:rsid w:val="00DA2ECA"/>
    <w:rsid w:val="00DA35E4"/>
    <w:rsid w:val="00DA37E8"/>
    <w:rsid w:val="00DA3820"/>
    <w:rsid w:val="00DA3A0C"/>
    <w:rsid w:val="00DA3E4E"/>
    <w:rsid w:val="00DA3E9F"/>
    <w:rsid w:val="00DA3FAD"/>
    <w:rsid w:val="00DA45BB"/>
    <w:rsid w:val="00DA46F5"/>
    <w:rsid w:val="00DA4AFC"/>
    <w:rsid w:val="00DA4B60"/>
    <w:rsid w:val="00DA50C7"/>
    <w:rsid w:val="00DA514D"/>
    <w:rsid w:val="00DA5153"/>
    <w:rsid w:val="00DA5998"/>
    <w:rsid w:val="00DA5B50"/>
    <w:rsid w:val="00DA5DBF"/>
    <w:rsid w:val="00DA6167"/>
    <w:rsid w:val="00DA6726"/>
    <w:rsid w:val="00DA68CF"/>
    <w:rsid w:val="00DA71D1"/>
    <w:rsid w:val="00DA78A9"/>
    <w:rsid w:val="00DA78D3"/>
    <w:rsid w:val="00DA7D25"/>
    <w:rsid w:val="00DA7E74"/>
    <w:rsid w:val="00DB012E"/>
    <w:rsid w:val="00DB0176"/>
    <w:rsid w:val="00DB0AD3"/>
    <w:rsid w:val="00DB0E96"/>
    <w:rsid w:val="00DB12CB"/>
    <w:rsid w:val="00DB14CE"/>
    <w:rsid w:val="00DB1DDF"/>
    <w:rsid w:val="00DB2035"/>
    <w:rsid w:val="00DB207A"/>
    <w:rsid w:val="00DB23DD"/>
    <w:rsid w:val="00DB298D"/>
    <w:rsid w:val="00DB2B2C"/>
    <w:rsid w:val="00DB2B3C"/>
    <w:rsid w:val="00DB3058"/>
    <w:rsid w:val="00DB3295"/>
    <w:rsid w:val="00DB3348"/>
    <w:rsid w:val="00DB33F5"/>
    <w:rsid w:val="00DB3878"/>
    <w:rsid w:val="00DB3D0B"/>
    <w:rsid w:val="00DB40CE"/>
    <w:rsid w:val="00DB43E7"/>
    <w:rsid w:val="00DB494E"/>
    <w:rsid w:val="00DB4B4C"/>
    <w:rsid w:val="00DB4BBD"/>
    <w:rsid w:val="00DB5608"/>
    <w:rsid w:val="00DB5C71"/>
    <w:rsid w:val="00DB5DD4"/>
    <w:rsid w:val="00DB6A0B"/>
    <w:rsid w:val="00DB6CA3"/>
    <w:rsid w:val="00DB6D5F"/>
    <w:rsid w:val="00DB6E7E"/>
    <w:rsid w:val="00DB7299"/>
    <w:rsid w:val="00DB7664"/>
    <w:rsid w:val="00DB7F18"/>
    <w:rsid w:val="00DB7FE7"/>
    <w:rsid w:val="00DC1807"/>
    <w:rsid w:val="00DC1A99"/>
    <w:rsid w:val="00DC1CE6"/>
    <w:rsid w:val="00DC234F"/>
    <w:rsid w:val="00DC2463"/>
    <w:rsid w:val="00DC2D56"/>
    <w:rsid w:val="00DC2E60"/>
    <w:rsid w:val="00DC2F52"/>
    <w:rsid w:val="00DC4566"/>
    <w:rsid w:val="00DC466F"/>
    <w:rsid w:val="00DC4760"/>
    <w:rsid w:val="00DC4C3E"/>
    <w:rsid w:val="00DC4E15"/>
    <w:rsid w:val="00DC4F76"/>
    <w:rsid w:val="00DC5244"/>
    <w:rsid w:val="00DC555D"/>
    <w:rsid w:val="00DC569D"/>
    <w:rsid w:val="00DC6BC1"/>
    <w:rsid w:val="00DC6CE3"/>
    <w:rsid w:val="00DC6E8E"/>
    <w:rsid w:val="00DC740F"/>
    <w:rsid w:val="00DC7539"/>
    <w:rsid w:val="00DC7907"/>
    <w:rsid w:val="00DC790E"/>
    <w:rsid w:val="00DC7996"/>
    <w:rsid w:val="00DD1168"/>
    <w:rsid w:val="00DD1921"/>
    <w:rsid w:val="00DD1949"/>
    <w:rsid w:val="00DD1C92"/>
    <w:rsid w:val="00DD221D"/>
    <w:rsid w:val="00DD2397"/>
    <w:rsid w:val="00DD282D"/>
    <w:rsid w:val="00DD2991"/>
    <w:rsid w:val="00DD30E9"/>
    <w:rsid w:val="00DD3182"/>
    <w:rsid w:val="00DD36AE"/>
    <w:rsid w:val="00DD3980"/>
    <w:rsid w:val="00DD3A46"/>
    <w:rsid w:val="00DD3BB3"/>
    <w:rsid w:val="00DD41A3"/>
    <w:rsid w:val="00DD42A3"/>
    <w:rsid w:val="00DD447D"/>
    <w:rsid w:val="00DD4682"/>
    <w:rsid w:val="00DD4749"/>
    <w:rsid w:val="00DD4D68"/>
    <w:rsid w:val="00DD4DFC"/>
    <w:rsid w:val="00DD5934"/>
    <w:rsid w:val="00DD5B1C"/>
    <w:rsid w:val="00DD5EFB"/>
    <w:rsid w:val="00DD6798"/>
    <w:rsid w:val="00DD6D33"/>
    <w:rsid w:val="00DD70AA"/>
    <w:rsid w:val="00DD73BE"/>
    <w:rsid w:val="00DD763B"/>
    <w:rsid w:val="00DD77E7"/>
    <w:rsid w:val="00DD7924"/>
    <w:rsid w:val="00DE0726"/>
    <w:rsid w:val="00DE0872"/>
    <w:rsid w:val="00DE10A3"/>
    <w:rsid w:val="00DE1243"/>
    <w:rsid w:val="00DE1345"/>
    <w:rsid w:val="00DE1599"/>
    <w:rsid w:val="00DE17AD"/>
    <w:rsid w:val="00DE1A64"/>
    <w:rsid w:val="00DE1B7F"/>
    <w:rsid w:val="00DE2799"/>
    <w:rsid w:val="00DE2BE5"/>
    <w:rsid w:val="00DE34E8"/>
    <w:rsid w:val="00DE36B8"/>
    <w:rsid w:val="00DE3758"/>
    <w:rsid w:val="00DE39FE"/>
    <w:rsid w:val="00DE3C1B"/>
    <w:rsid w:val="00DE44E9"/>
    <w:rsid w:val="00DE480B"/>
    <w:rsid w:val="00DE483B"/>
    <w:rsid w:val="00DE499D"/>
    <w:rsid w:val="00DE49F2"/>
    <w:rsid w:val="00DE4C86"/>
    <w:rsid w:val="00DE5324"/>
    <w:rsid w:val="00DE5332"/>
    <w:rsid w:val="00DE5474"/>
    <w:rsid w:val="00DE56DF"/>
    <w:rsid w:val="00DE56FB"/>
    <w:rsid w:val="00DE598E"/>
    <w:rsid w:val="00DE5C87"/>
    <w:rsid w:val="00DE5EE5"/>
    <w:rsid w:val="00DE648E"/>
    <w:rsid w:val="00DE6575"/>
    <w:rsid w:val="00DE6A9E"/>
    <w:rsid w:val="00DE6F7F"/>
    <w:rsid w:val="00DE75C6"/>
    <w:rsid w:val="00DE788C"/>
    <w:rsid w:val="00DE7B4D"/>
    <w:rsid w:val="00DE7F6C"/>
    <w:rsid w:val="00DE7FAD"/>
    <w:rsid w:val="00DF0028"/>
    <w:rsid w:val="00DF007D"/>
    <w:rsid w:val="00DF00D5"/>
    <w:rsid w:val="00DF049C"/>
    <w:rsid w:val="00DF06D4"/>
    <w:rsid w:val="00DF100F"/>
    <w:rsid w:val="00DF11EF"/>
    <w:rsid w:val="00DF17F3"/>
    <w:rsid w:val="00DF23EF"/>
    <w:rsid w:val="00DF249D"/>
    <w:rsid w:val="00DF2AEA"/>
    <w:rsid w:val="00DF343F"/>
    <w:rsid w:val="00DF4030"/>
    <w:rsid w:val="00DF410F"/>
    <w:rsid w:val="00DF41B2"/>
    <w:rsid w:val="00DF42C6"/>
    <w:rsid w:val="00DF43B1"/>
    <w:rsid w:val="00DF48A3"/>
    <w:rsid w:val="00DF4D9B"/>
    <w:rsid w:val="00DF5031"/>
    <w:rsid w:val="00DF53E5"/>
    <w:rsid w:val="00DF5D15"/>
    <w:rsid w:val="00DF5F99"/>
    <w:rsid w:val="00DF606A"/>
    <w:rsid w:val="00DF6B39"/>
    <w:rsid w:val="00DF6D5A"/>
    <w:rsid w:val="00DF70B3"/>
    <w:rsid w:val="00DF70CC"/>
    <w:rsid w:val="00DF75AA"/>
    <w:rsid w:val="00DF7CD3"/>
    <w:rsid w:val="00E00764"/>
    <w:rsid w:val="00E00D25"/>
    <w:rsid w:val="00E01B03"/>
    <w:rsid w:val="00E01B86"/>
    <w:rsid w:val="00E01C7F"/>
    <w:rsid w:val="00E023E3"/>
    <w:rsid w:val="00E02941"/>
    <w:rsid w:val="00E02A82"/>
    <w:rsid w:val="00E02AF6"/>
    <w:rsid w:val="00E02DCB"/>
    <w:rsid w:val="00E03346"/>
    <w:rsid w:val="00E03422"/>
    <w:rsid w:val="00E03A52"/>
    <w:rsid w:val="00E03AB8"/>
    <w:rsid w:val="00E03C9F"/>
    <w:rsid w:val="00E03E42"/>
    <w:rsid w:val="00E04007"/>
    <w:rsid w:val="00E043AB"/>
    <w:rsid w:val="00E043BC"/>
    <w:rsid w:val="00E0489C"/>
    <w:rsid w:val="00E049A1"/>
    <w:rsid w:val="00E049E8"/>
    <w:rsid w:val="00E04EF5"/>
    <w:rsid w:val="00E050CF"/>
    <w:rsid w:val="00E05186"/>
    <w:rsid w:val="00E051C5"/>
    <w:rsid w:val="00E053C1"/>
    <w:rsid w:val="00E058CD"/>
    <w:rsid w:val="00E05A79"/>
    <w:rsid w:val="00E05BBB"/>
    <w:rsid w:val="00E06073"/>
    <w:rsid w:val="00E061DF"/>
    <w:rsid w:val="00E06631"/>
    <w:rsid w:val="00E06B56"/>
    <w:rsid w:val="00E06E29"/>
    <w:rsid w:val="00E07242"/>
    <w:rsid w:val="00E0734F"/>
    <w:rsid w:val="00E0760E"/>
    <w:rsid w:val="00E07B3B"/>
    <w:rsid w:val="00E07FC0"/>
    <w:rsid w:val="00E1076E"/>
    <w:rsid w:val="00E1087D"/>
    <w:rsid w:val="00E10B76"/>
    <w:rsid w:val="00E10C75"/>
    <w:rsid w:val="00E10F1B"/>
    <w:rsid w:val="00E112A7"/>
    <w:rsid w:val="00E116AA"/>
    <w:rsid w:val="00E1180E"/>
    <w:rsid w:val="00E11F8E"/>
    <w:rsid w:val="00E12220"/>
    <w:rsid w:val="00E12362"/>
    <w:rsid w:val="00E13052"/>
    <w:rsid w:val="00E13CE1"/>
    <w:rsid w:val="00E141DC"/>
    <w:rsid w:val="00E14483"/>
    <w:rsid w:val="00E146C5"/>
    <w:rsid w:val="00E14A03"/>
    <w:rsid w:val="00E14E63"/>
    <w:rsid w:val="00E1553A"/>
    <w:rsid w:val="00E1558E"/>
    <w:rsid w:val="00E157B1"/>
    <w:rsid w:val="00E157BA"/>
    <w:rsid w:val="00E15917"/>
    <w:rsid w:val="00E168BA"/>
    <w:rsid w:val="00E168E6"/>
    <w:rsid w:val="00E16ABD"/>
    <w:rsid w:val="00E16BE4"/>
    <w:rsid w:val="00E16D46"/>
    <w:rsid w:val="00E16FF9"/>
    <w:rsid w:val="00E171AC"/>
    <w:rsid w:val="00E17447"/>
    <w:rsid w:val="00E1762F"/>
    <w:rsid w:val="00E1776A"/>
    <w:rsid w:val="00E177A2"/>
    <w:rsid w:val="00E17911"/>
    <w:rsid w:val="00E17ADF"/>
    <w:rsid w:val="00E17B72"/>
    <w:rsid w:val="00E17EF8"/>
    <w:rsid w:val="00E17F5D"/>
    <w:rsid w:val="00E20114"/>
    <w:rsid w:val="00E2017B"/>
    <w:rsid w:val="00E204BF"/>
    <w:rsid w:val="00E20717"/>
    <w:rsid w:val="00E20B4E"/>
    <w:rsid w:val="00E20BDF"/>
    <w:rsid w:val="00E20DA9"/>
    <w:rsid w:val="00E213B3"/>
    <w:rsid w:val="00E218D0"/>
    <w:rsid w:val="00E219CB"/>
    <w:rsid w:val="00E21F37"/>
    <w:rsid w:val="00E2216A"/>
    <w:rsid w:val="00E221BD"/>
    <w:rsid w:val="00E22758"/>
    <w:rsid w:val="00E22799"/>
    <w:rsid w:val="00E2298F"/>
    <w:rsid w:val="00E2318D"/>
    <w:rsid w:val="00E235BF"/>
    <w:rsid w:val="00E23CEC"/>
    <w:rsid w:val="00E23E4D"/>
    <w:rsid w:val="00E23E9F"/>
    <w:rsid w:val="00E23F2F"/>
    <w:rsid w:val="00E240AB"/>
    <w:rsid w:val="00E2433D"/>
    <w:rsid w:val="00E243E1"/>
    <w:rsid w:val="00E252C1"/>
    <w:rsid w:val="00E25964"/>
    <w:rsid w:val="00E26735"/>
    <w:rsid w:val="00E26DD4"/>
    <w:rsid w:val="00E26F63"/>
    <w:rsid w:val="00E2719F"/>
    <w:rsid w:val="00E27BBF"/>
    <w:rsid w:val="00E27FCD"/>
    <w:rsid w:val="00E307D6"/>
    <w:rsid w:val="00E310FA"/>
    <w:rsid w:val="00E31573"/>
    <w:rsid w:val="00E315CE"/>
    <w:rsid w:val="00E31D30"/>
    <w:rsid w:val="00E31D97"/>
    <w:rsid w:val="00E32854"/>
    <w:rsid w:val="00E3290F"/>
    <w:rsid w:val="00E32BC7"/>
    <w:rsid w:val="00E333F1"/>
    <w:rsid w:val="00E335E2"/>
    <w:rsid w:val="00E33901"/>
    <w:rsid w:val="00E34412"/>
    <w:rsid w:val="00E345C1"/>
    <w:rsid w:val="00E34EB3"/>
    <w:rsid w:val="00E35312"/>
    <w:rsid w:val="00E354DE"/>
    <w:rsid w:val="00E3565E"/>
    <w:rsid w:val="00E35978"/>
    <w:rsid w:val="00E35FBE"/>
    <w:rsid w:val="00E360B1"/>
    <w:rsid w:val="00E36391"/>
    <w:rsid w:val="00E36F7F"/>
    <w:rsid w:val="00E37A8B"/>
    <w:rsid w:val="00E40420"/>
    <w:rsid w:val="00E40529"/>
    <w:rsid w:val="00E407EC"/>
    <w:rsid w:val="00E4084B"/>
    <w:rsid w:val="00E40E41"/>
    <w:rsid w:val="00E40EEB"/>
    <w:rsid w:val="00E4152F"/>
    <w:rsid w:val="00E42104"/>
    <w:rsid w:val="00E4214B"/>
    <w:rsid w:val="00E42195"/>
    <w:rsid w:val="00E425F2"/>
    <w:rsid w:val="00E4309E"/>
    <w:rsid w:val="00E43185"/>
    <w:rsid w:val="00E444B1"/>
    <w:rsid w:val="00E4473F"/>
    <w:rsid w:val="00E448C4"/>
    <w:rsid w:val="00E449C8"/>
    <w:rsid w:val="00E44BC7"/>
    <w:rsid w:val="00E44C34"/>
    <w:rsid w:val="00E44F80"/>
    <w:rsid w:val="00E45008"/>
    <w:rsid w:val="00E458F6"/>
    <w:rsid w:val="00E45E88"/>
    <w:rsid w:val="00E45FEE"/>
    <w:rsid w:val="00E46014"/>
    <w:rsid w:val="00E463F4"/>
    <w:rsid w:val="00E46729"/>
    <w:rsid w:val="00E4673B"/>
    <w:rsid w:val="00E467F1"/>
    <w:rsid w:val="00E46C34"/>
    <w:rsid w:val="00E46D25"/>
    <w:rsid w:val="00E47279"/>
    <w:rsid w:val="00E472C7"/>
    <w:rsid w:val="00E4791F"/>
    <w:rsid w:val="00E47968"/>
    <w:rsid w:val="00E47993"/>
    <w:rsid w:val="00E47E28"/>
    <w:rsid w:val="00E47F7C"/>
    <w:rsid w:val="00E507CF"/>
    <w:rsid w:val="00E50987"/>
    <w:rsid w:val="00E50D8A"/>
    <w:rsid w:val="00E511FF"/>
    <w:rsid w:val="00E51200"/>
    <w:rsid w:val="00E51602"/>
    <w:rsid w:val="00E518FC"/>
    <w:rsid w:val="00E51B5D"/>
    <w:rsid w:val="00E51EDE"/>
    <w:rsid w:val="00E5236D"/>
    <w:rsid w:val="00E5258A"/>
    <w:rsid w:val="00E52638"/>
    <w:rsid w:val="00E527B8"/>
    <w:rsid w:val="00E52A5B"/>
    <w:rsid w:val="00E52B8B"/>
    <w:rsid w:val="00E52FEE"/>
    <w:rsid w:val="00E53291"/>
    <w:rsid w:val="00E53627"/>
    <w:rsid w:val="00E53A0C"/>
    <w:rsid w:val="00E53E38"/>
    <w:rsid w:val="00E5496E"/>
    <w:rsid w:val="00E54DCF"/>
    <w:rsid w:val="00E54EDD"/>
    <w:rsid w:val="00E54F10"/>
    <w:rsid w:val="00E55985"/>
    <w:rsid w:val="00E55AE6"/>
    <w:rsid w:val="00E56019"/>
    <w:rsid w:val="00E56353"/>
    <w:rsid w:val="00E5669D"/>
    <w:rsid w:val="00E56B21"/>
    <w:rsid w:val="00E577CD"/>
    <w:rsid w:val="00E57B3A"/>
    <w:rsid w:val="00E600B3"/>
    <w:rsid w:val="00E601CB"/>
    <w:rsid w:val="00E601D3"/>
    <w:rsid w:val="00E60E3A"/>
    <w:rsid w:val="00E61237"/>
    <w:rsid w:val="00E61297"/>
    <w:rsid w:val="00E618E4"/>
    <w:rsid w:val="00E61E6B"/>
    <w:rsid w:val="00E621D4"/>
    <w:rsid w:val="00E62462"/>
    <w:rsid w:val="00E62A6B"/>
    <w:rsid w:val="00E62E0F"/>
    <w:rsid w:val="00E63637"/>
    <w:rsid w:val="00E638B2"/>
    <w:rsid w:val="00E639C0"/>
    <w:rsid w:val="00E6470C"/>
    <w:rsid w:val="00E6476B"/>
    <w:rsid w:val="00E654C2"/>
    <w:rsid w:val="00E65510"/>
    <w:rsid w:val="00E65ADE"/>
    <w:rsid w:val="00E65B32"/>
    <w:rsid w:val="00E65C0E"/>
    <w:rsid w:val="00E65E29"/>
    <w:rsid w:val="00E6601D"/>
    <w:rsid w:val="00E6617E"/>
    <w:rsid w:val="00E6653D"/>
    <w:rsid w:val="00E668E7"/>
    <w:rsid w:val="00E66904"/>
    <w:rsid w:val="00E674E4"/>
    <w:rsid w:val="00E675AA"/>
    <w:rsid w:val="00E67A70"/>
    <w:rsid w:val="00E67A8B"/>
    <w:rsid w:val="00E67E4C"/>
    <w:rsid w:val="00E67F8D"/>
    <w:rsid w:val="00E7067D"/>
    <w:rsid w:val="00E70768"/>
    <w:rsid w:val="00E70B71"/>
    <w:rsid w:val="00E70D87"/>
    <w:rsid w:val="00E70D89"/>
    <w:rsid w:val="00E71876"/>
    <w:rsid w:val="00E718BA"/>
    <w:rsid w:val="00E71EEF"/>
    <w:rsid w:val="00E722F4"/>
    <w:rsid w:val="00E7231F"/>
    <w:rsid w:val="00E72609"/>
    <w:rsid w:val="00E727BD"/>
    <w:rsid w:val="00E72887"/>
    <w:rsid w:val="00E72A06"/>
    <w:rsid w:val="00E72B70"/>
    <w:rsid w:val="00E72C38"/>
    <w:rsid w:val="00E731DD"/>
    <w:rsid w:val="00E736C9"/>
    <w:rsid w:val="00E73700"/>
    <w:rsid w:val="00E737A6"/>
    <w:rsid w:val="00E73C56"/>
    <w:rsid w:val="00E73D09"/>
    <w:rsid w:val="00E73F2A"/>
    <w:rsid w:val="00E7407A"/>
    <w:rsid w:val="00E7408B"/>
    <w:rsid w:val="00E7430C"/>
    <w:rsid w:val="00E74B90"/>
    <w:rsid w:val="00E74BA0"/>
    <w:rsid w:val="00E75442"/>
    <w:rsid w:val="00E75529"/>
    <w:rsid w:val="00E7661B"/>
    <w:rsid w:val="00E76C75"/>
    <w:rsid w:val="00E76CA2"/>
    <w:rsid w:val="00E76CC8"/>
    <w:rsid w:val="00E7716B"/>
    <w:rsid w:val="00E771B5"/>
    <w:rsid w:val="00E77CE8"/>
    <w:rsid w:val="00E80287"/>
    <w:rsid w:val="00E806AE"/>
    <w:rsid w:val="00E80717"/>
    <w:rsid w:val="00E8120D"/>
    <w:rsid w:val="00E8144E"/>
    <w:rsid w:val="00E81A4D"/>
    <w:rsid w:val="00E81D6C"/>
    <w:rsid w:val="00E820F6"/>
    <w:rsid w:val="00E82277"/>
    <w:rsid w:val="00E8239E"/>
    <w:rsid w:val="00E826FD"/>
    <w:rsid w:val="00E82849"/>
    <w:rsid w:val="00E82992"/>
    <w:rsid w:val="00E82A8F"/>
    <w:rsid w:val="00E82BE9"/>
    <w:rsid w:val="00E82D70"/>
    <w:rsid w:val="00E832A4"/>
    <w:rsid w:val="00E83748"/>
    <w:rsid w:val="00E83A05"/>
    <w:rsid w:val="00E83D4D"/>
    <w:rsid w:val="00E83ECB"/>
    <w:rsid w:val="00E84025"/>
    <w:rsid w:val="00E842CC"/>
    <w:rsid w:val="00E84357"/>
    <w:rsid w:val="00E84C03"/>
    <w:rsid w:val="00E84CC6"/>
    <w:rsid w:val="00E84D7D"/>
    <w:rsid w:val="00E8577D"/>
    <w:rsid w:val="00E8580A"/>
    <w:rsid w:val="00E85F5C"/>
    <w:rsid w:val="00E8622F"/>
    <w:rsid w:val="00E86246"/>
    <w:rsid w:val="00E8648E"/>
    <w:rsid w:val="00E86540"/>
    <w:rsid w:val="00E87516"/>
    <w:rsid w:val="00E8755C"/>
    <w:rsid w:val="00E87673"/>
    <w:rsid w:val="00E87E9E"/>
    <w:rsid w:val="00E90246"/>
    <w:rsid w:val="00E9077F"/>
    <w:rsid w:val="00E908DF"/>
    <w:rsid w:val="00E90B8B"/>
    <w:rsid w:val="00E90F9E"/>
    <w:rsid w:val="00E91922"/>
    <w:rsid w:val="00E91BE1"/>
    <w:rsid w:val="00E91EF7"/>
    <w:rsid w:val="00E925A1"/>
    <w:rsid w:val="00E927C2"/>
    <w:rsid w:val="00E92E68"/>
    <w:rsid w:val="00E92F36"/>
    <w:rsid w:val="00E93850"/>
    <w:rsid w:val="00E9385F"/>
    <w:rsid w:val="00E938AC"/>
    <w:rsid w:val="00E94946"/>
    <w:rsid w:val="00E94BDB"/>
    <w:rsid w:val="00E95869"/>
    <w:rsid w:val="00E959BD"/>
    <w:rsid w:val="00E95BD5"/>
    <w:rsid w:val="00E95E3B"/>
    <w:rsid w:val="00E95F8F"/>
    <w:rsid w:val="00E96028"/>
    <w:rsid w:val="00E96261"/>
    <w:rsid w:val="00E962E2"/>
    <w:rsid w:val="00E9645D"/>
    <w:rsid w:val="00E96C6C"/>
    <w:rsid w:val="00E97000"/>
    <w:rsid w:val="00E970CB"/>
    <w:rsid w:val="00E97116"/>
    <w:rsid w:val="00E973D0"/>
    <w:rsid w:val="00E97493"/>
    <w:rsid w:val="00E97585"/>
    <w:rsid w:val="00E97600"/>
    <w:rsid w:val="00E9772E"/>
    <w:rsid w:val="00E97BD8"/>
    <w:rsid w:val="00EA015D"/>
    <w:rsid w:val="00EA03D8"/>
    <w:rsid w:val="00EA046D"/>
    <w:rsid w:val="00EA04CD"/>
    <w:rsid w:val="00EA0696"/>
    <w:rsid w:val="00EA09BB"/>
    <w:rsid w:val="00EA09F9"/>
    <w:rsid w:val="00EA0A3C"/>
    <w:rsid w:val="00EA0AB0"/>
    <w:rsid w:val="00EA0E77"/>
    <w:rsid w:val="00EA10C7"/>
    <w:rsid w:val="00EA1201"/>
    <w:rsid w:val="00EA17C8"/>
    <w:rsid w:val="00EA194D"/>
    <w:rsid w:val="00EA1ACD"/>
    <w:rsid w:val="00EA1AED"/>
    <w:rsid w:val="00EA1D66"/>
    <w:rsid w:val="00EA21BD"/>
    <w:rsid w:val="00EA26DB"/>
    <w:rsid w:val="00EA291C"/>
    <w:rsid w:val="00EA2CF2"/>
    <w:rsid w:val="00EA30ED"/>
    <w:rsid w:val="00EA32D3"/>
    <w:rsid w:val="00EA39D2"/>
    <w:rsid w:val="00EA409E"/>
    <w:rsid w:val="00EA43D6"/>
    <w:rsid w:val="00EA4AE9"/>
    <w:rsid w:val="00EA51C1"/>
    <w:rsid w:val="00EA59C9"/>
    <w:rsid w:val="00EA5BA8"/>
    <w:rsid w:val="00EA5C4E"/>
    <w:rsid w:val="00EA6AD8"/>
    <w:rsid w:val="00EA6CC1"/>
    <w:rsid w:val="00EA6CDB"/>
    <w:rsid w:val="00EA6ED6"/>
    <w:rsid w:val="00EA6FDE"/>
    <w:rsid w:val="00EB0406"/>
    <w:rsid w:val="00EB0984"/>
    <w:rsid w:val="00EB09A7"/>
    <w:rsid w:val="00EB0CA8"/>
    <w:rsid w:val="00EB0EB0"/>
    <w:rsid w:val="00EB0ED8"/>
    <w:rsid w:val="00EB0F07"/>
    <w:rsid w:val="00EB11D6"/>
    <w:rsid w:val="00EB14F2"/>
    <w:rsid w:val="00EB150D"/>
    <w:rsid w:val="00EB17F7"/>
    <w:rsid w:val="00EB1930"/>
    <w:rsid w:val="00EB1E09"/>
    <w:rsid w:val="00EB2708"/>
    <w:rsid w:val="00EB2830"/>
    <w:rsid w:val="00EB3013"/>
    <w:rsid w:val="00EB3196"/>
    <w:rsid w:val="00EB3694"/>
    <w:rsid w:val="00EB3700"/>
    <w:rsid w:val="00EB37D1"/>
    <w:rsid w:val="00EB3974"/>
    <w:rsid w:val="00EB3BA4"/>
    <w:rsid w:val="00EB3DCF"/>
    <w:rsid w:val="00EB449E"/>
    <w:rsid w:val="00EB4D73"/>
    <w:rsid w:val="00EB4DCD"/>
    <w:rsid w:val="00EB4F33"/>
    <w:rsid w:val="00EB56D6"/>
    <w:rsid w:val="00EB58F3"/>
    <w:rsid w:val="00EB5B99"/>
    <w:rsid w:val="00EB5FB9"/>
    <w:rsid w:val="00EB610D"/>
    <w:rsid w:val="00EB6381"/>
    <w:rsid w:val="00EB64B1"/>
    <w:rsid w:val="00EB653C"/>
    <w:rsid w:val="00EB69CF"/>
    <w:rsid w:val="00EB6E24"/>
    <w:rsid w:val="00EB730E"/>
    <w:rsid w:val="00EB7832"/>
    <w:rsid w:val="00EB78CD"/>
    <w:rsid w:val="00EB7B26"/>
    <w:rsid w:val="00EB7B92"/>
    <w:rsid w:val="00EB7C54"/>
    <w:rsid w:val="00EB7DA2"/>
    <w:rsid w:val="00EB7DA6"/>
    <w:rsid w:val="00EC0374"/>
    <w:rsid w:val="00EC0DC6"/>
    <w:rsid w:val="00EC0F74"/>
    <w:rsid w:val="00EC10B6"/>
    <w:rsid w:val="00EC16EB"/>
    <w:rsid w:val="00EC173F"/>
    <w:rsid w:val="00EC1865"/>
    <w:rsid w:val="00EC1CC4"/>
    <w:rsid w:val="00EC1CCD"/>
    <w:rsid w:val="00EC1D8E"/>
    <w:rsid w:val="00EC1E0C"/>
    <w:rsid w:val="00EC23FC"/>
    <w:rsid w:val="00EC297B"/>
    <w:rsid w:val="00EC29D0"/>
    <w:rsid w:val="00EC31C9"/>
    <w:rsid w:val="00EC36B7"/>
    <w:rsid w:val="00EC376A"/>
    <w:rsid w:val="00EC3925"/>
    <w:rsid w:val="00EC3E5D"/>
    <w:rsid w:val="00EC406F"/>
    <w:rsid w:val="00EC5DA0"/>
    <w:rsid w:val="00EC6711"/>
    <w:rsid w:val="00EC719B"/>
    <w:rsid w:val="00EC7676"/>
    <w:rsid w:val="00EC76CA"/>
    <w:rsid w:val="00EC79F8"/>
    <w:rsid w:val="00EC7FDE"/>
    <w:rsid w:val="00ED010A"/>
    <w:rsid w:val="00ED078F"/>
    <w:rsid w:val="00ED0861"/>
    <w:rsid w:val="00ED0AF9"/>
    <w:rsid w:val="00ED1367"/>
    <w:rsid w:val="00ED1476"/>
    <w:rsid w:val="00ED14D8"/>
    <w:rsid w:val="00ED1C69"/>
    <w:rsid w:val="00ED2162"/>
    <w:rsid w:val="00ED25F4"/>
    <w:rsid w:val="00ED2713"/>
    <w:rsid w:val="00ED271F"/>
    <w:rsid w:val="00ED2D85"/>
    <w:rsid w:val="00ED3174"/>
    <w:rsid w:val="00ED3246"/>
    <w:rsid w:val="00ED3857"/>
    <w:rsid w:val="00ED3929"/>
    <w:rsid w:val="00ED3DF9"/>
    <w:rsid w:val="00ED4194"/>
    <w:rsid w:val="00ED4215"/>
    <w:rsid w:val="00ED52A9"/>
    <w:rsid w:val="00ED56BC"/>
    <w:rsid w:val="00ED5FD4"/>
    <w:rsid w:val="00ED61AA"/>
    <w:rsid w:val="00ED7364"/>
    <w:rsid w:val="00ED73EA"/>
    <w:rsid w:val="00ED77ED"/>
    <w:rsid w:val="00ED7957"/>
    <w:rsid w:val="00ED7B96"/>
    <w:rsid w:val="00ED7BC4"/>
    <w:rsid w:val="00ED7BC9"/>
    <w:rsid w:val="00ED7C74"/>
    <w:rsid w:val="00ED7E6C"/>
    <w:rsid w:val="00EE04F4"/>
    <w:rsid w:val="00EE089B"/>
    <w:rsid w:val="00EE0AD8"/>
    <w:rsid w:val="00EE0C84"/>
    <w:rsid w:val="00EE1098"/>
    <w:rsid w:val="00EE20B7"/>
    <w:rsid w:val="00EE2262"/>
    <w:rsid w:val="00EE248B"/>
    <w:rsid w:val="00EE28EB"/>
    <w:rsid w:val="00EE2995"/>
    <w:rsid w:val="00EE2F13"/>
    <w:rsid w:val="00EE3099"/>
    <w:rsid w:val="00EE35E4"/>
    <w:rsid w:val="00EE3AC1"/>
    <w:rsid w:val="00EE3AF9"/>
    <w:rsid w:val="00EE3B81"/>
    <w:rsid w:val="00EE3B91"/>
    <w:rsid w:val="00EE3B97"/>
    <w:rsid w:val="00EE3C91"/>
    <w:rsid w:val="00EE3CB0"/>
    <w:rsid w:val="00EE43DF"/>
    <w:rsid w:val="00EE480F"/>
    <w:rsid w:val="00EE4ADF"/>
    <w:rsid w:val="00EE4C48"/>
    <w:rsid w:val="00EE5156"/>
    <w:rsid w:val="00EE51F7"/>
    <w:rsid w:val="00EE5535"/>
    <w:rsid w:val="00EE58CA"/>
    <w:rsid w:val="00EE5A7D"/>
    <w:rsid w:val="00EE5CF9"/>
    <w:rsid w:val="00EE63A5"/>
    <w:rsid w:val="00EE6850"/>
    <w:rsid w:val="00EE730D"/>
    <w:rsid w:val="00EE7410"/>
    <w:rsid w:val="00EE7EF5"/>
    <w:rsid w:val="00EF1014"/>
    <w:rsid w:val="00EF107D"/>
    <w:rsid w:val="00EF1122"/>
    <w:rsid w:val="00EF12CE"/>
    <w:rsid w:val="00EF13FD"/>
    <w:rsid w:val="00EF1617"/>
    <w:rsid w:val="00EF1798"/>
    <w:rsid w:val="00EF2373"/>
    <w:rsid w:val="00EF23A9"/>
    <w:rsid w:val="00EF28B7"/>
    <w:rsid w:val="00EF2EA2"/>
    <w:rsid w:val="00EF3A65"/>
    <w:rsid w:val="00EF3A86"/>
    <w:rsid w:val="00EF411B"/>
    <w:rsid w:val="00EF429D"/>
    <w:rsid w:val="00EF433F"/>
    <w:rsid w:val="00EF446C"/>
    <w:rsid w:val="00EF4978"/>
    <w:rsid w:val="00EF4ED7"/>
    <w:rsid w:val="00EF5027"/>
    <w:rsid w:val="00EF5363"/>
    <w:rsid w:val="00EF5642"/>
    <w:rsid w:val="00EF56FE"/>
    <w:rsid w:val="00EF5798"/>
    <w:rsid w:val="00EF587A"/>
    <w:rsid w:val="00EF5CA4"/>
    <w:rsid w:val="00EF5D37"/>
    <w:rsid w:val="00EF626C"/>
    <w:rsid w:val="00EF6390"/>
    <w:rsid w:val="00EF68E2"/>
    <w:rsid w:val="00EF6DBD"/>
    <w:rsid w:val="00EF740F"/>
    <w:rsid w:val="00EF789A"/>
    <w:rsid w:val="00EF7BF8"/>
    <w:rsid w:val="00EF7F94"/>
    <w:rsid w:val="00F00496"/>
    <w:rsid w:val="00F009C3"/>
    <w:rsid w:val="00F00CE1"/>
    <w:rsid w:val="00F00CFE"/>
    <w:rsid w:val="00F00D35"/>
    <w:rsid w:val="00F00D42"/>
    <w:rsid w:val="00F013B5"/>
    <w:rsid w:val="00F017D2"/>
    <w:rsid w:val="00F01B1A"/>
    <w:rsid w:val="00F01BC7"/>
    <w:rsid w:val="00F01E2D"/>
    <w:rsid w:val="00F02F7A"/>
    <w:rsid w:val="00F03024"/>
    <w:rsid w:val="00F03564"/>
    <w:rsid w:val="00F035BD"/>
    <w:rsid w:val="00F0388F"/>
    <w:rsid w:val="00F03AE9"/>
    <w:rsid w:val="00F03E41"/>
    <w:rsid w:val="00F0411F"/>
    <w:rsid w:val="00F043AC"/>
    <w:rsid w:val="00F0443B"/>
    <w:rsid w:val="00F0444D"/>
    <w:rsid w:val="00F044F5"/>
    <w:rsid w:val="00F04861"/>
    <w:rsid w:val="00F04917"/>
    <w:rsid w:val="00F04982"/>
    <w:rsid w:val="00F04C8F"/>
    <w:rsid w:val="00F051F9"/>
    <w:rsid w:val="00F05361"/>
    <w:rsid w:val="00F057BE"/>
    <w:rsid w:val="00F058F7"/>
    <w:rsid w:val="00F05AD8"/>
    <w:rsid w:val="00F06217"/>
    <w:rsid w:val="00F06A70"/>
    <w:rsid w:val="00F06DA2"/>
    <w:rsid w:val="00F06F74"/>
    <w:rsid w:val="00F07770"/>
    <w:rsid w:val="00F100A4"/>
    <w:rsid w:val="00F1110F"/>
    <w:rsid w:val="00F11128"/>
    <w:rsid w:val="00F11377"/>
    <w:rsid w:val="00F1151D"/>
    <w:rsid w:val="00F120DB"/>
    <w:rsid w:val="00F124F5"/>
    <w:rsid w:val="00F12623"/>
    <w:rsid w:val="00F12A41"/>
    <w:rsid w:val="00F12C52"/>
    <w:rsid w:val="00F12F61"/>
    <w:rsid w:val="00F1398B"/>
    <w:rsid w:val="00F13AA9"/>
    <w:rsid w:val="00F13CDD"/>
    <w:rsid w:val="00F13DA3"/>
    <w:rsid w:val="00F13E59"/>
    <w:rsid w:val="00F13E81"/>
    <w:rsid w:val="00F13FB6"/>
    <w:rsid w:val="00F14371"/>
    <w:rsid w:val="00F14439"/>
    <w:rsid w:val="00F146AD"/>
    <w:rsid w:val="00F14A25"/>
    <w:rsid w:val="00F150A4"/>
    <w:rsid w:val="00F15B41"/>
    <w:rsid w:val="00F16628"/>
    <w:rsid w:val="00F17169"/>
    <w:rsid w:val="00F17472"/>
    <w:rsid w:val="00F178FD"/>
    <w:rsid w:val="00F17B97"/>
    <w:rsid w:val="00F17D33"/>
    <w:rsid w:val="00F208FF"/>
    <w:rsid w:val="00F20945"/>
    <w:rsid w:val="00F215B6"/>
    <w:rsid w:val="00F216B8"/>
    <w:rsid w:val="00F2191A"/>
    <w:rsid w:val="00F21B4C"/>
    <w:rsid w:val="00F21CFC"/>
    <w:rsid w:val="00F21E4B"/>
    <w:rsid w:val="00F232DC"/>
    <w:rsid w:val="00F233E8"/>
    <w:rsid w:val="00F23916"/>
    <w:rsid w:val="00F23EEC"/>
    <w:rsid w:val="00F24021"/>
    <w:rsid w:val="00F242E2"/>
    <w:rsid w:val="00F244A7"/>
    <w:rsid w:val="00F2481D"/>
    <w:rsid w:val="00F25284"/>
    <w:rsid w:val="00F254B5"/>
    <w:rsid w:val="00F257FD"/>
    <w:rsid w:val="00F2587E"/>
    <w:rsid w:val="00F259E4"/>
    <w:rsid w:val="00F25B95"/>
    <w:rsid w:val="00F25D87"/>
    <w:rsid w:val="00F25DCB"/>
    <w:rsid w:val="00F26F7F"/>
    <w:rsid w:val="00F27656"/>
    <w:rsid w:val="00F27CD2"/>
    <w:rsid w:val="00F3008B"/>
    <w:rsid w:val="00F3070A"/>
    <w:rsid w:val="00F30AB8"/>
    <w:rsid w:val="00F30E3E"/>
    <w:rsid w:val="00F30FB8"/>
    <w:rsid w:val="00F3176A"/>
    <w:rsid w:val="00F3177C"/>
    <w:rsid w:val="00F31E7A"/>
    <w:rsid w:val="00F321D0"/>
    <w:rsid w:val="00F32735"/>
    <w:rsid w:val="00F32A47"/>
    <w:rsid w:val="00F33576"/>
    <w:rsid w:val="00F33871"/>
    <w:rsid w:val="00F340FF"/>
    <w:rsid w:val="00F34564"/>
    <w:rsid w:val="00F34BF4"/>
    <w:rsid w:val="00F34D31"/>
    <w:rsid w:val="00F34D3A"/>
    <w:rsid w:val="00F34FEF"/>
    <w:rsid w:val="00F352CC"/>
    <w:rsid w:val="00F354B5"/>
    <w:rsid w:val="00F35796"/>
    <w:rsid w:val="00F35F25"/>
    <w:rsid w:val="00F360FF"/>
    <w:rsid w:val="00F36711"/>
    <w:rsid w:val="00F36823"/>
    <w:rsid w:val="00F37008"/>
    <w:rsid w:val="00F3783A"/>
    <w:rsid w:val="00F37B48"/>
    <w:rsid w:val="00F37BA6"/>
    <w:rsid w:val="00F37BBF"/>
    <w:rsid w:val="00F40A82"/>
    <w:rsid w:val="00F40C0D"/>
    <w:rsid w:val="00F40F6B"/>
    <w:rsid w:val="00F41420"/>
    <w:rsid w:val="00F4194E"/>
    <w:rsid w:val="00F4219F"/>
    <w:rsid w:val="00F423B7"/>
    <w:rsid w:val="00F4370C"/>
    <w:rsid w:val="00F43D56"/>
    <w:rsid w:val="00F43F3E"/>
    <w:rsid w:val="00F444BD"/>
    <w:rsid w:val="00F44787"/>
    <w:rsid w:val="00F44A2B"/>
    <w:rsid w:val="00F451FD"/>
    <w:rsid w:val="00F45665"/>
    <w:rsid w:val="00F45870"/>
    <w:rsid w:val="00F458EB"/>
    <w:rsid w:val="00F45BA6"/>
    <w:rsid w:val="00F45DCF"/>
    <w:rsid w:val="00F45E5B"/>
    <w:rsid w:val="00F4618F"/>
    <w:rsid w:val="00F46455"/>
    <w:rsid w:val="00F469AB"/>
    <w:rsid w:val="00F46B2F"/>
    <w:rsid w:val="00F46B37"/>
    <w:rsid w:val="00F46B62"/>
    <w:rsid w:val="00F46F40"/>
    <w:rsid w:val="00F47BC3"/>
    <w:rsid w:val="00F47EC4"/>
    <w:rsid w:val="00F47F7C"/>
    <w:rsid w:val="00F50252"/>
    <w:rsid w:val="00F5036C"/>
    <w:rsid w:val="00F5051D"/>
    <w:rsid w:val="00F50754"/>
    <w:rsid w:val="00F50772"/>
    <w:rsid w:val="00F50F40"/>
    <w:rsid w:val="00F5127A"/>
    <w:rsid w:val="00F519A7"/>
    <w:rsid w:val="00F51A09"/>
    <w:rsid w:val="00F51D9C"/>
    <w:rsid w:val="00F51ED7"/>
    <w:rsid w:val="00F5215A"/>
    <w:rsid w:val="00F521B2"/>
    <w:rsid w:val="00F524F8"/>
    <w:rsid w:val="00F5251C"/>
    <w:rsid w:val="00F5266A"/>
    <w:rsid w:val="00F52BE0"/>
    <w:rsid w:val="00F53029"/>
    <w:rsid w:val="00F53059"/>
    <w:rsid w:val="00F5307C"/>
    <w:rsid w:val="00F53507"/>
    <w:rsid w:val="00F537C0"/>
    <w:rsid w:val="00F53814"/>
    <w:rsid w:val="00F538AA"/>
    <w:rsid w:val="00F53C12"/>
    <w:rsid w:val="00F548B4"/>
    <w:rsid w:val="00F5496D"/>
    <w:rsid w:val="00F54B91"/>
    <w:rsid w:val="00F54EAA"/>
    <w:rsid w:val="00F5532C"/>
    <w:rsid w:val="00F55C4F"/>
    <w:rsid w:val="00F55FBA"/>
    <w:rsid w:val="00F56412"/>
    <w:rsid w:val="00F568FA"/>
    <w:rsid w:val="00F56DEC"/>
    <w:rsid w:val="00F57046"/>
    <w:rsid w:val="00F5707E"/>
    <w:rsid w:val="00F5727F"/>
    <w:rsid w:val="00F578FD"/>
    <w:rsid w:val="00F57935"/>
    <w:rsid w:val="00F57B81"/>
    <w:rsid w:val="00F57F65"/>
    <w:rsid w:val="00F602BB"/>
    <w:rsid w:val="00F60422"/>
    <w:rsid w:val="00F60623"/>
    <w:rsid w:val="00F6127E"/>
    <w:rsid w:val="00F61345"/>
    <w:rsid w:val="00F615C3"/>
    <w:rsid w:val="00F6179C"/>
    <w:rsid w:val="00F61829"/>
    <w:rsid w:val="00F61B05"/>
    <w:rsid w:val="00F61CCA"/>
    <w:rsid w:val="00F61D54"/>
    <w:rsid w:val="00F623A1"/>
    <w:rsid w:val="00F62943"/>
    <w:rsid w:val="00F62F0F"/>
    <w:rsid w:val="00F62FCE"/>
    <w:rsid w:val="00F62FF2"/>
    <w:rsid w:val="00F6320C"/>
    <w:rsid w:val="00F63382"/>
    <w:rsid w:val="00F63528"/>
    <w:rsid w:val="00F63BA6"/>
    <w:rsid w:val="00F63CCB"/>
    <w:rsid w:val="00F64494"/>
    <w:rsid w:val="00F65255"/>
    <w:rsid w:val="00F65440"/>
    <w:rsid w:val="00F6556E"/>
    <w:rsid w:val="00F65A27"/>
    <w:rsid w:val="00F665FB"/>
    <w:rsid w:val="00F66BB2"/>
    <w:rsid w:val="00F66DC0"/>
    <w:rsid w:val="00F67034"/>
    <w:rsid w:val="00F671F3"/>
    <w:rsid w:val="00F67670"/>
    <w:rsid w:val="00F6774F"/>
    <w:rsid w:val="00F67CF0"/>
    <w:rsid w:val="00F705A3"/>
    <w:rsid w:val="00F70871"/>
    <w:rsid w:val="00F70CAC"/>
    <w:rsid w:val="00F70D62"/>
    <w:rsid w:val="00F7131B"/>
    <w:rsid w:val="00F713EA"/>
    <w:rsid w:val="00F715E7"/>
    <w:rsid w:val="00F717F3"/>
    <w:rsid w:val="00F719CD"/>
    <w:rsid w:val="00F72086"/>
    <w:rsid w:val="00F73151"/>
    <w:rsid w:val="00F732C2"/>
    <w:rsid w:val="00F73388"/>
    <w:rsid w:val="00F733E1"/>
    <w:rsid w:val="00F73500"/>
    <w:rsid w:val="00F73A7A"/>
    <w:rsid w:val="00F73AF2"/>
    <w:rsid w:val="00F73D59"/>
    <w:rsid w:val="00F747FA"/>
    <w:rsid w:val="00F7482B"/>
    <w:rsid w:val="00F74F94"/>
    <w:rsid w:val="00F754A6"/>
    <w:rsid w:val="00F75ABD"/>
    <w:rsid w:val="00F75F4C"/>
    <w:rsid w:val="00F76011"/>
    <w:rsid w:val="00F76AB9"/>
    <w:rsid w:val="00F77142"/>
    <w:rsid w:val="00F77AE7"/>
    <w:rsid w:val="00F77C39"/>
    <w:rsid w:val="00F77CF3"/>
    <w:rsid w:val="00F80069"/>
    <w:rsid w:val="00F8013D"/>
    <w:rsid w:val="00F80224"/>
    <w:rsid w:val="00F803CD"/>
    <w:rsid w:val="00F80793"/>
    <w:rsid w:val="00F80CDA"/>
    <w:rsid w:val="00F81145"/>
    <w:rsid w:val="00F814DE"/>
    <w:rsid w:val="00F81651"/>
    <w:rsid w:val="00F81666"/>
    <w:rsid w:val="00F818AF"/>
    <w:rsid w:val="00F81E60"/>
    <w:rsid w:val="00F82323"/>
    <w:rsid w:val="00F82D29"/>
    <w:rsid w:val="00F8325B"/>
    <w:rsid w:val="00F83750"/>
    <w:rsid w:val="00F83C32"/>
    <w:rsid w:val="00F84182"/>
    <w:rsid w:val="00F8453D"/>
    <w:rsid w:val="00F84750"/>
    <w:rsid w:val="00F84949"/>
    <w:rsid w:val="00F84F49"/>
    <w:rsid w:val="00F8557F"/>
    <w:rsid w:val="00F86CEE"/>
    <w:rsid w:val="00F870F9"/>
    <w:rsid w:val="00F8777F"/>
    <w:rsid w:val="00F90ADD"/>
    <w:rsid w:val="00F917CD"/>
    <w:rsid w:val="00F91907"/>
    <w:rsid w:val="00F91A13"/>
    <w:rsid w:val="00F91BC5"/>
    <w:rsid w:val="00F91CCF"/>
    <w:rsid w:val="00F92C78"/>
    <w:rsid w:val="00F9306B"/>
    <w:rsid w:val="00F93195"/>
    <w:rsid w:val="00F9319A"/>
    <w:rsid w:val="00F9337F"/>
    <w:rsid w:val="00F9372D"/>
    <w:rsid w:val="00F93901"/>
    <w:rsid w:val="00F93FCB"/>
    <w:rsid w:val="00F94C71"/>
    <w:rsid w:val="00F94EC9"/>
    <w:rsid w:val="00F94FEB"/>
    <w:rsid w:val="00F958B8"/>
    <w:rsid w:val="00F95C1D"/>
    <w:rsid w:val="00F9609A"/>
    <w:rsid w:val="00F9653D"/>
    <w:rsid w:val="00F96E47"/>
    <w:rsid w:val="00F970C8"/>
    <w:rsid w:val="00F97E1F"/>
    <w:rsid w:val="00FA04F1"/>
    <w:rsid w:val="00FA04F3"/>
    <w:rsid w:val="00FA08E2"/>
    <w:rsid w:val="00FA0BF2"/>
    <w:rsid w:val="00FA0EF2"/>
    <w:rsid w:val="00FA110C"/>
    <w:rsid w:val="00FA1407"/>
    <w:rsid w:val="00FA15D7"/>
    <w:rsid w:val="00FA15FB"/>
    <w:rsid w:val="00FA200D"/>
    <w:rsid w:val="00FA20FD"/>
    <w:rsid w:val="00FA21E6"/>
    <w:rsid w:val="00FA2A77"/>
    <w:rsid w:val="00FA31FC"/>
    <w:rsid w:val="00FA3510"/>
    <w:rsid w:val="00FA3633"/>
    <w:rsid w:val="00FA3C68"/>
    <w:rsid w:val="00FA40CA"/>
    <w:rsid w:val="00FA41D7"/>
    <w:rsid w:val="00FA4313"/>
    <w:rsid w:val="00FA438D"/>
    <w:rsid w:val="00FA4F83"/>
    <w:rsid w:val="00FA5133"/>
    <w:rsid w:val="00FA521E"/>
    <w:rsid w:val="00FA53B3"/>
    <w:rsid w:val="00FA53D1"/>
    <w:rsid w:val="00FA5BE0"/>
    <w:rsid w:val="00FA637C"/>
    <w:rsid w:val="00FA679F"/>
    <w:rsid w:val="00FA685E"/>
    <w:rsid w:val="00FA6A55"/>
    <w:rsid w:val="00FA6B7B"/>
    <w:rsid w:val="00FA7087"/>
    <w:rsid w:val="00FA728E"/>
    <w:rsid w:val="00FA74D1"/>
    <w:rsid w:val="00FA75EA"/>
    <w:rsid w:val="00FA767D"/>
    <w:rsid w:val="00FA77CF"/>
    <w:rsid w:val="00FA7AE0"/>
    <w:rsid w:val="00FB0004"/>
    <w:rsid w:val="00FB018A"/>
    <w:rsid w:val="00FB0D98"/>
    <w:rsid w:val="00FB112C"/>
    <w:rsid w:val="00FB165B"/>
    <w:rsid w:val="00FB19D5"/>
    <w:rsid w:val="00FB2105"/>
    <w:rsid w:val="00FB2297"/>
    <w:rsid w:val="00FB23C1"/>
    <w:rsid w:val="00FB248D"/>
    <w:rsid w:val="00FB2691"/>
    <w:rsid w:val="00FB2CFB"/>
    <w:rsid w:val="00FB322E"/>
    <w:rsid w:val="00FB36D8"/>
    <w:rsid w:val="00FB3D51"/>
    <w:rsid w:val="00FB3DD3"/>
    <w:rsid w:val="00FB3F07"/>
    <w:rsid w:val="00FB3F6F"/>
    <w:rsid w:val="00FB42FA"/>
    <w:rsid w:val="00FB43E8"/>
    <w:rsid w:val="00FB49A1"/>
    <w:rsid w:val="00FB4D4E"/>
    <w:rsid w:val="00FB4E24"/>
    <w:rsid w:val="00FB4E87"/>
    <w:rsid w:val="00FB531B"/>
    <w:rsid w:val="00FB564D"/>
    <w:rsid w:val="00FB5809"/>
    <w:rsid w:val="00FB5AEC"/>
    <w:rsid w:val="00FB5C87"/>
    <w:rsid w:val="00FB5F5C"/>
    <w:rsid w:val="00FB640B"/>
    <w:rsid w:val="00FB6A55"/>
    <w:rsid w:val="00FB6A8A"/>
    <w:rsid w:val="00FB705A"/>
    <w:rsid w:val="00FB7229"/>
    <w:rsid w:val="00FB76CB"/>
    <w:rsid w:val="00FB7B97"/>
    <w:rsid w:val="00FB7CEE"/>
    <w:rsid w:val="00FB7D43"/>
    <w:rsid w:val="00FB7FEF"/>
    <w:rsid w:val="00FC0454"/>
    <w:rsid w:val="00FC1212"/>
    <w:rsid w:val="00FC16FF"/>
    <w:rsid w:val="00FC22FF"/>
    <w:rsid w:val="00FC2893"/>
    <w:rsid w:val="00FC28CC"/>
    <w:rsid w:val="00FC2A8F"/>
    <w:rsid w:val="00FC2F39"/>
    <w:rsid w:val="00FC32D8"/>
    <w:rsid w:val="00FC33FF"/>
    <w:rsid w:val="00FC3E5E"/>
    <w:rsid w:val="00FC41C6"/>
    <w:rsid w:val="00FC432A"/>
    <w:rsid w:val="00FC44D7"/>
    <w:rsid w:val="00FC4BC4"/>
    <w:rsid w:val="00FC4D34"/>
    <w:rsid w:val="00FC4DBA"/>
    <w:rsid w:val="00FC502D"/>
    <w:rsid w:val="00FC51DB"/>
    <w:rsid w:val="00FC5269"/>
    <w:rsid w:val="00FC56A8"/>
    <w:rsid w:val="00FC581A"/>
    <w:rsid w:val="00FC5A57"/>
    <w:rsid w:val="00FC618F"/>
    <w:rsid w:val="00FC641A"/>
    <w:rsid w:val="00FC738B"/>
    <w:rsid w:val="00FC75C5"/>
    <w:rsid w:val="00FC79BA"/>
    <w:rsid w:val="00FC7A2C"/>
    <w:rsid w:val="00FC7B26"/>
    <w:rsid w:val="00FC7B9E"/>
    <w:rsid w:val="00FC7DD0"/>
    <w:rsid w:val="00FD042B"/>
    <w:rsid w:val="00FD056E"/>
    <w:rsid w:val="00FD0925"/>
    <w:rsid w:val="00FD0D7D"/>
    <w:rsid w:val="00FD0F5B"/>
    <w:rsid w:val="00FD107C"/>
    <w:rsid w:val="00FD15CB"/>
    <w:rsid w:val="00FD197C"/>
    <w:rsid w:val="00FD1B56"/>
    <w:rsid w:val="00FD1F48"/>
    <w:rsid w:val="00FD204A"/>
    <w:rsid w:val="00FD20CF"/>
    <w:rsid w:val="00FD27A5"/>
    <w:rsid w:val="00FD29ED"/>
    <w:rsid w:val="00FD2A77"/>
    <w:rsid w:val="00FD2BBD"/>
    <w:rsid w:val="00FD2E90"/>
    <w:rsid w:val="00FD3123"/>
    <w:rsid w:val="00FD31FC"/>
    <w:rsid w:val="00FD3322"/>
    <w:rsid w:val="00FD3401"/>
    <w:rsid w:val="00FD363D"/>
    <w:rsid w:val="00FD3907"/>
    <w:rsid w:val="00FD3A86"/>
    <w:rsid w:val="00FD3EA3"/>
    <w:rsid w:val="00FD47C8"/>
    <w:rsid w:val="00FD49F5"/>
    <w:rsid w:val="00FD4EF5"/>
    <w:rsid w:val="00FD5638"/>
    <w:rsid w:val="00FD5C43"/>
    <w:rsid w:val="00FD5FE0"/>
    <w:rsid w:val="00FD6488"/>
    <w:rsid w:val="00FD64A1"/>
    <w:rsid w:val="00FD66E4"/>
    <w:rsid w:val="00FD6727"/>
    <w:rsid w:val="00FD6B5A"/>
    <w:rsid w:val="00FD6EEF"/>
    <w:rsid w:val="00FD755E"/>
    <w:rsid w:val="00FD7861"/>
    <w:rsid w:val="00FD786F"/>
    <w:rsid w:val="00FE0349"/>
    <w:rsid w:val="00FE0A25"/>
    <w:rsid w:val="00FE0B87"/>
    <w:rsid w:val="00FE0BB6"/>
    <w:rsid w:val="00FE0E95"/>
    <w:rsid w:val="00FE0F43"/>
    <w:rsid w:val="00FE11D4"/>
    <w:rsid w:val="00FE120E"/>
    <w:rsid w:val="00FE1263"/>
    <w:rsid w:val="00FE12AA"/>
    <w:rsid w:val="00FE1304"/>
    <w:rsid w:val="00FE1B42"/>
    <w:rsid w:val="00FE1BD2"/>
    <w:rsid w:val="00FE1C2A"/>
    <w:rsid w:val="00FE2288"/>
    <w:rsid w:val="00FE2851"/>
    <w:rsid w:val="00FE2A24"/>
    <w:rsid w:val="00FE2BF7"/>
    <w:rsid w:val="00FE2D78"/>
    <w:rsid w:val="00FE339A"/>
    <w:rsid w:val="00FE3704"/>
    <w:rsid w:val="00FE39F6"/>
    <w:rsid w:val="00FE3ADC"/>
    <w:rsid w:val="00FE3F1C"/>
    <w:rsid w:val="00FE4079"/>
    <w:rsid w:val="00FE40B0"/>
    <w:rsid w:val="00FE46B4"/>
    <w:rsid w:val="00FE484C"/>
    <w:rsid w:val="00FE4C45"/>
    <w:rsid w:val="00FE4CF1"/>
    <w:rsid w:val="00FE4CFE"/>
    <w:rsid w:val="00FE50B8"/>
    <w:rsid w:val="00FE56EF"/>
    <w:rsid w:val="00FE5DE6"/>
    <w:rsid w:val="00FE5EA2"/>
    <w:rsid w:val="00FE5FDC"/>
    <w:rsid w:val="00FE64E6"/>
    <w:rsid w:val="00FE72A0"/>
    <w:rsid w:val="00FE7623"/>
    <w:rsid w:val="00FF0282"/>
    <w:rsid w:val="00FF0775"/>
    <w:rsid w:val="00FF07B7"/>
    <w:rsid w:val="00FF0C96"/>
    <w:rsid w:val="00FF1154"/>
    <w:rsid w:val="00FF130D"/>
    <w:rsid w:val="00FF172C"/>
    <w:rsid w:val="00FF181A"/>
    <w:rsid w:val="00FF21B2"/>
    <w:rsid w:val="00FF2723"/>
    <w:rsid w:val="00FF27B1"/>
    <w:rsid w:val="00FF282C"/>
    <w:rsid w:val="00FF2C8C"/>
    <w:rsid w:val="00FF2DAD"/>
    <w:rsid w:val="00FF3069"/>
    <w:rsid w:val="00FF451D"/>
    <w:rsid w:val="00FF48B6"/>
    <w:rsid w:val="00FF4E66"/>
    <w:rsid w:val="00FF4F3C"/>
    <w:rsid w:val="00FF5252"/>
    <w:rsid w:val="00FF531A"/>
    <w:rsid w:val="00FF5543"/>
    <w:rsid w:val="00FF5714"/>
    <w:rsid w:val="00FF5765"/>
    <w:rsid w:val="00FF6019"/>
    <w:rsid w:val="00FF6683"/>
    <w:rsid w:val="00FF66BF"/>
    <w:rsid w:val="00FF6740"/>
    <w:rsid w:val="00FF682A"/>
    <w:rsid w:val="00FF6966"/>
    <w:rsid w:val="00FF6981"/>
    <w:rsid w:val="00FF6C2E"/>
    <w:rsid w:val="00FF7857"/>
    <w:rsid w:val="00FF7D1F"/>
    <w:rsid w:val="00FF7E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2715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11F85"/>
    <w:pPr>
      <w:spacing w:after="240" w:line="312" w:lineRule="auto"/>
      <w:jc w:val="both"/>
    </w:pPr>
    <w:rPr>
      <w:rFonts w:ascii="Calibri" w:hAnsi="Calibri" w:cs="Tahoma"/>
      <w:sz w:val="22"/>
      <w:szCs w:val="22"/>
    </w:rPr>
  </w:style>
  <w:style w:type="paragraph" w:styleId="Heading1">
    <w:name w:val="heading 1"/>
    <w:basedOn w:val="Normal"/>
    <w:next w:val="Normal"/>
    <w:link w:val="Heading1Char"/>
    <w:qFormat/>
    <w:rsid w:val="00A65D65"/>
    <w:pPr>
      <w:keepNext/>
      <w:pageBreakBefore/>
      <w:pBdr>
        <w:bottom w:val="single" w:sz="4" w:space="1" w:color="auto"/>
      </w:pBdr>
      <w:spacing w:after="360"/>
      <w:ind w:left="3402" w:hanging="3402"/>
      <w:outlineLvl w:val="0"/>
    </w:pPr>
    <w:rPr>
      <w:b/>
      <w:smallCaps/>
      <w:sz w:val="44"/>
    </w:rPr>
  </w:style>
  <w:style w:type="paragraph" w:styleId="Heading2">
    <w:name w:val="heading 2"/>
    <w:basedOn w:val="Normal"/>
    <w:next w:val="Normal"/>
    <w:link w:val="Heading2Char"/>
    <w:qFormat/>
    <w:rsid w:val="00F5251C"/>
    <w:pPr>
      <w:keepNext/>
      <w:spacing w:before="240"/>
      <w:outlineLvl w:val="1"/>
    </w:pPr>
    <w:rPr>
      <w:b/>
      <w:smallCaps/>
      <w:sz w:val="28"/>
    </w:rPr>
  </w:style>
  <w:style w:type="paragraph" w:styleId="Heading3">
    <w:name w:val="heading 3"/>
    <w:basedOn w:val="Normal"/>
    <w:next w:val="Normal"/>
    <w:link w:val="Heading3Char"/>
    <w:qFormat/>
    <w:rsid w:val="00F5251C"/>
    <w:pPr>
      <w:keepNext/>
      <w:spacing w:before="240" w:after="120"/>
      <w:outlineLvl w:val="2"/>
    </w:pPr>
    <w:rPr>
      <w:b/>
      <w:smallCaps/>
      <w:sz w:val="24"/>
      <w:szCs w:val="24"/>
    </w:rPr>
  </w:style>
  <w:style w:type="paragraph" w:styleId="Heading4">
    <w:name w:val="heading 4"/>
    <w:basedOn w:val="ESSectionHeading-numbered0"/>
    <w:next w:val="Normal"/>
    <w:link w:val="Heading4Char"/>
    <w:qFormat/>
    <w:rsid w:val="00F5251C"/>
    <w:pPr>
      <w:numPr>
        <w:numId w:val="0"/>
      </w:numPr>
      <w:outlineLvl w:val="3"/>
    </w:pPr>
    <w:rPr>
      <w:smallCaps w:val="0"/>
      <w:sz w:val="22"/>
    </w:rPr>
  </w:style>
  <w:style w:type="paragraph" w:styleId="Heading5">
    <w:name w:val="heading 5"/>
    <w:basedOn w:val="Normal"/>
    <w:next w:val="Normal"/>
    <w:link w:val="Heading5Char"/>
    <w:qFormat/>
    <w:rsid w:val="005C44A6"/>
    <w:pPr>
      <w:keepNext/>
      <w:spacing w:after="60"/>
      <w:outlineLvl w:val="4"/>
    </w:pPr>
    <w:rPr>
      <w:b/>
      <w:i/>
    </w:rPr>
  </w:style>
  <w:style w:type="paragraph" w:styleId="Heading6">
    <w:name w:val="heading 6"/>
    <w:basedOn w:val="Normal"/>
    <w:next w:val="Normal"/>
    <w:rsid w:val="00106D47"/>
    <w:pPr>
      <w:keepNext/>
      <w:outlineLvl w:val="5"/>
    </w:pPr>
    <w:rPr>
      <w:u w:val="single"/>
    </w:rPr>
  </w:style>
  <w:style w:type="paragraph" w:styleId="Heading7">
    <w:name w:val="heading 7"/>
    <w:basedOn w:val="Normal"/>
    <w:next w:val="Normal"/>
    <w:rsid w:val="00574BF8"/>
    <w:pPr>
      <w:keepNext/>
      <w:outlineLvl w:val="6"/>
    </w:pPr>
    <w:rPr>
      <w:i/>
    </w:rPr>
  </w:style>
  <w:style w:type="paragraph" w:styleId="Heading8">
    <w:name w:val="heading 8"/>
    <w:basedOn w:val="Normal"/>
    <w:next w:val="Normal"/>
    <w:rsid w:val="00574BF8"/>
    <w:pPr>
      <w:keepNext/>
      <w:outlineLvl w:val="7"/>
    </w:pPr>
    <w:rPr>
      <w:u w:val="single"/>
    </w:rPr>
  </w:style>
  <w:style w:type="paragraph" w:styleId="Heading9">
    <w:name w:val="heading 9"/>
    <w:basedOn w:val="Normal"/>
    <w:next w:val="Normal"/>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5251C"/>
    <w:rPr>
      <w:rFonts w:ascii="Calibri" w:hAnsi="Calibri" w:cs="Tahoma"/>
      <w:b/>
      <w:smallCaps/>
      <w:sz w:val="28"/>
      <w:szCs w:val="22"/>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uiPriority w:val="99"/>
    <w:semiHidden/>
    <w:rsid w:val="00574BF8"/>
    <w:rPr>
      <w:vertAlign w:val="superscript"/>
    </w:rPr>
  </w:style>
  <w:style w:type="paragraph" w:styleId="FootnoteText">
    <w:name w:val="footnote text"/>
    <w:basedOn w:val="Normal"/>
    <w:link w:val="FootnoteTextChar"/>
    <w:semiHidden/>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236231"/>
    <w:pPr>
      <w:keepLines/>
      <w:spacing w:after="120" w:line="240" w:lineRule="auto"/>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F31E7A"/>
    <w:pPr>
      <w:spacing w:line="240" w:lineRule="auto"/>
    </w:pPr>
    <w:rPr>
      <w:b/>
      <w:sz w:val="20"/>
      <w:szCs w:val="20"/>
    </w:rPr>
  </w:style>
  <w:style w:type="character" w:customStyle="1" w:styleId="TableHeadingChar">
    <w:name w:val="TableHeading Char"/>
    <w:link w:val="TableHeading"/>
    <w:rsid w:val="00F31E7A"/>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rsid w:val="00574BF8"/>
    <w:pPr>
      <w:jc w:val="center"/>
    </w:pPr>
    <w:rPr>
      <w:rFonts w:ascii="Arial" w:hAnsi="Arial"/>
      <w:b/>
      <w:smallCaps/>
      <w:sz w:val="44"/>
    </w:rPr>
  </w:style>
  <w:style w:type="paragraph" w:styleId="TOC1">
    <w:name w:val="toc 1"/>
    <w:basedOn w:val="Normal"/>
    <w:next w:val="Normal"/>
    <w:link w:val="TOC1Char"/>
    <w:uiPriority w:val="39"/>
    <w:qFormat/>
    <w:rsid w:val="0016008C"/>
    <w:pPr>
      <w:tabs>
        <w:tab w:val="left" w:leader="dot" w:pos="1276"/>
        <w:tab w:val="right" w:leader="dot" w:pos="9017"/>
      </w:tabs>
      <w:spacing w:before="120" w:after="60"/>
      <w:ind w:right="-46"/>
    </w:pPr>
    <w:rPr>
      <w:b/>
      <w:noProof/>
    </w:rPr>
  </w:style>
  <w:style w:type="paragraph" w:styleId="TOC2">
    <w:name w:val="toc 2"/>
    <w:basedOn w:val="Normal"/>
    <w:next w:val="Normal"/>
    <w:autoRedefine/>
    <w:uiPriority w:val="39"/>
    <w:qFormat/>
    <w:rsid w:val="00396624"/>
    <w:pPr>
      <w:tabs>
        <w:tab w:val="right" w:leader="dot" w:pos="9017"/>
      </w:tabs>
      <w:spacing w:after="60"/>
      <w:ind w:left="851" w:right="720"/>
    </w:pPr>
    <w:rPr>
      <w:noProof/>
    </w:rPr>
  </w:style>
  <w:style w:type="paragraph" w:styleId="TOC3">
    <w:name w:val="toc 3"/>
    <w:basedOn w:val="Normal"/>
    <w:next w:val="Normal"/>
    <w:autoRedefine/>
    <w:uiPriority w:val="39"/>
    <w:qFormat/>
    <w:rsid w:val="00CD64D9"/>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2664D2"/>
    <w:pPr>
      <w:ind w:left="1760"/>
    </w:pPr>
    <w:rPr>
      <w:sz w:val="144"/>
      <w:szCs w:val="144"/>
    </w:rPr>
  </w:style>
  <w:style w:type="paragraph" w:customStyle="1" w:styleId="Dash">
    <w:name w:val="Dash"/>
    <w:basedOn w:val="Normal"/>
    <w:rsid w:val="00574BF8"/>
    <w:pPr>
      <w:numPr>
        <w:numId w:val="2"/>
      </w:numPr>
    </w:pPr>
  </w:style>
  <w:style w:type="paragraph" w:styleId="Quote">
    <w:name w:val="Quote"/>
    <w:basedOn w:val="Normal"/>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qFormat/>
    <w:rsid w:val="00012EA4"/>
    <w:pPr>
      <w:spacing w:after="120" w:line="240" w:lineRule="auto"/>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basedOn w:val="TableNormal"/>
    <w:uiPriority w:val="39"/>
    <w:rsid w:val="00597AFD"/>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0">
    <w:name w:val="Table Text"/>
    <w:basedOn w:val="Normal"/>
    <w:link w:val="TableTextChar0"/>
    <w:rsid w:val="00DF343F"/>
    <w:pPr>
      <w:keepNext/>
      <w:spacing w:before="40" w:after="40" w:line="240" w:lineRule="auto"/>
    </w:pPr>
    <w:rPr>
      <w:rFonts w:ascii="Arial Narrow" w:hAnsi="Arial Narrow"/>
      <w:sz w:val="20"/>
      <w:lang w:eastAsia="en-US"/>
    </w:rPr>
  </w:style>
  <w:style w:type="character" w:customStyle="1" w:styleId="TableTextChar0">
    <w:name w:val="Table Text Char"/>
    <w:link w:val="TableText0"/>
    <w:rsid w:val="00DF343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link w:val="ListParagraphChar"/>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A65D65"/>
    <w:rPr>
      <w:rFonts w:ascii="Calibri" w:hAnsi="Calibri" w:cs="Tahoma"/>
      <w:b/>
      <w:smallCaps/>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AF6B60"/>
    <w:pPr>
      <w:spacing w:before="40" w:after="40" w:line="240" w:lineRule="auto"/>
    </w:pPr>
    <w:rPr>
      <w:rFonts w:ascii="Arial Narrow" w:hAnsi="Arial Narrow"/>
      <w:sz w:val="20"/>
      <w:szCs w:val="20"/>
    </w:rPr>
  </w:style>
  <w:style w:type="character" w:customStyle="1" w:styleId="TabletextChar1">
    <w:name w:val="Table text Char"/>
    <w:link w:val="Tabletext1"/>
    <w:rsid w:val="00AF6B60"/>
    <w:rPr>
      <w:rFonts w:ascii="Arial Narrow" w:hAnsi="Arial Narrow" w:cs="Tahoma"/>
    </w:rPr>
  </w:style>
  <w:style w:type="character" w:customStyle="1" w:styleId="Heading3Char">
    <w:name w:val="Heading 3 Char"/>
    <w:link w:val="Heading3"/>
    <w:rsid w:val="00F5251C"/>
    <w:rPr>
      <w:rFonts w:ascii="Calibri" w:hAnsi="Calibri" w:cs="Tahoma"/>
      <w:b/>
      <w:smallCaps/>
      <w:sz w:val="24"/>
      <w:szCs w:val="24"/>
    </w:rPr>
  </w:style>
  <w:style w:type="character" w:customStyle="1" w:styleId="CommentTextChar">
    <w:name w:val="Comment Text Char"/>
    <w:basedOn w:val="DefaultParagraphFont"/>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semiHidden/>
    <w:rsid w:val="004D6547"/>
    <w:rPr>
      <w:rFonts w:ascii="Tahoma" w:hAnsi="Tahoma" w:cs="Tahoma"/>
      <w:szCs w:val="22"/>
    </w:rPr>
  </w:style>
  <w:style w:type="character" w:customStyle="1" w:styleId="BalloonTextChar">
    <w:name w:val="Balloon Text Char"/>
    <w:basedOn w:val="DefaultParagraphFont"/>
    <w:link w:val="BalloonText"/>
    <w:uiPriority w:val="99"/>
    <w:semiHidden/>
    <w:rsid w:val="0001307B"/>
    <w:rPr>
      <w:rFonts w:ascii="Tahoma" w:hAnsi="Tahoma" w:cs="Tahoma"/>
      <w:sz w:val="16"/>
      <w:szCs w:val="16"/>
    </w:rPr>
  </w:style>
  <w:style w:type="character" w:customStyle="1" w:styleId="CommentSubjectChar">
    <w:name w:val="Comment Subject Char"/>
    <w:basedOn w:val="CommentTextChar"/>
    <w:link w:val="CommentSubject"/>
    <w:uiPriority w:val="99"/>
    <w:semiHidden/>
    <w:rsid w:val="00962174"/>
    <w:rPr>
      <w:rFonts w:ascii="Tahoma" w:hAnsi="Tahoma" w:cs="Tahoma"/>
      <w:b/>
      <w:bCs/>
      <w:szCs w:val="22"/>
    </w:rPr>
  </w:style>
  <w:style w:type="character" w:styleId="Emphasis">
    <w:name w:val="Emphasis"/>
    <w:basedOn w:val="DefaultParagraphFont"/>
    <w:uiPriority w:val="20"/>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Humanist521BT-Roman" w:hAnsi="Humanist521BT-Roman"/>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Humanist521BT-Roman" w:hAnsi="Humanist521BT-Roman"/>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rsid w:val="00F5251C"/>
    <w:rPr>
      <w:rFonts w:ascii="Calibri" w:hAnsi="Calibri" w:cs="Tahoma"/>
      <w:b/>
      <w:sz w:val="22"/>
      <w:szCs w:val="24"/>
    </w:rPr>
  </w:style>
  <w:style w:type="paragraph" w:customStyle="1" w:styleId="ESSectionHeading-numbered0">
    <w:name w:val="ES. Section Heading - numbered"/>
    <w:basedOn w:val="Heading3"/>
    <w:link w:val="ESSectionHeading-numberedChar"/>
    <w:rsid w:val="00AE1CBE"/>
    <w:pPr>
      <w:numPr>
        <w:numId w:val="6"/>
      </w:numPr>
    </w:pPr>
  </w:style>
  <w:style w:type="paragraph" w:customStyle="1" w:styleId="MainBodySectionHeading-numbered">
    <w:name w:val="Main Body Section Heading - numbered"/>
    <w:basedOn w:val="Heading2"/>
    <w:link w:val="MainBodySectionHeading-numberedChar"/>
    <w:rsid w:val="00B313E2"/>
    <w:pPr>
      <w:numPr>
        <w:numId w:val="4"/>
      </w:numPr>
      <w:ind w:left="567" w:hanging="567"/>
    </w:pPr>
  </w:style>
  <w:style w:type="character" w:customStyle="1" w:styleId="ESSectionHeading-numberedChar">
    <w:name w:val="ES. Section Heading - numbered Char"/>
    <w:basedOn w:val="Heading3Char"/>
    <w:link w:val="ESSectionHeading-numbered0"/>
    <w:rsid w:val="00AE1CBE"/>
    <w:rPr>
      <w:rFonts w:ascii="Calibri" w:hAnsi="Calibri" w:cs="Tahoma"/>
      <w:b/>
      <w:smallCaps/>
      <w:sz w:val="24"/>
      <w:szCs w:val="24"/>
    </w:rPr>
  </w:style>
  <w:style w:type="character" w:customStyle="1" w:styleId="MainBodySectionHeading-numberedChar">
    <w:name w:val="Main Body Section Heading - numbered Char"/>
    <w:basedOn w:val="Heading2Char"/>
    <w:link w:val="MainBodySectionHeading-numbered"/>
    <w:rsid w:val="00B313E2"/>
    <w:rPr>
      <w:rFonts w:ascii="Calibri" w:hAnsi="Calibri" w:cs="Tahoma"/>
      <w:b/>
      <w:smallCaps/>
      <w:sz w:val="28"/>
      <w:szCs w:val="22"/>
    </w:rPr>
  </w:style>
  <w:style w:type="numbering" w:customStyle="1" w:styleId="ESSectionheading-numbered">
    <w:name w:val="ES. Section heading - numbered"/>
    <w:uiPriority w:val="99"/>
    <w:rsid w:val="00D957AB"/>
    <w:pPr>
      <w:numPr>
        <w:numId w:val="5"/>
      </w:numPr>
    </w:pPr>
  </w:style>
  <w:style w:type="paragraph" w:customStyle="1" w:styleId="ESNumberedSectionHeading">
    <w:name w:val="ES Numbered Section Heading"/>
    <w:basedOn w:val="ESSectionHeading-numbered0"/>
    <w:link w:val="ESNumberedSectionHeadingChar"/>
    <w:rsid w:val="00F5251C"/>
    <w:pPr>
      <w:numPr>
        <w:ilvl w:val="2"/>
        <w:numId w:val="7"/>
      </w:numPr>
      <w:ind w:left="1134" w:hanging="1134"/>
    </w:pPr>
  </w:style>
  <w:style w:type="character" w:customStyle="1" w:styleId="ESNumberedSectionHeadingChar">
    <w:name w:val="ES Numbered Section Heading Char"/>
    <w:basedOn w:val="ESSectionHeading-numberedChar"/>
    <w:link w:val="ESNumberedSectionHeading"/>
    <w:rsid w:val="00F5251C"/>
    <w:rPr>
      <w:rFonts w:ascii="Calibri" w:hAnsi="Calibri" w:cs="Tahoma"/>
      <w:b/>
      <w:smallCaps/>
      <w:sz w:val="24"/>
      <w:szCs w:val="24"/>
    </w:rPr>
  </w:style>
  <w:style w:type="paragraph" w:customStyle="1" w:styleId="Tablenotes0">
    <w:name w:val="Tablenotes"/>
    <w:basedOn w:val="Normal"/>
    <w:link w:val="TablenotesChar0"/>
    <w:rsid w:val="00DF343F"/>
    <w:pPr>
      <w:widowControl w:val="0"/>
      <w:spacing w:after="120" w:line="240" w:lineRule="auto"/>
    </w:pPr>
    <w:rPr>
      <w:rFonts w:ascii="Arial Narrow" w:hAnsi="Arial Narrow" w:cs="Arial"/>
      <w:snapToGrid w:val="0"/>
      <w:sz w:val="18"/>
      <w:szCs w:val="20"/>
      <w:lang w:eastAsia="en-US"/>
    </w:rPr>
  </w:style>
  <w:style w:type="character" w:customStyle="1" w:styleId="TablenotesChar0">
    <w:name w:val="Tablenotes Char"/>
    <w:basedOn w:val="DefaultParagraphFont"/>
    <w:link w:val="Tablenotes0"/>
    <w:rsid w:val="00DF343F"/>
    <w:rPr>
      <w:rFonts w:ascii="Arial Narrow" w:hAnsi="Arial Narrow" w:cs="Arial"/>
      <w:snapToGrid w:val="0"/>
      <w:sz w:val="18"/>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rsid w:val="00214F43"/>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rsid w:val="00214F43"/>
    <w:pPr>
      <w:spacing w:after="360"/>
    </w:pPr>
  </w:style>
  <w:style w:type="paragraph" w:customStyle="1" w:styleId="Comment">
    <w:name w:val="Comment"/>
    <w:basedOn w:val="Normal"/>
    <w:link w:val="CommentChar"/>
    <w:rsid w:val="00DE1599"/>
    <w:pPr>
      <w:tabs>
        <w:tab w:val="num" w:pos="720"/>
      </w:tabs>
    </w:pPr>
    <w:rPr>
      <w:i/>
    </w:rPr>
  </w:style>
  <w:style w:type="character" w:customStyle="1" w:styleId="CommentChar">
    <w:name w:val="Comment Char"/>
    <w:basedOn w:val="DefaultParagraphFont"/>
    <w:link w:val="Comment"/>
    <w:rsid w:val="00DE1599"/>
    <w:rPr>
      <w:rFonts w:ascii="Calibri" w:hAnsi="Calibri" w:cs="Tahoma"/>
      <w:i/>
      <w:sz w:val="22"/>
      <w:szCs w:val="22"/>
    </w:rPr>
  </w:style>
  <w:style w:type="paragraph" w:customStyle="1" w:styleId="hidden">
    <w:name w:val="hidden"/>
    <w:basedOn w:val="Normal"/>
    <w:rsid w:val="001E7F65"/>
  </w:style>
  <w:style w:type="paragraph" w:customStyle="1" w:styleId="Guidelines">
    <w:name w:val="Guidelines"/>
    <w:basedOn w:val="Normal"/>
    <w:link w:val="GuidelinesChar"/>
    <w:rsid w:val="00E463F4"/>
    <w:rPr>
      <w:vanish/>
      <w:color w:val="C00000"/>
    </w:rPr>
  </w:style>
  <w:style w:type="character" w:customStyle="1" w:styleId="GuidelinesChar">
    <w:name w:val="Guidelines Char"/>
    <w:basedOn w:val="DefaultParagraphFont"/>
    <w:link w:val="Guidelines"/>
    <w:rsid w:val="00E463F4"/>
    <w:rPr>
      <w:rFonts w:ascii="Calibri" w:hAnsi="Calibri" w:cs="Tahoma"/>
      <w:vanish/>
      <w:color w:val="C00000"/>
      <w:sz w:val="22"/>
      <w:szCs w:val="22"/>
    </w:rPr>
  </w:style>
  <w:style w:type="character" w:customStyle="1" w:styleId="Heading5Char">
    <w:name w:val="Heading 5 Char"/>
    <w:basedOn w:val="DefaultParagraphFont"/>
    <w:link w:val="Heading5"/>
    <w:rsid w:val="0085259E"/>
    <w:rPr>
      <w:rFonts w:ascii="Calibri" w:hAnsi="Calibri" w:cs="Tahoma"/>
      <w:b/>
      <w:i/>
      <w:sz w:val="22"/>
      <w:szCs w:val="22"/>
    </w:rPr>
  </w:style>
  <w:style w:type="table" w:customStyle="1" w:styleId="TableGrid3">
    <w:name w:val="Table Grid3"/>
    <w:basedOn w:val="TableNormal"/>
    <w:next w:val="TableGrid"/>
    <w:uiPriority w:val="59"/>
    <w:rsid w:val="00007D1F"/>
    <w:rPr>
      <w:rFonts w:eastAsiaTheme="minorHAnsi"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409CE"/>
    <w:pPr>
      <w:spacing w:before="40" w:after="40"/>
      <w:ind w:right="-57"/>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semiHidden/>
    <w:unhideWhenUsed/>
    <w:rsid w:val="00733ADD"/>
    <w:rPr>
      <w:vertAlign w:val="superscript"/>
    </w:rPr>
  </w:style>
  <w:style w:type="character" w:customStyle="1" w:styleId="ListParagraphChar">
    <w:name w:val="List Paragraph Char"/>
    <w:link w:val="ListParagraph"/>
    <w:uiPriority w:val="34"/>
    <w:rsid w:val="00982F90"/>
    <w:rPr>
      <w:rFonts w:ascii="Calibri" w:hAnsi="Calibri" w:cs="Tahoma"/>
      <w:sz w:val="22"/>
      <w:szCs w:val="22"/>
    </w:rPr>
  </w:style>
  <w:style w:type="character" w:customStyle="1" w:styleId="TablecontentsChar">
    <w:name w:val="Table contents Char"/>
    <w:link w:val="Tablecontents"/>
    <w:locked/>
    <w:rsid w:val="0003386F"/>
    <w:rPr>
      <w:rFonts w:ascii="Arial Narrow" w:hAnsi="Arial Narrow"/>
    </w:rPr>
  </w:style>
  <w:style w:type="paragraph" w:customStyle="1" w:styleId="Tablecontents">
    <w:name w:val="Table contents"/>
    <w:basedOn w:val="Normal"/>
    <w:link w:val="TablecontentsChar"/>
    <w:qFormat/>
    <w:rsid w:val="0003386F"/>
    <w:pPr>
      <w:spacing w:before="60" w:after="60" w:line="240" w:lineRule="auto"/>
      <w:contextualSpacing/>
    </w:pPr>
    <w:rPr>
      <w:rFonts w:ascii="Arial Narrow" w:hAnsi="Arial Narrow" w:cs="Times New Roman"/>
      <w:sz w:val="20"/>
      <w:szCs w:val="20"/>
    </w:rPr>
  </w:style>
  <w:style w:type="table" w:customStyle="1" w:styleId="TableGrid51">
    <w:name w:val="Table Grid51"/>
    <w:basedOn w:val="TableNormal"/>
    <w:next w:val="TableGrid"/>
    <w:uiPriority w:val="59"/>
    <w:rsid w:val="00A904EF"/>
    <w:pPr>
      <w:spacing w:before="40" w:after="40"/>
      <w:ind w:right="-57"/>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b-button-text">
    <w:name w:val="emb-button-text"/>
    <w:basedOn w:val="DefaultParagraphFont"/>
    <w:rsid w:val="00597AFD"/>
  </w:style>
  <w:style w:type="paragraph" w:customStyle="1" w:styleId="Tablenotes1">
    <w:name w:val="Table notes"/>
    <w:basedOn w:val="Normal"/>
    <w:link w:val="TablenotesChar1"/>
    <w:qFormat/>
    <w:rsid w:val="00597AFD"/>
    <w:pPr>
      <w:spacing w:line="259" w:lineRule="auto"/>
      <w:contextualSpacing/>
    </w:pPr>
    <w:rPr>
      <w:rFonts w:ascii="Arial Narrow" w:eastAsiaTheme="minorHAnsi" w:hAnsi="Arial Narrow" w:cs="Arial"/>
      <w:sz w:val="18"/>
      <w:lang w:eastAsia="en-US"/>
    </w:rPr>
  </w:style>
  <w:style w:type="character" w:customStyle="1" w:styleId="TablenotesChar1">
    <w:name w:val="Table notes Char"/>
    <w:basedOn w:val="DefaultParagraphFont"/>
    <w:link w:val="Tablenotes1"/>
    <w:rsid w:val="00597AFD"/>
    <w:rPr>
      <w:rFonts w:ascii="Arial Narrow" w:eastAsiaTheme="minorHAnsi" w:hAnsi="Arial Narrow" w:cs="Arial"/>
      <w:sz w:val="18"/>
      <w:szCs w:val="22"/>
      <w:lang w:eastAsia="en-US"/>
    </w:rPr>
  </w:style>
  <w:style w:type="table" w:customStyle="1" w:styleId="TableGrid4">
    <w:name w:val="Table Grid4"/>
    <w:basedOn w:val="TableNormal"/>
    <w:next w:val="TableGrid"/>
    <w:uiPriority w:val="59"/>
    <w:rsid w:val="00924808"/>
    <w:pPr>
      <w:spacing w:after="240"/>
      <w:ind w:left="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FC7DD0"/>
    <w:pPr>
      <w:spacing w:after="0"/>
      <w:jc w:val="center"/>
    </w:pPr>
    <w:rPr>
      <w:rFonts w:cs="Calibri"/>
      <w:noProof/>
      <w:sz w:val="20"/>
    </w:rPr>
  </w:style>
  <w:style w:type="character" w:customStyle="1" w:styleId="EndNoteBibliographyTitleChar">
    <w:name w:val="EndNote Bibliography Title Char"/>
    <w:basedOn w:val="DefaultParagraphFont"/>
    <w:link w:val="EndNoteBibliographyTitle"/>
    <w:rsid w:val="00FC7DD0"/>
    <w:rPr>
      <w:rFonts w:ascii="Calibri" w:hAnsi="Calibri" w:cs="Calibri"/>
      <w:noProof/>
      <w:szCs w:val="22"/>
    </w:rPr>
  </w:style>
  <w:style w:type="paragraph" w:customStyle="1" w:styleId="EndNoteBibliography">
    <w:name w:val="EndNote Bibliography"/>
    <w:basedOn w:val="Normal"/>
    <w:link w:val="EndNoteBibliographyChar"/>
    <w:rsid w:val="00FC7DD0"/>
    <w:pPr>
      <w:spacing w:line="240" w:lineRule="auto"/>
    </w:pPr>
    <w:rPr>
      <w:rFonts w:cs="Calibri"/>
      <w:noProof/>
      <w:sz w:val="20"/>
    </w:rPr>
  </w:style>
  <w:style w:type="character" w:customStyle="1" w:styleId="EndNoteBibliographyChar">
    <w:name w:val="EndNote Bibliography Char"/>
    <w:basedOn w:val="DefaultParagraphFont"/>
    <w:link w:val="EndNoteBibliography"/>
    <w:rsid w:val="00FC7DD0"/>
    <w:rPr>
      <w:rFonts w:ascii="Calibri" w:hAnsi="Calibri" w:cs="Calibri"/>
      <w:noProof/>
      <w:szCs w:val="22"/>
    </w:rPr>
  </w:style>
  <w:style w:type="paragraph" w:customStyle="1" w:styleId="TOC1a">
    <w:name w:val="TOC 1a"/>
    <w:basedOn w:val="TOC1"/>
    <w:link w:val="TOC1aChar"/>
    <w:rsid w:val="0016008C"/>
    <w:pPr>
      <w:tabs>
        <w:tab w:val="clear" w:pos="1276"/>
      </w:tabs>
    </w:pPr>
  </w:style>
  <w:style w:type="character" w:customStyle="1" w:styleId="TOC1Char">
    <w:name w:val="TOC 1 Char"/>
    <w:basedOn w:val="DefaultParagraphFont"/>
    <w:link w:val="TOC1"/>
    <w:uiPriority w:val="39"/>
    <w:rsid w:val="0016008C"/>
    <w:rPr>
      <w:rFonts w:ascii="Calibri" w:hAnsi="Calibri" w:cs="Tahoma"/>
      <w:b/>
      <w:noProof/>
      <w:sz w:val="22"/>
      <w:szCs w:val="22"/>
    </w:rPr>
  </w:style>
  <w:style w:type="character" w:customStyle="1" w:styleId="TOC1aChar">
    <w:name w:val="TOC 1a Char"/>
    <w:basedOn w:val="TOC1Char"/>
    <w:link w:val="TOC1a"/>
    <w:rsid w:val="0016008C"/>
    <w:rPr>
      <w:rFonts w:ascii="Calibri" w:hAnsi="Calibri" w:cs="Tahoma"/>
      <w:b/>
      <w:noProof/>
      <w:sz w:val="22"/>
      <w:szCs w:val="22"/>
    </w:rPr>
  </w:style>
  <w:style w:type="paragraph" w:customStyle="1" w:styleId="Caption1">
    <w:name w:val="Caption1"/>
    <w:basedOn w:val="Normal"/>
    <w:link w:val="captionChar"/>
    <w:rsid w:val="00911F85"/>
    <w:pPr>
      <w:widowControl w:val="0"/>
      <w:autoSpaceDE w:val="0"/>
      <w:autoSpaceDN w:val="0"/>
      <w:adjustRightInd w:val="0"/>
      <w:spacing w:line="240" w:lineRule="auto"/>
      <w:ind w:right="86"/>
    </w:pPr>
    <w:rPr>
      <w:rFonts w:ascii="Arial Narrow" w:eastAsia="Arial Narrow" w:hAnsi="Arial Narrow" w:cs="Arial"/>
      <w:b/>
      <w:bCs/>
      <w:sz w:val="20"/>
      <w:lang w:val="en-US" w:eastAsia="en-US"/>
    </w:rPr>
  </w:style>
  <w:style w:type="character" w:customStyle="1" w:styleId="captionChar">
    <w:name w:val="caption Char"/>
    <w:basedOn w:val="DefaultParagraphFont"/>
    <w:link w:val="Caption1"/>
    <w:rsid w:val="00911F85"/>
    <w:rPr>
      <w:rFonts w:ascii="Arial Narrow" w:eastAsia="Arial Narrow" w:hAnsi="Arial Narrow" w:cs="Arial"/>
      <w:b/>
      <w:bCs/>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11F85"/>
    <w:pPr>
      <w:spacing w:after="240" w:line="312" w:lineRule="auto"/>
      <w:jc w:val="both"/>
    </w:pPr>
    <w:rPr>
      <w:rFonts w:ascii="Calibri" w:hAnsi="Calibri" w:cs="Tahoma"/>
      <w:sz w:val="22"/>
      <w:szCs w:val="22"/>
    </w:rPr>
  </w:style>
  <w:style w:type="paragraph" w:styleId="Heading1">
    <w:name w:val="heading 1"/>
    <w:basedOn w:val="Normal"/>
    <w:next w:val="Normal"/>
    <w:link w:val="Heading1Char"/>
    <w:qFormat/>
    <w:rsid w:val="00A65D65"/>
    <w:pPr>
      <w:keepNext/>
      <w:pageBreakBefore/>
      <w:pBdr>
        <w:bottom w:val="single" w:sz="4" w:space="1" w:color="auto"/>
      </w:pBdr>
      <w:spacing w:after="360"/>
      <w:ind w:left="3402" w:hanging="3402"/>
      <w:outlineLvl w:val="0"/>
    </w:pPr>
    <w:rPr>
      <w:b/>
      <w:smallCaps/>
      <w:sz w:val="44"/>
    </w:rPr>
  </w:style>
  <w:style w:type="paragraph" w:styleId="Heading2">
    <w:name w:val="heading 2"/>
    <w:basedOn w:val="Normal"/>
    <w:next w:val="Normal"/>
    <w:link w:val="Heading2Char"/>
    <w:qFormat/>
    <w:rsid w:val="00F5251C"/>
    <w:pPr>
      <w:keepNext/>
      <w:spacing w:before="240"/>
      <w:outlineLvl w:val="1"/>
    </w:pPr>
    <w:rPr>
      <w:b/>
      <w:smallCaps/>
      <w:sz w:val="28"/>
    </w:rPr>
  </w:style>
  <w:style w:type="paragraph" w:styleId="Heading3">
    <w:name w:val="heading 3"/>
    <w:basedOn w:val="Normal"/>
    <w:next w:val="Normal"/>
    <w:link w:val="Heading3Char"/>
    <w:qFormat/>
    <w:rsid w:val="00F5251C"/>
    <w:pPr>
      <w:keepNext/>
      <w:spacing w:before="240" w:after="120"/>
      <w:outlineLvl w:val="2"/>
    </w:pPr>
    <w:rPr>
      <w:b/>
      <w:smallCaps/>
      <w:sz w:val="24"/>
      <w:szCs w:val="24"/>
    </w:rPr>
  </w:style>
  <w:style w:type="paragraph" w:styleId="Heading4">
    <w:name w:val="heading 4"/>
    <w:basedOn w:val="ESSectionHeading-numbered0"/>
    <w:next w:val="Normal"/>
    <w:link w:val="Heading4Char"/>
    <w:qFormat/>
    <w:rsid w:val="00F5251C"/>
    <w:pPr>
      <w:numPr>
        <w:numId w:val="0"/>
      </w:numPr>
      <w:outlineLvl w:val="3"/>
    </w:pPr>
    <w:rPr>
      <w:smallCaps w:val="0"/>
      <w:sz w:val="22"/>
    </w:rPr>
  </w:style>
  <w:style w:type="paragraph" w:styleId="Heading5">
    <w:name w:val="heading 5"/>
    <w:basedOn w:val="Normal"/>
    <w:next w:val="Normal"/>
    <w:link w:val="Heading5Char"/>
    <w:qFormat/>
    <w:rsid w:val="005C44A6"/>
    <w:pPr>
      <w:keepNext/>
      <w:spacing w:after="60"/>
      <w:outlineLvl w:val="4"/>
    </w:pPr>
    <w:rPr>
      <w:b/>
      <w:i/>
    </w:rPr>
  </w:style>
  <w:style w:type="paragraph" w:styleId="Heading6">
    <w:name w:val="heading 6"/>
    <w:basedOn w:val="Normal"/>
    <w:next w:val="Normal"/>
    <w:rsid w:val="00106D47"/>
    <w:pPr>
      <w:keepNext/>
      <w:outlineLvl w:val="5"/>
    </w:pPr>
    <w:rPr>
      <w:u w:val="single"/>
    </w:rPr>
  </w:style>
  <w:style w:type="paragraph" w:styleId="Heading7">
    <w:name w:val="heading 7"/>
    <w:basedOn w:val="Normal"/>
    <w:next w:val="Normal"/>
    <w:rsid w:val="00574BF8"/>
    <w:pPr>
      <w:keepNext/>
      <w:outlineLvl w:val="6"/>
    </w:pPr>
    <w:rPr>
      <w:i/>
    </w:rPr>
  </w:style>
  <w:style w:type="paragraph" w:styleId="Heading8">
    <w:name w:val="heading 8"/>
    <w:basedOn w:val="Normal"/>
    <w:next w:val="Normal"/>
    <w:rsid w:val="00574BF8"/>
    <w:pPr>
      <w:keepNext/>
      <w:outlineLvl w:val="7"/>
    </w:pPr>
    <w:rPr>
      <w:u w:val="single"/>
    </w:rPr>
  </w:style>
  <w:style w:type="paragraph" w:styleId="Heading9">
    <w:name w:val="heading 9"/>
    <w:basedOn w:val="Normal"/>
    <w:next w:val="Normal"/>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5251C"/>
    <w:rPr>
      <w:rFonts w:ascii="Calibri" w:hAnsi="Calibri" w:cs="Tahoma"/>
      <w:b/>
      <w:smallCaps/>
      <w:sz w:val="28"/>
      <w:szCs w:val="22"/>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uiPriority w:val="99"/>
    <w:semiHidden/>
    <w:rsid w:val="00574BF8"/>
    <w:rPr>
      <w:vertAlign w:val="superscript"/>
    </w:rPr>
  </w:style>
  <w:style w:type="paragraph" w:styleId="FootnoteText">
    <w:name w:val="footnote text"/>
    <w:basedOn w:val="Normal"/>
    <w:link w:val="FootnoteTextChar"/>
    <w:semiHidden/>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236231"/>
    <w:pPr>
      <w:keepLines/>
      <w:spacing w:after="120" w:line="240" w:lineRule="auto"/>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F31E7A"/>
    <w:pPr>
      <w:spacing w:line="240" w:lineRule="auto"/>
    </w:pPr>
    <w:rPr>
      <w:b/>
      <w:sz w:val="20"/>
      <w:szCs w:val="20"/>
    </w:rPr>
  </w:style>
  <w:style w:type="character" w:customStyle="1" w:styleId="TableHeadingChar">
    <w:name w:val="TableHeading Char"/>
    <w:link w:val="TableHeading"/>
    <w:rsid w:val="00F31E7A"/>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rsid w:val="00574BF8"/>
    <w:pPr>
      <w:jc w:val="center"/>
    </w:pPr>
    <w:rPr>
      <w:rFonts w:ascii="Arial" w:hAnsi="Arial"/>
      <w:b/>
      <w:smallCaps/>
      <w:sz w:val="44"/>
    </w:rPr>
  </w:style>
  <w:style w:type="paragraph" w:styleId="TOC1">
    <w:name w:val="toc 1"/>
    <w:basedOn w:val="Normal"/>
    <w:next w:val="Normal"/>
    <w:link w:val="TOC1Char"/>
    <w:uiPriority w:val="39"/>
    <w:qFormat/>
    <w:rsid w:val="0016008C"/>
    <w:pPr>
      <w:tabs>
        <w:tab w:val="left" w:leader="dot" w:pos="1276"/>
        <w:tab w:val="right" w:leader="dot" w:pos="9017"/>
      </w:tabs>
      <w:spacing w:before="120" w:after="60"/>
      <w:ind w:right="-46"/>
    </w:pPr>
    <w:rPr>
      <w:b/>
      <w:noProof/>
    </w:rPr>
  </w:style>
  <w:style w:type="paragraph" w:styleId="TOC2">
    <w:name w:val="toc 2"/>
    <w:basedOn w:val="Normal"/>
    <w:next w:val="Normal"/>
    <w:autoRedefine/>
    <w:uiPriority w:val="39"/>
    <w:qFormat/>
    <w:rsid w:val="00396624"/>
    <w:pPr>
      <w:tabs>
        <w:tab w:val="right" w:leader="dot" w:pos="9017"/>
      </w:tabs>
      <w:spacing w:after="60"/>
      <w:ind w:left="851" w:right="720"/>
    </w:pPr>
    <w:rPr>
      <w:noProof/>
    </w:rPr>
  </w:style>
  <w:style w:type="paragraph" w:styleId="TOC3">
    <w:name w:val="toc 3"/>
    <w:basedOn w:val="Normal"/>
    <w:next w:val="Normal"/>
    <w:autoRedefine/>
    <w:uiPriority w:val="39"/>
    <w:qFormat/>
    <w:rsid w:val="00CD64D9"/>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2664D2"/>
    <w:pPr>
      <w:ind w:left="1760"/>
    </w:pPr>
    <w:rPr>
      <w:sz w:val="144"/>
      <w:szCs w:val="144"/>
    </w:rPr>
  </w:style>
  <w:style w:type="paragraph" w:customStyle="1" w:styleId="Dash">
    <w:name w:val="Dash"/>
    <w:basedOn w:val="Normal"/>
    <w:rsid w:val="00574BF8"/>
    <w:pPr>
      <w:numPr>
        <w:numId w:val="2"/>
      </w:numPr>
    </w:pPr>
  </w:style>
  <w:style w:type="paragraph" w:styleId="Quote">
    <w:name w:val="Quote"/>
    <w:basedOn w:val="Normal"/>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qFormat/>
    <w:rsid w:val="00012EA4"/>
    <w:pPr>
      <w:spacing w:after="120" w:line="240" w:lineRule="auto"/>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basedOn w:val="TableNormal"/>
    <w:uiPriority w:val="39"/>
    <w:rsid w:val="00597AFD"/>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0">
    <w:name w:val="Table Text"/>
    <w:basedOn w:val="Normal"/>
    <w:link w:val="TableTextChar0"/>
    <w:rsid w:val="00DF343F"/>
    <w:pPr>
      <w:keepNext/>
      <w:spacing w:before="40" w:after="40" w:line="240" w:lineRule="auto"/>
    </w:pPr>
    <w:rPr>
      <w:rFonts w:ascii="Arial Narrow" w:hAnsi="Arial Narrow"/>
      <w:sz w:val="20"/>
      <w:lang w:eastAsia="en-US"/>
    </w:rPr>
  </w:style>
  <w:style w:type="character" w:customStyle="1" w:styleId="TableTextChar0">
    <w:name w:val="Table Text Char"/>
    <w:link w:val="TableText0"/>
    <w:rsid w:val="00DF343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link w:val="ListParagraphChar"/>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A65D65"/>
    <w:rPr>
      <w:rFonts w:ascii="Calibri" w:hAnsi="Calibri" w:cs="Tahoma"/>
      <w:b/>
      <w:smallCaps/>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AF6B60"/>
    <w:pPr>
      <w:spacing w:before="40" w:after="40" w:line="240" w:lineRule="auto"/>
    </w:pPr>
    <w:rPr>
      <w:rFonts w:ascii="Arial Narrow" w:hAnsi="Arial Narrow"/>
      <w:sz w:val="20"/>
      <w:szCs w:val="20"/>
    </w:rPr>
  </w:style>
  <w:style w:type="character" w:customStyle="1" w:styleId="TabletextChar1">
    <w:name w:val="Table text Char"/>
    <w:link w:val="Tabletext1"/>
    <w:rsid w:val="00AF6B60"/>
    <w:rPr>
      <w:rFonts w:ascii="Arial Narrow" w:hAnsi="Arial Narrow" w:cs="Tahoma"/>
    </w:rPr>
  </w:style>
  <w:style w:type="character" w:customStyle="1" w:styleId="Heading3Char">
    <w:name w:val="Heading 3 Char"/>
    <w:link w:val="Heading3"/>
    <w:rsid w:val="00F5251C"/>
    <w:rPr>
      <w:rFonts w:ascii="Calibri" w:hAnsi="Calibri" w:cs="Tahoma"/>
      <w:b/>
      <w:smallCaps/>
      <w:sz w:val="24"/>
      <w:szCs w:val="24"/>
    </w:rPr>
  </w:style>
  <w:style w:type="character" w:customStyle="1" w:styleId="CommentTextChar">
    <w:name w:val="Comment Text Char"/>
    <w:basedOn w:val="DefaultParagraphFont"/>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semiHidden/>
    <w:rsid w:val="004D6547"/>
    <w:rPr>
      <w:rFonts w:ascii="Tahoma" w:hAnsi="Tahoma" w:cs="Tahoma"/>
      <w:szCs w:val="22"/>
    </w:rPr>
  </w:style>
  <w:style w:type="character" w:customStyle="1" w:styleId="BalloonTextChar">
    <w:name w:val="Balloon Text Char"/>
    <w:basedOn w:val="DefaultParagraphFont"/>
    <w:link w:val="BalloonText"/>
    <w:uiPriority w:val="99"/>
    <w:semiHidden/>
    <w:rsid w:val="0001307B"/>
    <w:rPr>
      <w:rFonts w:ascii="Tahoma" w:hAnsi="Tahoma" w:cs="Tahoma"/>
      <w:sz w:val="16"/>
      <w:szCs w:val="16"/>
    </w:rPr>
  </w:style>
  <w:style w:type="character" w:customStyle="1" w:styleId="CommentSubjectChar">
    <w:name w:val="Comment Subject Char"/>
    <w:basedOn w:val="CommentTextChar"/>
    <w:link w:val="CommentSubject"/>
    <w:uiPriority w:val="99"/>
    <w:semiHidden/>
    <w:rsid w:val="00962174"/>
    <w:rPr>
      <w:rFonts w:ascii="Tahoma" w:hAnsi="Tahoma" w:cs="Tahoma"/>
      <w:b/>
      <w:bCs/>
      <w:szCs w:val="22"/>
    </w:rPr>
  </w:style>
  <w:style w:type="character" w:styleId="Emphasis">
    <w:name w:val="Emphasis"/>
    <w:basedOn w:val="DefaultParagraphFont"/>
    <w:uiPriority w:val="20"/>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Humanist521BT-Roman" w:hAnsi="Humanist521BT-Roman"/>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Humanist521BT-Roman" w:hAnsi="Humanist521BT-Roman"/>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rsid w:val="00F5251C"/>
    <w:rPr>
      <w:rFonts w:ascii="Calibri" w:hAnsi="Calibri" w:cs="Tahoma"/>
      <w:b/>
      <w:sz w:val="22"/>
      <w:szCs w:val="24"/>
    </w:rPr>
  </w:style>
  <w:style w:type="paragraph" w:customStyle="1" w:styleId="ESSectionHeading-numbered0">
    <w:name w:val="ES. Section Heading - numbered"/>
    <w:basedOn w:val="Heading3"/>
    <w:link w:val="ESSectionHeading-numberedChar"/>
    <w:rsid w:val="00AE1CBE"/>
    <w:pPr>
      <w:numPr>
        <w:numId w:val="6"/>
      </w:numPr>
    </w:pPr>
  </w:style>
  <w:style w:type="paragraph" w:customStyle="1" w:styleId="MainBodySectionHeading-numbered">
    <w:name w:val="Main Body Section Heading - numbered"/>
    <w:basedOn w:val="Heading2"/>
    <w:link w:val="MainBodySectionHeading-numberedChar"/>
    <w:rsid w:val="00B313E2"/>
    <w:pPr>
      <w:numPr>
        <w:numId w:val="4"/>
      </w:numPr>
      <w:ind w:left="567" w:hanging="567"/>
    </w:pPr>
  </w:style>
  <w:style w:type="character" w:customStyle="1" w:styleId="ESSectionHeading-numberedChar">
    <w:name w:val="ES. Section Heading - numbered Char"/>
    <w:basedOn w:val="Heading3Char"/>
    <w:link w:val="ESSectionHeading-numbered0"/>
    <w:rsid w:val="00AE1CBE"/>
    <w:rPr>
      <w:rFonts w:ascii="Calibri" w:hAnsi="Calibri" w:cs="Tahoma"/>
      <w:b/>
      <w:smallCaps/>
      <w:sz w:val="24"/>
      <w:szCs w:val="24"/>
    </w:rPr>
  </w:style>
  <w:style w:type="character" w:customStyle="1" w:styleId="MainBodySectionHeading-numberedChar">
    <w:name w:val="Main Body Section Heading - numbered Char"/>
    <w:basedOn w:val="Heading2Char"/>
    <w:link w:val="MainBodySectionHeading-numbered"/>
    <w:rsid w:val="00B313E2"/>
    <w:rPr>
      <w:rFonts w:ascii="Calibri" w:hAnsi="Calibri" w:cs="Tahoma"/>
      <w:b/>
      <w:smallCaps/>
      <w:sz w:val="28"/>
      <w:szCs w:val="22"/>
    </w:rPr>
  </w:style>
  <w:style w:type="numbering" w:customStyle="1" w:styleId="ESSectionheading-numbered">
    <w:name w:val="ES. Section heading - numbered"/>
    <w:uiPriority w:val="99"/>
    <w:rsid w:val="00D957AB"/>
    <w:pPr>
      <w:numPr>
        <w:numId w:val="5"/>
      </w:numPr>
    </w:pPr>
  </w:style>
  <w:style w:type="paragraph" w:customStyle="1" w:styleId="ESNumberedSectionHeading">
    <w:name w:val="ES Numbered Section Heading"/>
    <w:basedOn w:val="ESSectionHeading-numbered0"/>
    <w:link w:val="ESNumberedSectionHeadingChar"/>
    <w:rsid w:val="00F5251C"/>
    <w:pPr>
      <w:numPr>
        <w:ilvl w:val="2"/>
        <w:numId w:val="7"/>
      </w:numPr>
      <w:ind w:left="1134" w:hanging="1134"/>
    </w:pPr>
  </w:style>
  <w:style w:type="character" w:customStyle="1" w:styleId="ESNumberedSectionHeadingChar">
    <w:name w:val="ES Numbered Section Heading Char"/>
    <w:basedOn w:val="ESSectionHeading-numberedChar"/>
    <w:link w:val="ESNumberedSectionHeading"/>
    <w:rsid w:val="00F5251C"/>
    <w:rPr>
      <w:rFonts w:ascii="Calibri" w:hAnsi="Calibri" w:cs="Tahoma"/>
      <w:b/>
      <w:smallCaps/>
      <w:sz w:val="24"/>
      <w:szCs w:val="24"/>
    </w:rPr>
  </w:style>
  <w:style w:type="paragraph" w:customStyle="1" w:styleId="Tablenotes0">
    <w:name w:val="Tablenotes"/>
    <w:basedOn w:val="Normal"/>
    <w:link w:val="TablenotesChar0"/>
    <w:rsid w:val="00DF343F"/>
    <w:pPr>
      <w:widowControl w:val="0"/>
      <w:spacing w:after="120" w:line="240" w:lineRule="auto"/>
    </w:pPr>
    <w:rPr>
      <w:rFonts w:ascii="Arial Narrow" w:hAnsi="Arial Narrow" w:cs="Arial"/>
      <w:snapToGrid w:val="0"/>
      <w:sz w:val="18"/>
      <w:szCs w:val="20"/>
      <w:lang w:eastAsia="en-US"/>
    </w:rPr>
  </w:style>
  <w:style w:type="character" w:customStyle="1" w:styleId="TablenotesChar0">
    <w:name w:val="Tablenotes Char"/>
    <w:basedOn w:val="DefaultParagraphFont"/>
    <w:link w:val="Tablenotes0"/>
    <w:rsid w:val="00DF343F"/>
    <w:rPr>
      <w:rFonts w:ascii="Arial Narrow" w:hAnsi="Arial Narrow" w:cs="Arial"/>
      <w:snapToGrid w:val="0"/>
      <w:sz w:val="18"/>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rsid w:val="00214F43"/>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rsid w:val="00214F43"/>
    <w:pPr>
      <w:spacing w:after="360"/>
    </w:pPr>
  </w:style>
  <w:style w:type="paragraph" w:customStyle="1" w:styleId="Comment">
    <w:name w:val="Comment"/>
    <w:basedOn w:val="Normal"/>
    <w:link w:val="CommentChar"/>
    <w:rsid w:val="00DE1599"/>
    <w:pPr>
      <w:tabs>
        <w:tab w:val="num" w:pos="720"/>
      </w:tabs>
    </w:pPr>
    <w:rPr>
      <w:i/>
    </w:rPr>
  </w:style>
  <w:style w:type="character" w:customStyle="1" w:styleId="CommentChar">
    <w:name w:val="Comment Char"/>
    <w:basedOn w:val="DefaultParagraphFont"/>
    <w:link w:val="Comment"/>
    <w:rsid w:val="00DE1599"/>
    <w:rPr>
      <w:rFonts w:ascii="Calibri" w:hAnsi="Calibri" w:cs="Tahoma"/>
      <w:i/>
      <w:sz w:val="22"/>
      <w:szCs w:val="22"/>
    </w:rPr>
  </w:style>
  <w:style w:type="paragraph" w:customStyle="1" w:styleId="hidden">
    <w:name w:val="hidden"/>
    <w:basedOn w:val="Normal"/>
    <w:rsid w:val="001E7F65"/>
  </w:style>
  <w:style w:type="paragraph" w:customStyle="1" w:styleId="Guidelines">
    <w:name w:val="Guidelines"/>
    <w:basedOn w:val="Normal"/>
    <w:link w:val="GuidelinesChar"/>
    <w:rsid w:val="00E463F4"/>
    <w:rPr>
      <w:vanish/>
      <w:color w:val="C00000"/>
    </w:rPr>
  </w:style>
  <w:style w:type="character" w:customStyle="1" w:styleId="GuidelinesChar">
    <w:name w:val="Guidelines Char"/>
    <w:basedOn w:val="DefaultParagraphFont"/>
    <w:link w:val="Guidelines"/>
    <w:rsid w:val="00E463F4"/>
    <w:rPr>
      <w:rFonts w:ascii="Calibri" w:hAnsi="Calibri" w:cs="Tahoma"/>
      <w:vanish/>
      <w:color w:val="C00000"/>
      <w:sz w:val="22"/>
      <w:szCs w:val="22"/>
    </w:rPr>
  </w:style>
  <w:style w:type="character" w:customStyle="1" w:styleId="Heading5Char">
    <w:name w:val="Heading 5 Char"/>
    <w:basedOn w:val="DefaultParagraphFont"/>
    <w:link w:val="Heading5"/>
    <w:rsid w:val="0085259E"/>
    <w:rPr>
      <w:rFonts w:ascii="Calibri" w:hAnsi="Calibri" w:cs="Tahoma"/>
      <w:b/>
      <w:i/>
      <w:sz w:val="22"/>
      <w:szCs w:val="22"/>
    </w:rPr>
  </w:style>
  <w:style w:type="table" w:customStyle="1" w:styleId="TableGrid3">
    <w:name w:val="Table Grid3"/>
    <w:basedOn w:val="TableNormal"/>
    <w:next w:val="TableGrid"/>
    <w:uiPriority w:val="59"/>
    <w:rsid w:val="00007D1F"/>
    <w:rPr>
      <w:rFonts w:eastAsiaTheme="minorHAnsi"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409CE"/>
    <w:pPr>
      <w:spacing w:before="40" w:after="40"/>
      <w:ind w:right="-57"/>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semiHidden/>
    <w:unhideWhenUsed/>
    <w:rsid w:val="00733ADD"/>
    <w:rPr>
      <w:vertAlign w:val="superscript"/>
    </w:rPr>
  </w:style>
  <w:style w:type="character" w:customStyle="1" w:styleId="ListParagraphChar">
    <w:name w:val="List Paragraph Char"/>
    <w:link w:val="ListParagraph"/>
    <w:uiPriority w:val="34"/>
    <w:rsid w:val="00982F90"/>
    <w:rPr>
      <w:rFonts w:ascii="Calibri" w:hAnsi="Calibri" w:cs="Tahoma"/>
      <w:sz w:val="22"/>
      <w:szCs w:val="22"/>
    </w:rPr>
  </w:style>
  <w:style w:type="character" w:customStyle="1" w:styleId="TablecontentsChar">
    <w:name w:val="Table contents Char"/>
    <w:link w:val="Tablecontents"/>
    <w:locked/>
    <w:rsid w:val="0003386F"/>
    <w:rPr>
      <w:rFonts w:ascii="Arial Narrow" w:hAnsi="Arial Narrow"/>
    </w:rPr>
  </w:style>
  <w:style w:type="paragraph" w:customStyle="1" w:styleId="Tablecontents">
    <w:name w:val="Table contents"/>
    <w:basedOn w:val="Normal"/>
    <w:link w:val="TablecontentsChar"/>
    <w:qFormat/>
    <w:rsid w:val="0003386F"/>
    <w:pPr>
      <w:spacing w:before="60" w:after="60" w:line="240" w:lineRule="auto"/>
      <w:contextualSpacing/>
    </w:pPr>
    <w:rPr>
      <w:rFonts w:ascii="Arial Narrow" w:hAnsi="Arial Narrow" w:cs="Times New Roman"/>
      <w:sz w:val="20"/>
      <w:szCs w:val="20"/>
    </w:rPr>
  </w:style>
  <w:style w:type="table" w:customStyle="1" w:styleId="TableGrid51">
    <w:name w:val="Table Grid51"/>
    <w:basedOn w:val="TableNormal"/>
    <w:next w:val="TableGrid"/>
    <w:uiPriority w:val="59"/>
    <w:rsid w:val="00A904EF"/>
    <w:pPr>
      <w:spacing w:before="40" w:after="40"/>
      <w:ind w:right="-57"/>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b-button-text">
    <w:name w:val="emb-button-text"/>
    <w:basedOn w:val="DefaultParagraphFont"/>
    <w:rsid w:val="00597AFD"/>
  </w:style>
  <w:style w:type="paragraph" w:customStyle="1" w:styleId="Tablenotes1">
    <w:name w:val="Table notes"/>
    <w:basedOn w:val="Normal"/>
    <w:link w:val="TablenotesChar1"/>
    <w:qFormat/>
    <w:rsid w:val="00597AFD"/>
    <w:pPr>
      <w:spacing w:line="259" w:lineRule="auto"/>
      <w:contextualSpacing/>
    </w:pPr>
    <w:rPr>
      <w:rFonts w:ascii="Arial Narrow" w:eastAsiaTheme="minorHAnsi" w:hAnsi="Arial Narrow" w:cs="Arial"/>
      <w:sz w:val="18"/>
      <w:lang w:eastAsia="en-US"/>
    </w:rPr>
  </w:style>
  <w:style w:type="character" w:customStyle="1" w:styleId="TablenotesChar1">
    <w:name w:val="Table notes Char"/>
    <w:basedOn w:val="DefaultParagraphFont"/>
    <w:link w:val="Tablenotes1"/>
    <w:rsid w:val="00597AFD"/>
    <w:rPr>
      <w:rFonts w:ascii="Arial Narrow" w:eastAsiaTheme="minorHAnsi" w:hAnsi="Arial Narrow" w:cs="Arial"/>
      <w:sz w:val="18"/>
      <w:szCs w:val="22"/>
      <w:lang w:eastAsia="en-US"/>
    </w:rPr>
  </w:style>
  <w:style w:type="table" w:customStyle="1" w:styleId="TableGrid4">
    <w:name w:val="Table Grid4"/>
    <w:basedOn w:val="TableNormal"/>
    <w:next w:val="TableGrid"/>
    <w:uiPriority w:val="59"/>
    <w:rsid w:val="00924808"/>
    <w:pPr>
      <w:spacing w:after="240"/>
      <w:ind w:left="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FC7DD0"/>
    <w:pPr>
      <w:spacing w:after="0"/>
      <w:jc w:val="center"/>
    </w:pPr>
    <w:rPr>
      <w:rFonts w:cs="Calibri"/>
      <w:noProof/>
      <w:sz w:val="20"/>
    </w:rPr>
  </w:style>
  <w:style w:type="character" w:customStyle="1" w:styleId="EndNoteBibliographyTitleChar">
    <w:name w:val="EndNote Bibliography Title Char"/>
    <w:basedOn w:val="DefaultParagraphFont"/>
    <w:link w:val="EndNoteBibliographyTitle"/>
    <w:rsid w:val="00FC7DD0"/>
    <w:rPr>
      <w:rFonts w:ascii="Calibri" w:hAnsi="Calibri" w:cs="Calibri"/>
      <w:noProof/>
      <w:szCs w:val="22"/>
    </w:rPr>
  </w:style>
  <w:style w:type="paragraph" w:customStyle="1" w:styleId="EndNoteBibliography">
    <w:name w:val="EndNote Bibliography"/>
    <w:basedOn w:val="Normal"/>
    <w:link w:val="EndNoteBibliographyChar"/>
    <w:rsid w:val="00FC7DD0"/>
    <w:pPr>
      <w:spacing w:line="240" w:lineRule="auto"/>
    </w:pPr>
    <w:rPr>
      <w:rFonts w:cs="Calibri"/>
      <w:noProof/>
      <w:sz w:val="20"/>
    </w:rPr>
  </w:style>
  <w:style w:type="character" w:customStyle="1" w:styleId="EndNoteBibliographyChar">
    <w:name w:val="EndNote Bibliography Char"/>
    <w:basedOn w:val="DefaultParagraphFont"/>
    <w:link w:val="EndNoteBibliography"/>
    <w:rsid w:val="00FC7DD0"/>
    <w:rPr>
      <w:rFonts w:ascii="Calibri" w:hAnsi="Calibri" w:cs="Calibri"/>
      <w:noProof/>
      <w:szCs w:val="22"/>
    </w:rPr>
  </w:style>
  <w:style w:type="paragraph" w:customStyle="1" w:styleId="TOC1a">
    <w:name w:val="TOC 1a"/>
    <w:basedOn w:val="TOC1"/>
    <w:link w:val="TOC1aChar"/>
    <w:rsid w:val="0016008C"/>
    <w:pPr>
      <w:tabs>
        <w:tab w:val="clear" w:pos="1276"/>
      </w:tabs>
    </w:pPr>
  </w:style>
  <w:style w:type="character" w:customStyle="1" w:styleId="TOC1Char">
    <w:name w:val="TOC 1 Char"/>
    <w:basedOn w:val="DefaultParagraphFont"/>
    <w:link w:val="TOC1"/>
    <w:uiPriority w:val="39"/>
    <w:rsid w:val="0016008C"/>
    <w:rPr>
      <w:rFonts w:ascii="Calibri" w:hAnsi="Calibri" w:cs="Tahoma"/>
      <w:b/>
      <w:noProof/>
      <w:sz w:val="22"/>
      <w:szCs w:val="22"/>
    </w:rPr>
  </w:style>
  <w:style w:type="character" w:customStyle="1" w:styleId="TOC1aChar">
    <w:name w:val="TOC 1a Char"/>
    <w:basedOn w:val="TOC1Char"/>
    <w:link w:val="TOC1a"/>
    <w:rsid w:val="0016008C"/>
    <w:rPr>
      <w:rFonts w:ascii="Calibri" w:hAnsi="Calibri" w:cs="Tahoma"/>
      <w:b/>
      <w:noProof/>
      <w:sz w:val="22"/>
      <w:szCs w:val="22"/>
    </w:rPr>
  </w:style>
  <w:style w:type="paragraph" w:customStyle="1" w:styleId="Caption1">
    <w:name w:val="Caption1"/>
    <w:basedOn w:val="Normal"/>
    <w:link w:val="captionChar"/>
    <w:rsid w:val="00911F85"/>
    <w:pPr>
      <w:widowControl w:val="0"/>
      <w:autoSpaceDE w:val="0"/>
      <w:autoSpaceDN w:val="0"/>
      <w:adjustRightInd w:val="0"/>
      <w:spacing w:line="240" w:lineRule="auto"/>
      <w:ind w:right="86"/>
    </w:pPr>
    <w:rPr>
      <w:rFonts w:ascii="Arial Narrow" w:eastAsia="Arial Narrow" w:hAnsi="Arial Narrow" w:cs="Arial"/>
      <w:b/>
      <w:bCs/>
      <w:sz w:val="20"/>
      <w:lang w:val="en-US" w:eastAsia="en-US"/>
    </w:rPr>
  </w:style>
  <w:style w:type="character" w:customStyle="1" w:styleId="captionChar">
    <w:name w:val="caption Char"/>
    <w:basedOn w:val="DefaultParagraphFont"/>
    <w:link w:val="Caption1"/>
    <w:rsid w:val="00911F85"/>
    <w:rPr>
      <w:rFonts w:ascii="Arial Narrow" w:eastAsia="Arial Narrow" w:hAnsi="Arial Narrow" w:cs="Arial"/>
      <w:b/>
      <w:bCs/>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90400322">
      <w:bodyDiv w:val="1"/>
      <w:marLeft w:val="0"/>
      <w:marRight w:val="0"/>
      <w:marTop w:val="0"/>
      <w:marBottom w:val="0"/>
      <w:divBdr>
        <w:top w:val="none" w:sz="0" w:space="0" w:color="auto"/>
        <w:left w:val="none" w:sz="0" w:space="0" w:color="auto"/>
        <w:bottom w:val="none" w:sz="0" w:space="0" w:color="auto"/>
        <w:right w:val="none" w:sz="0" w:space="0" w:color="auto"/>
      </w:divBdr>
    </w:div>
    <w:div w:id="130171181">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63850539">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404576328">
      <w:bodyDiv w:val="1"/>
      <w:marLeft w:val="0"/>
      <w:marRight w:val="0"/>
      <w:marTop w:val="0"/>
      <w:marBottom w:val="0"/>
      <w:divBdr>
        <w:top w:val="none" w:sz="0" w:space="0" w:color="auto"/>
        <w:left w:val="none" w:sz="0" w:space="0" w:color="auto"/>
        <w:bottom w:val="none" w:sz="0" w:space="0" w:color="auto"/>
        <w:right w:val="none" w:sz="0" w:space="0" w:color="auto"/>
      </w:divBdr>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5813258">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55804499">
      <w:bodyDiv w:val="1"/>
      <w:marLeft w:val="0"/>
      <w:marRight w:val="0"/>
      <w:marTop w:val="0"/>
      <w:marBottom w:val="0"/>
      <w:divBdr>
        <w:top w:val="none" w:sz="0" w:space="0" w:color="auto"/>
        <w:left w:val="none" w:sz="0" w:space="0" w:color="auto"/>
        <w:bottom w:val="none" w:sz="0" w:space="0" w:color="auto"/>
        <w:right w:val="none" w:sz="0" w:space="0" w:color="auto"/>
      </w:divBdr>
      <w:divsChild>
        <w:div w:id="683093469">
          <w:marLeft w:val="0"/>
          <w:marRight w:val="0"/>
          <w:marTop w:val="0"/>
          <w:marBottom w:val="0"/>
          <w:divBdr>
            <w:top w:val="none" w:sz="0" w:space="0" w:color="auto"/>
            <w:left w:val="none" w:sz="0" w:space="0" w:color="auto"/>
            <w:bottom w:val="none" w:sz="0" w:space="0" w:color="auto"/>
            <w:right w:val="none" w:sz="0" w:space="0" w:color="auto"/>
          </w:divBdr>
          <w:divsChild>
            <w:div w:id="1492791787">
              <w:marLeft w:val="0"/>
              <w:marRight w:val="0"/>
              <w:marTop w:val="0"/>
              <w:marBottom w:val="0"/>
              <w:divBdr>
                <w:top w:val="none" w:sz="0" w:space="0" w:color="auto"/>
                <w:left w:val="none" w:sz="0" w:space="0" w:color="auto"/>
                <w:bottom w:val="none" w:sz="0" w:space="0" w:color="auto"/>
                <w:right w:val="none" w:sz="0" w:space="0" w:color="auto"/>
              </w:divBdr>
              <w:divsChild>
                <w:div w:id="2005889574">
                  <w:marLeft w:val="0"/>
                  <w:marRight w:val="0"/>
                  <w:marTop w:val="0"/>
                  <w:marBottom w:val="0"/>
                  <w:divBdr>
                    <w:top w:val="none" w:sz="0" w:space="0" w:color="auto"/>
                    <w:left w:val="none" w:sz="0" w:space="0" w:color="auto"/>
                    <w:bottom w:val="none" w:sz="0" w:space="0" w:color="auto"/>
                    <w:right w:val="none" w:sz="0" w:space="0" w:color="auto"/>
                  </w:divBdr>
                  <w:divsChild>
                    <w:div w:id="11160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592319168">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624192910">
      <w:bodyDiv w:val="1"/>
      <w:marLeft w:val="0"/>
      <w:marRight w:val="0"/>
      <w:marTop w:val="0"/>
      <w:marBottom w:val="0"/>
      <w:divBdr>
        <w:top w:val="none" w:sz="0" w:space="0" w:color="auto"/>
        <w:left w:val="none" w:sz="0" w:space="0" w:color="auto"/>
        <w:bottom w:val="none" w:sz="0" w:space="0" w:color="auto"/>
        <w:right w:val="none" w:sz="0" w:space="0" w:color="auto"/>
      </w:divBdr>
    </w:div>
    <w:div w:id="642124262">
      <w:bodyDiv w:val="1"/>
      <w:marLeft w:val="0"/>
      <w:marRight w:val="0"/>
      <w:marTop w:val="0"/>
      <w:marBottom w:val="0"/>
      <w:divBdr>
        <w:top w:val="none" w:sz="0" w:space="0" w:color="auto"/>
        <w:left w:val="none" w:sz="0" w:space="0" w:color="auto"/>
        <w:bottom w:val="none" w:sz="0" w:space="0" w:color="auto"/>
        <w:right w:val="none" w:sz="0" w:space="0" w:color="auto"/>
      </w:divBdr>
    </w:div>
    <w:div w:id="659693507">
      <w:bodyDiv w:val="1"/>
      <w:marLeft w:val="0"/>
      <w:marRight w:val="0"/>
      <w:marTop w:val="0"/>
      <w:marBottom w:val="0"/>
      <w:divBdr>
        <w:top w:val="none" w:sz="0" w:space="0" w:color="auto"/>
        <w:left w:val="none" w:sz="0" w:space="0" w:color="auto"/>
        <w:bottom w:val="none" w:sz="0" w:space="0" w:color="auto"/>
        <w:right w:val="none" w:sz="0" w:space="0" w:color="auto"/>
      </w:divBdr>
    </w:div>
    <w:div w:id="707876685">
      <w:bodyDiv w:val="1"/>
      <w:marLeft w:val="0"/>
      <w:marRight w:val="0"/>
      <w:marTop w:val="0"/>
      <w:marBottom w:val="0"/>
      <w:divBdr>
        <w:top w:val="none" w:sz="0" w:space="0" w:color="auto"/>
        <w:left w:val="none" w:sz="0" w:space="0" w:color="auto"/>
        <w:bottom w:val="none" w:sz="0" w:space="0" w:color="auto"/>
        <w:right w:val="none" w:sz="0" w:space="0" w:color="auto"/>
      </w:divBdr>
    </w:div>
    <w:div w:id="713315926">
      <w:bodyDiv w:val="1"/>
      <w:marLeft w:val="0"/>
      <w:marRight w:val="0"/>
      <w:marTop w:val="0"/>
      <w:marBottom w:val="0"/>
      <w:divBdr>
        <w:top w:val="none" w:sz="0" w:space="0" w:color="auto"/>
        <w:left w:val="none" w:sz="0" w:space="0" w:color="auto"/>
        <w:bottom w:val="none" w:sz="0" w:space="0" w:color="auto"/>
        <w:right w:val="none" w:sz="0" w:space="0" w:color="auto"/>
      </w:divBdr>
    </w:div>
    <w:div w:id="762268142">
      <w:bodyDiv w:val="1"/>
      <w:marLeft w:val="0"/>
      <w:marRight w:val="0"/>
      <w:marTop w:val="0"/>
      <w:marBottom w:val="0"/>
      <w:divBdr>
        <w:top w:val="none" w:sz="0" w:space="0" w:color="auto"/>
        <w:left w:val="none" w:sz="0" w:space="0" w:color="auto"/>
        <w:bottom w:val="none" w:sz="0" w:space="0" w:color="auto"/>
        <w:right w:val="none" w:sz="0" w:space="0" w:color="auto"/>
      </w:divBdr>
    </w:div>
    <w:div w:id="845095462">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08274842">
      <w:bodyDiv w:val="1"/>
      <w:marLeft w:val="0"/>
      <w:marRight w:val="0"/>
      <w:marTop w:val="0"/>
      <w:marBottom w:val="0"/>
      <w:divBdr>
        <w:top w:val="none" w:sz="0" w:space="0" w:color="auto"/>
        <w:left w:val="none" w:sz="0" w:space="0" w:color="auto"/>
        <w:bottom w:val="none" w:sz="0" w:space="0" w:color="auto"/>
        <w:right w:val="none" w:sz="0" w:space="0" w:color="auto"/>
      </w:divBdr>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6887986">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985667011">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25978957">
      <w:bodyDiv w:val="1"/>
      <w:marLeft w:val="0"/>
      <w:marRight w:val="0"/>
      <w:marTop w:val="0"/>
      <w:marBottom w:val="0"/>
      <w:divBdr>
        <w:top w:val="none" w:sz="0" w:space="0" w:color="auto"/>
        <w:left w:val="none" w:sz="0" w:space="0" w:color="auto"/>
        <w:bottom w:val="none" w:sz="0" w:space="0" w:color="auto"/>
        <w:right w:val="none" w:sz="0" w:space="0" w:color="auto"/>
      </w:divBdr>
    </w:div>
    <w:div w:id="1049185938">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52079447">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431969939">
      <w:bodyDiv w:val="1"/>
      <w:marLeft w:val="0"/>
      <w:marRight w:val="0"/>
      <w:marTop w:val="0"/>
      <w:marBottom w:val="0"/>
      <w:divBdr>
        <w:top w:val="none" w:sz="0" w:space="0" w:color="auto"/>
        <w:left w:val="none" w:sz="0" w:space="0" w:color="auto"/>
        <w:bottom w:val="none" w:sz="0" w:space="0" w:color="auto"/>
        <w:right w:val="none" w:sz="0" w:space="0" w:color="auto"/>
      </w:divBdr>
    </w:div>
    <w:div w:id="1492941154">
      <w:bodyDiv w:val="1"/>
      <w:marLeft w:val="0"/>
      <w:marRight w:val="0"/>
      <w:marTop w:val="0"/>
      <w:marBottom w:val="0"/>
      <w:divBdr>
        <w:top w:val="none" w:sz="0" w:space="0" w:color="auto"/>
        <w:left w:val="none" w:sz="0" w:space="0" w:color="auto"/>
        <w:bottom w:val="none" w:sz="0" w:space="0" w:color="auto"/>
        <w:right w:val="none" w:sz="0" w:space="0" w:color="auto"/>
      </w:divBdr>
    </w:div>
    <w:div w:id="1498307119">
      <w:bodyDiv w:val="1"/>
      <w:marLeft w:val="0"/>
      <w:marRight w:val="0"/>
      <w:marTop w:val="0"/>
      <w:marBottom w:val="0"/>
      <w:divBdr>
        <w:top w:val="none" w:sz="0" w:space="0" w:color="auto"/>
        <w:left w:val="none" w:sz="0" w:space="0" w:color="auto"/>
        <w:bottom w:val="none" w:sz="0" w:space="0" w:color="auto"/>
        <w:right w:val="none" w:sz="0" w:space="0" w:color="auto"/>
      </w:divBdr>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36430965">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31015879">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744252327">
      <w:bodyDiv w:val="1"/>
      <w:marLeft w:val="0"/>
      <w:marRight w:val="0"/>
      <w:marTop w:val="0"/>
      <w:marBottom w:val="0"/>
      <w:divBdr>
        <w:top w:val="none" w:sz="0" w:space="0" w:color="auto"/>
        <w:left w:val="none" w:sz="0" w:space="0" w:color="auto"/>
        <w:bottom w:val="none" w:sz="0" w:space="0" w:color="auto"/>
        <w:right w:val="none" w:sz="0" w:space="0" w:color="auto"/>
      </w:divBdr>
    </w:div>
    <w:div w:id="1773086627">
      <w:bodyDiv w:val="1"/>
      <w:marLeft w:val="0"/>
      <w:marRight w:val="0"/>
      <w:marTop w:val="0"/>
      <w:marBottom w:val="0"/>
      <w:divBdr>
        <w:top w:val="none" w:sz="0" w:space="0" w:color="auto"/>
        <w:left w:val="none" w:sz="0" w:space="0" w:color="auto"/>
        <w:bottom w:val="none" w:sz="0" w:space="0" w:color="auto"/>
        <w:right w:val="none" w:sz="0" w:space="0" w:color="auto"/>
      </w:divBdr>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2002539645">
      <w:bodyDiv w:val="1"/>
      <w:marLeft w:val="0"/>
      <w:marRight w:val="0"/>
      <w:marTop w:val="0"/>
      <w:marBottom w:val="0"/>
      <w:divBdr>
        <w:top w:val="none" w:sz="0" w:space="0" w:color="auto"/>
        <w:left w:val="none" w:sz="0" w:space="0" w:color="auto"/>
        <w:bottom w:val="none" w:sz="0" w:space="0" w:color="auto"/>
        <w:right w:val="none" w:sz="0" w:space="0" w:color="auto"/>
      </w:divBdr>
    </w:div>
    <w:div w:id="2005083955">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 w:id="2105228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4.emf"/><Relationship Id="rId39" Type="http://schemas.openxmlformats.org/officeDocument/2006/relationships/image" Target="media/image7.png"/><Relationship Id="rId21" Type="http://schemas.openxmlformats.org/officeDocument/2006/relationships/header" Target="header7.xml"/><Relationship Id="rId34" Type="http://schemas.openxmlformats.org/officeDocument/2006/relationships/footer" Target="footer5.xml"/><Relationship Id="rId42" Type="http://schemas.openxmlformats.org/officeDocument/2006/relationships/footer" Target="footer7.xml"/><Relationship Id="rId47" Type="http://schemas.openxmlformats.org/officeDocument/2006/relationships/header" Target="header17.xml"/><Relationship Id="rId50" Type="http://schemas.openxmlformats.org/officeDocument/2006/relationships/image" Target="media/image12.png"/><Relationship Id="rId55" Type="http://schemas.openxmlformats.org/officeDocument/2006/relationships/header" Target="header18.xml"/><Relationship Id="rId63" Type="http://schemas.openxmlformats.org/officeDocument/2006/relationships/hyperlink" Target="https://www.ncbi.nlm.nih.gov/pubmed/?cmd=HistorySearch&amp;querykey=2" TargetMode="External"/><Relationship Id="rId68" Type="http://schemas.openxmlformats.org/officeDocument/2006/relationships/hyperlink" Target="https://www.ncbi.nlm.nih.gov/pubmed/advanced" TargetMode="External"/><Relationship Id="rId76" Type="http://schemas.openxmlformats.org/officeDocument/2006/relationships/hyperlink" Target="https://www.blood.gov.au/data-analysis-reporting" TargetMode="External"/><Relationship Id="rId7" Type="http://schemas.openxmlformats.org/officeDocument/2006/relationships/footnotes" Target="footnotes.xml"/><Relationship Id="rId71" Type="http://schemas.openxmlformats.org/officeDocument/2006/relationships/hyperlink" Target="https://www.ncbi.nlm.nih.gov/pubmed/advanced"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yperlink" Target="http://www.msac.gov.au/" TargetMode="External"/><Relationship Id="rId24" Type="http://schemas.openxmlformats.org/officeDocument/2006/relationships/image" Target="media/image2.emf"/><Relationship Id="rId32" Type="http://schemas.openxmlformats.org/officeDocument/2006/relationships/header" Target="header13.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footer" Target="footer8.xml"/><Relationship Id="rId53" Type="http://schemas.openxmlformats.org/officeDocument/2006/relationships/image" Target="media/image15.png"/><Relationship Id="rId58" Type="http://schemas.openxmlformats.org/officeDocument/2006/relationships/footer" Target="footer12.xml"/><Relationship Id="rId66" Type="http://schemas.openxmlformats.org/officeDocument/2006/relationships/hyperlink" Target="https://www.ncbi.nlm.nih.gov/pubmed/advanced" TargetMode="External"/><Relationship Id="rId74"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emf"/><Relationship Id="rId28" Type="http://schemas.openxmlformats.org/officeDocument/2006/relationships/header" Target="header10.xml"/><Relationship Id="rId36" Type="http://schemas.openxmlformats.org/officeDocument/2006/relationships/footer" Target="footer6.xml"/><Relationship Id="rId49" Type="http://schemas.openxmlformats.org/officeDocument/2006/relationships/image" Target="media/image11.png"/><Relationship Id="rId57" Type="http://schemas.openxmlformats.org/officeDocument/2006/relationships/footer" Target="footer11.xml"/><Relationship Id="rId61" Type="http://schemas.openxmlformats.org/officeDocument/2006/relationships/hyperlink" Target="https://www.ncbi.nlm.nih.gov/pubmed/?cmd=HistorySearch&amp;querykey=1" TargetMode="External"/><Relationship Id="rId10" Type="http://schemas.openxmlformats.org/officeDocument/2006/relationships/hyperlink" Target="http://www.ag.gov.au/" TargetMode="External"/><Relationship Id="rId19" Type="http://schemas.openxmlformats.org/officeDocument/2006/relationships/header" Target="header5.xml"/><Relationship Id="rId31" Type="http://schemas.openxmlformats.org/officeDocument/2006/relationships/header" Target="header12.xml"/><Relationship Id="rId44" Type="http://schemas.openxmlformats.org/officeDocument/2006/relationships/header" Target="header16.xml"/><Relationship Id="rId52" Type="http://schemas.openxmlformats.org/officeDocument/2006/relationships/image" Target="media/image14.png"/><Relationship Id="rId60" Type="http://schemas.openxmlformats.org/officeDocument/2006/relationships/hyperlink" Target="https://www.ncbi.nlm.nih.gov/pubmed/advanced" TargetMode="External"/><Relationship Id="rId65" Type="http://schemas.openxmlformats.org/officeDocument/2006/relationships/hyperlink" Target="https://www.ncbi.nlm.nih.gov/pubmed/?cmd=HistorySearch&amp;querykey=3" TargetMode="External"/><Relationship Id="rId73" Type="http://schemas.openxmlformats.org/officeDocument/2006/relationships/hyperlink" Target="https://www.ncbi.nlm.nih.gov/pubmed/advanced"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msac.gov.au/" TargetMode="Externa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9.xml"/><Relationship Id="rId30" Type="http://schemas.openxmlformats.org/officeDocument/2006/relationships/footer" Target="footer3.xml"/><Relationship Id="rId35" Type="http://schemas.openxmlformats.org/officeDocument/2006/relationships/header" Target="header14.xml"/><Relationship Id="rId43" Type="http://schemas.openxmlformats.org/officeDocument/2006/relationships/header" Target="header15.xml"/><Relationship Id="rId48" Type="http://schemas.openxmlformats.org/officeDocument/2006/relationships/image" Target="media/image10.png"/><Relationship Id="rId56" Type="http://schemas.openxmlformats.org/officeDocument/2006/relationships/header" Target="header19.xml"/><Relationship Id="rId64" Type="http://schemas.openxmlformats.org/officeDocument/2006/relationships/hyperlink" Target="https://www.ncbi.nlm.nih.gov/pubmed/advanced" TargetMode="External"/><Relationship Id="rId69" Type="http://schemas.openxmlformats.org/officeDocument/2006/relationships/hyperlink" Target="https://www.ncbi.nlm.nih.gov/pubmed/?cmd=HistorySearch&amp;querykey=5"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3.png"/><Relationship Id="rId72" Type="http://schemas.openxmlformats.org/officeDocument/2006/relationships/hyperlink" Target="https://www.ncbi.nlm.nih.gov/pubmed/advanced" TargetMode="External"/><Relationship Id="rId3" Type="http://schemas.openxmlformats.org/officeDocument/2006/relationships/styles" Target="styles.xml"/><Relationship Id="rId12" Type="http://schemas.openxmlformats.org/officeDocument/2006/relationships/hyperlink" Target="mailto:hta@health.gov.au" TargetMode="External"/><Relationship Id="rId17" Type="http://schemas.openxmlformats.org/officeDocument/2006/relationships/footer" Target="footer1.xml"/><Relationship Id="rId25" Type="http://schemas.openxmlformats.org/officeDocument/2006/relationships/image" Target="media/image3.emf"/><Relationship Id="rId33" Type="http://schemas.openxmlformats.org/officeDocument/2006/relationships/footer" Target="footer4.xml"/><Relationship Id="rId38" Type="http://schemas.openxmlformats.org/officeDocument/2006/relationships/image" Target="media/image6.png"/><Relationship Id="rId46" Type="http://schemas.openxmlformats.org/officeDocument/2006/relationships/footer" Target="footer9.xml"/><Relationship Id="rId59" Type="http://schemas.openxmlformats.org/officeDocument/2006/relationships/header" Target="header20.xml"/><Relationship Id="rId67" Type="http://schemas.openxmlformats.org/officeDocument/2006/relationships/hyperlink" Target="https://www.ncbi.nlm.nih.gov/pubmed/?cmd=HistorySearch&amp;querykey=4" TargetMode="External"/><Relationship Id="rId20" Type="http://schemas.openxmlformats.org/officeDocument/2006/relationships/header" Target="header6.xml"/><Relationship Id="rId41" Type="http://schemas.openxmlformats.org/officeDocument/2006/relationships/image" Target="media/image9.emf"/><Relationship Id="rId54" Type="http://schemas.openxmlformats.org/officeDocument/2006/relationships/footer" Target="footer10.xml"/><Relationship Id="rId62" Type="http://schemas.openxmlformats.org/officeDocument/2006/relationships/hyperlink" Target="https://www.ncbi.nlm.nih.gov/pubmed/advanced" TargetMode="External"/><Relationship Id="rId70" Type="http://schemas.openxmlformats.org/officeDocument/2006/relationships/hyperlink" Target="https://www.ncbi.nlm.nih.gov/pubmed/advanced" TargetMode="External"/><Relationship Id="rId75" Type="http://schemas.openxmlformats.org/officeDocument/2006/relationships/hyperlink" Target="https://www.ihpa.gov.au/publications/national-hospital-cost-data-collection-report-public-sector-round-21-financial-year"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anzctr.org.au/Trial/Registration/TrialReview.aspx?id=372003" TargetMode="External"/><Relationship Id="rId2" Type="http://schemas.openxmlformats.org/officeDocument/2006/relationships/hyperlink" Target="https://www.blood.gov.au/SCIg" TargetMode="External"/><Relationship Id="rId1" Type="http://schemas.openxmlformats.org/officeDocument/2006/relationships/hyperlink" Target="https://www.blood.gov.au/igcriteria-version3" TargetMode="External"/><Relationship Id="rId6" Type="http://schemas.openxmlformats.org/officeDocument/2006/relationships/hyperlink" Target="https://www.ema.europa.eu/en/medicines/human/referrals/vivaglobin" TargetMode="External"/><Relationship Id="rId5" Type="http://schemas.openxmlformats.org/officeDocument/2006/relationships/hyperlink" Target="https://www.ema.europa.eu/en/medicines/human/referrals/octagam" TargetMode="External"/><Relationship Id="rId4" Type="http://schemas.openxmlformats.org/officeDocument/2006/relationships/hyperlink" Target="https://www.ema.europa.eu/en/core-summary-product-characteristics-human-normal-immunoglobulin-intravenous-administration-ivi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7F6DD-EB3E-4F46-8145-821A16663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197</Pages>
  <Words>68522</Words>
  <Characters>594477</Characters>
  <Application>Microsoft Office Word</Application>
  <DocSecurity>4</DocSecurity>
  <Lines>4953</Lines>
  <Paragraphs>1323</Paragraphs>
  <ScaleCrop>false</ScaleCrop>
  <HeadingPairs>
    <vt:vector size="2" baseType="variant">
      <vt:variant>
        <vt:lpstr>Title</vt:lpstr>
      </vt:variant>
      <vt:variant>
        <vt:i4>1</vt:i4>
      </vt:variant>
    </vt:vector>
  </HeadingPairs>
  <TitlesOfParts>
    <vt:vector size="1" baseType="lpstr">
      <vt:lpstr>MSAC Assessment Report Template</vt:lpstr>
    </vt:vector>
  </TitlesOfParts>
  <Company>DHA</Company>
  <LinksUpToDate>false</LinksUpToDate>
  <CharactersWithSpaces>661676</CharactersWithSpaces>
  <SharedDoc>false</SharedDoc>
  <HLinks>
    <vt:vector size="1110" baseType="variant">
      <vt:variant>
        <vt:i4>2359340</vt:i4>
      </vt:variant>
      <vt:variant>
        <vt:i4>1016</vt:i4>
      </vt:variant>
      <vt:variant>
        <vt:i4>0</vt:i4>
      </vt:variant>
      <vt:variant>
        <vt:i4>5</vt:i4>
      </vt:variant>
      <vt:variant>
        <vt:lpwstr>http://www.nhmrc.gov.au/consult/index.htm&gt;</vt:lpwstr>
      </vt:variant>
      <vt:variant>
        <vt:lpwstr/>
      </vt:variant>
      <vt:variant>
        <vt:i4>1507338</vt:i4>
      </vt:variant>
      <vt:variant>
        <vt:i4>1008</vt:i4>
      </vt:variant>
      <vt:variant>
        <vt:i4>0</vt:i4>
      </vt:variant>
      <vt:variant>
        <vt:i4>5</vt:i4>
      </vt:variant>
      <vt:variant>
        <vt:lpwstr>http://www.nhmrc.gov.au/guidelines/consult/consultations/add_levels_grades_dev_guidelines2.htm</vt:lpwstr>
      </vt:variant>
      <vt:variant>
        <vt:lpwstr/>
      </vt:variant>
      <vt:variant>
        <vt:i4>4980748</vt:i4>
      </vt:variant>
      <vt:variant>
        <vt:i4>996</vt:i4>
      </vt:variant>
      <vt:variant>
        <vt:i4>0</vt:i4>
      </vt:variant>
      <vt:variant>
        <vt:i4>5</vt:i4>
      </vt:variant>
      <vt:variant>
        <vt:lpwstr>http://text.nlm.nih.gov/</vt:lpwstr>
      </vt:variant>
      <vt:variant>
        <vt:lpwstr/>
      </vt:variant>
      <vt:variant>
        <vt:i4>1966149</vt:i4>
      </vt:variant>
      <vt:variant>
        <vt:i4>993</vt:i4>
      </vt:variant>
      <vt:variant>
        <vt:i4>0</vt:i4>
      </vt:variant>
      <vt:variant>
        <vt:i4>5</vt:i4>
      </vt:variant>
      <vt:variant>
        <vt:lpwstr>http://controlled-trials.com/</vt:lpwstr>
      </vt:variant>
      <vt:variant>
        <vt:lpwstr/>
      </vt:variant>
      <vt:variant>
        <vt:i4>5832792</vt:i4>
      </vt:variant>
      <vt:variant>
        <vt:i4>990</vt:i4>
      </vt:variant>
      <vt:variant>
        <vt:i4>0</vt:i4>
      </vt:variant>
      <vt:variant>
        <vt:i4>5</vt:i4>
      </vt:variant>
      <vt:variant>
        <vt:lpwstr>http://www.tripdatabase.com/</vt:lpwstr>
      </vt:variant>
      <vt:variant>
        <vt:lpwstr/>
      </vt:variant>
      <vt:variant>
        <vt:i4>8126514</vt:i4>
      </vt:variant>
      <vt:variant>
        <vt:i4>987</vt:i4>
      </vt:variant>
      <vt:variant>
        <vt:i4>0</vt:i4>
      </vt:variant>
      <vt:variant>
        <vt:i4>5</vt:i4>
      </vt:variant>
      <vt:variant>
        <vt:lpwstr>http://www.nyam.org/library/greylit/index.shtml</vt:lpwstr>
      </vt:variant>
      <vt:variant>
        <vt:lpwstr/>
      </vt:variant>
      <vt:variant>
        <vt:i4>6291566</vt:i4>
      </vt:variant>
      <vt:variant>
        <vt:i4>984</vt:i4>
      </vt:variant>
      <vt:variant>
        <vt:i4>0</vt:i4>
      </vt:variant>
      <vt:variant>
        <vt:i4>5</vt:i4>
      </vt:variant>
      <vt:variant>
        <vt:lpwstr>http://www.os.dhhs.gov/</vt:lpwstr>
      </vt:variant>
      <vt:variant>
        <vt:lpwstr/>
      </vt:variant>
      <vt:variant>
        <vt:i4>2883700</vt:i4>
      </vt:variant>
      <vt:variant>
        <vt:i4>981</vt:i4>
      </vt:variant>
      <vt:variant>
        <vt:i4>0</vt:i4>
      </vt:variant>
      <vt:variant>
        <vt:i4>5</vt:i4>
      </vt:variant>
      <vt:variant>
        <vt:lpwstr>http://www.health.gov.au/nhmrc/</vt:lpwstr>
      </vt:variant>
      <vt:variant>
        <vt:lpwstr/>
      </vt:variant>
      <vt:variant>
        <vt:i4>8061042</vt:i4>
      </vt:variant>
      <vt:variant>
        <vt:i4>978</vt:i4>
      </vt:variant>
      <vt:variant>
        <vt:i4>0</vt:i4>
      </vt:variant>
      <vt:variant>
        <vt:i4>5</vt:i4>
      </vt:variant>
      <vt:variant>
        <vt:lpwstr>http://www.research.va.gov/default.cfm</vt:lpwstr>
      </vt:variant>
      <vt:variant>
        <vt:lpwstr/>
      </vt:variant>
      <vt:variant>
        <vt:i4>3407914</vt:i4>
      </vt:variant>
      <vt:variant>
        <vt:i4>975</vt:i4>
      </vt:variant>
      <vt:variant>
        <vt:i4>0</vt:i4>
      </vt:variant>
      <vt:variant>
        <vt:i4>5</vt:i4>
      </vt:variant>
      <vt:variant>
        <vt:lpwstr>http://www.bcbs.com/blueresources/tec/</vt:lpwstr>
      </vt:variant>
      <vt:variant>
        <vt:lpwstr/>
      </vt:variant>
      <vt:variant>
        <vt:i4>3670127</vt:i4>
      </vt:variant>
      <vt:variant>
        <vt:i4>972</vt:i4>
      </vt:variant>
      <vt:variant>
        <vt:i4>0</vt:i4>
      </vt:variant>
      <vt:variant>
        <vt:i4>5</vt:i4>
      </vt:variant>
      <vt:variant>
        <vt:lpwstr>http://fas.org/ota</vt:lpwstr>
      </vt:variant>
      <vt:variant>
        <vt:lpwstr/>
      </vt:variant>
      <vt:variant>
        <vt:i4>3145739</vt:i4>
      </vt:variant>
      <vt:variant>
        <vt:i4>969</vt:i4>
      </vt:variant>
      <vt:variant>
        <vt:i4>0</vt:i4>
      </vt:variant>
      <vt:variant>
        <vt:i4>5</vt:i4>
      </vt:variant>
      <vt:variant>
        <vt:lpwstr>http://egov.oregon.gov/DAS/OHPPR/HRC/about_us.shtml</vt:lpwstr>
      </vt:variant>
      <vt:variant>
        <vt:lpwstr/>
      </vt:variant>
      <vt:variant>
        <vt:i4>4718668</vt:i4>
      </vt:variant>
      <vt:variant>
        <vt:i4>966</vt:i4>
      </vt:variant>
      <vt:variant>
        <vt:i4>0</vt:i4>
      </vt:variant>
      <vt:variant>
        <vt:i4>5</vt:i4>
      </vt:variant>
      <vt:variant>
        <vt:lpwstr>http://www.nlm.nih.gov/hsrph.html</vt:lpwstr>
      </vt:variant>
      <vt:variant>
        <vt:lpwstr/>
      </vt:variant>
      <vt:variant>
        <vt:i4>327681</vt:i4>
      </vt:variant>
      <vt:variant>
        <vt:i4>963</vt:i4>
      </vt:variant>
      <vt:variant>
        <vt:i4>0</vt:i4>
      </vt:variant>
      <vt:variant>
        <vt:i4>5</vt:i4>
      </vt:variant>
      <vt:variant>
        <vt:lpwstr>http://www.health.state.mn.us/htac/index.htm</vt:lpwstr>
      </vt:variant>
      <vt:variant>
        <vt:lpwstr/>
      </vt:variant>
      <vt:variant>
        <vt:i4>4325458</vt:i4>
      </vt:variant>
      <vt:variant>
        <vt:i4>960</vt:i4>
      </vt:variant>
      <vt:variant>
        <vt:i4>0</vt:i4>
      </vt:variant>
      <vt:variant>
        <vt:i4>5</vt:i4>
      </vt:variant>
      <vt:variant>
        <vt:lpwstr>http://www.icsi.org/</vt:lpwstr>
      </vt:variant>
      <vt:variant>
        <vt:lpwstr/>
      </vt:variant>
      <vt:variant>
        <vt:i4>7929980</vt:i4>
      </vt:variant>
      <vt:variant>
        <vt:i4>957</vt:i4>
      </vt:variant>
      <vt:variant>
        <vt:i4>0</vt:i4>
      </vt:variant>
      <vt:variant>
        <vt:i4>5</vt:i4>
      </vt:variant>
      <vt:variant>
        <vt:lpwstr>http://www.icer-review.org/</vt:lpwstr>
      </vt:variant>
      <vt:variant>
        <vt:lpwstr/>
      </vt:variant>
      <vt:variant>
        <vt:i4>1900612</vt:i4>
      </vt:variant>
      <vt:variant>
        <vt:i4>954</vt:i4>
      </vt:variant>
      <vt:variant>
        <vt:i4>0</vt:i4>
      </vt:variant>
      <vt:variant>
        <vt:i4>5</vt:i4>
      </vt:variant>
      <vt:variant>
        <vt:lpwstr>http://www.hsph.harvard.edu/</vt:lpwstr>
      </vt:variant>
      <vt:variant>
        <vt:lpwstr/>
      </vt:variant>
      <vt:variant>
        <vt:i4>5636184</vt:i4>
      </vt:variant>
      <vt:variant>
        <vt:i4>951</vt:i4>
      </vt:variant>
      <vt:variant>
        <vt:i4>0</vt:i4>
      </vt:variant>
      <vt:variant>
        <vt:i4>5</vt:i4>
      </vt:variant>
      <vt:variant>
        <vt:lpwstr>http://www.ahrq.gov/</vt:lpwstr>
      </vt:variant>
      <vt:variant>
        <vt:lpwstr/>
      </vt:variant>
      <vt:variant>
        <vt:i4>2752567</vt:i4>
      </vt:variant>
      <vt:variant>
        <vt:i4>948</vt:i4>
      </vt:variant>
      <vt:variant>
        <vt:i4>0</vt:i4>
      </vt:variant>
      <vt:variant>
        <vt:i4>5</vt:i4>
      </vt:variant>
      <vt:variant>
        <vt:lpwstr>http://www.york.ac.uk/inst/crd/</vt:lpwstr>
      </vt:variant>
      <vt:variant>
        <vt:lpwstr/>
      </vt:variant>
      <vt:variant>
        <vt:i4>2162812</vt:i4>
      </vt:variant>
      <vt:variant>
        <vt:i4>945</vt:i4>
      </vt:variant>
      <vt:variant>
        <vt:i4>0</vt:i4>
      </vt:variant>
      <vt:variant>
        <vt:i4>5</vt:i4>
      </vt:variant>
      <vt:variant>
        <vt:lpwstr>http://www.euroscan.bham.ac.uk/</vt:lpwstr>
      </vt:variant>
      <vt:variant>
        <vt:lpwstr/>
      </vt:variant>
      <vt:variant>
        <vt:i4>4128801</vt:i4>
      </vt:variant>
      <vt:variant>
        <vt:i4>942</vt:i4>
      </vt:variant>
      <vt:variant>
        <vt:i4>0</vt:i4>
      </vt:variant>
      <vt:variant>
        <vt:i4>5</vt:i4>
      </vt:variant>
      <vt:variant>
        <vt:lpwstr>http://www.nice.org.uk/</vt:lpwstr>
      </vt:variant>
      <vt:variant>
        <vt:lpwstr/>
      </vt:variant>
      <vt:variant>
        <vt:i4>4784205</vt:i4>
      </vt:variant>
      <vt:variant>
        <vt:i4>939</vt:i4>
      </vt:variant>
      <vt:variant>
        <vt:i4>0</vt:i4>
      </vt:variant>
      <vt:variant>
        <vt:i4>5</vt:i4>
      </vt:variant>
      <vt:variant>
        <vt:lpwstr>http://www.nhshealthquality.org/</vt:lpwstr>
      </vt:variant>
      <vt:variant>
        <vt:lpwstr/>
      </vt:variant>
      <vt:variant>
        <vt:i4>393244</vt:i4>
      </vt:variant>
      <vt:variant>
        <vt:i4>936</vt:i4>
      </vt:variant>
      <vt:variant>
        <vt:i4>0</vt:i4>
      </vt:variant>
      <vt:variant>
        <vt:i4>5</vt:i4>
      </vt:variant>
      <vt:variant>
        <vt:lpwstr>http://www.hta.ac.uk/</vt:lpwstr>
      </vt:variant>
      <vt:variant>
        <vt:lpwstr/>
      </vt:variant>
      <vt:variant>
        <vt:i4>1900556</vt:i4>
      </vt:variant>
      <vt:variant>
        <vt:i4>933</vt:i4>
      </vt:variant>
      <vt:variant>
        <vt:i4>0</vt:i4>
      </vt:variant>
      <vt:variant>
        <vt:i4>5</vt:i4>
      </vt:variant>
      <vt:variant>
        <vt:lpwstr>http://www.snhta.ch/</vt:lpwstr>
      </vt:variant>
      <vt:variant>
        <vt:lpwstr/>
      </vt:variant>
      <vt:variant>
        <vt:i4>2031644</vt:i4>
      </vt:variant>
      <vt:variant>
        <vt:i4>930</vt:i4>
      </vt:variant>
      <vt:variant>
        <vt:i4>0</vt:i4>
      </vt:variant>
      <vt:variant>
        <vt:i4>5</vt:i4>
      </vt:variant>
      <vt:variant>
        <vt:lpwstr>http://www.sbu.se/en/</vt:lpwstr>
      </vt:variant>
      <vt:variant>
        <vt:lpwstr/>
      </vt:variant>
      <vt:variant>
        <vt:i4>3407969</vt:i4>
      </vt:variant>
      <vt:variant>
        <vt:i4>927</vt:i4>
      </vt:variant>
      <vt:variant>
        <vt:i4>0</vt:i4>
      </vt:variant>
      <vt:variant>
        <vt:i4>5</vt:i4>
      </vt:variant>
      <vt:variant>
        <vt:lpwstr>http://www.cmt.liu.se/?l=en&amp;sc=true</vt:lpwstr>
      </vt:variant>
      <vt:variant>
        <vt:lpwstr/>
      </vt:variant>
      <vt:variant>
        <vt:i4>2293813</vt:i4>
      </vt:variant>
      <vt:variant>
        <vt:i4>924</vt:i4>
      </vt:variant>
      <vt:variant>
        <vt:i4>0</vt:i4>
      </vt:variant>
      <vt:variant>
        <vt:i4>5</vt:i4>
      </vt:variant>
      <vt:variant>
        <vt:lpwstr>http://www.gencat.cat/</vt:lpwstr>
      </vt:variant>
      <vt:variant>
        <vt:lpwstr/>
      </vt:variant>
      <vt:variant>
        <vt:i4>6619195</vt:i4>
      </vt:variant>
      <vt:variant>
        <vt:i4>921</vt:i4>
      </vt:variant>
      <vt:variant>
        <vt:i4>0</vt:i4>
      </vt:variant>
      <vt:variant>
        <vt:i4>5</vt:i4>
      </vt:variant>
      <vt:variant>
        <vt:lpwstr>http://www.juntadeandalucia.es/</vt:lpwstr>
      </vt:variant>
      <vt:variant>
        <vt:lpwstr/>
      </vt:variant>
      <vt:variant>
        <vt:i4>1376326</vt:i4>
      </vt:variant>
      <vt:variant>
        <vt:i4>918</vt:i4>
      </vt:variant>
      <vt:variant>
        <vt:i4>0</vt:i4>
      </vt:variant>
      <vt:variant>
        <vt:i4>5</vt:i4>
      </vt:variant>
      <vt:variant>
        <vt:lpwstr>http://www.isciii.es/</vt:lpwstr>
      </vt:variant>
      <vt:variant>
        <vt:lpwstr/>
      </vt:variant>
      <vt:variant>
        <vt:i4>1638412</vt:i4>
      </vt:variant>
      <vt:variant>
        <vt:i4>915</vt:i4>
      </vt:variant>
      <vt:variant>
        <vt:i4>0</vt:i4>
      </vt:variant>
      <vt:variant>
        <vt:i4>5</vt:i4>
      </vt:variant>
      <vt:variant>
        <vt:lpwstr>http://www.kunnskapssenteret.no/</vt:lpwstr>
      </vt:variant>
      <vt:variant>
        <vt:lpwstr/>
      </vt:variant>
      <vt:variant>
        <vt:i4>2752610</vt:i4>
      </vt:variant>
      <vt:variant>
        <vt:i4>912</vt:i4>
      </vt:variant>
      <vt:variant>
        <vt:i4>0</vt:i4>
      </vt:variant>
      <vt:variant>
        <vt:i4>5</vt:i4>
      </vt:variant>
      <vt:variant>
        <vt:lpwstr>http://nzhta.chmeds.ac.nz/</vt:lpwstr>
      </vt:variant>
      <vt:variant>
        <vt:lpwstr/>
      </vt:variant>
      <vt:variant>
        <vt:i4>7602226</vt:i4>
      </vt:variant>
      <vt:variant>
        <vt:i4>909</vt:i4>
      </vt:variant>
      <vt:variant>
        <vt:i4>0</vt:i4>
      </vt:variant>
      <vt:variant>
        <vt:i4>5</vt:i4>
      </vt:variant>
      <vt:variant>
        <vt:lpwstr>http://www.imta.nl/</vt:lpwstr>
      </vt:variant>
      <vt:variant>
        <vt:lpwstr/>
      </vt:variant>
      <vt:variant>
        <vt:i4>11</vt:i4>
      </vt:variant>
      <vt:variant>
        <vt:i4>906</vt:i4>
      </vt:variant>
      <vt:variant>
        <vt:i4>0</vt:i4>
      </vt:variant>
      <vt:variant>
        <vt:i4>5</vt:i4>
      </vt:variant>
      <vt:variant>
        <vt:lpwstr>http://www.gezondheidsraad.nl/en/</vt:lpwstr>
      </vt:variant>
      <vt:variant>
        <vt:lpwstr/>
      </vt:variant>
      <vt:variant>
        <vt:i4>1638403</vt:i4>
      </vt:variant>
      <vt:variant>
        <vt:i4>903</vt:i4>
      </vt:variant>
      <vt:variant>
        <vt:i4>0</vt:i4>
      </vt:variant>
      <vt:variant>
        <vt:i4>5</vt:i4>
      </vt:variant>
      <vt:variant>
        <vt:lpwstr>http://www.iqwig.de/</vt:lpwstr>
      </vt:variant>
      <vt:variant>
        <vt:lpwstr/>
      </vt:variant>
      <vt:variant>
        <vt:i4>1310812</vt:i4>
      </vt:variant>
      <vt:variant>
        <vt:i4>900</vt:i4>
      </vt:variant>
      <vt:variant>
        <vt:i4>0</vt:i4>
      </vt:variant>
      <vt:variant>
        <vt:i4>5</vt:i4>
      </vt:variant>
      <vt:variant>
        <vt:lpwstr>http://www.dimdi.de/static/en/index.html</vt:lpwstr>
      </vt:variant>
      <vt:variant>
        <vt:lpwstr/>
      </vt:variant>
      <vt:variant>
        <vt:i4>4390988</vt:i4>
      </vt:variant>
      <vt:variant>
        <vt:i4>897</vt:i4>
      </vt:variant>
      <vt:variant>
        <vt:i4>0</vt:i4>
      </vt:variant>
      <vt:variant>
        <vt:i4>5</vt:i4>
      </vt:variant>
      <vt:variant>
        <vt:lpwstr>http://www.has-sante.fr/portail/jcms/c_5443/english?cid=c_5443</vt:lpwstr>
      </vt:variant>
      <vt:variant>
        <vt:lpwstr/>
      </vt:variant>
      <vt:variant>
        <vt:i4>65539</vt:i4>
      </vt:variant>
      <vt:variant>
        <vt:i4>894</vt:i4>
      </vt:variant>
      <vt:variant>
        <vt:i4>0</vt:i4>
      </vt:variant>
      <vt:variant>
        <vt:i4>5</vt:i4>
      </vt:variant>
      <vt:variant>
        <vt:lpwstr>http://finohta.stakes.fi/EN/index.htm</vt:lpwstr>
      </vt:variant>
      <vt:variant>
        <vt:lpwstr/>
      </vt:variant>
      <vt:variant>
        <vt:i4>3342396</vt:i4>
      </vt:variant>
      <vt:variant>
        <vt:i4>891</vt:i4>
      </vt:variant>
      <vt:variant>
        <vt:i4>0</vt:i4>
      </vt:variant>
      <vt:variant>
        <vt:i4>5</vt:i4>
      </vt:variant>
      <vt:variant>
        <vt:lpwstr>http://dsi.dk/english/</vt:lpwstr>
      </vt:variant>
      <vt:variant>
        <vt:lpwstr/>
      </vt:variant>
      <vt:variant>
        <vt:i4>2293785</vt:i4>
      </vt:variant>
      <vt:variant>
        <vt:i4>888</vt:i4>
      </vt:variant>
      <vt:variant>
        <vt:i4>0</vt:i4>
      </vt:variant>
      <vt:variant>
        <vt:i4>5</vt:i4>
      </vt:variant>
      <vt:variant>
        <vt:lpwstr>http://www.sst.dk/english/dacehta.aspx?sc_lang=en</vt:lpwstr>
      </vt:variant>
      <vt:variant>
        <vt:lpwstr/>
      </vt:variant>
      <vt:variant>
        <vt:i4>1835015</vt:i4>
      </vt:variant>
      <vt:variant>
        <vt:i4>885</vt:i4>
      </vt:variant>
      <vt:variant>
        <vt:i4>0</vt:i4>
      </vt:variant>
      <vt:variant>
        <vt:i4>5</vt:i4>
      </vt:variant>
      <vt:variant>
        <vt:lpwstr>http://www.hqc.sk.ca/</vt:lpwstr>
      </vt:variant>
      <vt:variant>
        <vt:lpwstr/>
      </vt:variant>
      <vt:variant>
        <vt:i4>2818144</vt:i4>
      </vt:variant>
      <vt:variant>
        <vt:i4>882</vt:i4>
      </vt:variant>
      <vt:variant>
        <vt:i4>0</vt:i4>
      </vt:variant>
      <vt:variant>
        <vt:i4>5</vt:i4>
      </vt:variant>
      <vt:variant>
        <vt:lpwstr>http://www.ices.on.ca/</vt:lpwstr>
      </vt:variant>
      <vt:variant>
        <vt:lpwstr/>
      </vt:variant>
      <vt:variant>
        <vt:i4>1572949</vt:i4>
      </vt:variant>
      <vt:variant>
        <vt:i4>879</vt:i4>
      </vt:variant>
      <vt:variant>
        <vt:i4>0</vt:i4>
      </vt:variant>
      <vt:variant>
        <vt:i4>5</vt:i4>
      </vt:variant>
      <vt:variant>
        <vt:lpwstr>http://www.fhs.mcmaster.ca/hug/index.htm/</vt:lpwstr>
      </vt:variant>
      <vt:variant>
        <vt:lpwstr/>
      </vt:variant>
      <vt:variant>
        <vt:i4>1245259</vt:i4>
      </vt:variant>
      <vt:variant>
        <vt:i4>876</vt:i4>
      </vt:variant>
      <vt:variant>
        <vt:i4>0</vt:i4>
      </vt:variant>
      <vt:variant>
        <vt:i4>5</vt:i4>
      </vt:variant>
      <vt:variant>
        <vt:lpwstr>http://www.chspr.ubc.ca/</vt:lpwstr>
      </vt:variant>
      <vt:variant>
        <vt:lpwstr/>
      </vt:variant>
      <vt:variant>
        <vt:i4>4456468</vt:i4>
      </vt:variant>
      <vt:variant>
        <vt:i4>873</vt:i4>
      </vt:variant>
      <vt:variant>
        <vt:i4>0</vt:i4>
      </vt:variant>
      <vt:variant>
        <vt:i4>5</vt:i4>
      </vt:variant>
      <vt:variant>
        <vt:lpwstr>http://www.chepa.org/</vt:lpwstr>
      </vt:variant>
      <vt:variant>
        <vt:lpwstr/>
      </vt:variant>
      <vt:variant>
        <vt:i4>8323176</vt:i4>
      </vt:variant>
      <vt:variant>
        <vt:i4>870</vt:i4>
      </vt:variant>
      <vt:variant>
        <vt:i4>0</vt:i4>
      </vt:variant>
      <vt:variant>
        <vt:i4>5</vt:i4>
      </vt:variant>
      <vt:variant>
        <vt:lpwstr>http://www.mycabot.ca/</vt:lpwstr>
      </vt:variant>
      <vt:variant>
        <vt:lpwstr/>
      </vt:variant>
      <vt:variant>
        <vt:i4>262170</vt:i4>
      </vt:variant>
      <vt:variant>
        <vt:i4>867</vt:i4>
      </vt:variant>
      <vt:variant>
        <vt:i4>0</vt:i4>
      </vt:variant>
      <vt:variant>
        <vt:i4>5</vt:i4>
      </vt:variant>
      <vt:variant>
        <vt:lpwstr>http://www.cadth.ca/index.php/en/</vt:lpwstr>
      </vt:variant>
      <vt:variant>
        <vt:lpwstr/>
      </vt:variant>
      <vt:variant>
        <vt:i4>7012471</vt:i4>
      </vt:variant>
      <vt:variant>
        <vt:i4>864</vt:i4>
      </vt:variant>
      <vt:variant>
        <vt:i4>0</vt:i4>
      </vt:variant>
      <vt:variant>
        <vt:i4>5</vt:i4>
      </vt:variant>
      <vt:variant>
        <vt:lpwstr>http://www.ihe.ca/</vt:lpwstr>
      </vt:variant>
      <vt:variant>
        <vt:lpwstr/>
      </vt:variant>
      <vt:variant>
        <vt:i4>7340154</vt:i4>
      </vt:variant>
      <vt:variant>
        <vt:i4>861</vt:i4>
      </vt:variant>
      <vt:variant>
        <vt:i4>0</vt:i4>
      </vt:variant>
      <vt:variant>
        <vt:i4>5</vt:i4>
      </vt:variant>
      <vt:variant>
        <vt:lpwstr>http://www.ahfmr.ab.ca/</vt:lpwstr>
      </vt:variant>
      <vt:variant>
        <vt:lpwstr/>
      </vt:variant>
      <vt:variant>
        <vt:i4>1310746</vt:i4>
      </vt:variant>
      <vt:variant>
        <vt:i4>858</vt:i4>
      </vt:variant>
      <vt:variant>
        <vt:i4>0</vt:i4>
      </vt:variant>
      <vt:variant>
        <vt:i4>5</vt:i4>
      </vt:variant>
      <vt:variant>
        <vt:lpwstr>http://www.aetmis.gouv.qc.ca/site/home.phtml</vt:lpwstr>
      </vt:variant>
      <vt:variant>
        <vt:lpwstr/>
      </vt:variant>
      <vt:variant>
        <vt:i4>5373968</vt:i4>
      </vt:variant>
      <vt:variant>
        <vt:i4>855</vt:i4>
      </vt:variant>
      <vt:variant>
        <vt:i4>0</vt:i4>
      </vt:variant>
      <vt:variant>
        <vt:i4>5</vt:i4>
      </vt:variant>
      <vt:variant>
        <vt:lpwstr>http://www.oeaw.ac.at/ita</vt:lpwstr>
      </vt:variant>
      <vt:variant>
        <vt:lpwstr/>
      </vt:variant>
      <vt:variant>
        <vt:i4>5439556</vt:i4>
      </vt:variant>
      <vt:variant>
        <vt:i4>852</vt:i4>
      </vt:variant>
      <vt:variant>
        <vt:i4>0</vt:i4>
      </vt:variant>
      <vt:variant>
        <vt:i4>5</vt:i4>
      </vt:variant>
      <vt:variant>
        <vt:lpwstr>http://www.buseco.monash.edu.au/centres/che/</vt:lpwstr>
      </vt:variant>
      <vt:variant>
        <vt:lpwstr/>
      </vt:variant>
      <vt:variant>
        <vt:i4>4915204</vt:i4>
      </vt:variant>
      <vt:variant>
        <vt:i4>849</vt:i4>
      </vt:variant>
      <vt:variant>
        <vt:i4>0</vt:i4>
      </vt:variant>
      <vt:variant>
        <vt:i4>5</vt:i4>
      </vt:variant>
      <vt:variant>
        <vt:lpwstr>http://www.southernhealth.org.au/cce</vt:lpwstr>
      </vt:variant>
      <vt:variant>
        <vt:lpwstr/>
      </vt:variant>
      <vt:variant>
        <vt:i4>4653087</vt:i4>
      </vt:variant>
      <vt:variant>
        <vt:i4>846</vt:i4>
      </vt:variant>
      <vt:variant>
        <vt:i4>0</vt:i4>
      </vt:variant>
      <vt:variant>
        <vt:i4>5</vt:i4>
      </vt:variant>
      <vt:variant>
        <vt:lpwstr>http://www.surgeons.org/Content/NavigationMenu/Research/ASERNIPS/default.htm</vt:lpwstr>
      </vt:variant>
      <vt:variant>
        <vt:lpwstr/>
      </vt:variant>
      <vt:variant>
        <vt:i4>4390923</vt:i4>
      </vt:variant>
      <vt:variant>
        <vt:i4>836</vt:i4>
      </vt:variant>
      <vt:variant>
        <vt:i4>0</vt:i4>
      </vt:variant>
      <vt:variant>
        <vt:i4>5</vt:i4>
      </vt:variant>
      <vt:variant>
        <vt:lpwstr/>
      </vt:variant>
      <vt:variant>
        <vt:lpwstr>_ENREF_26</vt:lpwstr>
      </vt:variant>
      <vt:variant>
        <vt:i4>4390923</vt:i4>
      </vt:variant>
      <vt:variant>
        <vt:i4>824</vt:i4>
      </vt:variant>
      <vt:variant>
        <vt:i4>0</vt:i4>
      </vt:variant>
      <vt:variant>
        <vt:i4>5</vt:i4>
      </vt:variant>
      <vt:variant>
        <vt:lpwstr/>
      </vt:variant>
      <vt:variant>
        <vt:lpwstr>_ENREF_26</vt:lpwstr>
      </vt:variant>
      <vt:variant>
        <vt:i4>4390923</vt:i4>
      </vt:variant>
      <vt:variant>
        <vt:i4>815</vt:i4>
      </vt:variant>
      <vt:variant>
        <vt:i4>0</vt:i4>
      </vt:variant>
      <vt:variant>
        <vt:i4>5</vt:i4>
      </vt:variant>
      <vt:variant>
        <vt:lpwstr/>
      </vt:variant>
      <vt:variant>
        <vt:lpwstr>_ENREF_26</vt:lpwstr>
      </vt:variant>
      <vt:variant>
        <vt:i4>4390923</vt:i4>
      </vt:variant>
      <vt:variant>
        <vt:i4>806</vt:i4>
      </vt:variant>
      <vt:variant>
        <vt:i4>0</vt:i4>
      </vt:variant>
      <vt:variant>
        <vt:i4>5</vt:i4>
      </vt:variant>
      <vt:variant>
        <vt:lpwstr/>
      </vt:variant>
      <vt:variant>
        <vt:lpwstr>_ENREF_26</vt:lpwstr>
      </vt:variant>
      <vt:variant>
        <vt:i4>4390923</vt:i4>
      </vt:variant>
      <vt:variant>
        <vt:i4>800</vt:i4>
      </vt:variant>
      <vt:variant>
        <vt:i4>0</vt:i4>
      </vt:variant>
      <vt:variant>
        <vt:i4>5</vt:i4>
      </vt:variant>
      <vt:variant>
        <vt:lpwstr/>
      </vt:variant>
      <vt:variant>
        <vt:lpwstr>_ENREF_25</vt:lpwstr>
      </vt:variant>
      <vt:variant>
        <vt:i4>4390923</vt:i4>
      </vt:variant>
      <vt:variant>
        <vt:i4>794</vt:i4>
      </vt:variant>
      <vt:variant>
        <vt:i4>0</vt:i4>
      </vt:variant>
      <vt:variant>
        <vt:i4>5</vt:i4>
      </vt:variant>
      <vt:variant>
        <vt:lpwstr/>
      </vt:variant>
      <vt:variant>
        <vt:lpwstr>_ENREF_25</vt:lpwstr>
      </vt:variant>
      <vt:variant>
        <vt:i4>4194315</vt:i4>
      </vt:variant>
      <vt:variant>
        <vt:i4>788</vt:i4>
      </vt:variant>
      <vt:variant>
        <vt:i4>0</vt:i4>
      </vt:variant>
      <vt:variant>
        <vt:i4>5</vt:i4>
      </vt:variant>
      <vt:variant>
        <vt:lpwstr/>
      </vt:variant>
      <vt:variant>
        <vt:lpwstr>_ENREF_13</vt:lpwstr>
      </vt:variant>
      <vt:variant>
        <vt:i4>4390923</vt:i4>
      </vt:variant>
      <vt:variant>
        <vt:i4>782</vt:i4>
      </vt:variant>
      <vt:variant>
        <vt:i4>0</vt:i4>
      </vt:variant>
      <vt:variant>
        <vt:i4>5</vt:i4>
      </vt:variant>
      <vt:variant>
        <vt:lpwstr/>
      </vt:variant>
      <vt:variant>
        <vt:lpwstr>_ENREF_24</vt:lpwstr>
      </vt:variant>
      <vt:variant>
        <vt:i4>4390923</vt:i4>
      </vt:variant>
      <vt:variant>
        <vt:i4>770</vt:i4>
      </vt:variant>
      <vt:variant>
        <vt:i4>0</vt:i4>
      </vt:variant>
      <vt:variant>
        <vt:i4>5</vt:i4>
      </vt:variant>
      <vt:variant>
        <vt:lpwstr/>
      </vt:variant>
      <vt:variant>
        <vt:lpwstr>_ENREF_26</vt:lpwstr>
      </vt:variant>
      <vt:variant>
        <vt:i4>4325387</vt:i4>
      </vt:variant>
      <vt:variant>
        <vt:i4>749</vt:i4>
      </vt:variant>
      <vt:variant>
        <vt:i4>0</vt:i4>
      </vt:variant>
      <vt:variant>
        <vt:i4>5</vt:i4>
      </vt:variant>
      <vt:variant>
        <vt:lpwstr/>
      </vt:variant>
      <vt:variant>
        <vt:lpwstr>_ENREF_31</vt:lpwstr>
      </vt:variant>
      <vt:variant>
        <vt:i4>4390923</vt:i4>
      </vt:variant>
      <vt:variant>
        <vt:i4>743</vt:i4>
      </vt:variant>
      <vt:variant>
        <vt:i4>0</vt:i4>
      </vt:variant>
      <vt:variant>
        <vt:i4>5</vt:i4>
      </vt:variant>
      <vt:variant>
        <vt:lpwstr/>
      </vt:variant>
      <vt:variant>
        <vt:lpwstr>_ENREF_21</vt:lpwstr>
      </vt:variant>
      <vt:variant>
        <vt:i4>4390923</vt:i4>
      </vt:variant>
      <vt:variant>
        <vt:i4>737</vt:i4>
      </vt:variant>
      <vt:variant>
        <vt:i4>0</vt:i4>
      </vt:variant>
      <vt:variant>
        <vt:i4>5</vt:i4>
      </vt:variant>
      <vt:variant>
        <vt:lpwstr/>
      </vt:variant>
      <vt:variant>
        <vt:lpwstr>_ENREF_2</vt:lpwstr>
      </vt:variant>
      <vt:variant>
        <vt:i4>4194315</vt:i4>
      </vt:variant>
      <vt:variant>
        <vt:i4>734</vt:i4>
      </vt:variant>
      <vt:variant>
        <vt:i4>0</vt:i4>
      </vt:variant>
      <vt:variant>
        <vt:i4>5</vt:i4>
      </vt:variant>
      <vt:variant>
        <vt:lpwstr/>
      </vt:variant>
      <vt:variant>
        <vt:lpwstr>_ENREF_1</vt:lpwstr>
      </vt:variant>
      <vt:variant>
        <vt:i4>4194315</vt:i4>
      </vt:variant>
      <vt:variant>
        <vt:i4>728</vt:i4>
      </vt:variant>
      <vt:variant>
        <vt:i4>0</vt:i4>
      </vt:variant>
      <vt:variant>
        <vt:i4>5</vt:i4>
      </vt:variant>
      <vt:variant>
        <vt:lpwstr/>
      </vt:variant>
      <vt:variant>
        <vt:lpwstr>_ENREF_17</vt:lpwstr>
      </vt:variant>
      <vt:variant>
        <vt:i4>4390923</vt:i4>
      </vt:variant>
      <vt:variant>
        <vt:i4>710</vt:i4>
      </vt:variant>
      <vt:variant>
        <vt:i4>0</vt:i4>
      </vt:variant>
      <vt:variant>
        <vt:i4>5</vt:i4>
      </vt:variant>
      <vt:variant>
        <vt:lpwstr/>
      </vt:variant>
      <vt:variant>
        <vt:lpwstr>_ENREF_22</vt:lpwstr>
      </vt:variant>
      <vt:variant>
        <vt:i4>4325387</vt:i4>
      </vt:variant>
      <vt:variant>
        <vt:i4>677</vt:i4>
      </vt:variant>
      <vt:variant>
        <vt:i4>0</vt:i4>
      </vt:variant>
      <vt:variant>
        <vt:i4>5</vt:i4>
      </vt:variant>
      <vt:variant>
        <vt:lpwstr/>
      </vt:variant>
      <vt:variant>
        <vt:lpwstr>_ENREF_34</vt:lpwstr>
      </vt:variant>
      <vt:variant>
        <vt:i4>4325387</vt:i4>
      </vt:variant>
      <vt:variant>
        <vt:i4>674</vt:i4>
      </vt:variant>
      <vt:variant>
        <vt:i4>0</vt:i4>
      </vt:variant>
      <vt:variant>
        <vt:i4>5</vt:i4>
      </vt:variant>
      <vt:variant>
        <vt:lpwstr/>
      </vt:variant>
      <vt:variant>
        <vt:lpwstr>_ENREF_33</vt:lpwstr>
      </vt:variant>
      <vt:variant>
        <vt:i4>4325387</vt:i4>
      </vt:variant>
      <vt:variant>
        <vt:i4>671</vt:i4>
      </vt:variant>
      <vt:variant>
        <vt:i4>0</vt:i4>
      </vt:variant>
      <vt:variant>
        <vt:i4>5</vt:i4>
      </vt:variant>
      <vt:variant>
        <vt:lpwstr/>
      </vt:variant>
      <vt:variant>
        <vt:lpwstr>_ENREF_32</vt:lpwstr>
      </vt:variant>
      <vt:variant>
        <vt:i4>4784139</vt:i4>
      </vt:variant>
      <vt:variant>
        <vt:i4>668</vt:i4>
      </vt:variant>
      <vt:variant>
        <vt:i4>0</vt:i4>
      </vt:variant>
      <vt:variant>
        <vt:i4>5</vt:i4>
      </vt:variant>
      <vt:variant>
        <vt:lpwstr/>
      </vt:variant>
      <vt:variant>
        <vt:lpwstr>_ENREF_8</vt:lpwstr>
      </vt:variant>
      <vt:variant>
        <vt:i4>4390923</vt:i4>
      </vt:variant>
      <vt:variant>
        <vt:i4>660</vt:i4>
      </vt:variant>
      <vt:variant>
        <vt:i4>0</vt:i4>
      </vt:variant>
      <vt:variant>
        <vt:i4>5</vt:i4>
      </vt:variant>
      <vt:variant>
        <vt:lpwstr/>
      </vt:variant>
      <vt:variant>
        <vt:lpwstr>_ENREF_29</vt:lpwstr>
      </vt:variant>
      <vt:variant>
        <vt:i4>4718603</vt:i4>
      </vt:variant>
      <vt:variant>
        <vt:i4>657</vt:i4>
      </vt:variant>
      <vt:variant>
        <vt:i4>0</vt:i4>
      </vt:variant>
      <vt:variant>
        <vt:i4>5</vt:i4>
      </vt:variant>
      <vt:variant>
        <vt:lpwstr/>
      </vt:variant>
      <vt:variant>
        <vt:lpwstr>_ENREF_9</vt:lpwstr>
      </vt:variant>
      <vt:variant>
        <vt:i4>4784139</vt:i4>
      </vt:variant>
      <vt:variant>
        <vt:i4>654</vt:i4>
      </vt:variant>
      <vt:variant>
        <vt:i4>0</vt:i4>
      </vt:variant>
      <vt:variant>
        <vt:i4>5</vt:i4>
      </vt:variant>
      <vt:variant>
        <vt:lpwstr/>
      </vt:variant>
      <vt:variant>
        <vt:lpwstr>_ENREF_8</vt:lpwstr>
      </vt:variant>
      <vt:variant>
        <vt:i4>4390923</vt:i4>
      </vt:variant>
      <vt:variant>
        <vt:i4>646</vt:i4>
      </vt:variant>
      <vt:variant>
        <vt:i4>0</vt:i4>
      </vt:variant>
      <vt:variant>
        <vt:i4>5</vt:i4>
      </vt:variant>
      <vt:variant>
        <vt:lpwstr/>
      </vt:variant>
      <vt:variant>
        <vt:lpwstr>_ENREF_23</vt:lpwstr>
      </vt:variant>
      <vt:variant>
        <vt:i4>4718603</vt:i4>
      </vt:variant>
      <vt:variant>
        <vt:i4>643</vt:i4>
      </vt:variant>
      <vt:variant>
        <vt:i4>0</vt:i4>
      </vt:variant>
      <vt:variant>
        <vt:i4>5</vt:i4>
      </vt:variant>
      <vt:variant>
        <vt:lpwstr/>
      </vt:variant>
      <vt:variant>
        <vt:lpwstr>_ENREF_9</vt:lpwstr>
      </vt:variant>
      <vt:variant>
        <vt:i4>4521995</vt:i4>
      </vt:variant>
      <vt:variant>
        <vt:i4>640</vt:i4>
      </vt:variant>
      <vt:variant>
        <vt:i4>0</vt:i4>
      </vt:variant>
      <vt:variant>
        <vt:i4>5</vt:i4>
      </vt:variant>
      <vt:variant>
        <vt:lpwstr/>
      </vt:variant>
      <vt:variant>
        <vt:lpwstr>_ENREF_4</vt:lpwstr>
      </vt:variant>
      <vt:variant>
        <vt:i4>4194315</vt:i4>
      </vt:variant>
      <vt:variant>
        <vt:i4>632</vt:i4>
      </vt:variant>
      <vt:variant>
        <vt:i4>0</vt:i4>
      </vt:variant>
      <vt:variant>
        <vt:i4>5</vt:i4>
      </vt:variant>
      <vt:variant>
        <vt:lpwstr/>
      </vt:variant>
      <vt:variant>
        <vt:lpwstr>_ENREF_14</vt:lpwstr>
      </vt:variant>
      <vt:variant>
        <vt:i4>4194315</vt:i4>
      </vt:variant>
      <vt:variant>
        <vt:i4>626</vt:i4>
      </vt:variant>
      <vt:variant>
        <vt:i4>0</vt:i4>
      </vt:variant>
      <vt:variant>
        <vt:i4>5</vt:i4>
      </vt:variant>
      <vt:variant>
        <vt:lpwstr/>
      </vt:variant>
      <vt:variant>
        <vt:lpwstr>_ENREF_12</vt:lpwstr>
      </vt:variant>
      <vt:variant>
        <vt:i4>4194315</vt:i4>
      </vt:variant>
      <vt:variant>
        <vt:i4>620</vt:i4>
      </vt:variant>
      <vt:variant>
        <vt:i4>0</vt:i4>
      </vt:variant>
      <vt:variant>
        <vt:i4>5</vt:i4>
      </vt:variant>
      <vt:variant>
        <vt:lpwstr/>
      </vt:variant>
      <vt:variant>
        <vt:lpwstr>_ENREF_19</vt:lpwstr>
      </vt:variant>
      <vt:variant>
        <vt:i4>4194315</vt:i4>
      </vt:variant>
      <vt:variant>
        <vt:i4>614</vt:i4>
      </vt:variant>
      <vt:variant>
        <vt:i4>0</vt:i4>
      </vt:variant>
      <vt:variant>
        <vt:i4>5</vt:i4>
      </vt:variant>
      <vt:variant>
        <vt:lpwstr/>
      </vt:variant>
      <vt:variant>
        <vt:lpwstr>_ENREF_12</vt:lpwstr>
      </vt:variant>
      <vt:variant>
        <vt:i4>4194315</vt:i4>
      </vt:variant>
      <vt:variant>
        <vt:i4>608</vt:i4>
      </vt:variant>
      <vt:variant>
        <vt:i4>0</vt:i4>
      </vt:variant>
      <vt:variant>
        <vt:i4>5</vt:i4>
      </vt:variant>
      <vt:variant>
        <vt:lpwstr/>
      </vt:variant>
      <vt:variant>
        <vt:lpwstr>_ENREF_15</vt:lpwstr>
      </vt:variant>
      <vt:variant>
        <vt:i4>4390923</vt:i4>
      </vt:variant>
      <vt:variant>
        <vt:i4>602</vt:i4>
      </vt:variant>
      <vt:variant>
        <vt:i4>0</vt:i4>
      </vt:variant>
      <vt:variant>
        <vt:i4>5</vt:i4>
      </vt:variant>
      <vt:variant>
        <vt:lpwstr/>
      </vt:variant>
      <vt:variant>
        <vt:lpwstr>_ENREF_20</vt:lpwstr>
      </vt:variant>
      <vt:variant>
        <vt:i4>4194315</vt:i4>
      </vt:variant>
      <vt:variant>
        <vt:i4>599</vt:i4>
      </vt:variant>
      <vt:variant>
        <vt:i4>0</vt:i4>
      </vt:variant>
      <vt:variant>
        <vt:i4>5</vt:i4>
      </vt:variant>
      <vt:variant>
        <vt:lpwstr/>
      </vt:variant>
      <vt:variant>
        <vt:lpwstr>_ENREF_10</vt:lpwstr>
      </vt:variant>
      <vt:variant>
        <vt:i4>4587531</vt:i4>
      </vt:variant>
      <vt:variant>
        <vt:i4>596</vt:i4>
      </vt:variant>
      <vt:variant>
        <vt:i4>0</vt:i4>
      </vt:variant>
      <vt:variant>
        <vt:i4>5</vt:i4>
      </vt:variant>
      <vt:variant>
        <vt:lpwstr/>
      </vt:variant>
      <vt:variant>
        <vt:lpwstr>_ENREF_7</vt:lpwstr>
      </vt:variant>
      <vt:variant>
        <vt:i4>4194315</vt:i4>
      </vt:variant>
      <vt:variant>
        <vt:i4>588</vt:i4>
      </vt:variant>
      <vt:variant>
        <vt:i4>0</vt:i4>
      </vt:variant>
      <vt:variant>
        <vt:i4>5</vt:i4>
      </vt:variant>
      <vt:variant>
        <vt:lpwstr/>
      </vt:variant>
      <vt:variant>
        <vt:lpwstr>_ENREF_15</vt:lpwstr>
      </vt:variant>
      <vt:variant>
        <vt:i4>4194315</vt:i4>
      </vt:variant>
      <vt:variant>
        <vt:i4>582</vt:i4>
      </vt:variant>
      <vt:variant>
        <vt:i4>0</vt:i4>
      </vt:variant>
      <vt:variant>
        <vt:i4>5</vt:i4>
      </vt:variant>
      <vt:variant>
        <vt:lpwstr/>
      </vt:variant>
      <vt:variant>
        <vt:lpwstr>_ENREF_18</vt:lpwstr>
      </vt:variant>
      <vt:variant>
        <vt:i4>4718603</vt:i4>
      </vt:variant>
      <vt:variant>
        <vt:i4>576</vt:i4>
      </vt:variant>
      <vt:variant>
        <vt:i4>0</vt:i4>
      </vt:variant>
      <vt:variant>
        <vt:i4>5</vt:i4>
      </vt:variant>
      <vt:variant>
        <vt:lpwstr/>
      </vt:variant>
      <vt:variant>
        <vt:lpwstr>_ENREF_9</vt:lpwstr>
      </vt:variant>
      <vt:variant>
        <vt:i4>4390923</vt:i4>
      </vt:variant>
      <vt:variant>
        <vt:i4>570</vt:i4>
      </vt:variant>
      <vt:variant>
        <vt:i4>0</vt:i4>
      </vt:variant>
      <vt:variant>
        <vt:i4>5</vt:i4>
      </vt:variant>
      <vt:variant>
        <vt:lpwstr/>
      </vt:variant>
      <vt:variant>
        <vt:lpwstr>_ENREF_28</vt:lpwstr>
      </vt:variant>
      <vt:variant>
        <vt:i4>4390923</vt:i4>
      </vt:variant>
      <vt:variant>
        <vt:i4>562</vt:i4>
      </vt:variant>
      <vt:variant>
        <vt:i4>0</vt:i4>
      </vt:variant>
      <vt:variant>
        <vt:i4>5</vt:i4>
      </vt:variant>
      <vt:variant>
        <vt:lpwstr/>
      </vt:variant>
      <vt:variant>
        <vt:lpwstr>_ENREF_28</vt:lpwstr>
      </vt:variant>
      <vt:variant>
        <vt:i4>4194315</vt:i4>
      </vt:variant>
      <vt:variant>
        <vt:i4>559</vt:i4>
      </vt:variant>
      <vt:variant>
        <vt:i4>0</vt:i4>
      </vt:variant>
      <vt:variant>
        <vt:i4>5</vt:i4>
      </vt:variant>
      <vt:variant>
        <vt:lpwstr/>
      </vt:variant>
      <vt:variant>
        <vt:lpwstr>_ENREF_18</vt:lpwstr>
      </vt:variant>
      <vt:variant>
        <vt:i4>4390923</vt:i4>
      </vt:variant>
      <vt:variant>
        <vt:i4>551</vt:i4>
      </vt:variant>
      <vt:variant>
        <vt:i4>0</vt:i4>
      </vt:variant>
      <vt:variant>
        <vt:i4>5</vt:i4>
      </vt:variant>
      <vt:variant>
        <vt:lpwstr/>
      </vt:variant>
      <vt:variant>
        <vt:lpwstr>_ENREF_27</vt:lpwstr>
      </vt:variant>
      <vt:variant>
        <vt:i4>4325387</vt:i4>
      </vt:variant>
      <vt:variant>
        <vt:i4>543</vt:i4>
      </vt:variant>
      <vt:variant>
        <vt:i4>0</vt:i4>
      </vt:variant>
      <vt:variant>
        <vt:i4>5</vt:i4>
      </vt:variant>
      <vt:variant>
        <vt:lpwstr/>
      </vt:variant>
      <vt:variant>
        <vt:lpwstr>_ENREF_33</vt:lpwstr>
      </vt:variant>
      <vt:variant>
        <vt:i4>4194315</vt:i4>
      </vt:variant>
      <vt:variant>
        <vt:i4>540</vt:i4>
      </vt:variant>
      <vt:variant>
        <vt:i4>0</vt:i4>
      </vt:variant>
      <vt:variant>
        <vt:i4>5</vt:i4>
      </vt:variant>
      <vt:variant>
        <vt:lpwstr/>
      </vt:variant>
      <vt:variant>
        <vt:lpwstr>_ENREF_18</vt:lpwstr>
      </vt:variant>
      <vt:variant>
        <vt:i4>4325387</vt:i4>
      </vt:variant>
      <vt:variant>
        <vt:i4>532</vt:i4>
      </vt:variant>
      <vt:variant>
        <vt:i4>0</vt:i4>
      </vt:variant>
      <vt:variant>
        <vt:i4>5</vt:i4>
      </vt:variant>
      <vt:variant>
        <vt:lpwstr/>
      </vt:variant>
      <vt:variant>
        <vt:lpwstr>_ENREF_33</vt:lpwstr>
      </vt:variant>
      <vt:variant>
        <vt:i4>4653067</vt:i4>
      </vt:variant>
      <vt:variant>
        <vt:i4>529</vt:i4>
      </vt:variant>
      <vt:variant>
        <vt:i4>0</vt:i4>
      </vt:variant>
      <vt:variant>
        <vt:i4>5</vt:i4>
      </vt:variant>
      <vt:variant>
        <vt:lpwstr/>
      </vt:variant>
      <vt:variant>
        <vt:lpwstr>_ENREF_6</vt:lpwstr>
      </vt:variant>
      <vt:variant>
        <vt:i4>4325387</vt:i4>
      </vt:variant>
      <vt:variant>
        <vt:i4>521</vt:i4>
      </vt:variant>
      <vt:variant>
        <vt:i4>0</vt:i4>
      </vt:variant>
      <vt:variant>
        <vt:i4>5</vt:i4>
      </vt:variant>
      <vt:variant>
        <vt:lpwstr/>
      </vt:variant>
      <vt:variant>
        <vt:lpwstr>_ENREF_33</vt:lpwstr>
      </vt:variant>
      <vt:variant>
        <vt:i4>4194315</vt:i4>
      </vt:variant>
      <vt:variant>
        <vt:i4>513</vt:i4>
      </vt:variant>
      <vt:variant>
        <vt:i4>0</vt:i4>
      </vt:variant>
      <vt:variant>
        <vt:i4>5</vt:i4>
      </vt:variant>
      <vt:variant>
        <vt:lpwstr/>
      </vt:variant>
      <vt:variant>
        <vt:lpwstr>_ENREF_12</vt:lpwstr>
      </vt:variant>
      <vt:variant>
        <vt:i4>4194315</vt:i4>
      </vt:variant>
      <vt:variant>
        <vt:i4>507</vt:i4>
      </vt:variant>
      <vt:variant>
        <vt:i4>0</vt:i4>
      </vt:variant>
      <vt:variant>
        <vt:i4>5</vt:i4>
      </vt:variant>
      <vt:variant>
        <vt:lpwstr/>
      </vt:variant>
      <vt:variant>
        <vt:lpwstr>_ENREF_12</vt:lpwstr>
      </vt:variant>
      <vt:variant>
        <vt:i4>4718603</vt:i4>
      </vt:variant>
      <vt:variant>
        <vt:i4>504</vt:i4>
      </vt:variant>
      <vt:variant>
        <vt:i4>0</vt:i4>
      </vt:variant>
      <vt:variant>
        <vt:i4>5</vt:i4>
      </vt:variant>
      <vt:variant>
        <vt:lpwstr/>
      </vt:variant>
      <vt:variant>
        <vt:lpwstr>_ENREF_9</vt:lpwstr>
      </vt:variant>
      <vt:variant>
        <vt:i4>4456459</vt:i4>
      </vt:variant>
      <vt:variant>
        <vt:i4>496</vt:i4>
      </vt:variant>
      <vt:variant>
        <vt:i4>0</vt:i4>
      </vt:variant>
      <vt:variant>
        <vt:i4>5</vt:i4>
      </vt:variant>
      <vt:variant>
        <vt:lpwstr/>
      </vt:variant>
      <vt:variant>
        <vt:lpwstr>_ENREF_5</vt:lpwstr>
      </vt:variant>
      <vt:variant>
        <vt:i4>4194315</vt:i4>
      </vt:variant>
      <vt:variant>
        <vt:i4>488</vt:i4>
      </vt:variant>
      <vt:variant>
        <vt:i4>0</vt:i4>
      </vt:variant>
      <vt:variant>
        <vt:i4>5</vt:i4>
      </vt:variant>
      <vt:variant>
        <vt:lpwstr/>
      </vt:variant>
      <vt:variant>
        <vt:lpwstr>_ENREF_10</vt:lpwstr>
      </vt:variant>
      <vt:variant>
        <vt:i4>4587531</vt:i4>
      </vt:variant>
      <vt:variant>
        <vt:i4>485</vt:i4>
      </vt:variant>
      <vt:variant>
        <vt:i4>0</vt:i4>
      </vt:variant>
      <vt:variant>
        <vt:i4>5</vt:i4>
      </vt:variant>
      <vt:variant>
        <vt:lpwstr/>
      </vt:variant>
      <vt:variant>
        <vt:lpwstr>_ENREF_7</vt:lpwstr>
      </vt:variant>
      <vt:variant>
        <vt:i4>4194315</vt:i4>
      </vt:variant>
      <vt:variant>
        <vt:i4>477</vt:i4>
      </vt:variant>
      <vt:variant>
        <vt:i4>0</vt:i4>
      </vt:variant>
      <vt:variant>
        <vt:i4>5</vt:i4>
      </vt:variant>
      <vt:variant>
        <vt:lpwstr/>
      </vt:variant>
      <vt:variant>
        <vt:lpwstr>_ENREF_10</vt:lpwstr>
      </vt:variant>
      <vt:variant>
        <vt:i4>4587531</vt:i4>
      </vt:variant>
      <vt:variant>
        <vt:i4>471</vt:i4>
      </vt:variant>
      <vt:variant>
        <vt:i4>0</vt:i4>
      </vt:variant>
      <vt:variant>
        <vt:i4>5</vt:i4>
      </vt:variant>
      <vt:variant>
        <vt:lpwstr/>
      </vt:variant>
      <vt:variant>
        <vt:lpwstr>_ENREF_7</vt:lpwstr>
      </vt:variant>
      <vt:variant>
        <vt:i4>4194315</vt:i4>
      </vt:variant>
      <vt:variant>
        <vt:i4>465</vt:i4>
      </vt:variant>
      <vt:variant>
        <vt:i4>0</vt:i4>
      </vt:variant>
      <vt:variant>
        <vt:i4>5</vt:i4>
      </vt:variant>
      <vt:variant>
        <vt:lpwstr/>
      </vt:variant>
      <vt:variant>
        <vt:lpwstr>_ENREF_10</vt:lpwstr>
      </vt:variant>
      <vt:variant>
        <vt:i4>4587531</vt:i4>
      </vt:variant>
      <vt:variant>
        <vt:i4>462</vt:i4>
      </vt:variant>
      <vt:variant>
        <vt:i4>0</vt:i4>
      </vt:variant>
      <vt:variant>
        <vt:i4>5</vt:i4>
      </vt:variant>
      <vt:variant>
        <vt:lpwstr/>
      </vt:variant>
      <vt:variant>
        <vt:lpwstr>_ENREF_7</vt:lpwstr>
      </vt:variant>
      <vt:variant>
        <vt:i4>4325387</vt:i4>
      </vt:variant>
      <vt:variant>
        <vt:i4>454</vt:i4>
      </vt:variant>
      <vt:variant>
        <vt:i4>0</vt:i4>
      </vt:variant>
      <vt:variant>
        <vt:i4>5</vt:i4>
      </vt:variant>
      <vt:variant>
        <vt:lpwstr/>
      </vt:variant>
      <vt:variant>
        <vt:lpwstr>_ENREF_30</vt:lpwstr>
      </vt:variant>
      <vt:variant>
        <vt:i4>4194315</vt:i4>
      </vt:variant>
      <vt:variant>
        <vt:i4>446</vt:i4>
      </vt:variant>
      <vt:variant>
        <vt:i4>0</vt:i4>
      </vt:variant>
      <vt:variant>
        <vt:i4>5</vt:i4>
      </vt:variant>
      <vt:variant>
        <vt:lpwstr/>
      </vt:variant>
      <vt:variant>
        <vt:lpwstr>_ENREF_16</vt:lpwstr>
      </vt:variant>
      <vt:variant>
        <vt:i4>4194315</vt:i4>
      </vt:variant>
      <vt:variant>
        <vt:i4>443</vt:i4>
      </vt:variant>
      <vt:variant>
        <vt:i4>0</vt:i4>
      </vt:variant>
      <vt:variant>
        <vt:i4>5</vt:i4>
      </vt:variant>
      <vt:variant>
        <vt:lpwstr/>
      </vt:variant>
      <vt:variant>
        <vt:lpwstr>_ENREF_10</vt:lpwstr>
      </vt:variant>
      <vt:variant>
        <vt:i4>4587531</vt:i4>
      </vt:variant>
      <vt:variant>
        <vt:i4>435</vt:i4>
      </vt:variant>
      <vt:variant>
        <vt:i4>0</vt:i4>
      </vt:variant>
      <vt:variant>
        <vt:i4>5</vt:i4>
      </vt:variant>
      <vt:variant>
        <vt:lpwstr/>
      </vt:variant>
      <vt:variant>
        <vt:lpwstr>_ENREF_7</vt:lpwstr>
      </vt:variant>
      <vt:variant>
        <vt:i4>6684772</vt:i4>
      </vt:variant>
      <vt:variant>
        <vt:i4>430</vt:i4>
      </vt:variant>
      <vt:variant>
        <vt:i4>0</vt:i4>
      </vt:variant>
      <vt:variant>
        <vt:i4>5</vt:i4>
      </vt:variant>
      <vt:variant>
        <vt:lpwstr>http://www.gesa.org.au/consumer.asp?cid=7&amp;id=79</vt:lpwstr>
      </vt:variant>
      <vt:variant>
        <vt:lpwstr/>
      </vt:variant>
      <vt:variant>
        <vt:i4>5767182</vt:i4>
      </vt:variant>
      <vt:variant>
        <vt:i4>427</vt:i4>
      </vt:variant>
      <vt:variant>
        <vt:i4>0</vt:i4>
      </vt:variant>
      <vt:variant>
        <vt:i4>5</vt:i4>
      </vt:variant>
      <vt:variant>
        <vt:lpwstr>http://www.aboutgerd.org/</vt:lpwstr>
      </vt:variant>
      <vt:variant>
        <vt:lpwstr/>
      </vt:variant>
      <vt:variant>
        <vt:i4>4194315</vt:i4>
      </vt:variant>
      <vt:variant>
        <vt:i4>423</vt:i4>
      </vt:variant>
      <vt:variant>
        <vt:i4>0</vt:i4>
      </vt:variant>
      <vt:variant>
        <vt:i4>5</vt:i4>
      </vt:variant>
      <vt:variant>
        <vt:lpwstr/>
      </vt:variant>
      <vt:variant>
        <vt:lpwstr>_ENREF_11</vt:lpwstr>
      </vt:variant>
      <vt:variant>
        <vt:i4>4194315</vt:i4>
      </vt:variant>
      <vt:variant>
        <vt:i4>420</vt:i4>
      </vt:variant>
      <vt:variant>
        <vt:i4>0</vt:i4>
      </vt:variant>
      <vt:variant>
        <vt:i4>5</vt:i4>
      </vt:variant>
      <vt:variant>
        <vt:lpwstr/>
      </vt:variant>
      <vt:variant>
        <vt:lpwstr>_ENREF_10</vt:lpwstr>
      </vt:variant>
      <vt:variant>
        <vt:i4>4194315</vt:i4>
      </vt:variant>
      <vt:variant>
        <vt:i4>412</vt:i4>
      </vt:variant>
      <vt:variant>
        <vt:i4>0</vt:i4>
      </vt:variant>
      <vt:variant>
        <vt:i4>5</vt:i4>
      </vt:variant>
      <vt:variant>
        <vt:lpwstr/>
      </vt:variant>
      <vt:variant>
        <vt:lpwstr>_ENREF_12</vt:lpwstr>
      </vt:variant>
      <vt:variant>
        <vt:i4>4325387</vt:i4>
      </vt:variant>
      <vt:variant>
        <vt:i4>409</vt:i4>
      </vt:variant>
      <vt:variant>
        <vt:i4>0</vt:i4>
      </vt:variant>
      <vt:variant>
        <vt:i4>5</vt:i4>
      </vt:variant>
      <vt:variant>
        <vt:lpwstr/>
      </vt:variant>
      <vt:variant>
        <vt:lpwstr>_ENREF_3</vt:lpwstr>
      </vt:variant>
      <vt:variant>
        <vt:i4>4587531</vt:i4>
      </vt:variant>
      <vt:variant>
        <vt:i4>401</vt:i4>
      </vt:variant>
      <vt:variant>
        <vt:i4>0</vt:i4>
      </vt:variant>
      <vt:variant>
        <vt:i4>5</vt:i4>
      </vt:variant>
      <vt:variant>
        <vt:lpwstr/>
      </vt:variant>
      <vt:variant>
        <vt:lpwstr>_ENREF_7</vt:lpwstr>
      </vt:variant>
      <vt:variant>
        <vt:i4>1835059</vt:i4>
      </vt:variant>
      <vt:variant>
        <vt:i4>392</vt:i4>
      </vt:variant>
      <vt:variant>
        <vt:i4>0</vt:i4>
      </vt:variant>
      <vt:variant>
        <vt:i4>5</vt:i4>
      </vt:variant>
      <vt:variant>
        <vt:lpwstr/>
      </vt:variant>
      <vt:variant>
        <vt:lpwstr>_Toc356463093</vt:lpwstr>
      </vt:variant>
      <vt:variant>
        <vt:i4>1835059</vt:i4>
      </vt:variant>
      <vt:variant>
        <vt:i4>386</vt:i4>
      </vt:variant>
      <vt:variant>
        <vt:i4>0</vt:i4>
      </vt:variant>
      <vt:variant>
        <vt:i4>5</vt:i4>
      </vt:variant>
      <vt:variant>
        <vt:lpwstr/>
      </vt:variant>
      <vt:variant>
        <vt:lpwstr>_Toc356463092</vt:lpwstr>
      </vt:variant>
      <vt:variant>
        <vt:i4>1310768</vt:i4>
      </vt:variant>
      <vt:variant>
        <vt:i4>377</vt:i4>
      </vt:variant>
      <vt:variant>
        <vt:i4>0</vt:i4>
      </vt:variant>
      <vt:variant>
        <vt:i4>5</vt:i4>
      </vt:variant>
      <vt:variant>
        <vt:lpwstr/>
      </vt:variant>
      <vt:variant>
        <vt:lpwstr>_Toc257626766</vt:lpwstr>
      </vt:variant>
      <vt:variant>
        <vt:i4>1310768</vt:i4>
      </vt:variant>
      <vt:variant>
        <vt:i4>371</vt:i4>
      </vt:variant>
      <vt:variant>
        <vt:i4>0</vt:i4>
      </vt:variant>
      <vt:variant>
        <vt:i4>5</vt:i4>
      </vt:variant>
      <vt:variant>
        <vt:lpwstr/>
      </vt:variant>
      <vt:variant>
        <vt:lpwstr>_Toc257626765</vt:lpwstr>
      </vt:variant>
      <vt:variant>
        <vt:i4>1310768</vt:i4>
      </vt:variant>
      <vt:variant>
        <vt:i4>362</vt:i4>
      </vt:variant>
      <vt:variant>
        <vt:i4>0</vt:i4>
      </vt:variant>
      <vt:variant>
        <vt:i4>5</vt:i4>
      </vt:variant>
      <vt:variant>
        <vt:lpwstr/>
      </vt:variant>
      <vt:variant>
        <vt:lpwstr>_Toc257626764</vt:lpwstr>
      </vt:variant>
      <vt:variant>
        <vt:i4>1310768</vt:i4>
      </vt:variant>
      <vt:variant>
        <vt:i4>356</vt:i4>
      </vt:variant>
      <vt:variant>
        <vt:i4>0</vt:i4>
      </vt:variant>
      <vt:variant>
        <vt:i4>5</vt:i4>
      </vt:variant>
      <vt:variant>
        <vt:lpwstr/>
      </vt:variant>
      <vt:variant>
        <vt:lpwstr>_Toc257626763</vt:lpwstr>
      </vt:variant>
      <vt:variant>
        <vt:i4>1310768</vt:i4>
      </vt:variant>
      <vt:variant>
        <vt:i4>350</vt:i4>
      </vt:variant>
      <vt:variant>
        <vt:i4>0</vt:i4>
      </vt:variant>
      <vt:variant>
        <vt:i4>5</vt:i4>
      </vt:variant>
      <vt:variant>
        <vt:lpwstr/>
      </vt:variant>
      <vt:variant>
        <vt:lpwstr>_Toc257626762</vt:lpwstr>
      </vt:variant>
      <vt:variant>
        <vt:i4>1310768</vt:i4>
      </vt:variant>
      <vt:variant>
        <vt:i4>344</vt:i4>
      </vt:variant>
      <vt:variant>
        <vt:i4>0</vt:i4>
      </vt:variant>
      <vt:variant>
        <vt:i4>5</vt:i4>
      </vt:variant>
      <vt:variant>
        <vt:lpwstr/>
      </vt:variant>
      <vt:variant>
        <vt:lpwstr>_Toc257626761</vt:lpwstr>
      </vt:variant>
      <vt:variant>
        <vt:i4>1310768</vt:i4>
      </vt:variant>
      <vt:variant>
        <vt:i4>338</vt:i4>
      </vt:variant>
      <vt:variant>
        <vt:i4>0</vt:i4>
      </vt:variant>
      <vt:variant>
        <vt:i4>5</vt:i4>
      </vt:variant>
      <vt:variant>
        <vt:lpwstr/>
      </vt:variant>
      <vt:variant>
        <vt:lpwstr>_Toc257626760</vt:lpwstr>
      </vt:variant>
      <vt:variant>
        <vt:i4>1507376</vt:i4>
      </vt:variant>
      <vt:variant>
        <vt:i4>332</vt:i4>
      </vt:variant>
      <vt:variant>
        <vt:i4>0</vt:i4>
      </vt:variant>
      <vt:variant>
        <vt:i4>5</vt:i4>
      </vt:variant>
      <vt:variant>
        <vt:lpwstr/>
      </vt:variant>
      <vt:variant>
        <vt:lpwstr>_Toc257626759</vt:lpwstr>
      </vt:variant>
      <vt:variant>
        <vt:i4>1048627</vt:i4>
      </vt:variant>
      <vt:variant>
        <vt:i4>323</vt:i4>
      </vt:variant>
      <vt:variant>
        <vt:i4>0</vt:i4>
      </vt:variant>
      <vt:variant>
        <vt:i4>5</vt:i4>
      </vt:variant>
      <vt:variant>
        <vt:lpwstr/>
      </vt:variant>
      <vt:variant>
        <vt:lpwstr>_Toc356463050</vt:lpwstr>
      </vt:variant>
      <vt:variant>
        <vt:i4>1114163</vt:i4>
      </vt:variant>
      <vt:variant>
        <vt:i4>317</vt:i4>
      </vt:variant>
      <vt:variant>
        <vt:i4>0</vt:i4>
      </vt:variant>
      <vt:variant>
        <vt:i4>5</vt:i4>
      </vt:variant>
      <vt:variant>
        <vt:lpwstr/>
      </vt:variant>
      <vt:variant>
        <vt:lpwstr>_Toc356463049</vt:lpwstr>
      </vt:variant>
      <vt:variant>
        <vt:i4>1114163</vt:i4>
      </vt:variant>
      <vt:variant>
        <vt:i4>311</vt:i4>
      </vt:variant>
      <vt:variant>
        <vt:i4>0</vt:i4>
      </vt:variant>
      <vt:variant>
        <vt:i4>5</vt:i4>
      </vt:variant>
      <vt:variant>
        <vt:lpwstr/>
      </vt:variant>
      <vt:variant>
        <vt:lpwstr>_Toc356463048</vt:lpwstr>
      </vt:variant>
      <vt:variant>
        <vt:i4>1114163</vt:i4>
      </vt:variant>
      <vt:variant>
        <vt:i4>305</vt:i4>
      </vt:variant>
      <vt:variant>
        <vt:i4>0</vt:i4>
      </vt:variant>
      <vt:variant>
        <vt:i4>5</vt:i4>
      </vt:variant>
      <vt:variant>
        <vt:lpwstr/>
      </vt:variant>
      <vt:variant>
        <vt:lpwstr>_Toc356463047</vt:lpwstr>
      </vt:variant>
      <vt:variant>
        <vt:i4>1114163</vt:i4>
      </vt:variant>
      <vt:variant>
        <vt:i4>299</vt:i4>
      </vt:variant>
      <vt:variant>
        <vt:i4>0</vt:i4>
      </vt:variant>
      <vt:variant>
        <vt:i4>5</vt:i4>
      </vt:variant>
      <vt:variant>
        <vt:lpwstr/>
      </vt:variant>
      <vt:variant>
        <vt:lpwstr>_Toc356463046</vt:lpwstr>
      </vt:variant>
      <vt:variant>
        <vt:i4>1114163</vt:i4>
      </vt:variant>
      <vt:variant>
        <vt:i4>293</vt:i4>
      </vt:variant>
      <vt:variant>
        <vt:i4>0</vt:i4>
      </vt:variant>
      <vt:variant>
        <vt:i4>5</vt:i4>
      </vt:variant>
      <vt:variant>
        <vt:lpwstr/>
      </vt:variant>
      <vt:variant>
        <vt:lpwstr>_Toc356463045</vt:lpwstr>
      </vt:variant>
      <vt:variant>
        <vt:i4>1114163</vt:i4>
      </vt:variant>
      <vt:variant>
        <vt:i4>287</vt:i4>
      </vt:variant>
      <vt:variant>
        <vt:i4>0</vt:i4>
      </vt:variant>
      <vt:variant>
        <vt:i4>5</vt:i4>
      </vt:variant>
      <vt:variant>
        <vt:lpwstr/>
      </vt:variant>
      <vt:variant>
        <vt:lpwstr>_Toc356463044</vt:lpwstr>
      </vt:variant>
      <vt:variant>
        <vt:i4>1114163</vt:i4>
      </vt:variant>
      <vt:variant>
        <vt:i4>281</vt:i4>
      </vt:variant>
      <vt:variant>
        <vt:i4>0</vt:i4>
      </vt:variant>
      <vt:variant>
        <vt:i4>5</vt:i4>
      </vt:variant>
      <vt:variant>
        <vt:lpwstr/>
      </vt:variant>
      <vt:variant>
        <vt:lpwstr>_Toc356463043</vt:lpwstr>
      </vt:variant>
      <vt:variant>
        <vt:i4>1114163</vt:i4>
      </vt:variant>
      <vt:variant>
        <vt:i4>275</vt:i4>
      </vt:variant>
      <vt:variant>
        <vt:i4>0</vt:i4>
      </vt:variant>
      <vt:variant>
        <vt:i4>5</vt:i4>
      </vt:variant>
      <vt:variant>
        <vt:lpwstr/>
      </vt:variant>
      <vt:variant>
        <vt:lpwstr>_Toc356463042</vt:lpwstr>
      </vt:variant>
      <vt:variant>
        <vt:i4>1114163</vt:i4>
      </vt:variant>
      <vt:variant>
        <vt:i4>269</vt:i4>
      </vt:variant>
      <vt:variant>
        <vt:i4>0</vt:i4>
      </vt:variant>
      <vt:variant>
        <vt:i4>5</vt:i4>
      </vt:variant>
      <vt:variant>
        <vt:lpwstr/>
      </vt:variant>
      <vt:variant>
        <vt:lpwstr>_Toc356463041</vt:lpwstr>
      </vt:variant>
      <vt:variant>
        <vt:i4>1114163</vt:i4>
      </vt:variant>
      <vt:variant>
        <vt:i4>263</vt:i4>
      </vt:variant>
      <vt:variant>
        <vt:i4>0</vt:i4>
      </vt:variant>
      <vt:variant>
        <vt:i4>5</vt:i4>
      </vt:variant>
      <vt:variant>
        <vt:lpwstr/>
      </vt:variant>
      <vt:variant>
        <vt:lpwstr>_Toc356463040</vt:lpwstr>
      </vt:variant>
      <vt:variant>
        <vt:i4>1441843</vt:i4>
      </vt:variant>
      <vt:variant>
        <vt:i4>257</vt:i4>
      </vt:variant>
      <vt:variant>
        <vt:i4>0</vt:i4>
      </vt:variant>
      <vt:variant>
        <vt:i4>5</vt:i4>
      </vt:variant>
      <vt:variant>
        <vt:lpwstr/>
      </vt:variant>
      <vt:variant>
        <vt:lpwstr>_Toc356463039</vt:lpwstr>
      </vt:variant>
      <vt:variant>
        <vt:i4>1441843</vt:i4>
      </vt:variant>
      <vt:variant>
        <vt:i4>251</vt:i4>
      </vt:variant>
      <vt:variant>
        <vt:i4>0</vt:i4>
      </vt:variant>
      <vt:variant>
        <vt:i4>5</vt:i4>
      </vt:variant>
      <vt:variant>
        <vt:lpwstr/>
      </vt:variant>
      <vt:variant>
        <vt:lpwstr>_Toc356463038</vt:lpwstr>
      </vt:variant>
      <vt:variant>
        <vt:i4>1441843</vt:i4>
      </vt:variant>
      <vt:variant>
        <vt:i4>245</vt:i4>
      </vt:variant>
      <vt:variant>
        <vt:i4>0</vt:i4>
      </vt:variant>
      <vt:variant>
        <vt:i4>5</vt:i4>
      </vt:variant>
      <vt:variant>
        <vt:lpwstr/>
      </vt:variant>
      <vt:variant>
        <vt:lpwstr>_Toc356463037</vt:lpwstr>
      </vt:variant>
      <vt:variant>
        <vt:i4>1441843</vt:i4>
      </vt:variant>
      <vt:variant>
        <vt:i4>239</vt:i4>
      </vt:variant>
      <vt:variant>
        <vt:i4>0</vt:i4>
      </vt:variant>
      <vt:variant>
        <vt:i4>5</vt:i4>
      </vt:variant>
      <vt:variant>
        <vt:lpwstr/>
      </vt:variant>
      <vt:variant>
        <vt:lpwstr>_Toc356463036</vt:lpwstr>
      </vt:variant>
      <vt:variant>
        <vt:i4>1441843</vt:i4>
      </vt:variant>
      <vt:variant>
        <vt:i4>233</vt:i4>
      </vt:variant>
      <vt:variant>
        <vt:i4>0</vt:i4>
      </vt:variant>
      <vt:variant>
        <vt:i4>5</vt:i4>
      </vt:variant>
      <vt:variant>
        <vt:lpwstr/>
      </vt:variant>
      <vt:variant>
        <vt:lpwstr>_Toc356463035</vt:lpwstr>
      </vt:variant>
      <vt:variant>
        <vt:i4>1441843</vt:i4>
      </vt:variant>
      <vt:variant>
        <vt:i4>227</vt:i4>
      </vt:variant>
      <vt:variant>
        <vt:i4>0</vt:i4>
      </vt:variant>
      <vt:variant>
        <vt:i4>5</vt:i4>
      </vt:variant>
      <vt:variant>
        <vt:lpwstr/>
      </vt:variant>
      <vt:variant>
        <vt:lpwstr>_Toc356463034</vt:lpwstr>
      </vt:variant>
      <vt:variant>
        <vt:i4>1441843</vt:i4>
      </vt:variant>
      <vt:variant>
        <vt:i4>221</vt:i4>
      </vt:variant>
      <vt:variant>
        <vt:i4>0</vt:i4>
      </vt:variant>
      <vt:variant>
        <vt:i4>5</vt:i4>
      </vt:variant>
      <vt:variant>
        <vt:lpwstr/>
      </vt:variant>
      <vt:variant>
        <vt:lpwstr>_Toc356463033</vt:lpwstr>
      </vt:variant>
      <vt:variant>
        <vt:i4>1441843</vt:i4>
      </vt:variant>
      <vt:variant>
        <vt:i4>215</vt:i4>
      </vt:variant>
      <vt:variant>
        <vt:i4>0</vt:i4>
      </vt:variant>
      <vt:variant>
        <vt:i4>5</vt:i4>
      </vt:variant>
      <vt:variant>
        <vt:lpwstr/>
      </vt:variant>
      <vt:variant>
        <vt:lpwstr>_Toc356463032</vt:lpwstr>
      </vt:variant>
      <vt:variant>
        <vt:i4>1441843</vt:i4>
      </vt:variant>
      <vt:variant>
        <vt:i4>209</vt:i4>
      </vt:variant>
      <vt:variant>
        <vt:i4>0</vt:i4>
      </vt:variant>
      <vt:variant>
        <vt:i4>5</vt:i4>
      </vt:variant>
      <vt:variant>
        <vt:lpwstr/>
      </vt:variant>
      <vt:variant>
        <vt:lpwstr>_Toc356463031</vt:lpwstr>
      </vt:variant>
      <vt:variant>
        <vt:i4>1441843</vt:i4>
      </vt:variant>
      <vt:variant>
        <vt:i4>203</vt:i4>
      </vt:variant>
      <vt:variant>
        <vt:i4>0</vt:i4>
      </vt:variant>
      <vt:variant>
        <vt:i4>5</vt:i4>
      </vt:variant>
      <vt:variant>
        <vt:lpwstr/>
      </vt:variant>
      <vt:variant>
        <vt:lpwstr>_Toc356463030</vt:lpwstr>
      </vt:variant>
      <vt:variant>
        <vt:i4>1507379</vt:i4>
      </vt:variant>
      <vt:variant>
        <vt:i4>197</vt:i4>
      </vt:variant>
      <vt:variant>
        <vt:i4>0</vt:i4>
      </vt:variant>
      <vt:variant>
        <vt:i4>5</vt:i4>
      </vt:variant>
      <vt:variant>
        <vt:lpwstr/>
      </vt:variant>
      <vt:variant>
        <vt:lpwstr>_Toc356463029</vt:lpwstr>
      </vt:variant>
      <vt:variant>
        <vt:i4>1507379</vt:i4>
      </vt:variant>
      <vt:variant>
        <vt:i4>191</vt:i4>
      </vt:variant>
      <vt:variant>
        <vt:i4>0</vt:i4>
      </vt:variant>
      <vt:variant>
        <vt:i4>5</vt:i4>
      </vt:variant>
      <vt:variant>
        <vt:lpwstr/>
      </vt:variant>
      <vt:variant>
        <vt:lpwstr>_Toc356463028</vt:lpwstr>
      </vt:variant>
      <vt:variant>
        <vt:i4>1507379</vt:i4>
      </vt:variant>
      <vt:variant>
        <vt:i4>185</vt:i4>
      </vt:variant>
      <vt:variant>
        <vt:i4>0</vt:i4>
      </vt:variant>
      <vt:variant>
        <vt:i4>5</vt:i4>
      </vt:variant>
      <vt:variant>
        <vt:lpwstr/>
      </vt:variant>
      <vt:variant>
        <vt:lpwstr>_Toc356463027</vt:lpwstr>
      </vt:variant>
      <vt:variant>
        <vt:i4>1507379</vt:i4>
      </vt:variant>
      <vt:variant>
        <vt:i4>179</vt:i4>
      </vt:variant>
      <vt:variant>
        <vt:i4>0</vt:i4>
      </vt:variant>
      <vt:variant>
        <vt:i4>5</vt:i4>
      </vt:variant>
      <vt:variant>
        <vt:lpwstr/>
      </vt:variant>
      <vt:variant>
        <vt:lpwstr>_Toc356463026</vt:lpwstr>
      </vt:variant>
      <vt:variant>
        <vt:i4>1507379</vt:i4>
      </vt:variant>
      <vt:variant>
        <vt:i4>173</vt:i4>
      </vt:variant>
      <vt:variant>
        <vt:i4>0</vt:i4>
      </vt:variant>
      <vt:variant>
        <vt:i4>5</vt:i4>
      </vt:variant>
      <vt:variant>
        <vt:lpwstr/>
      </vt:variant>
      <vt:variant>
        <vt:lpwstr>_Toc356463025</vt:lpwstr>
      </vt:variant>
      <vt:variant>
        <vt:i4>1507379</vt:i4>
      </vt:variant>
      <vt:variant>
        <vt:i4>167</vt:i4>
      </vt:variant>
      <vt:variant>
        <vt:i4>0</vt:i4>
      </vt:variant>
      <vt:variant>
        <vt:i4>5</vt:i4>
      </vt:variant>
      <vt:variant>
        <vt:lpwstr/>
      </vt:variant>
      <vt:variant>
        <vt:lpwstr>_Toc356463024</vt:lpwstr>
      </vt:variant>
      <vt:variant>
        <vt:i4>1507379</vt:i4>
      </vt:variant>
      <vt:variant>
        <vt:i4>161</vt:i4>
      </vt:variant>
      <vt:variant>
        <vt:i4>0</vt:i4>
      </vt:variant>
      <vt:variant>
        <vt:i4>5</vt:i4>
      </vt:variant>
      <vt:variant>
        <vt:lpwstr/>
      </vt:variant>
      <vt:variant>
        <vt:lpwstr>_Toc356463023</vt:lpwstr>
      </vt:variant>
      <vt:variant>
        <vt:i4>1507379</vt:i4>
      </vt:variant>
      <vt:variant>
        <vt:i4>155</vt:i4>
      </vt:variant>
      <vt:variant>
        <vt:i4>0</vt:i4>
      </vt:variant>
      <vt:variant>
        <vt:i4>5</vt:i4>
      </vt:variant>
      <vt:variant>
        <vt:lpwstr/>
      </vt:variant>
      <vt:variant>
        <vt:lpwstr>_Toc356463022</vt:lpwstr>
      </vt:variant>
      <vt:variant>
        <vt:i4>1507379</vt:i4>
      </vt:variant>
      <vt:variant>
        <vt:i4>149</vt:i4>
      </vt:variant>
      <vt:variant>
        <vt:i4>0</vt:i4>
      </vt:variant>
      <vt:variant>
        <vt:i4>5</vt:i4>
      </vt:variant>
      <vt:variant>
        <vt:lpwstr/>
      </vt:variant>
      <vt:variant>
        <vt:lpwstr>_Toc356463021</vt:lpwstr>
      </vt:variant>
      <vt:variant>
        <vt:i4>1507379</vt:i4>
      </vt:variant>
      <vt:variant>
        <vt:i4>143</vt:i4>
      </vt:variant>
      <vt:variant>
        <vt:i4>0</vt:i4>
      </vt:variant>
      <vt:variant>
        <vt:i4>5</vt:i4>
      </vt:variant>
      <vt:variant>
        <vt:lpwstr/>
      </vt:variant>
      <vt:variant>
        <vt:lpwstr>_Toc356463020</vt:lpwstr>
      </vt:variant>
      <vt:variant>
        <vt:i4>1310771</vt:i4>
      </vt:variant>
      <vt:variant>
        <vt:i4>137</vt:i4>
      </vt:variant>
      <vt:variant>
        <vt:i4>0</vt:i4>
      </vt:variant>
      <vt:variant>
        <vt:i4>5</vt:i4>
      </vt:variant>
      <vt:variant>
        <vt:lpwstr/>
      </vt:variant>
      <vt:variant>
        <vt:lpwstr>_Toc356463019</vt:lpwstr>
      </vt:variant>
      <vt:variant>
        <vt:i4>1310771</vt:i4>
      </vt:variant>
      <vt:variant>
        <vt:i4>131</vt:i4>
      </vt:variant>
      <vt:variant>
        <vt:i4>0</vt:i4>
      </vt:variant>
      <vt:variant>
        <vt:i4>5</vt:i4>
      </vt:variant>
      <vt:variant>
        <vt:lpwstr/>
      </vt:variant>
      <vt:variant>
        <vt:lpwstr>_Toc356463018</vt:lpwstr>
      </vt:variant>
      <vt:variant>
        <vt:i4>1310771</vt:i4>
      </vt:variant>
      <vt:variant>
        <vt:i4>125</vt:i4>
      </vt:variant>
      <vt:variant>
        <vt:i4>0</vt:i4>
      </vt:variant>
      <vt:variant>
        <vt:i4>5</vt:i4>
      </vt:variant>
      <vt:variant>
        <vt:lpwstr/>
      </vt:variant>
      <vt:variant>
        <vt:lpwstr>_Toc356463017</vt:lpwstr>
      </vt:variant>
      <vt:variant>
        <vt:i4>1310771</vt:i4>
      </vt:variant>
      <vt:variant>
        <vt:i4>119</vt:i4>
      </vt:variant>
      <vt:variant>
        <vt:i4>0</vt:i4>
      </vt:variant>
      <vt:variant>
        <vt:i4>5</vt:i4>
      </vt:variant>
      <vt:variant>
        <vt:lpwstr/>
      </vt:variant>
      <vt:variant>
        <vt:lpwstr>_Toc356463016</vt:lpwstr>
      </vt:variant>
      <vt:variant>
        <vt:i4>1310771</vt:i4>
      </vt:variant>
      <vt:variant>
        <vt:i4>113</vt:i4>
      </vt:variant>
      <vt:variant>
        <vt:i4>0</vt:i4>
      </vt:variant>
      <vt:variant>
        <vt:i4>5</vt:i4>
      </vt:variant>
      <vt:variant>
        <vt:lpwstr/>
      </vt:variant>
      <vt:variant>
        <vt:lpwstr>_Toc356463015</vt:lpwstr>
      </vt:variant>
      <vt:variant>
        <vt:i4>1310771</vt:i4>
      </vt:variant>
      <vt:variant>
        <vt:i4>107</vt:i4>
      </vt:variant>
      <vt:variant>
        <vt:i4>0</vt:i4>
      </vt:variant>
      <vt:variant>
        <vt:i4>5</vt:i4>
      </vt:variant>
      <vt:variant>
        <vt:lpwstr/>
      </vt:variant>
      <vt:variant>
        <vt:lpwstr>_Toc356463014</vt:lpwstr>
      </vt:variant>
      <vt:variant>
        <vt:i4>1310771</vt:i4>
      </vt:variant>
      <vt:variant>
        <vt:i4>101</vt:i4>
      </vt:variant>
      <vt:variant>
        <vt:i4>0</vt:i4>
      </vt:variant>
      <vt:variant>
        <vt:i4>5</vt:i4>
      </vt:variant>
      <vt:variant>
        <vt:lpwstr/>
      </vt:variant>
      <vt:variant>
        <vt:lpwstr>_Toc356463013</vt:lpwstr>
      </vt:variant>
      <vt:variant>
        <vt:i4>1310771</vt:i4>
      </vt:variant>
      <vt:variant>
        <vt:i4>95</vt:i4>
      </vt:variant>
      <vt:variant>
        <vt:i4>0</vt:i4>
      </vt:variant>
      <vt:variant>
        <vt:i4>5</vt:i4>
      </vt:variant>
      <vt:variant>
        <vt:lpwstr/>
      </vt:variant>
      <vt:variant>
        <vt:lpwstr>_Toc356463012</vt:lpwstr>
      </vt:variant>
      <vt:variant>
        <vt:i4>1310771</vt:i4>
      </vt:variant>
      <vt:variant>
        <vt:i4>89</vt:i4>
      </vt:variant>
      <vt:variant>
        <vt:i4>0</vt:i4>
      </vt:variant>
      <vt:variant>
        <vt:i4>5</vt:i4>
      </vt:variant>
      <vt:variant>
        <vt:lpwstr/>
      </vt:variant>
      <vt:variant>
        <vt:lpwstr>_Toc356463011</vt:lpwstr>
      </vt:variant>
      <vt:variant>
        <vt:i4>1310771</vt:i4>
      </vt:variant>
      <vt:variant>
        <vt:i4>83</vt:i4>
      </vt:variant>
      <vt:variant>
        <vt:i4>0</vt:i4>
      </vt:variant>
      <vt:variant>
        <vt:i4>5</vt:i4>
      </vt:variant>
      <vt:variant>
        <vt:lpwstr/>
      </vt:variant>
      <vt:variant>
        <vt:lpwstr>_Toc356463010</vt:lpwstr>
      </vt:variant>
      <vt:variant>
        <vt:i4>1376307</vt:i4>
      </vt:variant>
      <vt:variant>
        <vt:i4>77</vt:i4>
      </vt:variant>
      <vt:variant>
        <vt:i4>0</vt:i4>
      </vt:variant>
      <vt:variant>
        <vt:i4>5</vt:i4>
      </vt:variant>
      <vt:variant>
        <vt:lpwstr/>
      </vt:variant>
      <vt:variant>
        <vt:lpwstr>_Toc356463009</vt:lpwstr>
      </vt:variant>
      <vt:variant>
        <vt:i4>1376307</vt:i4>
      </vt:variant>
      <vt:variant>
        <vt:i4>71</vt:i4>
      </vt:variant>
      <vt:variant>
        <vt:i4>0</vt:i4>
      </vt:variant>
      <vt:variant>
        <vt:i4>5</vt:i4>
      </vt:variant>
      <vt:variant>
        <vt:lpwstr/>
      </vt:variant>
      <vt:variant>
        <vt:lpwstr>_Toc356463008</vt:lpwstr>
      </vt:variant>
      <vt:variant>
        <vt:i4>1376307</vt:i4>
      </vt:variant>
      <vt:variant>
        <vt:i4>65</vt:i4>
      </vt:variant>
      <vt:variant>
        <vt:i4>0</vt:i4>
      </vt:variant>
      <vt:variant>
        <vt:i4>5</vt:i4>
      </vt:variant>
      <vt:variant>
        <vt:lpwstr/>
      </vt:variant>
      <vt:variant>
        <vt:lpwstr>_Toc356463007</vt:lpwstr>
      </vt:variant>
      <vt:variant>
        <vt:i4>1376307</vt:i4>
      </vt:variant>
      <vt:variant>
        <vt:i4>59</vt:i4>
      </vt:variant>
      <vt:variant>
        <vt:i4>0</vt:i4>
      </vt:variant>
      <vt:variant>
        <vt:i4>5</vt:i4>
      </vt:variant>
      <vt:variant>
        <vt:lpwstr/>
      </vt:variant>
      <vt:variant>
        <vt:lpwstr>_Toc356463006</vt:lpwstr>
      </vt:variant>
      <vt:variant>
        <vt:i4>1376307</vt:i4>
      </vt:variant>
      <vt:variant>
        <vt:i4>53</vt:i4>
      </vt:variant>
      <vt:variant>
        <vt:i4>0</vt:i4>
      </vt:variant>
      <vt:variant>
        <vt:i4>5</vt:i4>
      </vt:variant>
      <vt:variant>
        <vt:lpwstr/>
      </vt:variant>
      <vt:variant>
        <vt:lpwstr>_Toc356463005</vt:lpwstr>
      </vt:variant>
      <vt:variant>
        <vt:i4>1376307</vt:i4>
      </vt:variant>
      <vt:variant>
        <vt:i4>47</vt:i4>
      </vt:variant>
      <vt:variant>
        <vt:i4>0</vt:i4>
      </vt:variant>
      <vt:variant>
        <vt:i4>5</vt:i4>
      </vt:variant>
      <vt:variant>
        <vt:lpwstr/>
      </vt:variant>
      <vt:variant>
        <vt:lpwstr>_Toc356463004</vt:lpwstr>
      </vt:variant>
      <vt:variant>
        <vt:i4>1376307</vt:i4>
      </vt:variant>
      <vt:variant>
        <vt:i4>41</vt:i4>
      </vt:variant>
      <vt:variant>
        <vt:i4>0</vt:i4>
      </vt:variant>
      <vt:variant>
        <vt:i4>5</vt:i4>
      </vt:variant>
      <vt:variant>
        <vt:lpwstr/>
      </vt:variant>
      <vt:variant>
        <vt:lpwstr>_Toc356463003</vt:lpwstr>
      </vt:variant>
      <vt:variant>
        <vt:i4>1376307</vt:i4>
      </vt:variant>
      <vt:variant>
        <vt:i4>35</vt:i4>
      </vt:variant>
      <vt:variant>
        <vt:i4>0</vt:i4>
      </vt:variant>
      <vt:variant>
        <vt:i4>5</vt:i4>
      </vt:variant>
      <vt:variant>
        <vt:lpwstr/>
      </vt:variant>
      <vt:variant>
        <vt:lpwstr>_Toc356463002</vt:lpwstr>
      </vt:variant>
      <vt:variant>
        <vt:i4>1376307</vt:i4>
      </vt:variant>
      <vt:variant>
        <vt:i4>29</vt:i4>
      </vt:variant>
      <vt:variant>
        <vt:i4>0</vt:i4>
      </vt:variant>
      <vt:variant>
        <vt:i4>5</vt:i4>
      </vt:variant>
      <vt:variant>
        <vt:lpwstr/>
      </vt:variant>
      <vt:variant>
        <vt:lpwstr>_Toc356463001</vt:lpwstr>
      </vt:variant>
      <vt:variant>
        <vt:i4>1376307</vt:i4>
      </vt:variant>
      <vt:variant>
        <vt:i4>23</vt:i4>
      </vt:variant>
      <vt:variant>
        <vt:i4>0</vt:i4>
      </vt:variant>
      <vt:variant>
        <vt:i4>5</vt:i4>
      </vt:variant>
      <vt:variant>
        <vt:lpwstr/>
      </vt:variant>
      <vt:variant>
        <vt:lpwstr>_Toc356463000</vt:lpwstr>
      </vt:variant>
      <vt:variant>
        <vt:i4>1900602</vt:i4>
      </vt:variant>
      <vt:variant>
        <vt:i4>17</vt:i4>
      </vt:variant>
      <vt:variant>
        <vt:i4>0</vt:i4>
      </vt:variant>
      <vt:variant>
        <vt:i4>5</vt:i4>
      </vt:variant>
      <vt:variant>
        <vt:lpwstr/>
      </vt:variant>
      <vt:variant>
        <vt:lpwstr>_Toc356462999</vt:lpwstr>
      </vt:variant>
      <vt:variant>
        <vt:i4>1900602</vt:i4>
      </vt:variant>
      <vt:variant>
        <vt:i4>11</vt:i4>
      </vt:variant>
      <vt:variant>
        <vt:i4>0</vt:i4>
      </vt:variant>
      <vt:variant>
        <vt:i4>5</vt:i4>
      </vt:variant>
      <vt:variant>
        <vt:lpwstr/>
      </vt:variant>
      <vt:variant>
        <vt:lpwstr>_Toc356462998</vt:lpwstr>
      </vt:variant>
      <vt:variant>
        <vt:i4>3997744</vt:i4>
      </vt:variant>
      <vt:variant>
        <vt:i4>6</vt:i4>
      </vt:variant>
      <vt:variant>
        <vt:i4>0</vt:i4>
      </vt:variant>
      <vt:variant>
        <vt:i4>5</vt:i4>
      </vt:variant>
      <vt:variant>
        <vt:lpwstr>http://www.msac.gov.au/</vt:lpwstr>
      </vt:variant>
      <vt:variant>
        <vt:lpwstr/>
      </vt:variant>
      <vt:variant>
        <vt:i4>3997744</vt:i4>
      </vt:variant>
      <vt:variant>
        <vt:i4>3</vt:i4>
      </vt:variant>
      <vt:variant>
        <vt:i4>0</vt:i4>
      </vt:variant>
      <vt:variant>
        <vt:i4>5</vt:i4>
      </vt:variant>
      <vt:variant>
        <vt:lpwstr>http://www.msac.gov.au/</vt:lpwstr>
      </vt:variant>
      <vt:variant>
        <vt:lpwstr/>
      </vt:variant>
      <vt:variant>
        <vt:i4>3997744</vt:i4>
      </vt:variant>
      <vt:variant>
        <vt:i4>0</vt:i4>
      </vt:variant>
      <vt:variant>
        <vt:i4>0</vt:i4>
      </vt:variant>
      <vt:variant>
        <vt:i4>5</vt:i4>
      </vt:variant>
      <vt:variant>
        <vt:lpwstr>http://www.msac.gov.au/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MSAC Assessment Report Template</dc:title>
  <dc:creator>McCandless Sean</dc:creator>
  <cp:lastModifiedBy>ASPINALL, Jenny</cp:lastModifiedBy>
  <cp:revision>2</cp:revision>
  <cp:lastPrinted>2016-03-11T01:51:00Z</cp:lastPrinted>
  <dcterms:created xsi:type="dcterms:W3CDTF">2019-08-21T03:44:00Z</dcterms:created>
  <dcterms:modified xsi:type="dcterms:W3CDTF">2019-08-21T03:44:00Z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